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D21B" w14:textId="77777777" w:rsidR="00955175" w:rsidRDefault="00955175" w:rsidP="00E2168B">
      <w:pPr>
        <w:spacing w:before="280" w:after="240"/>
        <w:rPr>
          <w:b/>
          <w:sz w:val="32"/>
          <w:szCs w:val="32"/>
        </w:rPr>
      </w:pPr>
    </w:p>
    <w:p w14:paraId="23F730D9" w14:textId="5E2703F7" w:rsidR="00955175" w:rsidRPr="00A81B33" w:rsidRDefault="00605E4F" w:rsidP="00E2168B">
      <w:pPr>
        <w:spacing w:before="280" w:after="240"/>
        <w:rPr>
          <w:b/>
          <w:sz w:val="32"/>
          <w:szCs w:val="32"/>
        </w:rPr>
      </w:pPr>
      <w:r w:rsidRPr="00A81B33">
        <w:rPr>
          <w:noProof/>
        </w:rPr>
        <w:drawing>
          <wp:anchor distT="0" distB="0" distL="114300" distR="114300" simplePos="0" relativeHeight="251658240" behindDoc="0" locked="0" layoutInCell="1" allowOverlap="1" wp14:anchorId="5FB2AB6A" wp14:editId="7040B368">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D19C2E8" w14:textId="77777777" w:rsidR="00955175" w:rsidRPr="00A81B33" w:rsidRDefault="00955175" w:rsidP="00955175">
      <w:pPr>
        <w:pStyle w:val="LI-Title"/>
        <w:pBdr>
          <w:top w:val="none" w:sz="0" w:space="0" w:color="auto"/>
        </w:pBdr>
        <w:jc w:val="center"/>
      </w:pPr>
    </w:p>
    <w:p w14:paraId="40572276" w14:textId="50984141" w:rsidR="00955175" w:rsidRPr="00A81B33" w:rsidRDefault="003D200B" w:rsidP="00955175">
      <w:pPr>
        <w:pStyle w:val="LI-Title"/>
        <w:pBdr>
          <w:top w:val="none" w:sz="0" w:space="0" w:color="auto"/>
        </w:pBdr>
        <w:jc w:val="center"/>
      </w:pPr>
      <w:r w:rsidRPr="00A81B33">
        <w:t xml:space="preserve">Replacement </w:t>
      </w:r>
      <w:r w:rsidR="00955175" w:rsidRPr="00A81B33">
        <w:t>Explanatory Statement</w:t>
      </w:r>
    </w:p>
    <w:p w14:paraId="69D1DD16" w14:textId="77777777" w:rsidR="00955175" w:rsidRPr="00A81B33" w:rsidRDefault="00955175" w:rsidP="00955175">
      <w:pPr>
        <w:rPr>
          <w:lang w:eastAsia="en-AU"/>
        </w:rPr>
      </w:pPr>
    </w:p>
    <w:p w14:paraId="331B7520" w14:textId="25A23C2D" w:rsidR="00C4170B" w:rsidRPr="00A81B33" w:rsidRDefault="00827C7D" w:rsidP="00C4170B">
      <w:pPr>
        <w:jc w:val="center"/>
        <w:rPr>
          <w:b/>
          <w:i/>
          <w:sz w:val="28"/>
          <w:szCs w:val="28"/>
          <w:lang w:eastAsia="en-AU"/>
        </w:rPr>
      </w:pPr>
      <w:r w:rsidRPr="00A81B33">
        <w:rPr>
          <w:b/>
          <w:i/>
          <w:sz w:val="28"/>
          <w:szCs w:val="28"/>
          <w:lang w:eastAsia="en-AU"/>
        </w:rPr>
        <w:t>ASIC Derivative Transaction Rules (Reporting) 2024</w:t>
      </w:r>
    </w:p>
    <w:p w14:paraId="3F692830" w14:textId="65850A90" w:rsidR="00863657" w:rsidRPr="00A81B33" w:rsidRDefault="00A23378" w:rsidP="00F800C9">
      <w:pPr>
        <w:pStyle w:val="LI-BodyTextParaa"/>
        <w:ind w:left="0" w:firstLine="0"/>
      </w:pPr>
      <w:bookmarkStart w:id="0" w:name="BK_S3P1L1C1"/>
      <w:bookmarkEnd w:id="0"/>
      <w:r w:rsidRPr="00A81B33">
        <w:t xml:space="preserve">This Replacement Explanatory Statement replaces the Initial Explanatory Statement for </w:t>
      </w:r>
      <w:bookmarkStart w:id="1" w:name="_Hlk118714942"/>
      <w:r w:rsidR="00227C2D" w:rsidRPr="00A81B33">
        <w:rPr>
          <w:i/>
        </w:rPr>
        <w:t>ASIC Derivative Transaction Rules (Reporting) 2024</w:t>
      </w:r>
      <w:r w:rsidR="00C937C2" w:rsidRPr="00A81B33">
        <w:rPr>
          <w:iCs/>
        </w:rPr>
        <w:t xml:space="preserve"> (the </w:t>
      </w:r>
      <w:r w:rsidR="00C937C2" w:rsidRPr="00A81B33">
        <w:rPr>
          <w:b/>
          <w:bCs/>
          <w:i/>
        </w:rPr>
        <w:t>2024 Rules</w:t>
      </w:r>
      <w:r w:rsidR="000D06B0" w:rsidRPr="00A81B33">
        <w:rPr>
          <w:b/>
          <w:bCs/>
          <w:i/>
        </w:rPr>
        <w:t xml:space="preserve">, </w:t>
      </w:r>
      <w:r w:rsidR="000D06B0" w:rsidRPr="00A81B33">
        <w:rPr>
          <w:iCs/>
        </w:rPr>
        <w:t>or</w:t>
      </w:r>
      <w:r w:rsidR="000D06B0" w:rsidRPr="00A81B33">
        <w:rPr>
          <w:i/>
        </w:rPr>
        <w:t xml:space="preserve"> </w:t>
      </w:r>
      <w:r w:rsidR="000D06B0" w:rsidRPr="00A81B33">
        <w:rPr>
          <w:iCs/>
        </w:rPr>
        <w:t>the</w:t>
      </w:r>
      <w:r w:rsidR="000D06B0" w:rsidRPr="00A81B33">
        <w:rPr>
          <w:b/>
          <w:bCs/>
          <w:i/>
        </w:rPr>
        <w:t xml:space="preserve"> instrument</w:t>
      </w:r>
      <w:r w:rsidR="00C937C2" w:rsidRPr="00A81B33">
        <w:rPr>
          <w:iCs/>
        </w:rPr>
        <w:t>)</w:t>
      </w:r>
      <w:r w:rsidRPr="00A81B33">
        <w:rPr>
          <w:i/>
          <w:iCs/>
        </w:rPr>
        <w:t xml:space="preserve">, </w:t>
      </w:r>
      <w:r w:rsidRPr="00A81B33">
        <w:t>in accordance with paragraph 15J(1)(b) of the</w:t>
      </w:r>
      <w:r w:rsidRPr="00A81B33">
        <w:rPr>
          <w:i/>
          <w:iCs/>
        </w:rPr>
        <w:t xml:space="preserve"> Legislation Act 2003.</w:t>
      </w:r>
      <w:bookmarkEnd w:id="1"/>
    </w:p>
    <w:p w14:paraId="403791EE" w14:textId="3A49EFAA" w:rsidR="00F800C9" w:rsidRPr="00A81B33" w:rsidRDefault="00863657" w:rsidP="00F800C9">
      <w:pPr>
        <w:pStyle w:val="LI-BodyTextParaa"/>
        <w:ind w:left="0" w:firstLine="0"/>
      </w:pPr>
      <w:r w:rsidRPr="00A81B33">
        <w:t>Th</w:t>
      </w:r>
      <w:r w:rsidR="00F800C9" w:rsidRPr="00A81B33">
        <w:t>e</w:t>
      </w:r>
      <w:r w:rsidRPr="00A81B33">
        <w:t xml:space="preserve"> </w:t>
      </w:r>
      <w:r w:rsidR="00960D9C" w:rsidRPr="00A81B33">
        <w:t xml:space="preserve">Replacement </w:t>
      </w:r>
      <w:r w:rsidR="00F800C9" w:rsidRPr="00A81B33">
        <w:t>Explanatory Statement is approved by the Australian Securities and Investments Commission (</w:t>
      </w:r>
      <w:r w:rsidR="00F800C9" w:rsidRPr="00A81B33">
        <w:rPr>
          <w:b/>
          <w:i/>
        </w:rPr>
        <w:t>ASIC</w:t>
      </w:r>
      <w:r w:rsidR="00F800C9" w:rsidRPr="00A81B33">
        <w:t>).</w:t>
      </w:r>
    </w:p>
    <w:p w14:paraId="75F2EA1E" w14:textId="3BF32AD4" w:rsidR="00494FA1" w:rsidRPr="00A81B33" w:rsidRDefault="005D1FEA" w:rsidP="00F800C9">
      <w:pPr>
        <w:pStyle w:val="LI-BodyTextNumbered"/>
        <w:ind w:left="0" w:firstLine="0"/>
        <w:rPr>
          <w:b/>
        </w:rPr>
      </w:pPr>
      <w:r w:rsidRPr="00A81B33">
        <w:rPr>
          <w:b/>
        </w:rPr>
        <w:t>Summary</w:t>
      </w:r>
    </w:p>
    <w:p w14:paraId="0AC398EC" w14:textId="2E757E18" w:rsidR="00160634" w:rsidRPr="00A81B33" w:rsidRDefault="00C56D9C" w:rsidP="002E110A">
      <w:pPr>
        <w:pStyle w:val="LI-BodyTextParaa"/>
        <w:numPr>
          <w:ilvl w:val="0"/>
          <w:numId w:val="3"/>
        </w:numPr>
      </w:pPr>
      <w:r w:rsidRPr="00A81B33">
        <w:t xml:space="preserve">This instrument repeals and </w:t>
      </w:r>
      <w:r w:rsidR="0003570F" w:rsidRPr="00A81B33">
        <w:t xml:space="preserve">remakes </w:t>
      </w:r>
      <w:r w:rsidRPr="00A81B33">
        <w:t xml:space="preserve">the </w:t>
      </w:r>
      <w:r w:rsidRPr="00A81B33">
        <w:rPr>
          <w:i/>
          <w:iCs/>
        </w:rPr>
        <w:t>ASIC Derivative Transaction Rules (Reporting) 20</w:t>
      </w:r>
      <w:r w:rsidR="00BE16DE" w:rsidRPr="00A81B33">
        <w:rPr>
          <w:i/>
          <w:iCs/>
        </w:rPr>
        <w:t>22</w:t>
      </w:r>
      <w:r w:rsidRPr="00A81B33">
        <w:t xml:space="preserve"> (the </w:t>
      </w:r>
      <w:r w:rsidRPr="00A81B33">
        <w:rPr>
          <w:b/>
          <w:bCs/>
          <w:i/>
          <w:iCs/>
        </w:rPr>
        <w:t>20</w:t>
      </w:r>
      <w:r w:rsidR="00BE16DE" w:rsidRPr="00A81B33">
        <w:rPr>
          <w:b/>
          <w:bCs/>
          <w:i/>
          <w:iCs/>
        </w:rPr>
        <w:t>22</w:t>
      </w:r>
      <w:r w:rsidRPr="00A81B33">
        <w:rPr>
          <w:b/>
          <w:bCs/>
          <w:i/>
          <w:iCs/>
        </w:rPr>
        <w:t xml:space="preserve"> Rules</w:t>
      </w:r>
      <w:r w:rsidRPr="00A81B33">
        <w:t>)</w:t>
      </w:r>
      <w:r w:rsidR="00FC58F8" w:rsidRPr="00A81B33">
        <w:t xml:space="preserve">, </w:t>
      </w:r>
      <w:r w:rsidR="003D60E4" w:rsidRPr="00A81B33">
        <w:t xml:space="preserve">with a deferred </w:t>
      </w:r>
      <w:r w:rsidR="00FC58F8" w:rsidRPr="00A81B33">
        <w:t>commenc</w:t>
      </w:r>
      <w:r w:rsidR="003D60E4" w:rsidRPr="00A81B33">
        <w:t xml:space="preserve">ement of </w:t>
      </w:r>
      <w:r w:rsidR="00FC58F8" w:rsidRPr="00A81B33">
        <w:t>21 October 2024.</w:t>
      </w:r>
    </w:p>
    <w:p w14:paraId="66F47333" w14:textId="67A53297" w:rsidR="000C7788" w:rsidRPr="00D35ED7" w:rsidRDefault="00160634" w:rsidP="002E110A">
      <w:pPr>
        <w:pStyle w:val="LI-BodyTextParaa"/>
        <w:numPr>
          <w:ilvl w:val="0"/>
          <w:numId w:val="3"/>
        </w:numPr>
      </w:pPr>
      <w:r w:rsidRPr="00A81B33">
        <w:t xml:space="preserve">This instrument </w:t>
      </w:r>
      <w:r w:rsidR="00684F07" w:rsidRPr="00A81B33">
        <w:t xml:space="preserve">continues </w:t>
      </w:r>
      <w:r w:rsidR="00CE65A1" w:rsidRPr="00A81B33">
        <w:t>the requirements</w:t>
      </w:r>
      <w:r w:rsidR="003E0828" w:rsidRPr="00A81B33">
        <w:t xml:space="preserve"> </w:t>
      </w:r>
      <w:r w:rsidR="00AD0138" w:rsidRPr="00A81B33">
        <w:t xml:space="preserve">that </w:t>
      </w:r>
      <w:r w:rsidR="007C7673" w:rsidRPr="00A81B33">
        <w:t xml:space="preserve">first </w:t>
      </w:r>
      <w:r w:rsidR="00AD0138" w:rsidRPr="00A81B33">
        <w:t xml:space="preserve">commenced </w:t>
      </w:r>
      <w:r w:rsidR="00C92A5D" w:rsidRPr="00A81B33">
        <w:t xml:space="preserve">in </w:t>
      </w:r>
      <w:r w:rsidR="002D72C4" w:rsidRPr="00A81B33">
        <w:t xml:space="preserve">2013 </w:t>
      </w:r>
      <w:r w:rsidR="009E14DB" w:rsidRPr="00A81B33">
        <w:t xml:space="preserve">to </w:t>
      </w:r>
      <w:r w:rsidR="00F063A6" w:rsidRPr="00A81B33">
        <w:rPr>
          <w:iCs/>
        </w:rPr>
        <w:t>report</w:t>
      </w:r>
      <w:r w:rsidR="009E14DB" w:rsidRPr="00A81B33">
        <w:rPr>
          <w:iCs/>
        </w:rPr>
        <w:t xml:space="preserve"> information about</w:t>
      </w:r>
      <w:r w:rsidR="009E14DB" w:rsidRPr="00D35ED7">
        <w:rPr>
          <w:iCs/>
        </w:rPr>
        <w:t xml:space="preserve"> over-the-counter </w:t>
      </w:r>
      <w:r w:rsidR="00BB6F8E" w:rsidRPr="00D35ED7">
        <w:rPr>
          <w:iCs/>
        </w:rPr>
        <w:t>(</w:t>
      </w:r>
      <w:r w:rsidR="00BB6F8E" w:rsidRPr="00D35ED7">
        <w:rPr>
          <w:b/>
          <w:bCs/>
          <w:i/>
        </w:rPr>
        <w:t>OTC</w:t>
      </w:r>
      <w:r w:rsidR="00BB6F8E" w:rsidRPr="00D35ED7">
        <w:rPr>
          <w:iCs/>
        </w:rPr>
        <w:t xml:space="preserve">) </w:t>
      </w:r>
      <w:r w:rsidR="00F063A6" w:rsidRPr="00D35ED7">
        <w:rPr>
          <w:iCs/>
        </w:rPr>
        <w:t>derivatives transactions by businesses licensed by ASIC or otherwise authorised to deal in derivatives in Australia</w:t>
      </w:r>
      <w:r w:rsidR="0053650F" w:rsidRPr="00D35ED7">
        <w:rPr>
          <w:iCs/>
        </w:rPr>
        <w:t xml:space="preserve">, but </w:t>
      </w:r>
      <w:r w:rsidR="00D06ED5" w:rsidRPr="00D35ED7">
        <w:rPr>
          <w:iCs/>
        </w:rPr>
        <w:t xml:space="preserve">updates the requirements </w:t>
      </w:r>
      <w:r w:rsidR="000C7788" w:rsidRPr="00D35ED7">
        <w:t>to</w:t>
      </w:r>
      <w:r w:rsidR="009D43E1" w:rsidRPr="00D35ED7">
        <w:t xml:space="preserve"> harmonise to various international </w:t>
      </w:r>
      <w:r w:rsidR="00487465" w:rsidRPr="00D35ED7">
        <w:t xml:space="preserve">reporting </w:t>
      </w:r>
      <w:r w:rsidR="009D43E1" w:rsidRPr="00D35ED7">
        <w:t>standards</w:t>
      </w:r>
      <w:r w:rsidR="00487465" w:rsidRPr="00D35ED7">
        <w:t xml:space="preserve">, </w:t>
      </w:r>
      <w:r w:rsidR="00F274B8" w:rsidRPr="00D35ED7">
        <w:t>remove outdated transitional provisions, consolidate associated exemptions withi</w:t>
      </w:r>
      <w:r w:rsidR="00C2628B" w:rsidRPr="00D35ED7">
        <w:t xml:space="preserve">n the 2024 Rules and </w:t>
      </w:r>
      <w:r w:rsidR="006B7634" w:rsidRPr="00D35ED7">
        <w:t xml:space="preserve">ensure that the reporting requirements are </w:t>
      </w:r>
      <w:r w:rsidR="00D13F26" w:rsidRPr="00D35ED7">
        <w:t>fit for purpose</w:t>
      </w:r>
      <w:r w:rsidR="006B7634" w:rsidRPr="00D35ED7">
        <w:t xml:space="preserve"> and clear as to </w:t>
      </w:r>
      <w:r w:rsidR="006B7970" w:rsidRPr="00D35ED7">
        <w:t>the roles and responsibilities of reporting entities.</w:t>
      </w:r>
    </w:p>
    <w:p w14:paraId="04612110" w14:textId="3FDFA251" w:rsidR="001710C0" w:rsidRDefault="001710C0" w:rsidP="002E110A">
      <w:pPr>
        <w:pStyle w:val="LI-BodyTextParaa"/>
        <w:numPr>
          <w:ilvl w:val="0"/>
          <w:numId w:val="3"/>
        </w:numPr>
      </w:pPr>
      <w:r w:rsidRPr="00D35ED7">
        <w:t>Between 2012 and 2018, international</w:t>
      </w:r>
      <w:r>
        <w:t xml:space="preserve"> standards and guidance for </w:t>
      </w:r>
      <w:r w:rsidR="001A57FF">
        <w:t xml:space="preserve">the reporting of </w:t>
      </w:r>
      <w:r>
        <w:t xml:space="preserve">certain </w:t>
      </w:r>
      <w:r w:rsidR="00A3302C">
        <w:t xml:space="preserve">derivatives transactions </w:t>
      </w:r>
      <w:r w:rsidR="001A57FF">
        <w:t xml:space="preserve">information </w:t>
      </w:r>
      <w:r w:rsidR="00CD1C7A">
        <w:t xml:space="preserve">was developed </w:t>
      </w:r>
      <w:r>
        <w:t>with a view to common adoption across G20 and F</w:t>
      </w:r>
      <w:r w:rsidR="0038034E">
        <w:t xml:space="preserve">inancial </w:t>
      </w:r>
      <w:r>
        <w:t>S</w:t>
      </w:r>
      <w:r w:rsidR="0038034E">
        <w:t xml:space="preserve">tability </w:t>
      </w:r>
      <w:r w:rsidR="004414EB">
        <w:t xml:space="preserve">Board </w:t>
      </w:r>
      <w:r w:rsidR="00D76C2D">
        <w:t>(</w:t>
      </w:r>
      <w:r w:rsidR="00D76C2D" w:rsidRPr="003E1AB5">
        <w:rPr>
          <w:b/>
          <w:i/>
          <w:iCs/>
        </w:rPr>
        <w:t>FSB</w:t>
      </w:r>
      <w:r w:rsidR="00D76C2D" w:rsidRPr="00D76C2D">
        <w:rPr>
          <w:bCs/>
        </w:rPr>
        <w:t xml:space="preserve">) </w:t>
      </w:r>
      <w:r w:rsidR="004414EB">
        <w:t xml:space="preserve">member </w:t>
      </w:r>
      <w:r>
        <w:t xml:space="preserve">jurisdictions. </w:t>
      </w:r>
      <w:r w:rsidR="00FD44F8">
        <w:t>These sta</w:t>
      </w:r>
      <w:r w:rsidR="005560AF">
        <w:t>ndards were developed</w:t>
      </w:r>
      <w:r>
        <w:t xml:space="preserve"> to streamline and simplify reporting requirements for businesses and to enable regulatory authorities to more readily aggregate information about internationally traded </w:t>
      </w:r>
      <w:r w:rsidR="00D402A8">
        <w:t>OTC</w:t>
      </w:r>
      <w:r w:rsidR="00BB0F3D">
        <w:t xml:space="preserve"> </w:t>
      </w:r>
      <w:r>
        <w:t>derivatives and better understand the multiple cross-border connections between counterparties.</w:t>
      </w:r>
    </w:p>
    <w:p w14:paraId="220DD8AC" w14:textId="01405BEE" w:rsidR="00C56D9C" w:rsidRDefault="00F7325C" w:rsidP="002E110A">
      <w:pPr>
        <w:pStyle w:val="LI-BodyTextParaa"/>
        <w:numPr>
          <w:ilvl w:val="0"/>
          <w:numId w:val="3"/>
        </w:numPr>
      </w:pPr>
      <w:r w:rsidRPr="00F7325C">
        <w:t xml:space="preserve">Since 2020, in line with their G20 commitments and the FSB’s expectations, </w:t>
      </w:r>
      <w:r w:rsidR="009C247D">
        <w:t>s</w:t>
      </w:r>
      <w:r w:rsidR="00D138EE">
        <w:t>eve</w:t>
      </w:r>
      <w:r w:rsidR="00D402A8">
        <w:t>ral</w:t>
      </w:r>
      <w:r w:rsidR="009C247D">
        <w:t xml:space="preserve"> major </w:t>
      </w:r>
      <w:r w:rsidRPr="00F7325C">
        <w:t>jurisdictions have updated, or are in the process of updating, their derivatives transactions reporting rules to adopt these international standards.</w:t>
      </w:r>
      <w:r w:rsidR="00C70822">
        <w:t xml:space="preserve"> </w:t>
      </w:r>
      <w:r w:rsidR="004A3E14">
        <w:t xml:space="preserve">ASIC made proposals to adopt </w:t>
      </w:r>
      <w:r w:rsidR="00B31B69">
        <w:t xml:space="preserve">these international standards </w:t>
      </w:r>
      <w:r w:rsidR="00B94586">
        <w:t xml:space="preserve">in a </w:t>
      </w:r>
      <w:r w:rsidRPr="00F7325C">
        <w:t>first consultation paper in November 2020 and a second consultation paper in May 2022.</w:t>
      </w:r>
    </w:p>
    <w:p w14:paraId="526ACD87" w14:textId="0B34BDC5" w:rsidR="00494FA1" w:rsidRDefault="00C56633" w:rsidP="002E110A">
      <w:pPr>
        <w:pStyle w:val="LI-BodyTextParaa"/>
        <w:numPr>
          <w:ilvl w:val="0"/>
          <w:numId w:val="3"/>
        </w:numPr>
      </w:pPr>
      <w:r>
        <w:t>Th</w:t>
      </w:r>
      <w:r w:rsidR="00FD693F">
        <w:t xml:space="preserve">is instrument </w:t>
      </w:r>
      <w:r w:rsidR="00CC2515">
        <w:t xml:space="preserve">implements ASIC’s consultation conclusions </w:t>
      </w:r>
      <w:r w:rsidR="00B747AD">
        <w:t xml:space="preserve">as the </w:t>
      </w:r>
      <w:r>
        <w:t>2024 Rules</w:t>
      </w:r>
      <w:r w:rsidR="00B747AD">
        <w:t>.</w:t>
      </w:r>
    </w:p>
    <w:p w14:paraId="2DB5D626" w14:textId="62481298" w:rsidR="00A02FB0" w:rsidRDefault="00A02FB0" w:rsidP="002E110A">
      <w:pPr>
        <w:pStyle w:val="LI-BodyTextParaa"/>
        <w:numPr>
          <w:ilvl w:val="0"/>
          <w:numId w:val="3"/>
        </w:numPr>
      </w:pPr>
      <w:r>
        <w:lastRenderedPageBreak/>
        <w:t xml:space="preserve">The purpose of this Replacement Explanatory Statement is to </w:t>
      </w:r>
      <w:r w:rsidR="006B4966">
        <w:rPr>
          <w:color w:val="000000"/>
          <w:shd w:val="clear" w:color="auto" w:fill="FFFFFF"/>
        </w:rPr>
        <w:t>deal with the matters dealt with in the Initial Explanatory Statement</w:t>
      </w:r>
      <w:r w:rsidR="00313EC2">
        <w:rPr>
          <w:color w:val="000000"/>
          <w:shd w:val="clear" w:color="auto" w:fill="FFFFFF"/>
        </w:rPr>
        <w:t>,</w:t>
      </w:r>
      <w:r w:rsidR="006B4966">
        <w:rPr>
          <w:color w:val="000000"/>
          <w:shd w:val="clear" w:color="auto" w:fill="FFFFFF"/>
        </w:rPr>
        <w:t xml:space="preserve"> and to </w:t>
      </w:r>
      <w:r w:rsidR="00E87436">
        <w:rPr>
          <w:color w:val="000000"/>
          <w:shd w:val="clear" w:color="auto" w:fill="FFFFFF"/>
        </w:rPr>
        <w:t>correct</w:t>
      </w:r>
      <w:r w:rsidR="006B4966">
        <w:rPr>
          <w:color w:val="000000"/>
          <w:shd w:val="clear" w:color="auto" w:fill="FFFFFF"/>
        </w:rPr>
        <w:t xml:space="preserve"> minor </w:t>
      </w:r>
      <w:r w:rsidR="00F337C1">
        <w:rPr>
          <w:color w:val="000000"/>
          <w:shd w:val="clear" w:color="auto" w:fill="FFFFFF"/>
        </w:rPr>
        <w:t>or</w:t>
      </w:r>
      <w:r w:rsidR="006B4966">
        <w:rPr>
          <w:color w:val="000000"/>
          <w:shd w:val="clear" w:color="auto" w:fill="FFFFFF"/>
        </w:rPr>
        <w:t xml:space="preserve"> t</w:t>
      </w:r>
      <w:r w:rsidR="00E87436">
        <w:rPr>
          <w:color w:val="000000"/>
          <w:shd w:val="clear" w:color="auto" w:fill="FFFFFF"/>
        </w:rPr>
        <w:t xml:space="preserve">ypographical errors </w:t>
      </w:r>
      <w:r w:rsidR="00FC4232">
        <w:rPr>
          <w:color w:val="000000"/>
          <w:shd w:val="clear" w:color="auto" w:fill="FFFFFF"/>
        </w:rPr>
        <w:t>which were in the</w:t>
      </w:r>
      <w:r w:rsidR="00313EC2" w:rsidRPr="00313EC2">
        <w:rPr>
          <w:color w:val="000000"/>
          <w:shd w:val="clear" w:color="auto" w:fill="FFFFFF"/>
        </w:rPr>
        <w:t xml:space="preserve"> </w:t>
      </w:r>
      <w:r w:rsidR="00313EC2">
        <w:rPr>
          <w:color w:val="000000"/>
          <w:shd w:val="clear" w:color="auto" w:fill="FFFFFF"/>
        </w:rPr>
        <w:t xml:space="preserve">Initial Explanatory Statement. </w:t>
      </w:r>
    </w:p>
    <w:p w14:paraId="7E79F055" w14:textId="77777777" w:rsidR="005D1FEA" w:rsidRDefault="005D1FEA" w:rsidP="005D1FEA">
      <w:pPr>
        <w:pStyle w:val="LI-BodyTextNumbered"/>
        <w:ind w:hanging="1134"/>
        <w:rPr>
          <w:b/>
        </w:rPr>
      </w:pPr>
      <w:r>
        <w:rPr>
          <w:b/>
        </w:rPr>
        <w:t>Purpose of the instrument</w:t>
      </w:r>
    </w:p>
    <w:p w14:paraId="6CB3BC5F" w14:textId="6A1BDF12" w:rsidR="00264FC6" w:rsidRDefault="003D746F" w:rsidP="002E110A">
      <w:pPr>
        <w:pStyle w:val="LI-BodyTextParaa"/>
        <w:numPr>
          <w:ilvl w:val="0"/>
          <w:numId w:val="3"/>
        </w:numPr>
      </w:pPr>
      <w:r>
        <w:t xml:space="preserve">The purpose of this instrument </w:t>
      </w:r>
      <w:r w:rsidR="00C10E7B">
        <w:t xml:space="preserve">is to continue the requirements that first commenced in 2013 to </w:t>
      </w:r>
      <w:r w:rsidR="00C10E7B" w:rsidRPr="00B24D1C">
        <w:rPr>
          <w:iCs/>
        </w:rPr>
        <w:t>report</w:t>
      </w:r>
      <w:r w:rsidR="00C10E7B">
        <w:rPr>
          <w:iCs/>
        </w:rPr>
        <w:t xml:space="preserve"> information about </w:t>
      </w:r>
      <w:r w:rsidR="007E60AD">
        <w:rPr>
          <w:iCs/>
        </w:rPr>
        <w:t xml:space="preserve">OTC </w:t>
      </w:r>
      <w:r w:rsidR="00C10E7B" w:rsidRPr="00D135F9">
        <w:rPr>
          <w:iCs/>
        </w:rPr>
        <w:t>derivatives</w:t>
      </w:r>
      <w:r w:rsidR="00C10E7B" w:rsidRPr="00B24D1C">
        <w:rPr>
          <w:iCs/>
        </w:rPr>
        <w:t xml:space="preserve"> transactions by businesses licensed by ASIC or otherwise authorised to deal in derivatives in Australia</w:t>
      </w:r>
      <w:r w:rsidR="00C10E7B">
        <w:rPr>
          <w:iCs/>
        </w:rPr>
        <w:t xml:space="preserve">, but </w:t>
      </w:r>
      <w:r w:rsidR="00B46408">
        <w:rPr>
          <w:iCs/>
        </w:rPr>
        <w:t xml:space="preserve">updates the requirements </w:t>
      </w:r>
      <w:r w:rsidR="00C10E7B">
        <w:t>to:</w:t>
      </w:r>
    </w:p>
    <w:p w14:paraId="11C630D3" w14:textId="7EC191F7" w:rsidR="00264FC6" w:rsidRDefault="00264FC6" w:rsidP="002E110A">
      <w:pPr>
        <w:pStyle w:val="LI-BodyTextParaa"/>
        <w:numPr>
          <w:ilvl w:val="1"/>
          <w:numId w:val="3"/>
        </w:numPr>
      </w:pPr>
      <w:r>
        <w:t xml:space="preserve">harmonise to the international standards for </w:t>
      </w:r>
      <w:r w:rsidR="00154AA5">
        <w:t>legal entity identif</w:t>
      </w:r>
      <w:r w:rsidR="006405F8">
        <w:t>i</w:t>
      </w:r>
      <w:r w:rsidR="00154AA5">
        <w:t>ers (</w:t>
      </w:r>
      <w:proofErr w:type="spellStart"/>
      <w:r w:rsidR="00352C7D" w:rsidRPr="00154AA5">
        <w:rPr>
          <w:b/>
          <w:bCs/>
          <w:i/>
          <w:iCs/>
        </w:rPr>
        <w:t>LEIs</w:t>
      </w:r>
      <w:proofErr w:type="spellEnd"/>
      <w:r w:rsidR="00154AA5">
        <w:rPr>
          <w:b/>
          <w:bCs/>
        </w:rPr>
        <w:t>)</w:t>
      </w:r>
      <w:r w:rsidR="00CA3938">
        <w:t>,</w:t>
      </w:r>
      <w:r w:rsidR="003E1AB5">
        <w:t xml:space="preserve"> </w:t>
      </w:r>
      <w:r w:rsidR="00154AA5">
        <w:t xml:space="preserve">unique </w:t>
      </w:r>
      <w:r>
        <w:t>transaction identifiers</w:t>
      </w:r>
      <w:r w:rsidR="00D621AB">
        <w:t xml:space="preserve"> (</w:t>
      </w:r>
      <w:proofErr w:type="spellStart"/>
      <w:r w:rsidR="00D621AB" w:rsidRPr="00D621AB">
        <w:rPr>
          <w:b/>
          <w:bCs/>
          <w:i/>
          <w:iCs/>
        </w:rPr>
        <w:t>UTIs</w:t>
      </w:r>
      <w:proofErr w:type="spellEnd"/>
      <w:r w:rsidR="00D621AB">
        <w:t>)</w:t>
      </w:r>
      <w:r>
        <w:t xml:space="preserve">, </w:t>
      </w:r>
      <w:r w:rsidR="00D621AB">
        <w:t xml:space="preserve">unique </w:t>
      </w:r>
      <w:r>
        <w:t xml:space="preserve">product identifiers </w:t>
      </w:r>
      <w:r w:rsidR="00D621AB">
        <w:t>(</w:t>
      </w:r>
      <w:r w:rsidR="00D621AB" w:rsidRPr="00D621AB">
        <w:rPr>
          <w:b/>
          <w:bCs/>
          <w:i/>
          <w:iCs/>
        </w:rPr>
        <w:t>UPIs</w:t>
      </w:r>
      <w:r w:rsidR="00D621AB">
        <w:t>)</w:t>
      </w:r>
      <w:r w:rsidR="00054875">
        <w:t xml:space="preserve"> </w:t>
      </w:r>
      <w:r w:rsidR="006261FB">
        <w:t xml:space="preserve">and </w:t>
      </w:r>
      <w:r>
        <w:t xml:space="preserve">critical data elements </w:t>
      </w:r>
      <w:r w:rsidR="006261FB">
        <w:t>(</w:t>
      </w:r>
      <w:proofErr w:type="spellStart"/>
      <w:r w:rsidR="00D621AB" w:rsidRPr="00D621AB">
        <w:rPr>
          <w:b/>
          <w:bCs/>
          <w:i/>
          <w:iCs/>
        </w:rPr>
        <w:t>CDEs</w:t>
      </w:r>
      <w:proofErr w:type="spellEnd"/>
      <w:r w:rsidR="00D621AB">
        <w:t xml:space="preserve">) </w:t>
      </w:r>
      <w:r>
        <w:t xml:space="preserve">supplemented with other important data </w:t>
      </w:r>
      <w:proofErr w:type="gramStart"/>
      <w:r>
        <w:t>elements</w:t>
      </w:r>
      <w:r w:rsidR="00D621AB">
        <w:t>;</w:t>
      </w:r>
      <w:proofErr w:type="gramEnd"/>
    </w:p>
    <w:p w14:paraId="7B4BB8E9" w14:textId="4A49B870" w:rsidR="00264FC6" w:rsidRDefault="00264FC6" w:rsidP="002E110A">
      <w:pPr>
        <w:pStyle w:val="LI-BodyTextParaa"/>
        <w:numPr>
          <w:ilvl w:val="1"/>
          <w:numId w:val="3"/>
        </w:numPr>
      </w:pPr>
      <w:r>
        <w:t>remove outdated transitional provisions and consolidate associated exemptions within the</w:t>
      </w:r>
      <w:r w:rsidR="007E60AD">
        <w:t xml:space="preserve"> 2024</w:t>
      </w:r>
      <w:r>
        <w:t xml:space="preserve"> </w:t>
      </w:r>
      <w:proofErr w:type="gramStart"/>
      <w:r w:rsidR="007E60AD">
        <w:t>R</w:t>
      </w:r>
      <w:r>
        <w:t>ules;</w:t>
      </w:r>
      <w:proofErr w:type="gramEnd"/>
    </w:p>
    <w:p w14:paraId="2301AD92" w14:textId="0935870B" w:rsidR="00264FC6" w:rsidRDefault="00264FC6" w:rsidP="002E110A">
      <w:pPr>
        <w:pStyle w:val="LI-BodyTextParaa"/>
        <w:numPr>
          <w:ilvl w:val="1"/>
          <w:numId w:val="3"/>
        </w:numPr>
      </w:pPr>
      <w:r>
        <w:t>ensure that they are fit for purpose as to the scope of reporting entities, derivative products and types of transactions that are subject to the</w:t>
      </w:r>
      <w:r w:rsidR="007E60AD">
        <w:t xml:space="preserve"> 2024</w:t>
      </w:r>
      <w:r>
        <w:t xml:space="preserve"> </w:t>
      </w:r>
      <w:r w:rsidR="007E60AD">
        <w:t>R</w:t>
      </w:r>
      <w:r>
        <w:t xml:space="preserve">ules and clear as to the roles and responsibilities of entities submitting derivative transaction </w:t>
      </w:r>
      <w:proofErr w:type="gramStart"/>
      <w:r>
        <w:t>reports;</w:t>
      </w:r>
      <w:proofErr w:type="gramEnd"/>
      <w:r>
        <w:t xml:space="preserve"> and</w:t>
      </w:r>
    </w:p>
    <w:p w14:paraId="126C754F" w14:textId="2C1B40D7" w:rsidR="00264FC6" w:rsidRDefault="00264FC6" w:rsidP="002E110A">
      <w:pPr>
        <w:pStyle w:val="LI-BodyTextParaa"/>
        <w:numPr>
          <w:ilvl w:val="1"/>
          <w:numId w:val="3"/>
        </w:numPr>
      </w:pPr>
      <w:r>
        <w:t>harmonise to an internationally adopted technical standard for reporting under ISO 20022</w:t>
      </w:r>
      <w:r w:rsidR="00CA6E1C">
        <w:t xml:space="preserve"> </w:t>
      </w:r>
      <w:r w:rsidR="00CA6E1C">
        <w:rPr>
          <w:i/>
          <w:iCs/>
        </w:rPr>
        <w:t xml:space="preserve">Financial services – Universal </w:t>
      </w:r>
      <w:r w:rsidR="008D4080">
        <w:rPr>
          <w:i/>
          <w:iCs/>
        </w:rPr>
        <w:t>financial messaging scheme (</w:t>
      </w:r>
      <w:r w:rsidR="008D4080" w:rsidRPr="008D4080">
        <w:rPr>
          <w:b/>
          <w:bCs/>
          <w:i/>
          <w:iCs/>
        </w:rPr>
        <w:t>ISO 20022</w:t>
      </w:r>
      <w:r w:rsidR="008D4080">
        <w:rPr>
          <w:i/>
          <w:iCs/>
        </w:rPr>
        <w:t>)</w:t>
      </w:r>
      <w:r>
        <w:t>.</w:t>
      </w:r>
    </w:p>
    <w:p w14:paraId="11FC2446" w14:textId="0904A92F" w:rsidR="00C92DA7" w:rsidRDefault="00C92DA7" w:rsidP="002E110A">
      <w:pPr>
        <w:pStyle w:val="LI-BodyTextParaa"/>
        <w:numPr>
          <w:ilvl w:val="0"/>
          <w:numId w:val="3"/>
        </w:numPr>
      </w:pPr>
      <w:r w:rsidRPr="00C92DA7">
        <w:t>With the Minister’s consent, on 9 July 2013</w:t>
      </w:r>
      <w:r w:rsidR="00C576BE">
        <w:t>,</w:t>
      </w:r>
      <w:r w:rsidRPr="00C92DA7">
        <w:t xml:space="preserve"> ASIC made the </w:t>
      </w:r>
      <w:r w:rsidR="00D138EE" w:rsidRPr="004B5C68">
        <w:rPr>
          <w:i/>
        </w:rPr>
        <w:t>ASIC Derivative Transaction Rules (Reporting) 20</w:t>
      </w:r>
      <w:r w:rsidR="00D138EE">
        <w:rPr>
          <w:i/>
        </w:rPr>
        <w:t>13</w:t>
      </w:r>
      <w:r w:rsidR="00D138EE">
        <w:rPr>
          <w:iCs/>
        </w:rPr>
        <w:t xml:space="preserve"> (the </w:t>
      </w:r>
      <w:r w:rsidR="00D138EE">
        <w:rPr>
          <w:b/>
          <w:bCs/>
          <w:i/>
        </w:rPr>
        <w:t>2013 Rules</w:t>
      </w:r>
      <w:r w:rsidR="00D138EE" w:rsidRPr="00C937C2">
        <w:rPr>
          <w:iCs/>
        </w:rPr>
        <w:t>)</w:t>
      </w:r>
      <w:r w:rsidR="00FB7D23">
        <w:rPr>
          <w:iCs/>
        </w:rPr>
        <w:t>. The 2013 Rules</w:t>
      </w:r>
      <w:r w:rsidRPr="00C92DA7">
        <w:t xml:space="preserve"> mandat</w:t>
      </w:r>
      <w:r w:rsidR="00FB7D23">
        <w:t>ed</w:t>
      </w:r>
      <w:r w:rsidRPr="00C92DA7">
        <w:t xml:space="preserve"> </w:t>
      </w:r>
      <w:r w:rsidR="000626DA">
        <w:t xml:space="preserve">the </w:t>
      </w:r>
      <w:r w:rsidRPr="00C92DA7">
        <w:t>reporting of OTC derivatives transactions by businesses licensed by ASIC or otherwise authorised to deal in derivatives in Australia. Mandatory reporting of OTC derivatives transactions to trade repositories was a key component of the comprehensive OTC derivatives reform agenda agreed by the G20 leaders in response to the global financial crisis given the significant economic and social damage that was experienced. The OTC derivatives market</w:t>
      </w:r>
      <w:r w:rsidRPr="005705B6">
        <w:t xml:space="preserve"> reform agenda was developed with the objectives of improving transparency, mitigating systemic risk, and protecting against market abuse.</w:t>
      </w:r>
    </w:p>
    <w:p w14:paraId="3E42CC88" w14:textId="32BC6823" w:rsidR="00EB1A8E" w:rsidRDefault="00692AB5" w:rsidP="002E110A">
      <w:pPr>
        <w:pStyle w:val="LI-BodyTextParaa"/>
        <w:numPr>
          <w:ilvl w:val="0"/>
          <w:numId w:val="3"/>
        </w:numPr>
      </w:pPr>
      <w:r>
        <w:t xml:space="preserve">With the </w:t>
      </w:r>
      <w:r w:rsidRPr="00C92DA7">
        <w:t xml:space="preserve">Minister’s consent, on </w:t>
      </w:r>
      <w:r w:rsidR="002776F1" w:rsidRPr="002776F1">
        <w:t>16 December</w:t>
      </w:r>
      <w:r w:rsidR="00A42363" w:rsidRPr="002776F1">
        <w:t xml:space="preserve"> 2022</w:t>
      </w:r>
      <w:r w:rsidR="00D14C85">
        <w:t>,</w:t>
      </w:r>
      <w:r w:rsidR="00A42363">
        <w:t xml:space="preserve"> </w:t>
      </w:r>
      <w:r w:rsidRPr="00C92DA7">
        <w:t>ASIC made the</w:t>
      </w:r>
      <w:r w:rsidR="00C02F27">
        <w:t xml:space="preserve"> 2022 Rules which repealed and remade </w:t>
      </w:r>
      <w:r w:rsidR="00604DA6">
        <w:t xml:space="preserve">the 2013 Rules in the </w:t>
      </w:r>
      <w:r w:rsidR="00CF1F1F">
        <w:t>same form</w:t>
      </w:r>
      <w:r w:rsidR="00AC5427">
        <w:t xml:space="preserve">. The 2022 </w:t>
      </w:r>
      <w:r w:rsidR="001549AD">
        <w:t>Rules ensu</w:t>
      </w:r>
      <w:r w:rsidR="009B24D6">
        <w:t xml:space="preserve">red the continuation </w:t>
      </w:r>
      <w:r w:rsidR="00A00FFD">
        <w:t xml:space="preserve">of </w:t>
      </w:r>
      <w:r w:rsidR="00BD3AA4" w:rsidRPr="00B24D1C">
        <w:rPr>
          <w:iCs/>
        </w:rPr>
        <w:t xml:space="preserve">the requirements for the reporting of OTC derivatives transactions </w:t>
      </w:r>
      <w:r w:rsidR="00BD3AA4">
        <w:rPr>
          <w:iCs/>
        </w:rPr>
        <w:t xml:space="preserve">under the 2013 Rules beyond their 1 October 2023 sunset date, and </w:t>
      </w:r>
      <w:r w:rsidR="00BD3AA4" w:rsidRPr="00697E28">
        <w:rPr>
          <w:iCs/>
        </w:rPr>
        <w:t>until the commencement of the 2024 Rules</w:t>
      </w:r>
      <w:r w:rsidR="00BD3AA4">
        <w:rPr>
          <w:iCs/>
        </w:rPr>
        <w:t>.</w:t>
      </w:r>
    </w:p>
    <w:p w14:paraId="4696FFF2" w14:textId="230F5922" w:rsidR="008A580E" w:rsidRPr="00A04849" w:rsidRDefault="00C92DA7" w:rsidP="00A04849">
      <w:pPr>
        <w:pStyle w:val="LI-BodyTextParaa"/>
        <w:numPr>
          <w:ilvl w:val="0"/>
          <w:numId w:val="3"/>
        </w:numPr>
      </w:pPr>
      <w:r w:rsidRPr="009100DE">
        <w:t xml:space="preserve">Between 2012 and 2018, in various multi-jurisdictional fora, international standards were developed for </w:t>
      </w:r>
      <w:proofErr w:type="spellStart"/>
      <w:r w:rsidR="002734FC">
        <w:t>LEIs</w:t>
      </w:r>
      <w:proofErr w:type="spellEnd"/>
      <w:r w:rsidRPr="009100DE">
        <w:t xml:space="preserve">, </w:t>
      </w:r>
      <w:proofErr w:type="spellStart"/>
      <w:r w:rsidR="002734FC">
        <w:t>U</w:t>
      </w:r>
      <w:r w:rsidR="002E2753">
        <w:t>TI</w:t>
      </w:r>
      <w:r w:rsidR="002734FC">
        <w:t>s</w:t>
      </w:r>
      <w:proofErr w:type="spellEnd"/>
      <w:r w:rsidRPr="009100DE">
        <w:t xml:space="preserve">, </w:t>
      </w:r>
      <w:r w:rsidR="007C45A4">
        <w:t>UPIs</w:t>
      </w:r>
      <w:r w:rsidRPr="009100DE">
        <w:t xml:space="preserve"> and </w:t>
      </w:r>
      <w:proofErr w:type="spellStart"/>
      <w:r w:rsidR="0056075E">
        <w:t>CDEs</w:t>
      </w:r>
      <w:proofErr w:type="spellEnd"/>
      <w:r w:rsidRPr="009100DE">
        <w:t xml:space="preserve"> for reporting with a view to common adoption across G20 and </w:t>
      </w:r>
      <w:r>
        <w:t>F</w:t>
      </w:r>
      <w:r w:rsidR="00A81257">
        <w:t>SB member</w:t>
      </w:r>
      <w:r>
        <w:t xml:space="preserve"> </w:t>
      </w:r>
      <w:r w:rsidRPr="009100DE">
        <w:t xml:space="preserve">jurisdictions. </w:t>
      </w:r>
      <w:r w:rsidR="008A7338">
        <w:t>These standards were developed</w:t>
      </w:r>
      <w:r w:rsidRPr="009100DE">
        <w:t xml:space="preserve"> to streamline and simplify reporting requirements for businesses and to enable regulatory authorities to more readily aggregate </w:t>
      </w:r>
      <w:r w:rsidRPr="009100DE">
        <w:lastRenderedPageBreak/>
        <w:t>information about internationally traded OTC derivatives and better understand the multiple cross-border connections between counterparties.</w:t>
      </w:r>
      <w:bookmarkStart w:id="2" w:name="_Hlk114567884"/>
    </w:p>
    <w:p w14:paraId="06DD97B9" w14:textId="5D8BEA2F" w:rsidR="00C92DA7" w:rsidRDefault="00C92DA7" w:rsidP="002E110A">
      <w:pPr>
        <w:pStyle w:val="LI-BodyTextParaa"/>
        <w:numPr>
          <w:ilvl w:val="0"/>
          <w:numId w:val="3"/>
        </w:numPr>
      </w:pPr>
      <w:r>
        <w:t>These international standards are:</w:t>
      </w:r>
    </w:p>
    <w:bookmarkEnd w:id="2"/>
    <w:p w14:paraId="7E12419C" w14:textId="6203E5EC" w:rsidR="00C92DA7" w:rsidRDefault="00C92DA7" w:rsidP="002E110A">
      <w:pPr>
        <w:pStyle w:val="LI-BodyTextParaa"/>
        <w:numPr>
          <w:ilvl w:val="1"/>
          <w:numId w:val="2"/>
        </w:numPr>
      </w:pPr>
      <w:r>
        <w:t xml:space="preserve">A system for global </w:t>
      </w:r>
      <w:proofErr w:type="spellStart"/>
      <w:r w:rsidR="006E387A">
        <w:t>LEIs</w:t>
      </w:r>
      <w:proofErr w:type="spellEnd"/>
      <w:r w:rsidR="006E387A">
        <w:t xml:space="preserve"> </w:t>
      </w:r>
      <w:r>
        <w:t>recommended by the F</w:t>
      </w:r>
      <w:r w:rsidR="00CD2BDF">
        <w:t>SB</w:t>
      </w:r>
      <w:r>
        <w:t xml:space="preserve"> in </w:t>
      </w:r>
      <w:hyperlink r:id="rId15" w:history="1">
        <w:r w:rsidRPr="00477341">
          <w:rPr>
            <w:rStyle w:val="Hyperlink"/>
          </w:rPr>
          <w:t>A global legal entity identifier for financial markets</w:t>
        </w:r>
      </w:hyperlink>
      <w:r w:rsidRPr="00062AE6">
        <w:t xml:space="preserve">, </w:t>
      </w:r>
      <w:r>
        <w:t>June 2012 which was</w:t>
      </w:r>
      <w:r w:rsidRPr="00062AE6">
        <w:t xml:space="preserve"> endorsed by the G20 at the Los Cabos Summit in June 2012</w:t>
      </w:r>
      <w:r>
        <w:t>;</w:t>
      </w:r>
    </w:p>
    <w:p w14:paraId="1D6C00B9" w14:textId="484A929A" w:rsidR="00C92DA7" w:rsidRDefault="00C92DA7" w:rsidP="002E110A">
      <w:pPr>
        <w:pStyle w:val="LI-BodyTextParaa"/>
        <w:numPr>
          <w:ilvl w:val="1"/>
          <w:numId w:val="2"/>
        </w:numPr>
      </w:pPr>
      <w:r w:rsidRPr="00FE33D8">
        <w:t xml:space="preserve">CPMI </w:t>
      </w:r>
      <w:proofErr w:type="spellStart"/>
      <w:r w:rsidRPr="00FE33D8">
        <w:t>IOSCO</w:t>
      </w:r>
      <w:proofErr w:type="spellEnd"/>
      <w:r w:rsidR="009E2197">
        <w:rPr>
          <w:rStyle w:val="FootnoteReference"/>
        </w:rPr>
        <w:footnoteReference w:id="2"/>
      </w:r>
      <w:r w:rsidRPr="00FE33D8">
        <w:t xml:space="preserve">, </w:t>
      </w:r>
      <w:hyperlink r:id="rId16" w:history="1">
        <w:r w:rsidRPr="00FE33D8">
          <w:rPr>
            <w:rStyle w:val="Hyperlink"/>
            <w:i/>
            <w:iCs/>
          </w:rPr>
          <w:t>Technical guidance: Harmonisation of the unique transaction identifier</w:t>
        </w:r>
      </w:hyperlink>
      <w:r w:rsidRPr="00FE33D8">
        <w:t>, February 2017 (</w:t>
      </w:r>
      <w:proofErr w:type="spellStart"/>
      <w:r w:rsidRPr="001E153A">
        <w:rPr>
          <w:b/>
          <w:bCs/>
          <w:i/>
          <w:iCs/>
        </w:rPr>
        <w:t>UTI</w:t>
      </w:r>
      <w:proofErr w:type="spellEnd"/>
      <w:r w:rsidRPr="001E153A">
        <w:rPr>
          <w:b/>
          <w:bCs/>
          <w:i/>
          <w:iCs/>
        </w:rPr>
        <w:t xml:space="preserve"> Guidance</w:t>
      </w:r>
      <w:proofErr w:type="gramStart"/>
      <w:r w:rsidRPr="00FE33D8">
        <w:t>)</w:t>
      </w:r>
      <w:r>
        <w:t>;</w:t>
      </w:r>
      <w:proofErr w:type="gramEnd"/>
    </w:p>
    <w:p w14:paraId="53648735" w14:textId="77777777" w:rsidR="00C92DA7" w:rsidRDefault="00C92DA7" w:rsidP="002E110A">
      <w:pPr>
        <w:pStyle w:val="LI-BodyTextParaa"/>
        <w:numPr>
          <w:ilvl w:val="1"/>
          <w:numId w:val="2"/>
        </w:numPr>
      </w:pPr>
      <w:r w:rsidRPr="00FE33D8">
        <w:t xml:space="preserve">CPMI </w:t>
      </w:r>
      <w:proofErr w:type="spellStart"/>
      <w:r w:rsidRPr="00FE33D8">
        <w:t>IOSCO</w:t>
      </w:r>
      <w:proofErr w:type="spellEnd"/>
      <w:r w:rsidRPr="00FE33D8">
        <w:t xml:space="preserve">, </w:t>
      </w:r>
      <w:hyperlink r:id="rId17" w:history="1">
        <w:r w:rsidRPr="00FE33D8">
          <w:rPr>
            <w:rStyle w:val="Hyperlink"/>
            <w:i/>
            <w:iCs/>
          </w:rPr>
          <w:t>Technical guidance: Harmonisation of the unique product identifier</w:t>
        </w:r>
      </w:hyperlink>
      <w:r w:rsidRPr="00FE33D8">
        <w:t>, September 2017 (</w:t>
      </w:r>
      <w:r w:rsidRPr="001E153A">
        <w:rPr>
          <w:b/>
          <w:bCs/>
          <w:i/>
          <w:iCs/>
        </w:rPr>
        <w:t>UPI Guidance</w:t>
      </w:r>
      <w:r w:rsidRPr="00FE33D8">
        <w:t>); and</w:t>
      </w:r>
    </w:p>
    <w:p w14:paraId="6B23B9DE" w14:textId="77777777" w:rsidR="007E60AD" w:rsidRDefault="00C92DA7" w:rsidP="002E110A">
      <w:pPr>
        <w:pStyle w:val="LI-BodyTextParaa"/>
        <w:numPr>
          <w:ilvl w:val="1"/>
          <w:numId w:val="2"/>
        </w:numPr>
      </w:pPr>
      <w:r w:rsidRPr="00FE33D8">
        <w:t xml:space="preserve">Regulatory Oversight Committee, </w:t>
      </w:r>
      <w:hyperlink r:id="rId18" w:history="1">
        <w:r w:rsidRPr="00FE33D8">
          <w:rPr>
            <w:rStyle w:val="Hyperlink"/>
            <w:i/>
            <w:iCs/>
          </w:rPr>
          <w:t xml:space="preserve">Technical guidance: Harmonisation of critical OTC derivatives data elements (other than </w:t>
        </w:r>
        <w:proofErr w:type="spellStart"/>
        <w:r w:rsidRPr="00FE33D8">
          <w:rPr>
            <w:rStyle w:val="Hyperlink"/>
            <w:i/>
            <w:iCs/>
          </w:rPr>
          <w:t>UTI</w:t>
        </w:r>
        <w:proofErr w:type="spellEnd"/>
        <w:r w:rsidRPr="00FE33D8">
          <w:rPr>
            <w:rStyle w:val="Hyperlink"/>
            <w:i/>
            <w:iCs/>
          </w:rPr>
          <w:t xml:space="preserve"> and UPI)</w:t>
        </w:r>
      </w:hyperlink>
      <w:r w:rsidRPr="00FE33D8">
        <w:t>, September 2021 (</w:t>
      </w:r>
      <w:r w:rsidRPr="001E153A">
        <w:rPr>
          <w:b/>
          <w:bCs/>
          <w:i/>
          <w:iCs/>
        </w:rPr>
        <w:t>CDE Guidance</w:t>
      </w:r>
      <w:r w:rsidRPr="00FE33D8">
        <w:t>)</w:t>
      </w:r>
      <w:r w:rsidRPr="00FE33D8">
        <w:rPr>
          <w:rStyle w:val="FootnoteReference"/>
        </w:rPr>
        <w:footnoteReference w:id="3"/>
      </w:r>
    </w:p>
    <w:p w14:paraId="52A3D977" w14:textId="19AEE2E9" w:rsidR="00C92DA7" w:rsidRDefault="007E60AD" w:rsidP="006D424A">
      <w:pPr>
        <w:pStyle w:val="LI-BodyTextParaa"/>
        <w:ind w:left="567" w:firstLine="0"/>
      </w:pPr>
      <w:r>
        <w:t>(</w:t>
      </w:r>
      <w:proofErr w:type="gramStart"/>
      <w:r>
        <w:t>together</w:t>
      </w:r>
      <w:proofErr w:type="gramEnd"/>
      <w:r>
        <w:t xml:space="preserve">, the </w:t>
      </w:r>
      <w:r>
        <w:rPr>
          <w:b/>
          <w:bCs/>
          <w:i/>
          <w:iCs/>
        </w:rPr>
        <w:t>international standards</w:t>
      </w:r>
      <w:r>
        <w:t>)</w:t>
      </w:r>
      <w:r w:rsidR="00C92DA7" w:rsidRPr="00FE33D8">
        <w:t>.</w:t>
      </w:r>
    </w:p>
    <w:p w14:paraId="1B25DF75" w14:textId="286AB2AB" w:rsidR="00E546DB" w:rsidRDefault="00C92DA7" w:rsidP="002E110A">
      <w:pPr>
        <w:pStyle w:val="LI-BodyTextParaa"/>
        <w:numPr>
          <w:ilvl w:val="0"/>
          <w:numId w:val="3"/>
        </w:numPr>
      </w:pPr>
      <w:r w:rsidRPr="00AE09EC">
        <w:t>Since 2020, various jurisdictions have updated, or are in the process of updating, their derivatives transactions reporting rules to adopt these international standards. The U</w:t>
      </w:r>
      <w:r w:rsidR="0003570F">
        <w:t xml:space="preserve">nited </w:t>
      </w:r>
      <w:r w:rsidRPr="00AE09EC">
        <w:t>S</w:t>
      </w:r>
      <w:r w:rsidR="0003570F">
        <w:t>tates (</w:t>
      </w:r>
      <w:r w:rsidR="0003570F">
        <w:rPr>
          <w:b/>
          <w:bCs/>
          <w:i/>
          <w:iCs/>
        </w:rPr>
        <w:t>US</w:t>
      </w:r>
      <w:r w:rsidR="0003570F">
        <w:t>)</w:t>
      </w:r>
      <w:r w:rsidRPr="00AE09EC">
        <w:t xml:space="preserve"> (by the Commodities Futures Trading Commission </w:t>
      </w:r>
      <w:r w:rsidR="00436C3E">
        <w:t>(</w:t>
      </w:r>
      <w:r w:rsidRPr="001E153A">
        <w:rPr>
          <w:b/>
          <w:bCs/>
          <w:i/>
          <w:iCs/>
        </w:rPr>
        <w:t>CFTC</w:t>
      </w:r>
      <w:r w:rsidR="00436C3E">
        <w:t>)</w:t>
      </w:r>
      <w:r w:rsidRPr="00AE09EC">
        <w:t>) and the E</w:t>
      </w:r>
      <w:r w:rsidR="0003570F">
        <w:t xml:space="preserve">uropean </w:t>
      </w:r>
      <w:r w:rsidRPr="00AE09EC">
        <w:t>U</w:t>
      </w:r>
      <w:r w:rsidR="0003570F">
        <w:t>nion</w:t>
      </w:r>
      <w:r w:rsidRPr="00AE09EC">
        <w:t xml:space="preserve"> </w:t>
      </w:r>
      <w:r w:rsidR="0003570F">
        <w:t>(</w:t>
      </w:r>
      <w:r w:rsidR="0003570F">
        <w:rPr>
          <w:b/>
          <w:bCs/>
          <w:i/>
          <w:iCs/>
        </w:rPr>
        <w:t>EU</w:t>
      </w:r>
      <w:r w:rsidR="0003570F" w:rsidRPr="00BA1947">
        <w:rPr>
          <w:i/>
          <w:iCs/>
        </w:rPr>
        <w:t>)</w:t>
      </w:r>
      <w:r w:rsidR="0003570F">
        <w:rPr>
          <w:b/>
          <w:bCs/>
          <w:i/>
          <w:iCs/>
        </w:rPr>
        <w:t xml:space="preserve"> </w:t>
      </w:r>
      <w:r w:rsidRPr="00AE09EC">
        <w:t xml:space="preserve">(by the European Securities and Markets Authority </w:t>
      </w:r>
      <w:r w:rsidR="00436C3E">
        <w:t>(</w:t>
      </w:r>
      <w:r w:rsidRPr="001E153A">
        <w:rPr>
          <w:b/>
          <w:bCs/>
          <w:i/>
          <w:iCs/>
        </w:rPr>
        <w:t>ESMA</w:t>
      </w:r>
      <w:r w:rsidR="00436C3E">
        <w:t>)</w:t>
      </w:r>
      <w:r w:rsidRPr="00AE09EC">
        <w:t xml:space="preserve">) finalised their rules changes in September 2020 and December 2020 respectively. Other jurisdictions have released consultation papers </w:t>
      </w:r>
      <w:bookmarkStart w:id="3" w:name="_Hlk121390378"/>
      <w:r w:rsidRPr="00AE09EC">
        <w:t>about adopting the standards</w:t>
      </w:r>
      <w:bookmarkEnd w:id="3"/>
      <w:r w:rsidRPr="00AE09EC">
        <w:t>, including Hong Kong (April 2019), Singapore (June 2021), the U</w:t>
      </w:r>
      <w:r w:rsidR="00E57381">
        <w:t xml:space="preserve">nited </w:t>
      </w:r>
      <w:r w:rsidRPr="00AE09EC">
        <w:t>K</w:t>
      </w:r>
      <w:r w:rsidR="00E57381">
        <w:t>ingdom</w:t>
      </w:r>
      <w:r w:rsidRPr="00AE09EC">
        <w:t xml:space="preserve"> (November 2021)</w:t>
      </w:r>
      <w:r w:rsidR="00D138EE">
        <w:t>,</w:t>
      </w:r>
      <w:r w:rsidRPr="00AE09EC">
        <w:t xml:space="preserve"> Canada (June 2022)</w:t>
      </w:r>
      <w:r w:rsidR="00D138EE">
        <w:t xml:space="preserve"> and Japan (August 2022)</w:t>
      </w:r>
      <w:r w:rsidRPr="00AE09EC">
        <w:t>.</w:t>
      </w:r>
    </w:p>
    <w:p w14:paraId="1CD54359" w14:textId="28F2AFA7" w:rsidR="00C92DA7" w:rsidRDefault="00847A78" w:rsidP="002E110A">
      <w:pPr>
        <w:pStyle w:val="LI-BodyTextParaa"/>
        <w:numPr>
          <w:ilvl w:val="0"/>
          <w:numId w:val="3"/>
        </w:numPr>
      </w:pPr>
      <w:bookmarkStart w:id="4" w:name="_Hlk114567934"/>
      <w:r>
        <w:t xml:space="preserve">Harmonising to the </w:t>
      </w:r>
      <w:bookmarkEnd w:id="4"/>
      <w:r w:rsidR="00C92DA7" w:rsidRPr="00940960">
        <w:t xml:space="preserve">international standards </w:t>
      </w:r>
      <w:r w:rsidR="007D0AFB">
        <w:t xml:space="preserve">has the purposes of </w:t>
      </w:r>
      <w:r w:rsidR="00C92DA7" w:rsidRPr="00940960">
        <w:t>reduc</w:t>
      </w:r>
      <w:r w:rsidR="007D0AFB">
        <w:t xml:space="preserve">ing </w:t>
      </w:r>
      <w:r w:rsidR="00C92DA7" w:rsidRPr="00940960">
        <w:t>ongoing costs and complexity for industry, improv</w:t>
      </w:r>
      <w:r w:rsidR="007D0AFB">
        <w:t>ing</w:t>
      </w:r>
      <w:r w:rsidR="00C92DA7" w:rsidRPr="00940960">
        <w:t xml:space="preserve"> data quality for the Australian regulators, </w:t>
      </w:r>
      <w:r w:rsidR="007C2C51">
        <w:t xml:space="preserve">including </w:t>
      </w:r>
      <w:r w:rsidR="00C92DA7" w:rsidRPr="00940960">
        <w:t xml:space="preserve">more comprehensive and </w:t>
      </w:r>
      <w:r w:rsidR="00D13F26">
        <w:t>fit for purpose</w:t>
      </w:r>
      <w:r w:rsidR="00C92DA7" w:rsidRPr="00940960">
        <w:t xml:space="preserve"> transaction details</w:t>
      </w:r>
      <w:r w:rsidR="00971E07">
        <w:t>,</w:t>
      </w:r>
      <w:r w:rsidR="00C92DA7" w:rsidRPr="00940960">
        <w:t xml:space="preserve"> and improv</w:t>
      </w:r>
      <w:r w:rsidR="007C2C51">
        <w:t>ing</w:t>
      </w:r>
      <w:r w:rsidR="00C92DA7" w:rsidRPr="00940960">
        <w:t xml:space="preserve"> inter-jurisdictional data handling and aggregation</w:t>
      </w:r>
      <w:r w:rsidR="007C2C51">
        <w:t>.</w:t>
      </w:r>
    </w:p>
    <w:p w14:paraId="3C855BA3" w14:textId="38974DB9" w:rsidR="00C92DA7" w:rsidRDefault="00461144" w:rsidP="002E110A">
      <w:pPr>
        <w:pStyle w:val="LI-BodyTextParaa"/>
        <w:numPr>
          <w:ilvl w:val="0"/>
          <w:numId w:val="3"/>
        </w:numPr>
      </w:pPr>
      <w:r>
        <w:t xml:space="preserve">The 2024 Rules </w:t>
      </w:r>
      <w:r w:rsidR="00256334">
        <w:t xml:space="preserve">are </w:t>
      </w:r>
      <w:r w:rsidR="00C92DA7" w:rsidRPr="00940960">
        <w:t xml:space="preserve">simplified by removing outdated transitional provisions </w:t>
      </w:r>
      <w:r w:rsidR="008D5666">
        <w:t xml:space="preserve">of the 2022 Rules </w:t>
      </w:r>
      <w:r w:rsidR="00C92DA7" w:rsidRPr="00940960">
        <w:t>and by consolidat</w:t>
      </w:r>
      <w:r w:rsidR="00256334">
        <w:t xml:space="preserve">ing </w:t>
      </w:r>
      <w:r w:rsidR="00C92DA7" w:rsidRPr="00940960">
        <w:t xml:space="preserve">associated exemptions </w:t>
      </w:r>
      <w:r w:rsidR="008D5666">
        <w:t xml:space="preserve">to the </w:t>
      </w:r>
      <w:r w:rsidR="0019717F">
        <w:t xml:space="preserve">2022 Rules </w:t>
      </w:r>
      <w:r w:rsidR="00C92DA7" w:rsidRPr="00940960">
        <w:t xml:space="preserve">within the </w:t>
      </w:r>
      <w:r w:rsidR="0019717F">
        <w:t>2024 R</w:t>
      </w:r>
      <w:r w:rsidR="00C92DA7" w:rsidRPr="00940960">
        <w:t>ules</w:t>
      </w:r>
      <w:r w:rsidR="0019717F">
        <w:t>.</w:t>
      </w:r>
      <w:r w:rsidR="0011547E">
        <w:t xml:space="preserve"> </w:t>
      </w:r>
      <w:r w:rsidR="002127C9">
        <w:t xml:space="preserve">This has the purpose of clarifying </w:t>
      </w:r>
      <w:r w:rsidR="00862E2E">
        <w:t xml:space="preserve">for entities </w:t>
      </w:r>
      <w:r w:rsidR="00776A3D">
        <w:t xml:space="preserve">the </w:t>
      </w:r>
      <w:r w:rsidR="008E73D0">
        <w:t>requirements that apply to them</w:t>
      </w:r>
      <w:r w:rsidR="00102F26">
        <w:t>,</w:t>
      </w:r>
      <w:r w:rsidR="00C5378E">
        <w:t xml:space="preserve"> including</w:t>
      </w:r>
      <w:r w:rsidR="00102F26">
        <w:t xml:space="preserve"> by </w:t>
      </w:r>
      <w:r w:rsidR="004742BD">
        <w:t xml:space="preserve">removing the </w:t>
      </w:r>
      <w:r w:rsidR="00AC0FC3">
        <w:t xml:space="preserve">need to refer to other </w:t>
      </w:r>
      <w:r w:rsidR="00506F73">
        <w:t>exemption instruments to understand</w:t>
      </w:r>
      <w:r w:rsidR="00114425">
        <w:t xml:space="preserve"> the requirements</w:t>
      </w:r>
      <w:r w:rsidR="00E26A62">
        <w:t xml:space="preserve"> in full.</w:t>
      </w:r>
    </w:p>
    <w:p w14:paraId="1B396E51" w14:textId="1E4E312B" w:rsidR="006F115C" w:rsidRDefault="00BC3581" w:rsidP="002E110A">
      <w:pPr>
        <w:pStyle w:val="LI-BodyTextParaa"/>
        <w:numPr>
          <w:ilvl w:val="0"/>
          <w:numId w:val="3"/>
        </w:numPr>
      </w:pPr>
      <w:r>
        <w:t xml:space="preserve">The 2024 </w:t>
      </w:r>
      <w:r w:rsidR="00226071">
        <w:t xml:space="preserve">Rules </w:t>
      </w:r>
      <w:r w:rsidR="0020049F">
        <w:t xml:space="preserve">also </w:t>
      </w:r>
      <w:r w:rsidR="00405960">
        <w:t xml:space="preserve">update the 2022 Rules </w:t>
      </w:r>
      <w:r w:rsidR="00E65F8F">
        <w:t xml:space="preserve">to </w:t>
      </w:r>
      <w:r w:rsidR="00DD51C2">
        <w:t xml:space="preserve">clarify certain </w:t>
      </w:r>
      <w:r w:rsidR="00FF1544">
        <w:t xml:space="preserve">requirements </w:t>
      </w:r>
      <w:r w:rsidR="00272EF3">
        <w:t>and improve</w:t>
      </w:r>
      <w:r w:rsidR="00232B87">
        <w:t xml:space="preserve"> reporting to better satisfy </w:t>
      </w:r>
      <w:r w:rsidR="002E5A69">
        <w:t>the needs of the Australian regulators</w:t>
      </w:r>
      <w:r w:rsidR="00394DE0">
        <w:t xml:space="preserve"> by</w:t>
      </w:r>
      <w:r w:rsidR="002E5A69">
        <w:t>:</w:t>
      </w:r>
    </w:p>
    <w:p w14:paraId="19E41608" w14:textId="04F2DF6E" w:rsidR="00220377" w:rsidRDefault="00220377" w:rsidP="002E110A">
      <w:pPr>
        <w:pStyle w:val="LI-BodyTextParaa"/>
        <w:numPr>
          <w:ilvl w:val="1"/>
          <w:numId w:val="4"/>
        </w:numPr>
      </w:pPr>
      <w:r>
        <w:lastRenderedPageBreak/>
        <w:t>clarify</w:t>
      </w:r>
      <w:r w:rsidR="00394DE0">
        <w:t>ing</w:t>
      </w:r>
      <w:r>
        <w:t xml:space="preserve"> that trades by foreign AFS licensees with Australian retail clients are always </w:t>
      </w:r>
      <w:proofErr w:type="gramStart"/>
      <w:r>
        <w:t>reportable</w:t>
      </w:r>
      <w:r w:rsidR="00D76E6A">
        <w:t>;</w:t>
      </w:r>
      <w:proofErr w:type="gramEnd"/>
    </w:p>
    <w:p w14:paraId="2296CD63" w14:textId="19E0079A" w:rsidR="00394DE0" w:rsidRDefault="00394DE0" w:rsidP="002E110A">
      <w:pPr>
        <w:pStyle w:val="LI-BodyTextParaa"/>
        <w:numPr>
          <w:ilvl w:val="1"/>
          <w:numId w:val="4"/>
        </w:numPr>
      </w:pPr>
      <w:r>
        <w:t>exempting small-scale buy-side entities from certain</w:t>
      </w:r>
      <w:r w:rsidR="00D138EE">
        <w:t xml:space="preserve"> elements</w:t>
      </w:r>
      <w:r>
        <w:t xml:space="preserve"> of the extended reporting requirements in the </w:t>
      </w:r>
      <w:r w:rsidR="00D116B9">
        <w:t xml:space="preserve">2024 </w:t>
      </w:r>
      <w:proofErr w:type="gramStart"/>
      <w:r w:rsidR="00D116B9">
        <w:t>R</w:t>
      </w:r>
      <w:r>
        <w:t>ules</w:t>
      </w:r>
      <w:r w:rsidR="00D76E6A">
        <w:t>;</w:t>
      </w:r>
      <w:proofErr w:type="gramEnd"/>
    </w:p>
    <w:p w14:paraId="2470D4D1" w14:textId="5AC3C9E3" w:rsidR="00220377" w:rsidRDefault="00D76E6A" w:rsidP="002E110A">
      <w:pPr>
        <w:pStyle w:val="LI-BodyTextParaa"/>
        <w:numPr>
          <w:ilvl w:val="1"/>
          <w:numId w:val="4"/>
        </w:numPr>
      </w:pPr>
      <w:r>
        <w:t>a</w:t>
      </w:r>
      <w:r w:rsidR="00220377">
        <w:t>lign</w:t>
      </w:r>
      <w:r>
        <w:t>ing</w:t>
      </w:r>
      <w:r w:rsidR="00220377">
        <w:t xml:space="preserve"> the compliance obligations of entities that use outsourced reporting services with all other regulatory provisions for </w:t>
      </w:r>
      <w:proofErr w:type="gramStart"/>
      <w:r w:rsidR="00220377">
        <w:t>outsourcing</w:t>
      </w:r>
      <w:r>
        <w:t>;</w:t>
      </w:r>
      <w:proofErr w:type="gramEnd"/>
    </w:p>
    <w:p w14:paraId="4B2FB5F7" w14:textId="775A6D0B" w:rsidR="00D76E6A" w:rsidRDefault="002E6851" w:rsidP="002E110A">
      <w:pPr>
        <w:pStyle w:val="LI-BodyTextParaa"/>
        <w:numPr>
          <w:ilvl w:val="1"/>
          <w:numId w:val="4"/>
        </w:numPr>
      </w:pPr>
      <w:r>
        <w:t>i</w:t>
      </w:r>
      <w:r w:rsidR="00D76E6A">
        <w:t>mplement</w:t>
      </w:r>
      <w:r>
        <w:t>ing</w:t>
      </w:r>
      <w:r w:rsidR="00D76E6A">
        <w:t xml:space="preserve"> lifecycle reporting for all derivative products</w:t>
      </w:r>
      <w:r>
        <w:t>; and</w:t>
      </w:r>
    </w:p>
    <w:p w14:paraId="1817E469" w14:textId="67789176" w:rsidR="00220377" w:rsidRDefault="002E6851" w:rsidP="002E110A">
      <w:pPr>
        <w:pStyle w:val="LI-BodyTextParaa"/>
        <w:numPr>
          <w:ilvl w:val="1"/>
          <w:numId w:val="4"/>
        </w:numPr>
      </w:pPr>
      <w:r>
        <w:t>c</w:t>
      </w:r>
      <w:r w:rsidR="00220377">
        <w:t>urtail</w:t>
      </w:r>
      <w:r>
        <w:t>ing</w:t>
      </w:r>
      <w:r w:rsidR="00220377">
        <w:t xml:space="preserve"> </w:t>
      </w:r>
      <w:r w:rsidR="00216238">
        <w:t xml:space="preserve">recurring </w:t>
      </w:r>
      <w:r w:rsidR="00220377">
        <w:t>duplicative reporting of all outstanding transactions rather than just the new or changed transactions since the last report of transactions</w:t>
      </w:r>
      <w:r w:rsidR="00216238">
        <w:t>.</w:t>
      </w:r>
    </w:p>
    <w:p w14:paraId="2B08BD7F" w14:textId="77777777" w:rsidR="009A3F74" w:rsidRDefault="009A3F74" w:rsidP="009A3F74">
      <w:pPr>
        <w:pStyle w:val="LI-BodyTextNumbered"/>
        <w:ind w:hanging="1134"/>
        <w:rPr>
          <w:b/>
        </w:rPr>
      </w:pPr>
      <w:bookmarkStart w:id="5" w:name="_Hlk534291624"/>
      <w:r>
        <w:rPr>
          <w:b/>
        </w:rPr>
        <w:t>Consultation</w:t>
      </w:r>
    </w:p>
    <w:p w14:paraId="0E187A94" w14:textId="041091B1" w:rsidR="00DD6C31" w:rsidRDefault="00157BA4" w:rsidP="002E110A">
      <w:pPr>
        <w:pStyle w:val="LI-BodyTextParaa"/>
        <w:numPr>
          <w:ilvl w:val="0"/>
          <w:numId w:val="3"/>
        </w:numPr>
      </w:pPr>
      <w:r>
        <w:t xml:space="preserve">On 27 November 2020, </w:t>
      </w:r>
      <w:r w:rsidRPr="00046F2A">
        <w:t xml:space="preserve">ASIC released </w:t>
      </w:r>
      <w:hyperlink r:id="rId19" w:history="1">
        <w:r w:rsidR="004B0120" w:rsidRPr="008E1598">
          <w:rPr>
            <w:rStyle w:val="Hyperlink"/>
          </w:rPr>
          <w:t>Consultation Paper 334</w:t>
        </w:r>
      </w:hyperlink>
      <w:r w:rsidR="004B0120" w:rsidRPr="008E1598">
        <w:t xml:space="preserve"> Proposed changes to simplify the ASIC Derivative Transaction Rules (Reporting): First consultation</w:t>
      </w:r>
      <w:r>
        <w:t xml:space="preserve"> (</w:t>
      </w:r>
      <w:r w:rsidRPr="001D010B">
        <w:rPr>
          <w:b/>
          <w:bCs/>
          <w:i/>
          <w:iCs/>
        </w:rPr>
        <w:t>CP 334</w:t>
      </w:r>
      <w:r>
        <w:t>).</w:t>
      </w:r>
      <w:r w:rsidR="001D010B">
        <w:t xml:space="preserve"> </w:t>
      </w:r>
      <w:r w:rsidR="000D4E27">
        <w:t xml:space="preserve">CP 334 referred to proposed changes to </w:t>
      </w:r>
      <w:r w:rsidR="0049490B">
        <w:t xml:space="preserve">the then current </w:t>
      </w:r>
      <w:r w:rsidR="009073CF" w:rsidRPr="00FC51D1">
        <w:t>2013 Rules</w:t>
      </w:r>
      <w:r w:rsidR="009073CF">
        <w:t>.</w:t>
      </w:r>
    </w:p>
    <w:p w14:paraId="030F734F" w14:textId="77777777" w:rsidR="00157BA4" w:rsidRDefault="00157BA4" w:rsidP="002E110A">
      <w:pPr>
        <w:pStyle w:val="LI-BodyTextParaa"/>
        <w:numPr>
          <w:ilvl w:val="0"/>
          <w:numId w:val="3"/>
        </w:numPr>
      </w:pPr>
      <w:r>
        <w:t>CP 334 set out a two-stage consultation process and made a mix of specific and in-</w:t>
      </w:r>
      <w:proofErr w:type="gramStart"/>
      <w:r>
        <w:t>principle</w:t>
      </w:r>
      <w:proofErr w:type="gramEnd"/>
      <w:r>
        <w:t xml:space="preserve"> proposals in relation to:</w:t>
      </w:r>
    </w:p>
    <w:p w14:paraId="02C760EA" w14:textId="77777777" w:rsidR="00157BA4" w:rsidRDefault="00157BA4" w:rsidP="002E110A">
      <w:pPr>
        <w:pStyle w:val="LI-BodyTextParaa"/>
        <w:numPr>
          <w:ilvl w:val="1"/>
          <w:numId w:val="6"/>
        </w:numPr>
      </w:pPr>
      <w:r>
        <w:t xml:space="preserve">implementing the </w:t>
      </w:r>
      <w:proofErr w:type="spellStart"/>
      <w:r>
        <w:t>UTI</w:t>
      </w:r>
      <w:proofErr w:type="spellEnd"/>
      <w:r>
        <w:t xml:space="preserve"> </w:t>
      </w:r>
      <w:proofErr w:type="gramStart"/>
      <w:r>
        <w:t>Guidance;</w:t>
      </w:r>
      <w:proofErr w:type="gramEnd"/>
    </w:p>
    <w:p w14:paraId="35DDA1DD" w14:textId="77777777" w:rsidR="00157BA4" w:rsidRDefault="00157BA4" w:rsidP="002E110A">
      <w:pPr>
        <w:pStyle w:val="LI-BodyTextParaa"/>
        <w:numPr>
          <w:ilvl w:val="1"/>
          <w:numId w:val="6"/>
        </w:numPr>
      </w:pPr>
      <w:r>
        <w:t xml:space="preserve">implementing the UPI </w:t>
      </w:r>
      <w:proofErr w:type="gramStart"/>
      <w:r>
        <w:t>Guidance;</w:t>
      </w:r>
      <w:proofErr w:type="gramEnd"/>
    </w:p>
    <w:p w14:paraId="1297763F" w14:textId="77777777" w:rsidR="00157BA4" w:rsidRDefault="00157BA4" w:rsidP="002E110A">
      <w:pPr>
        <w:pStyle w:val="LI-BodyTextParaa"/>
        <w:numPr>
          <w:ilvl w:val="1"/>
          <w:numId w:val="6"/>
        </w:numPr>
      </w:pPr>
      <w:r>
        <w:t xml:space="preserve">implementing the CDE Guidance, supplemented with other important data elements that had been proposed by the CFTC and/or </w:t>
      </w:r>
      <w:proofErr w:type="gramStart"/>
      <w:r>
        <w:t>ESMA;</w:t>
      </w:r>
      <w:proofErr w:type="gramEnd"/>
    </w:p>
    <w:p w14:paraId="57A00E5A" w14:textId="77777777" w:rsidR="00157BA4" w:rsidRDefault="00157BA4" w:rsidP="002E110A">
      <w:pPr>
        <w:pStyle w:val="LI-BodyTextParaa"/>
        <w:numPr>
          <w:ilvl w:val="1"/>
          <w:numId w:val="6"/>
        </w:numPr>
      </w:pPr>
      <w:r>
        <w:t xml:space="preserve">fully implementing the LEI </w:t>
      </w:r>
      <w:proofErr w:type="gramStart"/>
      <w:r>
        <w:t>requirements;</w:t>
      </w:r>
      <w:proofErr w:type="gramEnd"/>
    </w:p>
    <w:p w14:paraId="325366C4" w14:textId="097905B2" w:rsidR="00157BA4" w:rsidRDefault="00157BA4" w:rsidP="002E110A">
      <w:pPr>
        <w:pStyle w:val="LI-BodyTextParaa"/>
        <w:numPr>
          <w:ilvl w:val="1"/>
          <w:numId w:val="6"/>
        </w:numPr>
      </w:pPr>
      <w:r>
        <w:t>ensuring that transactions with Australian retail clients are</w:t>
      </w:r>
      <w:r w:rsidR="00D161C5">
        <w:t xml:space="preserve"> reportable transaction</w:t>
      </w:r>
      <w:r>
        <w:t xml:space="preserve">s and to clarify the scope of reporting for foreign subsidiaries of Australian </w:t>
      </w:r>
      <w:proofErr w:type="gramStart"/>
      <w:r>
        <w:t>entities;</w:t>
      </w:r>
      <w:proofErr w:type="gramEnd"/>
    </w:p>
    <w:p w14:paraId="449A3F66" w14:textId="77777777" w:rsidR="00157BA4" w:rsidRDefault="00157BA4" w:rsidP="002E110A">
      <w:pPr>
        <w:pStyle w:val="LI-BodyTextParaa"/>
        <w:numPr>
          <w:ilvl w:val="1"/>
          <w:numId w:val="6"/>
        </w:numPr>
      </w:pPr>
      <w:r>
        <w:t xml:space="preserve">indicating our concerns about the operation of alternative reporting and delegated </w:t>
      </w:r>
      <w:proofErr w:type="gramStart"/>
      <w:r>
        <w:t>reporting;</w:t>
      </w:r>
      <w:proofErr w:type="gramEnd"/>
    </w:p>
    <w:p w14:paraId="6C7F0FDB" w14:textId="77777777" w:rsidR="00157BA4" w:rsidRDefault="00157BA4" w:rsidP="002E110A">
      <w:pPr>
        <w:pStyle w:val="LI-BodyTextParaa"/>
        <w:numPr>
          <w:ilvl w:val="1"/>
          <w:numId w:val="6"/>
        </w:numPr>
      </w:pPr>
      <w:r>
        <w:t>indicating that the extension of lifecycle reporting to all products was warranted; and</w:t>
      </w:r>
    </w:p>
    <w:p w14:paraId="619042A9" w14:textId="74D0AE39" w:rsidR="00157BA4" w:rsidRDefault="00157BA4" w:rsidP="002E110A">
      <w:pPr>
        <w:pStyle w:val="LI-BodyTextParaa"/>
        <w:numPr>
          <w:ilvl w:val="1"/>
          <w:numId w:val="6"/>
        </w:numPr>
      </w:pPr>
      <w:r>
        <w:t xml:space="preserve">excluding transactions for </w:t>
      </w:r>
      <w:r w:rsidR="00326773">
        <w:t>“</w:t>
      </w:r>
      <w:r>
        <w:t>spot settlement</w:t>
      </w:r>
      <w:r w:rsidR="00326773">
        <w:t>”</w:t>
      </w:r>
      <w:r>
        <w:t xml:space="preserve"> transactions and more generically defining excluded exchange-traded derivatives.</w:t>
      </w:r>
    </w:p>
    <w:p w14:paraId="765A4234" w14:textId="0A1E231B" w:rsidR="00157BA4" w:rsidRDefault="00157BA4" w:rsidP="002E110A">
      <w:pPr>
        <w:pStyle w:val="LI-BodyTextParaa"/>
        <w:numPr>
          <w:ilvl w:val="0"/>
          <w:numId w:val="3"/>
        </w:numPr>
      </w:pPr>
      <w:bookmarkStart w:id="6" w:name="_Hlk118720454"/>
      <w:r>
        <w:t>ASIC received 40 written submissions to CP 334 from stakeholders including reporting entities (</w:t>
      </w:r>
      <w:r w:rsidR="00AD0B82">
        <w:t>contracts for differen</w:t>
      </w:r>
      <w:r w:rsidR="00D24FE4">
        <w:t>ce (</w:t>
      </w:r>
      <w:proofErr w:type="spellStart"/>
      <w:r w:rsidRPr="001E153A">
        <w:rPr>
          <w:b/>
          <w:bCs/>
          <w:i/>
          <w:iCs/>
        </w:rPr>
        <w:t>CFD</w:t>
      </w:r>
      <w:proofErr w:type="spellEnd"/>
      <w:r w:rsidR="00D24FE4">
        <w:t>)</w:t>
      </w:r>
      <w:r>
        <w:t xml:space="preserve"> providers, investment managers </w:t>
      </w:r>
      <w:r w:rsidR="00A76A64">
        <w:t xml:space="preserve">and </w:t>
      </w:r>
      <w:r>
        <w:t>derivatives dealers), industry associations, LEI system entities, a derivates market operator, a reporting services provider, and a central counterparty.</w:t>
      </w:r>
    </w:p>
    <w:p w14:paraId="50949DF5" w14:textId="7C94E2B5" w:rsidR="006B5155" w:rsidRDefault="00157BA4" w:rsidP="002E110A">
      <w:pPr>
        <w:pStyle w:val="LI-BodyTextParaa"/>
        <w:numPr>
          <w:ilvl w:val="0"/>
          <w:numId w:val="3"/>
        </w:numPr>
      </w:pPr>
      <w:r>
        <w:lastRenderedPageBreak/>
        <w:t>The submissions were broadly supportive of many of our proposals, especially to harmonise to the international standards, but there were a number of important concerns raised by stakeholders.</w:t>
      </w:r>
    </w:p>
    <w:bookmarkEnd w:id="6"/>
    <w:p w14:paraId="565D8FC5" w14:textId="40065F6E" w:rsidR="00157BA4" w:rsidRDefault="006A000C" w:rsidP="002E110A">
      <w:pPr>
        <w:pStyle w:val="LI-BodyTextParaa"/>
        <w:numPr>
          <w:ilvl w:val="0"/>
          <w:numId w:val="3"/>
        </w:numPr>
      </w:pPr>
      <w:r>
        <w:t>ASIC</w:t>
      </w:r>
      <w:r w:rsidR="00157BA4">
        <w:t xml:space="preserve"> responded to these concerns and proposed the updated text of the rules in </w:t>
      </w:r>
      <w:bookmarkStart w:id="7" w:name="_Hlk118795688"/>
      <w:r w:rsidR="00A533AE" w:rsidDel="00263D57">
        <w:fldChar w:fldCharType="begin"/>
      </w:r>
      <w:r w:rsidR="00A533AE" w:rsidDel="00263D57">
        <w:fldChar w:fldCharType="separate"/>
      </w:r>
      <w:r w:rsidR="00263D57" w:rsidRPr="008E1598">
        <w:rPr>
          <w:rStyle w:val="Hyperlink"/>
        </w:rPr>
        <w:t>Consultation Paper 361</w:t>
      </w:r>
      <w:r w:rsidR="00A533AE" w:rsidDel="00263D57">
        <w:fldChar w:fldCharType="end"/>
      </w:r>
      <w:r w:rsidR="00263D57" w:rsidRPr="008E1598">
        <w:t xml:space="preserve"> Proposed changes to simplify the ASIC Derivative Transaction Rules (Reporting): Second consultation</w:t>
      </w:r>
      <w:r w:rsidR="00157BA4">
        <w:t xml:space="preserve"> (</w:t>
      </w:r>
      <w:r w:rsidR="00157BA4" w:rsidRPr="006B5155">
        <w:rPr>
          <w:b/>
          <w:bCs/>
          <w:i/>
          <w:iCs/>
        </w:rPr>
        <w:t>CP 361</w:t>
      </w:r>
      <w:r w:rsidR="00157BA4">
        <w:t>)</w:t>
      </w:r>
      <w:bookmarkEnd w:id="7"/>
      <w:r w:rsidR="00157BA4">
        <w:t xml:space="preserve">, which was released on </w:t>
      </w:r>
      <w:r w:rsidR="006261FB">
        <w:t xml:space="preserve">16 </w:t>
      </w:r>
      <w:r w:rsidR="00157BA4">
        <w:t>May 2022, with comments closing on 8 July 2022.</w:t>
      </w:r>
    </w:p>
    <w:p w14:paraId="5E616895" w14:textId="77777777" w:rsidR="00157BA4" w:rsidRDefault="00157BA4" w:rsidP="002E110A">
      <w:pPr>
        <w:pStyle w:val="LI-BodyTextParaa"/>
        <w:numPr>
          <w:ilvl w:val="0"/>
          <w:numId w:val="3"/>
        </w:numPr>
      </w:pPr>
      <w:bookmarkStart w:id="8" w:name="_Hlk118720641"/>
      <w:r>
        <w:t>CP 361 set out a proposed two-stage rules update and implementation process of:</w:t>
      </w:r>
    </w:p>
    <w:p w14:paraId="59F60B2C" w14:textId="77777777" w:rsidR="00157BA4" w:rsidRDefault="00157BA4" w:rsidP="002E110A">
      <w:pPr>
        <w:pStyle w:val="LI-BodyTextParaa"/>
        <w:numPr>
          <w:ilvl w:val="1"/>
          <w:numId w:val="5"/>
        </w:numPr>
      </w:pPr>
      <w:r w:rsidRPr="000F5127">
        <w:rPr>
          <w:u w:val="single"/>
        </w:rPr>
        <w:t>Stage 1</w:t>
      </w:r>
      <w:r>
        <w:t>: with effect from the sunsetting of the 2013 Rules on 1 October 2023, Stage 1 changes would apply to revise the 2013 Rules to:</w:t>
      </w:r>
    </w:p>
    <w:p w14:paraId="4F17782A" w14:textId="77777777" w:rsidR="00157BA4" w:rsidRDefault="00157BA4" w:rsidP="002E110A">
      <w:pPr>
        <w:pStyle w:val="LI-BodyTextParaa"/>
        <w:numPr>
          <w:ilvl w:val="2"/>
          <w:numId w:val="5"/>
        </w:numPr>
      </w:pPr>
      <w:r>
        <w:t>implement LEI as the only kind of entity identifiers (other than for natural persons not eligible for an LEI</w:t>
      </w:r>
      <w:proofErr w:type="gramStart"/>
      <w:r>
        <w:t>);</w:t>
      </w:r>
      <w:proofErr w:type="gramEnd"/>
    </w:p>
    <w:p w14:paraId="5269D3A6" w14:textId="4825B39F" w:rsidR="00157BA4" w:rsidRDefault="00157BA4" w:rsidP="002E110A">
      <w:pPr>
        <w:pStyle w:val="LI-BodyTextParaa"/>
        <w:numPr>
          <w:ilvl w:val="2"/>
          <w:numId w:val="5"/>
        </w:numPr>
      </w:pPr>
      <w:r>
        <w:t xml:space="preserve">implement requirements </w:t>
      </w:r>
      <w:r w:rsidR="006261FB">
        <w:t xml:space="preserve">for </w:t>
      </w:r>
      <w:r>
        <w:t xml:space="preserve">the generation, provision and receipt and reporting of </w:t>
      </w:r>
      <w:proofErr w:type="spellStart"/>
      <w:proofErr w:type="gramStart"/>
      <w:r>
        <w:t>UTIs</w:t>
      </w:r>
      <w:proofErr w:type="spellEnd"/>
      <w:r>
        <w:t>;</w:t>
      </w:r>
      <w:proofErr w:type="gramEnd"/>
    </w:p>
    <w:p w14:paraId="40E972D4" w14:textId="77777777" w:rsidR="00157BA4" w:rsidRDefault="00157BA4" w:rsidP="002E110A">
      <w:pPr>
        <w:pStyle w:val="LI-BodyTextParaa"/>
        <w:numPr>
          <w:ilvl w:val="2"/>
          <w:numId w:val="5"/>
        </w:numPr>
      </w:pPr>
      <w:r>
        <w:t xml:space="preserve">remove certain data elements, add a few data elements and conform names and meanings of data elements to the international </w:t>
      </w:r>
      <w:proofErr w:type="gramStart"/>
      <w:r>
        <w:t>standards;</w:t>
      </w:r>
      <w:proofErr w:type="gramEnd"/>
    </w:p>
    <w:p w14:paraId="56E6FB97" w14:textId="77777777" w:rsidR="00157BA4" w:rsidRDefault="00157BA4" w:rsidP="002E110A">
      <w:pPr>
        <w:pStyle w:val="LI-BodyTextParaa"/>
        <w:numPr>
          <w:ilvl w:val="2"/>
          <w:numId w:val="5"/>
        </w:numPr>
      </w:pPr>
      <w:r>
        <w:t xml:space="preserve">implement lifecycle reporting for all </w:t>
      </w:r>
      <w:proofErr w:type="gramStart"/>
      <w:r>
        <w:t>products;</w:t>
      </w:r>
      <w:proofErr w:type="gramEnd"/>
    </w:p>
    <w:p w14:paraId="764EC21E" w14:textId="77777777" w:rsidR="00157BA4" w:rsidRDefault="00157BA4" w:rsidP="002E110A">
      <w:pPr>
        <w:pStyle w:val="LI-BodyTextParaa"/>
        <w:numPr>
          <w:ilvl w:val="2"/>
          <w:numId w:val="5"/>
        </w:numPr>
      </w:pPr>
      <w:r>
        <w:t xml:space="preserve">clarify that trades with Australian retail clients are always </w:t>
      </w:r>
      <w:proofErr w:type="gramStart"/>
      <w:r>
        <w:t>reportable;</w:t>
      </w:r>
      <w:proofErr w:type="gramEnd"/>
    </w:p>
    <w:p w14:paraId="4679F92D" w14:textId="42E8C25E" w:rsidR="00157BA4" w:rsidRDefault="00157BA4" w:rsidP="002E110A">
      <w:pPr>
        <w:pStyle w:val="LI-BodyTextParaa"/>
        <w:numPr>
          <w:ilvl w:val="2"/>
          <w:numId w:val="5"/>
        </w:numPr>
      </w:pPr>
      <w:r>
        <w:t xml:space="preserve">remove the delegated reporting </w:t>
      </w:r>
      <w:r w:rsidR="00FE6A2C">
        <w:t>“</w:t>
      </w:r>
      <w:r>
        <w:t>safe harbour</w:t>
      </w:r>
      <w:proofErr w:type="gramStart"/>
      <w:r w:rsidR="00FE6A2C">
        <w:t>”</w:t>
      </w:r>
      <w:r>
        <w:t>;</w:t>
      </w:r>
      <w:proofErr w:type="gramEnd"/>
    </w:p>
    <w:p w14:paraId="50590BFD" w14:textId="54124E62" w:rsidR="001D010B" w:rsidRDefault="00157BA4" w:rsidP="002E110A">
      <w:pPr>
        <w:pStyle w:val="LI-BodyTextParaa"/>
        <w:numPr>
          <w:ilvl w:val="2"/>
          <w:numId w:val="5"/>
        </w:numPr>
      </w:pPr>
      <w:r>
        <w:t>curtail duplicative reporting but recognise certain other in-practice reporting practices within the rules</w:t>
      </w:r>
      <w:r w:rsidR="00F24F46">
        <w:t>;</w:t>
      </w:r>
      <w:r>
        <w:t xml:space="preserve"> </w:t>
      </w:r>
      <w:r w:rsidRPr="001D010B">
        <w:t>and</w:t>
      </w:r>
    </w:p>
    <w:p w14:paraId="032DBE2F" w14:textId="06161FF3" w:rsidR="00157BA4" w:rsidRDefault="00157BA4" w:rsidP="002E110A">
      <w:pPr>
        <w:pStyle w:val="LI-BodyTextParaa"/>
        <w:numPr>
          <w:ilvl w:val="1"/>
          <w:numId w:val="5"/>
        </w:numPr>
      </w:pPr>
      <w:r w:rsidRPr="00D52E8C">
        <w:rPr>
          <w:u w:val="single"/>
        </w:rPr>
        <w:t>Stage 2</w:t>
      </w:r>
      <w:r>
        <w:t>: With effect from 1 April 2024, Stage 2 changes would apply to further revise the Stage 1 rules to:</w:t>
      </w:r>
    </w:p>
    <w:p w14:paraId="0CE5B950" w14:textId="77777777" w:rsidR="00157BA4" w:rsidRDefault="00157BA4" w:rsidP="002E110A">
      <w:pPr>
        <w:pStyle w:val="LI-BodyTextParaa"/>
        <w:numPr>
          <w:ilvl w:val="2"/>
          <w:numId w:val="5"/>
        </w:numPr>
      </w:pPr>
      <w:r>
        <w:t xml:space="preserve">add data elements to complete the ASIC data elements </w:t>
      </w:r>
      <w:proofErr w:type="gramStart"/>
      <w:r>
        <w:t>requirements;</w:t>
      </w:r>
      <w:proofErr w:type="gramEnd"/>
    </w:p>
    <w:p w14:paraId="6402FA4B" w14:textId="57CFEA1E" w:rsidR="00157BA4" w:rsidRDefault="00157BA4" w:rsidP="002E110A">
      <w:pPr>
        <w:pStyle w:val="LI-BodyTextParaa"/>
        <w:numPr>
          <w:ilvl w:val="2"/>
          <w:numId w:val="5"/>
        </w:numPr>
      </w:pPr>
      <w:r>
        <w:t xml:space="preserve">require existing transactions </w:t>
      </w:r>
      <w:r w:rsidR="006261FB">
        <w:t xml:space="preserve">to be re-reported to update them </w:t>
      </w:r>
      <w:r>
        <w:t xml:space="preserve">to the </w:t>
      </w:r>
      <w:r w:rsidR="006261FB">
        <w:t xml:space="preserve">information </w:t>
      </w:r>
      <w:r>
        <w:t>requirements of this future state; and</w:t>
      </w:r>
    </w:p>
    <w:p w14:paraId="614903F9" w14:textId="0B770880" w:rsidR="00157BA4" w:rsidRDefault="00157BA4" w:rsidP="002E110A">
      <w:pPr>
        <w:pStyle w:val="LI-BodyTextParaa"/>
        <w:numPr>
          <w:ilvl w:val="2"/>
          <w:numId w:val="5"/>
        </w:numPr>
      </w:pPr>
      <w:r>
        <w:t>require reporting to a derivative trade repository to conform to the technical standard of ISO 20022.</w:t>
      </w:r>
    </w:p>
    <w:p w14:paraId="668434B7" w14:textId="27024A28" w:rsidR="006B5155" w:rsidRDefault="00157BA4" w:rsidP="002E110A">
      <w:pPr>
        <w:pStyle w:val="LI-BodyTextParaa"/>
        <w:numPr>
          <w:ilvl w:val="0"/>
          <w:numId w:val="3"/>
        </w:numPr>
      </w:pPr>
      <w:r>
        <w:t>ASIC received 10 written submissions to CP 361 from stakeholders including reporting entities (</w:t>
      </w:r>
      <w:proofErr w:type="spellStart"/>
      <w:r>
        <w:t>CFD</w:t>
      </w:r>
      <w:proofErr w:type="spellEnd"/>
      <w:r>
        <w:t xml:space="preserve"> providers </w:t>
      </w:r>
      <w:r w:rsidR="00A76A64">
        <w:t xml:space="preserve">and </w:t>
      </w:r>
      <w:r>
        <w:t>derivatives dealers), industry associations, LEI system entities, a derivative trade repository and trading and reporting services providers</w:t>
      </w:r>
      <w:r w:rsidR="006B5155">
        <w:t>.</w:t>
      </w:r>
    </w:p>
    <w:p w14:paraId="78876AB4" w14:textId="5F7B8AA8" w:rsidR="00157BA4" w:rsidRDefault="00157BA4" w:rsidP="002E110A">
      <w:pPr>
        <w:pStyle w:val="LI-BodyTextParaa"/>
        <w:numPr>
          <w:ilvl w:val="0"/>
          <w:numId w:val="3"/>
        </w:numPr>
      </w:pPr>
      <w:r>
        <w:lastRenderedPageBreak/>
        <w:t xml:space="preserve">The submissions were broadly supportive of the technical nature of our proposals but raised concerns about the costs and complexities of a two-stage rules update process, ongoing concerns about the practical implementation of the </w:t>
      </w:r>
      <w:proofErr w:type="spellStart"/>
      <w:r>
        <w:t>UTI</w:t>
      </w:r>
      <w:proofErr w:type="spellEnd"/>
      <w:r>
        <w:t xml:space="preserve"> rule and the scope of the updating re-reporting requirement.</w:t>
      </w:r>
      <w:r w:rsidR="00A56B0E">
        <w:t xml:space="preserve"> Submissions also stressed the importance of maximising alignment of the proposed rules changes with those of other jurisdictions as well as appropriately sequencing the timing of implementation to minimise the complexity of making system changes to comply with rules in multiple jurisdictions.</w:t>
      </w:r>
    </w:p>
    <w:p w14:paraId="61732A4B" w14:textId="425BC7C3" w:rsidR="006B202C" w:rsidRDefault="00157BA4" w:rsidP="002E110A">
      <w:pPr>
        <w:pStyle w:val="LI-BodyTextParaa"/>
        <w:numPr>
          <w:ilvl w:val="0"/>
          <w:numId w:val="3"/>
        </w:numPr>
      </w:pPr>
      <w:bookmarkStart w:id="9" w:name="_Hlk118721301"/>
      <w:bookmarkEnd w:id="8"/>
      <w:r>
        <w:t>We responded to these concerns with additional bilateral consultations with individual respondents and the industry association</w:t>
      </w:r>
      <w:r w:rsidR="007D1C96">
        <w:t xml:space="preserve"> respondents</w:t>
      </w:r>
      <w:r>
        <w:t xml:space="preserve"> about further revised proposals</w:t>
      </w:r>
      <w:r w:rsidR="00CF6D46">
        <w:t>.</w:t>
      </w:r>
    </w:p>
    <w:p w14:paraId="327342DB" w14:textId="77777777" w:rsidR="009A269F" w:rsidRDefault="006B202C" w:rsidP="002E110A">
      <w:pPr>
        <w:pStyle w:val="LI-BodyTextParaa"/>
        <w:numPr>
          <w:ilvl w:val="0"/>
          <w:numId w:val="3"/>
        </w:numPr>
      </w:pPr>
      <w:r>
        <w:t xml:space="preserve">This </w:t>
      </w:r>
      <w:r w:rsidR="00121415">
        <w:t xml:space="preserve">included </w:t>
      </w:r>
      <w:r w:rsidR="00157BA4">
        <w:t xml:space="preserve">that </w:t>
      </w:r>
      <w:r w:rsidR="00644726">
        <w:t>the rules changes should only be implemented in one stage commencing 21 October 2024 as the 2024 Rules</w:t>
      </w:r>
      <w:r w:rsidR="00FD3210">
        <w:t>.</w:t>
      </w:r>
      <w:r w:rsidR="009A269F">
        <w:t xml:space="preserve"> This would:</w:t>
      </w:r>
    </w:p>
    <w:p w14:paraId="2031FB18" w14:textId="1729ACCE" w:rsidR="00CF007A" w:rsidRDefault="00CF007A" w:rsidP="002E110A">
      <w:pPr>
        <w:pStyle w:val="LI-BodyTextParaa"/>
        <w:numPr>
          <w:ilvl w:val="1"/>
          <w:numId w:val="3"/>
        </w:numPr>
      </w:pPr>
      <w:r>
        <w:t xml:space="preserve">provide businesses with at least 18 months to implement systems and process changes for the 2024 </w:t>
      </w:r>
      <w:proofErr w:type="gramStart"/>
      <w:r>
        <w:t>Rules;</w:t>
      </w:r>
      <w:proofErr w:type="gramEnd"/>
    </w:p>
    <w:p w14:paraId="387A9DBD" w14:textId="7A1F3B16" w:rsidR="00CF007A" w:rsidRDefault="00CF007A" w:rsidP="002E110A">
      <w:pPr>
        <w:pStyle w:val="LI-BodyTextParaa"/>
        <w:numPr>
          <w:ilvl w:val="1"/>
          <w:numId w:val="3"/>
        </w:numPr>
      </w:pPr>
      <w:r>
        <w:t>coincide with the expected commencement of updated rules in Singapore; and</w:t>
      </w:r>
    </w:p>
    <w:p w14:paraId="53022337" w14:textId="4F6A0428" w:rsidR="00CF007A" w:rsidRDefault="00CF007A" w:rsidP="002E110A">
      <w:pPr>
        <w:pStyle w:val="LI-BodyTextParaa"/>
        <w:numPr>
          <w:ilvl w:val="1"/>
          <w:numId w:val="3"/>
        </w:numPr>
      </w:pPr>
      <w:r>
        <w:t xml:space="preserve">be sequenced </w:t>
      </w:r>
      <w:r w:rsidR="008E18C9">
        <w:t xml:space="preserve">approximately </w:t>
      </w:r>
      <w:r>
        <w:t xml:space="preserve">6 months after the commencement of the updated EU rules (which are, in turn, sequenced about </w:t>
      </w:r>
      <w:r w:rsidR="00DC476A">
        <w:t>17</w:t>
      </w:r>
      <w:r>
        <w:t xml:space="preserve"> months after the commencement of the updated US rules).</w:t>
      </w:r>
    </w:p>
    <w:bookmarkEnd w:id="9"/>
    <w:p w14:paraId="2E2EC96D" w14:textId="7244BDBC" w:rsidR="00C22F5B" w:rsidRDefault="000A6C04" w:rsidP="002E110A">
      <w:pPr>
        <w:pStyle w:val="LI-BodyTextParaa"/>
        <w:numPr>
          <w:ilvl w:val="0"/>
          <w:numId w:val="3"/>
        </w:numPr>
        <w:rPr>
          <w:iCs/>
        </w:rPr>
      </w:pPr>
      <w:r>
        <w:t>Accordingly</w:t>
      </w:r>
      <w:r w:rsidR="009477A2">
        <w:t xml:space="preserve">, in order to continue </w:t>
      </w:r>
      <w:r w:rsidR="00982DBC">
        <w:t xml:space="preserve">the </w:t>
      </w:r>
      <w:r w:rsidR="00D135F9">
        <w:rPr>
          <w:iCs/>
        </w:rPr>
        <w:t xml:space="preserve">requirements for the reporting of </w:t>
      </w:r>
      <w:r w:rsidR="00A02F72">
        <w:rPr>
          <w:iCs/>
        </w:rPr>
        <w:t xml:space="preserve">OTC </w:t>
      </w:r>
      <w:r w:rsidR="00D135F9">
        <w:rPr>
          <w:iCs/>
        </w:rPr>
        <w:t>derivatives transactions beyond the 1 October 2023 sunsetting of the 2013 Rules</w:t>
      </w:r>
      <w:r w:rsidR="00A02F72">
        <w:rPr>
          <w:iCs/>
        </w:rPr>
        <w:t xml:space="preserve">, </w:t>
      </w:r>
      <w:r w:rsidR="009477A2">
        <w:t>the 2022 Rules</w:t>
      </w:r>
      <w:r w:rsidR="00A02F72">
        <w:t xml:space="preserve"> </w:t>
      </w:r>
      <w:bookmarkStart w:id="10" w:name="_Hlk118789465"/>
      <w:r w:rsidR="00C22F5B">
        <w:t>repeal</w:t>
      </w:r>
      <w:r w:rsidR="00982DBC">
        <w:t>ed</w:t>
      </w:r>
      <w:r w:rsidR="00C22F5B">
        <w:t xml:space="preserve"> and re</w:t>
      </w:r>
      <w:r w:rsidR="00982DBC">
        <w:t>made</w:t>
      </w:r>
      <w:r w:rsidR="00C22F5B">
        <w:t xml:space="preserve"> the </w:t>
      </w:r>
      <w:r w:rsidR="00A02F72">
        <w:t xml:space="preserve">2013 Rules </w:t>
      </w:r>
      <w:r w:rsidR="00C22F5B">
        <w:rPr>
          <w:iCs/>
        </w:rPr>
        <w:t xml:space="preserve">in </w:t>
      </w:r>
      <w:r w:rsidR="00FF5196">
        <w:rPr>
          <w:iCs/>
        </w:rPr>
        <w:t>the same form</w:t>
      </w:r>
      <w:bookmarkEnd w:id="10"/>
      <w:r w:rsidR="00A02F72">
        <w:rPr>
          <w:iCs/>
        </w:rPr>
        <w:t>.</w:t>
      </w:r>
    </w:p>
    <w:p w14:paraId="3A2D3E5B" w14:textId="3BD887A7" w:rsidR="007878B0" w:rsidRDefault="007878B0" w:rsidP="002E110A">
      <w:pPr>
        <w:pStyle w:val="LI-BodyTextParaa"/>
        <w:numPr>
          <w:ilvl w:val="0"/>
          <w:numId w:val="3"/>
        </w:numPr>
      </w:pPr>
      <w:r>
        <w:t>Then this instrument</w:t>
      </w:r>
      <w:r w:rsidR="00630117">
        <w:t>, the 2024 Rules,</w:t>
      </w:r>
      <w:r>
        <w:t xml:space="preserve"> </w:t>
      </w:r>
      <w:proofErr w:type="gramStart"/>
      <w:r>
        <w:t>repeal</w:t>
      </w:r>
      <w:r w:rsidR="00D5229D">
        <w:t>s</w:t>
      </w:r>
      <w:proofErr w:type="gramEnd"/>
      <w:r>
        <w:t xml:space="preserve"> and re</w:t>
      </w:r>
      <w:r w:rsidR="00FF5196">
        <w:t>makes</w:t>
      </w:r>
      <w:r>
        <w:t xml:space="preserve"> the </w:t>
      </w:r>
      <w:r w:rsidR="00D103AD">
        <w:t xml:space="preserve">2022 Rules </w:t>
      </w:r>
      <w:r>
        <w:t xml:space="preserve">with a </w:t>
      </w:r>
      <w:r w:rsidR="00D103AD">
        <w:t xml:space="preserve">deferred </w:t>
      </w:r>
      <w:r>
        <w:t>commencement of 21 October 2024.</w:t>
      </w:r>
    </w:p>
    <w:p w14:paraId="6BC49858" w14:textId="2D05EBD8" w:rsidR="006E1711" w:rsidRDefault="006A171B" w:rsidP="002E110A">
      <w:pPr>
        <w:pStyle w:val="LI-BodyTextParaa"/>
        <w:numPr>
          <w:ilvl w:val="0"/>
          <w:numId w:val="3"/>
        </w:numPr>
      </w:pPr>
      <w:r w:rsidRPr="005B7895">
        <w:t xml:space="preserve">The </w:t>
      </w:r>
      <w:r w:rsidR="005B7895">
        <w:t xml:space="preserve">following is a summary of the other key issues raised </w:t>
      </w:r>
      <w:r w:rsidR="00EE0041">
        <w:t>in consultation</w:t>
      </w:r>
      <w:r w:rsidR="00D8726C">
        <w:t xml:space="preserve"> and ASIC’s response to </w:t>
      </w:r>
      <w:r w:rsidR="006E1711">
        <w:t>these issues.</w:t>
      </w:r>
    </w:p>
    <w:p w14:paraId="615C9D23" w14:textId="618823D7" w:rsidR="00320F1A" w:rsidRPr="00B22FFA" w:rsidRDefault="009451B7" w:rsidP="00320F1A">
      <w:pPr>
        <w:pStyle w:val="LI-BodyTextParaa"/>
        <w:ind w:left="0" w:firstLine="0"/>
        <w:rPr>
          <w:i/>
          <w:iCs/>
        </w:rPr>
      </w:pPr>
      <w:proofErr w:type="spellStart"/>
      <w:r>
        <w:rPr>
          <w:i/>
          <w:iCs/>
        </w:rPr>
        <w:t>U</w:t>
      </w:r>
      <w:r w:rsidR="00AB73E2">
        <w:rPr>
          <w:i/>
          <w:iCs/>
        </w:rPr>
        <w:t>TIs</w:t>
      </w:r>
      <w:proofErr w:type="spellEnd"/>
    </w:p>
    <w:p w14:paraId="229708E1" w14:textId="77777777" w:rsidR="00321D43" w:rsidRDefault="00321D43" w:rsidP="002E110A">
      <w:pPr>
        <w:pStyle w:val="LI-BodyTextParaa"/>
        <w:numPr>
          <w:ilvl w:val="0"/>
          <w:numId w:val="3"/>
        </w:numPr>
      </w:pPr>
      <w:r w:rsidRPr="00321D43">
        <w:t xml:space="preserve">The </w:t>
      </w:r>
      <w:proofErr w:type="spellStart"/>
      <w:r w:rsidRPr="00321D43">
        <w:t>UTI</w:t>
      </w:r>
      <w:proofErr w:type="spellEnd"/>
      <w:r w:rsidRPr="00321D43">
        <w:t xml:space="preserve"> is a globally unique transaction identifier used to ensure that each reportable derivative transaction is identifiable and that each party to the transaction reports the same </w:t>
      </w:r>
      <w:proofErr w:type="spellStart"/>
      <w:r w:rsidRPr="00321D43">
        <w:t>UTI</w:t>
      </w:r>
      <w:proofErr w:type="spellEnd"/>
      <w:r w:rsidRPr="00321D43">
        <w:t>. It will provide significant regulatory benefit in terms of matching both sides of the same transaction, including avoiding double-count in market metrics such as turnover and aggregate notional principal.</w:t>
      </w:r>
    </w:p>
    <w:p w14:paraId="2FF26D7A" w14:textId="4FD0BFEB" w:rsidR="00FB5508" w:rsidRDefault="00215275" w:rsidP="002E110A">
      <w:pPr>
        <w:pStyle w:val="LI-BodyTextParaa"/>
        <w:numPr>
          <w:ilvl w:val="0"/>
          <w:numId w:val="3"/>
        </w:numPr>
      </w:pPr>
      <w:r w:rsidRPr="00215275">
        <w:t xml:space="preserve">The </w:t>
      </w:r>
      <w:proofErr w:type="spellStart"/>
      <w:r w:rsidRPr="00215275">
        <w:t>UTI</w:t>
      </w:r>
      <w:proofErr w:type="spellEnd"/>
      <w:r w:rsidRPr="00215275">
        <w:t xml:space="preserve"> Guidance sets out a waterfall of steps to determine which entity should generate the </w:t>
      </w:r>
      <w:proofErr w:type="spellStart"/>
      <w:r w:rsidRPr="00215275">
        <w:t>UTI</w:t>
      </w:r>
      <w:proofErr w:type="spellEnd"/>
      <w:r w:rsidRPr="00215275">
        <w:t xml:space="preserve">. It starts with market infrastructures (such as </w:t>
      </w:r>
      <w:r w:rsidR="00630117" w:rsidRPr="00215275">
        <w:t>central counterparties</w:t>
      </w:r>
      <w:r w:rsidR="00630117">
        <w:t xml:space="preserve"> and</w:t>
      </w:r>
      <w:r w:rsidR="00630117" w:rsidRPr="00215275">
        <w:t xml:space="preserve"> </w:t>
      </w:r>
      <w:r w:rsidRPr="00215275">
        <w:t>trading platforms) then steps into cases of single-jurisdiction reporting, with one or both entities reporting, and then multi-jurisdictional reporting (which involves determining the jurisdiction with the earlie</w:t>
      </w:r>
      <w:r w:rsidR="006A7BE2">
        <w:t>st</w:t>
      </w:r>
      <w:r w:rsidRPr="00215275">
        <w:t xml:space="preserve"> reporting </w:t>
      </w:r>
      <w:r w:rsidRPr="00215275">
        <w:lastRenderedPageBreak/>
        <w:t xml:space="preserve">deadline and then determining the </w:t>
      </w:r>
      <w:proofErr w:type="spellStart"/>
      <w:r w:rsidRPr="00215275">
        <w:t>UTI</w:t>
      </w:r>
      <w:proofErr w:type="spellEnd"/>
      <w:r w:rsidRPr="00215275">
        <w:t xml:space="preserve"> generating entity according to the </w:t>
      </w:r>
      <w:proofErr w:type="spellStart"/>
      <w:r w:rsidRPr="00215275">
        <w:t>UTI</w:t>
      </w:r>
      <w:proofErr w:type="spellEnd"/>
      <w:r w:rsidRPr="00215275">
        <w:t xml:space="preserve"> rules of that jurisdiction).</w:t>
      </w:r>
    </w:p>
    <w:p w14:paraId="4C9C85C0" w14:textId="77777777" w:rsidR="00605B15" w:rsidRDefault="00C348E7" w:rsidP="002E110A">
      <w:pPr>
        <w:pStyle w:val="LI-BodyTextParaa"/>
        <w:numPr>
          <w:ilvl w:val="0"/>
          <w:numId w:val="3"/>
        </w:numPr>
      </w:pPr>
      <w:r>
        <w:t xml:space="preserve">In CP 334, </w:t>
      </w:r>
      <w:r w:rsidR="007F4F76">
        <w:t xml:space="preserve">we proposed adopting the </w:t>
      </w:r>
      <w:r w:rsidR="006D20A0">
        <w:t xml:space="preserve">first steps of the </w:t>
      </w:r>
      <w:proofErr w:type="spellStart"/>
      <w:r w:rsidR="006D20A0">
        <w:t>UTI</w:t>
      </w:r>
      <w:proofErr w:type="spellEnd"/>
      <w:r w:rsidR="006D20A0">
        <w:t xml:space="preserve"> Guidance that </w:t>
      </w:r>
      <w:r w:rsidR="008153E2">
        <w:t>start with</w:t>
      </w:r>
      <w:r w:rsidR="006D20A0">
        <w:t xml:space="preserve"> market infrast</w:t>
      </w:r>
      <w:r w:rsidR="008153E2">
        <w:t>ructures</w:t>
      </w:r>
      <w:r w:rsidR="00761B51">
        <w:t xml:space="preserve"> followed by the same steps as the ESMA rules </w:t>
      </w:r>
      <w:r w:rsidR="002245E9">
        <w:t xml:space="preserve">for the cases of </w:t>
      </w:r>
      <w:r w:rsidR="002245E9" w:rsidRPr="00215275">
        <w:t>single-jurisdiction reporting</w:t>
      </w:r>
      <w:r w:rsidR="00BB467F">
        <w:t xml:space="preserve"> </w:t>
      </w:r>
      <w:r w:rsidR="002245E9" w:rsidRPr="00215275">
        <w:t>and multi-jurisdictional reporting</w:t>
      </w:r>
      <w:r w:rsidR="009F4F68">
        <w:t xml:space="preserve">. </w:t>
      </w:r>
    </w:p>
    <w:p w14:paraId="6CCEEF04" w14:textId="6B663F6F" w:rsidR="00EB6C61" w:rsidRDefault="009F4F68" w:rsidP="002E110A">
      <w:pPr>
        <w:pStyle w:val="LI-BodyTextParaa"/>
        <w:numPr>
          <w:ilvl w:val="0"/>
          <w:numId w:val="3"/>
        </w:numPr>
      </w:pPr>
      <w:r>
        <w:t xml:space="preserve">We also </w:t>
      </w:r>
      <w:r w:rsidR="00EB6C61">
        <w:t xml:space="preserve">discussed certain difficulties and uncertainties with a </w:t>
      </w:r>
      <w:proofErr w:type="spellStart"/>
      <w:r w:rsidR="00EB6C61">
        <w:t>UTI</w:t>
      </w:r>
      <w:proofErr w:type="spellEnd"/>
      <w:r w:rsidR="00EB6C61">
        <w:t xml:space="preserve"> implementation, including:</w:t>
      </w:r>
    </w:p>
    <w:p w14:paraId="664413A0" w14:textId="2794901B" w:rsidR="00605B15" w:rsidRDefault="00EB6C61" w:rsidP="002E110A">
      <w:pPr>
        <w:pStyle w:val="LI-BodyTextParaa"/>
        <w:numPr>
          <w:ilvl w:val="1"/>
          <w:numId w:val="3"/>
        </w:numPr>
      </w:pPr>
      <w:r>
        <w:t xml:space="preserve">identifying the jurisdictions in which a </w:t>
      </w:r>
      <w:r w:rsidR="00D51081">
        <w:t>multi</w:t>
      </w:r>
      <w:r>
        <w:t xml:space="preserve">-jurisdictional transaction is </w:t>
      </w:r>
      <w:proofErr w:type="gramStart"/>
      <w:r>
        <w:t>reported</w:t>
      </w:r>
      <w:r w:rsidR="00605B15">
        <w:t>;</w:t>
      </w:r>
      <w:proofErr w:type="gramEnd"/>
    </w:p>
    <w:p w14:paraId="1F2BDF65" w14:textId="77777777" w:rsidR="004A293E" w:rsidRDefault="006A7BE2" w:rsidP="002E110A">
      <w:pPr>
        <w:pStyle w:val="LI-BodyTextParaa"/>
        <w:numPr>
          <w:ilvl w:val="1"/>
          <w:numId w:val="3"/>
        </w:numPr>
      </w:pPr>
      <w:r>
        <w:t xml:space="preserve">determining the </w:t>
      </w:r>
      <w:r w:rsidR="00EB6C61">
        <w:t xml:space="preserve">jurisdiction with the </w:t>
      </w:r>
      <w:r>
        <w:t xml:space="preserve">earliest </w:t>
      </w:r>
      <w:r w:rsidR="00EB6C61">
        <w:t xml:space="preserve">reporting </w:t>
      </w:r>
      <w:proofErr w:type="gramStart"/>
      <w:r w:rsidR="00EB6C61">
        <w:t>deadline</w:t>
      </w:r>
      <w:r w:rsidR="004A293E">
        <w:t>;</w:t>
      </w:r>
      <w:proofErr w:type="gramEnd"/>
    </w:p>
    <w:p w14:paraId="34F7F35D" w14:textId="1F7D6A3D" w:rsidR="002F4243" w:rsidRDefault="00EB6C61" w:rsidP="002E110A">
      <w:pPr>
        <w:pStyle w:val="LI-BodyTextParaa"/>
        <w:numPr>
          <w:ilvl w:val="1"/>
          <w:numId w:val="3"/>
        </w:numPr>
      </w:pPr>
      <w:r>
        <w:t xml:space="preserve">whether </w:t>
      </w:r>
      <w:r w:rsidR="00AD5564">
        <w:t xml:space="preserve">market infrastructures </w:t>
      </w:r>
      <w:r>
        <w:t>would be recognised as being of that kind in a consistent manner in all jurisdictions</w:t>
      </w:r>
      <w:r w:rsidR="002F4243">
        <w:t xml:space="preserve"> and therefor</w:t>
      </w:r>
      <w:r w:rsidR="007E1179">
        <w:t xml:space="preserve">e consistently identified as the </w:t>
      </w:r>
      <w:proofErr w:type="spellStart"/>
      <w:r w:rsidR="007E1179">
        <w:t>UTI</w:t>
      </w:r>
      <w:proofErr w:type="spellEnd"/>
      <w:r w:rsidR="007E1179">
        <w:t xml:space="preserve"> generating </w:t>
      </w:r>
      <w:proofErr w:type="gramStart"/>
      <w:r w:rsidR="007E1179">
        <w:t>entity;</w:t>
      </w:r>
      <w:proofErr w:type="gramEnd"/>
    </w:p>
    <w:p w14:paraId="1D4540AF" w14:textId="1B2C9085" w:rsidR="00EB6C61" w:rsidRDefault="00EB6C61" w:rsidP="002E110A">
      <w:pPr>
        <w:pStyle w:val="LI-BodyTextParaa"/>
        <w:numPr>
          <w:ilvl w:val="1"/>
          <w:numId w:val="3"/>
        </w:numPr>
      </w:pPr>
      <w:r>
        <w:t xml:space="preserve">whether there may be rules implementation timing differences between jurisdictions such that an entity has an obligation to report the </w:t>
      </w:r>
      <w:proofErr w:type="spellStart"/>
      <w:r>
        <w:t>UTI</w:t>
      </w:r>
      <w:proofErr w:type="spellEnd"/>
      <w:r>
        <w:t xml:space="preserve"> received from an entity in another jurisdiction, but that other entity is not subject to an obligation to generate and give that </w:t>
      </w:r>
      <w:proofErr w:type="spellStart"/>
      <w:r>
        <w:t>UTI</w:t>
      </w:r>
      <w:proofErr w:type="spellEnd"/>
      <w:r>
        <w:t xml:space="preserve"> to the receiving entity</w:t>
      </w:r>
      <w:r w:rsidR="001E7F55">
        <w:t>; and</w:t>
      </w:r>
    </w:p>
    <w:p w14:paraId="7D7D44C8" w14:textId="41ABB02E" w:rsidR="001E7F55" w:rsidRDefault="009F0A81" w:rsidP="002E110A">
      <w:pPr>
        <w:pStyle w:val="LI-BodyTextParaa"/>
        <w:numPr>
          <w:ilvl w:val="1"/>
          <w:numId w:val="3"/>
        </w:numPr>
      </w:pPr>
      <w:r>
        <w:t xml:space="preserve">whether </w:t>
      </w:r>
      <w:r w:rsidR="00584D27">
        <w:t xml:space="preserve">there </w:t>
      </w:r>
      <w:r w:rsidR="00C861E9">
        <w:t xml:space="preserve">should be a deadline by which the </w:t>
      </w:r>
      <w:proofErr w:type="spellStart"/>
      <w:r w:rsidR="00C861E9">
        <w:t>UTI</w:t>
      </w:r>
      <w:proofErr w:type="spellEnd"/>
      <w:r w:rsidR="00C861E9">
        <w:t xml:space="preserve"> generating entity must </w:t>
      </w:r>
      <w:r w:rsidR="004221D9">
        <w:t xml:space="preserve">provide the </w:t>
      </w:r>
      <w:proofErr w:type="spellStart"/>
      <w:r w:rsidR="004221D9">
        <w:t>UTI</w:t>
      </w:r>
      <w:proofErr w:type="spellEnd"/>
      <w:r w:rsidR="004221D9">
        <w:t xml:space="preserve"> to its counterparty in order that the counterparty can also report </w:t>
      </w:r>
      <w:r w:rsidR="006F6DEA">
        <w:t>by the overarching deadline for reporting.</w:t>
      </w:r>
    </w:p>
    <w:p w14:paraId="68AF3D1F" w14:textId="01CB6200" w:rsidR="00EB6C61" w:rsidRDefault="00772434" w:rsidP="002E110A">
      <w:pPr>
        <w:pStyle w:val="LI-BodyTextParaa"/>
        <w:numPr>
          <w:ilvl w:val="0"/>
          <w:numId w:val="3"/>
        </w:numPr>
      </w:pPr>
      <w:r>
        <w:t xml:space="preserve">Submissions to CP 334 </w:t>
      </w:r>
      <w:r w:rsidR="00020754">
        <w:t xml:space="preserve">expressed support for adopting the </w:t>
      </w:r>
      <w:r w:rsidR="00294EDB">
        <w:t xml:space="preserve">market infrastructure steps of the </w:t>
      </w:r>
      <w:proofErr w:type="spellStart"/>
      <w:r w:rsidR="00294EDB">
        <w:t>UTI</w:t>
      </w:r>
      <w:proofErr w:type="spellEnd"/>
      <w:r w:rsidR="00294EDB">
        <w:t xml:space="preserve"> Guidance but </w:t>
      </w:r>
      <w:r w:rsidR="002C1613">
        <w:t xml:space="preserve">most were opposed to </w:t>
      </w:r>
      <w:r w:rsidR="00D51081" w:rsidRPr="00D51081">
        <w:t xml:space="preserve">ASIC’s proposals on how to identify the jurisdictions involved in reporting a </w:t>
      </w:r>
      <w:r w:rsidR="006B324B">
        <w:t>multi</w:t>
      </w:r>
      <w:r w:rsidR="00D51081" w:rsidRPr="00D51081">
        <w:t>-jurisdictional transaction</w:t>
      </w:r>
      <w:r w:rsidR="006B324B">
        <w:t xml:space="preserve">. </w:t>
      </w:r>
      <w:r w:rsidR="00D51081" w:rsidRPr="00D51081">
        <w:t>Respondents cited difficulties with the need to obtain and maintain information about the jurisdictional reporting requirements of their counterparties.</w:t>
      </w:r>
    </w:p>
    <w:p w14:paraId="02C274B6" w14:textId="0CFBAD7B" w:rsidR="003D6D61" w:rsidRDefault="0038061C" w:rsidP="002E110A">
      <w:pPr>
        <w:pStyle w:val="LI-BodyTextParaa"/>
        <w:numPr>
          <w:ilvl w:val="0"/>
          <w:numId w:val="3"/>
        </w:numPr>
      </w:pPr>
      <w:r>
        <w:t>In CP</w:t>
      </w:r>
      <w:r w:rsidR="008E73C8">
        <w:t xml:space="preserve"> </w:t>
      </w:r>
      <w:r>
        <w:t>361</w:t>
      </w:r>
      <w:r w:rsidR="00251983">
        <w:t xml:space="preserve">, we </w:t>
      </w:r>
      <w:r w:rsidR="007E44C3">
        <w:t xml:space="preserve">responded to the concerns </w:t>
      </w:r>
      <w:r w:rsidR="00DE4D47">
        <w:t xml:space="preserve">in </w:t>
      </w:r>
      <w:r w:rsidR="00251983">
        <w:t>set</w:t>
      </w:r>
      <w:r w:rsidR="00DE4D47">
        <w:t>ting</w:t>
      </w:r>
      <w:r w:rsidR="00251983">
        <w:t xml:space="preserve"> out</w:t>
      </w:r>
      <w:r w:rsidR="00CE6D90">
        <w:t xml:space="preserve"> </w:t>
      </w:r>
      <w:r w:rsidR="00B24DF7">
        <w:t xml:space="preserve">a revised </w:t>
      </w:r>
      <w:proofErr w:type="spellStart"/>
      <w:r w:rsidR="005D34CA">
        <w:t>UTI</w:t>
      </w:r>
      <w:proofErr w:type="spellEnd"/>
      <w:r w:rsidR="005D34CA">
        <w:t xml:space="preserve"> waterfall and </w:t>
      </w:r>
      <w:proofErr w:type="spellStart"/>
      <w:r w:rsidR="005D34CA">
        <w:t>UTI</w:t>
      </w:r>
      <w:proofErr w:type="spellEnd"/>
      <w:r w:rsidR="005D34CA">
        <w:t xml:space="preserve"> generating and </w:t>
      </w:r>
      <w:r w:rsidR="00491CFE">
        <w:t xml:space="preserve">sharing provisions as </w:t>
      </w:r>
      <w:r w:rsidR="0011564F">
        <w:t xml:space="preserve">a </w:t>
      </w:r>
      <w:r w:rsidR="00491CFE">
        <w:t xml:space="preserve">proposed </w:t>
      </w:r>
      <w:r w:rsidR="0011564F">
        <w:t>new</w:t>
      </w:r>
      <w:r w:rsidR="00630117">
        <w:t xml:space="preserve"> </w:t>
      </w:r>
      <w:r w:rsidR="00491CFE">
        <w:t xml:space="preserve">Rule 2.2.9. </w:t>
      </w:r>
      <w:r w:rsidR="001056D7">
        <w:t>This rule and the proposed definitions</w:t>
      </w:r>
      <w:r w:rsidR="00E47A50">
        <w:t xml:space="preserve"> </w:t>
      </w:r>
      <w:r w:rsidR="004D3792">
        <w:t xml:space="preserve">to be added to </w:t>
      </w:r>
      <w:r w:rsidR="008357A7">
        <w:t>R</w:t>
      </w:r>
      <w:r w:rsidR="00E47A50">
        <w:t xml:space="preserve">ule </w:t>
      </w:r>
      <w:r w:rsidR="00553DF4">
        <w:t>1.2.3</w:t>
      </w:r>
      <w:r w:rsidR="003D6D61">
        <w:t>:</w:t>
      </w:r>
    </w:p>
    <w:p w14:paraId="546D4369" w14:textId="77777777" w:rsidR="00576352" w:rsidRDefault="00576352" w:rsidP="002E110A">
      <w:pPr>
        <w:pStyle w:val="LI-BodyTextParaa"/>
        <w:numPr>
          <w:ilvl w:val="1"/>
          <w:numId w:val="3"/>
        </w:numPr>
      </w:pPr>
      <w:r>
        <w:t xml:space="preserve">detailed the definitions and provisions for market infrastructures as </w:t>
      </w:r>
      <w:proofErr w:type="spellStart"/>
      <w:r>
        <w:t>UTI</w:t>
      </w:r>
      <w:proofErr w:type="spellEnd"/>
      <w:r>
        <w:t xml:space="preserve"> generating </w:t>
      </w:r>
      <w:proofErr w:type="gramStart"/>
      <w:r>
        <w:t>entities;</w:t>
      </w:r>
      <w:proofErr w:type="gramEnd"/>
    </w:p>
    <w:p w14:paraId="242079FB" w14:textId="49581E90" w:rsidR="00576352" w:rsidRDefault="00576352" w:rsidP="002E110A">
      <w:pPr>
        <w:pStyle w:val="LI-BodyTextParaa"/>
        <w:numPr>
          <w:ilvl w:val="1"/>
          <w:numId w:val="3"/>
        </w:numPr>
      </w:pPr>
      <w:r>
        <w:t xml:space="preserve">finalised </w:t>
      </w:r>
      <w:proofErr w:type="spellStart"/>
      <w:r w:rsidR="001B3079">
        <w:t>UTI</w:t>
      </w:r>
      <w:proofErr w:type="spellEnd"/>
      <w:r w:rsidR="001B3079">
        <w:t xml:space="preserve"> generation </w:t>
      </w:r>
      <w:r>
        <w:t xml:space="preserve">methods for single-jurisdictional </w:t>
      </w:r>
      <w:proofErr w:type="gramStart"/>
      <w:r>
        <w:t>transactions;</w:t>
      </w:r>
      <w:proofErr w:type="gramEnd"/>
    </w:p>
    <w:p w14:paraId="481C813B" w14:textId="521114F2" w:rsidR="00F43601" w:rsidRDefault="00F43601" w:rsidP="002E110A">
      <w:pPr>
        <w:pStyle w:val="LI-BodyTextParaa"/>
        <w:numPr>
          <w:ilvl w:val="1"/>
          <w:numId w:val="3"/>
        </w:numPr>
      </w:pPr>
      <w:r>
        <w:t xml:space="preserve">provided increased flexibility for </w:t>
      </w:r>
      <w:proofErr w:type="spellStart"/>
      <w:r>
        <w:t>UTI</w:t>
      </w:r>
      <w:proofErr w:type="spellEnd"/>
      <w:r>
        <w:t xml:space="preserve"> generation for </w:t>
      </w:r>
      <w:r w:rsidR="0058776D">
        <w:t>multi</w:t>
      </w:r>
      <w:r>
        <w:t>-jurisdictional transactions;</w:t>
      </w:r>
      <w:r w:rsidR="00576352">
        <w:t xml:space="preserve"> and</w:t>
      </w:r>
    </w:p>
    <w:p w14:paraId="217052B4" w14:textId="5AB71594" w:rsidR="00F43601" w:rsidRDefault="00F43601" w:rsidP="002E110A">
      <w:pPr>
        <w:pStyle w:val="LI-BodyTextParaa"/>
        <w:numPr>
          <w:ilvl w:val="1"/>
          <w:numId w:val="3"/>
        </w:numPr>
      </w:pPr>
      <w:r>
        <w:t xml:space="preserve">set out requirements for providing </w:t>
      </w:r>
      <w:proofErr w:type="spellStart"/>
      <w:r>
        <w:t>UTIs</w:t>
      </w:r>
      <w:proofErr w:type="spellEnd"/>
      <w:r>
        <w:t xml:space="preserve"> to counterparties, the non-receipt of </w:t>
      </w:r>
      <w:proofErr w:type="spellStart"/>
      <w:r>
        <w:t>UTIs</w:t>
      </w:r>
      <w:proofErr w:type="spellEnd"/>
      <w:r>
        <w:t xml:space="preserve"> </w:t>
      </w:r>
      <w:r w:rsidR="0092792F">
        <w:t xml:space="preserve">from other entities </w:t>
      </w:r>
      <w:r>
        <w:t xml:space="preserve">and the roles of third parties in </w:t>
      </w:r>
      <w:proofErr w:type="spellStart"/>
      <w:r>
        <w:t>UTI</w:t>
      </w:r>
      <w:proofErr w:type="spellEnd"/>
      <w:r>
        <w:t xml:space="preserve"> generation.</w:t>
      </w:r>
    </w:p>
    <w:p w14:paraId="3E69BA35" w14:textId="4B3C081C" w:rsidR="00471C7B" w:rsidRDefault="00CA299B" w:rsidP="002E110A">
      <w:pPr>
        <w:pStyle w:val="LI-BodyTextParaa"/>
        <w:numPr>
          <w:ilvl w:val="0"/>
          <w:numId w:val="3"/>
        </w:numPr>
      </w:pPr>
      <w:r>
        <w:lastRenderedPageBreak/>
        <w:t>S</w:t>
      </w:r>
      <w:r w:rsidR="00A26499">
        <w:t xml:space="preserve">ubmissions to </w:t>
      </w:r>
      <w:r w:rsidR="008E73C8">
        <w:t xml:space="preserve">CP </w:t>
      </w:r>
      <w:r w:rsidR="00401A40">
        <w:t xml:space="preserve">361 </w:t>
      </w:r>
      <w:r w:rsidR="00BC2CAD">
        <w:t xml:space="preserve">supported </w:t>
      </w:r>
      <w:r>
        <w:t>most of the propos</w:t>
      </w:r>
      <w:r w:rsidR="001030FA">
        <w:t xml:space="preserve">ed provisions </w:t>
      </w:r>
      <w:r w:rsidR="00584C25">
        <w:t xml:space="preserve">but still identified concerns </w:t>
      </w:r>
      <w:r w:rsidR="00471C7B">
        <w:t>with conclusively identifying single-jurisdiction reporting cases and</w:t>
      </w:r>
      <w:r w:rsidR="008276D5">
        <w:t>, for multi-juris</w:t>
      </w:r>
      <w:r w:rsidR="007E7E60">
        <w:t>di</w:t>
      </w:r>
      <w:r w:rsidR="008276D5">
        <w:t xml:space="preserve">ctional </w:t>
      </w:r>
      <w:r w:rsidR="007E7E60">
        <w:t xml:space="preserve">reporting cases, </w:t>
      </w:r>
      <w:r w:rsidR="00471C7B">
        <w:t xml:space="preserve">a perceived emphasis on the ASIC reporting entity validating that the other counterparty was following the </w:t>
      </w:r>
      <w:proofErr w:type="spellStart"/>
      <w:r w:rsidR="00471C7B">
        <w:t>UTI</w:t>
      </w:r>
      <w:proofErr w:type="spellEnd"/>
      <w:r w:rsidR="00471C7B">
        <w:t xml:space="preserve"> rules of the jurisdiction</w:t>
      </w:r>
      <w:r w:rsidR="00DA39D3">
        <w:t>(</w:t>
      </w:r>
      <w:r w:rsidR="00471C7B">
        <w:t>s</w:t>
      </w:r>
      <w:r w:rsidR="00DA39D3">
        <w:t>)</w:t>
      </w:r>
      <w:r w:rsidR="00471C7B">
        <w:t xml:space="preserve"> to which it would report.</w:t>
      </w:r>
    </w:p>
    <w:p w14:paraId="3888E478" w14:textId="3ED3D622" w:rsidR="00B611D0" w:rsidRDefault="00B611D0" w:rsidP="002E110A">
      <w:pPr>
        <w:pStyle w:val="LI-BodyTextParaa"/>
        <w:numPr>
          <w:ilvl w:val="0"/>
          <w:numId w:val="3"/>
        </w:numPr>
      </w:pPr>
      <w:r>
        <w:t>Following further consultation with industry, we finalised a</w:t>
      </w:r>
      <w:r w:rsidR="008B794A">
        <w:t xml:space="preserve"> revised </w:t>
      </w:r>
      <w:r>
        <w:t xml:space="preserve">approach </w:t>
      </w:r>
      <w:r w:rsidR="008B794A">
        <w:t xml:space="preserve">in the 2024 Rules </w:t>
      </w:r>
      <w:r>
        <w:t>that retain</w:t>
      </w:r>
      <w:r w:rsidR="00FA62C9">
        <w:t>s</w:t>
      </w:r>
      <w:r>
        <w:t xml:space="preserve"> a single-jurisdiction </w:t>
      </w:r>
      <w:proofErr w:type="spellStart"/>
      <w:r>
        <w:t>UTI</w:t>
      </w:r>
      <w:proofErr w:type="spellEnd"/>
      <w:r>
        <w:t xml:space="preserve"> method if </w:t>
      </w:r>
      <w:r w:rsidR="00F65ABA">
        <w:t>the reporting entity</w:t>
      </w:r>
      <w:r>
        <w:t xml:space="preserve"> </w:t>
      </w:r>
      <w:r w:rsidR="00FA62C9">
        <w:t>is</w:t>
      </w:r>
      <w:r>
        <w:t xml:space="preserve"> certain it applies. If </w:t>
      </w:r>
      <w:r w:rsidR="00F65ABA">
        <w:t>the reporting entity</w:t>
      </w:r>
      <w:r>
        <w:t xml:space="preserve"> is not certain, then the flexible approach to multi-jurisdictional reporting applies. </w:t>
      </w:r>
      <w:r w:rsidR="00F65ABA">
        <w:t>The reporting entity</w:t>
      </w:r>
      <w:r>
        <w:t xml:space="preserve"> is responsible for its compliance with its own foreign jurisdiction </w:t>
      </w:r>
      <w:proofErr w:type="spellStart"/>
      <w:r>
        <w:t>UTI</w:t>
      </w:r>
      <w:proofErr w:type="spellEnd"/>
      <w:r>
        <w:t xml:space="preserve"> reporting (if any</w:t>
      </w:r>
      <w:proofErr w:type="gramStart"/>
      <w:r>
        <w:t>)</w:t>
      </w:r>
      <w:proofErr w:type="gramEnd"/>
      <w:r>
        <w:t xml:space="preserve"> but </w:t>
      </w:r>
      <w:r w:rsidR="001B3079">
        <w:t>R</w:t>
      </w:r>
      <w:r w:rsidR="006A2251">
        <w:t>ule</w:t>
      </w:r>
      <w:r w:rsidR="001B3079">
        <w:t xml:space="preserve"> 2.2.9</w:t>
      </w:r>
      <w:r w:rsidR="006A2251">
        <w:t xml:space="preserve"> does not </w:t>
      </w:r>
      <w:r w:rsidR="006B1681">
        <w:t xml:space="preserve">set out any </w:t>
      </w:r>
      <w:r>
        <w:t>responsib</w:t>
      </w:r>
      <w:r w:rsidR="006B1681">
        <w:t>ility</w:t>
      </w:r>
      <w:r>
        <w:t xml:space="preserve"> for the other counterparty’s compliance with its </w:t>
      </w:r>
      <w:proofErr w:type="spellStart"/>
      <w:r>
        <w:t>UTI</w:t>
      </w:r>
      <w:proofErr w:type="spellEnd"/>
      <w:r>
        <w:t xml:space="preserve"> reporting.</w:t>
      </w:r>
    </w:p>
    <w:p w14:paraId="12CA4481" w14:textId="76E8CB35" w:rsidR="00607D6B" w:rsidRDefault="00FD5056" w:rsidP="002E110A">
      <w:pPr>
        <w:pStyle w:val="LI-BodyTextParaa"/>
        <w:numPr>
          <w:ilvl w:val="0"/>
          <w:numId w:val="3"/>
        </w:numPr>
      </w:pPr>
      <w:r>
        <w:t xml:space="preserve">Submissions also </w:t>
      </w:r>
      <w:r w:rsidR="00607D6B">
        <w:t xml:space="preserve">raised concerns that our proposal to require </w:t>
      </w:r>
      <w:proofErr w:type="spellStart"/>
      <w:r w:rsidR="00607D6B">
        <w:t>UTI</w:t>
      </w:r>
      <w:proofErr w:type="spellEnd"/>
      <w:r w:rsidR="00607D6B">
        <w:t xml:space="preserve"> generating entities to provide the </w:t>
      </w:r>
      <w:proofErr w:type="spellStart"/>
      <w:r w:rsidR="00607D6B">
        <w:t>UTI</w:t>
      </w:r>
      <w:proofErr w:type="spellEnd"/>
      <w:r w:rsidR="00607D6B">
        <w:t xml:space="preserve"> to the other counterparty by 10</w:t>
      </w:r>
      <w:r w:rsidR="001B3079">
        <w:t xml:space="preserve"> </w:t>
      </w:r>
      <w:r w:rsidR="00607D6B">
        <w:t xml:space="preserve">am Sydney time on the next business day was challenging for non-mainstream cases of </w:t>
      </w:r>
      <w:r w:rsidR="00053D11">
        <w:t>“</w:t>
      </w:r>
      <w:r w:rsidR="00607D6B">
        <w:t>structured</w:t>
      </w:r>
      <w:r w:rsidR="00053D11">
        <w:t>”</w:t>
      </w:r>
      <w:r w:rsidR="00607D6B">
        <w:t xml:space="preserve"> transactions and transactions that are not electronically confirmed.</w:t>
      </w:r>
      <w:r w:rsidR="00B61A1F">
        <w:t xml:space="preserve"> </w:t>
      </w:r>
      <w:r w:rsidR="00AB40E1">
        <w:t xml:space="preserve">Some </w:t>
      </w:r>
      <w:r w:rsidR="00607D6B">
        <w:t xml:space="preserve">respondents, considering their role as </w:t>
      </w:r>
      <w:proofErr w:type="spellStart"/>
      <w:r w:rsidR="00607D6B">
        <w:t>UTI</w:t>
      </w:r>
      <w:proofErr w:type="spellEnd"/>
      <w:r w:rsidR="00607D6B">
        <w:t xml:space="preserve"> recipients, noted that they would be penalised by failings in </w:t>
      </w:r>
      <w:proofErr w:type="spellStart"/>
      <w:r w:rsidR="00607D6B">
        <w:t>UTI</w:t>
      </w:r>
      <w:proofErr w:type="spellEnd"/>
      <w:r w:rsidR="00607D6B">
        <w:t xml:space="preserve"> provision by their counterparties</w:t>
      </w:r>
      <w:r w:rsidR="00464516">
        <w:t xml:space="preserve">, in terms of having to set up </w:t>
      </w:r>
      <w:r w:rsidR="00607D6B">
        <w:t xml:space="preserve">new workflows for transactions </w:t>
      </w:r>
      <w:r w:rsidR="00053D11">
        <w:t>“</w:t>
      </w:r>
      <w:r w:rsidR="00607D6B">
        <w:t xml:space="preserve">awaiting </w:t>
      </w:r>
      <w:proofErr w:type="spellStart"/>
      <w:r w:rsidR="00607D6B">
        <w:t>UTI</w:t>
      </w:r>
      <w:proofErr w:type="spellEnd"/>
      <w:r w:rsidR="00053D11">
        <w:t>”</w:t>
      </w:r>
      <w:r w:rsidR="00607D6B">
        <w:t xml:space="preserve"> but still meet the reporting deadline by creating and reporting their own </w:t>
      </w:r>
      <w:proofErr w:type="spellStart"/>
      <w:r w:rsidR="00607D6B">
        <w:t>UTI</w:t>
      </w:r>
      <w:proofErr w:type="spellEnd"/>
      <w:r w:rsidR="00271470">
        <w:t>.</w:t>
      </w:r>
    </w:p>
    <w:p w14:paraId="59FE4E05" w14:textId="6D67AF2B" w:rsidR="008C47DF" w:rsidRDefault="00607D6B" w:rsidP="002E110A">
      <w:pPr>
        <w:pStyle w:val="LI-BodyTextParaa"/>
        <w:numPr>
          <w:ilvl w:val="0"/>
          <w:numId w:val="3"/>
        </w:numPr>
      </w:pPr>
      <w:r>
        <w:t>Industry suggested that these concerns could be alleviated by extending the ordinary deadline for reporting from one business day after the trade date (T+1) to two business days after the trade date (T+2), which would also align with the reporting deadlines of Singapore</w:t>
      </w:r>
      <w:r w:rsidR="00AD582D">
        <w:t xml:space="preserve">, </w:t>
      </w:r>
      <w:r>
        <w:t>Hong Kong, and Japan.</w:t>
      </w:r>
    </w:p>
    <w:p w14:paraId="69F78819" w14:textId="777D4BE9" w:rsidR="00776DEE" w:rsidRDefault="00327B61" w:rsidP="002E110A">
      <w:pPr>
        <w:pStyle w:val="LI-BodyTextParaa"/>
        <w:numPr>
          <w:ilvl w:val="0"/>
          <w:numId w:val="3"/>
        </w:numPr>
      </w:pPr>
      <w:r>
        <w:t xml:space="preserve">The 2024 Rules responds to these concerns by </w:t>
      </w:r>
      <w:r w:rsidR="00A527C8">
        <w:t>extending the ordinary deadline for reporting from T+1 to T+2</w:t>
      </w:r>
      <w:r w:rsidR="00C61601">
        <w:t xml:space="preserve">. </w:t>
      </w:r>
      <w:bookmarkStart w:id="11" w:name="_Hlk118888220"/>
      <w:r w:rsidR="00C61601">
        <w:t xml:space="preserve">In addition, the deadline for reporting </w:t>
      </w:r>
      <w:r w:rsidR="00803603">
        <w:t>“</w:t>
      </w:r>
      <w:r w:rsidR="0060146D">
        <w:t>structured</w:t>
      </w:r>
      <w:r w:rsidR="00803603">
        <w:t>”</w:t>
      </w:r>
      <w:r w:rsidR="0060146D">
        <w:t xml:space="preserve"> transactions is extended to T+4</w:t>
      </w:r>
      <w:r w:rsidR="00A21D97">
        <w:t xml:space="preserve">. </w:t>
      </w:r>
      <w:bookmarkEnd w:id="11"/>
      <w:r w:rsidR="00A21D97">
        <w:t>These relaxed deadlines for reporting</w:t>
      </w:r>
      <w:r w:rsidR="00480231">
        <w:t xml:space="preserve"> </w:t>
      </w:r>
      <w:r w:rsidR="00AE33AC">
        <w:t xml:space="preserve">reduce the imperative </w:t>
      </w:r>
      <w:r w:rsidR="00FD0354">
        <w:t xml:space="preserve">for a specific deadline </w:t>
      </w:r>
      <w:r w:rsidR="005254CF">
        <w:t xml:space="preserve">by which </w:t>
      </w:r>
      <w:r w:rsidR="00F65ABA">
        <w:t>a reporting entity</w:t>
      </w:r>
      <w:r w:rsidR="005254CF">
        <w:t xml:space="preserve"> must provide the </w:t>
      </w:r>
      <w:proofErr w:type="spellStart"/>
      <w:r w:rsidR="005254CF">
        <w:t>UTI</w:t>
      </w:r>
      <w:proofErr w:type="spellEnd"/>
      <w:r w:rsidR="005254CF">
        <w:t xml:space="preserve"> to its counterparty and the </w:t>
      </w:r>
      <w:r w:rsidR="002B4F84">
        <w:t xml:space="preserve">requirement is to do so </w:t>
      </w:r>
      <w:r w:rsidR="00803603">
        <w:t>“</w:t>
      </w:r>
      <w:r w:rsidR="003160EF">
        <w:t>as soon as practicable</w:t>
      </w:r>
      <w:r w:rsidR="00803603">
        <w:t>”</w:t>
      </w:r>
      <w:r w:rsidR="00F20F51">
        <w:t xml:space="preserve">. The relaxed deadlines for reporting are also expected to reduce the incidence of </w:t>
      </w:r>
      <w:r w:rsidR="00241FD4">
        <w:t>“</w:t>
      </w:r>
      <w:r w:rsidR="00F20F51">
        <w:t xml:space="preserve">awaiting </w:t>
      </w:r>
      <w:proofErr w:type="spellStart"/>
      <w:r w:rsidR="00F20F51">
        <w:t>UTI</w:t>
      </w:r>
      <w:proofErr w:type="spellEnd"/>
      <w:r w:rsidR="00241FD4">
        <w:t>”</w:t>
      </w:r>
      <w:r w:rsidR="00F20F51">
        <w:t xml:space="preserve"> situations</w:t>
      </w:r>
      <w:r w:rsidR="009F2104">
        <w:t xml:space="preserve"> as compared to maint</w:t>
      </w:r>
      <w:r w:rsidR="00776DEE">
        <w:t>aining a T+1 deadline for reporting.</w:t>
      </w:r>
    </w:p>
    <w:p w14:paraId="2E136CA6" w14:textId="3E68E64B" w:rsidR="005349DD" w:rsidRPr="00B22FFA" w:rsidRDefault="005349DD" w:rsidP="005349DD">
      <w:pPr>
        <w:pStyle w:val="LI-BodyTextParaa"/>
        <w:ind w:left="0" w:firstLine="0"/>
        <w:rPr>
          <w:i/>
          <w:iCs/>
        </w:rPr>
      </w:pPr>
      <w:r>
        <w:rPr>
          <w:i/>
          <w:iCs/>
        </w:rPr>
        <w:t>U</w:t>
      </w:r>
      <w:r w:rsidR="00877975">
        <w:rPr>
          <w:i/>
          <w:iCs/>
        </w:rPr>
        <w:t>P</w:t>
      </w:r>
      <w:r>
        <w:rPr>
          <w:i/>
          <w:iCs/>
        </w:rPr>
        <w:t>Is</w:t>
      </w:r>
    </w:p>
    <w:p w14:paraId="48F60128" w14:textId="1A48224E" w:rsidR="00877975" w:rsidRDefault="00877975" w:rsidP="002E110A">
      <w:pPr>
        <w:pStyle w:val="LI-BodyTextParaa"/>
        <w:numPr>
          <w:ilvl w:val="0"/>
          <w:numId w:val="3"/>
        </w:numPr>
      </w:pPr>
      <w:r>
        <w:t xml:space="preserve">The UPI is a globally unique product identifier (as a 12-character code) to be used in </w:t>
      </w:r>
      <w:r w:rsidR="000B7195">
        <w:t xml:space="preserve">OTC </w:t>
      </w:r>
      <w:r>
        <w:t>derivatives transactions reporting to identify the type of derivative that is reported – such as an equity option over a particular underlying share. It will provide an internationally common product schema, with its attendant simplification for reporting entities, derivative trade repositories and regulatory authorities.</w:t>
      </w:r>
    </w:p>
    <w:p w14:paraId="0FE65334" w14:textId="24F56B99" w:rsidR="00200B45" w:rsidRDefault="00877975" w:rsidP="002E110A">
      <w:pPr>
        <w:pStyle w:val="LI-BodyTextParaa"/>
        <w:numPr>
          <w:ilvl w:val="0"/>
          <w:numId w:val="3"/>
        </w:numPr>
      </w:pPr>
      <w:r>
        <w:t xml:space="preserve">The UPI Guidance provides a system design and suggested reference data elements and reference data values – </w:t>
      </w:r>
      <w:proofErr w:type="gramStart"/>
      <w:r>
        <w:t>i.e.</w:t>
      </w:r>
      <w:proofErr w:type="gramEnd"/>
      <w:r>
        <w:t xml:space="preserve"> the information to which the code relates, such as the currency pairs, interest rate benchmark rate, underlying asset or instrument, option type and settlement calculation method. The system </w:t>
      </w:r>
      <w:r>
        <w:lastRenderedPageBreak/>
        <w:t>design, reference data elements and technical specification of the code are set out in ISO standard 4914</w:t>
      </w:r>
      <w:r w:rsidR="009D69FA">
        <w:t xml:space="preserve"> Financial services — Unique product identifier (UPI)</w:t>
      </w:r>
      <w:r>
        <w:t>.</w:t>
      </w:r>
    </w:p>
    <w:p w14:paraId="2DC61917" w14:textId="653036EF" w:rsidR="00627805" w:rsidRDefault="00DC162B" w:rsidP="002E110A">
      <w:pPr>
        <w:pStyle w:val="LI-BodyTextParaa"/>
        <w:numPr>
          <w:ilvl w:val="0"/>
          <w:numId w:val="3"/>
        </w:numPr>
      </w:pPr>
      <w:r>
        <w:t xml:space="preserve">At the time of </w:t>
      </w:r>
      <w:r w:rsidR="00AC7C4D">
        <w:t xml:space="preserve">the release of </w:t>
      </w:r>
      <w:r w:rsidR="00066ECB">
        <w:t xml:space="preserve">CP 334, </w:t>
      </w:r>
      <w:r w:rsidR="001F3132" w:rsidRPr="00D66F32">
        <w:t xml:space="preserve">the governance and operational arrangements </w:t>
      </w:r>
      <w:r w:rsidR="001F3132">
        <w:t xml:space="preserve">for the UPI system had </w:t>
      </w:r>
      <w:r w:rsidR="001F3132" w:rsidRPr="00D66F32">
        <w:t xml:space="preserve">been </w:t>
      </w:r>
      <w:r w:rsidR="001F3132">
        <w:t xml:space="preserve">substantively </w:t>
      </w:r>
      <w:r w:rsidR="001F3132" w:rsidRPr="00D66F32">
        <w:t>established</w:t>
      </w:r>
      <w:r w:rsidR="00C24F90">
        <w:t xml:space="preserve"> but </w:t>
      </w:r>
      <w:r w:rsidR="00853636">
        <w:t>the international operationalisation</w:t>
      </w:r>
      <w:r w:rsidR="00D3349E">
        <w:t xml:space="preserve"> of the UPI system was not well developed</w:t>
      </w:r>
      <w:r w:rsidR="00241FD4">
        <w:t>,</w:t>
      </w:r>
      <w:r w:rsidR="009A4382">
        <w:t xml:space="preserve"> and the scope of </w:t>
      </w:r>
      <w:r w:rsidR="00997710">
        <w:t xml:space="preserve">product information that would be embedded </w:t>
      </w:r>
      <w:r w:rsidR="003041F8">
        <w:t xml:space="preserve">as reference data </w:t>
      </w:r>
      <w:r w:rsidR="008837CA">
        <w:t>elements of</w:t>
      </w:r>
      <w:r w:rsidR="00997710">
        <w:t xml:space="preserve"> a UPI code </w:t>
      </w:r>
      <w:r w:rsidR="0011655B">
        <w:t>was not fully defined</w:t>
      </w:r>
      <w:r w:rsidR="00C24F90">
        <w:t>.</w:t>
      </w:r>
    </w:p>
    <w:p w14:paraId="0235E447" w14:textId="4BE79E94" w:rsidR="003444FC" w:rsidRDefault="003E00AA" w:rsidP="002E110A">
      <w:pPr>
        <w:pStyle w:val="LI-BodyTextParaa"/>
        <w:numPr>
          <w:ilvl w:val="0"/>
          <w:numId w:val="3"/>
        </w:numPr>
      </w:pPr>
      <w:r>
        <w:t xml:space="preserve">In CP 334 we </w:t>
      </w:r>
      <w:r w:rsidR="00066ECB">
        <w:t xml:space="preserve">proposed </w:t>
      </w:r>
      <w:r w:rsidR="00627805">
        <w:t xml:space="preserve">including the UPI as a reportable data element and identified data elements that may need to continue to be reported as separate data elements if they </w:t>
      </w:r>
      <w:r w:rsidR="000B7195">
        <w:t xml:space="preserve">were </w:t>
      </w:r>
      <w:r w:rsidR="00627805">
        <w:t xml:space="preserve">not embedded as reference data elements </w:t>
      </w:r>
      <w:r w:rsidR="008837CA">
        <w:t>of</w:t>
      </w:r>
      <w:r w:rsidR="00627805">
        <w:t xml:space="preserve"> </w:t>
      </w:r>
      <w:r w:rsidR="008837CA">
        <w:t>a</w:t>
      </w:r>
      <w:r w:rsidR="00627805">
        <w:t xml:space="preserve"> UPI</w:t>
      </w:r>
      <w:r w:rsidR="003041F8">
        <w:t xml:space="preserve"> code.</w:t>
      </w:r>
      <w:r w:rsidR="008837CA">
        <w:t xml:space="preserve"> </w:t>
      </w:r>
      <w:r w:rsidR="00FB0938">
        <w:t xml:space="preserve">Given </w:t>
      </w:r>
      <w:r w:rsidR="006D488A">
        <w:t xml:space="preserve">the </w:t>
      </w:r>
      <w:r w:rsidR="00965583">
        <w:t>then un</w:t>
      </w:r>
      <w:r w:rsidR="009B015E">
        <w:t xml:space="preserve">derdeveloped state of the UPI system, we </w:t>
      </w:r>
      <w:r w:rsidR="003444FC">
        <w:t>did not seek specific feedback on our proposed approach.</w:t>
      </w:r>
    </w:p>
    <w:p w14:paraId="22C9A094" w14:textId="4F85BE05" w:rsidR="00E7474F" w:rsidRDefault="007A0358" w:rsidP="002E110A">
      <w:pPr>
        <w:pStyle w:val="LI-BodyTextParaa"/>
        <w:numPr>
          <w:ilvl w:val="0"/>
          <w:numId w:val="3"/>
        </w:numPr>
      </w:pPr>
      <w:r>
        <w:t xml:space="preserve">At the time of release </w:t>
      </w:r>
      <w:r w:rsidR="005E12EB">
        <w:t xml:space="preserve">of CP 361, the </w:t>
      </w:r>
      <w:r w:rsidR="0039635D">
        <w:t xml:space="preserve">UPI system was </w:t>
      </w:r>
      <w:r w:rsidR="004134A1">
        <w:t xml:space="preserve">better </w:t>
      </w:r>
      <w:proofErr w:type="gramStart"/>
      <w:r w:rsidR="004134A1">
        <w:t>developed</w:t>
      </w:r>
      <w:proofErr w:type="gramEnd"/>
      <w:r w:rsidR="004134A1">
        <w:t xml:space="preserve"> and </w:t>
      </w:r>
      <w:r w:rsidR="00B34B7E">
        <w:t>the</w:t>
      </w:r>
      <w:r w:rsidR="00D563FF">
        <w:t xml:space="preserve"> scope of product information </w:t>
      </w:r>
      <w:r w:rsidR="00482965">
        <w:t xml:space="preserve">not covered within the system </w:t>
      </w:r>
      <w:r w:rsidR="00B34B7E">
        <w:t xml:space="preserve">was </w:t>
      </w:r>
      <w:r w:rsidR="00D563FF">
        <w:t>clearer</w:t>
      </w:r>
      <w:r w:rsidR="00482965">
        <w:t xml:space="preserve">. </w:t>
      </w:r>
      <w:r w:rsidR="00B34B7E">
        <w:t xml:space="preserve">We proposed a number of </w:t>
      </w:r>
      <w:r w:rsidR="004C5A66">
        <w:t xml:space="preserve">additional </w:t>
      </w:r>
      <w:r w:rsidR="00B34B7E">
        <w:t xml:space="preserve">data elements </w:t>
      </w:r>
      <w:r w:rsidR="00453554">
        <w:t xml:space="preserve">necessary to cover these gaps, including where the underlier </w:t>
      </w:r>
      <w:r w:rsidR="00F77B0B">
        <w:t xml:space="preserve">of an OTC derivative was not explicitly </w:t>
      </w:r>
      <w:r w:rsidR="00E7474F">
        <w:t xml:space="preserve">named </w:t>
      </w:r>
      <w:r w:rsidR="00CF6171">
        <w:t xml:space="preserve">or identified </w:t>
      </w:r>
      <w:r w:rsidR="00E7474F">
        <w:t>within the UPI system</w:t>
      </w:r>
      <w:r w:rsidR="00CF6171">
        <w:t xml:space="preserve"> (a </w:t>
      </w:r>
      <w:r w:rsidR="00D475FA">
        <w:t>“</w:t>
      </w:r>
      <w:r w:rsidR="00CF6171">
        <w:t>non-UPI underlier</w:t>
      </w:r>
      <w:r w:rsidR="00D475FA">
        <w:t>”</w:t>
      </w:r>
      <w:r w:rsidR="00CF6171">
        <w:t>)</w:t>
      </w:r>
      <w:r w:rsidR="00E7474F">
        <w:t>.</w:t>
      </w:r>
    </w:p>
    <w:p w14:paraId="77BF12C1" w14:textId="64C9AE0B" w:rsidR="00621F92" w:rsidRDefault="00425792" w:rsidP="002E110A">
      <w:pPr>
        <w:pStyle w:val="LI-BodyTextParaa"/>
        <w:numPr>
          <w:ilvl w:val="0"/>
          <w:numId w:val="3"/>
        </w:numPr>
      </w:pPr>
      <w:r>
        <w:t xml:space="preserve">Submissions </w:t>
      </w:r>
      <w:r w:rsidR="0047241C">
        <w:t xml:space="preserve">to </w:t>
      </w:r>
      <w:r w:rsidR="00482965">
        <w:t>C</w:t>
      </w:r>
      <w:r w:rsidR="004C5A66">
        <w:t xml:space="preserve">P 361 </w:t>
      </w:r>
      <w:r w:rsidR="00D728CC">
        <w:t>broadly supported the addition of these data elements</w:t>
      </w:r>
      <w:r w:rsidR="00B77ACD">
        <w:t xml:space="preserve">, but some concerns were expressed </w:t>
      </w:r>
      <w:r w:rsidR="00CF6171">
        <w:t xml:space="preserve">about the requirement </w:t>
      </w:r>
      <w:r w:rsidR="00B22A4F">
        <w:t>to report non-UPI underliers</w:t>
      </w:r>
      <w:r w:rsidR="00D475FA">
        <w:t>.</w:t>
      </w:r>
      <w:r w:rsidR="00B22A4F">
        <w:t xml:space="preserve"> </w:t>
      </w:r>
      <w:r w:rsidR="00D475FA">
        <w:t>I</w:t>
      </w:r>
      <w:r w:rsidR="00FE2929">
        <w:t xml:space="preserve">t was suggested that this </w:t>
      </w:r>
      <w:r w:rsidR="00905598">
        <w:t xml:space="preserve">should only be an optional requirement </w:t>
      </w:r>
      <w:r w:rsidR="00DC45F8">
        <w:t>that allowed time for the UPI system to broaden its coverage</w:t>
      </w:r>
      <w:r w:rsidR="00621F92">
        <w:t xml:space="preserve"> of underliers.</w:t>
      </w:r>
    </w:p>
    <w:p w14:paraId="3A3BD6D3" w14:textId="73E638B3" w:rsidR="005349DD" w:rsidRDefault="00621F92" w:rsidP="002E110A">
      <w:pPr>
        <w:pStyle w:val="LI-BodyTextParaa"/>
        <w:numPr>
          <w:ilvl w:val="0"/>
          <w:numId w:val="3"/>
        </w:numPr>
      </w:pPr>
      <w:r>
        <w:t xml:space="preserve">We disagreed with this </w:t>
      </w:r>
      <w:r w:rsidR="009776FB">
        <w:t xml:space="preserve">suggestion as </w:t>
      </w:r>
      <w:r w:rsidR="00772A9B">
        <w:t xml:space="preserve">the importance of underlier </w:t>
      </w:r>
      <w:r w:rsidR="003F4582">
        <w:t xml:space="preserve">information </w:t>
      </w:r>
      <w:r w:rsidR="00E47873">
        <w:t xml:space="preserve">is </w:t>
      </w:r>
      <w:r w:rsidR="003F4582">
        <w:t xml:space="preserve">reflected in the </w:t>
      </w:r>
      <w:r w:rsidR="001936FB">
        <w:t>2013</w:t>
      </w:r>
      <w:r w:rsidR="00D950C3">
        <w:t xml:space="preserve"> Rules and 2022</w:t>
      </w:r>
      <w:r w:rsidR="001936FB">
        <w:t xml:space="preserve"> R</w:t>
      </w:r>
      <w:r w:rsidR="003F4582">
        <w:t>ules requirement</w:t>
      </w:r>
      <w:r w:rsidR="004A7AC6">
        <w:t>s</w:t>
      </w:r>
      <w:r w:rsidR="003F4582">
        <w:t xml:space="preserve"> to report an underlier in all circumstances</w:t>
      </w:r>
      <w:r w:rsidR="007718EF">
        <w:t xml:space="preserve">. </w:t>
      </w:r>
      <w:r w:rsidR="00025C0D">
        <w:t xml:space="preserve">The 2024 Rules maintain this requirement </w:t>
      </w:r>
      <w:r w:rsidR="00091002">
        <w:t xml:space="preserve">that an underlier be reported as either </w:t>
      </w:r>
      <w:r w:rsidR="004E6815">
        <w:t xml:space="preserve">product information embedded in a UPI code </w:t>
      </w:r>
      <w:r w:rsidR="005F41AC">
        <w:t>(</w:t>
      </w:r>
      <w:r w:rsidR="00B1754C">
        <w:t xml:space="preserve">a </w:t>
      </w:r>
      <w:r w:rsidR="008A3FB0">
        <w:t>“</w:t>
      </w:r>
      <w:r w:rsidR="00B1754C">
        <w:t>UPI underlier</w:t>
      </w:r>
      <w:r w:rsidR="008A3FB0">
        <w:t>”</w:t>
      </w:r>
      <w:r w:rsidR="00B1754C">
        <w:t xml:space="preserve">) </w:t>
      </w:r>
      <w:r w:rsidR="004E6815">
        <w:t>or as a separate data element</w:t>
      </w:r>
      <w:r w:rsidR="00B1754C">
        <w:t xml:space="preserve"> (as a non-UPI underlier)</w:t>
      </w:r>
      <w:r w:rsidR="00F57C87">
        <w:t xml:space="preserve">. </w:t>
      </w:r>
      <w:r w:rsidR="00025C0D">
        <w:t xml:space="preserve">However, </w:t>
      </w:r>
      <w:r w:rsidR="00F57C87">
        <w:t xml:space="preserve">to allow that reporting entities do not need </w:t>
      </w:r>
      <w:r w:rsidR="00E5139B">
        <w:t xml:space="preserve">to </w:t>
      </w:r>
      <w:r w:rsidR="00702E4D">
        <w:t>implement specif</w:t>
      </w:r>
      <w:r w:rsidR="00655AE9">
        <w:t xml:space="preserve">ic tests in </w:t>
      </w:r>
      <w:r w:rsidR="00025C0D">
        <w:t>the</w:t>
      </w:r>
      <w:r w:rsidR="00612C0B">
        <w:t xml:space="preserve">ir reporting systems to distinguish between </w:t>
      </w:r>
      <w:r w:rsidR="00E5139B">
        <w:t xml:space="preserve">UPI underliers and non-UPI underliers, the 2024 Rules allow that </w:t>
      </w:r>
      <w:r w:rsidR="00C029C4">
        <w:t xml:space="preserve">all underliers may be reported as the separate data element, even if </w:t>
      </w:r>
      <w:r w:rsidR="00C25364">
        <w:t>it is</w:t>
      </w:r>
      <w:r w:rsidR="00F43207">
        <w:t xml:space="preserve"> UPI underlier</w:t>
      </w:r>
      <w:r w:rsidR="00C25364">
        <w:t xml:space="preserve">. </w:t>
      </w:r>
      <w:r w:rsidR="00C434BE">
        <w:t xml:space="preserve">The 2024 Rules also respond to concerns that the </w:t>
      </w:r>
      <w:r w:rsidR="00926D60">
        <w:t xml:space="preserve">proposed </w:t>
      </w:r>
      <w:r w:rsidR="00C434BE">
        <w:t>technical specification</w:t>
      </w:r>
      <w:r w:rsidR="00585B24">
        <w:t xml:space="preserve"> of the required non</w:t>
      </w:r>
      <w:r w:rsidR="00926D60">
        <w:t>-UPI underlier identifier</w:t>
      </w:r>
      <w:r w:rsidR="003F62F9">
        <w:t xml:space="preserve"> </w:t>
      </w:r>
      <w:r w:rsidR="005779D9">
        <w:t xml:space="preserve">as a waterfall of types of identifiers </w:t>
      </w:r>
      <w:r w:rsidR="003F62F9">
        <w:t>was too prescriptive</w:t>
      </w:r>
      <w:r w:rsidR="005779D9">
        <w:t xml:space="preserve"> </w:t>
      </w:r>
      <w:r w:rsidR="00E35B51">
        <w:t>by allowing that any one of the identifier types may be reported</w:t>
      </w:r>
      <w:r w:rsidR="00E957C5">
        <w:t>.</w:t>
      </w:r>
    </w:p>
    <w:p w14:paraId="50E66A4E" w14:textId="3A8E73E2" w:rsidR="00DF6DA5" w:rsidRPr="00B22FFA" w:rsidRDefault="00DF6DA5" w:rsidP="00DF6DA5">
      <w:pPr>
        <w:pStyle w:val="LI-BodyTextParaa"/>
        <w:ind w:left="0" w:firstLine="0"/>
        <w:rPr>
          <w:i/>
          <w:iCs/>
        </w:rPr>
      </w:pPr>
      <w:proofErr w:type="spellStart"/>
      <w:r>
        <w:rPr>
          <w:i/>
          <w:iCs/>
        </w:rPr>
        <w:t>LEIs</w:t>
      </w:r>
      <w:proofErr w:type="spellEnd"/>
    </w:p>
    <w:p w14:paraId="20821FC3" w14:textId="77777777" w:rsidR="00A57E77" w:rsidRDefault="00DF6DA5" w:rsidP="002E110A">
      <w:pPr>
        <w:pStyle w:val="LI-BodyTextParaa"/>
        <w:numPr>
          <w:ilvl w:val="0"/>
          <w:numId w:val="3"/>
        </w:numPr>
      </w:pPr>
      <w:r>
        <w:t xml:space="preserve">In CP 334 we proposed that all entities be identified with an LEI, other than natural persons not acting in a business capacity (who are not eligible to obtain an LEI). </w:t>
      </w:r>
    </w:p>
    <w:p w14:paraId="328907AE" w14:textId="79FD091F" w:rsidR="00DF6DA5" w:rsidRDefault="00DF6DA5" w:rsidP="002E110A">
      <w:pPr>
        <w:pStyle w:val="LI-BodyTextParaa"/>
        <w:numPr>
          <w:ilvl w:val="0"/>
          <w:numId w:val="3"/>
        </w:numPr>
      </w:pPr>
      <w:r>
        <w:t xml:space="preserve">In CP 361, we </w:t>
      </w:r>
      <w:r w:rsidR="00DA39D3">
        <w:t xml:space="preserve">further </w:t>
      </w:r>
      <w:r>
        <w:t xml:space="preserve">proposed that the </w:t>
      </w:r>
      <w:proofErr w:type="spellStart"/>
      <w:r>
        <w:t>LEIs</w:t>
      </w:r>
      <w:proofErr w:type="spellEnd"/>
      <w:r>
        <w:t xml:space="preserve"> must be current (</w:t>
      </w:r>
      <w:proofErr w:type="gramStart"/>
      <w:r>
        <w:t>i.e.</w:t>
      </w:r>
      <w:proofErr w:type="gramEnd"/>
      <w:r>
        <w:t xml:space="preserve"> duly renewed), other than for foreign counterparties</w:t>
      </w:r>
      <w:r w:rsidR="00A57E77">
        <w:t xml:space="preserve"> and beneficiaries</w:t>
      </w:r>
      <w:r>
        <w:t xml:space="preserve"> who are not ASIC reporting entities.</w:t>
      </w:r>
    </w:p>
    <w:p w14:paraId="4DF873C7" w14:textId="0A7026A1" w:rsidR="00DF6DA5" w:rsidRPr="0066359F" w:rsidRDefault="00DF6DA5" w:rsidP="002E110A">
      <w:pPr>
        <w:pStyle w:val="LI-BodyTextParaa"/>
        <w:numPr>
          <w:ilvl w:val="0"/>
          <w:numId w:val="3"/>
        </w:numPr>
      </w:pPr>
      <w:r w:rsidRPr="0066359F">
        <w:lastRenderedPageBreak/>
        <w:t>Some submission</w:t>
      </w:r>
      <w:r>
        <w:t>s to CP 361</w:t>
      </w:r>
      <w:r w:rsidRPr="0066359F">
        <w:t xml:space="preserve"> were concerned that the requirement for a </w:t>
      </w:r>
      <w:r>
        <w:t xml:space="preserve">current </w:t>
      </w:r>
      <w:r w:rsidRPr="0066359F">
        <w:t xml:space="preserve">LEI for </w:t>
      </w:r>
      <w:r w:rsidR="00A57E77">
        <w:t>counterparty 2</w:t>
      </w:r>
      <w:r w:rsidRPr="0066359F">
        <w:t xml:space="preserve"> went beyond the requirements of </w:t>
      </w:r>
      <w:r>
        <w:t xml:space="preserve">derivative transaction rules of </w:t>
      </w:r>
      <w:r w:rsidRPr="0066359F">
        <w:t>other jurisdictions (</w:t>
      </w:r>
      <w:proofErr w:type="gramStart"/>
      <w:r w:rsidRPr="0066359F">
        <w:t>e.g.</w:t>
      </w:r>
      <w:proofErr w:type="gramEnd"/>
      <w:r w:rsidRPr="0066359F">
        <w:t xml:space="preserve"> </w:t>
      </w:r>
      <w:r>
        <w:t xml:space="preserve">the </w:t>
      </w:r>
      <w:r w:rsidRPr="0066359F">
        <w:t>CFTC and ESMA</w:t>
      </w:r>
      <w:r>
        <w:t xml:space="preserve"> rules</w:t>
      </w:r>
      <w:r w:rsidRPr="0066359F">
        <w:t>).</w:t>
      </w:r>
    </w:p>
    <w:p w14:paraId="4F7E83C4" w14:textId="77777777" w:rsidR="00DF6DA5" w:rsidRDefault="00DF6DA5" w:rsidP="002E110A">
      <w:pPr>
        <w:pStyle w:val="LI-BodyTextParaa"/>
        <w:numPr>
          <w:ilvl w:val="0"/>
          <w:numId w:val="3"/>
        </w:numPr>
      </w:pPr>
      <w:r>
        <w:t>The 2024 Rules respond to the concern by aligning with the requirements of the CFTC and ESMA rules by only requiring a current LEI to identify reporting entities, counterparty 1s and central counterparties. Where an LEI is required to identify any other entity, it need not be a current LEI.</w:t>
      </w:r>
    </w:p>
    <w:p w14:paraId="365250A4" w14:textId="049D4793" w:rsidR="00683E0A" w:rsidRDefault="001120F0" w:rsidP="0035176D">
      <w:pPr>
        <w:pStyle w:val="LI-BodyTextParaa"/>
        <w:numPr>
          <w:ilvl w:val="0"/>
          <w:numId w:val="3"/>
        </w:numPr>
      </w:pPr>
      <w:r>
        <w:t xml:space="preserve">The 2024 Rules </w:t>
      </w:r>
      <w:r w:rsidR="00965E5F">
        <w:t xml:space="preserve">also </w:t>
      </w:r>
      <w:r w:rsidR="00685831">
        <w:t xml:space="preserve">respond to </w:t>
      </w:r>
      <w:r w:rsidR="002C14D7">
        <w:t>the challenge</w:t>
      </w:r>
      <w:r w:rsidR="00536EA3">
        <w:t xml:space="preserve">s expressed </w:t>
      </w:r>
      <w:r w:rsidR="006C699B">
        <w:t xml:space="preserve">from some stakeholders </w:t>
      </w:r>
      <w:r w:rsidR="00F46D1D">
        <w:t xml:space="preserve">in their CP </w:t>
      </w:r>
      <w:r w:rsidR="00BD22DC">
        <w:t>334</w:t>
      </w:r>
      <w:r w:rsidR="00F46D1D">
        <w:t xml:space="preserve"> responses </w:t>
      </w:r>
      <w:r w:rsidR="00A23954">
        <w:t xml:space="preserve">about </w:t>
      </w:r>
      <w:r w:rsidR="00A911CB">
        <w:t xml:space="preserve">the </w:t>
      </w:r>
      <w:r w:rsidR="00A472DC">
        <w:t>conver</w:t>
      </w:r>
      <w:r w:rsidR="009677D1">
        <w:t xml:space="preserve">sion of </w:t>
      </w:r>
      <w:r w:rsidR="00AB58EC">
        <w:t>many, typically small</w:t>
      </w:r>
      <w:r w:rsidR="00F610EF">
        <w:t>-</w:t>
      </w:r>
      <w:r w:rsidR="00AB58EC">
        <w:t xml:space="preserve"> and medium-sized</w:t>
      </w:r>
      <w:r w:rsidR="003A0AD4">
        <w:t>,</w:t>
      </w:r>
      <w:r w:rsidR="00AB58EC">
        <w:t xml:space="preserve"> en</w:t>
      </w:r>
      <w:r w:rsidR="00F610EF">
        <w:t xml:space="preserve">tities </w:t>
      </w:r>
      <w:r w:rsidR="003A0AD4">
        <w:t>from</w:t>
      </w:r>
      <w:r w:rsidR="0052517A">
        <w:t xml:space="preserve"> non-LEI to LEI identifiers</w:t>
      </w:r>
      <w:r w:rsidR="007329CC">
        <w:t xml:space="preserve">. </w:t>
      </w:r>
      <w:r w:rsidR="003324B2">
        <w:t xml:space="preserve">A form of </w:t>
      </w:r>
      <w:r w:rsidR="007202B9">
        <w:t xml:space="preserve">Exemption 2 </w:t>
      </w:r>
      <w:r w:rsidR="007E5E5F">
        <w:t>(Entity Information)</w:t>
      </w:r>
      <w:r w:rsidR="003D25B8">
        <w:t xml:space="preserve"> in </w:t>
      </w:r>
      <w:r w:rsidR="00FC2EDE" w:rsidRPr="008E1598">
        <w:rPr>
          <w:i/>
          <w:iCs/>
        </w:rPr>
        <w:t xml:space="preserve">ASIC </w:t>
      </w:r>
      <w:r w:rsidR="00657CD8" w:rsidRPr="008E1598">
        <w:rPr>
          <w:i/>
          <w:iCs/>
        </w:rPr>
        <w:t>Corpo</w:t>
      </w:r>
      <w:r w:rsidR="002C2D5B" w:rsidRPr="008E1598">
        <w:rPr>
          <w:i/>
          <w:iCs/>
        </w:rPr>
        <w:t>rations</w:t>
      </w:r>
      <w:r w:rsidR="00E34290" w:rsidRPr="008E1598">
        <w:rPr>
          <w:i/>
          <w:iCs/>
        </w:rPr>
        <w:t xml:space="preserve"> (Derivative</w:t>
      </w:r>
      <w:r w:rsidR="00E35922" w:rsidRPr="008E1598">
        <w:rPr>
          <w:i/>
          <w:iCs/>
        </w:rPr>
        <w:t xml:space="preserve"> Transaction Report</w:t>
      </w:r>
      <w:r w:rsidR="00F3090E" w:rsidRPr="008E1598">
        <w:rPr>
          <w:i/>
          <w:iCs/>
        </w:rPr>
        <w:t>ing Exemption</w:t>
      </w:r>
      <w:r w:rsidR="00024CAA" w:rsidRPr="008E1598">
        <w:rPr>
          <w:i/>
          <w:iCs/>
        </w:rPr>
        <w:t xml:space="preserve">) </w:t>
      </w:r>
      <w:r w:rsidR="00A363AD" w:rsidRPr="008E1598">
        <w:rPr>
          <w:i/>
          <w:iCs/>
        </w:rPr>
        <w:t>2015/844</w:t>
      </w:r>
      <w:r w:rsidR="00A363AD">
        <w:t xml:space="preserve"> </w:t>
      </w:r>
      <w:r w:rsidR="0070637E">
        <w:t>(</w:t>
      </w:r>
      <w:r w:rsidR="00554809" w:rsidRPr="00B17CBD">
        <w:rPr>
          <w:b/>
          <w:bCs/>
          <w:i/>
          <w:iCs/>
        </w:rPr>
        <w:t>Instr</w:t>
      </w:r>
      <w:r w:rsidR="00B17CBD" w:rsidRPr="00B17CBD">
        <w:rPr>
          <w:b/>
          <w:bCs/>
          <w:i/>
          <w:iCs/>
        </w:rPr>
        <w:t>ument 2015/844</w:t>
      </w:r>
      <w:r w:rsidR="00B17CBD">
        <w:t xml:space="preserve">) </w:t>
      </w:r>
      <w:r w:rsidR="007017F1">
        <w:t xml:space="preserve">is retained within the </w:t>
      </w:r>
      <w:r w:rsidR="002C7ADA">
        <w:t>2024 Rules</w:t>
      </w:r>
      <w:r w:rsidR="00455C81">
        <w:t xml:space="preserve"> </w:t>
      </w:r>
      <w:r w:rsidR="00A50D4B">
        <w:t>and</w:t>
      </w:r>
      <w:r w:rsidR="002F0595">
        <w:t xml:space="preserve"> </w:t>
      </w:r>
      <w:r w:rsidR="00227B04" w:rsidRPr="00227B04">
        <w:t>allows the reporting of a non-LEI entity identifier whe</w:t>
      </w:r>
      <w:r w:rsidR="001414D9">
        <w:t>re</w:t>
      </w:r>
      <w:r w:rsidR="00227B04" w:rsidRPr="00227B04">
        <w:t xml:space="preserve"> an LEI is applied for within two business days after the requirement to report the </w:t>
      </w:r>
      <w:r w:rsidR="00CB147C">
        <w:t>reportable transaction</w:t>
      </w:r>
      <w:r w:rsidR="00227B04" w:rsidRPr="00227B04">
        <w:t xml:space="preserve"> arises</w:t>
      </w:r>
      <w:r w:rsidR="002F0595">
        <w:t>.</w:t>
      </w:r>
    </w:p>
    <w:p w14:paraId="7103BCB6" w14:textId="6494E1F6" w:rsidR="00DD132C" w:rsidRPr="00B22FFA" w:rsidRDefault="00364E75" w:rsidP="00DD132C">
      <w:pPr>
        <w:pStyle w:val="LI-BodyTextParaa"/>
        <w:ind w:left="0" w:firstLine="0"/>
        <w:rPr>
          <w:i/>
          <w:iCs/>
        </w:rPr>
      </w:pPr>
      <w:r>
        <w:rPr>
          <w:i/>
          <w:iCs/>
        </w:rPr>
        <w:t>ASIC data elements</w:t>
      </w:r>
    </w:p>
    <w:p w14:paraId="7D6B0168" w14:textId="6EAA778C" w:rsidR="00634657" w:rsidRDefault="00FA417C" w:rsidP="002E110A">
      <w:pPr>
        <w:pStyle w:val="LI-BodyTextParaa"/>
        <w:numPr>
          <w:ilvl w:val="0"/>
          <w:numId w:val="3"/>
        </w:numPr>
      </w:pPr>
      <w:r w:rsidRPr="00FA417C">
        <w:t>The CDE Guidance is a set of 101</w:t>
      </w:r>
      <w:r w:rsidR="00BE281F">
        <w:rPr>
          <w:rStyle w:val="FootnoteReference"/>
        </w:rPr>
        <w:footnoteReference w:id="4"/>
      </w:r>
      <w:r w:rsidRPr="00FA417C">
        <w:t xml:space="preserve"> derivative transaction data elements in specified data types and formats and, where relevant, allowed values. It is intended to be the globally common, critical data elements from which regulators can draw to form their core individual datasets, supplemented by other data elements</w:t>
      </w:r>
      <w:r w:rsidR="00AE23CA">
        <w:t xml:space="preserve"> that are important to </w:t>
      </w:r>
      <w:r w:rsidR="00AE23CA" w:rsidRPr="00FA417C">
        <w:t>jurisdiction</w:t>
      </w:r>
      <w:r w:rsidR="00AE23CA">
        <w:t>s.</w:t>
      </w:r>
      <w:r w:rsidRPr="00FA417C">
        <w:t xml:space="preserve"> Harmonising the datasets of jurisdictions internationally has been a clarion call from industry since the inception of trade reporting.</w:t>
      </w:r>
    </w:p>
    <w:p w14:paraId="2483CD05" w14:textId="308C2EAC" w:rsidR="00640877" w:rsidRDefault="00640877" w:rsidP="002E110A">
      <w:pPr>
        <w:pStyle w:val="LI-BodyTextParaa"/>
        <w:numPr>
          <w:ilvl w:val="0"/>
          <w:numId w:val="3"/>
        </w:numPr>
      </w:pPr>
      <w:r>
        <w:t>In CP</w:t>
      </w:r>
      <w:r w:rsidR="00900D46">
        <w:t xml:space="preserve"> </w:t>
      </w:r>
      <w:r>
        <w:t xml:space="preserve">334, we set out the ASIC data elements that we proposed to include in the updated </w:t>
      </w:r>
      <w:r w:rsidR="00E47873">
        <w:t>requirements</w:t>
      </w:r>
      <w:r>
        <w:t>, as well as the data elements that we would consider for inclusion in proposals in the second round of consultation.</w:t>
      </w:r>
    </w:p>
    <w:p w14:paraId="2F8A5258" w14:textId="419A2542" w:rsidR="00C450F8" w:rsidRDefault="00640877" w:rsidP="002E110A">
      <w:pPr>
        <w:pStyle w:val="LI-BodyTextParaa"/>
        <w:numPr>
          <w:ilvl w:val="0"/>
          <w:numId w:val="3"/>
        </w:numPr>
      </w:pPr>
      <w:r>
        <w:t xml:space="preserve">These proposals included removing many data elements that </w:t>
      </w:r>
      <w:r w:rsidR="00425FC4">
        <w:t xml:space="preserve">were </w:t>
      </w:r>
      <w:r>
        <w:t xml:space="preserve">either unique to, or duplicative within, the </w:t>
      </w:r>
      <w:r w:rsidR="00425FC4">
        <w:t>2013</w:t>
      </w:r>
      <w:r>
        <w:t xml:space="preserve"> </w:t>
      </w:r>
      <w:r w:rsidR="00425FC4">
        <w:t>R</w:t>
      </w:r>
      <w:r w:rsidR="0010631D">
        <w:t>u</w:t>
      </w:r>
      <w:r>
        <w:t>les</w:t>
      </w:r>
      <w:r w:rsidR="00425FC4">
        <w:t xml:space="preserve"> </w:t>
      </w:r>
      <w:r>
        <w:t xml:space="preserve">and to adopt data elements from the CDE Guidance to expand the dataset for important data elements not in the </w:t>
      </w:r>
      <w:r w:rsidR="00C33C5D">
        <w:t>2013</w:t>
      </w:r>
      <w:r>
        <w:t xml:space="preserve"> </w:t>
      </w:r>
      <w:r w:rsidR="00C33C5D">
        <w:t>R</w:t>
      </w:r>
      <w:r>
        <w:t>ules.</w:t>
      </w:r>
    </w:p>
    <w:p w14:paraId="715D835E" w14:textId="4A757183" w:rsidR="00533437" w:rsidRDefault="00533437" w:rsidP="002E110A">
      <w:pPr>
        <w:pStyle w:val="LI-BodyTextParaa"/>
        <w:numPr>
          <w:ilvl w:val="0"/>
          <w:numId w:val="3"/>
        </w:numPr>
      </w:pPr>
      <w:r>
        <w:t xml:space="preserve">Submissions to CP 334 generally expressed support for, or did not make any significant objections to, our proposals that continued existing data elements, removed data </w:t>
      </w:r>
      <w:proofErr w:type="gramStart"/>
      <w:r>
        <w:t>elements</w:t>
      </w:r>
      <w:proofErr w:type="gramEnd"/>
      <w:r>
        <w:t xml:space="preserve"> and adopted data elements from the CDE Guidance or from the CFTC </w:t>
      </w:r>
      <w:r w:rsidR="00E472DE">
        <w:t>and/</w:t>
      </w:r>
      <w:r>
        <w:t>or ESMA datasets.</w:t>
      </w:r>
    </w:p>
    <w:p w14:paraId="2B85A363" w14:textId="34D31E41" w:rsidR="00533437" w:rsidRDefault="00533437" w:rsidP="002E110A">
      <w:pPr>
        <w:pStyle w:val="LI-BodyTextParaa"/>
        <w:numPr>
          <w:ilvl w:val="0"/>
          <w:numId w:val="3"/>
        </w:numPr>
      </w:pPr>
      <w:r>
        <w:t xml:space="preserve">Stakeholders raised concerns with a number of the data elements, particularly those that we were only considering for proposing in the second round of consultation. The concerns generally related to the complexities in sourcing the information from disparate systems (including the systems of outsourced execution agents and post-trade service providers), the </w:t>
      </w:r>
      <w:r w:rsidR="00A33B82">
        <w:t>perception of limited</w:t>
      </w:r>
      <w:r>
        <w:t xml:space="preserve"> </w:t>
      </w:r>
      <w:r>
        <w:lastRenderedPageBreak/>
        <w:t xml:space="preserve">regulatory importance of the information or the need to create various information in a manner </w:t>
      </w:r>
      <w:r w:rsidR="00592EEB">
        <w:t>inconsisten</w:t>
      </w:r>
      <w:r w:rsidR="0070637E">
        <w:t>t</w:t>
      </w:r>
      <w:r>
        <w:t xml:space="preserve"> with the approach in other jurisdictions.</w:t>
      </w:r>
    </w:p>
    <w:p w14:paraId="40D9D8B8" w14:textId="5D042293" w:rsidR="00533437" w:rsidRDefault="006133FA" w:rsidP="002E110A">
      <w:pPr>
        <w:pStyle w:val="LI-BodyTextParaa"/>
        <w:numPr>
          <w:ilvl w:val="0"/>
          <w:numId w:val="3"/>
        </w:numPr>
      </w:pPr>
      <w:r>
        <w:t xml:space="preserve">In </w:t>
      </w:r>
      <w:r w:rsidR="00533437">
        <w:t>CP 361, we decided to:</w:t>
      </w:r>
    </w:p>
    <w:p w14:paraId="005BD6D3" w14:textId="3862CA29" w:rsidR="00533437" w:rsidRDefault="00533437" w:rsidP="002E110A">
      <w:pPr>
        <w:pStyle w:val="LI-BodyTextParaa"/>
        <w:numPr>
          <w:ilvl w:val="1"/>
          <w:numId w:val="3"/>
        </w:numPr>
      </w:pPr>
      <w:r>
        <w:t xml:space="preserve">proceed with 117 </w:t>
      </w:r>
      <w:r w:rsidR="003E059C">
        <w:t xml:space="preserve">of 124 </w:t>
      </w:r>
      <w:r>
        <w:t xml:space="preserve">proposed data elements, including for some data elements notwithstanding stakeholder concerns about </w:t>
      </w:r>
      <w:r w:rsidR="00592CED">
        <w:t xml:space="preserve">their </w:t>
      </w:r>
      <w:r>
        <w:t>cost and complexity</w:t>
      </w:r>
      <w:r w:rsidR="00E92249">
        <w:t xml:space="preserve"> of reporting,</w:t>
      </w:r>
      <w:r>
        <w:t xml:space="preserve"> but with an exemption from certain extended requirements for about 90% of </w:t>
      </w:r>
      <w:proofErr w:type="gramStart"/>
      <w:r>
        <w:t>entities;</w:t>
      </w:r>
      <w:proofErr w:type="gramEnd"/>
      <w:r>
        <w:t xml:space="preserve"> and</w:t>
      </w:r>
    </w:p>
    <w:p w14:paraId="5E4D172B" w14:textId="77777777" w:rsidR="00533437" w:rsidRDefault="00533437" w:rsidP="002E110A">
      <w:pPr>
        <w:pStyle w:val="LI-BodyTextParaa"/>
        <w:numPr>
          <w:ilvl w:val="1"/>
          <w:numId w:val="3"/>
        </w:numPr>
      </w:pPr>
      <w:r>
        <w:t>not proceed with 19 data elements where we considered that the regulatory benefit of the information did not outweigh the cost and complexity to businesses.</w:t>
      </w:r>
    </w:p>
    <w:p w14:paraId="4E7EC781" w14:textId="5676018B" w:rsidR="00533437" w:rsidRDefault="00533437" w:rsidP="002E110A">
      <w:pPr>
        <w:pStyle w:val="LI-BodyTextParaa"/>
        <w:numPr>
          <w:ilvl w:val="0"/>
          <w:numId w:val="3"/>
        </w:numPr>
      </w:pPr>
      <w:r>
        <w:t>We also made proposals for 8 new data elements – 5 related to underlier information as an essentially unavoidable consequence of design decisions that the UPI system would not include this information</w:t>
      </w:r>
      <w:r w:rsidR="00BA1128">
        <w:t xml:space="preserve"> (as previously flagged in CP 334)</w:t>
      </w:r>
      <w:r>
        <w:t>, 1 to report the collateral amount calculation timestamp in the equivalent manner of valuation timestamp, and 2 to identify future events of benchmark rate-settings in the manner required in the CFTC rules.</w:t>
      </w:r>
    </w:p>
    <w:p w14:paraId="3DCB758A" w14:textId="697A3463" w:rsidR="00CB154E" w:rsidRDefault="00533437" w:rsidP="002E110A">
      <w:pPr>
        <w:pStyle w:val="LI-BodyTextParaa"/>
        <w:numPr>
          <w:ilvl w:val="0"/>
          <w:numId w:val="3"/>
        </w:numPr>
      </w:pPr>
      <w:r>
        <w:t xml:space="preserve">In addition, we proposed to exempt </w:t>
      </w:r>
      <w:r w:rsidR="00A31443">
        <w:t>“</w:t>
      </w:r>
      <w:r>
        <w:t>small-scale buy-side entities</w:t>
      </w:r>
      <w:r w:rsidR="00A31443">
        <w:t>”</w:t>
      </w:r>
      <w:r>
        <w:t xml:space="preserve"> from </w:t>
      </w:r>
      <w:r w:rsidR="00CB154E">
        <w:t xml:space="preserve">the </w:t>
      </w:r>
      <w:r>
        <w:t>extended requirements to report collateral, option notional conversion factors (</w:t>
      </w:r>
      <w:r w:rsidR="00A31443">
        <w:t>“</w:t>
      </w:r>
      <w:r>
        <w:t>delta</w:t>
      </w:r>
      <w:r w:rsidR="00A31443">
        <w:t>”</w:t>
      </w:r>
      <w:r>
        <w:t xml:space="preserve">) and to report on a lifecycle basis. This </w:t>
      </w:r>
      <w:r w:rsidR="006A5C5F">
        <w:t xml:space="preserve">would </w:t>
      </w:r>
      <w:r>
        <w:t xml:space="preserve">exempt about 800 of the </w:t>
      </w:r>
      <w:r w:rsidR="008B1DD1">
        <w:t xml:space="preserve">approximately </w:t>
      </w:r>
      <w:r>
        <w:t>900 total number of reporting entities, whose aggregate notional and collateral posted is less than</w:t>
      </w:r>
      <w:r w:rsidR="00CB154E">
        <w:t xml:space="preserve"> </w:t>
      </w:r>
      <w:r>
        <w:t>2% of that of all reporting entities.</w:t>
      </w:r>
    </w:p>
    <w:p w14:paraId="673A5936" w14:textId="1E5D7F59" w:rsidR="00E206D3" w:rsidRDefault="00E83D00" w:rsidP="002E110A">
      <w:pPr>
        <w:pStyle w:val="LI-BodyTextParaa"/>
        <w:numPr>
          <w:ilvl w:val="0"/>
          <w:numId w:val="3"/>
        </w:numPr>
      </w:pPr>
      <w:r>
        <w:t xml:space="preserve">Submissions </w:t>
      </w:r>
      <w:r w:rsidRPr="00E83D00">
        <w:t>to CP 361 were generally supportive of our revisions to our CP 334 proposals for ASIC data elements. They did restate but did not articulate any new concerns about certain data elements that we had decided to proceed with. Respondents also raised some concerns with our new proposals to identify non-UPI underliers and the future dates of benchmark rate-setting events.</w:t>
      </w:r>
    </w:p>
    <w:p w14:paraId="20713A0A" w14:textId="72433736" w:rsidR="003F65C7" w:rsidRDefault="003F65C7" w:rsidP="002E110A">
      <w:pPr>
        <w:pStyle w:val="LI-BodyTextParaa"/>
        <w:numPr>
          <w:ilvl w:val="0"/>
          <w:numId w:val="3"/>
        </w:numPr>
      </w:pPr>
      <w:r>
        <w:t xml:space="preserve">The </w:t>
      </w:r>
      <w:r w:rsidR="00A31443">
        <w:t>“</w:t>
      </w:r>
      <w:r>
        <w:t>problem</w:t>
      </w:r>
      <w:r w:rsidR="00A31443">
        <w:t>”</w:t>
      </w:r>
      <w:r>
        <w:t xml:space="preserve"> of non-UPI underliers excluded from the UPI system has also been recognised in other jurisdictions and this important data element has been publicly proposed for addition to the CDE Guidance. In this international context, we agree</w:t>
      </w:r>
      <w:r w:rsidR="00DA39D3">
        <w:t>d</w:t>
      </w:r>
      <w:r>
        <w:t xml:space="preserve"> with industry</w:t>
      </w:r>
      <w:r w:rsidR="00902F3B">
        <w:t xml:space="preserve"> views</w:t>
      </w:r>
      <w:r>
        <w:t xml:space="preserve"> that the </w:t>
      </w:r>
      <w:r w:rsidR="00295028">
        <w:t xml:space="preserve">final </w:t>
      </w:r>
      <w:r>
        <w:t xml:space="preserve">rules should not be prescriptive as to form of the underliers’ identifiers in the absence of a common international approach – our finalised </w:t>
      </w:r>
      <w:r w:rsidR="00605C53">
        <w:t xml:space="preserve">approach </w:t>
      </w:r>
      <w:r>
        <w:t xml:space="preserve">is that an underlier identifier includes that it may be a </w:t>
      </w:r>
      <w:r w:rsidR="00A31443">
        <w:t>“</w:t>
      </w:r>
      <w:r>
        <w:t>free text</w:t>
      </w:r>
      <w:r w:rsidR="00A31443">
        <w:t>”</w:t>
      </w:r>
      <w:r>
        <w:t xml:space="preserve"> value.</w:t>
      </w:r>
    </w:p>
    <w:p w14:paraId="529B4E6D" w14:textId="2F4900CD" w:rsidR="003E4ABD" w:rsidRDefault="003F65C7" w:rsidP="002E110A">
      <w:pPr>
        <w:pStyle w:val="LI-BodyTextParaa"/>
        <w:numPr>
          <w:ilvl w:val="0"/>
          <w:numId w:val="3"/>
        </w:numPr>
      </w:pPr>
      <w:r>
        <w:t xml:space="preserve">In relation to reporting the future dates of benchmark rate-setting events, </w:t>
      </w:r>
      <w:r w:rsidR="00930DCE">
        <w:t>a</w:t>
      </w:r>
      <w:r>
        <w:t>s we set out in CP 361, we think it is important information for the supervision of benchmark rate-setting events and we have decided to maintain our proposed approach.</w:t>
      </w:r>
    </w:p>
    <w:p w14:paraId="23C1A191" w14:textId="61E9D5FC" w:rsidR="009E6F88" w:rsidRDefault="001732E3" w:rsidP="002E110A">
      <w:pPr>
        <w:pStyle w:val="LI-BodyTextParaa"/>
        <w:numPr>
          <w:ilvl w:val="0"/>
          <w:numId w:val="3"/>
        </w:numPr>
      </w:pPr>
      <w:r>
        <w:t xml:space="preserve">In </w:t>
      </w:r>
      <w:r w:rsidR="00304006">
        <w:t xml:space="preserve">further </w:t>
      </w:r>
      <w:r>
        <w:t xml:space="preserve">bilateral consultations </w:t>
      </w:r>
      <w:r w:rsidR="00304006">
        <w:t>after</w:t>
      </w:r>
      <w:r>
        <w:t xml:space="preserve"> the CP 361 consultation period, the sole ASIC-licensed derivative trade repository noted that its validation of reported information would be enhanced by specific asset class and contract type data elements. The derivative trade repository </w:t>
      </w:r>
      <w:r w:rsidR="00904C15" w:rsidRPr="00904C15">
        <w:t>(with engagement from industry) </w:t>
      </w:r>
      <w:r>
        <w:t xml:space="preserve">also advised that reporting entities </w:t>
      </w:r>
      <w:r w:rsidR="002E21B6">
        <w:t xml:space="preserve">had advised it that they </w:t>
      </w:r>
      <w:r>
        <w:t xml:space="preserve">would welcome the data </w:t>
      </w:r>
      <w:r>
        <w:lastRenderedPageBreak/>
        <w:t>reconciliation, organisational and readability benefits of having asset class and contract type data elements present in the data files</w:t>
      </w:r>
      <w:r w:rsidR="00B81A52">
        <w:t xml:space="preserve"> </w:t>
      </w:r>
      <w:r w:rsidR="0008455E">
        <w:t>in the proposed 2024 Rules</w:t>
      </w:r>
      <w:r w:rsidR="009E6F88">
        <w:t>.</w:t>
      </w:r>
    </w:p>
    <w:p w14:paraId="2EFBE5DD" w14:textId="664D68EA" w:rsidR="00B57E91" w:rsidRDefault="00706844" w:rsidP="002E110A">
      <w:pPr>
        <w:pStyle w:val="LI-BodyTextParaa"/>
        <w:numPr>
          <w:ilvl w:val="0"/>
          <w:numId w:val="3"/>
        </w:numPr>
      </w:pPr>
      <w:r w:rsidRPr="00706844">
        <w:t xml:space="preserve">Consequently, </w:t>
      </w:r>
      <w:r w:rsidR="00A54917">
        <w:t xml:space="preserve">the </w:t>
      </w:r>
      <w:r w:rsidR="006E0318">
        <w:t>2024 Rules</w:t>
      </w:r>
      <w:r w:rsidR="006E0318" w:rsidRPr="00706844">
        <w:t xml:space="preserve"> </w:t>
      </w:r>
      <w:r w:rsidRPr="00706844">
        <w:t>include adding these data elements, as well as a small-scale buy-side entity exemption indicator.</w:t>
      </w:r>
    </w:p>
    <w:p w14:paraId="5D16F9B7" w14:textId="37066E86" w:rsidR="00CF1F1B" w:rsidRPr="00CF1F1B" w:rsidRDefault="00CF1F1B" w:rsidP="002E110A">
      <w:pPr>
        <w:pStyle w:val="LI-BodyTextParaa"/>
        <w:numPr>
          <w:ilvl w:val="0"/>
          <w:numId w:val="3"/>
        </w:numPr>
      </w:pPr>
      <w:r w:rsidRPr="00CF1F1B">
        <w:t xml:space="preserve">Table </w:t>
      </w:r>
      <w:r>
        <w:t>1</w:t>
      </w:r>
      <w:r w:rsidRPr="00CF1F1B">
        <w:t xml:space="preserve"> summarises the commonality of the data elements of the </w:t>
      </w:r>
      <w:r w:rsidR="00404314">
        <w:t xml:space="preserve">2013 </w:t>
      </w:r>
      <w:r w:rsidRPr="00CF1F1B">
        <w:t xml:space="preserve">Rules </w:t>
      </w:r>
      <w:r w:rsidR="00617BE3">
        <w:t xml:space="preserve">/ 2022 Rules </w:t>
      </w:r>
      <w:r w:rsidRPr="00CF1F1B">
        <w:t>and the</w:t>
      </w:r>
      <w:r w:rsidR="00CA43AB">
        <w:t xml:space="preserve"> </w:t>
      </w:r>
      <w:r w:rsidR="00617BE3">
        <w:t>2024</w:t>
      </w:r>
      <w:r w:rsidRPr="00CF1F1B">
        <w:t xml:space="preserve"> Rules with those of the CFTC and ESMA.</w:t>
      </w:r>
    </w:p>
    <w:p w14:paraId="5576DC96" w14:textId="2655F1EF" w:rsidR="00CF1F1B" w:rsidRPr="00CF1F1B" w:rsidRDefault="00CF1F1B" w:rsidP="002E110A">
      <w:pPr>
        <w:pStyle w:val="LI-BodyTextParaa"/>
        <w:numPr>
          <w:ilvl w:val="0"/>
          <w:numId w:val="3"/>
        </w:numPr>
      </w:pPr>
      <w:r w:rsidRPr="00CF1F1B">
        <w:t xml:space="preserve">Notably only 47% of the </w:t>
      </w:r>
      <w:r w:rsidR="004F7E18">
        <w:t xml:space="preserve">2013 </w:t>
      </w:r>
      <w:r w:rsidRPr="00CF1F1B">
        <w:t xml:space="preserve">Rules </w:t>
      </w:r>
      <w:r w:rsidR="004F7E18">
        <w:t>/</w:t>
      </w:r>
      <w:r w:rsidR="0012566C">
        <w:t xml:space="preserve"> </w:t>
      </w:r>
      <w:r w:rsidR="004F7E18">
        <w:t>2022 Rules</w:t>
      </w:r>
      <w:r w:rsidRPr="00CF1F1B">
        <w:t xml:space="preserve"> data elements align with an equivalent CFTC and ESMA data element</w:t>
      </w:r>
      <w:bookmarkStart w:id="12" w:name="_Hlk118729605"/>
      <w:r w:rsidRPr="00CF1F1B">
        <w:t xml:space="preserve"> – </w:t>
      </w:r>
      <w:bookmarkEnd w:id="12"/>
      <w:r w:rsidRPr="00CF1F1B">
        <w:t xml:space="preserve">this rises to 67% in the proposed </w:t>
      </w:r>
      <w:r w:rsidR="007B2241">
        <w:t xml:space="preserve">2024 </w:t>
      </w:r>
      <w:r w:rsidRPr="00CF1F1B">
        <w:t>Rules. Similarly, the alignment of the ASIC data elements with at least one of the CFTC and ESMA rises from 81% to 92%.</w:t>
      </w:r>
    </w:p>
    <w:p w14:paraId="4BF9510A" w14:textId="77777777" w:rsidR="00CF1F1B" w:rsidRPr="00CF1F1B" w:rsidRDefault="00CF1F1B" w:rsidP="002E110A">
      <w:pPr>
        <w:pStyle w:val="LI-BodyTextParaa"/>
        <w:numPr>
          <w:ilvl w:val="0"/>
          <w:numId w:val="3"/>
        </w:numPr>
      </w:pPr>
      <w:r w:rsidRPr="00CF1F1B">
        <w:t>Importantly the number of ASIC-only data elements falls from 18% to 4%. Taken together, these factors will significantly assist businesses to streamline and consolidate their reporting systems and lessen the costs to maintain bespoke systems for ASIC reporting.</w:t>
      </w:r>
    </w:p>
    <w:p w14:paraId="36A6D1B6" w14:textId="7E721157" w:rsidR="00CF1F1B" w:rsidRDefault="00CF1F1B" w:rsidP="00CF1F1B">
      <w:pPr>
        <w:pStyle w:val="tabletitleindented"/>
        <w:ind w:left="992"/>
      </w:pPr>
      <w:r>
        <w:t xml:space="preserve">Table </w:t>
      </w:r>
      <w:r w:rsidR="00A3246C">
        <w:t>1</w:t>
      </w:r>
      <w:r>
        <w:t>:</w:t>
      </w:r>
      <w:r>
        <w:tab/>
        <w:t>Number of ASIC Rules data elements common to jurisdictions</w:t>
      </w:r>
    </w:p>
    <w:tbl>
      <w:tblPr>
        <w:tblW w:w="0" w:type="auto"/>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704"/>
        <w:gridCol w:w="1247"/>
        <w:gridCol w:w="1366"/>
        <w:gridCol w:w="1247"/>
        <w:gridCol w:w="1366"/>
      </w:tblGrid>
      <w:tr w:rsidR="00CF1F1B" w:rsidRPr="000540E1" w14:paraId="06F12504" w14:textId="77777777" w:rsidTr="00C50CCA">
        <w:trPr>
          <w:cantSplit/>
          <w:tblHeader/>
        </w:trPr>
        <w:tc>
          <w:tcPr>
            <w:tcW w:w="2704" w:type="dxa"/>
            <w:shd w:val="clear" w:color="auto" w:fill="C2E3FA"/>
          </w:tcPr>
          <w:p w14:paraId="38C80E3B" w14:textId="77777777" w:rsidR="00CF1F1B" w:rsidRDefault="00CF1F1B" w:rsidP="00C50CCA">
            <w:pPr>
              <w:pStyle w:val="tablehead"/>
              <w:spacing w:before="100" w:line="230" w:lineRule="atLeast"/>
            </w:pPr>
            <w:r>
              <w:t>Regulatory authorities</w:t>
            </w:r>
          </w:p>
        </w:tc>
        <w:tc>
          <w:tcPr>
            <w:tcW w:w="1247" w:type="dxa"/>
            <w:shd w:val="clear" w:color="auto" w:fill="C2E3FA"/>
          </w:tcPr>
          <w:p w14:paraId="6DD6C27A" w14:textId="5BC346F5" w:rsidR="00CF1F1B" w:rsidRPr="000540E1" w:rsidRDefault="00A3246C" w:rsidP="00C50CCA">
            <w:pPr>
              <w:pStyle w:val="tablehead"/>
              <w:spacing w:before="100" w:line="230" w:lineRule="atLeast"/>
              <w:jc w:val="right"/>
            </w:pPr>
            <w:r>
              <w:t>2013</w:t>
            </w:r>
            <w:r w:rsidR="00CF1F1B">
              <w:t xml:space="preserve"> Rules</w:t>
            </w:r>
            <w:r w:rsidR="00CF1F1B">
              <w:br/>
              <w:t>20</w:t>
            </w:r>
            <w:r>
              <w:t>22 Rules</w:t>
            </w:r>
          </w:p>
        </w:tc>
        <w:tc>
          <w:tcPr>
            <w:tcW w:w="1366" w:type="dxa"/>
            <w:shd w:val="clear" w:color="auto" w:fill="C2E3FA"/>
          </w:tcPr>
          <w:p w14:paraId="62EFA260" w14:textId="77777777" w:rsidR="00CF1F1B" w:rsidDel="00001D98" w:rsidRDefault="00CF1F1B" w:rsidP="00C50CCA">
            <w:pPr>
              <w:pStyle w:val="tablehead"/>
              <w:spacing w:before="100" w:line="230" w:lineRule="atLeast"/>
              <w:jc w:val="right"/>
            </w:pPr>
            <w:r>
              <w:t xml:space="preserve">% </w:t>
            </w:r>
            <w:proofErr w:type="gramStart"/>
            <w:r>
              <w:t>of</w:t>
            </w:r>
            <w:proofErr w:type="gramEnd"/>
            <w:r>
              <w:t xml:space="preserve"> all data elements</w:t>
            </w:r>
          </w:p>
        </w:tc>
        <w:tc>
          <w:tcPr>
            <w:tcW w:w="1247" w:type="dxa"/>
            <w:shd w:val="clear" w:color="auto" w:fill="C2E3FA"/>
          </w:tcPr>
          <w:p w14:paraId="1E3537FC" w14:textId="3052C613" w:rsidR="00CF1F1B" w:rsidRPr="000540E1" w:rsidRDefault="00A3246C" w:rsidP="00C50CCA">
            <w:pPr>
              <w:pStyle w:val="tablehead"/>
              <w:spacing w:before="100" w:line="230" w:lineRule="atLeast"/>
              <w:jc w:val="right"/>
            </w:pPr>
            <w:r>
              <w:t>2024</w:t>
            </w:r>
            <w:r w:rsidR="00CF1F1B">
              <w:t xml:space="preserve"> Rules</w:t>
            </w:r>
            <w:r w:rsidR="00CF1F1B">
              <w:br/>
            </w:r>
          </w:p>
        </w:tc>
        <w:tc>
          <w:tcPr>
            <w:tcW w:w="1366" w:type="dxa"/>
            <w:shd w:val="clear" w:color="auto" w:fill="C2E3FA"/>
          </w:tcPr>
          <w:p w14:paraId="7AB182BA" w14:textId="77777777" w:rsidR="00CF1F1B" w:rsidRDefault="00CF1F1B" w:rsidP="00C50CCA">
            <w:pPr>
              <w:pStyle w:val="tablehead"/>
              <w:spacing w:before="100" w:line="230" w:lineRule="atLeast"/>
              <w:jc w:val="right"/>
            </w:pPr>
            <w:r>
              <w:t xml:space="preserve">% </w:t>
            </w:r>
            <w:proofErr w:type="gramStart"/>
            <w:r>
              <w:t>of</w:t>
            </w:r>
            <w:proofErr w:type="gramEnd"/>
            <w:r>
              <w:t xml:space="preserve"> all data elements</w:t>
            </w:r>
          </w:p>
        </w:tc>
      </w:tr>
      <w:tr w:rsidR="00CF1F1B" w:rsidRPr="000540E1" w14:paraId="3F02B08C" w14:textId="77777777" w:rsidTr="00C50CCA">
        <w:trPr>
          <w:cantSplit/>
        </w:trPr>
        <w:tc>
          <w:tcPr>
            <w:tcW w:w="2704" w:type="dxa"/>
          </w:tcPr>
          <w:p w14:paraId="6C25BF46" w14:textId="77777777" w:rsidR="00CF1F1B" w:rsidRPr="000540E1" w:rsidRDefault="00CF1F1B" w:rsidP="00C50CCA">
            <w:pPr>
              <w:pStyle w:val="tbltext"/>
              <w:spacing w:before="100" w:line="230" w:lineRule="atLeast"/>
            </w:pPr>
            <w:r>
              <w:t>ASIC, CFTC, ESMA</w:t>
            </w:r>
          </w:p>
        </w:tc>
        <w:tc>
          <w:tcPr>
            <w:tcW w:w="1247" w:type="dxa"/>
          </w:tcPr>
          <w:p w14:paraId="7F27E2CD" w14:textId="77777777" w:rsidR="00CF1F1B" w:rsidRPr="000540E1" w:rsidRDefault="00CF1F1B" w:rsidP="00C50CCA">
            <w:pPr>
              <w:pStyle w:val="tbltext"/>
              <w:spacing w:before="100" w:line="230" w:lineRule="atLeast"/>
              <w:jc w:val="right"/>
            </w:pPr>
            <w:r>
              <w:t>50</w:t>
            </w:r>
          </w:p>
        </w:tc>
        <w:tc>
          <w:tcPr>
            <w:tcW w:w="1366" w:type="dxa"/>
          </w:tcPr>
          <w:p w14:paraId="3834D4C6" w14:textId="77777777" w:rsidR="00CF1F1B" w:rsidDel="00001D98" w:rsidRDefault="00CF1F1B" w:rsidP="00C50CCA">
            <w:pPr>
              <w:pStyle w:val="tbltext"/>
              <w:spacing w:before="100" w:line="230" w:lineRule="atLeast"/>
              <w:jc w:val="right"/>
            </w:pPr>
            <w:r>
              <w:t>47%</w:t>
            </w:r>
          </w:p>
        </w:tc>
        <w:tc>
          <w:tcPr>
            <w:tcW w:w="1247" w:type="dxa"/>
          </w:tcPr>
          <w:p w14:paraId="5DD384F9" w14:textId="77777777" w:rsidR="00CF1F1B" w:rsidRPr="000540E1" w:rsidRDefault="00CF1F1B" w:rsidP="00C50CCA">
            <w:pPr>
              <w:pStyle w:val="tbltext"/>
              <w:spacing w:before="100" w:line="230" w:lineRule="atLeast"/>
              <w:jc w:val="right"/>
            </w:pPr>
            <w:r>
              <w:t>86</w:t>
            </w:r>
          </w:p>
        </w:tc>
        <w:tc>
          <w:tcPr>
            <w:tcW w:w="1366" w:type="dxa"/>
          </w:tcPr>
          <w:p w14:paraId="16A12485" w14:textId="77777777" w:rsidR="00CF1F1B" w:rsidRDefault="00CF1F1B" w:rsidP="00C50CCA">
            <w:pPr>
              <w:pStyle w:val="tbltext"/>
              <w:spacing w:before="100" w:line="230" w:lineRule="atLeast"/>
              <w:jc w:val="right"/>
            </w:pPr>
            <w:r>
              <w:t>67%</w:t>
            </w:r>
          </w:p>
        </w:tc>
      </w:tr>
      <w:tr w:rsidR="00CF1F1B" w:rsidRPr="000540E1" w14:paraId="15962E43" w14:textId="77777777" w:rsidTr="00C50CCA">
        <w:trPr>
          <w:cantSplit/>
        </w:trPr>
        <w:tc>
          <w:tcPr>
            <w:tcW w:w="2704" w:type="dxa"/>
          </w:tcPr>
          <w:p w14:paraId="653BC778" w14:textId="77777777" w:rsidR="00CF1F1B" w:rsidRDefault="00CF1F1B" w:rsidP="00C50CCA">
            <w:pPr>
              <w:pStyle w:val="tbltext"/>
              <w:spacing w:before="100" w:line="230" w:lineRule="atLeast"/>
            </w:pPr>
            <w:r>
              <w:t>ASIC, CFTC</w:t>
            </w:r>
          </w:p>
        </w:tc>
        <w:tc>
          <w:tcPr>
            <w:tcW w:w="1247" w:type="dxa"/>
          </w:tcPr>
          <w:p w14:paraId="416033EA" w14:textId="77777777" w:rsidR="00CF1F1B" w:rsidRDefault="00CF1F1B" w:rsidP="00C50CCA">
            <w:pPr>
              <w:pStyle w:val="tbltext"/>
              <w:spacing w:before="100" w:line="230" w:lineRule="atLeast"/>
              <w:jc w:val="right"/>
            </w:pPr>
            <w:r>
              <w:t>7</w:t>
            </w:r>
          </w:p>
        </w:tc>
        <w:tc>
          <w:tcPr>
            <w:tcW w:w="1366" w:type="dxa"/>
          </w:tcPr>
          <w:p w14:paraId="22B47260" w14:textId="77777777" w:rsidR="00CF1F1B" w:rsidDel="00001D98" w:rsidRDefault="00CF1F1B" w:rsidP="00C50CCA">
            <w:pPr>
              <w:pStyle w:val="tbltext"/>
              <w:spacing w:before="100" w:line="230" w:lineRule="atLeast"/>
              <w:jc w:val="right"/>
            </w:pPr>
            <w:r>
              <w:t>7%</w:t>
            </w:r>
          </w:p>
        </w:tc>
        <w:tc>
          <w:tcPr>
            <w:tcW w:w="1247" w:type="dxa"/>
          </w:tcPr>
          <w:p w14:paraId="7F948298" w14:textId="77777777" w:rsidR="00CF1F1B" w:rsidRDefault="00CF1F1B" w:rsidP="00C50CCA">
            <w:pPr>
              <w:pStyle w:val="tbltext"/>
              <w:spacing w:before="100" w:line="230" w:lineRule="atLeast"/>
              <w:jc w:val="right"/>
            </w:pPr>
            <w:r>
              <w:t>20</w:t>
            </w:r>
          </w:p>
        </w:tc>
        <w:tc>
          <w:tcPr>
            <w:tcW w:w="1366" w:type="dxa"/>
          </w:tcPr>
          <w:p w14:paraId="7F630A7C" w14:textId="77777777" w:rsidR="00CF1F1B" w:rsidRDefault="00CF1F1B" w:rsidP="00C50CCA">
            <w:pPr>
              <w:pStyle w:val="tbltext"/>
              <w:spacing w:before="100" w:line="230" w:lineRule="atLeast"/>
              <w:jc w:val="right"/>
            </w:pPr>
            <w:r>
              <w:t>16%</w:t>
            </w:r>
          </w:p>
        </w:tc>
      </w:tr>
      <w:tr w:rsidR="00CF1F1B" w:rsidRPr="000540E1" w14:paraId="0D9507C3" w14:textId="77777777" w:rsidTr="00C50CCA">
        <w:trPr>
          <w:cantSplit/>
        </w:trPr>
        <w:tc>
          <w:tcPr>
            <w:tcW w:w="2704" w:type="dxa"/>
          </w:tcPr>
          <w:p w14:paraId="3D797384" w14:textId="77777777" w:rsidR="00CF1F1B" w:rsidRPr="000540E1" w:rsidRDefault="00CF1F1B" w:rsidP="00C50CCA">
            <w:pPr>
              <w:pStyle w:val="tbltext"/>
              <w:spacing w:before="100" w:line="230" w:lineRule="atLeast"/>
            </w:pPr>
            <w:r>
              <w:t>ASIC, ESMA</w:t>
            </w:r>
          </w:p>
        </w:tc>
        <w:tc>
          <w:tcPr>
            <w:tcW w:w="1247" w:type="dxa"/>
          </w:tcPr>
          <w:p w14:paraId="77516B1D" w14:textId="77777777" w:rsidR="00CF1F1B" w:rsidRPr="000540E1" w:rsidRDefault="00CF1F1B" w:rsidP="00C50CCA">
            <w:pPr>
              <w:pStyle w:val="tbltext"/>
              <w:spacing w:before="100" w:line="230" w:lineRule="atLeast"/>
              <w:jc w:val="right"/>
            </w:pPr>
            <w:r>
              <w:t>29</w:t>
            </w:r>
          </w:p>
        </w:tc>
        <w:tc>
          <w:tcPr>
            <w:tcW w:w="1366" w:type="dxa"/>
          </w:tcPr>
          <w:p w14:paraId="0987216A" w14:textId="77777777" w:rsidR="00CF1F1B" w:rsidDel="00001D98" w:rsidRDefault="00CF1F1B" w:rsidP="00C50CCA">
            <w:pPr>
              <w:pStyle w:val="tbltext"/>
              <w:spacing w:before="100" w:line="230" w:lineRule="atLeast"/>
              <w:jc w:val="right"/>
            </w:pPr>
            <w:r>
              <w:t>27%</w:t>
            </w:r>
          </w:p>
        </w:tc>
        <w:tc>
          <w:tcPr>
            <w:tcW w:w="1247" w:type="dxa"/>
          </w:tcPr>
          <w:p w14:paraId="201985F3" w14:textId="77777777" w:rsidR="00CF1F1B" w:rsidRPr="000540E1" w:rsidRDefault="00CF1F1B" w:rsidP="00C50CCA">
            <w:pPr>
              <w:pStyle w:val="tbltext"/>
              <w:spacing w:before="100" w:line="230" w:lineRule="atLeast"/>
              <w:jc w:val="right"/>
            </w:pPr>
            <w:r>
              <w:t>12</w:t>
            </w:r>
          </w:p>
        </w:tc>
        <w:tc>
          <w:tcPr>
            <w:tcW w:w="1366" w:type="dxa"/>
          </w:tcPr>
          <w:p w14:paraId="0E3475BA" w14:textId="77777777" w:rsidR="00CF1F1B" w:rsidRDefault="00CF1F1B" w:rsidP="00C50CCA">
            <w:pPr>
              <w:pStyle w:val="tbltext"/>
              <w:spacing w:before="100" w:line="230" w:lineRule="atLeast"/>
              <w:jc w:val="right"/>
            </w:pPr>
            <w:r>
              <w:t>9%</w:t>
            </w:r>
          </w:p>
        </w:tc>
      </w:tr>
      <w:tr w:rsidR="00CF1F1B" w:rsidRPr="000540E1" w14:paraId="409CA416" w14:textId="77777777" w:rsidTr="00C50CCA">
        <w:trPr>
          <w:cantSplit/>
        </w:trPr>
        <w:tc>
          <w:tcPr>
            <w:tcW w:w="2704" w:type="dxa"/>
            <w:shd w:val="clear" w:color="auto" w:fill="DEEAF6" w:themeFill="accent5" w:themeFillTint="33"/>
          </w:tcPr>
          <w:p w14:paraId="2957773E" w14:textId="77777777" w:rsidR="00CF1F1B" w:rsidRDefault="00CF1F1B" w:rsidP="00C50CCA">
            <w:pPr>
              <w:pStyle w:val="tbltext"/>
              <w:spacing w:before="100" w:line="230" w:lineRule="atLeast"/>
            </w:pPr>
            <w:r>
              <w:t>ASIC, CFTC &amp;/or ESMA</w:t>
            </w:r>
          </w:p>
        </w:tc>
        <w:tc>
          <w:tcPr>
            <w:tcW w:w="1247" w:type="dxa"/>
            <w:shd w:val="clear" w:color="auto" w:fill="DEEAF6" w:themeFill="accent5" w:themeFillTint="33"/>
          </w:tcPr>
          <w:p w14:paraId="1B86503B" w14:textId="77777777" w:rsidR="00CF1F1B" w:rsidRDefault="00CF1F1B" w:rsidP="00C50CCA">
            <w:pPr>
              <w:pStyle w:val="tbltext"/>
              <w:spacing w:before="100" w:line="230" w:lineRule="atLeast"/>
              <w:jc w:val="right"/>
            </w:pPr>
            <w:r>
              <w:t>86</w:t>
            </w:r>
          </w:p>
        </w:tc>
        <w:tc>
          <w:tcPr>
            <w:tcW w:w="1366" w:type="dxa"/>
            <w:shd w:val="clear" w:color="auto" w:fill="DEEAF6" w:themeFill="accent5" w:themeFillTint="33"/>
          </w:tcPr>
          <w:p w14:paraId="0AC09E96" w14:textId="77777777" w:rsidR="00CF1F1B" w:rsidDel="00001D98" w:rsidRDefault="00CF1F1B" w:rsidP="00C50CCA">
            <w:pPr>
              <w:pStyle w:val="tbltext"/>
              <w:spacing w:before="100" w:line="230" w:lineRule="atLeast"/>
              <w:jc w:val="right"/>
            </w:pPr>
            <w:r>
              <w:t>81%</w:t>
            </w:r>
          </w:p>
        </w:tc>
        <w:tc>
          <w:tcPr>
            <w:tcW w:w="1247" w:type="dxa"/>
            <w:shd w:val="clear" w:color="auto" w:fill="DEEAF6" w:themeFill="accent5" w:themeFillTint="33"/>
          </w:tcPr>
          <w:p w14:paraId="1A9087FB" w14:textId="77777777" w:rsidR="00CF1F1B" w:rsidRDefault="00CF1F1B" w:rsidP="00C50CCA">
            <w:pPr>
              <w:pStyle w:val="tbltext"/>
              <w:spacing w:before="100" w:line="230" w:lineRule="atLeast"/>
              <w:jc w:val="right"/>
            </w:pPr>
            <w:r>
              <w:t>118</w:t>
            </w:r>
          </w:p>
        </w:tc>
        <w:tc>
          <w:tcPr>
            <w:tcW w:w="1366" w:type="dxa"/>
            <w:shd w:val="clear" w:color="auto" w:fill="DEEAF6" w:themeFill="accent5" w:themeFillTint="33"/>
          </w:tcPr>
          <w:p w14:paraId="35BD7775" w14:textId="77777777" w:rsidR="00CF1F1B" w:rsidRDefault="00CF1F1B" w:rsidP="00C50CCA">
            <w:pPr>
              <w:pStyle w:val="tbltext"/>
              <w:spacing w:before="100" w:line="230" w:lineRule="atLeast"/>
              <w:jc w:val="right"/>
            </w:pPr>
            <w:r>
              <w:t>92%</w:t>
            </w:r>
          </w:p>
        </w:tc>
      </w:tr>
      <w:tr w:rsidR="00CF1F1B" w:rsidRPr="000540E1" w14:paraId="5EFC539C" w14:textId="77777777" w:rsidTr="00C50CCA">
        <w:trPr>
          <w:cantSplit/>
        </w:trPr>
        <w:tc>
          <w:tcPr>
            <w:tcW w:w="2704" w:type="dxa"/>
          </w:tcPr>
          <w:p w14:paraId="544FBF00" w14:textId="77777777" w:rsidR="00CF1F1B" w:rsidRPr="000540E1" w:rsidRDefault="00CF1F1B" w:rsidP="00C50CCA">
            <w:pPr>
              <w:pStyle w:val="tbltext"/>
              <w:spacing w:before="100" w:line="230" w:lineRule="atLeast"/>
            </w:pPr>
            <w:r>
              <w:t xml:space="preserve">ASIC, CDE Guidance </w:t>
            </w:r>
            <w:r>
              <w:br/>
              <w:t>but not CFTC or ESMA</w:t>
            </w:r>
          </w:p>
        </w:tc>
        <w:tc>
          <w:tcPr>
            <w:tcW w:w="1247" w:type="dxa"/>
          </w:tcPr>
          <w:p w14:paraId="125F4921" w14:textId="77777777" w:rsidR="00CF1F1B" w:rsidRPr="000540E1" w:rsidRDefault="00CF1F1B" w:rsidP="00C50CCA">
            <w:pPr>
              <w:pStyle w:val="tbltext"/>
              <w:spacing w:before="100" w:line="230" w:lineRule="atLeast"/>
              <w:jc w:val="right"/>
            </w:pPr>
            <w:r>
              <w:t>1</w:t>
            </w:r>
          </w:p>
        </w:tc>
        <w:tc>
          <w:tcPr>
            <w:tcW w:w="1366" w:type="dxa"/>
          </w:tcPr>
          <w:p w14:paraId="6C854091" w14:textId="77777777" w:rsidR="00CF1F1B" w:rsidRDefault="00CF1F1B" w:rsidP="00C50CCA">
            <w:pPr>
              <w:pStyle w:val="tbltext"/>
              <w:spacing w:before="100" w:line="230" w:lineRule="atLeast"/>
              <w:jc w:val="right"/>
            </w:pPr>
            <w:r>
              <w:t>1%</w:t>
            </w:r>
          </w:p>
        </w:tc>
        <w:tc>
          <w:tcPr>
            <w:tcW w:w="1247" w:type="dxa"/>
          </w:tcPr>
          <w:p w14:paraId="4F0AE2C0" w14:textId="77777777" w:rsidR="00CF1F1B" w:rsidRPr="000540E1" w:rsidRDefault="00CF1F1B" w:rsidP="00C50CCA">
            <w:pPr>
              <w:pStyle w:val="tbltext"/>
              <w:spacing w:before="100" w:line="230" w:lineRule="atLeast"/>
              <w:jc w:val="right"/>
            </w:pPr>
            <w:r>
              <w:t>5</w:t>
            </w:r>
          </w:p>
        </w:tc>
        <w:tc>
          <w:tcPr>
            <w:tcW w:w="1366" w:type="dxa"/>
          </w:tcPr>
          <w:p w14:paraId="6FA9C520" w14:textId="77777777" w:rsidR="00CF1F1B" w:rsidRDefault="00CF1F1B" w:rsidP="00C50CCA">
            <w:pPr>
              <w:pStyle w:val="tbltext"/>
              <w:spacing w:before="100" w:line="230" w:lineRule="atLeast"/>
              <w:jc w:val="right"/>
            </w:pPr>
            <w:r>
              <w:t>4%</w:t>
            </w:r>
          </w:p>
        </w:tc>
      </w:tr>
      <w:tr w:rsidR="00CF1F1B" w:rsidRPr="000540E1" w14:paraId="05100608" w14:textId="77777777" w:rsidTr="00C50CCA">
        <w:trPr>
          <w:cantSplit/>
        </w:trPr>
        <w:tc>
          <w:tcPr>
            <w:tcW w:w="2704" w:type="dxa"/>
          </w:tcPr>
          <w:p w14:paraId="11207299" w14:textId="77777777" w:rsidR="00CF1F1B" w:rsidRPr="000540E1" w:rsidRDefault="00CF1F1B" w:rsidP="00C50CCA">
            <w:pPr>
              <w:pStyle w:val="tbltext"/>
              <w:spacing w:before="100" w:line="230" w:lineRule="atLeast"/>
            </w:pPr>
            <w:r>
              <w:t>ASIC-only</w:t>
            </w:r>
          </w:p>
        </w:tc>
        <w:tc>
          <w:tcPr>
            <w:tcW w:w="1247" w:type="dxa"/>
          </w:tcPr>
          <w:p w14:paraId="24D912C7" w14:textId="77777777" w:rsidR="00CF1F1B" w:rsidRPr="000540E1" w:rsidRDefault="00CF1F1B" w:rsidP="00C50CCA">
            <w:pPr>
              <w:pStyle w:val="tbltext"/>
              <w:spacing w:before="100" w:line="230" w:lineRule="atLeast"/>
              <w:jc w:val="right"/>
            </w:pPr>
            <w:r>
              <w:t>19</w:t>
            </w:r>
          </w:p>
        </w:tc>
        <w:tc>
          <w:tcPr>
            <w:tcW w:w="1366" w:type="dxa"/>
          </w:tcPr>
          <w:p w14:paraId="36B222CD" w14:textId="77777777" w:rsidR="00CF1F1B" w:rsidRDefault="00CF1F1B" w:rsidP="00C50CCA">
            <w:pPr>
              <w:pStyle w:val="tbltext"/>
              <w:spacing w:before="100" w:line="230" w:lineRule="atLeast"/>
              <w:jc w:val="right"/>
            </w:pPr>
            <w:r>
              <w:t>18%</w:t>
            </w:r>
          </w:p>
        </w:tc>
        <w:tc>
          <w:tcPr>
            <w:tcW w:w="1247" w:type="dxa"/>
          </w:tcPr>
          <w:p w14:paraId="6AEDE963" w14:textId="77777777" w:rsidR="00CF1F1B" w:rsidRPr="000540E1" w:rsidRDefault="00CF1F1B" w:rsidP="00C50CCA">
            <w:pPr>
              <w:pStyle w:val="tbltext"/>
              <w:spacing w:before="100" w:line="230" w:lineRule="atLeast"/>
              <w:jc w:val="right"/>
            </w:pPr>
            <w:r>
              <w:t>5</w:t>
            </w:r>
          </w:p>
        </w:tc>
        <w:tc>
          <w:tcPr>
            <w:tcW w:w="1366" w:type="dxa"/>
          </w:tcPr>
          <w:p w14:paraId="441F6FC7" w14:textId="77777777" w:rsidR="00CF1F1B" w:rsidRDefault="00CF1F1B" w:rsidP="00C50CCA">
            <w:pPr>
              <w:pStyle w:val="tbltext"/>
              <w:spacing w:before="100" w:line="230" w:lineRule="atLeast"/>
              <w:jc w:val="right"/>
            </w:pPr>
            <w:r>
              <w:t>4%</w:t>
            </w:r>
          </w:p>
        </w:tc>
      </w:tr>
      <w:tr w:rsidR="00CF1F1B" w:rsidRPr="000540E1" w14:paraId="09D080A6" w14:textId="77777777" w:rsidTr="00C50CCA">
        <w:trPr>
          <w:cantSplit/>
        </w:trPr>
        <w:tc>
          <w:tcPr>
            <w:tcW w:w="2704" w:type="dxa"/>
            <w:shd w:val="clear" w:color="auto" w:fill="DEEAF6" w:themeFill="accent5" w:themeFillTint="33"/>
          </w:tcPr>
          <w:p w14:paraId="52C40120" w14:textId="77777777" w:rsidR="00CF1F1B" w:rsidRDefault="00CF1F1B" w:rsidP="00C50CCA">
            <w:pPr>
              <w:pStyle w:val="tbltext"/>
              <w:spacing w:before="100" w:line="230" w:lineRule="atLeast"/>
            </w:pPr>
            <w:r>
              <w:t>TOTAL</w:t>
            </w:r>
          </w:p>
        </w:tc>
        <w:tc>
          <w:tcPr>
            <w:tcW w:w="1247" w:type="dxa"/>
            <w:shd w:val="clear" w:color="auto" w:fill="DEEAF6" w:themeFill="accent5" w:themeFillTint="33"/>
          </w:tcPr>
          <w:p w14:paraId="446C0683" w14:textId="77777777" w:rsidR="00CF1F1B" w:rsidRDefault="00CF1F1B" w:rsidP="00C50CCA">
            <w:pPr>
              <w:pStyle w:val="tbltext"/>
              <w:spacing w:before="100" w:line="230" w:lineRule="atLeast"/>
              <w:jc w:val="right"/>
            </w:pPr>
            <w:r>
              <w:t>106</w:t>
            </w:r>
          </w:p>
        </w:tc>
        <w:tc>
          <w:tcPr>
            <w:tcW w:w="1366" w:type="dxa"/>
            <w:shd w:val="clear" w:color="auto" w:fill="DEEAF6" w:themeFill="accent5" w:themeFillTint="33"/>
          </w:tcPr>
          <w:p w14:paraId="7F4299EA" w14:textId="77777777" w:rsidR="00CF1F1B" w:rsidDel="00001D98" w:rsidRDefault="00CF1F1B" w:rsidP="00C50CCA">
            <w:pPr>
              <w:pStyle w:val="tbltext"/>
              <w:spacing w:before="100" w:line="230" w:lineRule="atLeast"/>
              <w:jc w:val="right"/>
            </w:pPr>
            <w:r>
              <w:t>100%</w:t>
            </w:r>
          </w:p>
        </w:tc>
        <w:tc>
          <w:tcPr>
            <w:tcW w:w="1247" w:type="dxa"/>
            <w:shd w:val="clear" w:color="auto" w:fill="DEEAF6" w:themeFill="accent5" w:themeFillTint="33"/>
          </w:tcPr>
          <w:p w14:paraId="3917AD67" w14:textId="77777777" w:rsidR="00CF1F1B" w:rsidRDefault="00CF1F1B" w:rsidP="00C50CCA">
            <w:pPr>
              <w:pStyle w:val="tbltext"/>
              <w:spacing w:before="100" w:line="230" w:lineRule="atLeast"/>
              <w:jc w:val="right"/>
            </w:pPr>
            <w:r>
              <w:t>128</w:t>
            </w:r>
          </w:p>
        </w:tc>
        <w:tc>
          <w:tcPr>
            <w:tcW w:w="1366" w:type="dxa"/>
            <w:shd w:val="clear" w:color="auto" w:fill="DEEAF6" w:themeFill="accent5" w:themeFillTint="33"/>
          </w:tcPr>
          <w:p w14:paraId="5C642AF2" w14:textId="77777777" w:rsidR="00CF1F1B" w:rsidRDefault="00CF1F1B" w:rsidP="00C50CCA">
            <w:pPr>
              <w:pStyle w:val="tbltext"/>
              <w:spacing w:before="100" w:line="230" w:lineRule="atLeast"/>
              <w:jc w:val="right"/>
            </w:pPr>
            <w:r>
              <w:t>100%</w:t>
            </w:r>
          </w:p>
        </w:tc>
      </w:tr>
    </w:tbl>
    <w:p w14:paraId="5382F443" w14:textId="50DEF51C" w:rsidR="00CF1F1B" w:rsidRPr="00450925" w:rsidRDefault="00F021B2" w:rsidP="002E110A">
      <w:pPr>
        <w:pStyle w:val="LI-BodyTextParaa"/>
        <w:numPr>
          <w:ilvl w:val="0"/>
          <w:numId w:val="3"/>
        </w:numPr>
        <w:spacing w:after="160" w:line="259" w:lineRule="auto"/>
      </w:pPr>
      <w:r>
        <w:t xml:space="preserve">In August 2022, </w:t>
      </w:r>
      <w:r w:rsidR="009026C6">
        <w:t>four</w:t>
      </w:r>
      <w:r w:rsidR="00B215F9">
        <w:t xml:space="preserve"> </w:t>
      </w:r>
      <w:r w:rsidR="0037724F">
        <w:t xml:space="preserve">of the ASIC-only </w:t>
      </w:r>
      <w:r w:rsidR="009026C6">
        <w:t xml:space="preserve">data </w:t>
      </w:r>
      <w:r w:rsidR="0037724F">
        <w:t>elements</w:t>
      </w:r>
      <w:r w:rsidR="005A7C0A">
        <w:t xml:space="preserve"> in the 2024 Rules have been </w:t>
      </w:r>
      <w:r w:rsidR="005632CD">
        <w:t>proposed for inclusion in the CDE Guidance</w:t>
      </w:r>
      <w:r w:rsidR="00881916">
        <w:t xml:space="preserve"> </w:t>
      </w:r>
      <w:r>
        <w:t xml:space="preserve">in public consultation </w:t>
      </w:r>
      <w:r w:rsidR="00D12B18">
        <w:t xml:space="preserve">proposals made </w:t>
      </w:r>
      <w:r w:rsidR="00881916">
        <w:t>by the Regulatory Oversight Commission</w:t>
      </w:r>
      <w:r w:rsidR="000B1909">
        <w:t xml:space="preserve">. </w:t>
      </w:r>
      <w:r w:rsidR="00F25490">
        <w:t xml:space="preserve">If </w:t>
      </w:r>
      <w:r w:rsidR="0061510A">
        <w:t xml:space="preserve">the CDE </w:t>
      </w:r>
      <w:r w:rsidR="00194CAA">
        <w:t xml:space="preserve">Guidance is amended to include these data elements, there would then be </w:t>
      </w:r>
      <w:r w:rsidR="0077611B">
        <w:t>just 1 A</w:t>
      </w:r>
      <w:r w:rsidR="00DC0137">
        <w:t>S</w:t>
      </w:r>
      <w:r w:rsidR="0077611B">
        <w:t xml:space="preserve">IC-only </w:t>
      </w:r>
      <w:r w:rsidR="00DC0137">
        <w:t>data element.</w:t>
      </w:r>
    </w:p>
    <w:p w14:paraId="7DE0E2B4" w14:textId="77777777" w:rsidR="00425A5C" w:rsidRPr="00425A5C" w:rsidRDefault="00425A5C" w:rsidP="00425A5C">
      <w:pPr>
        <w:pStyle w:val="LI-BodyTextParaa"/>
        <w:ind w:left="0" w:firstLine="0"/>
        <w:rPr>
          <w:i/>
          <w:iCs/>
        </w:rPr>
      </w:pPr>
      <w:r w:rsidRPr="00425A5C">
        <w:rPr>
          <w:i/>
          <w:iCs/>
        </w:rPr>
        <w:t>ISO 20022 for derivatives transactions reporting</w:t>
      </w:r>
    </w:p>
    <w:p w14:paraId="37660D86" w14:textId="77777777" w:rsidR="00425A5C" w:rsidRDefault="00425A5C" w:rsidP="002E110A">
      <w:pPr>
        <w:pStyle w:val="LI-BodyTextParaa"/>
        <w:numPr>
          <w:ilvl w:val="0"/>
          <w:numId w:val="3"/>
        </w:numPr>
      </w:pPr>
      <w:r>
        <w:t>In CP 361, we proposed requiring that reporting entities report information to derivative trade repositories in an ISO 20022 XML message, identifying four major jurisdictions that have decided or proposed to require such a technical format for reporting.</w:t>
      </w:r>
    </w:p>
    <w:p w14:paraId="6121AA84" w14:textId="4A2F2036" w:rsidR="00425A5C" w:rsidRDefault="00425A5C" w:rsidP="002E110A">
      <w:pPr>
        <w:pStyle w:val="LI-BodyTextParaa"/>
        <w:numPr>
          <w:ilvl w:val="0"/>
          <w:numId w:val="3"/>
        </w:numPr>
      </w:pPr>
      <w:r>
        <w:lastRenderedPageBreak/>
        <w:t>We also noted our analysis that 97% of ASIC reporting entities will be affected, or influenced, by the technical approaches to reporting required in other jurisdictions</w:t>
      </w:r>
      <w:r w:rsidR="00605C53" w:rsidRPr="00605C53">
        <w:t xml:space="preserve"> – </w:t>
      </w:r>
      <w:r>
        <w:t>either because the entity is, or is in a related entity group that is, a multi-jurisdictional reporter or the entity uses outsourced reporting by an international report submitting entity.</w:t>
      </w:r>
    </w:p>
    <w:p w14:paraId="773332FA" w14:textId="639765D0" w:rsidR="00706844" w:rsidRDefault="00425A5C" w:rsidP="002E110A">
      <w:pPr>
        <w:pStyle w:val="LI-BodyTextParaa"/>
        <w:numPr>
          <w:ilvl w:val="0"/>
          <w:numId w:val="3"/>
        </w:numPr>
      </w:pPr>
      <w:r>
        <w:t>Submissions to CP 361 were supportive of mandating ISO 20022 XML as the technical format for reporting.</w:t>
      </w:r>
    </w:p>
    <w:p w14:paraId="6C8CE6DB" w14:textId="3B5522A7" w:rsidR="00EE1100" w:rsidRPr="00425A5C" w:rsidRDefault="00EE1100" w:rsidP="00EE1100">
      <w:pPr>
        <w:pStyle w:val="LI-BodyTextParaa"/>
        <w:ind w:left="0" w:firstLine="0"/>
        <w:rPr>
          <w:i/>
          <w:iCs/>
        </w:rPr>
      </w:pPr>
      <w:r>
        <w:rPr>
          <w:i/>
          <w:iCs/>
        </w:rPr>
        <w:t>Scope of reportable transactions</w:t>
      </w:r>
    </w:p>
    <w:p w14:paraId="5A97825A" w14:textId="77777777" w:rsidR="00D83FC0" w:rsidRDefault="00D83FC0" w:rsidP="002E110A">
      <w:pPr>
        <w:pStyle w:val="LI-BodyTextParaa"/>
        <w:numPr>
          <w:ilvl w:val="0"/>
          <w:numId w:val="3"/>
        </w:numPr>
      </w:pPr>
      <w:r>
        <w:t>In CP 334, we made proposals to:</w:t>
      </w:r>
    </w:p>
    <w:p w14:paraId="7682FEDA" w14:textId="77777777" w:rsidR="00426ACC" w:rsidRDefault="00F90038" w:rsidP="002E110A">
      <w:pPr>
        <w:pStyle w:val="LI-BodyTextParaa"/>
        <w:numPr>
          <w:ilvl w:val="1"/>
          <w:numId w:val="3"/>
        </w:numPr>
      </w:pPr>
      <w:r>
        <w:t>i</w:t>
      </w:r>
      <w:r w:rsidR="00FD0A4D">
        <w:t xml:space="preserve">ncorporate </w:t>
      </w:r>
      <w:r>
        <w:t xml:space="preserve">the existing exemption </w:t>
      </w:r>
      <w:r w:rsidR="00426ACC" w:rsidRPr="00426ACC">
        <w:t xml:space="preserve">for FX securities conversion transactions in the </w:t>
      </w:r>
      <w:proofErr w:type="gramStart"/>
      <w:r w:rsidR="00426ACC">
        <w:t>r</w:t>
      </w:r>
      <w:r w:rsidR="00426ACC" w:rsidRPr="00426ACC">
        <w:t>ules</w:t>
      </w:r>
      <w:r w:rsidR="00426ACC">
        <w:t>;</w:t>
      </w:r>
      <w:proofErr w:type="gramEnd"/>
    </w:p>
    <w:p w14:paraId="01708CCB" w14:textId="72352018" w:rsidR="00D83FC0" w:rsidRDefault="00D83FC0" w:rsidP="002E110A">
      <w:pPr>
        <w:pStyle w:val="LI-BodyTextParaa"/>
        <w:numPr>
          <w:ilvl w:val="1"/>
          <w:numId w:val="3"/>
        </w:numPr>
      </w:pPr>
      <w:r>
        <w:t xml:space="preserve">exclude from the meaning of a reportable transaction a transaction for spot </w:t>
      </w:r>
      <w:proofErr w:type="gramStart"/>
      <w:r>
        <w:t>settlement;</w:t>
      </w:r>
      <w:proofErr w:type="gramEnd"/>
    </w:p>
    <w:p w14:paraId="0B617EE9" w14:textId="574E15CD" w:rsidR="00D83FC0" w:rsidRDefault="00D83FC0" w:rsidP="002E110A">
      <w:pPr>
        <w:pStyle w:val="LI-BodyTextParaa"/>
        <w:numPr>
          <w:ilvl w:val="1"/>
          <w:numId w:val="3"/>
        </w:numPr>
      </w:pPr>
      <w:r>
        <w:t>ensure that transactions with Australian retail clients are reportable transactions</w:t>
      </w:r>
      <w:r w:rsidR="00CD1CB8">
        <w:t xml:space="preserve">; </w:t>
      </w:r>
      <w:r>
        <w:t>and</w:t>
      </w:r>
    </w:p>
    <w:p w14:paraId="14AF898D" w14:textId="2A554A4D" w:rsidR="00CD1CB8" w:rsidRDefault="009F7CC6" w:rsidP="002E110A">
      <w:pPr>
        <w:pStyle w:val="LI-BodyTextParaa"/>
        <w:numPr>
          <w:ilvl w:val="1"/>
          <w:numId w:val="3"/>
        </w:numPr>
      </w:pPr>
      <w:r>
        <w:t>clarify the scope of reporting for foreign subsidiaries of Australian entities.</w:t>
      </w:r>
    </w:p>
    <w:p w14:paraId="74816035" w14:textId="16A503E2" w:rsidR="00EE1100" w:rsidRDefault="00701FE2" w:rsidP="002E110A">
      <w:pPr>
        <w:pStyle w:val="LI-BodyTextParaa"/>
        <w:numPr>
          <w:ilvl w:val="0"/>
          <w:numId w:val="3"/>
        </w:numPr>
      </w:pPr>
      <w:r>
        <w:t xml:space="preserve">Submissions to </w:t>
      </w:r>
      <w:r w:rsidR="00D22EFF">
        <w:t>CP 334 either supported or raised no objections to these proposals.</w:t>
      </w:r>
    </w:p>
    <w:p w14:paraId="77813061" w14:textId="77777777" w:rsidR="00BA6648" w:rsidRDefault="004141FC" w:rsidP="002E110A">
      <w:pPr>
        <w:pStyle w:val="BodyText"/>
        <w:numPr>
          <w:ilvl w:val="0"/>
          <w:numId w:val="3"/>
        </w:numPr>
        <w:overflowPunct/>
        <w:autoSpaceDE/>
        <w:autoSpaceDN/>
        <w:adjustRightInd/>
        <w:spacing w:before="180" w:after="0" w:line="290" w:lineRule="atLeast"/>
      </w:pPr>
      <w:r>
        <w:t xml:space="preserve">In CP 361, we said that we had decided to proceed </w:t>
      </w:r>
      <w:r w:rsidR="00BA6648">
        <w:t>with our proposals in CP 334 and made new proposals to:</w:t>
      </w:r>
    </w:p>
    <w:p w14:paraId="398EA4F8" w14:textId="58D61D50" w:rsidR="001C7E9C" w:rsidRDefault="001C7E9C" w:rsidP="002E110A">
      <w:pPr>
        <w:pStyle w:val="BodyText"/>
        <w:numPr>
          <w:ilvl w:val="1"/>
          <w:numId w:val="3"/>
        </w:numPr>
        <w:overflowPunct/>
        <w:autoSpaceDE/>
        <w:autoSpaceDN/>
        <w:adjustRightInd/>
        <w:spacing w:before="80" w:after="0" w:line="310" w:lineRule="atLeast"/>
      </w:pPr>
      <w:r>
        <w:t xml:space="preserve">clarify the meaning of a Part 7.2A </w:t>
      </w:r>
      <w:r w:rsidR="00A171F2">
        <w:t xml:space="preserve">market </w:t>
      </w:r>
      <w:r>
        <w:t>as being a financial market for which market integrity rules apply</w:t>
      </w:r>
      <w:r w:rsidR="00E46E1C">
        <w:t xml:space="preserve"> – noting that a derivative traded on </w:t>
      </w:r>
      <w:r w:rsidR="00AC65BF">
        <w:t>such a</w:t>
      </w:r>
      <w:r w:rsidR="00D96C75">
        <w:t xml:space="preserve"> Part 7.2A </w:t>
      </w:r>
      <w:r w:rsidR="00A171F2">
        <w:t xml:space="preserve">market </w:t>
      </w:r>
      <w:r w:rsidR="00D96C75">
        <w:t xml:space="preserve">is not an OTC </w:t>
      </w:r>
      <w:r w:rsidR="00A171F2">
        <w:t xml:space="preserve">derivative </w:t>
      </w:r>
      <w:r w:rsidR="00D96C75">
        <w:t xml:space="preserve">under the </w:t>
      </w:r>
      <w:proofErr w:type="gramStart"/>
      <w:r w:rsidR="00D96C75">
        <w:t>rules</w:t>
      </w:r>
      <w:r w:rsidR="00E731FC">
        <w:t>;</w:t>
      </w:r>
      <w:proofErr w:type="gramEnd"/>
    </w:p>
    <w:p w14:paraId="305B8D5F" w14:textId="25FBE1E5" w:rsidR="001C7E9C" w:rsidRDefault="001C7E9C" w:rsidP="002E110A">
      <w:pPr>
        <w:pStyle w:val="BodyText"/>
        <w:numPr>
          <w:ilvl w:val="1"/>
          <w:numId w:val="3"/>
        </w:numPr>
        <w:overflowPunct/>
        <w:autoSpaceDE/>
        <w:autoSpaceDN/>
        <w:adjustRightInd/>
        <w:spacing w:before="80" w:after="0" w:line="310" w:lineRule="atLeast"/>
      </w:pPr>
      <w:r>
        <w:t xml:space="preserve">exclude as reporting entities </w:t>
      </w:r>
      <w:r w:rsidR="00410C2A">
        <w:t>Australian financial services (</w:t>
      </w:r>
      <w:r w:rsidRPr="00C632E6">
        <w:rPr>
          <w:b/>
          <w:bCs/>
          <w:i/>
          <w:iCs/>
        </w:rPr>
        <w:t>AFS</w:t>
      </w:r>
      <w:r w:rsidR="00410C2A">
        <w:t>)</w:t>
      </w:r>
      <w:r>
        <w:t xml:space="preserve"> licensees without relevant derivatives authorisations</w:t>
      </w:r>
      <w:r w:rsidR="007E6AF4">
        <w:t xml:space="preserve"> in their AFS licence</w:t>
      </w:r>
      <w:r>
        <w:t xml:space="preserve">, consistent with reg 7.5A.50 of the </w:t>
      </w:r>
      <w:r w:rsidRPr="00C632E6">
        <w:rPr>
          <w:i/>
          <w:iCs/>
        </w:rPr>
        <w:t>Corporations Regulations</w:t>
      </w:r>
      <w:r w:rsidR="00410C2A" w:rsidRPr="00C632E6">
        <w:rPr>
          <w:i/>
          <w:iCs/>
        </w:rPr>
        <w:t xml:space="preserve"> 2001</w:t>
      </w:r>
      <w:r w:rsidR="00410C2A">
        <w:t xml:space="preserve"> (</w:t>
      </w:r>
      <w:r w:rsidR="00410C2A" w:rsidRPr="00C632E6">
        <w:rPr>
          <w:b/>
          <w:bCs/>
          <w:i/>
          <w:iCs/>
        </w:rPr>
        <w:t>Corporations Regulations</w:t>
      </w:r>
      <w:proofErr w:type="gramStart"/>
      <w:r w:rsidR="00410C2A">
        <w:t>)</w:t>
      </w:r>
      <w:r>
        <w:t>;</w:t>
      </w:r>
      <w:proofErr w:type="gramEnd"/>
    </w:p>
    <w:p w14:paraId="434B2FBB" w14:textId="62F795DA" w:rsidR="001C7E9C" w:rsidRDefault="001C7E9C" w:rsidP="002E110A">
      <w:pPr>
        <w:pStyle w:val="BodyText"/>
        <w:numPr>
          <w:ilvl w:val="1"/>
          <w:numId w:val="3"/>
        </w:numPr>
        <w:overflowPunct/>
        <w:autoSpaceDE/>
        <w:autoSpaceDN/>
        <w:adjustRightInd/>
        <w:spacing w:before="80" w:after="0" w:line="310" w:lineRule="atLeast"/>
      </w:pPr>
      <w:r>
        <w:t>exclude as reporting entities clearing members in certain circumstances of an agency clearing model, generalising the existing exemption for OTC clearing participants of ASX Clear (Futures)</w:t>
      </w:r>
      <w:r w:rsidR="00DA39D3">
        <w:t xml:space="preserve"> Pty Ltd</w:t>
      </w:r>
      <w:r>
        <w:t>;</w:t>
      </w:r>
      <w:r w:rsidR="005668AE">
        <w:t xml:space="preserve"> and</w:t>
      </w:r>
    </w:p>
    <w:p w14:paraId="739EBEAD" w14:textId="77777777" w:rsidR="001C7E9C" w:rsidRDefault="001C7E9C" w:rsidP="002E110A">
      <w:pPr>
        <w:pStyle w:val="BodyText"/>
        <w:numPr>
          <w:ilvl w:val="1"/>
          <w:numId w:val="3"/>
        </w:numPr>
        <w:overflowPunct/>
        <w:autoSpaceDE/>
        <w:autoSpaceDN/>
        <w:adjustRightInd/>
        <w:spacing w:before="80" w:after="0" w:line="310" w:lineRule="atLeast"/>
      </w:pPr>
      <w:r>
        <w:t>clarify that the OTC derivative transactions of a corporate collective investment vehicle (</w:t>
      </w:r>
      <w:r w:rsidRPr="00C632E6">
        <w:rPr>
          <w:b/>
          <w:bCs/>
          <w:i/>
          <w:iCs/>
        </w:rPr>
        <w:t>CCIV</w:t>
      </w:r>
      <w:r>
        <w:t>) are reportable transactions.</w:t>
      </w:r>
    </w:p>
    <w:p w14:paraId="4B796B5D" w14:textId="6F2AAC9D" w:rsidR="001B797C" w:rsidRDefault="00E11190" w:rsidP="002E110A">
      <w:pPr>
        <w:pStyle w:val="BodyText"/>
        <w:numPr>
          <w:ilvl w:val="0"/>
          <w:numId w:val="3"/>
        </w:numPr>
        <w:overflowPunct/>
        <w:autoSpaceDE/>
        <w:autoSpaceDN/>
        <w:adjustRightInd/>
        <w:spacing w:before="200" w:after="0"/>
      </w:pPr>
      <w:r>
        <w:t xml:space="preserve">In relation to </w:t>
      </w:r>
      <w:proofErr w:type="spellStart"/>
      <w:r>
        <w:t>CCIVs</w:t>
      </w:r>
      <w:proofErr w:type="spellEnd"/>
      <w:r>
        <w:t>, t</w:t>
      </w:r>
      <w:r w:rsidR="001B797C">
        <w:t xml:space="preserve">he </w:t>
      </w:r>
      <w:r w:rsidR="001B797C" w:rsidRPr="00F961DE">
        <w:rPr>
          <w:i/>
          <w:iCs/>
        </w:rPr>
        <w:t>Corporate Collective Investment Vehicle Framework and Other Measures Act 2022</w:t>
      </w:r>
      <w:r w:rsidR="001B797C">
        <w:t xml:space="preserve"> implement</w:t>
      </w:r>
      <w:r>
        <w:t>ed</w:t>
      </w:r>
      <w:r w:rsidR="001B797C">
        <w:t xml:space="preserve"> a legislative regime for </w:t>
      </w:r>
      <w:proofErr w:type="spellStart"/>
      <w:r w:rsidR="001B797C">
        <w:t>CCIVs</w:t>
      </w:r>
      <w:proofErr w:type="spellEnd"/>
      <w:r w:rsidR="00E70039">
        <w:t>, which commence</w:t>
      </w:r>
      <w:r w:rsidR="00333679">
        <w:t>d</w:t>
      </w:r>
      <w:r w:rsidR="001B797C">
        <w:t xml:space="preserve"> on 1 July 2022. It provides an alternative to the existing managed investment scheme regime under the </w:t>
      </w:r>
      <w:r w:rsidR="001B797C" w:rsidRPr="008324E1">
        <w:rPr>
          <w:i/>
          <w:iCs/>
        </w:rPr>
        <w:t>Corporations Act</w:t>
      </w:r>
      <w:r w:rsidR="004069C1" w:rsidRPr="008324E1">
        <w:rPr>
          <w:i/>
          <w:iCs/>
        </w:rPr>
        <w:t xml:space="preserve"> 2001</w:t>
      </w:r>
      <w:r w:rsidR="004069C1">
        <w:t xml:space="preserve"> (</w:t>
      </w:r>
      <w:r w:rsidR="00BE553B" w:rsidRPr="0044345B">
        <w:t>the</w:t>
      </w:r>
      <w:r w:rsidR="00BE553B" w:rsidRPr="0044345B">
        <w:rPr>
          <w:b/>
          <w:bCs/>
          <w:i/>
          <w:iCs/>
        </w:rPr>
        <w:t xml:space="preserve"> Corporations Act</w:t>
      </w:r>
      <w:r w:rsidR="004069C1">
        <w:t>)</w:t>
      </w:r>
      <w:r w:rsidR="00F961DE">
        <w:t xml:space="preserve"> and, </w:t>
      </w:r>
      <w:r w:rsidR="003D16C9">
        <w:t>to m</w:t>
      </w:r>
      <w:r w:rsidR="001B797C">
        <w:t xml:space="preserve">aintain regulatory parity between </w:t>
      </w:r>
      <w:proofErr w:type="spellStart"/>
      <w:r w:rsidR="001B797C">
        <w:t>CCIVs</w:t>
      </w:r>
      <w:proofErr w:type="spellEnd"/>
      <w:r w:rsidR="001B797C">
        <w:t xml:space="preserve"> and </w:t>
      </w:r>
      <w:r w:rsidR="001B797C">
        <w:lastRenderedPageBreak/>
        <w:t xml:space="preserve">managed investment schemes, the </w:t>
      </w:r>
      <w:r w:rsidR="003D16C9">
        <w:t xml:space="preserve">2024 Rules </w:t>
      </w:r>
      <w:r w:rsidR="001B797C">
        <w:t>clarify that, for derivative transactions entered into for a CCIV, the corporate director of the CCIV is the reporting entity.</w:t>
      </w:r>
    </w:p>
    <w:p w14:paraId="3C76C625" w14:textId="081E6E11" w:rsidR="00D22EFF" w:rsidRDefault="00DE64C1" w:rsidP="002E110A">
      <w:pPr>
        <w:pStyle w:val="LI-BodyTextParaa"/>
        <w:numPr>
          <w:ilvl w:val="0"/>
          <w:numId w:val="3"/>
        </w:numPr>
      </w:pPr>
      <w:r>
        <w:t xml:space="preserve">Submissions to </w:t>
      </w:r>
      <w:r w:rsidR="005965A3">
        <w:t>CP 361 either supported or raised no objections to these proposals.</w:t>
      </w:r>
    </w:p>
    <w:p w14:paraId="699606C9" w14:textId="6F60B546" w:rsidR="00B6028D" w:rsidRDefault="00385D70" w:rsidP="002E110A">
      <w:pPr>
        <w:pStyle w:val="LI-BodyTextParaa"/>
        <w:numPr>
          <w:ilvl w:val="0"/>
          <w:numId w:val="3"/>
        </w:numPr>
      </w:pPr>
      <w:r>
        <w:t>G</w:t>
      </w:r>
      <w:r w:rsidR="00F957D6">
        <w:t xml:space="preserve">iven the support for our proposal to </w:t>
      </w:r>
      <w:r w:rsidR="00F957D6" w:rsidRPr="00F957D6">
        <w:t>exclude from the meaning of a reportable transaction a transaction for spot settlement</w:t>
      </w:r>
      <w:r w:rsidR="00377D2A">
        <w:t xml:space="preserve">, on 5 September 2022 ASIC made </w:t>
      </w:r>
      <w:r w:rsidR="00790934" w:rsidRPr="00746FDA">
        <w:rPr>
          <w:i/>
          <w:iCs/>
        </w:rPr>
        <w:t>ASIC Corporations (Amendment) Instrument 2022/775</w:t>
      </w:r>
      <w:r w:rsidR="00546C68">
        <w:t xml:space="preserve"> to inse</w:t>
      </w:r>
      <w:r w:rsidR="0088244D">
        <w:t>r</w:t>
      </w:r>
      <w:r w:rsidR="00546C68">
        <w:t xml:space="preserve">t </w:t>
      </w:r>
      <w:r w:rsidR="00704248">
        <w:t>“</w:t>
      </w:r>
      <w:r w:rsidR="00546C68" w:rsidRPr="00546C68">
        <w:t>Exemption 10 (Spot Settlement Transactio</w:t>
      </w:r>
      <w:r w:rsidR="0088244D">
        <w:t>n</w:t>
      </w:r>
      <w:r w:rsidR="00546C68" w:rsidRPr="00546C68">
        <w:t>s)</w:t>
      </w:r>
      <w:r w:rsidR="00D85317">
        <w:t>”</w:t>
      </w:r>
      <w:r w:rsidR="00F01D37">
        <w:t xml:space="preserve"> in </w:t>
      </w:r>
      <w:r w:rsidR="00EA2635" w:rsidRPr="00116AEB">
        <w:t>Instrument 2015/844</w:t>
      </w:r>
      <w:r w:rsidR="00EA2635">
        <w:t>.</w:t>
      </w:r>
      <w:r w:rsidR="00455A15">
        <w:t xml:space="preserve"> </w:t>
      </w:r>
      <w:r w:rsidR="00777ECF">
        <w:t xml:space="preserve">Subrule </w:t>
      </w:r>
      <w:r w:rsidR="001C4B4B">
        <w:t xml:space="preserve">1.2.4(7) is the </w:t>
      </w:r>
      <w:r w:rsidR="00C02875">
        <w:t xml:space="preserve">equivalent </w:t>
      </w:r>
      <w:r w:rsidR="009905FE">
        <w:t xml:space="preserve">form </w:t>
      </w:r>
      <w:r w:rsidR="003D41B5">
        <w:t>of</w:t>
      </w:r>
      <w:r w:rsidR="009905FE">
        <w:t xml:space="preserve"> </w:t>
      </w:r>
      <w:r w:rsidR="001C4B4B">
        <w:t>Exemption 10</w:t>
      </w:r>
      <w:r w:rsidR="00050A91">
        <w:t xml:space="preserve"> within</w:t>
      </w:r>
      <w:r w:rsidR="001C4B4B">
        <w:t xml:space="preserve"> </w:t>
      </w:r>
      <w:r w:rsidR="00455A15">
        <w:t xml:space="preserve">the 2024 </w:t>
      </w:r>
      <w:proofErr w:type="gramStart"/>
      <w:r w:rsidR="00455A15">
        <w:t>Rules</w:t>
      </w:r>
      <w:proofErr w:type="gramEnd"/>
      <w:r w:rsidR="00F70C2C">
        <w:t xml:space="preserve"> and </w:t>
      </w:r>
      <w:bookmarkStart w:id="13" w:name="_Hlk121238614"/>
      <w:r w:rsidR="00F70C2C">
        <w:t xml:space="preserve">we </w:t>
      </w:r>
      <w:r w:rsidR="00455A15">
        <w:t xml:space="preserve">intend that </w:t>
      </w:r>
      <w:r w:rsidR="002F513F">
        <w:t xml:space="preserve">Exemption 10 </w:t>
      </w:r>
      <w:r w:rsidR="00F70C2C">
        <w:t xml:space="preserve">will be </w:t>
      </w:r>
      <w:r w:rsidR="004D75C3">
        <w:t xml:space="preserve">ended </w:t>
      </w:r>
      <w:r w:rsidR="00455A15">
        <w:t>upon the commencement of the 2024 Rules</w:t>
      </w:r>
      <w:bookmarkEnd w:id="13"/>
      <w:r w:rsidR="00392095">
        <w:t>.</w:t>
      </w:r>
    </w:p>
    <w:p w14:paraId="13BDF84A" w14:textId="7D8ED0B5" w:rsidR="001F6669" w:rsidRPr="00425A5C" w:rsidRDefault="00894EAF" w:rsidP="001F6669">
      <w:pPr>
        <w:pStyle w:val="LI-BodyTextParaa"/>
        <w:ind w:left="0" w:firstLine="0"/>
        <w:rPr>
          <w:i/>
          <w:iCs/>
        </w:rPr>
      </w:pPr>
      <w:r>
        <w:rPr>
          <w:i/>
          <w:iCs/>
        </w:rPr>
        <w:t>D</w:t>
      </w:r>
      <w:r w:rsidR="001F6669">
        <w:rPr>
          <w:i/>
          <w:iCs/>
        </w:rPr>
        <w:t>elegated reporting</w:t>
      </w:r>
    </w:p>
    <w:p w14:paraId="79EAE700" w14:textId="0D6ACFA2" w:rsidR="001F6669" w:rsidRPr="00AB7742" w:rsidRDefault="00D03248" w:rsidP="002E110A">
      <w:pPr>
        <w:pStyle w:val="LI-BodyTextParaa"/>
        <w:numPr>
          <w:ilvl w:val="0"/>
          <w:numId w:val="3"/>
        </w:numPr>
      </w:pPr>
      <w:r w:rsidRPr="00516653">
        <w:rPr>
          <w:spacing w:val="-2"/>
        </w:rPr>
        <w:t>As</w:t>
      </w:r>
      <w:r w:rsidRPr="00A829C7">
        <w:rPr>
          <w:spacing w:val="-2"/>
        </w:rPr>
        <w:t xml:space="preserve"> is commonly provided for in other jurisdictions, </w:t>
      </w:r>
      <w:r>
        <w:rPr>
          <w:spacing w:val="-2"/>
        </w:rPr>
        <w:t xml:space="preserve">the </w:t>
      </w:r>
      <w:r w:rsidR="00867C23">
        <w:rPr>
          <w:spacing w:val="-2"/>
        </w:rPr>
        <w:t>2024 R</w:t>
      </w:r>
      <w:r w:rsidRPr="00A829C7">
        <w:rPr>
          <w:spacing w:val="-2"/>
        </w:rPr>
        <w:t>ules</w:t>
      </w:r>
      <w:r w:rsidR="004872F5">
        <w:rPr>
          <w:spacing w:val="-2"/>
        </w:rPr>
        <w:t xml:space="preserve"> continue to</w:t>
      </w:r>
      <w:r w:rsidRPr="00A829C7">
        <w:rPr>
          <w:spacing w:val="-2"/>
        </w:rPr>
        <w:t xml:space="preserve"> provide that </w:t>
      </w:r>
      <w:r w:rsidR="00F65ABA">
        <w:rPr>
          <w:spacing w:val="-2"/>
        </w:rPr>
        <w:t>a reporting entity</w:t>
      </w:r>
      <w:r w:rsidRPr="00A829C7">
        <w:rPr>
          <w:spacing w:val="-2"/>
        </w:rPr>
        <w:t xml:space="preserve"> may appoint another person (a delegate) to report on behalf of the reporting entity</w:t>
      </w:r>
      <w:r>
        <w:rPr>
          <w:spacing w:val="-2"/>
        </w:rPr>
        <w:t>.</w:t>
      </w:r>
    </w:p>
    <w:p w14:paraId="65A916B4" w14:textId="19046C8F" w:rsidR="00AB7742" w:rsidRPr="00D03248" w:rsidRDefault="00867C23" w:rsidP="002E110A">
      <w:pPr>
        <w:pStyle w:val="LI-BodyTextParaa"/>
        <w:numPr>
          <w:ilvl w:val="0"/>
          <w:numId w:val="3"/>
        </w:numPr>
      </w:pPr>
      <w:r>
        <w:rPr>
          <w:spacing w:val="-2"/>
        </w:rPr>
        <w:t>Prior to the commencement of the 2024 Rules</w:t>
      </w:r>
      <w:r w:rsidR="00AB7742">
        <w:rPr>
          <w:spacing w:val="-2"/>
        </w:rPr>
        <w:t xml:space="preserve">, </w:t>
      </w:r>
      <w:r w:rsidR="00995B49">
        <w:rPr>
          <w:spacing w:val="-2"/>
        </w:rPr>
        <w:t xml:space="preserve">a </w:t>
      </w:r>
      <w:r w:rsidR="00410C2A">
        <w:rPr>
          <w:spacing w:val="-2"/>
        </w:rPr>
        <w:t>“</w:t>
      </w:r>
      <w:r w:rsidR="00995B49">
        <w:rPr>
          <w:spacing w:val="-2"/>
        </w:rPr>
        <w:t>safe harbour</w:t>
      </w:r>
      <w:r w:rsidR="00410C2A">
        <w:rPr>
          <w:spacing w:val="-2"/>
        </w:rPr>
        <w:t>”</w:t>
      </w:r>
      <w:r w:rsidR="00995B49">
        <w:rPr>
          <w:spacing w:val="-2"/>
        </w:rPr>
        <w:t xml:space="preserve"> provision </w:t>
      </w:r>
      <w:r w:rsidR="00687BE2">
        <w:rPr>
          <w:spacing w:val="-2"/>
        </w:rPr>
        <w:t>allow</w:t>
      </w:r>
      <w:r w:rsidR="00687BE2" w:rsidRPr="00A829C7">
        <w:rPr>
          <w:spacing w:val="-2"/>
        </w:rPr>
        <w:t xml:space="preserve">s that </w:t>
      </w:r>
      <w:r w:rsidR="00F65ABA">
        <w:rPr>
          <w:spacing w:val="-2"/>
        </w:rPr>
        <w:t>a reporting entity</w:t>
      </w:r>
      <w:r w:rsidR="00687BE2" w:rsidRPr="00A829C7">
        <w:rPr>
          <w:spacing w:val="-2"/>
        </w:rPr>
        <w:t xml:space="preserve"> is taken to have complied with its reporting obligations if they have a documented agreement with their </w:t>
      </w:r>
      <w:r w:rsidR="00687BE2">
        <w:rPr>
          <w:spacing w:val="-2"/>
        </w:rPr>
        <w:t>d</w:t>
      </w:r>
      <w:r w:rsidR="00687BE2" w:rsidRPr="00A829C7">
        <w:rPr>
          <w:spacing w:val="-2"/>
        </w:rPr>
        <w:t xml:space="preserve">elegate and if they make </w:t>
      </w:r>
      <w:bookmarkStart w:id="14" w:name="_Hlk54104493"/>
      <w:r w:rsidR="00410C2A">
        <w:rPr>
          <w:spacing w:val="-2"/>
        </w:rPr>
        <w:t>“</w:t>
      </w:r>
      <w:r w:rsidR="00687BE2" w:rsidRPr="00A829C7">
        <w:rPr>
          <w:spacing w:val="-2"/>
        </w:rPr>
        <w:t xml:space="preserve">regular </w:t>
      </w:r>
      <w:r w:rsidR="00687BE2">
        <w:rPr>
          <w:spacing w:val="-2"/>
        </w:rPr>
        <w:t>i</w:t>
      </w:r>
      <w:r w:rsidR="00687BE2" w:rsidRPr="00A829C7">
        <w:rPr>
          <w:spacing w:val="-2"/>
        </w:rPr>
        <w:t>nquiries reasonably designed</w:t>
      </w:r>
      <w:r w:rsidR="00410C2A">
        <w:rPr>
          <w:spacing w:val="-2"/>
        </w:rPr>
        <w:t>”</w:t>
      </w:r>
      <w:r w:rsidR="00687BE2" w:rsidRPr="00A829C7">
        <w:rPr>
          <w:spacing w:val="-2"/>
        </w:rPr>
        <w:t xml:space="preserve"> to determine if the </w:t>
      </w:r>
      <w:r w:rsidR="00687BE2">
        <w:rPr>
          <w:spacing w:val="-2"/>
        </w:rPr>
        <w:t>d</w:t>
      </w:r>
      <w:r w:rsidR="00687BE2" w:rsidRPr="00A829C7">
        <w:rPr>
          <w:spacing w:val="-2"/>
        </w:rPr>
        <w:t>elegate is complying with the terms of the agreement</w:t>
      </w:r>
      <w:bookmarkEnd w:id="14"/>
      <w:r w:rsidR="00687BE2" w:rsidRPr="00A829C7">
        <w:rPr>
          <w:spacing w:val="-2"/>
        </w:rPr>
        <w:t>.</w:t>
      </w:r>
    </w:p>
    <w:p w14:paraId="1D1AE06F" w14:textId="602F66BB" w:rsidR="001A46F0" w:rsidRDefault="0080551C" w:rsidP="002E110A">
      <w:pPr>
        <w:pStyle w:val="LI-BodyTextParaa"/>
        <w:numPr>
          <w:ilvl w:val="0"/>
          <w:numId w:val="3"/>
        </w:numPr>
      </w:pPr>
      <w:r>
        <w:t>In CP 334, we described our concerns with the operation of delegated reporting from our own interactions with a variety of reporting entities that make use of delegated reporting</w:t>
      </w:r>
      <w:r w:rsidR="00DA39D3">
        <w:t xml:space="preserve">. We </w:t>
      </w:r>
      <w:r>
        <w:t>have been unconvinced that all reporting entities are capable of subjecting, and do subject, their delegated reporting arrangements to a level of oversight and rigour that sufficiently contributes to maintaining reported information as complete, accurate and current</w:t>
      </w:r>
      <w:r w:rsidR="001A46F0">
        <w:t>.</w:t>
      </w:r>
    </w:p>
    <w:p w14:paraId="60DBD83C" w14:textId="2785D7E6" w:rsidR="0080551C" w:rsidRDefault="0080551C" w:rsidP="002E110A">
      <w:pPr>
        <w:pStyle w:val="LI-BodyTextParaa"/>
        <w:numPr>
          <w:ilvl w:val="0"/>
          <w:numId w:val="3"/>
        </w:numPr>
      </w:pPr>
      <w:r>
        <w:t xml:space="preserve">In CP 334, we did not make a specific proposal on delegated </w:t>
      </w:r>
      <w:proofErr w:type="gramStart"/>
      <w:r>
        <w:t>reporting</w:t>
      </w:r>
      <w:proofErr w:type="gramEnd"/>
      <w:r>
        <w:t xml:space="preserve"> but we said that, in principle, we considered the most effective approach to addressing our concerns in relation to delegated reporting is to remove the </w:t>
      </w:r>
      <w:r w:rsidR="0014485E">
        <w:t>“</w:t>
      </w:r>
      <w:r>
        <w:t>safe harbour</w:t>
      </w:r>
      <w:r w:rsidR="0014485E">
        <w:t>”</w:t>
      </w:r>
      <w:r>
        <w:t xml:space="preserve"> provision and revert to reporting entities having responsibilities for reporting as otherwise set out in the </w:t>
      </w:r>
      <w:r w:rsidR="003F47C8">
        <w:t>2013 R</w:t>
      </w:r>
      <w:r>
        <w:t>ules.</w:t>
      </w:r>
    </w:p>
    <w:p w14:paraId="41ABF394" w14:textId="3CBF6E71" w:rsidR="0080551C" w:rsidRDefault="00521834" w:rsidP="002E110A">
      <w:pPr>
        <w:pStyle w:val="LI-BodyTextParaa"/>
        <w:numPr>
          <w:ilvl w:val="0"/>
          <w:numId w:val="3"/>
        </w:numPr>
      </w:pPr>
      <w:r>
        <w:t>F</w:t>
      </w:r>
      <w:r w:rsidR="0080551C">
        <w:t xml:space="preserve">ollowing the release of CP 334, we requested submissions to CP 334 from a cross-section of industry identified as using reporting services providers, to better understand existing practices and operational insights in relation to delegated reporting. Respondents to CP 334 strongly disagreed with our preliminary approach of proposing to remove the </w:t>
      </w:r>
      <w:r w:rsidR="00562422">
        <w:t>“</w:t>
      </w:r>
      <w:r w:rsidR="0080551C">
        <w:t>safe harbour</w:t>
      </w:r>
      <w:r w:rsidR="00562422">
        <w:t>”</w:t>
      </w:r>
      <w:r w:rsidR="0080551C">
        <w:t xml:space="preserve"> provisions</w:t>
      </w:r>
      <w:r w:rsidR="0038328A">
        <w:t>.</w:t>
      </w:r>
    </w:p>
    <w:p w14:paraId="15CDC050" w14:textId="77777777" w:rsidR="00B97EB5" w:rsidRDefault="0080551C" w:rsidP="002E110A">
      <w:pPr>
        <w:pStyle w:val="LI-BodyTextParaa"/>
        <w:numPr>
          <w:ilvl w:val="0"/>
          <w:numId w:val="3"/>
        </w:numPr>
      </w:pPr>
      <w:r>
        <w:t>The key challenges and concerns raised by respondents were centred on</w:t>
      </w:r>
      <w:r w:rsidR="00B97EB5">
        <w:t>:</w:t>
      </w:r>
    </w:p>
    <w:p w14:paraId="358FA2AD" w14:textId="77777777" w:rsidR="00354D2A" w:rsidRDefault="00354D2A" w:rsidP="002E110A">
      <w:pPr>
        <w:pStyle w:val="LI-BodyTextParaa"/>
        <w:numPr>
          <w:ilvl w:val="1"/>
          <w:numId w:val="3"/>
        </w:numPr>
      </w:pPr>
      <w:r>
        <w:t xml:space="preserve">the capability uplift that may be required by reporting entities to accurately oversee their </w:t>
      </w:r>
      <w:proofErr w:type="gramStart"/>
      <w:r>
        <w:t>delegates;</w:t>
      </w:r>
      <w:proofErr w:type="gramEnd"/>
    </w:p>
    <w:p w14:paraId="6260A4CE" w14:textId="5059AA57" w:rsidR="00354D2A" w:rsidRDefault="00354D2A" w:rsidP="002E110A">
      <w:pPr>
        <w:pStyle w:val="LI-BodyTextParaa"/>
        <w:numPr>
          <w:ilvl w:val="1"/>
          <w:numId w:val="3"/>
        </w:numPr>
      </w:pPr>
      <w:r>
        <w:lastRenderedPageBreak/>
        <w:t>the outsourcing of some business functions creates a lack of proximity to the transaction details/source data for some types of reporting entities using delegated reporting and there were concerns about the deadline for reporting, the ability to conduct timely and accurate reconciliations and other operational complexities; and</w:t>
      </w:r>
    </w:p>
    <w:p w14:paraId="309F6A7F" w14:textId="77777777" w:rsidR="00354D2A" w:rsidRDefault="00354D2A" w:rsidP="002E110A">
      <w:pPr>
        <w:pStyle w:val="LI-BodyTextParaa"/>
        <w:numPr>
          <w:ilvl w:val="1"/>
          <w:numId w:val="3"/>
        </w:numPr>
      </w:pPr>
      <w:r>
        <w:t xml:space="preserve">other concerns included a potential move away from the use of reporting services providers, a potential deterioration in the quality of reported data and a potential move away from using appropriate OTC derivative hedge products to avoid triggering reporting obligations. </w:t>
      </w:r>
    </w:p>
    <w:p w14:paraId="6EC5670C" w14:textId="6C6A7D43" w:rsidR="00354D2A" w:rsidRDefault="005D6424" w:rsidP="002E110A">
      <w:pPr>
        <w:pStyle w:val="LI-BodyTextParaa"/>
        <w:numPr>
          <w:ilvl w:val="0"/>
          <w:numId w:val="3"/>
        </w:numPr>
      </w:pPr>
      <w:r>
        <w:t>In CP 361</w:t>
      </w:r>
      <w:r w:rsidR="00EB7A5A">
        <w:t>, we said that t</w:t>
      </w:r>
      <w:r w:rsidR="00354D2A">
        <w:t>horough consideration was given to the responses</w:t>
      </w:r>
      <w:r w:rsidR="001304AC">
        <w:t>, but</w:t>
      </w:r>
      <w:r w:rsidR="00EB7A5A">
        <w:t xml:space="preserve"> </w:t>
      </w:r>
      <w:r w:rsidR="003E1197">
        <w:t xml:space="preserve">we </w:t>
      </w:r>
      <w:r w:rsidR="00354D2A">
        <w:t xml:space="preserve">consider that, on balance, it is appropriate to propose the removal of the </w:t>
      </w:r>
      <w:r w:rsidR="00893759">
        <w:t>“</w:t>
      </w:r>
      <w:r w:rsidR="00354D2A">
        <w:t>safe harbour</w:t>
      </w:r>
      <w:r w:rsidR="00893759">
        <w:t>”</w:t>
      </w:r>
      <w:r w:rsidR="00354D2A">
        <w:t xml:space="preserve"> provision and align the </w:t>
      </w:r>
      <w:r w:rsidR="00BF0E3B">
        <w:t xml:space="preserve">updated </w:t>
      </w:r>
      <w:r w:rsidR="004F5EAD">
        <w:t>r</w:t>
      </w:r>
      <w:r w:rsidR="00BF0E3B">
        <w:t>ules</w:t>
      </w:r>
      <w:r w:rsidR="00354D2A">
        <w:t xml:space="preserve"> with </w:t>
      </w:r>
      <w:r w:rsidR="00EB7A5A">
        <w:t xml:space="preserve">the </w:t>
      </w:r>
      <w:r w:rsidR="00354D2A">
        <w:t>outsourcing responsibility settings in other domestic and international regulatory rules and standards.</w:t>
      </w:r>
    </w:p>
    <w:p w14:paraId="260F1A31" w14:textId="4D9B077E" w:rsidR="00354D2A" w:rsidRDefault="00354D2A" w:rsidP="002E110A">
      <w:pPr>
        <w:pStyle w:val="LI-BodyTextParaa"/>
        <w:numPr>
          <w:ilvl w:val="0"/>
          <w:numId w:val="3"/>
        </w:numPr>
      </w:pPr>
      <w:r>
        <w:t xml:space="preserve">Internationally, we do not observe the existence of any similar </w:t>
      </w:r>
      <w:r w:rsidR="00893759">
        <w:t>“</w:t>
      </w:r>
      <w:r>
        <w:t>safe harbour</w:t>
      </w:r>
      <w:r w:rsidR="00893759">
        <w:t>”</w:t>
      </w:r>
      <w:r>
        <w:t xml:space="preserve"> regimes or diminished liability for reporting entities in circumstances where derivatives transactions reporting is outsourced to another person.</w:t>
      </w:r>
    </w:p>
    <w:p w14:paraId="1644FCC6" w14:textId="7DA34354" w:rsidR="00D82664" w:rsidRDefault="00650236" w:rsidP="00D82664">
      <w:pPr>
        <w:pStyle w:val="LI-BodyTextParaa"/>
        <w:numPr>
          <w:ilvl w:val="0"/>
          <w:numId w:val="3"/>
        </w:numPr>
      </w:pPr>
      <w:r>
        <w:t xml:space="preserve">In </w:t>
      </w:r>
      <w:r w:rsidR="00D82664">
        <w:t xml:space="preserve">CP 361, we also said that we recognise the underlying concerns that the </w:t>
      </w:r>
      <w:r w:rsidR="00AE28D5">
        <w:t>“</w:t>
      </w:r>
      <w:r w:rsidR="00D82664">
        <w:t>safe harbour</w:t>
      </w:r>
      <w:r w:rsidR="00AE28D5">
        <w:t>”</w:t>
      </w:r>
      <w:r w:rsidR="00D82664">
        <w:t xml:space="preserve"> regime has helped to address</w:t>
      </w:r>
      <w:r w:rsidR="005829A8">
        <w:t xml:space="preserve"> and </w:t>
      </w:r>
      <w:r w:rsidR="00017522">
        <w:t xml:space="preserve">that </w:t>
      </w:r>
      <w:r w:rsidR="00D82664">
        <w:t xml:space="preserve">we intend to provide </w:t>
      </w:r>
      <w:r w:rsidR="007F7E92">
        <w:t xml:space="preserve">regulatory </w:t>
      </w:r>
      <w:r w:rsidR="00D82664">
        <w:t>guidance in terms of:</w:t>
      </w:r>
    </w:p>
    <w:p w14:paraId="6FA1F1FF" w14:textId="77777777" w:rsidR="00D82664" w:rsidRDefault="00D82664" w:rsidP="008F43CE">
      <w:pPr>
        <w:pStyle w:val="LI-BodyTextParaa"/>
        <w:numPr>
          <w:ilvl w:val="1"/>
          <w:numId w:val="3"/>
        </w:numPr>
      </w:pPr>
      <w:r>
        <w:t>our expectations in relation to a reporting entity outsourcing its OTC derivative transaction reporting; and</w:t>
      </w:r>
    </w:p>
    <w:p w14:paraId="38A035C6" w14:textId="782159D6" w:rsidR="00115512" w:rsidRDefault="00D82664" w:rsidP="000D14EE">
      <w:pPr>
        <w:pStyle w:val="LI-BodyTextParaa"/>
        <w:numPr>
          <w:ilvl w:val="1"/>
          <w:numId w:val="3"/>
        </w:numPr>
      </w:pPr>
      <w:r>
        <w:t>ASIC’s approach and expectations in respect of OTC derivative transaction reporting errors and significant breaches</w:t>
      </w:r>
      <w:r w:rsidR="00115512">
        <w:t xml:space="preserve"> – in particular, by reference to the established principles of the </w:t>
      </w:r>
      <w:hyperlink r:id="rId20" w:history="1">
        <w:r w:rsidR="00115512" w:rsidRPr="00586EB0">
          <w:rPr>
            <w:rStyle w:val="Hyperlink"/>
          </w:rPr>
          <w:t>Markets Disciplinary Panel</w:t>
        </w:r>
      </w:hyperlink>
      <w:r w:rsidR="00115512">
        <w:t xml:space="preserve"> which take a scaled assessment approach to the factors of the character and consequences of the conduct, compliance culture and the promptness and permanence of remediation.</w:t>
      </w:r>
    </w:p>
    <w:p w14:paraId="4A09D974" w14:textId="138EF012" w:rsidR="00D03248" w:rsidRDefault="00331F2E" w:rsidP="002E110A">
      <w:pPr>
        <w:pStyle w:val="LI-BodyTextParaa"/>
        <w:numPr>
          <w:ilvl w:val="0"/>
          <w:numId w:val="3"/>
        </w:numPr>
      </w:pPr>
      <w:r>
        <w:t>Submissions to CP 361 either supported or raised no objections to th</w:t>
      </w:r>
      <w:r w:rsidR="000A5D40">
        <w:t>is</w:t>
      </w:r>
      <w:r>
        <w:t xml:space="preserve"> proposal.</w:t>
      </w:r>
    </w:p>
    <w:p w14:paraId="02F99A35" w14:textId="79B50503" w:rsidR="000C5246" w:rsidRPr="00425A5C" w:rsidRDefault="00864FCF" w:rsidP="000C5246">
      <w:pPr>
        <w:pStyle w:val="LI-BodyTextParaa"/>
        <w:ind w:left="0" w:firstLine="0"/>
        <w:rPr>
          <w:i/>
          <w:iCs/>
        </w:rPr>
      </w:pPr>
      <w:r>
        <w:rPr>
          <w:i/>
          <w:iCs/>
        </w:rPr>
        <w:t>Lifec</w:t>
      </w:r>
      <w:r w:rsidR="003F0FA6">
        <w:rPr>
          <w:i/>
          <w:iCs/>
        </w:rPr>
        <w:t>ycle reporting</w:t>
      </w:r>
    </w:p>
    <w:p w14:paraId="33F2EB1D" w14:textId="1C262496" w:rsidR="004743FC" w:rsidRDefault="00893759" w:rsidP="002E110A">
      <w:pPr>
        <w:pStyle w:val="BodyText"/>
        <w:numPr>
          <w:ilvl w:val="0"/>
          <w:numId w:val="3"/>
        </w:numPr>
        <w:overflowPunct/>
        <w:autoSpaceDE/>
        <w:autoSpaceDN/>
        <w:adjustRightInd/>
        <w:spacing w:before="200" w:after="0" w:line="290" w:lineRule="atLeast"/>
      </w:pPr>
      <w:r>
        <w:t>“</w:t>
      </w:r>
      <w:r w:rsidR="00A7540C">
        <w:t>Lifecycle reporting</w:t>
      </w:r>
      <w:r>
        <w:t>”</w:t>
      </w:r>
      <w:r w:rsidR="00A7540C">
        <w:t xml:space="preserve"> </w:t>
      </w:r>
      <w:r w:rsidR="00452351">
        <w:t xml:space="preserve">is the </w:t>
      </w:r>
      <w:r w:rsidR="00FD0E7B">
        <w:t>reporting of each reportable transaction in an</w:t>
      </w:r>
      <w:r w:rsidR="00A171F2">
        <w:t xml:space="preserve"> OTC derivative</w:t>
      </w:r>
      <w:r w:rsidR="007F3907">
        <w:t>, including where there are multiple transactions</w:t>
      </w:r>
      <w:r w:rsidR="0030431C">
        <w:t xml:space="preserve"> – such as a </w:t>
      </w:r>
      <w:r>
        <w:t>“</w:t>
      </w:r>
      <w:r w:rsidR="0030431C">
        <w:t>buy</w:t>
      </w:r>
      <w:r>
        <w:t>”</w:t>
      </w:r>
      <w:r w:rsidR="0030431C">
        <w:t xml:space="preserve"> and a </w:t>
      </w:r>
      <w:r>
        <w:t>“</w:t>
      </w:r>
      <w:r w:rsidR="0030431C">
        <w:t>sell</w:t>
      </w:r>
      <w:r>
        <w:t>”</w:t>
      </w:r>
      <w:r w:rsidR="0030431C">
        <w:t xml:space="preserve"> – within the same day. </w:t>
      </w:r>
      <w:r w:rsidR="00C301AF">
        <w:t xml:space="preserve">Alternatively, </w:t>
      </w:r>
      <w:r>
        <w:t>“</w:t>
      </w:r>
      <w:r w:rsidR="00452351">
        <w:t>s</w:t>
      </w:r>
      <w:r w:rsidR="00C301AF">
        <w:t>napshot reporting</w:t>
      </w:r>
      <w:r>
        <w:t>”</w:t>
      </w:r>
      <w:r w:rsidR="00C301AF">
        <w:t xml:space="preserve"> </w:t>
      </w:r>
      <w:r w:rsidR="00452351">
        <w:t xml:space="preserve">is the reporting </w:t>
      </w:r>
      <w:r w:rsidR="007359B3">
        <w:t xml:space="preserve">of </w:t>
      </w:r>
      <w:r w:rsidR="007A6D56">
        <w:t>an</w:t>
      </w:r>
      <w:r w:rsidR="00A171F2">
        <w:t xml:space="preserve"> OTC derivative</w:t>
      </w:r>
      <w:r w:rsidR="007A6D56">
        <w:t xml:space="preserve"> </w:t>
      </w:r>
      <w:r w:rsidR="00435DC8">
        <w:t xml:space="preserve">on its terms as at the end of the day – such as the </w:t>
      </w:r>
      <w:r w:rsidR="00073916">
        <w:t xml:space="preserve">non-zero </w:t>
      </w:r>
      <w:r w:rsidR="00435DC8">
        <w:t>net</w:t>
      </w:r>
      <w:r w:rsidR="00B56FF2">
        <w:t xml:space="preserve"> transaction </w:t>
      </w:r>
      <w:r w:rsidR="00DF61CD">
        <w:t xml:space="preserve">arising from a </w:t>
      </w:r>
      <w:r>
        <w:t>“</w:t>
      </w:r>
      <w:r w:rsidR="00DF61CD">
        <w:t>buy</w:t>
      </w:r>
      <w:r>
        <w:t>”</w:t>
      </w:r>
      <w:r w:rsidR="00DF61CD">
        <w:t xml:space="preserve"> and a</w:t>
      </w:r>
      <w:r w:rsidR="004743FC">
        <w:t xml:space="preserve"> </w:t>
      </w:r>
      <w:r>
        <w:t>“</w:t>
      </w:r>
      <w:r w:rsidR="00DF61CD">
        <w:t>sell</w:t>
      </w:r>
      <w:r>
        <w:t>”</w:t>
      </w:r>
      <w:r w:rsidR="00DF61CD">
        <w:t xml:space="preserve"> </w:t>
      </w:r>
      <w:r w:rsidR="004743FC">
        <w:t xml:space="preserve">of lesser notional amount </w:t>
      </w:r>
      <w:r w:rsidR="00DF61CD">
        <w:t>within the same day</w:t>
      </w:r>
      <w:r w:rsidR="004743FC">
        <w:t>.</w:t>
      </w:r>
    </w:p>
    <w:p w14:paraId="0DEB8D71" w14:textId="524F692C" w:rsidR="0011216B" w:rsidRDefault="000154CF" w:rsidP="002E110A">
      <w:pPr>
        <w:pStyle w:val="BodyText"/>
        <w:numPr>
          <w:ilvl w:val="0"/>
          <w:numId w:val="3"/>
        </w:numPr>
        <w:overflowPunct/>
        <w:autoSpaceDE/>
        <w:autoSpaceDN/>
        <w:adjustRightInd/>
        <w:spacing w:before="180" w:after="0" w:line="290" w:lineRule="atLeast"/>
      </w:pPr>
      <w:r>
        <w:t>I</w:t>
      </w:r>
      <w:r w:rsidR="0011216B">
        <w:t xml:space="preserve">n CP 334, we noted that </w:t>
      </w:r>
      <w:r w:rsidR="00CF4E50">
        <w:t xml:space="preserve">under </w:t>
      </w:r>
      <w:r w:rsidR="0011216B">
        <w:t xml:space="preserve">the </w:t>
      </w:r>
      <w:r w:rsidR="00CF4E50">
        <w:t>2013 R</w:t>
      </w:r>
      <w:r w:rsidR="0011216B">
        <w:t xml:space="preserve">ules </w:t>
      </w:r>
      <w:r w:rsidR="00B40184">
        <w:t xml:space="preserve">a reportable transaction in an </w:t>
      </w:r>
      <w:r w:rsidR="004E231E">
        <w:t>“</w:t>
      </w:r>
      <w:r w:rsidR="00B40184">
        <w:t>excluded derivative</w:t>
      </w:r>
      <w:r w:rsidR="004E231E">
        <w:t>”</w:t>
      </w:r>
      <w:r w:rsidR="00B40184">
        <w:t xml:space="preserve"> </w:t>
      </w:r>
      <w:r w:rsidR="001F4C6C">
        <w:t>must be reported by lifecycle r</w:t>
      </w:r>
      <w:r w:rsidR="0011216B">
        <w:t xml:space="preserve">eporting </w:t>
      </w:r>
      <w:r w:rsidR="001F4C6C">
        <w:t xml:space="preserve">and that </w:t>
      </w:r>
      <w:r w:rsidR="00A77D7F">
        <w:t xml:space="preserve">all other reportable transactions may be reported by either </w:t>
      </w:r>
      <w:r w:rsidR="0011216B">
        <w:t>lifecycle reporting or snapshot reporting.</w:t>
      </w:r>
      <w:r w:rsidR="007C7914">
        <w:t xml:space="preserve"> </w:t>
      </w:r>
      <w:r w:rsidR="00425FF1">
        <w:t>Since</w:t>
      </w:r>
      <w:r w:rsidR="00282FCF">
        <w:t xml:space="preserve"> 1 July 2019, </w:t>
      </w:r>
      <w:r w:rsidR="00425FF1">
        <w:t xml:space="preserve">excluded derivatives are </w:t>
      </w:r>
      <w:proofErr w:type="spellStart"/>
      <w:r w:rsidR="00136B74">
        <w:t>CFDs</w:t>
      </w:r>
      <w:proofErr w:type="spellEnd"/>
      <w:r w:rsidR="00136B74">
        <w:t xml:space="preserve">, margin FX </w:t>
      </w:r>
      <w:r w:rsidR="00425FF1">
        <w:t xml:space="preserve">and </w:t>
      </w:r>
      <w:r w:rsidR="00425FF1">
        <w:lastRenderedPageBreak/>
        <w:t xml:space="preserve">equity derivatives </w:t>
      </w:r>
      <w:r w:rsidR="00FB5BB2">
        <w:t xml:space="preserve">under </w:t>
      </w:r>
      <w:hyperlink r:id="rId21" w:history="1">
        <w:r w:rsidR="00FB5BB2" w:rsidRPr="00EA36F4">
          <w:rPr>
            <w:rStyle w:val="Hyperlink"/>
            <w:i/>
            <w:iCs/>
          </w:rPr>
          <w:t>ASIC Derivative Transaction Rules (Reporting) Determination 2018/1096</w:t>
        </w:r>
      </w:hyperlink>
      <w:r w:rsidR="00FB5BB2">
        <w:t>.</w:t>
      </w:r>
    </w:p>
    <w:p w14:paraId="49DB5250" w14:textId="78BF740B" w:rsidR="0011216B" w:rsidRDefault="0014132E" w:rsidP="002E110A">
      <w:pPr>
        <w:pStyle w:val="BodyText"/>
        <w:numPr>
          <w:ilvl w:val="0"/>
          <w:numId w:val="3"/>
        </w:numPr>
        <w:overflowPunct/>
        <w:autoSpaceDE/>
        <w:autoSpaceDN/>
        <w:adjustRightInd/>
        <w:spacing w:before="180" w:after="0" w:line="290" w:lineRule="atLeast"/>
      </w:pPr>
      <w:bookmarkStart w:id="15" w:name="_ASICRef103"/>
      <w:r>
        <w:t>In CP 334</w:t>
      </w:r>
      <w:r w:rsidR="0011216B">
        <w:t>, we said that</w:t>
      </w:r>
      <w:r w:rsidR="00572695">
        <w:t xml:space="preserve"> we considered </w:t>
      </w:r>
      <w:r w:rsidR="00312270">
        <w:t xml:space="preserve">that the </w:t>
      </w:r>
      <w:r w:rsidR="000E035D">
        <w:t>material termination and amendment transactional activity</w:t>
      </w:r>
      <w:r w:rsidR="008A5C6F">
        <w:t xml:space="preserve">, especially </w:t>
      </w:r>
      <w:r w:rsidR="00D94ED3">
        <w:t xml:space="preserve">as </w:t>
      </w:r>
      <w:r w:rsidR="000B5F97">
        <w:t xml:space="preserve">short-term </w:t>
      </w:r>
      <w:proofErr w:type="gramStart"/>
      <w:r w:rsidR="000B5F97">
        <w:t>trading</w:t>
      </w:r>
      <w:proofErr w:type="gramEnd"/>
      <w:r w:rsidR="000B5F97">
        <w:t xml:space="preserve"> </w:t>
      </w:r>
      <w:r w:rsidR="00FB099D">
        <w:t xml:space="preserve">and </w:t>
      </w:r>
      <w:r w:rsidR="000B5F97">
        <w:t xml:space="preserve">post-trade clearing, that we observed </w:t>
      </w:r>
      <w:r w:rsidR="008E7F01">
        <w:t xml:space="preserve">in the reported derivative transaction information </w:t>
      </w:r>
      <w:bookmarkEnd w:id="15"/>
      <w:r w:rsidR="0011216B">
        <w:t xml:space="preserve">indicates that transparency </w:t>
      </w:r>
      <w:r w:rsidR="0011216B" w:rsidRPr="008A1594">
        <w:t>of transaction information available to relevant authorities</w:t>
      </w:r>
      <w:r w:rsidR="0011216B">
        <w:t xml:space="preserve"> and </w:t>
      </w:r>
      <w:r w:rsidR="0011216B" w:rsidRPr="008A1594">
        <w:t>support</w:t>
      </w:r>
      <w:r w:rsidR="0011216B">
        <w:t xml:space="preserve"> for </w:t>
      </w:r>
      <w:r w:rsidR="0011216B" w:rsidRPr="008A1594">
        <w:t>detection and prevention of market abuse</w:t>
      </w:r>
      <w:r w:rsidR="0011216B">
        <w:t xml:space="preserve"> would be enhanced by lifecycle reporting</w:t>
      </w:r>
      <w:r w:rsidR="000C5561">
        <w:t xml:space="preserve"> for all</w:t>
      </w:r>
      <w:r w:rsidR="00A171F2">
        <w:t xml:space="preserve"> OTC derivative</w:t>
      </w:r>
      <w:r w:rsidR="000C5561">
        <w:t xml:space="preserve"> products.</w:t>
      </w:r>
    </w:p>
    <w:p w14:paraId="67060223" w14:textId="343ECAB1" w:rsidR="00EE1100" w:rsidRDefault="007D5E72" w:rsidP="002E110A">
      <w:pPr>
        <w:pStyle w:val="LI-BodyTextParaa"/>
        <w:numPr>
          <w:ilvl w:val="0"/>
          <w:numId w:val="3"/>
        </w:numPr>
      </w:pPr>
      <w:r>
        <w:t>There was widespread support in submissions to CP 334 to implement lifecycle reporting for all</w:t>
      </w:r>
      <w:r w:rsidR="00A171F2">
        <w:t xml:space="preserve"> OTC derivative</w:t>
      </w:r>
      <w:r>
        <w:t xml:space="preserve"> products.</w:t>
      </w:r>
    </w:p>
    <w:p w14:paraId="79AAA9C1" w14:textId="3B7D40ED" w:rsidR="009B5EF5" w:rsidRPr="00425A5C" w:rsidRDefault="009B5EF5" w:rsidP="009B5EF5">
      <w:pPr>
        <w:pStyle w:val="LI-BodyTextParaa"/>
        <w:ind w:left="0" w:firstLine="0"/>
        <w:rPr>
          <w:i/>
          <w:iCs/>
        </w:rPr>
      </w:pPr>
      <w:r>
        <w:rPr>
          <w:i/>
          <w:iCs/>
        </w:rPr>
        <w:t xml:space="preserve">Other reporting </w:t>
      </w:r>
      <w:r w:rsidR="003B7AD3">
        <w:rPr>
          <w:i/>
          <w:iCs/>
        </w:rPr>
        <w:t>requirements</w:t>
      </w:r>
    </w:p>
    <w:p w14:paraId="56410A0B" w14:textId="77777777" w:rsidR="008326DC" w:rsidRDefault="0033724D" w:rsidP="009B5EF5">
      <w:pPr>
        <w:pStyle w:val="BodyText"/>
        <w:numPr>
          <w:ilvl w:val="0"/>
          <w:numId w:val="3"/>
        </w:numPr>
        <w:overflowPunct/>
        <w:autoSpaceDE/>
        <w:autoSpaceDN/>
        <w:adjustRightInd/>
        <w:spacing w:before="200" w:after="0" w:line="290" w:lineRule="atLeast"/>
      </w:pPr>
      <w:r>
        <w:t>In CP 361</w:t>
      </w:r>
      <w:r w:rsidR="00E02313">
        <w:t xml:space="preserve">, </w:t>
      </w:r>
      <w:r w:rsidR="00B43D19">
        <w:t>we prop</w:t>
      </w:r>
      <w:r w:rsidR="001A3F32">
        <w:t xml:space="preserve">osed </w:t>
      </w:r>
      <w:r w:rsidR="00F9454A">
        <w:t xml:space="preserve">to recognise as </w:t>
      </w:r>
      <w:r w:rsidR="001A55E3">
        <w:t>reportable transactio</w:t>
      </w:r>
      <w:r w:rsidR="00040372">
        <w:t xml:space="preserve">ns the </w:t>
      </w:r>
      <w:r w:rsidR="0009687F">
        <w:t xml:space="preserve">reporting practice </w:t>
      </w:r>
      <w:r w:rsidR="003C31A4">
        <w:t>of</w:t>
      </w:r>
      <w:r w:rsidR="008D6A19">
        <w:t xml:space="preserve"> </w:t>
      </w:r>
      <w:r w:rsidR="00506189">
        <w:t xml:space="preserve">converting </w:t>
      </w:r>
      <w:r w:rsidR="00057676">
        <w:t>the report of a transaction into a report of a position</w:t>
      </w:r>
      <w:r w:rsidR="007E76A6">
        <w:t xml:space="preserve"> – a “</w:t>
      </w:r>
      <w:r w:rsidR="00040372">
        <w:t>transaction to position conversion”</w:t>
      </w:r>
      <w:r w:rsidR="007E76A6">
        <w:t>.</w:t>
      </w:r>
    </w:p>
    <w:p w14:paraId="233F488D" w14:textId="663788EE" w:rsidR="009B5EF5" w:rsidRDefault="000106F6" w:rsidP="009B5EF5">
      <w:pPr>
        <w:pStyle w:val="BodyText"/>
        <w:numPr>
          <w:ilvl w:val="0"/>
          <w:numId w:val="3"/>
        </w:numPr>
        <w:overflowPunct/>
        <w:autoSpaceDE/>
        <w:autoSpaceDN/>
        <w:adjustRightInd/>
        <w:spacing w:before="200" w:after="0" w:line="290" w:lineRule="atLeast"/>
      </w:pPr>
      <w:r>
        <w:t>Submissions to CP 361</w:t>
      </w:r>
      <w:r w:rsidR="00FF722D">
        <w:t xml:space="preserve"> </w:t>
      </w:r>
      <w:r w:rsidR="00C507E6">
        <w:t xml:space="preserve">raised </w:t>
      </w:r>
      <w:r w:rsidR="00DB1ABB">
        <w:t xml:space="preserve">concerns </w:t>
      </w:r>
      <w:r w:rsidR="00107AE3">
        <w:t xml:space="preserve">about </w:t>
      </w:r>
      <w:r w:rsidR="005C2CF1">
        <w:t xml:space="preserve">the scope of the </w:t>
      </w:r>
      <w:r w:rsidR="007E1A3C">
        <w:t xml:space="preserve">provision </w:t>
      </w:r>
      <w:r w:rsidR="007B0353">
        <w:t xml:space="preserve">in </w:t>
      </w:r>
      <w:r w:rsidR="00960F58">
        <w:t>proposed</w:t>
      </w:r>
      <w:r w:rsidR="00B824CE">
        <w:t xml:space="preserve"> Rule 1.2.5</w:t>
      </w:r>
      <w:r w:rsidR="00A419F1">
        <w:t xml:space="preserve"> – in the 2024 Rules</w:t>
      </w:r>
      <w:r w:rsidR="00DF7C04">
        <w:t xml:space="preserve">, </w:t>
      </w:r>
      <w:r w:rsidR="00336AB4">
        <w:t xml:space="preserve">the scope of </w:t>
      </w:r>
      <w:r w:rsidR="00EA740D">
        <w:t xml:space="preserve">subparagraph 1.2.5(1)(b)(iv) </w:t>
      </w:r>
      <w:r w:rsidR="00C71E86">
        <w:t xml:space="preserve">has been </w:t>
      </w:r>
      <w:r w:rsidR="00336AB4">
        <w:t xml:space="preserve">narrowed </w:t>
      </w:r>
      <w:r w:rsidR="00F60E71">
        <w:t xml:space="preserve">to only apply </w:t>
      </w:r>
      <w:r w:rsidR="009E5F66">
        <w:t xml:space="preserve">to a change in the </w:t>
      </w:r>
      <w:r w:rsidR="00184E96">
        <w:t xml:space="preserve">way a reporting entity records </w:t>
      </w:r>
      <w:r w:rsidR="00D76ECC">
        <w:t xml:space="preserve">an OTC derivative in the </w:t>
      </w:r>
      <w:r w:rsidR="00742719">
        <w:t>reporting entity</w:t>
      </w:r>
      <w:r w:rsidR="008F5865">
        <w:t>’s books a</w:t>
      </w:r>
      <w:r w:rsidR="002B1B5A">
        <w:t>nd</w:t>
      </w:r>
      <w:r w:rsidR="008F5865">
        <w:t xml:space="preserve"> records</w:t>
      </w:r>
      <w:r w:rsidR="002D7468">
        <w:t xml:space="preserve">, from representation </w:t>
      </w:r>
      <w:r w:rsidR="00E20986">
        <w:t>as a transaction</w:t>
      </w:r>
      <w:r w:rsidR="003F4442">
        <w:t>, to represe</w:t>
      </w:r>
      <w:r w:rsidR="00007C34">
        <w:t>n</w:t>
      </w:r>
      <w:r w:rsidR="003F4442">
        <w:t>tat</w:t>
      </w:r>
      <w:r w:rsidR="00007C34">
        <w:t>i</w:t>
      </w:r>
      <w:r w:rsidR="003F4442">
        <w:t>on as a position</w:t>
      </w:r>
      <w:r w:rsidR="00007C34">
        <w:t>.</w:t>
      </w:r>
    </w:p>
    <w:p w14:paraId="1EC15370" w14:textId="1C09C29F" w:rsidR="009B5EF5" w:rsidRDefault="009219E1" w:rsidP="002E110A">
      <w:pPr>
        <w:pStyle w:val="LI-BodyTextParaa"/>
        <w:numPr>
          <w:ilvl w:val="0"/>
          <w:numId w:val="3"/>
        </w:numPr>
      </w:pPr>
      <w:r>
        <w:t xml:space="preserve">In </w:t>
      </w:r>
      <w:r w:rsidR="00C93A3F">
        <w:t>CP 361</w:t>
      </w:r>
      <w:r w:rsidR="00A0469F">
        <w:t xml:space="preserve">, </w:t>
      </w:r>
      <w:r w:rsidR="007C1282">
        <w:t xml:space="preserve">we also </w:t>
      </w:r>
      <w:r w:rsidR="0080596A">
        <w:t xml:space="preserve">proposed </w:t>
      </w:r>
      <w:r w:rsidR="00F27D15">
        <w:t>t</w:t>
      </w:r>
      <w:r w:rsidR="00A0638E">
        <w:t>o require that</w:t>
      </w:r>
      <w:r w:rsidR="0017332C">
        <w:t xml:space="preserve"> </w:t>
      </w:r>
      <w:r w:rsidR="00D46B68">
        <w:t>re</w:t>
      </w:r>
      <w:r w:rsidR="009D639C">
        <w:t xml:space="preserve">porting entities </w:t>
      </w:r>
      <w:r w:rsidR="00827B10">
        <w:t>re-report</w:t>
      </w:r>
      <w:r w:rsidR="00C22EBA">
        <w:t xml:space="preserve"> </w:t>
      </w:r>
      <w:r w:rsidR="00691B44">
        <w:t xml:space="preserve">transactions </w:t>
      </w:r>
      <w:r w:rsidR="00D2140A">
        <w:t xml:space="preserve">that had been previously reported </w:t>
      </w:r>
      <w:r w:rsidR="004852ED">
        <w:t>b</w:t>
      </w:r>
      <w:r w:rsidR="001A2E32">
        <w:t xml:space="preserve">efore the </w:t>
      </w:r>
      <w:r w:rsidR="002F2360">
        <w:t>updated ASIC data element</w:t>
      </w:r>
      <w:r w:rsidR="00024E2B">
        <w:t xml:space="preserve"> </w:t>
      </w:r>
      <w:r w:rsidR="00C62D3F">
        <w:t>re</w:t>
      </w:r>
      <w:r w:rsidR="00EC1156">
        <w:t>quirements applied</w:t>
      </w:r>
      <w:r w:rsidR="00627331">
        <w:t xml:space="preserve"> in order to conform th</w:t>
      </w:r>
      <w:r w:rsidR="00CE40B3">
        <w:t>e derivative transaction information</w:t>
      </w:r>
      <w:r w:rsidR="00A20E03">
        <w:t xml:space="preserve"> of </w:t>
      </w:r>
      <w:r w:rsidR="0090718D">
        <w:t xml:space="preserve">those transactions to the updated </w:t>
      </w:r>
      <w:r w:rsidR="00726EE2">
        <w:t>requirements</w:t>
      </w:r>
      <w:r w:rsidR="00E80064">
        <w:t>.</w:t>
      </w:r>
    </w:p>
    <w:p w14:paraId="50B749C9" w14:textId="7A77FECF" w:rsidR="00310A42" w:rsidRDefault="00312610" w:rsidP="00AE2F67">
      <w:pPr>
        <w:pStyle w:val="LI-BodyTextParaa"/>
        <w:numPr>
          <w:ilvl w:val="0"/>
          <w:numId w:val="3"/>
        </w:numPr>
      </w:pPr>
      <w:r>
        <w:t xml:space="preserve">Submissions to </w:t>
      </w:r>
      <w:r w:rsidR="004256CD">
        <w:t xml:space="preserve">CP 361 raised concerns </w:t>
      </w:r>
      <w:r w:rsidR="00783463">
        <w:t xml:space="preserve">that </w:t>
      </w:r>
      <w:r w:rsidR="00315A2B">
        <w:t>some of th</w:t>
      </w:r>
      <w:r w:rsidR="00886E0F">
        <w:t xml:space="preserve">e derivative transaction information </w:t>
      </w:r>
      <w:r w:rsidR="00FF6007">
        <w:t xml:space="preserve">of those </w:t>
      </w:r>
      <w:r w:rsidR="00521622">
        <w:t xml:space="preserve">previously reported transactions </w:t>
      </w:r>
      <w:r w:rsidR="00135538">
        <w:t xml:space="preserve">would not have been </w:t>
      </w:r>
      <w:r w:rsidR="00625B25">
        <w:t xml:space="preserve">created and/or </w:t>
      </w:r>
      <w:r w:rsidR="00A371B3">
        <w:t xml:space="preserve">recorded in </w:t>
      </w:r>
      <w:r w:rsidR="00C75BAB">
        <w:t xml:space="preserve">electronic </w:t>
      </w:r>
      <w:r w:rsidR="00A45CB9">
        <w:t xml:space="preserve">form </w:t>
      </w:r>
      <w:r w:rsidR="00625B25">
        <w:t>at the time the tr</w:t>
      </w:r>
      <w:r w:rsidR="00550A19">
        <w:t>ansaction was entered into and reported</w:t>
      </w:r>
      <w:r w:rsidR="00414797">
        <w:t xml:space="preserve">. </w:t>
      </w:r>
      <w:r w:rsidR="006F178D">
        <w:t xml:space="preserve">The </w:t>
      </w:r>
      <w:r w:rsidR="00F43113">
        <w:t>proposed Rule 2.4</w:t>
      </w:r>
      <w:r w:rsidR="00387ABB">
        <w:t xml:space="preserve">.1 has been revised in the </w:t>
      </w:r>
      <w:r w:rsidR="00EB6D80">
        <w:t xml:space="preserve">2024 </w:t>
      </w:r>
      <w:r w:rsidR="00387ABB">
        <w:t xml:space="preserve">Rules </w:t>
      </w:r>
      <w:r w:rsidR="002D72B3">
        <w:t xml:space="preserve">with </w:t>
      </w:r>
      <w:r w:rsidR="00077C65">
        <w:t>subrule 2.4.1</w:t>
      </w:r>
      <w:r w:rsidR="007E1E97">
        <w:t xml:space="preserve">(2) </w:t>
      </w:r>
      <w:r w:rsidR="00EB409D">
        <w:t xml:space="preserve">setting out that a </w:t>
      </w:r>
      <w:r w:rsidR="00357EBA">
        <w:t>r</w:t>
      </w:r>
      <w:r w:rsidR="00E72E9A">
        <w:t xml:space="preserve">eporting </w:t>
      </w:r>
      <w:r w:rsidR="00357EBA">
        <w:t>e</w:t>
      </w:r>
      <w:r w:rsidR="00E72E9A">
        <w:t xml:space="preserve">ntity </w:t>
      </w:r>
      <w:r w:rsidR="00EB409D">
        <w:t>is not required to i</w:t>
      </w:r>
      <w:r w:rsidR="00E72E9A">
        <w:t xml:space="preserve">nclude </w:t>
      </w:r>
      <w:r w:rsidR="00EB409D">
        <w:t>d</w:t>
      </w:r>
      <w:r w:rsidR="00E72E9A">
        <w:t xml:space="preserve">erivative </w:t>
      </w:r>
      <w:r w:rsidR="00EB409D">
        <w:t>t</w:t>
      </w:r>
      <w:r w:rsidR="00E72E9A">
        <w:t xml:space="preserve">ransaction </w:t>
      </w:r>
      <w:r w:rsidR="00EB409D">
        <w:t>i</w:t>
      </w:r>
      <w:r w:rsidR="00E72E9A">
        <w:t>nformation that</w:t>
      </w:r>
      <w:r w:rsidR="00EB409D">
        <w:t xml:space="preserve"> </w:t>
      </w:r>
      <w:r w:rsidR="00E72E9A">
        <w:t xml:space="preserve">has not been recorded in electronic form in the systems that are the source of </w:t>
      </w:r>
      <w:r w:rsidR="006B2B8E">
        <w:t xml:space="preserve">that </w:t>
      </w:r>
      <w:proofErr w:type="gramStart"/>
      <w:r w:rsidR="006B2B8E">
        <w:t>information</w:t>
      </w:r>
      <w:r w:rsidR="007A1F7C">
        <w:t>,</w:t>
      </w:r>
      <w:r w:rsidR="00AE2F67">
        <w:t xml:space="preserve"> </w:t>
      </w:r>
      <w:r w:rsidR="00E72E9A">
        <w:t>or</w:t>
      </w:r>
      <w:proofErr w:type="gramEnd"/>
      <w:r w:rsidR="00AE2F67">
        <w:t xml:space="preserve"> </w:t>
      </w:r>
      <w:r w:rsidR="00E72E9A">
        <w:t xml:space="preserve">is not able to be created by systems in the ordinary way that the systems create </w:t>
      </w:r>
      <w:r w:rsidR="00E82D47">
        <w:t>d</w:t>
      </w:r>
      <w:r w:rsidR="00E72E9A">
        <w:t xml:space="preserve">erivative </w:t>
      </w:r>
      <w:r w:rsidR="00E82D47">
        <w:t>t</w:t>
      </w:r>
      <w:r w:rsidR="00E72E9A">
        <w:t xml:space="preserve">ransaction </w:t>
      </w:r>
      <w:r w:rsidR="00E82D47">
        <w:t>i</w:t>
      </w:r>
      <w:r w:rsidR="00E72E9A">
        <w:t>nformation for a report made after 20 October 2024.</w:t>
      </w:r>
    </w:p>
    <w:p w14:paraId="78C15D83" w14:textId="20A30C1A" w:rsidR="001F0086" w:rsidRPr="00C35F6B" w:rsidRDefault="001F0086" w:rsidP="001F0086">
      <w:pPr>
        <w:pStyle w:val="LI-BodyTextParaa"/>
        <w:ind w:left="567"/>
        <w:rPr>
          <w:u w:val="single"/>
        </w:rPr>
      </w:pPr>
      <w:r w:rsidRPr="00C35F6B">
        <w:rPr>
          <w:u w:val="single"/>
        </w:rPr>
        <w:t>Other consultation</w:t>
      </w:r>
    </w:p>
    <w:p w14:paraId="5C0BEB4E" w14:textId="68CC4B84" w:rsidR="00416571" w:rsidRPr="006A0143" w:rsidRDefault="001F0086" w:rsidP="006A0143">
      <w:pPr>
        <w:pStyle w:val="LI-BodyTextParaa"/>
        <w:numPr>
          <w:ilvl w:val="0"/>
          <w:numId w:val="3"/>
        </w:numPr>
      </w:pPr>
      <w:r>
        <w:t xml:space="preserve">ASIC has </w:t>
      </w:r>
      <w:r w:rsidRPr="00C35F6B">
        <w:t xml:space="preserve">consulted with the </w:t>
      </w:r>
      <w:r>
        <w:t>Reserve Bank of Australia (</w:t>
      </w:r>
      <w:r w:rsidRPr="00683132">
        <w:rPr>
          <w:b/>
          <w:i/>
          <w:iCs/>
        </w:rPr>
        <w:t>RBA</w:t>
      </w:r>
      <w:r>
        <w:t>)</w:t>
      </w:r>
      <w:r w:rsidRPr="00C35F6B">
        <w:t xml:space="preserve"> and </w:t>
      </w:r>
      <w:r>
        <w:t>the Australian Prudential Regulation Authority</w:t>
      </w:r>
      <w:r w:rsidRPr="00C35F6B">
        <w:t xml:space="preserve"> </w:t>
      </w:r>
      <w:r>
        <w:t>(</w:t>
      </w:r>
      <w:r w:rsidRPr="00683132">
        <w:rPr>
          <w:b/>
          <w:i/>
          <w:iCs/>
        </w:rPr>
        <w:t>APRA</w:t>
      </w:r>
      <w:r>
        <w:t>)</w:t>
      </w:r>
      <w:r w:rsidRPr="00C35F6B">
        <w:t xml:space="preserve"> in accordance with the requirements of s</w:t>
      </w:r>
      <w:r>
        <w:t xml:space="preserve">ection </w:t>
      </w:r>
      <w:r w:rsidRPr="00C35F6B">
        <w:t xml:space="preserve">901J of </w:t>
      </w:r>
      <w:r w:rsidR="00BE553B">
        <w:t>the Corporations Act</w:t>
      </w:r>
      <w:r w:rsidRPr="00C35F6B">
        <w:t>. The RBA and APRA support</w:t>
      </w:r>
      <w:r w:rsidR="008556CA">
        <w:t xml:space="preserve"> </w:t>
      </w:r>
      <w:r>
        <w:t>the repeal and re</w:t>
      </w:r>
      <w:r w:rsidR="00256944">
        <w:t xml:space="preserve">make </w:t>
      </w:r>
      <w:r>
        <w:t xml:space="preserve">of </w:t>
      </w:r>
      <w:r w:rsidR="007C1DA8">
        <w:t>the 2022 Rules</w:t>
      </w:r>
      <w:r>
        <w:t xml:space="preserve"> with </w:t>
      </w:r>
      <w:r w:rsidR="007C1DA8">
        <w:t>this instrument</w:t>
      </w:r>
      <w:r w:rsidRPr="00BB3279">
        <w:t>.</w:t>
      </w:r>
    </w:p>
    <w:p w14:paraId="6FD6B352" w14:textId="77777777" w:rsidR="00DB4EDC" w:rsidRDefault="00DB4EDC">
      <w:pPr>
        <w:spacing w:line="240" w:lineRule="auto"/>
        <w:rPr>
          <w:rFonts w:eastAsia="Times New Roman"/>
          <w:b/>
          <w:sz w:val="24"/>
          <w:szCs w:val="24"/>
          <w:lang w:eastAsia="en-AU"/>
        </w:rPr>
      </w:pPr>
      <w:r>
        <w:rPr>
          <w:b/>
        </w:rPr>
        <w:br w:type="page"/>
      </w:r>
    </w:p>
    <w:p w14:paraId="6E9E6C81" w14:textId="23FB040A" w:rsidR="005D1FEA" w:rsidRDefault="005D1FEA" w:rsidP="00CE541A">
      <w:pPr>
        <w:pStyle w:val="LI-BodyTextNumbered"/>
        <w:ind w:hanging="1134"/>
        <w:rPr>
          <w:b/>
        </w:rPr>
      </w:pPr>
      <w:r>
        <w:rPr>
          <w:b/>
        </w:rPr>
        <w:lastRenderedPageBreak/>
        <w:t>Operation of the instrument</w:t>
      </w:r>
    </w:p>
    <w:p w14:paraId="7FAB83E1" w14:textId="77777777" w:rsidR="003A4640" w:rsidRPr="00AE7A69" w:rsidRDefault="003A4640" w:rsidP="003A4640">
      <w:pPr>
        <w:pStyle w:val="LI-BodyTextParaa"/>
        <w:tabs>
          <w:tab w:val="left" w:pos="1134"/>
        </w:tabs>
        <w:ind w:left="0" w:firstLine="0"/>
        <w:rPr>
          <w:u w:val="single"/>
        </w:rPr>
      </w:pPr>
      <w:bookmarkStart w:id="16" w:name="_Toc290981880"/>
      <w:bookmarkStart w:id="17" w:name="_Toc306261282"/>
      <w:bookmarkStart w:id="18" w:name="_Toc111610211"/>
      <w:bookmarkStart w:id="19" w:name="_Hlk114832739"/>
      <w:r w:rsidRPr="00AE7A69">
        <w:rPr>
          <w:u w:val="single"/>
        </w:rPr>
        <w:t>Chapter 1: Introduction</w:t>
      </w:r>
      <w:bookmarkEnd w:id="16"/>
      <w:bookmarkEnd w:id="17"/>
      <w:bookmarkEnd w:id="18"/>
    </w:p>
    <w:p w14:paraId="71EF39BC" w14:textId="77777777" w:rsidR="003A4640" w:rsidRPr="00AE7A69" w:rsidRDefault="003A4640" w:rsidP="003A4640">
      <w:pPr>
        <w:pStyle w:val="LI-BodyTextParaa"/>
        <w:ind w:left="0" w:firstLine="0"/>
        <w:rPr>
          <w:u w:val="single"/>
        </w:rPr>
      </w:pPr>
      <w:bookmarkStart w:id="20" w:name="_Toc290981881"/>
      <w:bookmarkStart w:id="21" w:name="_Toc111610212"/>
      <w:bookmarkEnd w:id="19"/>
      <w:r w:rsidRPr="00AE7A69">
        <w:rPr>
          <w:u w:val="single"/>
        </w:rPr>
        <w:t>Part 1.1 Preliminary</w:t>
      </w:r>
      <w:bookmarkEnd w:id="20"/>
      <w:bookmarkEnd w:id="21"/>
    </w:p>
    <w:p w14:paraId="487FC083" w14:textId="3B115535" w:rsidR="00182B85" w:rsidRDefault="003A4640" w:rsidP="002E110A">
      <w:pPr>
        <w:pStyle w:val="LI-BodyTextParaa"/>
        <w:numPr>
          <w:ilvl w:val="0"/>
          <w:numId w:val="3"/>
        </w:numPr>
      </w:pPr>
      <w:r>
        <w:t xml:space="preserve">Rule 1.1.1 provides that ASIC makes the instrument under section 901A of </w:t>
      </w:r>
      <w:r w:rsidR="00BE553B">
        <w:t>the Corporations Act</w:t>
      </w:r>
      <w:r>
        <w:t xml:space="preserve">. Section 901A of </w:t>
      </w:r>
      <w:r w:rsidR="00BE553B">
        <w:t>the Corporations Act</w:t>
      </w:r>
      <w:r>
        <w:t xml:space="preserve"> empowers ASIC to make derivative transaction rules imposing reporting requirements.</w:t>
      </w:r>
    </w:p>
    <w:p w14:paraId="24F7C2F2" w14:textId="4F11ECC2" w:rsidR="00182B85" w:rsidRDefault="003A4640" w:rsidP="002E110A">
      <w:pPr>
        <w:pStyle w:val="LI-BodyTextParaa"/>
        <w:numPr>
          <w:ilvl w:val="0"/>
          <w:numId w:val="3"/>
        </w:numPr>
      </w:pPr>
      <w:r>
        <w:t xml:space="preserve">Rule 1.1.2 provides that the instrument is the </w:t>
      </w:r>
      <w:r w:rsidRPr="00182B85">
        <w:rPr>
          <w:i/>
          <w:iCs/>
        </w:rPr>
        <w:t xml:space="preserve">ASIC Derivative Transaction Rules (Reporting) </w:t>
      </w:r>
      <w:r w:rsidR="005111B4" w:rsidRPr="00182B85">
        <w:rPr>
          <w:i/>
          <w:iCs/>
        </w:rPr>
        <w:t>2024</w:t>
      </w:r>
      <w:r>
        <w:t>.</w:t>
      </w:r>
    </w:p>
    <w:p w14:paraId="1359992D" w14:textId="6F561BBA" w:rsidR="00182B85" w:rsidRDefault="003A4640" w:rsidP="002E110A">
      <w:pPr>
        <w:pStyle w:val="LI-BodyTextParaa"/>
        <w:numPr>
          <w:ilvl w:val="0"/>
          <w:numId w:val="3"/>
        </w:numPr>
      </w:pPr>
      <w:r>
        <w:t xml:space="preserve">Rule 1.1.3 </w:t>
      </w:r>
      <w:r w:rsidRPr="00182B85">
        <w:rPr>
          <w:sz w:val="23"/>
          <w:szCs w:val="23"/>
        </w:rPr>
        <w:t xml:space="preserve">provides that the instrument commences on the </w:t>
      </w:r>
      <w:r w:rsidR="00622CE0" w:rsidRPr="00182B85">
        <w:rPr>
          <w:sz w:val="23"/>
          <w:szCs w:val="23"/>
        </w:rPr>
        <w:t xml:space="preserve">later of 21 October 2024 and the </w:t>
      </w:r>
      <w:r w:rsidRPr="00182B85">
        <w:rPr>
          <w:sz w:val="23"/>
          <w:szCs w:val="23"/>
        </w:rPr>
        <w:t xml:space="preserve">day after the instrument is registered </w:t>
      </w:r>
      <w:r w:rsidRPr="00515D7E">
        <w:t>on the Federal Register of Legislation</w:t>
      </w:r>
      <w:r>
        <w:t>.</w:t>
      </w:r>
    </w:p>
    <w:p w14:paraId="6301470A" w14:textId="330648DF" w:rsidR="00182B85" w:rsidRDefault="003A4640" w:rsidP="002E110A">
      <w:pPr>
        <w:pStyle w:val="LI-BodyTextParaa"/>
        <w:numPr>
          <w:ilvl w:val="0"/>
          <w:numId w:val="3"/>
        </w:numPr>
      </w:pPr>
      <w:r>
        <w:t xml:space="preserve">Rule 1.1.3A provides that the instrument </w:t>
      </w:r>
      <w:r w:rsidRPr="00182B85">
        <w:rPr>
          <w:i/>
          <w:iCs/>
        </w:rPr>
        <w:t xml:space="preserve">ASIC Derivative Transaction Rules (Reporting) </w:t>
      </w:r>
      <w:r w:rsidR="00622CE0" w:rsidRPr="00182B85">
        <w:rPr>
          <w:i/>
          <w:iCs/>
        </w:rPr>
        <w:t>2022</w:t>
      </w:r>
      <w:r w:rsidR="00622CE0">
        <w:t xml:space="preserve"> </w:t>
      </w:r>
      <w:r>
        <w:t>is repealed.</w:t>
      </w:r>
    </w:p>
    <w:p w14:paraId="6AA89BFB" w14:textId="13265062" w:rsidR="003A4640" w:rsidRPr="00730187" w:rsidRDefault="003A4640" w:rsidP="002E110A">
      <w:pPr>
        <w:pStyle w:val="LI-BodyTextParaa"/>
        <w:numPr>
          <w:ilvl w:val="0"/>
          <w:numId w:val="3"/>
        </w:numPr>
      </w:pPr>
      <w:r>
        <w:t>Rule 1.1.4 provides that t</w:t>
      </w:r>
      <w:r w:rsidRPr="00364A37">
        <w:t>he maximum pecuniary penalty payable for a contravention of a provision of the</w:t>
      </w:r>
      <w:r w:rsidR="00A76A64">
        <w:t xml:space="preserve"> 2024</w:t>
      </w:r>
      <w:r w:rsidRPr="00364A37">
        <w:t xml:space="preserve"> </w:t>
      </w:r>
      <w:r>
        <w:t>R</w:t>
      </w:r>
      <w:r w:rsidRPr="00364A37">
        <w:t xml:space="preserve">ules is an amount determined by the Court under section 1317G of the </w:t>
      </w:r>
      <w:r w:rsidR="006359DC">
        <w:t xml:space="preserve">Corporations </w:t>
      </w:r>
      <w:r w:rsidRPr="00364A37">
        <w:t>Act.</w:t>
      </w:r>
    </w:p>
    <w:p w14:paraId="6174E797" w14:textId="77777777" w:rsidR="003A4640" w:rsidRPr="000A494E" w:rsidRDefault="003A4640" w:rsidP="003A4640">
      <w:pPr>
        <w:pStyle w:val="LI-BodyTextParaa"/>
        <w:ind w:left="0" w:firstLine="0"/>
        <w:rPr>
          <w:bCs/>
          <w:u w:val="single"/>
        </w:rPr>
      </w:pPr>
      <w:r w:rsidRPr="000A494E">
        <w:rPr>
          <w:bCs/>
          <w:u w:val="single"/>
        </w:rPr>
        <w:t>Part 1.2 Interpretation</w:t>
      </w:r>
    </w:p>
    <w:p w14:paraId="1BCB15FD" w14:textId="6078A104" w:rsidR="00182B85" w:rsidRDefault="00FB690D" w:rsidP="002E110A">
      <w:pPr>
        <w:pStyle w:val="LI-BodyTextParaa"/>
        <w:numPr>
          <w:ilvl w:val="0"/>
          <w:numId w:val="3"/>
        </w:numPr>
      </w:pPr>
      <w:r w:rsidRPr="00730187">
        <w:t>Rule 1.2.1 provides that, in the</w:t>
      </w:r>
      <w:r w:rsidR="006240D1">
        <w:t xml:space="preserve"> </w:t>
      </w:r>
      <w:r w:rsidR="004872F5">
        <w:t>2024</w:t>
      </w:r>
      <w:r w:rsidRPr="00730187">
        <w:t xml:space="preserve"> Rules, unless the contrary intention appears, a reference to time is to Australian Eastern Standard Time (AEST) or Australian Eastern Daylight Time (AEDT), as applicable, in Sydney, Australia.</w:t>
      </w:r>
    </w:p>
    <w:p w14:paraId="1D853C41" w14:textId="285D3231" w:rsidR="00D348C1" w:rsidRDefault="003A4640" w:rsidP="002E110A">
      <w:pPr>
        <w:pStyle w:val="LI-BodyTextParaa"/>
        <w:numPr>
          <w:ilvl w:val="0"/>
          <w:numId w:val="3"/>
        </w:numPr>
      </w:pPr>
      <w:r w:rsidRPr="00182B85">
        <w:rPr>
          <w:bCs/>
        </w:rPr>
        <w:t xml:space="preserve">Rule 1.2.2 provides that words and expressions defined in </w:t>
      </w:r>
      <w:r w:rsidR="00BE553B">
        <w:rPr>
          <w:bCs/>
        </w:rPr>
        <w:t>the Corporations Act</w:t>
      </w:r>
      <w:r w:rsidRPr="00182B85">
        <w:rPr>
          <w:bCs/>
        </w:rPr>
        <w:t xml:space="preserve"> will, unless otherwise defined or specified in the </w:t>
      </w:r>
      <w:r w:rsidR="00E26EE8">
        <w:rPr>
          <w:bCs/>
        </w:rPr>
        <w:t xml:space="preserve">2024 </w:t>
      </w:r>
      <w:r w:rsidRPr="00182B85">
        <w:rPr>
          <w:bCs/>
        </w:rPr>
        <w:t xml:space="preserve">Rules or the contrary intention appears, have the same meaning in the </w:t>
      </w:r>
      <w:r w:rsidR="00E26EE8">
        <w:rPr>
          <w:bCs/>
        </w:rPr>
        <w:t xml:space="preserve">2024 </w:t>
      </w:r>
      <w:r w:rsidRPr="00182B85">
        <w:rPr>
          <w:bCs/>
        </w:rPr>
        <w:t xml:space="preserve">Rules. For convenience, some words and expressions defined in </w:t>
      </w:r>
      <w:r w:rsidR="00BE553B">
        <w:rPr>
          <w:bCs/>
        </w:rPr>
        <w:t>the Corporations Act</w:t>
      </w:r>
      <w:r w:rsidRPr="00182B85">
        <w:rPr>
          <w:bCs/>
        </w:rPr>
        <w:t xml:space="preserve"> are cross-referenced in Rule 1.2.3.</w:t>
      </w:r>
    </w:p>
    <w:p w14:paraId="6869C49A" w14:textId="61A2CED2" w:rsidR="003A4640" w:rsidRPr="00D348C1" w:rsidRDefault="003A4640" w:rsidP="002E110A">
      <w:pPr>
        <w:pStyle w:val="LI-BodyTextParaa"/>
        <w:numPr>
          <w:ilvl w:val="0"/>
          <w:numId w:val="3"/>
        </w:numPr>
      </w:pPr>
      <w:bookmarkStart w:id="22" w:name="_Hlk120095816"/>
      <w:r w:rsidRPr="00D348C1">
        <w:rPr>
          <w:bCs/>
        </w:rPr>
        <w:t>Rule 1.2.3 provides definitions for terms used in the</w:t>
      </w:r>
      <w:r w:rsidR="00712E79">
        <w:rPr>
          <w:bCs/>
        </w:rPr>
        <w:t xml:space="preserve"> </w:t>
      </w:r>
      <w:r w:rsidR="004872F5">
        <w:rPr>
          <w:bCs/>
        </w:rPr>
        <w:t>2024</w:t>
      </w:r>
      <w:r w:rsidRPr="00D348C1">
        <w:rPr>
          <w:bCs/>
        </w:rPr>
        <w:t xml:space="preserve"> Rules</w:t>
      </w:r>
      <w:r w:rsidR="00404238">
        <w:rPr>
          <w:bCs/>
        </w:rPr>
        <w:t>. This includes but is not limited to the</w:t>
      </w:r>
      <w:r w:rsidR="00E26EE8">
        <w:rPr>
          <w:bCs/>
        </w:rPr>
        <w:t xml:space="preserve"> following</w:t>
      </w:r>
      <w:r w:rsidR="00404238">
        <w:rPr>
          <w:bCs/>
        </w:rPr>
        <w:t xml:space="preserve"> terms</w:t>
      </w:r>
      <w:r w:rsidR="00E26EE8">
        <w:rPr>
          <w:bCs/>
        </w:rPr>
        <w:t xml:space="preserve">, which are either </w:t>
      </w:r>
      <w:r w:rsidR="00C3463B">
        <w:rPr>
          <w:bCs/>
        </w:rPr>
        <w:t>new or changed in the 2024 Rules</w:t>
      </w:r>
      <w:r w:rsidR="00E26EE8">
        <w:rPr>
          <w:bCs/>
        </w:rPr>
        <w:t>:</w:t>
      </w:r>
      <w:r w:rsidR="00BB5DB4" w:rsidDel="00BB5DB4">
        <w:rPr>
          <w:bCs/>
        </w:rPr>
        <w:t xml:space="preserve"> </w:t>
      </w:r>
    </w:p>
    <w:bookmarkEnd w:id="22"/>
    <w:p w14:paraId="34D4F834" w14:textId="411ABD64" w:rsidR="0050122F" w:rsidRPr="00E651D0" w:rsidRDefault="004C1513" w:rsidP="0050122F">
      <w:pPr>
        <w:pStyle w:val="MIRBodyText"/>
        <w:numPr>
          <w:ilvl w:val="0"/>
          <w:numId w:val="0"/>
        </w:numPr>
        <w:ind w:left="567"/>
        <w:rPr>
          <w:sz w:val="24"/>
          <w:szCs w:val="24"/>
        </w:rPr>
      </w:pPr>
      <w:r>
        <w:rPr>
          <w:b/>
          <w:i/>
          <w:sz w:val="24"/>
          <w:szCs w:val="24"/>
        </w:rPr>
        <w:t>“</w:t>
      </w:r>
      <w:proofErr w:type="gramStart"/>
      <w:r w:rsidR="0050122F" w:rsidRPr="00E651D0">
        <w:rPr>
          <w:b/>
          <w:i/>
          <w:sz w:val="24"/>
          <w:szCs w:val="24"/>
        </w:rPr>
        <w:t>affirmation</w:t>
      </w:r>
      <w:proofErr w:type="gramEnd"/>
      <w:r w:rsidR="0050122F" w:rsidRPr="00E651D0">
        <w:rPr>
          <w:b/>
          <w:i/>
          <w:sz w:val="24"/>
          <w:szCs w:val="24"/>
        </w:rPr>
        <w:t xml:space="preserve"> or confirmation platform</w:t>
      </w:r>
      <w:r>
        <w:rPr>
          <w:b/>
          <w:i/>
          <w:sz w:val="24"/>
          <w:szCs w:val="24"/>
        </w:rPr>
        <w:t xml:space="preserve">” </w:t>
      </w:r>
      <w:r>
        <w:rPr>
          <w:bCs/>
          <w:iCs/>
          <w:sz w:val="24"/>
          <w:szCs w:val="24"/>
        </w:rPr>
        <w:t>which</w:t>
      </w:r>
      <w:r w:rsidR="0050122F" w:rsidRPr="00E651D0">
        <w:rPr>
          <w:b/>
          <w:i/>
          <w:sz w:val="24"/>
          <w:szCs w:val="24"/>
        </w:rPr>
        <w:t xml:space="preserve"> </w:t>
      </w:r>
      <w:r w:rsidR="0050122F" w:rsidRPr="00E651D0">
        <w:rPr>
          <w:sz w:val="24"/>
          <w:szCs w:val="24"/>
        </w:rPr>
        <w:t>means a facility that provides a regular electronic mechanism for the counterparties to a</w:t>
      </w:r>
      <w:r w:rsidR="00D161C5" w:rsidRPr="00E651D0">
        <w:rPr>
          <w:sz w:val="24"/>
          <w:szCs w:val="24"/>
        </w:rPr>
        <w:t xml:space="preserve"> reportable transaction</w:t>
      </w:r>
      <w:r w:rsidR="0050122F" w:rsidRPr="00E651D0">
        <w:rPr>
          <w:sz w:val="24"/>
          <w:szCs w:val="24"/>
        </w:rPr>
        <w:t xml:space="preserve"> to affirm or confirm some or all of the terms of a</w:t>
      </w:r>
      <w:r w:rsidR="00D161C5" w:rsidRPr="00E651D0">
        <w:rPr>
          <w:sz w:val="24"/>
          <w:szCs w:val="24"/>
        </w:rPr>
        <w:t xml:space="preserve"> reportable transaction</w:t>
      </w:r>
      <w:r w:rsidR="0050122F" w:rsidRPr="00E651D0">
        <w:rPr>
          <w:sz w:val="24"/>
          <w:szCs w:val="24"/>
        </w:rPr>
        <w:t xml:space="preserve"> to each other.</w:t>
      </w:r>
    </w:p>
    <w:p w14:paraId="14B8FAF9" w14:textId="56ABA8AA" w:rsidR="00101001" w:rsidRPr="00604451" w:rsidRDefault="003F0566" w:rsidP="009248A9">
      <w:pPr>
        <w:pStyle w:val="MIRBodyText"/>
        <w:numPr>
          <w:ilvl w:val="0"/>
          <w:numId w:val="0"/>
        </w:numPr>
        <w:ind w:left="567"/>
        <w:rPr>
          <w:bCs/>
          <w:sz w:val="24"/>
          <w:szCs w:val="24"/>
        </w:rPr>
      </w:pPr>
      <w:r w:rsidRPr="00604451">
        <w:rPr>
          <w:bCs/>
          <w:sz w:val="24"/>
          <w:szCs w:val="24"/>
        </w:rPr>
        <w:t xml:space="preserve">The operator of an affirmation </w:t>
      </w:r>
      <w:r w:rsidR="007E4FDF" w:rsidRPr="00604451">
        <w:rPr>
          <w:bCs/>
          <w:sz w:val="24"/>
          <w:szCs w:val="24"/>
        </w:rPr>
        <w:t xml:space="preserve">or confirmation platform is an entity that is a </w:t>
      </w:r>
      <w:proofErr w:type="spellStart"/>
      <w:r w:rsidR="007E4FDF" w:rsidRPr="00604451">
        <w:rPr>
          <w:bCs/>
          <w:sz w:val="24"/>
          <w:szCs w:val="24"/>
        </w:rPr>
        <w:t>UTI</w:t>
      </w:r>
      <w:proofErr w:type="spellEnd"/>
      <w:r w:rsidR="007E4FDF" w:rsidRPr="00604451">
        <w:rPr>
          <w:bCs/>
          <w:sz w:val="24"/>
          <w:szCs w:val="24"/>
        </w:rPr>
        <w:t xml:space="preserve"> generating entity</w:t>
      </w:r>
      <w:r w:rsidR="00A04FFF" w:rsidRPr="00604451">
        <w:rPr>
          <w:bCs/>
          <w:sz w:val="24"/>
          <w:szCs w:val="24"/>
        </w:rPr>
        <w:t xml:space="preserve"> </w:t>
      </w:r>
      <w:r w:rsidR="00B25393" w:rsidRPr="00604451">
        <w:rPr>
          <w:bCs/>
          <w:sz w:val="24"/>
          <w:szCs w:val="24"/>
        </w:rPr>
        <w:t>for specified</w:t>
      </w:r>
      <w:r w:rsidR="00D161C5">
        <w:rPr>
          <w:bCs/>
          <w:sz w:val="24"/>
          <w:szCs w:val="24"/>
        </w:rPr>
        <w:t xml:space="preserve"> reportable transaction</w:t>
      </w:r>
      <w:r w:rsidR="009248A9" w:rsidRPr="00604451">
        <w:rPr>
          <w:bCs/>
          <w:sz w:val="24"/>
          <w:szCs w:val="24"/>
        </w:rPr>
        <w:t>s as set out in Table 2 of Rule 2.2.9.</w:t>
      </w:r>
    </w:p>
    <w:p w14:paraId="50E6A733" w14:textId="49A6BE29" w:rsidR="00D61EE3" w:rsidRPr="00E651D0" w:rsidRDefault="004C1513" w:rsidP="00D61EE3">
      <w:pPr>
        <w:pStyle w:val="MIRBodyText"/>
        <w:numPr>
          <w:ilvl w:val="0"/>
          <w:numId w:val="0"/>
        </w:numPr>
        <w:ind w:left="567"/>
        <w:rPr>
          <w:bCs/>
          <w:iCs/>
          <w:sz w:val="24"/>
          <w:szCs w:val="24"/>
        </w:rPr>
      </w:pPr>
      <w:r>
        <w:rPr>
          <w:b/>
          <w:i/>
          <w:sz w:val="24"/>
          <w:szCs w:val="24"/>
        </w:rPr>
        <w:t>“</w:t>
      </w:r>
      <w:proofErr w:type="gramStart"/>
      <w:r w:rsidR="00D61EE3" w:rsidRPr="00E651D0">
        <w:rPr>
          <w:b/>
          <w:i/>
          <w:sz w:val="24"/>
          <w:szCs w:val="24"/>
        </w:rPr>
        <w:t>authorised</w:t>
      </w:r>
      <w:proofErr w:type="gramEnd"/>
      <w:r w:rsidR="00D61EE3" w:rsidRPr="00E651D0">
        <w:rPr>
          <w:b/>
          <w:i/>
          <w:sz w:val="24"/>
          <w:szCs w:val="24"/>
        </w:rPr>
        <w:t xml:space="preserve"> clearing facility</w:t>
      </w:r>
      <w:r>
        <w:rPr>
          <w:b/>
          <w:i/>
          <w:sz w:val="24"/>
          <w:szCs w:val="24"/>
        </w:rPr>
        <w:t xml:space="preserve">” </w:t>
      </w:r>
      <w:r>
        <w:rPr>
          <w:bCs/>
          <w:iCs/>
          <w:sz w:val="24"/>
          <w:szCs w:val="24"/>
        </w:rPr>
        <w:t>which</w:t>
      </w:r>
      <w:r w:rsidR="00D61EE3" w:rsidRPr="00E651D0">
        <w:rPr>
          <w:b/>
          <w:i/>
          <w:sz w:val="24"/>
          <w:szCs w:val="24"/>
        </w:rPr>
        <w:t xml:space="preserve"> </w:t>
      </w:r>
      <w:r w:rsidR="00D61EE3" w:rsidRPr="00E651D0">
        <w:rPr>
          <w:bCs/>
          <w:iCs/>
          <w:sz w:val="24"/>
          <w:szCs w:val="24"/>
        </w:rPr>
        <w:t xml:space="preserve">means </w:t>
      </w:r>
      <w:r w:rsidR="00D61EE3" w:rsidRPr="00E651D0">
        <w:rPr>
          <w:sz w:val="24"/>
          <w:szCs w:val="24"/>
        </w:rPr>
        <w:t xml:space="preserve">an authorised clearing and settlement facility that provides a regular mechanism for the operator of the </w:t>
      </w:r>
      <w:r w:rsidR="00D61EE3" w:rsidRPr="00E651D0">
        <w:rPr>
          <w:sz w:val="24"/>
          <w:szCs w:val="24"/>
        </w:rPr>
        <w:lastRenderedPageBreak/>
        <w:t>facility to enter into</w:t>
      </w:r>
      <w:r w:rsidR="00D161C5" w:rsidRPr="00E651D0">
        <w:rPr>
          <w:sz w:val="24"/>
          <w:szCs w:val="24"/>
        </w:rPr>
        <w:t xml:space="preserve"> reportable transaction</w:t>
      </w:r>
      <w:r w:rsidR="00D61EE3" w:rsidRPr="00E651D0">
        <w:rPr>
          <w:sz w:val="24"/>
          <w:szCs w:val="24"/>
        </w:rPr>
        <w:t>s by being substituted, by novation, as a counterparty to a</w:t>
      </w:r>
      <w:r w:rsidR="00D161C5" w:rsidRPr="00E651D0">
        <w:rPr>
          <w:sz w:val="24"/>
          <w:szCs w:val="24"/>
        </w:rPr>
        <w:t xml:space="preserve"> reportable transaction</w:t>
      </w:r>
      <w:r w:rsidR="00D61EE3" w:rsidRPr="00E651D0">
        <w:rPr>
          <w:sz w:val="24"/>
          <w:szCs w:val="24"/>
        </w:rPr>
        <w:t xml:space="preserve"> or becomes a counterparty to a</w:t>
      </w:r>
      <w:r w:rsidR="00D161C5" w:rsidRPr="00E651D0">
        <w:rPr>
          <w:sz w:val="24"/>
          <w:szCs w:val="24"/>
        </w:rPr>
        <w:t xml:space="preserve"> reportable transaction</w:t>
      </w:r>
      <w:r w:rsidR="00D61EE3" w:rsidRPr="00E651D0">
        <w:rPr>
          <w:sz w:val="24"/>
          <w:szCs w:val="24"/>
        </w:rPr>
        <w:t xml:space="preserve"> with the equivalent, or substantially equivalent, legal and economic effect as a novation.</w:t>
      </w:r>
    </w:p>
    <w:p w14:paraId="17B07A3E" w14:textId="2896A570" w:rsidR="00D61EE3" w:rsidRPr="00E651D0" w:rsidRDefault="00D61EE3" w:rsidP="00CE502C">
      <w:pPr>
        <w:pStyle w:val="MIRBodyText"/>
        <w:numPr>
          <w:ilvl w:val="0"/>
          <w:numId w:val="0"/>
        </w:numPr>
        <w:ind w:left="567"/>
        <w:rPr>
          <w:bCs/>
          <w:sz w:val="24"/>
          <w:szCs w:val="24"/>
        </w:rPr>
      </w:pPr>
      <w:r w:rsidRPr="00E651D0">
        <w:rPr>
          <w:bCs/>
          <w:sz w:val="24"/>
          <w:szCs w:val="24"/>
        </w:rPr>
        <w:t xml:space="preserve">The operator of an authorised clearing facility is an entity that is a </w:t>
      </w:r>
      <w:proofErr w:type="spellStart"/>
      <w:r w:rsidRPr="00E651D0">
        <w:rPr>
          <w:bCs/>
          <w:sz w:val="24"/>
          <w:szCs w:val="24"/>
        </w:rPr>
        <w:t>UTI</w:t>
      </w:r>
      <w:proofErr w:type="spellEnd"/>
      <w:r w:rsidRPr="00E651D0">
        <w:rPr>
          <w:bCs/>
          <w:sz w:val="24"/>
          <w:szCs w:val="24"/>
        </w:rPr>
        <w:t xml:space="preserve"> generating entity for specified</w:t>
      </w:r>
      <w:r w:rsidR="00D161C5">
        <w:rPr>
          <w:bCs/>
          <w:sz w:val="24"/>
          <w:szCs w:val="24"/>
        </w:rPr>
        <w:t xml:space="preserve"> reportable transaction</w:t>
      </w:r>
      <w:r w:rsidRPr="00E651D0">
        <w:rPr>
          <w:bCs/>
          <w:sz w:val="24"/>
          <w:szCs w:val="24"/>
        </w:rPr>
        <w:t>s as set out in Table 2 of Rule 2.2.9.</w:t>
      </w:r>
    </w:p>
    <w:p w14:paraId="35BCC7E1" w14:textId="52EF4BC9" w:rsidR="00DD1D95" w:rsidRPr="00E651D0" w:rsidRDefault="004C1513" w:rsidP="00911177">
      <w:pPr>
        <w:pStyle w:val="MIRBodyText"/>
        <w:ind w:left="567"/>
        <w:rPr>
          <w:sz w:val="24"/>
          <w:szCs w:val="24"/>
        </w:rPr>
      </w:pPr>
      <w:r>
        <w:rPr>
          <w:b/>
          <w:bCs/>
          <w:i/>
          <w:iCs/>
          <w:sz w:val="24"/>
          <w:szCs w:val="24"/>
        </w:rPr>
        <w:t>“</w:t>
      </w:r>
      <w:proofErr w:type="gramStart"/>
      <w:r w:rsidR="00DD1D95" w:rsidRPr="00E651D0">
        <w:rPr>
          <w:b/>
          <w:bCs/>
          <w:i/>
          <w:iCs/>
          <w:sz w:val="24"/>
          <w:szCs w:val="24"/>
        </w:rPr>
        <w:t>authorised</w:t>
      </w:r>
      <w:proofErr w:type="gramEnd"/>
      <w:r w:rsidR="00DD1D95" w:rsidRPr="00E651D0">
        <w:rPr>
          <w:b/>
          <w:bCs/>
          <w:i/>
          <w:iCs/>
          <w:sz w:val="24"/>
          <w:szCs w:val="24"/>
        </w:rPr>
        <w:t xml:space="preserve"> financial market</w:t>
      </w:r>
      <w:r>
        <w:rPr>
          <w:b/>
          <w:bCs/>
          <w:i/>
          <w:iCs/>
          <w:sz w:val="24"/>
          <w:szCs w:val="24"/>
        </w:rPr>
        <w:t xml:space="preserve">” </w:t>
      </w:r>
      <w:r>
        <w:rPr>
          <w:sz w:val="24"/>
          <w:szCs w:val="24"/>
        </w:rPr>
        <w:t>which</w:t>
      </w:r>
      <w:r w:rsidR="00DD1D95" w:rsidRPr="00E651D0">
        <w:rPr>
          <w:b/>
          <w:bCs/>
          <w:i/>
          <w:iCs/>
          <w:sz w:val="24"/>
          <w:szCs w:val="24"/>
        </w:rPr>
        <w:t xml:space="preserve"> </w:t>
      </w:r>
      <w:r w:rsidR="00DD1D95" w:rsidRPr="00E651D0">
        <w:rPr>
          <w:sz w:val="24"/>
          <w:szCs w:val="24"/>
        </w:rPr>
        <w:t>means:</w:t>
      </w:r>
    </w:p>
    <w:p w14:paraId="264CC32E" w14:textId="77777777" w:rsidR="00DD1D95" w:rsidRPr="00E651D0" w:rsidRDefault="00DD1D95" w:rsidP="002E110A">
      <w:pPr>
        <w:pStyle w:val="subparaa"/>
        <w:numPr>
          <w:ilvl w:val="1"/>
          <w:numId w:val="13"/>
        </w:numPr>
        <w:ind w:left="992"/>
        <w:rPr>
          <w:sz w:val="24"/>
          <w:szCs w:val="24"/>
        </w:rPr>
      </w:pPr>
      <w:r w:rsidRPr="00E651D0">
        <w:rPr>
          <w:sz w:val="24"/>
          <w:szCs w:val="24"/>
        </w:rPr>
        <w:t>a licensed market; or</w:t>
      </w:r>
    </w:p>
    <w:p w14:paraId="69E87747" w14:textId="77777777" w:rsidR="00DD1D95" w:rsidRPr="00E651D0" w:rsidRDefault="00DD1D95" w:rsidP="002E110A">
      <w:pPr>
        <w:pStyle w:val="subparaa"/>
        <w:numPr>
          <w:ilvl w:val="1"/>
          <w:numId w:val="13"/>
        </w:numPr>
        <w:ind w:left="992"/>
        <w:rPr>
          <w:sz w:val="24"/>
          <w:szCs w:val="24"/>
        </w:rPr>
      </w:pPr>
      <w:r w:rsidRPr="00E651D0">
        <w:rPr>
          <w:sz w:val="24"/>
          <w:szCs w:val="24"/>
        </w:rPr>
        <w:t>a financial market where the operator of the financial market is authorised to operate the financial market in the foreign country in which the operator’s principal place of business is located.</w:t>
      </w:r>
    </w:p>
    <w:p w14:paraId="43CF624F" w14:textId="6135EACB" w:rsidR="0031695B" w:rsidRPr="00E651D0" w:rsidRDefault="0031695B" w:rsidP="0031695B">
      <w:pPr>
        <w:pStyle w:val="MIRBodyText"/>
        <w:numPr>
          <w:ilvl w:val="0"/>
          <w:numId w:val="0"/>
        </w:numPr>
        <w:ind w:left="567"/>
        <w:rPr>
          <w:bCs/>
          <w:sz w:val="24"/>
          <w:szCs w:val="24"/>
        </w:rPr>
      </w:pPr>
      <w:r w:rsidRPr="00E651D0">
        <w:rPr>
          <w:bCs/>
          <w:sz w:val="24"/>
          <w:szCs w:val="24"/>
        </w:rPr>
        <w:t xml:space="preserve">The operator of an authorised </w:t>
      </w:r>
      <w:r w:rsidR="00B57E4F" w:rsidRPr="00E651D0">
        <w:rPr>
          <w:bCs/>
          <w:sz w:val="24"/>
          <w:szCs w:val="24"/>
        </w:rPr>
        <w:t xml:space="preserve">financial market </w:t>
      </w:r>
      <w:r w:rsidRPr="00E651D0">
        <w:rPr>
          <w:bCs/>
          <w:sz w:val="24"/>
          <w:szCs w:val="24"/>
        </w:rPr>
        <w:t xml:space="preserve">is an entity that is a </w:t>
      </w:r>
      <w:proofErr w:type="spellStart"/>
      <w:r w:rsidRPr="00E651D0">
        <w:rPr>
          <w:bCs/>
          <w:sz w:val="24"/>
          <w:szCs w:val="24"/>
        </w:rPr>
        <w:t>UTI</w:t>
      </w:r>
      <w:proofErr w:type="spellEnd"/>
      <w:r w:rsidRPr="00E651D0">
        <w:rPr>
          <w:bCs/>
          <w:sz w:val="24"/>
          <w:szCs w:val="24"/>
        </w:rPr>
        <w:t xml:space="preserve"> generating entity for specified</w:t>
      </w:r>
      <w:r w:rsidR="00D161C5">
        <w:rPr>
          <w:bCs/>
          <w:sz w:val="24"/>
          <w:szCs w:val="24"/>
        </w:rPr>
        <w:t xml:space="preserve"> reportable transaction</w:t>
      </w:r>
      <w:r w:rsidRPr="00E651D0">
        <w:rPr>
          <w:bCs/>
          <w:sz w:val="24"/>
          <w:szCs w:val="24"/>
        </w:rPr>
        <w:t>s as set out in Table 2 of Rule 2.2.9.</w:t>
      </w:r>
    </w:p>
    <w:p w14:paraId="696FF68D" w14:textId="26387E82" w:rsidR="005D70C8" w:rsidRPr="00185414" w:rsidRDefault="004C1513" w:rsidP="005D70C8">
      <w:pPr>
        <w:pStyle w:val="MIRBodyText"/>
        <w:ind w:left="567"/>
        <w:rPr>
          <w:sz w:val="24"/>
          <w:szCs w:val="24"/>
        </w:rPr>
      </w:pPr>
      <w:r>
        <w:rPr>
          <w:b/>
          <w:i/>
          <w:sz w:val="24"/>
          <w:szCs w:val="24"/>
        </w:rPr>
        <w:t>“</w:t>
      </w:r>
      <w:r w:rsidR="005D70C8" w:rsidRPr="00185414">
        <w:rPr>
          <w:b/>
          <w:i/>
          <w:sz w:val="24"/>
          <w:szCs w:val="24"/>
        </w:rPr>
        <w:t>Non-centrally Cleared Derivative</w:t>
      </w:r>
      <w:r>
        <w:rPr>
          <w:b/>
          <w:i/>
          <w:sz w:val="24"/>
          <w:szCs w:val="24"/>
        </w:rPr>
        <w:t xml:space="preserve">” </w:t>
      </w:r>
      <w:r>
        <w:rPr>
          <w:bCs/>
          <w:iCs/>
          <w:sz w:val="24"/>
          <w:szCs w:val="24"/>
        </w:rPr>
        <w:t>which</w:t>
      </w:r>
      <w:r w:rsidR="005D70C8" w:rsidRPr="00185414">
        <w:rPr>
          <w:sz w:val="24"/>
          <w:szCs w:val="24"/>
        </w:rPr>
        <w:t xml:space="preserve"> means an</w:t>
      </w:r>
      <w:r w:rsidR="00A171F2" w:rsidRPr="00185414">
        <w:rPr>
          <w:sz w:val="24"/>
          <w:szCs w:val="24"/>
        </w:rPr>
        <w:t xml:space="preserve"> OTC derivative</w:t>
      </w:r>
      <w:r w:rsidR="005D70C8" w:rsidRPr="00185414">
        <w:rPr>
          <w:sz w:val="24"/>
          <w:szCs w:val="24"/>
        </w:rPr>
        <w:t xml:space="preserve"> where:</w:t>
      </w:r>
    </w:p>
    <w:p w14:paraId="07527025" w14:textId="77777777" w:rsidR="005D70C8" w:rsidRPr="00185414" w:rsidRDefault="005D70C8" w:rsidP="005D70C8">
      <w:pPr>
        <w:pStyle w:val="MIRSubpara"/>
        <w:tabs>
          <w:tab w:val="clear" w:pos="1276"/>
        </w:tabs>
        <w:ind w:left="992"/>
        <w:rPr>
          <w:sz w:val="24"/>
          <w:szCs w:val="24"/>
        </w:rPr>
      </w:pPr>
      <w:r w:rsidRPr="00185414">
        <w:rPr>
          <w:sz w:val="24"/>
          <w:szCs w:val="24"/>
        </w:rPr>
        <w:t>the operator of an authorised clearing facility is not a counterparty; and</w:t>
      </w:r>
    </w:p>
    <w:p w14:paraId="00A4E4A8" w14:textId="77777777" w:rsidR="005D70C8" w:rsidRPr="00185414" w:rsidRDefault="005D70C8" w:rsidP="005D70C8">
      <w:pPr>
        <w:pStyle w:val="MIRSubpara"/>
        <w:tabs>
          <w:tab w:val="clear" w:pos="1276"/>
        </w:tabs>
        <w:ind w:left="992"/>
        <w:rPr>
          <w:sz w:val="24"/>
          <w:szCs w:val="24"/>
        </w:rPr>
      </w:pPr>
      <w:r w:rsidRPr="00185414">
        <w:rPr>
          <w:sz w:val="24"/>
          <w:szCs w:val="24"/>
        </w:rPr>
        <w:t>a clearing member, acting in the capacity of clearing member, is not a counterparty.</w:t>
      </w:r>
    </w:p>
    <w:p w14:paraId="050E872A" w14:textId="0EC787BE" w:rsidR="00A54D8B" w:rsidRPr="00A54D8B" w:rsidRDefault="00DE2459" w:rsidP="003A4640">
      <w:pPr>
        <w:pStyle w:val="LI-BodyTextParaa"/>
        <w:ind w:left="567" w:firstLine="0"/>
        <w:rPr>
          <w:bCs/>
          <w:iCs/>
        </w:rPr>
      </w:pPr>
      <w:r>
        <w:rPr>
          <w:bCs/>
          <w:iCs/>
        </w:rPr>
        <w:t>The amount of</w:t>
      </w:r>
      <w:r w:rsidR="00A54D8B" w:rsidRPr="00A54D8B">
        <w:rPr>
          <w:bCs/>
          <w:iCs/>
        </w:rPr>
        <w:t xml:space="preserve"> </w:t>
      </w:r>
      <w:r w:rsidR="004C1513">
        <w:rPr>
          <w:bCs/>
          <w:iCs/>
        </w:rPr>
        <w:t>n</w:t>
      </w:r>
      <w:r w:rsidR="00A54D8B">
        <w:rPr>
          <w:bCs/>
          <w:iCs/>
        </w:rPr>
        <w:t xml:space="preserve">on-centrally </w:t>
      </w:r>
      <w:r w:rsidR="004C1513">
        <w:rPr>
          <w:bCs/>
          <w:iCs/>
        </w:rPr>
        <w:t>c</w:t>
      </w:r>
      <w:r w:rsidR="00A54D8B">
        <w:rPr>
          <w:bCs/>
          <w:iCs/>
        </w:rPr>
        <w:t xml:space="preserve">leared </w:t>
      </w:r>
      <w:r w:rsidR="004C1513">
        <w:rPr>
          <w:bCs/>
          <w:iCs/>
        </w:rPr>
        <w:t>d</w:t>
      </w:r>
      <w:r w:rsidR="00A54D8B">
        <w:rPr>
          <w:bCs/>
          <w:iCs/>
        </w:rPr>
        <w:t>er</w:t>
      </w:r>
      <w:r>
        <w:rPr>
          <w:bCs/>
          <w:iCs/>
        </w:rPr>
        <w:t xml:space="preserve">ivatives </w:t>
      </w:r>
      <w:r w:rsidR="005957A6">
        <w:rPr>
          <w:bCs/>
          <w:iCs/>
        </w:rPr>
        <w:t xml:space="preserve">that certain entities hold </w:t>
      </w:r>
      <w:r w:rsidR="000D4F19">
        <w:rPr>
          <w:bCs/>
          <w:iCs/>
        </w:rPr>
        <w:t xml:space="preserve">on </w:t>
      </w:r>
      <w:r w:rsidR="00C822DE">
        <w:rPr>
          <w:bCs/>
          <w:iCs/>
        </w:rPr>
        <w:t xml:space="preserve">two </w:t>
      </w:r>
      <w:r w:rsidR="000A62D0">
        <w:rPr>
          <w:bCs/>
          <w:iCs/>
        </w:rPr>
        <w:t xml:space="preserve">consecutive </w:t>
      </w:r>
      <w:r w:rsidR="003A66F8">
        <w:rPr>
          <w:bCs/>
          <w:iCs/>
        </w:rPr>
        <w:t xml:space="preserve">dates </w:t>
      </w:r>
      <w:r w:rsidR="00C822DE">
        <w:rPr>
          <w:bCs/>
          <w:iCs/>
        </w:rPr>
        <w:t xml:space="preserve">among </w:t>
      </w:r>
      <w:r w:rsidR="007542F5">
        <w:rPr>
          <w:bCs/>
          <w:iCs/>
        </w:rPr>
        <w:t xml:space="preserve">31 March, 30 June, 30 </w:t>
      </w:r>
      <w:proofErr w:type="gramStart"/>
      <w:r w:rsidR="007542F5">
        <w:rPr>
          <w:bCs/>
          <w:iCs/>
        </w:rPr>
        <w:t>September</w:t>
      </w:r>
      <w:proofErr w:type="gramEnd"/>
      <w:r w:rsidR="003A66F8">
        <w:rPr>
          <w:bCs/>
          <w:iCs/>
        </w:rPr>
        <w:t xml:space="preserve"> </w:t>
      </w:r>
      <w:r w:rsidR="00C822DE">
        <w:rPr>
          <w:bCs/>
          <w:iCs/>
        </w:rPr>
        <w:t>and</w:t>
      </w:r>
      <w:r w:rsidR="003A66F8">
        <w:rPr>
          <w:bCs/>
          <w:iCs/>
        </w:rPr>
        <w:t xml:space="preserve"> 31 December </w:t>
      </w:r>
      <w:r w:rsidR="006D69FB">
        <w:rPr>
          <w:bCs/>
          <w:iCs/>
        </w:rPr>
        <w:t xml:space="preserve">determines </w:t>
      </w:r>
      <w:r w:rsidR="006B709D">
        <w:rPr>
          <w:bCs/>
          <w:iCs/>
        </w:rPr>
        <w:t>if the entity meets, or is disqualified fro</w:t>
      </w:r>
      <w:r w:rsidR="00425CA5">
        <w:rPr>
          <w:bCs/>
          <w:iCs/>
        </w:rPr>
        <w:t>m</w:t>
      </w:r>
      <w:r w:rsidR="00DA39D3">
        <w:rPr>
          <w:bCs/>
          <w:iCs/>
        </w:rPr>
        <w:t xml:space="preserve"> </w:t>
      </w:r>
      <w:r w:rsidR="004C1513">
        <w:rPr>
          <w:bCs/>
          <w:iCs/>
        </w:rPr>
        <w:t>m</w:t>
      </w:r>
      <w:r w:rsidR="00DA39D3">
        <w:rPr>
          <w:bCs/>
          <w:iCs/>
        </w:rPr>
        <w:t>eeting</w:t>
      </w:r>
      <w:r w:rsidR="00425CA5">
        <w:rPr>
          <w:bCs/>
          <w:iCs/>
        </w:rPr>
        <w:t xml:space="preserve">, the small-scale criteria </w:t>
      </w:r>
      <w:r w:rsidR="00692CDA">
        <w:rPr>
          <w:bCs/>
          <w:iCs/>
        </w:rPr>
        <w:t xml:space="preserve">and </w:t>
      </w:r>
      <w:r w:rsidR="00C822DE">
        <w:rPr>
          <w:bCs/>
          <w:iCs/>
        </w:rPr>
        <w:t xml:space="preserve">therefore </w:t>
      </w:r>
      <w:r w:rsidR="00BD5C38">
        <w:rPr>
          <w:bCs/>
          <w:iCs/>
        </w:rPr>
        <w:t xml:space="preserve">is, or is not, a </w:t>
      </w:r>
      <w:r w:rsidR="004C1513">
        <w:rPr>
          <w:bCs/>
          <w:iCs/>
        </w:rPr>
        <w:t>s</w:t>
      </w:r>
      <w:r w:rsidR="00BD5C38">
        <w:rPr>
          <w:bCs/>
          <w:iCs/>
        </w:rPr>
        <w:t xml:space="preserve">mall-scale </w:t>
      </w:r>
      <w:r w:rsidR="004C1513">
        <w:rPr>
          <w:bCs/>
          <w:iCs/>
        </w:rPr>
        <w:t>b</w:t>
      </w:r>
      <w:r w:rsidR="00BD5C38">
        <w:rPr>
          <w:bCs/>
          <w:iCs/>
        </w:rPr>
        <w:t>uy</w:t>
      </w:r>
      <w:r w:rsidR="003178CB">
        <w:rPr>
          <w:bCs/>
          <w:iCs/>
        </w:rPr>
        <w:t xml:space="preserve">-side </w:t>
      </w:r>
      <w:r w:rsidR="004C1513">
        <w:rPr>
          <w:bCs/>
          <w:iCs/>
        </w:rPr>
        <w:t>e</w:t>
      </w:r>
      <w:r w:rsidR="003178CB">
        <w:rPr>
          <w:bCs/>
          <w:iCs/>
        </w:rPr>
        <w:t>ntity</w:t>
      </w:r>
      <w:r w:rsidR="007F3A62">
        <w:rPr>
          <w:bCs/>
          <w:iCs/>
        </w:rPr>
        <w:t xml:space="preserve"> that is not required to report certain items of</w:t>
      </w:r>
      <w:r w:rsidR="0019732D">
        <w:rPr>
          <w:bCs/>
          <w:iCs/>
        </w:rPr>
        <w:t xml:space="preserve"> derivative transaction information</w:t>
      </w:r>
      <w:r w:rsidR="007F3A62">
        <w:rPr>
          <w:bCs/>
          <w:iCs/>
        </w:rPr>
        <w:t>.</w:t>
      </w:r>
    </w:p>
    <w:p w14:paraId="5A5D673A" w14:textId="7380FFAA" w:rsidR="00626D12" w:rsidRPr="00185414" w:rsidRDefault="004C1513" w:rsidP="00626D12">
      <w:pPr>
        <w:pStyle w:val="MIRBodyText"/>
        <w:ind w:left="567"/>
        <w:rPr>
          <w:b/>
          <w:i/>
          <w:sz w:val="24"/>
          <w:szCs w:val="24"/>
        </w:rPr>
      </w:pPr>
      <w:r>
        <w:rPr>
          <w:b/>
          <w:i/>
          <w:sz w:val="24"/>
          <w:szCs w:val="24"/>
        </w:rPr>
        <w:t>“</w:t>
      </w:r>
      <w:r w:rsidR="00626D12" w:rsidRPr="00185414">
        <w:rPr>
          <w:b/>
          <w:i/>
          <w:sz w:val="24"/>
          <w:szCs w:val="24"/>
        </w:rPr>
        <w:t>Part 7.2A Market</w:t>
      </w:r>
      <w:r>
        <w:rPr>
          <w:b/>
          <w:i/>
          <w:sz w:val="24"/>
          <w:szCs w:val="24"/>
        </w:rPr>
        <w:t xml:space="preserve">” </w:t>
      </w:r>
      <w:r>
        <w:rPr>
          <w:bCs/>
          <w:iCs/>
          <w:sz w:val="24"/>
          <w:szCs w:val="24"/>
        </w:rPr>
        <w:t>which</w:t>
      </w:r>
      <w:r w:rsidR="00626D12" w:rsidRPr="00185414">
        <w:rPr>
          <w:bCs/>
          <w:iCs/>
          <w:sz w:val="24"/>
          <w:szCs w:val="24"/>
        </w:rPr>
        <w:t xml:space="preserve"> means a financial market to which an instrument made under subsection 798G(1) of </w:t>
      </w:r>
      <w:r w:rsidR="00BE553B" w:rsidRPr="00185414">
        <w:rPr>
          <w:bCs/>
          <w:iCs/>
          <w:sz w:val="24"/>
          <w:szCs w:val="24"/>
        </w:rPr>
        <w:t>the Corporations Act</w:t>
      </w:r>
      <w:r w:rsidR="00626D12" w:rsidRPr="00185414">
        <w:rPr>
          <w:bCs/>
          <w:iCs/>
          <w:sz w:val="24"/>
          <w:szCs w:val="24"/>
        </w:rPr>
        <w:t xml:space="preserve"> applies.</w:t>
      </w:r>
    </w:p>
    <w:p w14:paraId="4FCB1D24" w14:textId="12554910" w:rsidR="005B1235" w:rsidRPr="00185414" w:rsidRDefault="00626D12" w:rsidP="005B1235">
      <w:pPr>
        <w:pStyle w:val="MIRNote"/>
        <w:ind w:left="567"/>
        <w:rPr>
          <w:sz w:val="24"/>
          <w:szCs w:val="24"/>
        </w:rPr>
      </w:pPr>
      <w:r w:rsidRPr="00185414">
        <w:rPr>
          <w:sz w:val="24"/>
          <w:szCs w:val="24"/>
        </w:rPr>
        <w:t>Instruments made under subsection</w:t>
      </w:r>
      <w:r w:rsidR="00E33BAC">
        <w:rPr>
          <w:sz w:val="24"/>
          <w:szCs w:val="24"/>
        </w:rPr>
        <w:t xml:space="preserve"> </w:t>
      </w:r>
      <w:r w:rsidRPr="00185414">
        <w:rPr>
          <w:sz w:val="24"/>
          <w:szCs w:val="24"/>
        </w:rPr>
        <w:t xml:space="preserve">798G(1) of </w:t>
      </w:r>
      <w:r w:rsidR="00BE553B">
        <w:rPr>
          <w:sz w:val="24"/>
          <w:szCs w:val="24"/>
        </w:rPr>
        <w:t>the Corporations Act</w:t>
      </w:r>
      <w:r w:rsidRPr="00185414">
        <w:rPr>
          <w:sz w:val="24"/>
          <w:szCs w:val="24"/>
        </w:rPr>
        <w:t xml:space="preserve"> are market integrity rules made by ASIC. Market integrity rules </w:t>
      </w:r>
      <w:r w:rsidR="005B6893" w:rsidRPr="00185414">
        <w:rPr>
          <w:sz w:val="24"/>
          <w:szCs w:val="24"/>
        </w:rPr>
        <w:t xml:space="preserve">generally only apply to financial markets with retail client participation </w:t>
      </w:r>
      <w:r w:rsidR="00BF1055" w:rsidRPr="00185414">
        <w:rPr>
          <w:sz w:val="24"/>
          <w:szCs w:val="24"/>
        </w:rPr>
        <w:t xml:space="preserve">and are not financial markets whose </w:t>
      </w:r>
      <w:r w:rsidR="005D21C6" w:rsidRPr="00185414">
        <w:rPr>
          <w:sz w:val="24"/>
          <w:szCs w:val="24"/>
        </w:rPr>
        <w:t>derivatives traded on those market</w:t>
      </w:r>
      <w:r w:rsidR="00EF6D3C" w:rsidRPr="00185414">
        <w:rPr>
          <w:sz w:val="24"/>
          <w:szCs w:val="24"/>
        </w:rPr>
        <w:t xml:space="preserve">s are intended to be reportable </w:t>
      </w:r>
      <w:r w:rsidR="005B1235" w:rsidRPr="00185414">
        <w:rPr>
          <w:sz w:val="24"/>
          <w:szCs w:val="24"/>
        </w:rPr>
        <w:t xml:space="preserve">under the </w:t>
      </w:r>
      <w:r w:rsidR="004872F5">
        <w:rPr>
          <w:sz w:val="24"/>
          <w:szCs w:val="24"/>
        </w:rPr>
        <w:t xml:space="preserve">2024 </w:t>
      </w:r>
      <w:r w:rsidR="005B1235" w:rsidRPr="00185414">
        <w:rPr>
          <w:sz w:val="24"/>
          <w:szCs w:val="24"/>
        </w:rPr>
        <w:t>Rules.</w:t>
      </w:r>
    </w:p>
    <w:p w14:paraId="1B22AF4C" w14:textId="59E72C40" w:rsidR="00553917" w:rsidRPr="002A7E5B" w:rsidRDefault="004C1513" w:rsidP="00553917">
      <w:pPr>
        <w:pStyle w:val="MIRBodyText"/>
        <w:ind w:left="567"/>
        <w:rPr>
          <w:sz w:val="24"/>
          <w:szCs w:val="24"/>
        </w:rPr>
      </w:pPr>
      <w:bookmarkStart w:id="23" w:name="_Hlk95545511"/>
      <w:r>
        <w:rPr>
          <w:b/>
          <w:i/>
          <w:sz w:val="24"/>
          <w:szCs w:val="24"/>
        </w:rPr>
        <w:t>“</w:t>
      </w:r>
      <w:r w:rsidR="00553917" w:rsidRPr="002A7E5B">
        <w:rPr>
          <w:b/>
          <w:i/>
          <w:sz w:val="24"/>
          <w:szCs w:val="24"/>
        </w:rPr>
        <w:t>Small-scale Buy-side Entity</w:t>
      </w:r>
      <w:bookmarkEnd w:id="23"/>
      <w:r>
        <w:rPr>
          <w:b/>
          <w:i/>
          <w:sz w:val="24"/>
          <w:szCs w:val="24"/>
        </w:rPr>
        <w:t>”</w:t>
      </w:r>
      <w:r w:rsidR="00553917" w:rsidRPr="002A7E5B">
        <w:rPr>
          <w:bCs/>
          <w:iCs/>
          <w:sz w:val="24"/>
          <w:szCs w:val="24"/>
        </w:rPr>
        <w:t xml:space="preserve"> means </w:t>
      </w:r>
      <w:r w:rsidR="00F65ABA" w:rsidRPr="002A7E5B">
        <w:rPr>
          <w:bCs/>
          <w:iCs/>
          <w:sz w:val="24"/>
          <w:szCs w:val="24"/>
        </w:rPr>
        <w:t>a reporting entity</w:t>
      </w:r>
      <w:r w:rsidR="00553917" w:rsidRPr="002A7E5B">
        <w:rPr>
          <w:bCs/>
          <w:iCs/>
          <w:sz w:val="24"/>
          <w:szCs w:val="24"/>
        </w:rPr>
        <w:t xml:space="preserve"> that:</w:t>
      </w:r>
    </w:p>
    <w:p w14:paraId="1CABB121" w14:textId="17AF3721" w:rsidR="00553917" w:rsidRPr="002A7E5B" w:rsidRDefault="000A2BA2" w:rsidP="002E110A">
      <w:pPr>
        <w:pStyle w:val="MIRSubpara"/>
        <w:numPr>
          <w:ilvl w:val="1"/>
          <w:numId w:val="16"/>
        </w:numPr>
        <w:ind w:left="992"/>
        <w:rPr>
          <w:sz w:val="24"/>
          <w:szCs w:val="24"/>
        </w:rPr>
      </w:pPr>
      <w:bookmarkStart w:id="24" w:name="_Hlk95552000"/>
      <w:r w:rsidRPr="002A7E5B">
        <w:rPr>
          <w:sz w:val="24"/>
          <w:szCs w:val="24"/>
        </w:rPr>
        <w:t>is a</w:t>
      </w:r>
      <w:r w:rsidR="004C1513">
        <w:rPr>
          <w:sz w:val="24"/>
          <w:szCs w:val="24"/>
        </w:rPr>
        <w:t xml:space="preserve"> responsible entity</w:t>
      </w:r>
      <w:r w:rsidRPr="002A7E5B">
        <w:rPr>
          <w:sz w:val="24"/>
          <w:szCs w:val="24"/>
        </w:rPr>
        <w:t xml:space="preserve"> </w:t>
      </w:r>
      <w:r w:rsidR="004C1513">
        <w:rPr>
          <w:sz w:val="24"/>
          <w:szCs w:val="24"/>
        </w:rPr>
        <w:t>(</w:t>
      </w:r>
      <w:r w:rsidRPr="00262FAD">
        <w:rPr>
          <w:b/>
          <w:bCs/>
          <w:i/>
          <w:iCs/>
          <w:sz w:val="24"/>
          <w:szCs w:val="24"/>
        </w:rPr>
        <w:t>RE</w:t>
      </w:r>
      <w:r w:rsidR="004C1513">
        <w:rPr>
          <w:sz w:val="24"/>
          <w:szCs w:val="24"/>
        </w:rPr>
        <w:t>)</w:t>
      </w:r>
      <w:r w:rsidRPr="002A7E5B">
        <w:rPr>
          <w:sz w:val="24"/>
          <w:szCs w:val="24"/>
        </w:rPr>
        <w:t>,</w:t>
      </w:r>
      <w:r w:rsidR="00017179" w:rsidRPr="002A7E5B">
        <w:rPr>
          <w:sz w:val="24"/>
          <w:szCs w:val="24"/>
        </w:rPr>
        <w:t xml:space="preserve"> trustee</w:t>
      </w:r>
      <w:r w:rsidRPr="002A7E5B">
        <w:rPr>
          <w:sz w:val="24"/>
          <w:szCs w:val="24"/>
        </w:rPr>
        <w:t>, a non-bank body regulated by APRA, or a corporate director of a CCIV; and</w:t>
      </w:r>
    </w:p>
    <w:bookmarkEnd w:id="24"/>
    <w:p w14:paraId="01B71383" w14:textId="77777777" w:rsidR="00553917" w:rsidRPr="002A7E5B" w:rsidRDefault="00553917" w:rsidP="002E110A">
      <w:pPr>
        <w:pStyle w:val="MIRSubpara"/>
        <w:numPr>
          <w:ilvl w:val="1"/>
          <w:numId w:val="15"/>
        </w:numPr>
        <w:ind w:left="992"/>
        <w:rPr>
          <w:sz w:val="24"/>
          <w:szCs w:val="24"/>
        </w:rPr>
      </w:pPr>
      <w:r w:rsidRPr="002A7E5B">
        <w:rPr>
          <w:sz w:val="24"/>
          <w:szCs w:val="24"/>
        </w:rPr>
        <w:t>is not an AFS Licensee whose AFS Licence authorises them to make a market in derivatives; and</w:t>
      </w:r>
    </w:p>
    <w:p w14:paraId="677437DE" w14:textId="2621DA4B" w:rsidR="00553917" w:rsidRPr="002A7E5B" w:rsidRDefault="00553917" w:rsidP="002E110A">
      <w:pPr>
        <w:pStyle w:val="MIRSubpara"/>
        <w:numPr>
          <w:ilvl w:val="1"/>
          <w:numId w:val="15"/>
        </w:numPr>
        <w:ind w:left="992"/>
        <w:rPr>
          <w:sz w:val="24"/>
          <w:szCs w:val="24"/>
        </w:rPr>
      </w:pPr>
      <w:r w:rsidRPr="002A7E5B">
        <w:rPr>
          <w:sz w:val="24"/>
          <w:szCs w:val="24"/>
        </w:rPr>
        <w:t xml:space="preserve">is not an </w:t>
      </w:r>
      <w:r w:rsidR="004C1513">
        <w:rPr>
          <w:sz w:val="24"/>
          <w:szCs w:val="24"/>
        </w:rPr>
        <w:t>e</w:t>
      </w:r>
      <w:r w:rsidRPr="002A7E5B">
        <w:rPr>
          <w:sz w:val="24"/>
          <w:szCs w:val="24"/>
        </w:rPr>
        <w:t xml:space="preserve">xempt </w:t>
      </w:r>
      <w:r w:rsidR="004C1513">
        <w:rPr>
          <w:sz w:val="24"/>
          <w:szCs w:val="24"/>
        </w:rPr>
        <w:t>f</w:t>
      </w:r>
      <w:r w:rsidRPr="002A7E5B">
        <w:rPr>
          <w:sz w:val="24"/>
          <w:szCs w:val="24"/>
        </w:rPr>
        <w:t xml:space="preserve">oreign </w:t>
      </w:r>
      <w:r w:rsidR="004C1513">
        <w:rPr>
          <w:sz w:val="24"/>
          <w:szCs w:val="24"/>
        </w:rPr>
        <w:t>l</w:t>
      </w:r>
      <w:r w:rsidRPr="002A7E5B">
        <w:rPr>
          <w:sz w:val="24"/>
          <w:szCs w:val="24"/>
        </w:rPr>
        <w:t>icensee; and</w:t>
      </w:r>
    </w:p>
    <w:p w14:paraId="70903117" w14:textId="77777777" w:rsidR="00553917" w:rsidRPr="002A7E5B" w:rsidRDefault="00553917" w:rsidP="002E110A">
      <w:pPr>
        <w:pStyle w:val="MIRSubpara"/>
        <w:numPr>
          <w:ilvl w:val="1"/>
          <w:numId w:val="15"/>
        </w:numPr>
        <w:ind w:left="992"/>
        <w:rPr>
          <w:sz w:val="24"/>
          <w:szCs w:val="24"/>
        </w:rPr>
      </w:pPr>
      <w:r w:rsidRPr="002A7E5B">
        <w:rPr>
          <w:b/>
          <w:bCs/>
          <w:i/>
          <w:iCs/>
          <w:sz w:val="24"/>
          <w:szCs w:val="24"/>
        </w:rPr>
        <w:t>meets the small-scale criteria</w:t>
      </w:r>
      <w:r w:rsidRPr="002A7E5B">
        <w:rPr>
          <w:sz w:val="24"/>
          <w:szCs w:val="24"/>
        </w:rPr>
        <w:t>; and</w:t>
      </w:r>
    </w:p>
    <w:p w14:paraId="66B83058" w14:textId="77777777" w:rsidR="00553917" w:rsidRPr="002A7E5B" w:rsidRDefault="00553917" w:rsidP="002E110A">
      <w:pPr>
        <w:pStyle w:val="MIRSubpara"/>
        <w:numPr>
          <w:ilvl w:val="1"/>
          <w:numId w:val="15"/>
        </w:numPr>
        <w:ind w:left="992"/>
        <w:rPr>
          <w:sz w:val="24"/>
          <w:szCs w:val="24"/>
        </w:rPr>
      </w:pPr>
      <w:r w:rsidRPr="002A7E5B">
        <w:rPr>
          <w:sz w:val="24"/>
          <w:szCs w:val="24"/>
        </w:rPr>
        <w:lastRenderedPageBreak/>
        <w:t xml:space="preserve">is not </w:t>
      </w:r>
      <w:r w:rsidRPr="002A7E5B">
        <w:rPr>
          <w:b/>
          <w:bCs/>
          <w:i/>
          <w:iCs/>
          <w:sz w:val="24"/>
          <w:szCs w:val="24"/>
        </w:rPr>
        <w:t xml:space="preserve">disqualified from the small-scale </w:t>
      </w:r>
      <w:proofErr w:type="gramStart"/>
      <w:r w:rsidRPr="002A7E5B">
        <w:rPr>
          <w:b/>
          <w:bCs/>
          <w:i/>
          <w:iCs/>
          <w:sz w:val="24"/>
          <w:szCs w:val="24"/>
        </w:rPr>
        <w:t>criteria;</w:t>
      </w:r>
      <w:proofErr w:type="gramEnd"/>
      <w:r w:rsidRPr="002A7E5B">
        <w:rPr>
          <w:sz w:val="24"/>
          <w:szCs w:val="24"/>
        </w:rPr>
        <w:t xml:space="preserve"> </w:t>
      </w:r>
    </w:p>
    <w:p w14:paraId="43239CE0" w14:textId="77777777" w:rsidR="00553917" w:rsidRPr="002A7E5B" w:rsidRDefault="00553917" w:rsidP="0042135C">
      <w:pPr>
        <w:pStyle w:val="definition0"/>
        <w:shd w:val="clear" w:color="auto" w:fill="FFFFFF"/>
        <w:spacing w:beforeAutospacing="0" w:after="0" w:afterAutospacing="0" w:line="300" w:lineRule="atLeast"/>
        <w:ind w:left="567"/>
        <w:rPr>
          <w:color w:val="000000"/>
        </w:rPr>
      </w:pPr>
      <w:r w:rsidRPr="002A7E5B">
        <w:rPr>
          <w:color w:val="000000"/>
        </w:rPr>
        <w:t>where:</w:t>
      </w:r>
    </w:p>
    <w:p w14:paraId="48460F59" w14:textId="152ED162" w:rsidR="00553917" w:rsidRPr="002A7E5B" w:rsidRDefault="00553917" w:rsidP="002E110A">
      <w:pPr>
        <w:pStyle w:val="MIRSubpara"/>
        <w:numPr>
          <w:ilvl w:val="1"/>
          <w:numId w:val="15"/>
        </w:numPr>
        <w:ind w:left="992"/>
        <w:rPr>
          <w:sz w:val="24"/>
          <w:szCs w:val="24"/>
        </w:rPr>
      </w:pPr>
      <w:r w:rsidRPr="002A7E5B">
        <w:rPr>
          <w:color w:val="000000"/>
          <w:sz w:val="24"/>
          <w:szCs w:val="24"/>
        </w:rPr>
        <w:t xml:space="preserve">an entity </w:t>
      </w:r>
      <w:r w:rsidRPr="002A7E5B">
        <w:rPr>
          <w:b/>
          <w:bCs/>
          <w:i/>
          <w:iCs/>
          <w:color w:val="000000"/>
          <w:sz w:val="24"/>
          <w:szCs w:val="24"/>
        </w:rPr>
        <w:t>meets the small-scale criteria</w:t>
      </w:r>
      <w:r w:rsidRPr="002A7E5B">
        <w:rPr>
          <w:color w:val="000000"/>
          <w:sz w:val="24"/>
          <w:szCs w:val="24"/>
        </w:rPr>
        <w:t xml:space="preserve"> from the day after the quarter day following two successive quarter days that it holds 12 billion Australian dollars or less of total gross notional outstanding </w:t>
      </w:r>
      <w:r w:rsidR="004C1513">
        <w:rPr>
          <w:color w:val="000000"/>
          <w:sz w:val="24"/>
          <w:szCs w:val="24"/>
        </w:rPr>
        <w:t>n</w:t>
      </w:r>
      <w:r w:rsidRPr="002A7E5B">
        <w:rPr>
          <w:color w:val="000000"/>
          <w:sz w:val="24"/>
          <w:szCs w:val="24"/>
        </w:rPr>
        <w:t xml:space="preserve">on-centrally </w:t>
      </w:r>
      <w:r w:rsidR="004C1513">
        <w:rPr>
          <w:color w:val="000000"/>
          <w:sz w:val="24"/>
          <w:szCs w:val="24"/>
        </w:rPr>
        <w:t>c</w:t>
      </w:r>
      <w:r w:rsidRPr="002A7E5B">
        <w:rPr>
          <w:color w:val="000000"/>
          <w:sz w:val="24"/>
          <w:szCs w:val="24"/>
        </w:rPr>
        <w:t xml:space="preserve">leared </w:t>
      </w:r>
      <w:proofErr w:type="gramStart"/>
      <w:r w:rsidR="004C1513">
        <w:rPr>
          <w:color w:val="000000"/>
          <w:sz w:val="24"/>
          <w:szCs w:val="24"/>
        </w:rPr>
        <w:t>d</w:t>
      </w:r>
      <w:r w:rsidRPr="002A7E5B">
        <w:rPr>
          <w:color w:val="000000"/>
          <w:sz w:val="24"/>
          <w:szCs w:val="24"/>
        </w:rPr>
        <w:t>erivatives;</w:t>
      </w:r>
      <w:proofErr w:type="gramEnd"/>
      <w:r w:rsidRPr="002A7E5B">
        <w:rPr>
          <w:color w:val="000000"/>
          <w:sz w:val="24"/>
          <w:szCs w:val="24"/>
        </w:rPr>
        <w:t xml:space="preserve"> and</w:t>
      </w:r>
    </w:p>
    <w:p w14:paraId="42C7983B" w14:textId="36E2E03A" w:rsidR="00553917" w:rsidRPr="002A7E5B" w:rsidRDefault="00553917" w:rsidP="002E110A">
      <w:pPr>
        <w:pStyle w:val="MIRSubpara"/>
        <w:numPr>
          <w:ilvl w:val="1"/>
          <w:numId w:val="15"/>
        </w:numPr>
        <w:ind w:left="992"/>
        <w:rPr>
          <w:sz w:val="24"/>
          <w:szCs w:val="24"/>
        </w:rPr>
      </w:pPr>
      <w:r w:rsidRPr="002A7E5B">
        <w:rPr>
          <w:color w:val="000000"/>
          <w:sz w:val="24"/>
          <w:szCs w:val="24"/>
        </w:rPr>
        <w:t xml:space="preserve">an entity is </w:t>
      </w:r>
      <w:r w:rsidRPr="002A7E5B">
        <w:rPr>
          <w:b/>
          <w:bCs/>
          <w:i/>
          <w:iCs/>
          <w:color w:val="000000"/>
          <w:sz w:val="24"/>
          <w:szCs w:val="24"/>
        </w:rPr>
        <w:t>disqualified from the</w:t>
      </w:r>
      <w:r w:rsidRPr="002A7E5B">
        <w:rPr>
          <w:color w:val="000000"/>
          <w:sz w:val="24"/>
          <w:szCs w:val="24"/>
        </w:rPr>
        <w:t xml:space="preserve"> </w:t>
      </w:r>
      <w:r w:rsidRPr="002A7E5B">
        <w:rPr>
          <w:b/>
          <w:bCs/>
          <w:i/>
          <w:iCs/>
          <w:sz w:val="24"/>
          <w:szCs w:val="24"/>
        </w:rPr>
        <w:t>small-scale criteria</w:t>
      </w:r>
      <w:r w:rsidRPr="002A7E5B">
        <w:rPr>
          <w:sz w:val="24"/>
          <w:szCs w:val="24"/>
        </w:rPr>
        <w:t xml:space="preserve"> </w:t>
      </w:r>
      <w:r w:rsidRPr="002A7E5B">
        <w:rPr>
          <w:color w:val="000000"/>
          <w:sz w:val="24"/>
          <w:szCs w:val="24"/>
        </w:rPr>
        <w:t xml:space="preserve">from the day after the quarter day following two successive quarter days that it holds greater than 12 billion Australian dollars of total gross notional outstanding </w:t>
      </w:r>
      <w:r w:rsidR="004C1513">
        <w:rPr>
          <w:color w:val="000000"/>
          <w:sz w:val="24"/>
          <w:szCs w:val="24"/>
        </w:rPr>
        <w:t>n</w:t>
      </w:r>
      <w:r w:rsidRPr="002A7E5B">
        <w:rPr>
          <w:color w:val="000000"/>
          <w:sz w:val="24"/>
          <w:szCs w:val="24"/>
        </w:rPr>
        <w:t xml:space="preserve">on-centrally </w:t>
      </w:r>
      <w:r w:rsidR="004C1513">
        <w:rPr>
          <w:color w:val="000000"/>
          <w:sz w:val="24"/>
          <w:szCs w:val="24"/>
        </w:rPr>
        <w:t>c</w:t>
      </w:r>
      <w:r w:rsidRPr="002A7E5B">
        <w:rPr>
          <w:color w:val="000000"/>
          <w:sz w:val="24"/>
          <w:szCs w:val="24"/>
        </w:rPr>
        <w:t xml:space="preserve">leared </w:t>
      </w:r>
      <w:proofErr w:type="gramStart"/>
      <w:r w:rsidR="004C1513">
        <w:rPr>
          <w:color w:val="000000"/>
          <w:sz w:val="24"/>
          <w:szCs w:val="24"/>
        </w:rPr>
        <w:t>d</w:t>
      </w:r>
      <w:r w:rsidRPr="002A7E5B">
        <w:rPr>
          <w:color w:val="000000"/>
          <w:sz w:val="24"/>
          <w:szCs w:val="24"/>
        </w:rPr>
        <w:t>erivatives;</w:t>
      </w:r>
      <w:proofErr w:type="gramEnd"/>
    </w:p>
    <w:p w14:paraId="7E27F389" w14:textId="646DE1A2" w:rsidR="00553917" w:rsidRPr="002A7E5B" w:rsidRDefault="00553917" w:rsidP="002E110A">
      <w:pPr>
        <w:pStyle w:val="MIRSubpara"/>
        <w:numPr>
          <w:ilvl w:val="1"/>
          <w:numId w:val="15"/>
        </w:numPr>
        <w:ind w:left="992"/>
        <w:rPr>
          <w:sz w:val="24"/>
          <w:szCs w:val="24"/>
        </w:rPr>
      </w:pPr>
      <w:r w:rsidRPr="002A7E5B">
        <w:rPr>
          <w:color w:val="000000"/>
          <w:sz w:val="24"/>
          <w:szCs w:val="24"/>
        </w:rPr>
        <w:t xml:space="preserve">for </w:t>
      </w:r>
      <w:r w:rsidR="00F65ABA" w:rsidRPr="002A7E5B">
        <w:rPr>
          <w:color w:val="000000"/>
          <w:sz w:val="24"/>
          <w:szCs w:val="24"/>
        </w:rPr>
        <w:t>a reporting entity</w:t>
      </w:r>
      <w:r w:rsidRPr="002A7E5B">
        <w:rPr>
          <w:color w:val="000000"/>
          <w:sz w:val="24"/>
          <w:szCs w:val="24"/>
        </w:rPr>
        <w:t xml:space="preserve"> other than an RE or a</w:t>
      </w:r>
      <w:r w:rsidR="00017179" w:rsidRPr="002A7E5B">
        <w:rPr>
          <w:color w:val="000000"/>
          <w:sz w:val="24"/>
          <w:szCs w:val="24"/>
        </w:rPr>
        <w:t xml:space="preserve"> trustee</w:t>
      </w:r>
      <w:r w:rsidRPr="002A7E5B">
        <w:rPr>
          <w:color w:val="000000"/>
          <w:sz w:val="24"/>
          <w:szCs w:val="24"/>
        </w:rPr>
        <w:t>,</w:t>
      </w:r>
      <w:r w:rsidRPr="002A7E5B">
        <w:rPr>
          <w:b/>
          <w:bCs/>
          <w:i/>
          <w:iCs/>
          <w:color w:val="000000"/>
          <w:sz w:val="24"/>
          <w:szCs w:val="24"/>
        </w:rPr>
        <w:t xml:space="preserve"> holds</w:t>
      </w:r>
      <w:r w:rsidRPr="002A7E5B">
        <w:rPr>
          <w:color w:val="000000"/>
          <w:sz w:val="24"/>
          <w:szCs w:val="24"/>
        </w:rPr>
        <w:t xml:space="preserve"> means, holds other than in a representative </w:t>
      </w:r>
      <w:proofErr w:type="gramStart"/>
      <w:r w:rsidRPr="002A7E5B">
        <w:rPr>
          <w:color w:val="000000"/>
          <w:sz w:val="24"/>
          <w:szCs w:val="24"/>
        </w:rPr>
        <w:t>capacity;</w:t>
      </w:r>
      <w:proofErr w:type="gramEnd"/>
    </w:p>
    <w:p w14:paraId="38DBF53C" w14:textId="39038739" w:rsidR="006F597D" w:rsidRPr="002A7E5B" w:rsidRDefault="00657B46" w:rsidP="002E110A">
      <w:pPr>
        <w:pStyle w:val="MIRSubpara"/>
        <w:numPr>
          <w:ilvl w:val="1"/>
          <w:numId w:val="15"/>
        </w:numPr>
        <w:ind w:left="992"/>
        <w:rPr>
          <w:sz w:val="24"/>
          <w:szCs w:val="24"/>
        </w:rPr>
      </w:pPr>
      <w:r w:rsidRPr="002A7E5B">
        <w:rPr>
          <w:color w:val="000000"/>
          <w:sz w:val="24"/>
          <w:szCs w:val="24"/>
        </w:rPr>
        <w:t xml:space="preserve">for </w:t>
      </w:r>
      <w:r w:rsidR="00F65ABA" w:rsidRPr="002A7E5B">
        <w:rPr>
          <w:color w:val="000000"/>
          <w:sz w:val="24"/>
          <w:szCs w:val="24"/>
        </w:rPr>
        <w:t>a reporting entity</w:t>
      </w:r>
      <w:r w:rsidRPr="002A7E5B">
        <w:rPr>
          <w:color w:val="000000"/>
          <w:sz w:val="24"/>
          <w:szCs w:val="24"/>
        </w:rPr>
        <w:t xml:space="preserve"> that is an RE or a</w:t>
      </w:r>
      <w:r w:rsidR="00017179" w:rsidRPr="002A7E5B">
        <w:rPr>
          <w:color w:val="000000"/>
          <w:sz w:val="24"/>
          <w:szCs w:val="24"/>
        </w:rPr>
        <w:t xml:space="preserve"> trustee</w:t>
      </w:r>
      <w:r w:rsidRPr="002A7E5B">
        <w:rPr>
          <w:color w:val="000000"/>
          <w:sz w:val="24"/>
          <w:szCs w:val="24"/>
        </w:rPr>
        <w:t xml:space="preserve">, </w:t>
      </w:r>
      <w:r w:rsidRPr="002A7E5B">
        <w:rPr>
          <w:b/>
          <w:bCs/>
          <w:i/>
          <w:iCs/>
          <w:color w:val="000000"/>
          <w:sz w:val="24"/>
          <w:szCs w:val="24"/>
        </w:rPr>
        <w:t>holds</w:t>
      </w:r>
      <w:r w:rsidRPr="002A7E5B">
        <w:rPr>
          <w:color w:val="000000"/>
          <w:sz w:val="24"/>
          <w:szCs w:val="24"/>
        </w:rPr>
        <w:t xml:space="preserve"> means holds in the capacity of RE or</w:t>
      </w:r>
      <w:r w:rsidR="00017179" w:rsidRPr="002A7E5B">
        <w:rPr>
          <w:color w:val="000000"/>
          <w:sz w:val="24"/>
          <w:szCs w:val="24"/>
        </w:rPr>
        <w:t xml:space="preserve"> trustee</w:t>
      </w:r>
      <w:r w:rsidRPr="002A7E5B">
        <w:rPr>
          <w:color w:val="000000"/>
          <w:sz w:val="24"/>
          <w:szCs w:val="24"/>
        </w:rPr>
        <w:t xml:space="preserve"> for a particular scheme or trust; and</w:t>
      </w:r>
    </w:p>
    <w:p w14:paraId="2E80B437" w14:textId="31644ABE" w:rsidR="00657B46" w:rsidRPr="002A7E5B" w:rsidRDefault="00EE6D16" w:rsidP="002E110A">
      <w:pPr>
        <w:pStyle w:val="MIRSubpara"/>
        <w:numPr>
          <w:ilvl w:val="1"/>
          <w:numId w:val="15"/>
        </w:numPr>
        <w:ind w:left="992"/>
        <w:rPr>
          <w:sz w:val="24"/>
          <w:szCs w:val="24"/>
        </w:rPr>
      </w:pPr>
      <w:r w:rsidRPr="002A7E5B">
        <w:rPr>
          <w:color w:val="000000"/>
          <w:sz w:val="24"/>
          <w:szCs w:val="24"/>
        </w:rPr>
        <w:t xml:space="preserve">for a CCIV, </w:t>
      </w:r>
      <w:r w:rsidRPr="002A7E5B">
        <w:rPr>
          <w:b/>
          <w:bCs/>
          <w:i/>
          <w:iCs/>
          <w:color w:val="000000"/>
          <w:sz w:val="24"/>
          <w:szCs w:val="24"/>
        </w:rPr>
        <w:t>holds</w:t>
      </w:r>
      <w:r w:rsidRPr="002A7E5B">
        <w:rPr>
          <w:color w:val="000000"/>
          <w:sz w:val="24"/>
          <w:szCs w:val="24"/>
        </w:rPr>
        <w:t xml:space="preserve"> means holds by the CCIV for a particular sub-fund, and includes holds by another person holding property of the CCIV for a particular sub-fund.</w:t>
      </w:r>
    </w:p>
    <w:p w14:paraId="0C8609C3" w14:textId="56B8C3F9" w:rsidR="00251E28" w:rsidRDefault="00537F87" w:rsidP="00537F87">
      <w:pPr>
        <w:pStyle w:val="LI-BodyTextParaa"/>
        <w:ind w:left="567" w:firstLine="0"/>
        <w:rPr>
          <w:bCs/>
          <w:iCs/>
        </w:rPr>
      </w:pPr>
      <w:r>
        <w:rPr>
          <w:bCs/>
          <w:iCs/>
        </w:rPr>
        <w:t xml:space="preserve">A </w:t>
      </w:r>
      <w:r w:rsidR="004C1513">
        <w:rPr>
          <w:bCs/>
          <w:iCs/>
        </w:rPr>
        <w:t>s</w:t>
      </w:r>
      <w:r>
        <w:rPr>
          <w:bCs/>
          <w:iCs/>
        </w:rPr>
        <w:t xml:space="preserve">mall-scale </w:t>
      </w:r>
      <w:r w:rsidR="004C1513">
        <w:rPr>
          <w:bCs/>
          <w:iCs/>
        </w:rPr>
        <w:t>b</w:t>
      </w:r>
      <w:r>
        <w:rPr>
          <w:bCs/>
          <w:iCs/>
        </w:rPr>
        <w:t xml:space="preserve">uy-side </w:t>
      </w:r>
      <w:r w:rsidR="004C1513">
        <w:rPr>
          <w:bCs/>
          <w:iCs/>
        </w:rPr>
        <w:t>e</w:t>
      </w:r>
      <w:r>
        <w:rPr>
          <w:bCs/>
          <w:iCs/>
        </w:rPr>
        <w:t>ntity is not required to report certain items of</w:t>
      </w:r>
      <w:r w:rsidR="0019732D">
        <w:rPr>
          <w:bCs/>
          <w:iCs/>
        </w:rPr>
        <w:t xml:space="preserve"> derivative transaction information</w:t>
      </w:r>
      <w:r>
        <w:rPr>
          <w:bCs/>
          <w:iCs/>
        </w:rPr>
        <w:t>.</w:t>
      </w:r>
    </w:p>
    <w:p w14:paraId="512FE87A" w14:textId="0942FF6D" w:rsidR="00EE6D16" w:rsidRPr="00262FAD" w:rsidRDefault="004C1513" w:rsidP="00CE1BDF">
      <w:pPr>
        <w:pStyle w:val="MIRBodyText"/>
        <w:ind w:left="567"/>
        <w:rPr>
          <w:sz w:val="24"/>
          <w:szCs w:val="24"/>
        </w:rPr>
      </w:pPr>
      <w:r w:rsidRPr="00B31670">
        <w:rPr>
          <w:b/>
          <w:i/>
          <w:sz w:val="24"/>
          <w:szCs w:val="24"/>
        </w:rPr>
        <w:t>“</w:t>
      </w:r>
      <w:proofErr w:type="spellStart"/>
      <w:r w:rsidR="00CE1BDF" w:rsidRPr="00B31670">
        <w:rPr>
          <w:b/>
          <w:i/>
          <w:sz w:val="24"/>
          <w:szCs w:val="24"/>
        </w:rPr>
        <w:t>UTI</w:t>
      </w:r>
      <w:proofErr w:type="spellEnd"/>
      <w:r w:rsidRPr="00B31670">
        <w:rPr>
          <w:sz w:val="24"/>
          <w:szCs w:val="24"/>
        </w:rPr>
        <w:t>” which</w:t>
      </w:r>
      <w:r>
        <w:rPr>
          <w:sz w:val="24"/>
          <w:szCs w:val="24"/>
        </w:rPr>
        <w:t xml:space="preserve"> </w:t>
      </w:r>
      <w:r w:rsidR="00CE1BDF" w:rsidRPr="00262FAD">
        <w:rPr>
          <w:sz w:val="24"/>
          <w:szCs w:val="24"/>
        </w:rPr>
        <w:t>means a unique transaction identifier in the form specified in ISO 23897</w:t>
      </w:r>
      <w:r w:rsidR="00EE6D16" w:rsidRPr="00262FAD">
        <w:rPr>
          <w:sz w:val="24"/>
          <w:szCs w:val="24"/>
        </w:rPr>
        <w:t>.</w:t>
      </w:r>
    </w:p>
    <w:p w14:paraId="6C2B1815" w14:textId="69A75B4A" w:rsidR="00CE1BDF" w:rsidRPr="00262FAD" w:rsidRDefault="004C1513" w:rsidP="00CE1BDF">
      <w:pPr>
        <w:pStyle w:val="MIRBodyText"/>
        <w:ind w:left="567"/>
        <w:rPr>
          <w:sz w:val="24"/>
          <w:szCs w:val="24"/>
        </w:rPr>
      </w:pPr>
      <w:r>
        <w:rPr>
          <w:b/>
          <w:i/>
          <w:sz w:val="24"/>
          <w:szCs w:val="24"/>
        </w:rPr>
        <w:t>“</w:t>
      </w:r>
      <w:proofErr w:type="spellStart"/>
      <w:r w:rsidR="00CE1BDF" w:rsidRPr="00262FAD">
        <w:rPr>
          <w:b/>
          <w:i/>
          <w:sz w:val="24"/>
          <w:szCs w:val="24"/>
        </w:rPr>
        <w:t>UTI</w:t>
      </w:r>
      <w:proofErr w:type="spellEnd"/>
      <w:r w:rsidR="00CE1BDF" w:rsidRPr="00262FAD">
        <w:rPr>
          <w:b/>
          <w:i/>
          <w:sz w:val="24"/>
          <w:szCs w:val="24"/>
        </w:rPr>
        <w:t xml:space="preserve"> generating entity</w:t>
      </w:r>
      <w:r>
        <w:rPr>
          <w:b/>
          <w:i/>
          <w:sz w:val="24"/>
          <w:szCs w:val="24"/>
        </w:rPr>
        <w:t xml:space="preserve">” </w:t>
      </w:r>
      <w:r>
        <w:rPr>
          <w:bCs/>
          <w:iCs/>
          <w:sz w:val="24"/>
          <w:szCs w:val="24"/>
        </w:rPr>
        <w:t>which</w:t>
      </w:r>
      <w:r w:rsidR="00CE1BDF" w:rsidRPr="00262FAD">
        <w:rPr>
          <w:sz w:val="24"/>
          <w:szCs w:val="24"/>
        </w:rPr>
        <w:t xml:space="preserve"> means an entity that generates a </w:t>
      </w:r>
      <w:proofErr w:type="spellStart"/>
      <w:r w:rsidR="00CE1BDF" w:rsidRPr="00262FAD">
        <w:rPr>
          <w:sz w:val="24"/>
          <w:szCs w:val="24"/>
        </w:rPr>
        <w:t>UTI</w:t>
      </w:r>
      <w:proofErr w:type="spellEnd"/>
      <w:r w:rsidR="00CE1BDF" w:rsidRPr="00262FAD">
        <w:rPr>
          <w:sz w:val="24"/>
          <w:szCs w:val="24"/>
        </w:rPr>
        <w:t xml:space="preserve"> for the purposes of these Rules.</w:t>
      </w:r>
    </w:p>
    <w:p w14:paraId="7B39244C" w14:textId="6A4DB583" w:rsidR="00020B56" w:rsidRDefault="00020B56" w:rsidP="002E110A">
      <w:pPr>
        <w:pStyle w:val="LI-BodyTextParaa"/>
        <w:numPr>
          <w:ilvl w:val="0"/>
          <w:numId w:val="3"/>
        </w:numPr>
      </w:pPr>
      <w:r w:rsidRPr="00020B56">
        <w:t xml:space="preserve">Rule 1.2.3 </w:t>
      </w:r>
      <w:r w:rsidR="00AE6CC7">
        <w:t xml:space="preserve">also </w:t>
      </w:r>
      <w:r w:rsidRPr="00020B56">
        <w:t xml:space="preserve">provides definitions for </w:t>
      </w:r>
      <w:r w:rsidR="00AE6CC7">
        <w:t xml:space="preserve">other </w:t>
      </w:r>
      <w:r w:rsidRPr="00020B56">
        <w:t>terms used in the 2024 Rules. This includes but is not limited to the terms “prescribed class” and “prescribed repository”.</w:t>
      </w:r>
    </w:p>
    <w:p w14:paraId="2EEC9765" w14:textId="06CFC1CC" w:rsidR="00224155" w:rsidRDefault="00224155" w:rsidP="002E110A">
      <w:pPr>
        <w:pStyle w:val="LI-BodyTextParaa"/>
        <w:numPr>
          <w:ilvl w:val="0"/>
          <w:numId w:val="3"/>
        </w:numPr>
      </w:pPr>
      <w:r w:rsidRPr="00224155">
        <w:t>Rule 1.2.3 defines “</w:t>
      </w:r>
      <w:r w:rsidRPr="00491D50">
        <w:t>prescribed class” as a class of derivatives that the Minister has determined, under section 901B of the Corporations Act, as a class of derivatives in relation to which reporting requirements may be imposed (and that determination has not been revoked).</w:t>
      </w:r>
    </w:p>
    <w:p w14:paraId="053E8C74" w14:textId="293D5261" w:rsidR="003009CC" w:rsidRDefault="003009CC" w:rsidP="002E110A">
      <w:pPr>
        <w:pStyle w:val="LI-BodyTextParaa"/>
        <w:numPr>
          <w:ilvl w:val="0"/>
          <w:numId w:val="3"/>
        </w:numPr>
      </w:pPr>
      <w:r>
        <w:t xml:space="preserve">On 2 May 2013, the Minister made </w:t>
      </w:r>
      <w:r w:rsidR="00650986" w:rsidRPr="0018532F">
        <w:rPr>
          <w:i/>
          <w:iCs/>
        </w:rPr>
        <w:t>Corporations (Derivatives) Determination 2013</w:t>
      </w:r>
      <w:r>
        <w:t xml:space="preserve"> that sets out, for subsection 901B(2) of the Corporations Act, the classes of derivatives in relation to which reporting requirements may be imposed as:</w:t>
      </w:r>
    </w:p>
    <w:p w14:paraId="4B9EE9F9" w14:textId="77777777" w:rsidR="003009CC" w:rsidRDefault="003009CC" w:rsidP="002E110A">
      <w:pPr>
        <w:pStyle w:val="LI-BodyTextParaa"/>
        <w:numPr>
          <w:ilvl w:val="1"/>
          <w:numId w:val="26"/>
        </w:numPr>
      </w:pPr>
      <w:r>
        <w:t xml:space="preserve">commodity derivatives that are not electricity </w:t>
      </w:r>
      <w:proofErr w:type="gramStart"/>
      <w:r>
        <w:t>derivatives;</w:t>
      </w:r>
      <w:proofErr w:type="gramEnd"/>
    </w:p>
    <w:p w14:paraId="2A82D943" w14:textId="77777777" w:rsidR="003009CC" w:rsidRDefault="003009CC" w:rsidP="002E110A">
      <w:pPr>
        <w:pStyle w:val="LI-BodyTextParaa"/>
        <w:numPr>
          <w:ilvl w:val="1"/>
          <w:numId w:val="26"/>
        </w:numPr>
      </w:pPr>
      <w:r>
        <w:t xml:space="preserve">credit </w:t>
      </w:r>
      <w:proofErr w:type="gramStart"/>
      <w:r>
        <w:t>derivatives;</w:t>
      </w:r>
      <w:proofErr w:type="gramEnd"/>
    </w:p>
    <w:p w14:paraId="78D5B714" w14:textId="77777777" w:rsidR="003009CC" w:rsidRDefault="003009CC" w:rsidP="002E110A">
      <w:pPr>
        <w:pStyle w:val="LI-BodyTextParaa"/>
        <w:numPr>
          <w:ilvl w:val="1"/>
          <w:numId w:val="26"/>
        </w:numPr>
      </w:pPr>
      <w:r>
        <w:t xml:space="preserve">equity </w:t>
      </w:r>
      <w:proofErr w:type="gramStart"/>
      <w:r>
        <w:t>derivatives;</w:t>
      </w:r>
      <w:proofErr w:type="gramEnd"/>
    </w:p>
    <w:p w14:paraId="39DD6F01" w14:textId="77777777" w:rsidR="003009CC" w:rsidRDefault="003009CC" w:rsidP="002E110A">
      <w:pPr>
        <w:pStyle w:val="LI-BodyTextParaa"/>
        <w:numPr>
          <w:ilvl w:val="1"/>
          <w:numId w:val="26"/>
        </w:numPr>
      </w:pPr>
      <w:r>
        <w:t xml:space="preserve">foreign exchange </w:t>
      </w:r>
      <w:proofErr w:type="gramStart"/>
      <w:r>
        <w:t>derivatives;</w:t>
      </w:r>
      <w:proofErr w:type="gramEnd"/>
    </w:p>
    <w:p w14:paraId="7EF85333" w14:textId="77777777" w:rsidR="003009CC" w:rsidRPr="003C7DF7" w:rsidRDefault="003009CC" w:rsidP="002E110A">
      <w:pPr>
        <w:pStyle w:val="LI-BodyTextParaa"/>
        <w:numPr>
          <w:ilvl w:val="1"/>
          <w:numId w:val="26"/>
        </w:numPr>
        <w:rPr>
          <w:bCs/>
        </w:rPr>
      </w:pPr>
      <w:r>
        <w:lastRenderedPageBreak/>
        <w:t>interest rate derivatives.</w:t>
      </w:r>
    </w:p>
    <w:p w14:paraId="1F7085F5" w14:textId="604281C5" w:rsidR="009A6FBF" w:rsidRDefault="00A1755C" w:rsidP="002E110A">
      <w:pPr>
        <w:pStyle w:val="LI-BodyTextParaa"/>
        <w:numPr>
          <w:ilvl w:val="0"/>
          <w:numId w:val="3"/>
        </w:numPr>
      </w:pPr>
      <w:r>
        <w:rPr>
          <w:bCs/>
          <w:iCs/>
        </w:rPr>
        <w:t xml:space="preserve">Rule 1.2.3 defines </w:t>
      </w:r>
      <w:r w:rsidRPr="00F43554">
        <w:rPr>
          <w:bCs/>
          <w:iCs/>
        </w:rPr>
        <w:t>“</w:t>
      </w:r>
      <w:r>
        <w:rPr>
          <w:bCs/>
          <w:iCs/>
        </w:rPr>
        <w:t>p</w:t>
      </w:r>
      <w:r w:rsidRPr="00B64DEC">
        <w:rPr>
          <w:bCs/>
          <w:iCs/>
        </w:rPr>
        <w:t xml:space="preserve">rescribed </w:t>
      </w:r>
      <w:r>
        <w:rPr>
          <w:bCs/>
          <w:iCs/>
        </w:rPr>
        <w:t>r</w:t>
      </w:r>
      <w:r w:rsidRPr="00B64DEC">
        <w:rPr>
          <w:bCs/>
          <w:iCs/>
        </w:rPr>
        <w:t>epository”</w:t>
      </w:r>
      <w:r>
        <w:rPr>
          <w:b/>
          <w:i/>
        </w:rPr>
        <w:t xml:space="preserve"> </w:t>
      </w:r>
      <w:r>
        <w:rPr>
          <w:bCs/>
          <w:iCs/>
        </w:rPr>
        <w:t xml:space="preserve">as </w:t>
      </w:r>
      <w:r w:rsidRPr="00B64DEC">
        <w:t xml:space="preserve">a prescribed derivative trade repository as defined in section 761A of the </w:t>
      </w:r>
      <w:r w:rsidRPr="00F43554">
        <w:t xml:space="preserve">Corporations </w:t>
      </w:r>
      <w:r w:rsidRPr="00B64DEC">
        <w:t>Act.</w:t>
      </w:r>
    </w:p>
    <w:p w14:paraId="740744D9" w14:textId="163B0578" w:rsidR="003009CC" w:rsidRPr="005E72B2" w:rsidRDefault="003009CC" w:rsidP="002E110A">
      <w:pPr>
        <w:pStyle w:val="LI-BodyTextParaa"/>
        <w:numPr>
          <w:ilvl w:val="0"/>
          <w:numId w:val="3"/>
        </w:numPr>
        <w:rPr>
          <w:bCs/>
          <w:iCs/>
        </w:rPr>
      </w:pPr>
      <w:r w:rsidRPr="005E72B2">
        <w:rPr>
          <w:bCs/>
          <w:iCs/>
        </w:rPr>
        <w:t>Section 761A of the Corporations Act defines a prescribed derivative trade repository as a facility that is (or that is in a class that is) prescribed by the regulations for the purpose of paragraph 901A(6)(b).</w:t>
      </w:r>
    </w:p>
    <w:p w14:paraId="55E93B5B" w14:textId="77777777" w:rsidR="003009CC" w:rsidRPr="00E07702" w:rsidRDefault="003009CC" w:rsidP="002E110A">
      <w:pPr>
        <w:pStyle w:val="LI-BodyTextParaa"/>
        <w:numPr>
          <w:ilvl w:val="0"/>
          <w:numId w:val="3"/>
        </w:numPr>
        <w:rPr>
          <w:bCs/>
          <w:iCs/>
        </w:rPr>
      </w:pPr>
      <w:r w:rsidRPr="00E07702">
        <w:rPr>
          <w:bCs/>
          <w:iCs/>
        </w:rPr>
        <w:t>Regulation 7.5A.30 sets out that, after 30 June 2015, a prescribed facility is only a facility determined by ASIC.</w:t>
      </w:r>
    </w:p>
    <w:p w14:paraId="6F96FC14" w14:textId="5B3C01B1" w:rsidR="003009CC" w:rsidRPr="00E07702" w:rsidRDefault="003009CC" w:rsidP="002E110A">
      <w:pPr>
        <w:pStyle w:val="LI-BodyTextParaa"/>
        <w:numPr>
          <w:ilvl w:val="0"/>
          <w:numId w:val="3"/>
        </w:numPr>
        <w:rPr>
          <w:bCs/>
          <w:iCs/>
        </w:rPr>
      </w:pPr>
      <w:r w:rsidRPr="00E07702">
        <w:rPr>
          <w:bCs/>
          <w:iCs/>
        </w:rPr>
        <w:t>On 25 June 2015, ASIC made a determination (</w:t>
      </w:r>
      <w:hyperlink r:id="rId22" w:history="1">
        <w:r w:rsidR="00525157">
          <w:rPr>
            <w:rStyle w:val="Hyperlink"/>
            <w:bCs/>
            <w:i/>
            <w:iCs/>
          </w:rPr>
          <w:t>ASIC Prescribed Trade Repositories Determination [15/0591]</w:t>
        </w:r>
      </w:hyperlink>
      <w:r w:rsidRPr="00E07702">
        <w:rPr>
          <w:bCs/>
          <w:iCs/>
        </w:rPr>
        <w:t>) determining the following overseas derivative trade repositories as prescribed repositories commencing 1 July 2015:</w:t>
      </w:r>
    </w:p>
    <w:p w14:paraId="0E518C4C" w14:textId="77777777" w:rsidR="003009CC" w:rsidRPr="00315B50" w:rsidRDefault="003009CC" w:rsidP="002E110A">
      <w:pPr>
        <w:pStyle w:val="LI-BodyTextParaa"/>
        <w:numPr>
          <w:ilvl w:val="1"/>
          <w:numId w:val="12"/>
        </w:numPr>
      </w:pPr>
      <w:r w:rsidRPr="00315B50">
        <w:t>DTCC Data Repository (U.S.) LLC</w:t>
      </w:r>
    </w:p>
    <w:p w14:paraId="697FEAFE" w14:textId="77777777" w:rsidR="003009CC" w:rsidRPr="007E0236" w:rsidRDefault="003009CC" w:rsidP="002E110A">
      <w:pPr>
        <w:pStyle w:val="LI-BodyTextParaa"/>
        <w:numPr>
          <w:ilvl w:val="1"/>
          <w:numId w:val="12"/>
        </w:numPr>
      </w:pPr>
      <w:r>
        <w:t xml:space="preserve">DTCC </w:t>
      </w:r>
      <w:r w:rsidRPr="007E0236">
        <w:t>Derivatives Repository Ltd</w:t>
      </w:r>
    </w:p>
    <w:p w14:paraId="6B66F2A1" w14:textId="77777777" w:rsidR="003009CC" w:rsidRPr="007E0236" w:rsidRDefault="003009CC" w:rsidP="002E110A">
      <w:pPr>
        <w:pStyle w:val="LI-BodyTextParaa"/>
        <w:numPr>
          <w:ilvl w:val="1"/>
          <w:numId w:val="12"/>
        </w:numPr>
      </w:pPr>
      <w:r w:rsidRPr="007E0236">
        <w:t>DTCC Data Repository (Japan) KK</w:t>
      </w:r>
    </w:p>
    <w:p w14:paraId="6776FAF4" w14:textId="77777777" w:rsidR="003009CC" w:rsidRDefault="003009CC" w:rsidP="002E110A">
      <w:pPr>
        <w:pStyle w:val="LI-BodyTextParaa"/>
        <w:numPr>
          <w:ilvl w:val="1"/>
          <w:numId w:val="12"/>
        </w:numPr>
      </w:pPr>
      <w:r w:rsidRPr="007E0236">
        <w:t>DTCC Data Repository (Singapore) Pte Ltd</w:t>
      </w:r>
    </w:p>
    <w:p w14:paraId="5A865534" w14:textId="77777777" w:rsidR="003009CC" w:rsidRPr="0092606F" w:rsidRDefault="003009CC" w:rsidP="002E110A">
      <w:pPr>
        <w:pStyle w:val="LI-BodyTextParaa"/>
        <w:numPr>
          <w:ilvl w:val="1"/>
          <w:numId w:val="12"/>
        </w:numPr>
      </w:pPr>
      <w:proofErr w:type="spellStart"/>
      <w:r w:rsidRPr="0092606F">
        <w:t>UnaVista</w:t>
      </w:r>
      <w:proofErr w:type="spellEnd"/>
      <w:r w:rsidRPr="0092606F">
        <w:t xml:space="preserve"> Limited, and</w:t>
      </w:r>
    </w:p>
    <w:p w14:paraId="6E7FA1AD" w14:textId="77777777" w:rsidR="003009CC" w:rsidRDefault="003009CC" w:rsidP="002E110A">
      <w:pPr>
        <w:pStyle w:val="LI-BodyTextParaa"/>
        <w:numPr>
          <w:ilvl w:val="1"/>
          <w:numId w:val="12"/>
        </w:numPr>
      </w:pPr>
      <w:r w:rsidRPr="0092606F">
        <w:t>the Monetary Authority appointed under section 5A of the Exchange Fund Ordinance of Hong Kong.</w:t>
      </w:r>
    </w:p>
    <w:p w14:paraId="316A585E" w14:textId="6FFB7107" w:rsidR="003009CC" w:rsidRPr="00931B73" w:rsidRDefault="003009CC" w:rsidP="002E110A">
      <w:pPr>
        <w:pStyle w:val="LI-BodyTextParaa"/>
        <w:numPr>
          <w:ilvl w:val="0"/>
          <w:numId w:val="3"/>
        </w:numPr>
        <w:rPr>
          <w:bCs/>
          <w:iCs/>
        </w:rPr>
      </w:pPr>
      <w:r w:rsidRPr="00931B73">
        <w:rPr>
          <w:bCs/>
          <w:iCs/>
        </w:rPr>
        <w:t xml:space="preserve">On 9 April 2019, ASIC </w:t>
      </w:r>
      <w:hyperlink r:id="rId23" w:history="1">
        <w:r w:rsidRPr="00207862">
          <w:rPr>
            <w:rStyle w:val="Hyperlink"/>
            <w:bCs/>
            <w:iCs/>
          </w:rPr>
          <w:t>amended the determination</w:t>
        </w:r>
      </w:hyperlink>
      <w:r w:rsidRPr="00931B73">
        <w:rPr>
          <w:bCs/>
          <w:iCs/>
        </w:rPr>
        <w:t xml:space="preserve"> to add the following overseas derivative trade repositories as prescribed repositories commencing 9 April 2019:</w:t>
      </w:r>
    </w:p>
    <w:p w14:paraId="57CCE4FD" w14:textId="77777777" w:rsidR="003009CC" w:rsidRPr="007E0236" w:rsidRDefault="003009CC" w:rsidP="002E110A">
      <w:pPr>
        <w:pStyle w:val="LI-BodyTextParaa"/>
        <w:numPr>
          <w:ilvl w:val="1"/>
          <w:numId w:val="12"/>
        </w:numPr>
      </w:pPr>
      <w:r w:rsidRPr="007E0236">
        <w:t>DTCC Data Repository (Ireland) Plc</w:t>
      </w:r>
      <w:r>
        <w:t>; and</w:t>
      </w:r>
    </w:p>
    <w:p w14:paraId="6750BE35" w14:textId="0674CE3E" w:rsidR="00020B56" w:rsidRDefault="003009CC" w:rsidP="002E110A">
      <w:pPr>
        <w:pStyle w:val="LI-BodyTextParaa"/>
        <w:numPr>
          <w:ilvl w:val="1"/>
          <w:numId w:val="12"/>
        </w:numPr>
      </w:pPr>
      <w:proofErr w:type="spellStart"/>
      <w:r w:rsidRPr="007E45CB">
        <w:t>UnaVista</w:t>
      </w:r>
      <w:proofErr w:type="spellEnd"/>
      <w:r w:rsidRPr="007E45CB">
        <w:t xml:space="preserve"> </w:t>
      </w:r>
      <w:proofErr w:type="spellStart"/>
      <w:r w:rsidRPr="007E45CB">
        <w:t>TRADEcho</w:t>
      </w:r>
      <w:proofErr w:type="spellEnd"/>
      <w:r w:rsidRPr="007E45CB">
        <w:t xml:space="preserve"> B.V.</w:t>
      </w:r>
    </w:p>
    <w:p w14:paraId="0D7DEE9F" w14:textId="0885762A" w:rsidR="003A4640" w:rsidRPr="00423E55" w:rsidRDefault="003A4640" w:rsidP="000828E8">
      <w:pPr>
        <w:pStyle w:val="LI-BodyTextParaa"/>
        <w:ind w:left="0" w:firstLine="0"/>
        <w:rPr>
          <w:bCs/>
          <w:sz w:val="18"/>
          <w:szCs w:val="18"/>
        </w:rPr>
      </w:pPr>
      <w:r>
        <w:rPr>
          <w:bCs/>
          <w:u w:val="single"/>
        </w:rPr>
        <w:t xml:space="preserve">Rule 1.2.4 OTC </w:t>
      </w:r>
      <w:r w:rsidR="00396C8C">
        <w:rPr>
          <w:bCs/>
          <w:u w:val="single"/>
        </w:rPr>
        <w:t>derivative</w:t>
      </w:r>
      <w:bookmarkStart w:id="25" w:name="_Hlk114895704"/>
    </w:p>
    <w:bookmarkEnd w:id="25"/>
    <w:p w14:paraId="54008CFE" w14:textId="2AFD0412" w:rsidR="0098195A" w:rsidRDefault="0098195A" w:rsidP="002E110A">
      <w:pPr>
        <w:pStyle w:val="LI-BodyTextParaa"/>
        <w:numPr>
          <w:ilvl w:val="0"/>
          <w:numId w:val="3"/>
        </w:numPr>
      </w:pPr>
      <w:r w:rsidRPr="00456150">
        <w:t xml:space="preserve">Rule 1.2.4 provides a definition of </w:t>
      </w:r>
      <w:r w:rsidR="009D4DA3">
        <w:t xml:space="preserve">an </w:t>
      </w:r>
      <w:r w:rsidR="00AE28D5">
        <w:t>“</w:t>
      </w:r>
      <w:r w:rsidRPr="00456150">
        <w:t xml:space="preserve">OTC </w:t>
      </w:r>
      <w:r w:rsidR="00577F45">
        <w:t>d</w:t>
      </w:r>
      <w:r w:rsidRPr="00456150">
        <w:t>erivative</w:t>
      </w:r>
      <w:r w:rsidR="00DE2AA5">
        <w:t>”</w:t>
      </w:r>
      <w:r w:rsidRPr="00456150">
        <w:t xml:space="preserve"> for the purposes of the </w:t>
      </w:r>
      <w:r w:rsidR="004872F5">
        <w:t xml:space="preserve">2024 </w:t>
      </w:r>
      <w:r w:rsidRPr="00456150">
        <w:t>Rules. Under the</w:t>
      </w:r>
      <w:r w:rsidR="004872F5">
        <w:t xml:space="preserve"> 2024</w:t>
      </w:r>
      <w:r w:rsidRPr="00456150">
        <w:t xml:space="preserve"> Rules,</w:t>
      </w:r>
      <w:r w:rsidR="00F65ABA">
        <w:t xml:space="preserve"> reporting entities</w:t>
      </w:r>
      <w:r w:rsidRPr="00456150">
        <w:t xml:space="preserve"> are required to report information about their </w:t>
      </w:r>
      <w:r w:rsidR="00577F45">
        <w:t>d</w:t>
      </w:r>
      <w:r w:rsidRPr="00456150">
        <w:t xml:space="preserve">erivative </w:t>
      </w:r>
      <w:r w:rsidR="00577F45">
        <w:t>t</w:t>
      </w:r>
      <w:r w:rsidRPr="00456150">
        <w:t>ransactions in</w:t>
      </w:r>
      <w:r w:rsidR="00A171F2">
        <w:t xml:space="preserve"> OTC derivative</w:t>
      </w:r>
      <w:r w:rsidRPr="00456150">
        <w:t>s (referred to in the</w:t>
      </w:r>
      <w:r w:rsidR="004872F5">
        <w:t xml:space="preserve"> 2024</w:t>
      </w:r>
      <w:r w:rsidRPr="00456150">
        <w:t xml:space="preserve"> Rules as </w:t>
      </w:r>
      <w:r w:rsidR="00AE28D5">
        <w:t>“</w:t>
      </w:r>
      <w:r w:rsidR="00577F45">
        <w:t>r</w:t>
      </w:r>
      <w:r w:rsidRPr="00456150">
        <w:t xml:space="preserve">eportable </w:t>
      </w:r>
      <w:r w:rsidR="00577F45">
        <w:t>t</w:t>
      </w:r>
      <w:r w:rsidRPr="00456150">
        <w:t>ransactions</w:t>
      </w:r>
      <w:r w:rsidR="00AE28D5">
        <w:t>”</w:t>
      </w:r>
      <w:r w:rsidRPr="00456150">
        <w:t>).</w:t>
      </w:r>
    </w:p>
    <w:p w14:paraId="3337F48C" w14:textId="414782EA" w:rsidR="003A4640" w:rsidRPr="00D41CF2" w:rsidRDefault="003A4640" w:rsidP="002E110A">
      <w:pPr>
        <w:pStyle w:val="LI-BodyTextParaa"/>
        <w:numPr>
          <w:ilvl w:val="0"/>
          <w:numId w:val="3"/>
        </w:numPr>
      </w:pPr>
      <w:r w:rsidRPr="00D41CF2">
        <w:t>Subrule 1.2.4(1) provides that, subject to subrule</w:t>
      </w:r>
      <w:r w:rsidR="00BC07CF">
        <w:t>s</w:t>
      </w:r>
      <w:r w:rsidRPr="00D41CF2">
        <w:t xml:space="preserve"> 1.2.4(2),</w:t>
      </w:r>
      <w:r w:rsidR="00CB12D2">
        <w:t xml:space="preserve"> (6) and (7)</w:t>
      </w:r>
      <w:r w:rsidRPr="00D41CF2">
        <w:t xml:space="preserve"> in the </w:t>
      </w:r>
      <w:r w:rsidR="004872F5">
        <w:t xml:space="preserve">2024 </w:t>
      </w:r>
      <w:r w:rsidRPr="00D41CF2">
        <w:t xml:space="preserve">Rules a </w:t>
      </w:r>
      <w:r w:rsidR="00577F45">
        <w:t>d</w:t>
      </w:r>
      <w:r w:rsidR="00577F45" w:rsidRPr="00D41CF2">
        <w:t xml:space="preserve">erivative </w:t>
      </w:r>
      <w:r w:rsidRPr="00D41CF2">
        <w:t xml:space="preserve">is an </w:t>
      </w:r>
      <w:r w:rsidR="00AE28D5">
        <w:t>“</w:t>
      </w:r>
      <w:r w:rsidRPr="00D41CF2">
        <w:t xml:space="preserve">OTC </w:t>
      </w:r>
      <w:r w:rsidR="00577F45">
        <w:t>d</w:t>
      </w:r>
      <w:r w:rsidRPr="00D41CF2">
        <w:t>erivative</w:t>
      </w:r>
      <w:r w:rsidR="00297DCA">
        <w:t>”</w:t>
      </w:r>
      <w:r w:rsidRPr="00D41CF2">
        <w:t xml:space="preserve"> if the </w:t>
      </w:r>
      <w:r w:rsidR="00577F45">
        <w:t>d</w:t>
      </w:r>
      <w:r w:rsidR="00577F45" w:rsidRPr="00D41CF2">
        <w:t xml:space="preserve">erivative </w:t>
      </w:r>
      <w:r w:rsidRPr="00D41CF2">
        <w:t xml:space="preserve">is in a </w:t>
      </w:r>
      <w:r w:rsidR="00577F45">
        <w:t>p</w:t>
      </w:r>
      <w:r w:rsidR="00577F45" w:rsidRPr="00D41CF2">
        <w:t xml:space="preserve">rescribed </w:t>
      </w:r>
      <w:r w:rsidR="00577F45">
        <w:t>c</w:t>
      </w:r>
      <w:r w:rsidR="00577F45" w:rsidRPr="00D41CF2">
        <w:t>lass</w:t>
      </w:r>
      <w:r w:rsidRPr="00D41CF2">
        <w:t>. Subrule 1.2.4(1) therefore ensures the scope of the</w:t>
      </w:r>
      <w:r w:rsidR="00CA0BF8">
        <w:t xml:space="preserve"> reporting requirement</w:t>
      </w:r>
      <w:r w:rsidRPr="00D41CF2">
        <w:t xml:space="preserve">s is consistent with the limitations on ASIC’s rule-making power provided for in subsection 901B(2) of </w:t>
      </w:r>
      <w:r w:rsidR="00BE553B">
        <w:t>the Corporations Act</w:t>
      </w:r>
      <w:r w:rsidRPr="00D41CF2">
        <w:t xml:space="preserve">, and the relevant Ministerial </w:t>
      </w:r>
      <w:r w:rsidR="00577F45">
        <w:t>d</w:t>
      </w:r>
      <w:r w:rsidR="00577F45" w:rsidRPr="00D41CF2">
        <w:t>etermination</w:t>
      </w:r>
      <w:r w:rsidRPr="00D41CF2">
        <w:t>. As at the date of making the</w:t>
      </w:r>
      <w:r w:rsidR="00B04E4A">
        <w:t xml:space="preserve"> </w:t>
      </w:r>
      <w:r w:rsidR="004872F5">
        <w:t>2024</w:t>
      </w:r>
      <w:r w:rsidRPr="00D41CF2">
        <w:t xml:space="preserve"> Rules, the </w:t>
      </w:r>
      <w:r w:rsidR="00577F45">
        <w:t>p</w:t>
      </w:r>
      <w:r w:rsidRPr="00D41CF2">
        <w:t xml:space="preserve">rescribed </w:t>
      </w:r>
      <w:r w:rsidR="00577F45">
        <w:t>c</w:t>
      </w:r>
      <w:r w:rsidRPr="00D41CF2">
        <w:t>lasses are:</w:t>
      </w:r>
    </w:p>
    <w:p w14:paraId="04AD6DD6" w14:textId="77777777" w:rsidR="003A4640" w:rsidRPr="00B7540B" w:rsidRDefault="003A4640" w:rsidP="002E110A">
      <w:pPr>
        <w:pStyle w:val="LI-BodyTextParaa"/>
        <w:numPr>
          <w:ilvl w:val="1"/>
          <w:numId w:val="17"/>
        </w:numPr>
        <w:rPr>
          <w:bCs/>
        </w:rPr>
      </w:pPr>
      <w:r w:rsidRPr="00B7540B">
        <w:rPr>
          <w:bCs/>
        </w:rPr>
        <w:lastRenderedPageBreak/>
        <w:t xml:space="preserve">commodity derivatives that are not electricity </w:t>
      </w:r>
      <w:proofErr w:type="gramStart"/>
      <w:r w:rsidRPr="00B7540B">
        <w:rPr>
          <w:bCs/>
        </w:rPr>
        <w:t>derivatives;</w:t>
      </w:r>
      <w:proofErr w:type="gramEnd"/>
    </w:p>
    <w:p w14:paraId="0C5B6F74" w14:textId="77777777" w:rsidR="003A4640" w:rsidRPr="00B7540B" w:rsidRDefault="003A4640" w:rsidP="002E110A">
      <w:pPr>
        <w:pStyle w:val="LI-BodyTextParaa"/>
        <w:numPr>
          <w:ilvl w:val="1"/>
          <w:numId w:val="17"/>
        </w:numPr>
        <w:rPr>
          <w:bCs/>
        </w:rPr>
      </w:pPr>
      <w:r w:rsidRPr="00B7540B">
        <w:rPr>
          <w:bCs/>
        </w:rPr>
        <w:t xml:space="preserve">credit </w:t>
      </w:r>
      <w:proofErr w:type="gramStart"/>
      <w:r w:rsidRPr="00B7540B">
        <w:rPr>
          <w:bCs/>
        </w:rPr>
        <w:t>derivatives;</w:t>
      </w:r>
      <w:proofErr w:type="gramEnd"/>
    </w:p>
    <w:p w14:paraId="2ACF7E46" w14:textId="77777777" w:rsidR="003A4640" w:rsidRPr="00B7540B" w:rsidRDefault="003A4640" w:rsidP="002E110A">
      <w:pPr>
        <w:pStyle w:val="LI-BodyTextParaa"/>
        <w:numPr>
          <w:ilvl w:val="1"/>
          <w:numId w:val="17"/>
        </w:numPr>
        <w:rPr>
          <w:bCs/>
        </w:rPr>
      </w:pPr>
      <w:r w:rsidRPr="00B7540B">
        <w:rPr>
          <w:bCs/>
        </w:rPr>
        <w:t xml:space="preserve">equity </w:t>
      </w:r>
      <w:proofErr w:type="gramStart"/>
      <w:r w:rsidRPr="00B7540B">
        <w:rPr>
          <w:bCs/>
        </w:rPr>
        <w:t>derivatives;</w:t>
      </w:r>
      <w:proofErr w:type="gramEnd"/>
    </w:p>
    <w:p w14:paraId="752C01B1" w14:textId="77777777" w:rsidR="003A4640" w:rsidRPr="00B7540B" w:rsidRDefault="003A4640" w:rsidP="002E110A">
      <w:pPr>
        <w:pStyle w:val="LI-BodyTextParaa"/>
        <w:numPr>
          <w:ilvl w:val="1"/>
          <w:numId w:val="17"/>
        </w:numPr>
        <w:rPr>
          <w:bCs/>
        </w:rPr>
      </w:pPr>
      <w:r w:rsidRPr="00B7540B">
        <w:rPr>
          <w:bCs/>
        </w:rPr>
        <w:t>foreign exchange derivatives; and</w:t>
      </w:r>
    </w:p>
    <w:p w14:paraId="3449E155" w14:textId="77777777" w:rsidR="003A4640" w:rsidRPr="00B7540B" w:rsidRDefault="003A4640" w:rsidP="002E110A">
      <w:pPr>
        <w:pStyle w:val="LI-BodyTextParaa"/>
        <w:numPr>
          <w:ilvl w:val="1"/>
          <w:numId w:val="17"/>
        </w:numPr>
        <w:rPr>
          <w:bCs/>
        </w:rPr>
      </w:pPr>
      <w:r w:rsidRPr="00B7540B">
        <w:rPr>
          <w:bCs/>
        </w:rPr>
        <w:t>interest rate derivatives.</w:t>
      </w:r>
    </w:p>
    <w:p w14:paraId="11564170" w14:textId="03B7A543" w:rsidR="003A4640" w:rsidRPr="00D41CF2" w:rsidRDefault="003A4640" w:rsidP="002E110A">
      <w:pPr>
        <w:pStyle w:val="LI-BodyTextParaa"/>
        <w:numPr>
          <w:ilvl w:val="0"/>
          <w:numId w:val="3"/>
        </w:numPr>
      </w:pPr>
      <w:r w:rsidRPr="00D41CF2">
        <w:t xml:space="preserve">Subrule 1.2.4(2) of the </w:t>
      </w:r>
      <w:r w:rsidR="004872F5">
        <w:t xml:space="preserve">2024 </w:t>
      </w:r>
      <w:r w:rsidRPr="00D41CF2">
        <w:t xml:space="preserve">Rules carves out certain exchange-traded </w:t>
      </w:r>
      <w:r w:rsidR="00577F45">
        <w:t>d</w:t>
      </w:r>
      <w:r w:rsidR="00577F45" w:rsidRPr="00D41CF2">
        <w:t xml:space="preserve">erivatives </w:t>
      </w:r>
      <w:r w:rsidRPr="00D41CF2">
        <w:t xml:space="preserve">from the definition of </w:t>
      </w:r>
      <w:r w:rsidR="00583AD8">
        <w:t>“</w:t>
      </w:r>
      <w:r w:rsidRPr="00D41CF2">
        <w:t xml:space="preserve">OTC </w:t>
      </w:r>
      <w:r w:rsidR="00577F45">
        <w:t>d</w:t>
      </w:r>
      <w:r w:rsidR="00577F45" w:rsidRPr="00D41CF2">
        <w:t>erivative</w:t>
      </w:r>
      <w:r w:rsidR="00583AD8">
        <w:t>”</w:t>
      </w:r>
      <w:r w:rsidR="00577F45" w:rsidRPr="00D41CF2">
        <w:t xml:space="preserve"> </w:t>
      </w:r>
      <w:r w:rsidRPr="00D41CF2">
        <w:t xml:space="preserve">for the purposes of the </w:t>
      </w:r>
      <w:r w:rsidR="004872F5">
        <w:t xml:space="preserve">2024 </w:t>
      </w:r>
      <w:r w:rsidRPr="00D41CF2">
        <w:t xml:space="preserve">Rules. Under that subrule, a </w:t>
      </w:r>
      <w:r w:rsidR="00577F45">
        <w:t>d</w:t>
      </w:r>
      <w:r w:rsidRPr="00D41CF2">
        <w:t xml:space="preserve">erivative is not an OTC </w:t>
      </w:r>
      <w:r w:rsidR="00577F45">
        <w:t>d</w:t>
      </w:r>
      <w:r w:rsidRPr="00D41CF2">
        <w:t>erivative if:</w:t>
      </w:r>
    </w:p>
    <w:p w14:paraId="35192B12" w14:textId="17D6C397" w:rsidR="003A4640" w:rsidRPr="00B7540B" w:rsidRDefault="003A4640" w:rsidP="002E110A">
      <w:pPr>
        <w:pStyle w:val="LI-BodyTextParaa"/>
        <w:numPr>
          <w:ilvl w:val="1"/>
          <w:numId w:val="18"/>
        </w:numPr>
        <w:rPr>
          <w:bCs/>
        </w:rPr>
      </w:pPr>
      <w:r w:rsidRPr="00B7540B">
        <w:rPr>
          <w:bCs/>
        </w:rPr>
        <w:t xml:space="preserve">it is able to be traded (within the meaning of section 761A of </w:t>
      </w:r>
      <w:r w:rsidR="00BE553B">
        <w:rPr>
          <w:bCs/>
        </w:rPr>
        <w:t>the Corporations Act</w:t>
      </w:r>
      <w:r w:rsidRPr="00B7540B">
        <w:rPr>
          <w:bCs/>
        </w:rPr>
        <w:t xml:space="preserve">) on a Part 7.2A </w:t>
      </w:r>
      <w:r w:rsidR="00577F45">
        <w:rPr>
          <w:bCs/>
        </w:rPr>
        <w:t>m</w:t>
      </w:r>
      <w:r w:rsidR="00577F45" w:rsidRPr="00B7540B">
        <w:rPr>
          <w:bCs/>
        </w:rPr>
        <w:t xml:space="preserve">arket </w:t>
      </w:r>
      <w:r w:rsidRPr="00B7540B">
        <w:rPr>
          <w:bCs/>
        </w:rPr>
        <w:t xml:space="preserve">and the entry into the arrangement that is the </w:t>
      </w:r>
      <w:r w:rsidR="00974D57">
        <w:rPr>
          <w:bCs/>
        </w:rPr>
        <w:t>d</w:t>
      </w:r>
      <w:r w:rsidRPr="00B7540B">
        <w:rPr>
          <w:bCs/>
        </w:rPr>
        <w:t>erivative takes place on the Part 7.2A</w:t>
      </w:r>
      <w:r w:rsidR="00577F45">
        <w:rPr>
          <w:bCs/>
        </w:rPr>
        <w:t xml:space="preserve"> </w:t>
      </w:r>
      <w:proofErr w:type="gramStart"/>
      <w:r w:rsidR="00577F45">
        <w:rPr>
          <w:bCs/>
        </w:rPr>
        <w:t>market</w:t>
      </w:r>
      <w:r w:rsidRPr="00B7540B">
        <w:rPr>
          <w:bCs/>
        </w:rPr>
        <w:t>, or</w:t>
      </w:r>
      <w:proofErr w:type="gramEnd"/>
      <w:r w:rsidRPr="00B7540B">
        <w:rPr>
          <w:bCs/>
        </w:rPr>
        <w:t xml:space="preserve"> is reported to the operator of the Part 7.2A</w:t>
      </w:r>
      <w:r w:rsidR="00577F45">
        <w:rPr>
          <w:bCs/>
        </w:rPr>
        <w:t xml:space="preserve"> market</w:t>
      </w:r>
      <w:r w:rsidRPr="00B7540B">
        <w:rPr>
          <w:bCs/>
        </w:rPr>
        <w:t xml:space="preserve"> in its capacity as operator of the Part 7.2A</w:t>
      </w:r>
      <w:r w:rsidR="00577F45">
        <w:rPr>
          <w:bCs/>
        </w:rPr>
        <w:t xml:space="preserve"> market</w:t>
      </w:r>
      <w:r w:rsidRPr="00B7540B">
        <w:rPr>
          <w:bCs/>
        </w:rPr>
        <w:t xml:space="preserve">, in accordance with the </w:t>
      </w:r>
      <w:r w:rsidR="00974D57">
        <w:rPr>
          <w:bCs/>
        </w:rPr>
        <w:t>o</w:t>
      </w:r>
      <w:r w:rsidRPr="00B7540B">
        <w:rPr>
          <w:bCs/>
        </w:rPr>
        <w:t xml:space="preserve">perating </w:t>
      </w:r>
      <w:r w:rsidR="00974D57">
        <w:rPr>
          <w:bCs/>
        </w:rPr>
        <w:t>r</w:t>
      </w:r>
      <w:r w:rsidRPr="00B7540B">
        <w:rPr>
          <w:bCs/>
        </w:rPr>
        <w:t>ules of the Part 7.2A</w:t>
      </w:r>
      <w:r w:rsidR="00577F45">
        <w:rPr>
          <w:bCs/>
        </w:rPr>
        <w:t xml:space="preserve"> market</w:t>
      </w:r>
      <w:r w:rsidRPr="00B7540B">
        <w:rPr>
          <w:bCs/>
        </w:rPr>
        <w:t>; or</w:t>
      </w:r>
    </w:p>
    <w:p w14:paraId="21963306" w14:textId="197E6985" w:rsidR="003A4640" w:rsidRPr="00B7540B" w:rsidRDefault="003A4640" w:rsidP="002E110A">
      <w:pPr>
        <w:pStyle w:val="LI-BodyTextParaa"/>
        <w:numPr>
          <w:ilvl w:val="1"/>
          <w:numId w:val="18"/>
        </w:numPr>
        <w:rPr>
          <w:bCs/>
        </w:rPr>
      </w:pPr>
      <w:r w:rsidRPr="00B7540B">
        <w:rPr>
          <w:bCs/>
        </w:rPr>
        <w:t xml:space="preserve">it is able to be traded on a </w:t>
      </w:r>
      <w:r w:rsidR="008E36D8">
        <w:rPr>
          <w:bCs/>
        </w:rPr>
        <w:t>r</w:t>
      </w:r>
      <w:r w:rsidRPr="00B7540B">
        <w:rPr>
          <w:bCs/>
        </w:rPr>
        <w:t xml:space="preserve">egulated </w:t>
      </w:r>
      <w:r w:rsidR="008E36D8">
        <w:rPr>
          <w:bCs/>
        </w:rPr>
        <w:t>f</w:t>
      </w:r>
      <w:r w:rsidRPr="00B7540B">
        <w:rPr>
          <w:bCs/>
        </w:rPr>
        <w:t>oreign</w:t>
      </w:r>
      <w:r w:rsidR="00577F45">
        <w:rPr>
          <w:bCs/>
        </w:rPr>
        <w:t xml:space="preserve"> market</w:t>
      </w:r>
      <w:r w:rsidRPr="00B7540B">
        <w:rPr>
          <w:bCs/>
        </w:rPr>
        <w:t xml:space="preserve"> and the entry into of the arrangement that is the </w:t>
      </w:r>
      <w:r w:rsidR="008E36D8">
        <w:rPr>
          <w:bCs/>
        </w:rPr>
        <w:t>d</w:t>
      </w:r>
      <w:r w:rsidRPr="00B7540B">
        <w:rPr>
          <w:bCs/>
        </w:rPr>
        <w:t xml:space="preserve">erivative takes place on the </w:t>
      </w:r>
      <w:r w:rsidR="008E36D8">
        <w:rPr>
          <w:bCs/>
        </w:rPr>
        <w:t>r</w:t>
      </w:r>
      <w:r w:rsidRPr="00B7540B">
        <w:rPr>
          <w:bCs/>
        </w:rPr>
        <w:t xml:space="preserve">egulated </w:t>
      </w:r>
      <w:r w:rsidR="008E36D8">
        <w:rPr>
          <w:bCs/>
        </w:rPr>
        <w:t>f</w:t>
      </w:r>
      <w:r w:rsidRPr="00B7540B">
        <w:rPr>
          <w:bCs/>
        </w:rPr>
        <w:t>oreign</w:t>
      </w:r>
      <w:r w:rsidR="00577F45">
        <w:rPr>
          <w:bCs/>
        </w:rPr>
        <w:t xml:space="preserve"> market</w:t>
      </w:r>
      <w:r w:rsidRPr="00B7540B">
        <w:rPr>
          <w:bCs/>
        </w:rPr>
        <w:t>.</w:t>
      </w:r>
    </w:p>
    <w:p w14:paraId="1A302CB9" w14:textId="1D5F90FE" w:rsidR="003A4640" w:rsidRPr="00E24D7D" w:rsidRDefault="003A4640" w:rsidP="003A4640">
      <w:pPr>
        <w:pStyle w:val="LI-BodyTextParaa"/>
        <w:ind w:left="0" w:firstLine="0"/>
        <w:rPr>
          <w:bCs/>
          <w:i/>
          <w:iCs/>
        </w:rPr>
      </w:pPr>
      <w:r w:rsidRPr="00E24D7D">
        <w:rPr>
          <w:bCs/>
          <w:i/>
          <w:iCs/>
        </w:rPr>
        <w:t>Part 7.2A</w:t>
      </w:r>
      <w:r w:rsidR="00577F45">
        <w:rPr>
          <w:bCs/>
          <w:i/>
          <w:iCs/>
        </w:rPr>
        <w:t xml:space="preserve"> market</w:t>
      </w:r>
      <w:r w:rsidRPr="00E24D7D">
        <w:rPr>
          <w:bCs/>
          <w:i/>
          <w:iCs/>
        </w:rPr>
        <w:t>s</w:t>
      </w:r>
    </w:p>
    <w:p w14:paraId="453069E2" w14:textId="4EA4A3C0" w:rsidR="003A4640" w:rsidRPr="0051193E" w:rsidRDefault="00583AD8" w:rsidP="002E110A">
      <w:pPr>
        <w:pStyle w:val="LI-BodyTextParaa"/>
        <w:numPr>
          <w:ilvl w:val="0"/>
          <w:numId w:val="3"/>
        </w:numPr>
      </w:pPr>
      <w:r>
        <w:t>“</w:t>
      </w:r>
      <w:r w:rsidR="003A4640" w:rsidRPr="0051193E">
        <w:t>Part 7.2A</w:t>
      </w:r>
      <w:r w:rsidR="00577F45">
        <w:t xml:space="preserve"> market</w:t>
      </w:r>
      <w:r>
        <w:t>”</w:t>
      </w:r>
      <w:r w:rsidR="003A4640" w:rsidRPr="0051193E">
        <w:t xml:space="preserve"> is defined in Rule 1.2.3 as </w:t>
      </w:r>
      <w:r w:rsidR="00974D57" w:rsidRPr="00974D57">
        <w:t>“</w:t>
      </w:r>
      <w:r w:rsidR="0051193E" w:rsidRPr="00E67706">
        <w:t xml:space="preserve">a financial market to which an instrument made under subsection 798G(1) of </w:t>
      </w:r>
      <w:r w:rsidR="008C0E8C">
        <w:t>the Corporations Act</w:t>
      </w:r>
      <w:r w:rsidR="0051193E" w:rsidRPr="00E67706">
        <w:t xml:space="preserve"> applies</w:t>
      </w:r>
      <w:r w:rsidR="0051193E" w:rsidRPr="0051193E">
        <w:t>.</w:t>
      </w:r>
      <w:r w:rsidR="00974D57">
        <w:t>”</w:t>
      </w:r>
    </w:p>
    <w:p w14:paraId="3EB9233C" w14:textId="7911508F" w:rsidR="0051193E" w:rsidRPr="00FE777B" w:rsidRDefault="0051193E" w:rsidP="002E110A">
      <w:pPr>
        <w:pStyle w:val="MIRNote"/>
        <w:numPr>
          <w:ilvl w:val="0"/>
          <w:numId w:val="3"/>
        </w:numPr>
        <w:rPr>
          <w:sz w:val="24"/>
          <w:szCs w:val="24"/>
        </w:rPr>
      </w:pPr>
      <w:r w:rsidRPr="00FE777B">
        <w:rPr>
          <w:sz w:val="24"/>
          <w:szCs w:val="24"/>
        </w:rPr>
        <w:t>Instruments made under subsection</w:t>
      </w:r>
      <w:r w:rsidR="00FE777B" w:rsidRPr="00FE777B">
        <w:rPr>
          <w:sz w:val="24"/>
          <w:szCs w:val="24"/>
        </w:rPr>
        <w:t xml:space="preserve"> </w:t>
      </w:r>
      <w:r w:rsidRPr="00FE777B">
        <w:rPr>
          <w:sz w:val="24"/>
          <w:szCs w:val="24"/>
        </w:rPr>
        <w:t xml:space="preserve">798G(1) of </w:t>
      </w:r>
      <w:r w:rsidR="00BE553B">
        <w:rPr>
          <w:sz w:val="24"/>
          <w:szCs w:val="24"/>
        </w:rPr>
        <w:t>the Corporations Act</w:t>
      </w:r>
      <w:r w:rsidRPr="00FE777B">
        <w:rPr>
          <w:sz w:val="24"/>
          <w:szCs w:val="24"/>
        </w:rPr>
        <w:t xml:space="preserve"> are</w:t>
      </w:r>
      <w:r w:rsidR="00577F45">
        <w:rPr>
          <w:sz w:val="24"/>
          <w:szCs w:val="24"/>
        </w:rPr>
        <w:t xml:space="preserve"> market</w:t>
      </w:r>
      <w:r w:rsidRPr="00FE777B">
        <w:rPr>
          <w:sz w:val="24"/>
          <w:szCs w:val="24"/>
        </w:rPr>
        <w:t xml:space="preserve"> integrity rules made by ASIC. Market integrity rules generally only apply to financial markets with retail client participation and are not financial markets whose derivatives traded on those markets are intended to be reportable under the </w:t>
      </w:r>
      <w:r w:rsidR="004872F5">
        <w:rPr>
          <w:sz w:val="24"/>
          <w:szCs w:val="24"/>
        </w:rPr>
        <w:t xml:space="preserve">2024 </w:t>
      </w:r>
      <w:r w:rsidRPr="00FE777B">
        <w:rPr>
          <w:sz w:val="24"/>
          <w:szCs w:val="24"/>
        </w:rPr>
        <w:t>Rules.</w:t>
      </w:r>
    </w:p>
    <w:p w14:paraId="6D5AD12D" w14:textId="14E9E4EC" w:rsidR="003A4640" w:rsidRPr="00A34D6D" w:rsidRDefault="003A4640" w:rsidP="003A4640">
      <w:pPr>
        <w:pStyle w:val="LI-BodyTextParaa"/>
        <w:ind w:left="0" w:firstLine="0"/>
        <w:rPr>
          <w:bCs/>
          <w:i/>
          <w:iCs/>
        </w:rPr>
      </w:pPr>
      <w:r w:rsidRPr="00A34D6D">
        <w:rPr>
          <w:bCs/>
          <w:i/>
          <w:iCs/>
        </w:rPr>
        <w:t xml:space="preserve">Regulated </w:t>
      </w:r>
      <w:r w:rsidR="00D16609">
        <w:rPr>
          <w:bCs/>
          <w:i/>
          <w:iCs/>
        </w:rPr>
        <w:t>f</w:t>
      </w:r>
      <w:r w:rsidRPr="00A34D6D">
        <w:rPr>
          <w:bCs/>
          <w:i/>
          <w:iCs/>
        </w:rPr>
        <w:t>oreign</w:t>
      </w:r>
      <w:r w:rsidR="00577F45">
        <w:rPr>
          <w:bCs/>
          <w:i/>
          <w:iCs/>
        </w:rPr>
        <w:t xml:space="preserve"> market</w:t>
      </w:r>
      <w:r w:rsidRPr="00A34D6D">
        <w:rPr>
          <w:bCs/>
          <w:i/>
          <w:iCs/>
        </w:rPr>
        <w:t>s</w:t>
      </w:r>
    </w:p>
    <w:p w14:paraId="50178F87" w14:textId="53932AEE" w:rsidR="003A4640" w:rsidRPr="00142F2D" w:rsidRDefault="00142F2D" w:rsidP="002E110A">
      <w:pPr>
        <w:pStyle w:val="LI-BodyTextParaa"/>
        <w:numPr>
          <w:ilvl w:val="0"/>
          <w:numId w:val="3"/>
        </w:numPr>
        <w:rPr>
          <w:bCs/>
        </w:rPr>
      </w:pPr>
      <w:r>
        <w:rPr>
          <w:bCs/>
        </w:rPr>
        <w:t xml:space="preserve">Under subrule 1.2.4(2A), a </w:t>
      </w:r>
      <w:r w:rsidR="00583AD8">
        <w:rPr>
          <w:bCs/>
        </w:rPr>
        <w:t>“</w:t>
      </w:r>
      <w:r>
        <w:rPr>
          <w:bCs/>
        </w:rPr>
        <w:t>Regulated Foreign Market</w:t>
      </w:r>
      <w:r w:rsidR="00583AD8">
        <w:rPr>
          <w:bCs/>
        </w:rPr>
        <w:t>”</w:t>
      </w:r>
      <w:r>
        <w:rPr>
          <w:bCs/>
        </w:rPr>
        <w:t xml:space="preserve"> means a designated contract market registered by the CFTC, a regulated market under a specified directive of the European Parliament and of the Council or is a financial market, or is in a class of financial markets, that has been determined by ASIC as a regulated foreign market under subrule 1.2.4(3).</w:t>
      </w:r>
    </w:p>
    <w:p w14:paraId="05CD259B" w14:textId="4F9D6940" w:rsidR="00D924C7" w:rsidRPr="00B7540B" w:rsidRDefault="00D924C7" w:rsidP="002E110A">
      <w:pPr>
        <w:pStyle w:val="LI-BodyTextParaa"/>
        <w:numPr>
          <w:ilvl w:val="0"/>
          <w:numId w:val="3"/>
        </w:numPr>
        <w:rPr>
          <w:bCs/>
        </w:rPr>
      </w:pPr>
      <w:bookmarkStart w:id="26" w:name="_Hlk83041428"/>
      <w:r w:rsidRPr="00B7540B">
        <w:rPr>
          <w:bCs/>
        </w:rPr>
        <w:t xml:space="preserve">Under subrule 1.2.4(3), ASIC may determine that a financial market in a foreign jurisdiction is a </w:t>
      </w:r>
      <w:r>
        <w:rPr>
          <w:bCs/>
        </w:rPr>
        <w:t>r</w:t>
      </w:r>
      <w:r w:rsidRPr="00B7540B">
        <w:rPr>
          <w:bCs/>
        </w:rPr>
        <w:t xml:space="preserve">egulated </w:t>
      </w:r>
      <w:r>
        <w:rPr>
          <w:bCs/>
        </w:rPr>
        <w:t>f</w:t>
      </w:r>
      <w:r w:rsidRPr="00B7540B">
        <w:rPr>
          <w:bCs/>
        </w:rPr>
        <w:t xml:space="preserve">oreign </w:t>
      </w:r>
      <w:r>
        <w:rPr>
          <w:bCs/>
        </w:rPr>
        <w:t>m</w:t>
      </w:r>
      <w:r w:rsidRPr="00B7540B">
        <w:rPr>
          <w:bCs/>
        </w:rPr>
        <w:t xml:space="preserve">arket for the purposes of subrule 1.2.4(2), where, in the opinion of ASIC, the operation of the financial market in the foreign jurisdiction is subject to requirements and supervision that are sufficiently equivalent, in relation to market integrity and market transparency, to the requirements and supervision to which a </w:t>
      </w:r>
      <w:r>
        <w:rPr>
          <w:bCs/>
        </w:rPr>
        <w:t xml:space="preserve">designated contract market, a regulated market or a </w:t>
      </w:r>
      <w:r w:rsidRPr="00B7540B">
        <w:rPr>
          <w:bCs/>
        </w:rPr>
        <w:t xml:space="preserve">Part 7.2A </w:t>
      </w:r>
      <w:r>
        <w:rPr>
          <w:bCs/>
        </w:rPr>
        <w:t>m</w:t>
      </w:r>
      <w:r w:rsidRPr="00B7540B">
        <w:rPr>
          <w:bCs/>
        </w:rPr>
        <w:t xml:space="preserve">arket is subject in </w:t>
      </w:r>
      <w:r>
        <w:rPr>
          <w:bCs/>
        </w:rPr>
        <w:t>their respective</w:t>
      </w:r>
      <w:r w:rsidRPr="00B7540B">
        <w:rPr>
          <w:bCs/>
        </w:rPr>
        <w:t xml:space="preserve"> jurisdiction</w:t>
      </w:r>
      <w:r>
        <w:rPr>
          <w:bCs/>
        </w:rPr>
        <w:t>s</w:t>
      </w:r>
      <w:r w:rsidRPr="00B7540B">
        <w:rPr>
          <w:bCs/>
        </w:rPr>
        <w:t xml:space="preserve">. A determination by ASIC for the purposes of subrule 1.2.4(3) will </w:t>
      </w:r>
      <w:r w:rsidRPr="00B7540B">
        <w:rPr>
          <w:bCs/>
        </w:rPr>
        <w:lastRenderedPageBreak/>
        <w:t xml:space="preserve">be published on ASIC’s website and takes effect on the </w:t>
      </w:r>
      <w:r w:rsidR="009D4DA3">
        <w:rPr>
          <w:bCs/>
        </w:rPr>
        <w:t>date</w:t>
      </w:r>
      <w:r w:rsidR="009D4DA3" w:rsidRPr="00B7540B">
        <w:rPr>
          <w:bCs/>
        </w:rPr>
        <w:t xml:space="preserve"> </w:t>
      </w:r>
      <w:r w:rsidR="009D4DA3">
        <w:rPr>
          <w:bCs/>
        </w:rPr>
        <w:t>specified in the determination</w:t>
      </w:r>
      <w:r w:rsidRPr="00B7540B">
        <w:rPr>
          <w:bCs/>
        </w:rPr>
        <w:t xml:space="preserve"> (see subrule 1.2.4(4)). A determination may be withdrawn by ASIC by notice published on ASIC’s website, from a date specified in the notification that is not less than 1 calendar month after the date the notice is </w:t>
      </w:r>
      <w:r w:rsidR="009D4DA3">
        <w:rPr>
          <w:bCs/>
        </w:rPr>
        <w:t xml:space="preserve">registered under the </w:t>
      </w:r>
      <w:r w:rsidR="009D4DA3" w:rsidRPr="00E67706">
        <w:rPr>
          <w:bCs/>
          <w:i/>
          <w:iCs/>
        </w:rPr>
        <w:t>Legislative Instrument Act 2003</w:t>
      </w:r>
      <w:r w:rsidRPr="00B7540B">
        <w:rPr>
          <w:bCs/>
        </w:rPr>
        <w:t>, and once withdrawn ceases to have effect (see subrule 1.2.4(5)).</w:t>
      </w:r>
    </w:p>
    <w:p w14:paraId="2A2862AF" w14:textId="77777777" w:rsidR="00D924C7" w:rsidRPr="00B7540B" w:rsidRDefault="00D924C7" w:rsidP="002E110A">
      <w:pPr>
        <w:pStyle w:val="LI-BodyTextParaa"/>
        <w:numPr>
          <w:ilvl w:val="0"/>
          <w:numId w:val="3"/>
        </w:numPr>
        <w:rPr>
          <w:bCs/>
        </w:rPr>
      </w:pPr>
      <w:r>
        <w:rPr>
          <w:bCs/>
        </w:rPr>
        <w:t>Subrule 1.2.4(2A) identifies kinds of US and European markets whose derivatives traded on those markets are not OTC derivatives and s</w:t>
      </w:r>
      <w:r w:rsidRPr="00B7540B">
        <w:rPr>
          <w:bCs/>
        </w:rPr>
        <w:t xml:space="preserve">ubrules 1.2.4(3), (4) and (5) provide ASIC with flexibility to carve foreign exchange-traded </w:t>
      </w:r>
      <w:r>
        <w:rPr>
          <w:bCs/>
        </w:rPr>
        <w:t>d</w:t>
      </w:r>
      <w:r w:rsidRPr="00B7540B">
        <w:rPr>
          <w:bCs/>
        </w:rPr>
        <w:t xml:space="preserve">erivatives out of the scope of the </w:t>
      </w:r>
      <w:r>
        <w:rPr>
          <w:bCs/>
        </w:rPr>
        <w:t>r</w:t>
      </w:r>
      <w:r w:rsidRPr="00B7540B">
        <w:rPr>
          <w:bCs/>
        </w:rPr>
        <w:t xml:space="preserve">eporting </w:t>
      </w:r>
      <w:r>
        <w:rPr>
          <w:bCs/>
        </w:rPr>
        <w:t>r</w:t>
      </w:r>
      <w:r w:rsidRPr="00B7540B">
        <w:rPr>
          <w:bCs/>
        </w:rPr>
        <w:t>equirements in appropriate circumstances.</w:t>
      </w:r>
    </w:p>
    <w:p w14:paraId="6A5E8FF7" w14:textId="7F6B48DF" w:rsidR="00D924C7" w:rsidRPr="00303364" w:rsidRDefault="009D4DA3" w:rsidP="002E110A">
      <w:pPr>
        <w:pStyle w:val="LI-BodyTextParaa"/>
        <w:numPr>
          <w:ilvl w:val="0"/>
          <w:numId w:val="3"/>
        </w:numPr>
        <w:rPr>
          <w:bCs/>
        </w:rPr>
      </w:pPr>
      <w:r>
        <w:rPr>
          <w:bCs/>
        </w:rPr>
        <w:t>As at the date of making the 202</w:t>
      </w:r>
      <w:r w:rsidR="00793A2A">
        <w:rPr>
          <w:bCs/>
        </w:rPr>
        <w:t>4</w:t>
      </w:r>
      <w:r>
        <w:rPr>
          <w:bCs/>
        </w:rPr>
        <w:t xml:space="preserve"> Rules,</w:t>
      </w:r>
      <w:r w:rsidR="00D924C7">
        <w:rPr>
          <w:bCs/>
        </w:rPr>
        <w:t xml:space="preserve"> </w:t>
      </w:r>
      <w:r w:rsidR="00D924C7">
        <w:rPr>
          <w:iCs/>
        </w:rPr>
        <w:t>the</w:t>
      </w:r>
      <w:r w:rsidR="00D924C7" w:rsidRPr="00FB58AF">
        <w:rPr>
          <w:iCs/>
        </w:rPr>
        <w:t xml:space="preserve"> </w:t>
      </w:r>
      <w:r w:rsidR="0083551E" w:rsidRPr="0018532F">
        <w:rPr>
          <w:i/>
          <w:iCs/>
        </w:rPr>
        <w:t>ASIC Regulated Foreign Markets Determination [OTC DET 13/1145]</w:t>
      </w:r>
      <w:r w:rsidR="00473FFA">
        <w:rPr>
          <w:iCs/>
        </w:rPr>
        <w:t xml:space="preserve"> </w:t>
      </w:r>
      <w:r w:rsidR="00D924C7">
        <w:rPr>
          <w:iCs/>
        </w:rPr>
        <w:t>determines as regulated foreign markets:</w:t>
      </w:r>
    </w:p>
    <w:p w14:paraId="48C5E001" w14:textId="4FE2C82C" w:rsidR="00D924C7" w:rsidRPr="00CE3283" w:rsidRDefault="00D924C7" w:rsidP="002E110A">
      <w:pPr>
        <w:pStyle w:val="LI-BodyTextParaa"/>
        <w:numPr>
          <w:ilvl w:val="1"/>
          <w:numId w:val="3"/>
        </w:numPr>
        <w:rPr>
          <w:bCs/>
        </w:rPr>
      </w:pPr>
      <w:r>
        <w:rPr>
          <w:bCs/>
        </w:rPr>
        <w:t>a national securities exchange registered with the US Securi</w:t>
      </w:r>
      <w:r w:rsidRPr="00CE3283">
        <w:rPr>
          <w:bCs/>
        </w:rPr>
        <w:t xml:space="preserve">ties and </w:t>
      </w:r>
      <w:r>
        <w:rPr>
          <w:bCs/>
        </w:rPr>
        <w:t>E</w:t>
      </w:r>
      <w:r w:rsidRPr="00CE3283">
        <w:rPr>
          <w:bCs/>
        </w:rPr>
        <w:t xml:space="preserve">xchange Commission of the United States of </w:t>
      </w:r>
      <w:proofErr w:type="gramStart"/>
      <w:r w:rsidRPr="00CE3283">
        <w:rPr>
          <w:bCs/>
        </w:rPr>
        <w:t>America</w:t>
      </w:r>
      <w:r>
        <w:rPr>
          <w:bCs/>
        </w:rPr>
        <w:t>;</w:t>
      </w:r>
      <w:proofErr w:type="gramEnd"/>
    </w:p>
    <w:p w14:paraId="6A2F6811" w14:textId="349C6F99" w:rsidR="00D924C7" w:rsidRDefault="00D924C7" w:rsidP="002E110A">
      <w:pPr>
        <w:pStyle w:val="LI-BodyTextParaa"/>
        <w:numPr>
          <w:ilvl w:val="1"/>
          <w:numId w:val="3"/>
        </w:numPr>
        <w:rPr>
          <w:bCs/>
        </w:rPr>
      </w:pPr>
      <w:r>
        <w:rPr>
          <w:bCs/>
        </w:rPr>
        <w:t xml:space="preserve">a recognised investment exchange </w:t>
      </w:r>
      <w:r w:rsidRPr="00CE3283">
        <w:rPr>
          <w:bCs/>
        </w:rPr>
        <w:t xml:space="preserve">under section 285 of the </w:t>
      </w:r>
      <w:r w:rsidRPr="007C6819">
        <w:rPr>
          <w:bCs/>
          <w:i/>
          <w:iCs/>
        </w:rPr>
        <w:t>United Kingdom Financial Services and Markets Act 2000</w:t>
      </w:r>
      <w:r w:rsidRPr="00CE3283">
        <w:rPr>
          <w:bCs/>
        </w:rPr>
        <w:t>, but not an overseas investment exchange within the meaning of section 313(1) of that Act</w:t>
      </w:r>
      <w:r>
        <w:rPr>
          <w:bCs/>
        </w:rPr>
        <w:t>; and</w:t>
      </w:r>
    </w:p>
    <w:p w14:paraId="37B84EFC" w14:textId="3A1CD829" w:rsidR="00D924C7" w:rsidRDefault="00D924C7" w:rsidP="002E110A">
      <w:pPr>
        <w:pStyle w:val="LI-BodyTextParaa"/>
        <w:numPr>
          <w:ilvl w:val="1"/>
          <w:numId w:val="3"/>
        </w:numPr>
        <w:rPr>
          <w:bCs/>
        </w:rPr>
      </w:pPr>
      <w:r>
        <w:rPr>
          <w:bCs/>
        </w:rPr>
        <w:t xml:space="preserve">a further </w:t>
      </w:r>
      <w:r w:rsidR="009D4DA3">
        <w:rPr>
          <w:bCs/>
        </w:rPr>
        <w:t xml:space="preserve">35 </w:t>
      </w:r>
      <w:r>
        <w:rPr>
          <w:bCs/>
        </w:rPr>
        <w:t>named foreign financial markets.</w:t>
      </w:r>
    </w:p>
    <w:p w14:paraId="34BAE839" w14:textId="6DCFC27B" w:rsidR="00D924C7" w:rsidRPr="00CE3283" w:rsidRDefault="00D924C7" w:rsidP="002E110A">
      <w:pPr>
        <w:pStyle w:val="LI-BodyTextParaa"/>
        <w:numPr>
          <w:ilvl w:val="0"/>
          <w:numId w:val="3"/>
        </w:numPr>
        <w:rPr>
          <w:bCs/>
        </w:rPr>
      </w:pPr>
      <w:r>
        <w:rPr>
          <w:bCs/>
        </w:rPr>
        <w:t>Exemption 1 (</w:t>
      </w:r>
      <w:r w:rsidR="009D4DA3">
        <w:rPr>
          <w:bCs/>
        </w:rPr>
        <w:t>Exchange-</w:t>
      </w:r>
      <w:r>
        <w:rPr>
          <w:bCs/>
        </w:rPr>
        <w:t>trade</w:t>
      </w:r>
      <w:r w:rsidR="009D4DA3">
        <w:rPr>
          <w:bCs/>
        </w:rPr>
        <w:t>d</w:t>
      </w:r>
      <w:r>
        <w:rPr>
          <w:bCs/>
        </w:rPr>
        <w:t xml:space="preserve"> derivatives) of </w:t>
      </w:r>
      <w:r w:rsidRPr="00BA1A24">
        <w:rPr>
          <w:bCs/>
        </w:rPr>
        <w:t>Instrument 2015/844</w:t>
      </w:r>
      <w:r>
        <w:rPr>
          <w:bCs/>
        </w:rPr>
        <w:t xml:space="preserve"> also provides a generic definition of a foreign financial market exchange-traded derivative that is in terms of it being made available in one or more series, with the terms of a trade in that derivative being the same as for every other derivative in the same series (with the exception of price), and the terms of, and the trade in, the derivative are in accordance with the operating rules of the financial market. A transaction in such a derivative is not required to be reported, provided that certain information about the financial market, set out in Exemption 1 and not previously notified to ASIC, is notified to ASIC within 10 business days of the trade in the derivative.</w:t>
      </w:r>
    </w:p>
    <w:bookmarkEnd w:id="26"/>
    <w:p w14:paraId="3465E976" w14:textId="357F3452" w:rsidR="00025F44" w:rsidRPr="00A34D6D" w:rsidRDefault="00025F44" w:rsidP="00025F44">
      <w:pPr>
        <w:pStyle w:val="LI-BodyTextParaa"/>
        <w:ind w:left="0" w:firstLine="0"/>
        <w:rPr>
          <w:bCs/>
          <w:i/>
          <w:iCs/>
        </w:rPr>
      </w:pPr>
      <w:r>
        <w:rPr>
          <w:bCs/>
          <w:i/>
          <w:iCs/>
        </w:rPr>
        <w:t xml:space="preserve">Other </w:t>
      </w:r>
      <w:r w:rsidR="00D16609">
        <w:rPr>
          <w:bCs/>
          <w:i/>
          <w:iCs/>
        </w:rPr>
        <w:t>d</w:t>
      </w:r>
      <w:r>
        <w:rPr>
          <w:bCs/>
          <w:i/>
          <w:iCs/>
        </w:rPr>
        <w:t xml:space="preserve">erivatives that are not </w:t>
      </w:r>
      <w:r w:rsidR="0007432B">
        <w:rPr>
          <w:bCs/>
          <w:i/>
          <w:iCs/>
        </w:rPr>
        <w:t xml:space="preserve">OTC </w:t>
      </w:r>
      <w:r w:rsidR="00D16609">
        <w:rPr>
          <w:bCs/>
          <w:i/>
          <w:iCs/>
        </w:rPr>
        <w:t>d</w:t>
      </w:r>
      <w:r w:rsidR="0007432B">
        <w:rPr>
          <w:bCs/>
          <w:i/>
          <w:iCs/>
        </w:rPr>
        <w:t>erivatives</w:t>
      </w:r>
    </w:p>
    <w:p w14:paraId="2A696F08" w14:textId="128F3A49" w:rsidR="003C208D" w:rsidRPr="00154C2E" w:rsidRDefault="0007432B" w:rsidP="00154C2E">
      <w:pPr>
        <w:pStyle w:val="LI-BodyTextParaa"/>
        <w:numPr>
          <w:ilvl w:val="0"/>
          <w:numId w:val="3"/>
        </w:numPr>
      </w:pPr>
      <w:r w:rsidRPr="000374BE">
        <w:rPr>
          <w:bCs/>
        </w:rPr>
        <w:t>S</w:t>
      </w:r>
      <w:r w:rsidR="00025F44" w:rsidRPr="000374BE">
        <w:rPr>
          <w:bCs/>
        </w:rPr>
        <w:t>ubrule 1.2.4(</w:t>
      </w:r>
      <w:r w:rsidRPr="000374BE">
        <w:rPr>
          <w:bCs/>
        </w:rPr>
        <w:t>6</w:t>
      </w:r>
      <w:r w:rsidR="00025F44" w:rsidRPr="000374BE">
        <w:rPr>
          <w:bCs/>
        </w:rPr>
        <w:t xml:space="preserve">) </w:t>
      </w:r>
      <w:r w:rsidR="00356A09" w:rsidRPr="00D924C7">
        <w:t xml:space="preserve">incorporates into the </w:t>
      </w:r>
      <w:r w:rsidR="004872F5">
        <w:t xml:space="preserve">2024 </w:t>
      </w:r>
      <w:r w:rsidR="00356A09" w:rsidRPr="00D924C7">
        <w:t xml:space="preserve">Rules a form of the </w:t>
      </w:r>
      <w:r w:rsidR="006D6970">
        <w:t>E</w:t>
      </w:r>
      <w:r w:rsidR="00356A09" w:rsidRPr="00C24942">
        <w:t>xemption</w:t>
      </w:r>
      <w:r w:rsidR="006D6970">
        <w:t xml:space="preserve"> 9</w:t>
      </w:r>
      <w:r w:rsidR="00356A09" w:rsidRPr="00C24942">
        <w:t xml:space="preserve"> </w:t>
      </w:r>
      <w:r w:rsidR="006D6970">
        <w:t>(</w:t>
      </w:r>
      <w:r w:rsidR="00190976" w:rsidRPr="00C24942">
        <w:t xml:space="preserve">FX Securities </w:t>
      </w:r>
      <w:r w:rsidR="009A630F" w:rsidRPr="00C24942">
        <w:t>Conversion</w:t>
      </w:r>
      <w:r w:rsidR="006D750F" w:rsidRPr="00C24942">
        <w:t xml:space="preserve"> Transaction</w:t>
      </w:r>
      <w:r w:rsidR="009A630F" w:rsidRPr="00C24942">
        <w:t>s</w:t>
      </w:r>
      <w:r w:rsidR="006D6970">
        <w:t>)</w:t>
      </w:r>
      <w:r w:rsidR="009A630F" w:rsidRPr="00D924C7">
        <w:t xml:space="preserve"> </w:t>
      </w:r>
      <w:r w:rsidR="005D026A" w:rsidRPr="00D924C7">
        <w:t xml:space="preserve">in </w:t>
      </w:r>
      <w:r w:rsidR="006D6970">
        <w:t>Instrument 2015/844</w:t>
      </w:r>
      <w:r w:rsidR="002C263B">
        <w:t xml:space="preserve"> - </w:t>
      </w:r>
      <w:r w:rsidR="002C263B" w:rsidRPr="002C263B">
        <w:t xml:space="preserve">we intend that </w:t>
      </w:r>
      <w:r w:rsidR="002C263B">
        <w:t xml:space="preserve">this </w:t>
      </w:r>
      <w:r w:rsidR="00F90180">
        <w:t xml:space="preserve">exemption </w:t>
      </w:r>
      <w:r w:rsidR="002C263B" w:rsidRPr="002C263B">
        <w:t xml:space="preserve">will be </w:t>
      </w:r>
      <w:r w:rsidR="00492A06">
        <w:t>ended</w:t>
      </w:r>
      <w:r w:rsidR="00492A06" w:rsidRPr="002C263B">
        <w:t xml:space="preserve"> </w:t>
      </w:r>
      <w:r w:rsidR="002C263B" w:rsidRPr="002C263B">
        <w:t>upon the commencement of the 2024 Rules</w:t>
      </w:r>
      <w:r w:rsidR="00F90180">
        <w:t>.</w:t>
      </w:r>
    </w:p>
    <w:p w14:paraId="27D1675B" w14:textId="7C38CEFB" w:rsidR="0086034B" w:rsidRDefault="00100DC4" w:rsidP="002E110A">
      <w:pPr>
        <w:pStyle w:val="LI-BodyTextParaa"/>
        <w:numPr>
          <w:ilvl w:val="0"/>
          <w:numId w:val="3"/>
        </w:numPr>
        <w:rPr>
          <w:bCs/>
        </w:rPr>
      </w:pPr>
      <w:r>
        <w:rPr>
          <w:bCs/>
        </w:rPr>
        <w:t>Subrule</w:t>
      </w:r>
      <w:r w:rsidR="00FC33E9">
        <w:rPr>
          <w:bCs/>
        </w:rPr>
        <w:t xml:space="preserve"> 1.2.4(6) provides that a </w:t>
      </w:r>
      <w:r w:rsidR="00CB1120">
        <w:rPr>
          <w:bCs/>
        </w:rPr>
        <w:t>d</w:t>
      </w:r>
      <w:r w:rsidR="00FC33E9">
        <w:rPr>
          <w:bCs/>
        </w:rPr>
        <w:t xml:space="preserve">erivative is not an OTC </w:t>
      </w:r>
      <w:r w:rsidR="00CB1120">
        <w:rPr>
          <w:bCs/>
        </w:rPr>
        <w:t>d</w:t>
      </w:r>
      <w:r w:rsidR="00FC33E9">
        <w:rPr>
          <w:bCs/>
        </w:rPr>
        <w:t>erivative if</w:t>
      </w:r>
      <w:r w:rsidR="0086034B" w:rsidRPr="00776AA5">
        <w:rPr>
          <w:bCs/>
        </w:rPr>
        <w:t>:</w:t>
      </w:r>
    </w:p>
    <w:p w14:paraId="2776D2C5" w14:textId="01C9D99A" w:rsidR="0086034B" w:rsidRPr="000374BE" w:rsidRDefault="00791184" w:rsidP="002452E2">
      <w:pPr>
        <w:pStyle w:val="LI-BodyTextParaa"/>
        <w:numPr>
          <w:ilvl w:val="1"/>
          <w:numId w:val="3"/>
        </w:numPr>
        <w:shd w:val="clear" w:color="auto" w:fill="FFFFFF"/>
        <w:spacing w:after="120"/>
        <w:rPr>
          <w:rFonts w:ascii="Calibri" w:hAnsi="Calibri" w:cs="Calibri"/>
          <w:color w:val="000000"/>
        </w:rPr>
      </w:pPr>
      <w:r w:rsidRPr="000374BE">
        <w:rPr>
          <w14:scene3d>
            <w14:camera w14:prst="orthographicFront"/>
            <w14:lightRig w14:rig="threePt" w14:dir="t">
              <w14:rot w14:lat="0" w14:lon="0" w14:rev="0"/>
            </w14:lightRig>
          </w14:scene3d>
        </w:rPr>
        <w:t>it is a foreign exchange contract between counterparties</w:t>
      </w:r>
      <w:r w:rsidR="00795119" w:rsidRPr="0005269B" w:rsidDel="00791184">
        <w:rPr>
          <w:color w:val="000000"/>
        </w:rPr>
        <w:t xml:space="preserve"> </w:t>
      </w:r>
      <w:r w:rsidR="0086034B" w:rsidRPr="0005269B">
        <w:rPr>
          <w:color w:val="000000"/>
        </w:rPr>
        <w:t xml:space="preserve">solely to facilitate the settlement of a transaction </w:t>
      </w:r>
      <w:r w:rsidR="00E73E09" w:rsidRPr="000374BE">
        <w:rPr>
          <w14:scene3d>
            <w14:camera w14:prst="orthographicFront"/>
            <w14:lightRig w14:rig="threePt" w14:dir="t">
              <w14:rot w14:lat="0" w14:lon="0" w14:rev="0"/>
            </w14:lightRig>
          </w14:scene3d>
        </w:rPr>
        <w:t xml:space="preserve">between the counterparties, or by one of the counterparties, </w:t>
      </w:r>
      <w:r w:rsidR="0086034B" w:rsidRPr="0005269B">
        <w:rPr>
          <w:color w:val="000000"/>
        </w:rPr>
        <w:t xml:space="preserve">for the purchase or sale of a foreign currency </w:t>
      </w:r>
      <w:r w:rsidR="00534158" w:rsidRPr="000374BE">
        <w:rPr>
          <w14:scene3d>
            <w14:camera w14:prst="orthographicFront"/>
            <w14:lightRig w14:rig="threePt" w14:dir="t">
              <w14:rot w14:lat="0" w14:lon="0" w14:rev="0"/>
            </w14:lightRig>
          </w14:scene3d>
        </w:rPr>
        <w:t>denominated security, or a portfolio of foreign currency denominated securities</w:t>
      </w:r>
      <w:r w:rsidR="0086034B" w:rsidRPr="0005269B">
        <w:rPr>
          <w:color w:val="000000"/>
        </w:rPr>
        <w:t>; and</w:t>
      </w:r>
    </w:p>
    <w:p w14:paraId="148098B3" w14:textId="46C733A4" w:rsidR="0086034B" w:rsidRPr="000374BE" w:rsidRDefault="0086034B" w:rsidP="002452E2">
      <w:pPr>
        <w:pStyle w:val="LI-BodyTextParaa"/>
        <w:numPr>
          <w:ilvl w:val="1"/>
          <w:numId w:val="3"/>
        </w:numPr>
        <w:shd w:val="clear" w:color="auto" w:fill="FFFFFF"/>
        <w:spacing w:after="120"/>
        <w:rPr>
          <w:rFonts w:ascii="Calibri" w:hAnsi="Calibri" w:cs="Calibri"/>
          <w:color w:val="000000"/>
        </w:rPr>
      </w:pPr>
      <w:r w:rsidRPr="0005269B">
        <w:rPr>
          <w:color w:val="000000"/>
        </w:rPr>
        <w:lastRenderedPageBreak/>
        <w:t>under which consideration is provided to settle the transaction not more than 7 business days after the day on which the transaction is entered into.</w:t>
      </w:r>
    </w:p>
    <w:p w14:paraId="492D19E9" w14:textId="54C19469" w:rsidR="0086034B" w:rsidRPr="00161223" w:rsidRDefault="0086034B" w:rsidP="002E110A">
      <w:pPr>
        <w:pStyle w:val="LI-BodyTextParaa"/>
        <w:numPr>
          <w:ilvl w:val="0"/>
          <w:numId w:val="3"/>
        </w:numPr>
        <w:rPr>
          <w:bCs/>
        </w:rPr>
      </w:pPr>
      <w:r w:rsidRPr="00161223">
        <w:rPr>
          <w:bCs/>
        </w:rPr>
        <w:t xml:space="preserve">Paragraphs </w:t>
      </w:r>
      <w:r w:rsidR="00763AFC">
        <w:rPr>
          <w:bCs/>
        </w:rPr>
        <w:t>1.2.4(6)</w:t>
      </w:r>
      <w:r w:rsidRPr="00161223">
        <w:rPr>
          <w:bCs/>
        </w:rPr>
        <w:t xml:space="preserve">(a) and (b) describe the characteristics of an OTC </w:t>
      </w:r>
      <w:r w:rsidR="000315B9">
        <w:rPr>
          <w:bCs/>
        </w:rPr>
        <w:t>d</w:t>
      </w:r>
      <w:r w:rsidR="000315B9" w:rsidRPr="00161223">
        <w:rPr>
          <w:bCs/>
        </w:rPr>
        <w:t>erivative</w:t>
      </w:r>
      <w:r w:rsidR="009D4DA3">
        <w:rPr>
          <w:bCs/>
        </w:rPr>
        <w:t xml:space="preserve"> transaction</w:t>
      </w:r>
      <w:r w:rsidR="000315B9" w:rsidRPr="00161223">
        <w:rPr>
          <w:bCs/>
        </w:rPr>
        <w:t xml:space="preserve"> </w:t>
      </w:r>
      <w:r w:rsidRPr="00161223">
        <w:rPr>
          <w:bCs/>
        </w:rPr>
        <w:t xml:space="preserve">commonly known as a </w:t>
      </w:r>
      <w:r w:rsidR="00B80674">
        <w:rPr>
          <w:bCs/>
        </w:rPr>
        <w:t>“</w:t>
      </w:r>
      <w:r w:rsidRPr="00161223">
        <w:rPr>
          <w:bCs/>
        </w:rPr>
        <w:t>Foreign Exchange Securities Conversion Transaction</w:t>
      </w:r>
      <w:r w:rsidR="00B80674">
        <w:rPr>
          <w:bCs/>
        </w:rPr>
        <w:t>”</w:t>
      </w:r>
      <w:r w:rsidRPr="00161223">
        <w:rPr>
          <w:bCs/>
        </w:rPr>
        <w:t xml:space="preserve">. The </w:t>
      </w:r>
      <w:r w:rsidR="00693A3F">
        <w:rPr>
          <w:bCs/>
        </w:rPr>
        <w:t xml:space="preserve">prior </w:t>
      </w:r>
      <w:r w:rsidRPr="00161223">
        <w:rPr>
          <w:bCs/>
        </w:rPr>
        <w:t xml:space="preserve">exemption </w:t>
      </w:r>
      <w:r w:rsidR="0054184E">
        <w:rPr>
          <w:bCs/>
        </w:rPr>
        <w:t xml:space="preserve">and now rule </w:t>
      </w:r>
      <w:r w:rsidRPr="00161223">
        <w:rPr>
          <w:bCs/>
        </w:rPr>
        <w:t xml:space="preserve">recognises that </w:t>
      </w:r>
      <w:r w:rsidR="000315B9">
        <w:rPr>
          <w:bCs/>
        </w:rPr>
        <w:t>f</w:t>
      </w:r>
      <w:r w:rsidR="000315B9" w:rsidRPr="00161223">
        <w:rPr>
          <w:bCs/>
        </w:rPr>
        <w:t xml:space="preserve">oreign </w:t>
      </w:r>
      <w:r w:rsidR="000315B9">
        <w:rPr>
          <w:bCs/>
        </w:rPr>
        <w:t>e</w:t>
      </w:r>
      <w:r w:rsidR="000315B9" w:rsidRPr="00161223">
        <w:rPr>
          <w:bCs/>
        </w:rPr>
        <w:t xml:space="preserve">xchange </w:t>
      </w:r>
      <w:r w:rsidR="000315B9">
        <w:rPr>
          <w:bCs/>
        </w:rPr>
        <w:t>s</w:t>
      </w:r>
      <w:r w:rsidR="000315B9" w:rsidRPr="00161223">
        <w:rPr>
          <w:bCs/>
        </w:rPr>
        <w:t xml:space="preserve">ecurity </w:t>
      </w:r>
      <w:r w:rsidR="000315B9">
        <w:rPr>
          <w:bCs/>
        </w:rPr>
        <w:t>c</w:t>
      </w:r>
      <w:r w:rsidR="000315B9" w:rsidRPr="00161223">
        <w:rPr>
          <w:bCs/>
        </w:rPr>
        <w:t xml:space="preserve">onversion </w:t>
      </w:r>
      <w:r w:rsidR="000315B9">
        <w:rPr>
          <w:bCs/>
        </w:rPr>
        <w:t>t</w:t>
      </w:r>
      <w:r w:rsidR="000315B9" w:rsidRPr="00161223">
        <w:rPr>
          <w:bCs/>
        </w:rPr>
        <w:t xml:space="preserve">ransactions </w:t>
      </w:r>
      <w:r w:rsidRPr="00161223">
        <w:rPr>
          <w:bCs/>
        </w:rPr>
        <w:t xml:space="preserve">are typically not required to be reported to </w:t>
      </w:r>
      <w:r w:rsidR="000315B9">
        <w:rPr>
          <w:bCs/>
        </w:rPr>
        <w:t>t</w:t>
      </w:r>
      <w:r w:rsidR="000315B9" w:rsidRPr="00161223">
        <w:rPr>
          <w:bCs/>
        </w:rPr>
        <w:t xml:space="preserve">rade </w:t>
      </w:r>
      <w:r w:rsidR="000315B9">
        <w:rPr>
          <w:bCs/>
        </w:rPr>
        <w:t>r</w:t>
      </w:r>
      <w:r w:rsidR="000315B9" w:rsidRPr="00161223">
        <w:rPr>
          <w:bCs/>
        </w:rPr>
        <w:t xml:space="preserve">epositories </w:t>
      </w:r>
      <w:r w:rsidRPr="00161223">
        <w:rPr>
          <w:bCs/>
        </w:rPr>
        <w:t xml:space="preserve">in other jurisdictions. </w:t>
      </w:r>
      <w:r w:rsidR="00B87A69">
        <w:t>As we do not anticipate any change in the exemptive approach in o</w:t>
      </w:r>
      <w:r w:rsidR="00764D2C">
        <w:t>ther</w:t>
      </w:r>
      <w:r w:rsidR="00B87A69">
        <w:t xml:space="preserve"> jurisdictions, </w:t>
      </w:r>
      <w:r w:rsidR="000233E0">
        <w:t xml:space="preserve">this subrule </w:t>
      </w:r>
      <w:r w:rsidR="00B87A69">
        <w:t>provide</w:t>
      </w:r>
      <w:r w:rsidR="000233E0">
        <w:t>s</w:t>
      </w:r>
      <w:r w:rsidR="00B87A69">
        <w:t xml:space="preserve"> an ongoing exclusion</w:t>
      </w:r>
      <w:r w:rsidR="005A0477">
        <w:t xml:space="preserve"> for reporting </w:t>
      </w:r>
      <w:r w:rsidR="004E5532">
        <w:t>these types of transaction.</w:t>
      </w:r>
    </w:p>
    <w:p w14:paraId="5EDF822C" w14:textId="6845136C" w:rsidR="00D25F39" w:rsidRPr="004C32DC" w:rsidRDefault="00D25F39" w:rsidP="002E110A">
      <w:pPr>
        <w:pStyle w:val="LI-BodyTextParaa"/>
        <w:numPr>
          <w:ilvl w:val="0"/>
          <w:numId w:val="3"/>
        </w:numPr>
      </w:pPr>
      <w:r w:rsidRPr="000374BE">
        <w:rPr>
          <w:bCs/>
        </w:rPr>
        <w:t>Subrule 1.2.4(</w:t>
      </w:r>
      <w:r w:rsidR="00624B17" w:rsidRPr="000374BE">
        <w:rPr>
          <w:bCs/>
        </w:rPr>
        <w:t>7</w:t>
      </w:r>
      <w:r w:rsidRPr="000374BE">
        <w:rPr>
          <w:bCs/>
        </w:rPr>
        <w:t xml:space="preserve">) </w:t>
      </w:r>
      <w:r w:rsidRPr="004C32DC">
        <w:t xml:space="preserve">incorporates into the </w:t>
      </w:r>
      <w:r w:rsidR="004872F5">
        <w:t xml:space="preserve">2024 </w:t>
      </w:r>
      <w:r w:rsidRPr="004C32DC">
        <w:t xml:space="preserve">Rules </w:t>
      </w:r>
      <w:r w:rsidR="007873CC">
        <w:t>E</w:t>
      </w:r>
      <w:r w:rsidRPr="004C32DC">
        <w:t xml:space="preserve">xemption </w:t>
      </w:r>
      <w:r w:rsidR="007873CC">
        <w:t>10</w:t>
      </w:r>
      <w:r w:rsidRPr="004C32DC">
        <w:t xml:space="preserve"> </w:t>
      </w:r>
      <w:r w:rsidR="007873CC">
        <w:t>(</w:t>
      </w:r>
      <w:r w:rsidR="00585DE3" w:rsidRPr="004C32DC">
        <w:t xml:space="preserve">Spot Settlement </w:t>
      </w:r>
      <w:r w:rsidR="00E03845" w:rsidRPr="004C32DC">
        <w:t>Transactions</w:t>
      </w:r>
      <w:r w:rsidR="007873CC">
        <w:t>)</w:t>
      </w:r>
      <w:r w:rsidR="00E03845" w:rsidRPr="004C32DC">
        <w:t xml:space="preserve"> </w:t>
      </w:r>
      <w:r w:rsidRPr="004C32DC">
        <w:t xml:space="preserve">in </w:t>
      </w:r>
      <w:r w:rsidR="007873CC">
        <w:t>Instrument 2015/844</w:t>
      </w:r>
      <w:r w:rsidR="000043F9">
        <w:t xml:space="preserve"> </w:t>
      </w:r>
      <w:r w:rsidR="00F26404">
        <w:t>–</w:t>
      </w:r>
      <w:r w:rsidR="000043F9">
        <w:t xml:space="preserve"> </w:t>
      </w:r>
      <w:r w:rsidR="000043F9" w:rsidRPr="002C263B">
        <w:t xml:space="preserve">we intend that </w:t>
      </w:r>
      <w:r w:rsidR="000043F9">
        <w:t xml:space="preserve">this exemption </w:t>
      </w:r>
      <w:r w:rsidR="000043F9" w:rsidRPr="002C263B">
        <w:t xml:space="preserve">will be </w:t>
      </w:r>
      <w:r w:rsidR="00E32235">
        <w:t>ended</w:t>
      </w:r>
      <w:r w:rsidR="00E32235" w:rsidRPr="002C263B">
        <w:t xml:space="preserve"> </w:t>
      </w:r>
      <w:r w:rsidR="000043F9" w:rsidRPr="002C263B">
        <w:t>upon the commencement of the 2024 Rules</w:t>
      </w:r>
      <w:r w:rsidR="007873CC">
        <w:t>.</w:t>
      </w:r>
    </w:p>
    <w:p w14:paraId="53BFA541" w14:textId="60F2DD8E" w:rsidR="00BC4451" w:rsidRPr="00BC4451" w:rsidRDefault="0010074E" w:rsidP="002E110A">
      <w:pPr>
        <w:pStyle w:val="LI-BodyTextParaa"/>
        <w:numPr>
          <w:ilvl w:val="0"/>
          <w:numId w:val="3"/>
        </w:numPr>
        <w:rPr>
          <w:bCs/>
        </w:rPr>
      </w:pPr>
      <w:r>
        <w:rPr>
          <w:bCs/>
        </w:rPr>
        <w:t>Subrule 1.2.4(</w:t>
      </w:r>
      <w:r w:rsidR="00A533AE">
        <w:rPr>
          <w:bCs/>
        </w:rPr>
        <w:t>7</w:t>
      </w:r>
      <w:r>
        <w:rPr>
          <w:bCs/>
        </w:rPr>
        <w:t xml:space="preserve">) provides that a </w:t>
      </w:r>
      <w:r w:rsidR="00882152">
        <w:rPr>
          <w:bCs/>
        </w:rPr>
        <w:t>d</w:t>
      </w:r>
      <w:r>
        <w:rPr>
          <w:bCs/>
        </w:rPr>
        <w:t xml:space="preserve">erivative is not an OTC </w:t>
      </w:r>
      <w:r w:rsidR="00882152">
        <w:rPr>
          <w:bCs/>
        </w:rPr>
        <w:t>d</w:t>
      </w:r>
      <w:r>
        <w:rPr>
          <w:bCs/>
        </w:rPr>
        <w:t>erivative if</w:t>
      </w:r>
      <w:r w:rsidR="00EF1B0D">
        <w:rPr>
          <w:bCs/>
        </w:rPr>
        <w:t>:</w:t>
      </w:r>
    </w:p>
    <w:p w14:paraId="28765FC0" w14:textId="4DE197AB" w:rsidR="00BC4451" w:rsidRDefault="00EF1B0D" w:rsidP="002E110A">
      <w:pPr>
        <w:pStyle w:val="LI-BodyTextParaa"/>
        <w:numPr>
          <w:ilvl w:val="1"/>
          <w:numId w:val="3"/>
        </w:numPr>
        <w:rPr>
          <w:bCs/>
        </w:rPr>
      </w:pPr>
      <w:r>
        <w:rPr>
          <w:bCs/>
        </w:rPr>
        <w:t xml:space="preserve">under an arrangement </w:t>
      </w:r>
      <w:r w:rsidR="00BC4451" w:rsidRPr="00BC4451">
        <w:rPr>
          <w:bCs/>
        </w:rPr>
        <w:t xml:space="preserve">a party has </w:t>
      </w:r>
      <w:r w:rsidR="00050EE6">
        <w:rPr>
          <w:bCs/>
        </w:rPr>
        <w:t xml:space="preserve">an </w:t>
      </w:r>
      <w:r w:rsidR="00BC4451" w:rsidRPr="00BC4451">
        <w:rPr>
          <w:bCs/>
        </w:rPr>
        <w:t xml:space="preserve">obligation to buy, and another party has an obligation to sell, intangible property at a price and within a period of no longer than the shortest period determined by usual market practice for delivery of the </w:t>
      </w:r>
      <w:proofErr w:type="gramStart"/>
      <w:r w:rsidR="00BC4451" w:rsidRPr="00BC4451">
        <w:rPr>
          <w:bCs/>
        </w:rPr>
        <w:t>property;</w:t>
      </w:r>
      <w:proofErr w:type="gramEnd"/>
    </w:p>
    <w:p w14:paraId="2F1861BD" w14:textId="602A7C55" w:rsidR="00BC4451" w:rsidRPr="00686A64" w:rsidRDefault="00BC4451" w:rsidP="002E110A">
      <w:pPr>
        <w:pStyle w:val="LI-BodyTextParaa"/>
        <w:numPr>
          <w:ilvl w:val="1"/>
          <w:numId w:val="3"/>
        </w:numPr>
        <w:rPr>
          <w:bCs/>
        </w:rPr>
      </w:pPr>
      <w:r w:rsidRPr="00686A64">
        <w:rPr>
          <w:bCs/>
        </w:rPr>
        <w:t xml:space="preserve">the arrangement does not permit the seller’s obligations to be wholly settled by cash, or by set‑off between the parties, rather than by delivery of the </w:t>
      </w:r>
      <w:r w:rsidR="00EF1B0D">
        <w:rPr>
          <w:bCs/>
        </w:rPr>
        <w:t>property</w:t>
      </w:r>
      <w:r w:rsidRPr="00686A64">
        <w:rPr>
          <w:bCs/>
        </w:rPr>
        <w:t>;</w:t>
      </w:r>
      <w:r w:rsidR="00120D91">
        <w:rPr>
          <w:bCs/>
        </w:rPr>
        <w:t xml:space="preserve"> and</w:t>
      </w:r>
    </w:p>
    <w:p w14:paraId="6C197F4B" w14:textId="00F0FBAF" w:rsidR="00BC4451" w:rsidRPr="00BC4451" w:rsidRDefault="00DA4C6A" w:rsidP="002E110A">
      <w:pPr>
        <w:pStyle w:val="LI-BodyTextParaa"/>
        <w:numPr>
          <w:ilvl w:val="1"/>
          <w:numId w:val="3"/>
        </w:numPr>
        <w:rPr>
          <w:bCs/>
        </w:rPr>
      </w:pPr>
      <w:r>
        <w:rPr>
          <w:bCs/>
        </w:rPr>
        <w:t xml:space="preserve">it </w:t>
      </w:r>
      <w:r w:rsidR="00BC4451" w:rsidRPr="00BC4451">
        <w:rPr>
          <w:bCs/>
        </w:rPr>
        <w:t xml:space="preserve">is not a foreign exchange contract or an </w:t>
      </w:r>
      <w:proofErr w:type="gramStart"/>
      <w:r w:rsidR="00BC4451" w:rsidRPr="00BC4451">
        <w:rPr>
          <w:bCs/>
        </w:rPr>
        <w:t>option</w:t>
      </w:r>
      <w:r w:rsidR="008809B1">
        <w:rPr>
          <w:bCs/>
        </w:rPr>
        <w:t>;</w:t>
      </w:r>
      <w:proofErr w:type="gramEnd"/>
    </w:p>
    <w:p w14:paraId="6DEE7AC9" w14:textId="77777777" w:rsidR="00BC4451" w:rsidRDefault="00BC4451" w:rsidP="008809B1">
      <w:pPr>
        <w:pStyle w:val="LI-BodyTextParaa"/>
        <w:ind w:left="567" w:firstLine="0"/>
        <w:rPr>
          <w:bCs/>
        </w:rPr>
      </w:pPr>
      <w:r w:rsidRPr="00BC4451">
        <w:rPr>
          <w:bCs/>
        </w:rPr>
        <w:t>but only to the extent that the arrangement deals with that purchase and sale.</w:t>
      </w:r>
    </w:p>
    <w:p w14:paraId="6E7A9111" w14:textId="4C2F2811" w:rsidR="003A4640" w:rsidRPr="00832E63" w:rsidRDefault="003A4640" w:rsidP="003A4640">
      <w:pPr>
        <w:pStyle w:val="LI-BodyTextParaa"/>
        <w:ind w:left="0" w:firstLine="0"/>
        <w:rPr>
          <w:bCs/>
          <w:i/>
          <w:iCs/>
        </w:rPr>
      </w:pPr>
      <w:r w:rsidRPr="00832E63">
        <w:rPr>
          <w:bCs/>
          <w:i/>
          <w:iCs/>
        </w:rPr>
        <w:t>Cleared and uncleared trades</w:t>
      </w:r>
    </w:p>
    <w:p w14:paraId="0DFACAF3" w14:textId="23C47154" w:rsidR="00AC5670" w:rsidRPr="00E455B3" w:rsidRDefault="00AC5670" w:rsidP="002E110A">
      <w:pPr>
        <w:pStyle w:val="LI-BodyTextParaa"/>
        <w:numPr>
          <w:ilvl w:val="0"/>
          <w:numId w:val="3"/>
        </w:numPr>
        <w:rPr>
          <w:bCs/>
        </w:rPr>
      </w:pPr>
      <w:r w:rsidRPr="00B7540B">
        <w:rPr>
          <w:bCs/>
        </w:rPr>
        <w:t xml:space="preserve">A </w:t>
      </w:r>
      <w:r>
        <w:rPr>
          <w:bCs/>
        </w:rPr>
        <w:t>d</w:t>
      </w:r>
      <w:r w:rsidRPr="00B7540B">
        <w:rPr>
          <w:bCs/>
        </w:rPr>
        <w:t xml:space="preserve">erivative is an OTC </w:t>
      </w:r>
      <w:r>
        <w:rPr>
          <w:bCs/>
        </w:rPr>
        <w:t>d</w:t>
      </w:r>
      <w:r w:rsidRPr="00B7540B">
        <w:rPr>
          <w:bCs/>
        </w:rPr>
        <w:t xml:space="preserve">erivative under Rule 1.2.4 regardless of whether it is cleared through a </w:t>
      </w:r>
      <w:r>
        <w:rPr>
          <w:bCs/>
        </w:rPr>
        <w:t>l</w:t>
      </w:r>
      <w:r w:rsidRPr="00B7540B">
        <w:rPr>
          <w:bCs/>
        </w:rPr>
        <w:t xml:space="preserve">icensed </w:t>
      </w:r>
      <w:r>
        <w:rPr>
          <w:bCs/>
        </w:rPr>
        <w:t>clearing and settlement (</w:t>
      </w:r>
      <w:r w:rsidRPr="00B64DEC">
        <w:rPr>
          <w:b/>
          <w:i/>
          <w:iCs/>
        </w:rPr>
        <w:t>CS</w:t>
      </w:r>
      <w:r>
        <w:rPr>
          <w:bCs/>
        </w:rPr>
        <w:t>)</w:t>
      </w:r>
      <w:r w:rsidRPr="00B7540B">
        <w:rPr>
          <w:bCs/>
        </w:rPr>
        <w:t xml:space="preserve"> </w:t>
      </w:r>
      <w:r>
        <w:rPr>
          <w:bCs/>
        </w:rPr>
        <w:t>f</w:t>
      </w:r>
      <w:r w:rsidRPr="00B7540B">
        <w:rPr>
          <w:bCs/>
        </w:rPr>
        <w:t xml:space="preserve">acility. This means that both cleared and uncleared </w:t>
      </w:r>
      <w:r>
        <w:rPr>
          <w:bCs/>
        </w:rPr>
        <w:t>d</w:t>
      </w:r>
      <w:r w:rsidRPr="00B7540B">
        <w:rPr>
          <w:bCs/>
        </w:rPr>
        <w:t xml:space="preserve">erivative </w:t>
      </w:r>
      <w:r>
        <w:rPr>
          <w:bCs/>
        </w:rPr>
        <w:t>t</w:t>
      </w:r>
      <w:r w:rsidRPr="00B7540B">
        <w:rPr>
          <w:bCs/>
        </w:rPr>
        <w:t xml:space="preserve">ransactions in OTC </w:t>
      </w:r>
      <w:r>
        <w:rPr>
          <w:bCs/>
        </w:rPr>
        <w:t>d</w:t>
      </w:r>
      <w:r w:rsidRPr="00B7540B">
        <w:rPr>
          <w:bCs/>
        </w:rPr>
        <w:t xml:space="preserve">erivatives are reportable under the </w:t>
      </w:r>
      <w:r>
        <w:rPr>
          <w:bCs/>
        </w:rPr>
        <w:t xml:space="preserve">2024 </w:t>
      </w:r>
      <w:r w:rsidRPr="00B7540B">
        <w:rPr>
          <w:bCs/>
        </w:rPr>
        <w:t xml:space="preserve">Rules. Where an OTC </w:t>
      </w:r>
      <w:r>
        <w:rPr>
          <w:bCs/>
        </w:rPr>
        <w:t>d</w:t>
      </w:r>
      <w:r w:rsidRPr="00B7540B">
        <w:rPr>
          <w:bCs/>
        </w:rPr>
        <w:t xml:space="preserve">erivative is, for example, novated to a </w:t>
      </w:r>
      <w:r>
        <w:rPr>
          <w:bCs/>
        </w:rPr>
        <w:t>l</w:t>
      </w:r>
      <w:r w:rsidRPr="00B7540B">
        <w:rPr>
          <w:bCs/>
        </w:rPr>
        <w:t xml:space="preserve">icensed CS facility, this may give rise to separate </w:t>
      </w:r>
      <w:r>
        <w:rPr>
          <w:bCs/>
        </w:rPr>
        <w:t>r</w:t>
      </w:r>
      <w:r w:rsidRPr="00B7540B">
        <w:rPr>
          <w:bCs/>
        </w:rPr>
        <w:t xml:space="preserve">eportable </w:t>
      </w:r>
      <w:r>
        <w:rPr>
          <w:bCs/>
        </w:rPr>
        <w:t>t</w:t>
      </w:r>
      <w:r w:rsidRPr="00B7540B">
        <w:rPr>
          <w:bCs/>
        </w:rPr>
        <w:t xml:space="preserve">ransactions for the purposes of the </w:t>
      </w:r>
      <w:r>
        <w:rPr>
          <w:bCs/>
        </w:rPr>
        <w:t xml:space="preserve">2024 </w:t>
      </w:r>
      <w:r w:rsidRPr="00B7540B">
        <w:rPr>
          <w:bCs/>
        </w:rPr>
        <w:t xml:space="preserve">Rules. </w:t>
      </w:r>
    </w:p>
    <w:p w14:paraId="26A46913" w14:textId="242334A8" w:rsidR="003A4640" w:rsidRDefault="003A4640" w:rsidP="002E110A">
      <w:pPr>
        <w:pStyle w:val="LI-BodyTextParaa"/>
        <w:numPr>
          <w:ilvl w:val="0"/>
          <w:numId w:val="3"/>
        </w:numPr>
        <w:rPr>
          <w:bCs/>
        </w:rPr>
      </w:pPr>
      <w:r w:rsidRPr="00B7540B">
        <w:rPr>
          <w:bCs/>
        </w:rPr>
        <w:t>The information that must be reported about a</w:t>
      </w:r>
      <w:r w:rsidR="00D161C5">
        <w:rPr>
          <w:bCs/>
        </w:rPr>
        <w:t xml:space="preserve"> reportable transaction</w:t>
      </w:r>
      <w:r w:rsidRPr="00B7540B">
        <w:rPr>
          <w:bCs/>
        </w:rPr>
        <w:t xml:space="preserve"> includes information about whether the OTC </w:t>
      </w:r>
      <w:r w:rsidR="00882152">
        <w:rPr>
          <w:bCs/>
        </w:rPr>
        <w:t>d</w:t>
      </w:r>
      <w:r w:rsidR="00882152" w:rsidRPr="00B7540B">
        <w:rPr>
          <w:bCs/>
        </w:rPr>
        <w:t xml:space="preserve">erivative </w:t>
      </w:r>
      <w:r w:rsidRPr="00B7540B">
        <w:rPr>
          <w:bCs/>
        </w:rPr>
        <w:t xml:space="preserve">has been subject to </w:t>
      </w:r>
      <w:proofErr w:type="gramStart"/>
      <w:r w:rsidRPr="00B7540B">
        <w:rPr>
          <w:bCs/>
        </w:rPr>
        <w:t>clearing:</w:t>
      </w:r>
      <w:proofErr w:type="gramEnd"/>
      <w:r w:rsidRPr="00B7540B">
        <w:rPr>
          <w:bCs/>
        </w:rPr>
        <w:t xml:space="preserve"> see items </w:t>
      </w:r>
      <w:r w:rsidR="00701739">
        <w:rPr>
          <w:bCs/>
        </w:rPr>
        <w:t>2</w:t>
      </w:r>
      <w:r w:rsidR="00B06577">
        <w:rPr>
          <w:bCs/>
        </w:rPr>
        <w:t>1</w:t>
      </w:r>
      <w:r w:rsidR="00701739" w:rsidRPr="00B7540B">
        <w:rPr>
          <w:bCs/>
        </w:rPr>
        <w:t xml:space="preserve"> </w:t>
      </w:r>
      <w:r w:rsidRPr="00B7540B">
        <w:rPr>
          <w:bCs/>
        </w:rPr>
        <w:t xml:space="preserve">to </w:t>
      </w:r>
      <w:r w:rsidR="00B06577">
        <w:rPr>
          <w:bCs/>
        </w:rPr>
        <w:t>24</w:t>
      </w:r>
      <w:r w:rsidR="00B06577" w:rsidRPr="00B7540B">
        <w:rPr>
          <w:bCs/>
        </w:rPr>
        <w:t xml:space="preserve"> </w:t>
      </w:r>
      <w:r w:rsidRPr="00B7540B">
        <w:rPr>
          <w:bCs/>
        </w:rPr>
        <w:t xml:space="preserve">in Table </w:t>
      </w:r>
      <w:r w:rsidR="00B06577" w:rsidRPr="00B7540B">
        <w:rPr>
          <w:bCs/>
        </w:rPr>
        <w:t>S</w:t>
      </w:r>
      <w:r w:rsidR="00B06577">
        <w:rPr>
          <w:bCs/>
        </w:rPr>
        <w:t>1</w:t>
      </w:r>
      <w:r w:rsidRPr="00B7540B">
        <w:rPr>
          <w:bCs/>
        </w:rPr>
        <w:t xml:space="preserve">.1(1) in Rule </w:t>
      </w:r>
      <w:r w:rsidR="005060BC" w:rsidRPr="00B7540B">
        <w:rPr>
          <w:bCs/>
        </w:rPr>
        <w:t>S</w:t>
      </w:r>
      <w:r w:rsidR="005060BC">
        <w:rPr>
          <w:bCs/>
        </w:rPr>
        <w:t>1</w:t>
      </w:r>
      <w:r w:rsidRPr="00B7540B">
        <w:rPr>
          <w:bCs/>
        </w:rPr>
        <w:t>.</w:t>
      </w:r>
      <w:r w:rsidR="005060BC">
        <w:rPr>
          <w:bCs/>
        </w:rPr>
        <w:t>3</w:t>
      </w:r>
      <w:r w:rsidRPr="00B7540B">
        <w:rPr>
          <w:bCs/>
        </w:rPr>
        <w:t>.1 (Derivative Transaction Information).</w:t>
      </w:r>
    </w:p>
    <w:p w14:paraId="0C5FD832" w14:textId="57533100" w:rsidR="003A4640" w:rsidRPr="000A494E" w:rsidRDefault="003A4640" w:rsidP="003A4640">
      <w:pPr>
        <w:pStyle w:val="LI-BodyTextParaa"/>
        <w:ind w:left="0" w:firstLine="0"/>
        <w:rPr>
          <w:bCs/>
          <w:u w:val="single"/>
        </w:rPr>
      </w:pPr>
      <w:r>
        <w:rPr>
          <w:bCs/>
          <w:u w:val="single"/>
        </w:rPr>
        <w:t>Rule 1.2.</w:t>
      </w:r>
      <w:r w:rsidRPr="007244DD">
        <w:rPr>
          <w:bCs/>
          <w:u w:val="single"/>
        </w:rPr>
        <w:t>5</w:t>
      </w:r>
      <w:r w:rsidR="00F65ABA">
        <w:rPr>
          <w:bCs/>
          <w:u w:val="single"/>
        </w:rPr>
        <w:t xml:space="preserve"> </w:t>
      </w:r>
      <w:r w:rsidR="007E703F">
        <w:rPr>
          <w:bCs/>
          <w:u w:val="single"/>
        </w:rPr>
        <w:t>R</w:t>
      </w:r>
      <w:r w:rsidR="00F65ABA">
        <w:rPr>
          <w:bCs/>
          <w:u w:val="single"/>
        </w:rPr>
        <w:t>eporting entities</w:t>
      </w:r>
      <w:r w:rsidRPr="007244DD">
        <w:rPr>
          <w:bCs/>
          <w:u w:val="single"/>
        </w:rPr>
        <w:t xml:space="preserve"> and</w:t>
      </w:r>
      <w:r w:rsidR="00D161C5">
        <w:rPr>
          <w:bCs/>
          <w:u w:val="single"/>
        </w:rPr>
        <w:t xml:space="preserve"> reportable transaction</w:t>
      </w:r>
      <w:r w:rsidRPr="007244DD">
        <w:rPr>
          <w:bCs/>
          <w:u w:val="single"/>
        </w:rPr>
        <w:t>s</w:t>
      </w:r>
    </w:p>
    <w:p w14:paraId="55F3AE71" w14:textId="2DAD98E3" w:rsidR="001F19C5" w:rsidRDefault="001F19C5" w:rsidP="002E110A">
      <w:pPr>
        <w:pStyle w:val="LI-BodyTextParaa"/>
        <w:numPr>
          <w:ilvl w:val="0"/>
          <w:numId w:val="3"/>
        </w:numPr>
        <w:rPr>
          <w:bCs/>
        </w:rPr>
      </w:pPr>
      <w:r w:rsidRPr="00801567">
        <w:rPr>
          <w:bCs/>
        </w:rPr>
        <w:t xml:space="preserve">Rule 1.2.5 and Table 1 define the scope of the </w:t>
      </w:r>
      <w:r>
        <w:rPr>
          <w:bCs/>
        </w:rPr>
        <w:t>r</w:t>
      </w:r>
      <w:r w:rsidRPr="00801567">
        <w:rPr>
          <w:bCs/>
        </w:rPr>
        <w:t xml:space="preserve">eporting </w:t>
      </w:r>
      <w:r>
        <w:rPr>
          <w:bCs/>
        </w:rPr>
        <w:t>r</w:t>
      </w:r>
      <w:r w:rsidRPr="00801567">
        <w:rPr>
          <w:bCs/>
        </w:rPr>
        <w:t xml:space="preserve">equirements by defining </w:t>
      </w:r>
      <w:r w:rsidR="00651FDE">
        <w:rPr>
          <w:bCs/>
        </w:rPr>
        <w:t>“</w:t>
      </w:r>
      <w:r>
        <w:rPr>
          <w:bCs/>
        </w:rPr>
        <w:t>r</w:t>
      </w:r>
      <w:r w:rsidRPr="00801567">
        <w:rPr>
          <w:bCs/>
        </w:rPr>
        <w:t xml:space="preserve">eporting </w:t>
      </w:r>
      <w:r>
        <w:rPr>
          <w:bCs/>
        </w:rPr>
        <w:t>e</w:t>
      </w:r>
      <w:r w:rsidRPr="00801567">
        <w:rPr>
          <w:bCs/>
        </w:rPr>
        <w:t>ntity</w:t>
      </w:r>
      <w:r w:rsidR="00651FDE">
        <w:rPr>
          <w:bCs/>
        </w:rPr>
        <w:t>”</w:t>
      </w:r>
      <w:r w:rsidRPr="00801567">
        <w:rPr>
          <w:bCs/>
        </w:rPr>
        <w:t xml:space="preserve">, and </w:t>
      </w:r>
      <w:r w:rsidR="00651FDE">
        <w:rPr>
          <w:bCs/>
        </w:rPr>
        <w:t>“</w:t>
      </w:r>
      <w:r>
        <w:rPr>
          <w:bCs/>
        </w:rPr>
        <w:t>r</w:t>
      </w:r>
      <w:r w:rsidRPr="00801567">
        <w:rPr>
          <w:bCs/>
        </w:rPr>
        <w:t xml:space="preserve">eportable </w:t>
      </w:r>
      <w:r>
        <w:rPr>
          <w:bCs/>
        </w:rPr>
        <w:t>t</w:t>
      </w:r>
      <w:r w:rsidRPr="00801567">
        <w:rPr>
          <w:bCs/>
        </w:rPr>
        <w:t>ransaction</w:t>
      </w:r>
      <w:r w:rsidR="00651FDE">
        <w:rPr>
          <w:bCs/>
        </w:rPr>
        <w:t>”</w:t>
      </w:r>
      <w:r w:rsidRPr="00801567">
        <w:rPr>
          <w:bCs/>
        </w:rPr>
        <w:t xml:space="preserve"> in relation to each kind of </w:t>
      </w:r>
      <w:r>
        <w:rPr>
          <w:bCs/>
        </w:rPr>
        <w:t>r</w:t>
      </w:r>
      <w:r w:rsidRPr="00801567">
        <w:rPr>
          <w:bCs/>
        </w:rPr>
        <w:t xml:space="preserve">eporting </w:t>
      </w:r>
      <w:r>
        <w:rPr>
          <w:bCs/>
        </w:rPr>
        <w:t>e</w:t>
      </w:r>
      <w:r w:rsidRPr="00801567">
        <w:rPr>
          <w:bCs/>
        </w:rPr>
        <w:t xml:space="preserve">ntity, for the purposes of the </w:t>
      </w:r>
      <w:r>
        <w:rPr>
          <w:bCs/>
        </w:rPr>
        <w:t xml:space="preserve">2024 </w:t>
      </w:r>
      <w:r w:rsidRPr="00801567">
        <w:rPr>
          <w:bCs/>
        </w:rPr>
        <w:t>Rules.</w:t>
      </w:r>
    </w:p>
    <w:p w14:paraId="79A5CB31" w14:textId="5D7DCCAE" w:rsidR="000A099B" w:rsidRDefault="000A099B" w:rsidP="002E110A">
      <w:pPr>
        <w:pStyle w:val="LI-BodyTextParaa"/>
        <w:numPr>
          <w:ilvl w:val="0"/>
          <w:numId w:val="3"/>
        </w:numPr>
        <w:rPr>
          <w:bCs/>
        </w:rPr>
      </w:pPr>
      <w:r w:rsidRPr="00801567">
        <w:rPr>
          <w:bCs/>
        </w:rPr>
        <w:lastRenderedPageBreak/>
        <w:t xml:space="preserve">The </w:t>
      </w:r>
      <w:r w:rsidR="009E64EC">
        <w:rPr>
          <w:bCs/>
        </w:rPr>
        <w:t>“</w:t>
      </w:r>
      <w:r>
        <w:rPr>
          <w:bCs/>
        </w:rPr>
        <w:t>r</w:t>
      </w:r>
      <w:r w:rsidRPr="00801567">
        <w:rPr>
          <w:bCs/>
        </w:rPr>
        <w:t xml:space="preserve">eporting </w:t>
      </w:r>
      <w:r>
        <w:rPr>
          <w:bCs/>
        </w:rPr>
        <w:t>e</w:t>
      </w:r>
      <w:r w:rsidRPr="00801567">
        <w:rPr>
          <w:bCs/>
        </w:rPr>
        <w:t>ntity</w:t>
      </w:r>
      <w:r w:rsidR="009F1B82">
        <w:rPr>
          <w:bCs/>
        </w:rPr>
        <w:t>”</w:t>
      </w:r>
      <w:r w:rsidRPr="00801567">
        <w:rPr>
          <w:bCs/>
        </w:rPr>
        <w:t xml:space="preserve"> is the person who is required to comply with the </w:t>
      </w:r>
      <w:r>
        <w:rPr>
          <w:bCs/>
        </w:rPr>
        <w:t>r</w:t>
      </w:r>
      <w:r w:rsidRPr="00801567">
        <w:rPr>
          <w:bCs/>
        </w:rPr>
        <w:t xml:space="preserve">eporting </w:t>
      </w:r>
      <w:r>
        <w:rPr>
          <w:bCs/>
        </w:rPr>
        <w:t>r</w:t>
      </w:r>
      <w:r w:rsidRPr="00801567">
        <w:rPr>
          <w:bCs/>
        </w:rPr>
        <w:t xml:space="preserve">equirements imposed by the </w:t>
      </w:r>
      <w:r>
        <w:rPr>
          <w:bCs/>
        </w:rPr>
        <w:t xml:space="preserve">2024 </w:t>
      </w:r>
      <w:r w:rsidRPr="00801567">
        <w:rPr>
          <w:bCs/>
        </w:rPr>
        <w:t xml:space="preserve">Rules (see paragraph 901A(3)(e) of the </w:t>
      </w:r>
      <w:r>
        <w:rPr>
          <w:bCs/>
        </w:rPr>
        <w:t xml:space="preserve">Corporations </w:t>
      </w:r>
      <w:r w:rsidRPr="00801567">
        <w:rPr>
          <w:bCs/>
        </w:rPr>
        <w:t xml:space="preserve">Act). </w:t>
      </w:r>
    </w:p>
    <w:p w14:paraId="6871034B" w14:textId="37ADA7E3" w:rsidR="000A099B" w:rsidRDefault="000A099B" w:rsidP="002E110A">
      <w:pPr>
        <w:pStyle w:val="LI-BodyTextParaa"/>
        <w:numPr>
          <w:ilvl w:val="0"/>
          <w:numId w:val="3"/>
        </w:numPr>
        <w:rPr>
          <w:bCs/>
        </w:rPr>
      </w:pPr>
      <w:r w:rsidRPr="00801567">
        <w:rPr>
          <w:bCs/>
        </w:rPr>
        <w:t xml:space="preserve">A </w:t>
      </w:r>
      <w:r w:rsidR="009F1B82">
        <w:rPr>
          <w:bCs/>
        </w:rPr>
        <w:t>“</w:t>
      </w:r>
      <w:r>
        <w:rPr>
          <w:bCs/>
        </w:rPr>
        <w:t>r</w:t>
      </w:r>
      <w:r w:rsidRPr="00801567">
        <w:rPr>
          <w:bCs/>
        </w:rPr>
        <w:t xml:space="preserve">eportable </w:t>
      </w:r>
      <w:r>
        <w:rPr>
          <w:bCs/>
        </w:rPr>
        <w:t>t</w:t>
      </w:r>
      <w:r w:rsidRPr="00801567">
        <w:rPr>
          <w:bCs/>
        </w:rPr>
        <w:t>ransaction</w:t>
      </w:r>
      <w:r w:rsidR="009F1B82">
        <w:rPr>
          <w:bCs/>
        </w:rPr>
        <w:t>”</w:t>
      </w:r>
      <w:r w:rsidRPr="00801567">
        <w:rPr>
          <w:bCs/>
        </w:rPr>
        <w:t xml:space="preserve"> in relation to a </w:t>
      </w:r>
      <w:r>
        <w:rPr>
          <w:bCs/>
        </w:rPr>
        <w:t>r</w:t>
      </w:r>
      <w:r w:rsidRPr="00801567">
        <w:rPr>
          <w:bCs/>
        </w:rPr>
        <w:t xml:space="preserve">eporting </w:t>
      </w:r>
      <w:r>
        <w:rPr>
          <w:bCs/>
        </w:rPr>
        <w:t>e</w:t>
      </w:r>
      <w:r w:rsidRPr="00801567">
        <w:rPr>
          <w:bCs/>
        </w:rPr>
        <w:t xml:space="preserve">ntity referred to in column 2 of Table 1, is a </w:t>
      </w:r>
      <w:r w:rsidR="001901D4">
        <w:rPr>
          <w:bCs/>
        </w:rPr>
        <w:t>“</w:t>
      </w:r>
      <w:r>
        <w:rPr>
          <w:bCs/>
        </w:rPr>
        <w:t>d</w:t>
      </w:r>
      <w:r w:rsidRPr="00801567">
        <w:rPr>
          <w:bCs/>
        </w:rPr>
        <w:t xml:space="preserve">erivative </w:t>
      </w:r>
      <w:r>
        <w:rPr>
          <w:bCs/>
        </w:rPr>
        <w:t>t</w:t>
      </w:r>
      <w:r w:rsidRPr="00801567">
        <w:rPr>
          <w:bCs/>
        </w:rPr>
        <w:t>ransaction</w:t>
      </w:r>
      <w:r w:rsidR="00692D74">
        <w:rPr>
          <w:bCs/>
        </w:rPr>
        <w:t>”</w:t>
      </w:r>
      <w:r w:rsidRPr="00801567">
        <w:rPr>
          <w:bCs/>
        </w:rPr>
        <w:t xml:space="preserve"> (as defined in Rule 1.2.3 and section 761A of the </w:t>
      </w:r>
      <w:r>
        <w:rPr>
          <w:bCs/>
        </w:rPr>
        <w:t xml:space="preserve">Corporations </w:t>
      </w:r>
      <w:r w:rsidRPr="00801567">
        <w:rPr>
          <w:bCs/>
        </w:rPr>
        <w:t xml:space="preserve">Act) in an OTC </w:t>
      </w:r>
      <w:r>
        <w:rPr>
          <w:bCs/>
        </w:rPr>
        <w:t>d</w:t>
      </w:r>
      <w:r w:rsidRPr="00801567">
        <w:rPr>
          <w:bCs/>
        </w:rPr>
        <w:t>erivative (as defined in Rule 1.2.</w:t>
      </w:r>
      <w:r w:rsidR="00CB12D2">
        <w:rPr>
          <w:bCs/>
        </w:rPr>
        <w:t>4</w:t>
      </w:r>
      <w:r w:rsidRPr="00801567">
        <w:rPr>
          <w:bCs/>
        </w:rPr>
        <w:t>) of the kind referred to in column 3 of Table 1.</w:t>
      </w:r>
    </w:p>
    <w:p w14:paraId="5298550C" w14:textId="7730423E" w:rsidR="000A099B" w:rsidRDefault="000A099B" w:rsidP="002E110A">
      <w:pPr>
        <w:pStyle w:val="LI-BodyTextParaa"/>
        <w:numPr>
          <w:ilvl w:val="0"/>
          <w:numId w:val="3"/>
        </w:numPr>
        <w:rPr>
          <w:bCs/>
        </w:rPr>
      </w:pPr>
      <w:r w:rsidRPr="00801567">
        <w:rPr>
          <w:bCs/>
        </w:rPr>
        <w:t xml:space="preserve">The definition of </w:t>
      </w:r>
      <w:r w:rsidR="003A0CB4">
        <w:rPr>
          <w:bCs/>
        </w:rPr>
        <w:t>“</w:t>
      </w:r>
      <w:r>
        <w:rPr>
          <w:bCs/>
        </w:rPr>
        <w:t>d</w:t>
      </w:r>
      <w:r w:rsidRPr="00801567">
        <w:rPr>
          <w:bCs/>
        </w:rPr>
        <w:t xml:space="preserve">erivative </w:t>
      </w:r>
      <w:r>
        <w:rPr>
          <w:bCs/>
        </w:rPr>
        <w:t>t</w:t>
      </w:r>
      <w:r w:rsidRPr="00801567">
        <w:rPr>
          <w:bCs/>
        </w:rPr>
        <w:t>ransaction</w:t>
      </w:r>
      <w:r w:rsidR="00975DFD">
        <w:rPr>
          <w:bCs/>
        </w:rPr>
        <w:t>”</w:t>
      </w:r>
      <w:r w:rsidRPr="00801567">
        <w:rPr>
          <w:bCs/>
        </w:rPr>
        <w:t xml:space="preserve"> in the </w:t>
      </w:r>
      <w:r w:rsidR="004F50DC">
        <w:rPr>
          <w:bCs/>
        </w:rPr>
        <w:t xml:space="preserve">2024 </w:t>
      </w:r>
      <w:r w:rsidRPr="00801567">
        <w:rPr>
          <w:bCs/>
        </w:rPr>
        <w:t xml:space="preserve">Rules and </w:t>
      </w:r>
      <w:r>
        <w:rPr>
          <w:bCs/>
        </w:rPr>
        <w:t xml:space="preserve">Corporations </w:t>
      </w:r>
      <w:r w:rsidRPr="00801567">
        <w:rPr>
          <w:bCs/>
        </w:rPr>
        <w:t xml:space="preserve">Act covers entry into an arrangement that is a </w:t>
      </w:r>
      <w:r w:rsidR="0078647A">
        <w:rPr>
          <w:bCs/>
        </w:rPr>
        <w:t>“</w:t>
      </w:r>
      <w:r>
        <w:rPr>
          <w:bCs/>
        </w:rPr>
        <w:t>d</w:t>
      </w:r>
      <w:r w:rsidRPr="00801567">
        <w:rPr>
          <w:bCs/>
        </w:rPr>
        <w:t>erivative</w:t>
      </w:r>
      <w:r w:rsidR="00F32C38">
        <w:rPr>
          <w:bCs/>
        </w:rPr>
        <w:t>”</w:t>
      </w:r>
      <w:r w:rsidRPr="00801567">
        <w:rPr>
          <w:bCs/>
        </w:rPr>
        <w:t xml:space="preserve"> (as defined in Rule 1.2.3 and section 761D of the </w:t>
      </w:r>
      <w:r>
        <w:rPr>
          <w:bCs/>
        </w:rPr>
        <w:t xml:space="preserve">Corporations </w:t>
      </w:r>
      <w:r w:rsidRPr="00801567">
        <w:rPr>
          <w:bCs/>
        </w:rPr>
        <w:t xml:space="preserve">Act), and modification, </w:t>
      </w:r>
      <w:proofErr w:type="gramStart"/>
      <w:r w:rsidRPr="00801567">
        <w:rPr>
          <w:bCs/>
        </w:rPr>
        <w:t>assignment</w:t>
      </w:r>
      <w:proofErr w:type="gramEnd"/>
      <w:r w:rsidRPr="00801567">
        <w:rPr>
          <w:bCs/>
        </w:rPr>
        <w:t xml:space="preserve"> or termination of such an arrangement. However, under subparagraph 1.2.5(1)(b)(iii), an assignment of an OTC </w:t>
      </w:r>
      <w:r>
        <w:rPr>
          <w:bCs/>
        </w:rPr>
        <w:t>d</w:t>
      </w:r>
      <w:r w:rsidRPr="00801567">
        <w:rPr>
          <w:bCs/>
        </w:rPr>
        <w:t xml:space="preserve">erivative will only be a </w:t>
      </w:r>
      <w:r>
        <w:rPr>
          <w:bCs/>
        </w:rPr>
        <w:t>r</w:t>
      </w:r>
      <w:r w:rsidRPr="00801567">
        <w:rPr>
          <w:bCs/>
        </w:rPr>
        <w:t xml:space="preserve">eportable </w:t>
      </w:r>
      <w:r>
        <w:rPr>
          <w:bCs/>
        </w:rPr>
        <w:t>t</w:t>
      </w:r>
      <w:r w:rsidRPr="00801567">
        <w:rPr>
          <w:bCs/>
        </w:rPr>
        <w:t xml:space="preserve">ransaction in relation to a </w:t>
      </w:r>
      <w:r>
        <w:rPr>
          <w:bCs/>
        </w:rPr>
        <w:t>r</w:t>
      </w:r>
      <w:r w:rsidRPr="00801567">
        <w:rPr>
          <w:bCs/>
        </w:rPr>
        <w:t xml:space="preserve">eporting </w:t>
      </w:r>
      <w:r>
        <w:rPr>
          <w:bCs/>
        </w:rPr>
        <w:t>e</w:t>
      </w:r>
      <w:r w:rsidRPr="00801567">
        <w:rPr>
          <w:bCs/>
        </w:rPr>
        <w:t xml:space="preserve">ntity if the </w:t>
      </w:r>
      <w:r>
        <w:rPr>
          <w:bCs/>
        </w:rPr>
        <w:t>r</w:t>
      </w:r>
      <w:r w:rsidRPr="00801567">
        <w:rPr>
          <w:bCs/>
        </w:rPr>
        <w:t xml:space="preserve">eporting </w:t>
      </w:r>
      <w:r>
        <w:rPr>
          <w:bCs/>
        </w:rPr>
        <w:t>e</w:t>
      </w:r>
      <w:r w:rsidRPr="00801567">
        <w:rPr>
          <w:bCs/>
        </w:rPr>
        <w:t>ntity has actual knowledge of the assignment.</w:t>
      </w:r>
    </w:p>
    <w:p w14:paraId="6A77F0C3" w14:textId="5857DE1B" w:rsidR="00B01CA3" w:rsidRPr="000669B6" w:rsidRDefault="00B01CA3" w:rsidP="002E110A">
      <w:pPr>
        <w:pStyle w:val="LI-BodyTextParaa"/>
        <w:numPr>
          <w:ilvl w:val="0"/>
          <w:numId w:val="3"/>
        </w:numPr>
        <w:rPr>
          <w:bCs/>
        </w:rPr>
      </w:pPr>
      <w:r>
        <w:rPr>
          <w:bCs/>
        </w:rPr>
        <w:t xml:space="preserve">Subparagraph 1.2.5(1)(b)(iv) </w:t>
      </w:r>
      <w:r w:rsidR="005C7533">
        <w:rPr>
          <w:bCs/>
        </w:rPr>
        <w:t>includes as a</w:t>
      </w:r>
      <w:r w:rsidR="00D161C5">
        <w:rPr>
          <w:bCs/>
        </w:rPr>
        <w:t xml:space="preserve"> reportable transaction</w:t>
      </w:r>
      <w:r w:rsidR="000669B6">
        <w:rPr>
          <w:bCs/>
        </w:rPr>
        <w:t xml:space="preserve"> </w:t>
      </w:r>
      <w:r w:rsidR="000669B6">
        <w:t xml:space="preserve">a change to the way </w:t>
      </w:r>
      <w:r w:rsidR="00F65ABA">
        <w:t>a reporting entity</w:t>
      </w:r>
      <w:r w:rsidR="000669B6">
        <w:t xml:space="preserve"> records an OTC </w:t>
      </w:r>
      <w:r w:rsidR="00A171F2">
        <w:t>d</w:t>
      </w:r>
      <w:r w:rsidR="000669B6">
        <w:t xml:space="preserve">erivative in </w:t>
      </w:r>
      <w:r w:rsidR="00F65ABA">
        <w:t>the reporting entity</w:t>
      </w:r>
      <w:r w:rsidR="000669B6">
        <w:t xml:space="preserve">’s books and records, from representation as a transaction, to representation as a position, being changes that are terminations in </w:t>
      </w:r>
      <w:r w:rsidR="00F65ABA">
        <w:t>the reporting entity</w:t>
      </w:r>
      <w:r w:rsidR="000669B6">
        <w:t>’s records, and new positions recorded there.</w:t>
      </w:r>
    </w:p>
    <w:p w14:paraId="42FFB18D" w14:textId="6B4F0570" w:rsidR="000669B6" w:rsidRDefault="00EA13D9" w:rsidP="002E110A">
      <w:pPr>
        <w:pStyle w:val="LI-BodyTextParaa"/>
        <w:numPr>
          <w:ilvl w:val="0"/>
          <w:numId w:val="3"/>
        </w:numPr>
        <w:rPr>
          <w:bCs/>
        </w:rPr>
      </w:pPr>
      <w:r>
        <w:rPr>
          <w:bCs/>
        </w:rPr>
        <w:t xml:space="preserve">The note </w:t>
      </w:r>
      <w:r w:rsidR="00BA7ED5">
        <w:rPr>
          <w:bCs/>
        </w:rPr>
        <w:t xml:space="preserve">to subparagraph 1.2.5(1)(b)(iv) explains that </w:t>
      </w:r>
      <w:r w:rsidR="00CF1614">
        <w:rPr>
          <w:bCs/>
        </w:rPr>
        <w:t xml:space="preserve">the change </w:t>
      </w:r>
      <w:r w:rsidR="007C4035">
        <w:rPr>
          <w:bCs/>
        </w:rPr>
        <w:t>described</w:t>
      </w:r>
      <w:r w:rsidR="00CF1614">
        <w:rPr>
          <w:bCs/>
        </w:rPr>
        <w:t xml:space="preserve"> in subparagraph 1.2.5(1)(b)(iv)</w:t>
      </w:r>
      <w:r w:rsidR="007C4035">
        <w:rPr>
          <w:bCs/>
        </w:rPr>
        <w:t xml:space="preserve"> </w:t>
      </w:r>
      <w:r w:rsidR="00BA1987" w:rsidRPr="00BA1987">
        <w:rPr>
          <w:bCs/>
        </w:rPr>
        <w:t>includes reporting the termination of the original transaction and the reporting of a new position. Both the termination and the new position are</w:t>
      </w:r>
      <w:r w:rsidR="00D161C5">
        <w:rPr>
          <w:bCs/>
        </w:rPr>
        <w:t xml:space="preserve"> reportable transaction</w:t>
      </w:r>
      <w:r w:rsidR="00BA1987" w:rsidRPr="00BA1987">
        <w:rPr>
          <w:bCs/>
        </w:rPr>
        <w:t xml:space="preserve">s. In addition, the reporting of the new position requires the determination and reporting of a new </w:t>
      </w:r>
      <w:proofErr w:type="spellStart"/>
      <w:r w:rsidR="00BA1987" w:rsidRPr="00BA1987">
        <w:rPr>
          <w:bCs/>
        </w:rPr>
        <w:t>UTI</w:t>
      </w:r>
      <w:proofErr w:type="spellEnd"/>
      <w:r w:rsidR="00BA1987" w:rsidRPr="00BA1987">
        <w:rPr>
          <w:bCs/>
        </w:rPr>
        <w:t xml:space="preserve"> (see Rule 2.2.9)</w:t>
      </w:r>
      <w:r w:rsidR="00BA1987">
        <w:rPr>
          <w:bCs/>
        </w:rPr>
        <w:t>.</w:t>
      </w:r>
    </w:p>
    <w:p w14:paraId="5FC9CBE5" w14:textId="241B5917" w:rsidR="00CF3D24" w:rsidRDefault="00CF3D24" w:rsidP="002E110A">
      <w:pPr>
        <w:pStyle w:val="LI-BodyTextParaa"/>
        <w:numPr>
          <w:ilvl w:val="0"/>
          <w:numId w:val="3"/>
        </w:numPr>
        <w:rPr>
          <w:bCs/>
        </w:rPr>
      </w:pPr>
      <w:r w:rsidRPr="007D1089">
        <w:rPr>
          <w:bCs/>
        </w:rPr>
        <w:t xml:space="preserve">Paragraph (d) of the definition of </w:t>
      </w:r>
      <w:r w:rsidR="00B80674">
        <w:rPr>
          <w:bCs/>
        </w:rPr>
        <w:t>“</w:t>
      </w:r>
      <w:r w:rsidRPr="007D1089">
        <w:rPr>
          <w:bCs/>
        </w:rPr>
        <w:t>derivative transaction</w:t>
      </w:r>
      <w:r w:rsidR="00B80674">
        <w:rPr>
          <w:bCs/>
        </w:rPr>
        <w:t>”</w:t>
      </w:r>
      <w:r w:rsidRPr="007D1089">
        <w:rPr>
          <w:bCs/>
        </w:rPr>
        <w:t xml:space="preserve"> in section 761A</w:t>
      </w:r>
      <w:r>
        <w:rPr>
          <w:bCs/>
        </w:rPr>
        <w:t xml:space="preserve"> of the Corporations Act</w:t>
      </w:r>
      <w:r w:rsidRPr="007D1089">
        <w:rPr>
          <w:bCs/>
        </w:rPr>
        <w:t xml:space="preserve"> also allows for other types of transaction to be included through the </w:t>
      </w:r>
      <w:r>
        <w:rPr>
          <w:bCs/>
        </w:rPr>
        <w:t>Corporations R</w:t>
      </w:r>
      <w:r w:rsidRPr="007D1089">
        <w:rPr>
          <w:bCs/>
        </w:rPr>
        <w:t xml:space="preserve">egulations. As at the date of making the </w:t>
      </w:r>
      <w:r>
        <w:rPr>
          <w:bCs/>
        </w:rPr>
        <w:t xml:space="preserve">2024 </w:t>
      </w:r>
      <w:r w:rsidRPr="007D1089">
        <w:rPr>
          <w:bCs/>
        </w:rPr>
        <w:t xml:space="preserve">Rules, there are no regulations under paragraph (d) of the definition of </w:t>
      </w:r>
      <w:r w:rsidR="00B80674">
        <w:rPr>
          <w:bCs/>
        </w:rPr>
        <w:t>“</w:t>
      </w:r>
      <w:r w:rsidRPr="007D1089">
        <w:rPr>
          <w:bCs/>
        </w:rPr>
        <w:t>derivative transaction</w:t>
      </w:r>
      <w:r w:rsidR="00B80674">
        <w:rPr>
          <w:bCs/>
        </w:rPr>
        <w:t>”</w:t>
      </w:r>
      <w:r w:rsidRPr="007D1089">
        <w:rPr>
          <w:bCs/>
        </w:rPr>
        <w:t xml:space="preserve"> in section 761A</w:t>
      </w:r>
      <w:r>
        <w:rPr>
          <w:bCs/>
        </w:rPr>
        <w:t xml:space="preserve"> of the Corporations Act</w:t>
      </w:r>
      <w:r w:rsidRPr="007D1089">
        <w:rPr>
          <w:bCs/>
        </w:rPr>
        <w:t>.</w:t>
      </w:r>
    </w:p>
    <w:p w14:paraId="480FC957" w14:textId="77777777" w:rsidR="003A4640" w:rsidRPr="000374BE" w:rsidRDefault="003A4640" w:rsidP="002E110A">
      <w:pPr>
        <w:pStyle w:val="LI-BodyTextParaa"/>
        <w:numPr>
          <w:ilvl w:val="0"/>
          <w:numId w:val="3"/>
        </w:numPr>
        <w:rPr>
          <w:bCs/>
        </w:rPr>
      </w:pPr>
      <w:r w:rsidRPr="007E7FC6">
        <w:t>Table 1 below summarises the definitions in Rule 1.2.5.</w:t>
      </w:r>
    </w:p>
    <w:p w14:paraId="20ABFABB" w14:textId="77777777" w:rsidR="003A4640" w:rsidRPr="00191870" w:rsidRDefault="003A4640" w:rsidP="003A4640">
      <w:pPr>
        <w:tabs>
          <w:tab w:val="num" w:pos="1276"/>
        </w:tabs>
        <w:jc w:val="both"/>
        <w:rPr>
          <w:sz w:val="23"/>
          <w:szCs w:val="23"/>
        </w:rPr>
      </w:pPr>
    </w:p>
    <w:p w14:paraId="79482352" w14:textId="77777777" w:rsidR="00655801" w:rsidRDefault="00655801">
      <w:pPr>
        <w:spacing w:line="240" w:lineRule="auto"/>
        <w:rPr>
          <w:rFonts w:ascii="Arial" w:hAnsi="Arial" w:cs="Arial"/>
          <w:b/>
          <w:sz w:val="20"/>
        </w:rPr>
      </w:pPr>
      <w:r>
        <w:rPr>
          <w:rFonts w:ascii="Arial" w:hAnsi="Arial" w:cs="Arial"/>
          <w:b/>
          <w:sz w:val="20"/>
        </w:rPr>
        <w:br w:type="page"/>
      </w:r>
    </w:p>
    <w:p w14:paraId="00BE8F89" w14:textId="6AC74252" w:rsidR="003A4640" w:rsidRDefault="003A4640" w:rsidP="003A4640">
      <w:pPr>
        <w:tabs>
          <w:tab w:val="num" w:pos="1276"/>
        </w:tabs>
        <w:jc w:val="both"/>
        <w:rPr>
          <w:rFonts w:ascii="Arial" w:hAnsi="Arial" w:cs="Arial"/>
          <w:b/>
          <w:sz w:val="20"/>
        </w:rPr>
      </w:pPr>
      <w:r w:rsidRPr="00152E48">
        <w:rPr>
          <w:rFonts w:ascii="Arial" w:hAnsi="Arial" w:cs="Arial"/>
          <w:b/>
          <w:sz w:val="20"/>
        </w:rPr>
        <w:lastRenderedPageBreak/>
        <w:t>Table 1 –</w:t>
      </w:r>
      <w:r w:rsidR="00F65ABA">
        <w:rPr>
          <w:rFonts w:ascii="Arial" w:hAnsi="Arial" w:cs="Arial"/>
          <w:b/>
          <w:sz w:val="20"/>
        </w:rPr>
        <w:t xml:space="preserve"> </w:t>
      </w:r>
      <w:r w:rsidR="00E53DB1">
        <w:rPr>
          <w:rFonts w:ascii="Arial" w:hAnsi="Arial" w:cs="Arial"/>
          <w:b/>
          <w:sz w:val="20"/>
        </w:rPr>
        <w:t>R</w:t>
      </w:r>
      <w:r w:rsidR="00F65ABA">
        <w:rPr>
          <w:rFonts w:ascii="Arial" w:hAnsi="Arial" w:cs="Arial"/>
          <w:b/>
          <w:sz w:val="20"/>
        </w:rPr>
        <w:t>eporting entities</w:t>
      </w:r>
      <w:r w:rsidRPr="00152E48">
        <w:rPr>
          <w:rFonts w:ascii="Arial" w:hAnsi="Arial" w:cs="Arial"/>
          <w:b/>
          <w:sz w:val="20"/>
        </w:rPr>
        <w:t xml:space="preserve"> and</w:t>
      </w:r>
      <w:r w:rsidR="00D161C5">
        <w:rPr>
          <w:rFonts w:ascii="Arial" w:hAnsi="Arial" w:cs="Arial"/>
          <w:b/>
          <w:sz w:val="20"/>
        </w:rPr>
        <w:t xml:space="preserve"> reportable transaction</w:t>
      </w:r>
      <w:r w:rsidRPr="00152E48">
        <w:rPr>
          <w:rFonts w:ascii="Arial" w:hAnsi="Arial" w:cs="Arial"/>
          <w:b/>
          <w:sz w:val="20"/>
        </w:rPr>
        <w:t>s</w:t>
      </w:r>
    </w:p>
    <w:p w14:paraId="299525B5" w14:textId="77777777" w:rsidR="003A4640" w:rsidRPr="00152E48" w:rsidRDefault="003A4640" w:rsidP="003A4640">
      <w:pPr>
        <w:tabs>
          <w:tab w:val="num" w:pos="1276"/>
        </w:tabs>
        <w:jc w:val="both"/>
        <w:rPr>
          <w:rFonts w:ascii="Arial" w:hAnsi="Arial" w:cs="Arial"/>
          <w:b/>
          <w:sz w:val="20"/>
        </w:rPr>
      </w:pPr>
    </w:p>
    <w:tbl>
      <w:tblPr>
        <w:tblW w:w="0" w:type="auto"/>
        <w:tblBorders>
          <w:top w:val="single" w:sz="4" w:space="0" w:color="999999"/>
          <w:bottom w:val="single" w:sz="4" w:space="0" w:color="999999"/>
          <w:insideH w:val="single" w:sz="4" w:space="0" w:color="999999"/>
        </w:tblBorders>
        <w:tblCellMar>
          <w:bottom w:w="113" w:type="dxa"/>
        </w:tblCellMar>
        <w:tblLook w:val="04A0" w:firstRow="1" w:lastRow="0" w:firstColumn="1" w:lastColumn="0" w:noHBand="0" w:noVBand="1"/>
      </w:tblPr>
      <w:tblGrid>
        <w:gridCol w:w="3817"/>
        <w:gridCol w:w="4496"/>
      </w:tblGrid>
      <w:tr w:rsidR="003C01A0" w:rsidRPr="00191870" w14:paraId="4DE2DFE7" w14:textId="77777777" w:rsidTr="00C50CCA">
        <w:trPr>
          <w:cantSplit/>
          <w:tblHeader/>
        </w:trPr>
        <w:tc>
          <w:tcPr>
            <w:tcW w:w="0" w:type="auto"/>
            <w:tcBorders>
              <w:top w:val="single" w:sz="4" w:space="0" w:color="999999"/>
              <w:left w:val="nil"/>
              <w:bottom w:val="single" w:sz="4" w:space="0" w:color="999999"/>
              <w:right w:val="nil"/>
            </w:tcBorders>
            <w:shd w:val="clear" w:color="auto" w:fill="C2E3FA"/>
            <w:tcMar>
              <w:top w:w="108" w:type="dxa"/>
            </w:tcMar>
            <w:hideMark/>
          </w:tcPr>
          <w:p w14:paraId="59D4474D" w14:textId="2B4666BE" w:rsidR="003A4640" w:rsidRPr="0077760F" w:rsidRDefault="003A4640" w:rsidP="00C50CCA">
            <w:pPr>
              <w:tabs>
                <w:tab w:val="num" w:pos="1276"/>
              </w:tabs>
              <w:jc w:val="both"/>
              <w:rPr>
                <w:rFonts w:ascii="Arial" w:hAnsi="Arial" w:cs="Arial"/>
                <w:b/>
                <w:sz w:val="20"/>
              </w:rPr>
            </w:pPr>
            <w:r w:rsidRPr="0077760F">
              <w:rPr>
                <w:rFonts w:ascii="Arial" w:hAnsi="Arial" w:cs="Arial"/>
                <w:b/>
                <w:sz w:val="20"/>
              </w:rPr>
              <w:t xml:space="preserve">Reporting </w:t>
            </w:r>
            <w:r w:rsidR="00E53DB1">
              <w:rPr>
                <w:rFonts w:ascii="Arial" w:hAnsi="Arial" w:cs="Arial"/>
                <w:b/>
                <w:sz w:val="20"/>
              </w:rPr>
              <w:t>e</w:t>
            </w:r>
            <w:r w:rsidR="00E53DB1" w:rsidRPr="0077760F">
              <w:rPr>
                <w:rFonts w:ascii="Arial" w:hAnsi="Arial" w:cs="Arial"/>
                <w:b/>
                <w:sz w:val="20"/>
              </w:rPr>
              <w:t>ntity</w:t>
            </w:r>
          </w:p>
        </w:tc>
        <w:tc>
          <w:tcPr>
            <w:tcW w:w="0" w:type="auto"/>
            <w:tcBorders>
              <w:top w:val="single" w:sz="4" w:space="0" w:color="999999"/>
              <w:left w:val="nil"/>
              <w:bottom w:val="single" w:sz="4" w:space="0" w:color="999999"/>
              <w:right w:val="nil"/>
            </w:tcBorders>
            <w:shd w:val="clear" w:color="auto" w:fill="C2E3FA"/>
            <w:tcMar>
              <w:top w:w="108" w:type="dxa"/>
            </w:tcMar>
            <w:hideMark/>
          </w:tcPr>
          <w:p w14:paraId="3FC0434E" w14:textId="04B7EDD2" w:rsidR="003A4640" w:rsidRPr="0077760F" w:rsidRDefault="003A4640" w:rsidP="00C50CCA">
            <w:pPr>
              <w:tabs>
                <w:tab w:val="num" w:pos="1276"/>
              </w:tabs>
              <w:jc w:val="both"/>
              <w:rPr>
                <w:rFonts w:ascii="Arial" w:hAnsi="Arial" w:cs="Arial"/>
                <w:b/>
                <w:sz w:val="20"/>
              </w:rPr>
            </w:pPr>
            <w:r w:rsidRPr="0077760F">
              <w:rPr>
                <w:rFonts w:ascii="Arial" w:hAnsi="Arial" w:cs="Arial"/>
                <w:b/>
                <w:sz w:val="20"/>
              </w:rPr>
              <w:t xml:space="preserve">Reportable </w:t>
            </w:r>
            <w:r w:rsidR="00E53DB1">
              <w:rPr>
                <w:rFonts w:ascii="Arial" w:hAnsi="Arial" w:cs="Arial"/>
                <w:b/>
                <w:sz w:val="20"/>
              </w:rPr>
              <w:t>t</w:t>
            </w:r>
            <w:r w:rsidR="00E53DB1" w:rsidRPr="0077760F">
              <w:rPr>
                <w:rFonts w:ascii="Arial" w:hAnsi="Arial" w:cs="Arial"/>
                <w:b/>
                <w:sz w:val="20"/>
              </w:rPr>
              <w:t>ransaction</w:t>
            </w:r>
          </w:p>
        </w:tc>
      </w:tr>
      <w:tr w:rsidR="003C01A0" w:rsidRPr="00191870" w14:paraId="0298F22B" w14:textId="77777777" w:rsidTr="00C50CCA">
        <w:trPr>
          <w:cantSplit/>
        </w:trPr>
        <w:tc>
          <w:tcPr>
            <w:tcW w:w="0" w:type="auto"/>
            <w:tcBorders>
              <w:top w:val="single" w:sz="4" w:space="0" w:color="999999"/>
              <w:left w:val="nil"/>
              <w:bottom w:val="single" w:sz="4" w:space="0" w:color="999999"/>
              <w:right w:val="nil"/>
            </w:tcBorders>
            <w:tcMar>
              <w:top w:w="108" w:type="dxa"/>
            </w:tcMar>
            <w:hideMark/>
          </w:tcPr>
          <w:p w14:paraId="4063B053" w14:textId="77777777" w:rsidR="007920AA" w:rsidRDefault="003A4640" w:rsidP="00C50CCA">
            <w:pPr>
              <w:tabs>
                <w:tab w:val="num" w:pos="1276"/>
              </w:tabs>
              <w:rPr>
                <w:rFonts w:ascii="Arial" w:hAnsi="Arial" w:cs="Arial"/>
                <w:sz w:val="20"/>
              </w:rPr>
            </w:pPr>
            <w:r w:rsidRPr="0077760F">
              <w:rPr>
                <w:rFonts w:ascii="Arial" w:hAnsi="Arial" w:cs="Arial"/>
                <w:sz w:val="20"/>
              </w:rPr>
              <w:t>An</w:t>
            </w:r>
            <w:r w:rsidR="00F64B66">
              <w:rPr>
                <w:rFonts w:ascii="Arial" w:hAnsi="Arial" w:cs="Arial"/>
                <w:sz w:val="20"/>
              </w:rPr>
              <w:t xml:space="preserve"> Australian entity</w:t>
            </w:r>
            <w:r>
              <w:rPr>
                <w:rFonts w:ascii="Arial" w:hAnsi="Arial" w:cs="Arial"/>
                <w:sz w:val="20"/>
              </w:rPr>
              <w:t xml:space="preserve"> (defined in Rule 1.2.3 as </w:t>
            </w:r>
            <w:r w:rsidRPr="00130A3A">
              <w:rPr>
                <w:rFonts w:ascii="Arial" w:hAnsi="Arial" w:cs="Arial"/>
                <w:sz w:val="20"/>
              </w:rPr>
              <w:t>an entity (including a corporation, partnership, managed investment scheme or trust) that is incorporated or formed in this jurisdiction</w:t>
            </w:r>
            <w:r>
              <w:rPr>
                <w:rFonts w:ascii="Arial" w:hAnsi="Arial" w:cs="Arial"/>
                <w:sz w:val="20"/>
              </w:rPr>
              <w:t>)</w:t>
            </w:r>
            <w:r w:rsidR="007920AA">
              <w:rPr>
                <w:rFonts w:ascii="Arial" w:hAnsi="Arial" w:cs="Arial"/>
                <w:sz w:val="20"/>
              </w:rPr>
              <w:t xml:space="preserve"> that is:</w:t>
            </w:r>
          </w:p>
          <w:p w14:paraId="77CDDC66" w14:textId="22C442B0" w:rsidR="007920AA" w:rsidRDefault="007920AA" w:rsidP="00C50CCA">
            <w:pPr>
              <w:tabs>
                <w:tab w:val="num" w:pos="1276"/>
              </w:tabs>
              <w:rPr>
                <w:rFonts w:ascii="Arial" w:hAnsi="Arial" w:cs="Arial"/>
                <w:sz w:val="20"/>
              </w:rPr>
            </w:pPr>
            <w:r>
              <w:rPr>
                <w:rFonts w:ascii="Arial" w:hAnsi="Arial" w:cs="Arial"/>
                <w:sz w:val="20"/>
              </w:rPr>
              <w:t xml:space="preserve">(a) an Australian </w:t>
            </w:r>
            <w:proofErr w:type="gramStart"/>
            <w:r>
              <w:rPr>
                <w:rFonts w:ascii="Arial" w:hAnsi="Arial" w:cs="Arial"/>
                <w:sz w:val="20"/>
              </w:rPr>
              <w:t>ADI</w:t>
            </w:r>
            <w:r w:rsidR="00257966">
              <w:rPr>
                <w:rFonts w:ascii="Arial" w:hAnsi="Arial" w:cs="Arial"/>
                <w:sz w:val="20"/>
              </w:rPr>
              <w:t>;</w:t>
            </w:r>
            <w:proofErr w:type="gramEnd"/>
          </w:p>
          <w:p w14:paraId="106315C6" w14:textId="77777777" w:rsidR="007920AA" w:rsidRDefault="007920AA" w:rsidP="00C50CCA">
            <w:pPr>
              <w:tabs>
                <w:tab w:val="num" w:pos="1276"/>
              </w:tabs>
              <w:rPr>
                <w:rFonts w:ascii="Arial" w:hAnsi="Arial" w:cs="Arial"/>
                <w:sz w:val="20"/>
              </w:rPr>
            </w:pPr>
            <w:r>
              <w:rPr>
                <w:rFonts w:ascii="Arial" w:hAnsi="Arial" w:cs="Arial"/>
                <w:sz w:val="20"/>
              </w:rPr>
              <w:t>(b) an AFS Licensee; or</w:t>
            </w:r>
          </w:p>
          <w:p w14:paraId="13B46F39" w14:textId="0153FABF" w:rsidR="003A4640" w:rsidRPr="00130A3A" w:rsidRDefault="007920AA" w:rsidP="00C50CCA">
            <w:pPr>
              <w:tabs>
                <w:tab w:val="num" w:pos="1276"/>
              </w:tabs>
              <w:rPr>
                <w:rFonts w:ascii="Arial" w:hAnsi="Arial" w:cs="Arial"/>
                <w:b/>
                <w:sz w:val="20"/>
                <w:u w:val="single"/>
              </w:rPr>
            </w:pPr>
            <w:r>
              <w:rPr>
                <w:rFonts w:ascii="Arial" w:hAnsi="Arial" w:cs="Arial"/>
                <w:sz w:val="20"/>
              </w:rPr>
              <w:t>(</w:t>
            </w:r>
            <w:r w:rsidR="00367B98">
              <w:rPr>
                <w:rFonts w:ascii="Arial" w:hAnsi="Arial" w:cs="Arial"/>
                <w:sz w:val="20"/>
              </w:rPr>
              <w:t>c</w:t>
            </w:r>
            <w:r>
              <w:rPr>
                <w:rFonts w:ascii="Arial" w:hAnsi="Arial" w:cs="Arial"/>
                <w:sz w:val="20"/>
              </w:rPr>
              <w:t>) a CS Facility Licensee.</w:t>
            </w:r>
          </w:p>
          <w:p w14:paraId="0C1B8A11" w14:textId="77777777" w:rsidR="003A4640" w:rsidRPr="0077760F" w:rsidRDefault="003A4640" w:rsidP="00C50CCA">
            <w:pPr>
              <w:tabs>
                <w:tab w:val="num" w:pos="1276"/>
              </w:tabs>
              <w:rPr>
                <w:rFonts w:ascii="Arial" w:hAnsi="Arial" w:cs="Arial"/>
                <w:sz w:val="20"/>
              </w:rPr>
            </w:pPr>
          </w:p>
        </w:tc>
        <w:tc>
          <w:tcPr>
            <w:tcW w:w="0" w:type="auto"/>
            <w:tcBorders>
              <w:top w:val="single" w:sz="4" w:space="0" w:color="999999"/>
              <w:left w:val="nil"/>
              <w:bottom w:val="single" w:sz="4" w:space="0" w:color="999999"/>
              <w:right w:val="nil"/>
            </w:tcBorders>
            <w:tcMar>
              <w:top w:w="108" w:type="dxa"/>
            </w:tcMar>
            <w:hideMark/>
          </w:tcPr>
          <w:p w14:paraId="178C7609" w14:textId="07D81109" w:rsidR="003A4640" w:rsidRPr="0077760F" w:rsidRDefault="003A4640" w:rsidP="00C50CCA">
            <w:pPr>
              <w:tabs>
                <w:tab w:val="num" w:pos="1276"/>
              </w:tabs>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assignment of an OTC </w:t>
            </w:r>
            <w:r w:rsidR="00A171F2">
              <w:rPr>
                <w:rFonts w:ascii="Arial" w:hAnsi="Arial" w:cs="Arial"/>
                <w:sz w:val="20"/>
              </w:rPr>
              <w:t>d</w:t>
            </w:r>
            <w:r w:rsidR="00A171F2" w:rsidRPr="0077760F">
              <w:rPr>
                <w:rFonts w:ascii="Arial" w:hAnsi="Arial" w:cs="Arial"/>
                <w:sz w:val="20"/>
              </w:rPr>
              <w:t xml:space="preserve">erivative </w:t>
            </w:r>
            <w:r w:rsidRPr="0077760F">
              <w:rPr>
                <w:rFonts w:ascii="Arial" w:hAnsi="Arial" w:cs="Arial"/>
                <w:sz w:val="20"/>
              </w:rPr>
              <w:t xml:space="preserve">to which </w:t>
            </w:r>
            <w:r w:rsidR="00F65ABA">
              <w:rPr>
                <w:rFonts w:ascii="Arial" w:hAnsi="Arial" w:cs="Arial"/>
                <w:sz w:val="20"/>
              </w:rPr>
              <w:t>the reporting entity</w:t>
            </w:r>
            <w:r w:rsidRPr="0077760F">
              <w:rPr>
                <w:rFonts w:ascii="Arial" w:hAnsi="Arial" w:cs="Arial"/>
                <w:sz w:val="20"/>
              </w:rPr>
              <w:t xml:space="preserve"> is a counterparty, regardless of where the OTC </w:t>
            </w:r>
            <w:r w:rsidR="00A171F2">
              <w:rPr>
                <w:rFonts w:ascii="Arial" w:hAnsi="Arial" w:cs="Arial"/>
                <w:sz w:val="20"/>
              </w:rPr>
              <w:t>d</w:t>
            </w:r>
            <w:r w:rsidRPr="0077760F">
              <w:rPr>
                <w:rFonts w:ascii="Arial" w:hAnsi="Arial" w:cs="Arial"/>
                <w:sz w:val="20"/>
              </w:rPr>
              <w:t>erivative is entered into</w:t>
            </w:r>
            <w:r w:rsidR="00A01489">
              <w:rPr>
                <w:rFonts w:ascii="Arial" w:hAnsi="Arial" w:cs="Arial"/>
                <w:sz w:val="20"/>
              </w:rPr>
              <w:t>.</w:t>
            </w:r>
          </w:p>
        </w:tc>
      </w:tr>
      <w:tr w:rsidR="003C01A0" w:rsidRPr="00191870" w14:paraId="1E39C44D" w14:textId="77777777" w:rsidTr="00C50CCA">
        <w:trPr>
          <w:cantSplit/>
        </w:trPr>
        <w:tc>
          <w:tcPr>
            <w:tcW w:w="0" w:type="auto"/>
            <w:tcBorders>
              <w:top w:val="single" w:sz="4" w:space="0" w:color="999999"/>
              <w:left w:val="nil"/>
              <w:bottom w:val="single" w:sz="4" w:space="0" w:color="999999"/>
              <w:right w:val="nil"/>
            </w:tcBorders>
            <w:tcMar>
              <w:top w:w="108" w:type="dxa"/>
            </w:tcMar>
            <w:hideMark/>
          </w:tcPr>
          <w:p w14:paraId="6242A270" w14:textId="515EA58B" w:rsidR="003A4640" w:rsidRPr="0077760F" w:rsidRDefault="003A4640" w:rsidP="00C50CCA">
            <w:pPr>
              <w:tabs>
                <w:tab w:val="num" w:pos="1276"/>
              </w:tabs>
              <w:rPr>
                <w:rFonts w:ascii="Arial" w:hAnsi="Arial" w:cs="Arial"/>
                <w:sz w:val="20"/>
              </w:rPr>
            </w:pPr>
            <w:r w:rsidRPr="0077760F">
              <w:rPr>
                <w:rFonts w:ascii="Arial" w:hAnsi="Arial" w:cs="Arial"/>
                <w:sz w:val="20"/>
              </w:rPr>
              <w:t>A</w:t>
            </w:r>
            <w:r w:rsidR="00E70525">
              <w:rPr>
                <w:rFonts w:ascii="Arial" w:hAnsi="Arial" w:cs="Arial"/>
                <w:sz w:val="20"/>
              </w:rPr>
              <w:t xml:space="preserve"> foreign ADI</w:t>
            </w:r>
            <w:r w:rsidRPr="0077760F">
              <w:rPr>
                <w:rFonts w:ascii="Arial" w:hAnsi="Arial" w:cs="Arial"/>
                <w:sz w:val="20"/>
              </w:rPr>
              <w:t xml:space="preserve"> that has a branch located in this jurisdiction</w:t>
            </w:r>
            <w:r w:rsidR="007E5568">
              <w:rPr>
                <w:rFonts w:ascii="Arial" w:hAnsi="Arial" w:cs="Arial"/>
                <w:sz w:val="20"/>
              </w:rPr>
              <w:t>.</w:t>
            </w:r>
            <w:r w:rsidRPr="0077760F">
              <w:rPr>
                <w:rFonts w:ascii="Arial" w:hAnsi="Arial" w:cs="Arial"/>
                <w:sz w:val="20"/>
              </w:rPr>
              <w:t xml:space="preserve"> </w:t>
            </w:r>
          </w:p>
        </w:tc>
        <w:tc>
          <w:tcPr>
            <w:tcW w:w="0" w:type="auto"/>
            <w:vMerge w:val="restart"/>
            <w:tcBorders>
              <w:top w:val="single" w:sz="4" w:space="0" w:color="999999"/>
              <w:left w:val="nil"/>
              <w:bottom w:val="single" w:sz="4" w:space="0" w:color="999999"/>
              <w:right w:val="nil"/>
            </w:tcBorders>
            <w:tcMar>
              <w:top w:w="108" w:type="dxa"/>
            </w:tcMar>
            <w:hideMark/>
          </w:tcPr>
          <w:p w14:paraId="315E85BE" w14:textId="178B0101" w:rsidR="003A4640" w:rsidRPr="0077760F" w:rsidRDefault="003A4640" w:rsidP="0046428E">
            <w:pPr>
              <w:tabs>
                <w:tab w:val="num" w:pos="1276"/>
              </w:tabs>
              <w:spacing w:after="120"/>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w:t>
            </w:r>
            <w:r>
              <w:rPr>
                <w:rFonts w:ascii="Arial" w:hAnsi="Arial" w:cs="Arial"/>
                <w:sz w:val="20"/>
              </w:rPr>
              <w:t>assignment of an</w:t>
            </w:r>
            <w:r w:rsidR="00A171F2">
              <w:rPr>
                <w:rFonts w:ascii="Arial" w:hAnsi="Arial" w:cs="Arial"/>
                <w:sz w:val="20"/>
              </w:rPr>
              <w:t xml:space="preserve"> OTC derivative</w:t>
            </w:r>
            <w:r w:rsidRPr="0077760F">
              <w:rPr>
                <w:rFonts w:ascii="Arial" w:hAnsi="Arial" w:cs="Arial"/>
                <w:sz w:val="20"/>
              </w:rPr>
              <w:t>:</w:t>
            </w:r>
          </w:p>
          <w:p w14:paraId="61DFD46A" w14:textId="3EC3EDE8" w:rsidR="00883C85" w:rsidRPr="0046428E" w:rsidRDefault="000E3F08" w:rsidP="002E110A">
            <w:pPr>
              <w:numPr>
                <w:ilvl w:val="0"/>
                <w:numId w:val="8"/>
              </w:numPr>
              <w:spacing w:after="120" w:line="240" w:lineRule="auto"/>
              <w:rPr>
                <w:rFonts w:ascii="Arial" w:hAnsi="Arial" w:cs="Arial"/>
                <w:sz w:val="20"/>
              </w:rPr>
            </w:pPr>
            <w:r w:rsidRPr="0046428E">
              <w:rPr>
                <w:rFonts w:ascii="Arial" w:hAnsi="Arial" w:cs="Arial"/>
                <w:sz w:val="20"/>
              </w:rPr>
              <w:t xml:space="preserve">entered into with a </w:t>
            </w:r>
            <w:r w:rsidR="00BB3E41">
              <w:rPr>
                <w:rFonts w:ascii="Arial" w:hAnsi="Arial" w:cs="Arial"/>
                <w:sz w:val="20"/>
              </w:rPr>
              <w:t>r</w:t>
            </w:r>
            <w:r w:rsidRPr="0046428E">
              <w:rPr>
                <w:rFonts w:ascii="Arial" w:hAnsi="Arial" w:cs="Arial"/>
                <w:sz w:val="20"/>
              </w:rPr>
              <w:t xml:space="preserve">etail </w:t>
            </w:r>
            <w:r w:rsidR="00BB3E41">
              <w:rPr>
                <w:rFonts w:ascii="Arial" w:hAnsi="Arial" w:cs="Arial"/>
                <w:sz w:val="20"/>
              </w:rPr>
              <w:t>c</w:t>
            </w:r>
            <w:r w:rsidRPr="0046428E">
              <w:rPr>
                <w:rFonts w:ascii="Arial" w:hAnsi="Arial" w:cs="Arial"/>
                <w:sz w:val="20"/>
              </w:rPr>
              <w:t xml:space="preserve">lient located in this </w:t>
            </w:r>
            <w:proofErr w:type="gramStart"/>
            <w:r w:rsidRPr="0046428E">
              <w:rPr>
                <w:rFonts w:ascii="Arial" w:hAnsi="Arial" w:cs="Arial"/>
                <w:sz w:val="20"/>
              </w:rPr>
              <w:t>jurisdiction;</w:t>
            </w:r>
            <w:proofErr w:type="gramEnd"/>
          </w:p>
          <w:p w14:paraId="6281DE6B" w14:textId="2FE9ECCB" w:rsidR="003A4640" w:rsidRPr="00E9558B" w:rsidRDefault="003A4640" w:rsidP="002E110A">
            <w:pPr>
              <w:numPr>
                <w:ilvl w:val="0"/>
                <w:numId w:val="8"/>
              </w:numPr>
              <w:spacing w:after="120" w:line="240" w:lineRule="auto"/>
              <w:rPr>
                <w:rFonts w:ascii="Arial" w:hAnsi="Arial" w:cs="Arial"/>
                <w:sz w:val="20"/>
              </w:rPr>
            </w:pPr>
            <w:r w:rsidRPr="0077760F">
              <w:rPr>
                <w:rFonts w:ascii="Arial" w:hAnsi="Arial" w:cs="Arial"/>
                <w:sz w:val="20"/>
              </w:rPr>
              <w:t xml:space="preserve">booked to the profit or loss account of a branch of </w:t>
            </w:r>
            <w:r w:rsidR="00F65ABA">
              <w:rPr>
                <w:rFonts w:ascii="Arial" w:hAnsi="Arial" w:cs="Arial"/>
                <w:sz w:val="20"/>
              </w:rPr>
              <w:t>the reporting entity</w:t>
            </w:r>
            <w:r w:rsidRPr="0077760F">
              <w:rPr>
                <w:rFonts w:ascii="Arial" w:hAnsi="Arial" w:cs="Arial"/>
                <w:sz w:val="20"/>
              </w:rPr>
              <w:t xml:space="preserve"> located in this jurisdiction; or</w:t>
            </w:r>
          </w:p>
          <w:p w14:paraId="2B3EAB2E" w14:textId="1890DC27" w:rsidR="003A4640" w:rsidRPr="0077760F" w:rsidRDefault="003A4640" w:rsidP="002E110A">
            <w:pPr>
              <w:numPr>
                <w:ilvl w:val="0"/>
                <w:numId w:val="8"/>
              </w:numPr>
              <w:spacing w:after="120" w:line="240" w:lineRule="auto"/>
              <w:rPr>
                <w:rFonts w:ascii="Arial" w:hAnsi="Arial" w:cs="Arial"/>
                <w:sz w:val="20"/>
              </w:rPr>
            </w:pPr>
            <w:r w:rsidRPr="0077760F">
              <w:rPr>
                <w:rFonts w:ascii="Arial" w:hAnsi="Arial" w:cs="Arial"/>
                <w:sz w:val="20"/>
              </w:rPr>
              <w:t xml:space="preserve">entered into by </w:t>
            </w:r>
            <w:r w:rsidR="00F65ABA">
              <w:rPr>
                <w:rFonts w:ascii="Arial" w:hAnsi="Arial" w:cs="Arial"/>
                <w:sz w:val="20"/>
              </w:rPr>
              <w:t>the reporting entity</w:t>
            </w:r>
            <w:r w:rsidRPr="0077760F">
              <w:rPr>
                <w:rFonts w:ascii="Arial" w:hAnsi="Arial" w:cs="Arial"/>
                <w:sz w:val="20"/>
              </w:rPr>
              <w:t xml:space="preserve"> in this jurisdiction</w:t>
            </w:r>
            <w:r w:rsidR="007E5568">
              <w:rPr>
                <w:rFonts w:ascii="Arial" w:hAnsi="Arial" w:cs="Arial"/>
                <w:sz w:val="20"/>
              </w:rPr>
              <w:t>.</w:t>
            </w:r>
          </w:p>
        </w:tc>
      </w:tr>
      <w:tr w:rsidR="003C01A0" w:rsidRPr="00191870" w14:paraId="02262307" w14:textId="77777777" w:rsidTr="00C50CCA">
        <w:trPr>
          <w:cantSplit/>
        </w:trPr>
        <w:tc>
          <w:tcPr>
            <w:tcW w:w="0" w:type="auto"/>
            <w:tcBorders>
              <w:top w:val="single" w:sz="4" w:space="0" w:color="999999"/>
              <w:left w:val="nil"/>
              <w:bottom w:val="single" w:sz="4" w:space="0" w:color="999999"/>
              <w:right w:val="nil"/>
            </w:tcBorders>
            <w:tcMar>
              <w:top w:w="108" w:type="dxa"/>
            </w:tcMar>
            <w:hideMark/>
          </w:tcPr>
          <w:p w14:paraId="1820BF76" w14:textId="77777777" w:rsidR="003A4640" w:rsidRDefault="003A4640" w:rsidP="00C50CCA">
            <w:pPr>
              <w:tabs>
                <w:tab w:val="num" w:pos="1276"/>
              </w:tabs>
              <w:rPr>
                <w:rFonts w:ascii="Arial" w:hAnsi="Arial" w:cs="Arial"/>
                <w:sz w:val="20"/>
              </w:rPr>
            </w:pPr>
            <w:r w:rsidRPr="0077760F">
              <w:rPr>
                <w:rFonts w:ascii="Arial" w:hAnsi="Arial" w:cs="Arial"/>
                <w:sz w:val="20"/>
              </w:rPr>
              <w:t xml:space="preserve">A foreign company that is required to be registered under Division 2 of Part 5B.2 of the </w:t>
            </w:r>
            <w:r w:rsidR="006359DC">
              <w:rPr>
                <w:rFonts w:ascii="Arial" w:hAnsi="Arial" w:cs="Arial"/>
                <w:sz w:val="20"/>
              </w:rPr>
              <w:t xml:space="preserve">Corporations </w:t>
            </w:r>
            <w:r w:rsidRPr="0077760F">
              <w:rPr>
                <w:rFonts w:ascii="Arial" w:hAnsi="Arial" w:cs="Arial"/>
                <w:sz w:val="20"/>
              </w:rPr>
              <w:t>Act</w:t>
            </w:r>
            <w:r w:rsidR="0025357B">
              <w:rPr>
                <w:rFonts w:ascii="Arial" w:hAnsi="Arial" w:cs="Arial"/>
                <w:sz w:val="20"/>
              </w:rPr>
              <w:t xml:space="preserve"> and is:</w:t>
            </w:r>
          </w:p>
          <w:p w14:paraId="4B0A4302" w14:textId="77777777" w:rsidR="0025357B" w:rsidRDefault="0025357B" w:rsidP="00C50CCA">
            <w:pPr>
              <w:tabs>
                <w:tab w:val="num" w:pos="1276"/>
              </w:tabs>
              <w:rPr>
                <w:rFonts w:ascii="Arial" w:hAnsi="Arial" w:cs="Arial"/>
                <w:sz w:val="20"/>
              </w:rPr>
            </w:pPr>
            <w:r>
              <w:rPr>
                <w:rFonts w:ascii="Arial" w:hAnsi="Arial" w:cs="Arial"/>
                <w:sz w:val="20"/>
              </w:rPr>
              <w:t xml:space="preserve">(a) an AFS </w:t>
            </w:r>
            <w:proofErr w:type="gramStart"/>
            <w:r>
              <w:rPr>
                <w:rFonts w:ascii="Arial" w:hAnsi="Arial" w:cs="Arial"/>
                <w:sz w:val="20"/>
              </w:rPr>
              <w:t>Licensee;</w:t>
            </w:r>
            <w:proofErr w:type="gramEnd"/>
          </w:p>
          <w:p w14:paraId="06F95D33" w14:textId="77777777" w:rsidR="0025357B" w:rsidRDefault="0025357B" w:rsidP="00C50CCA">
            <w:pPr>
              <w:tabs>
                <w:tab w:val="num" w:pos="1276"/>
              </w:tabs>
              <w:rPr>
                <w:rFonts w:ascii="Arial" w:hAnsi="Arial" w:cs="Arial"/>
                <w:sz w:val="20"/>
              </w:rPr>
            </w:pPr>
            <w:r>
              <w:rPr>
                <w:rFonts w:ascii="Arial" w:hAnsi="Arial" w:cs="Arial"/>
                <w:sz w:val="20"/>
              </w:rPr>
              <w:t>(b) a CS Facility Licensee; or</w:t>
            </w:r>
          </w:p>
          <w:p w14:paraId="292C877B" w14:textId="7799E1DB" w:rsidR="0025357B" w:rsidRPr="0077760F" w:rsidRDefault="0025357B" w:rsidP="00C50CCA">
            <w:pPr>
              <w:tabs>
                <w:tab w:val="num" w:pos="1276"/>
              </w:tabs>
              <w:rPr>
                <w:rFonts w:ascii="Arial" w:hAnsi="Arial" w:cs="Arial"/>
                <w:sz w:val="20"/>
              </w:rPr>
            </w:pPr>
            <w:r>
              <w:rPr>
                <w:rFonts w:ascii="Arial" w:hAnsi="Arial" w:cs="Arial"/>
                <w:sz w:val="20"/>
              </w:rPr>
              <w:t>(c) an Exempt Foreign Licensee.</w:t>
            </w:r>
          </w:p>
        </w:tc>
        <w:tc>
          <w:tcPr>
            <w:tcW w:w="0" w:type="auto"/>
            <w:vMerge/>
            <w:tcBorders>
              <w:top w:val="single" w:sz="4" w:space="0" w:color="999999"/>
              <w:left w:val="nil"/>
              <w:bottom w:val="single" w:sz="4" w:space="0" w:color="999999"/>
              <w:right w:val="nil"/>
            </w:tcBorders>
            <w:vAlign w:val="center"/>
            <w:hideMark/>
          </w:tcPr>
          <w:p w14:paraId="2C56346E" w14:textId="77777777" w:rsidR="003A4640" w:rsidRPr="0077760F" w:rsidRDefault="003A4640" w:rsidP="00C50CCA">
            <w:pPr>
              <w:tabs>
                <w:tab w:val="num" w:pos="1276"/>
              </w:tabs>
              <w:rPr>
                <w:rFonts w:ascii="Arial" w:hAnsi="Arial" w:cs="Arial"/>
                <w:sz w:val="20"/>
              </w:rPr>
            </w:pPr>
          </w:p>
        </w:tc>
      </w:tr>
      <w:tr w:rsidR="003C01A0" w:rsidRPr="00191870" w14:paraId="136C5DF6" w14:textId="77777777" w:rsidTr="00C50CCA">
        <w:trPr>
          <w:cantSplit/>
        </w:trPr>
        <w:tc>
          <w:tcPr>
            <w:tcW w:w="0" w:type="auto"/>
            <w:tcBorders>
              <w:top w:val="single" w:sz="4" w:space="0" w:color="999999"/>
              <w:left w:val="nil"/>
              <w:bottom w:val="single" w:sz="4" w:space="0" w:color="999999"/>
              <w:right w:val="nil"/>
            </w:tcBorders>
            <w:tcMar>
              <w:top w:w="108" w:type="dxa"/>
            </w:tcMar>
            <w:hideMark/>
          </w:tcPr>
          <w:p w14:paraId="0C1A6677" w14:textId="7D8AB877" w:rsidR="003A4640" w:rsidRPr="0077760F" w:rsidRDefault="003A4640" w:rsidP="00C50CCA">
            <w:pPr>
              <w:tabs>
                <w:tab w:val="num" w:pos="1276"/>
              </w:tabs>
              <w:rPr>
                <w:rFonts w:ascii="Arial" w:hAnsi="Arial" w:cs="Arial"/>
                <w:sz w:val="20"/>
              </w:rPr>
            </w:pPr>
            <w:r w:rsidRPr="0077760F">
              <w:rPr>
                <w:rFonts w:ascii="Arial" w:hAnsi="Arial" w:cs="Arial"/>
                <w:sz w:val="20"/>
              </w:rPr>
              <w:t>A</w:t>
            </w:r>
            <w:r>
              <w:rPr>
                <w:rFonts w:ascii="Arial" w:hAnsi="Arial" w:cs="Arial"/>
                <w:sz w:val="20"/>
              </w:rPr>
              <w:t>n RE (defined in Rule 1.2.3 as a responsible entity of a managed investment scheme)</w:t>
            </w:r>
            <w:r w:rsidR="00064E52">
              <w:rPr>
                <w:rFonts w:ascii="Arial" w:hAnsi="Arial" w:cs="Arial"/>
                <w:sz w:val="20"/>
              </w:rPr>
              <w:t xml:space="preserve">, </w:t>
            </w:r>
            <w:r>
              <w:rPr>
                <w:rFonts w:ascii="Arial" w:hAnsi="Arial" w:cs="Arial"/>
                <w:sz w:val="20"/>
              </w:rPr>
              <w:t>Trustee (defined in Rule 1.2.3 as a</w:t>
            </w:r>
            <w:r w:rsidR="00017179">
              <w:rPr>
                <w:rFonts w:ascii="Arial" w:hAnsi="Arial" w:cs="Arial"/>
                <w:sz w:val="20"/>
              </w:rPr>
              <w:t xml:space="preserve"> trustee</w:t>
            </w:r>
            <w:r>
              <w:rPr>
                <w:rFonts w:ascii="Arial" w:hAnsi="Arial" w:cs="Arial"/>
                <w:sz w:val="20"/>
              </w:rPr>
              <w:t xml:space="preserve"> of a trust)</w:t>
            </w:r>
            <w:r w:rsidR="006C2B36">
              <w:rPr>
                <w:rFonts w:ascii="Arial" w:hAnsi="Arial" w:cs="Arial"/>
                <w:sz w:val="20"/>
              </w:rPr>
              <w:t xml:space="preserve"> or corporate director of a CCIV</w:t>
            </w:r>
            <w:r>
              <w:rPr>
                <w:rFonts w:ascii="Arial" w:hAnsi="Arial" w:cs="Arial"/>
                <w:sz w:val="20"/>
              </w:rPr>
              <w:t xml:space="preserve">. </w:t>
            </w:r>
          </w:p>
        </w:tc>
        <w:tc>
          <w:tcPr>
            <w:tcW w:w="0" w:type="auto"/>
            <w:tcBorders>
              <w:top w:val="single" w:sz="4" w:space="0" w:color="999999"/>
              <w:left w:val="nil"/>
              <w:bottom w:val="single" w:sz="4" w:space="0" w:color="999999"/>
              <w:right w:val="nil"/>
            </w:tcBorders>
            <w:hideMark/>
          </w:tcPr>
          <w:p w14:paraId="6BD98912" w14:textId="46DDAADB" w:rsidR="003A4640" w:rsidRPr="0077760F" w:rsidRDefault="003A4640" w:rsidP="00C50CCA">
            <w:pPr>
              <w:tabs>
                <w:tab w:val="num" w:pos="1276"/>
              </w:tabs>
              <w:rPr>
                <w:rFonts w:ascii="Arial" w:hAnsi="Arial" w:cs="Arial"/>
                <w:sz w:val="20"/>
              </w:rPr>
            </w:pPr>
            <w:r w:rsidRPr="0077760F">
              <w:rPr>
                <w:rFonts w:ascii="Arial" w:hAnsi="Arial" w:cs="Arial"/>
                <w:sz w:val="20"/>
              </w:rPr>
              <w:t xml:space="preserve">Entry into, modification, </w:t>
            </w:r>
            <w:proofErr w:type="gramStart"/>
            <w:r w:rsidRPr="0077760F">
              <w:rPr>
                <w:rFonts w:ascii="Arial" w:hAnsi="Arial" w:cs="Arial"/>
                <w:sz w:val="20"/>
              </w:rPr>
              <w:t>termination</w:t>
            </w:r>
            <w:proofErr w:type="gramEnd"/>
            <w:r w:rsidRPr="0077760F">
              <w:rPr>
                <w:rFonts w:ascii="Arial" w:hAnsi="Arial" w:cs="Arial"/>
                <w:sz w:val="20"/>
              </w:rPr>
              <w:t xml:space="preserve"> or assignment of an</w:t>
            </w:r>
            <w:r w:rsidR="003C01A0">
              <w:rPr>
                <w:rFonts w:ascii="Arial" w:hAnsi="Arial" w:cs="Arial"/>
                <w:sz w:val="20"/>
              </w:rPr>
              <w:t xml:space="preserve"> </w:t>
            </w:r>
            <w:r w:rsidR="00A171F2">
              <w:rPr>
                <w:rFonts w:ascii="Arial" w:hAnsi="Arial" w:cs="Arial"/>
                <w:sz w:val="20"/>
              </w:rPr>
              <w:t>OTC derivative</w:t>
            </w:r>
            <w:r>
              <w:rPr>
                <w:rFonts w:ascii="Arial" w:hAnsi="Arial" w:cs="Arial"/>
                <w:sz w:val="20"/>
              </w:rPr>
              <w:t xml:space="preserve"> </w:t>
            </w:r>
            <w:r w:rsidRPr="0077760F">
              <w:rPr>
                <w:rFonts w:ascii="Arial" w:hAnsi="Arial" w:cs="Arial"/>
                <w:sz w:val="20"/>
              </w:rPr>
              <w:t>in the RE</w:t>
            </w:r>
            <w:r w:rsidR="006C2B36">
              <w:rPr>
                <w:rFonts w:ascii="Arial" w:hAnsi="Arial" w:cs="Arial"/>
                <w:sz w:val="20"/>
              </w:rPr>
              <w:t xml:space="preserve">, </w:t>
            </w:r>
            <w:r w:rsidRPr="0077760F">
              <w:rPr>
                <w:rFonts w:ascii="Arial" w:hAnsi="Arial" w:cs="Arial"/>
                <w:sz w:val="20"/>
              </w:rPr>
              <w:t>Trustee</w:t>
            </w:r>
            <w:r w:rsidR="00506961">
              <w:rPr>
                <w:rFonts w:ascii="Arial" w:hAnsi="Arial" w:cs="Arial"/>
                <w:sz w:val="20"/>
              </w:rPr>
              <w:t>, or corporate director</w:t>
            </w:r>
            <w:r w:rsidRPr="0077760F">
              <w:rPr>
                <w:rFonts w:ascii="Arial" w:hAnsi="Arial" w:cs="Arial"/>
                <w:sz w:val="20"/>
              </w:rPr>
              <w:t>’s capacity as RE or</w:t>
            </w:r>
            <w:r w:rsidR="00CC6D87">
              <w:rPr>
                <w:rFonts w:ascii="Arial" w:hAnsi="Arial" w:cs="Arial"/>
                <w:sz w:val="20"/>
              </w:rPr>
              <w:t xml:space="preserve"> </w:t>
            </w:r>
            <w:r w:rsidR="00017179">
              <w:rPr>
                <w:rFonts w:ascii="Arial" w:hAnsi="Arial" w:cs="Arial"/>
                <w:sz w:val="20"/>
              </w:rPr>
              <w:t>trustee</w:t>
            </w:r>
            <w:r w:rsidRPr="0077760F">
              <w:rPr>
                <w:rFonts w:ascii="Arial" w:hAnsi="Arial" w:cs="Arial"/>
                <w:sz w:val="20"/>
              </w:rPr>
              <w:t xml:space="preserve"> of an</w:t>
            </w:r>
            <w:r w:rsidR="003C01A0">
              <w:rPr>
                <w:rFonts w:ascii="Arial" w:hAnsi="Arial" w:cs="Arial"/>
                <w:sz w:val="20"/>
              </w:rPr>
              <w:t xml:space="preserve"> </w:t>
            </w:r>
            <w:r w:rsidR="00F64B66">
              <w:rPr>
                <w:rFonts w:ascii="Arial" w:hAnsi="Arial" w:cs="Arial"/>
                <w:sz w:val="20"/>
              </w:rPr>
              <w:t>Australian entity</w:t>
            </w:r>
            <w:r w:rsidR="00821D84">
              <w:rPr>
                <w:rFonts w:ascii="Arial" w:hAnsi="Arial" w:cs="Arial"/>
                <w:sz w:val="20"/>
              </w:rPr>
              <w:t xml:space="preserve"> or </w:t>
            </w:r>
            <w:r w:rsidR="009200B7">
              <w:rPr>
                <w:rFonts w:ascii="Arial" w:hAnsi="Arial" w:cs="Arial"/>
                <w:sz w:val="20"/>
              </w:rPr>
              <w:t>as corporate director of a CCIV.</w:t>
            </w:r>
          </w:p>
        </w:tc>
      </w:tr>
    </w:tbl>
    <w:p w14:paraId="027259AC" w14:textId="6284F505" w:rsidR="00737DBD" w:rsidRPr="00C211DF" w:rsidRDefault="00737DBD" w:rsidP="002E110A">
      <w:pPr>
        <w:pStyle w:val="LI-BodyTextParaa"/>
        <w:numPr>
          <w:ilvl w:val="0"/>
          <w:numId w:val="3"/>
        </w:numPr>
      </w:pPr>
      <w:bookmarkStart w:id="27" w:name="_Hlk119497016"/>
      <w:bookmarkStart w:id="28" w:name="_Hlk119673815"/>
      <w:r w:rsidRPr="00C211DF">
        <w:t xml:space="preserve">Regulation 7.5A.50 of the Corporations Regulations precludes derivative transaction rules being imposed upon </w:t>
      </w:r>
      <w:r w:rsidR="00BB3E41">
        <w:t>“</w:t>
      </w:r>
      <w:r w:rsidRPr="00C211DF">
        <w:t>end users</w:t>
      </w:r>
      <w:r w:rsidR="00BB3E41">
        <w:t>”</w:t>
      </w:r>
      <w:r w:rsidRPr="00C211DF">
        <w:t>, defined as persons who are not:</w:t>
      </w:r>
    </w:p>
    <w:p w14:paraId="77E6D0D5" w14:textId="77777777" w:rsidR="00737DBD" w:rsidRDefault="00737DBD" w:rsidP="002E110A">
      <w:pPr>
        <w:pStyle w:val="LI-BodyTextParaa"/>
        <w:numPr>
          <w:ilvl w:val="1"/>
          <w:numId w:val="28"/>
        </w:numPr>
        <w:rPr>
          <w:bCs/>
        </w:rPr>
      </w:pPr>
      <w:r w:rsidRPr="00122B80">
        <w:rPr>
          <w:bCs/>
        </w:rPr>
        <w:t xml:space="preserve">Australian </w:t>
      </w:r>
      <w:proofErr w:type="spellStart"/>
      <w:r w:rsidRPr="00122B80">
        <w:rPr>
          <w:bCs/>
        </w:rPr>
        <w:t>ADI</w:t>
      </w:r>
      <w:r>
        <w:rPr>
          <w:bCs/>
        </w:rPr>
        <w:t>s</w:t>
      </w:r>
      <w:proofErr w:type="spellEnd"/>
      <w:r>
        <w:rPr>
          <w:bCs/>
        </w:rPr>
        <w:t>; or</w:t>
      </w:r>
    </w:p>
    <w:p w14:paraId="6CE661CE" w14:textId="403A92B3" w:rsidR="00737DBD" w:rsidRDefault="00737DBD" w:rsidP="002E110A">
      <w:pPr>
        <w:pStyle w:val="LI-BodyTextParaa"/>
        <w:numPr>
          <w:ilvl w:val="1"/>
          <w:numId w:val="28"/>
        </w:numPr>
        <w:rPr>
          <w:bCs/>
        </w:rPr>
      </w:pPr>
      <w:r>
        <w:rPr>
          <w:bCs/>
        </w:rPr>
        <w:t xml:space="preserve">CS facility </w:t>
      </w:r>
      <w:proofErr w:type="gramStart"/>
      <w:r>
        <w:rPr>
          <w:bCs/>
        </w:rPr>
        <w:t>licensees;</w:t>
      </w:r>
      <w:proofErr w:type="gramEnd"/>
    </w:p>
    <w:p w14:paraId="5D43184A" w14:textId="77777777" w:rsidR="00737DBD" w:rsidRDefault="00737DBD" w:rsidP="002E110A">
      <w:pPr>
        <w:pStyle w:val="LI-BodyTextParaa"/>
        <w:numPr>
          <w:ilvl w:val="1"/>
          <w:numId w:val="28"/>
        </w:numPr>
        <w:rPr>
          <w:bCs/>
        </w:rPr>
      </w:pPr>
      <w:r>
        <w:rPr>
          <w:bCs/>
        </w:rPr>
        <w:t>AFS licensees; or</w:t>
      </w:r>
    </w:p>
    <w:p w14:paraId="7207C3D8" w14:textId="77777777" w:rsidR="00737DBD" w:rsidRDefault="00737DBD" w:rsidP="002E110A">
      <w:pPr>
        <w:pStyle w:val="LI-BodyTextParaa"/>
        <w:numPr>
          <w:ilvl w:val="1"/>
          <w:numId w:val="28"/>
        </w:numPr>
        <w:rPr>
          <w:bCs/>
        </w:rPr>
      </w:pPr>
      <w:r>
        <w:rPr>
          <w:bCs/>
        </w:rPr>
        <w:t xml:space="preserve">persons </w:t>
      </w:r>
      <w:r w:rsidRPr="00122B80">
        <w:rPr>
          <w:bCs/>
        </w:rPr>
        <w:t>who, in this jurisdiction, provides financial services relating to derivatives to wholesale clients only and</w:t>
      </w:r>
      <w:r>
        <w:rPr>
          <w:bCs/>
        </w:rPr>
        <w:t xml:space="preserve"> </w:t>
      </w:r>
      <w:r w:rsidRPr="00122B80">
        <w:rPr>
          <w:bCs/>
        </w:rPr>
        <w:t>whose activities, relating to derivatives, are regulated by an overseas regulatory authority</w:t>
      </w:r>
      <w:r>
        <w:rPr>
          <w:bCs/>
        </w:rPr>
        <w:t>.</w:t>
      </w:r>
    </w:p>
    <w:bookmarkEnd w:id="27"/>
    <w:p w14:paraId="2EF12410" w14:textId="77777777" w:rsidR="00737DBD" w:rsidRPr="00842559" w:rsidRDefault="00737DBD" w:rsidP="002E110A">
      <w:pPr>
        <w:pStyle w:val="LI-BodyTextParaa"/>
        <w:numPr>
          <w:ilvl w:val="0"/>
          <w:numId w:val="3"/>
        </w:numPr>
      </w:pPr>
      <w:r>
        <w:t xml:space="preserve">Paragraph (2A) of </w:t>
      </w:r>
      <w:r w:rsidRPr="00C211DF">
        <w:t>Regulation 7.5A.50, also precludes the derivative transaction rules from imposing requirements relating to a class of derivatives on AFS licensees:</w:t>
      </w:r>
    </w:p>
    <w:p w14:paraId="7401578C" w14:textId="77777777" w:rsidR="00737DBD" w:rsidRPr="00B22D05" w:rsidRDefault="00737DBD" w:rsidP="002E110A">
      <w:pPr>
        <w:pStyle w:val="LI-BodyTextParaa"/>
        <w:numPr>
          <w:ilvl w:val="1"/>
          <w:numId w:val="27"/>
        </w:numPr>
      </w:pPr>
      <w:r>
        <w:rPr>
          <w:bCs/>
        </w:rPr>
        <w:t xml:space="preserve">who are taken not to be end users only because they are an AFS licensee; </w:t>
      </w:r>
      <w:proofErr w:type="gramStart"/>
      <w:r>
        <w:rPr>
          <w:bCs/>
        </w:rPr>
        <w:t>and</w:t>
      </w:r>
      <w:proofErr w:type="gramEnd"/>
    </w:p>
    <w:p w14:paraId="7288789D" w14:textId="07122AC3" w:rsidR="00737DBD" w:rsidRDefault="00737DBD" w:rsidP="002E110A">
      <w:pPr>
        <w:pStyle w:val="LI-BodyTextParaa"/>
        <w:numPr>
          <w:ilvl w:val="1"/>
          <w:numId w:val="27"/>
        </w:numPr>
      </w:pPr>
      <w:r>
        <w:rPr>
          <w:bCs/>
        </w:rPr>
        <w:lastRenderedPageBreak/>
        <w:t xml:space="preserve">whose AFS licence does not authorise them to provide financial services in relation to that class </w:t>
      </w:r>
      <w:r w:rsidR="00CE3494">
        <w:rPr>
          <w:bCs/>
        </w:rPr>
        <w:t xml:space="preserve">of </w:t>
      </w:r>
      <w:r>
        <w:rPr>
          <w:bCs/>
        </w:rPr>
        <w:t>derivatives</w:t>
      </w:r>
      <w:r w:rsidR="007E5568">
        <w:rPr>
          <w:bCs/>
        </w:rPr>
        <w:t>.</w:t>
      </w:r>
    </w:p>
    <w:p w14:paraId="78880875" w14:textId="0C0F579D" w:rsidR="00737DBD" w:rsidRDefault="00737DBD" w:rsidP="002E110A">
      <w:pPr>
        <w:pStyle w:val="LI-BodyTextParaa"/>
        <w:numPr>
          <w:ilvl w:val="0"/>
          <w:numId w:val="3"/>
        </w:numPr>
      </w:pPr>
      <w:r>
        <w:t xml:space="preserve">The </w:t>
      </w:r>
      <w:r w:rsidR="00B23398">
        <w:t xml:space="preserve">2024 </w:t>
      </w:r>
      <w:r>
        <w:t>Rules do not impose requirements on end users, or AFS licensees which are captured by paragraph (2A)</w:t>
      </w:r>
      <w:r w:rsidR="006352C2">
        <w:t xml:space="preserve"> of Regulation 7.5A.50</w:t>
      </w:r>
      <w:r>
        <w:t xml:space="preserve">. </w:t>
      </w:r>
    </w:p>
    <w:bookmarkEnd w:id="28"/>
    <w:p w14:paraId="172936A5" w14:textId="426DEC91" w:rsidR="00994CB2" w:rsidRPr="00994CB2" w:rsidRDefault="00356A09" w:rsidP="002E110A">
      <w:pPr>
        <w:pStyle w:val="LI-BodyTextParaa"/>
        <w:numPr>
          <w:ilvl w:val="0"/>
          <w:numId w:val="3"/>
        </w:numPr>
        <w:rPr>
          <w:iCs/>
        </w:rPr>
      </w:pPr>
      <w:r>
        <w:rPr>
          <w:iCs/>
        </w:rPr>
        <w:t>Subr</w:t>
      </w:r>
      <w:r w:rsidR="007B043E">
        <w:rPr>
          <w:iCs/>
        </w:rPr>
        <w:t xml:space="preserve">ule </w:t>
      </w:r>
      <w:r w:rsidR="00590A34">
        <w:rPr>
          <w:iCs/>
        </w:rPr>
        <w:t>1.2.5(</w:t>
      </w:r>
      <w:r w:rsidR="00100546">
        <w:rPr>
          <w:iCs/>
        </w:rPr>
        <w:t xml:space="preserve">3) </w:t>
      </w:r>
      <w:r w:rsidR="003E5F58">
        <w:rPr>
          <w:iCs/>
        </w:rPr>
        <w:t>provides that</w:t>
      </w:r>
      <w:r w:rsidR="00B82104">
        <w:rPr>
          <w:iCs/>
        </w:rPr>
        <w:t xml:space="preserve">, in accordance with </w:t>
      </w:r>
      <w:r w:rsidR="00B82104">
        <w:rPr>
          <w:bCs/>
        </w:rPr>
        <w:t>Regulation 7.5A.50 of the Corporations Regulations</w:t>
      </w:r>
      <w:r w:rsidR="00C3651C">
        <w:rPr>
          <w:bCs/>
        </w:rPr>
        <w:t xml:space="preserve">, </w:t>
      </w:r>
      <w:r w:rsidR="00960880">
        <w:t xml:space="preserve">an entity is not </w:t>
      </w:r>
      <w:r w:rsidR="00F65ABA">
        <w:t>a reporting entity</w:t>
      </w:r>
      <w:r w:rsidR="00960880">
        <w:t xml:space="preserve"> for a</w:t>
      </w:r>
      <w:r w:rsidR="00D161C5">
        <w:t xml:space="preserve"> reportable transaction</w:t>
      </w:r>
      <w:r w:rsidR="00960880">
        <w:t xml:space="preserve"> in a </w:t>
      </w:r>
      <w:r w:rsidR="00D3235E">
        <w:t>p</w:t>
      </w:r>
      <w:r w:rsidR="00960880">
        <w:t xml:space="preserve">rescribed </w:t>
      </w:r>
      <w:r w:rsidR="00D3235E">
        <w:t>c</w:t>
      </w:r>
      <w:r w:rsidR="00960880">
        <w:t xml:space="preserve">lass if the entity is an AFS </w:t>
      </w:r>
      <w:r w:rsidR="00D3235E">
        <w:t>l</w:t>
      </w:r>
      <w:r w:rsidR="00960880">
        <w:t xml:space="preserve">icensee whose AFS </w:t>
      </w:r>
      <w:r w:rsidR="00D3235E">
        <w:t>l</w:t>
      </w:r>
      <w:r w:rsidR="00960880">
        <w:t xml:space="preserve">icence does not authorise them to provide financial services in relation to that </w:t>
      </w:r>
      <w:r w:rsidR="00D3235E">
        <w:t>p</w:t>
      </w:r>
      <w:r w:rsidR="00960880">
        <w:t xml:space="preserve">rescribed </w:t>
      </w:r>
      <w:r w:rsidR="00D3235E">
        <w:t>c</w:t>
      </w:r>
      <w:r w:rsidR="00960880">
        <w:t>lass.</w:t>
      </w:r>
    </w:p>
    <w:p w14:paraId="48AD9BD3" w14:textId="7ABC78D7" w:rsidR="002225E2" w:rsidRPr="006607EC" w:rsidRDefault="00045A22" w:rsidP="002E110A">
      <w:pPr>
        <w:pStyle w:val="LI-BodyTextParaa"/>
        <w:numPr>
          <w:ilvl w:val="0"/>
          <w:numId w:val="3"/>
        </w:numPr>
      </w:pPr>
      <w:r w:rsidRPr="006607EC">
        <w:t xml:space="preserve">In addition, </w:t>
      </w:r>
      <w:r w:rsidR="00356A09" w:rsidRPr="006607EC">
        <w:t>Subr</w:t>
      </w:r>
      <w:r w:rsidRPr="006607EC">
        <w:t xml:space="preserve">ule 1.2.5(4) </w:t>
      </w:r>
      <w:r w:rsidR="00F13A0F" w:rsidRPr="006607EC">
        <w:t>incorporates into the</w:t>
      </w:r>
      <w:r w:rsidR="00046894" w:rsidRPr="006607EC">
        <w:t xml:space="preserve"> 2024</w:t>
      </w:r>
      <w:r w:rsidR="00F13A0F" w:rsidRPr="006607EC">
        <w:t xml:space="preserve"> Rules a generalised form of the exemptio</w:t>
      </w:r>
      <w:r w:rsidR="00425BE8" w:rsidRPr="006607EC">
        <w:t xml:space="preserve">n </w:t>
      </w:r>
      <w:r w:rsidR="00BE0647" w:rsidRPr="006607EC">
        <w:t xml:space="preserve">for clearing </w:t>
      </w:r>
      <w:r w:rsidR="005E299C" w:rsidRPr="006607EC">
        <w:t xml:space="preserve">members, </w:t>
      </w:r>
      <w:r w:rsidR="00C4120A" w:rsidRPr="004A5F32">
        <w:t>acting in the capacity of a clearing member of an authorised clearing facility</w:t>
      </w:r>
      <w:r w:rsidR="00C4120A" w:rsidRPr="006607EC">
        <w:t xml:space="preserve">, </w:t>
      </w:r>
      <w:r w:rsidR="00425BE8" w:rsidRPr="006607EC">
        <w:t xml:space="preserve">in </w:t>
      </w:r>
      <w:r w:rsidR="00E51FB4" w:rsidRPr="0018532F">
        <w:rPr>
          <w:i/>
          <w:iCs/>
        </w:rPr>
        <w:t>ASIC Corporations (Derivative Transaction Reporting Exemption) Instrument 2016/0688</w:t>
      </w:r>
      <w:r w:rsidR="005A335F" w:rsidRPr="006607EC">
        <w:t xml:space="preserve"> </w:t>
      </w:r>
      <w:r w:rsidR="00BE0647" w:rsidRPr="006607EC">
        <w:t>applicable</w:t>
      </w:r>
      <w:r w:rsidR="001E7ED5" w:rsidRPr="006607EC">
        <w:t xml:space="preserve"> to derivative transactions of clearing members </w:t>
      </w:r>
      <w:r w:rsidR="007268FA" w:rsidRPr="006607EC">
        <w:t xml:space="preserve">under an agency </w:t>
      </w:r>
      <w:r w:rsidR="00CA2033" w:rsidRPr="006607EC">
        <w:t>clearing model of an authorised cle</w:t>
      </w:r>
      <w:r w:rsidR="00343498" w:rsidRPr="006607EC">
        <w:t>aring facility</w:t>
      </w:r>
      <w:r w:rsidR="00412195">
        <w:t xml:space="preserve"> </w:t>
      </w:r>
      <w:r w:rsidR="00B46915">
        <w:t>–</w:t>
      </w:r>
      <w:r w:rsidR="00412195">
        <w:t xml:space="preserve"> </w:t>
      </w:r>
      <w:r w:rsidR="00412195" w:rsidRPr="002C263B">
        <w:t xml:space="preserve">we intend that </w:t>
      </w:r>
      <w:r w:rsidR="00412195">
        <w:t xml:space="preserve">this exemption </w:t>
      </w:r>
      <w:r w:rsidR="00412195" w:rsidRPr="002C263B">
        <w:t xml:space="preserve">will be </w:t>
      </w:r>
      <w:r w:rsidR="00B46915">
        <w:t>ended</w:t>
      </w:r>
      <w:r w:rsidR="00B46915" w:rsidRPr="002C263B">
        <w:t xml:space="preserve"> </w:t>
      </w:r>
      <w:r w:rsidR="00412195" w:rsidRPr="002C263B">
        <w:t>upon the commencement of the 2024 Rules</w:t>
      </w:r>
      <w:r w:rsidR="00412195">
        <w:t>.</w:t>
      </w:r>
    </w:p>
    <w:p w14:paraId="2DBAEFF8" w14:textId="5EFF3FEC" w:rsidR="00B86AEB" w:rsidRPr="00B86AEB" w:rsidRDefault="00B86AEB" w:rsidP="002E110A">
      <w:pPr>
        <w:pStyle w:val="LI-BodyTextParaa"/>
        <w:numPr>
          <w:ilvl w:val="0"/>
          <w:numId w:val="3"/>
        </w:numPr>
      </w:pPr>
      <w:r w:rsidRPr="00014895">
        <w:rPr>
          <w:iCs/>
        </w:rPr>
        <w:t xml:space="preserve">Also, as at the date that the </w:t>
      </w:r>
      <w:r>
        <w:rPr>
          <w:iCs/>
        </w:rPr>
        <w:t xml:space="preserve">2024 </w:t>
      </w:r>
      <w:r w:rsidRPr="00014895">
        <w:rPr>
          <w:iCs/>
        </w:rPr>
        <w:t>Rules are made,</w:t>
      </w:r>
      <w:r w:rsidR="009D4DA3">
        <w:rPr>
          <w:iCs/>
        </w:rPr>
        <w:t xml:space="preserve"> </w:t>
      </w:r>
      <w:r w:rsidR="00E51FB4" w:rsidRPr="0018532F">
        <w:rPr>
          <w:i/>
          <w:iCs/>
        </w:rPr>
        <w:t>ASIC Derivative Transaction Rules (Nexus Derivatives) Class Exemption 2015</w:t>
      </w:r>
      <w:r w:rsidRPr="00014895">
        <w:rPr>
          <w:iCs/>
        </w:rPr>
        <w:t xml:space="preserve"> provides that foreign </w:t>
      </w:r>
      <w:r>
        <w:rPr>
          <w:iCs/>
        </w:rPr>
        <w:t>r</w:t>
      </w:r>
      <w:r w:rsidRPr="00014895">
        <w:rPr>
          <w:iCs/>
        </w:rPr>
        <w:t xml:space="preserve">eporting </w:t>
      </w:r>
      <w:r>
        <w:rPr>
          <w:iCs/>
        </w:rPr>
        <w:t>e</w:t>
      </w:r>
      <w:r w:rsidRPr="00014895">
        <w:rPr>
          <w:iCs/>
        </w:rPr>
        <w:t xml:space="preserve">ntities may opt in to applying a </w:t>
      </w:r>
      <w:r w:rsidR="00CF7614">
        <w:rPr>
          <w:iCs/>
        </w:rPr>
        <w:t>“</w:t>
      </w:r>
      <w:r w:rsidRPr="00014895">
        <w:rPr>
          <w:iCs/>
        </w:rPr>
        <w:t xml:space="preserve">sales or trader </w:t>
      </w:r>
      <w:r w:rsidR="00F82449">
        <w:rPr>
          <w:iCs/>
        </w:rPr>
        <w:t>basis</w:t>
      </w:r>
      <w:r w:rsidR="00CF7614">
        <w:rPr>
          <w:iCs/>
        </w:rPr>
        <w:t>”</w:t>
      </w:r>
      <w:r w:rsidRPr="00014895">
        <w:rPr>
          <w:iCs/>
        </w:rPr>
        <w:t xml:space="preserve"> test to the </w:t>
      </w:r>
      <w:r w:rsidR="00CF7614">
        <w:rPr>
          <w:iCs/>
        </w:rPr>
        <w:t>“</w:t>
      </w:r>
      <w:r w:rsidRPr="00014895">
        <w:rPr>
          <w:iCs/>
        </w:rPr>
        <w:t>entered into</w:t>
      </w:r>
      <w:r w:rsidR="00CF7614">
        <w:rPr>
          <w:iCs/>
        </w:rPr>
        <w:t>”</w:t>
      </w:r>
      <w:r w:rsidRPr="00014895">
        <w:rPr>
          <w:iCs/>
        </w:rPr>
        <w:t xml:space="preserve"> test to determine the </w:t>
      </w:r>
      <w:r>
        <w:rPr>
          <w:iCs/>
        </w:rPr>
        <w:t>r</w:t>
      </w:r>
      <w:r w:rsidRPr="00014895">
        <w:rPr>
          <w:iCs/>
        </w:rPr>
        <w:t xml:space="preserve">eportable </w:t>
      </w:r>
      <w:r>
        <w:rPr>
          <w:iCs/>
        </w:rPr>
        <w:t>t</w:t>
      </w:r>
      <w:r w:rsidRPr="00014895">
        <w:rPr>
          <w:iCs/>
        </w:rPr>
        <w:t>ransactions that are required to be reported</w:t>
      </w:r>
      <w:r>
        <w:rPr>
          <w:iCs/>
        </w:rPr>
        <w:t xml:space="preserve">. That is, that a reportable transaction is entered into in this jurisdiction where functions such as, for example, pricing, </w:t>
      </w:r>
      <w:proofErr w:type="gramStart"/>
      <w:r>
        <w:rPr>
          <w:iCs/>
        </w:rPr>
        <w:t>sales</w:t>
      </w:r>
      <w:proofErr w:type="gramEnd"/>
      <w:r>
        <w:rPr>
          <w:iCs/>
        </w:rPr>
        <w:t xml:space="preserve"> or risk management are performed for the relevant reporting entity by a person in this jurisdiction.</w:t>
      </w:r>
    </w:p>
    <w:p w14:paraId="2434BC5A" w14:textId="0AEE1485" w:rsidR="003A4640" w:rsidRPr="00217536" w:rsidRDefault="003A4640" w:rsidP="002E110A">
      <w:pPr>
        <w:pStyle w:val="LI-BodyTextParaa"/>
        <w:numPr>
          <w:ilvl w:val="0"/>
          <w:numId w:val="3"/>
        </w:numPr>
      </w:pPr>
      <w:r w:rsidRPr="00217536">
        <w:t xml:space="preserve">It is noted that, under section 900A of </w:t>
      </w:r>
      <w:r w:rsidR="00BE553B">
        <w:t>the Corporations Act</w:t>
      </w:r>
      <w:r w:rsidRPr="00217536">
        <w:t xml:space="preserve">, Part 7.5A of </w:t>
      </w:r>
      <w:r w:rsidR="00BE553B">
        <w:t>the Corporations Act</w:t>
      </w:r>
      <w:r w:rsidRPr="00217536">
        <w:t xml:space="preserve"> applies to (among other things) derivatives, derivative transactions and persons located in or otherwise connected with Australia or a place outside Australia. Paragraph 1.96 of the Revised Explanatory Memorandum to the Corporations Legislation Amendment (Derivative Transactions) Bill 2012 notes with regard to section 900A:</w:t>
      </w:r>
    </w:p>
    <w:p w14:paraId="162A92F4" w14:textId="77777777" w:rsidR="003A4640" w:rsidRPr="00EC6DC3" w:rsidRDefault="003A4640" w:rsidP="003A4640">
      <w:pPr>
        <w:tabs>
          <w:tab w:val="num" w:pos="1276"/>
        </w:tabs>
        <w:jc w:val="both"/>
        <w:rPr>
          <w:sz w:val="23"/>
          <w:szCs w:val="23"/>
        </w:rPr>
      </w:pPr>
    </w:p>
    <w:p w14:paraId="7A544E57" w14:textId="74EBBC8B" w:rsidR="003A4640" w:rsidRPr="00A7799B" w:rsidRDefault="00CF7614" w:rsidP="003A4640">
      <w:pPr>
        <w:tabs>
          <w:tab w:val="num" w:pos="1276"/>
        </w:tabs>
        <w:ind w:left="720"/>
        <w:jc w:val="both"/>
        <w:rPr>
          <w:szCs w:val="22"/>
        </w:rPr>
      </w:pPr>
      <w:r>
        <w:rPr>
          <w:szCs w:val="22"/>
          <w:lang w:val="en-GB"/>
        </w:rPr>
        <w:t>“</w:t>
      </w:r>
      <w:r w:rsidR="003A4640" w:rsidRPr="00A7799B">
        <w:rPr>
          <w:szCs w:val="22"/>
          <w:lang w:val="en-GB"/>
        </w:rPr>
        <w:t>The broad territorial reach of the provision is required to ensure that ASIC is able to coordinate its rule</w:t>
      </w:r>
      <w:r w:rsidR="003A4640" w:rsidRPr="00A7799B">
        <w:rPr>
          <w:szCs w:val="22"/>
          <w:lang w:val="en-GB"/>
        </w:rPr>
        <w:noBreakHyphen/>
        <w:t>making with foreign jurisdictions to aid in consistency of regulatory approaches and to assist in ensuring that international capital markets remain open to cross</w:t>
      </w:r>
      <w:r w:rsidR="003A4640" w:rsidRPr="00A7799B">
        <w:rPr>
          <w:szCs w:val="22"/>
          <w:lang w:val="en-GB"/>
        </w:rPr>
        <w:noBreakHyphen/>
        <w:t>border participation.</w:t>
      </w:r>
      <w:r>
        <w:rPr>
          <w:szCs w:val="22"/>
          <w:lang w:val="en-GB"/>
        </w:rPr>
        <w:t>”</w:t>
      </w:r>
    </w:p>
    <w:p w14:paraId="0F4E4630" w14:textId="39683F36" w:rsidR="003A4640" w:rsidRPr="005B0CA6" w:rsidRDefault="003A4640" w:rsidP="002E110A">
      <w:pPr>
        <w:pStyle w:val="LI-BodyTextParaa"/>
        <w:numPr>
          <w:ilvl w:val="0"/>
          <w:numId w:val="3"/>
        </w:numPr>
        <w:rPr>
          <w:bCs/>
        </w:rPr>
      </w:pPr>
      <w:r w:rsidRPr="005B0CA6">
        <w:rPr>
          <w:bCs/>
        </w:rPr>
        <w:t xml:space="preserve">The Revised Explanatory Memorandum at paragraph 1.100 also notes that </w:t>
      </w:r>
      <w:r w:rsidR="00CF7614">
        <w:rPr>
          <w:bCs/>
        </w:rPr>
        <w:t>“</w:t>
      </w:r>
      <w:r w:rsidRPr="005B0CA6">
        <w:rPr>
          <w:bCs/>
        </w:rPr>
        <w:t>Derivative transaction rules are not limited in their application to the parties to a transaction. For example, a person involved in arranging a transaction may be made subject to a rule.</w:t>
      </w:r>
      <w:r w:rsidR="00CF7614">
        <w:rPr>
          <w:bCs/>
        </w:rPr>
        <w:t>”</w:t>
      </w:r>
    </w:p>
    <w:p w14:paraId="48E7462D" w14:textId="16251B34" w:rsidR="003A4640" w:rsidRPr="00C76887" w:rsidRDefault="003A4640" w:rsidP="003A4640">
      <w:pPr>
        <w:pStyle w:val="LI-BodyTextParaa"/>
        <w:ind w:left="0" w:firstLine="0"/>
        <w:rPr>
          <w:bCs/>
          <w:u w:val="single"/>
        </w:rPr>
      </w:pPr>
      <w:r w:rsidRPr="00C76887">
        <w:rPr>
          <w:bCs/>
          <w:u w:val="single"/>
        </w:rPr>
        <w:t xml:space="preserve">Rule 1.2.6 References to </w:t>
      </w:r>
      <w:r w:rsidR="0090172A">
        <w:rPr>
          <w:bCs/>
          <w:u w:val="single"/>
        </w:rPr>
        <w:t>l</w:t>
      </w:r>
      <w:r w:rsidR="0090172A" w:rsidRPr="00C76887">
        <w:rPr>
          <w:bCs/>
          <w:u w:val="single"/>
        </w:rPr>
        <w:t xml:space="preserve">icensed </w:t>
      </w:r>
      <w:r w:rsidR="0090172A">
        <w:rPr>
          <w:bCs/>
          <w:u w:val="single"/>
        </w:rPr>
        <w:t>r</w:t>
      </w:r>
      <w:r w:rsidR="0090172A" w:rsidRPr="00C76887">
        <w:rPr>
          <w:bCs/>
          <w:u w:val="single"/>
        </w:rPr>
        <w:t xml:space="preserve">epositories </w:t>
      </w:r>
      <w:r w:rsidRPr="00C76887">
        <w:rPr>
          <w:bCs/>
          <w:u w:val="single"/>
        </w:rPr>
        <w:t xml:space="preserve">and </w:t>
      </w:r>
      <w:r w:rsidR="0090172A">
        <w:rPr>
          <w:bCs/>
          <w:u w:val="single"/>
        </w:rPr>
        <w:t>p</w:t>
      </w:r>
      <w:r w:rsidR="0090172A" w:rsidRPr="00C76887">
        <w:rPr>
          <w:bCs/>
          <w:u w:val="single"/>
        </w:rPr>
        <w:t xml:space="preserve">rescribed </w:t>
      </w:r>
      <w:r w:rsidR="0090172A">
        <w:rPr>
          <w:bCs/>
          <w:u w:val="single"/>
        </w:rPr>
        <w:t>r</w:t>
      </w:r>
      <w:r w:rsidR="0090172A" w:rsidRPr="00C76887">
        <w:rPr>
          <w:bCs/>
          <w:u w:val="single"/>
        </w:rPr>
        <w:t>epositories</w:t>
      </w:r>
    </w:p>
    <w:p w14:paraId="6B7C02AA" w14:textId="185171ED" w:rsidR="003A4640" w:rsidRPr="00B3205E" w:rsidRDefault="003A4640" w:rsidP="002E110A">
      <w:pPr>
        <w:pStyle w:val="LI-BodyTextParaa"/>
        <w:numPr>
          <w:ilvl w:val="0"/>
          <w:numId w:val="3"/>
        </w:numPr>
        <w:rPr>
          <w:bCs/>
        </w:rPr>
      </w:pPr>
      <w:r w:rsidRPr="00B3205E">
        <w:rPr>
          <w:bCs/>
        </w:rPr>
        <w:t>Rule 1.2.6 provides that a reference in the</w:t>
      </w:r>
      <w:r w:rsidR="00BC2F27">
        <w:rPr>
          <w:bCs/>
        </w:rPr>
        <w:t xml:space="preserve"> </w:t>
      </w:r>
      <w:r w:rsidR="004E1814">
        <w:rPr>
          <w:bCs/>
        </w:rPr>
        <w:t>2024</w:t>
      </w:r>
      <w:r w:rsidRPr="00B3205E">
        <w:rPr>
          <w:bCs/>
        </w:rPr>
        <w:t xml:space="preserve"> Rules to reporting information about a</w:t>
      </w:r>
      <w:r w:rsidR="00D161C5">
        <w:rPr>
          <w:bCs/>
        </w:rPr>
        <w:t xml:space="preserve"> reportable transaction</w:t>
      </w:r>
      <w:r w:rsidRPr="00B3205E">
        <w:rPr>
          <w:bCs/>
        </w:rPr>
        <w:t xml:space="preserve"> to:</w:t>
      </w:r>
    </w:p>
    <w:p w14:paraId="0F7F1731" w14:textId="04E4FCF0" w:rsidR="003A4640" w:rsidRPr="00C76887" w:rsidRDefault="003A4640" w:rsidP="002E110A">
      <w:pPr>
        <w:pStyle w:val="LI-BodyTextParaa"/>
        <w:numPr>
          <w:ilvl w:val="1"/>
          <w:numId w:val="3"/>
        </w:numPr>
        <w:rPr>
          <w:bCs/>
        </w:rPr>
      </w:pPr>
      <w:r w:rsidRPr="00C76887">
        <w:rPr>
          <w:bCs/>
        </w:rPr>
        <w:lastRenderedPageBreak/>
        <w:t>a</w:t>
      </w:r>
      <w:r w:rsidR="00CA0BF8">
        <w:rPr>
          <w:bCs/>
        </w:rPr>
        <w:t xml:space="preserve"> licensed repository</w:t>
      </w:r>
      <w:r w:rsidRPr="00C76887">
        <w:rPr>
          <w:bCs/>
        </w:rPr>
        <w:t>, is a reference to reporting the information to a</w:t>
      </w:r>
      <w:r w:rsidR="00CA0BF8">
        <w:rPr>
          <w:bCs/>
        </w:rPr>
        <w:t xml:space="preserve"> licensed repository</w:t>
      </w:r>
      <w:r w:rsidRPr="00C76887">
        <w:rPr>
          <w:bCs/>
        </w:rPr>
        <w:t xml:space="preserve">, the </w:t>
      </w:r>
      <w:r w:rsidR="000F24D5">
        <w:rPr>
          <w:bCs/>
        </w:rPr>
        <w:t>l</w:t>
      </w:r>
      <w:r w:rsidRPr="00C76887">
        <w:rPr>
          <w:bCs/>
        </w:rPr>
        <w:t>icence for which authorises the</w:t>
      </w:r>
      <w:r w:rsidR="00CA0BF8">
        <w:rPr>
          <w:bCs/>
        </w:rPr>
        <w:t xml:space="preserve"> licensed repository</w:t>
      </w:r>
      <w:r w:rsidRPr="00C76887">
        <w:rPr>
          <w:bCs/>
        </w:rPr>
        <w:t xml:space="preserve"> to provide services in respect of a class of </w:t>
      </w:r>
      <w:r w:rsidR="000F24D5">
        <w:rPr>
          <w:bCs/>
        </w:rPr>
        <w:t>d</w:t>
      </w:r>
      <w:r w:rsidRPr="00C76887">
        <w:rPr>
          <w:bCs/>
        </w:rPr>
        <w:t xml:space="preserve">erivatives that includes the </w:t>
      </w:r>
      <w:r w:rsidR="000F24D5">
        <w:rPr>
          <w:bCs/>
        </w:rPr>
        <w:t>d</w:t>
      </w:r>
      <w:r w:rsidRPr="00C76887">
        <w:rPr>
          <w:bCs/>
        </w:rPr>
        <w:t>erivatives to which the</w:t>
      </w:r>
      <w:r w:rsidR="00D161C5">
        <w:rPr>
          <w:bCs/>
        </w:rPr>
        <w:t xml:space="preserve"> reportable transaction</w:t>
      </w:r>
      <w:r w:rsidRPr="00C76887">
        <w:rPr>
          <w:bCs/>
        </w:rPr>
        <w:t xml:space="preserve"> </w:t>
      </w:r>
      <w:proofErr w:type="gramStart"/>
      <w:r w:rsidRPr="00C76887">
        <w:rPr>
          <w:bCs/>
        </w:rPr>
        <w:t>relates;</w:t>
      </w:r>
      <w:proofErr w:type="gramEnd"/>
    </w:p>
    <w:p w14:paraId="19A967C7" w14:textId="582D4088" w:rsidR="003A4640" w:rsidRPr="00C76887" w:rsidRDefault="003A4640" w:rsidP="002E110A">
      <w:pPr>
        <w:pStyle w:val="LI-BodyTextParaa"/>
        <w:numPr>
          <w:ilvl w:val="1"/>
          <w:numId w:val="3"/>
        </w:numPr>
        <w:rPr>
          <w:bCs/>
        </w:rPr>
      </w:pPr>
      <w:r w:rsidRPr="00C76887">
        <w:rPr>
          <w:bCs/>
        </w:rPr>
        <w:t>a</w:t>
      </w:r>
      <w:r w:rsidR="005C6F8D">
        <w:rPr>
          <w:bCs/>
        </w:rPr>
        <w:t xml:space="preserve"> prescribed repository</w:t>
      </w:r>
      <w:r w:rsidRPr="00C76887">
        <w:rPr>
          <w:bCs/>
        </w:rPr>
        <w:t>, is a reference to reporting the information to a</w:t>
      </w:r>
      <w:r w:rsidR="005C6F8D">
        <w:rPr>
          <w:bCs/>
        </w:rPr>
        <w:t xml:space="preserve"> prescribed repository</w:t>
      </w:r>
      <w:r w:rsidRPr="00C76887">
        <w:rPr>
          <w:bCs/>
        </w:rPr>
        <w:t xml:space="preserve"> that is prescribed in relation to a class of </w:t>
      </w:r>
      <w:r w:rsidR="000F24D5">
        <w:rPr>
          <w:bCs/>
        </w:rPr>
        <w:t>d</w:t>
      </w:r>
      <w:r w:rsidRPr="00C76887">
        <w:rPr>
          <w:bCs/>
        </w:rPr>
        <w:t xml:space="preserve">erivatives that includes the </w:t>
      </w:r>
      <w:r w:rsidR="000F24D5">
        <w:rPr>
          <w:bCs/>
        </w:rPr>
        <w:t>d</w:t>
      </w:r>
      <w:r w:rsidRPr="00C76887">
        <w:rPr>
          <w:bCs/>
        </w:rPr>
        <w:t>erivatives to which the</w:t>
      </w:r>
      <w:r w:rsidR="00D161C5">
        <w:rPr>
          <w:bCs/>
        </w:rPr>
        <w:t xml:space="preserve"> reportable transaction</w:t>
      </w:r>
      <w:r w:rsidRPr="00C76887">
        <w:rPr>
          <w:bCs/>
        </w:rPr>
        <w:t xml:space="preserve"> relates.</w:t>
      </w:r>
    </w:p>
    <w:p w14:paraId="46DFBB7B" w14:textId="2F73EBC7" w:rsidR="00C40A2B" w:rsidRPr="00B64DEC" w:rsidRDefault="00C40A2B" w:rsidP="002E110A">
      <w:pPr>
        <w:pStyle w:val="LI-BodyTextParaa"/>
        <w:numPr>
          <w:ilvl w:val="0"/>
          <w:numId w:val="3"/>
        </w:numPr>
      </w:pPr>
      <w:r w:rsidRPr="00B64DEC">
        <w:t xml:space="preserve">Under subsection 901A(6) of the </w:t>
      </w:r>
      <w:r>
        <w:t xml:space="preserve">Corporations </w:t>
      </w:r>
      <w:r w:rsidRPr="00B64DEC">
        <w:t xml:space="preserve">Act, the </w:t>
      </w:r>
      <w:r>
        <w:t xml:space="preserve">2024 </w:t>
      </w:r>
      <w:r w:rsidRPr="00B64DEC">
        <w:t xml:space="preserve">Rules may require reporting to facilities that are licensed under section 905C of the </w:t>
      </w:r>
      <w:r>
        <w:t xml:space="preserve">Corporations </w:t>
      </w:r>
      <w:r w:rsidRPr="00B64DEC">
        <w:t xml:space="preserve">Act or prescribed under paragraph 901A(6)(b) (defined in the </w:t>
      </w:r>
      <w:r w:rsidR="003C33A0">
        <w:t>2024</w:t>
      </w:r>
      <w:r>
        <w:t xml:space="preserve"> </w:t>
      </w:r>
      <w:r w:rsidRPr="00B64DEC">
        <w:t xml:space="preserve">Rules as </w:t>
      </w:r>
      <w:r w:rsidR="00CF7614">
        <w:t>“</w:t>
      </w:r>
      <w:r w:rsidR="006C1F29">
        <w:t>l</w:t>
      </w:r>
      <w:r w:rsidRPr="00B64DEC">
        <w:t xml:space="preserve">icensed </w:t>
      </w:r>
      <w:r w:rsidR="006C1F29">
        <w:t>r</w:t>
      </w:r>
      <w:r w:rsidRPr="00B64DEC">
        <w:t>epositories</w:t>
      </w:r>
      <w:r w:rsidR="00CF7614">
        <w:t>”</w:t>
      </w:r>
      <w:r w:rsidRPr="00B64DEC">
        <w:t xml:space="preserve"> and </w:t>
      </w:r>
      <w:r w:rsidR="00CF7614">
        <w:t>“</w:t>
      </w:r>
      <w:r w:rsidR="006C1F29">
        <w:t>p</w:t>
      </w:r>
      <w:r w:rsidRPr="00B64DEC">
        <w:t xml:space="preserve">rescribed </w:t>
      </w:r>
      <w:r w:rsidR="006C1F29">
        <w:t>r</w:t>
      </w:r>
      <w:r w:rsidRPr="00B64DEC">
        <w:t>epositories</w:t>
      </w:r>
      <w:r w:rsidR="00CF7614">
        <w:t>”</w:t>
      </w:r>
      <w:r w:rsidRPr="00B64DEC">
        <w:t xml:space="preserve"> respectively). Rule 1.2.6 aligns the </w:t>
      </w:r>
      <w:r w:rsidR="00CF7614">
        <w:t>r</w:t>
      </w:r>
      <w:r w:rsidRPr="00B64DEC">
        <w:t xml:space="preserve">eporting </w:t>
      </w:r>
      <w:r w:rsidR="00CF7614">
        <w:t>r</w:t>
      </w:r>
      <w:r w:rsidRPr="00B64DEC">
        <w:t xml:space="preserve">equirements set out in the </w:t>
      </w:r>
      <w:r w:rsidR="003C33A0">
        <w:t>2024</w:t>
      </w:r>
      <w:r>
        <w:t xml:space="preserve"> </w:t>
      </w:r>
      <w:r w:rsidRPr="00B64DEC">
        <w:t xml:space="preserve">Rules with the definition of </w:t>
      </w:r>
      <w:r w:rsidR="00CF7614">
        <w:t>“</w:t>
      </w:r>
      <w:r w:rsidRPr="00B64DEC">
        <w:t>reporting requirements</w:t>
      </w:r>
      <w:r w:rsidR="00CF7614">
        <w:t>”</w:t>
      </w:r>
      <w:r w:rsidRPr="00B64DEC">
        <w:t xml:space="preserve"> in subsection 901A(6) of the </w:t>
      </w:r>
      <w:r>
        <w:t xml:space="preserve">Corporations </w:t>
      </w:r>
      <w:r w:rsidRPr="00B64DEC">
        <w:t>Act.</w:t>
      </w:r>
    </w:p>
    <w:p w14:paraId="5BD18B6F" w14:textId="77777777" w:rsidR="003A4640" w:rsidRPr="00BC1C6A" w:rsidRDefault="003A4640" w:rsidP="002E110A">
      <w:pPr>
        <w:pStyle w:val="LI-BodyTextParaa"/>
        <w:numPr>
          <w:ilvl w:val="0"/>
          <w:numId w:val="3"/>
        </w:numPr>
      </w:pPr>
      <w:r w:rsidRPr="00BC1C6A">
        <w:t>As noted in paragraph 1.109 of the Revised Explanatory Memorandum to the Corporations Legislation Amendment (Derivative Transactions) Bill 2012:</w:t>
      </w:r>
      <w:r w:rsidRPr="00BC1C6A">
        <w:br/>
      </w:r>
    </w:p>
    <w:p w14:paraId="10DEF70C" w14:textId="0A519AEB" w:rsidR="003A4640" w:rsidRPr="004B5BF4" w:rsidRDefault="00CF7614" w:rsidP="003A4640">
      <w:pPr>
        <w:ind w:left="720"/>
        <w:jc w:val="both"/>
        <w:rPr>
          <w:szCs w:val="22"/>
        </w:rPr>
      </w:pPr>
      <w:r>
        <w:rPr>
          <w:szCs w:val="22"/>
        </w:rPr>
        <w:t>“</w:t>
      </w:r>
      <w:r w:rsidR="003A4640" w:rsidRPr="00C441F4">
        <w:rPr>
          <w:szCs w:val="22"/>
        </w:rPr>
        <w:t>The rules may require trade reporting, clearing and execution to</w:t>
      </w:r>
      <w:r w:rsidR="003A4640">
        <w:rPr>
          <w:szCs w:val="22"/>
        </w:rPr>
        <w:t xml:space="preserve"> </w:t>
      </w:r>
      <w:r w:rsidR="003A4640" w:rsidRPr="00C441F4">
        <w:rPr>
          <w:szCs w:val="22"/>
        </w:rPr>
        <w:t>or on prescribed facilities (in addition to licensed facilities). The ability to</w:t>
      </w:r>
      <w:r w:rsidR="003A4640">
        <w:rPr>
          <w:szCs w:val="22"/>
        </w:rPr>
        <w:t xml:space="preserve"> </w:t>
      </w:r>
      <w:r w:rsidR="003A4640" w:rsidRPr="00C441F4">
        <w:rPr>
          <w:szCs w:val="22"/>
        </w:rPr>
        <w:t>prescribe facilities will provide flexibility to: (a) enable non-licensed</w:t>
      </w:r>
      <w:r w:rsidR="003A4640">
        <w:rPr>
          <w:szCs w:val="22"/>
        </w:rPr>
        <w:t xml:space="preserve"> </w:t>
      </w:r>
      <w:r w:rsidR="003A4640" w:rsidRPr="00C441F4">
        <w:rPr>
          <w:szCs w:val="22"/>
        </w:rPr>
        <w:t>domestic facilities to be utilised, such as to enable trade reporting in</w:t>
      </w:r>
      <w:r w:rsidR="003A4640">
        <w:rPr>
          <w:szCs w:val="22"/>
        </w:rPr>
        <w:t xml:space="preserve"> </w:t>
      </w:r>
      <w:r w:rsidR="003A4640" w:rsidRPr="00C441F4">
        <w:rPr>
          <w:szCs w:val="22"/>
        </w:rPr>
        <w:t>respect of certain classes of derivatives to a non-licensed government</w:t>
      </w:r>
      <w:r w:rsidR="003A4640">
        <w:rPr>
          <w:szCs w:val="22"/>
        </w:rPr>
        <w:t xml:space="preserve"> </w:t>
      </w:r>
      <w:r w:rsidR="003A4640" w:rsidRPr="00C441F4">
        <w:rPr>
          <w:szCs w:val="22"/>
        </w:rPr>
        <w:t>body such as a regulator; and (b) to enable rules to be made to support</w:t>
      </w:r>
      <w:r w:rsidR="003A4640">
        <w:rPr>
          <w:szCs w:val="22"/>
        </w:rPr>
        <w:t xml:space="preserve"> </w:t>
      </w:r>
      <w:r w:rsidR="003A4640" w:rsidRPr="00C441F4">
        <w:rPr>
          <w:szCs w:val="22"/>
        </w:rPr>
        <w:t>compliance with foreign trade reporting, clearing or execution laws</w:t>
      </w:r>
      <w:r w:rsidR="003A4640">
        <w:rPr>
          <w:szCs w:val="22"/>
        </w:rPr>
        <w:t xml:space="preserve"> </w:t>
      </w:r>
      <w:r w:rsidR="003A4640" w:rsidRPr="00C441F4">
        <w:rPr>
          <w:szCs w:val="22"/>
        </w:rPr>
        <w:t>(where such laws involve non-domestically licensed facilities</w:t>
      </w:r>
      <w:r w:rsidR="003A4640" w:rsidRPr="004B5BF4">
        <w:rPr>
          <w:szCs w:val="22"/>
        </w:rPr>
        <w:t>)</w:t>
      </w:r>
      <w:r w:rsidR="003A4640">
        <w:rPr>
          <w:szCs w:val="22"/>
        </w:rPr>
        <w:t>.</w:t>
      </w:r>
      <w:r>
        <w:rPr>
          <w:szCs w:val="22"/>
        </w:rPr>
        <w:t>”</w:t>
      </w:r>
    </w:p>
    <w:p w14:paraId="010866DB" w14:textId="561A5766" w:rsidR="003A4640" w:rsidRPr="00AE7A69" w:rsidRDefault="003A4640" w:rsidP="003A4640">
      <w:pPr>
        <w:pStyle w:val="LI-BodyTextParaa"/>
        <w:tabs>
          <w:tab w:val="left" w:pos="1134"/>
        </w:tabs>
        <w:ind w:left="0" w:firstLine="0"/>
        <w:rPr>
          <w:u w:val="single"/>
        </w:rPr>
      </w:pPr>
      <w:r w:rsidRPr="00AE7A69">
        <w:rPr>
          <w:u w:val="single"/>
        </w:rPr>
        <w:t xml:space="preserve">Chapter </w:t>
      </w:r>
      <w:r>
        <w:rPr>
          <w:u w:val="single"/>
        </w:rPr>
        <w:t>2</w:t>
      </w:r>
      <w:r w:rsidRPr="00AE7A69">
        <w:rPr>
          <w:u w:val="single"/>
        </w:rPr>
        <w:t>:</w:t>
      </w:r>
      <w:r w:rsidR="00CA0BF8">
        <w:rPr>
          <w:u w:val="single"/>
        </w:rPr>
        <w:t xml:space="preserve"> Reporting requirement</w:t>
      </w:r>
      <w:r>
        <w:rPr>
          <w:u w:val="single"/>
        </w:rPr>
        <w:t>s</w:t>
      </w:r>
    </w:p>
    <w:p w14:paraId="3A5E9715" w14:textId="3B850910" w:rsidR="003A4640" w:rsidRPr="00881C51" w:rsidRDefault="003A4640" w:rsidP="002E110A">
      <w:pPr>
        <w:pStyle w:val="LI-BodyTextParaa"/>
        <w:numPr>
          <w:ilvl w:val="0"/>
          <w:numId w:val="3"/>
        </w:numPr>
        <w:rPr>
          <w:bCs/>
        </w:rPr>
      </w:pPr>
      <w:r w:rsidRPr="00881C51">
        <w:rPr>
          <w:bCs/>
        </w:rPr>
        <w:t xml:space="preserve">Chapter 2 of </w:t>
      </w:r>
      <w:r w:rsidR="00F04DB8">
        <w:rPr>
          <w:bCs/>
        </w:rPr>
        <w:t>the 2024 Rules</w:t>
      </w:r>
      <w:r w:rsidRPr="00881C51">
        <w:rPr>
          <w:bCs/>
        </w:rPr>
        <w:t>, along with Schedule</w:t>
      </w:r>
      <w:r w:rsidR="00AB6D1C">
        <w:rPr>
          <w:bCs/>
        </w:rPr>
        <w:t xml:space="preserve"> 1</w:t>
      </w:r>
      <w:r w:rsidRPr="00881C51">
        <w:rPr>
          <w:bCs/>
        </w:rPr>
        <w:t>:</w:t>
      </w:r>
    </w:p>
    <w:p w14:paraId="59D6CAF5" w14:textId="6E39E1E2" w:rsidR="003A4640" w:rsidRPr="00A46055" w:rsidRDefault="003A4640" w:rsidP="002E110A">
      <w:pPr>
        <w:pStyle w:val="LI-BodyTextParaa"/>
        <w:numPr>
          <w:ilvl w:val="1"/>
          <w:numId w:val="3"/>
        </w:numPr>
        <w:rPr>
          <w:bCs/>
        </w:rPr>
      </w:pPr>
      <w:r w:rsidRPr="00A46055">
        <w:rPr>
          <w:bCs/>
        </w:rPr>
        <w:t xml:space="preserve">imposes reporting requirements as permitted by paragraph 901A(2)(b) and subsection 901A(6) of </w:t>
      </w:r>
      <w:r w:rsidR="00BE553B">
        <w:rPr>
          <w:bCs/>
        </w:rPr>
        <w:t xml:space="preserve">the Corporations </w:t>
      </w:r>
      <w:proofErr w:type="gramStart"/>
      <w:r w:rsidR="00BE553B">
        <w:rPr>
          <w:bCs/>
        </w:rPr>
        <w:t>Act</w:t>
      </w:r>
      <w:r w:rsidRPr="00A46055">
        <w:rPr>
          <w:bCs/>
        </w:rPr>
        <w:t>;</w:t>
      </w:r>
      <w:proofErr w:type="gramEnd"/>
    </w:p>
    <w:p w14:paraId="20350581" w14:textId="13462C3F" w:rsidR="003A4640" w:rsidRPr="00A46055" w:rsidRDefault="003A4640" w:rsidP="002E110A">
      <w:pPr>
        <w:pStyle w:val="LI-BodyTextParaa"/>
        <w:numPr>
          <w:ilvl w:val="1"/>
          <w:numId w:val="3"/>
        </w:numPr>
        <w:rPr>
          <w:bCs/>
        </w:rPr>
      </w:pPr>
      <w:r w:rsidRPr="00A46055">
        <w:rPr>
          <w:bCs/>
        </w:rPr>
        <w:t xml:space="preserve">specifies the persons who are required to comply with the reporting requirements imposed by </w:t>
      </w:r>
      <w:r w:rsidR="00F04DB8">
        <w:rPr>
          <w:bCs/>
        </w:rPr>
        <w:t>the 2024 Rules</w:t>
      </w:r>
      <w:r w:rsidRPr="00A46055">
        <w:rPr>
          <w:bCs/>
        </w:rPr>
        <w:t xml:space="preserve"> as permitted by paragraph 901A(3)(e) of </w:t>
      </w:r>
      <w:r w:rsidR="00BE553B">
        <w:rPr>
          <w:bCs/>
        </w:rPr>
        <w:t xml:space="preserve">the Corporations </w:t>
      </w:r>
      <w:proofErr w:type="gramStart"/>
      <w:r w:rsidR="00BE553B">
        <w:rPr>
          <w:bCs/>
        </w:rPr>
        <w:t>Act</w:t>
      </w:r>
      <w:r w:rsidRPr="00A46055">
        <w:rPr>
          <w:bCs/>
        </w:rPr>
        <w:t>;</w:t>
      </w:r>
      <w:proofErr w:type="gramEnd"/>
    </w:p>
    <w:p w14:paraId="58DC5B1B" w14:textId="79B97B82" w:rsidR="00F52C39" w:rsidRDefault="00F52C39" w:rsidP="00F52C39">
      <w:pPr>
        <w:pStyle w:val="LI-BodyTextParaa"/>
        <w:numPr>
          <w:ilvl w:val="1"/>
          <w:numId w:val="3"/>
        </w:numPr>
        <w:rPr>
          <w:bCs/>
        </w:rPr>
      </w:pPr>
      <w:r w:rsidRPr="00A46055">
        <w:rPr>
          <w:bCs/>
        </w:rPr>
        <w:t xml:space="preserve">deals with the manner and form in which persons are required to comply with the reporting requirement imposed by the </w:t>
      </w:r>
      <w:r>
        <w:rPr>
          <w:bCs/>
        </w:rPr>
        <w:t xml:space="preserve">2024 </w:t>
      </w:r>
      <w:r w:rsidRPr="00A46055">
        <w:rPr>
          <w:bCs/>
        </w:rPr>
        <w:t xml:space="preserve">Rules as permitted by paragraph 901A(3)(f) of the </w:t>
      </w:r>
      <w:r>
        <w:rPr>
          <w:bCs/>
        </w:rPr>
        <w:t xml:space="preserve">Corporations </w:t>
      </w:r>
      <w:r w:rsidRPr="00A46055">
        <w:rPr>
          <w:bCs/>
        </w:rPr>
        <w:t>Act; and</w:t>
      </w:r>
    </w:p>
    <w:p w14:paraId="6055AF3E" w14:textId="5BC41C1E" w:rsidR="003A4640" w:rsidRPr="00F52C39" w:rsidRDefault="00F52C39" w:rsidP="00F52C39">
      <w:pPr>
        <w:pStyle w:val="LI-BodyTextParaa"/>
        <w:numPr>
          <w:ilvl w:val="1"/>
          <w:numId w:val="3"/>
        </w:numPr>
        <w:rPr>
          <w:bCs/>
        </w:rPr>
      </w:pPr>
      <w:r w:rsidRPr="00C20A24">
        <w:rPr>
          <w:bCs/>
        </w:rPr>
        <w:t xml:space="preserve">deals with the circumstances in which persons are relieved from complying with the reporting requirements in the </w:t>
      </w:r>
      <w:r>
        <w:rPr>
          <w:bCs/>
        </w:rPr>
        <w:t xml:space="preserve">2024 </w:t>
      </w:r>
      <w:r w:rsidRPr="00C20A24">
        <w:rPr>
          <w:bCs/>
        </w:rPr>
        <w:t xml:space="preserve">Rules that would otherwise apply to them as permitted by paragraph 901A(3)(g) of the </w:t>
      </w:r>
      <w:r>
        <w:rPr>
          <w:bCs/>
        </w:rPr>
        <w:t xml:space="preserve">Corporations </w:t>
      </w:r>
      <w:r w:rsidRPr="00C20A24">
        <w:rPr>
          <w:bCs/>
        </w:rPr>
        <w:t>Act.</w:t>
      </w:r>
    </w:p>
    <w:p w14:paraId="5230BC4F" w14:textId="77777777" w:rsidR="003A4640" w:rsidRPr="008E0176" w:rsidRDefault="003A4640" w:rsidP="003A4640">
      <w:pPr>
        <w:pStyle w:val="LI-BodyTextNumbered"/>
        <w:ind w:hanging="1134"/>
        <w:rPr>
          <w:u w:val="single"/>
        </w:rPr>
      </w:pPr>
      <w:r w:rsidRPr="008E0176">
        <w:rPr>
          <w:u w:val="single"/>
        </w:rPr>
        <w:t>Part 2.1 Application</w:t>
      </w:r>
    </w:p>
    <w:p w14:paraId="69C8572A" w14:textId="5E105CB1" w:rsidR="00A01489" w:rsidRPr="00A01489" w:rsidRDefault="003A4640" w:rsidP="00A01489">
      <w:pPr>
        <w:pStyle w:val="LI-BodyTextParaa"/>
        <w:numPr>
          <w:ilvl w:val="0"/>
          <w:numId w:val="3"/>
        </w:numPr>
        <w:rPr>
          <w:bCs/>
        </w:rPr>
      </w:pPr>
      <w:r w:rsidRPr="00412A23">
        <w:rPr>
          <w:bCs/>
        </w:rPr>
        <w:t>Rule 2.1.1 provides that Chapter 2 imposes obligations on</w:t>
      </w:r>
      <w:r w:rsidR="00F65ABA">
        <w:rPr>
          <w:bCs/>
        </w:rPr>
        <w:t xml:space="preserve"> reporting entities</w:t>
      </w:r>
      <w:r w:rsidRPr="00412A23">
        <w:rPr>
          <w:bCs/>
        </w:rPr>
        <w:t xml:space="preserve"> to report their</w:t>
      </w:r>
      <w:r w:rsidR="00D161C5">
        <w:rPr>
          <w:bCs/>
        </w:rPr>
        <w:t xml:space="preserve"> reportable transaction</w:t>
      </w:r>
      <w:r w:rsidRPr="00412A23">
        <w:rPr>
          <w:bCs/>
        </w:rPr>
        <w:t xml:space="preserve">s to </w:t>
      </w:r>
      <w:r w:rsidR="00CF7614">
        <w:rPr>
          <w:bCs/>
        </w:rPr>
        <w:t>l</w:t>
      </w:r>
      <w:r w:rsidRPr="00412A23">
        <w:rPr>
          <w:bCs/>
        </w:rPr>
        <w:t xml:space="preserve">icensed </w:t>
      </w:r>
      <w:r w:rsidR="00CF7614">
        <w:rPr>
          <w:bCs/>
        </w:rPr>
        <w:t>r</w:t>
      </w:r>
      <w:r w:rsidRPr="00412A23">
        <w:rPr>
          <w:bCs/>
        </w:rPr>
        <w:t xml:space="preserve">epositories and </w:t>
      </w:r>
      <w:r w:rsidR="00CF7614">
        <w:rPr>
          <w:bCs/>
        </w:rPr>
        <w:t>p</w:t>
      </w:r>
      <w:r w:rsidRPr="00412A23">
        <w:rPr>
          <w:bCs/>
        </w:rPr>
        <w:t xml:space="preserve">rescribed </w:t>
      </w:r>
      <w:r w:rsidR="00CF7614">
        <w:rPr>
          <w:bCs/>
        </w:rPr>
        <w:t>r</w:t>
      </w:r>
      <w:r w:rsidRPr="00412A23">
        <w:rPr>
          <w:bCs/>
        </w:rPr>
        <w:t>epositories.</w:t>
      </w:r>
    </w:p>
    <w:p w14:paraId="62FE7AAD" w14:textId="5C76F728" w:rsidR="003A4640" w:rsidRPr="00A01489" w:rsidRDefault="003A4640" w:rsidP="00A01489">
      <w:pPr>
        <w:pStyle w:val="LI-BodyTextNumbered"/>
        <w:ind w:hanging="1134"/>
        <w:rPr>
          <w:u w:val="single"/>
        </w:rPr>
      </w:pPr>
      <w:r w:rsidRPr="00A01489">
        <w:rPr>
          <w:u w:val="single"/>
        </w:rPr>
        <w:lastRenderedPageBreak/>
        <w:t xml:space="preserve">Part 2.2 Reporting </w:t>
      </w:r>
      <w:r w:rsidR="00CA0BF8" w:rsidRPr="00A01489">
        <w:rPr>
          <w:u w:val="single"/>
        </w:rPr>
        <w:t>r</w:t>
      </w:r>
      <w:r w:rsidRPr="00A01489">
        <w:rPr>
          <w:u w:val="single"/>
        </w:rPr>
        <w:t>equirements</w:t>
      </w:r>
    </w:p>
    <w:p w14:paraId="57B525CC" w14:textId="564601A7" w:rsidR="003A4640" w:rsidRPr="00FE6041" w:rsidRDefault="003A4640" w:rsidP="003A4640">
      <w:pPr>
        <w:pStyle w:val="LI-BodyTextNumbered"/>
        <w:ind w:hanging="1134"/>
        <w:rPr>
          <w:u w:val="single"/>
        </w:rPr>
      </w:pPr>
      <w:r w:rsidRPr="00FE6041">
        <w:rPr>
          <w:u w:val="single"/>
        </w:rPr>
        <w:t xml:space="preserve">Rule 2.2.1 </w:t>
      </w:r>
      <w:r w:rsidR="004A6A73">
        <w:rPr>
          <w:u w:val="single"/>
        </w:rPr>
        <w:t>Transaction</w:t>
      </w:r>
      <w:r w:rsidR="003A2928">
        <w:rPr>
          <w:u w:val="single"/>
        </w:rPr>
        <w:t xml:space="preserve"> r</w:t>
      </w:r>
      <w:r w:rsidR="003A2928" w:rsidRPr="00FE6041">
        <w:rPr>
          <w:u w:val="single"/>
        </w:rPr>
        <w:t xml:space="preserve">eporting </w:t>
      </w:r>
      <w:r w:rsidR="00CA0BF8">
        <w:rPr>
          <w:u w:val="single"/>
        </w:rPr>
        <w:t>r</w:t>
      </w:r>
      <w:r w:rsidRPr="00FE6041">
        <w:rPr>
          <w:u w:val="single"/>
        </w:rPr>
        <w:t>equirements</w:t>
      </w:r>
    </w:p>
    <w:p w14:paraId="5B77F2FA" w14:textId="43F2DD96" w:rsidR="003A4640" w:rsidRPr="00C8303B" w:rsidRDefault="003A4640" w:rsidP="003A4640">
      <w:pPr>
        <w:pStyle w:val="LI-BodyTextNumbered"/>
        <w:ind w:left="0" w:firstLine="0"/>
        <w:rPr>
          <w:i/>
          <w:iCs/>
        </w:rPr>
      </w:pPr>
      <w:r w:rsidRPr="00C8303B">
        <w:rPr>
          <w:i/>
          <w:iCs/>
        </w:rPr>
        <w:t xml:space="preserve">Subrule 2.2.1(1) </w:t>
      </w:r>
      <w:r w:rsidR="003A2928">
        <w:rPr>
          <w:i/>
          <w:iCs/>
        </w:rPr>
        <w:t>–</w:t>
      </w:r>
      <w:r w:rsidRPr="00C8303B">
        <w:rPr>
          <w:i/>
          <w:iCs/>
        </w:rPr>
        <w:t xml:space="preserve"> </w:t>
      </w:r>
      <w:r w:rsidR="003A2928">
        <w:rPr>
          <w:i/>
          <w:iCs/>
        </w:rPr>
        <w:t>Core t</w:t>
      </w:r>
      <w:r w:rsidR="003A2928" w:rsidRPr="00C8303B">
        <w:rPr>
          <w:i/>
          <w:iCs/>
        </w:rPr>
        <w:t xml:space="preserve">ransaction </w:t>
      </w:r>
      <w:r w:rsidR="002F6063">
        <w:rPr>
          <w:i/>
          <w:iCs/>
        </w:rPr>
        <w:t>r</w:t>
      </w:r>
      <w:r w:rsidR="002F6063" w:rsidRPr="00C8303B">
        <w:rPr>
          <w:i/>
          <w:iCs/>
        </w:rPr>
        <w:t xml:space="preserve">eporting </w:t>
      </w:r>
      <w:r w:rsidR="002F6063">
        <w:rPr>
          <w:i/>
          <w:iCs/>
        </w:rPr>
        <w:t>r</w:t>
      </w:r>
      <w:r w:rsidR="002F6063" w:rsidRPr="00C8303B">
        <w:rPr>
          <w:i/>
          <w:iCs/>
        </w:rPr>
        <w:t>equirements</w:t>
      </w:r>
    </w:p>
    <w:p w14:paraId="23B141EE" w14:textId="6D6659BF" w:rsidR="003A4640" w:rsidRPr="00E43B62" w:rsidRDefault="003A4640" w:rsidP="002E110A">
      <w:pPr>
        <w:pStyle w:val="LI-BodyTextParaa"/>
        <w:numPr>
          <w:ilvl w:val="0"/>
          <w:numId w:val="3"/>
        </w:numPr>
        <w:rPr>
          <w:bCs/>
        </w:rPr>
      </w:pPr>
      <w:r w:rsidRPr="00E43B62">
        <w:rPr>
          <w:bCs/>
        </w:rPr>
        <w:t>Under subrule 2.2.1(1) and subject to exceptions set out in subrules 2.2.1(2) and (3)</w:t>
      </w:r>
      <w:r w:rsidR="00BF0BA5">
        <w:rPr>
          <w:bCs/>
        </w:rPr>
        <w:t>, Rule 2.2.8</w:t>
      </w:r>
      <w:r w:rsidRPr="00E43B62">
        <w:rPr>
          <w:bCs/>
        </w:rPr>
        <w:t xml:space="preserve"> and Part 2.4,</w:t>
      </w:r>
      <w:r w:rsidR="00F65ABA">
        <w:rPr>
          <w:bCs/>
        </w:rPr>
        <w:t xml:space="preserve"> reporting entities</w:t>
      </w:r>
      <w:r w:rsidRPr="00E43B62">
        <w:rPr>
          <w:bCs/>
        </w:rPr>
        <w:t xml:space="preserve"> must report information about their</w:t>
      </w:r>
      <w:r w:rsidR="00D161C5">
        <w:rPr>
          <w:bCs/>
        </w:rPr>
        <w:t xml:space="preserve"> reportable transaction</w:t>
      </w:r>
      <w:r w:rsidRPr="00E43B62">
        <w:rPr>
          <w:bCs/>
        </w:rPr>
        <w:t xml:space="preserve">s in accordance with the </w:t>
      </w:r>
      <w:r w:rsidR="00CF7614">
        <w:rPr>
          <w:bCs/>
        </w:rPr>
        <w:t>r</w:t>
      </w:r>
      <w:r w:rsidRPr="00E43B62">
        <w:rPr>
          <w:bCs/>
        </w:rPr>
        <w:t xml:space="preserve">eporting </w:t>
      </w:r>
      <w:r w:rsidR="00CF7614">
        <w:rPr>
          <w:bCs/>
        </w:rPr>
        <w:t>r</w:t>
      </w:r>
      <w:r w:rsidRPr="00E43B62">
        <w:rPr>
          <w:bCs/>
        </w:rPr>
        <w:t>equirements set out in Schedule</w:t>
      </w:r>
      <w:r w:rsidR="009C3478">
        <w:rPr>
          <w:bCs/>
        </w:rPr>
        <w:t xml:space="preserve"> 1</w:t>
      </w:r>
      <w:r w:rsidRPr="00E43B62">
        <w:rPr>
          <w:bCs/>
        </w:rPr>
        <w:t xml:space="preserve"> to </w:t>
      </w:r>
      <w:r w:rsidR="00F04DB8">
        <w:rPr>
          <w:bCs/>
        </w:rPr>
        <w:t>the 2024 Rules</w:t>
      </w:r>
      <w:r w:rsidRPr="00E43B62">
        <w:rPr>
          <w:bCs/>
        </w:rPr>
        <w:t>, and in accordance with the other requirements of Part 2.2 concerning:</w:t>
      </w:r>
    </w:p>
    <w:p w14:paraId="623B0A85" w14:textId="77777777" w:rsidR="003A4640" w:rsidRDefault="003A4640" w:rsidP="002E110A">
      <w:pPr>
        <w:pStyle w:val="LI-BodyTextParaa"/>
        <w:numPr>
          <w:ilvl w:val="1"/>
          <w:numId w:val="3"/>
        </w:numPr>
        <w:rPr>
          <w:bCs/>
        </w:rPr>
      </w:pPr>
      <w:r>
        <w:rPr>
          <w:bCs/>
        </w:rPr>
        <w:t>changes to information reported (see Rule 2.2.2</w:t>
      </w:r>
      <w:proofErr w:type="gramStart"/>
      <w:r>
        <w:rPr>
          <w:bCs/>
        </w:rPr>
        <w:t>);</w:t>
      </w:r>
      <w:proofErr w:type="gramEnd"/>
    </w:p>
    <w:p w14:paraId="0E0F7FF7" w14:textId="0A8DF09F" w:rsidR="003A4640" w:rsidRPr="004A5181" w:rsidRDefault="003A4640" w:rsidP="002E110A">
      <w:pPr>
        <w:pStyle w:val="LI-BodyTextParaa"/>
        <w:numPr>
          <w:ilvl w:val="1"/>
          <w:numId w:val="3"/>
        </w:numPr>
        <w:rPr>
          <w:bCs/>
        </w:rPr>
      </w:pPr>
      <w:r w:rsidRPr="004A5181">
        <w:rPr>
          <w:bCs/>
        </w:rPr>
        <w:t>timing of reporting (generally, T+</w:t>
      </w:r>
      <w:r w:rsidR="009C3478">
        <w:rPr>
          <w:bCs/>
        </w:rPr>
        <w:t>2</w:t>
      </w:r>
      <w:r w:rsidRPr="004A5181">
        <w:rPr>
          <w:bCs/>
        </w:rPr>
        <w:t>) (see Rule 2.2.3</w:t>
      </w:r>
      <w:proofErr w:type="gramStart"/>
      <w:r w:rsidRPr="004A5181">
        <w:rPr>
          <w:bCs/>
        </w:rPr>
        <w:t>);</w:t>
      </w:r>
      <w:proofErr w:type="gramEnd"/>
    </w:p>
    <w:p w14:paraId="03ACCC93" w14:textId="77777777" w:rsidR="003A4640" w:rsidRPr="004A5181" w:rsidRDefault="003A4640" w:rsidP="002E110A">
      <w:pPr>
        <w:pStyle w:val="LI-BodyTextParaa"/>
        <w:numPr>
          <w:ilvl w:val="1"/>
          <w:numId w:val="3"/>
        </w:numPr>
        <w:rPr>
          <w:bCs/>
        </w:rPr>
      </w:pPr>
      <w:r w:rsidRPr="004A5181">
        <w:rPr>
          <w:bCs/>
        </w:rPr>
        <w:t>format of reporting (see Rule 2.2.4</w:t>
      </w:r>
      <w:proofErr w:type="gramStart"/>
      <w:r w:rsidRPr="004A5181">
        <w:rPr>
          <w:bCs/>
        </w:rPr>
        <w:t>);</w:t>
      </w:r>
      <w:proofErr w:type="gramEnd"/>
    </w:p>
    <w:p w14:paraId="1730CC77" w14:textId="77777777" w:rsidR="003A4640" w:rsidRPr="004A5181" w:rsidRDefault="003A4640" w:rsidP="002E110A">
      <w:pPr>
        <w:pStyle w:val="LI-BodyTextParaa"/>
        <w:numPr>
          <w:ilvl w:val="1"/>
          <w:numId w:val="3"/>
        </w:numPr>
        <w:rPr>
          <w:bCs/>
        </w:rPr>
      </w:pPr>
      <w:r w:rsidRPr="004A5181">
        <w:rPr>
          <w:bCs/>
        </w:rPr>
        <w:t>continuity of reporting (see Rule 2.2.5</w:t>
      </w:r>
      <w:proofErr w:type="gramStart"/>
      <w:r w:rsidRPr="004A5181">
        <w:rPr>
          <w:bCs/>
        </w:rPr>
        <w:t>);</w:t>
      </w:r>
      <w:proofErr w:type="gramEnd"/>
    </w:p>
    <w:p w14:paraId="4620B963" w14:textId="77777777" w:rsidR="003A4640" w:rsidRPr="004A5181" w:rsidRDefault="003A4640" w:rsidP="002E110A">
      <w:pPr>
        <w:pStyle w:val="LI-BodyTextParaa"/>
        <w:numPr>
          <w:ilvl w:val="1"/>
          <w:numId w:val="3"/>
        </w:numPr>
        <w:rPr>
          <w:bCs/>
        </w:rPr>
      </w:pPr>
      <w:r w:rsidRPr="004A5181">
        <w:rPr>
          <w:bCs/>
        </w:rPr>
        <w:t>accuracy of reporting (see Rule 2.2.6</w:t>
      </w:r>
      <w:proofErr w:type="gramStart"/>
      <w:r w:rsidRPr="004A5181">
        <w:rPr>
          <w:bCs/>
        </w:rPr>
        <w:t>);</w:t>
      </w:r>
      <w:proofErr w:type="gramEnd"/>
    </w:p>
    <w:p w14:paraId="7074E1BB" w14:textId="0254BD89" w:rsidR="003A4640" w:rsidRDefault="003A4640" w:rsidP="002E110A">
      <w:pPr>
        <w:pStyle w:val="LI-BodyTextParaa"/>
        <w:numPr>
          <w:ilvl w:val="1"/>
          <w:numId w:val="3"/>
        </w:numPr>
        <w:rPr>
          <w:bCs/>
        </w:rPr>
      </w:pPr>
      <w:r w:rsidRPr="004A5181">
        <w:rPr>
          <w:bCs/>
        </w:rPr>
        <w:t>delegation of reporting (see Rule 2.2.7</w:t>
      </w:r>
      <w:proofErr w:type="gramStart"/>
      <w:r w:rsidRPr="004A5181">
        <w:rPr>
          <w:bCs/>
        </w:rPr>
        <w:t>)</w:t>
      </w:r>
      <w:r>
        <w:rPr>
          <w:bCs/>
        </w:rPr>
        <w:t>;</w:t>
      </w:r>
      <w:proofErr w:type="gramEnd"/>
    </w:p>
    <w:p w14:paraId="4F04A9CF" w14:textId="07F7E5F9" w:rsidR="003A4640" w:rsidRDefault="003A4640" w:rsidP="002E110A">
      <w:pPr>
        <w:pStyle w:val="LI-BodyTextParaa"/>
        <w:numPr>
          <w:ilvl w:val="1"/>
          <w:numId w:val="3"/>
        </w:numPr>
        <w:rPr>
          <w:bCs/>
        </w:rPr>
      </w:pPr>
      <w:r>
        <w:rPr>
          <w:bCs/>
        </w:rPr>
        <w:t>lifecycle or snapshot reporting (see Rule 2.2.8</w:t>
      </w:r>
      <w:r w:rsidR="00353F0A">
        <w:rPr>
          <w:bCs/>
        </w:rPr>
        <w:t>); and</w:t>
      </w:r>
    </w:p>
    <w:p w14:paraId="16A36D6A" w14:textId="483C6825" w:rsidR="00652D68" w:rsidRDefault="00652D68" w:rsidP="002E110A">
      <w:pPr>
        <w:pStyle w:val="LI-BodyTextParaa"/>
        <w:numPr>
          <w:ilvl w:val="1"/>
          <w:numId w:val="3"/>
        </w:numPr>
        <w:rPr>
          <w:bCs/>
        </w:rPr>
      </w:pPr>
      <w:r>
        <w:rPr>
          <w:bCs/>
        </w:rPr>
        <w:t xml:space="preserve">the </w:t>
      </w:r>
      <w:proofErr w:type="spellStart"/>
      <w:r w:rsidR="00CC6D87">
        <w:rPr>
          <w:bCs/>
        </w:rPr>
        <w:t>UTI</w:t>
      </w:r>
      <w:proofErr w:type="spellEnd"/>
      <w:r w:rsidR="00504D32">
        <w:rPr>
          <w:bCs/>
        </w:rPr>
        <w:t xml:space="preserve"> (see Rule 2.2.9).</w:t>
      </w:r>
    </w:p>
    <w:p w14:paraId="31C4FFEE" w14:textId="7E1A05FC" w:rsidR="009D0CAD" w:rsidRPr="00907379" w:rsidRDefault="009D0CAD" w:rsidP="00907379">
      <w:pPr>
        <w:pStyle w:val="LI-BodyTextParaa"/>
        <w:numPr>
          <w:ilvl w:val="0"/>
          <w:numId w:val="3"/>
        </w:numPr>
        <w:rPr>
          <w:bCs/>
        </w:rPr>
      </w:pPr>
      <w:r w:rsidRPr="00907379">
        <w:rPr>
          <w:bCs/>
        </w:rPr>
        <w:t>As at the date the 202</w:t>
      </w:r>
      <w:r w:rsidR="0060236F" w:rsidRPr="00907379">
        <w:rPr>
          <w:bCs/>
        </w:rPr>
        <w:t>4</w:t>
      </w:r>
      <w:r w:rsidRPr="00907379">
        <w:rPr>
          <w:bCs/>
        </w:rPr>
        <w:t xml:space="preserve"> Rules are made, the reporting requirements are affected by regulations 7.5A.</w:t>
      </w:r>
      <w:r w:rsidR="004F72C7" w:rsidRPr="00907379">
        <w:rPr>
          <w:bCs/>
        </w:rPr>
        <w:t>7</w:t>
      </w:r>
      <w:r w:rsidR="004F72C7">
        <w:rPr>
          <w:bCs/>
        </w:rPr>
        <w:t>0</w:t>
      </w:r>
      <w:r w:rsidRPr="00907379">
        <w:rPr>
          <w:bCs/>
        </w:rPr>
        <w:t xml:space="preserve">–7.5A.74 </w:t>
      </w:r>
      <w:r w:rsidR="00EA1A3E" w:rsidRPr="00907379">
        <w:rPr>
          <w:bCs/>
        </w:rPr>
        <w:t xml:space="preserve">of </w:t>
      </w:r>
      <w:r w:rsidRPr="00907379">
        <w:rPr>
          <w:bCs/>
        </w:rPr>
        <w:t>the Corporations Regulations.</w:t>
      </w:r>
      <w:r w:rsidR="00907379" w:rsidRPr="00907379">
        <w:rPr>
          <w:bCs/>
        </w:rPr>
        <w:t xml:space="preserve"> </w:t>
      </w:r>
      <w:r w:rsidRPr="00907379">
        <w:rPr>
          <w:bCs/>
        </w:rPr>
        <w:t>Regulations 7.5A.</w:t>
      </w:r>
      <w:r w:rsidR="004F72C7" w:rsidRPr="00907379">
        <w:rPr>
          <w:bCs/>
        </w:rPr>
        <w:t>7</w:t>
      </w:r>
      <w:r w:rsidR="004F72C7">
        <w:rPr>
          <w:bCs/>
        </w:rPr>
        <w:t>0</w:t>
      </w:r>
      <w:r w:rsidRPr="00907379">
        <w:rPr>
          <w:bCs/>
        </w:rPr>
        <w:t>–7.5A.74 exempts reporting entities with small-scale gross notional outstanding positions from reporting transactions where their counterparty reports the transactions</w:t>
      </w:r>
      <w:r w:rsidR="00676C18" w:rsidRPr="00907379">
        <w:rPr>
          <w:bCs/>
        </w:rPr>
        <w:t>.</w:t>
      </w:r>
    </w:p>
    <w:p w14:paraId="013DEB63" w14:textId="596B382B" w:rsidR="002B33AD" w:rsidRDefault="0014518D" w:rsidP="002E110A">
      <w:pPr>
        <w:pStyle w:val="LI-BodyTextParaa"/>
        <w:numPr>
          <w:ilvl w:val="0"/>
          <w:numId w:val="3"/>
        </w:numPr>
        <w:rPr>
          <w:bCs/>
        </w:rPr>
      </w:pPr>
      <w:r w:rsidRPr="0062359E">
        <w:rPr>
          <w:bCs/>
        </w:rPr>
        <w:t>Subrule 2.2.1(</w:t>
      </w:r>
      <w:r w:rsidR="0047147E">
        <w:rPr>
          <w:bCs/>
        </w:rPr>
        <w:t>1A</w:t>
      </w:r>
      <w:r w:rsidRPr="0062359E">
        <w:rPr>
          <w:bCs/>
        </w:rPr>
        <w:t xml:space="preserve">) </w:t>
      </w:r>
      <w:r w:rsidR="0047147E">
        <w:rPr>
          <w:bCs/>
        </w:rPr>
        <w:t xml:space="preserve">requires </w:t>
      </w:r>
      <w:r w:rsidR="00496EC9">
        <w:rPr>
          <w:bCs/>
        </w:rPr>
        <w:t xml:space="preserve">that </w:t>
      </w:r>
      <w:r w:rsidR="00F65ABA">
        <w:rPr>
          <w:bCs/>
        </w:rPr>
        <w:t>a reporting entity</w:t>
      </w:r>
      <w:r w:rsidR="008123CE">
        <w:rPr>
          <w:bCs/>
        </w:rPr>
        <w:t xml:space="preserve"> must use its best endeavours </w:t>
      </w:r>
      <w:r w:rsidR="00CE625D">
        <w:rPr>
          <w:bCs/>
        </w:rPr>
        <w:t xml:space="preserve">to ensure </w:t>
      </w:r>
      <w:r w:rsidR="002E474E">
        <w:rPr>
          <w:bCs/>
        </w:rPr>
        <w:t>that its reports are not duplicated reports.</w:t>
      </w:r>
    </w:p>
    <w:p w14:paraId="69D4B96F" w14:textId="47647DB5" w:rsidR="0014518D" w:rsidRDefault="00C23AA7" w:rsidP="002E110A">
      <w:pPr>
        <w:pStyle w:val="LI-BodyTextParaa"/>
        <w:numPr>
          <w:ilvl w:val="0"/>
          <w:numId w:val="3"/>
        </w:numPr>
        <w:rPr>
          <w:bCs/>
        </w:rPr>
      </w:pPr>
      <w:r>
        <w:rPr>
          <w:bCs/>
        </w:rPr>
        <w:t xml:space="preserve">The notes </w:t>
      </w:r>
      <w:r w:rsidR="00A92D02">
        <w:rPr>
          <w:bCs/>
        </w:rPr>
        <w:t xml:space="preserve">to subrule 2.2.1(1A) </w:t>
      </w:r>
      <w:r w:rsidR="007A4E83">
        <w:rPr>
          <w:bCs/>
        </w:rPr>
        <w:t xml:space="preserve">explain </w:t>
      </w:r>
      <w:r w:rsidR="009E7EA0">
        <w:rPr>
          <w:bCs/>
        </w:rPr>
        <w:t xml:space="preserve">two kinds of reports that are not duplicated reports </w:t>
      </w:r>
      <w:r w:rsidR="00C2213B">
        <w:rPr>
          <w:bCs/>
        </w:rPr>
        <w:t>–</w:t>
      </w:r>
      <w:r w:rsidR="009E7EA0">
        <w:rPr>
          <w:bCs/>
        </w:rPr>
        <w:t xml:space="preserve"> </w:t>
      </w:r>
      <w:r w:rsidR="00C2213B">
        <w:rPr>
          <w:bCs/>
        </w:rPr>
        <w:t xml:space="preserve">a valuation or collateral report where the amounts do not change but the date </w:t>
      </w:r>
      <w:r w:rsidR="000C69F8">
        <w:rPr>
          <w:bCs/>
        </w:rPr>
        <w:t>and time at which the reported valuation or collateral amount has changed</w:t>
      </w:r>
      <w:r w:rsidR="00501B88">
        <w:rPr>
          <w:bCs/>
        </w:rPr>
        <w:t>;</w:t>
      </w:r>
      <w:r w:rsidR="000C69F8">
        <w:rPr>
          <w:bCs/>
        </w:rPr>
        <w:t xml:space="preserve"> </w:t>
      </w:r>
      <w:r w:rsidR="00845177">
        <w:rPr>
          <w:bCs/>
        </w:rPr>
        <w:t xml:space="preserve">and </w:t>
      </w:r>
      <w:r w:rsidR="00D962F0">
        <w:rPr>
          <w:bCs/>
        </w:rPr>
        <w:t xml:space="preserve">a report </w:t>
      </w:r>
      <w:r w:rsidR="00F118C3" w:rsidRPr="00F118C3">
        <w:rPr>
          <w:bCs/>
        </w:rPr>
        <w:t xml:space="preserve">of a change to the way </w:t>
      </w:r>
      <w:r w:rsidR="00F65ABA">
        <w:rPr>
          <w:bCs/>
        </w:rPr>
        <w:t>a reporting entity</w:t>
      </w:r>
      <w:r w:rsidR="00F118C3" w:rsidRPr="00F118C3">
        <w:rPr>
          <w:bCs/>
        </w:rPr>
        <w:t xml:space="preserve"> records an OTC</w:t>
      </w:r>
      <w:r w:rsidR="003E43F4">
        <w:rPr>
          <w:bCs/>
        </w:rPr>
        <w:t xml:space="preserve"> derivative</w:t>
      </w:r>
      <w:r w:rsidR="00F118C3" w:rsidRPr="00F118C3">
        <w:rPr>
          <w:bCs/>
        </w:rPr>
        <w:t xml:space="preserve"> in </w:t>
      </w:r>
      <w:r w:rsidR="00F65ABA">
        <w:rPr>
          <w:bCs/>
        </w:rPr>
        <w:t>the reporting entity</w:t>
      </w:r>
      <w:r w:rsidR="00F118C3" w:rsidRPr="00F118C3">
        <w:rPr>
          <w:bCs/>
        </w:rPr>
        <w:t xml:space="preserve">’s books and records (see </w:t>
      </w:r>
      <w:r w:rsidR="00964E1C">
        <w:rPr>
          <w:bCs/>
        </w:rPr>
        <w:t xml:space="preserve">subparagraph </w:t>
      </w:r>
      <w:r w:rsidR="00F118C3" w:rsidRPr="00F118C3">
        <w:rPr>
          <w:bCs/>
        </w:rPr>
        <w:t>1.2.5(1)(b)(iv))</w:t>
      </w:r>
      <w:r w:rsidR="00F118C3">
        <w:rPr>
          <w:bCs/>
        </w:rPr>
        <w:t>.</w:t>
      </w:r>
      <w:r w:rsidR="00F94D95">
        <w:rPr>
          <w:bCs/>
        </w:rPr>
        <w:t xml:space="preserve"> A duplicated report is not otherwise </w:t>
      </w:r>
      <w:r w:rsidR="0072364D">
        <w:rPr>
          <w:bCs/>
        </w:rPr>
        <w:t xml:space="preserve">defined </w:t>
      </w:r>
      <w:r w:rsidR="001B6F46">
        <w:rPr>
          <w:bCs/>
        </w:rPr>
        <w:t xml:space="preserve">but its ordinary meaning </w:t>
      </w:r>
      <w:r w:rsidR="0073350A">
        <w:rPr>
          <w:bCs/>
        </w:rPr>
        <w:t xml:space="preserve">is an exact copy of another report – </w:t>
      </w:r>
      <w:proofErr w:type="gramStart"/>
      <w:r w:rsidR="0073350A">
        <w:rPr>
          <w:bCs/>
        </w:rPr>
        <w:t>i.e.</w:t>
      </w:r>
      <w:proofErr w:type="gramEnd"/>
      <w:r w:rsidR="0073350A">
        <w:rPr>
          <w:bCs/>
        </w:rPr>
        <w:t xml:space="preserve"> a report </w:t>
      </w:r>
      <w:r w:rsidR="00353F73">
        <w:rPr>
          <w:bCs/>
        </w:rPr>
        <w:t>about a</w:t>
      </w:r>
      <w:r w:rsidR="00D161C5">
        <w:rPr>
          <w:bCs/>
        </w:rPr>
        <w:t xml:space="preserve"> reportable transaction</w:t>
      </w:r>
      <w:r w:rsidR="00FE7C7A">
        <w:rPr>
          <w:bCs/>
        </w:rPr>
        <w:t xml:space="preserve"> or a</w:t>
      </w:r>
      <w:r w:rsidR="00353F73">
        <w:rPr>
          <w:bCs/>
        </w:rPr>
        <w:t>n OTC</w:t>
      </w:r>
      <w:r w:rsidR="003E43F4">
        <w:rPr>
          <w:bCs/>
        </w:rPr>
        <w:t xml:space="preserve"> derivative</w:t>
      </w:r>
      <w:r w:rsidR="00353F73">
        <w:rPr>
          <w:bCs/>
        </w:rPr>
        <w:t xml:space="preserve"> </w:t>
      </w:r>
      <w:r w:rsidR="0073350A">
        <w:rPr>
          <w:bCs/>
        </w:rPr>
        <w:t xml:space="preserve">that provides no </w:t>
      </w:r>
      <w:r w:rsidR="00186294">
        <w:rPr>
          <w:bCs/>
        </w:rPr>
        <w:t>changed or additional</w:t>
      </w:r>
      <w:r w:rsidR="0019732D">
        <w:rPr>
          <w:bCs/>
        </w:rPr>
        <w:t xml:space="preserve"> derivative transaction information</w:t>
      </w:r>
      <w:r w:rsidR="00186294">
        <w:rPr>
          <w:bCs/>
        </w:rPr>
        <w:t xml:space="preserve"> to a </w:t>
      </w:r>
      <w:r w:rsidR="00353F73">
        <w:rPr>
          <w:bCs/>
        </w:rPr>
        <w:t>preceding report</w:t>
      </w:r>
      <w:r w:rsidR="001F76D5">
        <w:rPr>
          <w:bCs/>
        </w:rPr>
        <w:t>.</w:t>
      </w:r>
    </w:p>
    <w:p w14:paraId="59531596" w14:textId="274DAE01" w:rsidR="005A71ED" w:rsidRDefault="005A71ED" w:rsidP="002E110A">
      <w:pPr>
        <w:pStyle w:val="LI-BodyTextParaa"/>
        <w:numPr>
          <w:ilvl w:val="0"/>
          <w:numId w:val="3"/>
        </w:numPr>
        <w:rPr>
          <w:bCs/>
        </w:rPr>
      </w:pPr>
      <w:r w:rsidRPr="0062359E">
        <w:rPr>
          <w:bCs/>
        </w:rPr>
        <w:t>Subrule 2.2.1(</w:t>
      </w:r>
      <w:r>
        <w:rPr>
          <w:bCs/>
        </w:rPr>
        <w:t>1B</w:t>
      </w:r>
      <w:r w:rsidRPr="0062359E">
        <w:rPr>
          <w:bCs/>
        </w:rPr>
        <w:t xml:space="preserve">) </w:t>
      </w:r>
      <w:r w:rsidR="00273540">
        <w:rPr>
          <w:bCs/>
        </w:rPr>
        <w:t>provides that where a</w:t>
      </w:r>
      <w:r w:rsidR="00023A28">
        <w:rPr>
          <w:bCs/>
        </w:rPr>
        <w:t xml:space="preserve"> derivative trade repository</w:t>
      </w:r>
      <w:r w:rsidR="00273540">
        <w:rPr>
          <w:bCs/>
        </w:rPr>
        <w:t xml:space="preserve"> </w:t>
      </w:r>
      <w:r w:rsidR="003426CA">
        <w:rPr>
          <w:bCs/>
        </w:rPr>
        <w:t>creates an item of</w:t>
      </w:r>
      <w:r w:rsidR="0019732D">
        <w:rPr>
          <w:bCs/>
        </w:rPr>
        <w:t xml:space="preserve"> derivative transaction information</w:t>
      </w:r>
      <w:r w:rsidR="00725913">
        <w:t xml:space="preserve"> that it derives from other information reported by </w:t>
      </w:r>
      <w:r w:rsidR="00F65ABA">
        <w:t>the reporting entity</w:t>
      </w:r>
      <w:r w:rsidR="00725913">
        <w:t xml:space="preserve"> and that item of</w:t>
      </w:r>
      <w:r w:rsidR="0019732D">
        <w:t xml:space="preserve"> derivative transaction information</w:t>
      </w:r>
      <w:r w:rsidR="00725913">
        <w:t xml:space="preserve"> is in accordance with the requirements of Part S1.3 of Schedule 1, </w:t>
      </w:r>
      <w:r w:rsidR="00F65ABA">
        <w:t>the reporting entity</w:t>
      </w:r>
      <w:r w:rsidR="00725913">
        <w:t xml:space="preserve"> is taken to have </w:t>
      </w:r>
      <w:r w:rsidR="00190997">
        <w:t>complied with its reporting requirements.</w:t>
      </w:r>
    </w:p>
    <w:p w14:paraId="74BF261E" w14:textId="6A19159C" w:rsidR="005A71ED" w:rsidRPr="00735D30" w:rsidRDefault="005A71ED" w:rsidP="002E110A">
      <w:pPr>
        <w:pStyle w:val="LI-BodyTextParaa"/>
        <w:numPr>
          <w:ilvl w:val="0"/>
          <w:numId w:val="3"/>
        </w:numPr>
        <w:rPr>
          <w:bCs/>
        </w:rPr>
      </w:pPr>
      <w:r>
        <w:rPr>
          <w:bCs/>
        </w:rPr>
        <w:lastRenderedPageBreak/>
        <w:t>The note to subrule 2.2.1(1</w:t>
      </w:r>
      <w:r w:rsidR="00190997">
        <w:rPr>
          <w:bCs/>
        </w:rPr>
        <w:t>B</w:t>
      </w:r>
      <w:r>
        <w:rPr>
          <w:bCs/>
        </w:rPr>
        <w:t>) explain</w:t>
      </w:r>
      <w:r w:rsidR="00190997">
        <w:rPr>
          <w:bCs/>
        </w:rPr>
        <w:t>s</w:t>
      </w:r>
      <w:r w:rsidR="006B334B">
        <w:rPr>
          <w:bCs/>
        </w:rPr>
        <w:t xml:space="preserve">, by way of example, </w:t>
      </w:r>
      <w:r w:rsidR="00D71E1C">
        <w:rPr>
          <w:bCs/>
        </w:rPr>
        <w:t xml:space="preserve">that </w:t>
      </w:r>
      <w:r w:rsidR="007C21E4">
        <w:rPr>
          <w:bCs/>
        </w:rPr>
        <w:t>r</w:t>
      </w:r>
      <w:r w:rsidR="00D71E1C" w:rsidRPr="00D71E1C">
        <w:rPr>
          <w:bCs/>
        </w:rPr>
        <w:t>eporting timestamp is an item that may be created by a</w:t>
      </w:r>
      <w:r w:rsidR="00023A28">
        <w:rPr>
          <w:bCs/>
        </w:rPr>
        <w:t xml:space="preserve"> derivative trade repository</w:t>
      </w:r>
      <w:r w:rsidR="00D71E1C" w:rsidRPr="00D71E1C">
        <w:rPr>
          <w:bCs/>
        </w:rPr>
        <w:t xml:space="preserve"> derived from the submission by </w:t>
      </w:r>
      <w:r w:rsidR="00F65ABA">
        <w:rPr>
          <w:bCs/>
        </w:rPr>
        <w:t>a reporting entity</w:t>
      </w:r>
      <w:r w:rsidR="00D71E1C" w:rsidRPr="00D71E1C">
        <w:rPr>
          <w:bCs/>
        </w:rPr>
        <w:t xml:space="preserve"> of a report about a</w:t>
      </w:r>
      <w:r w:rsidR="00D161C5">
        <w:rPr>
          <w:bCs/>
        </w:rPr>
        <w:t xml:space="preserve"> reportable transaction</w:t>
      </w:r>
      <w:r w:rsidR="0077264C">
        <w:rPr>
          <w:bCs/>
        </w:rPr>
        <w:t xml:space="preserve"> – that is</w:t>
      </w:r>
      <w:r w:rsidR="00563C46">
        <w:rPr>
          <w:bCs/>
        </w:rPr>
        <w:t>, the</w:t>
      </w:r>
      <w:r w:rsidR="00023A28">
        <w:rPr>
          <w:bCs/>
        </w:rPr>
        <w:t xml:space="preserve"> derivative trade repository</w:t>
      </w:r>
      <w:r w:rsidR="00563C46">
        <w:rPr>
          <w:bCs/>
        </w:rPr>
        <w:t xml:space="preserve">’s timestamping </w:t>
      </w:r>
      <w:r w:rsidR="00F45D27">
        <w:rPr>
          <w:bCs/>
        </w:rPr>
        <w:t xml:space="preserve">of the receipt of a report creates the item </w:t>
      </w:r>
      <w:r w:rsidR="002C7604">
        <w:rPr>
          <w:bCs/>
        </w:rPr>
        <w:t>r</w:t>
      </w:r>
      <w:r w:rsidR="00F45D27">
        <w:rPr>
          <w:bCs/>
        </w:rPr>
        <w:t xml:space="preserve">eporting timestamp derived </w:t>
      </w:r>
      <w:r w:rsidR="006D35AC">
        <w:rPr>
          <w:bCs/>
        </w:rPr>
        <w:t>by the submission and receipt of the report.</w:t>
      </w:r>
    </w:p>
    <w:p w14:paraId="52B4DDD8" w14:textId="53B947C7" w:rsidR="003A4640" w:rsidRPr="004309E7" w:rsidRDefault="003A4640" w:rsidP="003A4640">
      <w:pPr>
        <w:pStyle w:val="LI-BodyTextNumbered"/>
        <w:ind w:left="0" w:firstLine="0"/>
        <w:rPr>
          <w:i/>
          <w:iCs/>
        </w:rPr>
      </w:pPr>
      <w:r w:rsidRPr="004309E7">
        <w:rPr>
          <w:i/>
          <w:iCs/>
        </w:rPr>
        <w:t>Subrule 2.2.1(2) - Exception where no</w:t>
      </w:r>
      <w:r w:rsidR="00CA0BF8">
        <w:rPr>
          <w:i/>
          <w:iCs/>
        </w:rPr>
        <w:t xml:space="preserve"> licensed repository</w:t>
      </w:r>
      <w:r w:rsidRPr="004309E7">
        <w:rPr>
          <w:i/>
          <w:iCs/>
        </w:rPr>
        <w:t xml:space="preserve"> and no</w:t>
      </w:r>
      <w:r w:rsidR="005C6F8D">
        <w:rPr>
          <w:i/>
          <w:iCs/>
        </w:rPr>
        <w:t xml:space="preserve"> prescribed repository</w:t>
      </w:r>
    </w:p>
    <w:p w14:paraId="7FAF84D3" w14:textId="251775EE" w:rsidR="003A4640" w:rsidRPr="0062359E" w:rsidRDefault="003A4640" w:rsidP="002E110A">
      <w:pPr>
        <w:pStyle w:val="LI-BodyTextParaa"/>
        <w:numPr>
          <w:ilvl w:val="0"/>
          <w:numId w:val="3"/>
        </w:numPr>
        <w:rPr>
          <w:bCs/>
        </w:rPr>
      </w:pPr>
      <w:r w:rsidRPr="0062359E">
        <w:rPr>
          <w:bCs/>
        </w:rPr>
        <w:t>Subrule 2.2.1(2) provides for a general, ongoing exception to the requirements of subrule 2.2.1(1) and Part 2.2, for all</w:t>
      </w:r>
      <w:r w:rsidR="00F65ABA">
        <w:rPr>
          <w:bCs/>
        </w:rPr>
        <w:t xml:space="preserve"> reporting entities</w:t>
      </w:r>
      <w:r w:rsidRPr="0062359E">
        <w:rPr>
          <w:bCs/>
        </w:rPr>
        <w:t>.</w:t>
      </w:r>
    </w:p>
    <w:p w14:paraId="0B879F4C" w14:textId="5F5EDE52" w:rsidR="003A4640" w:rsidRPr="001625E1" w:rsidRDefault="003A4640" w:rsidP="002E110A">
      <w:pPr>
        <w:pStyle w:val="LI-BodyTextParaa"/>
        <w:numPr>
          <w:ilvl w:val="0"/>
          <w:numId w:val="3"/>
        </w:numPr>
        <w:rPr>
          <w:bCs/>
        </w:rPr>
      </w:pPr>
      <w:r w:rsidRPr="001625E1">
        <w:rPr>
          <w:bCs/>
        </w:rPr>
        <w:t xml:space="preserve">Subrule 2.2.1(2) provides that </w:t>
      </w:r>
      <w:r w:rsidR="00F65ABA">
        <w:rPr>
          <w:bCs/>
        </w:rPr>
        <w:t>a reporting entity</w:t>
      </w:r>
      <w:r w:rsidRPr="001625E1">
        <w:rPr>
          <w:bCs/>
        </w:rPr>
        <w:t xml:space="preserve"> is not required to comply with the requirements of subrule 2.2.1(1) and Part 2.2 that would otherwise apply to </w:t>
      </w:r>
      <w:r w:rsidR="00F65ABA">
        <w:rPr>
          <w:bCs/>
        </w:rPr>
        <w:t>the reporting entity</w:t>
      </w:r>
      <w:r w:rsidRPr="001625E1">
        <w:rPr>
          <w:bCs/>
        </w:rPr>
        <w:t xml:space="preserve"> in relation to a</w:t>
      </w:r>
      <w:r w:rsidR="00D161C5">
        <w:rPr>
          <w:bCs/>
        </w:rPr>
        <w:t xml:space="preserve"> reportable transaction</w:t>
      </w:r>
      <w:r w:rsidRPr="001625E1">
        <w:rPr>
          <w:bCs/>
        </w:rPr>
        <w:t xml:space="preserve"> if, at the time </w:t>
      </w:r>
      <w:r w:rsidR="00F65ABA">
        <w:rPr>
          <w:bCs/>
        </w:rPr>
        <w:t>the reporting entity</w:t>
      </w:r>
      <w:r w:rsidRPr="001625E1">
        <w:rPr>
          <w:bCs/>
        </w:rPr>
        <w:t xml:space="preserve"> is required to comply with the requirements:</w:t>
      </w:r>
    </w:p>
    <w:p w14:paraId="6CF6D7D6" w14:textId="524FD1B5" w:rsidR="003A4640" w:rsidRPr="001625E1" w:rsidRDefault="003A4640" w:rsidP="002E110A">
      <w:pPr>
        <w:pStyle w:val="LI-BodyTextParaa"/>
        <w:numPr>
          <w:ilvl w:val="1"/>
          <w:numId w:val="3"/>
        </w:numPr>
        <w:rPr>
          <w:bCs/>
        </w:rPr>
      </w:pPr>
      <w:r w:rsidRPr="001625E1">
        <w:rPr>
          <w:bCs/>
        </w:rPr>
        <w:t>there is no</w:t>
      </w:r>
      <w:r w:rsidR="00CA0BF8">
        <w:rPr>
          <w:bCs/>
        </w:rPr>
        <w:t xml:space="preserve"> licensed repository</w:t>
      </w:r>
      <w:r w:rsidRPr="001625E1">
        <w:rPr>
          <w:bCs/>
        </w:rPr>
        <w:t xml:space="preserve"> authorised to provide services in respect of the class of </w:t>
      </w:r>
      <w:r w:rsidR="007777A3">
        <w:rPr>
          <w:bCs/>
        </w:rPr>
        <w:t>d</w:t>
      </w:r>
      <w:r w:rsidRPr="001625E1">
        <w:rPr>
          <w:bCs/>
        </w:rPr>
        <w:t xml:space="preserve">erivatives that includes the </w:t>
      </w:r>
      <w:r w:rsidR="0095729A">
        <w:rPr>
          <w:bCs/>
        </w:rPr>
        <w:t>d</w:t>
      </w:r>
      <w:r w:rsidRPr="001625E1">
        <w:rPr>
          <w:bCs/>
        </w:rPr>
        <w:t>erivatives to which the</w:t>
      </w:r>
      <w:r w:rsidR="00D161C5">
        <w:rPr>
          <w:bCs/>
        </w:rPr>
        <w:t xml:space="preserve"> reportable transaction</w:t>
      </w:r>
      <w:r w:rsidRPr="001625E1">
        <w:rPr>
          <w:bCs/>
        </w:rPr>
        <w:t xml:space="preserve"> relates; and</w:t>
      </w:r>
    </w:p>
    <w:p w14:paraId="54C3138B" w14:textId="293D2F49" w:rsidR="003A4640" w:rsidRPr="001625E1" w:rsidRDefault="003A4640" w:rsidP="002E110A">
      <w:pPr>
        <w:pStyle w:val="LI-BodyTextParaa"/>
        <w:numPr>
          <w:ilvl w:val="1"/>
          <w:numId w:val="3"/>
        </w:numPr>
        <w:rPr>
          <w:bCs/>
        </w:rPr>
      </w:pPr>
      <w:r w:rsidRPr="001625E1">
        <w:rPr>
          <w:bCs/>
        </w:rPr>
        <w:t>there is no</w:t>
      </w:r>
      <w:r w:rsidR="005C6F8D">
        <w:rPr>
          <w:bCs/>
        </w:rPr>
        <w:t xml:space="preserve"> prescribed repository</w:t>
      </w:r>
      <w:r w:rsidRPr="001625E1">
        <w:rPr>
          <w:bCs/>
        </w:rPr>
        <w:t xml:space="preserve"> that is prescribed in relation to the class of </w:t>
      </w:r>
      <w:r w:rsidR="0095729A">
        <w:rPr>
          <w:bCs/>
        </w:rPr>
        <w:t>d</w:t>
      </w:r>
      <w:r w:rsidRPr="001625E1">
        <w:rPr>
          <w:bCs/>
        </w:rPr>
        <w:t xml:space="preserve">erivatives that includes the </w:t>
      </w:r>
      <w:r w:rsidR="0095729A">
        <w:rPr>
          <w:bCs/>
        </w:rPr>
        <w:t>d</w:t>
      </w:r>
      <w:r w:rsidRPr="001625E1">
        <w:rPr>
          <w:bCs/>
        </w:rPr>
        <w:t>erivatives to which the</w:t>
      </w:r>
      <w:r w:rsidR="00D161C5">
        <w:rPr>
          <w:bCs/>
        </w:rPr>
        <w:t xml:space="preserve"> reportable transaction</w:t>
      </w:r>
      <w:r w:rsidRPr="001625E1">
        <w:rPr>
          <w:bCs/>
        </w:rPr>
        <w:t xml:space="preserve"> relates.</w:t>
      </w:r>
    </w:p>
    <w:p w14:paraId="5AD19D6D" w14:textId="1697D9B2" w:rsidR="003A4640" w:rsidRPr="001625E1" w:rsidRDefault="003A4640" w:rsidP="002E110A">
      <w:pPr>
        <w:pStyle w:val="LI-BodyTextParaa"/>
        <w:numPr>
          <w:ilvl w:val="0"/>
          <w:numId w:val="3"/>
        </w:numPr>
        <w:rPr>
          <w:bCs/>
        </w:rPr>
      </w:pPr>
      <w:r w:rsidRPr="001625E1">
        <w:rPr>
          <w:bCs/>
        </w:rPr>
        <w:t xml:space="preserve">Subrule 2.2.1(2) is included to make it clear that </w:t>
      </w:r>
      <w:r w:rsidR="00F65ABA">
        <w:rPr>
          <w:bCs/>
        </w:rPr>
        <w:t>a reporting entity</w:t>
      </w:r>
      <w:r w:rsidRPr="001625E1">
        <w:rPr>
          <w:bCs/>
        </w:rPr>
        <w:t xml:space="preserve"> will not breach its reporting obligations where there is no</w:t>
      </w:r>
      <w:r w:rsidR="00CA0BF8">
        <w:rPr>
          <w:bCs/>
        </w:rPr>
        <w:t xml:space="preserve"> licensed repository</w:t>
      </w:r>
      <w:r w:rsidRPr="001625E1">
        <w:rPr>
          <w:bCs/>
        </w:rPr>
        <w:t xml:space="preserve"> and no</w:t>
      </w:r>
      <w:r w:rsidR="005C6F8D">
        <w:rPr>
          <w:bCs/>
        </w:rPr>
        <w:t xml:space="preserve"> prescribed repository</w:t>
      </w:r>
      <w:r w:rsidRPr="001625E1">
        <w:rPr>
          <w:bCs/>
        </w:rPr>
        <w:t xml:space="preserve"> that can accept reports in relation to a particular</w:t>
      </w:r>
      <w:r w:rsidR="00D161C5">
        <w:rPr>
          <w:bCs/>
        </w:rPr>
        <w:t xml:space="preserve"> reportable transaction</w:t>
      </w:r>
      <w:r w:rsidRPr="001625E1">
        <w:rPr>
          <w:bCs/>
        </w:rPr>
        <w:t>.</w:t>
      </w:r>
    </w:p>
    <w:p w14:paraId="369147F3" w14:textId="77777777" w:rsidR="003A4640" w:rsidRPr="001625E1" w:rsidRDefault="003A4640" w:rsidP="003A4640">
      <w:pPr>
        <w:pStyle w:val="LI-BodyTextNumbered"/>
        <w:ind w:left="0" w:firstLine="0"/>
        <w:rPr>
          <w:i/>
          <w:iCs/>
        </w:rPr>
      </w:pPr>
      <w:r w:rsidRPr="001625E1">
        <w:rPr>
          <w:i/>
          <w:iCs/>
        </w:rPr>
        <w:t>Subrule 2.2.1(3) - Alternative reporting exception for foreign entities</w:t>
      </w:r>
    </w:p>
    <w:p w14:paraId="7E81F796" w14:textId="4E3CFE2F" w:rsidR="003A4640" w:rsidRPr="001625E1" w:rsidRDefault="003A4640" w:rsidP="002E110A">
      <w:pPr>
        <w:pStyle w:val="LI-BodyTextParaa"/>
        <w:numPr>
          <w:ilvl w:val="0"/>
          <w:numId w:val="3"/>
        </w:numPr>
        <w:rPr>
          <w:bCs/>
        </w:rPr>
      </w:pPr>
      <w:r w:rsidRPr="001625E1">
        <w:rPr>
          <w:bCs/>
        </w:rPr>
        <w:t>Subrule 2.2.1(3) provides for a specific, ongoing, exception to the requirements of subrule 2.2.1(1) and Part 2.2, for all</w:t>
      </w:r>
      <w:r w:rsidR="00F65ABA">
        <w:rPr>
          <w:bCs/>
        </w:rPr>
        <w:t xml:space="preserve"> reporting entities</w:t>
      </w:r>
      <w:r w:rsidRPr="001625E1">
        <w:rPr>
          <w:bCs/>
        </w:rPr>
        <w:t xml:space="preserve"> other than Australian Entities or an RE or</w:t>
      </w:r>
      <w:r w:rsidR="00017179">
        <w:rPr>
          <w:bCs/>
        </w:rPr>
        <w:t xml:space="preserve"> trustee</w:t>
      </w:r>
      <w:r w:rsidRPr="001625E1">
        <w:rPr>
          <w:bCs/>
        </w:rPr>
        <w:t xml:space="preserve"> acting in its capacity as RE or</w:t>
      </w:r>
      <w:r w:rsidR="00017179">
        <w:rPr>
          <w:bCs/>
        </w:rPr>
        <w:t xml:space="preserve"> trustee</w:t>
      </w:r>
      <w:r w:rsidRPr="001625E1">
        <w:rPr>
          <w:bCs/>
        </w:rPr>
        <w:t xml:space="preserve"> of an</w:t>
      </w:r>
      <w:r w:rsidR="00F64B66">
        <w:rPr>
          <w:bCs/>
        </w:rPr>
        <w:t xml:space="preserve"> Australian entity</w:t>
      </w:r>
      <w:r w:rsidRPr="001625E1">
        <w:rPr>
          <w:bCs/>
        </w:rPr>
        <w:t>. Subrule 2.2.1(3) is designed to ensure that foreign</w:t>
      </w:r>
      <w:r w:rsidR="00F65ABA">
        <w:rPr>
          <w:bCs/>
        </w:rPr>
        <w:t xml:space="preserve"> reporting entities</w:t>
      </w:r>
      <w:r w:rsidRPr="001625E1">
        <w:rPr>
          <w:bCs/>
        </w:rPr>
        <w:t xml:space="preserve"> are not subject to duplicate reporting requirements, where they are subject to a reporting obligation in another jurisdiction.</w:t>
      </w:r>
    </w:p>
    <w:p w14:paraId="5B042C2D" w14:textId="5A87325E" w:rsidR="003A4640" w:rsidRPr="00A810B8" w:rsidRDefault="003A4640" w:rsidP="002E110A">
      <w:pPr>
        <w:pStyle w:val="LI-BodyTextParaa"/>
        <w:numPr>
          <w:ilvl w:val="0"/>
          <w:numId w:val="3"/>
        </w:numPr>
        <w:rPr>
          <w:bCs/>
        </w:rPr>
      </w:pPr>
      <w:r w:rsidRPr="00A810B8">
        <w:rPr>
          <w:bCs/>
        </w:rPr>
        <w:t xml:space="preserve">Subrule 2.2.1(3) provides that a </w:t>
      </w:r>
      <w:r w:rsidR="00F65ABA">
        <w:rPr>
          <w:bCs/>
        </w:rPr>
        <w:t>r</w:t>
      </w:r>
      <w:r w:rsidR="00F65ABA" w:rsidRPr="00A810B8">
        <w:rPr>
          <w:bCs/>
        </w:rPr>
        <w:t xml:space="preserve">eporting </w:t>
      </w:r>
      <w:r w:rsidR="00F65ABA">
        <w:rPr>
          <w:bCs/>
        </w:rPr>
        <w:t>e</w:t>
      </w:r>
      <w:r w:rsidR="00F65ABA" w:rsidRPr="00A810B8">
        <w:rPr>
          <w:bCs/>
        </w:rPr>
        <w:t xml:space="preserve">ntity </w:t>
      </w:r>
      <w:r w:rsidRPr="00A810B8">
        <w:rPr>
          <w:bCs/>
        </w:rPr>
        <w:t>other than an</w:t>
      </w:r>
      <w:r w:rsidR="00F64B66">
        <w:rPr>
          <w:bCs/>
        </w:rPr>
        <w:t xml:space="preserve"> Australian entity</w:t>
      </w:r>
      <w:r w:rsidRPr="00A810B8">
        <w:rPr>
          <w:bCs/>
        </w:rPr>
        <w:t xml:space="preserve"> or an RE or</w:t>
      </w:r>
      <w:r w:rsidR="00017179">
        <w:rPr>
          <w:bCs/>
        </w:rPr>
        <w:t xml:space="preserve"> trustee</w:t>
      </w:r>
      <w:r w:rsidRPr="00A810B8">
        <w:rPr>
          <w:bCs/>
        </w:rPr>
        <w:t xml:space="preserve"> acting in its capacity as RE or</w:t>
      </w:r>
      <w:r w:rsidR="00017179">
        <w:rPr>
          <w:bCs/>
        </w:rPr>
        <w:t xml:space="preserve"> trustee</w:t>
      </w:r>
      <w:r w:rsidRPr="00A810B8">
        <w:rPr>
          <w:bCs/>
        </w:rPr>
        <w:t xml:space="preserve"> of an</w:t>
      </w:r>
      <w:r w:rsidR="00F64B66">
        <w:rPr>
          <w:bCs/>
        </w:rPr>
        <w:t xml:space="preserve"> Australian entity</w:t>
      </w:r>
      <w:r w:rsidRPr="00A810B8">
        <w:rPr>
          <w:bCs/>
        </w:rPr>
        <w:t xml:space="preserve">, is not required to comply with the requirements of subrule 2.2.1(1) and Part 2.2 that would otherwise apply to </w:t>
      </w:r>
      <w:r w:rsidR="00F65ABA">
        <w:rPr>
          <w:bCs/>
        </w:rPr>
        <w:t>the reporting entity</w:t>
      </w:r>
      <w:r w:rsidRPr="00A810B8">
        <w:rPr>
          <w:bCs/>
        </w:rPr>
        <w:t xml:space="preserve"> in relation to a</w:t>
      </w:r>
      <w:r w:rsidR="00D161C5">
        <w:rPr>
          <w:bCs/>
        </w:rPr>
        <w:t xml:space="preserve"> reportable transaction</w:t>
      </w:r>
      <w:r w:rsidRPr="00A810B8">
        <w:rPr>
          <w:bCs/>
        </w:rPr>
        <w:t xml:space="preserve"> if, at the time </w:t>
      </w:r>
      <w:r w:rsidR="00F65ABA">
        <w:rPr>
          <w:bCs/>
        </w:rPr>
        <w:t>the reporting entity</w:t>
      </w:r>
      <w:r w:rsidRPr="00A810B8">
        <w:rPr>
          <w:bCs/>
        </w:rPr>
        <w:t xml:space="preserve"> is required to comply with the requirements:</w:t>
      </w:r>
    </w:p>
    <w:p w14:paraId="4A1FAFC3" w14:textId="3EF9CDCD" w:rsidR="003A4640" w:rsidRPr="00A810B8" w:rsidRDefault="00F65ABA" w:rsidP="002E110A">
      <w:pPr>
        <w:pStyle w:val="LI-BodyTextParaa"/>
        <w:numPr>
          <w:ilvl w:val="1"/>
          <w:numId w:val="3"/>
        </w:numPr>
        <w:rPr>
          <w:bCs/>
        </w:rPr>
      </w:pPr>
      <w:r>
        <w:t>the reporting entity</w:t>
      </w:r>
      <w:r w:rsidR="003A4640" w:rsidRPr="00AE46B3">
        <w:t xml:space="preserve"> is</w:t>
      </w:r>
      <w:r w:rsidR="003A4640">
        <w:t xml:space="preserve"> subject </w:t>
      </w:r>
      <w:r w:rsidR="003A4640" w:rsidRPr="00AE46B3">
        <w:t xml:space="preserve">to reporting requirements </w:t>
      </w:r>
      <w:r w:rsidR="003A4640">
        <w:t>(</w:t>
      </w:r>
      <w:r w:rsidR="003A4640" w:rsidRPr="00C176E6">
        <w:rPr>
          <w:b/>
          <w:i/>
        </w:rPr>
        <w:t>Alternative Reporting Requirements</w:t>
      </w:r>
      <w:r w:rsidR="003A4640">
        <w:t>)</w:t>
      </w:r>
      <w:r w:rsidR="003A4640" w:rsidRPr="00AE46B3">
        <w:t xml:space="preserve"> in </w:t>
      </w:r>
      <w:r w:rsidR="003A4640">
        <w:t xml:space="preserve">one or more </w:t>
      </w:r>
      <w:r w:rsidR="003A4640" w:rsidRPr="00A80FA1">
        <w:t>foreign jurisdiction</w:t>
      </w:r>
      <w:r w:rsidR="003A4640">
        <w:t>s</w:t>
      </w:r>
      <w:r w:rsidR="003A4640" w:rsidRPr="00AE46B3">
        <w:t xml:space="preserve"> (in this Rule, </w:t>
      </w:r>
      <w:r w:rsidR="003A4640">
        <w:t>each, a</w:t>
      </w:r>
      <w:r w:rsidR="003A4640" w:rsidRPr="00AE46B3">
        <w:t xml:space="preserve"> </w:t>
      </w:r>
      <w:r w:rsidR="003A4640" w:rsidRPr="00C176E6">
        <w:rPr>
          <w:b/>
          <w:i/>
        </w:rPr>
        <w:t>Foreign Jurisdiction</w:t>
      </w:r>
      <w:r w:rsidR="003A4640" w:rsidRPr="00AE46B3">
        <w:t xml:space="preserve">) that are substantially equivalent to the </w:t>
      </w:r>
      <w:r w:rsidR="00BD0EBD">
        <w:t>r</w:t>
      </w:r>
      <w:r w:rsidR="003A4640" w:rsidRPr="00AE46B3">
        <w:t xml:space="preserve">eporting </w:t>
      </w:r>
      <w:r w:rsidR="00BD0EBD">
        <w:t>r</w:t>
      </w:r>
      <w:r w:rsidR="003A4640" w:rsidRPr="00AE46B3">
        <w:t>equirements under the</w:t>
      </w:r>
      <w:r w:rsidR="000E7374">
        <w:t xml:space="preserve"> </w:t>
      </w:r>
      <w:r w:rsidR="00F604BB">
        <w:t>2024</w:t>
      </w:r>
      <w:r w:rsidR="003A4640" w:rsidRPr="00AE46B3">
        <w:t xml:space="preserve"> </w:t>
      </w:r>
      <w:proofErr w:type="gramStart"/>
      <w:r w:rsidR="003A4640" w:rsidRPr="00AE46B3">
        <w:t>Rules</w:t>
      </w:r>
      <w:r w:rsidR="003A4640" w:rsidRPr="00A810B8">
        <w:rPr>
          <w:bCs/>
        </w:rPr>
        <w:t>;</w:t>
      </w:r>
      <w:proofErr w:type="gramEnd"/>
      <w:r w:rsidR="003A4640" w:rsidRPr="00A810B8">
        <w:rPr>
          <w:bCs/>
        </w:rPr>
        <w:t xml:space="preserve"> and </w:t>
      </w:r>
    </w:p>
    <w:p w14:paraId="3CA69785" w14:textId="77777777" w:rsidR="003A4640" w:rsidRPr="00A810B8" w:rsidRDefault="003A4640" w:rsidP="002E110A">
      <w:pPr>
        <w:pStyle w:val="LI-BodyTextParaa"/>
        <w:numPr>
          <w:ilvl w:val="1"/>
          <w:numId w:val="3"/>
        </w:numPr>
        <w:rPr>
          <w:bCs/>
        </w:rPr>
      </w:pPr>
      <w:r w:rsidRPr="00A810B8">
        <w:rPr>
          <w:bCs/>
        </w:rPr>
        <w:lastRenderedPageBreak/>
        <w:t>either:</w:t>
      </w:r>
    </w:p>
    <w:p w14:paraId="5E0F8E53" w14:textId="39EAAF63" w:rsidR="003A4640" w:rsidRDefault="00F65ABA" w:rsidP="002E110A">
      <w:pPr>
        <w:pStyle w:val="LI-BodyTextParaa"/>
        <w:numPr>
          <w:ilvl w:val="2"/>
          <w:numId w:val="3"/>
        </w:numPr>
        <w:rPr>
          <w:bCs/>
        </w:rPr>
      </w:pPr>
      <w:r>
        <w:rPr>
          <w:bCs/>
        </w:rPr>
        <w:t>the reporting entity</w:t>
      </w:r>
      <w:r w:rsidR="003A4640" w:rsidRPr="00F22F30">
        <w:rPr>
          <w:bCs/>
        </w:rPr>
        <w:t xml:space="preserve"> or another entity has</w:t>
      </w:r>
      <w:r w:rsidR="003A4640">
        <w:rPr>
          <w:bCs/>
        </w:rPr>
        <w:t>:</w:t>
      </w:r>
    </w:p>
    <w:p w14:paraId="15D3EB29" w14:textId="5FE8B30B" w:rsidR="003A4640" w:rsidRPr="002F487C" w:rsidRDefault="003A4640" w:rsidP="002E110A">
      <w:pPr>
        <w:pStyle w:val="LI-BodyTextParaa"/>
        <w:numPr>
          <w:ilvl w:val="3"/>
          <w:numId w:val="3"/>
        </w:numPr>
      </w:pPr>
      <w:r w:rsidRPr="002F487C">
        <w:t>reported information about the</w:t>
      </w:r>
      <w:r w:rsidR="00D161C5">
        <w:t xml:space="preserve"> reportable transaction</w:t>
      </w:r>
      <w:r w:rsidRPr="002F487C">
        <w:t xml:space="preserve"> to </w:t>
      </w:r>
      <w:r w:rsidR="00D6725B">
        <w:t xml:space="preserve">a </w:t>
      </w:r>
      <w:r w:rsidR="005C6F8D">
        <w:t>prescribed repository</w:t>
      </w:r>
      <w:r w:rsidRPr="002F487C">
        <w:t xml:space="preserve">, in compliance with </w:t>
      </w:r>
      <w:r w:rsidRPr="00AE46B3">
        <w:t xml:space="preserve">the </w:t>
      </w:r>
      <w:r>
        <w:t>Alternative R</w:t>
      </w:r>
      <w:r w:rsidRPr="00AE46B3">
        <w:t xml:space="preserve">eporting </w:t>
      </w:r>
      <w:r>
        <w:t>R</w:t>
      </w:r>
      <w:r w:rsidRPr="00AE46B3">
        <w:t xml:space="preserve">equirements in </w:t>
      </w:r>
      <w:r>
        <w:t>at least one</w:t>
      </w:r>
      <w:r w:rsidRPr="00AE46B3">
        <w:t xml:space="preserve"> Foreign Jurisdiction</w:t>
      </w:r>
      <w:r>
        <w:t>; and</w:t>
      </w:r>
    </w:p>
    <w:p w14:paraId="7DF131AC" w14:textId="7D29A733" w:rsidR="003A4640" w:rsidRPr="00F22F30" w:rsidRDefault="003A4640" w:rsidP="002E110A">
      <w:pPr>
        <w:pStyle w:val="LI-BodyTextParaa"/>
        <w:numPr>
          <w:ilvl w:val="3"/>
          <w:numId w:val="3"/>
        </w:numPr>
        <w:rPr>
          <w:bCs/>
        </w:rPr>
      </w:pPr>
      <w:r w:rsidRPr="00AE46B3">
        <w:t xml:space="preserve">designated the information reported under paragraph (a) as information that </w:t>
      </w:r>
      <w:r w:rsidRPr="006726BF">
        <w:t>has been reported under the</w:t>
      </w:r>
      <w:r w:rsidR="00B47959">
        <w:t xml:space="preserve"> </w:t>
      </w:r>
      <w:r w:rsidR="00F604BB">
        <w:t>2024</w:t>
      </w:r>
      <w:r w:rsidRPr="006726BF">
        <w:t xml:space="preserve"> </w:t>
      </w:r>
      <w:proofErr w:type="gramStart"/>
      <w:r w:rsidRPr="006726BF">
        <w:t>Rules</w:t>
      </w:r>
      <w:r w:rsidRPr="00AE46B3">
        <w:t>;</w:t>
      </w:r>
      <w:proofErr w:type="gramEnd"/>
      <w:r w:rsidRPr="00AE46B3">
        <w:t xml:space="preserve"> or</w:t>
      </w:r>
    </w:p>
    <w:p w14:paraId="290B9304" w14:textId="227819D1" w:rsidR="003A4640" w:rsidRPr="00F22F30" w:rsidRDefault="00F65ABA" w:rsidP="002E110A">
      <w:pPr>
        <w:pStyle w:val="LI-BodyTextParaa"/>
        <w:numPr>
          <w:ilvl w:val="2"/>
          <w:numId w:val="3"/>
        </w:numPr>
        <w:rPr>
          <w:bCs/>
        </w:rPr>
      </w:pPr>
      <w:r>
        <w:rPr>
          <w:bCs/>
        </w:rPr>
        <w:t>the reporting entity</w:t>
      </w:r>
      <w:r w:rsidR="003A4640" w:rsidRPr="00F22F30">
        <w:rPr>
          <w:bCs/>
        </w:rPr>
        <w:t xml:space="preserve"> is exempt from the requirement in </w:t>
      </w:r>
      <w:r w:rsidR="003A4640">
        <w:rPr>
          <w:bCs/>
        </w:rPr>
        <w:t xml:space="preserve">all of </w:t>
      </w:r>
      <w:r w:rsidR="003A4640" w:rsidRPr="00F22F30">
        <w:rPr>
          <w:bCs/>
        </w:rPr>
        <w:t>the Foreign Jurisdiction</w:t>
      </w:r>
      <w:r w:rsidR="00F604BB">
        <w:rPr>
          <w:bCs/>
        </w:rPr>
        <w:t>s</w:t>
      </w:r>
      <w:r w:rsidR="003A4640" w:rsidRPr="00F22F30">
        <w:rPr>
          <w:bCs/>
        </w:rPr>
        <w:t xml:space="preserve"> to report information about the</w:t>
      </w:r>
      <w:r w:rsidR="00D161C5">
        <w:rPr>
          <w:bCs/>
        </w:rPr>
        <w:t xml:space="preserve"> reportable transaction</w:t>
      </w:r>
      <w:r w:rsidR="003A4640" w:rsidRPr="00F22F30">
        <w:rPr>
          <w:bCs/>
        </w:rPr>
        <w:t>, or there is no requirement in the Foreign Jurisdiction to report information about the</w:t>
      </w:r>
      <w:r w:rsidR="00D161C5">
        <w:rPr>
          <w:bCs/>
        </w:rPr>
        <w:t xml:space="preserve"> reportable transaction</w:t>
      </w:r>
      <w:r w:rsidR="003A4640">
        <w:rPr>
          <w:bCs/>
        </w:rPr>
        <w:t>.</w:t>
      </w:r>
    </w:p>
    <w:p w14:paraId="67B69FFE" w14:textId="7CDD1D51" w:rsidR="003A4640" w:rsidRPr="00DD1ECA" w:rsidRDefault="00DD1ECA" w:rsidP="00DD1ECA">
      <w:pPr>
        <w:pStyle w:val="LI-BodyTextParaa"/>
        <w:numPr>
          <w:ilvl w:val="0"/>
          <w:numId w:val="3"/>
        </w:numPr>
        <w:rPr>
          <w:bCs/>
        </w:rPr>
      </w:pPr>
      <w:r w:rsidRPr="001D4BA7">
        <w:rPr>
          <w:bCs/>
        </w:rPr>
        <w:t xml:space="preserve">This allows foreign </w:t>
      </w:r>
      <w:r>
        <w:rPr>
          <w:bCs/>
        </w:rPr>
        <w:t>r</w:t>
      </w:r>
      <w:r w:rsidRPr="001D4BA7">
        <w:rPr>
          <w:bCs/>
        </w:rPr>
        <w:t xml:space="preserve">eporting </w:t>
      </w:r>
      <w:r>
        <w:rPr>
          <w:bCs/>
        </w:rPr>
        <w:t>e</w:t>
      </w:r>
      <w:r w:rsidRPr="001D4BA7">
        <w:rPr>
          <w:bCs/>
        </w:rPr>
        <w:t xml:space="preserve">ntities to rely on subrule 2.2.1(3) where the foreign </w:t>
      </w:r>
      <w:r>
        <w:rPr>
          <w:bCs/>
        </w:rPr>
        <w:t>r</w:t>
      </w:r>
      <w:r w:rsidRPr="001D4BA7">
        <w:rPr>
          <w:bCs/>
        </w:rPr>
        <w:t xml:space="preserve">eporting </w:t>
      </w:r>
      <w:r>
        <w:rPr>
          <w:bCs/>
        </w:rPr>
        <w:t>e</w:t>
      </w:r>
      <w:r w:rsidRPr="001D4BA7">
        <w:rPr>
          <w:bCs/>
        </w:rPr>
        <w:t xml:space="preserve">ntity reports to a </w:t>
      </w:r>
      <w:r>
        <w:rPr>
          <w:bCs/>
        </w:rPr>
        <w:t>p</w:t>
      </w:r>
      <w:r w:rsidRPr="001D4BA7">
        <w:rPr>
          <w:bCs/>
        </w:rPr>
        <w:t xml:space="preserve">rescribed </w:t>
      </w:r>
      <w:r>
        <w:rPr>
          <w:bCs/>
        </w:rPr>
        <w:t>t</w:t>
      </w:r>
      <w:r w:rsidRPr="001D4BA7">
        <w:rPr>
          <w:bCs/>
        </w:rPr>
        <w:t xml:space="preserve">rade </w:t>
      </w:r>
      <w:r>
        <w:rPr>
          <w:bCs/>
        </w:rPr>
        <w:t>r</w:t>
      </w:r>
      <w:r w:rsidRPr="001D4BA7">
        <w:rPr>
          <w:bCs/>
        </w:rPr>
        <w:t xml:space="preserve">epository in accordance with Alternative Reporting Requirements in a Foreign Jurisdiction </w:t>
      </w:r>
      <w:r>
        <w:rPr>
          <w:bCs/>
        </w:rPr>
        <w:t xml:space="preserve">as a form of substituted compliance </w:t>
      </w:r>
      <w:r w:rsidRPr="001D4BA7">
        <w:rPr>
          <w:bCs/>
        </w:rPr>
        <w:t xml:space="preserve">(for example, because the </w:t>
      </w:r>
      <w:r>
        <w:rPr>
          <w:bCs/>
        </w:rPr>
        <w:t>r</w:t>
      </w:r>
      <w:r w:rsidRPr="001D4BA7">
        <w:rPr>
          <w:bCs/>
        </w:rPr>
        <w:t xml:space="preserve">eporting </w:t>
      </w:r>
      <w:r>
        <w:rPr>
          <w:bCs/>
        </w:rPr>
        <w:t>e</w:t>
      </w:r>
      <w:r w:rsidRPr="001D4BA7">
        <w:rPr>
          <w:bCs/>
        </w:rPr>
        <w:t xml:space="preserve">ntity is registered as a </w:t>
      </w:r>
      <w:r w:rsidR="001901D4">
        <w:rPr>
          <w:bCs/>
        </w:rPr>
        <w:t>“</w:t>
      </w:r>
      <w:r w:rsidRPr="001D4BA7">
        <w:rPr>
          <w:bCs/>
        </w:rPr>
        <w:t>Swap Dealer</w:t>
      </w:r>
      <w:r w:rsidR="001901D4">
        <w:rPr>
          <w:bCs/>
        </w:rPr>
        <w:t>”</w:t>
      </w:r>
      <w:r w:rsidRPr="001D4BA7">
        <w:rPr>
          <w:bCs/>
        </w:rPr>
        <w:t xml:space="preserve"> in the US and subject to Dodd-Frank reporting requirements).</w:t>
      </w:r>
    </w:p>
    <w:p w14:paraId="6424BF78" w14:textId="755C654C" w:rsidR="003A4640" w:rsidRPr="00D551D8" w:rsidRDefault="00A9615D" w:rsidP="002E110A">
      <w:pPr>
        <w:pStyle w:val="LI-BodyTextParaa"/>
        <w:numPr>
          <w:ilvl w:val="0"/>
          <w:numId w:val="3"/>
        </w:numPr>
        <w:rPr>
          <w:bCs/>
        </w:rPr>
      </w:pPr>
      <w:r>
        <w:rPr>
          <w:bCs/>
        </w:rPr>
        <w:t>Subrule 2.2.1(3) requires f</w:t>
      </w:r>
      <w:r w:rsidR="003A4640" w:rsidRPr="001D4BA7">
        <w:rPr>
          <w:bCs/>
        </w:rPr>
        <w:t>oreign</w:t>
      </w:r>
      <w:r w:rsidR="00F65ABA">
        <w:rPr>
          <w:bCs/>
        </w:rPr>
        <w:t xml:space="preserve"> reporting entities</w:t>
      </w:r>
      <w:r w:rsidR="003A4640" w:rsidRPr="001D4BA7">
        <w:rPr>
          <w:bCs/>
        </w:rPr>
        <w:t xml:space="preserve"> that rely on subrule 2.2.1(3) </w:t>
      </w:r>
      <w:r w:rsidR="009456EE">
        <w:rPr>
          <w:bCs/>
        </w:rPr>
        <w:t xml:space="preserve">to </w:t>
      </w:r>
      <w:r w:rsidR="003A4640" w:rsidRPr="001D4BA7">
        <w:rPr>
          <w:bCs/>
        </w:rPr>
        <w:t xml:space="preserve">designate or </w:t>
      </w:r>
      <w:r w:rsidR="001901D4">
        <w:rPr>
          <w:bCs/>
        </w:rPr>
        <w:t>“</w:t>
      </w:r>
      <w:r w:rsidR="003A4640" w:rsidRPr="001D4BA7">
        <w:rPr>
          <w:bCs/>
        </w:rPr>
        <w:t>tag</w:t>
      </w:r>
      <w:r w:rsidR="001901D4">
        <w:rPr>
          <w:bCs/>
        </w:rPr>
        <w:t>”</w:t>
      </w:r>
      <w:r w:rsidR="003A4640" w:rsidRPr="001D4BA7">
        <w:rPr>
          <w:bCs/>
        </w:rPr>
        <w:t xml:space="preserve"> the information reported to the</w:t>
      </w:r>
      <w:r w:rsidR="005C6F8D">
        <w:rPr>
          <w:bCs/>
        </w:rPr>
        <w:t xml:space="preserve"> prescribed repository</w:t>
      </w:r>
      <w:r w:rsidR="003A4640" w:rsidRPr="001D4BA7">
        <w:rPr>
          <w:bCs/>
        </w:rPr>
        <w:t xml:space="preserve"> as information that has been reported under the Australian </w:t>
      </w:r>
      <w:r w:rsidR="005077E6">
        <w:rPr>
          <w:bCs/>
        </w:rPr>
        <w:t>r</w:t>
      </w:r>
      <w:r w:rsidR="003A4640" w:rsidRPr="001D4BA7">
        <w:rPr>
          <w:bCs/>
        </w:rPr>
        <w:t xml:space="preserve">eporting </w:t>
      </w:r>
      <w:r w:rsidR="005077E6">
        <w:rPr>
          <w:bCs/>
        </w:rPr>
        <w:t>r</w:t>
      </w:r>
      <w:r w:rsidR="003A4640" w:rsidRPr="001D4BA7">
        <w:rPr>
          <w:bCs/>
        </w:rPr>
        <w:t>equirements</w:t>
      </w:r>
      <w:r w:rsidR="0000044A">
        <w:rPr>
          <w:bCs/>
        </w:rPr>
        <w:t xml:space="preserve"> in the 2024 Rules</w:t>
      </w:r>
      <w:r w:rsidR="003A4640" w:rsidRPr="001D4BA7">
        <w:rPr>
          <w:bCs/>
        </w:rPr>
        <w:t xml:space="preserve">. This </w:t>
      </w:r>
      <w:r w:rsidR="003A4640">
        <w:rPr>
          <w:bCs/>
        </w:rPr>
        <w:t>en</w:t>
      </w:r>
      <w:r w:rsidR="003A4640" w:rsidRPr="001D4BA7">
        <w:rPr>
          <w:bCs/>
        </w:rPr>
        <w:t xml:space="preserve">sures that </w:t>
      </w:r>
      <w:r w:rsidR="005077E6">
        <w:rPr>
          <w:bCs/>
        </w:rPr>
        <w:t>p</w:t>
      </w:r>
      <w:r w:rsidR="003A4640" w:rsidRPr="001D4BA7">
        <w:rPr>
          <w:bCs/>
        </w:rPr>
        <w:t xml:space="preserve">rescribed </w:t>
      </w:r>
      <w:r w:rsidR="005077E6">
        <w:rPr>
          <w:bCs/>
        </w:rPr>
        <w:t>r</w:t>
      </w:r>
      <w:r w:rsidR="003A4640" w:rsidRPr="001D4BA7">
        <w:rPr>
          <w:bCs/>
        </w:rPr>
        <w:t>epositories are able to provide the</w:t>
      </w:r>
      <w:r w:rsidR="003A4640" w:rsidRPr="00D551D8">
        <w:rPr>
          <w:bCs/>
        </w:rPr>
        <w:t xml:space="preserve"> information to Australian regulators, and that Australian regulators are able to obtain more timely and complete access to information about</w:t>
      </w:r>
      <w:r w:rsidR="00A171F2">
        <w:rPr>
          <w:bCs/>
        </w:rPr>
        <w:t xml:space="preserve"> OTC derivative</w:t>
      </w:r>
      <w:r w:rsidR="003A4640" w:rsidRPr="00D551D8">
        <w:rPr>
          <w:bCs/>
        </w:rPr>
        <w:t>s activity that is relevant to Australian financial markets.</w:t>
      </w:r>
    </w:p>
    <w:p w14:paraId="70D24385" w14:textId="5259019A" w:rsidR="003A4640" w:rsidRPr="0026773C" w:rsidRDefault="003A4640" w:rsidP="003A4640">
      <w:pPr>
        <w:pStyle w:val="LI-BodyTextNumbered"/>
        <w:ind w:hanging="1134"/>
        <w:rPr>
          <w:u w:val="single"/>
        </w:rPr>
      </w:pPr>
      <w:r w:rsidRPr="0026773C">
        <w:rPr>
          <w:u w:val="single"/>
        </w:rPr>
        <w:t xml:space="preserve">Rule 2.2.2 – Reporting </w:t>
      </w:r>
      <w:r w:rsidR="0090172A">
        <w:rPr>
          <w:u w:val="single"/>
        </w:rPr>
        <w:t>r</w:t>
      </w:r>
      <w:r w:rsidR="0090172A" w:rsidRPr="0026773C">
        <w:rPr>
          <w:u w:val="single"/>
        </w:rPr>
        <w:t xml:space="preserve">equirement </w:t>
      </w:r>
      <w:r w:rsidRPr="0026773C">
        <w:rPr>
          <w:u w:val="single"/>
        </w:rPr>
        <w:t xml:space="preserve">– </w:t>
      </w:r>
      <w:r w:rsidR="0090172A">
        <w:rPr>
          <w:u w:val="single"/>
        </w:rPr>
        <w:t>c</w:t>
      </w:r>
      <w:r w:rsidR="0090172A" w:rsidRPr="0026773C">
        <w:rPr>
          <w:u w:val="single"/>
        </w:rPr>
        <w:t>hanges</w:t>
      </w:r>
    </w:p>
    <w:p w14:paraId="4D7538DB" w14:textId="369A1B95" w:rsidR="003A4640" w:rsidRPr="00BA215C" w:rsidRDefault="003A4640" w:rsidP="002E110A">
      <w:pPr>
        <w:pStyle w:val="LI-BodyTextParaa"/>
        <w:numPr>
          <w:ilvl w:val="0"/>
          <w:numId w:val="3"/>
        </w:numPr>
        <w:rPr>
          <w:bCs/>
        </w:rPr>
      </w:pPr>
      <w:r w:rsidRPr="00BA215C">
        <w:rPr>
          <w:bCs/>
        </w:rPr>
        <w:t xml:space="preserve">Rule 2.2.2 requires a </w:t>
      </w:r>
      <w:r w:rsidR="00F65ABA">
        <w:rPr>
          <w:bCs/>
        </w:rPr>
        <w:t>r</w:t>
      </w:r>
      <w:r w:rsidR="00F65ABA" w:rsidRPr="00BA215C">
        <w:rPr>
          <w:bCs/>
        </w:rPr>
        <w:t xml:space="preserve">eporting </w:t>
      </w:r>
      <w:r w:rsidR="00F65ABA">
        <w:rPr>
          <w:bCs/>
        </w:rPr>
        <w:t>e</w:t>
      </w:r>
      <w:r w:rsidR="00F65ABA" w:rsidRPr="00BA215C">
        <w:rPr>
          <w:bCs/>
        </w:rPr>
        <w:t xml:space="preserve">ntity </w:t>
      </w:r>
      <w:r w:rsidRPr="00BA215C">
        <w:rPr>
          <w:bCs/>
        </w:rPr>
        <w:t>to report changes to previously reported information that do not constitute a</w:t>
      </w:r>
      <w:r w:rsidR="00D161C5">
        <w:rPr>
          <w:bCs/>
        </w:rPr>
        <w:t xml:space="preserve"> reportable transaction</w:t>
      </w:r>
      <w:r w:rsidRPr="00BA215C">
        <w:rPr>
          <w:bCs/>
        </w:rPr>
        <w:t>.</w:t>
      </w:r>
    </w:p>
    <w:p w14:paraId="251306FF" w14:textId="636D4C46" w:rsidR="003A4640" w:rsidRPr="00BA215C" w:rsidRDefault="003A4640" w:rsidP="002E110A">
      <w:pPr>
        <w:pStyle w:val="LI-BodyTextParaa"/>
        <w:numPr>
          <w:ilvl w:val="0"/>
          <w:numId w:val="3"/>
        </w:numPr>
        <w:rPr>
          <w:bCs/>
        </w:rPr>
      </w:pPr>
      <w:r w:rsidRPr="00BA215C">
        <w:rPr>
          <w:bCs/>
        </w:rPr>
        <w:t xml:space="preserve">Subrule 2.2.2(1) provides that, where </w:t>
      </w:r>
      <w:r w:rsidR="00F65ABA">
        <w:rPr>
          <w:bCs/>
        </w:rPr>
        <w:t>a reporting entity</w:t>
      </w:r>
      <w:r w:rsidRPr="00BA215C">
        <w:rPr>
          <w:bCs/>
        </w:rPr>
        <w:t xml:space="preserve"> has reported information about </w:t>
      </w:r>
      <w:r w:rsidR="0034215D">
        <w:rPr>
          <w:bCs/>
        </w:rPr>
        <w:t>an</w:t>
      </w:r>
      <w:r w:rsidR="00A171F2">
        <w:rPr>
          <w:bCs/>
        </w:rPr>
        <w:t xml:space="preserve"> OTC derivative</w:t>
      </w:r>
      <w:r w:rsidRPr="00BA215C">
        <w:rPr>
          <w:bCs/>
        </w:rPr>
        <w:t xml:space="preserve"> in accordance with subrule 2.2.1(1) and there is a change to the information reported that does not constitute a</w:t>
      </w:r>
      <w:r w:rsidR="00D161C5">
        <w:rPr>
          <w:bCs/>
        </w:rPr>
        <w:t xml:space="preserve"> reportable transaction</w:t>
      </w:r>
      <w:r w:rsidRPr="00BA215C">
        <w:rPr>
          <w:bCs/>
        </w:rPr>
        <w:t xml:space="preserve">, </w:t>
      </w:r>
      <w:r w:rsidR="00F65ABA">
        <w:rPr>
          <w:bCs/>
        </w:rPr>
        <w:t>the reporting entity</w:t>
      </w:r>
      <w:r w:rsidRPr="00BA215C">
        <w:rPr>
          <w:bCs/>
        </w:rPr>
        <w:t xml:space="preserve"> must report the change, and also the applicable information about the change set out in item</w:t>
      </w:r>
      <w:r w:rsidR="005C5EA4">
        <w:rPr>
          <w:bCs/>
        </w:rPr>
        <w:t>s</w:t>
      </w:r>
      <w:r w:rsidRPr="00BA215C">
        <w:rPr>
          <w:bCs/>
        </w:rPr>
        <w:t xml:space="preserve"> </w:t>
      </w:r>
      <w:r w:rsidR="00E87501">
        <w:rPr>
          <w:bCs/>
        </w:rPr>
        <w:t>101 and 102</w:t>
      </w:r>
      <w:r w:rsidR="00E87501" w:rsidRPr="00BA215C">
        <w:rPr>
          <w:bCs/>
        </w:rPr>
        <w:t xml:space="preserve"> </w:t>
      </w:r>
      <w:r w:rsidRPr="00BA215C">
        <w:rPr>
          <w:bCs/>
        </w:rPr>
        <w:t xml:space="preserve">of Table </w:t>
      </w:r>
      <w:r w:rsidR="007248C6" w:rsidRPr="00BA215C">
        <w:rPr>
          <w:bCs/>
        </w:rPr>
        <w:t>S</w:t>
      </w:r>
      <w:r w:rsidR="007248C6">
        <w:rPr>
          <w:bCs/>
        </w:rPr>
        <w:t>1</w:t>
      </w:r>
      <w:r w:rsidRPr="00BA215C">
        <w:rPr>
          <w:bCs/>
        </w:rPr>
        <w:t>.1(1),</w:t>
      </w:r>
      <w:r w:rsidR="007248C6">
        <w:rPr>
          <w:bCs/>
        </w:rPr>
        <w:t xml:space="preserve"> </w:t>
      </w:r>
      <w:r w:rsidR="005D21B0">
        <w:rPr>
          <w:bCs/>
        </w:rPr>
        <w:t xml:space="preserve">item </w:t>
      </w:r>
      <w:r w:rsidR="00F10FBB">
        <w:rPr>
          <w:bCs/>
        </w:rPr>
        <w:t>13 of Table S</w:t>
      </w:r>
      <w:r w:rsidR="00417DAB">
        <w:rPr>
          <w:bCs/>
        </w:rPr>
        <w:t>1.1(2) and</w:t>
      </w:r>
      <w:r w:rsidR="005D21B0">
        <w:rPr>
          <w:bCs/>
        </w:rPr>
        <w:t xml:space="preserve"> item</w:t>
      </w:r>
      <w:r w:rsidR="00417DAB">
        <w:rPr>
          <w:bCs/>
        </w:rPr>
        <w:t xml:space="preserve"> </w:t>
      </w:r>
      <w:r w:rsidR="00781D0D">
        <w:rPr>
          <w:bCs/>
        </w:rPr>
        <w:t>22 of Table S1.1(3)</w:t>
      </w:r>
      <w:r w:rsidRPr="00BA215C">
        <w:rPr>
          <w:bCs/>
        </w:rPr>
        <w:t xml:space="preserve"> in accordance with the requirements of Part 2.2. </w:t>
      </w:r>
      <w:r w:rsidR="00CC5C5F">
        <w:rPr>
          <w:bCs/>
        </w:rPr>
        <w:t>These items</w:t>
      </w:r>
      <w:r w:rsidRPr="00BA215C">
        <w:rPr>
          <w:bCs/>
        </w:rPr>
        <w:t xml:space="preserve"> require an indication of the nature of the change.</w:t>
      </w:r>
    </w:p>
    <w:p w14:paraId="66002B84" w14:textId="7CAD49C6" w:rsidR="003A4640" w:rsidRPr="00BA215C" w:rsidRDefault="003A4640" w:rsidP="002E110A">
      <w:pPr>
        <w:pStyle w:val="LI-BodyTextParaa"/>
        <w:numPr>
          <w:ilvl w:val="0"/>
          <w:numId w:val="3"/>
        </w:numPr>
        <w:rPr>
          <w:bCs/>
        </w:rPr>
      </w:pPr>
      <w:r w:rsidRPr="00BA215C">
        <w:rPr>
          <w:bCs/>
        </w:rPr>
        <w:t xml:space="preserve">Subrule 2.2.2(2) provides that, without limiting subrule 2.2.2(1) and subject to subrule 2.2.2(3), </w:t>
      </w:r>
      <w:r w:rsidR="00F65ABA">
        <w:rPr>
          <w:bCs/>
        </w:rPr>
        <w:t>a reporting entity</w:t>
      </w:r>
      <w:r w:rsidRPr="00BA215C">
        <w:rPr>
          <w:bCs/>
        </w:rPr>
        <w:t xml:space="preserve"> must report:</w:t>
      </w:r>
    </w:p>
    <w:p w14:paraId="2F9260B7" w14:textId="61B878AD" w:rsidR="003A4640" w:rsidRPr="003B7822" w:rsidRDefault="003A4640" w:rsidP="002E110A">
      <w:pPr>
        <w:pStyle w:val="LI-BodyTextParaa"/>
        <w:numPr>
          <w:ilvl w:val="1"/>
          <w:numId w:val="3"/>
        </w:numPr>
        <w:rPr>
          <w:bCs/>
        </w:rPr>
      </w:pPr>
      <w:r w:rsidRPr="003B7822">
        <w:rPr>
          <w:bCs/>
        </w:rPr>
        <w:t>each updated valuation of the</w:t>
      </w:r>
      <w:r w:rsidR="00A171F2">
        <w:rPr>
          <w:bCs/>
        </w:rPr>
        <w:t xml:space="preserve"> OTC derivative</w:t>
      </w:r>
      <w:r w:rsidRPr="003B7822">
        <w:rPr>
          <w:bCs/>
        </w:rPr>
        <w:t xml:space="preserve">, whether performed by </w:t>
      </w:r>
      <w:r w:rsidR="00F65ABA">
        <w:rPr>
          <w:bCs/>
        </w:rPr>
        <w:t>the reporting entity</w:t>
      </w:r>
      <w:r w:rsidRPr="003B7822">
        <w:rPr>
          <w:bCs/>
        </w:rPr>
        <w:t xml:space="preserve"> or by another person on behalf of </w:t>
      </w:r>
      <w:r w:rsidR="00F65ABA">
        <w:rPr>
          <w:bCs/>
        </w:rPr>
        <w:t xml:space="preserve">the reporting </w:t>
      </w:r>
      <w:proofErr w:type="gramStart"/>
      <w:r w:rsidR="00F65ABA">
        <w:rPr>
          <w:bCs/>
        </w:rPr>
        <w:t>entity</w:t>
      </w:r>
      <w:r w:rsidRPr="003B7822">
        <w:rPr>
          <w:bCs/>
        </w:rPr>
        <w:t>;</w:t>
      </w:r>
      <w:proofErr w:type="gramEnd"/>
    </w:p>
    <w:p w14:paraId="1D950654" w14:textId="63629AD8" w:rsidR="003A4640" w:rsidRDefault="003A4640" w:rsidP="002E110A">
      <w:pPr>
        <w:pStyle w:val="LI-BodyTextParaa"/>
        <w:numPr>
          <w:ilvl w:val="1"/>
          <w:numId w:val="3"/>
        </w:numPr>
        <w:rPr>
          <w:bCs/>
        </w:rPr>
      </w:pPr>
      <w:r w:rsidRPr="003B7822">
        <w:rPr>
          <w:bCs/>
        </w:rPr>
        <w:lastRenderedPageBreak/>
        <w:t xml:space="preserve">each </w:t>
      </w:r>
      <w:r w:rsidR="009323BE">
        <w:rPr>
          <w:bCs/>
        </w:rPr>
        <w:t>updated</w:t>
      </w:r>
      <w:r w:rsidRPr="003B7822">
        <w:rPr>
          <w:bCs/>
        </w:rPr>
        <w:t xml:space="preserve"> collateral </w:t>
      </w:r>
      <w:r w:rsidR="001D44E8">
        <w:rPr>
          <w:bCs/>
        </w:rPr>
        <w:t>amount posted or collected</w:t>
      </w:r>
      <w:r w:rsidR="001D44E8" w:rsidRPr="003B7822">
        <w:rPr>
          <w:bCs/>
        </w:rPr>
        <w:t xml:space="preserve"> </w:t>
      </w:r>
      <w:r w:rsidRPr="003B7822">
        <w:rPr>
          <w:bCs/>
        </w:rPr>
        <w:t>in relation to the</w:t>
      </w:r>
      <w:r w:rsidR="00A171F2">
        <w:rPr>
          <w:bCs/>
        </w:rPr>
        <w:t xml:space="preserve"> OTC derivative</w:t>
      </w:r>
      <w:r w:rsidR="00FF7620">
        <w:rPr>
          <w:bCs/>
        </w:rPr>
        <w:t>; and</w:t>
      </w:r>
    </w:p>
    <w:p w14:paraId="7B89DF19" w14:textId="78DD900A" w:rsidR="00256874" w:rsidRPr="005656F7" w:rsidRDefault="00256874" w:rsidP="002E110A">
      <w:pPr>
        <w:pStyle w:val="MIRSubpara"/>
        <w:numPr>
          <w:ilvl w:val="1"/>
          <w:numId w:val="3"/>
        </w:numPr>
        <w:rPr>
          <w:sz w:val="24"/>
          <w:szCs w:val="24"/>
        </w:rPr>
      </w:pPr>
      <w:r w:rsidRPr="005656F7">
        <w:rPr>
          <w:sz w:val="24"/>
          <w:szCs w:val="24"/>
        </w:rPr>
        <w:t xml:space="preserve">a change to the </w:t>
      </w:r>
      <w:proofErr w:type="spellStart"/>
      <w:r w:rsidRPr="005656F7">
        <w:rPr>
          <w:sz w:val="24"/>
          <w:szCs w:val="24"/>
        </w:rPr>
        <w:t>UTI</w:t>
      </w:r>
      <w:proofErr w:type="spellEnd"/>
      <w:r w:rsidRPr="005656F7">
        <w:rPr>
          <w:sz w:val="24"/>
          <w:szCs w:val="24"/>
        </w:rPr>
        <w:t xml:space="preserve"> of the</w:t>
      </w:r>
      <w:r w:rsidR="00A171F2" w:rsidRPr="005656F7">
        <w:rPr>
          <w:sz w:val="24"/>
          <w:szCs w:val="24"/>
        </w:rPr>
        <w:t xml:space="preserve"> OTC derivative</w:t>
      </w:r>
      <w:r w:rsidRPr="005656F7">
        <w:rPr>
          <w:sz w:val="24"/>
          <w:szCs w:val="24"/>
        </w:rPr>
        <w:t xml:space="preserve"> where a </w:t>
      </w:r>
      <w:proofErr w:type="spellStart"/>
      <w:r w:rsidRPr="005656F7">
        <w:rPr>
          <w:sz w:val="24"/>
          <w:szCs w:val="24"/>
        </w:rPr>
        <w:t>UTI</w:t>
      </w:r>
      <w:proofErr w:type="spellEnd"/>
      <w:r w:rsidRPr="005656F7">
        <w:rPr>
          <w:sz w:val="24"/>
          <w:szCs w:val="24"/>
        </w:rPr>
        <w:t xml:space="preserve"> has been generated and reported under </w:t>
      </w:r>
      <w:r w:rsidR="00872CB4">
        <w:rPr>
          <w:sz w:val="24"/>
          <w:szCs w:val="24"/>
        </w:rPr>
        <w:t>paragraph</w:t>
      </w:r>
      <w:r w:rsidR="00872CB4" w:rsidRPr="005656F7">
        <w:rPr>
          <w:sz w:val="24"/>
          <w:szCs w:val="24"/>
        </w:rPr>
        <w:t xml:space="preserve"> </w:t>
      </w:r>
      <w:r w:rsidRPr="005656F7">
        <w:rPr>
          <w:sz w:val="24"/>
          <w:szCs w:val="24"/>
        </w:rPr>
        <w:t xml:space="preserve">2.2.9(6)(a) or </w:t>
      </w:r>
      <w:r w:rsidR="00872CB4">
        <w:rPr>
          <w:sz w:val="24"/>
          <w:szCs w:val="24"/>
        </w:rPr>
        <w:t>subparagraph 2.2.9(6)</w:t>
      </w:r>
      <w:r w:rsidRPr="005656F7">
        <w:rPr>
          <w:sz w:val="24"/>
          <w:szCs w:val="24"/>
        </w:rPr>
        <w:t xml:space="preserve">(c)(ii) and, at a later time, </w:t>
      </w:r>
      <w:r w:rsidR="00F65ABA" w:rsidRPr="005656F7">
        <w:rPr>
          <w:sz w:val="24"/>
          <w:szCs w:val="24"/>
        </w:rPr>
        <w:t>the reporting entity</w:t>
      </w:r>
      <w:r w:rsidRPr="005656F7">
        <w:rPr>
          <w:sz w:val="24"/>
          <w:szCs w:val="24"/>
        </w:rPr>
        <w:t xml:space="preserve"> receives a </w:t>
      </w:r>
      <w:proofErr w:type="spellStart"/>
      <w:r w:rsidRPr="005656F7">
        <w:rPr>
          <w:sz w:val="24"/>
          <w:szCs w:val="24"/>
        </w:rPr>
        <w:t>UTI</w:t>
      </w:r>
      <w:proofErr w:type="spellEnd"/>
      <w:r w:rsidRPr="005656F7">
        <w:rPr>
          <w:sz w:val="24"/>
          <w:szCs w:val="24"/>
        </w:rPr>
        <w:t xml:space="preserve"> from the </w:t>
      </w:r>
      <w:proofErr w:type="spellStart"/>
      <w:r w:rsidRPr="005656F7">
        <w:rPr>
          <w:sz w:val="24"/>
          <w:szCs w:val="24"/>
        </w:rPr>
        <w:t>UTI</w:t>
      </w:r>
      <w:proofErr w:type="spellEnd"/>
      <w:r w:rsidRPr="005656F7">
        <w:rPr>
          <w:sz w:val="24"/>
          <w:szCs w:val="24"/>
        </w:rPr>
        <w:t xml:space="preserve"> generating entity.</w:t>
      </w:r>
    </w:p>
    <w:p w14:paraId="792080AE" w14:textId="3F2EDB83" w:rsidR="003A4640" w:rsidRPr="003B7822" w:rsidRDefault="003A4640" w:rsidP="002E110A">
      <w:pPr>
        <w:pStyle w:val="LI-BodyTextParaa"/>
        <w:numPr>
          <w:ilvl w:val="0"/>
          <w:numId w:val="3"/>
        </w:numPr>
        <w:rPr>
          <w:bCs/>
        </w:rPr>
      </w:pPr>
      <w:r w:rsidRPr="003B7822">
        <w:rPr>
          <w:bCs/>
        </w:rPr>
        <w:t xml:space="preserve">Subrule 2.2.2(3) provides that if there is more than one update to the valuation or change to the collateral during a </w:t>
      </w:r>
      <w:r w:rsidR="00927E0F">
        <w:rPr>
          <w:bCs/>
        </w:rPr>
        <w:t>b</w:t>
      </w:r>
      <w:r w:rsidRPr="003B7822">
        <w:rPr>
          <w:bCs/>
        </w:rPr>
        <w:t xml:space="preserve">usiness </w:t>
      </w:r>
      <w:r w:rsidR="00927E0F">
        <w:rPr>
          <w:bCs/>
        </w:rPr>
        <w:t>d</w:t>
      </w:r>
      <w:r w:rsidRPr="003B7822">
        <w:rPr>
          <w:bCs/>
        </w:rPr>
        <w:t xml:space="preserve">ay, </w:t>
      </w:r>
      <w:r w:rsidR="00F65ABA">
        <w:rPr>
          <w:bCs/>
        </w:rPr>
        <w:t>the reporting entity</w:t>
      </w:r>
      <w:r w:rsidRPr="003B7822">
        <w:rPr>
          <w:bCs/>
        </w:rPr>
        <w:t xml:space="preserve"> is only required to report the update or change that occurs closest to the end of that </w:t>
      </w:r>
      <w:r w:rsidR="00927E0F">
        <w:rPr>
          <w:bCs/>
        </w:rPr>
        <w:t>b</w:t>
      </w:r>
      <w:r w:rsidRPr="003B7822">
        <w:rPr>
          <w:bCs/>
        </w:rPr>
        <w:t xml:space="preserve">usiness </w:t>
      </w:r>
      <w:r w:rsidR="00927E0F">
        <w:rPr>
          <w:bCs/>
        </w:rPr>
        <w:t>d</w:t>
      </w:r>
      <w:r w:rsidRPr="003B7822">
        <w:rPr>
          <w:bCs/>
        </w:rPr>
        <w:t>ay. Subrule 2.2.2(3) ensures that</w:t>
      </w:r>
      <w:r w:rsidR="00F65ABA">
        <w:rPr>
          <w:bCs/>
        </w:rPr>
        <w:t xml:space="preserve"> reporting entities</w:t>
      </w:r>
      <w:r w:rsidRPr="003B7822">
        <w:rPr>
          <w:bCs/>
        </w:rPr>
        <w:t xml:space="preserve"> are not required to report multiple intra-day mark-to-market valuations and changes to collateral.</w:t>
      </w:r>
    </w:p>
    <w:p w14:paraId="7B6C9316" w14:textId="57C4E66A" w:rsidR="007F3038" w:rsidRDefault="005E1801" w:rsidP="002E110A">
      <w:pPr>
        <w:pStyle w:val="LI-BodyTextParaa"/>
        <w:numPr>
          <w:ilvl w:val="0"/>
          <w:numId w:val="3"/>
        </w:numPr>
        <w:rPr>
          <w:bCs/>
        </w:rPr>
      </w:pPr>
      <w:r>
        <w:rPr>
          <w:bCs/>
        </w:rPr>
        <w:t>“</w:t>
      </w:r>
      <w:r w:rsidR="003A4640" w:rsidRPr="003B7822">
        <w:rPr>
          <w:bCs/>
        </w:rPr>
        <w:t xml:space="preserve">Business </w:t>
      </w:r>
      <w:r>
        <w:rPr>
          <w:bCs/>
        </w:rPr>
        <w:t>d</w:t>
      </w:r>
      <w:r w:rsidR="003A4640" w:rsidRPr="003B7822">
        <w:rPr>
          <w:bCs/>
        </w:rPr>
        <w:t>ay</w:t>
      </w:r>
      <w:r>
        <w:rPr>
          <w:bCs/>
        </w:rPr>
        <w:t>”</w:t>
      </w:r>
      <w:r w:rsidR="003A4640" w:rsidRPr="003B7822">
        <w:rPr>
          <w:bCs/>
        </w:rPr>
        <w:t xml:space="preserve"> is defined in Rule 1.2.3 to mean a day that is not a Saturday, a Sunday, or a public holiday or bank holiday in the Relevant Jurisdiction. </w:t>
      </w:r>
    </w:p>
    <w:p w14:paraId="6EF58DF1" w14:textId="3BE1BC48" w:rsidR="003A4640" w:rsidRPr="003B7822" w:rsidRDefault="005E1801" w:rsidP="002E110A">
      <w:pPr>
        <w:pStyle w:val="LI-BodyTextParaa"/>
        <w:numPr>
          <w:ilvl w:val="0"/>
          <w:numId w:val="3"/>
        </w:numPr>
        <w:rPr>
          <w:bCs/>
        </w:rPr>
      </w:pPr>
      <w:r>
        <w:rPr>
          <w:bCs/>
        </w:rPr>
        <w:t>“</w:t>
      </w:r>
      <w:r w:rsidR="003A4640" w:rsidRPr="003B7822">
        <w:rPr>
          <w:bCs/>
        </w:rPr>
        <w:t xml:space="preserve">Relevant </w:t>
      </w:r>
      <w:r>
        <w:rPr>
          <w:bCs/>
        </w:rPr>
        <w:t>j</w:t>
      </w:r>
      <w:r w:rsidR="003A4640" w:rsidRPr="003B7822">
        <w:rPr>
          <w:bCs/>
        </w:rPr>
        <w:t>urisdiction</w:t>
      </w:r>
      <w:r>
        <w:rPr>
          <w:bCs/>
        </w:rPr>
        <w:t>”</w:t>
      </w:r>
      <w:r w:rsidR="003A4640" w:rsidRPr="003B7822">
        <w:rPr>
          <w:bCs/>
        </w:rPr>
        <w:t xml:space="preserve"> is also defined in Rule 1.2.3 to mean, in relation to a</w:t>
      </w:r>
      <w:r w:rsidR="00D161C5">
        <w:rPr>
          <w:bCs/>
        </w:rPr>
        <w:t xml:space="preserve"> reportable transaction</w:t>
      </w:r>
      <w:r w:rsidR="003A4640" w:rsidRPr="003B7822">
        <w:rPr>
          <w:bCs/>
        </w:rPr>
        <w:t>:</w:t>
      </w:r>
    </w:p>
    <w:p w14:paraId="5D5344C5" w14:textId="5E00D9D1" w:rsidR="003A4640" w:rsidRPr="000439CE" w:rsidRDefault="003A4640" w:rsidP="002E110A">
      <w:pPr>
        <w:pStyle w:val="LI-BodyTextParaa"/>
        <w:numPr>
          <w:ilvl w:val="1"/>
          <w:numId w:val="3"/>
        </w:numPr>
        <w:rPr>
          <w:bCs/>
        </w:rPr>
      </w:pPr>
      <w:r w:rsidRPr="000439CE">
        <w:rPr>
          <w:bCs/>
        </w:rPr>
        <w:t>this jurisdiction, if the</w:t>
      </w:r>
      <w:r w:rsidR="00D161C5">
        <w:rPr>
          <w:bCs/>
        </w:rPr>
        <w:t xml:space="preserve"> reportable transaction</w:t>
      </w:r>
      <w:r w:rsidRPr="000439CE">
        <w:rPr>
          <w:bCs/>
        </w:rPr>
        <w:t xml:space="preserve"> was booked to the profit or loss account of a branch of </w:t>
      </w:r>
      <w:r w:rsidR="00F65ABA">
        <w:rPr>
          <w:bCs/>
        </w:rPr>
        <w:t>the reporting entity</w:t>
      </w:r>
      <w:r w:rsidRPr="000439CE">
        <w:rPr>
          <w:bCs/>
        </w:rPr>
        <w:t xml:space="preserve"> located in this jurisdiction or was entered into by </w:t>
      </w:r>
      <w:r w:rsidR="00F65ABA">
        <w:rPr>
          <w:bCs/>
        </w:rPr>
        <w:t>the reporting entity</w:t>
      </w:r>
      <w:r w:rsidRPr="000439CE">
        <w:rPr>
          <w:bCs/>
        </w:rPr>
        <w:t xml:space="preserve"> in this jurisdiction; or</w:t>
      </w:r>
    </w:p>
    <w:p w14:paraId="142BC9A0" w14:textId="77777777" w:rsidR="00A06E51" w:rsidRDefault="00A06E51" w:rsidP="002E110A">
      <w:pPr>
        <w:pStyle w:val="LI-BodyTextParaa"/>
        <w:numPr>
          <w:ilvl w:val="1"/>
          <w:numId w:val="3"/>
        </w:numPr>
        <w:rPr>
          <w:bCs/>
        </w:rPr>
      </w:pPr>
      <w:r>
        <w:rPr>
          <w:bCs/>
        </w:rPr>
        <w:t>if paragraph (a) doesn’t apply:</w:t>
      </w:r>
    </w:p>
    <w:p w14:paraId="404EC185" w14:textId="61B10196" w:rsidR="003A4640" w:rsidRPr="000439CE" w:rsidRDefault="003A4640" w:rsidP="002E110A">
      <w:pPr>
        <w:pStyle w:val="LI-BodyTextParaa"/>
        <w:numPr>
          <w:ilvl w:val="2"/>
          <w:numId w:val="3"/>
        </w:numPr>
        <w:rPr>
          <w:bCs/>
        </w:rPr>
      </w:pPr>
      <w:r w:rsidRPr="000439CE">
        <w:rPr>
          <w:bCs/>
        </w:rPr>
        <w:t>the jurisdiction in which the</w:t>
      </w:r>
      <w:r w:rsidR="00D161C5">
        <w:rPr>
          <w:bCs/>
        </w:rPr>
        <w:t xml:space="preserve"> reportable transaction</w:t>
      </w:r>
      <w:r w:rsidRPr="000439CE">
        <w:rPr>
          <w:bCs/>
        </w:rPr>
        <w:t xml:space="preserve"> was booked to the profit or loss account of a branch of </w:t>
      </w:r>
      <w:r w:rsidR="00F65ABA">
        <w:rPr>
          <w:bCs/>
        </w:rPr>
        <w:t>the reporting entity</w:t>
      </w:r>
      <w:r w:rsidRPr="000439CE">
        <w:rPr>
          <w:bCs/>
        </w:rPr>
        <w:t>; or</w:t>
      </w:r>
    </w:p>
    <w:p w14:paraId="2862EE99" w14:textId="1838C4E4" w:rsidR="003A4640" w:rsidRPr="000439CE" w:rsidRDefault="00A06E51" w:rsidP="002E110A">
      <w:pPr>
        <w:pStyle w:val="LI-BodyTextParaa"/>
        <w:numPr>
          <w:ilvl w:val="2"/>
          <w:numId w:val="3"/>
        </w:numPr>
        <w:rPr>
          <w:bCs/>
        </w:rPr>
      </w:pPr>
      <w:r>
        <w:rPr>
          <w:bCs/>
        </w:rPr>
        <w:t>if subparagraph (</w:t>
      </w:r>
      <w:proofErr w:type="spellStart"/>
      <w:r>
        <w:rPr>
          <w:bCs/>
        </w:rPr>
        <w:t>i</w:t>
      </w:r>
      <w:proofErr w:type="spellEnd"/>
      <w:r>
        <w:rPr>
          <w:bCs/>
        </w:rPr>
        <w:t xml:space="preserve">) does not apply, </w:t>
      </w:r>
      <w:r w:rsidR="003A4640" w:rsidRPr="000439CE">
        <w:rPr>
          <w:bCs/>
        </w:rPr>
        <w:t>the jurisdiction in which the</w:t>
      </w:r>
      <w:r w:rsidR="00D161C5">
        <w:rPr>
          <w:bCs/>
        </w:rPr>
        <w:t xml:space="preserve"> reportable transaction</w:t>
      </w:r>
      <w:r w:rsidR="003A4640" w:rsidRPr="000439CE">
        <w:rPr>
          <w:bCs/>
        </w:rPr>
        <w:t xml:space="preserve"> was entered into by </w:t>
      </w:r>
      <w:r w:rsidR="00F65ABA">
        <w:rPr>
          <w:bCs/>
        </w:rPr>
        <w:t>the reporting entity</w:t>
      </w:r>
      <w:r w:rsidR="003A4640" w:rsidRPr="000439CE">
        <w:rPr>
          <w:bCs/>
        </w:rPr>
        <w:t>.</w:t>
      </w:r>
    </w:p>
    <w:p w14:paraId="766830E8" w14:textId="403EC7CA" w:rsidR="003A4640" w:rsidRPr="0026773C" w:rsidRDefault="003A4640" w:rsidP="003A4640">
      <w:pPr>
        <w:pStyle w:val="LI-BodyTextNumbered"/>
        <w:ind w:hanging="1134"/>
        <w:rPr>
          <w:u w:val="single"/>
        </w:rPr>
      </w:pPr>
      <w:r w:rsidRPr="0026773C">
        <w:rPr>
          <w:u w:val="single"/>
        </w:rPr>
        <w:t xml:space="preserve">Rule 2.2.3 – Reporting </w:t>
      </w:r>
      <w:r w:rsidR="0090172A">
        <w:rPr>
          <w:u w:val="single"/>
        </w:rPr>
        <w:t>r</w:t>
      </w:r>
      <w:r w:rsidR="0090172A" w:rsidRPr="0026773C">
        <w:rPr>
          <w:u w:val="single"/>
        </w:rPr>
        <w:t xml:space="preserve">equirement </w:t>
      </w:r>
      <w:r w:rsidRPr="0026773C">
        <w:rPr>
          <w:u w:val="single"/>
        </w:rPr>
        <w:t xml:space="preserve">– </w:t>
      </w:r>
      <w:r w:rsidR="0090172A">
        <w:rPr>
          <w:u w:val="single"/>
        </w:rPr>
        <w:t>t</w:t>
      </w:r>
      <w:r w:rsidR="0090172A" w:rsidRPr="0026773C">
        <w:rPr>
          <w:u w:val="single"/>
        </w:rPr>
        <w:t xml:space="preserve">iming </w:t>
      </w:r>
      <w:r w:rsidRPr="0026773C">
        <w:rPr>
          <w:u w:val="single"/>
        </w:rPr>
        <w:t>(generally T+</w:t>
      </w:r>
      <w:r w:rsidR="002D41C5">
        <w:rPr>
          <w:u w:val="single"/>
        </w:rPr>
        <w:t>2</w:t>
      </w:r>
      <w:r w:rsidRPr="0026773C">
        <w:rPr>
          <w:u w:val="single"/>
        </w:rPr>
        <w:t>)</w:t>
      </w:r>
    </w:p>
    <w:p w14:paraId="16291F82" w14:textId="7F72200A" w:rsidR="003A4640" w:rsidRPr="000439CE" w:rsidRDefault="003A4640" w:rsidP="002E110A">
      <w:pPr>
        <w:pStyle w:val="LI-BodyTextParaa"/>
        <w:numPr>
          <w:ilvl w:val="0"/>
          <w:numId w:val="3"/>
        </w:numPr>
        <w:rPr>
          <w:bCs/>
        </w:rPr>
      </w:pPr>
      <w:r w:rsidRPr="000439CE">
        <w:rPr>
          <w:bCs/>
        </w:rPr>
        <w:t>Subrule 2.2.3(1) provides that, subject to subrule</w:t>
      </w:r>
      <w:r w:rsidR="005B7A30">
        <w:rPr>
          <w:bCs/>
        </w:rPr>
        <w:t>s</w:t>
      </w:r>
      <w:r w:rsidRPr="000439CE">
        <w:rPr>
          <w:bCs/>
        </w:rPr>
        <w:t xml:space="preserve"> 2.2.3(2)</w:t>
      </w:r>
      <w:r w:rsidR="005B7A30">
        <w:rPr>
          <w:bCs/>
        </w:rPr>
        <w:t xml:space="preserve"> and (3)</w:t>
      </w:r>
      <w:r w:rsidRPr="000439CE">
        <w:rPr>
          <w:bCs/>
        </w:rPr>
        <w:t xml:space="preserve">, </w:t>
      </w:r>
      <w:r w:rsidR="00F65ABA">
        <w:rPr>
          <w:bCs/>
        </w:rPr>
        <w:t>a reporting entity</w:t>
      </w:r>
      <w:r w:rsidRPr="000439CE">
        <w:rPr>
          <w:bCs/>
        </w:rPr>
        <w:t xml:space="preserve"> that is required to</w:t>
      </w:r>
      <w:r w:rsidR="003A39E1">
        <w:rPr>
          <w:bCs/>
        </w:rPr>
        <w:t xml:space="preserve"> report</w:t>
      </w:r>
      <w:r w:rsidRPr="000439CE">
        <w:rPr>
          <w:bCs/>
        </w:rPr>
        <w:t>:</w:t>
      </w:r>
    </w:p>
    <w:p w14:paraId="42AA6F01" w14:textId="5AA1678F" w:rsidR="003A4640" w:rsidRPr="000439CE" w:rsidRDefault="003A4640" w:rsidP="002E110A">
      <w:pPr>
        <w:pStyle w:val="LI-BodyTextParaa"/>
        <w:numPr>
          <w:ilvl w:val="1"/>
          <w:numId w:val="3"/>
        </w:numPr>
        <w:rPr>
          <w:bCs/>
        </w:rPr>
      </w:pPr>
      <w:r w:rsidRPr="000439CE">
        <w:rPr>
          <w:bCs/>
        </w:rPr>
        <w:t>information about a</w:t>
      </w:r>
      <w:r w:rsidR="00D161C5">
        <w:rPr>
          <w:bCs/>
        </w:rPr>
        <w:t xml:space="preserve"> reportable transaction</w:t>
      </w:r>
      <w:r w:rsidRPr="000439CE">
        <w:rPr>
          <w:bCs/>
        </w:rPr>
        <w:t xml:space="preserve"> in accordance with </w:t>
      </w:r>
      <w:r w:rsidR="00E47E74">
        <w:rPr>
          <w:bCs/>
        </w:rPr>
        <w:t>subrule</w:t>
      </w:r>
      <w:r w:rsidR="00E47E74" w:rsidRPr="000439CE">
        <w:rPr>
          <w:bCs/>
        </w:rPr>
        <w:t xml:space="preserve"> </w:t>
      </w:r>
      <w:r w:rsidRPr="000439CE">
        <w:rPr>
          <w:bCs/>
        </w:rPr>
        <w:t xml:space="preserve">2.2.1(1); or </w:t>
      </w:r>
    </w:p>
    <w:p w14:paraId="1F715CB8" w14:textId="27491F55" w:rsidR="003A4640" w:rsidRPr="000439CE" w:rsidRDefault="003A4640" w:rsidP="002E110A">
      <w:pPr>
        <w:pStyle w:val="LI-BodyTextParaa"/>
        <w:numPr>
          <w:ilvl w:val="1"/>
          <w:numId w:val="3"/>
        </w:numPr>
        <w:rPr>
          <w:bCs/>
        </w:rPr>
      </w:pPr>
      <w:r w:rsidRPr="000439CE">
        <w:rPr>
          <w:bCs/>
        </w:rPr>
        <w:t xml:space="preserve">a change to information about </w:t>
      </w:r>
      <w:r w:rsidR="007F70A1">
        <w:rPr>
          <w:bCs/>
        </w:rPr>
        <w:t>an OTC</w:t>
      </w:r>
      <w:r w:rsidR="00E516A9">
        <w:rPr>
          <w:bCs/>
        </w:rPr>
        <w:t xml:space="preserve"> </w:t>
      </w:r>
      <w:r w:rsidR="007F70A1">
        <w:rPr>
          <w:bCs/>
        </w:rPr>
        <w:t>derivative</w:t>
      </w:r>
      <w:r w:rsidRPr="000439CE">
        <w:rPr>
          <w:bCs/>
        </w:rPr>
        <w:t xml:space="preserve"> in accordance with subrule 2.2.2(1), </w:t>
      </w:r>
    </w:p>
    <w:p w14:paraId="5AFED323" w14:textId="03B9546B" w:rsidR="003A4640" w:rsidRPr="000439CE" w:rsidRDefault="003A4640" w:rsidP="003A4640">
      <w:pPr>
        <w:pStyle w:val="LI-BodyTextParaa"/>
        <w:ind w:left="567" w:firstLine="0"/>
        <w:rPr>
          <w:bCs/>
        </w:rPr>
      </w:pPr>
      <w:r w:rsidRPr="000439CE">
        <w:rPr>
          <w:bCs/>
        </w:rPr>
        <w:t xml:space="preserve">must report the information or change by no later than the end of the </w:t>
      </w:r>
      <w:r w:rsidR="001C6FFD">
        <w:rPr>
          <w:bCs/>
        </w:rPr>
        <w:t>second</w:t>
      </w:r>
      <w:r w:rsidR="001C6FFD" w:rsidRPr="000439CE">
        <w:rPr>
          <w:bCs/>
        </w:rPr>
        <w:t xml:space="preserve"> </w:t>
      </w:r>
      <w:r w:rsidR="003A39E1">
        <w:rPr>
          <w:bCs/>
        </w:rPr>
        <w:t>b</w:t>
      </w:r>
      <w:r w:rsidR="003A39E1" w:rsidRPr="000439CE">
        <w:rPr>
          <w:bCs/>
        </w:rPr>
        <w:t xml:space="preserve">usiness </w:t>
      </w:r>
      <w:r w:rsidR="003A39E1">
        <w:rPr>
          <w:bCs/>
        </w:rPr>
        <w:t>d</w:t>
      </w:r>
      <w:r w:rsidR="003A39E1" w:rsidRPr="000439CE">
        <w:rPr>
          <w:bCs/>
        </w:rPr>
        <w:t xml:space="preserve">ay </w:t>
      </w:r>
      <w:r w:rsidRPr="000439CE">
        <w:rPr>
          <w:bCs/>
        </w:rPr>
        <w:t xml:space="preserve">after the </w:t>
      </w:r>
      <w:r w:rsidR="00C42F47">
        <w:t>day on which the</w:t>
      </w:r>
      <w:r w:rsidR="00D161C5">
        <w:t xml:space="preserve"> reportable transaction</w:t>
      </w:r>
      <w:r w:rsidR="00C42F47">
        <w:t xml:space="preserve"> or change occurs</w:t>
      </w:r>
      <w:r w:rsidRPr="000439CE">
        <w:rPr>
          <w:bCs/>
        </w:rPr>
        <w:t xml:space="preserve">. </w:t>
      </w:r>
    </w:p>
    <w:p w14:paraId="7CF6CCD0" w14:textId="48479EC1" w:rsidR="003A4640" w:rsidRPr="009454DB" w:rsidRDefault="003A4640" w:rsidP="002E110A">
      <w:pPr>
        <w:pStyle w:val="LI-BodyTextParaa"/>
        <w:numPr>
          <w:ilvl w:val="0"/>
          <w:numId w:val="3"/>
        </w:numPr>
        <w:rPr>
          <w:bCs/>
        </w:rPr>
      </w:pPr>
      <w:r w:rsidRPr="00124F41">
        <w:rPr>
          <w:bCs/>
        </w:rPr>
        <w:t>Subrule 2.2.3(2) provides that if the</w:t>
      </w:r>
      <w:r w:rsidR="00CA0BF8">
        <w:rPr>
          <w:bCs/>
        </w:rPr>
        <w:t xml:space="preserve"> licensed repository</w:t>
      </w:r>
      <w:r w:rsidRPr="00124F41">
        <w:rPr>
          <w:bCs/>
        </w:rPr>
        <w:t xml:space="preserve"> or</w:t>
      </w:r>
      <w:r w:rsidR="005C6F8D">
        <w:rPr>
          <w:bCs/>
        </w:rPr>
        <w:t xml:space="preserve"> prescribed repository</w:t>
      </w:r>
      <w:r w:rsidRPr="00124F41">
        <w:rPr>
          <w:bCs/>
        </w:rPr>
        <w:t xml:space="preserve"> to which the information or changes are to be reported is not available to accept the report of information or changes by the time required under subrule 2.2.3(1), </w:t>
      </w:r>
      <w:r w:rsidR="00F65ABA">
        <w:rPr>
          <w:bCs/>
        </w:rPr>
        <w:t>the reporting entity</w:t>
      </w:r>
      <w:r w:rsidRPr="00124F41">
        <w:rPr>
          <w:bCs/>
        </w:rPr>
        <w:t xml:space="preserve"> must report the information or changes as soon as practicable after the</w:t>
      </w:r>
      <w:r w:rsidR="00CA0BF8">
        <w:rPr>
          <w:bCs/>
        </w:rPr>
        <w:t xml:space="preserve"> licensed repository</w:t>
      </w:r>
      <w:r w:rsidRPr="00124F41">
        <w:rPr>
          <w:bCs/>
        </w:rPr>
        <w:t xml:space="preserve"> or</w:t>
      </w:r>
      <w:r w:rsidR="005C6F8D">
        <w:rPr>
          <w:bCs/>
        </w:rPr>
        <w:t xml:space="preserve"> prescribed repository</w:t>
      </w:r>
      <w:r w:rsidRPr="00124F41">
        <w:rPr>
          <w:bCs/>
        </w:rPr>
        <w:t xml:space="preserve"> becomes available to accept the report. </w:t>
      </w:r>
    </w:p>
    <w:p w14:paraId="7303D295" w14:textId="5FC8BE2E" w:rsidR="0069136C" w:rsidRDefault="003A4640" w:rsidP="002E110A">
      <w:pPr>
        <w:pStyle w:val="LI-BodyTextParaa"/>
        <w:numPr>
          <w:ilvl w:val="0"/>
          <w:numId w:val="3"/>
        </w:numPr>
        <w:rPr>
          <w:bCs/>
        </w:rPr>
      </w:pPr>
      <w:r w:rsidRPr="00124F41">
        <w:rPr>
          <w:bCs/>
        </w:rPr>
        <w:lastRenderedPageBreak/>
        <w:t xml:space="preserve">Subrule 2.2.3(2) is designed to ensure </w:t>
      </w:r>
      <w:r w:rsidR="00F65ABA">
        <w:rPr>
          <w:bCs/>
        </w:rPr>
        <w:t>a reporting entity</w:t>
      </w:r>
      <w:r w:rsidRPr="00124F41">
        <w:rPr>
          <w:bCs/>
        </w:rPr>
        <w:t xml:space="preserve"> does not breach subrule 2.2.3(1) where the </w:t>
      </w:r>
      <w:r w:rsidR="008A3F77">
        <w:rPr>
          <w:bCs/>
        </w:rPr>
        <w:t>t</w:t>
      </w:r>
      <w:r w:rsidRPr="00124F41">
        <w:rPr>
          <w:bCs/>
        </w:rPr>
        <w:t xml:space="preserve">rade </w:t>
      </w:r>
      <w:r w:rsidR="008A3F77">
        <w:rPr>
          <w:bCs/>
        </w:rPr>
        <w:t>r</w:t>
      </w:r>
      <w:r w:rsidRPr="00124F41">
        <w:rPr>
          <w:bCs/>
        </w:rPr>
        <w:t xml:space="preserve">epository’s services are temporarily unavailable. It is noted that paragraph 2.3.1(3)(a) of the </w:t>
      </w:r>
      <w:r w:rsidRPr="00726EE0">
        <w:rPr>
          <w:bCs/>
          <w:i/>
          <w:iCs/>
        </w:rPr>
        <w:t>ASIC</w:t>
      </w:r>
      <w:r w:rsidR="00023A28" w:rsidRPr="00726EE0">
        <w:rPr>
          <w:bCs/>
          <w:i/>
          <w:iCs/>
        </w:rPr>
        <w:t xml:space="preserve"> </w:t>
      </w:r>
      <w:r w:rsidR="00026A5B" w:rsidRPr="00726EE0">
        <w:rPr>
          <w:bCs/>
          <w:i/>
          <w:iCs/>
        </w:rPr>
        <w:t>D</w:t>
      </w:r>
      <w:r w:rsidR="00023A28" w:rsidRPr="00726EE0">
        <w:rPr>
          <w:bCs/>
          <w:i/>
          <w:iCs/>
        </w:rPr>
        <w:t xml:space="preserve">erivative </w:t>
      </w:r>
      <w:r w:rsidR="00026A5B" w:rsidRPr="00726EE0">
        <w:rPr>
          <w:bCs/>
          <w:i/>
          <w:iCs/>
        </w:rPr>
        <w:t>T</w:t>
      </w:r>
      <w:r w:rsidR="00023A28" w:rsidRPr="00726EE0">
        <w:rPr>
          <w:bCs/>
          <w:i/>
          <w:iCs/>
        </w:rPr>
        <w:t xml:space="preserve">rade </w:t>
      </w:r>
      <w:r w:rsidR="00026A5B" w:rsidRPr="00726EE0">
        <w:rPr>
          <w:bCs/>
          <w:i/>
          <w:iCs/>
        </w:rPr>
        <w:t>R</w:t>
      </w:r>
      <w:r w:rsidR="00023A28" w:rsidRPr="00726EE0">
        <w:rPr>
          <w:bCs/>
          <w:i/>
          <w:iCs/>
        </w:rPr>
        <w:t>epository</w:t>
      </w:r>
      <w:r w:rsidRPr="00726EE0">
        <w:rPr>
          <w:bCs/>
          <w:i/>
          <w:iCs/>
        </w:rPr>
        <w:t xml:space="preserve"> Rules 2013</w:t>
      </w:r>
      <w:r w:rsidRPr="00124F41">
        <w:rPr>
          <w:bCs/>
        </w:rPr>
        <w:t xml:space="preserve"> requires the </w:t>
      </w:r>
      <w:r w:rsidR="00026A5B">
        <w:rPr>
          <w:bCs/>
        </w:rPr>
        <w:t>o</w:t>
      </w:r>
      <w:r w:rsidRPr="00124F41">
        <w:rPr>
          <w:bCs/>
        </w:rPr>
        <w:t>perator of a</w:t>
      </w:r>
      <w:r w:rsidR="00CA0BF8">
        <w:rPr>
          <w:bCs/>
        </w:rPr>
        <w:t xml:space="preserve"> licensed repository</w:t>
      </w:r>
      <w:r w:rsidRPr="00124F41">
        <w:rPr>
          <w:bCs/>
        </w:rPr>
        <w:t xml:space="preserve"> to have in place policies, procedures, systems and controls reasonably designed to maintain continuous, reliable and secure connections with </w:t>
      </w:r>
      <w:r w:rsidR="00026A5B">
        <w:rPr>
          <w:bCs/>
        </w:rPr>
        <w:t>p</w:t>
      </w:r>
      <w:r w:rsidRPr="00124F41">
        <w:rPr>
          <w:bCs/>
        </w:rPr>
        <w:t>articipants (</w:t>
      </w:r>
      <w:proofErr w:type="gramStart"/>
      <w:r w:rsidRPr="00124F41">
        <w:rPr>
          <w:bCs/>
        </w:rPr>
        <w:t>i.e.</w:t>
      </w:r>
      <w:proofErr w:type="gramEnd"/>
      <w:r w:rsidR="00F65ABA">
        <w:rPr>
          <w:bCs/>
        </w:rPr>
        <w:t xml:space="preserve"> reporting entities</w:t>
      </w:r>
      <w:r w:rsidRPr="00124F41">
        <w:rPr>
          <w:bCs/>
        </w:rPr>
        <w:t xml:space="preserve"> or persons reporting on their behalf) for the purposes of accepting </w:t>
      </w:r>
      <w:r w:rsidR="000C350D">
        <w:rPr>
          <w:bCs/>
        </w:rPr>
        <w:t>d</w:t>
      </w:r>
      <w:r w:rsidRPr="00124F41">
        <w:rPr>
          <w:bCs/>
        </w:rPr>
        <w:t xml:space="preserve">erivative </w:t>
      </w:r>
      <w:r w:rsidR="000C350D">
        <w:rPr>
          <w:bCs/>
        </w:rPr>
        <w:t>t</w:t>
      </w:r>
      <w:r w:rsidRPr="00124F41">
        <w:rPr>
          <w:bCs/>
        </w:rPr>
        <w:t xml:space="preserve">rade </w:t>
      </w:r>
      <w:r w:rsidR="000C350D">
        <w:rPr>
          <w:bCs/>
        </w:rPr>
        <w:t>d</w:t>
      </w:r>
      <w:r w:rsidRPr="00124F41">
        <w:rPr>
          <w:bCs/>
        </w:rPr>
        <w:t>ata.</w:t>
      </w:r>
    </w:p>
    <w:p w14:paraId="231C455F" w14:textId="77C5E285" w:rsidR="003A4640" w:rsidRDefault="0069136C" w:rsidP="002E110A">
      <w:pPr>
        <w:pStyle w:val="LI-BodyTextParaa"/>
        <w:numPr>
          <w:ilvl w:val="0"/>
          <w:numId w:val="3"/>
        </w:numPr>
        <w:rPr>
          <w:bCs/>
        </w:rPr>
      </w:pPr>
      <w:r>
        <w:rPr>
          <w:bCs/>
        </w:rPr>
        <w:t xml:space="preserve">Subrule 2.2.3(3) </w:t>
      </w:r>
      <w:r w:rsidR="006E6E4C">
        <w:rPr>
          <w:bCs/>
        </w:rPr>
        <w:t>provides that certain types of</w:t>
      </w:r>
      <w:r w:rsidR="00D161C5">
        <w:rPr>
          <w:bCs/>
        </w:rPr>
        <w:t xml:space="preserve"> reportable transaction</w:t>
      </w:r>
      <w:r w:rsidR="006E6E4C">
        <w:rPr>
          <w:bCs/>
        </w:rPr>
        <w:t>s</w:t>
      </w:r>
      <w:r w:rsidR="00B73E1B">
        <w:rPr>
          <w:bCs/>
        </w:rPr>
        <w:t xml:space="preserve"> may be reported </w:t>
      </w:r>
      <w:r w:rsidR="001566A8">
        <w:rPr>
          <w:bCs/>
        </w:rPr>
        <w:t xml:space="preserve">later than the second </w:t>
      </w:r>
      <w:r w:rsidR="00026A5B">
        <w:rPr>
          <w:bCs/>
        </w:rPr>
        <w:t>b</w:t>
      </w:r>
      <w:r w:rsidR="001566A8">
        <w:rPr>
          <w:bCs/>
        </w:rPr>
        <w:t xml:space="preserve">usiness </w:t>
      </w:r>
      <w:r w:rsidR="00026A5B">
        <w:rPr>
          <w:bCs/>
        </w:rPr>
        <w:t>d</w:t>
      </w:r>
      <w:r w:rsidR="001566A8">
        <w:rPr>
          <w:bCs/>
        </w:rPr>
        <w:t xml:space="preserve">ay </w:t>
      </w:r>
      <w:r w:rsidR="006171C3">
        <w:rPr>
          <w:bCs/>
        </w:rPr>
        <w:t>because the</w:t>
      </w:r>
      <w:r w:rsidR="00D161C5">
        <w:rPr>
          <w:bCs/>
        </w:rPr>
        <w:t xml:space="preserve"> reportable transaction</w:t>
      </w:r>
      <w:r w:rsidR="006171C3">
        <w:rPr>
          <w:bCs/>
        </w:rPr>
        <w:t xml:space="preserve">s must be reported by no later </w:t>
      </w:r>
      <w:r w:rsidR="00692E3E">
        <w:rPr>
          <w:bCs/>
        </w:rPr>
        <w:t>than</w:t>
      </w:r>
      <w:r w:rsidR="006171C3">
        <w:rPr>
          <w:bCs/>
        </w:rPr>
        <w:t xml:space="preserve"> the fourth </w:t>
      </w:r>
      <w:r w:rsidR="00026A5B">
        <w:rPr>
          <w:bCs/>
        </w:rPr>
        <w:t>b</w:t>
      </w:r>
      <w:r w:rsidR="006171C3">
        <w:rPr>
          <w:bCs/>
        </w:rPr>
        <w:t xml:space="preserve">usiness </w:t>
      </w:r>
      <w:r w:rsidR="00026A5B">
        <w:rPr>
          <w:bCs/>
        </w:rPr>
        <w:t>d</w:t>
      </w:r>
      <w:r w:rsidR="006171C3">
        <w:rPr>
          <w:bCs/>
        </w:rPr>
        <w:t xml:space="preserve">ay </w:t>
      </w:r>
      <w:r w:rsidR="00692E3E">
        <w:rPr>
          <w:bCs/>
        </w:rPr>
        <w:t>after the day on which the</w:t>
      </w:r>
      <w:r w:rsidR="00D161C5">
        <w:rPr>
          <w:bCs/>
        </w:rPr>
        <w:t xml:space="preserve"> reportable transaction</w:t>
      </w:r>
      <w:r w:rsidR="00BE473C">
        <w:rPr>
          <w:bCs/>
        </w:rPr>
        <w:t xml:space="preserve"> occurs.</w:t>
      </w:r>
    </w:p>
    <w:p w14:paraId="7C3A4401" w14:textId="56934E96" w:rsidR="00305A83" w:rsidRDefault="00BE473C" w:rsidP="002E110A">
      <w:pPr>
        <w:pStyle w:val="LI-BodyTextParaa"/>
        <w:numPr>
          <w:ilvl w:val="0"/>
          <w:numId w:val="3"/>
        </w:numPr>
        <w:rPr>
          <w:bCs/>
        </w:rPr>
      </w:pPr>
      <w:r>
        <w:rPr>
          <w:bCs/>
        </w:rPr>
        <w:t>These types of</w:t>
      </w:r>
      <w:r w:rsidR="00D161C5">
        <w:rPr>
          <w:bCs/>
        </w:rPr>
        <w:t xml:space="preserve"> reportable transaction</w:t>
      </w:r>
      <w:r>
        <w:rPr>
          <w:bCs/>
        </w:rPr>
        <w:t>s are</w:t>
      </w:r>
      <w:r w:rsidR="00D161C5">
        <w:rPr>
          <w:bCs/>
        </w:rPr>
        <w:t xml:space="preserve"> reportable transaction</w:t>
      </w:r>
      <w:r>
        <w:rPr>
          <w:bCs/>
        </w:rPr>
        <w:t>s</w:t>
      </w:r>
      <w:r w:rsidR="007526D4">
        <w:rPr>
          <w:bCs/>
        </w:rPr>
        <w:t>,</w:t>
      </w:r>
      <w:r>
        <w:rPr>
          <w:bCs/>
        </w:rPr>
        <w:t xml:space="preserve"> </w:t>
      </w:r>
      <w:r w:rsidR="007526D4" w:rsidRPr="007526D4">
        <w:rPr>
          <w:bCs/>
        </w:rPr>
        <w:t>other than foreign exchange transaction</w:t>
      </w:r>
      <w:r w:rsidR="007526D4">
        <w:rPr>
          <w:bCs/>
        </w:rPr>
        <w:t>s</w:t>
      </w:r>
      <w:r w:rsidR="007526D4" w:rsidRPr="007526D4">
        <w:rPr>
          <w:bCs/>
        </w:rPr>
        <w:t xml:space="preserve"> that </w:t>
      </w:r>
      <w:r w:rsidR="007526D4">
        <w:rPr>
          <w:bCs/>
        </w:rPr>
        <w:t>are</w:t>
      </w:r>
      <w:r w:rsidR="007526D4" w:rsidRPr="007526D4">
        <w:rPr>
          <w:bCs/>
        </w:rPr>
        <w:t xml:space="preserve"> part of a foreign exchange swap derivative transaction, for which a value for item 92 of Table S1.1(1) is required to be reported</w:t>
      </w:r>
      <w:r w:rsidR="00B774E1">
        <w:rPr>
          <w:bCs/>
        </w:rPr>
        <w:t xml:space="preserve">. Item 92 of Table S1.1(1) is </w:t>
      </w:r>
      <w:r w:rsidR="00DB5B54">
        <w:rPr>
          <w:bCs/>
        </w:rPr>
        <w:t xml:space="preserve">a </w:t>
      </w:r>
      <w:r w:rsidR="0014577E">
        <w:rPr>
          <w:bCs/>
        </w:rPr>
        <w:t>p</w:t>
      </w:r>
      <w:r w:rsidR="00DB5B54">
        <w:rPr>
          <w:bCs/>
        </w:rPr>
        <w:t>ackage identifier which is required to be reported</w:t>
      </w:r>
      <w:r w:rsidR="000F7D0D">
        <w:rPr>
          <w:bCs/>
        </w:rPr>
        <w:t xml:space="preserve"> for each</w:t>
      </w:r>
      <w:r w:rsidR="00D161C5">
        <w:rPr>
          <w:bCs/>
        </w:rPr>
        <w:t xml:space="preserve"> reportable transaction</w:t>
      </w:r>
      <w:r w:rsidR="000F7D0D">
        <w:rPr>
          <w:bCs/>
        </w:rPr>
        <w:t xml:space="preserve"> that is reported as a package</w:t>
      </w:r>
      <w:r w:rsidR="00F97952">
        <w:rPr>
          <w:bCs/>
        </w:rPr>
        <w:t xml:space="preserve">. Packages </w:t>
      </w:r>
      <w:r w:rsidR="00C77C82">
        <w:rPr>
          <w:bCs/>
        </w:rPr>
        <w:t>can be</w:t>
      </w:r>
      <w:r w:rsidR="00AC09D1">
        <w:rPr>
          <w:bCs/>
        </w:rPr>
        <w:t xml:space="preserve"> complex to be confirmed by each of the counterparties</w:t>
      </w:r>
      <w:r w:rsidR="00B234E1">
        <w:rPr>
          <w:bCs/>
        </w:rPr>
        <w:t xml:space="preserve"> and not necessarily confirmed electronically</w:t>
      </w:r>
      <w:r w:rsidR="007B2CD4">
        <w:rPr>
          <w:bCs/>
        </w:rPr>
        <w:t xml:space="preserve">. This </w:t>
      </w:r>
      <w:r w:rsidR="0023193E">
        <w:rPr>
          <w:bCs/>
        </w:rPr>
        <w:t xml:space="preserve">can delay </w:t>
      </w:r>
      <w:proofErr w:type="spellStart"/>
      <w:r w:rsidR="005F5316">
        <w:rPr>
          <w:bCs/>
        </w:rPr>
        <w:t>UTI</w:t>
      </w:r>
      <w:proofErr w:type="spellEnd"/>
      <w:r w:rsidR="005F5316">
        <w:rPr>
          <w:bCs/>
        </w:rPr>
        <w:t xml:space="preserve"> generation and sharing and other reporting practices</w:t>
      </w:r>
      <w:r w:rsidR="00CA0FDF">
        <w:rPr>
          <w:bCs/>
        </w:rPr>
        <w:t xml:space="preserve"> and subrule 2.2.3(3) provides additional time </w:t>
      </w:r>
      <w:r w:rsidR="00305A83">
        <w:rPr>
          <w:bCs/>
        </w:rPr>
        <w:t>for reporting.</w:t>
      </w:r>
    </w:p>
    <w:p w14:paraId="768CDCFF" w14:textId="17BB5924" w:rsidR="00BE473C" w:rsidRPr="00124F41" w:rsidRDefault="00305A83" w:rsidP="002E110A">
      <w:pPr>
        <w:pStyle w:val="LI-BodyTextParaa"/>
        <w:numPr>
          <w:ilvl w:val="0"/>
          <w:numId w:val="3"/>
        </w:numPr>
        <w:rPr>
          <w:bCs/>
        </w:rPr>
      </w:pPr>
      <w:r>
        <w:rPr>
          <w:bCs/>
        </w:rPr>
        <w:t>A</w:t>
      </w:r>
      <w:r w:rsidR="007526D4" w:rsidRPr="007526D4">
        <w:rPr>
          <w:bCs/>
        </w:rPr>
        <w:t xml:space="preserve"> </w:t>
      </w:r>
      <w:r>
        <w:rPr>
          <w:bCs/>
        </w:rPr>
        <w:t xml:space="preserve">foreign exchange </w:t>
      </w:r>
      <w:r w:rsidR="00810D3B">
        <w:rPr>
          <w:bCs/>
        </w:rPr>
        <w:t xml:space="preserve">swap derivative transaction is also required to be reported </w:t>
      </w:r>
      <w:r w:rsidR="00885BF8">
        <w:rPr>
          <w:bCs/>
        </w:rPr>
        <w:t xml:space="preserve">as a package of two foreign exchange </w:t>
      </w:r>
      <w:proofErr w:type="gramStart"/>
      <w:r w:rsidR="00885BF8">
        <w:rPr>
          <w:bCs/>
        </w:rPr>
        <w:t>contracts</w:t>
      </w:r>
      <w:proofErr w:type="gramEnd"/>
      <w:r w:rsidR="001A4AB5">
        <w:rPr>
          <w:bCs/>
        </w:rPr>
        <w:t xml:space="preserve"> but these transactions do not have complex </w:t>
      </w:r>
      <w:r w:rsidR="00A95D8F">
        <w:rPr>
          <w:bCs/>
        </w:rPr>
        <w:t>confirmation needs and no additional time for reporting is provi</w:t>
      </w:r>
      <w:r w:rsidR="004B0489">
        <w:rPr>
          <w:bCs/>
        </w:rPr>
        <w:t>d</w:t>
      </w:r>
      <w:r w:rsidR="003A39E1">
        <w:rPr>
          <w:bCs/>
        </w:rPr>
        <w:t>ed</w:t>
      </w:r>
      <w:r w:rsidR="004B0489">
        <w:rPr>
          <w:bCs/>
        </w:rPr>
        <w:t xml:space="preserve"> for these types of</w:t>
      </w:r>
      <w:r w:rsidR="00D161C5">
        <w:rPr>
          <w:bCs/>
        </w:rPr>
        <w:t xml:space="preserve"> reportable transaction</w:t>
      </w:r>
      <w:r w:rsidR="004B0489">
        <w:rPr>
          <w:bCs/>
        </w:rPr>
        <w:t>s.</w:t>
      </w:r>
    </w:p>
    <w:p w14:paraId="0E9E0017" w14:textId="194429D3" w:rsidR="003A4640" w:rsidRPr="0026773C" w:rsidRDefault="003A4640" w:rsidP="003A4640">
      <w:pPr>
        <w:pStyle w:val="LI-BodyTextNumbered"/>
        <w:ind w:hanging="1134"/>
        <w:rPr>
          <w:u w:val="single"/>
        </w:rPr>
      </w:pPr>
      <w:r w:rsidRPr="0026773C">
        <w:rPr>
          <w:u w:val="single"/>
        </w:rPr>
        <w:t xml:space="preserve">Rule 2.2.4 – Reporting </w:t>
      </w:r>
      <w:r w:rsidR="0090172A">
        <w:rPr>
          <w:u w:val="single"/>
        </w:rPr>
        <w:t>r</w:t>
      </w:r>
      <w:r w:rsidR="0090172A" w:rsidRPr="0026773C">
        <w:rPr>
          <w:u w:val="single"/>
        </w:rPr>
        <w:t xml:space="preserve">equirement </w:t>
      </w:r>
      <w:r w:rsidRPr="0026773C">
        <w:rPr>
          <w:u w:val="single"/>
        </w:rPr>
        <w:t xml:space="preserve">– </w:t>
      </w:r>
      <w:r w:rsidR="0090172A">
        <w:rPr>
          <w:u w:val="single"/>
        </w:rPr>
        <w:t>f</w:t>
      </w:r>
      <w:r w:rsidR="0090172A" w:rsidRPr="0026773C">
        <w:rPr>
          <w:u w:val="single"/>
        </w:rPr>
        <w:t>ormat</w:t>
      </w:r>
    </w:p>
    <w:p w14:paraId="5E763D22" w14:textId="46136314" w:rsidR="003A4640" w:rsidRPr="00CF7C7D" w:rsidRDefault="003A4640" w:rsidP="002E110A">
      <w:pPr>
        <w:pStyle w:val="LI-BodyTextParaa"/>
        <w:numPr>
          <w:ilvl w:val="0"/>
          <w:numId w:val="3"/>
        </w:numPr>
        <w:rPr>
          <w:bCs/>
        </w:rPr>
      </w:pPr>
      <w:r w:rsidRPr="00CF7C7D">
        <w:rPr>
          <w:bCs/>
        </w:rPr>
        <w:t xml:space="preserve">Rule 2.2.4 provides that </w:t>
      </w:r>
      <w:r w:rsidR="00F65ABA">
        <w:rPr>
          <w:bCs/>
        </w:rPr>
        <w:t>a reporting entity</w:t>
      </w:r>
      <w:r w:rsidRPr="00CF7C7D">
        <w:rPr>
          <w:bCs/>
        </w:rPr>
        <w:t xml:space="preserve"> that is required to report:</w:t>
      </w:r>
    </w:p>
    <w:p w14:paraId="791425D4" w14:textId="7BC01455" w:rsidR="003A4640" w:rsidRPr="00CF7C7D" w:rsidRDefault="00EF032F" w:rsidP="002E110A">
      <w:pPr>
        <w:pStyle w:val="LI-BodyTextParaa"/>
        <w:numPr>
          <w:ilvl w:val="1"/>
          <w:numId w:val="3"/>
        </w:numPr>
        <w:rPr>
          <w:bCs/>
        </w:rPr>
      </w:pPr>
      <w:r>
        <w:rPr>
          <w:bCs/>
        </w:rPr>
        <w:t xml:space="preserve">information about </w:t>
      </w:r>
      <w:r w:rsidR="003A4640" w:rsidRPr="00CF7C7D">
        <w:rPr>
          <w:bCs/>
        </w:rPr>
        <w:t>a</w:t>
      </w:r>
      <w:r w:rsidR="00D161C5">
        <w:rPr>
          <w:bCs/>
        </w:rPr>
        <w:t xml:space="preserve"> reportable transaction</w:t>
      </w:r>
      <w:r w:rsidR="003A4640" w:rsidRPr="00CF7C7D">
        <w:rPr>
          <w:bCs/>
        </w:rPr>
        <w:t xml:space="preserve"> in accordance with subrule 2.2.1(1); or</w:t>
      </w:r>
    </w:p>
    <w:p w14:paraId="14FC261C" w14:textId="7D90030C" w:rsidR="003A4640" w:rsidRPr="00CF7C7D" w:rsidRDefault="003A4640" w:rsidP="002E110A">
      <w:pPr>
        <w:pStyle w:val="LI-BodyTextParaa"/>
        <w:numPr>
          <w:ilvl w:val="1"/>
          <w:numId w:val="3"/>
        </w:numPr>
        <w:rPr>
          <w:bCs/>
        </w:rPr>
      </w:pPr>
      <w:r w:rsidRPr="00CF7C7D">
        <w:rPr>
          <w:bCs/>
        </w:rPr>
        <w:t>a change to information about a</w:t>
      </w:r>
      <w:r w:rsidR="00D161C5">
        <w:rPr>
          <w:bCs/>
        </w:rPr>
        <w:t xml:space="preserve"> reportable transaction</w:t>
      </w:r>
      <w:r w:rsidRPr="00CF7C7D">
        <w:rPr>
          <w:bCs/>
        </w:rPr>
        <w:t xml:space="preserve"> in accordance with subrule 2.2.2(1), </w:t>
      </w:r>
    </w:p>
    <w:p w14:paraId="284ECFD3" w14:textId="77777777" w:rsidR="003A4640" w:rsidRPr="00CF7C7D" w:rsidRDefault="003A4640" w:rsidP="003A4640">
      <w:pPr>
        <w:pStyle w:val="LI-BodyTextParaa"/>
        <w:ind w:left="567" w:firstLine="0"/>
        <w:rPr>
          <w:bCs/>
        </w:rPr>
      </w:pPr>
      <w:r w:rsidRPr="00CF7C7D">
        <w:rPr>
          <w:bCs/>
        </w:rPr>
        <w:t>must report the information or change in an electronic form and in accordance with any format requirements specified:</w:t>
      </w:r>
    </w:p>
    <w:p w14:paraId="72878859" w14:textId="4461FC19" w:rsidR="003A4640" w:rsidRPr="006F7B19" w:rsidRDefault="003A4640" w:rsidP="002E110A">
      <w:pPr>
        <w:pStyle w:val="LI-BodyTextParaa"/>
        <w:numPr>
          <w:ilvl w:val="1"/>
          <w:numId w:val="3"/>
        </w:numPr>
        <w:rPr>
          <w:bCs/>
        </w:rPr>
      </w:pPr>
      <w:r w:rsidRPr="006F7B19">
        <w:rPr>
          <w:bCs/>
        </w:rPr>
        <w:t xml:space="preserve">in </w:t>
      </w:r>
      <w:r w:rsidR="008D602D">
        <w:rPr>
          <w:bCs/>
        </w:rPr>
        <w:t>subrule (2) and otherwi</w:t>
      </w:r>
      <w:r w:rsidR="003663F8">
        <w:rPr>
          <w:bCs/>
        </w:rPr>
        <w:t xml:space="preserve">se in </w:t>
      </w:r>
      <w:r w:rsidRPr="006F7B19">
        <w:rPr>
          <w:bCs/>
        </w:rPr>
        <w:t>the</w:t>
      </w:r>
      <w:r w:rsidR="00EF032F">
        <w:rPr>
          <w:bCs/>
        </w:rPr>
        <w:t xml:space="preserve"> 2024</w:t>
      </w:r>
      <w:r w:rsidRPr="006F7B19">
        <w:rPr>
          <w:bCs/>
        </w:rPr>
        <w:t xml:space="preserve"> Rules; and </w:t>
      </w:r>
    </w:p>
    <w:p w14:paraId="5486AF19" w14:textId="7E11230B" w:rsidR="003A4640" w:rsidRPr="006F7B19" w:rsidRDefault="003A4640" w:rsidP="002E110A">
      <w:pPr>
        <w:pStyle w:val="LI-BodyTextParaa"/>
        <w:numPr>
          <w:ilvl w:val="1"/>
          <w:numId w:val="3"/>
        </w:numPr>
        <w:rPr>
          <w:bCs/>
        </w:rPr>
      </w:pPr>
      <w:r w:rsidRPr="006F7B19">
        <w:rPr>
          <w:bCs/>
        </w:rPr>
        <w:t>by the</w:t>
      </w:r>
      <w:r w:rsidR="00CA0BF8">
        <w:rPr>
          <w:bCs/>
        </w:rPr>
        <w:t xml:space="preserve"> licensed repository</w:t>
      </w:r>
      <w:r w:rsidRPr="006F7B19">
        <w:rPr>
          <w:bCs/>
        </w:rPr>
        <w:t xml:space="preserve"> or</w:t>
      </w:r>
      <w:r w:rsidR="005C6F8D">
        <w:rPr>
          <w:bCs/>
        </w:rPr>
        <w:t xml:space="preserve"> prescribed repository</w:t>
      </w:r>
      <w:r w:rsidRPr="006F7B19">
        <w:rPr>
          <w:bCs/>
        </w:rPr>
        <w:t xml:space="preserve"> to which the information or change is reported, to the extent those format requirements are not inconsistent with any format requirements specified in </w:t>
      </w:r>
      <w:r w:rsidR="00F04DB8">
        <w:rPr>
          <w:bCs/>
        </w:rPr>
        <w:t>the 2024 Rules</w:t>
      </w:r>
      <w:r w:rsidRPr="006F7B19">
        <w:rPr>
          <w:bCs/>
        </w:rPr>
        <w:t>.</w:t>
      </w:r>
    </w:p>
    <w:p w14:paraId="4DF83A28" w14:textId="6E42A8E7" w:rsidR="003A4640" w:rsidRDefault="002A6812" w:rsidP="002E110A">
      <w:pPr>
        <w:pStyle w:val="LI-BodyTextParaa"/>
        <w:numPr>
          <w:ilvl w:val="0"/>
          <w:numId w:val="3"/>
        </w:numPr>
        <w:rPr>
          <w:bCs/>
        </w:rPr>
      </w:pPr>
      <w:r>
        <w:rPr>
          <w:bCs/>
        </w:rPr>
        <w:t>F</w:t>
      </w:r>
      <w:r w:rsidR="003A4640" w:rsidRPr="00860C41">
        <w:rPr>
          <w:bCs/>
        </w:rPr>
        <w:t xml:space="preserve">ormat requirements </w:t>
      </w:r>
      <w:r>
        <w:rPr>
          <w:bCs/>
        </w:rPr>
        <w:t>for all</w:t>
      </w:r>
      <w:r w:rsidR="0019732D">
        <w:rPr>
          <w:bCs/>
        </w:rPr>
        <w:t xml:space="preserve"> derivative transaction information</w:t>
      </w:r>
      <w:r>
        <w:rPr>
          <w:bCs/>
        </w:rPr>
        <w:t xml:space="preserve"> items </w:t>
      </w:r>
      <w:r w:rsidR="003A4640" w:rsidRPr="00860C41">
        <w:rPr>
          <w:bCs/>
        </w:rPr>
        <w:t xml:space="preserve">are specified in Schedule </w:t>
      </w:r>
      <w:r w:rsidR="008A5EF2">
        <w:rPr>
          <w:bCs/>
        </w:rPr>
        <w:t>1</w:t>
      </w:r>
      <w:r w:rsidR="008A5EF2" w:rsidRPr="00860C41">
        <w:rPr>
          <w:bCs/>
        </w:rPr>
        <w:t xml:space="preserve"> </w:t>
      </w:r>
      <w:r w:rsidR="003A4640" w:rsidRPr="00860C41">
        <w:rPr>
          <w:bCs/>
        </w:rPr>
        <w:t xml:space="preserve">of </w:t>
      </w:r>
      <w:r w:rsidR="00F04DB8">
        <w:rPr>
          <w:bCs/>
        </w:rPr>
        <w:t>the 2024 Rules</w:t>
      </w:r>
      <w:r w:rsidR="003A4640" w:rsidRPr="00860C41">
        <w:rPr>
          <w:bCs/>
        </w:rPr>
        <w:t>.</w:t>
      </w:r>
    </w:p>
    <w:p w14:paraId="6F714AF3" w14:textId="103D1A8D" w:rsidR="008A5EF2" w:rsidRDefault="00C0445D" w:rsidP="002E110A">
      <w:pPr>
        <w:pStyle w:val="LI-BodyTextParaa"/>
        <w:numPr>
          <w:ilvl w:val="0"/>
          <w:numId w:val="3"/>
        </w:numPr>
        <w:rPr>
          <w:bCs/>
        </w:rPr>
      </w:pPr>
      <w:r>
        <w:rPr>
          <w:bCs/>
        </w:rPr>
        <w:lastRenderedPageBreak/>
        <w:t xml:space="preserve">Subrule 2.2.4(2) requires that </w:t>
      </w:r>
      <w:r w:rsidR="00F65ABA">
        <w:rPr>
          <w:bCs/>
        </w:rPr>
        <w:t>a reporting entity</w:t>
      </w:r>
      <w:r>
        <w:rPr>
          <w:bCs/>
        </w:rPr>
        <w:t xml:space="preserve"> </w:t>
      </w:r>
      <w:r w:rsidR="009D74F7">
        <w:rPr>
          <w:bCs/>
        </w:rPr>
        <w:t>is required to report:</w:t>
      </w:r>
    </w:p>
    <w:p w14:paraId="5146956D" w14:textId="77777777" w:rsidR="008F6149" w:rsidRPr="008F6149" w:rsidRDefault="008F6149" w:rsidP="002E110A">
      <w:pPr>
        <w:pStyle w:val="LI-BodyTextParaa"/>
        <w:numPr>
          <w:ilvl w:val="1"/>
          <w:numId w:val="3"/>
        </w:numPr>
        <w:rPr>
          <w:bCs/>
        </w:rPr>
      </w:pPr>
      <w:r w:rsidRPr="008F6149">
        <w:rPr>
          <w:bCs/>
        </w:rPr>
        <w:t xml:space="preserve">in a machine-readable </w:t>
      </w:r>
      <w:proofErr w:type="gramStart"/>
      <w:r w:rsidRPr="008F6149">
        <w:rPr>
          <w:bCs/>
        </w:rPr>
        <w:t>form;</w:t>
      </w:r>
      <w:proofErr w:type="gramEnd"/>
    </w:p>
    <w:p w14:paraId="1BDF47D3" w14:textId="0E56A4ED" w:rsidR="008F6149" w:rsidRPr="008F6149" w:rsidRDefault="008F6149" w:rsidP="002E110A">
      <w:pPr>
        <w:pStyle w:val="LI-BodyTextParaa"/>
        <w:numPr>
          <w:ilvl w:val="1"/>
          <w:numId w:val="3"/>
        </w:numPr>
        <w:rPr>
          <w:bCs/>
        </w:rPr>
      </w:pPr>
      <w:r w:rsidRPr="008F6149">
        <w:rPr>
          <w:bCs/>
        </w:rPr>
        <w:t>in accordance with an ISO 20022 message definition whose message elements include all of the</w:t>
      </w:r>
      <w:r w:rsidR="0019732D">
        <w:rPr>
          <w:bCs/>
        </w:rPr>
        <w:t xml:space="preserve"> derivative transaction information</w:t>
      </w:r>
      <w:r w:rsidRPr="008F6149">
        <w:rPr>
          <w:bCs/>
        </w:rPr>
        <w:t xml:space="preserve"> set out in </w:t>
      </w:r>
      <w:r w:rsidR="00016316">
        <w:rPr>
          <w:bCs/>
        </w:rPr>
        <w:t xml:space="preserve">Part </w:t>
      </w:r>
      <w:r w:rsidRPr="008F6149">
        <w:rPr>
          <w:bCs/>
        </w:rPr>
        <w:t>S1.3; and</w:t>
      </w:r>
    </w:p>
    <w:p w14:paraId="5FD3193B" w14:textId="01EAF5E9" w:rsidR="008F6149" w:rsidRDefault="008F6149" w:rsidP="002E110A">
      <w:pPr>
        <w:pStyle w:val="LI-BodyTextParaa"/>
        <w:numPr>
          <w:ilvl w:val="1"/>
          <w:numId w:val="3"/>
        </w:numPr>
        <w:rPr>
          <w:bCs/>
        </w:rPr>
      </w:pPr>
      <w:r w:rsidRPr="008F6149">
        <w:rPr>
          <w:bCs/>
        </w:rPr>
        <w:t xml:space="preserve">using the XML tags specified in the ISO 20022 message definition utilised by </w:t>
      </w:r>
      <w:r w:rsidR="00F65ABA">
        <w:rPr>
          <w:bCs/>
        </w:rPr>
        <w:t>the reporting entity</w:t>
      </w:r>
      <w:r w:rsidRPr="008F6149">
        <w:rPr>
          <w:bCs/>
        </w:rPr>
        <w:t>.</w:t>
      </w:r>
    </w:p>
    <w:p w14:paraId="48B2BD9E" w14:textId="5BD05930" w:rsidR="008B3BF7" w:rsidRDefault="00852413" w:rsidP="002E110A">
      <w:pPr>
        <w:pStyle w:val="LI-BodyTextParaa"/>
        <w:numPr>
          <w:ilvl w:val="0"/>
          <w:numId w:val="3"/>
        </w:numPr>
        <w:rPr>
          <w:bCs/>
        </w:rPr>
      </w:pPr>
      <w:r>
        <w:rPr>
          <w:bCs/>
        </w:rPr>
        <w:t xml:space="preserve">There are more than 700 ISO 20022 message definitions </w:t>
      </w:r>
      <w:r w:rsidR="006350D3">
        <w:rPr>
          <w:bCs/>
        </w:rPr>
        <w:t>for a wide range of uses in financial services</w:t>
      </w:r>
      <w:r w:rsidR="00056DD9">
        <w:rPr>
          <w:bCs/>
        </w:rPr>
        <w:t xml:space="preserve">. There are particular derivative transaction </w:t>
      </w:r>
      <w:r w:rsidR="00774722">
        <w:rPr>
          <w:bCs/>
        </w:rPr>
        <w:t xml:space="preserve">reporting </w:t>
      </w:r>
      <w:r w:rsidR="00056DD9">
        <w:rPr>
          <w:bCs/>
        </w:rPr>
        <w:t xml:space="preserve">message </w:t>
      </w:r>
      <w:r w:rsidR="00774722">
        <w:rPr>
          <w:bCs/>
        </w:rPr>
        <w:t xml:space="preserve">definitions </w:t>
      </w:r>
      <w:r w:rsidR="005C3742">
        <w:rPr>
          <w:bCs/>
        </w:rPr>
        <w:t xml:space="preserve">which are maintained in versions that may </w:t>
      </w:r>
      <w:r w:rsidR="00D9338B">
        <w:rPr>
          <w:bCs/>
        </w:rPr>
        <w:t xml:space="preserve">change as new or changed </w:t>
      </w:r>
      <w:r w:rsidR="000C50D8">
        <w:rPr>
          <w:bCs/>
        </w:rPr>
        <w:t xml:space="preserve">reporting needs arise in jurisdictions that require </w:t>
      </w:r>
      <w:r w:rsidR="00574D92">
        <w:rPr>
          <w:bCs/>
        </w:rPr>
        <w:t>reporting according to an ISO 20022 message definition</w:t>
      </w:r>
      <w:r w:rsidR="00120178">
        <w:rPr>
          <w:bCs/>
        </w:rPr>
        <w:t>.</w:t>
      </w:r>
    </w:p>
    <w:p w14:paraId="6D3D12AF" w14:textId="464EEF68" w:rsidR="00E770F1" w:rsidRPr="008F6149" w:rsidRDefault="00E770F1" w:rsidP="002E110A">
      <w:pPr>
        <w:pStyle w:val="LI-BodyTextParaa"/>
        <w:numPr>
          <w:ilvl w:val="0"/>
          <w:numId w:val="3"/>
        </w:numPr>
        <w:rPr>
          <w:bCs/>
        </w:rPr>
      </w:pPr>
      <w:r>
        <w:rPr>
          <w:bCs/>
        </w:rPr>
        <w:t>Accordin</w:t>
      </w:r>
      <w:r w:rsidR="003A35B7">
        <w:rPr>
          <w:bCs/>
        </w:rPr>
        <w:t>gly, a specific ISO 20022 message definition version is not specified in subrule 2.2.4(</w:t>
      </w:r>
      <w:r w:rsidR="008B3903">
        <w:rPr>
          <w:bCs/>
        </w:rPr>
        <w:t>2).</w:t>
      </w:r>
      <w:r w:rsidR="00F65ABA">
        <w:rPr>
          <w:bCs/>
        </w:rPr>
        <w:t xml:space="preserve"> Reporting entities</w:t>
      </w:r>
      <w:r w:rsidR="008B3903">
        <w:rPr>
          <w:bCs/>
        </w:rPr>
        <w:t xml:space="preserve"> are required to use the </w:t>
      </w:r>
      <w:r w:rsidR="00420D91">
        <w:rPr>
          <w:bCs/>
        </w:rPr>
        <w:t xml:space="preserve">ISO 20022 message definition whose message elements </w:t>
      </w:r>
      <w:r w:rsidR="008C63DA">
        <w:rPr>
          <w:bCs/>
        </w:rPr>
        <w:t xml:space="preserve">include </w:t>
      </w:r>
      <w:r w:rsidR="00D34404">
        <w:t>all of the</w:t>
      </w:r>
      <w:r w:rsidR="0019732D">
        <w:t xml:space="preserve"> derivative transaction information</w:t>
      </w:r>
      <w:r w:rsidR="00D34404">
        <w:t xml:space="preserve"> set out in </w:t>
      </w:r>
      <w:r w:rsidR="004B1F68">
        <w:t xml:space="preserve">Part </w:t>
      </w:r>
      <w:r w:rsidR="00D34404" w:rsidRPr="006805DD">
        <w:t>S1.3</w:t>
      </w:r>
      <w:r w:rsidR="00C90C52">
        <w:t>. This excludes the use of an ISO 20022 message defin</w:t>
      </w:r>
      <w:r w:rsidR="005B30F7">
        <w:t>ition</w:t>
      </w:r>
      <w:r w:rsidR="004A208C">
        <w:t xml:space="preserve"> that </w:t>
      </w:r>
      <w:r w:rsidR="00C77930">
        <w:t xml:space="preserve">does not include all of the information required under </w:t>
      </w:r>
      <w:r w:rsidR="00F04DB8">
        <w:t>the 2024 Rules</w:t>
      </w:r>
      <w:r w:rsidR="00C77930">
        <w:t xml:space="preserve"> but does not preclude the use </w:t>
      </w:r>
      <w:r w:rsidR="00923774">
        <w:t xml:space="preserve">of an ISO 20022 message definition </w:t>
      </w:r>
      <w:r w:rsidR="00373560">
        <w:t xml:space="preserve">that includes message elements that are in addition to the message elements </w:t>
      </w:r>
      <w:r w:rsidR="00CC4D3C">
        <w:t xml:space="preserve">that include all of the </w:t>
      </w:r>
      <w:r w:rsidR="002D7BC3">
        <w:t xml:space="preserve">information required </w:t>
      </w:r>
      <w:r w:rsidR="00FD0C03">
        <w:t xml:space="preserve">under </w:t>
      </w:r>
      <w:r w:rsidR="00F04DB8">
        <w:t>the 2024 Rules</w:t>
      </w:r>
      <w:r w:rsidR="00FD0C03">
        <w:t xml:space="preserve">. It is expected that the latter </w:t>
      </w:r>
      <w:r w:rsidR="00F41C46">
        <w:t xml:space="preserve">scenario will continue to prevail – that is, that the </w:t>
      </w:r>
      <w:r w:rsidR="00ED65E0">
        <w:t>latest version of an ISO 20022 derivative transaction reporting message definition will have message elements</w:t>
      </w:r>
      <w:r w:rsidR="00D06DE3">
        <w:t xml:space="preserve"> covering all of the information required in multiple jurisdictions, </w:t>
      </w:r>
      <w:r w:rsidR="00A20845">
        <w:t>a subset of which will be the message elements sufficient to cover all of the</w:t>
      </w:r>
      <w:r w:rsidR="0019732D">
        <w:t xml:space="preserve"> derivative transaction information</w:t>
      </w:r>
      <w:r w:rsidR="00A20845">
        <w:t xml:space="preserve"> set out in </w:t>
      </w:r>
      <w:r w:rsidR="004B1F68">
        <w:t xml:space="preserve">Part </w:t>
      </w:r>
      <w:r w:rsidR="00A20845" w:rsidRPr="006805DD">
        <w:t>S1.3</w:t>
      </w:r>
      <w:r w:rsidR="00A20845">
        <w:t>.</w:t>
      </w:r>
    </w:p>
    <w:p w14:paraId="46DBF5D6" w14:textId="224AA727" w:rsidR="003A4640" w:rsidRPr="0026773C" w:rsidRDefault="003A4640" w:rsidP="003A4640">
      <w:pPr>
        <w:pStyle w:val="LI-BodyTextNumbered"/>
        <w:ind w:hanging="1134"/>
        <w:rPr>
          <w:u w:val="single"/>
        </w:rPr>
      </w:pPr>
      <w:r w:rsidRPr="0026773C">
        <w:rPr>
          <w:u w:val="single"/>
        </w:rPr>
        <w:t xml:space="preserve">Rule 2.2.5 – Reporting </w:t>
      </w:r>
      <w:r w:rsidR="000434B9">
        <w:rPr>
          <w:u w:val="single"/>
        </w:rPr>
        <w:t>r</w:t>
      </w:r>
      <w:r w:rsidR="000434B9" w:rsidRPr="0026773C">
        <w:rPr>
          <w:u w:val="single"/>
        </w:rPr>
        <w:t xml:space="preserve">equirement </w:t>
      </w:r>
      <w:r w:rsidRPr="0026773C">
        <w:rPr>
          <w:u w:val="single"/>
        </w:rPr>
        <w:t xml:space="preserve">– </w:t>
      </w:r>
      <w:r w:rsidR="000434B9">
        <w:rPr>
          <w:u w:val="single"/>
        </w:rPr>
        <w:t>c</w:t>
      </w:r>
      <w:r w:rsidR="000434B9" w:rsidRPr="0026773C">
        <w:rPr>
          <w:u w:val="single"/>
        </w:rPr>
        <w:t xml:space="preserve">ontinuity </w:t>
      </w:r>
      <w:r w:rsidRPr="0026773C">
        <w:rPr>
          <w:u w:val="single"/>
        </w:rPr>
        <w:t>of reporting</w:t>
      </w:r>
    </w:p>
    <w:p w14:paraId="7F72DC65" w14:textId="48D0FA03" w:rsidR="003A4640" w:rsidRPr="00F144E3" w:rsidRDefault="003A4640" w:rsidP="002E110A">
      <w:pPr>
        <w:pStyle w:val="LI-BodyTextParaa"/>
        <w:numPr>
          <w:ilvl w:val="0"/>
          <w:numId w:val="3"/>
        </w:numPr>
        <w:rPr>
          <w:bCs/>
        </w:rPr>
      </w:pPr>
      <w:r w:rsidRPr="00F144E3">
        <w:rPr>
          <w:bCs/>
        </w:rPr>
        <w:t xml:space="preserve">Subrule 2.2.5(1) provides that, subject to subrule 2.2.5(2), </w:t>
      </w:r>
      <w:r w:rsidR="00F65ABA">
        <w:rPr>
          <w:bCs/>
        </w:rPr>
        <w:t>a reporting entity</w:t>
      </w:r>
      <w:r w:rsidRPr="00F144E3">
        <w:rPr>
          <w:bCs/>
        </w:rPr>
        <w:t xml:space="preserve"> that reports to a</w:t>
      </w:r>
      <w:r w:rsidR="00023A28">
        <w:rPr>
          <w:bCs/>
        </w:rPr>
        <w:t xml:space="preserve"> derivative trade repository</w:t>
      </w:r>
      <w:r w:rsidRPr="00F144E3">
        <w:rPr>
          <w:bCs/>
        </w:rPr>
        <w:t xml:space="preserve"> (in Rule 2.2.5, the </w:t>
      </w:r>
      <w:r w:rsidRPr="00206DDF">
        <w:rPr>
          <w:b/>
          <w:i/>
          <w:iCs/>
        </w:rPr>
        <w:t>Original Trade Repository</w:t>
      </w:r>
      <w:r w:rsidRPr="00F144E3">
        <w:rPr>
          <w:bCs/>
        </w:rPr>
        <w:t>):</w:t>
      </w:r>
    </w:p>
    <w:p w14:paraId="747DFDBB" w14:textId="655D6653" w:rsidR="003A4640" w:rsidRPr="00F144E3" w:rsidRDefault="003A4640" w:rsidP="002E110A">
      <w:pPr>
        <w:pStyle w:val="LI-BodyTextParaa"/>
        <w:numPr>
          <w:ilvl w:val="1"/>
          <w:numId w:val="3"/>
        </w:numPr>
        <w:rPr>
          <w:bCs/>
        </w:rPr>
      </w:pPr>
      <w:r w:rsidRPr="00F144E3">
        <w:rPr>
          <w:bCs/>
        </w:rPr>
        <w:t>information about a</w:t>
      </w:r>
      <w:r w:rsidR="00D161C5">
        <w:rPr>
          <w:bCs/>
        </w:rPr>
        <w:t xml:space="preserve"> reportable transaction</w:t>
      </w:r>
      <w:r w:rsidRPr="00F144E3">
        <w:rPr>
          <w:bCs/>
        </w:rPr>
        <w:t xml:space="preserve"> in an</w:t>
      </w:r>
      <w:r w:rsidR="00A171F2">
        <w:rPr>
          <w:bCs/>
        </w:rPr>
        <w:t xml:space="preserve"> OTC derivative</w:t>
      </w:r>
      <w:r w:rsidRPr="00F144E3">
        <w:rPr>
          <w:bCs/>
        </w:rPr>
        <w:t>, in accordance with subrule 2.2.1(1); or</w:t>
      </w:r>
    </w:p>
    <w:p w14:paraId="207BF6A2" w14:textId="5DFD21D8" w:rsidR="003A4640" w:rsidRPr="003C1D08" w:rsidRDefault="003A4640" w:rsidP="002E110A">
      <w:pPr>
        <w:pStyle w:val="LI-BodyTextParaa"/>
        <w:numPr>
          <w:ilvl w:val="1"/>
          <w:numId w:val="3"/>
        </w:numPr>
        <w:rPr>
          <w:bCs/>
        </w:rPr>
      </w:pPr>
      <w:r w:rsidRPr="003C1D08">
        <w:rPr>
          <w:bCs/>
        </w:rPr>
        <w:t>a change to information about a</w:t>
      </w:r>
      <w:r w:rsidR="00D161C5">
        <w:rPr>
          <w:bCs/>
        </w:rPr>
        <w:t xml:space="preserve"> reportable transaction</w:t>
      </w:r>
      <w:r w:rsidRPr="003C1D08">
        <w:rPr>
          <w:bCs/>
        </w:rPr>
        <w:t xml:space="preserve"> in an</w:t>
      </w:r>
      <w:r w:rsidR="00A171F2">
        <w:rPr>
          <w:bCs/>
        </w:rPr>
        <w:t xml:space="preserve"> OTC derivative</w:t>
      </w:r>
      <w:r w:rsidRPr="003C1D08">
        <w:rPr>
          <w:bCs/>
        </w:rPr>
        <w:t>, in accordance with subrule 2.2.2(1),</w:t>
      </w:r>
    </w:p>
    <w:p w14:paraId="4EB15687" w14:textId="7137E673" w:rsidR="003A4640" w:rsidRPr="003C1D08" w:rsidRDefault="003A4640" w:rsidP="003A4640">
      <w:pPr>
        <w:pStyle w:val="LI-BodyTextParaa"/>
        <w:ind w:left="567" w:firstLine="0"/>
        <w:rPr>
          <w:bCs/>
        </w:rPr>
      </w:pPr>
      <w:r w:rsidRPr="003C1D08">
        <w:rPr>
          <w:bCs/>
        </w:rPr>
        <w:t>must take all reasonable steps to ensure that it reports further information or changes that relate to the same</w:t>
      </w:r>
      <w:r w:rsidR="00A171F2">
        <w:rPr>
          <w:bCs/>
        </w:rPr>
        <w:t xml:space="preserve"> OTC derivative</w:t>
      </w:r>
      <w:r w:rsidRPr="003C1D08">
        <w:rPr>
          <w:bCs/>
        </w:rPr>
        <w:t>, to the Original Trade Repository.</w:t>
      </w:r>
    </w:p>
    <w:p w14:paraId="0451634C" w14:textId="35F5F34C" w:rsidR="003A4640" w:rsidRPr="0080256E" w:rsidRDefault="003A4640" w:rsidP="002E110A">
      <w:pPr>
        <w:pStyle w:val="LI-BodyTextParaa"/>
        <w:numPr>
          <w:ilvl w:val="0"/>
          <w:numId w:val="3"/>
        </w:numPr>
        <w:rPr>
          <w:bCs/>
        </w:rPr>
      </w:pPr>
      <w:r w:rsidRPr="0080256E">
        <w:rPr>
          <w:bCs/>
        </w:rPr>
        <w:t xml:space="preserve">Subrule 2.2.5(2) provides if </w:t>
      </w:r>
      <w:r w:rsidR="00F65ABA">
        <w:rPr>
          <w:bCs/>
        </w:rPr>
        <w:t>the reporting entity</w:t>
      </w:r>
      <w:r w:rsidRPr="0080256E">
        <w:rPr>
          <w:bCs/>
        </w:rPr>
        <w:t xml:space="preserve"> or the person that reports on its behalf is no longer a participant of the Original Trade </w:t>
      </w:r>
      <w:proofErr w:type="gramStart"/>
      <w:r w:rsidRPr="0080256E">
        <w:rPr>
          <w:bCs/>
        </w:rPr>
        <w:t>Repository, or</w:t>
      </w:r>
      <w:proofErr w:type="gramEnd"/>
      <w:r w:rsidRPr="0080256E">
        <w:rPr>
          <w:bCs/>
        </w:rPr>
        <w:t xml:space="preserve"> is no longer able to comply with subrule 2.2.1(1) or 2.2.2(1) by reporting the information to the Original Trade Repository, the information must be reported </w:t>
      </w:r>
      <w:r w:rsidRPr="0080256E">
        <w:rPr>
          <w:bCs/>
        </w:rPr>
        <w:lastRenderedPageBreak/>
        <w:t>to another</w:t>
      </w:r>
      <w:r w:rsidR="00CA0BF8">
        <w:rPr>
          <w:bCs/>
        </w:rPr>
        <w:t xml:space="preserve"> licensed repository</w:t>
      </w:r>
      <w:r w:rsidRPr="0080256E">
        <w:rPr>
          <w:bCs/>
        </w:rPr>
        <w:t xml:space="preserve"> or</w:t>
      </w:r>
      <w:r w:rsidR="005C6F8D">
        <w:rPr>
          <w:bCs/>
        </w:rPr>
        <w:t xml:space="preserve"> prescribed repository</w:t>
      </w:r>
      <w:r w:rsidRPr="0080256E">
        <w:rPr>
          <w:bCs/>
        </w:rPr>
        <w:t xml:space="preserve"> in accordance with the requirements of Part 2.2.</w:t>
      </w:r>
    </w:p>
    <w:p w14:paraId="415AFD74" w14:textId="49AC71CD" w:rsidR="003A4640" w:rsidRPr="0026773C" w:rsidRDefault="003A4640" w:rsidP="003A4640">
      <w:pPr>
        <w:pStyle w:val="LI-BodyTextNumbered"/>
        <w:ind w:hanging="1134"/>
        <w:rPr>
          <w:u w:val="single"/>
        </w:rPr>
      </w:pPr>
      <w:r w:rsidRPr="0026773C">
        <w:rPr>
          <w:u w:val="single"/>
        </w:rPr>
        <w:t xml:space="preserve">Rule 2.2.6 Reporting </w:t>
      </w:r>
      <w:r w:rsidR="0014449B">
        <w:rPr>
          <w:u w:val="single"/>
        </w:rPr>
        <w:t>r</w:t>
      </w:r>
      <w:r w:rsidR="0014449B" w:rsidRPr="0026773C">
        <w:rPr>
          <w:u w:val="single"/>
        </w:rPr>
        <w:t>equirement</w:t>
      </w:r>
      <w:r w:rsidRPr="0026773C">
        <w:rPr>
          <w:u w:val="single"/>
        </w:rPr>
        <w:t>—</w:t>
      </w:r>
      <w:r w:rsidR="0014449B">
        <w:rPr>
          <w:u w:val="single"/>
        </w:rPr>
        <w:t>a</w:t>
      </w:r>
      <w:r w:rsidR="0014449B" w:rsidRPr="0026773C">
        <w:rPr>
          <w:u w:val="single"/>
        </w:rPr>
        <w:t xml:space="preserve">ccuracy </w:t>
      </w:r>
      <w:r w:rsidRPr="0026773C">
        <w:rPr>
          <w:u w:val="single"/>
        </w:rPr>
        <w:t>of reporting</w:t>
      </w:r>
    </w:p>
    <w:p w14:paraId="5ABA1060" w14:textId="7C7768E8" w:rsidR="003A4640" w:rsidRPr="002606D6" w:rsidRDefault="003A4640" w:rsidP="002E110A">
      <w:pPr>
        <w:pStyle w:val="LI-BodyTextParaa"/>
        <w:numPr>
          <w:ilvl w:val="0"/>
          <w:numId w:val="3"/>
        </w:numPr>
        <w:rPr>
          <w:bCs/>
        </w:rPr>
      </w:pPr>
      <w:r w:rsidRPr="002606D6">
        <w:rPr>
          <w:bCs/>
        </w:rPr>
        <w:t xml:space="preserve">Rule 2.2.6 provides that </w:t>
      </w:r>
      <w:r w:rsidR="00F65ABA">
        <w:rPr>
          <w:bCs/>
        </w:rPr>
        <w:t>a reporting entity</w:t>
      </w:r>
      <w:r w:rsidRPr="002606D6">
        <w:rPr>
          <w:bCs/>
        </w:rPr>
        <w:t xml:space="preserve"> must take all reasonable steps to ensure that information reported under subrule 2.2.1(1) and any change to that information reported under subrule 2.2.2(1), whether reported by </w:t>
      </w:r>
      <w:r w:rsidR="00F65ABA">
        <w:rPr>
          <w:bCs/>
        </w:rPr>
        <w:t>the reporting entity</w:t>
      </w:r>
      <w:r w:rsidRPr="002606D6">
        <w:rPr>
          <w:bCs/>
        </w:rPr>
        <w:t xml:space="preserve"> or on its own behalf of by another person on behalf of </w:t>
      </w:r>
      <w:r w:rsidR="00F65ABA">
        <w:rPr>
          <w:bCs/>
        </w:rPr>
        <w:t>the reporting entity</w:t>
      </w:r>
      <w:r w:rsidRPr="002606D6">
        <w:rPr>
          <w:bCs/>
        </w:rPr>
        <w:t>, is and remains at all times complete, accurate and current.</w:t>
      </w:r>
    </w:p>
    <w:p w14:paraId="2F13066C" w14:textId="53083156" w:rsidR="003A4640" w:rsidRPr="002606D6" w:rsidRDefault="003A4640" w:rsidP="002E110A">
      <w:pPr>
        <w:pStyle w:val="LI-BodyTextParaa"/>
        <w:numPr>
          <w:ilvl w:val="0"/>
          <w:numId w:val="3"/>
        </w:numPr>
        <w:rPr>
          <w:bCs/>
        </w:rPr>
      </w:pPr>
      <w:r w:rsidRPr="002606D6">
        <w:rPr>
          <w:bCs/>
        </w:rPr>
        <w:t xml:space="preserve">It is noted that under paragraph 2.3.1(3)(b) of the ASIC Derivative Trade Repository Rules 2013, the </w:t>
      </w:r>
      <w:r w:rsidR="00A77841">
        <w:rPr>
          <w:bCs/>
        </w:rPr>
        <w:t>o</w:t>
      </w:r>
      <w:r w:rsidR="00A77841" w:rsidRPr="002606D6">
        <w:rPr>
          <w:bCs/>
        </w:rPr>
        <w:t xml:space="preserve">perator </w:t>
      </w:r>
      <w:r w:rsidRPr="002606D6">
        <w:rPr>
          <w:bCs/>
        </w:rPr>
        <w:t>of a</w:t>
      </w:r>
      <w:r w:rsidR="00CA0BF8">
        <w:rPr>
          <w:bCs/>
        </w:rPr>
        <w:t xml:space="preserve"> licensed repository</w:t>
      </w:r>
      <w:r w:rsidRPr="002606D6">
        <w:rPr>
          <w:bCs/>
        </w:rPr>
        <w:t xml:space="preserve"> will be required to establish, </w:t>
      </w:r>
      <w:proofErr w:type="gramStart"/>
      <w:r w:rsidRPr="002606D6">
        <w:rPr>
          <w:bCs/>
        </w:rPr>
        <w:t>implement</w:t>
      </w:r>
      <w:proofErr w:type="gramEnd"/>
      <w:r w:rsidRPr="002606D6">
        <w:rPr>
          <w:bCs/>
        </w:rPr>
        <w:t xml:space="preserve"> and maintain policies, procedures, systems and controls designed to provide reasonable assurance that </w:t>
      </w:r>
      <w:r w:rsidR="008F2522">
        <w:rPr>
          <w:bCs/>
        </w:rPr>
        <w:t>d</w:t>
      </w:r>
      <w:r w:rsidR="008F2522" w:rsidRPr="002606D6">
        <w:rPr>
          <w:bCs/>
        </w:rPr>
        <w:t xml:space="preserve">erivative </w:t>
      </w:r>
      <w:r w:rsidR="008F2522">
        <w:rPr>
          <w:bCs/>
        </w:rPr>
        <w:t>t</w:t>
      </w:r>
      <w:r w:rsidR="008F2522" w:rsidRPr="002606D6">
        <w:rPr>
          <w:bCs/>
        </w:rPr>
        <w:t xml:space="preserve">rade </w:t>
      </w:r>
      <w:r w:rsidR="008F2522">
        <w:rPr>
          <w:bCs/>
        </w:rPr>
        <w:t>d</w:t>
      </w:r>
      <w:r w:rsidR="008F2522" w:rsidRPr="002606D6">
        <w:rPr>
          <w:bCs/>
        </w:rPr>
        <w:t xml:space="preserve">ata </w:t>
      </w:r>
      <w:r w:rsidRPr="002606D6">
        <w:rPr>
          <w:bCs/>
        </w:rPr>
        <w:t>reported to the</w:t>
      </w:r>
      <w:r w:rsidR="00CA0BF8">
        <w:rPr>
          <w:bCs/>
        </w:rPr>
        <w:t xml:space="preserve"> licensed repository</w:t>
      </w:r>
      <w:r w:rsidRPr="002606D6">
        <w:rPr>
          <w:bCs/>
        </w:rPr>
        <w:t xml:space="preserve"> by </w:t>
      </w:r>
      <w:r w:rsidR="009B1A56">
        <w:rPr>
          <w:bCs/>
        </w:rPr>
        <w:t>p</w:t>
      </w:r>
      <w:r w:rsidRPr="002606D6">
        <w:rPr>
          <w:bCs/>
        </w:rPr>
        <w:t xml:space="preserve">articipants generally is and remains at all times complete, accurate and current. </w:t>
      </w:r>
    </w:p>
    <w:p w14:paraId="07EA2505" w14:textId="05BD1DA6" w:rsidR="003A4640" w:rsidRDefault="003A4640" w:rsidP="002E110A">
      <w:pPr>
        <w:pStyle w:val="LI-BodyTextParaa"/>
        <w:numPr>
          <w:ilvl w:val="0"/>
          <w:numId w:val="3"/>
        </w:numPr>
        <w:rPr>
          <w:bCs/>
        </w:rPr>
      </w:pPr>
      <w:r w:rsidRPr="002606D6">
        <w:rPr>
          <w:bCs/>
        </w:rPr>
        <w:t xml:space="preserve">The </w:t>
      </w:r>
      <w:r w:rsidR="00F65ABA">
        <w:rPr>
          <w:bCs/>
        </w:rPr>
        <w:t>r</w:t>
      </w:r>
      <w:r w:rsidR="00F65ABA" w:rsidRPr="002606D6">
        <w:rPr>
          <w:bCs/>
        </w:rPr>
        <w:t xml:space="preserve">eporting </w:t>
      </w:r>
      <w:r w:rsidR="00F65ABA">
        <w:rPr>
          <w:bCs/>
        </w:rPr>
        <w:t>e</w:t>
      </w:r>
      <w:r w:rsidR="00F65ABA" w:rsidRPr="002606D6">
        <w:rPr>
          <w:bCs/>
        </w:rPr>
        <w:t xml:space="preserve">ntity </w:t>
      </w:r>
      <w:r w:rsidRPr="002606D6">
        <w:rPr>
          <w:bCs/>
        </w:rPr>
        <w:t xml:space="preserve">retains primary responsibility under Rule 2.2.6 for the completeness, accuracy and currency of the information reported, regardless of whether </w:t>
      </w:r>
      <w:r w:rsidR="00F65ABA">
        <w:rPr>
          <w:bCs/>
        </w:rPr>
        <w:t>the reporting entity</w:t>
      </w:r>
      <w:r w:rsidRPr="002606D6">
        <w:rPr>
          <w:bCs/>
        </w:rPr>
        <w:t xml:space="preserve"> reports through another person and regardless of the policies, procedures, systems and controls the </w:t>
      </w:r>
      <w:r w:rsidR="008F2522">
        <w:rPr>
          <w:bCs/>
        </w:rPr>
        <w:t>o</w:t>
      </w:r>
      <w:r w:rsidR="008F2522" w:rsidRPr="002606D6">
        <w:rPr>
          <w:bCs/>
        </w:rPr>
        <w:t xml:space="preserve">perator </w:t>
      </w:r>
      <w:r w:rsidRPr="002606D6">
        <w:rPr>
          <w:bCs/>
        </w:rPr>
        <w:t>of the</w:t>
      </w:r>
      <w:r w:rsidR="00CA0BF8">
        <w:rPr>
          <w:bCs/>
        </w:rPr>
        <w:t xml:space="preserve"> licensed repository</w:t>
      </w:r>
      <w:r w:rsidRPr="002606D6">
        <w:rPr>
          <w:bCs/>
        </w:rPr>
        <w:t xml:space="preserve"> puts in place to comply with paragraph 2.3.1(3)(b) of the ASIC Derivative Trade Repository Rules 2013.</w:t>
      </w:r>
    </w:p>
    <w:p w14:paraId="1D462225" w14:textId="71755C4A" w:rsidR="003A4640" w:rsidRPr="00E620EA" w:rsidRDefault="003A4640" w:rsidP="003A4640">
      <w:pPr>
        <w:pStyle w:val="LI-BodyTextNumbered"/>
        <w:ind w:hanging="1134"/>
        <w:rPr>
          <w:u w:val="single"/>
        </w:rPr>
      </w:pPr>
      <w:r w:rsidRPr="00E620EA">
        <w:rPr>
          <w:u w:val="single"/>
        </w:rPr>
        <w:t xml:space="preserve">Rule 2.2.7 Derivative </w:t>
      </w:r>
      <w:r w:rsidR="001701B5">
        <w:rPr>
          <w:u w:val="single"/>
        </w:rPr>
        <w:t>t</w:t>
      </w:r>
      <w:r w:rsidR="001701B5" w:rsidRPr="00E620EA">
        <w:rPr>
          <w:u w:val="single"/>
        </w:rPr>
        <w:t xml:space="preserve">ransaction </w:t>
      </w:r>
      <w:r w:rsidR="001701B5">
        <w:rPr>
          <w:u w:val="single"/>
        </w:rPr>
        <w:t>i</w:t>
      </w:r>
      <w:r w:rsidR="001701B5" w:rsidRPr="00E620EA">
        <w:rPr>
          <w:u w:val="single"/>
        </w:rPr>
        <w:t>nformation</w:t>
      </w:r>
      <w:r w:rsidRPr="00E620EA">
        <w:rPr>
          <w:u w:val="single"/>
        </w:rPr>
        <w:t>—</w:t>
      </w:r>
      <w:r w:rsidR="001701B5">
        <w:rPr>
          <w:u w:val="single"/>
        </w:rPr>
        <w:t>d</w:t>
      </w:r>
      <w:r w:rsidR="001701B5" w:rsidRPr="00E620EA">
        <w:rPr>
          <w:u w:val="single"/>
        </w:rPr>
        <w:t xml:space="preserve">elegation </w:t>
      </w:r>
      <w:r w:rsidRPr="00E620EA">
        <w:rPr>
          <w:u w:val="single"/>
        </w:rPr>
        <w:t>of reporting</w:t>
      </w:r>
    </w:p>
    <w:p w14:paraId="2698A61B" w14:textId="4253DC0F" w:rsidR="003A4640" w:rsidRPr="00612752" w:rsidRDefault="003A4640" w:rsidP="002E110A">
      <w:pPr>
        <w:pStyle w:val="LI-BodyTextParaa"/>
        <w:numPr>
          <w:ilvl w:val="0"/>
          <w:numId w:val="3"/>
        </w:numPr>
        <w:rPr>
          <w:bCs/>
        </w:rPr>
      </w:pPr>
      <w:r w:rsidRPr="002C2B9A">
        <w:rPr>
          <w:bCs/>
        </w:rPr>
        <w:t xml:space="preserve">Rule 2.2.7 provides that </w:t>
      </w:r>
      <w:r w:rsidR="00F65ABA">
        <w:rPr>
          <w:bCs/>
        </w:rPr>
        <w:t>a reporting entity</w:t>
      </w:r>
      <w:r w:rsidRPr="002C2B9A">
        <w:rPr>
          <w:bCs/>
        </w:rPr>
        <w:t xml:space="preserve"> may appoint one or more persons </w:t>
      </w:r>
      <w:r>
        <w:rPr>
          <w:bCs/>
        </w:rPr>
        <w:t xml:space="preserve">(referred to in </w:t>
      </w:r>
      <w:r w:rsidR="00F04DB8">
        <w:rPr>
          <w:bCs/>
        </w:rPr>
        <w:t>the 2024 Rules</w:t>
      </w:r>
      <w:r>
        <w:rPr>
          <w:bCs/>
        </w:rPr>
        <w:t xml:space="preserve"> as each a </w:t>
      </w:r>
      <w:r w:rsidR="00F4116A">
        <w:rPr>
          <w:bCs/>
        </w:rPr>
        <w:t>“</w:t>
      </w:r>
      <w:r w:rsidR="00C40D6F" w:rsidRPr="00C40D6F">
        <w:rPr>
          <w:bCs/>
        </w:rPr>
        <w:t>d</w:t>
      </w:r>
      <w:r w:rsidRPr="00C40D6F">
        <w:rPr>
          <w:bCs/>
        </w:rPr>
        <w:t>elegate</w:t>
      </w:r>
      <w:r w:rsidR="00C40D6F">
        <w:rPr>
          <w:bCs/>
        </w:rPr>
        <w:t>”</w:t>
      </w:r>
      <w:r>
        <w:rPr>
          <w:bCs/>
        </w:rPr>
        <w:t xml:space="preserve">) </w:t>
      </w:r>
      <w:r w:rsidRPr="002C2B9A">
        <w:rPr>
          <w:bCs/>
        </w:rPr>
        <w:t>to report on behalf</w:t>
      </w:r>
      <w:r>
        <w:rPr>
          <w:bCs/>
        </w:rPr>
        <w:t xml:space="preserve"> of </w:t>
      </w:r>
      <w:r w:rsidR="00F65ABA">
        <w:rPr>
          <w:bCs/>
        </w:rPr>
        <w:t>the reporting entity</w:t>
      </w:r>
      <w:r w:rsidR="00997B45">
        <w:rPr>
          <w:bCs/>
        </w:rPr>
        <w:t xml:space="preserve"> </w:t>
      </w:r>
      <w:r>
        <w:rPr>
          <w:bCs/>
        </w:rPr>
        <w:t>in accordance with</w:t>
      </w:r>
      <w:r w:rsidRPr="002C2B9A">
        <w:rPr>
          <w:bCs/>
        </w:rPr>
        <w:t xml:space="preserve"> </w:t>
      </w:r>
      <w:r>
        <w:rPr>
          <w:bCs/>
        </w:rPr>
        <w:t>R</w:t>
      </w:r>
      <w:r w:rsidRPr="002C2B9A">
        <w:rPr>
          <w:bCs/>
        </w:rPr>
        <w:t>ule</w:t>
      </w:r>
      <w:r>
        <w:rPr>
          <w:bCs/>
        </w:rPr>
        <w:t>s</w:t>
      </w:r>
      <w:r w:rsidRPr="002C2B9A">
        <w:rPr>
          <w:bCs/>
        </w:rPr>
        <w:t xml:space="preserve"> 2.2.1</w:t>
      </w:r>
      <w:r>
        <w:rPr>
          <w:bCs/>
        </w:rPr>
        <w:t xml:space="preserve"> to 2.2.5 and 2.2.8.</w:t>
      </w:r>
    </w:p>
    <w:p w14:paraId="49292A48" w14:textId="66EBCA97" w:rsidR="003A4640" w:rsidRDefault="00C75A8D" w:rsidP="002E110A">
      <w:pPr>
        <w:pStyle w:val="LI-BodyTextParaa"/>
        <w:numPr>
          <w:ilvl w:val="0"/>
          <w:numId w:val="3"/>
        </w:numPr>
        <w:rPr>
          <w:bCs/>
        </w:rPr>
      </w:pPr>
      <w:r>
        <w:rPr>
          <w:bCs/>
        </w:rPr>
        <w:t xml:space="preserve">The </w:t>
      </w:r>
      <w:r w:rsidR="004B0997">
        <w:rPr>
          <w:bCs/>
        </w:rPr>
        <w:t xml:space="preserve">note </w:t>
      </w:r>
      <w:r w:rsidR="003A4640">
        <w:rPr>
          <w:bCs/>
        </w:rPr>
        <w:t xml:space="preserve">to Rule 2.2.7 notes by way of example that </w:t>
      </w:r>
      <w:r w:rsidR="00F65ABA">
        <w:rPr>
          <w:bCs/>
        </w:rPr>
        <w:t>the reporting entity</w:t>
      </w:r>
      <w:r w:rsidR="003A4640" w:rsidRPr="002C2B9A">
        <w:rPr>
          <w:bCs/>
        </w:rPr>
        <w:t xml:space="preserve"> may appoint</w:t>
      </w:r>
      <w:r w:rsidR="003A4640">
        <w:rPr>
          <w:bCs/>
        </w:rPr>
        <w:t xml:space="preserve"> as</w:t>
      </w:r>
      <w:r w:rsidR="00C0408C">
        <w:rPr>
          <w:bCs/>
        </w:rPr>
        <w:t xml:space="preserve"> </w:t>
      </w:r>
      <w:r w:rsidR="003A4640">
        <w:rPr>
          <w:bCs/>
        </w:rPr>
        <w:t>a delegate</w:t>
      </w:r>
      <w:r w:rsidR="003A4640" w:rsidRPr="002C2B9A">
        <w:rPr>
          <w:bCs/>
        </w:rPr>
        <w:t xml:space="preserve"> a counterparty of </w:t>
      </w:r>
      <w:r w:rsidR="00F65ABA">
        <w:rPr>
          <w:bCs/>
        </w:rPr>
        <w:t>the reporting entity</w:t>
      </w:r>
      <w:r w:rsidR="003A4640" w:rsidRPr="002C2B9A">
        <w:rPr>
          <w:bCs/>
        </w:rPr>
        <w:t xml:space="preserve">, a central counterparty, </w:t>
      </w:r>
      <w:r w:rsidR="009F13AE">
        <w:rPr>
          <w:bCs/>
        </w:rPr>
        <w:t>an operator of a financial market</w:t>
      </w:r>
      <w:r w:rsidR="003A4640" w:rsidRPr="002C2B9A">
        <w:rPr>
          <w:bCs/>
        </w:rPr>
        <w:t>, a service provider, a broker or any other third party.</w:t>
      </w:r>
    </w:p>
    <w:p w14:paraId="4EEC2026" w14:textId="77777777" w:rsidR="003A4640" w:rsidRPr="006F0DDC" w:rsidRDefault="003A4640" w:rsidP="003A4640">
      <w:pPr>
        <w:pStyle w:val="LI-BodyTextNumbered"/>
        <w:ind w:left="0" w:firstLine="0"/>
        <w:rPr>
          <w:u w:val="single"/>
        </w:rPr>
      </w:pPr>
      <w:r>
        <w:rPr>
          <w:u w:val="single"/>
        </w:rPr>
        <w:t xml:space="preserve">Rule 2.2.8 </w:t>
      </w:r>
      <w:r w:rsidRPr="0026773C">
        <w:rPr>
          <w:u w:val="single"/>
        </w:rPr>
        <w:t>–</w:t>
      </w:r>
      <w:r>
        <w:rPr>
          <w:u w:val="single"/>
        </w:rPr>
        <w:t xml:space="preserve"> </w:t>
      </w:r>
      <w:r w:rsidRPr="006F0DDC">
        <w:rPr>
          <w:u w:val="single"/>
        </w:rPr>
        <w:t>Lifecycle or snapshot reporting</w:t>
      </w:r>
    </w:p>
    <w:p w14:paraId="7F379772" w14:textId="7A09C36D" w:rsidR="00BC09DE" w:rsidRPr="00CE781E" w:rsidRDefault="00BC09DE" w:rsidP="00BC09DE">
      <w:pPr>
        <w:pStyle w:val="LI-BodyTextParaa"/>
        <w:numPr>
          <w:ilvl w:val="0"/>
          <w:numId w:val="3"/>
        </w:numPr>
        <w:rPr>
          <w:bCs/>
        </w:rPr>
      </w:pPr>
      <w:r w:rsidRPr="00CE781E">
        <w:rPr>
          <w:bCs/>
        </w:rPr>
        <w:t xml:space="preserve">The reporting of all derivative transactions in an OTC derivative, including intra-day modifications of an OTC derivative, is commonly referred to as </w:t>
      </w:r>
      <w:r w:rsidR="00BC6DC9">
        <w:rPr>
          <w:bCs/>
        </w:rPr>
        <w:t>“</w:t>
      </w:r>
      <w:r w:rsidRPr="00CE781E">
        <w:rPr>
          <w:bCs/>
        </w:rPr>
        <w:t>lifecycle reporting</w:t>
      </w:r>
      <w:r w:rsidR="00BC6DC9">
        <w:rPr>
          <w:bCs/>
        </w:rPr>
        <w:t>”</w:t>
      </w:r>
      <w:r w:rsidRPr="00CE781E">
        <w:rPr>
          <w:bCs/>
        </w:rPr>
        <w:t xml:space="preserve">. </w:t>
      </w:r>
      <w:r w:rsidR="00BC6DC9">
        <w:rPr>
          <w:bCs/>
        </w:rPr>
        <w:t>“</w:t>
      </w:r>
      <w:r w:rsidRPr="00CE781E">
        <w:rPr>
          <w:bCs/>
        </w:rPr>
        <w:t>Snapshot reporting</w:t>
      </w:r>
      <w:r>
        <w:rPr>
          <w:bCs/>
        </w:rPr>
        <w:t>”</w:t>
      </w:r>
      <w:r w:rsidRPr="00CE781E">
        <w:rPr>
          <w:bCs/>
        </w:rPr>
        <w:t xml:space="preserve"> is a form of reporting whereby reporting entities report positions as of each business day.</w:t>
      </w:r>
    </w:p>
    <w:p w14:paraId="7FFB6B11" w14:textId="1E1C33D6" w:rsidR="005B70AB" w:rsidRPr="005B70AB" w:rsidRDefault="00976C0C" w:rsidP="002E110A">
      <w:pPr>
        <w:pStyle w:val="LI-BodyTextParaa"/>
        <w:numPr>
          <w:ilvl w:val="0"/>
          <w:numId w:val="3"/>
        </w:numPr>
        <w:rPr>
          <w:bCs/>
        </w:rPr>
      </w:pPr>
      <w:r>
        <w:rPr>
          <w:bCs/>
        </w:rPr>
        <w:t xml:space="preserve">Subrule 2.2.8(1) </w:t>
      </w:r>
      <w:r w:rsidR="008647B7">
        <w:rPr>
          <w:bCs/>
        </w:rPr>
        <w:t xml:space="preserve">provides that </w:t>
      </w:r>
      <w:r w:rsidR="00F65ABA">
        <w:rPr>
          <w:bCs/>
        </w:rPr>
        <w:t>a reporting entity</w:t>
      </w:r>
      <w:r w:rsidR="00BA3743">
        <w:rPr>
          <w:bCs/>
        </w:rPr>
        <w:t xml:space="preserve"> that is not a </w:t>
      </w:r>
      <w:r w:rsidR="00BC6DC9">
        <w:rPr>
          <w:bCs/>
        </w:rPr>
        <w:t>s</w:t>
      </w:r>
      <w:r w:rsidR="00FA1877">
        <w:rPr>
          <w:bCs/>
        </w:rPr>
        <w:t xml:space="preserve">mall-scale </w:t>
      </w:r>
      <w:r w:rsidR="00BC6DC9">
        <w:rPr>
          <w:bCs/>
        </w:rPr>
        <w:t>b</w:t>
      </w:r>
      <w:r w:rsidR="00490047">
        <w:rPr>
          <w:bCs/>
        </w:rPr>
        <w:t xml:space="preserve">uy-side </w:t>
      </w:r>
      <w:r w:rsidR="00BC6DC9">
        <w:rPr>
          <w:bCs/>
        </w:rPr>
        <w:t>e</w:t>
      </w:r>
      <w:r w:rsidR="00490047">
        <w:rPr>
          <w:bCs/>
        </w:rPr>
        <w:t xml:space="preserve">ntity </w:t>
      </w:r>
      <w:r w:rsidR="005E0541">
        <w:rPr>
          <w:bCs/>
        </w:rPr>
        <w:t>must report</w:t>
      </w:r>
      <w:r w:rsidR="001701B5">
        <w:rPr>
          <w:bCs/>
        </w:rPr>
        <w:t xml:space="preserve"> derivative transaction information</w:t>
      </w:r>
      <w:r w:rsidR="00071F5E" w:rsidRPr="00FA14E1">
        <w:t xml:space="preserve"> for each</w:t>
      </w:r>
      <w:r w:rsidR="00D161C5">
        <w:t xml:space="preserve"> reportable transaction</w:t>
      </w:r>
      <w:r w:rsidR="00071F5E" w:rsidRPr="00FA14E1">
        <w:t xml:space="preserve"> in </w:t>
      </w:r>
      <w:r w:rsidR="00071F5E" w:rsidRPr="00163F4C">
        <w:t>an</w:t>
      </w:r>
      <w:r w:rsidR="003E43F4">
        <w:t xml:space="preserve"> OTC derivative</w:t>
      </w:r>
      <w:r w:rsidR="00071F5E" w:rsidRPr="00163F4C">
        <w:t xml:space="preserve"> that takes place on a </w:t>
      </w:r>
      <w:r w:rsidR="00071F5E">
        <w:t xml:space="preserve">day, in accordance with </w:t>
      </w:r>
      <w:r w:rsidR="00F04DB8">
        <w:t>the 2024 Rules</w:t>
      </w:r>
      <w:r w:rsidR="006F40A4">
        <w:t xml:space="preserve"> (</w:t>
      </w:r>
      <w:proofErr w:type="gramStart"/>
      <w:r w:rsidR="006F40A4">
        <w:t>i.e</w:t>
      </w:r>
      <w:r w:rsidR="00071F5E">
        <w:t>.</w:t>
      </w:r>
      <w:proofErr w:type="gramEnd"/>
      <w:r w:rsidR="000931FD">
        <w:t xml:space="preserve"> </w:t>
      </w:r>
      <w:r w:rsidR="00BC37A3">
        <w:t>as lifecycle reporting).</w:t>
      </w:r>
    </w:p>
    <w:p w14:paraId="48402F9B" w14:textId="06355D70" w:rsidR="00976C0C" w:rsidRDefault="006563BF" w:rsidP="002E110A">
      <w:pPr>
        <w:pStyle w:val="LI-BodyTextParaa"/>
        <w:numPr>
          <w:ilvl w:val="0"/>
          <w:numId w:val="3"/>
        </w:numPr>
        <w:rPr>
          <w:bCs/>
        </w:rPr>
      </w:pPr>
      <w:r>
        <w:t xml:space="preserve">Subrule 2.2.8(2) provides that </w:t>
      </w:r>
      <w:r w:rsidR="00F65ABA">
        <w:t>a reporting entity</w:t>
      </w:r>
      <w:r w:rsidR="00D25D79">
        <w:rPr>
          <w:bCs/>
        </w:rPr>
        <w:t xml:space="preserve"> that is a </w:t>
      </w:r>
      <w:r w:rsidR="009B52AC">
        <w:t>s</w:t>
      </w:r>
      <w:r w:rsidR="00507ED3">
        <w:t xml:space="preserve">mall-scale </w:t>
      </w:r>
      <w:r w:rsidR="009B52AC">
        <w:t>b</w:t>
      </w:r>
      <w:r w:rsidR="009A254B">
        <w:t xml:space="preserve">uy-side </w:t>
      </w:r>
      <w:r w:rsidR="009B52AC">
        <w:t>e</w:t>
      </w:r>
      <w:r w:rsidR="009A254B">
        <w:t>n</w:t>
      </w:r>
      <w:r w:rsidR="00D20B53">
        <w:t>tity</w:t>
      </w:r>
      <w:r w:rsidR="00673AE8">
        <w:t xml:space="preserve"> </w:t>
      </w:r>
      <w:r w:rsidR="00427ACF">
        <w:rPr>
          <w:bCs/>
        </w:rPr>
        <w:t>must report</w:t>
      </w:r>
      <w:r w:rsidR="001701B5">
        <w:rPr>
          <w:bCs/>
        </w:rPr>
        <w:t xml:space="preserve"> derivative transaction information</w:t>
      </w:r>
      <w:r w:rsidR="00427ACF" w:rsidRPr="00FA14E1">
        <w:t xml:space="preserve"> for each</w:t>
      </w:r>
      <w:r w:rsidR="00D161C5">
        <w:t xml:space="preserve"> reportable </w:t>
      </w:r>
      <w:r w:rsidR="00D161C5">
        <w:lastRenderedPageBreak/>
        <w:t>transaction</w:t>
      </w:r>
      <w:r w:rsidR="00427ACF" w:rsidRPr="00FA14E1">
        <w:t xml:space="preserve"> in </w:t>
      </w:r>
      <w:r w:rsidR="00427ACF" w:rsidRPr="00163F4C">
        <w:t>an</w:t>
      </w:r>
      <w:r w:rsidR="003E43F4">
        <w:t xml:space="preserve"> OTC derivative</w:t>
      </w:r>
      <w:r w:rsidR="00427ACF" w:rsidRPr="00163F4C">
        <w:t xml:space="preserve"> </w:t>
      </w:r>
      <w:r w:rsidR="00427ACF">
        <w:t xml:space="preserve">that is an equity derivative </w:t>
      </w:r>
      <w:r w:rsidR="00427ACF" w:rsidRPr="00163F4C">
        <w:t xml:space="preserve">that takes place on a </w:t>
      </w:r>
      <w:r w:rsidR="00427ACF">
        <w:t xml:space="preserve">day, in accordance with </w:t>
      </w:r>
      <w:r w:rsidR="00F04DB8">
        <w:t>the 2024 Rules</w:t>
      </w:r>
      <w:r w:rsidR="00BC37A3">
        <w:t xml:space="preserve"> (</w:t>
      </w:r>
      <w:proofErr w:type="gramStart"/>
      <w:r w:rsidR="00BC37A3">
        <w:t>i.e.</w:t>
      </w:r>
      <w:proofErr w:type="gramEnd"/>
      <w:r w:rsidR="00BC37A3">
        <w:t xml:space="preserve"> </w:t>
      </w:r>
      <w:r w:rsidR="00122134">
        <w:t>as lifecycle reporting)</w:t>
      </w:r>
      <w:r w:rsidR="00427ACF">
        <w:t>.</w:t>
      </w:r>
    </w:p>
    <w:p w14:paraId="539A34A2" w14:textId="07E14023" w:rsidR="003A4640" w:rsidRPr="006F0DDC" w:rsidRDefault="003A4640" w:rsidP="002E110A">
      <w:pPr>
        <w:pStyle w:val="LI-BodyTextParaa"/>
        <w:numPr>
          <w:ilvl w:val="0"/>
          <w:numId w:val="3"/>
        </w:numPr>
        <w:rPr>
          <w:bCs/>
        </w:rPr>
      </w:pPr>
      <w:r>
        <w:rPr>
          <w:bCs/>
        </w:rPr>
        <w:t>S</w:t>
      </w:r>
      <w:r w:rsidRPr="006F0DDC">
        <w:rPr>
          <w:bCs/>
        </w:rPr>
        <w:t>ubrule 2.2.8(</w:t>
      </w:r>
      <w:r w:rsidR="00040173">
        <w:rPr>
          <w:bCs/>
        </w:rPr>
        <w:t>3</w:t>
      </w:r>
      <w:r w:rsidRPr="006F0DDC">
        <w:rPr>
          <w:bCs/>
        </w:rPr>
        <w:t xml:space="preserve">) provides that </w:t>
      </w:r>
      <w:r w:rsidR="00F65ABA">
        <w:rPr>
          <w:bCs/>
        </w:rPr>
        <w:t>a reporting entity</w:t>
      </w:r>
      <w:r w:rsidRPr="006F0DDC">
        <w:rPr>
          <w:bCs/>
        </w:rPr>
        <w:t xml:space="preserve"> </w:t>
      </w:r>
      <w:r w:rsidR="00D25D79">
        <w:rPr>
          <w:bCs/>
        </w:rPr>
        <w:t xml:space="preserve">that is a </w:t>
      </w:r>
      <w:r w:rsidR="00767D3A">
        <w:rPr>
          <w:bCs/>
        </w:rPr>
        <w:t>s</w:t>
      </w:r>
      <w:r w:rsidR="00D25D79">
        <w:rPr>
          <w:bCs/>
        </w:rPr>
        <w:t>mall-sc</w:t>
      </w:r>
      <w:r w:rsidR="0086641B">
        <w:rPr>
          <w:bCs/>
        </w:rPr>
        <w:t xml:space="preserve">ale </w:t>
      </w:r>
      <w:r w:rsidR="00767D3A">
        <w:rPr>
          <w:bCs/>
        </w:rPr>
        <w:t>b</w:t>
      </w:r>
      <w:r w:rsidR="0086641B">
        <w:rPr>
          <w:bCs/>
        </w:rPr>
        <w:t xml:space="preserve">uy-side </w:t>
      </w:r>
      <w:r w:rsidR="00767D3A">
        <w:rPr>
          <w:bCs/>
        </w:rPr>
        <w:t>e</w:t>
      </w:r>
      <w:r w:rsidR="0086641B">
        <w:rPr>
          <w:bCs/>
        </w:rPr>
        <w:t xml:space="preserve">ntity </w:t>
      </w:r>
      <w:r w:rsidRPr="006F0DDC">
        <w:rPr>
          <w:bCs/>
        </w:rPr>
        <w:t>may comply with Rule 2.2.1 in relation to a</w:t>
      </w:r>
      <w:r w:rsidR="00D161C5">
        <w:rPr>
          <w:bCs/>
        </w:rPr>
        <w:t xml:space="preserve"> reportable transaction</w:t>
      </w:r>
      <w:r w:rsidRPr="006F0DDC">
        <w:rPr>
          <w:bCs/>
        </w:rPr>
        <w:t xml:space="preserve"> in an</w:t>
      </w:r>
      <w:r w:rsidR="003E43F4">
        <w:rPr>
          <w:bCs/>
        </w:rPr>
        <w:t xml:space="preserve"> OTC derivative</w:t>
      </w:r>
      <w:r w:rsidRPr="006F0DDC">
        <w:rPr>
          <w:bCs/>
        </w:rPr>
        <w:t xml:space="preserve"> (</w:t>
      </w:r>
      <w:r w:rsidRPr="009711A7">
        <w:rPr>
          <w:b/>
          <w:i/>
          <w:iCs/>
        </w:rPr>
        <w:t>Relevant OTC Derivative</w:t>
      </w:r>
      <w:r w:rsidRPr="006F0DDC">
        <w:rPr>
          <w:bCs/>
        </w:rPr>
        <w:t xml:space="preserve">) </w:t>
      </w:r>
      <w:r w:rsidR="00237FA6">
        <w:rPr>
          <w:bCs/>
        </w:rPr>
        <w:t xml:space="preserve">that is not an equity derivative </w:t>
      </w:r>
      <w:r w:rsidRPr="006F0DDC">
        <w:rPr>
          <w:bCs/>
        </w:rPr>
        <w:t>at the time the</w:t>
      </w:r>
      <w:r w:rsidR="00D161C5">
        <w:rPr>
          <w:bCs/>
        </w:rPr>
        <w:t xml:space="preserve"> reportable transaction</w:t>
      </w:r>
      <w:r w:rsidRPr="006F0DDC">
        <w:rPr>
          <w:bCs/>
        </w:rPr>
        <w:t xml:space="preserve"> is entered into, </w:t>
      </w:r>
      <w:r w:rsidR="00D665A5">
        <w:rPr>
          <w:bCs/>
        </w:rPr>
        <w:t xml:space="preserve">that takes place </w:t>
      </w:r>
      <w:r w:rsidRPr="006F0DDC">
        <w:rPr>
          <w:bCs/>
        </w:rPr>
        <w:t>on a day (</w:t>
      </w:r>
      <w:r w:rsidRPr="009711A7">
        <w:rPr>
          <w:b/>
          <w:i/>
          <w:iCs/>
        </w:rPr>
        <w:t>Relevant Day</w:t>
      </w:r>
      <w:r w:rsidRPr="006F0DDC">
        <w:rPr>
          <w:bCs/>
        </w:rPr>
        <w:t>) by:</w:t>
      </w:r>
    </w:p>
    <w:p w14:paraId="45680F5D" w14:textId="7EC7DF8A" w:rsidR="00106368" w:rsidRPr="006F0DDC" w:rsidRDefault="00106368" w:rsidP="00106368">
      <w:pPr>
        <w:pStyle w:val="LI-BodyTextParaa"/>
        <w:numPr>
          <w:ilvl w:val="1"/>
          <w:numId w:val="3"/>
        </w:numPr>
        <w:rPr>
          <w:bCs/>
        </w:rPr>
      </w:pPr>
      <w:r w:rsidRPr="006F0DDC">
        <w:rPr>
          <w:bCs/>
        </w:rPr>
        <w:t xml:space="preserve">reporting </w:t>
      </w:r>
      <w:r>
        <w:rPr>
          <w:bCs/>
        </w:rPr>
        <w:t>d</w:t>
      </w:r>
      <w:r w:rsidRPr="006F0DDC">
        <w:rPr>
          <w:bCs/>
        </w:rPr>
        <w:t xml:space="preserve">erivative </w:t>
      </w:r>
      <w:r>
        <w:rPr>
          <w:bCs/>
        </w:rPr>
        <w:t>t</w:t>
      </w:r>
      <w:r w:rsidRPr="006F0DDC">
        <w:rPr>
          <w:bCs/>
        </w:rPr>
        <w:t xml:space="preserve">ransaction </w:t>
      </w:r>
      <w:r>
        <w:rPr>
          <w:bCs/>
        </w:rPr>
        <w:t>i</w:t>
      </w:r>
      <w:r w:rsidRPr="006F0DDC">
        <w:rPr>
          <w:bCs/>
        </w:rPr>
        <w:t xml:space="preserve">nformation for each </w:t>
      </w:r>
      <w:r>
        <w:rPr>
          <w:bCs/>
        </w:rPr>
        <w:t>r</w:t>
      </w:r>
      <w:r w:rsidRPr="006F0DDC">
        <w:rPr>
          <w:bCs/>
        </w:rPr>
        <w:t xml:space="preserve">eportable </w:t>
      </w:r>
      <w:r>
        <w:rPr>
          <w:bCs/>
        </w:rPr>
        <w:t>t</w:t>
      </w:r>
      <w:r w:rsidRPr="006F0DDC">
        <w:rPr>
          <w:bCs/>
        </w:rPr>
        <w:t>ransaction in the Relevant OTC Derivative</w:t>
      </w:r>
      <w:r>
        <w:rPr>
          <w:bCs/>
        </w:rPr>
        <w:t xml:space="preserve"> (</w:t>
      </w:r>
      <w:proofErr w:type="gramStart"/>
      <w:r>
        <w:rPr>
          <w:bCs/>
        </w:rPr>
        <w:t>i.e.</w:t>
      </w:r>
      <w:proofErr w:type="gramEnd"/>
      <w:r>
        <w:rPr>
          <w:bCs/>
        </w:rPr>
        <w:t xml:space="preserve"> as lifecycle reporting)</w:t>
      </w:r>
      <w:r w:rsidRPr="006F0DDC">
        <w:rPr>
          <w:bCs/>
        </w:rPr>
        <w:t>; or</w:t>
      </w:r>
    </w:p>
    <w:p w14:paraId="44223A74" w14:textId="77777777" w:rsidR="00106368" w:rsidRPr="006F0DDC" w:rsidRDefault="00106368" w:rsidP="00106368">
      <w:pPr>
        <w:pStyle w:val="LI-BodyTextParaa"/>
        <w:numPr>
          <w:ilvl w:val="1"/>
          <w:numId w:val="3"/>
        </w:numPr>
        <w:rPr>
          <w:bCs/>
        </w:rPr>
      </w:pPr>
      <w:r w:rsidRPr="006F0DDC">
        <w:rPr>
          <w:bCs/>
        </w:rPr>
        <w:t xml:space="preserve">reporting </w:t>
      </w:r>
      <w:r>
        <w:rPr>
          <w:bCs/>
        </w:rPr>
        <w:t>d</w:t>
      </w:r>
      <w:r w:rsidRPr="006F0DDC">
        <w:rPr>
          <w:bCs/>
        </w:rPr>
        <w:t xml:space="preserve">erivative </w:t>
      </w:r>
      <w:r>
        <w:rPr>
          <w:bCs/>
        </w:rPr>
        <w:t>t</w:t>
      </w:r>
      <w:r w:rsidRPr="006F0DDC">
        <w:rPr>
          <w:bCs/>
        </w:rPr>
        <w:t xml:space="preserve">ransaction </w:t>
      </w:r>
      <w:r>
        <w:rPr>
          <w:bCs/>
        </w:rPr>
        <w:t>i</w:t>
      </w:r>
      <w:r w:rsidRPr="006F0DDC">
        <w:rPr>
          <w:bCs/>
        </w:rPr>
        <w:t>nformation in relation to the Relevant OTC Derivative on its terms as of the Relevant Day</w:t>
      </w:r>
      <w:r>
        <w:rPr>
          <w:bCs/>
        </w:rPr>
        <w:t xml:space="preserve"> (</w:t>
      </w:r>
      <w:proofErr w:type="gramStart"/>
      <w:r>
        <w:rPr>
          <w:bCs/>
        </w:rPr>
        <w:t>i.e.</w:t>
      </w:r>
      <w:proofErr w:type="gramEnd"/>
      <w:r>
        <w:rPr>
          <w:bCs/>
        </w:rPr>
        <w:t xml:space="preserve"> as snapshot reporting)</w:t>
      </w:r>
      <w:r w:rsidRPr="006F0DDC">
        <w:rPr>
          <w:bCs/>
        </w:rPr>
        <w:t xml:space="preserve">, </w:t>
      </w:r>
    </w:p>
    <w:p w14:paraId="2B0D9628" w14:textId="6766400D" w:rsidR="003A4640" w:rsidRPr="006F0DDC" w:rsidRDefault="00106368" w:rsidP="00C06495">
      <w:pPr>
        <w:pStyle w:val="LI-BodyTextParaa"/>
        <w:ind w:left="567" w:firstLine="0"/>
        <w:rPr>
          <w:bCs/>
        </w:rPr>
      </w:pPr>
      <w:r>
        <w:rPr>
          <w:bCs/>
        </w:rPr>
        <w:t xml:space="preserve">and </w:t>
      </w:r>
      <w:r w:rsidRPr="006F0DDC">
        <w:rPr>
          <w:bCs/>
        </w:rPr>
        <w:t>otherwise report</w:t>
      </w:r>
      <w:r>
        <w:rPr>
          <w:bCs/>
        </w:rPr>
        <w:t>ing</w:t>
      </w:r>
      <w:r w:rsidRPr="006F0DDC">
        <w:rPr>
          <w:bCs/>
        </w:rPr>
        <w:t xml:space="preserve"> the information in accordance with the </w:t>
      </w:r>
      <w:r w:rsidR="00C06495">
        <w:rPr>
          <w:bCs/>
        </w:rPr>
        <w:t xml:space="preserve">2024 </w:t>
      </w:r>
      <w:r w:rsidRPr="006F0DDC">
        <w:rPr>
          <w:bCs/>
        </w:rPr>
        <w:t>Rules.</w:t>
      </w:r>
    </w:p>
    <w:p w14:paraId="385E3F1C" w14:textId="18335431" w:rsidR="00FE7452" w:rsidRPr="006F0DDC" w:rsidRDefault="00FE7452" w:rsidP="00FE7452">
      <w:pPr>
        <w:pStyle w:val="LI-BodyTextParaa"/>
        <w:numPr>
          <w:ilvl w:val="0"/>
          <w:numId w:val="3"/>
        </w:numPr>
        <w:rPr>
          <w:bCs/>
        </w:rPr>
      </w:pPr>
      <w:r>
        <w:rPr>
          <w:bCs/>
        </w:rPr>
        <w:t>The 2024 Rules</w:t>
      </w:r>
      <w:r w:rsidRPr="006F0DDC">
        <w:rPr>
          <w:bCs/>
        </w:rPr>
        <w:t xml:space="preserve"> require</w:t>
      </w:r>
      <w:r>
        <w:rPr>
          <w:bCs/>
        </w:rPr>
        <w:t xml:space="preserve"> reporting entities that are not a </w:t>
      </w:r>
      <w:r w:rsidR="007D429D">
        <w:rPr>
          <w:bCs/>
        </w:rPr>
        <w:t>s</w:t>
      </w:r>
      <w:r>
        <w:rPr>
          <w:bCs/>
        </w:rPr>
        <w:t xml:space="preserve">mall-scale </w:t>
      </w:r>
      <w:r w:rsidR="007D429D">
        <w:rPr>
          <w:bCs/>
        </w:rPr>
        <w:t>b</w:t>
      </w:r>
      <w:r>
        <w:rPr>
          <w:bCs/>
        </w:rPr>
        <w:t xml:space="preserve">uy-side entity to </w:t>
      </w:r>
      <w:r w:rsidRPr="006F0DDC">
        <w:rPr>
          <w:bCs/>
        </w:rPr>
        <w:t xml:space="preserve">report all </w:t>
      </w:r>
      <w:r w:rsidR="00F67BD7">
        <w:rPr>
          <w:bCs/>
        </w:rPr>
        <w:t>d</w:t>
      </w:r>
      <w:r w:rsidRPr="006F0DDC">
        <w:rPr>
          <w:bCs/>
        </w:rPr>
        <w:t xml:space="preserve">erivative </w:t>
      </w:r>
      <w:r w:rsidR="00F67BD7">
        <w:rPr>
          <w:bCs/>
        </w:rPr>
        <w:t>t</w:t>
      </w:r>
      <w:r w:rsidRPr="006F0DDC">
        <w:rPr>
          <w:bCs/>
        </w:rPr>
        <w:t>ransactions in an</w:t>
      </w:r>
      <w:r>
        <w:rPr>
          <w:bCs/>
        </w:rPr>
        <w:t xml:space="preserve"> OTC derivative</w:t>
      </w:r>
      <w:r w:rsidRPr="006F0DDC">
        <w:rPr>
          <w:bCs/>
        </w:rPr>
        <w:t>, including intra-day modifications of an</w:t>
      </w:r>
      <w:r>
        <w:rPr>
          <w:bCs/>
        </w:rPr>
        <w:t xml:space="preserve"> OTC derivative – that is, to report by </w:t>
      </w:r>
      <w:r w:rsidR="001901D4">
        <w:rPr>
          <w:bCs/>
        </w:rPr>
        <w:t>“</w:t>
      </w:r>
      <w:r>
        <w:rPr>
          <w:bCs/>
        </w:rPr>
        <w:t>lifecycle reporting</w:t>
      </w:r>
      <w:r w:rsidR="001901D4">
        <w:rPr>
          <w:bCs/>
        </w:rPr>
        <w:t>”</w:t>
      </w:r>
      <w:r>
        <w:rPr>
          <w:bCs/>
        </w:rPr>
        <w:t xml:space="preserve">. Reporting entities that are a </w:t>
      </w:r>
      <w:r w:rsidR="007D429D">
        <w:rPr>
          <w:bCs/>
        </w:rPr>
        <w:t>s</w:t>
      </w:r>
      <w:r>
        <w:rPr>
          <w:bCs/>
        </w:rPr>
        <w:t xml:space="preserve">mall-scale </w:t>
      </w:r>
      <w:r w:rsidR="007D429D">
        <w:rPr>
          <w:bCs/>
        </w:rPr>
        <w:t>b</w:t>
      </w:r>
      <w:r>
        <w:rPr>
          <w:bCs/>
        </w:rPr>
        <w:t xml:space="preserve">uy-side </w:t>
      </w:r>
      <w:r w:rsidR="007D429D">
        <w:rPr>
          <w:bCs/>
        </w:rPr>
        <w:t>e</w:t>
      </w:r>
      <w:r>
        <w:rPr>
          <w:bCs/>
        </w:rPr>
        <w:t xml:space="preserve">ntity must also report by </w:t>
      </w:r>
      <w:r w:rsidR="001901D4">
        <w:rPr>
          <w:bCs/>
        </w:rPr>
        <w:t>“</w:t>
      </w:r>
      <w:r>
        <w:rPr>
          <w:bCs/>
        </w:rPr>
        <w:t>lifecycle reporting</w:t>
      </w:r>
      <w:r w:rsidR="001901D4">
        <w:rPr>
          <w:bCs/>
        </w:rPr>
        <w:t>”</w:t>
      </w:r>
      <w:r>
        <w:rPr>
          <w:bCs/>
        </w:rPr>
        <w:t xml:space="preserve"> but only in relation to equity derivatives.</w:t>
      </w:r>
    </w:p>
    <w:p w14:paraId="23DF2407" w14:textId="681AF4C7" w:rsidR="00CE04EE" w:rsidRDefault="009D32AB" w:rsidP="002E110A">
      <w:pPr>
        <w:pStyle w:val="LI-BodyTextParaa"/>
        <w:numPr>
          <w:ilvl w:val="0"/>
          <w:numId w:val="3"/>
        </w:numPr>
        <w:rPr>
          <w:bCs/>
        </w:rPr>
      </w:pPr>
      <w:r>
        <w:rPr>
          <w:bCs/>
        </w:rPr>
        <w:t>In relation to</w:t>
      </w:r>
      <w:r w:rsidR="003E43F4">
        <w:rPr>
          <w:bCs/>
        </w:rPr>
        <w:t xml:space="preserve"> OTC derivative</w:t>
      </w:r>
      <w:r w:rsidR="003248BC">
        <w:rPr>
          <w:bCs/>
        </w:rPr>
        <w:t>s</w:t>
      </w:r>
      <w:r w:rsidR="004F2599">
        <w:rPr>
          <w:bCs/>
        </w:rPr>
        <w:t xml:space="preserve"> that are not equity derivatives,</w:t>
      </w:r>
      <w:r w:rsidR="00F65ABA">
        <w:rPr>
          <w:bCs/>
        </w:rPr>
        <w:t xml:space="preserve"> reporting entities</w:t>
      </w:r>
      <w:r w:rsidR="004F2599">
        <w:rPr>
          <w:bCs/>
        </w:rPr>
        <w:t xml:space="preserve"> that are a </w:t>
      </w:r>
      <w:r w:rsidR="007D429D">
        <w:rPr>
          <w:bCs/>
        </w:rPr>
        <w:t>s</w:t>
      </w:r>
      <w:r w:rsidR="004F2599">
        <w:rPr>
          <w:bCs/>
        </w:rPr>
        <w:t xml:space="preserve">mall-scale </w:t>
      </w:r>
      <w:r w:rsidR="007D429D">
        <w:rPr>
          <w:bCs/>
        </w:rPr>
        <w:t>b</w:t>
      </w:r>
      <w:r w:rsidR="004F2599">
        <w:rPr>
          <w:bCs/>
        </w:rPr>
        <w:t xml:space="preserve">uy-side </w:t>
      </w:r>
      <w:r w:rsidR="007D429D">
        <w:rPr>
          <w:bCs/>
        </w:rPr>
        <w:t>e</w:t>
      </w:r>
      <w:r w:rsidR="004F2599">
        <w:rPr>
          <w:bCs/>
        </w:rPr>
        <w:t xml:space="preserve">ntity may </w:t>
      </w:r>
      <w:r>
        <w:rPr>
          <w:bCs/>
        </w:rPr>
        <w:t>report</w:t>
      </w:r>
      <w:r w:rsidR="004F2599">
        <w:rPr>
          <w:bCs/>
        </w:rPr>
        <w:t xml:space="preserve"> </w:t>
      </w:r>
      <w:r w:rsidR="00CE04EE">
        <w:rPr>
          <w:bCs/>
        </w:rPr>
        <w:t xml:space="preserve">either by </w:t>
      </w:r>
      <w:r w:rsidR="001901D4">
        <w:rPr>
          <w:bCs/>
        </w:rPr>
        <w:t>“</w:t>
      </w:r>
      <w:r w:rsidR="00CE04EE">
        <w:rPr>
          <w:bCs/>
        </w:rPr>
        <w:t>lifecycle reporting</w:t>
      </w:r>
      <w:r w:rsidR="001901D4">
        <w:rPr>
          <w:bCs/>
        </w:rPr>
        <w:t>”</w:t>
      </w:r>
      <w:r w:rsidR="00CE04EE">
        <w:rPr>
          <w:bCs/>
        </w:rPr>
        <w:t xml:space="preserve"> or </w:t>
      </w:r>
      <w:r w:rsidR="001901D4">
        <w:rPr>
          <w:bCs/>
        </w:rPr>
        <w:t>“</w:t>
      </w:r>
      <w:r w:rsidR="00CE04EE">
        <w:rPr>
          <w:bCs/>
        </w:rPr>
        <w:t>snapshot reporting</w:t>
      </w:r>
      <w:r w:rsidR="001901D4">
        <w:rPr>
          <w:bCs/>
        </w:rPr>
        <w:t>”</w:t>
      </w:r>
      <w:r w:rsidR="00CE04EE">
        <w:rPr>
          <w:bCs/>
        </w:rPr>
        <w:t>.</w:t>
      </w:r>
    </w:p>
    <w:p w14:paraId="295B4B26" w14:textId="6B75108B" w:rsidR="00097C59" w:rsidRPr="006F0DDC" w:rsidRDefault="00097C59" w:rsidP="00097C59">
      <w:pPr>
        <w:pStyle w:val="LI-BodyTextNumbered"/>
        <w:ind w:left="0" w:firstLine="0"/>
        <w:rPr>
          <w:u w:val="single"/>
        </w:rPr>
      </w:pPr>
      <w:r>
        <w:rPr>
          <w:u w:val="single"/>
        </w:rPr>
        <w:t xml:space="preserve">Rule 2.2.9 </w:t>
      </w:r>
      <w:r w:rsidRPr="0026773C">
        <w:rPr>
          <w:u w:val="single"/>
        </w:rPr>
        <w:t>–</w:t>
      </w:r>
      <w:r>
        <w:rPr>
          <w:u w:val="single"/>
        </w:rPr>
        <w:t xml:space="preserve"> </w:t>
      </w:r>
      <w:r w:rsidR="00E21429">
        <w:rPr>
          <w:u w:val="single"/>
        </w:rPr>
        <w:t xml:space="preserve">Unique </w:t>
      </w:r>
      <w:r w:rsidR="00BE693D">
        <w:rPr>
          <w:u w:val="single"/>
        </w:rPr>
        <w:t>transaction identifier</w:t>
      </w:r>
    </w:p>
    <w:p w14:paraId="2E5EC94C" w14:textId="783B843C" w:rsidR="00097C59" w:rsidRDefault="006A103C" w:rsidP="002E110A">
      <w:pPr>
        <w:pStyle w:val="LI-BodyTextParaa"/>
        <w:numPr>
          <w:ilvl w:val="0"/>
          <w:numId w:val="3"/>
        </w:numPr>
        <w:rPr>
          <w:bCs/>
        </w:rPr>
      </w:pPr>
      <w:r>
        <w:rPr>
          <w:bCs/>
        </w:rPr>
        <w:t>Rule 2.2.9</w:t>
      </w:r>
      <w:r w:rsidR="00AA56A7">
        <w:rPr>
          <w:bCs/>
        </w:rPr>
        <w:t xml:space="preserve"> </w:t>
      </w:r>
      <w:r w:rsidR="00E53523">
        <w:rPr>
          <w:bCs/>
        </w:rPr>
        <w:t>sets out</w:t>
      </w:r>
      <w:r w:rsidR="00167F86">
        <w:rPr>
          <w:bCs/>
        </w:rPr>
        <w:t xml:space="preserve"> requirements for</w:t>
      </w:r>
      <w:r w:rsidR="00AA56A7">
        <w:rPr>
          <w:bCs/>
        </w:rPr>
        <w:t xml:space="preserve"> </w:t>
      </w:r>
      <w:r w:rsidR="00A4200F">
        <w:rPr>
          <w:bCs/>
        </w:rPr>
        <w:t xml:space="preserve">determining the </w:t>
      </w:r>
      <w:proofErr w:type="spellStart"/>
      <w:r w:rsidR="00A4200F">
        <w:rPr>
          <w:bCs/>
        </w:rPr>
        <w:t>UTI</w:t>
      </w:r>
      <w:proofErr w:type="spellEnd"/>
      <w:r w:rsidR="00A4200F">
        <w:rPr>
          <w:bCs/>
        </w:rPr>
        <w:t xml:space="preserve"> generating entity</w:t>
      </w:r>
      <w:r w:rsidR="00167F86">
        <w:rPr>
          <w:bCs/>
        </w:rPr>
        <w:t>,</w:t>
      </w:r>
      <w:r w:rsidR="00A4200F">
        <w:rPr>
          <w:bCs/>
        </w:rPr>
        <w:t xml:space="preserve"> generating a </w:t>
      </w:r>
      <w:proofErr w:type="spellStart"/>
      <w:proofErr w:type="gramStart"/>
      <w:r w:rsidR="00A4200F">
        <w:rPr>
          <w:bCs/>
        </w:rPr>
        <w:t>UTI</w:t>
      </w:r>
      <w:proofErr w:type="spellEnd"/>
      <w:proofErr w:type="gramEnd"/>
      <w:r w:rsidR="00A4200F">
        <w:rPr>
          <w:bCs/>
        </w:rPr>
        <w:t xml:space="preserve"> and providing it to the other counterpart</w:t>
      </w:r>
      <w:r w:rsidR="00F5124F">
        <w:rPr>
          <w:bCs/>
        </w:rPr>
        <w:t>y</w:t>
      </w:r>
      <w:r w:rsidR="00B55678">
        <w:rPr>
          <w:bCs/>
        </w:rPr>
        <w:t xml:space="preserve"> as soon as practicable. It also deals with </w:t>
      </w:r>
      <w:r w:rsidR="00905088">
        <w:rPr>
          <w:bCs/>
        </w:rPr>
        <w:t xml:space="preserve">generating and reporting a </w:t>
      </w:r>
      <w:proofErr w:type="spellStart"/>
      <w:r w:rsidR="00905088">
        <w:rPr>
          <w:bCs/>
        </w:rPr>
        <w:t>UTI</w:t>
      </w:r>
      <w:proofErr w:type="spellEnd"/>
      <w:r w:rsidR="00905088">
        <w:rPr>
          <w:bCs/>
        </w:rPr>
        <w:t xml:space="preserve"> when the </w:t>
      </w:r>
      <w:r w:rsidR="00685737">
        <w:rPr>
          <w:bCs/>
        </w:rPr>
        <w:t>r</w:t>
      </w:r>
      <w:r w:rsidR="00F65ABA">
        <w:rPr>
          <w:bCs/>
        </w:rPr>
        <w:t>eporting entity</w:t>
      </w:r>
      <w:r w:rsidR="00905088">
        <w:rPr>
          <w:bCs/>
        </w:rPr>
        <w:t xml:space="preserve"> does not receive a </w:t>
      </w:r>
      <w:proofErr w:type="spellStart"/>
      <w:r w:rsidR="00905088">
        <w:rPr>
          <w:bCs/>
        </w:rPr>
        <w:t>UTI</w:t>
      </w:r>
      <w:proofErr w:type="spellEnd"/>
      <w:r w:rsidR="00905088">
        <w:rPr>
          <w:bCs/>
        </w:rPr>
        <w:t xml:space="preserve"> from the </w:t>
      </w:r>
      <w:proofErr w:type="spellStart"/>
      <w:r w:rsidR="00905088">
        <w:rPr>
          <w:bCs/>
        </w:rPr>
        <w:t>UTI</w:t>
      </w:r>
      <w:proofErr w:type="spellEnd"/>
      <w:r w:rsidR="00905088">
        <w:rPr>
          <w:bCs/>
        </w:rPr>
        <w:t xml:space="preserve"> generating entity in </w:t>
      </w:r>
      <w:r w:rsidR="006D1CAB">
        <w:rPr>
          <w:bCs/>
        </w:rPr>
        <w:t xml:space="preserve">sufficient </w:t>
      </w:r>
      <w:r w:rsidR="00905088">
        <w:rPr>
          <w:bCs/>
        </w:rPr>
        <w:t>time for reporting</w:t>
      </w:r>
      <w:r w:rsidR="006D1CAB">
        <w:rPr>
          <w:bCs/>
        </w:rPr>
        <w:t xml:space="preserve"> and that a </w:t>
      </w:r>
      <w:r w:rsidR="00685737">
        <w:rPr>
          <w:bCs/>
        </w:rPr>
        <w:t>r</w:t>
      </w:r>
      <w:r w:rsidR="00F65ABA">
        <w:rPr>
          <w:bCs/>
        </w:rPr>
        <w:t>eporting entity</w:t>
      </w:r>
      <w:r w:rsidR="006D1CAB">
        <w:rPr>
          <w:bCs/>
        </w:rPr>
        <w:t xml:space="preserve"> may app</w:t>
      </w:r>
      <w:r w:rsidR="003D1D0C">
        <w:rPr>
          <w:bCs/>
        </w:rPr>
        <w:t xml:space="preserve">oint a service provider to generate the </w:t>
      </w:r>
      <w:proofErr w:type="spellStart"/>
      <w:r w:rsidR="003D1D0C">
        <w:rPr>
          <w:bCs/>
        </w:rPr>
        <w:t>UTI</w:t>
      </w:r>
      <w:proofErr w:type="spellEnd"/>
      <w:r w:rsidR="003D1D0C">
        <w:rPr>
          <w:bCs/>
        </w:rPr>
        <w:t xml:space="preserve"> </w:t>
      </w:r>
      <w:r w:rsidR="00836C63">
        <w:rPr>
          <w:bCs/>
        </w:rPr>
        <w:t>and provide it to the other counterparty.</w:t>
      </w:r>
    </w:p>
    <w:p w14:paraId="7B896CB0" w14:textId="7BF1EED0" w:rsidR="00836C63" w:rsidRPr="00142097" w:rsidRDefault="00836C63" w:rsidP="002E110A">
      <w:pPr>
        <w:pStyle w:val="LI-BodyTextParaa"/>
        <w:numPr>
          <w:ilvl w:val="0"/>
          <w:numId w:val="3"/>
        </w:numPr>
        <w:rPr>
          <w:bCs/>
        </w:rPr>
      </w:pPr>
      <w:r>
        <w:rPr>
          <w:bCs/>
        </w:rPr>
        <w:t xml:space="preserve">Subrule </w:t>
      </w:r>
      <w:r w:rsidR="00E85D2E">
        <w:rPr>
          <w:bCs/>
        </w:rPr>
        <w:t xml:space="preserve">2.2.9(1) provides that Rule 2.2.9 applies if </w:t>
      </w:r>
      <w:r w:rsidR="002D3BCE">
        <w:rPr>
          <w:bCs/>
        </w:rPr>
        <w:t xml:space="preserve">a </w:t>
      </w:r>
      <w:r w:rsidR="00A94424">
        <w:t>r</w:t>
      </w:r>
      <w:r w:rsidR="00F65ABA">
        <w:t>eporting entity</w:t>
      </w:r>
      <w:r w:rsidR="00144064">
        <w:t xml:space="preserve"> is required to report a </w:t>
      </w:r>
      <w:proofErr w:type="spellStart"/>
      <w:r w:rsidR="00144064">
        <w:t>UTI</w:t>
      </w:r>
      <w:proofErr w:type="spellEnd"/>
      <w:r w:rsidR="00144064">
        <w:t xml:space="preserve"> for a</w:t>
      </w:r>
      <w:r w:rsidR="00D161C5">
        <w:t xml:space="preserve"> reportable transaction</w:t>
      </w:r>
      <w:r w:rsidR="00144064">
        <w:t xml:space="preserve"> referred to in subparagraph</w:t>
      </w:r>
      <w:r w:rsidR="00A94424">
        <w:t>s</w:t>
      </w:r>
      <w:r w:rsidR="00144064">
        <w:t xml:space="preserve"> 1.2.5(1)(b)(</w:t>
      </w:r>
      <w:proofErr w:type="spellStart"/>
      <w:r w:rsidR="00144064">
        <w:t>i</w:t>
      </w:r>
      <w:proofErr w:type="spellEnd"/>
      <w:r w:rsidR="00144064">
        <w:t>), (iii) or (iv) in a report made under subrule 2.2.1(1).</w:t>
      </w:r>
    </w:p>
    <w:p w14:paraId="1C514203" w14:textId="0B638A8A" w:rsidR="00142097" w:rsidRPr="00142097" w:rsidRDefault="00142097" w:rsidP="002E110A">
      <w:pPr>
        <w:pStyle w:val="LI-BodyTextParaa"/>
        <w:numPr>
          <w:ilvl w:val="0"/>
          <w:numId w:val="3"/>
        </w:numPr>
        <w:rPr>
          <w:bCs/>
        </w:rPr>
      </w:pPr>
      <w:r>
        <w:t>A</w:t>
      </w:r>
      <w:r w:rsidR="00D161C5">
        <w:t xml:space="preserve"> reportable transaction</w:t>
      </w:r>
      <w:r>
        <w:t xml:space="preserve"> referred to in:</w:t>
      </w:r>
    </w:p>
    <w:p w14:paraId="3B3208E6" w14:textId="5176E987" w:rsidR="009D71CE" w:rsidRPr="009D71CE" w:rsidRDefault="00142097" w:rsidP="002E110A">
      <w:pPr>
        <w:pStyle w:val="LI-BodyTextParaa"/>
        <w:numPr>
          <w:ilvl w:val="1"/>
          <w:numId w:val="3"/>
        </w:numPr>
        <w:rPr>
          <w:bCs/>
        </w:rPr>
      </w:pPr>
      <w:r>
        <w:t>subparagraph 1.2.5(1)(b)(</w:t>
      </w:r>
      <w:proofErr w:type="spellStart"/>
      <w:r>
        <w:t>i</w:t>
      </w:r>
      <w:proofErr w:type="spellEnd"/>
      <w:r>
        <w:t xml:space="preserve">) is </w:t>
      </w:r>
      <w:r w:rsidR="00C51654" w:rsidRPr="00F76596">
        <w:t>the entry into of an arrangement that is an</w:t>
      </w:r>
      <w:r w:rsidR="003E43F4">
        <w:t xml:space="preserve"> OTC </w:t>
      </w:r>
      <w:proofErr w:type="gramStart"/>
      <w:r w:rsidR="003E43F4">
        <w:t>derivative</w:t>
      </w:r>
      <w:r w:rsidR="009D71CE">
        <w:t>;</w:t>
      </w:r>
      <w:proofErr w:type="gramEnd"/>
    </w:p>
    <w:p w14:paraId="0882E6D0" w14:textId="59E9CF76" w:rsidR="001D18F9" w:rsidRPr="001D18F9" w:rsidRDefault="009D71CE" w:rsidP="002E110A">
      <w:pPr>
        <w:pStyle w:val="LI-BodyTextParaa"/>
        <w:numPr>
          <w:ilvl w:val="1"/>
          <w:numId w:val="3"/>
        </w:numPr>
        <w:rPr>
          <w:bCs/>
        </w:rPr>
      </w:pPr>
      <w:r>
        <w:t xml:space="preserve">subparagraph 1.2.5(1)(b)(iii) is </w:t>
      </w:r>
      <w:r w:rsidRPr="00F76596">
        <w:t xml:space="preserve">the </w:t>
      </w:r>
      <w:r>
        <w:t xml:space="preserve">assignment of an </w:t>
      </w:r>
      <w:r w:rsidRPr="00F76596">
        <w:t>arrangement that is an</w:t>
      </w:r>
      <w:r w:rsidR="003E43F4">
        <w:t xml:space="preserve"> OTC derivative</w:t>
      </w:r>
      <w:r w:rsidR="001D18F9">
        <w:t>; and</w:t>
      </w:r>
    </w:p>
    <w:p w14:paraId="7A9837F7" w14:textId="3289CDEF" w:rsidR="00142097" w:rsidRPr="005A2896" w:rsidRDefault="001D18F9" w:rsidP="002E110A">
      <w:pPr>
        <w:pStyle w:val="LI-BodyTextParaa"/>
        <w:numPr>
          <w:ilvl w:val="1"/>
          <w:numId w:val="3"/>
        </w:numPr>
        <w:rPr>
          <w:bCs/>
        </w:rPr>
      </w:pPr>
      <w:r>
        <w:lastRenderedPageBreak/>
        <w:t>subparagraph 1.2.5(1)(b)(</w:t>
      </w:r>
      <w:r w:rsidR="00142097">
        <w:t>iv)</w:t>
      </w:r>
      <w:r>
        <w:t xml:space="preserve"> </w:t>
      </w:r>
      <w:r w:rsidR="00E360B5">
        <w:t>is the change in the recording of an</w:t>
      </w:r>
      <w:r w:rsidR="003E43F4">
        <w:t xml:space="preserve"> OTC derivative</w:t>
      </w:r>
      <w:r w:rsidR="00B76EAE">
        <w:t xml:space="preserve"> </w:t>
      </w:r>
      <w:r w:rsidR="00352437" w:rsidRPr="00352437">
        <w:t>from represent</w:t>
      </w:r>
      <w:r w:rsidR="00C045C3">
        <w:t>ation</w:t>
      </w:r>
      <w:r w:rsidR="00352437" w:rsidRPr="00352437">
        <w:t xml:space="preserve"> as a transaction to represent</w:t>
      </w:r>
      <w:r w:rsidR="001577E5">
        <w:t>ation</w:t>
      </w:r>
      <w:r w:rsidR="00352437" w:rsidRPr="00352437">
        <w:t xml:space="preserve"> as a position</w:t>
      </w:r>
      <w:r w:rsidR="00352437">
        <w:t>.</w:t>
      </w:r>
    </w:p>
    <w:p w14:paraId="6F6336E0" w14:textId="19320B66" w:rsidR="00E967C0" w:rsidRPr="00E967C0" w:rsidRDefault="005A2896" w:rsidP="002E110A">
      <w:pPr>
        <w:pStyle w:val="LI-BodyTextParaa"/>
        <w:numPr>
          <w:ilvl w:val="0"/>
          <w:numId w:val="3"/>
        </w:numPr>
        <w:rPr>
          <w:bCs/>
        </w:rPr>
      </w:pPr>
      <w:r>
        <w:t>Each of these kinds of</w:t>
      </w:r>
      <w:r w:rsidR="00D161C5">
        <w:t xml:space="preserve"> reportable transaction</w:t>
      </w:r>
      <w:r>
        <w:t xml:space="preserve">s </w:t>
      </w:r>
      <w:r w:rsidR="001A0364">
        <w:t>involve the reporting of a new transaction</w:t>
      </w:r>
      <w:r w:rsidR="009F74C5">
        <w:t xml:space="preserve"> or position</w:t>
      </w:r>
      <w:r w:rsidR="001A0364">
        <w:t xml:space="preserve"> </w:t>
      </w:r>
      <w:r w:rsidR="009F74C5">
        <w:t xml:space="preserve">and the reporting of a new transaction or position requires the </w:t>
      </w:r>
      <w:r w:rsidR="00DB5C93">
        <w:t xml:space="preserve">generation and reporting of a new </w:t>
      </w:r>
      <w:proofErr w:type="spellStart"/>
      <w:r w:rsidR="00DB5C93">
        <w:t>UTI</w:t>
      </w:r>
      <w:proofErr w:type="spellEnd"/>
      <w:r w:rsidR="00DB5C93">
        <w:t xml:space="preserve">. </w:t>
      </w:r>
      <w:r w:rsidR="0076404B">
        <w:t xml:space="preserve">Conversely, </w:t>
      </w:r>
      <w:r w:rsidR="00E967C0">
        <w:t xml:space="preserve">a new </w:t>
      </w:r>
      <w:proofErr w:type="spellStart"/>
      <w:r w:rsidR="00E967C0">
        <w:t>UTI</w:t>
      </w:r>
      <w:proofErr w:type="spellEnd"/>
      <w:r w:rsidR="00E967C0">
        <w:t xml:space="preserve"> is not required for </w:t>
      </w:r>
      <w:r w:rsidR="0076404B">
        <w:t>a</w:t>
      </w:r>
      <w:r w:rsidR="00D161C5">
        <w:t xml:space="preserve"> reportable transaction</w:t>
      </w:r>
      <w:r w:rsidR="0076404B">
        <w:t xml:space="preserve"> referred to in subpar</w:t>
      </w:r>
      <w:r w:rsidR="005A6B71">
        <w:t>a</w:t>
      </w:r>
      <w:r w:rsidR="000A0F94">
        <w:t xml:space="preserve">graph 1.2.5(1)(b)(ii) </w:t>
      </w:r>
      <w:r w:rsidR="00E967C0">
        <w:t xml:space="preserve">as this </w:t>
      </w:r>
      <w:r w:rsidR="009A3475">
        <w:t>is the modification or termination of an arrangement that is an</w:t>
      </w:r>
      <w:r w:rsidR="003E43F4">
        <w:t xml:space="preserve"> OTC </w:t>
      </w:r>
      <w:proofErr w:type="gramStart"/>
      <w:r w:rsidR="003E43F4">
        <w:t>derivative</w:t>
      </w:r>
      <w:proofErr w:type="gramEnd"/>
      <w:r w:rsidR="009A3475">
        <w:t xml:space="preserve"> </w:t>
      </w:r>
      <w:r w:rsidR="004352CB">
        <w:t xml:space="preserve">and the reporting of such a modification or termination is reported with the </w:t>
      </w:r>
      <w:r w:rsidR="005A6B71">
        <w:t>transaction identifier of the original transaction that is being modified or terminated</w:t>
      </w:r>
      <w:r w:rsidR="00E967C0">
        <w:t>.</w:t>
      </w:r>
    </w:p>
    <w:p w14:paraId="5EC5324D" w14:textId="34620C96" w:rsidR="005A2896" w:rsidRPr="00231A11" w:rsidRDefault="00424F27" w:rsidP="002E110A">
      <w:pPr>
        <w:pStyle w:val="LI-BodyTextParaa"/>
        <w:numPr>
          <w:ilvl w:val="0"/>
          <w:numId w:val="3"/>
        </w:numPr>
        <w:rPr>
          <w:bCs/>
        </w:rPr>
      </w:pPr>
      <w:r>
        <w:t xml:space="preserve">Subrule 2.2.9(1) only applies to </w:t>
      </w:r>
      <w:r w:rsidR="00FC367C">
        <w:t xml:space="preserve">a report made under subrule 2.2.1(1). The note to subrule 2.2.9(1) explains </w:t>
      </w:r>
      <w:r w:rsidR="00BE0499">
        <w:t xml:space="preserve">that the subrule does not </w:t>
      </w:r>
      <w:r w:rsidR="00213A27">
        <w:t xml:space="preserve">apply to a </w:t>
      </w:r>
      <w:r w:rsidR="00E93F69">
        <w:t xml:space="preserve">report </w:t>
      </w:r>
      <w:r w:rsidR="009D7EC6">
        <w:t>made under subrule 2.2.1(3) to a</w:t>
      </w:r>
      <w:r w:rsidR="005C6F8D">
        <w:t xml:space="preserve"> prescribed repository</w:t>
      </w:r>
      <w:r w:rsidR="009D7EC6">
        <w:t xml:space="preserve"> – in this situation </w:t>
      </w:r>
      <w:r w:rsidR="00E93F69">
        <w:t xml:space="preserve">the </w:t>
      </w:r>
      <w:proofErr w:type="spellStart"/>
      <w:r w:rsidR="00E93F69">
        <w:t>UTI</w:t>
      </w:r>
      <w:proofErr w:type="spellEnd"/>
      <w:r w:rsidR="00E93F69">
        <w:t xml:space="preserve"> </w:t>
      </w:r>
      <w:r w:rsidR="009F62A6">
        <w:t xml:space="preserve">generating </w:t>
      </w:r>
      <w:r w:rsidR="00E93F69">
        <w:t>requirements</w:t>
      </w:r>
      <w:r w:rsidR="00EB44AB">
        <w:t>, if any</w:t>
      </w:r>
      <w:r w:rsidR="002871AC">
        <w:t>, of the foreign jurisdiction</w:t>
      </w:r>
      <w:r w:rsidR="00E75A2E">
        <w:t>(s)</w:t>
      </w:r>
      <w:r w:rsidR="002871AC">
        <w:t xml:space="preserve"> </w:t>
      </w:r>
      <w:r w:rsidR="006A7CBD">
        <w:t>in which the</w:t>
      </w:r>
      <w:r w:rsidR="00D161C5">
        <w:t xml:space="preserve"> reportable transaction</w:t>
      </w:r>
      <w:r w:rsidR="006A7CBD">
        <w:t xml:space="preserve"> is reported </w:t>
      </w:r>
      <w:r w:rsidR="00507E41">
        <w:t xml:space="preserve">by the </w:t>
      </w:r>
      <w:r w:rsidR="00E60560">
        <w:t xml:space="preserve">reporting entity </w:t>
      </w:r>
      <w:r w:rsidR="006A7CBD">
        <w:t xml:space="preserve">apply. </w:t>
      </w:r>
      <w:r w:rsidR="00BB70F4">
        <w:t xml:space="preserve">The note </w:t>
      </w:r>
      <w:r w:rsidR="00676C8A">
        <w:t xml:space="preserve">also explains that subrule 2.2.9(1) does not apply </w:t>
      </w:r>
      <w:r w:rsidR="00231A11">
        <w:t xml:space="preserve">where the </w:t>
      </w:r>
      <w:r w:rsidR="00D22FCA">
        <w:t>r</w:t>
      </w:r>
      <w:r w:rsidR="00F65ABA">
        <w:t>eporting entity</w:t>
      </w:r>
      <w:r w:rsidR="00231A11">
        <w:t xml:space="preserve"> does not report the</w:t>
      </w:r>
      <w:r w:rsidR="00D161C5">
        <w:t xml:space="preserve"> reportable transaction</w:t>
      </w:r>
      <w:r w:rsidR="00231A11">
        <w:t xml:space="preserve"> in accordance with subparagraph 2.2.1(3)(b)(ii).</w:t>
      </w:r>
    </w:p>
    <w:p w14:paraId="6E50E690" w14:textId="03CE0716" w:rsidR="00231A11" w:rsidRPr="00216A1C" w:rsidRDefault="00231A11" w:rsidP="002E110A">
      <w:pPr>
        <w:pStyle w:val="LI-BodyTextParaa"/>
        <w:numPr>
          <w:ilvl w:val="0"/>
          <w:numId w:val="3"/>
        </w:numPr>
        <w:rPr>
          <w:bCs/>
        </w:rPr>
      </w:pPr>
      <w:r>
        <w:t xml:space="preserve">Subrule 2.2.9(2) </w:t>
      </w:r>
      <w:r w:rsidR="006D3AE6">
        <w:t xml:space="preserve">provides </w:t>
      </w:r>
      <w:r w:rsidR="00693E23">
        <w:t xml:space="preserve">that </w:t>
      </w:r>
      <w:r w:rsidR="001A2699">
        <w:t xml:space="preserve">in Rule 2.2.9, other than subrule (8), a reference to a </w:t>
      </w:r>
      <w:r w:rsidR="00D22FCA">
        <w:t>r</w:t>
      </w:r>
      <w:r w:rsidR="00F65ABA">
        <w:t>eporting entity</w:t>
      </w:r>
      <w:r w:rsidR="001A2699">
        <w:t xml:space="preserve"> that is an RE,</w:t>
      </w:r>
      <w:r w:rsidR="00017179">
        <w:t xml:space="preserve"> trustee</w:t>
      </w:r>
      <w:r w:rsidR="001A2699">
        <w:t>, or corporate director of a CCIV, includes a person appointed by an RE,</w:t>
      </w:r>
      <w:r w:rsidR="00017179">
        <w:t xml:space="preserve"> trustee</w:t>
      </w:r>
      <w:r w:rsidR="001A2699">
        <w:t>, or corporate director of a CCIV to enter into</w:t>
      </w:r>
      <w:r w:rsidR="003E43F4">
        <w:t xml:space="preserve"> OTC derivative</w:t>
      </w:r>
      <w:r w:rsidR="001A2699">
        <w:t>s on behalf of the RE,</w:t>
      </w:r>
      <w:r w:rsidR="00017179">
        <w:t xml:space="preserve"> trustee</w:t>
      </w:r>
      <w:r w:rsidR="001A2699">
        <w:t xml:space="preserve"> or corporate director of a CCIV.</w:t>
      </w:r>
    </w:p>
    <w:p w14:paraId="5D879113" w14:textId="3089AD56" w:rsidR="006215C6" w:rsidRPr="006215C6" w:rsidRDefault="00216A1C" w:rsidP="002E110A">
      <w:pPr>
        <w:pStyle w:val="LI-BodyTextParaa"/>
        <w:numPr>
          <w:ilvl w:val="0"/>
          <w:numId w:val="3"/>
        </w:numPr>
        <w:rPr>
          <w:bCs/>
        </w:rPr>
      </w:pPr>
      <w:r>
        <w:t xml:space="preserve">The </w:t>
      </w:r>
      <w:r w:rsidR="007F71A1">
        <w:t>n</w:t>
      </w:r>
      <w:r w:rsidR="007F71A1" w:rsidRPr="007F71A1">
        <w:t>ote</w:t>
      </w:r>
      <w:r w:rsidR="007F71A1">
        <w:t xml:space="preserve"> to subrule 2.2.9(2) </w:t>
      </w:r>
      <w:r w:rsidR="00896392">
        <w:t>identifies</w:t>
      </w:r>
      <w:r w:rsidR="00346BEF">
        <w:t>, by way of an example,</w:t>
      </w:r>
      <w:r w:rsidR="00896392">
        <w:t xml:space="preserve"> that a </w:t>
      </w:r>
      <w:r w:rsidR="002753A0">
        <w:t>person appointed by an RE,</w:t>
      </w:r>
      <w:r w:rsidR="00017179">
        <w:t xml:space="preserve"> trustee</w:t>
      </w:r>
      <w:r w:rsidR="002753A0">
        <w:t>, or corporate director of a CCIV may be a fund manager</w:t>
      </w:r>
      <w:r w:rsidR="00FD3247" w:rsidRPr="00B25E8C">
        <w:t>—</w:t>
      </w:r>
      <w:r w:rsidR="00FD3247">
        <w:t xml:space="preserve">in which case, the </w:t>
      </w:r>
      <w:r w:rsidR="00D22FCA">
        <w:t>r</w:t>
      </w:r>
      <w:r w:rsidR="00F65ABA">
        <w:t>eporting entity</w:t>
      </w:r>
      <w:r w:rsidR="00FD3247">
        <w:t xml:space="preserve"> or the fund manager may determine the </w:t>
      </w:r>
      <w:proofErr w:type="spellStart"/>
      <w:r w:rsidR="00FD3247">
        <w:t>UTI</w:t>
      </w:r>
      <w:proofErr w:type="spellEnd"/>
      <w:r w:rsidR="00FD3247">
        <w:t xml:space="preserve"> generating entity under subrule (3), generate and provide the </w:t>
      </w:r>
      <w:proofErr w:type="spellStart"/>
      <w:r w:rsidR="00FD3247">
        <w:t>UTI</w:t>
      </w:r>
      <w:proofErr w:type="spellEnd"/>
      <w:r w:rsidR="00FD3247">
        <w:t xml:space="preserve"> to the other counterparty under subrule (4), act upon non-receipt of a </w:t>
      </w:r>
      <w:proofErr w:type="spellStart"/>
      <w:r w:rsidR="00FD3247">
        <w:t>UTI</w:t>
      </w:r>
      <w:proofErr w:type="spellEnd"/>
      <w:r w:rsidR="00FD3247">
        <w:t xml:space="preserve"> under subrule (6) and appoint a service provider under subrule (7).</w:t>
      </w:r>
      <w:r w:rsidR="008659F2">
        <w:t xml:space="preserve"> </w:t>
      </w:r>
      <w:r w:rsidR="00C5787B">
        <w:t xml:space="preserve">The </w:t>
      </w:r>
      <w:r w:rsidR="00142D8B">
        <w:t>actions</w:t>
      </w:r>
      <w:r w:rsidR="002A1B3D">
        <w:t>,</w:t>
      </w:r>
      <w:r w:rsidR="00142D8B">
        <w:t xml:space="preserve"> in relation to a </w:t>
      </w:r>
      <w:proofErr w:type="spellStart"/>
      <w:r w:rsidR="00142D8B">
        <w:t>UTI</w:t>
      </w:r>
      <w:proofErr w:type="spellEnd"/>
      <w:r w:rsidR="002A1B3D">
        <w:t>,</w:t>
      </w:r>
      <w:r w:rsidR="00142D8B">
        <w:t xml:space="preserve"> that must </w:t>
      </w:r>
      <w:r w:rsidR="002A1B3D">
        <w:t xml:space="preserve">be undertaken </w:t>
      </w:r>
      <w:r w:rsidR="00754CED">
        <w:t xml:space="preserve">under Rule 2.2.9 </w:t>
      </w:r>
      <w:r w:rsidR="00415B19">
        <w:t xml:space="preserve">include </w:t>
      </w:r>
      <w:r w:rsidR="002A1B3D">
        <w:t xml:space="preserve">actions that </w:t>
      </w:r>
      <w:r w:rsidR="00A62F80">
        <w:t xml:space="preserve">ordinarily </w:t>
      </w:r>
      <w:r w:rsidR="00253E7D">
        <w:t xml:space="preserve">are </w:t>
      </w:r>
      <w:r w:rsidR="00AC1170">
        <w:t xml:space="preserve">required </w:t>
      </w:r>
      <w:r w:rsidR="00415B19">
        <w:t xml:space="preserve">to be performed </w:t>
      </w:r>
      <w:r w:rsidR="00164DB3">
        <w:t>promptly after the entry into a</w:t>
      </w:r>
      <w:r w:rsidR="00754CED">
        <w:t>n</w:t>
      </w:r>
      <w:r w:rsidR="003E43F4">
        <w:t xml:space="preserve"> OTC derivative</w:t>
      </w:r>
      <w:r w:rsidR="00415B19" w:rsidRPr="00B25E8C">
        <w:t>—</w:t>
      </w:r>
      <w:r w:rsidR="00FF3A3A">
        <w:t xml:space="preserve">the fund manager or other appointed person that </w:t>
      </w:r>
      <w:r w:rsidR="00837B0D">
        <w:t>entered into the</w:t>
      </w:r>
      <w:r w:rsidR="003E43F4">
        <w:t xml:space="preserve"> OTC derivative</w:t>
      </w:r>
      <w:r w:rsidR="00837B0D">
        <w:t xml:space="preserve"> may be</w:t>
      </w:r>
      <w:r w:rsidR="00BE3B4C">
        <w:t xml:space="preserve"> able to </w:t>
      </w:r>
      <w:r w:rsidR="006215C6">
        <w:t>perform the actions</w:t>
      </w:r>
      <w:r w:rsidR="00754CED">
        <w:t xml:space="preserve"> </w:t>
      </w:r>
      <w:r w:rsidR="006215C6">
        <w:t xml:space="preserve">for the </w:t>
      </w:r>
      <w:r w:rsidR="00984F97">
        <w:t>r</w:t>
      </w:r>
      <w:r w:rsidR="00F65ABA">
        <w:t>eporting entity</w:t>
      </w:r>
      <w:r w:rsidR="002735C0">
        <w:t xml:space="preserve"> more efficiently and effectively than the </w:t>
      </w:r>
      <w:r w:rsidR="00984F97">
        <w:t>r</w:t>
      </w:r>
      <w:r w:rsidR="00F65ABA">
        <w:t>eporting entity</w:t>
      </w:r>
      <w:r w:rsidR="002735C0">
        <w:t xml:space="preserve"> itself</w:t>
      </w:r>
      <w:r w:rsidR="006215C6">
        <w:t>.</w:t>
      </w:r>
    </w:p>
    <w:p w14:paraId="581997C4" w14:textId="46501D52" w:rsidR="001443AE" w:rsidRDefault="00CB3D04" w:rsidP="002E110A">
      <w:pPr>
        <w:pStyle w:val="LI-BodyTextParaa"/>
        <w:numPr>
          <w:ilvl w:val="0"/>
          <w:numId w:val="3"/>
        </w:numPr>
      </w:pPr>
      <w:r>
        <w:t xml:space="preserve">Subrule 2.2.9(3) </w:t>
      </w:r>
      <w:r w:rsidR="002A6524">
        <w:t xml:space="preserve">sets out the </w:t>
      </w:r>
      <w:r w:rsidR="00984F97">
        <w:t>r</w:t>
      </w:r>
      <w:r w:rsidR="00F65ABA">
        <w:t>eporting entity</w:t>
      </w:r>
      <w:r w:rsidR="002A6524">
        <w:t xml:space="preserve">’s obligation to determine the </w:t>
      </w:r>
      <w:proofErr w:type="spellStart"/>
      <w:r w:rsidR="002A6524">
        <w:t>UTI</w:t>
      </w:r>
      <w:proofErr w:type="spellEnd"/>
      <w:r w:rsidR="002A6524">
        <w:t xml:space="preserve"> generating entity. </w:t>
      </w:r>
      <w:r w:rsidR="00D4608F">
        <w:t xml:space="preserve">A </w:t>
      </w:r>
      <w:r w:rsidR="00984F97">
        <w:t>r</w:t>
      </w:r>
      <w:r w:rsidR="00F65ABA">
        <w:t>eporting entity</w:t>
      </w:r>
      <w:r w:rsidR="00D4608F">
        <w:t xml:space="preserve"> must </w:t>
      </w:r>
      <w:r w:rsidR="001443AE" w:rsidRPr="001443AE">
        <w:t xml:space="preserve">determine the </w:t>
      </w:r>
      <w:proofErr w:type="spellStart"/>
      <w:r w:rsidR="001443AE" w:rsidRPr="001443AE">
        <w:t>UTI</w:t>
      </w:r>
      <w:proofErr w:type="spellEnd"/>
      <w:r w:rsidR="001443AE" w:rsidRPr="001443AE">
        <w:t xml:space="preserve"> generating entity</w:t>
      </w:r>
      <w:r w:rsidR="001443AE">
        <w:t>:</w:t>
      </w:r>
    </w:p>
    <w:p w14:paraId="34BE86C4" w14:textId="2C07AB51" w:rsidR="00B04419" w:rsidRDefault="001443AE" w:rsidP="002E110A">
      <w:pPr>
        <w:pStyle w:val="LI-BodyTextParaa"/>
        <w:numPr>
          <w:ilvl w:val="1"/>
          <w:numId w:val="3"/>
        </w:numPr>
      </w:pPr>
      <w:r w:rsidRPr="001443AE">
        <w:t>for a</w:t>
      </w:r>
      <w:r w:rsidR="00D161C5">
        <w:t xml:space="preserve"> reportable transaction</w:t>
      </w:r>
      <w:r w:rsidRPr="001443AE">
        <w:t xml:space="preserve"> specified in column 2 of Table 2</w:t>
      </w:r>
      <w:r w:rsidR="000F4805" w:rsidRPr="00B25E8C">
        <w:t>—</w:t>
      </w:r>
      <w:r w:rsidR="00B04419">
        <w:t>which are specified for circumstances of</w:t>
      </w:r>
      <w:r w:rsidR="0059276A">
        <w:t xml:space="preserve"> a</w:t>
      </w:r>
      <w:r w:rsidR="00D161C5">
        <w:t xml:space="preserve"> reportable transaction</w:t>
      </w:r>
      <w:r w:rsidR="006D2A26">
        <w:t xml:space="preserve"> that</w:t>
      </w:r>
      <w:r w:rsidR="00FC21E5">
        <w:t>, in summary:</w:t>
      </w:r>
    </w:p>
    <w:p w14:paraId="478A6E9B" w14:textId="4E5295F6" w:rsidR="006D2A26" w:rsidRDefault="0059276A" w:rsidP="002E110A">
      <w:pPr>
        <w:pStyle w:val="LI-BodyTextParaa"/>
        <w:numPr>
          <w:ilvl w:val="2"/>
          <w:numId w:val="3"/>
        </w:numPr>
      </w:pPr>
      <w:r>
        <w:t xml:space="preserve">is cleared </w:t>
      </w:r>
      <w:r w:rsidR="00B5023C">
        <w:t xml:space="preserve">by an authorised </w:t>
      </w:r>
      <w:r w:rsidR="006D2A26">
        <w:t>clearing facility</w:t>
      </w:r>
      <w:r w:rsidR="00C3328D">
        <w:t xml:space="preserve"> (</w:t>
      </w:r>
      <w:r w:rsidR="0055472B">
        <w:t xml:space="preserve">see </w:t>
      </w:r>
      <w:r w:rsidR="00C3328D">
        <w:t>item 1</w:t>
      </w:r>
      <w:proofErr w:type="gramStart"/>
      <w:r w:rsidR="00C3328D">
        <w:t>)</w:t>
      </w:r>
      <w:r w:rsidR="006D2A26">
        <w:t>;</w:t>
      </w:r>
      <w:proofErr w:type="gramEnd"/>
    </w:p>
    <w:p w14:paraId="55BCCE61" w14:textId="40169169" w:rsidR="00613332" w:rsidRDefault="006D2A26" w:rsidP="002E110A">
      <w:pPr>
        <w:pStyle w:val="LI-BodyTextParaa"/>
        <w:numPr>
          <w:ilvl w:val="2"/>
          <w:numId w:val="3"/>
        </w:numPr>
      </w:pPr>
      <w:r>
        <w:t xml:space="preserve">is </w:t>
      </w:r>
      <w:r w:rsidR="00151142">
        <w:t xml:space="preserve">a transaction between a clearing member of an authorised clearing facility </w:t>
      </w:r>
      <w:r w:rsidR="00191520">
        <w:t xml:space="preserve">(acting in its capacity of a clearing member) and a client </w:t>
      </w:r>
      <w:r w:rsidR="00613332">
        <w:t>of the clearing services of that clearing member</w:t>
      </w:r>
      <w:r w:rsidR="00486CAF">
        <w:t xml:space="preserve"> (</w:t>
      </w:r>
      <w:r w:rsidR="0055472B">
        <w:t xml:space="preserve">see </w:t>
      </w:r>
      <w:r w:rsidR="00486CAF">
        <w:t xml:space="preserve">item </w:t>
      </w:r>
      <w:proofErr w:type="gramStart"/>
      <w:r w:rsidR="00486CAF">
        <w:t>2)</w:t>
      </w:r>
      <w:r w:rsidR="00613332">
        <w:t>;</w:t>
      </w:r>
      <w:proofErr w:type="gramEnd"/>
    </w:p>
    <w:p w14:paraId="4CBB8C45" w14:textId="38B2C2E0" w:rsidR="0057277D" w:rsidRDefault="0057277D" w:rsidP="002E110A">
      <w:pPr>
        <w:pStyle w:val="LI-BodyTextParaa"/>
        <w:numPr>
          <w:ilvl w:val="2"/>
          <w:numId w:val="3"/>
        </w:numPr>
      </w:pPr>
      <w:r>
        <w:lastRenderedPageBreak/>
        <w:t>is entered into through a facility</w:t>
      </w:r>
      <w:r w:rsidR="004E4F3B">
        <w:t xml:space="preserve"> that is an authorised financial market</w:t>
      </w:r>
      <w:r w:rsidR="000107F7">
        <w:t xml:space="preserve"> or, in certain circumstances, not an authorised financial market</w:t>
      </w:r>
      <w:r w:rsidR="00486CAF">
        <w:t xml:space="preserve"> (</w:t>
      </w:r>
      <w:r w:rsidR="0055472B">
        <w:t xml:space="preserve">see </w:t>
      </w:r>
      <w:r w:rsidR="00486CAF">
        <w:t>item 3</w:t>
      </w:r>
      <w:proofErr w:type="gramStart"/>
      <w:r w:rsidR="00486CAF">
        <w:t>)</w:t>
      </w:r>
      <w:r>
        <w:t>;</w:t>
      </w:r>
      <w:proofErr w:type="gramEnd"/>
    </w:p>
    <w:p w14:paraId="21ABE4B2" w14:textId="5A49DBC6" w:rsidR="00116974" w:rsidRDefault="00116974" w:rsidP="002E110A">
      <w:pPr>
        <w:pStyle w:val="LI-BodyTextParaa"/>
        <w:numPr>
          <w:ilvl w:val="2"/>
          <w:numId w:val="3"/>
        </w:numPr>
      </w:pPr>
      <w:r>
        <w:t>is only reportable in this jurisdiction</w:t>
      </w:r>
      <w:r w:rsidR="008B2C16">
        <w:t>, whether by one or both counterparties to the transaction</w:t>
      </w:r>
      <w:r w:rsidR="00486CAF">
        <w:t xml:space="preserve"> (</w:t>
      </w:r>
      <w:r w:rsidR="0055472B">
        <w:t xml:space="preserve">see </w:t>
      </w:r>
      <w:r w:rsidR="00486CAF">
        <w:t>item 4)</w:t>
      </w:r>
      <w:r w:rsidR="008B2C16">
        <w:t>; or</w:t>
      </w:r>
    </w:p>
    <w:p w14:paraId="37E61E36" w14:textId="758A6BE8" w:rsidR="008B2C16" w:rsidRDefault="00A05A5F" w:rsidP="002E110A">
      <w:pPr>
        <w:pStyle w:val="LI-BodyTextParaa"/>
        <w:numPr>
          <w:ilvl w:val="2"/>
          <w:numId w:val="3"/>
        </w:numPr>
      </w:pPr>
      <w:r>
        <w:t>is, or may be, also reportable in a foreign jurisdiction</w:t>
      </w:r>
      <w:r w:rsidR="00486CAF">
        <w:t xml:space="preserve"> (</w:t>
      </w:r>
      <w:r w:rsidR="0055472B">
        <w:t xml:space="preserve">see </w:t>
      </w:r>
      <w:r w:rsidR="00486CAF">
        <w:t>items</w:t>
      </w:r>
      <w:r w:rsidR="00F96AB5">
        <w:t xml:space="preserve"> 5</w:t>
      </w:r>
      <w:r w:rsidR="00F96AB5" w:rsidRPr="00B25E8C">
        <w:t>—</w:t>
      </w:r>
      <w:r w:rsidR="00F96AB5">
        <w:t>8A)</w:t>
      </w:r>
      <w:r w:rsidR="00217B48">
        <w:t>; and</w:t>
      </w:r>
    </w:p>
    <w:p w14:paraId="2B2754C7" w14:textId="7AB33173" w:rsidR="00AB442C" w:rsidRDefault="003E7CB3" w:rsidP="002E110A">
      <w:pPr>
        <w:pStyle w:val="LI-BodyTextParaa"/>
        <w:numPr>
          <w:ilvl w:val="1"/>
          <w:numId w:val="3"/>
        </w:numPr>
      </w:pPr>
      <w:r>
        <w:t>in accordance with column 3 of Table 2</w:t>
      </w:r>
      <w:r w:rsidRPr="00B25E8C">
        <w:t>—</w:t>
      </w:r>
      <w:r>
        <w:t>which specifie</w:t>
      </w:r>
      <w:r w:rsidR="00317476">
        <w:t xml:space="preserve">s the </w:t>
      </w:r>
      <w:proofErr w:type="spellStart"/>
      <w:r w:rsidR="00317476">
        <w:t>UTI</w:t>
      </w:r>
      <w:proofErr w:type="spellEnd"/>
      <w:r w:rsidR="00317476">
        <w:t xml:space="preserve"> generating </w:t>
      </w:r>
      <w:r w:rsidR="00EC7AC5">
        <w:t xml:space="preserve">entity </w:t>
      </w:r>
      <w:r>
        <w:t xml:space="preserve">for </w:t>
      </w:r>
      <w:r w:rsidR="00C425E7">
        <w:t xml:space="preserve">the </w:t>
      </w:r>
      <w:r>
        <w:t>circumstances of a</w:t>
      </w:r>
      <w:r w:rsidR="00D161C5">
        <w:t xml:space="preserve"> reportable transaction</w:t>
      </w:r>
      <w:r>
        <w:t xml:space="preserve"> </w:t>
      </w:r>
      <w:r w:rsidR="00C425E7">
        <w:t>as variously</w:t>
      </w:r>
      <w:r w:rsidR="00C33039">
        <w:t xml:space="preserve"> the</w:t>
      </w:r>
      <w:r w:rsidR="00C425E7">
        <w:t>:</w:t>
      </w:r>
    </w:p>
    <w:p w14:paraId="013AC27B" w14:textId="4F9EF0F8" w:rsidR="00C425E7" w:rsidRDefault="00C425E7" w:rsidP="002E110A">
      <w:pPr>
        <w:pStyle w:val="LI-BodyTextParaa"/>
        <w:numPr>
          <w:ilvl w:val="2"/>
          <w:numId w:val="3"/>
        </w:numPr>
      </w:pPr>
      <w:r>
        <w:t>operator of the authorised clearing facility</w:t>
      </w:r>
      <w:r w:rsidR="00E268AB">
        <w:t xml:space="preserve"> (</w:t>
      </w:r>
      <w:r w:rsidR="0055472B">
        <w:t xml:space="preserve">see </w:t>
      </w:r>
      <w:r w:rsidR="00E268AB">
        <w:t>item 1</w:t>
      </w:r>
      <w:proofErr w:type="gramStart"/>
      <w:r w:rsidR="00E268AB">
        <w:t>)</w:t>
      </w:r>
      <w:r>
        <w:t>;</w:t>
      </w:r>
      <w:proofErr w:type="gramEnd"/>
    </w:p>
    <w:p w14:paraId="6F9F26D9" w14:textId="46AB9E29" w:rsidR="00C425E7" w:rsidRDefault="00C425E7" w:rsidP="002E110A">
      <w:pPr>
        <w:pStyle w:val="LI-BodyTextParaa"/>
        <w:numPr>
          <w:ilvl w:val="2"/>
          <w:numId w:val="3"/>
        </w:numPr>
      </w:pPr>
      <w:r>
        <w:t>clearing member</w:t>
      </w:r>
      <w:r w:rsidR="00E268AB">
        <w:t xml:space="preserve"> (</w:t>
      </w:r>
      <w:r w:rsidR="0055472B">
        <w:t xml:space="preserve">see </w:t>
      </w:r>
      <w:r w:rsidR="00E268AB">
        <w:t>item 2</w:t>
      </w:r>
      <w:proofErr w:type="gramStart"/>
      <w:r w:rsidR="00E268AB">
        <w:t>)</w:t>
      </w:r>
      <w:r>
        <w:t>;</w:t>
      </w:r>
      <w:proofErr w:type="gramEnd"/>
    </w:p>
    <w:p w14:paraId="1AC1B41B" w14:textId="3CFA1E17" w:rsidR="00F62E7F" w:rsidRDefault="004B0B9E" w:rsidP="002E110A">
      <w:pPr>
        <w:pStyle w:val="LI-BodyTextParaa"/>
        <w:numPr>
          <w:ilvl w:val="2"/>
          <w:numId w:val="3"/>
        </w:numPr>
      </w:pPr>
      <w:r>
        <w:t xml:space="preserve">operator of the facility </w:t>
      </w:r>
      <w:r w:rsidR="00F62E7F">
        <w:t>that is an authorised financial market or, in certain circumstances, not an authorised financial market</w:t>
      </w:r>
      <w:r w:rsidR="00E268AB">
        <w:t xml:space="preserve"> (item 3</w:t>
      </w:r>
      <w:proofErr w:type="gramStart"/>
      <w:r w:rsidR="00E268AB">
        <w:t>)</w:t>
      </w:r>
      <w:r w:rsidR="00F62E7F">
        <w:t>;</w:t>
      </w:r>
      <w:proofErr w:type="gramEnd"/>
    </w:p>
    <w:p w14:paraId="0CBF06BD" w14:textId="15874939" w:rsidR="00F96751" w:rsidRDefault="00F96751" w:rsidP="002E110A">
      <w:pPr>
        <w:pStyle w:val="LI-BodyTextParaa"/>
        <w:numPr>
          <w:ilvl w:val="2"/>
          <w:numId w:val="3"/>
        </w:numPr>
      </w:pPr>
      <w:r w:rsidRPr="00C05001">
        <w:t xml:space="preserve">operator of the </w:t>
      </w:r>
      <w:r>
        <w:t>affirmation or confirmation</w:t>
      </w:r>
      <w:r w:rsidRPr="00C05001">
        <w:t xml:space="preserve"> platform</w:t>
      </w:r>
      <w:r w:rsidR="0055472B">
        <w:t xml:space="preserve"> (see item</w:t>
      </w:r>
      <w:r w:rsidR="00490564">
        <w:t>s</w:t>
      </w:r>
      <w:r w:rsidR="0055472B">
        <w:t xml:space="preserve"> 4</w:t>
      </w:r>
      <w:r w:rsidR="00490564">
        <w:t>, 6A</w:t>
      </w:r>
      <w:r w:rsidR="00931FD8">
        <w:t xml:space="preserve"> and 8A</w:t>
      </w:r>
      <w:proofErr w:type="gramStart"/>
      <w:r w:rsidR="00490564">
        <w:t>)</w:t>
      </w:r>
      <w:r>
        <w:t>;</w:t>
      </w:r>
      <w:proofErr w:type="gramEnd"/>
    </w:p>
    <w:p w14:paraId="17BFE3E0" w14:textId="2F4A34F0" w:rsidR="00F96751" w:rsidRDefault="007B2931" w:rsidP="002E110A">
      <w:pPr>
        <w:pStyle w:val="LI-BodyTextParaa"/>
        <w:numPr>
          <w:ilvl w:val="2"/>
          <w:numId w:val="3"/>
        </w:numPr>
      </w:pPr>
      <w:r>
        <w:t>r</w:t>
      </w:r>
      <w:r w:rsidR="00F65ABA">
        <w:t>eporting entity</w:t>
      </w:r>
      <w:r w:rsidR="007029CF">
        <w:t xml:space="preserve"> (see item 4</w:t>
      </w:r>
      <w:proofErr w:type="gramStart"/>
      <w:r w:rsidR="007029CF">
        <w:t>)</w:t>
      </w:r>
      <w:r w:rsidR="00F96751">
        <w:t>;</w:t>
      </w:r>
      <w:proofErr w:type="gramEnd"/>
    </w:p>
    <w:p w14:paraId="6769AB15" w14:textId="37BB3F4D" w:rsidR="001F5F96" w:rsidRDefault="00C33039" w:rsidP="002E110A">
      <w:pPr>
        <w:pStyle w:val="LI-BodyTextParaa"/>
        <w:numPr>
          <w:ilvl w:val="2"/>
          <w:numId w:val="3"/>
        </w:numPr>
      </w:pPr>
      <w:proofErr w:type="spellStart"/>
      <w:r>
        <w:t>UTI</w:t>
      </w:r>
      <w:proofErr w:type="spellEnd"/>
      <w:r>
        <w:t xml:space="preserve"> generating entity determined as agreed by the </w:t>
      </w:r>
      <w:r w:rsidR="007B2931">
        <w:t>r</w:t>
      </w:r>
      <w:r w:rsidR="00F65ABA">
        <w:t>eporting entity</w:t>
      </w:r>
      <w:r>
        <w:t xml:space="preserve"> and the other counterparty</w:t>
      </w:r>
      <w:r w:rsidR="00F14D32">
        <w:t xml:space="preserve"> (see item</w:t>
      </w:r>
      <w:r w:rsidR="00F45491">
        <w:t>s</w:t>
      </w:r>
      <w:r w:rsidR="00F14D32">
        <w:t xml:space="preserve"> 4</w:t>
      </w:r>
      <w:r w:rsidR="00F45491">
        <w:t>, 6A</w:t>
      </w:r>
      <w:r w:rsidR="00931FD8">
        <w:t xml:space="preserve"> and 8A</w:t>
      </w:r>
      <w:proofErr w:type="gramStart"/>
      <w:r w:rsidR="00931FD8">
        <w:t>)</w:t>
      </w:r>
      <w:r w:rsidR="001F5F96">
        <w:t>;</w:t>
      </w:r>
      <w:proofErr w:type="gramEnd"/>
    </w:p>
    <w:p w14:paraId="633C1E9E" w14:textId="4498782B" w:rsidR="00025545" w:rsidRDefault="00025545" w:rsidP="002E110A">
      <w:pPr>
        <w:pStyle w:val="LI-BodyTextParaa"/>
        <w:numPr>
          <w:ilvl w:val="2"/>
          <w:numId w:val="3"/>
        </w:numPr>
      </w:pPr>
      <w:r w:rsidRPr="00025545">
        <w:t xml:space="preserve">counterparty whose LEI with the characters reversed would appear first if the reversed </w:t>
      </w:r>
      <w:proofErr w:type="spellStart"/>
      <w:r w:rsidRPr="00025545">
        <w:t>LEIs</w:t>
      </w:r>
      <w:proofErr w:type="spellEnd"/>
      <w:r w:rsidRPr="00025545">
        <w:t xml:space="preserve"> of the counterparties were sorted in alphanumeric order, or the only counterparty with an LEI</w:t>
      </w:r>
      <w:r w:rsidR="00F14D32">
        <w:t xml:space="preserve"> (see item</w:t>
      </w:r>
      <w:r w:rsidR="00F45491">
        <w:t>s</w:t>
      </w:r>
      <w:r w:rsidR="00F14D32">
        <w:t xml:space="preserve"> 4</w:t>
      </w:r>
      <w:r w:rsidR="00F45491">
        <w:t>, 6A</w:t>
      </w:r>
      <w:r w:rsidR="00817C8C">
        <w:t xml:space="preserve"> and 8A</w:t>
      </w:r>
      <w:proofErr w:type="gramStart"/>
      <w:r w:rsidR="00817C8C">
        <w:t>)</w:t>
      </w:r>
      <w:r>
        <w:t>;</w:t>
      </w:r>
      <w:proofErr w:type="gramEnd"/>
    </w:p>
    <w:p w14:paraId="56599424" w14:textId="0A597AD3" w:rsidR="002759A3" w:rsidRDefault="00E12307" w:rsidP="002E110A">
      <w:pPr>
        <w:pStyle w:val="LI-BodyTextParaa"/>
        <w:numPr>
          <w:ilvl w:val="2"/>
          <w:numId w:val="3"/>
        </w:numPr>
      </w:pPr>
      <w:proofErr w:type="spellStart"/>
      <w:r w:rsidRPr="00E12307">
        <w:t>UTI</w:t>
      </w:r>
      <w:proofErr w:type="spellEnd"/>
      <w:r w:rsidRPr="00E12307">
        <w:t xml:space="preserve"> generating entity determined according to </w:t>
      </w:r>
      <w:r>
        <w:t xml:space="preserve">a </w:t>
      </w:r>
      <w:r w:rsidRPr="00E12307">
        <w:t>method</w:t>
      </w:r>
      <w:r w:rsidR="00F62E7F">
        <w:t xml:space="preserve"> </w:t>
      </w:r>
      <w:r w:rsidR="004E451C" w:rsidRPr="004E451C">
        <w:t>in accordance with the derivative transaction reporting requirements of each of the foreign jurisdiction(s) in which the</w:t>
      </w:r>
      <w:r w:rsidR="00D161C5">
        <w:t xml:space="preserve"> reportable transaction</w:t>
      </w:r>
      <w:r w:rsidR="004E451C" w:rsidRPr="004E451C">
        <w:t xml:space="preserve"> will or may be reported by the </w:t>
      </w:r>
      <w:r w:rsidR="00881051">
        <w:t>r</w:t>
      </w:r>
      <w:r w:rsidR="00F65ABA">
        <w:t>eporting entity</w:t>
      </w:r>
      <w:r w:rsidR="004917B7">
        <w:t xml:space="preserve"> (see item 5</w:t>
      </w:r>
      <w:proofErr w:type="gramStart"/>
      <w:r w:rsidR="004917B7">
        <w:t>)</w:t>
      </w:r>
      <w:r w:rsidR="004E451C">
        <w:t>;</w:t>
      </w:r>
      <w:proofErr w:type="gramEnd"/>
    </w:p>
    <w:p w14:paraId="12F70CEF" w14:textId="77BD95A6" w:rsidR="004E451C" w:rsidRDefault="002759A3" w:rsidP="002E110A">
      <w:pPr>
        <w:pStyle w:val="LI-BodyTextParaa"/>
        <w:numPr>
          <w:ilvl w:val="2"/>
          <w:numId w:val="3"/>
        </w:numPr>
      </w:pPr>
      <w:proofErr w:type="spellStart"/>
      <w:r>
        <w:t>UTI</w:t>
      </w:r>
      <w:proofErr w:type="spellEnd"/>
      <w:r>
        <w:t xml:space="preserve"> generating entity determined </w:t>
      </w:r>
      <w:r w:rsidR="00644D54" w:rsidRPr="00644D54">
        <w:t>according to the derivative transaction reporting requirements of th</w:t>
      </w:r>
      <w:r w:rsidR="00644D54">
        <w:t>e</w:t>
      </w:r>
      <w:r w:rsidR="00644D54" w:rsidRPr="00644D54">
        <w:t xml:space="preserve"> foreign jurisdiction</w:t>
      </w:r>
      <w:r w:rsidR="00CA603C">
        <w:t xml:space="preserve"> </w:t>
      </w:r>
      <w:r w:rsidR="00644D54">
        <w:t xml:space="preserve">with the earliest reporting deadline (see item 7); </w:t>
      </w:r>
      <w:r w:rsidR="00CA603C">
        <w:t>or</w:t>
      </w:r>
    </w:p>
    <w:p w14:paraId="6BB06E17" w14:textId="0E1BCEB4" w:rsidR="001443AE" w:rsidRPr="001443AE" w:rsidRDefault="00BB128E" w:rsidP="002E110A">
      <w:pPr>
        <w:pStyle w:val="LI-BodyTextParaa"/>
        <w:numPr>
          <w:ilvl w:val="2"/>
          <w:numId w:val="3"/>
        </w:numPr>
      </w:pPr>
      <w:r>
        <w:t xml:space="preserve">operator of </w:t>
      </w:r>
      <w:r w:rsidR="00AA03B7">
        <w:t>the</w:t>
      </w:r>
      <w:r w:rsidR="00023A28">
        <w:t xml:space="preserve"> derivative trade repository</w:t>
      </w:r>
      <w:r w:rsidR="00AA03B7">
        <w:t xml:space="preserve"> to which the</w:t>
      </w:r>
      <w:r w:rsidR="00D161C5">
        <w:t xml:space="preserve"> reportable transaction</w:t>
      </w:r>
      <w:r w:rsidR="00AA03B7">
        <w:t xml:space="preserve"> </w:t>
      </w:r>
      <w:r w:rsidR="0079543B">
        <w:t xml:space="preserve">will be reported and </w:t>
      </w:r>
      <w:r w:rsidR="00325110">
        <w:t xml:space="preserve">recorded </w:t>
      </w:r>
      <w:r w:rsidR="00080C12">
        <w:t xml:space="preserve">in the repository records of a single jurisdiction, subject </w:t>
      </w:r>
      <w:r w:rsidR="00A734F5">
        <w:t>to both counterparties satisfying any reasonable requireme</w:t>
      </w:r>
      <w:r w:rsidR="00061B06">
        <w:t xml:space="preserve">nts </w:t>
      </w:r>
      <w:r w:rsidR="00CA603C" w:rsidRPr="00CA603C">
        <w:t xml:space="preserve">for the generation of a </w:t>
      </w:r>
      <w:proofErr w:type="spellStart"/>
      <w:r w:rsidR="00CA603C" w:rsidRPr="00CA603C">
        <w:t>UTI</w:t>
      </w:r>
      <w:proofErr w:type="spellEnd"/>
      <w:r w:rsidR="00CA603C" w:rsidRPr="00CA603C">
        <w:t xml:space="preserve"> by the operator</w:t>
      </w:r>
      <w:r w:rsidR="00817C8C">
        <w:t xml:space="preserve"> (see item 8A)</w:t>
      </w:r>
      <w:r w:rsidR="00CA603C">
        <w:t>.</w:t>
      </w:r>
    </w:p>
    <w:p w14:paraId="54883772" w14:textId="07B9D00B" w:rsidR="00634FE9" w:rsidRDefault="00634FE9" w:rsidP="002E110A">
      <w:pPr>
        <w:pStyle w:val="LI-BodyTextParaa"/>
        <w:numPr>
          <w:ilvl w:val="0"/>
          <w:numId w:val="3"/>
        </w:numPr>
      </w:pPr>
      <w:r>
        <w:t xml:space="preserve">Subrule 2.2.9(3) also requires that </w:t>
      </w:r>
      <w:r w:rsidR="00AB6116">
        <w:t>a</w:t>
      </w:r>
      <w:r>
        <w:t xml:space="preserve"> </w:t>
      </w:r>
      <w:r w:rsidR="00881051">
        <w:t>r</w:t>
      </w:r>
      <w:r w:rsidR="00F65ABA">
        <w:t>eporting entity</w:t>
      </w:r>
      <w:r>
        <w:t xml:space="preserve"> </w:t>
      </w:r>
      <w:r w:rsidRPr="001443AE">
        <w:t>determine</w:t>
      </w:r>
      <w:r w:rsidR="00AB6116">
        <w:t>s</w:t>
      </w:r>
      <w:r w:rsidRPr="001443AE">
        <w:t xml:space="preserve"> the </w:t>
      </w:r>
      <w:proofErr w:type="spellStart"/>
      <w:r w:rsidRPr="001443AE">
        <w:t>UTI</w:t>
      </w:r>
      <w:proofErr w:type="spellEnd"/>
      <w:r w:rsidRPr="001443AE">
        <w:t xml:space="preserve"> generating entity</w:t>
      </w:r>
      <w:r w:rsidR="009E31C9">
        <w:t xml:space="preserve"> using</w:t>
      </w:r>
      <w:r>
        <w:t>:</w:t>
      </w:r>
    </w:p>
    <w:p w14:paraId="4A09FAEB" w14:textId="6CEF718E" w:rsidR="009A0B55" w:rsidRDefault="009A0B55" w:rsidP="002E110A">
      <w:pPr>
        <w:pStyle w:val="LI-BodyTextParaa"/>
        <w:numPr>
          <w:ilvl w:val="1"/>
          <w:numId w:val="3"/>
        </w:numPr>
      </w:pPr>
      <w:r>
        <w:lastRenderedPageBreak/>
        <w:t>the first item of items 1, 2, 3, 4 and 5 of Table 2 that applies to the</w:t>
      </w:r>
      <w:r w:rsidR="00D161C5">
        <w:t xml:space="preserve"> reportable transaction</w:t>
      </w:r>
      <w:r>
        <w:t>; or</w:t>
      </w:r>
    </w:p>
    <w:p w14:paraId="7BEBF62A" w14:textId="25C2A6DD" w:rsidR="009A0B55" w:rsidRDefault="009A0B55" w:rsidP="002E110A">
      <w:pPr>
        <w:pStyle w:val="LI-BodyTextParaa"/>
        <w:numPr>
          <w:ilvl w:val="1"/>
          <w:numId w:val="3"/>
        </w:numPr>
      </w:pPr>
      <w:r>
        <w:t>if items 1, 2, 3, 4 and 5 of Table 2 do not apply to the</w:t>
      </w:r>
      <w:r w:rsidR="00D161C5">
        <w:t xml:space="preserve"> reportable transaction</w:t>
      </w:r>
      <w:r>
        <w:t xml:space="preserve">, any one of items 6, 7 or 8 that the </w:t>
      </w:r>
      <w:r w:rsidR="00881051">
        <w:t>r</w:t>
      </w:r>
      <w:r w:rsidR="00F65ABA">
        <w:t>eporting entity</w:t>
      </w:r>
      <w:r>
        <w:t xml:space="preserve"> believes is applicable having regard to its own reporting requirements in foreign jurisdictions, and its knowledge of, or reasonable assumptions about, the reporting requirements of the other counterparty.</w:t>
      </w:r>
    </w:p>
    <w:p w14:paraId="5614480C" w14:textId="64945A86" w:rsidR="000B0BCF" w:rsidRDefault="00491E9A" w:rsidP="002E110A">
      <w:pPr>
        <w:pStyle w:val="LI-BodyTextParaa"/>
        <w:numPr>
          <w:ilvl w:val="0"/>
          <w:numId w:val="3"/>
        </w:numPr>
      </w:pPr>
      <w:r>
        <w:t>Item</w:t>
      </w:r>
      <w:r w:rsidR="000E5B3B">
        <w:t>s</w:t>
      </w:r>
      <w:r>
        <w:t xml:space="preserve"> 1 and 3</w:t>
      </w:r>
      <w:r w:rsidR="00EC7AC5">
        <w:t xml:space="preserve"> of Table 2</w:t>
      </w:r>
      <w:r>
        <w:t xml:space="preserve"> </w:t>
      </w:r>
      <w:r w:rsidR="00080DFC">
        <w:t>apply to</w:t>
      </w:r>
      <w:r w:rsidR="00D161C5">
        <w:t xml:space="preserve"> reportable transaction</w:t>
      </w:r>
      <w:r w:rsidR="00080DFC">
        <w:t>s</w:t>
      </w:r>
      <w:r w:rsidR="002B7634">
        <w:t xml:space="preserve"> entered into through financial market infrastructures, such as authorised clearing facili</w:t>
      </w:r>
      <w:r w:rsidR="009A6449">
        <w:t xml:space="preserve">ties or authorised financial markets. Item 2 applies </w:t>
      </w:r>
      <w:r w:rsidR="00C713FC">
        <w:t>to a</w:t>
      </w:r>
      <w:r w:rsidR="00D161C5">
        <w:t xml:space="preserve"> reportable transaction</w:t>
      </w:r>
      <w:r w:rsidR="00C713FC">
        <w:t xml:space="preserve"> under the principal</w:t>
      </w:r>
      <w:r w:rsidR="009D60CB">
        <w:t xml:space="preserve"> model</w:t>
      </w:r>
      <w:r w:rsidR="00FE328E">
        <w:t xml:space="preserve"> of client clearing </w:t>
      </w:r>
      <w:r w:rsidR="009D60CB">
        <w:t xml:space="preserve">where the clearing member enters into a </w:t>
      </w:r>
      <w:r w:rsidR="002E1F39">
        <w:t xml:space="preserve">transaction with a </w:t>
      </w:r>
      <w:r w:rsidR="00967394">
        <w:t>client (an item 2</w:t>
      </w:r>
      <w:r w:rsidR="00D161C5">
        <w:t xml:space="preserve"> reportable transaction</w:t>
      </w:r>
      <w:r w:rsidR="00967394">
        <w:t xml:space="preserve">) and </w:t>
      </w:r>
      <w:r w:rsidR="000B0BCF">
        <w:t xml:space="preserve">an equal and offsetting transaction with a </w:t>
      </w:r>
      <w:r w:rsidR="002E1F39">
        <w:t xml:space="preserve">central counterparty </w:t>
      </w:r>
      <w:r w:rsidR="000B0BCF">
        <w:t>(an item 1</w:t>
      </w:r>
      <w:r w:rsidR="00D161C5">
        <w:t xml:space="preserve"> reportable transaction</w:t>
      </w:r>
      <w:r w:rsidR="000B0BCF">
        <w:t>).</w:t>
      </w:r>
    </w:p>
    <w:p w14:paraId="0843ACF8" w14:textId="2A61C0F7" w:rsidR="004962D9" w:rsidRDefault="004E721F" w:rsidP="002E110A">
      <w:pPr>
        <w:pStyle w:val="LI-BodyTextParaa"/>
        <w:numPr>
          <w:ilvl w:val="0"/>
          <w:numId w:val="3"/>
        </w:numPr>
      </w:pPr>
      <w:r>
        <w:t xml:space="preserve">If items 1, 2 and 3 do not apply, </w:t>
      </w:r>
      <w:r w:rsidR="00AD34AF">
        <w:t>the</w:t>
      </w:r>
      <w:r w:rsidR="00D161C5">
        <w:t xml:space="preserve"> reportable transaction</w:t>
      </w:r>
      <w:r w:rsidR="00AD34AF">
        <w:t xml:space="preserve"> </w:t>
      </w:r>
      <w:r w:rsidR="004962D9">
        <w:t>must be either:</w:t>
      </w:r>
    </w:p>
    <w:p w14:paraId="7F27D7C3" w14:textId="77777777" w:rsidR="004962D9" w:rsidRDefault="004962D9" w:rsidP="002E110A">
      <w:pPr>
        <w:pStyle w:val="LI-BodyTextParaa"/>
        <w:numPr>
          <w:ilvl w:val="1"/>
          <w:numId w:val="3"/>
        </w:numPr>
      </w:pPr>
      <w:r>
        <w:t>only reportable in this jurisdiction; or</w:t>
      </w:r>
    </w:p>
    <w:p w14:paraId="1E1EE1D5" w14:textId="77777777" w:rsidR="00455A76" w:rsidRDefault="004962D9" w:rsidP="002E110A">
      <w:pPr>
        <w:pStyle w:val="LI-BodyTextParaa"/>
        <w:numPr>
          <w:ilvl w:val="1"/>
          <w:numId w:val="3"/>
        </w:numPr>
      </w:pPr>
      <w:r>
        <w:t>reportable in this jurisdiction</w:t>
      </w:r>
      <w:r w:rsidR="00CB71DC">
        <w:t xml:space="preserve"> and one or more foreign jurisdictions</w:t>
      </w:r>
      <w:r w:rsidR="00455A76">
        <w:t>.</w:t>
      </w:r>
    </w:p>
    <w:p w14:paraId="43258EB9" w14:textId="756AA020" w:rsidR="00E25DAC" w:rsidRDefault="00455A76" w:rsidP="002E110A">
      <w:pPr>
        <w:pStyle w:val="LI-BodyTextParaa"/>
        <w:numPr>
          <w:ilvl w:val="0"/>
          <w:numId w:val="3"/>
        </w:numPr>
      </w:pPr>
      <w:r>
        <w:t>I</w:t>
      </w:r>
      <w:r w:rsidR="005613B0">
        <w:t xml:space="preserve">tem 4 </w:t>
      </w:r>
      <w:r w:rsidR="00E76D03">
        <w:t xml:space="preserve">applies </w:t>
      </w:r>
      <w:r w:rsidR="00415A4D">
        <w:t xml:space="preserve">if the </w:t>
      </w:r>
      <w:r w:rsidR="009138B1">
        <w:t>r</w:t>
      </w:r>
      <w:r w:rsidR="00F65ABA">
        <w:t>eporting entity</w:t>
      </w:r>
      <w:r w:rsidR="00415A4D">
        <w:t xml:space="preserve"> knows that the</w:t>
      </w:r>
      <w:r w:rsidR="00D161C5">
        <w:t xml:space="preserve"> reportable transaction</w:t>
      </w:r>
      <w:r w:rsidR="00415A4D">
        <w:t xml:space="preserve"> </w:t>
      </w:r>
      <w:r w:rsidR="00D82597">
        <w:t xml:space="preserve">is only reportable in this jurisdiction. </w:t>
      </w:r>
      <w:r w:rsidR="00A834C9">
        <w:t>I</w:t>
      </w:r>
      <w:r w:rsidR="00F00CE6">
        <w:t xml:space="preserve">n this situation, the </w:t>
      </w:r>
      <w:proofErr w:type="spellStart"/>
      <w:r w:rsidR="00F00CE6">
        <w:t>UTI</w:t>
      </w:r>
      <w:proofErr w:type="spellEnd"/>
      <w:r w:rsidR="00F00CE6">
        <w:t xml:space="preserve"> generating entity is </w:t>
      </w:r>
      <w:r w:rsidR="00F75874">
        <w:t xml:space="preserve">determined </w:t>
      </w:r>
      <w:r w:rsidR="008230A9">
        <w:t xml:space="preserve">according to </w:t>
      </w:r>
      <w:r w:rsidR="009A03D3">
        <w:t>different circumstances of the</w:t>
      </w:r>
      <w:r w:rsidR="00D161C5">
        <w:t xml:space="preserve"> reportable transaction</w:t>
      </w:r>
      <w:r w:rsidR="009A03D3">
        <w:t xml:space="preserve"> </w:t>
      </w:r>
      <w:r w:rsidR="00E25DAC">
        <w:t>that are in an order of priority of:</w:t>
      </w:r>
    </w:p>
    <w:p w14:paraId="7E0F98EF" w14:textId="168DD37A" w:rsidR="00E67227" w:rsidRDefault="008A7E66" w:rsidP="002E110A">
      <w:pPr>
        <w:pStyle w:val="LI-BodyTextParaa"/>
        <w:numPr>
          <w:ilvl w:val="1"/>
          <w:numId w:val="3"/>
        </w:numPr>
      </w:pPr>
      <w:r w:rsidRPr="008A7E66">
        <w:t>where the</w:t>
      </w:r>
      <w:r w:rsidR="00D161C5">
        <w:t xml:space="preserve"> reportable transaction</w:t>
      </w:r>
      <w:r w:rsidRPr="008A7E66">
        <w:t xml:space="preserve"> has been, or will be, electronically affirmed or confirmed on an affirmation or confirmation platform and the operator of the affirmation or confirmation platform will generate a </w:t>
      </w:r>
      <w:proofErr w:type="spellStart"/>
      <w:r w:rsidRPr="008A7E66">
        <w:t>UTI</w:t>
      </w:r>
      <w:proofErr w:type="spellEnd"/>
      <w:r w:rsidRPr="00B25E8C">
        <w:t>—</w:t>
      </w:r>
      <w:r>
        <w:t xml:space="preserve">the operator of the </w:t>
      </w:r>
      <w:r w:rsidR="00E67227">
        <w:t xml:space="preserve">affirmation or confirmation </w:t>
      </w:r>
      <w:proofErr w:type="gramStart"/>
      <w:r w:rsidR="00E67227">
        <w:t>platform;</w:t>
      </w:r>
      <w:proofErr w:type="gramEnd"/>
    </w:p>
    <w:p w14:paraId="36501CA6" w14:textId="6867DD24" w:rsidR="00AC189E" w:rsidRDefault="00AC189E" w:rsidP="002E110A">
      <w:pPr>
        <w:pStyle w:val="LI-BodyTextParaa"/>
        <w:numPr>
          <w:ilvl w:val="1"/>
          <w:numId w:val="3"/>
        </w:numPr>
      </w:pPr>
      <w:r w:rsidRPr="00AC189E">
        <w:t xml:space="preserve">if paragraph (a) does not apply and the other counterparty is not a </w:t>
      </w:r>
      <w:r w:rsidR="00B12055">
        <w:t>r</w:t>
      </w:r>
      <w:r w:rsidR="00F65ABA">
        <w:t>eporting entity</w:t>
      </w:r>
      <w:r w:rsidRPr="00AC189E">
        <w:t xml:space="preserve"> or is not required to report the</w:t>
      </w:r>
      <w:r w:rsidR="00D161C5">
        <w:t xml:space="preserve"> reportable transaction</w:t>
      </w:r>
      <w:r w:rsidRPr="00B25E8C">
        <w:t>—</w:t>
      </w:r>
      <w:r w:rsidR="00F65ABA">
        <w:t xml:space="preserve">the reporting </w:t>
      </w:r>
      <w:proofErr w:type="gramStart"/>
      <w:r w:rsidR="00F65ABA">
        <w:t>entity</w:t>
      </w:r>
      <w:r>
        <w:t>;</w:t>
      </w:r>
      <w:proofErr w:type="gramEnd"/>
    </w:p>
    <w:p w14:paraId="302C0C2A" w14:textId="089DEA1A" w:rsidR="00C208FC" w:rsidRDefault="001B2AFF" w:rsidP="002E110A">
      <w:pPr>
        <w:pStyle w:val="LI-BodyTextParaa"/>
        <w:numPr>
          <w:ilvl w:val="1"/>
          <w:numId w:val="3"/>
        </w:numPr>
      </w:pPr>
      <w:r w:rsidRPr="001B2AFF">
        <w:t xml:space="preserve">if paragraphs (a) and (b) do not apply and </w:t>
      </w:r>
      <w:r w:rsidR="00F65ABA">
        <w:t>the reporting entity</w:t>
      </w:r>
      <w:r w:rsidRPr="001B2AFF">
        <w:t xml:space="preserve"> and the other counterparty agree, or agree a method for determining, which of them is the </w:t>
      </w:r>
      <w:proofErr w:type="spellStart"/>
      <w:r w:rsidRPr="001B2AFF">
        <w:t>UTI</w:t>
      </w:r>
      <w:proofErr w:type="spellEnd"/>
      <w:r w:rsidRPr="001B2AFF">
        <w:t xml:space="preserve"> generating entity</w:t>
      </w:r>
      <w:r w:rsidRPr="00B25E8C">
        <w:t>—</w:t>
      </w:r>
      <w:bookmarkStart w:id="29" w:name="_Hlk118377014"/>
      <w:r w:rsidR="00C208FC">
        <w:t xml:space="preserve">the </w:t>
      </w:r>
      <w:proofErr w:type="spellStart"/>
      <w:r w:rsidR="00C208FC">
        <w:t>UTI</w:t>
      </w:r>
      <w:proofErr w:type="spellEnd"/>
      <w:r w:rsidR="00C208FC">
        <w:t xml:space="preserve"> generating entity determined as agreed by </w:t>
      </w:r>
      <w:r w:rsidR="00F65ABA">
        <w:t>the reporting entity</w:t>
      </w:r>
      <w:r w:rsidR="00C208FC">
        <w:t xml:space="preserve"> and the other </w:t>
      </w:r>
      <w:proofErr w:type="gramStart"/>
      <w:r w:rsidR="00C208FC">
        <w:t>counterparty</w:t>
      </w:r>
      <w:bookmarkEnd w:id="29"/>
      <w:r w:rsidR="00C208FC">
        <w:t>;</w:t>
      </w:r>
      <w:proofErr w:type="gramEnd"/>
    </w:p>
    <w:p w14:paraId="08C3F845" w14:textId="41D0C6F3" w:rsidR="00634FE9" w:rsidRDefault="00C208FC" w:rsidP="002E110A">
      <w:pPr>
        <w:pStyle w:val="LI-BodyTextParaa"/>
        <w:numPr>
          <w:ilvl w:val="1"/>
          <w:numId w:val="3"/>
        </w:numPr>
      </w:pPr>
      <w:r>
        <w:t>otherwise</w:t>
      </w:r>
      <w:r w:rsidRPr="00B25E8C">
        <w:t>—</w:t>
      </w:r>
      <w:bookmarkStart w:id="30" w:name="_Hlk118377060"/>
      <w:r w:rsidR="00EA5E8A" w:rsidRPr="00EA5E8A">
        <w:t xml:space="preserve"> </w:t>
      </w:r>
      <w:r w:rsidR="00EA5E8A">
        <w:t>t</w:t>
      </w:r>
      <w:r w:rsidR="00EA5E8A" w:rsidRPr="00257013">
        <w:t xml:space="preserve">he counterparty whose LEI </w:t>
      </w:r>
      <w:r w:rsidR="00EA5E8A">
        <w:t>with the characters reversed (</w:t>
      </w:r>
      <w:r w:rsidR="00EA5E8A" w:rsidRPr="009138B1">
        <w:rPr>
          <w:b/>
          <w:bCs/>
          <w:i/>
          <w:iCs/>
        </w:rPr>
        <w:t>reversed LEI</w:t>
      </w:r>
      <w:r w:rsidR="00EA5E8A">
        <w:t>) would appear</w:t>
      </w:r>
      <w:r w:rsidR="00EA5E8A" w:rsidRPr="00257013">
        <w:t xml:space="preserve"> first</w:t>
      </w:r>
      <w:r w:rsidR="00EA5E8A">
        <w:t xml:space="preserve"> if the reversed </w:t>
      </w:r>
      <w:proofErr w:type="spellStart"/>
      <w:r w:rsidR="00EA5E8A">
        <w:t>LEIs</w:t>
      </w:r>
      <w:proofErr w:type="spellEnd"/>
      <w:r w:rsidR="00EA5E8A">
        <w:t xml:space="preserve"> of the counterparties were sorted in alphanumeric order, or the only counterparty with an LEI</w:t>
      </w:r>
      <w:bookmarkEnd w:id="30"/>
      <w:r w:rsidR="00EA5E8A">
        <w:t>.</w:t>
      </w:r>
    </w:p>
    <w:p w14:paraId="7F24792B" w14:textId="321FBC02" w:rsidR="00196670" w:rsidRDefault="004E721F" w:rsidP="002E110A">
      <w:pPr>
        <w:pStyle w:val="LI-BodyTextParaa"/>
        <w:numPr>
          <w:ilvl w:val="0"/>
          <w:numId w:val="3"/>
        </w:numPr>
      </w:pPr>
      <w:r>
        <w:t>If items 1, 2</w:t>
      </w:r>
      <w:r w:rsidR="00B05E38">
        <w:t>, 3 and 4</w:t>
      </w:r>
      <w:r>
        <w:t xml:space="preserve"> do not apply</w:t>
      </w:r>
      <w:r w:rsidR="0088005F">
        <w:t xml:space="preserve">, </w:t>
      </w:r>
      <w:r w:rsidR="00C46B35">
        <w:t xml:space="preserve">item 5 may apply </w:t>
      </w:r>
      <w:r w:rsidR="001B1F7A">
        <w:t>in the circumstances of the</w:t>
      </w:r>
      <w:r w:rsidR="00D161C5">
        <w:t xml:space="preserve"> reportable transaction</w:t>
      </w:r>
      <w:r w:rsidR="001B1F7A">
        <w:t xml:space="preserve"> that:</w:t>
      </w:r>
    </w:p>
    <w:p w14:paraId="63FB29A3" w14:textId="553E7026" w:rsidR="001A0C42" w:rsidRDefault="00196670" w:rsidP="002E110A">
      <w:pPr>
        <w:pStyle w:val="LI-BodyTextParaa"/>
        <w:numPr>
          <w:ilvl w:val="1"/>
          <w:numId w:val="3"/>
        </w:numPr>
      </w:pPr>
      <w:r>
        <w:lastRenderedPageBreak/>
        <w:t xml:space="preserve">it </w:t>
      </w:r>
      <w:r w:rsidR="009462FE">
        <w:t xml:space="preserve">is </w:t>
      </w:r>
      <w:r>
        <w:t>only reportable in this jurisdiction</w:t>
      </w:r>
      <w:r w:rsidR="00E5343A">
        <w:t xml:space="preserve">, but </w:t>
      </w:r>
      <w:r w:rsidR="00F65ABA">
        <w:t>the reporting entity</w:t>
      </w:r>
      <w:r w:rsidR="00E5343A">
        <w:t xml:space="preserve"> does not know that it is only reportable in this jurisdiction</w:t>
      </w:r>
      <w:r w:rsidR="001A0C42">
        <w:t>; or</w:t>
      </w:r>
    </w:p>
    <w:p w14:paraId="46B22B06" w14:textId="77777777" w:rsidR="00A06C74" w:rsidRDefault="003F5205" w:rsidP="002E110A">
      <w:pPr>
        <w:pStyle w:val="LI-BodyTextParaa"/>
        <w:numPr>
          <w:ilvl w:val="1"/>
          <w:numId w:val="3"/>
        </w:numPr>
      </w:pPr>
      <w:r>
        <w:t xml:space="preserve">it is </w:t>
      </w:r>
      <w:r w:rsidR="00AE215A">
        <w:t xml:space="preserve">or may be </w:t>
      </w:r>
      <w:r w:rsidR="001B1D53">
        <w:t>reportable in a foreign jurisdiction.</w:t>
      </w:r>
    </w:p>
    <w:p w14:paraId="48CD05F3" w14:textId="576144A2" w:rsidR="00EA5C4B" w:rsidRDefault="00DA313A" w:rsidP="002E110A">
      <w:pPr>
        <w:pStyle w:val="LI-BodyTextParaa"/>
        <w:numPr>
          <w:ilvl w:val="0"/>
          <w:numId w:val="3"/>
        </w:numPr>
      </w:pPr>
      <w:r>
        <w:t>It may not be practical</w:t>
      </w:r>
      <w:r w:rsidR="00FB70AB">
        <w:t xml:space="preserve"> for </w:t>
      </w:r>
      <w:r w:rsidR="00F65ABA">
        <w:t>a reporting entity</w:t>
      </w:r>
      <w:r w:rsidR="00FB70AB">
        <w:t xml:space="preserve"> to determine </w:t>
      </w:r>
      <w:r w:rsidR="002D18C7">
        <w:t>all of the reporting requirements of the other counterparty</w:t>
      </w:r>
      <w:r w:rsidR="00471339">
        <w:t xml:space="preserve"> –</w:t>
      </w:r>
      <w:r w:rsidR="003D7950">
        <w:t xml:space="preserve"> </w:t>
      </w:r>
      <w:r w:rsidR="005E64EF">
        <w:t xml:space="preserve">reporting requirements </w:t>
      </w:r>
      <w:r w:rsidR="00736D11">
        <w:t xml:space="preserve">in different jurisdictions </w:t>
      </w:r>
      <w:r w:rsidR="001E45D1">
        <w:t xml:space="preserve">that apply to the other counterparty </w:t>
      </w:r>
      <w:r w:rsidR="00736D11">
        <w:t>depend on a range of factors such as</w:t>
      </w:r>
      <w:r w:rsidR="004F5BE5">
        <w:t xml:space="preserve"> the asset class </w:t>
      </w:r>
      <w:r w:rsidR="00727935">
        <w:t xml:space="preserve">or </w:t>
      </w:r>
      <w:r w:rsidR="004F5BE5">
        <w:t>product type</w:t>
      </w:r>
      <w:r w:rsidR="00727935">
        <w:t xml:space="preserve"> of the transaction, the domicile of an entity, the location of </w:t>
      </w:r>
      <w:r w:rsidR="00D0660B">
        <w:t xml:space="preserve">the person who enters into the transaction </w:t>
      </w:r>
      <w:r w:rsidR="008E3E57">
        <w:t>for the other counterparty</w:t>
      </w:r>
      <w:r w:rsidR="00F1097A">
        <w:t xml:space="preserve"> </w:t>
      </w:r>
      <w:r w:rsidR="00EA5C4B">
        <w:t>and whether the transaction will be cleared.</w:t>
      </w:r>
    </w:p>
    <w:p w14:paraId="5453BF0F" w14:textId="056A3CFC" w:rsidR="00897208" w:rsidRDefault="00B67623" w:rsidP="002E110A">
      <w:pPr>
        <w:pStyle w:val="LI-BodyTextParaa"/>
        <w:numPr>
          <w:ilvl w:val="0"/>
          <w:numId w:val="3"/>
        </w:numPr>
      </w:pPr>
      <w:r>
        <w:t xml:space="preserve">Item 4 and item 5 </w:t>
      </w:r>
      <w:r w:rsidR="00A06C74">
        <w:t xml:space="preserve">do not require </w:t>
      </w:r>
      <w:r w:rsidR="00F65ABA">
        <w:t>a reporting entity</w:t>
      </w:r>
      <w:r w:rsidR="00A06C74">
        <w:t xml:space="preserve"> </w:t>
      </w:r>
      <w:r w:rsidR="00DA313A">
        <w:t>to conclusively determine</w:t>
      </w:r>
      <w:r>
        <w:t xml:space="preserve"> </w:t>
      </w:r>
      <w:r w:rsidR="00EF2E2F">
        <w:t xml:space="preserve">all of the jurisdictions in which the </w:t>
      </w:r>
      <w:r w:rsidR="00093D68">
        <w:t xml:space="preserve">transaction will be reported. If the </w:t>
      </w:r>
      <w:r w:rsidR="002D5FD3">
        <w:t xml:space="preserve">reporting entity </w:t>
      </w:r>
      <w:r w:rsidR="007C1743">
        <w:t>determines that it knows that the transactions is only report</w:t>
      </w:r>
      <w:r w:rsidR="005D3C15">
        <w:t xml:space="preserve">able in this jurisdiction, item 4 applies. If not, item 5 </w:t>
      </w:r>
      <w:r w:rsidR="008E02EA">
        <w:t xml:space="preserve">applies, subject to meeting the </w:t>
      </w:r>
      <w:r w:rsidR="00897208">
        <w:t>requirements in (b) of item 5.</w:t>
      </w:r>
    </w:p>
    <w:p w14:paraId="777A0649" w14:textId="5715CFB1" w:rsidR="001F2D9E" w:rsidRDefault="001C0B99" w:rsidP="002E110A">
      <w:pPr>
        <w:pStyle w:val="LI-BodyTextParaa"/>
        <w:numPr>
          <w:ilvl w:val="0"/>
          <w:numId w:val="3"/>
        </w:numPr>
      </w:pPr>
      <w:r>
        <w:t xml:space="preserve">The condition </w:t>
      </w:r>
      <w:r w:rsidR="0099445E">
        <w:t>(b) of item 5</w:t>
      </w:r>
      <w:r w:rsidR="005452EB">
        <w:t xml:space="preserve"> requires that </w:t>
      </w:r>
      <w:r w:rsidR="00F65ABA">
        <w:t>the reporting entity</w:t>
      </w:r>
      <w:r w:rsidR="00B66F9F" w:rsidRPr="00B66F9F">
        <w:t xml:space="preserve"> and the other counterparty determine the </w:t>
      </w:r>
      <w:proofErr w:type="spellStart"/>
      <w:r w:rsidR="00B66F9F" w:rsidRPr="00B66F9F">
        <w:t>UTI</w:t>
      </w:r>
      <w:proofErr w:type="spellEnd"/>
      <w:r w:rsidR="00B66F9F" w:rsidRPr="00B66F9F">
        <w:t xml:space="preserve"> generating entity in accordance with a method that is in accordance with the derivative transaction reporting requirements of each of the foreign jurisdiction(s) in which the</w:t>
      </w:r>
      <w:r w:rsidR="00D161C5">
        <w:t xml:space="preserve"> reportable transaction</w:t>
      </w:r>
      <w:r w:rsidR="00B66F9F" w:rsidRPr="00B66F9F">
        <w:t xml:space="preserve"> will or may be reported by </w:t>
      </w:r>
      <w:r w:rsidR="00F65ABA">
        <w:t>the reporting entity</w:t>
      </w:r>
      <w:r>
        <w:t>.</w:t>
      </w:r>
    </w:p>
    <w:p w14:paraId="347FE58D" w14:textId="10F34F96" w:rsidR="001A59B9" w:rsidRDefault="004B6429" w:rsidP="002E110A">
      <w:pPr>
        <w:pStyle w:val="LI-BodyTextParaa"/>
        <w:numPr>
          <w:ilvl w:val="0"/>
          <w:numId w:val="3"/>
        </w:numPr>
      </w:pPr>
      <w:r>
        <w:t>T</w:t>
      </w:r>
      <w:r w:rsidR="004C48F6">
        <w:t xml:space="preserve">he method used to determine the </w:t>
      </w:r>
      <w:proofErr w:type="spellStart"/>
      <w:r w:rsidR="004C48F6">
        <w:t>UTI</w:t>
      </w:r>
      <w:proofErr w:type="spellEnd"/>
      <w:r w:rsidR="004C48F6">
        <w:t xml:space="preserve"> generating entity may be any method</w:t>
      </w:r>
      <w:r w:rsidR="00CD360A">
        <w:t xml:space="preserve"> and is not dependent on determining the jurisdiction with the ea</w:t>
      </w:r>
      <w:r w:rsidR="00891D96">
        <w:t>rliest reporting deadline</w:t>
      </w:r>
      <w:r w:rsidR="001A59B9">
        <w:t xml:space="preserve">, but </w:t>
      </w:r>
      <w:r w:rsidR="00891D96">
        <w:t xml:space="preserve">is </w:t>
      </w:r>
      <w:r w:rsidR="001A59B9">
        <w:t>subject to it being:</w:t>
      </w:r>
    </w:p>
    <w:p w14:paraId="112CE66B" w14:textId="63745579" w:rsidR="00607C30" w:rsidRDefault="004B6429" w:rsidP="002E110A">
      <w:pPr>
        <w:pStyle w:val="LI-BodyTextParaa"/>
        <w:numPr>
          <w:ilvl w:val="1"/>
          <w:numId w:val="3"/>
        </w:numPr>
      </w:pPr>
      <w:r>
        <w:t xml:space="preserve">determined by </w:t>
      </w:r>
      <w:r w:rsidR="00F65ABA">
        <w:t>the reporting entity</w:t>
      </w:r>
      <w:r w:rsidR="001A59B9">
        <w:t xml:space="preserve"> and the </w:t>
      </w:r>
      <w:r w:rsidR="00607C30">
        <w:t>other counterparty; and</w:t>
      </w:r>
    </w:p>
    <w:p w14:paraId="017726E5" w14:textId="75CE6CDC" w:rsidR="000B3568" w:rsidRDefault="0092015D" w:rsidP="002E110A">
      <w:pPr>
        <w:pStyle w:val="LI-BodyTextParaa"/>
        <w:numPr>
          <w:ilvl w:val="1"/>
          <w:numId w:val="3"/>
        </w:numPr>
      </w:pPr>
      <w:r w:rsidRPr="0092015D">
        <w:t>in accordance with the derivative transaction reporting requirements of each of the foreign jurisdiction(s) in which the</w:t>
      </w:r>
      <w:r w:rsidR="00D161C5">
        <w:t xml:space="preserve"> reportable transaction</w:t>
      </w:r>
      <w:r w:rsidRPr="0092015D">
        <w:t xml:space="preserve"> will or may be reported by </w:t>
      </w:r>
      <w:r w:rsidR="00F65ABA">
        <w:t>the reporting entity</w:t>
      </w:r>
      <w:r>
        <w:t>.</w:t>
      </w:r>
    </w:p>
    <w:p w14:paraId="11E68156" w14:textId="51CFF7C0" w:rsidR="00A51A48" w:rsidRDefault="0010447F" w:rsidP="002E110A">
      <w:pPr>
        <w:pStyle w:val="LI-BodyTextParaa"/>
        <w:numPr>
          <w:ilvl w:val="0"/>
          <w:numId w:val="3"/>
        </w:numPr>
      </w:pPr>
      <w:r>
        <w:t xml:space="preserve">The condition (b) of item 5 </w:t>
      </w:r>
      <w:r w:rsidR="00E9273A">
        <w:t xml:space="preserve">would not be satisfied </w:t>
      </w:r>
      <w:proofErr w:type="gramStart"/>
      <w:r w:rsidR="00E9273A">
        <w:t>where</w:t>
      </w:r>
      <w:proofErr w:type="gramEnd"/>
      <w:r w:rsidR="00634484">
        <w:t>, for example</w:t>
      </w:r>
      <w:r w:rsidR="00E9273A">
        <w:t>:</w:t>
      </w:r>
    </w:p>
    <w:p w14:paraId="10A39072" w14:textId="34245EC8" w:rsidR="005236A1" w:rsidRDefault="00A51A48" w:rsidP="002E110A">
      <w:pPr>
        <w:pStyle w:val="LI-BodyTextParaa"/>
        <w:numPr>
          <w:ilvl w:val="1"/>
          <w:numId w:val="3"/>
        </w:numPr>
      </w:pPr>
      <w:r>
        <w:t xml:space="preserve">the other counterparty is not </w:t>
      </w:r>
      <w:r w:rsidR="00233C33">
        <w:t xml:space="preserve">a </w:t>
      </w:r>
      <w:r w:rsidR="009138B1">
        <w:t>r</w:t>
      </w:r>
      <w:r w:rsidR="00634484">
        <w:t xml:space="preserve">eporting </w:t>
      </w:r>
      <w:r w:rsidR="009138B1">
        <w:t>e</w:t>
      </w:r>
      <w:r w:rsidR="00634484">
        <w:t xml:space="preserve">ntity under the 2024 Rules and the rules of the foreign jurisdiction under which the other counterparty will report the transaction require </w:t>
      </w:r>
      <w:r w:rsidR="00BF6C4B">
        <w:t xml:space="preserve">that the other counterparty </w:t>
      </w:r>
      <w:r w:rsidR="002A3E5B">
        <w:t xml:space="preserve">determine </w:t>
      </w:r>
      <w:r w:rsidR="00CB7C73">
        <w:t xml:space="preserve">the jurisdiction </w:t>
      </w:r>
      <w:r w:rsidR="00A954CD">
        <w:t xml:space="preserve">with the earliest </w:t>
      </w:r>
      <w:r w:rsidR="00891D96">
        <w:t xml:space="preserve">reporting deadline </w:t>
      </w:r>
      <w:r w:rsidR="002E5C7D">
        <w:t>as a</w:t>
      </w:r>
      <w:r w:rsidR="003C523D">
        <w:t>n explicit</w:t>
      </w:r>
      <w:r w:rsidR="002E5C7D">
        <w:t xml:space="preserve"> step before determining the method </w:t>
      </w:r>
      <w:r w:rsidR="00BF2E57">
        <w:t xml:space="preserve">to determine the </w:t>
      </w:r>
      <w:proofErr w:type="spellStart"/>
      <w:r w:rsidR="00BF2E57">
        <w:t>UTI</w:t>
      </w:r>
      <w:proofErr w:type="spellEnd"/>
      <w:r w:rsidR="00BF2E57">
        <w:t xml:space="preserve"> generating entity </w:t>
      </w:r>
      <w:r w:rsidR="003C523D">
        <w:t>–</w:t>
      </w:r>
      <w:r w:rsidR="00BF2E57">
        <w:t xml:space="preserve"> </w:t>
      </w:r>
      <w:r w:rsidR="003C523D">
        <w:t>the other counterpart</w:t>
      </w:r>
      <w:r w:rsidR="00CC5F02">
        <w:t>y</w:t>
      </w:r>
      <w:r w:rsidR="003C523D">
        <w:t xml:space="preserve"> ma</w:t>
      </w:r>
      <w:r w:rsidR="005236A1">
        <w:t xml:space="preserve">y consider that it cannot apply item </w:t>
      </w:r>
      <w:proofErr w:type="gramStart"/>
      <w:r w:rsidR="005236A1">
        <w:t>5;</w:t>
      </w:r>
      <w:proofErr w:type="gramEnd"/>
      <w:r w:rsidR="005236A1">
        <w:t xml:space="preserve"> and/or</w:t>
      </w:r>
    </w:p>
    <w:p w14:paraId="4DB9E869" w14:textId="20D09DCB" w:rsidR="004E721F" w:rsidRDefault="00F65ABA" w:rsidP="002E110A">
      <w:pPr>
        <w:pStyle w:val="LI-BodyTextParaa"/>
        <w:numPr>
          <w:ilvl w:val="1"/>
          <w:numId w:val="3"/>
        </w:numPr>
      </w:pPr>
      <w:r>
        <w:t>the reporting entity</w:t>
      </w:r>
      <w:r w:rsidR="005236A1">
        <w:t xml:space="preserve"> will also report the transaction in a foreign jurisdiction </w:t>
      </w:r>
      <w:r w:rsidR="001103F1">
        <w:t xml:space="preserve">and the rules of that foreign jurisdiction likewise do not provide that </w:t>
      </w:r>
      <w:r>
        <w:t>the reporting entity</w:t>
      </w:r>
      <w:r w:rsidR="00FE5349">
        <w:t xml:space="preserve"> can apply item 5.</w:t>
      </w:r>
    </w:p>
    <w:p w14:paraId="7015E792" w14:textId="7A87AC31" w:rsidR="004E721F" w:rsidRDefault="0032737D" w:rsidP="002E110A">
      <w:pPr>
        <w:pStyle w:val="LI-BodyTextParaa"/>
        <w:numPr>
          <w:ilvl w:val="0"/>
          <w:numId w:val="3"/>
        </w:numPr>
      </w:pPr>
      <w:r>
        <w:t>If item 5 does not apply, then one of item</w:t>
      </w:r>
      <w:r w:rsidR="0020566A">
        <w:t xml:space="preserve">s 6, 7 and 8 </w:t>
      </w:r>
      <w:r w:rsidR="00631F79">
        <w:t>must apply</w:t>
      </w:r>
      <w:r w:rsidR="00FD0A32">
        <w:t xml:space="preserve">. </w:t>
      </w:r>
      <w:r w:rsidR="000E032C">
        <w:t xml:space="preserve">Subparagraph 2.2.9(3)(b)(ii) </w:t>
      </w:r>
      <w:r w:rsidR="005909C6">
        <w:t xml:space="preserve">provides that </w:t>
      </w:r>
      <w:r w:rsidR="00F65ABA">
        <w:t>the reporting entity</w:t>
      </w:r>
      <w:r w:rsidR="006D1E02">
        <w:t xml:space="preserve"> apply </w:t>
      </w:r>
      <w:r w:rsidR="00BD1D15" w:rsidRPr="00BD1D15">
        <w:t xml:space="preserve">any one of items 6, 7 or 8 that </w:t>
      </w:r>
      <w:r w:rsidR="00F65ABA">
        <w:t>the reporting entity</w:t>
      </w:r>
      <w:r w:rsidR="00BD1D15" w:rsidRPr="00BD1D15">
        <w:t xml:space="preserve"> believes is applicable having regard to its own reporting </w:t>
      </w:r>
      <w:r w:rsidR="00BD1D15" w:rsidRPr="00BD1D15">
        <w:lastRenderedPageBreak/>
        <w:t>requirements in foreign jurisdictions, and its knowledge of, or reasonable assumptions about, the reporting requirements of the other counterparty</w:t>
      </w:r>
      <w:r w:rsidR="00BD1D15">
        <w:t>.</w:t>
      </w:r>
    </w:p>
    <w:p w14:paraId="1F9634F9" w14:textId="37D81F9A" w:rsidR="00003218" w:rsidRDefault="00FB30CD" w:rsidP="002E110A">
      <w:pPr>
        <w:pStyle w:val="LI-BodyTextParaa"/>
        <w:numPr>
          <w:ilvl w:val="0"/>
          <w:numId w:val="3"/>
        </w:numPr>
      </w:pPr>
      <w:r>
        <w:t xml:space="preserve">Items 6, 7 and 8 </w:t>
      </w:r>
      <w:r w:rsidR="0029161C">
        <w:t xml:space="preserve">align with the </w:t>
      </w:r>
      <w:proofErr w:type="spellStart"/>
      <w:r w:rsidR="0029161C">
        <w:t>UTI</w:t>
      </w:r>
      <w:proofErr w:type="spellEnd"/>
      <w:r w:rsidR="0029161C">
        <w:t xml:space="preserve"> Guidance </w:t>
      </w:r>
      <w:r w:rsidR="001E4380">
        <w:t xml:space="preserve">in being applicable depending </w:t>
      </w:r>
      <w:r w:rsidR="00257F12">
        <w:t>on whether this jurisdiction or a foreign jurisdiction is the jurisdiction with the earliest reporting deadline</w:t>
      </w:r>
      <w:r w:rsidR="00D27289">
        <w:t xml:space="preserve"> or if there is no jurisdiction with </w:t>
      </w:r>
      <w:r w:rsidR="007D080D">
        <w:t>an earliest reporting deadline.</w:t>
      </w:r>
    </w:p>
    <w:p w14:paraId="5366F2CC" w14:textId="74772213" w:rsidR="007D080D" w:rsidRDefault="007D080D" w:rsidP="002E110A">
      <w:pPr>
        <w:pStyle w:val="LI-BodyTextParaa"/>
        <w:numPr>
          <w:ilvl w:val="0"/>
          <w:numId w:val="3"/>
        </w:numPr>
      </w:pPr>
      <w:r>
        <w:t xml:space="preserve">At the time of </w:t>
      </w:r>
      <w:r w:rsidR="002A03F7">
        <w:t xml:space="preserve">making the 2024 Rules, </w:t>
      </w:r>
      <w:r w:rsidR="00DC281F">
        <w:t xml:space="preserve">in addition to the practical difficulties </w:t>
      </w:r>
      <w:r w:rsidR="00B40B13">
        <w:t>of</w:t>
      </w:r>
      <w:r w:rsidR="0023163F">
        <w:t xml:space="preserve"> determining all of the jurisdictions in which the </w:t>
      </w:r>
      <w:r w:rsidR="00F138D4">
        <w:t xml:space="preserve">transaction is reportable, </w:t>
      </w:r>
      <w:r w:rsidR="002A03F7">
        <w:t>there is not an international consensus</w:t>
      </w:r>
      <w:r w:rsidR="00131F41">
        <w:t xml:space="preserve"> about how to determine, among the </w:t>
      </w:r>
      <w:r w:rsidR="00F138D4">
        <w:t xml:space="preserve">identified </w:t>
      </w:r>
      <w:r w:rsidR="00131F41">
        <w:t>jurisdictions to which the transaction is reportable, which juris</w:t>
      </w:r>
      <w:r w:rsidR="00CF0216">
        <w:t>diction has the earliest reporting deadline.</w:t>
      </w:r>
    </w:p>
    <w:p w14:paraId="6C8FE1F1" w14:textId="254B86D8" w:rsidR="00B40B13" w:rsidRDefault="00C11EB3" w:rsidP="002E110A">
      <w:pPr>
        <w:pStyle w:val="LI-BodyTextParaa"/>
        <w:numPr>
          <w:ilvl w:val="0"/>
          <w:numId w:val="3"/>
        </w:numPr>
      </w:pPr>
      <w:r>
        <w:t>Given these uncertainties, s</w:t>
      </w:r>
      <w:r w:rsidR="00FA3D08">
        <w:t xml:space="preserve">ubparagraph 2.2.9(3)(b)(ii) </w:t>
      </w:r>
      <w:r w:rsidR="008948BD">
        <w:t xml:space="preserve">only requires that </w:t>
      </w:r>
      <w:r w:rsidR="00F65ABA">
        <w:t>a reporting entity</w:t>
      </w:r>
      <w:r w:rsidR="008948BD">
        <w:t xml:space="preserve"> believes that one of items </w:t>
      </w:r>
      <w:r w:rsidR="00961852">
        <w:t xml:space="preserve">6, 7 or 8 applies </w:t>
      </w:r>
      <w:r w:rsidR="00961852" w:rsidRPr="00961852">
        <w:t>having regard to its own reporting requirements in foreign jurisdictions, and its knowledge of, or reasonable assumptions about, the reporting requirements of the other counterparty</w:t>
      </w:r>
      <w:r w:rsidR="00961852">
        <w:t>.</w:t>
      </w:r>
    </w:p>
    <w:p w14:paraId="742F1808" w14:textId="5D80D4D9" w:rsidR="004E721F" w:rsidRDefault="00AC40EC" w:rsidP="002E110A">
      <w:pPr>
        <w:pStyle w:val="LI-BodyTextParaa"/>
        <w:numPr>
          <w:ilvl w:val="0"/>
          <w:numId w:val="3"/>
        </w:numPr>
      </w:pPr>
      <w:r>
        <w:t xml:space="preserve">If item 6 applies, </w:t>
      </w:r>
      <w:r w:rsidR="00E02849">
        <w:t xml:space="preserve">the </w:t>
      </w:r>
      <w:proofErr w:type="spellStart"/>
      <w:r w:rsidR="00E02849">
        <w:t>UTI</w:t>
      </w:r>
      <w:proofErr w:type="spellEnd"/>
      <w:r w:rsidR="00E02849">
        <w:t xml:space="preserve"> generating entity is determined </w:t>
      </w:r>
      <w:r w:rsidR="00BD324B">
        <w:t xml:space="preserve">under item 6A </w:t>
      </w:r>
      <w:r w:rsidR="00E02849">
        <w:t xml:space="preserve">in the same manner as </w:t>
      </w:r>
      <w:r w:rsidR="007969F6">
        <w:t xml:space="preserve">item </w:t>
      </w:r>
      <w:proofErr w:type="gramStart"/>
      <w:r w:rsidR="007969F6">
        <w:t>4, but</w:t>
      </w:r>
      <w:proofErr w:type="gramEnd"/>
      <w:r w:rsidR="007969F6">
        <w:t xml:space="preserve"> excluding the possibility </w:t>
      </w:r>
      <w:r w:rsidR="00BC4336">
        <w:t xml:space="preserve">that </w:t>
      </w:r>
      <w:r w:rsidR="00F65ABA">
        <w:t>the reporting entity</w:t>
      </w:r>
      <w:r w:rsidR="00BC4336">
        <w:t xml:space="preserve"> is the </w:t>
      </w:r>
      <w:proofErr w:type="spellStart"/>
      <w:r w:rsidR="00BC4336">
        <w:t>UTI</w:t>
      </w:r>
      <w:proofErr w:type="spellEnd"/>
      <w:r w:rsidR="00BC4336">
        <w:t xml:space="preserve"> generating entity as the </w:t>
      </w:r>
      <w:r w:rsidR="00916907">
        <w:t>only entity that will report the transaction.</w:t>
      </w:r>
    </w:p>
    <w:p w14:paraId="4BF42A50" w14:textId="43860CA4" w:rsidR="00916907" w:rsidRDefault="00916907" w:rsidP="002E110A">
      <w:pPr>
        <w:pStyle w:val="LI-BodyTextParaa"/>
        <w:numPr>
          <w:ilvl w:val="0"/>
          <w:numId w:val="3"/>
        </w:numPr>
      </w:pPr>
      <w:r>
        <w:t xml:space="preserve">If item 7 applies, the </w:t>
      </w:r>
      <w:proofErr w:type="spellStart"/>
      <w:r>
        <w:t>UTI</w:t>
      </w:r>
      <w:proofErr w:type="spellEnd"/>
      <w:r>
        <w:t xml:space="preserve"> generating entity is </w:t>
      </w:r>
      <w:r w:rsidR="00BD324B">
        <w:t>determined according to the derivative transaction reporting requirements of the foreign jurisdiction.</w:t>
      </w:r>
    </w:p>
    <w:p w14:paraId="7330145D" w14:textId="43F90DC1" w:rsidR="00BD324B" w:rsidRDefault="00BD324B" w:rsidP="002E110A">
      <w:pPr>
        <w:pStyle w:val="LI-BodyTextParaa"/>
        <w:numPr>
          <w:ilvl w:val="0"/>
          <w:numId w:val="3"/>
        </w:numPr>
      </w:pPr>
      <w:r>
        <w:t xml:space="preserve">If item 8 applies, the </w:t>
      </w:r>
      <w:proofErr w:type="spellStart"/>
      <w:r>
        <w:t>UTI</w:t>
      </w:r>
      <w:proofErr w:type="spellEnd"/>
      <w:r>
        <w:t xml:space="preserve"> generating entity is determined under item 8A</w:t>
      </w:r>
      <w:r w:rsidR="008072DD">
        <w:t xml:space="preserve"> </w:t>
      </w:r>
      <w:r w:rsidR="003264C8">
        <w:t>in an order of priority of:</w:t>
      </w:r>
    </w:p>
    <w:p w14:paraId="781E7CEE" w14:textId="6E48FD43" w:rsidR="000764D4" w:rsidRDefault="00C913AA" w:rsidP="002E110A">
      <w:pPr>
        <w:pStyle w:val="LI-BodyTextParaa"/>
        <w:numPr>
          <w:ilvl w:val="1"/>
          <w:numId w:val="3"/>
        </w:numPr>
      </w:pPr>
      <w:r>
        <w:t>t</w:t>
      </w:r>
      <w:r w:rsidR="00EA49B8" w:rsidRPr="00EA49B8">
        <w:t xml:space="preserve">he </w:t>
      </w:r>
      <w:proofErr w:type="spellStart"/>
      <w:r w:rsidR="00EA49B8" w:rsidRPr="00EA49B8">
        <w:t>UTI</w:t>
      </w:r>
      <w:proofErr w:type="spellEnd"/>
      <w:r w:rsidR="00EA49B8" w:rsidRPr="00EA49B8">
        <w:t xml:space="preserve"> generating entity determined as agreed by </w:t>
      </w:r>
      <w:r w:rsidR="001851CB">
        <w:t>the r</w:t>
      </w:r>
      <w:r w:rsidR="00EA49B8" w:rsidRPr="00EA49B8">
        <w:t xml:space="preserve">eporting </w:t>
      </w:r>
      <w:r w:rsidR="001851CB">
        <w:t>e</w:t>
      </w:r>
      <w:r w:rsidR="00EA49B8" w:rsidRPr="00EA49B8">
        <w:t xml:space="preserve">ntity and the other </w:t>
      </w:r>
      <w:proofErr w:type="gramStart"/>
      <w:r w:rsidR="00EA49B8" w:rsidRPr="00EA49B8">
        <w:t>counterparty</w:t>
      </w:r>
      <w:r w:rsidR="000764D4">
        <w:t>;</w:t>
      </w:r>
      <w:proofErr w:type="gramEnd"/>
    </w:p>
    <w:p w14:paraId="142BB6FE" w14:textId="77777777" w:rsidR="00C913AA" w:rsidRDefault="00C913AA" w:rsidP="002E110A">
      <w:pPr>
        <w:pStyle w:val="LI-BodyTextParaa"/>
        <w:numPr>
          <w:ilvl w:val="1"/>
          <w:numId w:val="3"/>
        </w:numPr>
      </w:pPr>
      <w:r>
        <w:t xml:space="preserve">the </w:t>
      </w:r>
      <w:r w:rsidRPr="00C05001">
        <w:t xml:space="preserve">operator of the </w:t>
      </w:r>
      <w:r>
        <w:t>affirmation or confirmation</w:t>
      </w:r>
      <w:r w:rsidRPr="00C05001">
        <w:t xml:space="preserve"> </w:t>
      </w:r>
      <w:proofErr w:type="gramStart"/>
      <w:r w:rsidRPr="00C05001">
        <w:t>platform</w:t>
      </w:r>
      <w:r>
        <w:t>;</w:t>
      </w:r>
      <w:proofErr w:type="gramEnd"/>
    </w:p>
    <w:p w14:paraId="2BCF9E2E" w14:textId="32727481" w:rsidR="0040630A" w:rsidRDefault="0040630A" w:rsidP="002E110A">
      <w:pPr>
        <w:pStyle w:val="LI-BodyTextParaa"/>
        <w:numPr>
          <w:ilvl w:val="1"/>
          <w:numId w:val="3"/>
        </w:numPr>
      </w:pPr>
      <w:r>
        <w:t>the operator of the</w:t>
      </w:r>
      <w:r w:rsidR="00023A28">
        <w:t xml:space="preserve"> derivative trade repository</w:t>
      </w:r>
      <w:r>
        <w:t>; and</w:t>
      </w:r>
    </w:p>
    <w:p w14:paraId="7E932E1A" w14:textId="77777777" w:rsidR="009D5004" w:rsidRDefault="009D5004" w:rsidP="002E110A">
      <w:pPr>
        <w:pStyle w:val="LI-BodyTextParaa"/>
        <w:numPr>
          <w:ilvl w:val="1"/>
          <w:numId w:val="3"/>
        </w:numPr>
      </w:pPr>
      <w:r>
        <w:t>t</w:t>
      </w:r>
      <w:r w:rsidRPr="00257013">
        <w:t>he counterparty whose</w:t>
      </w:r>
      <w:r>
        <w:t xml:space="preserve"> reversed</w:t>
      </w:r>
      <w:r w:rsidRPr="00257013">
        <w:t xml:space="preserve"> LEI </w:t>
      </w:r>
      <w:r>
        <w:t>would appear</w:t>
      </w:r>
      <w:r w:rsidRPr="00257013">
        <w:t xml:space="preserve"> first</w:t>
      </w:r>
      <w:r>
        <w:t xml:space="preserve"> if the reversed </w:t>
      </w:r>
      <w:proofErr w:type="spellStart"/>
      <w:r>
        <w:t>LEIs</w:t>
      </w:r>
      <w:proofErr w:type="spellEnd"/>
      <w:r>
        <w:t xml:space="preserve"> of the counterparties were sorted in alphanumeric order, or the only counterparty with an LEI.</w:t>
      </w:r>
    </w:p>
    <w:p w14:paraId="72E33A42" w14:textId="5F6E8A5B" w:rsidR="006378BA" w:rsidRDefault="004D56D2" w:rsidP="002E110A">
      <w:pPr>
        <w:pStyle w:val="LI-BodyTextParaa"/>
        <w:numPr>
          <w:ilvl w:val="0"/>
          <w:numId w:val="3"/>
        </w:numPr>
      </w:pPr>
      <w:r>
        <w:t xml:space="preserve">In relation to </w:t>
      </w:r>
      <w:r w:rsidR="00FE3DF7">
        <w:t xml:space="preserve">paragraph </w:t>
      </w:r>
      <w:r w:rsidR="00393C4D">
        <w:t>(c) of item 8A</w:t>
      </w:r>
      <w:r w:rsidR="00C21372">
        <w:t xml:space="preserve">, </w:t>
      </w:r>
      <w:r w:rsidR="00FB7DEB">
        <w:t>a</w:t>
      </w:r>
      <w:r w:rsidR="00023A28">
        <w:t xml:space="preserve"> derivative trade repository</w:t>
      </w:r>
      <w:r w:rsidR="00C21372">
        <w:t xml:space="preserve"> may provide repository services </w:t>
      </w:r>
      <w:r w:rsidR="00260128">
        <w:t>for more than one jurisdiction and holds the reports</w:t>
      </w:r>
      <w:r w:rsidR="004807E8">
        <w:t xml:space="preserve"> </w:t>
      </w:r>
      <w:r w:rsidR="002F6292">
        <w:t xml:space="preserve">for each jurisdiction segregated from each other. </w:t>
      </w:r>
      <w:r w:rsidR="00FE3DF7">
        <w:t>Paragraph</w:t>
      </w:r>
      <w:r w:rsidR="00FB7DEB">
        <w:t xml:space="preserve"> </w:t>
      </w:r>
      <w:r w:rsidR="00FE3DF7">
        <w:t xml:space="preserve">(c) of item 8A only applies to a transaction that is </w:t>
      </w:r>
      <w:r w:rsidR="00947C6C">
        <w:t xml:space="preserve">recorded </w:t>
      </w:r>
      <w:r w:rsidR="006378BA">
        <w:t xml:space="preserve">by </w:t>
      </w:r>
      <w:r w:rsidR="00EB7807">
        <w:t>a</w:t>
      </w:r>
      <w:r w:rsidR="00023A28">
        <w:t xml:space="preserve"> derivative trade repository</w:t>
      </w:r>
      <w:r w:rsidR="006378BA">
        <w:t xml:space="preserve"> </w:t>
      </w:r>
      <w:r w:rsidR="00947C6C">
        <w:t>in the records of a single jurisdiction</w:t>
      </w:r>
      <w:r w:rsidR="006378BA">
        <w:t>.</w:t>
      </w:r>
    </w:p>
    <w:p w14:paraId="545A329A" w14:textId="64D3CD57" w:rsidR="00D4711D" w:rsidRDefault="003D7C47" w:rsidP="002E110A">
      <w:pPr>
        <w:pStyle w:val="LI-BodyTextParaa"/>
        <w:numPr>
          <w:ilvl w:val="0"/>
          <w:numId w:val="3"/>
        </w:numPr>
      </w:pPr>
      <w:r>
        <w:t>Paragraph (c) of item 8A does not prescribe the processes by w</w:t>
      </w:r>
      <w:r w:rsidR="005400B1">
        <w:t xml:space="preserve">hich the </w:t>
      </w:r>
      <w:r w:rsidR="00A95B45">
        <w:t>operator of the</w:t>
      </w:r>
      <w:r w:rsidR="00023A28">
        <w:t xml:space="preserve"> derivative trade repository</w:t>
      </w:r>
      <w:r w:rsidR="005400B1">
        <w:t xml:space="preserve"> generates a </w:t>
      </w:r>
      <w:proofErr w:type="spellStart"/>
      <w:r w:rsidR="005400B1">
        <w:t>UTI</w:t>
      </w:r>
      <w:proofErr w:type="spellEnd"/>
      <w:r w:rsidR="005400B1">
        <w:t xml:space="preserve">. </w:t>
      </w:r>
      <w:r w:rsidR="00D4711D">
        <w:t>The process may be, for example:</w:t>
      </w:r>
    </w:p>
    <w:p w14:paraId="3D993E93" w14:textId="4BB61B37" w:rsidR="00CE594B" w:rsidRDefault="0015158B" w:rsidP="002E110A">
      <w:pPr>
        <w:pStyle w:val="LI-BodyTextParaa"/>
        <w:numPr>
          <w:ilvl w:val="1"/>
          <w:numId w:val="3"/>
        </w:numPr>
      </w:pPr>
      <w:r>
        <w:lastRenderedPageBreak/>
        <w:t xml:space="preserve">reports are submitted without a </w:t>
      </w:r>
      <w:proofErr w:type="spellStart"/>
      <w:r>
        <w:t>UTI</w:t>
      </w:r>
      <w:proofErr w:type="spellEnd"/>
      <w:r>
        <w:t xml:space="preserve"> and the </w:t>
      </w:r>
      <w:r w:rsidR="00A95B45">
        <w:t>operator of the</w:t>
      </w:r>
      <w:r w:rsidR="00023A28">
        <w:t xml:space="preserve"> derivative trade repository</w:t>
      </w:r>
      <w:r>
        <w:t xml:space="preserve"> generates a </w:t>
      </w:r>
      <w:proofErr w:type="spellStart"/>
      <w:r>
        <w:t>UTI</w:t>
      </w:r>
      <w:proofErr w:type="spellEnd"/>
      <w:r>
        <w:t xml:space="preserve"> and assigns it to the records of each of the reports that it has received; or</w:t>
      </w:r>
    </w:p>
    <w:p w14:paraId="2BB0B5BF" w14:textId="18DFBF8A" w:rsidR="002D67B5" w:rsidRDefault="00CE594B" w:rsidP="002E110A">
      <w:pPr>
        <w:pStyle w:val="LI-BodyTextParaa"/>
        <w:numPr>
          <w:ilvl w:val="1"/>
          <w:numId w:val="3"/>
        </w:numPr>
      </w:pPr>
      <w:r>
        <w:t xml:space="preserve">the </w:t>
      </w:r>
      <w:r w:rsidR="00A95B45">
        <w:t>operator of the</w:t>
      </w:r>
      <w:r w:rsidR="00023A28">
        <w:t xml:space="preserve"> derivative trade repository</w:t>
      </w:r>
      <w:r>
        <w:t xml:space="preserve"> requires that </w:t>
      </w:r>
      <w:r w:rsidR="004661E4">
        <w:t>one or both of the counterpart</w:t>
      </w:r>
      <w:r w:rsidR="00D61CF3">
        <w:t>ies</w:t>
      </w:r>
      <w:r w:rsidR="004661E4">
        <w:t xml:space="preserve"> apply to receive a </w:t>
      </w:r>
      <w:proofErr w:type="spellStart"/>
      <w:r w:rsidR="004661E4">
        <w:t>UTI</w:t>
      </w:r>
      <w:proofErr w:type="spellEnd"/>
      <w:r w:rsidR="004661E4">
        <w:t xml:space="preserve"> generated by the </w:t>
      </w:r>
      <w:r w:rsidR="00772228">
        <w:t>operator</w:t>
      </w:r>
      <w:r w:rsidR="004661E4">
        <w:t xml:space="preserve"> and then</w:t>
      </w:r>
      <w:r w:rsidR="00EB7807">
        <w:t xml:space="preserve"> the counterpart</w:t>
      </w:r>
      <w:r w:rsidR="00D61CF3">
        <w:t>ies</w:t>
      </w:r>
      <w:r w:rsidR="004661E4">
        <w:t xml:space="preserve"> </w:t>
      </w:r>
      <w:r w:rsidR="00CB3805">
        <w:t xml:space="preserve">include that </w:t>
      </w:r>
      <w:proofErr w:type="spellStart"/>
      <w:r w:rsidR="00CB3805">
        <w:t>UTI</w:t>
      </w:r>
      <w:proofErr w:type="spellEnd"/>
      <w:r w:rsidR="00CB3805">
        <w:t xml:space="preserve"> in the reports that they </w:t>
      </w:r>
      <w:r w:rsidR="004661E4">
        <w:t>submit</w:t>
      </w:r>
      <w:r w:rsidR="00CB3805">
        <w:t xml:space="preserve"> to the</w:t>
      </w:r>
      <w:r w:rsidR="00023A28">
        <w:t xml:space="preserve"> derivative trade repository</w:t>
      </w:r>
      <w:r w:rsidR="002D67B5">
        <w:t>.</w:t>
      </w:r>
    </w:p>
    <w:p w14:paraId="61181919" w14:textId="266B1231" w:rsidR="00634FE9" w:rsidRDefault="002D67B5" w:rsidP="002E110A">
      <w:pPr>
        <w:pStyle w:val="LI-BodyTextParaa"/>
        <w:numPr>
          <w:ilvl w:val="0"/>
          <w:numId w:val="3"/>
        </w:numPr>
      </w:pPr>
      <w:r>
        <w:t>Subparagraph (</w:t>
      </w:r>
      <w:r w:rsidR="0099322A">
        <w:t>c</w:t>
      </w:r>
      <w:r>
        <w:t>)(ii)</w:t>
      </w:r>
      <w:r w:rsidR="0099322A">
        <w:t xml:space="preserve"> of item 8A</w:t>
      </w:r>
      <w:r>
        <w:t xml:space="preserve"> </w:t>
      </w:r>
      <w:r w:rsidR="00B35DEA">
        <w:t xml:space="preserve">allows that the </w:t>
      </w:r>
      <w:r w:rsidR="00772228">
        <w:t>operator of the</w:t>
      </w:r>
      <w:r w:rsidR="00023A28">
        <w:t xml:space="preserve"> derivative trade repository</w:t>
      </w:r>
      <w:r w:rsidR="00B35DEA">
        <w:t xml:space="preserve"> may require that </w:t>
      </w:r>
      <w:r w:rsidR="00F65ABA">
        <w:t>the reporting entity</w:t>
      </w:r>
      <w:r w:rsidR="005C5B32">
        <w:t xml:space="preserve"> and the other counterpart</w:t>
      </w:r>
      <w:r w:rsidR="00772228">
        <w:t>y</w:t>
      </w:r>
      <w:r w:rsidR="005C5B32">
        <w:t xml:space="preserve"> satisfy requirements</w:t>
      </w:r>
      <w:r w:rsidR="002D6105">
        <w:t xml:space="preserve"> of the operator for the generation of a </w:t>
      </w:r>
      <w:proofErr w:type="spellStart"/>
      <w:r w:rsidR="002D6105">
        <w:t>UTI</w:t>
      </w:r>
      <w:proofErr w:type="spellEnd"/>
      <w:r w:rsidR="002D6105">
        <w:t xml:space="preserve"> (such as applying for a </w:t>
      </w:r>
      <w:proofErr w:type="spellStart"/>
      <w:r w:rsidR="002D6105">
        <w:t>UTI</w:t>
      </w:r>
      <w:proofErr w:type="spellEnd"/>
      <w:r w:rsidR="002D6105">
        <w:t xml:space="preserve"> in a particular manner)</w:t>
      </w:r>
      <w:r w:rsidR="009934ED">
        <w:t>, provided that these requirements are reasonable.</w:t>
      </w:r>
    </w:p>
    <w:p w14:paraId="072ADCA3" w14:textId="20C18E8D" w:rsidR="00145739" w:rsidRPr="00145739" w:rsidRDefault="00E625FD" w:rsidP="002E110A">
      <w:pPr>
        <w:pStyle w:val="LI-BodyTextParaa"/>
        <w:numPr>
          <w:ilvl w:val="0"/>
          <w:numId w:val="3"/>
        </w:numPr>
        <w:rPr>
          <w:bCs/>
        </w:rPr>
      </w:pPr>
      <w:r>
        <w:t xml:space="preserve">Subrule </w:t>
      </w:r>
      <w:r w:rsidR="00FE328F">
        <w:t xml:space="preserve">2.2.9(4) provides that </w:t>
      </w:r>
      <w:r w:rsidR="00D037F8">
        <w:t xml:space="preserve">for the </w:t>
      </w:r>
      <w:r w:rsidR="00D037F8" w:rsidRPr="00C75483">
        <w:t xml:space="preserve">purposes of Item </w:t>
      </w:r>
      <w:r w:rsidR="00D037F8">
        <w:t>6</w:t>
      </w:r>
      <w:r w:rsidR="00D037F8" w:rsidRPr="00C75483">
        <w:t>,</w:t>
      </w:r>
      <w:r w:rsidR="00D037F8">
        <w:t xml:space="preserve"> 7 and 8 in Table 2, </w:t>
      </w:r>
      <w:r w:rsidR="00D037F8" w:rsidRPr="00C75483">
        <w:t xml:space="preserve">the reporting deadline in this jurisdiction </w:t>
      </w:r>
      <w:r w:rsidR="00D037F8">
        <w:t>for a</w:t>
      </w:r>
      <w:r w:rsidR="00D161C5">
        <w:t xml:space="preserve"> reportable transaction</w:t>
      </w:r>
      <w:r w:rsidR="00D037F8">
        <w:t xml:space="preserve"> </w:t>
      </w:r>
      <w:r w:rsidR="00D037F8" w:rsidRPr="00C75483">
        <w:t xml:space="preserve">is </w:t>
      </w:r>
      <w:r w:rsidR="00D037F8">
        <w:t>the end of</w:t>
      </w:r>
      <w:r w:rsidR="00D037F8" w:rsidRPr="00C75483">
        <w:t xml:space="preserve"> the </w:t>
      </w:r>
      <w:r w:rsidR="00D037F8">
        <w:t>second</w:t>
      </w:r>
      <w:r w:rsidR="00D037F8" w:rsidRPr="00C75483">
        <w:t xml:space="preserve"> business day in Sydney after the </w:t>
      </w:r>
      <w:r w:rsidR="00D037F8">
        <w:t>day on which the</w:t>
      </w:r>
      <w:r w:rsidR="00D161C5">
        <w:t xml:space="preserve"> reportable transaction</w:t>
      </w:r>
      <w:r w:rsidR="00D037F8">
        <w:t xml:space="preserve"> occurs.</w:t>
      </w:r>
    </w:p>
    <w:p w14:paraId="4F0A3901" w14:textId="51094858" w:rsidR="007A2A84" w:rsidRPr="007A2A84" w:rsidRDefault="00145739" w:rsidP="002E110A">
      <w:pPr>
        <w:pStyle w:val="LI-BodyTextParaa"/>
        <w:numPr>
          <w:ilvl w:val="0"/>
          <w:numId w:val="3"/>
        </w:numPr>
        <w:rPr>
          <w:bCs/>
        </w:rPr>
      </w:pPr>
      <w:r>
        <w:t xml:space="preserve">The </w:t>
      </w:r>
      <w:r w:rsidR="00CF19BC">
        <w:t xml:space="preserve">general </w:t>
      </w:r>
      <w:r>
        <w:t>reporting deadline under Rule 2.2.</w:t>
      </w:r>
      <w:r w:rsidR="00A93995">
        <w:t xml:space="preserve">3 </w:t>
      </w:r>
      <w:r w:rsidR="00DB63B2">
        <w:t>for a particular</w:t>
      </w:r>
      <w:r w:rsidR="00D161C5">
        <w:t xml:space="preserve"> reportable transaction</w:t>
      </w:r>
      <w:r w:rsidR="00DB63B2">
        <w:t xml:space="preserve"> is </w:t>
      </w:r>
      <w:r w:rsidR="005729C6">
        <w:t xml:space="preserve">referenced to the business days </w:t>
      </w:r>
      <w:r w:rsidR="00246636">
        <w:t>of the jurisdiction in which the</w:t>
      </w:r>
      <w:r w:rsidR="00D161C5">
        <w:t xml:space="preserve"> reportable transaction</w:t>
      </w:r>
      <w:r w:rsidR="00246636">
        <w:t xml:space="preserve"> is entered into</w:t>
      </w:r>
      <w:r w:rsidR="006D2E86">
        <w:t xml:space="preserve"> – it can be that the </w:t>
      </w:r>
      <w:r w:rsidR="00B36392">
        <w:t xml:space="preserve">reporting </w:t>
      </w:r>
      <w:r w:rsidR="006D2E86">
        <w:t>deadline for a</w:t>
      </w:r>
      <w:r w:rsidR="00D161C5">
        <w:t xml:space="preserve"> reportable transaction</w:t>
      </w:r>
      <w:r w:rsidR="00B36392">
        <w:t xml:space="preserve"> </w:t>
      </w:r>
      <w:r w:rsidR="00631B44">
        <w:t>i</w:t>
      </w:r>
      <w:r w:rsidR="00A93995">
        <w:t xml:space="preserve">s </w:t>
      </w:r>
      <w:r w:rsidR="003F59B2">
        <w:t>two business</w:t>
      </w:r>
      <w:r w:rsidR="00385FED">
        <w:t xml:space="preserve"> days in </w:t>
      </w:r>
      <w:r w:rsidR="00B52B80">
        <w:t>the</w:t>
      </w:r>
      <w:r w:rsidR="00385FED">
        <w:t xml:space="preserve"> foreign jurisdiction in which the</w:t>
      </w:r>
      <w:r w:rsidR="00D161C5">
        <w:t xml:space="preserve"> reportable transaction</w:t>
      </w:r>
      <w:r w:rsidR="00385FED">
        <w:t xml:space="preserve"> is en</w:t>
      </w:r>
      <w:r w:rsidR="005E721E">
        <w:t>t</w:t>
      </w:r>
      <w:r w:rsidR="00385FED">
        <w:t xml:space="preserve">ered </w:t>
      </w:r>
      <w:proofErr w:type="gramStart"/>
      <w:r w:rsidR="00385FED">
        <w:t>into</w:t>
      </w:r>
      <w:proofErr w:type="gramEnd"/>
      <w:r w:rsidR="00385FED">
        <w:t xml:space="preserve"> </w:t>
      </w:r>
      <w:r w:rsidR="005E721E">
        <w:t>but this is three Sydney business days</w:t>
      </w:r>
      <w:r w:rsidR="007A2A84">
        <w:t>.</w:t>
      </w:r>
    </w:p>
    <w:p w14:paraId="1FEAFD4B" w14:textId="45A50458" w:rsidR="00FD3247" w:rsidRPr="00FD3247" w:rsidRDefault="007A2A84" w:rsidP="002E110A">
      <w:pPr>
        <w:pStyle w:val="LI-BodyTextParaa"/>
        <w:numPr>
          <w:ilvl w:val="0"/>
          <w:numId w:val="3"/>
        </w:numPr>
        <w:rPr>
          <w:bCs/>
        </w:rPr>
      </w:pPr>
      <w:r>
        <w:t xml:space="preserve">To avoid </w:t>
      </w:r>
      <w:r w:rsidR="00E85C6F">
        <w:t xml:space="preserve">unnecessary complexity in determining, for </w:t>
      </w:r>
      <w:proofErr w:type="spellStart"/>
      <w:r w:rsidR="00E85C6F">
        <w:t>UTI</w:t>
      </w:r>
      <w:proofErr w:type="spellEnd"/>
      <w:r w:rsidR="00E85C6F">
        <w:t xml:space="preserve"> purposes, the </w:t>
      </w:r>
      <w:r w:rsidR="00F56AB5">
        <w:t xml:space="preserve">jurisdiction with the earliest reporting deadline, subrule 2.2.9(4) sets out </w:t>
      </w:r>
      <w:r w:rsidR="00F84791">
        <w:t xml:space="preserve">a singular reporting deadline </w:t>
      </w:r>
      <w:r w:rsidR="00F56AB5">
        <w:t xml:space="preserve">for the </w:t>
      </w:r>
      <w:r w:rsidR="00F56AB5" w:rsidRPr="00C75483">
        <w:t xml:space="preserve">purposes of Item </w:t>
      </w:r>
      <w:r w:rsidR="00F56AB5">
        <w:t>6</w:t>
      </w:r>
      <w:r w:rsidR="00F56AB5" w:rsidRPr="00C75483">
        <w:t>,</w:t>
      </w:r>
      <w:r w:rsidR="00F56AB5">
        <w:t xml:space="preserve"> 7 and 8 in Table 2</w:t>
      </w:r>
      <w:r w:rsidR="000A6B1B">
        <w:t xml:space="preserve"> as</w:t>
      </w:r>
      <w:r w:rsidR="000A6B1B" w:rsidRPr="000A6B1B">
        <w:t xml:space="preserve"> </w:t>
      </w:r>
      <w:r w:rsidR="000A6B1B">
        <w:t>the end of</w:t>
      </w:r>
      <w:r w:rsidR="000A6B1B" w:rsidRPr="00C75483">
        <w:t xml:space="preserve"> the </w:t>
      </w:r>
      <w:r w:rsidR="000A6B1B">
        <w:t>second</w:t>
      </w:r>
      <w:r w:rsidR="000A6B1B" w:rsidRPr="00C75483">
        <w:t xml:space="preserve"> business day in Sydney</w:t>
      </w:r>
      <w:r w:rsidR="002D30E0">
        <w:t>.</w:t>
      </w:r>
    </w:p>
    <w:p w14:paraId="02FF9527" w14:textId="513F49DA" w:rsidR="009C30AD" w:rsidRPr="009C30AD" w:rsidRDefault="00D939C0" w:rsidP="002E110A">
      <w:pPr>
        <w:pStyle w:val="LI-BodyTextParaa"/>
        <w:numPr>
          <w:ilvl w:val="0"/>
          <w:numId w:val="3"/>
        </w:numPr>
        <w:rPr>
          <w:bCs/>
        </w:rPr>
      </w:pPr>
      <w:r>
        <w:t xml:space="preserve">Subrule </w:t>
      </w:r>
      <w:r w:rsidR="00F14927">
        <w:t xml:space="preserve">2.2.9(6) deals with </w:t>
      </w:r>
      <w:r w:rsidR="00221F10">
        <w:t xml:space="preserve">the situation that </w:t>
      </w:r>
      <w:r w:rsidR="00F65ABA">
        <w:t>the reporting entity</w:t>
      </w:r>
      <w:r w:rsidR="009C30AD">
        <w:t xml:space="preserve"> is not the </w:t>
      </w:r>
      <w:proofErr w:type="spellStart"/>
      <w:r w:rsidR="009C30AD">
        <w:t>UTI</w:t>
      </w:r>
      <w:proofErr w:type="spellEnd"/>
      <w:r w:rsidR="009C30AD">
        <w:t xml:space="preserve"> generating entity for the</w:t>
      </w:r>
      <w:r w:rsidR="00D161C5">
        <w:t xml:space="preserve"> reportable transaction</w:t>
      </w:r>
      <w:r w:rsidR="009C30AD">
        <w:t xml:space="preserve"> and does not receive a </w:t>
      </w:r>
      <w:proofErr w:type="spellStart"/>
      <w:r w:rsidR="009C30AD">
        <w:t>UTI</w:t>
      </w:r>
      <w:proofErr w:type="spellEnd"/>
      <w:r w:rsidR="009C30AD">
        <w:t xml:space="preserve"> from the </w:t>
      </w:r>
      <w:proofErr w:type="spellStart"/>
      <w:r w:rsidR="009C30AD">
        <w:t>UTI</w:t>
      </w:r>
      <w:proofErr w:type="spellEnd"/>
      <w:r w:rsidR="009C30AD">
        <w:t xml:space="preserve"> generating entity determined under subrule (3) in sufficient time to enable </w:t>
      </w:r>
      <w:r w:rsidR="00F65ABA">
        <w:t>the reporting entity</w:t>
      </w:r>
      <w:r w:rsidR="009C30AD">
        <w:t xml:space="preserve"> to report the </w:t>
      </w:r>
      <w:proofErr w:type="spellStart"/>
      <w:r w:rsidR="009C30AD">
        <w:t>UTI</w:t>
      </w:r>
      <w:proofErr w:type="spellEnd"/>
      <w:r w:rsidR="009C30AD">
        <w:t xml:space="preserve"> for the</w:t>
      </w:r>
      <w:r w:rsidR="00D161C5">
        <w:t xml:space="preserve"> reportable transaction</w:t>
      </w:r>
      <w:r w:rsidR="009C30AD">
        <w:t xml:space="preserve"> in accordance with Rule 2.2.3.</w:t>
      </w:r>
    </w:p>
    <w:p w14:paraId="49D58A80" w14:textId="74A5ABFA" w:rsidR="00F441C5" w:rsidRPr="00F441C5" w:rsidRDefault="000459E5" w:rsidP="002E110A">
      <w:pPr>
        <w:pStyle w:val="LI-BodyTextParaa"/>
        <w:numPr>
          <w:ilvl w:val="0"/>
          <w:numId w:val="3"/>
        </w:numPr>
        <w:rPr>
          <w:bCs/>
        </w:rPr>
      </w:pPr>
      <w:r>
        <w:t>Paragraph 2.2.9(6)(a) deals with the temporary non-rec</w:t>
      </w:r>
      <w:r w:rsidR="007879CF">
        <w:t xml:space="preserve">eipt of a </w:t>
      </w:r>
      <w:proofErr w:type="spellStart"/>
      <w:r w:rsidR="007879CF">
        <w:t>UTI</w:t>
      </w:r>
      <w:proofErr w:type="spellEnd"/>
      <w:r w:rsidR="007879CF">
        <w:t xml:space="preserve"> from the </w:t>
      </w:r>
      <w:proofErr w:type="spellStart"/>
      <w:r w:rsidR="007879CF">
        <w:t>UTI</w:t>
      </w:r>
      <w:proofErr w:type="spellEnd"/>
      <w:r w:rsidR="007879CF">
        <w:t xml:space="preserve"> generating entity </w:t>
      </w:r>
      <w:r w:rsidR="00C53E02">
        <w:t xml:space="preserve">(such as where the </w:t>
      </w:r>
      <w:proofErr w:type="spellStart"/>
      <w:r w:rsidR="00C53E02">
        <w:t>UTI</w:t>
      </w:r>
      <w:proofErr w:type="spellEnd"/>
      <w:r w:rsidR="00C53E02">
        <w:t xml:space="preserve"> generating entity does not promptly provide the </w:t>
      </w:r>
      <w:proofErr w:type="spellStart"/>
      <w:r w:rsidR="00C53E02">
        <w:t>UTI</w:t>
      </w:r>
      <w:proofErr w:type="spellEnd"/>
      <w:r w:rsidR="00C53E02">
        <w:t xml:space="preserve"> to </w:t>
      </w:r>
      <w:r w:rsidR="00F65ABA">
        <w:t>the reporting entity</w:t>
      </w:r>
      <w:r w:rsidR="00C53E02">
        <w:t>)</w:t>
      </w:r>
      <w:r w:rsidR="00FF68F3">
        <w:t>.</w:t>
      </w:r>
      <w:r w:rsidR="00C53E02">
        <w:t xml:space="preserve"> </w:t>
      </w:r>
      <w:r w:rsidR="00FF68F3">
        <w:t>P</w:t>
      </w:r>
      <w:r w:rsidR="007879CF">
        <w:t>aragraph</w:t>
      </w:r>
      <w:r w:rsidR="00C53E02">
        <w:t>s</w:t>
      </w:r>
      <w:r w:rsidR="007879CF">
        <w:t xml:space="preserve"> 2.2.9(6)(b)</w:t>
      </w:r>
      <w:r w:rsidR="00936177">
        <w:t xml:space="preserve"> and (c) deal with the permanent non-</w:t>
      </w:r>
      <w:r w:rsidR="00C53E02">
        <w:t xml:space="preserve">receipt of a </w:t>
      </w:r>
      <w:proofErr w:type="spellStart"/>
      <w:r w:rsidR="00C53E02">
        <w:t>UTI</w:t>
      </w:r>
      <w:proofErr w:type="spellEnd"/>
      <w:r w:rsidR="00C53E02">
        <w:t xml:space="preserve"> from the </w:t>
      </w:r>
      <w:proofErr w:type="spellStart"/>
      <w:r w:rsidR="00C53E02">
        <w:t>UTI</w:t>
      </w:r>
      <w:proofErr w:type="spellEnd"/>
      <w:r w:rsidR="00C53E02">
        <w:t xml:space="preserve"> generating entity </w:t>
      </w:r>
      <w:r w:rsidR="00DD326F">
        <w:t>(such as whe</w:t>
      </w:r>
      <w:r w:rsidR="007B5D7D">
        <w:t>re</w:t>
      </w:r>
      <w:r w:rsidR="00DD326F">
        <w:t>, for example</w:t>
      </w:r>
      <w:r w:rsidR="00C04436">
        <w:t xml:space="preserve">, a foreign central counterparty is </w:t>
      </w:r>
      <w:r w:rsidR="00F340F6">
        <w:t xml:space="preserve">determined </w:t>
      </w:r>
      <w:r w:rsidR="007E3AA3">
        <w:t xml:space="preserve">under the 2024 Rules to be the </w:t>
      </w:r>
      <w:proofErr w:type="spellStart"/>
      <w:r w:rsidR="00C04436">
        <w:t>UTI</w:t>
      </w:r>
      <w:proofErr w:type="spellEnd"/>
      <w:r w:rsidR="00C04436">
        <w:t xml:space="preserve"> generating </w:t>
      </w:r>
      <w:proofErr w:type="gramStart"/>
      <w:r w:rsidR="00C04436">
        <w:t>entity</w:t>
      </w:r>
      <w:proofErr w:type="gramEnd"/>
      <w:r w:rsidR="00C04436">
        <w:t xml:space="preserve"> </w:t>
      </w:r>
      <w:r w:rsidR="00D93699">
        <w:t xml:space="preserve">but the foreign jurisdiction of the central </w:t>
      </w:r>
      <w:r w:rsidR="00DC402A">
        <w:t xml:space="preserve">counterparty does not impose </w:t>
      </w:r>
      <w:proofErr w:type="spellStart"/>
      <w:r w:rsidR="00DC402A">
        <w:t>UTI</w:t>
      </w:r>
      <w:proofErr w:type="spellEnd"/>
      <w:r w:rsidR="00DC402A">
        <w:t xml:space="preserve"> generation obligations on the central counterp</w:t>
      </w:r>
      <w:r w:rsidR="00F340F6">
        <w:t>arty).</w:t>
      </w:r>
    </w:p>
    <w:p w14:paraId="202F3A73" w14:textId="735C8190" w:rsidR="00F441C5" w:rsidRPr="008F1A11" w:rsidRDefault="00874662" w:rsidP="002E110A">
      <w:pPr>
        <w:pStyle w:val="LI-BodyTextParaa"/>
        <w:numPr>
          <w:ilvl w:val="0"/>
          <w:numId w:val="3"/>
        </w:numPr>
        <w:rPr>
          <w:bCs/>
        </w:rPr>
      </w:pPr>
      <w:r>
        <w:rPr>
          <w:bCs/>
        </w:rPr>
        <w:t xml:space="preserve">The </w:t>
      </w:r>
      <w:r w:rsidR="00757680">
        <w:rPr>
          <w:bCs/>
        </w:rPr>
        <w:t xml:space="preserve">expression </w:t>
      </w:r>
      <w:r>
        <w:rPr>
          <w:bCs/>
        </w:rPr>
        <w:t>“</w:t>
      </w:r>
      <w:r w:rsidR="00BA6758">
        <w:rPr>
          <w:bCs/>
        </w:rPr>
        <w:t xml:space="preserve">in </w:t>
      </w:r>
      <w:r w:rsidR="00F441C5">
        <w:rPr>
          <w:bCs/>
        </w:rPr>
        <w:t>sufficient time</w:t>
      </w:r>
      <w:r>
        <w:rPr>
          <w:bCs/>
        </w:rPr>
        <w:t>”</w:t>
      </w:r>
      <w:r w:rsidR="00F441C5">
        <w:rPr>
          <w:bCs/>
        </w:rPr>
        <w:t xml:space="preserve"> is not defined in specific temporal terms but rather in relation to sufficient time to enable </w:t>
      </w:r>
      <w:r w:rsidR="00F65ABA">
        <w:rPr>
          <w:bCs/>
        </w:rPr>
        <w:t>the reporting entity</w:t>
      </w:r>
      <w:r w:rsidR="00F441C5">
        <w:rPr>
          <w:bCs/>
        </w:rPr>
        <w:t xml:space="preserve"> to </w:t>
      </w:r>
      <w:r w:rsidR="00F441C5">
        <w:t xml:space="preserve">report the </w:t>
      </w:r>
      <w:proofErr w:type="spellStart"/>
      <w:r w:rsidR="00F441C5">
        <w:t>UTI</w:t>
      </w:r>
      <w:proofErr w:type="spellEnd"/>
      <w:r w:rsidR="00F441C5">
        <w:t xml:space="preserve"> for the</w:t>
      </w:r>
      <w:r w:rsidR="00D161C5">
        <w:t xml:space="preserve"> reportable transaction</w:t>
      </w:r>
      <w:r w:rsidR="00F441C5">
        <w:t xml:space="preserve"> in accordance with the requirements of Rule 2.2.3. It is anticipated that</w:t>
      </w:r>
      <w:r w:rsidR="00F65ABA">
        <w:t xml:space="preserve"> reporting entities</w:t>
      </w:r>
      <w:r w:rsidR="00F441C5">
        <w:t xml:space="preserve"> will have </w:t>
      </w:r>
      <w:r w:rsidR="005F698F">
        <w:t xml:space="preserve">capabilities to delay the </w:t>
      </w:r>
      <w:r w:rsidR="003C7576">
        <w:t xml:space="preserve">ordinary </w:t>
      </w:r>
      <w:r w:rsidR="005F698F">
        <w:t xml:space="preserve">reporting of a transaction </w:t>
      </w:r>
      <w:r w:rsidR="000D301D">
        <w:t xml:space="preserve">pending receipt of a </w:t>
      </w:r>
      <w:proofErr w:type="spellStart"/>
      <w:r w:rsidR="000D301D">
        <w:t>UTI</w:t>
      </w:r>
      <w:proofErr w:type="spellEnd"/>
      <w:r w:rsidR="000D301D">
        <w:t xml:space="preserve"> </w:t>
      </w:r>
      <w:r w:rsidR="00654170">
        <w:t xml:space="preserve">to the extent that </w:t>
      </w:r>
      <w:r w:rsidR="00654170">
        <w:lastRenderedPageBreak/>
        <w:t xml:space="preserve">this delay does not unduly disrupt </w:t>
      </w:r>
      <w:r w:rsidR="006E2F7E">
        <w:t xml:space="preserve">the transaction reporting processes of </w:t>
      </w:r>
      <w:r w:rsidR="00F65ABA">
        <w:t>the reporting entity</w:t>
      </w:r>
      <w:r w:rsidR="006E2F7E">
        <w:t>.</w:t>
      </w:r>
    </w:p>
    <w:p w14:paraId="6849864E" w14:textId="3EE36B4C" w:rsidR="00E703A8" w:rsidRDefault="001F22A1" w:rsidP="002E110A">
      <w:pPr>
        <w:pStyle w:val="LI-BodyTextParaa"/>
        <w:numPr>
          <w:ilvl w:val="0"/>
          <w:numId w:val="3"/>
        </w:numPr>
        <w:rPr>
          <w:bCs/>
        </w:rPr>
      </w:pPr>
      <w:r w:rsidRPr="00B24394">
        <w:rPr>
          <w:bCs/>
        </w:rPr>
        <w:t xml:space="preserve">Under </w:t>
      </w:r>
      <w:r w:rsidR="00912C98">
        <w:rPr>
          <w:bCs/>
        </w:rPr>
        <w:t>subrule</w:t>
      </w:r>
      <w:r w:rsidR="00912C98" w:rsidRPr="00B24394">
        <w:rPr>
          <w:bCs/>
        </w:rPr>
        <w:t xml:space="preserve"> </w:t>
      </w:r>
      <w:r w:rsidR="003F73F7" w:rsidRPr="00B24394">
        <w:rPr>
          <w:bCs/>
        </w:rPr>
        <w:t>2.2.9(6)</w:t>
      </w:r>
      <w:r w:rsidR="00E703A8">
        <w:rPr>
          <w:bCs/>
        </w:rPr>
        <w:t>:</w:t>
      </w:r>
    </w:p>
    <w:p w14:paraId="109D9829" w14:textId="418CE026" w:rsidR="00B24394" w:rsidRPr="003507E3" w:rsidRDefault="00B24394" w:rsidP="0018336F">
      <w:pPr>
        <w:pStyle w:val="LI-BodyTextParaa"/>
        <w:numPr>
          <w:ilvl w:val="1"/>
          <w:numId w:val="3"/>
        </w:numPr>
        <w:rPr>
          <w:bCs/>
        </w:rPr>
      </w:pPr>
      <w:r w:rsidRPr="00303E1C">
        <w:rPr>
          <w:bCs/>
        </w:rPr>
        <w:t xml:space="preserve">if </w:t>
      </w:r>
      <w:r w:rsidR="00F65ABA">
        <w:rPr>
          <w:bCs/>
        </w:rPr>
        <w:t>the reporting entity</w:t>
      </w:r>
      <w:r w:rsidRPr="00D84E5B">
        <w:rPr>
          <w:bCs/>
        </w:rPr>
        <w:t xml:space="preserve"> reasonably believes that it will, at a later time, receive the </w:t>
      </w:r>
      <w:proofErr w:type="spellStart"/>
      <w:r w:rsidRPr="00D84E5B">
        <w:rPr>
          <w:bCs/>
        </w:rPr>
        <w:t>UTI</w:t>
      </w:r>
      <w:proofErr w:type="spellEnd"/>
      <w:r w:rsidRPr="00D84E5B">
        <w:rPr>
          <w:bCs/>
        </w:rPr>
        <w:t xml:space="preserve"> from the </w:t>
      </w:r>
      <w:proofErr w:type="spellStart"/>
      <w:r w:rsidRPr="00D84E5B">
        <w:rPr>
          <w:bCs/>
        </w:rPr>
        <w:t>UTI</w:t>
      </w:r>
      <w:proofErr w:type="spellEnd"/>
      <w:r w:rsidRPr="00D84E5B">
        <w:rPr>
          <w:bCs/>
        </w:rPr>
        <w:t xml:space="preserve"> generating entity determined under subrule (3), </w:t>
      </w:r>
      <w:r w:rsidR="00F65ABA">
        <w:rPr>
          <w:bCs/>
        </w:rPr>
        <w:t>the reporting entity</w:t>
      </w:r>
      <w:r w:rsidRPr="00D84E5B">
        <w:rPr>
          <w:bCs/>
        </w:rPr>
        <w:t xml:space="preserve"> must generate a </w:t>
      </w:r>
      <w:proofErr w:type="spellStart"/>
      <w:r w:rsidRPr="00D84E5B">
        <w:rPr>
          <w:bCs/>
        </w:rPr>
        <w:t>UTI</w:t>
      </w:r>
      <w:proofErr w:type="spellEnd"/>
      <w:r w:rsidRPr="00D84E5B">
        <w:rPr>
          <w:bCs/>
        </w:rPr>
        <w:t xml:space="preserve"> and report that </w:t>
      </w:r>
      <w:proofErr w:type="spellStart"/>
      <w:r w:rsidRPr="00D84E5B">
        <w:rPr>
          <w:bCs/>
        </w:rPr>
        <w:t>UTI</w:t>
      </w:r>
      <w:proofErr w:type="spellEnd"/>
      <w:r w:rsidRPr="00D84E5B">
        <w:rPr>
          <w:bCs/>
        </w:rPr>
        <w:t xml:space="preserve"> for the</w:t>
      </w:r>
      <w:r w:rsidR="00D161C5">
        <w:rPr>
          <w:bCs/>
        </w:rPr>
        <w:t xml:space="preserve"> reportable transaction</w:t>
      </w:r>
      <w:r w:rsidRPr="00D84E5B">
        <w:rPr>
          <w:bCs/>
        </w:rPr>
        <w:t xml:space="preserve"> in accordance with this </w:t>
      </w:r>
      <w:proofErr w:type="gramStart"/>
      <w:r w:rsidRPr="00D84E5B">
        <w:rPr>
          <w:bCs/>
        </w:rPr>
        <w:t>Part;</w:t>
      </w:r>
      <w:proofErr w:type="gramEnd"/>
    </w:p>
    <w:p w14:paraId="01E21F37" w14:textId="2A173FF2" w:rsidR="00303E1C" w:rsidRDefault="00303E1C" w:rsidP="00031176">
      <w:pPr>
        <w:pStyle w:val="LI-BodyTextParaa"/>
        <w:numPr>
          <w:ilvl w:val="1"/>
          <w:numId w:val="3"/>
        </w:numPr>
      </w:pPr>
      <w:r>
        <w:t xml:space="preserve">if </w:t>
      </w:r>
      <w:r w:rsidR="00F65ABA">
        <w:t>the reporting entity</w:t>
      </w:r>
      <w:r>
        <w:t xml:space="preserve"> reasonably believes that it will not receive the </w:t>
      </w:r>
      <w:proofErr w:type="spellStart"/>
      <w:r>
        <w:t>UTI</w:t>
      </w:r>
      <w:proofErr w:type="spellEnd"/>
      <w:r>
        <w:t xml:space="preserve"> from the </w:t>
      </w:r>
      <w:proofErr w:type="spellStart"/>
      <w:r>
        <w:t>UTI</w:t>
      </w:r>
      <w:proofErr w:type="spellEnd"/>
      <w:r>
        <w:t xml:space="preserve"> generating entity determined under subrule (3), </w:t>
      </w:r>
      <w:r w:rsidR="00F65ABA">
        <w:t>the reporting entity</w:t>
      </w:r>
      <w:r>
        <w:t xml:space="preserve"> must use its best endeavours to determine the </w:t>
      </w:r>
      <w:proofErr w:type="spellStart"/>
      <w:r>
        <w:t>UTI</w:t>
      </w:r>
      <w:proofErr w:type="spellEnd"/>
      <w:r>
        <w:t xml:space="preserve"> generating entity (new </w:t>
      </w:r>
      <w:proofErr w:type="spellStart"/>
      <w:r>
        <w:t>UTI</w:t>
      </w:r>
      <w:proofErr w:type="spellEnd"/>
      <w:r>
        <w:t xml:space="preserve"> generating entity) according to the next applicable item in Table 2 in subrule (3); and</w:t>
      </w:r>
    </w:p>
    <w:p w14:paraId="48F3BF2B" w14:textId="02CC1148" w:rsidR="003507E3" w:rsidRDefault="003507E3" w:rsidP="002E110A">
      <w:pPr>
        <w:pStyle w:val="LI-BodyTextParaa"/>
        <w:numPr>
          <w:ilvl w:val="1"/>
          <w:numId w:val="3"/>
        </w:numPr>
      </w:pPr>
      <w:r>
        <w:t xml:space="preserve">if the new </w:t>
      </w:r>
      <w:proofErr w:type="spellStart"/>
      <w:r>
        <w:t>UTI</w:t>
      </w:r>
      <w:proofErr w:type="spellEnd"/>
      <w:r>
        <w:t xml:space="preserve"> generating entity:</w:t>
      </w:r>
    </w:p>
    <w:p w14:paraId="103D21FE" w14:textId="58FCE39B" w:rsidR="003507E3" w:rsidRDefault="003507E3" w:rsidP="002E110A">
      <w:pPr>
        <w:pStyle w:val="LI-BodyTextParaa"/>
        <w:numPr>
          <w:ilvl w:val="2"/>
          <w:numId w:val="3"/>
        </w:numPr>
      </w:pPr>
      <w:r>
        <w:t xml:space="preserve">is </w:t>
      </w:r>
      <w:r w:rsidR="00F65ABA">
        <w:t>the reporting entity</w:t>
      </w:r>
      <w:r>
        <w:t>; or</w:t>
      </w:r>
    </w:p>
    <w:p w14:paraId="4CB235A3" w14:textId="106850BA" w:rsidR="003507E3" w:rsidRDefault="003507E3" w:rsidP="002E110A">
      <w:pPr>
        <w:pStyle w:val="LI-BodyTextParaa"/>
        <w:numPr>
          <w:ilvl w:val="2"/>
          <w:numId w:val="3"/>
        </w:numPr>
      </w:pPr>
      <w:r>
        <w:t xml:space="preserve">is not </w:t>
      </w:r>
      <w:r w:rsidR="00F65ABA">
        <w:t>the reporting entity</w:t>
      </w:r>
      <w:r>
        <w:t xml:space="preserve"> and does not provide </w:t>
      </w:r>
      <w:r w:rsidR="00F65ABA">
        <w:t>the reporting entity</w:t>
      </w:r>
      <w:r>
        <w:t xml:space="preserve"> with a </w:t>
      </w:r>
      <w:proofErr w:type="spellStart"/>
      <w:r>
        <w:t>UTI</w:t>
      </w:r>
      <w:proofErr w:type="spellEnd"/>
      <w:r>
        <w:t xml:space="preserve"> in sufficient time to enable </w:t>
      </w:r>
      <w:r w:rsidR="00F65ABA">
        <w:t>the reporting entity</w:t>
      </w:r>
      <w:r>
        <w:t xml:space="preserve"> to report the </w:t>
      </w:r>
      <w:proofErr w:type="spellStart"/>
      <w:r>
        <w:t>UTI</w:t>
      </w:r>
      <w:proofErr w:type="spellEnd"/>
      <w:r>
        <w:t xml:space="preserve"> for the</w:t>
      </w:r>
      <w:r w:rsidR="00D161C5">
        <w:t xml:space="preserve"> reportable transaction</w:t>
      </w:r>
      <w:r>
        <w:t xml:space="preserve"> in accordance with </w:t>
      </w:r>
      <w:proofErr w:type="gramStart"/>
      <w:r>
        <w:t>rule 2.2.3;</w:t>
      </w:r>
      <w:proofErr w:type="gramEnd"/>
    </w:p>
    <w:p w14:paraId="10E3F55A" w14:textId="27965BC9" w:rsidR="0020160B" w:rsidRDefault="00F65ABA" w:rsidP="0020160B">
      <w:pPr>
        <w:pStyle w:val="LI-BodyTextParaa"/>
        <w:ind w:left="1134" w:firstLine="0"/>
      </w:pPr>
      <w:r>
        <w:t>the reporting entity</w:t>
      </w:r>
      <w:r w:rsidR="0020160B" w:rsidRPr="0020160B">
        <w:t xml:space="preserve"> must generate a </w:t>
      </w:r>
      <w:proofErr w:type="spellStart"/>
      <w:r w:rsidR="0020160B" w:rsidRPr="0020160B">
        <w:t>UTI</w:t>
      </w:r>
      <w:proofErr w:type="spellEnd"/>
      <w:r w:rsidR="0020160B" w:rsidRPr="0020160B">
        <w:t xml:space="preserve"> and report that </w:t>
      </w:r>
      <w:proofErr w:type="spellStart"/>
      <w:r w:rsidR="0020160B" w:rsidRPr="0020160B">
        <w:t>UTI</w:t>
      </w:r>
      <w:proofErr w:type="spellEnd"/>
      <w:r w:rsidR="0020160B" w:rsidRPr="0020160B">
        <w:t xml:space="preserve"> for the</w:t>
      </w:r>
      <w:r w:rsidR="00D161C5">
        <w:t xml:space="preserve"> reportable transaction</w:t>
      </w:r>
      <w:r w:rsidR="0020160B" w:rsidRPr="0020160B">
        <w:t xml:space="preserve"> in accordance with this Part.</w:t>
      </w:r>
    </w:p>
    <w:p w14:paraId="77B1DDD1" w14:textId="148E2951" w:rsidR="00787EC7" w:rsidRPr="006215C6" w:rsidRDefault="00787EC7" w:rsidP="00787EC7">
      <w:pPr>
        <w:pStyle w:val="LI-BodyTextParaa"/>
        <w:numPr>
          <w:ilvl w:val="0"/>
          <w:numId w:val="3"/>
        </w:numPr>
        <w:rPr>
          <w:bCs/>
        </w:rPr>
      </w:pPr>
      <w:r>
        <w:t>The n</w:t>
      </w:r>
      <w:r w:rsidRPr="007F71A1">
        <w:t>ote</w:t>
      </w:r>
      <w:r>
        <w:t xml:space="preserve"> to subrule 2.2.9(6) </w:t>
      </w:r>
      <w:r w:rsidR="00526908">
        <w:t>explains</w:t>
      </w:r>
      <w:r>
        <w:t>, by way of example</w:t>
      </w:r>
      <w:r w:rsidR="009271AC">
        <w:t>s</w:t>
      </w:r>
      <w:r>
        <w:t xml:space="preserve">, that </w:t>
      </w:r>
      <w:r w:rsidR="009271AC">
        <w:t>a</w:t>
      </w:r>
      <w:r w:rsidR="009271AC" w:rsidRPr="009271AC">
        <w:t xml:space="preserve"> </w:t>
      </w:r>
      <w:r w:rsidR="009271AC">
        <w:t>r</w:t>
      </w:r>
      <w:r w:rsidR="009271AC" w:rsidRPr="009271AC">
        <w:t xml:space="preserve">eporting </w:t>
      </w:r>
      <w:r w:rsidR="009271AC">
        <w:t>e</w:t>
      </w:r>
      <w:r w:rsidR="009271AC" w:rsidRPr="009271AC">
        <w:t xml:space="preserve">ntity may not receive a </w:t>
      </w:r>
      <w:proofErr w:type="spellStart"/>
      <w:r w:rsidR="009271AC" w:rsidRPr="009271AC">
        <w:t>UTI</w:t>
      </w:r>
      <w:proofErr w:type="spellEnd"/>
      <w:r w:rsidR="009271AC" w:rsidRPr="009271AC">
        <w:t xml:space="preserve"> from another entity in sufficient time to report the </w:t>
      </w:r>
      <w:r w:rsidR="009271AC">
        <w:t>r</w:t>
      </w:r>
      <w:r w:rsidR="009271AC" w:rsidRPr="009271AC">
        <w:t xml:space="preserve">eportable </w:t>
      </w:r>
      <w:r w:rsidR="009271AC">
        <w:t>t</w:t>
      </w:r>
      <w:r w:rsidR="009271AC" w:rsidRPr="009271AC">
        <w:t>ransaction because</w:t>
      </w:r>
      <w:r w:rsidR="009271AC">
        <w:t xml:space="preserve"> </w:t>
      </w:r>
      <w:r w:rsidR="009271AC" w:rsidRPr="009271AC">
        <w:t xml:space="preserve">the other entity is not required by the rules of its home jurisdiction to generate a </w:t>
      </w:r>
      <w:proofErr w:type="spellStart"/>
      <w:r w:rsidR="009271AC" w:rsidRPr="009271AC">
        <w:t>UTI</w:t>
      </w:r>
      <w:proofErr w:type="spellEnd"/>
      <w:r w:rsidR="009271AC" w:rsidRPr="009271AC">
        <w:t xml:space="preserve"> or the </w:t>
      </w:r>
      <w:proofErr w:type="spellStart"/>
      <w:r w:rsidR="009271AC" w:rsidRPr="009271AC">
        <w:t>UTI</w:t>
      </w:r>
      <w:proofErr w:type="spellEnd"/>
      <w:r w:rsidR="009271AC" w:rsidRPr="009271AC">
        <w:t xml:space="preserve"> generating entity has not promptly provided the </w:t>
      </w:r>
      <w:proofErr w:type="spellStart"/>
      <w:r w:rsidR="009271AC" w:rsidRPr="009271AC">
        <w:t>UTI</w:t>
      </w:r>
      <w:proofErr w:type="spellEnd"/>
      <w:r w:rsidR="009271AC" w:rsidRPr="009271AC">
        <w:t xml:space="preserve"> to the </w:t>
      </w:r>
      <w:r w:rsidR="009271AC">
        <w:t>r</w:t>
      </w:r>
      <w:r w:rsidR="009271AC" w:rsidRPr="009271AC">
        <w:t xml:space="preserve">eporting </w:t>
      </w:r>
      <w:r w:rsidR="009271AC">
        <w:t>e</w:t>
      </w:r>
      <w:r w:rsidR="009271AC" w:rsidRPr="009271AC">
        <w:t>ntity.</w:t>
      </w:r>
    </w:p>
    <w:p w14:paraId="0557B5F9" w14:textId="54666526" w:rsidR="0011170B" w:rsidRDefault="00DB4EC3" w:rsidP="002E110A">
      <w:pPr>
        <w:pStyle w:val="LI-BodyTextParaa"/>
        <w:numPr>
          <w:ilvl w:val="0"/>
          <w:numId w:val="3"/>
        </w:numPr>
      </w:pPr>
      <w:r>
        <w:t>Subrule 2.2.9(7</w:t>
      </w:r>
      <w:r w:rsidR="009B1E44">
        <w:t xml:space="preserve">) </w:t>
      </w:r>
      <w:r w:rsidR="00B078F3">
        <w:t>deal</w:t>
      </w:r>
      <w:r w:rsidR="0011170B">
        <w:t>s</w:t>
      </w:r>
      <w:r w:rsidR="00B078F3">
        <w:t xml:space="preserve"> with the </w:t>
      </w:r>
      <w:r w:rsidR="00FF0E2A" w:rsidRPr="00FF0E2A">
        <w:t>appoint</w:t>
      </w:r>
      <w:r w:rsidR="00FF0E2A">
        <w:t xml:space="preserve">ment of </w:t>
      </w:r>
      <w:r w:rsidR="00FF0E2A" w:rsidRPr="00FF0E2A">
        <w:t>a person (</w:t>
      </w:r>
      <w:r w:rsidR="00FF0E2A" w:rsidRPr="0018336F">
        <w:rPr>
          <w:b/>
          <w:bCs/>
          <w:i/>
          <w:iCs/>
        </w:rPr>
        <w:t>Service Provider</w:t>
      </w:r>
      <w:r w:rsidR="00FF0E2A" w:rsidRPr="00FF0E2A">
        <w:t xml:space="preserve">) to generate the </w:t>
      </w:r>
      <w:proofErr w:type="spellStart"/>
      <w:r w:rsidR="00FF0E2A" w:rsidRPr="00FF0E2A">
        <w:t>UTI</w:t>
      </w:r>
      <w:proofErr w:type="spellEnd"/>
      <w:r w:rsidR="00FF0E2A" w:rsidRPr="00FF0E2A">
        <w:t xml:space="preserve"> for a</w:t>
      </w:r>
      <w:r w:rsidR="00D161C5">
        <w:t xml:space="preserve"> reportable transaction</w:t>
      </w:r>
      <w:r w:rsidR="00FF0E2A" w:rsidRPr="00FF0E2A">
        <w:t xml:space="preserve"> for which </w:t>
      </w:r>
      <w:r w:rsidR="00F65ABA">
        <w:t>the reporting entity</w:t>
      </w:r>
      <w:r w:rsidR="00FF0E2A" w:rsidRPr="00FF0E2A">
        <w:t xml:space="preserve"> is the </w:t>
      </w:r>
      <w:proofErr w:type="spellStart"/>
      <w:r w:rsidR="00FF0E2A" w:rsidRPr="00FF0E2A">
        <w:t>UTI</w:t>
      </w:r>
      <w:proofErr w:type="spellEnd"/>
      <w:r w:rsidR="00FF0E2A" w:rsidRPr="00FF0E2A">
        <w:t xml:space="preserve"> generating entity</w:t>
      </w:r>
      <w:r w:rsidR="001976F7">
        <w:t xml:space="preserve">, </w:t>
      </w:r>
      <w:r w:rsidR="0011170B">
        <w:t>provided that:</w:t>
      </w:r>
    </w:p>
    <w:p w14:paraId="45D6590B" w14:textId="77777777" w:rsidR="004178C2" w:rsidRDefault="004178C2" w:rsidP="002E110A">
      <w:pPr>
        <w:pStyle w:val="LI-BodyTextParaa"/>
        <w:numPr>
          <w:ilvl w:val="1"/>
          <w:numId w:val="3"/>
        </w:numPr>
      </w:pPr>
      <w:r>
        <w:t xml:space="preserve">the terms of the Service Provider’s appointment and any related agreements or arrangements require that the </w:t>
      </w:r>
      <w:r w:rsidRPr="00932732">
        <w:t>Service Provider</w:t>
      </w:r>
      <w:r>
        <w:t xml:space="preserve"> generate a </w:t>
      </w:r>
      <w:proofErr w:type="spellStart"/>
      <w:r>
        <w:t>UTI</w:t>
      </w:r>
      <w:proofErr w:type="spellEnd"/>
      <w:r>
        <w:t xml:space="preserve"> using the Service Provider’s LEI as the LEI component of the </w:t>
      </w:r>
      <w:proofErr w:type="spellStart"/>
      <w:r>
        <w:t>UTI</w:t>
      </w:r>
      <w:proofErr w:type="spellEnd"/>
      <w:r>
        <w:t>; and</w:t>
      </w:r>
    </w:p>
    <w:p w14:paraId="4B22CEB1" w14:textId="261FCC1B" w:rsidR="004178C2" w:rsidRDefault="004178C2" w:rsidP="002E110A">
      <w:pPr>
        <w:pStyle w:val="LI-BodyTextParaa"/>
        <w:numPr>
          <w:ilvl w:val="1"/>
          <w:numId w:val="3"/>
        </w:numPr>
      </w:pPr>
      <w:r>
        <w:t>the terms of the Service Provider’s appointment and any related agreements or arrangements require that the Service Provider provide</w:t>
      </w:r>
      <w:r w:rsidRPr="00417471">
        <w:t xml:space="preserve"> that </w:t>
      </w:r>
      <w:proofErr w:type="spellStart"/>
      <w:r w:rsidRPr="00417471">
        <w:t>UTI</w:t>
      </w:r>
      <w:proofErr w:type="spellEnd"/>
      <w:r w:rsidRPr="00417471">
        <w:t xml:space="preserve"> to </w:t>
      </w:r>
      <w:r>
        <w:t>the other counterparty in accor</w:t>
      </w:r>
      <w:r w:rsidR="00A41107">
        <w:t>d</w:t>
      </w:r>
      <w:r>
        <w:t>ance with subrule (5)(b).</w:t>
      </w:r>
    </w:p>
    <w:p w14:paraId="505D241D" w14:textId="77777777" w:rsidR="00EE67D7" w:rsidRDefault="00EE67D7">
      <w:pPr>
        <w:spacing w:line="240" w:lineRule="auto"/>
        <w:rPr>
          <w:rFonts w:eastAsia="Times New Roman"/>
          <w:sz w:val="24"/>
          <w:szCs w:val="24"/>
          <w:lang w:eastAsia="en-AU"/>
        </w:rPr>
      </w:pPr>
      <w:r>
        <w:br w:type="page"/>
      </w:r>
    </w:p>
    <w:p w14:paraId="30C190AD" w14:textId="5D66EB48" w:rsidR="00A41107" w:rsidRDefault="00BF747C" w:rsidP="002E110A">
      <w:pPr>
        <w:pStyle w:val="LI-BodyTextParaa"/>
        <w:numPr>
          <w:ilvl w:val="0"/>
          <w:numId w:val="3"/>
        </w:numPr>
      </w:pPr>
      <w:r>
        <w:lastRenderedPageBreak/>
        <w:t xml:space="preserve">Subrule 2.2.9(8) </w:t>
      </w:r>
      <w:r w:rsidR="005C6A2C">
        <w:t>provides that</w:t>
      </w:r>
      <w:r w:rsidR="00A41107">
        <w:t xml:space="preserve">, for the avoidance of doubt, </w:t>
      </w:r>
      <w:r w:rsidR="00F65ABA">
        <w:t>a reporting entity</w:t>
      </w:r>
      <w:r w:rsidR="00A41107">
        <w:t>:</w:t>
      </w:r>
    </w:p>
    <w:p w14:paraId="0CD81B43" w14:textId="77777777" w:rsidR="00A41107" w:rsidRDefault="00A41107" w:rsidP="002E110A">
      <w:pPr>
        <w:pStyle w:val="LI-BodyTextParaa"/>
        <w:numPr>
          <w:ilvl w:val="1"/>
          <w:numId w:val="3"/>
        </w:numPr>
      </w:pPr>
      <w:r>
        <w:t>that appoints a Service Provider under subrule (7); or</w:t>
      </w:r>
    </w:p>
    <w:p w14:paraId="599A87B8" w14:textId="5EC3404B" w:rsidR="00A41107" w:rsidRDefault="00A41107" w:rsidP="002E110A">
      <w:pPr>
        <w:pStyle w:val="LI-BodyTextParaa"/>
        <w:numPr>
          <w:ilvl w:val="1"/>
          <w:numId w:val="3"/>
        </w:numPr>
      </w:pPr>
      <w:r>
        <w:t>is an RE or</w:t>
      </w:r>
      <w:r w:rsidR="00017179">
        <w:t xml:space="preserve"> trustee</w:t>
      </w:r>
      <w:r>
        <w:t xml:space="preserve"> that appoints a person to enter into</w:t>
      </w:r>
      <w:r w:rsidR="003E43F4">
        <w:t xml:space="preserve"> OTC derivative</w:t>
      </w:r>
      <w:r>
        <w:t xml:space="preserve"> Transactions on behalf of the RE or</w:t>
      </w:r>
      <w:r w:rsidR="00017179">
        <w:t xml:space="preserve"> trustee</w:t>
      </w:r>
      <w:r>
        <w:t xml:space="preserve"> and that person acts for the RE or</w:t>
      </w:r>
      <w:r w:rsidR="00017179">
        <w:t xml:space="preserve"> trustee</w:t>
      </w:r>
      <w:r>
        <w:t xml:space="preserve"> under this Rule for a</w:t>
      </w:r>
      <w:r w:rsidR="00D161C5">
        <w:t xml:space="preserve"> reportable </w:t>
      </w:r>
      <w:proofErr w:type="gramStart"/>
      <w:r w:rsidR="00D161C5">
        <w:t>transaction</w:t>
      </w:r>
      <w:r>
        <w:t>;</w:t>
      </w:r>
      <w:proofErr w:type="gramEnd"/>
    </w:p>
    <w:p w14:paraId="79595FB3" w14:textId="2EE7F36C" w:rsidR="00216A1C" w:rsidRPr="00744848" w:rsidRDefault="00A41107" w:rsidP="00744848">
      <w:pPr>
        <w:pStyle w:val="LI-BodyTextParaa"/>
        <w:ind w:left="567" w:firstLine="0"/>
      </w:pPr>
      <w:r>
        <w:t xml:space="preserve">contravenes this Rule if the Service Provider or person appointed does not determine and provide a </w:t>
      </w:r>
      <w:proofErr w:type="spellStart"/>
      <w:r>
        <w:t>UTI</w:t>
      </w:r>
      <w:proofErr w:type="spellEnd"/>
      <w:r>
        <w:t xml:space="preserve"> as required under this Rule 2.2.9.</w:t>
      </w:r>
    </w:p>
    <w:p w14:paraId="3E465EF2" w14:textId="64179DE5" w:rsidR="003A4640" w:rsidRPr="0026773C" w:rsidRDefault="003A4640" w:rsidP="003A4640">
      <w:pPr>
        <w:pStyle w:val="LI-BodyTextNumbered"/>
        <w:ind w:hanging="1134"/>
        <w:rPr>
          <w:u w:val="single"/>
        </w:rPr>
      </w:pPr>
      <w:r w:rsidRPr="0026773C">
        <w:rPr>
          <w:u w:val="single"/>
        </w:rPr>
        <w:t>Part 2.3 Records</w:t>
      </w:r>
    </w:p>
    <w:p w14:paraId="0C7EF69E" w14:textId="25DECC97" w:rsidR="0003319F" w:rsidRPr="000412DD" w:rsidRDefault="0003319F" w:rsidP="0003319F">
      <w:pPr>
        <w:pStyle w:val="LI-BodyTextParaa"/>
        <w:numPr>
          <w:ilvl w:val="0"/>
          <w:numId w:val="3"/>
        </w:numPr>
        <w:rPr>
          <w:bCs/>
        </w:rPr>
      </w:pPr>
      <w:r w:rsidRPr="000412DD">
        <w:rPr>
          <w:bCs/>
        </w:rPr>
        <w:t xml:space="preserve">Part 2.3 of the </w:t>
      </w:r>
      <w:r w:rsidR="003C33A0">
        <w:rPr>
          <w:bCs/>
        </w:rPr>
        <w:t>2024</w:t>
      </w:r>
      <w:r>
        <w:rPr>
          <w:bCs/>
        </w:rPr>
        <w:t xml:space="preserve"> </w:t>
      </w:r>
      <w:r w:rsidRPr="000412DD">
        <w:rPr>
          <w:bCs/>
        </w:rPr>
        <w:t xml:space="preserve">Rules deals with the keeping </w:t>
      </w:r>
      <w:r w:rsidR="001D2305" w:rsidRPr="000412DD">
        <w:rPr>
          <w:bCs/>
        </w:rPr>
        <w:t>o</w:t>
      </w:r>
      <w:r w:rsidR="001D2305">
        <w:rPr>
          <w:bCs/>
        </w:rPr>
        <w:t>f</w:t>
      </w:r>
      <w:r w:rsidR="001D2305" w:rsidRPr="000412DD">
        <w:rPr>
          <w:bCs/>
        </w:rPr>
        <w:t xml:space="preserve"> </w:t>
      </w:r>
      <w:r w:rsidRPr="000412DD">
        <w:rPr>
          <w:bCs/>
        </w:rPr>
        <w:t xml:space="preserve">records, or the provision of records or other information, relating to compliance with (or determining whether there has been compliance with) the </w:t>
      </w:r>
      <w:r>
        <w:rPr>
          <w:bCs/>
        </w:rPr>
        <w:t xml:space="preserve">2024 </w:t>
      </w:r>
      <w:r w:rsidRPr="000412DD">
        <w:rPr>
          <w:bCs/>
        </w:rPr>
        <w:t>Rules, as permitted by paragraph 901A(3)(</w:t>
      </w:r>
      <w:r>
        <w:rPr>
          <w:bCs/>
        </w:rPr>
        <w:t>h</w:t>
      </w:r>
      <w:r w:rsidRPr="000412DD">
        <w:rPr>
          <w:bCs/>
        </w:rPr>
        <w:t xml:space="preserve">) of the </w:t>
      </w:r>
      <w:r>
        <w:rPr>
          <w:bCs/>
        </w:rPr>
        <w:t xml:space="preserve">Corporations </w:t>
      </w:r>
      <w:r w:rsidRPr="000412DD">
        <w:rPr>
          <w:bCs/>
        </w:rPr>
        <w:t>Act.</w:t>
      </w:r>
    </w:p>
    <w:p w14:paraId="7DC7CE75" w14:textId="4B1C3931" w:rsidR="0003319F" w:rsidRPr="000412DD" w:rsidRDefault="0003319F" w:rsidP="0003319F">
      <w:pPr>
        <w:pStyle w:val="LI-BodyTextParaa"/>
        <w:numPr>
          <w:ilvl w:val="0"/>
          <w:numId w:val="3"/>
        </w:numPr>
        <w:rPr>
          <w:bCs/>
        </w:rPr>
      </w:pPr>
      <w:r w:rsidRPr="000412DD">
        <w:rPr>
          <w:bCs/>
        </w:rPr>
        <w:t xml:space="preserve">Subrule 2.3.1(1) provides that a </w:t>
      </w:r>
      <w:r>
        <w:rPr>
          <w:bCs/>
        </w:rPr>
        <w:t>r</w:t>
      </w:r>
      <w:r w:rsidRPr="000412DD">
        <w:rPr>
          <w:bCs/>
        </w:rPr>
        <w:t xml:space="preserve">eporting </w:t>
      </w:r>
      <w:r>
        <w:rPr>
          <w:bCs/>
        </w:rPr>
        <w:t>e</w:t>
      </w:r>
      <w:r w:rsidRPr="000412DD">
        <w:rPr>
          <w:bCs/>
        </w:rPr>
        <w:t xml:space="preserve">ntity must keep records that enable the </w:t>
      </w:r>
      <w:r>
        <w:rPr>
          <w:bCs/>
        </w:rPr>
        <w:t>r</w:t>
      </w:r>
      <w:r w:rsidRPr="000412DD">
        <w:rPr>
          <w:bCs/>
        </w:rPr>
        <w:t xml:space="preserve">eporting </w:t>
      </w:r>
      <w:r>
        <w:rPr>
          <w:bCs/>
        </w:rPr>
        <w:t>e</w:t>
      </w:r>
      <w:r w:rsidRPr="000412DD">
        <w:rPr>
          <w:bCs/>
        </w:rPr>
        <w:t xml:space="preserve">ntity to demonstrate it has complied with the requirements of the </w:t>
      </w:r>
      <w:r>
        <w:rPr>
          <w:bCs/>
        </w:rPr>
        <w:t xml:space="preserve">2024 </w:t>
      </w:r>
      <w:r w:rsidRPr="000412DD">
        <w:rPr>
          <w:bCs/>
        </w:rPr>
        <w:t xml:space="preserve">Rules. A </w:t>
      </w:r>
      <w:r>
        <w:rPr>
          <w:bCs/>
        </w:rPr>
        <w:t>r</w:t>
      </w:r>
      <w:r w:rsidRPr="000412DD">
        <w:rPr>
          <w:bCs/>
        </w:rPr>
        <w:t xml:space="preserve">eporting </w:t>
      </w:r>
      <w:r>
        <w:rPr>
          <w:bCs/>
        </w:rPr>
        <w:t>e</w:t>
      </w:r>
      <w:r w:rsidRPr="000412DD">
        <w:rPr>
          <w:bCs/>
        </w:rPr>
        <w:t>ntity must keep the records referred to in subrule 2.3.1(1) for a period of at least five years from the date the record is made or amended (see subrule 2.3.1(2)).</w:t>
      </w:r>
    </w:p>
    <w:p w14:paraId="75484E25" w14:textId="77777777" w:rsidR="0003319F" w:rsidRPr="000412DD" w:rsidRDefault="0003319F" w:rsidP="0003319F">
      <w:pPr>
        <w:pStyle w:val="LI-BodyTextParaa"/>
        <w:numPr>
          <w:ilvl w:val="0"/>
          <w:numId w:val="3"/>
        </w:numPr>
        <w:rPr>
          <w:bCs/>
        </w:rPr>
      </w:pPr>
      <w:r w:rsidRPr="000412DD">
        <w:rPr>
          <w:bCs/>
        </w:rPr>
        <w:t xml:space="preserve">Subrule 2.3.1(3) provides that, without limiting subrule 2.3.1(1) and subject to subrule 2.3.1(4), a </w:t>
      </w:r>
      <w:r>
        <w:rPr>
          <w:bCs/>
        </w:rPr>
        <w:t>r</w:t>
      </w:r>
      <w:r w:rsidRPr="000412DD">
        <w:rPr>
          <w:bCs/>
        </w:rPr>
        <w:t xml:space="preserve">eporting </w:t>
      </w:r>
      <w:r>
        <w:rPr>
          <w:bCs/>
        </w:rPr>
        <w:t>e</w:t>
      </w:r>
      <w:r w:rsidRPr="000412DD">
        <w:rPr>
          <w:bCs/>
        </w:rPr>
        <w:t>ntity must keep a record of all information that it is required to report under subrules 2.2.1(1) and 2.2.2(2).</w:t>
      </w:r>
    </w:p>
    <w:p w14:paraId="71EAD427" w14:textId="77777777" w:rsidR="0003319F" w:rsidRPr="000412DD" w:rsidRDefault="0003319F" w:rsidP="0003319F">
      <w:pPr>
        <w:pStyle w:val="LI-BodyTextParaa"/>
        <w:numPr>
          <w:ilvl w:val="0"/>
          <w:numId w:val="3"/>
        </w:numPr>
        <w:rPr>
          <w:bCs/>
        </w:rPr>
      </w:pPr>
      <w:r w:rsidRPr="000412DD">
        <w:rPr>
          <w:bCs/>
        </w:rPr>
        <w:t xml:space="preserve">Under subrule 2.3.1(4) a </w:t>
      </w:r>
      <w:r>
        <w:rPr>
          <w:bCs/>
        </w:rPr>
        <w:t>r</w:t>
      </w:r>
      <w:r w:rsidRPr="000412DD">
        <w:rPr>
          <w:bCs/>
        </w:rPr>
        <w:t xml:space="preserve">eporting </w:t>
      </w:r>
      <w:r>
        <w:rPr>
          <w:bCs/>
        </w:rPr>
        <w:t>e</w:t>
      </w:r>
      <w:r w:rsidRPr="000412DD">
        <w:rPr>
          <w:bCs/>
        </w:rPr>
        <w:t xml:space="preserve">ntity is not required to keep the records referred to in subrule 2.3.1(3) where the </w:t>
      </w:r>
      <w:r>
        <w:rPr>
          <w:bCs/>
        </w:rPr>
        <w:t>r</w:t>
      </w:r>
      <w:r w:rsidRPr="000412DD">
        <w:rPr>
          <w:bCs/>
        </w:rPr>
        <w:t xml:space="preserve">eporting </w:t>
      </w:r>
      <w:r>
        <w:rPr>
          <w:bCs/>
        </w:rPr>
        <w:t>e</w:t>
      </w:r>
      <w:r w:rsidRPr="000412DD">
        <w:rPr>
          <w:bCs/>
        </w:rPr>
        <w:t xml:space="preserve">ntity has arrangements in place to access to those records in a </w:t>
      </w:r>
      <w:r>
        <w:rPr>
          <w:bCs/>
        </w:rPr>
        <w:t>l</w:t>
      </w:r>
      <w:r w:rsidRPr="000412DD">
        <w:rPr>
          <w:bCs/>
        </w:rPr>
        <w:t xml:space="preserve">icensed </w:t>
      </w:r>
      <w:r>
        <w:rPr>
          <w:bCs/>
        </w:rPr>
        <w:t>r</w:t>
      </w:r>
      <w:r w:rsidRPr="000412DD">
        <w:rPr>
          <w:bCs/>
        </w:rPr>
        <w:t xml:space="preserve">epository or </w:t>
      </w:r>
      <w:r>
        <w:rPr>
          <w:bCs/>
        </w:rPr>
        <w:t>p</w:t>
      </w:r>
      <w:r w:rsidRPr="000412DD">
        <w:rPr>
          <w:bCs/>
        </w:rPr>
        <w:t xml:space="preserve">rescribed </w:t>
      </w:r>
      <w:r>
        <w:rPr>
          <w:bCs/>
        </w:rPr>
        <w:t>r</w:t>
      </w:r>
      <w:r w:rsidRPr="000412DD">
        <w:rPr>
          <w:bCs/>
        </w:rPr>
        <w:t>epository, either directly or through another person, for the period set out in subrule 2.3.1(2).</w:t>
      </w:r>
    </w:p>
    <w:p w14:paraId="58D9DFF7" w14:textId="473B5089" w:rsidR="0003319F" w:rsidRPr="000412DD" w:rsidRDefault="0003319F" w:rsidP="0003319F">
      <w:pPr>
        <w:pStyle w:val="LI-BodyTextParaa"/>
        <w:numPr>
          <w:ilvl w:val="0"/>
          <w:numId w:val="3"/>
        </w:numPr>
        <w:rPr>
          <w:bCs/>
        </w:rPr>
      </w:pPr>
      <w:r w:rsidRPr="000412DD">
        <w:rPr>
          <w:bCs/>
        </w:rPr>
        <w:t xml:space="preserve">Subrule 2.3.2(1) provides that a </w:t>
      </w:r>
      <w:r>
        <w:rPr>
          <w:bCs/>
        </w:rPr>
        <w:t>r</w:t>
      </w:r>
      <w:r w:rsidRPr="000412DD">
        <w:rPr>
          <w:bCs/>
        </w:rPr>
        <w:t xml:space="preserve">eporting </w:t>
      </w:r>
      <w:r>
        <w:rPr>
          <w:bCs/>
        </w:rPr>
        <w:t>e</w:t>
      </w:r>
      <w:r w:rsidRPr="000412DD">
        <w:rPr>
          <w:bCs/>
        </w:rPr>
        <w:t xml:space="preserve">ntity must, on request by ASIC, provide ASIC with records or other information relating to compliance with or determining whether there has been compliance with these </w:t>
      </w:r>
      <w:r w:rsidR="000A3E40">
        <w:rPr>
          <w:bCs/>
        </w:rPr>
        <w:t xml:space="preserve">2024 </w:t>
      </w:r>
      <w:r w:rsidRPr="000412DD">
        <w:rPr>
          <w:bCs/>
        </w:rPr>
        <w:t>Rules.</w:t>
      </w:r>
    </w:p>
    <w:p w14:paraId="3971F40D" w14:textId="77777777" w:rsidR="0003319F" w:rsidRPr="000412DD" w:rsidRDefault="0003319F" w:rsidP="0003319F">
      <w:pPr>
        <w:pStyle w:val="LI-BodyTextParaa"/>
        <w:numPr>
          <w:ilvl w:val="0"/>
          <w:numId w:val="3"/>
        </w:numPr>
        <w:rPr>
          <w:bCs/>
        </w:rPr>
      </w:pPr>
      <w:r w:rsidRPr="000412DD">
        <w:rPr>
          <w:bCs/>
        </w:rPr>
        <w:t xml:space="preserve">Subrule 2.3.2(2) provides that a request by ASIC under subrule 2.3.2(1) must be in writing and give the </w:t>
      </w:r>
      <w:r>
        <w:rPr>
          <w:bCs/>
        </w:rPr>
        <w:t>r</w:t>
      </w:r>
      <w:r w:rsidRPr="000412DD">
        <w:rPr>
          <w:bCs/>
        </w:rPr>
        <w:t xml:space="preserve">eporting </w:t>
      </w:r>
      <w:r>
        <w:rPr>
          <w:bCs/>
        </w:rPr>
        <w:t>e</w:t>
      </w:r>
      <w:r w:rsidRPr="000412DD">
        <w:rPr>
          <w:bCs/>
        </w:rPr>
        <w:t>ntity a reasonable time to comply.</w:t>
      </w:r>
    </w:p>
    <w:p w14:paraId="63AC7116" w14:textId="77777777" w:rsidR="0003319F" w:rsidRPr="000412DD" w:rsidRDefault="0003319F" w:rsidP="0003319F">
      <w:pPr>
        <w:pStyle w:val="LI-BodyTextParaa"/>
        <w:numPr>
          <w:ilvl w:val="0"/>
          <w:numId w:val="3"/>
        </w:numPr>
        <w:rPr>
          <w:bCs/>
        </w:rPr>
      </w:pPr>
      <w:r w:rsidRPr="000412DD">
        <w:rPr>
          <w:bCs/>
        </w:rPr>
        <w:t xml:space="preserve">Subrule 2.3.2(3) provides that the </w:t>
      </w:r>
      <w:r>
        <w:rPr>
          <w:bCs/>
        </w:rPr>
        <w:t>r</w:t>
      </w:r>
      <w:r w:rsidRPr="000412DD">
        <w:rPr>
          <w:bCs/>
        </w:rPr>
        <w:t xml:space="preserve">eporting </w:t>
      </w:r>
      <w:r>
        <w:rPr>
          <w:bCs/>
        </w:rPr>
        <w:t>e</w:t>
      </w:r>
      <w:r w:rsidRPr="000412DD">
        <w:rPr>
          <w:bCs/>
        </w:rPr>
        <w:t>ntity must comply with a request under subrule 2.3.2(1) within the time specified in the request or if no time is specified, within a reasonable time.</w:t>
      </w:r>
    </w:p>
    <w:p w14:paraId="6F5B3EEB" w14:textId="77777777" w:rsidR="003A4640" w:rsidRPr="0026773C" w:rsidRDefault="003A4640" w:rsidP="003A4640">
      <w:pPr>
        <w:pStyle w:val="LI-BodyTextNumbered"/>
        <w:ind w:hanging="1134"/>
        <w:rPr>
          <w:u w:val="single"/>
        </w:rPr>
      </w:pPr>
      <w:r w:rsidRPr="0026773C">
        <w:rPr>
          <w:u w:val="single"/>
        </w:rPr>
        <w:t>Part 2.4 Transitional matters</w:t>
      </w:r>
    </w:p>
    <w:p w14:paraId="1A89BF13" w14:textId="498D6758" w:rsidR="003A4640" w:rsidRDefault="003A4640" w:rsidP="002E110A">
      <w:pPr>
        <w:pStyle w:val="LI-BodyTextParaa"/>
        <w:numPr>
          <w:ilvl w:val="0"/>
          <w:numId w:val="3"/>
        </w:numPr>
        <w:rPr>
          <w:bCs/>
        </w:rPr>
      </w:pPr>
      <w:r w:rsidRPr="004333DE">
        <w:rPr>
          <w:bCs/>
        </w:rPr>
        <w:t xml:space="preserve">Part 2.4 of </w:t>
      </w:r>
      <w:r w:rsidR="00F04DB8">
        <w:rPr>
          <w:bCs/>
        </w:rPr>
        <w:t>the 2024 Rules</w:t>
      </w:r>
      <w:r w:rsidR="005648E9">
        <w:rPr>
          <w:bCs/>
        </w:rPr>
        <w:t xml:space="preserve"> </w:t>
      </w:r>
      <w:r w:rsidR="003B4040">
        <w:rPr>
          <w:bCs/>
        </w:rPr>
        <w:t xml:space="preserve">deals </w:t>
      </w:r>
      <w:r w:rsidR="00930732">
        <w:rPr>
          <w:bCs/>
        </w:rPr>
        <w:t>with the transition</w:t>
      </w:r>
      <w:r w:rsidR="002E18B2">
        <w:rPr>
          <w:bCs/>
        </w:rPr>
        <w:t xml:space="preserve"> of</w:t>
      </w:r>
      <w:r w:rsidR="001701B5">
        <w:rPr>
          <w:bCs/>
        </w:rPr>
        <w:t xml:space="preserve"> derivative transaction information</w:t>
      </w:r>
      <w:r w:rsidR="00761E29">
        <w:rPr>
          <w:bCs/>
        </w:rPr>
        <w:t xml:space="preserve"> </w:t>
      </w:r>
      <w:r w:rsidR="00386E3B">
        <w:rPr>
          <w:bCs/>
        </w:rPr>
        <w:t>from the</w:t>
      </w:r>
      <w:r w:rsidR="001C6ABD">
        <w:rPr>
          <w:bCs/>
        </w:rPr>
        <w:t xml:space="preserve"> requirements of the</w:t>
      </w:r>
      <w:r w:rsidR="00386E3B">
        <w:rPr>
          <w:bCs/>
        </w:rPr>
        <w:t xml:space="preserve"> 2022 Rules </w:t>
      </w:r>
      <w:r w:rsidR="007B651E">
        <w:rPr>
          <w:bCs/>
        </w:rPr>
        <w:t xml:space="preserve">to </w:t>
      </w:r>
      <w:r w:rsidR="00E915A7">
        <w:rPr>
          <w:bCs/>
        </w:rPr>
        <w:t xml:space="preserve">the </w:t>
      </w:r>
      <w:r w:rsidR="001C6ABD">
        <w:rPr>
          <w:bCs/>
        </w:rPr>
        <w:t xml:space="preserve">requirements of the </w:t>
      </w:r>
      <w:r w:rsidR="00E915A7">
        <w:rPr>
          <w:bCs/>
        </w:rPr>
        <w:t xml:space="preserve">2024 </w:t>
      </w:r>
      <w:r w:rsidR="00692461">
        <w:rPr>
          <w:bCs/>
        </w:rPr>
        <w:t xml:space="preserve">Rules </w:t>
      </w:r>
      <w:r w:rsidR="001C6ABD">
        <w:rPr>
          <w:bCs/>
        </w:rPr>
        <w:t xml:space="preserve">in relation </w:t>
      </w:r>
      <w:r w:rsidR="004A67E0">
        <w:rPr>
          <w:bCs/>
        </w:rPr>
        <w:t xml:space="preserve">to </w:t>
      </w:r>
      <w:r w:rsidR="00B85017">
        <w:rPr>
          <w:bCs/>
        </w:rPr>
        <w:t>reports</w:t>
      </w:r>
      <w:r w:rsidR="005B439E">
        <w:rPr>
          <w:bCs/>
        </w:rPr>
        <w:t xml:space="preserve"> </w:t>
      </w:r>
      <w:r w:rsidR="0051484A">
        <w:rPr>
          <w:bCs/>
        </w:rPr>
        <w:t>for a</w:t>
      </w:r>
      <w:r w:rsidR="00D161C5">
        <w:rPr>
          <w:bCs/>
        </w:rPr>
        <w:t xml:space="preserve"> reportable transaction</w:t>
      </w:r>
      <w:r w:rsidR="00CF488D">
        <w:rPr>
          <w:bCs/>
        </w:rPr>
        <w:t xml:space="preserve"> that </w:t>
      </w:r>
      <w:r w:rsidR="00D10D2E">
        <w:rPr>
          <w:bCs/>
        </w:rPr>
        <w:t xml:space="preserve">were </w:t>
      </w:r>
      <w:r w:rsidR="00E3171C">
        <w:rPr>
          <w:bCs/>
        </w:rPr>
        <w:t>reported prior to</w:t>
      </w:r>
      <w:r w:rsidR="00A408C5">
        <w:rPr>
          <w:bCs/>
        </w:rPr>
        <w:t xml:space="preserve"> the commencement of the 2024 Rules</w:t>
      </w:r>
      <w:r w:rsidR="003D1566">
        <w:rPr>
          <w:bCs/>
        </w:rPr>
        <w:t>.</w:t>
      </w:r>
    </w:p>
    <w:p w14:paraId="5BA6A0C1" w14:textId="4D5682AB" w:rsidR="008A6E70" w:rsidRPr="008A6E70" w:rsidRDefault="009A558A" w:rsidP="002E110A">
      <w:pPr>
        <w:pStyle w:val="LI-BodyTextParaa"/>
        <w:numPr>
          <w:ilvl w:val="0"/>
          <w:numId w:val="3"/>
        </w:numPr>
        <w:rPr>
          <w:bCs/>
        </w:rPr>
      </w:pPr>
      <w:r>
        <w:rPr>
          <w:bCs/>
        </w:rPr>
        <w:lastRenderedPageBreak/>
        <w:t xml:space="preserve">Subrule 2.4.1(1) </w:t>
      </w:r>
      <w:r w:rsidR="00E7493F">
        <w:rPr>
          <w:bCs/>
        </w:rPr>
        <w:t>requires that</w:t>
      </w:r>
      <w:r w:rsidR="00762B73">
        <w:rPr>
          <w:bCs/>
        </w:rPr>
        <w:t>, s</w:t>
      </w:r>
      <w:r w:rsidR="008A6E70" w:rsidRPr="008A6E70">
        <w:rPr>
          <w:bCs/>
        </w:rPr>
        <w:t xml:space="preserve">ubject to subrule (2), </w:t>
      </w:r>
      <w:r w:rsidR="00F65ABA">
        <w:rPr>
          <w:bCs/>
        </w:rPr>
        <w:t>a reporting entity</w:t>
      </w:r>
      <w:r w:rsidR="008A6E70" w:rsidRPr="008A6E70">
        <w:rPr>
          <w:bCs/>
        </w:rPr>
        <w:t xml:space="preserve"> that has, on or before 20 October 2024, made a report for a</w:t>
      </w:r>
      <w:r w:rsidR="00D161C5">
        <w:rPr>
          <w:bCs/>
        </w:rPr>
        <w:t xml:space="preserve"> reportable transaction</w:t>
      </w:r>
      <w:r w:rsidR="008A6E70" w:rsidRPr="008A6E70">
        <w:rPr>
          <w:bCs/>
        </w:rPr>
        <w:t xml:space="preserve"> and:</w:t>
      </w:r>
    </w:p>
    <w:p w14:paraId="2272013A" w14:textId="50C27110" w:rsidR="008A6E70" w:rsidRPr="008A6E70" w:rsidRDefault="008A6E70" w:rsidP="002E110A">
      <w:pPr>
        <w:pStyle w:val="LI-BodyTextParaa"/>
        <w:numPr>
          <w:ilvl w:val="1"/>
          <w:numId w:val="3"/>
        </w:numPr>
        <w:rPr>
          <w:bCs/>
        </w:rPr>
      </w:pPr>
      <w:r w:rsidRPr="008A6E70">
        <w:rPr>
          <w:bCs/>
        </w:rPr>
        <w:t>the</w:t>
      </w:r>
      <w:r w:rsidR="003E43F4">
        <w:rPr>
          <w:bCs/>
        </w:rPr>
        <w:t xml:space="preserve"> OTC derivative</w:t>
      </w:r>
      <w:r w:rsidRPr="008A6E70">
        <w:rPr>
          <w:bCs/>
        </w:rPr>
        <w:t xml:space="preserve"> the subject of the</w:t>
      </w:r>
      <w:r w:rsidR="00D161C5">
        <w:rPr>
          <w:bCs/>
        </w:rPr>
        <w:t xml:space="preserve"> reportable transaction</w:t>
      </w:r>
      <w:r w:rsidRPr="008A6E70">
        <w:rPr>
          <w:bCs/>
        </w:rPr>
        <w:t xml:space="preserve"> has an </w:t>
      </w:r>
      <w:r w:rsidR="008F7AA2">
        <w:rPr>
          <w:bCs/>
        </w:rPr>
        <w:t>e</w:t>
      </w:r>
      <w:r w:rsidRPr="008A6E70">
        <w:rPr>
          <w:bCs/>
        </w:rPr>
        <w:t xml:space="preserve">xpiration date (as defined by item 18 of Table S1.1(1)) later than 20 October </w:t>
      </w:r>
      <w:proofErr w:type="gramStart"/>
      <w:r w:rsidRPr="008A6E70">
        <w:rPr>
          <w:bCs/>
        </w:rPr>
        <w:t>2025;</w:t>
      </w:r>
      <w:proofErr w:type="gramEnd"/>
    </w:p>
    <w:p w14:paraId="0AA5E43E" w14:textId="65E503A0" w:rsidR="008A6E70" w:rsidRPr="008A6E70" w:rsidRDefault="008A6E70" w:rsidP="002E110A">
      <w:pPr>
        <w:pStyle w:val="LI-BodyTextParaa"/>
        <w:numPr>
          <w:ilvl w:val="1"/>
          <w:numId w:val="3"/>
        </w:numPr>
        <w:rPr>
          <w:bCs/>
        </w:rPr>
      </w:pPr>
      <w:r w:rsidRPr="008A6E70">
        <w:rPr>
          <w:bCs/>
        </w:rPr>
        <w:t>the</w:t>
      </w:r>
      <w:r w:rsidR="003E43F4">
        <w:rPr>
          <w:bCs/>
        </w:rPr>
        <w:t xml:space="preserve"> OTC derivative</w:t>
      </w:r>
      <w:r w:rsidRPr="008A6E70">
        <w:rPr>
          <w:bCs/>
        </w:rPr>
        <w:t xml:space="preserve"> has not been terminated on or before 20 April </w:t>
      </w:r>
      <w:proofErr w:type="gramStart"/>
      <w:r w:rsidRPr="008A6E70">
        <w:rPr>
          <w:bCs/>
        </w:rPr>
        <w:t>2025;</w:t>
      </w:r>
      <w:proofErr w:type="gramEnd"/>
    </w:p>
    <w:p w14:paraId="1931CDA8" w14:textId="41F5FFDD" w:rsidR="008A6E70" w:rsidRPr="008A6E70" w:rsidRDefault="008A6E70" w:rsidP="002E110A">
      <w:pPr>
        <w:pStyle w:val="LI-BodyTextParaa"/>
        <w:numPr>
          <w:ilvl w:val="1"/>
          <w:numId w:val="3"/>
        </w:numPr>
        <w:rPr>
          <w:bCs/>
        </w:rPr>
      </w:pPr>
      <w:r w:rsidRPr="008A6E70">
        <w:rPr>
          <w:bCs/>
        </w:rPr>
        <w:t>the current state information about the</w:t>
      </w:r>
      <w:r w:rsidR="003E43F4">
        <w:rPr>
          <w:bCs/>
        </w:rPr>
        <w:t xml:space="preserve"> OTC derivative</w:t>
      </w:r>
      <w:r w:rsidRPr="008A6E70">
        <w:rPr>
          <w:bCs/>
        </w:rPr>
        <w:t xml:space="preserve"> reported on or before 20 October 2024 does not include:</w:t>
      </w:r>
    </w:p>
    <w:p w14:paraId="26AB632D" w14:textId="7880CF53" w:rsidR="008A6E70" w:rsidRPr="008A6E70" w:rsidRDefault="008A6E70" w:rsidP="002E110A">
      <w:pPr>
        <w:pStyle w:val="LI-BodyTextParaa"/>
        <w:numPr>
          <w:ilvl w:val="2"/>
          <w:numId w:val="3"/>
        </w:numPr>
        <w:rPr>
          <w:bCs/>
        </w:rPr>
      </w:pPr>
      <w:r w:rsidRPr="008A6E70">
        <w:rPr>
          <w:bCs/>
        </w:rPr>
        <w:t>all of the</w:t>
      </w:r>
      <w:r w:rsidR="001701B5">
        <w:rPr>
          <w:bCs/>
        </w:rPr>
        <w:t xml:space="preserve"> derivative transaction information</w:t>
      </w:r>
      <w:r w:rsidRPr="008A6E70">
        <w:rPr>
          <w:bCs/>
        </w:rPr>
        <w:t xml:space="preserve"> set out in column 3 of Table S1.1(1), to the extent that information is relevant to the</w:t>
      </w:r>
      <w:r w:rsidR="00D161C5">
        <w:rPr>
          <w:bCs/>
        </w:rPr>
        <w:t xml:space="preserve"> reportable transaction</w:t>
      </w:r>
      <w:r w:rsidRPr="008A6E70">
        <w:rPr>
          <w:bCs/>
        </w:rPr>
        <w:t>; or</w:t>
      </w:r>
    </w:p>
    <w:p w14:paraId="18087138" w14:textId="58187300" w:rsidR="008A6E70" w:rsidRPr="008A6E70" w:rsidRDefault="008A6E70" w:rsidP="002E110A">
      <w:pPr>
        <w:pStyle w:val="LI-BodyTextParaa"/>
        <w:numPr>
          <w:ilvl w:val="2"/>
          <w:numId w:val="3"/>
        </w:numPr>
        <w:rPr>
          <w:bCs/>
        </w:rPr>
      </w:pPr>
      <w:r w:rsidRPr="008A6E70">
        <w:rPr>
          <w:bCs/>
        </w:rPr>
        <w:t>information in accordance with the format and allowed values set out in columns 4-5 of Table S1.1(1)</w:t>
      </w:r>
      <w:r w:rsidR="00341233">
        <w:rPr>
          <w:bCs/>
        </w:rPr>
        <w:t>,</w:t>
      </w:r>
    </w:p>
    <w:p w14:paraId="16EC29D8" w14:textId="608070B8" w:rsidR="008A6E70" w:rsidRPr="008A6E70" w:rsidRDefault="00F65ABA" w:rsidP="0036492F">
      <w:pPr>
        <w:pStyle w:val="LI-BodyTextParaa"/>
        <w:ind w:left="567" w:firstLine="0"/>
        <w:rPr>
          <w:bCs/>
        </w:rPr>
      </w:pPr>
      <w:r>
        <w:rPr>
          <w:bCs/>
        </w:rPr>
        <w:t>the reporting entity</w:t>
      </w:r>
      <w:r w:rsidR="008A6E70" w:rsidRPr="008A6E70">
        <w:rPr>
          <w:bCs/>
        </w:rPr>
        <w:t xml:space="preserve"> must, by 20 April 2025 make a change report about the</w:t>
      </w:r>
      <w:r w:rsidR="003E43F4">
        <w:rPr>
          <w:bCs/>
        </w:rPr>
        <w:t xml:space="preserve"> OTC derivative</w:t>
      </w:r>
      <w:r w:rsidR="008A6E70" w:rsidRPr="008A6E70">
        <w:rPr>
          <w:bCs/>
        </w:rPr>
        <w:t xml:space="preserve"> under subrule 2.2.2(1) that includes the information specified in subparagraph 2.4.1(c).</w:t>
      </w:r>
    </w:p>
    <w:p w14:paraId="6E743634" w14:textId="72B9AD39" w:rsidR="00F800CA" w:rsidRDefault="000C4F16" w:rsidP="002E110A">
      <w:pPr>
        <w:pStyle w:val="LI-BodyTextParaa"/>
        <w:numPr>
          <w:ilvl w:val="0"/>
          <w:numId w:val="3"/>
        </w:numPr>
        <w:rPr>
          <w:bCs/>
        </w:rPr>
      </w:pPr>
      <w:r>
        <w:rPr>
          <w:bCs/>
        </w:rPr>
        <w:t xml:space="preserve">A report </w:t>
      </w:r>
      <w:r w:rsidR="009C0A78">
        <w:rPr>
          <w:bCs/>
        </w:rPr>
        <w:t>for a</w:t>
      </w:r>
      <w:r w:rsidR="00D161C5">
        <w:rPr>
          <w:bCs/>
        </w:rPr>
        <w:t xml:space="preserve"> reportable transaction</w:t>
      </w:r>
      <w:r w:rsidR="009C0A78">
        <w:rPr>
          <w:bCs/>
        </w:rPr>
        <w:t xml:space="preserve"> </w:t>
      </w:r>
      <w:r w:rsidR="00A90881">
        <w:rPr>
          <w:bCs/>
        </w:rPr>
        <w:t>made on or before 20 October 2024</w:t>
      </w:r>
      <w:r w:rsidR="007A0C50">
        <w:rPr>
          <w:bCs/>
        </w:rPr>
        <w:t xml:space="preserve"> would have been reported under </w:t>
      </w:r>
      <w:r w:rsidR="002C53A0">
        <w:rPr>
          <w:bCs/>
        </w:rPr>
        <w:t>the 2022 Rules</w:t>
      </w:r>
      <w:r w:rsidR="002B177A">
        <w:rPr>
          <w:bCs/>
        </w:rPr>
        <w:t xml:space="preserve"> or 2013 Rules</w:t>
      </w:r>
      <w:r w:rsidR="002C53A0">
        <w:rPr>
          <w:bCs/>
        </w:rPr>
        <w:t>. The</w:t>
      </w:r>
      <w:r w:rsidR="001701B5">
        <w:rPr>
          <w:bCs/>
        </w:rPr>
        <w:t xml:space="preserve"> derivative transaction information</w:t>
      </w:r>
      <w:r w:rsidR="00D12780">
        <w:rPr>
          <w:bCs/>
        </w:rPr>
        <w:t xml:space="preserve"> </w:t>
      </w:r>
      <w:r w:rsidR="002C53A0">
        <w:rPr>
          <w:bCs/>
        </w:rPr>
        <w:t xml:space="preserve">reported under </w:t>
      </w:r>
      <w:r w:rsidR="00D12780">
        <w:rPr>
          <w:bCs/>
        </w:rPr>
        <w:t xml:space="preserve">the 2022 </w:t>
      </w:r>
      <w:proofErr w:type="gramStart"/>
      <w:r w:rsidR="00D12780">
        <w:rPr>
          <w:bCs/>
        </w:rPr>
        <w:t>Rules</w:t>
      </w:r>
      <w:proofErr w:type="gramEnd"/>
      <w:r w:rsidR="006D4A4F">
        <w:rPr>
          <w:bCs/>
        </w:rPr>
        <w:t xml:space="preserve"> </w:t>
      </w:r>
      <w:r w:rsidR="00227EDB">
        <w:rPr>
          <w:bCs/>
        </w:rPr>
        <w:t>or</w:t>
      </w:r>
      <w:r w:rsidR="002B177A">
        <w:rPr>
          <w:bCs/>
        </w:rPr>
        <w:t xml:space="preserve"> 2013 Rules </w:t>
      </w:r>
      <w:r w:rsidR="006D4A4F">
        <w:rPr>
          <w:bCs/>
        </w:rPr>
        <w:t xml:space="preserve">would </w:t>
      </w:r>
      <w:r w:rsidR="00442649">
        <w:rPr>
          <w:bCs/>
        </w:rPr>
        <w:t xml:space="preserve">generally </w:t>
      </w:r>
      <w:r w:rsidR="006D4A4F">
        <w:rPr>
          <w:bCs/>
        </w:rPr>
        <w:t xml:space="preserve">have information that does not include all of the </w:t>
      </w:r>
      <w:r w:rsidR="00442649">
        <w:rPr>
          <w:bCs/>
        </w:rPr>
        <w:t xml:space="preserve">data elements information </w:t>
      </w:r>
      <w:r w:rsidR="008911C5">
        <w:rPr>
          <w:bCs/>
        </w:rPr>
        <w:t xml:space="preserve">required under the 2024 Rules and </w:t>
      </w:r>
      <w:r w:rsidR="001874DD">
        <w:rPr>
          <w:bCs/>
        </w:rPr>
        <w:t xml:space="preserve">would also </w:t>
      </w:r>
      <w:r w:rsidR="00CB0B46">
        <w:rPr>
          <w:bCs/>
        </w:rPr>
        <w:t xml:space="preserve">generally </w:t>
      </w:r>
      <w:r w:rsidR="001874DD">
        <w:rPr>
          <w:bCs/>
        </w:rPr>
        <w:t xml:space="preserve">have data element information that </w:t>
      </w:r>
      <w:r w:rsidR="00204F08">
        <w:rPr>
          <w:bCs/>
        </w:rPr>
        <w:t xml:space="preserve">is not a </w:t>
      </w:r>
      <w:r w:rsidR="006D3159">
        <w:rPr>
          <w:bCs/>
        </w:rPr>
        <w:t xml:space="preserve">value that is allowed under </w:t>
      </w:r>
      <w:r w:rsidR="00CB0B46">
        <w:rPr>
          <w:bCs/>
        </w:rPr>
        <w:t xml:space="preserve">the 2024 Rules and/or </w:t>
      </w:r>
      <w:r w:rsidR="00092C88">
        <w:rPr>
          <w:bCs/>
        </w:rPr>
        <w:t xml:space="preserve">is not </w:t>
      </w:r>
      <w:r w:rsidR="00204F08">
        <w:rPr>
          <w:bCs/>
        </w:rPr>
        <w:t>in the format</w:t>
      </w:r>
      <w:r w:rsidR="00092C88">
        <w:rPr>
          <w:bCs/>
        </w:rPr>
        <w:t xml:space="preserve"> required under the </w:t>
      </w:r>
      <w:r w:rsidR="0026234B">
        <w:rPr>
          <w:bCs/>
        </w:rPr>
        <w:t>2024 Rules.</w:t>
      </w:r>
    </w:p>
    <w:p w14:paraId="6BF1C3B0" w14:textId="0D537E0E" w:rsidR="00D364D7" w:rsidRDefault="009C78C3" w:rsidP="002E110A">
      <w:pPr>
        <w:pStyle w:val="LI-BodyTextParaa"/>
        <w:numPr>
          <w:ilvl w:val="0"/>
          <w:numId w:val="3"/>
        </w:numPr>
        <w:rPr>
          <w:bCs/>
        </w:rPr>
      </w:pPr>
      <w:r>
        <w:rPr>
          <w:bCs/>
        </w:rPr>
        <w:t xml:space="preserve">By 20 April 2025, </w:t>
      </w:r>
      <w:r w:rsidR="00F65ABA">
        <w:rPr>
          <w:bCs/>
        </w:rPr>
        <w:t>reporting entities</w:t>
      </w:r>
      <w:r w:rsidR="00DE1E48">
        <w:rPr>
          <w:bCs/>
        </w:rPr>
        <w:t xml:space="preserve"> are required to make a change report under subrule 2.2.2(1) to update </w:t>
      </w:r>
      <w:r>
        <w:rPr>
          <w:bCs/>
        </w:rPr>
        <w:t xml:space="preserve">the </w:t>
      </w:r>
      <w:r w:rsidR="002C4AF0">
        <w:rPr>
          <w:bCs/>
        </w:rPr>
        <w:t xml:space="preserve">current state of </w:t>
      </w:r>
      <w:r w:rsidR="004760B9">
        <w:rPr>
          <w:bCs/>
        </w:rPr>
        <w:t>the</w:t>
      </w:r>
      <w:r w:rsidR="001701B5">
        <w:rPr>
          <w:bCs/>
        </w:rPr>
        <w:t xml:space="preserve"> derivative transaction information</w:t>
      </w:r>
      <w:r w:rsidR="004760B9">
        <w:rPr>
          <w:bCs/>
        </w:rPr>
        <w:t xml:space="preserve"> </w:t>
      </w:r>
      <w:r w:rsidR="001A6374">
        <w:rPr>
          <w:bCs/>
        </w:rPr>
        <w:t>about each of their</w:t>
      </w:r>
      <w:r w:rsidR="003E43F4">
        <w:rPr>
          <w:bCs/>
        </w:rPr>
        <w:t xml:space="preserve"> OTC derivative</w:t>
      </w:r>
      <w:r w:rsidR="001A6374">
        <w:rPr>
          <w:bCs/>
        </w:rPr>
        <w:t xml:space="preserve">s </w:t>
      </w:r>
      <w:r w:rsidR="00954E60">
        <w:rPr>
          <w:bCs/>
        </w:rPr>
        <w:t xml:space="preserve">so that it </w:t>
      </w:r>
      <w:r w:rsidR="00D02753">
        <w:rPr>
          <w:bCs/>
        </w:rPr>
        <w:t>meet</w:t>
      </w:r>
      <w:r w:rsidR="00D340E0">
        <w:rPr>
          <w:bCs/>
        </w:rPr>
        <w:t>s</w:t>
      </w:r>
      <w:r w:rsidR="00D02753">
        <w:rPr>
          <w:bCs/>
        </w:rPr>
        <w:t xml:space="preserve"> the requirements for</w:t>
      </w:r>
      <w:r w:rsidR="001701B5">
        <w:rPr>
          <w:bCs/>
        </w:rPr>
        <w:t xml:space="preserve"> derivative transaction information</w:t>
      </w:r>
      <w:r w:rsidR="00B8620F">
        <w:rPr>
          <w:bCs/>
        </w:rPr>
        <w:t xml:space="preserve"> under the 2024 Rules.</w:t>
      </w:r>
    </w:p>
    <w:p w14:paraId="56F2F3A5" w14:textId="0730D9CE" w:rsidR="008C207F" w:rsidRDefault="00F65ABA" w:rsidP="002E110A">
      <w:pPr>
        <w:pStyle w:val="LI-BodyTextParaa"/>
        <w:numPr>
          <w:ilvl w:val="0"/>
          <w:numId w:val="3"/>
        </w:numPr>
        <w:rPr>
          <w:bCs/>
        </w:rPr>
      </w:pPr>
      <w:r>
        <w:rPr>
          <w:bCs/>
        </w:rPr>
        <w:t>A reporting entity</w:t>
      </w:r>
      <w:r w:rsidR="00B8620F">
        <w:rPr>
          <w:bCs/>
        </w:rPr>
        <w:t xml:space="preserve"> is not required to update</w:t>
      </w:r>
      <w:r w:rsidR="00872B75">
        <w:rPr>
          <w:bCs/>
        </w:rPr>
        <w:t xml:space="preserve"> the current state of the</w:t>
      </w:r>
      <w:r w:rsidR="001701B5">
        <w:rPr>
          <w:bCs/>
        </w:rPr>
        <w:t xml:space="preserve"> derivative transaction information</w:t>
      </w:r>
      <w:r w:rsidR="00872B75">
        <w:rPr>
          <w:bCs/>
        </w:rPr>
        <w:t xml:space="preserve"> about an</w:t>
      </w:r>
      <w:r w:rsidR="003E43F4">
        <w:rPr>
          <w:bCs/>
        </w:rPr>
        <w:t xml:space="preserve"> OTC derivative</w:t>
      </w:r>
      <w:r w:rsidR="008C207F">
        <w:rPr>
          <w:bCs/>
        </w:rPr>
        <w:t xml:space="preserve"> if the</w:t>
      </w:r>
      <w:r w:rsidR="003E43F4">
        <w:rPr>
          <w:bCs/>
        </w:rPr>
        <w:t xml:space="preserve"> OTC derivative</w:t>
      </w:r>
      <w:r w:rsidR="008C207F">
        <w:rPr>
          <w:bCs/>
        </w:rPr>
        <w:t>:</w:t>
      </w:r>
    </w:p>
    <w:p w14:paraId="6F2C17BA" w14:textId="50945449" w:rsidR="00B8620F" w:rsidRDefault="00572322" w:rsidP="002E110A">
      <w:pPr>
        <w:pStyle w:val="LI-BodyTextParaa"/>
        <w:numPr>
          <w:ilvl w:val="1"/>
          <w:numId w:val="3"/>
        </w:numPr>
        <w:rPr>
          <w:bCs/>
        </w:rPr>
      </w:pPr>
      <w:r>
        <w:rPr>
          <w:bCs/>
        </w:rPr>
        <w:t>has been terminated by 20 April 2025; or</w:t>
      </w:r>
    </w:p>
    <w:p w14:paraId="6C99B813" w14:textId="3213F3D4" w:rsidR="00572322" w:rsidRDefault="00572322" w:rsidP="002E110A">
      <w:pPr>
        <w:pStyle w:val="LI-BodyTextParaa"/>
        <w:numPr>
          <w:ilvl w:val="1"/>
          <w:numId w:val="3"/>
        </w:numPr>
        <w:rPr>
          <w:bCs/>
        </w:rPr>
      </w:pPr>
      <w:r>
        <w:rPr>
          <w:bCs/>
        </w:rPr>
        <w:t xml:space="preserve">has an expiration date </w:t>
      </w:r>
      <w:r w:rsidR="000A2F23">
        <w:rPr>
          <w:bCs/>
        </w:rPr>
        <w:t xml:space="preserve">not </w:t>
      </w:r>
      <w:r w:rsidR="00FF26B0">
        <w:rPr>
          <w:bCs/>
        </w:rPr>
        <w:t>later than 20 October 2025.</w:t>
      </w:r>
    </w:p>
    <w:p w14:paraId="138DBDDC" w14:textId="790B77D5" w:rsidR="00153183" w:rsidRPr="00153183" w:rsidRDefault="00FF26B0" w:rsidP="002E110A">
      <w:pPr>
        <w:pStyle w:val="LI-BodyTextParaa"/>
        <w:numPr>
          <w:ilvl w:val="0"/>
          <w:numId w:val="3"/>
        </w:numPr>
        <w:rPr>
          <w:bCs/>
        </w:rPr>
      </w:pPr>
      <w:r>
        <w:rPr>
          <w:bCs/>
        </w:rPr>
        <w:t xml:space="preserve">In addition, subrule 2.4.1(2) provides </w:t>
      </w:r>
      <w:r w:rsidR="001D5362">
        <w:rPr>
          <w:bCs/>
        </w:rPr>
        <w:t xml:space="preserve">that </w:t>
      </w:r>
      <w:r w:rsidR="00F65ABA">
        <w:rPr>
          <w:bCs/>
        </w:rPr>
        <w:t>a reporting entity</w:t>
      </w:r>
      <w:r w:rsidR="00153183" w:rsidRPr="00153183">
        <w:rPr>
          <w:bCs/>
        </w:rPr>
        <w:t xml:space="preserve"> is not required to include in a change report made under subrule </w:t>
      </w:r>
      <w:r w:rsidR="00110BC4">
        <w:rPr>
          <w:bCs/>
        </w:rPr>
        <w:t>2.4.1</w:t>
      </w:r>
      <w:r w:rsidR="00153183" w:rsidRPr="00153183">
        <w:rPr>
          <w:bCs/>
        </w:rPr>
        <w:t>(1)</w:t>
      </w:r>
      <w:r w:rsidR="001701B5">
        <w:rPr>
          <w:bCs/>
        </w:rPr>
        <w:t xml:space="preserve"> derivative transaction information</w:t>
      </w:r>
      <w:r w:rsidR="00153183" w:rsidRPr="00153183">
        <w:rPr>
          <w:bCs/>
        </w:rPr>
        <w:t xml:space="preserve"> set out in column 3 of Table S1.1(1) that:</w:t>
      </w:r>
    </w:p>
    <w:p w14:paraId="3FB96EC6" w14:textId="557AC42E" w:rsidR="00153183" w:rsidRPr="00AA1FEC" w:rsidRDefault="00153183" w:rsidP="002E110A">
      <w:pPr>
        <w:pStyle w:val="LI-BodyTextParaa"/>
        <w:numPr>
          <w:ilvl w:val="1"/>
          <w:numId w:val="3"/>
        </w:numPr>
        <w:rPr>
          <w:bCs/>
        </w:rPr>
      </w:pPr>
      <w:r w:rsidRPr="00153183">
        <w:rPr>
          <w:bCs/>
        </w:rPr>
        <w:t>has not been recorded in electronic form in the systems that are the source of</w:t>
      </w:r>
      <w:r w:rsidR="001701B5">
        <w:rPr>
          <w:bCs/>
        </w:rPr>
        <w:t xml:space="preserve"> derivative transaction information</w:t>
      </w:r>
      <w:r w:rsidRPr="00153183">
        <w:rPr>
          <w:bCs/>
        </w:rPr>
        <w:t>; or</w:t>
      </w:r>
    </w:p>
    <w:p w14:paraId="47DB7134" w14:textId="5E06C0F5" w:rsidR="00153183" w:rsidRPr="00A33447" w:rsidRDefault="00153183" w:rsidP="002E110A">
      <w:pPr>
        <w:pStyle w:val="LI-BodyTextParaa"/>
        <w:numPr>
          <w:ilvl w:val="1"/>
          <w:numId w:val="3"/>
        </w:numPr>
        <w:rPr>
          <w:bCs/>
        </w:rPr>
      </w:pPr>
      <w:r w:rsidRPr="00AA1FEC">
        <w:rPr>
          <w:bCs/>
        </w:rPr>
        <w:lastRenderedPageBreak/>
        <w:t>is not able to be created by the systems that create</w:t>
      </w:r>
      <w:r w:rsidR="001701B5">
        <w:rPr>
          <w:bCs/>
        </w:rPr>
        <w:t xml:space="preserve"> derivative transaction information</w:t>
      </w:r>
      <w:r w:rsidRPr="00AA1FEC">
        <w:rPr>
          <w:bCs/>
        </w:rPr>
        <w:t xml:space="preserve"> in the ordinary way that the systems create</w:t>
      </w:r>
      <w:r w:rsidR="001701B5">
        <w:rPr>
          <w:bCs/>
        </w:rPr>
        <w:t xml:space="preserve"> derivative transaction information</w:t>
      </w:r>
      <w:r w:rsidRPr="00AA1FEC">
        <w:rPr>
          <w:bCs/>
        </w:rPr>
        <w:t xml:space="preserve"> for a report made after </w:t>
      </w:r>
      <w:r w:rsidR="00A33447">
        <w:rPr>
          <w:bCs/>
        </w:rPr>
        <w:t>20</w:t>
      </w:r>
      <w:r w:rsidRPr="003952F4">
        <w:rPr>
          <w:bCs/>
        </w:rPr>
        <w:t xml:space="preserve"> </w:t>
      </w:r>
      <w:r w:rsidR="00A33447">
        <w:rPr>
          <w:bCs/>
        </w:rPr>
        <w:t>October</w:t>
      </w:r>
      <w:r w:rsidRPr="00A33447">
        <w:rPr>
          <w:bCs/>
        </w:rPr>
        <w:t xml:space="preserve"> 2024.</w:t>
      </w:r>
    </w:p>
    <w:p w14:paraId="7737B438" w14:textId="41EE8168" w:rsidR="00986EB7" w:rsidRDefault="00054C7E" w:rsidP="002E110A">
      <w:pPr>
        <w:pStyle w:val="LI-BodyTextParaa"/>
        <w:numPr>
          <w:ilvl w:val="0"/>
          <w:numId w:val="3"/>
        </w:numPr>
        <w:rPr>
          <w:bCs/>
        </w:rPr>
      </w:pPr>
      <w:r>
        <w:rPr>
          <w:bCs/>
        </w:rPr>
        <w:t>I</w:t>
      </w:r>
      <w:r w:rsidR="003A32C5">
        <w:rPr>
          <w:bCs/>
        </w:rPr>
        <w:t xml:space="preserve">n making reports under </w:t>
      </w:r>
      <w:r w:rsidR="008119F3">
        <w:rPr>
          <w:bCs/>
        </w:rPr>
        <w:t>the 2024 Rules,</w:t>
      </w:r>
      <w:r w:rsidR="00F65ABA">
        <w:rPr>
          <w:bCs/>
        </w:rPr>
        <w:t xml:space="preserve"> reporting entities</w:t>
      </w:r>
      <w:r w:rsidR="008119F3">
        <w:rPr>
          <w:bCs/>
        </w:rPr>
        <w:t xml:space="preserve"> generally </w:t>
      </w:r>
      <w:r w:rsidR="00447A66">
        <w:rPr>
          <w:bCs/>
        </w:rPr>
        <w:t xml:space="preserve">extract </w:t>
      </w:r>
      <w:r w:rsidR="005E49B4">
        <w:rPr>
          <w:bCs/>
        </w:rPr>
        <w:t xml:space="preserve">information </w:t>
      </w:r>
      <w:r w:rsidR="003C6106">
        <w:rPr>
          <w:bCs/>
        </w:rPr>
        <w:t xml:space="preserve">from their business systems </w:t>
      </w:r>
      <w:r w:rsidR="00DD63BE">
        <w:rPr>
          <w:bCs/>
        </w:rPr>
        <w:t xml:space="preserve">and then </w:t>
      </w:r>
      <w:r w:rsidR="005A68A7">
        <w:rPr>
          <w:bCs/>
        </w:rPr>
        <w:t xml:space="preserve">use </w:t>
      </w:r>
      <w:r w:rsidR="002B3D29">
        <w:rPr>
          <w:bCs/>
        </w:rPr>
        <w:t xml:space="preserve">one or more other systems, which may include the systems of </w:t>
      </w:r>
      <w:r w:rsidR="005A68A7">
        <w:rPr>
          <w:bCs/>
        </w:rPr>
        <w:t>a</w:t>
      </w:r>
      <w:r w:rsidR="00C63AFF">
        <w:rPr>
          <w:bCs/>
        </w:rPr>
        <w:t xml:space="preserve"> person appointed to report on behalf of </w:t>
      </w:r>
      <w:r w:rsidR="00F65ABA">
        <w:rPr>
          <w:bCs/>
        </w:rPr>
        <w:t>the reporting entity</w:t>
      </w:r>
      <w:r w:rsidR="004009DA">
        <w:rPr>
          <w:bCs/>
        </w:rPr>
        <w:t xml:space="preserve">, to </w:t>
      </w:r>
      <w:r w:rsidR="005A68A7">
        <w:rPr>
          <w:bCs/>
        </w:rPr>
        <w:t>create</w:t>
      </w:r>
      <w:r w:rsidR="001701B5">
        <w:rPr>
          <w:bCs/>
        </w:rPr>
        <w:t xml:space="preserve"> derivative transaction information</w:t>
      </w:r>
      <w:r w:rsidR="009D43F4">
        <w:rPr>
          <w:bCs/>
        </w:rPr>
        <w:t xml:space="preserve">. This may include transforming, </w:t>
      </w:r>
      <w:proofErr w:type="gramStart"/>
      <w:r w:rsidR="009D43F4">
        <w:rPr>
          <w:bCs/>
        </w:rPr>
        <w:t>supplementing</w:t>
      </w:r>
      <w:proofErr w:type="gramEnd"/>
      <w:r w:rsidR="009D43F4">
        <w:rPr>
          <w:bCs/>
        </w:rPr>
        <w:t xml:space="preserve"> </w:t>
      </w:r>
      <w:r w:rsidR="009E163C">
        <w:rPr>
          <w:bCs/>
        </w:rPr>
        <w:t xml:space="preserve">or making no changes to </w:t>
      </w:r>
      <w:r w:rsidR="00447A66">
        <w:rPr>
          <w:bCs/>
        </w:rPr>
        <w:t xml:space="preserve">information </w:t>
      </w:r>
      <w:r w:rsidR="009E163C">
        <w:rPr>
          <w:bCs/>
        </w:rPr>
        <w:t xml:space="preserve">extracted from </w:t>
      </w:r>
      <w:r w:rsidR="00BA60A0">
        <w:rPr>
          <w:bCs/>
        </w:rPr>
        <w:t>the ordinary business systems</w:t>
      </w:r>
      <w:r w:rsidR="00986EB7">
        <w:rPr>
          <w:bCs/>
        </w:rPr>
        <w:t>.</w:t>
      </w:r>
    </w:p>
    <w:p w14:paraId="419F27E7" w14:textId="68A86B0E" w:rsidR="00A33447" w:rsidRDefault="00827181" w:rsidP="002E110A">
      <w:pPr>
        <w:pStyle w:val="LI-BodyTextParaa"/>
        <w:numPr>
          <w:ilvl w:val="0"/>
          <w:numId w:val="3"/>
        </w:numPr>
        <w:rPr>
          <w:bCs/>
        </w:rPr>
      </w:pPr>
      <w:r>
        <w:rPr>
          <w:bCs/>
        </w:rPr>
        <w:t xml:space="preserve">For </w:t>
      </w:r>
      <w:r w:rsidR="00F65ABA">
        <w:rPr>
          <w:bCs/>
        </w:rPr>
        <w:t>a reporting entity</w:t>
      </w:r>
      <w:r w:rsidR="000A3AF1">
        <w:rPr>
          <w:bCs/>
        </w:rPr>
        <w:t xml:space="preserve">’s </w:t>
      </w:r>
      <w:r w:rsidR="001F4475">
        <w:rPr>
          <w:bCs/>
        </w:rPr>
        <w:t>report made under the 2022 Rules</w:t>
      </w:r>
      <w:r w:rsidR="002B177A">
        <w:rPr>
          <w:bCs/>
        </w:rPr>
        <w:t xml:space="preserve"> or 2013 Rules</w:t>
      </w:r>
      <w:r w:rsidR="001F4475">
        <w:rPr>
          <w:bCs/>
        </w:rPr>
        <w:t>, s</w:t>
      </w:r>
      <w:r w:rsidR="00925685">
        <w:rPr>
          <w:bCs/>
        </w:rPr>
        <w:t>ome</w:t>
      </w:r>
      <w:r w:rsidR="001701B5">
        <w:rPr>
          <w:bCs/>
        </w:rPr>
        <w:t xml:space="preserve"> derivative transaction information</w:t>
      </w:r>
      <w:r w:rsidR="00DF510A">
        <w:rPr>
          <w:bCs/>
        </w:rPr>
        <w:t xml:space="preserve"> required u</w:t>
      </w:r>
      <w:r w:rsidR="00581208">
        <w:rPr>
          <w:bCs/>
        </w:rPr>
        <w:t xml:space="preserve">nder </w:t>
      </w:r>
      <w:r w:rsidR="00B62BD0">
        <w:rPr>
          <w:bCs/>
        </w:rPr>
        <w:t xml:space="preserve">the 2024 Rules </w:t>
      </w:r>
      <w:r w:rsidR="003F0E82">
        <w:rPr>
          <w:bCs/>
        </w:rPr>
        <w:t>but not required under the 2022 Rules</w:t>
      </w:r>
      <w:r w:rsidR="002B177A">
        <w:rPr>
          <w:bCs/>
        </w:rPr>
        <w:t xml:space="preserve"> and 2013 Rules</w:t>
      </w:r>
      <w:r w:rsidR="00A33447">
        <w:rPr>
          <w:bCs/>
        </w:rPr>
        <w:t>:</w:t>
      </w:r>
    </w:p>
    <w:p w14:paraId="794C3C51" w14:textId="77777777" w:rsidR="00303EA5" w:rsidRDefault="00B62BD0" w:rsidP="002E110A">
      <w:pPr>
        <w:pStyle w:val="LI-BodyTextParaa"/>
        <w:numPr>
          <w:ilvl w:val="1"/>
          <w:numId w:val="3"/>
        </w:numPr>
        <w:rPr>
          <w:bCs/>
        </w:rPr>
      </w:pPr>
      <w:r>
        <w:rPr>
          <w:bCs/>
        </w:rPr>
        <w:t xml:space="preserve">may not </w:t>
      </w:r>
      <w:proofErr w:type="gramStart"/>
      <w:r w:rsidR="000E47AF">
        <w:rPr>
          <w:bCs/>
        </w:rPr>
        <w:t>exist</w:t>
      </w:r>
      <w:r w:rsidR="00303EA5">
        <w:rPr>
          <w:bCs/>
        </w:rPr>
        <w:t>;</w:t>
      </w:r>
      <w:proofErr w:type="gramEnd"/>
    </w:p>
    <w:p w14:paraId="11B55D87" w14:textId="201FF1D9" w:rsidR="004B0BD8" w:rsidRDefault="00806573" w:rsidP="002E110A">
      <w:pPr>
        <w:pStyle w:val="LI-BodyTextParaa"/>
        <w:numPr>
          <w:ilvl w:val="1"/>
          <w:numId w:val="3"/>
        </w:numPr>
        <w:rPr>
          <w:bCs/>
        </w:rPr>
      </w:pPr>
      <w:r>
        <w:rPr>
          <w:bCs/>
        </w:rPr>
        <w:t xml:space="preserve">may not be held in electronic form </w:t>
      </w:r>
      <w:r w:rsidR="00402828" w:rsidRPr="00153183">
        <w:rPr>
          <w:bCs/>
        </w:rPr>
        <w:t>in the systems that are the source of</w:t>
      </w:r>
      <w:r w:rsidR="001701B5">
        <w:rPr>
          <w:bCs/>
        </w:rPr>
        <w:t xml:space="preserve"> derivative transaction information</w:t>
      </w:r>
      <w:r w:rsidR="00303EA5">
        <w:rPr>
          <w:bCs/>
        </w:rPr>
        <w:t>;</w:t>
      </w:r>
      <w:r w:rsidR="004B0BD8">
        <w:rPr>
          <w:bCs/>
        </w:rPr>
        <w:t xml:space="preserve"> or</w:t>
      </w:r>
    </w:p>
    <w:p w14:paraId="3B319A6C" w14:textId="4ECB8E61" w:rsidR="00AA1FEC" w:rsidRPr="00AA1FEC" w:rsidRDefault="001F4475" w:rsidP="002E110A">
      <w:pPr>
        <w:pStyle w:val="LI-BodyTextParaa"/>
        <w:numPr>
          <w:ilvl w:val="1"/>
          <w:numId w:val="3"/>
        </w:numPr>
        <w:rPr>
          <w:bCs/>
        </w:rPr>
      </w:pPr>
      <w:r>
        <w:rPr>
          <w:bCs/>
        </w:rPr>
        <w:t xml:space="preserve">may not be able to be </w:t>
      </w:r>
      <w:r w:rsidR="000A3AF1">
        <w:rPr>
          <w:bCs/>
        </w:rPr>
        <w:t xml:space="preserve">created </w:t>
      </w:r>
      <w:r w:rsidR="00BC2E8D" w:rsidRPr="00AA1FEC">
        <w:rPr>
          <w:bCs/>
        </w:rPr>
        <w:t>by the systems that create</w:t>
      </w:r>
      <w:r w:rsidR="001701B5">
        <w:rPr>
          <w:bCs/>
        </w:rPr>
        <w:t xml:space="preserve"> derivative transaction information</w:t>
      </w:r>
      <w:r w:rsidR="00BC2E8D" w:rsidRPr="00AA1FEC">
        <w:rPr>
          <w:bCs/>
        </w:rPr>
        <w:t xml:space="preserve"> in the ordinary way that the systems create</w:t>
      </w:r>
      <w:r w:rsidR="001701B5">
        <w:rPr>
          <w:bCs/>
        </w:rPr>
        <w:t xml:space="preserve"> derivative transaction information</w:t>
      </w:r>
      <w:r w:rsidR="00BC2E8D" w:rsidRPr="00AA1FEC">
        <w:rPr>
          <w:bCs/>
        </w:rPr>
        <w:t xml:space="preserve"> for a report made after </w:t>
      </w:r>
      <w:r w:rsidR="004B0BD8">
        <w:rPr>
          <w:bCs/>
        </w:rPr>
        <w:t>2</w:t>
      </w:r>
      <w:r w:rsidR="00BC2E8D" w:rsidRPr="00054C7E">
        <w:rPr>
          <w:bCs/>
        </w:rPr>
        <w:t>0</w:t>
      </w:r>
      <w:r w:rsidR="00BC2E8D" w:rsidRPr="003952F4">
        <w:rPr>
          <w:bCs/>
        </w:rPr>
        <w:t xml:space="preserve"> </w:t>
      </w:r>
      <w:r w:rsidR="004B0BD8">
        <w:rPr>
          <w:bCs/>
        </w:rPr>
        <w:t>October 2024.</w:t>
      </w:r>
    </w:p>
    <w:p w14:paraId="78FDEA83" w14:textId="6568B6AB" w:rsidR="00AA1FEC" w:rsidRPr="00AA1FEC" w:rsidRDefault="00292A40" w:rsidP="002E110A">
      <w:pPr>
        <w:pStyle w:val="LI-BodyTextParaa"/>
        <w:numPr>
          <w:ilvl w:val="0"/>
          <w:numId w:val="3"/>
        </w:numPr>
        <w:rPr>
          <w:bCs/>
        </w:rPr>
      </w:pPr>
      <w:r>
        <w:rPr>
          <w:bCs/>
        </w:rPr>
        <w:t xml:space="preserve">Derivative </w:t>
      </w:r>
      <w:r w:rsidR="00770707">
        <w:rPr>
          <w:bCs/>
        </w:rPr>
        <w:t>t</w:t>
      </w:r>
      <w:r>
        <w:rPr>
          <w:bCs/>
        </w:rPr>
        <w:t xml:space="preserve">ransaction </w:t>
      </w:r>
      <w:r w:rsidR="00770707">
        <w:rPr>
          <w:bCs/>
        </w:rPr>
        <w:t>i</w:t>
      </w:r>
      <w:r>
        <w:rPr>
          <w:bCs/>
        </w:rPr>
        <w:t>nformation of this kind may include, for example,</w:t>
      </w:r>
      <w:r w:rsidR="00945B22">
        <w:rPr>
          <w:bCs/>
        </w:rPr>
        <w:t xml:space="preserve"> </w:t>
      </w:r>
      <w:r w:rsidR="004A636D">
        <w:rPr>
          <w:bCs/>
        </w:rPr>
        <w:t xml:space="preserve">the identifier of the </w:t>
      </w:r>
      <w:r w:rsidR="00770707">
        <w:rPr>
          <w:bCs/>
        </w:rPr>
        <w:t>e</w:t>
      </w:r>
      <w:r w:rsidR="00782FE3">
        <w:rPr>
          <w:bCs/>
        </w:rPr>
        <w:t xml:space="preserve">xecution agent of </w:t>
      </w:r>
      <w:r w:rsidR="00770707">
        <w:rPr>
          <w:bCs/>
        </w:rPr>
        <w:t>c</w:t>
      </w:r>
      <w:r w:rsidR="00D17D5D">
        <w:rPr>
          <w:bCs/>
        </w:rPr>
        <w:t xml:space="preserve">ounterparty 1, </w:t>
      </w:r>
      <w:r w:rsidR="00E14563">
        <w:rPr>
          <w:bCs/>
        </w:rPr>
        <w:t xml:space="preserve">the market identifier code </w:t>
      </w:r>
      <w:r w:rsidR="007F6DB2">
        <w:rPr>
          <w:bCs/>
        </w:rPr>
        <w:t xml:space="preserve">that is the </w:t>
      </w:r>
      <w:r w:rsidR="00770707">
        <w:rPr>
          <w:bCs/>
        </w:rPr>
        <w:t>p</w:t>
      </w:r>
      <w:r w:rsidR="007F6DB2">
        <w:rPr>
          <w:bCs/>
        </w:rPr>
        <w:t>latform identifier</w:t>
      </w:r>
      <w:r w:rsidR="00CA1098">
        <w:rPr>
          <w:bCs/>
        </w:rPr>
        <w:t xml:space="preserve">, </w:t>
      </w:r>
      <w:r w:rsidR="00BC4FC1">
        <w:rPr>
          <w:bCs/>
        </w:rPr>
        <w:t xml:space="preserve">information about </w:t>
      </w:r>
      <w:r w:rsidR="00770707">
        <w:rPr>
          <w:bCs/>
        </w:rPr>
        <w:t>b</w:t>
      </w:r>
      <w:r w:rsidR="00BC4FC1">
        <w:rPr>
          <w:bCs/>
        </w:rPr>
        <w:t>asket codes and constituents</w:t>
      </w:r>
      <w:r w:rsidR="009A069B">
        <w:rPr>
          <w:bCs/>
        </w:rPr>
        <w:t xml:space="preserve"> and information about </w:t>
      </w:r>
      <w:r w:rsidR="00770707">
        <w:rPr>
          <w:bCs/>
        </w:rPr>
        <w:t>p</w:t>
      </w:r>
      <w:r w:rsidR="009A069B">
        <w:rPr>
          <w:bCs/>
        </w:rPr>
        <w:t xml:space="preserve">ackages. </w:t>
      </w:r>
      <w:r w:rsidR="00367107">
        <w:rPr>
          <w:bCs/>
        </w:rPr>
        <w:t>In this case, this information is not required to be reported as</w:t>
      </w:r>
      <w:r w:rsidR="001701B5">
        <w:rPr>
          <w:bCs/>
        </w:rPr>
        <w:t xml:space="preserve"> derivative transaction information</w:t>
      </w:r>
      <w:r w:rsidR="00367107">
        <w:rPr>
          <w:bCs/>
        </w:rPr>
        <w:t xml:space="preserve"> under subrule 2.4.1(1).</w:t>
      </w:r>
    </w:p>
    <w:p w14:paraId="1381A730" w14:textId="5184BB91" w:rsidR="00BE3591" w:rsidRPr="0011266A" w:rsidRDefault="00BE3591" w:rsidP="002E110A">
      <w:pPr>
        <w:pStyle w:val="LI-BodyTextParaa"/>
        <w:numPr>
          <w:ilvl w:val="0"/>
          <w:numId w:val="3"/>
        </w:numPr>
        <w:rPr>
          <w:bCs/>
        </w:rPr>
      </w:pPr>
      <w:r w:rsidRPr="0011266A">
        <w:rPr>
          <w:bCs/>
        </w:rPr>
        <w:t>However, where there is</w:t>
      </w:r>
      <w:r w:rsidR="001701B5">
        <w:rPr>
          <w:bCs/>
        </w:rPr>
        <w:t xml:space="preserve"> derivative transaction information</w:t>
      </w:r>
      <w:r w:rsidRPr="00D36731">
        <w:rPr>
          <w:bCs/>
        </w:rPr>
        <w:t xml:space="preserve"> required under </w:t>
      </w:r>
      <w:r w:rsidRPr="00616EB2">
        <w:rPr>
          <w:bCs/>
        </w:rPr>
        <w:t xml:space="preserve">the 2024 Rules </w:t>
      </w:r>
      <w:r w:rsidRPr="00842B69">
        <w:rPr>
          <w:bCs/>
        </w:rPr>
        <w:t>but not required under the 2022 Rules</w:t>
      </w:r>
      <w:r w:rsidR="002B177A">
        <w:rPr>
          <w:bCs/>
        </w:rPr>
        <w:t xml:space="preserve"> and 2013 Rules</w:t>
      </w:r>
      <w:r w:rsidRPr="00842B69">
        <w:rPr>
          <w:bCs/>
        </w:rPr>
        <w:t xml:space="preserve"> </w:t>
      </w:r>
      <w:r w:rsidR="00AA1FEC" w:rsidRPr="008F6571">
        <w:rPr>
          <w:bCs/>
        </w:rPr>
        <w:t>th</w:t>
      </w:r>
      <w:r w:rsidRPr="008F6571">
        <w:rPr>
          <w:bCs/>
        </w:rPr>
        <w:t>at is h</w:t>
      </w:r>
      <w:r w:rsidRPr="00694986">
        <w:rPr>
          <w:bCs/>
        </w:rPr>
        <w:t>eld in electronic form in the systems that are the source of</w:t>
      </w:r>
      <w:r w:rsidR="001701B5">
        <w:rPr>
          <w:bCs/>
        </w:rPr>
        <w:t xml:space="preserve"> derivative transaction information</w:t>
      </w:r>
      <w:r w:rsidRPr="008610DA">
        <w:rPr>
          <w:bCs/>
        </w:rPr>
        <w:t xml:space="preserve"> </w:t>
      </w:r>
      <w:r w:rsidR="0011266A" w:rsidRPr="008610DA">
        <w:rPr>
          <w:bCs/>
        </w:rPr>
        <w:t xml:space="preserve">or </w:t>
      </w:r>
      <w:r w:rsidRPr="008610DA">
        <w:rPr>
          <w:bCs/>
        </w:rPr>
        <w:t>able to be created by the systems that create</w:t>
      </w:r>
      <w:r w:rsidR="001701B5">
        <w:rPr>
          <w:bCs/>
        </w:rPr>
        <w:t xml:space="preserve"> derivative transaction information</w:t>
      </w:r>
      <w:r w:rsidRPr="008610DA">
        <w:rPr>
          <w:bCs/>
        </w:rPr>
        <w:t xml:space="preserve"> in the ordinary way that the systems create</w:t>
      </w:r>
      <w:r w:rsidR="001701B5">
        <w:rPr>
          <w:bCs/>
        </w:rPr>
        <w:t xml:space="preserve"> derivative transaction information</w:t>
      </w:r>
      <w:r w:rsidRPr="00FF2F66">
        <w:rPr>
          <w:bCs/>
        </w:rPr>
        <w:t xml:space="preserve"> for a report made after 20 October 2024</w:t>
      </w:r>
      <w:r w:rsidR="0011266A">
        <w:rPr>
          <w:bCs/>
        </w:rPr>
        <w:t xml:space="preserve">, </w:t>
      </w:r>
      <w:r w:rsidR="001015D2">
        <w:rPr>
          <w:bCs/>
        </w:rPr>
        <w:t>the</w:t>
      </w:r>
      <w:r w:rsidR="001701B5">
        <w:rPr>
          <w:bCs/>
        </w:rPr>
        <w:t xml:space="preserve"> derivative transaction information</w:t>
      </w:r>
      <w:r w:rsidR="001015D2">
        <w:rPr>
          <w:bCs/>
        </w:rPr>
        <w:t xml:space="preserve"> is required to be reported under subrule 2.4.1</w:t>
      </w:r>
      <w:r w:rsidR="009007DA">
        <w:rPr>
          <w:bCs/>
        </w:rPr>
        <w:t>(1)</w:t>
      </w:r>
      <w:r w:rsidRPr="0011266A">
        <w:rPr>
          <w:bCs/>
        </w:rPr>
        <w:t>.</w:t>
      </w:r>
    </w:p>
    <w:p w14:paraId="6908A6C6" w14:textId="1D778ABC" w:rsidR="009007DA" w:rsidRPr="00AA1FEC" w:rsidRDefault="009007DA" w:rsidP="002E110A">
      <w:pPr>
        <w:pStyle w:val="LI-BodyTextParaa"/>
        <w:numPr>
          <w:ilvl w:val="0"/>
          <w:numId w:val="3"/>
        </w:numPr>
        <w:rPr>
          <w:bCs/>
        </w:rPr>
      </w:pPr>
      <w:r>
        <w:rPr>
          <w:bCs/>
        </w:rPr>
        <w:t xml:space="preserve">Derivative </w:t>
      </w:r>
      <w:r w:rsidR="00770707">
        <w:rPr>
          <w:bCs/>
        </w:rPr>
        <w:t>t</w:t>
      </w:r>
      <w:r>
        <w:rPr>
          <w:bCs/>
        </w:rPr>
        <w:t xml:space="preserve">ransaction </w:t>
      </w:r>
      <w:r w:rsidR="00770707">
        <w:rPr>
          <w:bCs/>
        </w:rPr>
        <w:t>i</w:t>
      </w:r>
      <w:r>
        <w:rPr>
          <w:bCs/>
        </w:rPr>
        <w:t xml:space="preserve">nformation of this kind may include, for example, </w:t>
      </w:r>
      <w:r w:rsidR="00770707">
        <w:rPr>
          <w:bCs/>
        </w:rPr>
        <w:t>p</w:t>
      </w:r>
      <w:r w:rsidR="002B04E8">
        <w:rPr>
          <w:bCs/>
        </w:rPr>
        <w:t>rice in relation to commodity or equity derivatives</w:t>
      </w:r>
      <w:r w:rsidR="00AB449A">
        <w:rPr>
          <w:bCs/>
        </w:rPr>
        <w:t xml:space="preserve">, </w:t>
      </w:r>
      <w:r w:rsidR="00770707">
        <w:rPr>
          <w:bCs/>
        </w:rPr>
        <w:t>s</w:t>
      </w:r>
      <w:r w:rsidR="00AB449A">
        <w:rPr>
          <w:bCs/>
        </w:rPr>
        <w:t xml:space="preserve">pread in relation to </w:t>
      </w:r>
      <w:r w:rsidR="00BF1DFD">
        <w:rPr>
          <w:bCs/>
        </w:rPr>
        <w:t xml:space="preserve">spreads to </w:t>
      </w:r>
      <w:r w:rsidR="00AB449A">
        <w:rPr>
          <w:bCs/>
        </w:rPr>
        <w:t>floating rate</w:t>
      </w:r>
      <w:r w:rsidR="00BF1DFD">
        <w:rPr>
          <w:bCs/>
        </w:rPr>
        <w:t xml:space="preserve"> reference rates in interest rate derivatives</w:t>
      </w:r>
      <w:r w:rsidR="00777F8B">
        <w:rPr>
          <w:bCs/>
        </w:rPr>
        <w:t xml:space="preserve"> and information related </w:t>
      </w:r>
      <w:r w:rsidR="00E7550A">
        <w:rPr>
          <w:bCs/>
        </w:rPr>
        <w:t>to leg 2 of interest rate derivatives. In this case, this information is required to be reported as</w:t>
      </w:r>
      <w:r w:rsidR="001701B5">
        <w:rPr>
          <w:bCs/>
        </w:rPr>
        <w:t xml:space="preserve"> derivative transaction information</w:t>
      </w:r>
      <w:r w:rsidR="00E7550A">
        <w:rPr>
          <w:bCs/>
        </w:rPr>
        <w:t xml:space="preserve"> under subrule 2.4.1(1).</w:t>
      </w:r>
    </w:p>
    <w:p w14:paraId="6C3D3B7A" w14:textId="77777777" w:rsidR="00327D92" w:rsidRDefault="00327D92">
      <w:pPr>
        <w:spacing w:line="240" w:lineRule="auto"/>
        <w:rPr>
          <w:rFonts w:eastAsia="Times New Roman"/>
          <w:sz w:val="24"/>
          <w:szCs w:val="24"/>
          <w:u w:val="single"/>
          <w:lang w:eastAsia="en-AU"/>
        </w:rPr>
      </w:pPr>
      <w:bookmarkStart w:id="31" w:name="_Toc358210459"/>
      <w:r>
        <w:rPr>
          <w:u w:val="single"/>
        </w:rPr>
        <w:br w:type="page"/>
      </w:r>
    </w:p>
    <w:p w14:paraId="44E10549" w14:textId="21C0605B" w:rsidR="003A4640" w:rsidRPr="00ED0A5B" w:rsidRDefault="003A4640" w:rsidP="003A4640">
      <w:pPr>
        <w:pStyle w:val="LI-BodyTextNumbered"/>
        <w:ind w:hanging="1134"/>
        <w:rPr>
          <w:u w:val="single"/>
        </w:rPr>
      </w:pPr>
      <w:r w:rsidRPr="00ED0A5B">
        <w:rPr>
          <w:u w:val="single"/>
        </w:rPr>
        <w:lastRenderedPageBreak/>
        <w:t>S</w:t>
      </w:r>
      <w:r>
        <w:rPr>
          <w:u w:val="single"/>
        </w:rPr>
        <w:t xml:space="preserve">chedule </w:t>
      </w:r>
      <w:r w:rsidR="00D73B7F">
        <w:rPr>
          <w:u w:val="single"/>
        </w:rPr>
        <w:t>1</w:t>
      </w:r>
      <w:r w:rsidRPr="00ED0A5B">
        <w:rPr>
          <w:u w:val="single"/>
        </w:rPr>
        <w:t>: I</w:t>
      </w:r>
      <w:r>
        <w:rPr>
          <w:u w:val="single"/>
        </w:rPr>
        <w:t xml:space="preserve">nformation </w:t>
      </w:r>
      <w:bookmarkEnd w:id="31"/>
      <w:r w:rsidR="001701B5">
        <w:rPr>
          <w:u w:val="single"/>
        </w:rPr>
        <w:t>requirements</w:t>
      </w:r>
    </w:p>
    <w:p w14:paraId="07948D93" w14:textId="2ACED8A2" w:rsidR="003A4640" w:rsidRPr="002E4BBC" w:rsidRDefault="003A4640" w:rsidP="002E110A">
      <w:pPr>
        <w:pStyle w:val="LI-BodyTextParaa"/>
        <w:numPr>
          <w:ilvl w:val="0"/>
          <w:numId w:val="3"/>
        </w:numPr>
        <w:rPr>
          <w:bCs/>
        </w:rPr>
      </w:pPr>
      <w:r w:rsidRPr="002E4BBC">
        <w:rPr>
          <w:bCs/>
        </w:rPr>
        <w:t xml:space="preserve">Schedule </w:t>
      </w:r>
      <w:r w:rsidR="00615D2D">
        <w:rPr>
          <w:bCs/>
        </w:rPr>
        <w:t>1</w:t>
      </w:r>
      <w:r w:rsidR="00615D2D" w:rsidRPr="002E4BBC">
        <w:rPr>
          <w:bCs/>
        </w:rPr>
        <w:t xml:space="preserve"> </w:t>
      </w:r>
      <w:r w:rsidRPr="002E4BBC">
        <w:rPr>
          <w:bCs/>
        </w:rPr>
        <w:t xml:space="preserve">provides for the information to be reported in accordance with the </w:t>
      </w:r>
      <w:r w:rsidR="001701B5">
        <w:rPr>
          <w:bCs/>
        </w:rPr>
        <w:t>t</w:t>
      </w:r>
      <w:r w:rsidR="001701B5" w:rsidRPr="002E4BBC">
        <w:rPr>
          <w:bCs/>
        </w:rPr>
        <w:t xml:space="preserve">ransaction </w:t>
      </w:r>
      <w:r w:rsidR="001701B5">
        <w:rPr>
          <w:bCs/>
        </w:rPr>
        <w:t>r</w:t>
      </w:r>
      <w:r w:rsidR="001701B5" w:rsidRPr="002E4BBC">
        <w:rPr>
          <w:bCs/>
        </w:rPr>
        <w:t xml:space="preserve">eporting </w:t>
      </w:r>
      <w:r w:rsidR="001701B5">
        <w:rPr>
          <w:bCs/>
        </w:rPr>
        <w:t>r</w:t>
      </w:r>
      <w:r w:rsidR="001701B5" w:rsidRPr="002E4BBC">
        <w:rPr>
          <w:bCs/>
        </w:rPr>
        <w:t xml:space="preserve">equirements </w:t>
      </w:r>
      <w:r w:rsidRPr="002E4BBC">
        <w:rPr>
          <w:bCs/>
        </w:rPr>
        <w:t xml:space="preserve">established under </w:t>
      </w:r>
      <w:r w:rsidR="00F94E5A">
        <w:rPr>
          <w:bCs/>
        </w:rPr>
        <w:t>subrule</w:t>
      </w:r>
      <w:r w:rsidR="00F94E5A" w:rsidRPr="002E4BBC">
        <w:rPr>
          <w:bCs/>
        </w:rPr>
        <w:t xml:space="preserve"> </w:t>
      </w:r>
      <w:r w:rsidRPr="002E4BBC">
        <w:rPr>
          <w:bCs/>
        </w:rPr>
        <w:t>2.2.1(1)</w:t>
      </w:r>
      <w:r w:rsidR="00F94E5A">
        <w:rPr>
          <w:bCs/>
        </w:rPr>
        <w:t>.</w:t>
      </w:r>
    </w:p>
    <w:p w14:paraId="7C4EFBEB" w14:textId="203F4926" w:rsidR="00563083" w:rsidRDefault="00563083" w:rsidP="005773B1">
      <w:pPr>
        <w:pStyle w:val="LI-BodyTextNumbered"/>
        <w:ind w:hanging="1134"/>
        <w:rPr>
          <w:u w:val="single"/>
        </w:rPr>
      </w:pPr>
      <w:bookmarkStart w:id="32" w:name="_Toc358210460"/>
      <w:r w:rsidRPr="002E4BBC">
        <w:rPr>
          <w:u w:val="single"/>
        </w:rPr>
        <w:t>Part S</w:t>
      </w:r>
      <w:r>
        <w:rPr>
          <w:u w:val="single"/>
        </w:rPr>
        <w:t>1</w:t>
      </w:r>
      <w:r w:rsidRPr="002E4BBC">
        <w:rPr>
          <w:u w:val="single"/>
        </w:rPr>
        <w:t xml:space="preserve">.1 </w:t>
      </w:r>
      <w:r>
        <w:rPr>
          <w:u w:val="single"/>
        </w:rPr>
        <w:t>Preliminary</w:t>
      </w:r>
    </w:p>
    <w:p w14:paraId="3C7C7FF8" w14:textId="3DDCC90F" w:rsidR="00D81BD8" w:rsidRPr="00D81BD8" w:rsidRDefault="00332BC1" w:rsidP="002E110A">
      <w:pPr>
        <w:pStyle w:val="LI-BodyTextParaa"/>
        <w:numPr>
          <w:ilvl w:val="0"/>
          <w:numId w:val="3"/>
        </w:numPr>
        <w:rPr>
          <w:bCs/>
        </w:rPr>
      </w:pPr>
      <w:r>
        <w:rPr>
          <w:bCs/>
        </w:rPr>
        <w:t>Part S1.1 provides that</w:t>
      </w:r>
      <w:r w:rsidR="00F476E4">
        <w:rPr>
          <w:bCs/>
        </w:rPr>
        <w:t>, i</w:t>
      </w:r>
      <w:r w:rsidR="00D81BD8" w:rsidRPr="00D81BD8">
        <w:rPr>
          <w:bCs/>
        </w:rPr>
        <w:t>n th</w:t>
      </w:r>
      <w:r w:rsidR="00F476E4">
        <w:rPr>
          <w:bCs/>
        </w:rPr>
        <w:t xml:space="preserve">e </w:t>
      </w:r>
      <w:r w:rsidR="00D81BD8" w:rsidRPr="00D81BD8">
        <w:rPr>
          <w:bCs/>
        </w:rPr>
        <w:t xml:space="preserve">Schedule, a reference to </w:t>
      </w:r>
      <w:r w:rsidR="00F65ABA">
        <w:rPr>
          <w:bCs/>
        </w:rPr>
        <w:t>a reporting entity</w:t>
      </w:r>
      <w:r w:rsidR="00D81BD8" w:rsidRPr="00D81BD8">
        <w:rPr>
          <w:bCs/>
        </w:rPr>
        <w:t xml:space="preserve"> that is an RE</w:t>
      </w:r>
      <w:r w:rsidR="00F476E4">
        <w:rPr>
          <w:bCs/>
        </w:rPr>
        <w:t>,</w:t>
      </w:r>
      <w:r w:rsidR="00017179">
        <w:rPr>
          <w:bCs/>
        </w:rPr>
        <w:t xml:space="preserve"> trustee</w:t>
      </w:r>
      <w:r w:rsidR="00D81BD8" w:rsidRPr="00D81BD8">
        <w:rPr>
          <w:bCs/>
        </w:rPr>
        <w:t xml:space="preserve"> </w:t>
      </w:r>
      <w:r w:rsidR="009B1037">
        <w:rPr>
          <w:bCs/>
        </w:rPr>
        <w:t xml:space="preserve">or corporate director of a CCIV </w:t>
      </w:r>
      <w:r w:rsidR="00D81BD8" w:rsidRPr="00D81BD8">
        <w:rPr>
          <w:bCs/>
        </w:rPr>
        <w:t>includes a reference to a person appointed by the RE</w:t>
      </w:r>
      <w:r w:rsidR="009B1037">
        <w:rPr>
          <w:bCs/>
        </w:rPr>
        <w:t>,</w:t>
      </w:r>
      <w:r w:rsidR="00017179">
        <w:rPr>
          <w:bCs/>
        </w:rPr>
        <w:t xml:space="preserve"> trustee</w:t>
      </w:r>
      <w:r w:rsidR="00020640">
        <w:rPr>
          <w:bCs/>
        </w:rPr>
        <w:t xml:space="preserve">, </w:t>
      </w:r>
      <w:r w:rsidR="009B1037">
        <w:rPr>
          <w:bCs/>
        </w:rPr>
        <w:t xml:space="preserve">corporate </w:t>
      </w:r>
      <w:r w:rsidR="005C3C02">
        <w:rPr>
          <w:bCs/>
        </w:rPr>
        <w:t>director of a CCIV</w:t>
      </w:r>
      <w:r w:rsidR="00020640">
        <w:rPr>
          <w:bCs/>
        </w:rPr>
        <w:t xml:space="preserve"> or a CCIV </w:t>
      </w:r>
      <w:r w:rsidR="00D81BD8" w:rsidRPr="00D81BD8">
        <w:rPr>
          <w:bCs/>
        </w:rPr>
        <w:t>to enter into</w:t>
      </w:r>
      <w:r w:rsidR="003E43F4">
        <w:rPr>
          <w:bCs/>
        </w:rPr>
        <w:t xml:space="preserve"> OTC derivative</w:t>
      </w:r>
      <w:r w:rsidR="00D81BD8" w:rsidRPr="00D81BD8">
        <w:rPr>
          <w:bCs/>
        </w:rPr>
        <w:t>s on behalf of the RE</w:t>
      </w:r>
      <w:r w:rsidR="00020640">
        <w:rPr>
          <w:bCs/>
        </w:rPr>
        <w:t>,</w:t>
      </w:r>
      <w:r w:rsidR="00017179">
        <w:rPr>
          <w:bCs/>
        </w:rPr>
        <w:t xml:space="preserve"> trustee</w:t>
      </w:r>
      <w:r w:rsidR="00020640">
        <w:rPr>
          <w:bCs/>
        </w:rPr>
        <w:t xml:space="preserve"> or CCIV</w:t>
      </w:r>
      <w:r w:rsidR="00D81BD8" w:rsidRPr="00D81BD8">
        <w:rPr>
          <w:bCs/>
        </w:rPr>
        <w:t>.</w:t>
      </w:r>
    </w:p>
    <w:p w14:paraId="1121B3C5" w14:textId="0682AE1F" w:rsidR="00332BC1" w:rsidRPr="002E4BBC" w:rsidRDefault="00AF2B85" w:rsidP="002E110A">
      <w:pPr>
        <w:pStyle w:val="LI-BodyTextParaa"/>
        <w:numPr>
          <w:ilvl w:val="0"/>
          <w:numId w:val="3"/>
        </w:numPr>
        <w:rPr>
          <w:bCs/>
        </w:rPr>
      </w:pPr>
      <w:r>
        <w:rPr>
          <w:bCs/>
        </w:rPr>
        <w:t>The n</w:t>
      </w:r>
      <w:r w:rsidR="00D81BD8" w:rsidRPr="00D81BD8">
        <w:rPr>
          <w:bCs/>
        </w:rPr>
        <w:t>ote</w:t>
      </w:r>
      <w:r>
        <w:rPr>
          <w:bCs/>
        </w:rPr>
        <w:t xml:space="preserve"> to Part S1.1 </w:t>
      </w:r>
      <w:r w:rsidR="008042F5">
        <w:rPr>
          <w:bCs/>
        </w:rPr>
        <w:t>explains</w:t>
      </w:r>
      <w:r w:rsidR="00ED1BA4">
        <w:rPr>
          <w:bCs/>
        </w:rPr>
        <w:t>,</w:t>
      </w:r>
      <w:r w:rsidR="008042F5">
        <w:rPr>
          <w:bCs/>
        </w:rPr>
        <w:t xml:space="preserve"> by way of an example</w:t>
      </w:r>
      <w:r w:rsidR="00ED1BA4">
        <w:rPr>
          <w:bCs/>
        </w:rPr>
        <w:t>,</w:t>
      </w:r>
      <w:r w:rsidR="008042F5">
        <w:rPr>
          <w:bCs/>
        </w:rPr>
        <w:t xml:space="preserve"> </w:t>
      </w:r>
      <w:r w:rsidR="00ED1BA4">
        <w:rPr>
          <w:bCs/>
        </w:rPr>
        <w:t>that a</w:t>
      </w:r>
      <w:r w:rsidR="00D81BD8" w:rsidRPr="00D81BD8">
        <w:rPr>
          <w:bCs/>
        </w:rPr>
        <w:t xml:space="preserve"> person </w:t>
      </w:r>
      <w:r w:rsidR="00ED1BA4">
        <w:rPr>
          <w:bCs/>
        </w:rPr>
        <w:t xml:space="preserve">so appointed </w:t>
      </w:r>
      <w:r w:rsidR="00D81BD8" w:rsidRPr="00D81BD8">
        <w:rPr>
          <w:bCs/>
        </w:rPr>
        <w:t xml:space="preserve">may be a fund manager—in which case, </w:t>
      </w:r>
      <w:r w:rsidR="00F65ABA">
        <w:rPr>
          <w:bCs/>
        </w:rPr>
        <w:t>the reporting entity</w:t>
      </w:r>
      <w:r w:rsidR="00D81BD8" w:rsidRPr="00D81BD8">
        <w:rPr>
          <w:bCs/>
        </w:rPr>
        <w:t xml:space="preserve"> or the fund manager may, for example, create and maintain data elements of client codes, collateral portfolio codes, package identifiers, custom basket codes and event identifiers.</w:t>
      </w:r>
    </w:p>
    <w:p w14:paraId="690801E3" w14:textId="32E67A55" w:rsidR="003A4640" w:rsidRPr="002E4BBC" w:rsidRDefault="003A4640" w:rsidP="003A4640">
      <w:pPr>
        <w:pStyle w:val="LI-BodyTextNumbered"/>
        <w:ind w:hanging="1134"/>
        <w:rPr>
          <w:u w:val="single"/>
        </w:rPr>
      </w:pPr>
      <w:r w:rsidRPr="002E4BBC">
        <w:rPr>
          <w:u w:val="single"/>
        </w:rPr>
        <w:t>Part S</w:t>
      </w:r>
      <w:r w:rsidR="005749FF">
        <w:rPr>
          <w:u w:val="single"/>
        </w:rPr>
        <w:t>1.2</w:t>
      </w:r>
      <w:r w:rsidRPr="002E4BBC">
        <w:rPr>
          <w:u w:val="single"/>
        </w:rPr>
        <w:t xml:space="preserve"> Definitions</w:t>
      </w:r>
      <w:bookmarkEnd w:id="32"/>
    </w:p>
    <w:p w14:paraId="733D5839" w14:textId="4EEFDEE7" w:rsidR="003A4640" w:rsidRPr="002E4BBC" w:rsidRDefault="003A4640" w:rsidP="003A4640">
      <w:pPr>
        <w:pStyle w:val="LI-BodyTextNumbered"/>
        <w:ind w:hanging="1134"/>
        <w:rPr>
          <w:u w:val="single"/>
        </w:rPr>
      </w:pPr>
      <w:r w:rsidRPr="002E4BBC">
        <w:rPr>
          <w:u w:val="single"/>
        </w:rPr>
        <w:t>Rule S</w:t>
      </w:r>
      <w:r w:rsidR="00A70274">
        <w:rPr>
          <w:u w:val="single"/>
        </w:rPr>
        <w:t>1.2.1</w:t>
      </w:r>
      <w:r w:rsidRPr="002E4BBC">
        <w:rPr>
          <w:u w:val="single"/>
        </w:rPr>
        <w:t xml:space="preserve"> Definitions</w:t>
      </w:r>
    </w:p>
    <w:p w14:paraId="136E7F17" w14:textId="5A4FEDFB" w:rsidR="003A4640" w:rsidRPr="002E4BBC" w:rsidRDefault="003A4640" w:rsidP="002E110A">
      <w:pPr>
        <w:pStyle w:val="LI-BodyTextParaa"/>
        <w:numPr>
          <w:ilvl w:val="0"/>
          <w:numId w:val="3"/>
        </w:numPr>
        <w:rPr>
          <w:bCs/>
        </w:rPr>
      </w:pPr>
      <w:r w:rsidRPr="002E4BBC">
        <w:rPr>
          <w:bCs/>
        </w:rPr>
        <w:t>Rule S</w:t>
      </w:r>
      <w:r w:rsidR="007B1EAC">
        <w:rPr>
          <w:bCs/>
        </w:rPr>
        <w:t>1</w:t>
      </w:r>
      <w:r w:rsidRPr="002E4BBC">
        <w:rPr>
          <w:bCs/>
        </w:rPr>
        <w:t>.</w:t>
      </w:r>
      <w:r w:rsidR="007B1EAC">
        <w:rPr>
          <w:bCs/>
        </w:rPr>
        <w:t>2</w:t>
      </w:r>
      <w:r w:rsidRPr="002E4BBC">
        <w:rPr>
          <w:bCs/>
        </w:rPr>
        <w:t xml:space="preserve">.1 provides definitions for the following terms used in the </w:t>
      </w:r>
      <w:r w:rsidR="00303370">
        <w:rPr>
          <w:bCs/>
        </w:rPr>
        <w:t>Definitions</w:t>
      </w:r>
      <w:r w:rsidR="00834E9A">
        <w:rPr>
          <w:bCs/>
        </w:rPr>
        <w:t xml:space="preserve"> and the </w:t>
      </w:r>
      <w:r w:rsidRPr="002E4BBC">
        <w:rPr>
          <w:bCs/>
        </w:rPr>
        <w:t xml:space="preserve">Tables in Part </w:t>
      </w:r>
      <w:r w:rsidR="00ED410C" w:rsidRPr="002E4BBC">
        <w:rPr>
          <w:bCs/>
        </w:rPr>
        <w:t>S</w:t>
      </w:r>
      <w:r w:rsidR="002F341F">
        <w:rPr>
          <w:bCs/>
        </w:rPr>
        <w:t>1.3</w:t>
      </w:r>
      <w:r w:rsidRPr="002E4BBC">
        <w:rPr>
          <w:bCs/>
        </w:rPr>
        <w:t>:</w:t>
      </w:r>
    </w:p>
    <w:p w14:paraId="1CE7C3E7" w14:textId="70DF61A8" w:rsidR="000E7FE0" w:rsidRDefault="000E7FE0" w:rsidP="002E110A">
      <w:pPr>
        <w:pStyle w:val="LI-BodyTextParaa"/>
        <w:numPr>
          <w:ilvl w:val="1"/>
          <w:numId w:val="3"/>
        </w:numPr>
        <w:rPr>
          <w:bCs/>
        </w:rPr>
      </w:pPr>
      <w:r>
        <w:rPr>
          <w:bCs/>
        </w:rPr>
        <w:t xml:space="preserve">Business Identifier </w:t>
      </w:r>
      <w:proofErr w:type="gramStart"/>
      <w:r>
        <w:rPr>
          <w:bCs/>
        </w:rPr>
        <w:t>Code</w:t>
      </w:r>
      <w:r w:rsidR="003869DB">
        <w:rPr>
          <w:bCs/>
        </w:rPr>
        <w:t>;</w:t>
      </w:r>
      <w:proofErr w:type="gramEnd"/>
    </w:p>
    <w:p w14:paraId="7BEE4383" w14:textId="44B25D45" w:rsidR="00EF7DD5" w:rsidRDefault="00EF7DD5" w:rsidP="002E110A">
      <w:pPr>
        <w:pStyle w:val="LI-BodyTextParaa"/>
        <w:numPr>
          <w:ilvl w:val="1"/>
          <w:numId w:val="3"/>
        </w:numPr>
        <w:rPr>
          <w:bCs/>
        </w:rPr>
      </w:pPr>
      <w:proofErr w:type="spellStart"/>
      <w:proofErr w:type="gramStart"/>
      <w:r>
        <w:rPr>
          <w:bCs/>
        </w:rPr>
        <w:t>CCP</w:t>
      </w:r>
      <w:proofErr w:type="spellEnd"/>
      <w:r w:rsidR="003869DB">
        <w:rPr>
          <w:bCs/>
        </w:rPr>
        <w:t>;</w:t>
      </w:r>
      <w:proofErr w:type="gramEnd"/>
    </w:p>
    <w:p w14:paraId="1B3D262D" w14:textId="09B107FF" w:rsidR="00EF7DD5" w:rsidRDefault="00EF7DD5" w:rsidP="002E110A">
      <w:pPr>
        <w:pStyle w:val="LI-BodyTextParaa"/>
        <w:numPr>
          <w:ilvl w:val="1"/>
          <w:numId w:val="3"/>
        </w:numPr>
        <w:rPr>
          <w:bCs/>
        </w:rPr>
      </w:pPr>
      <w:r>
        <w:rPr>
          <w:bCs/>
        </w:rPr>
        <w:t xml:space="preserve">Client </w:t>
      </w:r>
      <w:proofErr w:type="gramStart"/>
      <w:r>
        <w:rPr>
          <w:bCs/>
        </w:rPr>
        <w:t>Code</w:t>
      </w:r>
      <w:r w:rsidR="003869DB">
        <w:rPr>
          <w:bCs/>
        </w:rPr>
        <w:t>;</w:t>
      </w:r>
      <w:proofErr w:type="gramEnd"/>
    </w:p>
    <w:p w14:paraId="110E5CEA" w14:textId="6ACB7B11" w:rsidR="003A4640" w:rsidRDefault="003A4640" w:rsidP="002E110A">
      <w:pPr>
        <w:pStyle w:val="LI-BodyTextParaa"/>
        <w:numPr>
          <w:ilvl w:val="1"/>
          <w:numId w:val="3"/>
        </w:numPr>
        <w:rPr>
          <w:bCs/>
        </w:rPr>
      </w:pPr>
      <w:r>
        <w:rPr>
          <w:bCs/>
        </w:rPr>
        <w:t xml:space="preserve">Designated Business </w:t>
      </w:r>
      <w:proofErr w:type="gramStart"/>
      <w:r>
        <w:rPr>
          <w:bCs/>
        </w:rPr>
        <w:t>Identifier;</w:t>
      </w:r>
      <w:proofErr w:type="gramEnd"/>
    </w:p>
    <w:p w14:paraId="0CD20A3C" w14:textId="678C72A3" w:rsidR="003869DB" w:rsidRDefault="003869DB" w:rsidP="002E110A">
      <w:pPr>
        <w:pStyle w:val="LI-BodyTextParaa"/>
        <w:numPr>
          <w:ilvl w:val="1"/>
          <w:numId w:val="3"/>
        </w:numPr>
        <w:rPr>
          <w:bCs/>
        </w:rPr>
      </w:pPr>
      <w:proofErr w:type="spellStart"/>
      <w:proofErr w:type="gramStart"/>
      <w:r>
        <w:rPr>
          <w:bCs/>
        </w:rPr>
        <w:t>GLEIF</w:t>
      </w:r>
      <w:proofErr w:type="spellEnd"/>
      <w:r>
        <w:rPr>
          <w:bCs/>
        </w:rPr>
        <w:t>;</w:t>
      </w:r>
      <w:proofErr w:type="gramEnd"/>
    </w:p>
    <w:p w14:paraId="2A813902" w14:textId="1216CF7A" w:rsidR="00EF7DD5" w:rsidRDefault="00EF7DD5" w:rsidP="002E110A">
      <w:pPr>
        <w:pStyle w:val="LI-BodyTextParaa"/>
        <w:numPr>
          <w:ilvl w:val="1"/>
          <w:numId w:val="3"/>
        </w:numPr>
        <w:rPr>
          <w:bCs/>
        </w:rPr>
      </w:pPr>
      <w:proofErr w:type="spellStart"/>
      <w:proofErr w:type="gramStart"/>
      <w:r>
        <w:rPr>
          <w:bCs/>
        </w:rPr>
        <w:t>ISIN</w:t>
      </w:r>
      <w:proofErr w:type="spellEnd"/>
      <w:r w:rsidR="003869DB">
        <w:rPr>
          <w:bCs/>
        </w:rPr>
        <w:t>;</w:t>
      </w:r>
      <w:proofErr w:type="gramEnd"/>
    </w:p>
    <w:p w14:paraId="70A7C8C3" w14:textId="10224341" w:rsidR="00EF7DD5" w:rsidRDefault="00EF7DD5" w:rsidP="002E110A">
      <w:pPr>
        <w:pStyle w:val="LI-BodyTextParaa"/>
        <w:numPr>
          <w:ilvl w:val="1"/>
          <w:numId w:val="3"/>
        </w:numPr>
        <w:rPr>
          <w:bCs/>
        </w:rPr>
      </w:pPr>
      <w:proofErr w:type="gramStart"/>
      <w:r>
        <w:rPr>
          <w:bCs/>
        </w:rPr>
        <w:t>MIC</w:t>
      </w:r>
      <w:r w:rsidR="003869DB">
        <w:rPr>
          <w:bCs/>
        </w:rPr>
        <w:t>;</w:t>
      </w:r>
      <w:proofErr w:type="gramEnd"/>
    </w:p>
    <w:p w14:paraId="3772D7D0" w14:textId="4855A6EF" w:rsidR="003A4640" w:rsidRDefault="003A4640" w:rsidP="002E110A">
      <w:pPr>
        <w:pStyle w:val="LI-BodyTextParaa"/>
        <w:numPr>
          <w:ilvl w:val="1"/>
          <w:numId w:val="3"/>
        </w:numPr>
        <w:rPr>
          <w:bCs/>
        </w:rPr>
      </w:pPr>
      <w:r w:rsidRPr="002E4BBC">
        <w:rPr>
          <w:bCs/>
        </w:rPr>
        <w:t xml:space="preserve">Portfolio </w:t>
      </w:r>
      <w:proofErr w:type="gramStart"/>
      <w:r w:rsidRPr="002E4BBC">
        <w:rPr>
          <w:bCs/>
        </w:rPr>
        <w:t>Basis;</w:t>
      </w:r>
      <w:proofErr w:type="gramEnd"/>
    </w:p>
    <w:p w14:paraId="758A5667" w14:textId="770EB1A6" w:rsidR="00F11C5B" w:rsidRDefault="00F11C5B" w:rsidP="002E110A">
      <w:pPr>
        <w:pStyle w:val="LI-BodyTextParaa"/>
        <w:numPr>
          <w:ilvl w:val="1"/>
          <w:numId w:val="3"/>
        </w:numPr>
        <w:rPr>
          <w:bCs/>
        </w:rPr>
      </w:pPr>
      <w:r>
        <w:rPr>
          <w:bCs/>
        </w:rPr>
        <w:t xml:space="preserve">reported as a monetary </w:t>
      </w:r>
      <w:proofErr w:type="gramStart"/>
      <w:r>
        <w:rPr>
          <w:bCs/>
        </w:rPr>
        <w:t>amount;</w:t>
      </w:r>
      <w:proofErr w:type="gramEnd"/>
    </w:p>
    <w:p w14:paraId="769865BB" w14:textId="6EF89E5E" w:rsidR="00F11C5B" w:rsidRDefault="000B191B" w:rsidP="002E110A">
      <w:pPr>
        <w:pStyle w:val="LI-BodyTextParaa"/>
        <w:numPr>
          <w:ilvl w:val="1"/>
          <w:numId w:val="3"/>
        </w:numPr>
        <w:rPr>
          <w:bCs/>
        </w:rPr>
      </w:pPr>
      <w:r>
        <w:rPr>
          <w:bCs/>
        </w:rPr>
        <w:t xml:space="preserve">reported as a </w:t>
      </w:r>
      <w:proofErr w:type="gramStart"/>
      <w:r>
        <w:rPr>
          <w:bCs/>
        </w:rPr>
        <w:t>decimal;</w:t>
      </w:r>
      <w:proofErr w:type="gramEnd"/>
    </w:p>
    <w:p w14:paraId="7ED1E165" w14:textId="358005B4" w:rsidR="000B191B" w:rsidRPr="001B6E4E" w:rsidRDefault="000B191B" w:rsidP="002E110A">
      <w:pPr>
        <w:pStyle w:val="LI-BodyTextParaa"/>
        <w:numPr>
          <w:ilvl w:val="1"/>
          <w:numId w:val="3"/>
        </w:numPr>
        <w:rPr>
          <w:bCs/>
        </w:rPr>
      </w:pPr>
      <w:r>
        <w:rPr>
          <w:bCs/>
        </w:rPr>
        <w:t xml:space="preserve">reported in basis </w:t>
      </w:r>
      <w:proofErr w:type="gramStart"/>
      <w:r>
        <w:rPr>
          <w:bCs/>
        </w:rPr>
        <w:t>points;</w:t>
      </w:r>
      <w:proofErr w:type="gramEnd"/>
    </w:p>
    <w:p w14:paraId="6E0FC920" w14:textId="56852FE6" w:rsidR="000B191B" w:rsidRDefault="00630526" w:rsidP="002E110A">
      <w:pPr>
        <w:pStyle w:val="LI-BodyTextParaa"/>
        <w:numPr>
          <w:ilvl w:val="1"/>
          <w:numId w:val="3"/>
        </w:numPr>
        <w:rPr>
          <w:bCs/>
        </w:rPr>
      </w:pPr>
      <w:proofErr w:type="gramStart"/>
      <w:r>
        <w:rPr>
          <w:bCs/>
        </w:rPr>
        <w:t>RIC;</w:t>
      </w:r>
      <w:proofErr w:type="gramEnd"/>
    </w:p>
    <w:p w14:paraId="577A0720" w14:textId="2D9400F4" w:rsidR="00630526" w:rsidRDefault="00630526" w:rsidP="002E110A">
      <w:pPr>
        <w:pStyle w:val="LI-BodyTextParaa"/>
        <w:numPr>
          <w:ilvl w:val="1"/>
          <w:numId w:val="3"/>
        </w:numPr>
        <w:rPr>
          <w:bCs/>
        </w:rPr>
      </w:pPr>
      <w:r>
        <w:rPr>
          <w:bCs/>
        </w:rPr>
        <w:t>ROC Statement; and</w:t>
      </w:r>
    </w:p>
    <w:p w14:paraId="5CE37ACC" w14:textId="70CBB290" w:rsidR="00630526" w:rsidRPr="002E4BBC" w:rsidRDefault="00630526" w:rsidP="002E110A">
      <w:pPr>
        <w:pStyle w:val="LI-BodyTextParaa"/>
        <w:numPr>
          <w:ilvl w:val="1"/>
          <w:numId w:val="3"/>
        </w:numPr>
        <w:rPr>
          <w:bCs/>
        </w:rPr>
      </w:pPr>
      <w:r>
        <w:rPr>
          <w:bCs/>
        </w:rPr>
        <w:t>UPI</w:t>
      </w:r>
      <w:r w:rsidR="00342001">
        <w:rPr>
          <w:bCs/>
        </w:rPr>
        <w:t>.</w:t>
      </w:r>
    </w:p>
    <w:p w14:paraId="39CFCE5B" w14:textId="4D6BF0BA" w:rsidR="003A4640" w:rsidRPr="002E4BBC" w:rsidRDefault="003A4640" w:rsidP="003A4640">
      <w:pPr>
        <w:pStyle w:val="LI-BodyTextNumbered"/>
        <w:ind w:left="0" w:firstLine="0"/>
        <w:rPr>
          <w:u w:val="single"/>
        </w:rPr>
      </w:pPr>
      <w:bookmarkStart w:id="33" w:name="_Toc358210461"/>
      <w:r w:rsidRPr="002E4BBC">
        <w:rPr>
          <w:u w:val="single"/>
        </w:rPr>
        <w:lastRenderedPageBreak/>
        <w:t>Part S</w:t>
      </w:r>
      <w:r w:rsidR="00342001">
        <w:rPr>
          <w:u w:val="single"/>
        </w:rPr>
        <w:t>1.3</w:t>
      </w:r>
      <w:r w:rsidRPr="002E4BBC">
        <w:rPr>
          <w:u w:val="single"/>
        </w:rPr>
        <w:t xml:space="preserve"> Derivative </w:t>
      </w:r>
      <w:r w:rsidR="001701B5">
        <w:rPr>
          <w:u w:val="single"/>
        </w:rPr>
        <w:t>t</w:t>
      </w:r>
      <w:r w:rsidRPr="002E4BBC">
        <w:rPr>
          <w:u w:val="single"/>
        </w:rPr>
        <w:t xml:space="preserve">ransaction </w:t>
      </w:r>
      <w:r w:rsidR="001701B5">
        <w:rPr>
          <w:u w:val="single"/>
        </w:rPr>
        <w:t>i</w:t>
      </w:r>
      <w:r w:rsidRPr="002E4BBC">
        <w:rPr>
          <w:u w:val="single"/>
        </w:rPr>
        <w:t>nformation</w:t>
      </w:r>
      <w:bookmarkEnd w:id="33"/>
    </w:p>
    <w:p w14:paraId="742C4303" w14:textId="65CB492B" w:rsidR="003A4640" w:rsidRPr="002E4BBC" w:rsidRDefault="003A4640" w:rsidP="003A4640">
      <w:pPr>
        <w:pStyle w:val="LI-BodyTextNumbered"/>
        <w:ind w:left="0" w:firstLine="0"/>
        <w:rPr>
          <w:u w:val="single"/>
        </w:rPr>
      </w:pPr>
      <w:r w:rsidRPr="002E4BBC">
        <w:rPr>
          <w:u w:val="single"/>
        </w:rPr>
        <w:t>Rule S</w:t>
      </w:r>
      <w:r w:rsidR="00342001">
        <w:rPr>
          <w:u w:val="single"/>
        </w:rPr>
        <w:t>1.3.1</w:t>
      </w:r>
      <w:r w:rsidRPr="002E4BBC">
        <w:rPr>
          <w:u w:val="single"/>
        </w:rPr>
        <w:t xml:space="preserve"> Derivative </w:t>
      </w:r>
      <w:r w:rsidR="001701B5">
        <w:rPr>
          <w:u w:val="single"/>
        </w:rPr>
        <w:t>t</w:t>
      </w:r>
      <w:r w:rsidRPr="002E4BBC">
        <w:rPr>
          <w:u w:val="single"/>
        </w:rPr>
        <w:t xml:space="preserve">ransaction </w:t>
      </w:r>
      <w:r w:rsidR="001701B5">
        <w:rPr>
          <w:u w:val="single"/>
        </w:rPr>
        <w:t>i</w:t>
      </w:r>
      <w:r w:rsidRPr="002E4BBC">
        <w:rPr>
          <w:u w:val="single"/>
        </w:rPr>
        <w:t>nformation</w:t>
      </w:r>
    </w:p>
    <w:p w14:paraId="6113AEA4" w14:textId="2E12EF01" w:rsidR="003A4640" w:rsidRPr="002E4BBC" w:rsidRDefault="003A4640" w:rsidP="002E110A">
      <w:pPr>
        <w:pStyle w:val="LI-BodyTextParaa"/>
        <w:numPr>
          <w:ilvl w:val="0"/>
          <w:numId w:val="3"/>
        </w:numPr>
        <w:rPr>
          <w:bCs/>
        </w:rPr>
      </w:pPr>
      <w:r w:rsidRPr="002E4BBC">
        <w:rPr>
          <w:bCs/>
        </w:rPr>
        <w:t>Rule S</w:t>
      </w:r>
      <w:r w:rsidR="00D544CF">
        <w:rPr>
          <w:bCs/>
        </w:rPr>
        <w:t>1.3.1</w:t>
      </w:r>
      <w:r w:rsidRPr="002E4BBC">
        <w:rPr>
          <w:bCs/>
        </w:rPr>
        <w:t xml:space="preserve"> and Tables </w:t>
      </w:r>
      <w:r w:rsidR="00BF773B" w:rsidRPr="002E4BBC">
        <w:rPr>
          <w:bCs/>
        </w:rPr>
        <w:t>S</w:t>
      </w:r>
      <w:r w:rsidR="00BF773B">
        <w:rPr>
          <w:bCs/>
        </w:rPr>
        <w:t>1</w:t>
      </w:r>
      <w:r w:rsidRPr="002E4BBC">
        <w:rPr>
          <w:bCs/>
        </w:rPr>
        <w:t>.1(1) to (</w:t>
      </w:r>
      <w:r w:rsidR="00BF773B">
        <w:rPr>
          <w:bCs/>
        </w:rPr>
        <w:t>3</w:t>
      </w:r>
      <w:r w:rsidRPr="002E4BBC">
        <w:rPr>
          <w:bCs/>
        </w:rPr>
        <w:t>) set out the</w:t>
      </w:r>
      <w:r w:rsidR="001701B5">
        <w:rPr>
          <w:bCs/>
        </w:rPr>
        <w:t xml:space="preserve"> derivative transaction information</w:t>
      </w:r>
      <w:r w:rsidRPr="002E4BBC">
        <w:rPr>
          <w:bCs/>
        </w:rPr>
        <w:t xml:space="preserve"> that must be reported in relation to</w:t>
      </w:r>
      <w:r w:rsidR="00D161C5">
        <w:rPr>
          <w:bCs/>
        </w:rPr>
        <w:t xml:space="preserve"> reportable transaction</w:t>
      </w:r>
      <w:r w:rsidRPr="002E4BBC">
        <w:rPr>
          <w:bCs/>
        </w:rPr>
        <w:t xml:space="preserve">s for the purposes of </w:t>
      </w:r>
      <w:r w:rsidR="00053138">
        <w:rPr>
          <w:bCs/>
        </w:rPr>
        <w:t>R</w:t>
      </w:r>
      <w:r w:rsidR="001D5944">
        <w:rPr>
          <w:bCs/>
        </w:rPr>
        <w:t>ule</w:t>
      </w:r>
      <w:r w:rsidR="00053138">
        <w:rPr>
          <w:bCs/>
        </w:rPr>
        <w:t>s</w:t>
      </w:r>
      <w:r w:rsidR="001D5944" w:rsidRPr="002E4BBC">
        <w:rPr>
          <w:bCs/>
        </w:rPr>
        <w:t xml:space="preserve"> </w:t>
      </w:r>
      <w:r w:rsidRPr="002E4BBC">
        <w:rPr>
          <w:bCs/>
        </w:rPr>
        <w:t>2.2.1</w:t>
      </w:r>
      <w:r w:rsidR="00053138">
        <w:rPr>
          <w:bCs/>
        </w:rPr>
        <w:t xml:space="preserve"> and 2.2.</w:t>
      </w:r>
      <w:r w:rsidR="0087153F">
        <w:rPr>
          <w:bCs/>
        </w:rPr>
        <w:t>2</w:t>
      </w:r>
      <w:r w:rsidRPr="002E4BBC">
        <w:rPr>
          <w:bCs/>
        </w:rPr>
        <w:t xml:space="preserve">. Table </w:t>
      </w:r>
      <w:r w:rsidR="00D643A1" w:rsidRPr="002E4BBC">
        <w:rPr>
          <w:bCs/>
        </w:rPr>
        <w:t>S</w:t>
      </w:r>
      <w:r w:rsidR="00D643A1">
        <w:rPr>
          <w:bCs/>
        </w:rPr>
        <w:t>1</w:t>
      </w:r>
      <w:r w:rsidRPr="002E4BBC">
        <w:rPr>
          <w:bCs/>
        </w:rPr>
        <w:t xml:space="preserve">.1(1) sets out </w:t>
      </w:r>
      <w:r w:rsidR="009A25E0">
        <w:rPr>
          <w:bCs/>
        </w:rPr>
        <w:t xml:space="preserve">the </w:t>
      </w:r>
      <w:r w:rsidR="00D32704">
        <w:rPr>
          <w:bCs/>
        </w:rPr>
        <w:t>t</w:t>
      </w:r>
      <w:r w:rsidR="00155495">
        <w:rPr>
          <w:bCs/>
        </w:rPr>
        <w:t>ransaction information</w:t>
      </w:r>
      <w:r w:rsidR="00796E34">
        <w:rPr>
          <w:bCs/>
        </w:rPr>
        <w:t xml:space="preserve">, Table S1.1(2) sets out </w:t>
      </w:r>
      <w:r w:rsidR="009A25E0">
        <w:rPr>
          <w:bCs/>
        </w:rPr>
        <w:t xml:space="preserve">the </w:t>
      </w:r>
      <w:r w:rsidR="00D32704">
        <w:rPr>
          <w:bCs/>
        </w:rPr>
        <w:t>v</w:t>
      </w:r>
      <w:r w:rsidR="00796E34">
        <w:rPr>
          <w:bCs/>
        </w:rPr>
        <w:t>aluation information</w:t>
      </w:r>
      <w:r w:rsidR="009A25E0">
        <w:rPr>
          <w:bCs/>
        </w:rPr>
        <w:t xml:space="preserve"> and Table S1.1(3) sets out the </w:t>
      </w:r>
      <w:r w:rsidR="00D32704">
        <w:rPr>
          <w:bCs/>
        </w:rPr>
        <w:t>c</w:t>
      </w:r>
      <w:r w:rsidR="009A25E0">
        <w:rPr>
          <w:bCs/>
        </w:rPr>
        <w:t>ollateral information</w:t>
      </w:r>
      <w:r w:rsidRPr="002E4BBC">
        <w:rPr>
          <w:bCs/>
        </w:rPr>
        <w:t xml:space="preserve"> to be reported</w:t>
      </w:r>
      <w:r w:rsidR="009A25E0">
        <w:rPr>
          <w:bCs/>
        </w:rPr>
        <w:t>.</w:t>
      </w:r>
    </w:p>
    <w:p w14:paraId="409095C4" w14:textId="202CD05F" w:rsidR="003A4640" w:rsidRPr="00D2518D" w:rsidRDefault="003A4640" w:rsidP="002E110A">
      <w:pPr>
        <w:pStyle w:val="LI-BodyTextParaa"/>
        <w:numPr>
          <w:ilvl w:val="0"/>
          <w:numId w:val="3"/>
        </w:numPr>
        <w:rPr>
          <w:bCs/>
        </w:rPr>
      </w:pPr>
      <w:r w:rsidRPr="00D2518D">
        <w:rPr>
          <w:bCs/>
        </w:rPr>
        <w:t>The</w:t>
      </w:r>
      <w:r w:rsidR="001701B5">
        <w:rPr>
          <w:bCs/>
        </w:rPr>
        <w:t xml:space="preserve"> derivative transaction information</w:t>
      </w:r>
      <w:r w:rsidRPr="00D2518D">
        <w:rPr>
          <w:bCs/>
        </w:rPr>
        <w:t xml:space="preserve"> set out in Part S</w:t>
      </w:r>
      <w:r w:rsidR="007D46EA">
        <w:rPr>
          <w:bCs/>
        </w:rPr>
        <w:t>1.3</w:t>
      </w:r>
      <w:r w:rsidRPr="00D2518D">
        <w:rPr>
          <w:bCs/>
        </w:rPr>
        <w:t xml:space="preserve"> is based on the needs of the Australian </w:t>
      </w:r>
      <w:r w:rsidR="00742EB4">
        <w:rPr>
          <w:bCs/>
        </w:rPr>
        <w:t>r</w:t>
      </w:r>
      <w:r w:rsidRPr="00D2518D">
        <w:rPr>
          <w:bCs/>
        </w:rPr>
        <w:t xml:space="preserve">egulators to achieve the objectives of the trade reporting regime, and the fields being required to be reported in other jurisdictions, such as Canada, the EU, Hong Kong, Japan, </w:t>
      </w:r>
      <w:proofErr w:type="gramStart"/>
      <w:r w:rsidRPr="00D2518D">
        <w:rPr>
          <w:bCs/>
        </w:rPr>
        <w:t>Singapore</w:t>
      </w:r>
      <w:proofErr w:type="gramEnd"/>
      <w:r w:rsidRPr="00D2518D">
        <w:rPr>
          <w:bCs/>
        </w:rPr>
        <w:t xml:space="preserve"> and the US.</w:t>
      </w:r>
    </w:p>
    <w:p w14:paraId="05CE5D0B" w14:textId="3F497125" w:rsidR="003A4640" w:rsidRPr="00D2518D" w:rsidRDefault="003A4640" w:rsidP="002E110A">
      <w:pPr>
        <w:pStyle w:val="LI-BodyTextParaa"/>
        <w:numPr>
          <w:ilvl w:val="0"/>
          <w:numId w:val="3"/>
        </w:numPr>
        <w:rPr>
          <w:bCs/>
        </w:rPr>
      </w:pPr>
      <w:r w:rsidRPr="00D2518D">
        <w:rPr>
          <w:bCs/>
        </w:rPr>
        <w:t>The</w:t>
      </w:r>
      <w:r w:rsidR="001701B5">
        <w:rPr>
          <w:bCs/>
        </w:rPr>
        <w:t xml:space="preserve"> derivative transaction information</w:t>
      </w:r>
      <w:r w:rsidRPr="00D2518D">
        <w:rPr>
          <w:bCs/>
        </w:rPr>
        <w:t xml:space="preserve"> set out in Part S</w:t>
      </w:r>
      <w:r w:rsidR="00AE5216">
        <w:rPr>
          <w:bCs/>
        </w:rPr>
        <w:t>1.3</w:t>
      </w:r>
      <w:r w:rsidRPr="00D2518D">
        <w:rPr>
          <w:bCs/>
        </w:rPr>
        <w:t xml:space="preserve"> falls broadly into the following categories </w:t>
      </w:r>
    </w:p>
    <w:p w14:paraId="58D4247E" w14:textId="373D1CED" w:rsidR="003A4640" w:rsidRPr="00D2518D" w:rsidRDefault="009219CD" w:rsidP="002E110A">
      <w:pPr>
        <w:pStyle w:val="LI-BodyTextParaa"/>
        <w:numPr>
          <w:ilvl w:val="1"/>
          <w:numId w:val="3"/>
        </w:numPr>
        <w:rPr>
          <w:bCs/>
        </w:rPr>
      </w:pPr>
      <w:r>
        <w:rPr>
          <w:bCs/>
        </w:rPr>
        <w:t>c</w:t>
      </w:r>
      <w:r w:rsidR="003A4640" w:rsidRPr="00D2518D">
        <w:rPr>
          <w:bCs/>
        </w:rPr>
        <w:t xml:space="preserve">ounterparty information – such as an identifier for the counterparty to a </w:t>
      </w:r>
      <w:r>
        <w:rPr>
          <w:bCs/>
        </w:rPr>
        <w:t>d</w:t>
      </w:r>
      <w:r w:rsidR="003A4640" w:rsidRPr="00D2518D">
        <w:rPr>
          <w:bCs/>
        </w:rPr>
        <w:t>erivative (</w:t>
      </w:r>
      <w:proofErr w:type="gramStart"/>
      <w:r w:rsidR="003A4640" w:rsidRPr="00D2518D">
        <w:rPr>
          <w:bCs/>
        </w:rPr>
        <w:t>e.g.</w:t>
      </w:r>
      <w:proofErr w:type="gramEnd"/>
      <w:r w:rsidR="003A4640" w:rsidRPr="00D2518D">
        <w:rPr>
          <w:bCs/>
        </w:rPr>
        <w:t xml:space="preserve"> a</w:t>
      </w:r>
      <w:r w:rsidR="001B6E4E">
        <w:rPr>
          <w:bCs/>
        </w:rPr>
        <w:t>n</w:t>
      </w:r>
      <w:r w:rsidR="003A4640" w:rsidRPr="00D2518D">
        <w:rPr>
          <w:bCs/>
        </w:rPr>
        <w:t xml:space="preserve"> </w:t>
      </w:r>
      <w:r w:rsidR="001B6E4E">
        <w:rPr>
          <w:bCs/>
        </w:rPr>
        <w:t>LEI</w:t>
      </w:r>
      <w:r w:rsidR="007F783E" w:rsidRPr="00D2518D">
        <w:rPr>
          <w:bCs/>
        </w:rPr>
        <w:t>)</w:t>
      </w:r>
      <w:r w:rsidR="007F783E">
        <w:rPr>
          <w:bCs/>
        </w:rPr>
        <w:t>;</w:t>
      </w:r>
    </w:p>
    <w:p w14:paraId="5D88EA23" w14:textId="38D12179" w:rsidR="003A4640" w:rsidRPr="00D2518D" w:rsidRDefault="009219CD" w:rsidP="002E110A">
      <w:pPr>
        <w:pStyle w:val="LI-BodyTextParaa"/>
        <w:numPr>
          <w:ilvl w:val="1"/>
          <w:numId w:val="3"/>
        </w:numPr>
        <w:rPr>
          <w:bCs/>
        </w:rPr>
      </w:pPr>
      <w:r>
        <w:rPr>
          <w:bCs/>
        </w:rPr>
        <w:t>o</w:t>
      </w:r>
      <w:r w:rsidR="003A4640" w:rsidRPr="00D2518D">
        <w:rPr>
          <w:bCs/>
        </w:rPr>
        <w:t xml:space="preserve">perational information – such as an identifier for the </w:t>
      </w:r>
      <w:r>
        <w:rPr>
          <w:bCs/>
        </w:rPr>
        <w:t>d</w:t>
      </w:r>
      <w:r w:rsidR="003A4640" w:rsidRPr="00D2518D">
        <w:rPr>
          <w:bCs/>
        </w:rPr>
        <w:t xml:space="preserve">erivative </w:t>
      </w:r>
      <w:r>
        <w:rPr>
          <w:bCs/>
        </w:rPr>
        <w:t>t</w:t>
      </w:r>
      <w:r w:rsidR="003A4640" w:rsidRPr="00D2518D">
        <w:rPr>
          <w:bCs/>
        </w:rPr>
        <w:t xml:space="preserve">ransaction, and information about whether the </w:t>
      </w:r>
      <w:r>
        <w:rPr>
          <w:bCs/>
        </w:rPr>
        <w:t>d</w:t>
      </w:r>
      <w:r w:rsidR="003A4640" w:rsidRPr="00D2518D">
        <w:rPr>
          <w:bCs/>
        </w:rPr>
        <w:t xml:space="preserve">erivative </w:t>
      </w:r>
      <w:r>
        <w:rPr>
          <w:bCs/>
        </w:rPr>
        <w:t>t</w:t>
      </w:r>
      <w:r w:rsidR="003A4640" w:rsidRPr="00D2518D">
        <w:rPr>
          <w:bCs/>
        </w:rPr>
        <w:t>ransaction was traded on an execution venue</w:t>
      </w:r>
      <w:r w:rsidR="005E3879">
        <w:rPr>
          <w:bCs/>
        </w:rPr>
        <w:t xml:space="preserve"> and/or</w:t>
      </w:r>
      <w:r w:rsidR="005E3879" w:rsidRPr="00D2518D">
        <w:rPr>
          <w:bCs/>
        </w:rPr>
        <w:t xml:space="preserve"> </w:t>
      </w:r>
      <w:proofErr w:type="gramStart"/>
      <w:r w:rsidR="003A4640" w:rsidRPr="00D2518D">
        <w:rPr>
          <w:bCs/>
        </w:rPr>
        <w:t>cleared</w:t>
      </w:r>
      <w:r w:rsidR="007F783E">
        <w:rPr>
          <w:bCs/>
        </w:rPr>
        <w:t>;</w:t>
      </w:r>
      <w:proofErr w:type="gramEnd"/>
    </w:p>
    <w:p w14:paraId="688B1DEC" w14:textId="2D52F1E6" w:rsidR="003A4640" w:rsidRPr="00D2518D" w:rsidRDefault="009219CD" w:rsidP="002E110A">
      <w:pPr>
        <w:pStyle w:val="LI-BodyTextParaa"/>
        <w:numPr>
          <w:ilvl w:val="1"/>
          <w:numId w:val="3"/>
        </w:numPr>
        <w:rPr>
          <w:bCs/>
        </w:rPr>
      </w:pPr>
      <w:r>
        <w:rPr>
          <w:bCs/>
        </w:rPr>
        <w:t>p</w:t>
      </w:r>
      <w:r w:rsidR="003A4640" w:rsidRPr="00D2518D">
        <w:rPr>
          <w:bCs/>
        </w:rPr>
        <w:t xml:space="preserve">roduct information – such as </w:t>
      </w:r>
      <w:r w:rsidR="000B0F76">
        <w:rPr>
          <w:bCs/>
        </w:rPr>
        <w:t xml:space="preserve">an </w:t>
      </w:r>
      <w:r w:rsidR="004763A4">
        <w:rPr>
          <w:bCs/>
        </w:rPr>
        <w:t xml:space="preserve">identifier </w:t>
      </w:r>
      <w:r w:rsidR="000A5BEC">
        <w:rPr>
          <w:bCs/>
        </w:rPr>
        <w:t>of</w:t>
      </w:r>
      <w:r w:rsidR="003A4640" w:rsidRPr="00D2518D">
        <w:rPr>
          <w:bCs/>
        </w:rPr>
        <w:t xml:space="preserve"> the type of </w:t>
      </w:r>
      <w:r>
        <w:rPr>
          <w:bCs/>
        </w:rPr>
        <w:t>d</w:t>
      </w:r>
      <w:r w:rsidR="003A4640" w:rsidRPr="00D2518D">
        <w:rPr>
          <w:bCs/>
        </w:rPr>
        <w:t xml:space="preserve">erivative </w:t>
      </w:r>
      <w:r w:rsidR="00E76029">
        <w:rPr>
          <w:bCs/>
        </w:rPr>
        <w:t xml:space="preserve">that conveys information about </w:t>
      </w:r>
      <w:r w:rsidR="00C67F08">
        <w:rPr>
          <w:bCs/>
        </w:rPr>
        <w:t xml:space="preserve">its general type </w:t>
      </w:r>
      <w:r w:rsidR="003A4640" w:rsidRPr="00D2518D">
        <w:rPr>
          <w:bCs/>
        </w:rPr>
        <w:t>(</w:t>
      </w:r>
      <w:proofErr w:type="gramStart"/>
      <w:r w:rsidR="003A4640" w:rsidRPr="00D2518D">
        <w:rPr>
          <w:bCs/>
        </w:rPr>
        <w:t>e.g.</w:t>
      </w:r>
      <w:proofErr w:type="gramEnd"/>
      <w:r w:rsidR="003A4640" w:rsidRPr="00D2518D">
        <w:rPr>
          <w:bCs/>
        </w:rPr>
        <w:t xml:space="preserve"> swap, forward, option)</w:t>
      </w:r>
      <w:r w:rsidR="00C67F08">
        <w:rPr>
          <w:bCs/>
        </w:rPr>
        <w:t xml:space="preserve">, </w:t>
      </w:r>
      <w:r w:rsidR="00E0577D">
        <w:rPr>
          <w:bCs/>
        </w:rPr>
        <w:t>underlier</w:t>
      </w:r>
      <w:r w:rsidR="0009543A">
        <w:rPr>
          <w:bCs/>
        </w:rPr>
        <w:t xml:space="preserve"> and other characteristics</w:t>
      </w:r>
      <w:r w:rsidR="007F783E">
        <w:rPr>
          <w:bCs/>
        </w:rPr>
        <w:t>;</w:t>
      </w:r>
      <w:r w:rsidR="003A4640" w:rsidRPr="00D2518D">
        <w:rPr>
          <w:bCs/>
        </w:rPr>
        <w:t xml:space="preserve"> </w:t>
      </w:r>
    </w:p>
    <w:p w14:paraId="3C07E570" w14:textId="5AE5B9C1" w:rsidR="003A4640" w:rsidRPr="00D2518D" w:rsidRDefault="009219CD" w:rsidP="002E110A">
      <w:pPr>
        <w:pStyle w:val="LI-BodyTextParaa"/>
        <w:numPr>
          <w:ilvl w:val="1"/>
          <w:numId w:val="3"/>
        </w:numPr>
        <w:rPr>
          <w:bCs/>
        </w:rPr>
      </w:pPr>
      <w:r>
        <w:rPr>
          <w:bCs/>
        </w:rPr>
        <w:t>t</w:t>
      </w:r>
      <w:r w:rsidR="003A4640" w:rsidRPr="00D2518D">
        <w:rPr>
          <w:bCs/>
        </w:rPr>
        <w:t xml:space="preserve">ransaction economics – the material terms of a </w:t>
      </w:r>
      <w:r>
        <w:rPr>
          <w:bCs/>
        </w:rPr>
        <w:t>d</w:t>
      </w:r>
      <w:r w:rsidR="003A4640" w:rsidRPr="00D2518D">
        <w:rPr>
          <w:bCs/>
        </w:rPr>
        <w:t xml:space="preserve">erivative, including effective dates, </w:t>
      </w:r>
      <w:r w:rsidR="002C090B">
        <w:rPr>
          <w:bCs/>
        </w:rPr>
        <w:t>expiration</w:t>
      </w:r>
      <w:r w:rsidR="002C090B" w:rsidRPr="00D2518D">
        <w:rPr>
          <w:bCs/>
        </w:rPr>
        <w:t xml:space="preserve"> </w:t>
      </w:r>
      <w:r w:rsidR="003A4640" w:rsidRPr="00D2518D">
        <w:rPr>
          <w:bCs/>
        </w:rPr>
        <w:t xml:space="preserve">dates, notional amounts, </w:t>
      </w:r>
      <w:r w:rsidR="00AE2D5B">
        <w:rPr>
          <w:bCs/>
        </w:rPr>
        <w:t>prices</w:t>
      </w:r>
      <w:r w:rsidR="003A4640" w:rsidRPr="00D2518D">
        <w:rPr>
          <w:bCs/>
        </w:rPr>
        <w:t xml:space="preserve"> and </w:t>
      </w:r>
      <w:r w:rsidR="00AE2D5B">
        <w:rPr>
          <w:bCs/>
        </w:rPr>
        <w:t xml:space="preserve">interest </w:t>
      </w:r>
      <w:proofErr w:type="gramStart"/>
      <w:r w:rsidR="00AE2D5B">
        <w:rPr>
          <w:bCs/>
        </w:rPr>
        <w:t>rates;</w:t>
      </w:r>
      <w:proofErr w:type="gramEnd"/>
      <w:r w:rsidR="00AE2D5B" w:rsidRPr="00D2518D">
        <w:rPr>
          <w:bCs/>
        </w:rPr>
        <w:t xml:space="preserve"> </w:t>
      </w:r>
    </w:p>
    <w:p w14:paraId="15F9D973" w14:textId="6BF6AB64" w:rsidR="003A4640" w:rsidRPr="00D2518D" w:rsidRDefault="009219CD" w:rsidP="002E110A">
      <w:pPr>
        <w:pStyle w:val="LI-BodyTextParaa"/>
        <w:numPr>
          <w:ilvl w:val="1"/>
          <w:numId w:val="3"/>
        </w:numPr>
        <w:rPr>
          <w:bCs/>
        </w:rPr>
      </w:pPr>
      <w:r>
        <w:rPr>
          <w:bCs/>
        </w:rPr>
        <w:t>e</w:t>
      </w:r>
      <w:r w:rsidR="003A4640" w:rsidRPr="00D2518D">
        <w:rPr>
          <w:bCs/>
        </w:rPr>
        <w:t xml:space="preserve">xposure data – information about the valuation of a </w:t>
      </w:r>
      <w:r>
        <w:rPr>
          <w:bCs/>
        </w:rPr>
        <w:t>d</w:t>
      </w:r>
      <w:r w:rsidR="003A4640" w:rsidRPr="00D2518D">
        <w:rPr>
          <w:bCs/>
        </w:rPr>
        <w:t xml:space="preserve">erivative, and information about collateral exchanged on the </w:t>
      </w:r>
      <w:r>
        <w:rPr>
          <w:bCs/>
        </w:rPr>
        <w:t>d</w:t>
      </w:r>
      <w:r w:rsidR="003A4640" w:rsidRPr="00D2518D">
        <w:rPr>
          <w:bCs/>
        </w:rPr>
        <w:t>erivative</w:t>
      </w:r>
      <w:r w:rsidR="008E0E67">
        <w:rPr>
          <w:bCs/>
        </w:rPr>
        <w:t>;</w:t>
      </w:r>
      <w:r w:rsidR="00D055B2">
        <w:rPr>
          <w:bCs/>
        </w:rPr>
        <w:t xml:space="preserve"> and</w:t>
      </w:r>
      <w:r w:rsidR="008E0E67" w:rsidRPr="00D2518D">
        <w:rPr>
          <w:bCs/>
        </w:rPr>
        <w:t xml:space="preserve"> </w:t>
      </w:r>
    </w:p>
    <w:p w14:paraId="2D17C980" w14:textId="5CCC5AFD" w:rsidR="003A4640" w:rsidRDefault="009219CD" w:rsidP="002E110A">
      <w:pPr>
        <w:pStyle w:val="LI-BodyTextParaa"/>
        <w:numPr>
          <w:ilvl w:val="1"/>
          <w:numId w:val="3"/>
        </w:numPr>
        <w:rPr>
          <w:bCs/>
        </w:rPr>
      </w:pPr>
      <w:r>
        <w:rPr>
          <w:bCs/>
        </w:rPr>
        <w:t>e</w:t>
      </w:r>
      <w:r w:rsidR="003A4640" w:rsidRPr="00D2518D">
        <w:rPr>
          <w:bCs/>
        </w:rPr>
        <w:t xml:space="preserve">vent data – information that records the occurrence of an event and includes a timestamp, such as a clearing, </w:t>
      </w:r>
      <w:proofErr w:type="gramStart"/>
      <w:r w:rsidR="003A4640" w:rsidRPr="00D2518D">
        <w:rPr>
          <w:bCs/>
        </w:rPr>
        <w:t>execution</w:t>
      </w:r>
      <w:proofErr w:type="gramEnd"/>
      <w:r w:rsidR="003A4640" w:rsidRPr="00D2518D">
        <w:rPr>
          <w:bCs/>
        </w:rPr>
        <w:t xml:space="preserve"> or reporting timestamp.</w:t>
      </w:r>
    </w:p>
    <w:p w14:paraId="7D18D04D" w14:textId="77777777" w:rsidR="00231177" w:rsidRDefault="003A4640" w:rsidP="002E110A">
      <w:pPr>
        <w:pStyle w:val="LI-BodyTextParaa"/>
        <w:numPr>
          <w:ilvl w:val="0"/>
          <w:numId w:val="3"/>
        </w:numPr>
        <w:rPr>
          <w:bCs/>
        </w:rPr>
      </w:pPr>
      <w:r>
        <w:rPr>
          <w:bCs/>
        </w:rPr>
        <w:t xml:space="preserve">As at the date </w:t>
      </w:r>
      <w:r w:rsidR="00F04DB8">
        <w:rPr>
          <w:bCs/>
        </w:rPr>
        <w:t xml:space="preserve">the </w:t>
      </w:r>
      <w:r w:rsidR="009219CD">
        <w:rPr>
          <w:bCs/>
        </w:rPr>
        <w:t>2024</w:t>
      </w:r>
      <w:r w:rsidR="00F04DB8">
        <w:rPr>
          <w:bCs/>
        </w:rPr>
        <w:t xml:space="preserve"> Rules</w:t>
      </w:r>
      <w:r>
        <w:rPr>
          <w:bCs/>
        </w:rPr>
        <w:t xml:space="preserve"> </w:t>
      </w:r>
      <w:r w:rsidR="001B6E4E">
        <w:rPr>
          <w:bCs/>
        </w:rPr>
        <w:t>commence</w:t>
      </w:r>
      <w:r>
        <w:rPr>
          <w:bCs/>
        </w:rPr>
        <w:t xml:space="preserve">, </w:t>
      </w:r>
      <w:r w:rsidR="00F56FB6">
        <w:rPr>
          <w:bCs/>
        </w:rPr>
        <w:t xml:space="preserve">it is intended </w:t>
      </w:r>
      <w:r w:rsidR="000B44AB">
        <w:rPr>
          <w:bCs/>
        </w:rPr>
        <w:t xml:space="preserve">that no exemption </w:t>
      </w:r>
      <w:r w:rsidR="00CB7563">
        <w:rPr>
          <w:bCs/>
        </w:rPr>
        <w:t xml:space="preserve">instrument will modify the </w:t>
      </w:r>
      <w:r w:rsidR="006B510D">
        <w:rPr>
          <w:bCs/>
        </w:rPr>
        <w:t>information requirements of the 2024 Rules</w:t>
      </w:r>
      <w:r w:rsidR="00555A35">
        <w:rPr>
          <w:bCs/>
        </w:rPr>
        <w:t xml:space="preserve"> – </w:t>
      </w:r>
      <w:r w:rsidR="00385CB8">
        <w:rPr>
          <w:bCs/>
        </w:rPr>
        <w:t xml:space="preserve">certain </w:t>
      </w:r>
      <w:r w:rsidR="00555A35">
        <w:rPr>
          <w:bCs/>
        </w:rPr>
        <w:t>exemption</w:t>
      </w:r>
      <w:r w:rsidR="00972286">
        <w:rPr>
          <w:bCs/>
        </w:rPr>
        <w:t>s in Instrument</w:t>
      </w:r>
      <w:r w:rsidR="007F3FDE">
        <w:rPr>
          <w:bCs/>
        </w:rPr>
        <w:t xml:space="preserve"> 2015/844 are intended to be ended upon the commencement of the 2024 Rules as summarised </w:t>
      </w:r>
      <w:r w:rsidR="002D5627">
        <w:rPr>
          <w:bCs/>
        </w:rPr>
        <w:t>in the table below.</w:t>
      </w:r>
      <w:r w:rsidR="00E75F98">
        <w:rPr>
          <w:bCs/>
        </w:rPr>
        <w:br/>
      </w:r>
    </w:p>
    <w:p w14:paraId="5120668C" w14:textId="77777777" w:rsidR="00231177" w:rsidRDefault="00231177">
      <w:pPr>
        <w:spacing w:line="240" w:lineRule="auto"/>
        <w:rPr>
          <w:rFonts w:eastAsia="Times New Roman"/>
          <w:bCs/>
          <w:sz w:val="24"/>
          <w:szCs w:val="24"/>
          <w:lang w:eastAsia="en-AU"/>
        </w:rPr>
      </w:pPr>
      <w:r>
        <w:rPr>
          <w:bCs/>
        </w:rPr>
        <w:br w:type="page"/>
      </w:r>
    </w:p>
    <w:tbl>
      <w:tblPr>
        <w:tblW w:w="8276"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154"/>
        <w:gridCol w:w="3061"/>
        <w:gridCol w:w="3061"/>
      </w:tblGrid>
      <w:tr w:rsidR="00C732DD" w:rsidRPr="008C714F" w14:paraId="186BCE95" w14:textId="77777777" w:rsidTr="00C732DD">
        <w:trPr>
          <w:cantSplit/>
        </w:trPr>
        <w:tc>
          <w:tcPr>
            <w:tcW w:w="2154" w:type="dxa"/>
            <w:tcBorders>
              <w:bottom w:val="single" w:sz="4" w:space="0" w:color="999999"/>
            </w:tcBorders>
            <w:shd w:val="clear" w:color="auto" w:fill="C2E3FA"/>
          </w:tcPr>
          <w:p w14:paraId="75DB1A6A" w14:textId="0F882502" w:rsidR="00F27C09" w:rsidRPr="008C714F" w:rsidRDefault="00F27C09" w:rsidP="00971B1E">
            <w:pPr>
              <w:pStyle w:val="tbltext"/>
              <w:keepNext/>
              <w:spacing w:before="60"/>
              <w:ind w:left="170" w:hanging="170"/>
              <w:rPr>
                <w:b/>
                <w:bCs/>
              </w:rPr>
            </w:pPr>
            <w:r w:rsidRPr="008C714F">
              <w:rPr>
                <w:b/>
                <w:bCs/>
              </w:rPr>
              <w:lastRenderedPageBreak/>
              <w:t>Exemption:</w:t>
            </w:r>
          </w:p>
        </w:tc>
        <w:tc>
          <w:tcPr>
            <w:tcW w:w="3061" w:type="dxa"/>
            <w:tcBorders>
              <w:bottom w:val="single" w:sz="4" w:space="0" w:color="999999"/>
            </w:tcBorders>
            <w:shd w:val="clear" w:color="auto" w:fill="C2E3FA"/>
          </w:tcPr>
          <w:p w14:paraId="71914100" w14:textId="4544B39B" w:rsidR="00F27C09" w:rsidRPr="008C714F" w:rsidRDefault="00F27C09" w:rsidP="00971B1E">
            <w:pPr>
              <w:pStyle w:val="tablebullet"/>
              <w:keepNext/>
              <w:numPr>
                <w:ilvl w:val="0"/>
                <w:numId w:val="0"/>
              </w:numPr>
              <w:ind w:left="170" w:hanging="170"/>
              <w:rPr>
                <w:b/>
                <w:bCs/>
              </w:rPr>
            </w:pPr>
            <w:r w:rsidRPr="008C714F">
              <w:rPr>
                <w:b/>
                <w:bCs/>
              </w:rPr>
              <w:t>Exemption for:</w:t>
            </w:r>
          </w:p>
        </w:tc>
        <w:tc>
          <w:tcPr>
            <w:tcW w:w="3061" w:type="dxa"/>
            <w:tcBorders>
              <w:bottom w:val="single" w:sz="4" w:space="0" w:color="999999"/>
            </w:tcBorders>
            <w:shd w:val="clear" w:color="auto" w:fill="C2E3FA"/>
          </w:tcPr>
          <w:p w14:paraId="6C779DCD" w14:textId="7104023D" w:rsidR="00F27C09" w:rsidRPr="008C714F" w:rsidRDefault="007E338D" w:rsidP="00971B1E">
            <w:pPr>
              <w:pStyle w:val="tablebullet"/>
              <w:keepNext/>
              <w:numPr>
                <w:ilvl w:val="0"/>
                <w:numId w:val="0"/>
              </w:numPr>
              <w:ind w:left="170" w:hanging="170"/>
              <w:rPr>
                <w:b/>
                <w:bCs/>
              </w:rPr>
            </w:pPr>
            <w:r w:rsidRPr="008C714F">
              <w:rPr>
                <w:b/>
                <w:bCs/>
              </w:rPr>
              <w:t>In the 2024 Rules:</w:t>
            </w:r>
          </w:p>
        </w:tc>
      </w:tr>
      <w:tr w:rsidR="00C732DD" w:rsidRPr="00F33E1D" w14:paraId="1E41C4AB" w14:textId="77777777" w:rsidTr="00C732DD">
        <w:trPr>
          <w:cantSplit/>
        </w:trPr>
        <w:tc>
          <w:tcPr>
            <w:tcW w:w="2154" w:type="dxa"/>
            <w:tcBorders>
              <w:bottom w:val="nil"/>
            </w:tcBorders>
          </w:tcPr>
          <w:p w14:paraId="34B05C17" w14:textId="57A79B05" w:rsidR="00F33E1D" w:rsidRPr="00F33E1D" w:rsidRDefault="00F33E1D" w:rsidP="00971B1E">
            <w:pPr>
              <w:pStyle w:val="tbltext"/>
              <w:keepNext/>
              <w:spacing w:before="60"/>
              <w:ind w:left="170" w:hanging="170"/>
            </w:pPr>
            <w:r>
              <w:t>Exemption 2</w:t>
            </w:r>
            <w:r>
              <w:br/>
              <w:t>(Entity Information)</w:t>
            </w:r>
          </w:p>
        </w:tc>
        <w:tc>
          <w:tcPr>
            <w:tcW w:w="3061" w:type="dxa"/>
            <w:tcBorders>
              <w:bottom w:val="nil"/>
            </w:tcBorders>
          </w:tcPr>
          <w:p w14:paraId="6CC9BBF0" w14:textId="53F3038E" w:rsidR="00F33E1D" w:rsidRPr="00F33E1D" w:rsidRDefault="00F33E1D" w:rsidP="00971B1E">
            <w:pPr>
              <w:pStyle w:val="tablebullet"/>
              <w:keepNext/>
              <w:numPr>
                <w:ilvl w:val="0"/>
                <w:numId w:val="10"/>
              </w:numPr>
              <w:tabs>
                <w:tab w:val="num" w:pos="170"/>
              </w:tabs>
              <w:ind w:left="170" w:hanging="170"/>
            </w:pPr>
            <w:r>
              <w:t>entity identifiers where entity identifiers of certain types are applied for within two business days</w:t>
            </w:r>
          </w:p>
        </w:tc>
        <w:tc>
          <w:tcPr>
            <w:tcW w:w="3061" w:type="dxa"/>
            <w:tcBorders>
              <w:bottom w:val="nil"/>
            </w:tcBorders>
          </w:tcPr>
          <w:p w14:paraId="123BE15F" w14:textId="2CDC3847" w:rsidR="00F33E1D" w:rsidRPr="00F33E1D" w:rsidRDefault="00F33E1D" w:rsidP="00971B1E">
            <w:pPr>
              <w:pStyle w:val="tablebullet"/>
              <w:keepNext/>
              <w:numPr>
                <w:ilvl w:val="0"/>
                <w:numId w:val="10"/>
              </w:numPr>
              <w:tabs>
                <w:tab w:val="num" w:pos="170"/>
              </w:tabs>
              <w:ind w:left="170" w:hanging="170"/>
            </w:pPr>
            <w:r>
              <w:t>a form of the exemption is incorporated in S1.3.1(2)</w:t>
            </w:r>
          </w:p>
        </w:tc>
      </w:tr>
      <w:tr w:rsidR="00C732DD" w:rsidRPr="00F33E1D" w14:paraId="7B146D83" w14:textId="77777777" w:rsidTr="00C732DD">
        <w:trPr>
          <w:cantSplit/>
        </w:trPr>
        <w:tc>
          <w:tcPr>
            <w:tcW w:w="2154" w:type="dxa"/>
            <w:tcBorders>
              <w:top w:val="nil"/>
            </w:tcBorders>
          </w:tcPr>
          <w:p w14:paraId="4565E554" w14:textId="77777777" w:rsidR="002112FC" w:rsidRDefault="002112FC" w:rsidP="00F33E1D">
            <w:pPr>
              <w:pStyle w:val="tbltext"/>
              <w:spacing w:before="60"/>
              <w:ind w:left="170" w:hanging="170"/>
            </w:pPr>
          </w:p>
        </w:tc>
        <w:tc>
          <w:tcPr>
            <w:tcW w:w="3061" w:type="dxa"/>
            <w:tcBorders>
              <w:top w:val="nil"/>
            </w:tcBorders>
          </w:tcPr>
          <w:p w14:paraId="711BAFAA" w14:textId="55143BC3" w:rsidR="002112FC" w:rsidRDefault="002112FC" w:rsidP="00F33E1D">
            <w:pPr>
              <w:pStyle w:val="tablebullet"/>
              <w:numPr>
                <w:ilvl w:val="0"/>
                <w:numId w:val="10"/>
              </w:numPr>
              <w:tabs>
                <w:tab w:val="num" w:pos="170"/>
              </w:tabs>
              <w:ind w:left="170" w:hanging="170"/>
            </w:pPr>
            <w:r>
              <w:t>entity identifiers for certain types of foreign counterparties in transactions entered into by NZ registered banks</w:t>
            </w:r>
          </w:p>
        </w:tc>
        <w:tc>
          <w:tcPr>
            <w:tcW w:w="3061" w:type="dxa"/>
            <w:tcBorders>
              <w:top w:val="nil"/>
            </w:tcBorders>
          </w:tcPr>
          <w:p w14:paraId="4E2EF907" w14:textId="1278784D" w:rsidR="002112FC" w:rsidRDefault="00D03946" w:rsidP="00F33E1D">
            <w:pPr>
              <w:pStyle w:val="tablebullet"/>
              <w:numPr>
                <w:ilvl w:val="0"/>
                <w:numId w:val="10"/>
              </w:numPr>
              <w:tabs>
                <w:tab w:val="num" w:pos="170"/>
              </w:tabs>
              <w:ind w:left="170" w:hanging="170"/>
            </w:pPr>
            <w:r>
              <w:t>the rules no longer have the scope for which the exemption was required</w:t>
            </w:r>
          </w:p>
        </w:tc>
      </w:tr>
      <w:tr w:rsidR="00C732DD" w:rsidRPr="00F33E1D" w14:paraId="0BB177FF" w14:textId="77777777" w:rsidTr="00C732DD">
        <w:trPr>
          <w:cantSplit/>
        </w:trPr>
        <w:tc>
          <w:tcPr>
            <w:tcW w:w="2154" w:type="dxa"/>
          </w:tcPr>
          <w:p w14:paraId="04344D6F" w14:textId="6990BC34" w:rsidR="00D03946" w:rsidRDefault="00D03946" w:rsidP="00D03946">
            <w:pPr>
              <w:pStyle w:val="tbltext"/>
              <w:spacing w:before="60"/>
              <w:ind w:left="170" w:hanging="170"/>
            </w:pPr>
            <w:r>
              <w:t>Exemption 2A</w:t>
            </w:r>
            <w:r>
              <w:br/>
              <w:t>(Reference Entity Information)</w:t>
            </w:r>
          </w:p>
        </w:tc>
        <w:tc>
          <w:tcPr>
            <w:tcW w:w="3061" w:type="dxa"/>
          </w:tcPr>
          <w:p w14:paraId="658B5A56" w14:textId="46C613EC" w:rsidR="00D03946" w:rsidRDefault="00D03946" w:rsidP="00D03946">
            <w:pPr>
              <w:pStyle w:val="tablebullet"/>
              <w:numPr>
                <w:ilvl w:val="0"/>
                <w:numId w:val="10"/>
              </w:numPr>
              <w:tabs>
                <w:tab w:val="num" w:pos="170"/>
              </w:tabs>
              <w:ind w:left="170" w:hanging="170"/>
            </w:pPr>
            <w:r>
              <w:t>reference entity identifiers for certain types of credit derivatives where an identifier of a certain type is reported</w:t>
            </w:r>
          </w:p>
        </w:tc>
        <w:tc>
          <w:tcPr>
            <w:tcW w:w="3061" w:type="dxa"/>
          </w:tcPr>
          <w:p w14:paraId="2E158C3B" w14:textId="3687476F" w:rsidR="00D03946" w:rsidRDefault="00D03946" w:rsidP="00D03946">
            <w:pPr>
              <w:pStyle w:val="tablebullet"/>
              <w:numPr>
                <w:ilvl w:val="0"/>
                <w:numId w:val="10"/>
              </w:numPr>
              <w:tabs>
                <w:tab w:val="num" w:pos="170"/>
              </w:tabs>
              <w:ind w:left="170" w:hanging="170"/>
            </w:pPr>
            <w:r>
              <w:t>the rules no longer require reporting of reference entity identifiers</w:t>
            </w:r>
          </w:p>
        </w:tc>
      </w:tr>
      <w:tr w:rsidR="00C732DD" w:rsidRPr="00F33E1D" w14:paraId="1E5FFB17" w14:textId="77777777" w:rsidTr="00C732DD">
        <w:trPr>
          <w:cantSplit/>
        </w:trPr>
        <w:tc>
          <w:tcPr>
            <w:tcW w:w="2154" w:type="dxa"/>
          </w:tcPr>
          <w:p w14:paraId="0D3EAF20" w14:textId="29ADAD9C" w:rsidR="00D03946" w:rsidRDefault="00D03946" w:rsidP="00D03946">
            <w:pPr>
              <w:pStyle w:val="tbltext"/>
              <w:spacing w:before="60"/>
              <w:ind w:left="170" w:hanging="170"/>
            </w:pPr>
            <w:r>
              <w:t>Exemption 2B</w:t>
            </w:r>
            <w:r>
              <w:br/>
              <w:t>(Joint Counterparties)</w:t>
            </w:r>
          </w:p>
        </w:tc>
        <w:tc>
          <w:tcPr>
            <w:tcW w:w="3061" w:type="dxa"/>
          </w:tcPr>
          <w:p w14:paraId="38D117B9" w14:textId="7A3572B5" w:rsidR="00D03946" w:rsidRDefault="00D03946" w:rsidP="00D03946">
            <w:pPr>
              <w:pStyle w:val="tablebullet"/>
              <w:numPr>
                <w:ilvl w:val="0"/>
                <w:numId w:val="10"/>
              </w:numPr>
              <w:tabs>
                <w:tab w:val="num" w:pos="170"/>
              </w:tabs>
              <w:ind w:left="170" w:hanging="170"/>
            </w:pPr>
            <w:r>
              <w:t>entity identifiers for counterparties who have entered into transactions as joint or joint and several counterparties</w:t>
            </w:r>
          </w:p>
        </w:tc>
        <w:tc>
          <w:tcPr>
            <w:tcW w:w="3061" w:type="dxa"/>
          </w:tcPr>
          <w:p w14:paraId="4887D76B" w14:textId="5469A8DA" w:rsidR="00D03946" w:rsidRDefault="00D03946" w:rsidP="00D03946">
            <w:pPr>
              <w:pStyle w:val="tablebullet"/>
              <w:numPr>
                <w:ilvl w:val="0"/>
                <w:numId w:val="10"/>
              </w:numPr>
              <w:tabs>
                <w:tab w:val="num" w:pos="170"/>
              </w:tabs>
              <w:ind w:left="170" w:hanging="170"/>
            </w:pPr>
            <w:r>
              <w:t>the requirement for entity identifiers for joint or joint and several counterparties is set out in S1.3.1(2)</w:t>
            </w:r>
          </w:p>
        </w:tc>
      </w:tr>
      <w:tr w:rsidR="00C732DD" w:rsidRPr="00F33E1D" w14:paraId="130D9E8F" w14:textId="77777777" w:rsidTr="00C732DD">
        <w:trPr>
          <w:cantSplit/>
        </w:trPr>
        <w:tc>
          <w:tcPr>
            <w:tcW w:w="2154" w:type="dxa"/>
          </w:tcPr>
          <w:p w14:paraId="77101C55" w14:textId="7D71B7DA" w:rsidR="00D03946" w:rsidRDefault="00D03946" w:rsidP="00D03946">
            <w:pPr>
              <w:pStyle w:val="tbltext"/>
              <w:spacing w:before="60"/>
              <w:ind w:left="170" w:hanging="170"/>
            </w:pPr>
            <w:r>
              <w:t>Exemption 3</w:t>
            </w:r>
            <w:r>
              <w:br/>
              <w:t>(Name Information)</w:t>
            </w:r>
          </w:p>
        </w:tc>
        <w:tc>
          <w:tcPr>
            <w:tcW w:w="3061" w:type="dxa"/>
          </w:tcPr>
          <w:p w14:paraId="401BD513" w14:textId="159C2A3C" w:rsidR="00D03946" w:rsidRDefault="00D03946" w:rsidP="00D03946">
            <w:pPr>
              <w:pStyle w:val="tablebullet"/>
              <w:numPr>
                <w:ilvl w:val="0"/>
                <w:numId w:val="10"/>
              </w:numPr>
              <w:tabs>
                <w:tab w:val="num" w:pos="170"/>
              </w:tabs>
              <w:ind w:left="170" w:hanging="170"/>
            </w:pPr>
            <w:r>
              <w:t>entity name information where entity identifiers of certain types are reported</w:t>
            </w:r>
          </w:p>
        </w:tc>
        <w:tc>
          <w:tcPr>
            <w:tcW w:w="3061" w:type="dxa"/>
          </w:tcPr>
          <w:p w14:paraId="06CA1ED6" w14:textId="7DB50A72" w:rsidR="00D03946" w:rsidRDefault="00D03946" w:rsidP="00D03946">
            <w:pPr>
              <w:pStyle w:val="tablebullet"/>
              <w:numPr>
                <w:ilvl w:val="0"/>
                <w:numId w:val="10"/>
              </w:numPr>
              <w:tabs>
                <w:tab w:val="num" w:pos="170"/>
              </w:tabs>
              <w:ind w:left="170" w:hanging="170"/>
            </w:pPr>
            <w:r>
              <w:t>the rules no longer require reporting of name information</w:t>
            </w:r>
          </w:p>
        </w:tc>
      </w:tr>
      <w:tr w:rsidR="00C732DD" w:rsidRPr="00F33E1D" w14:paraId="7B1E490A" w14:textId="77777777" w:rsidTr="00C732DD">
        <w:trPr>
          <w:cantSplit/>
        </w:trPr>
        <w:tc>
          <w:tcPr>
            <w:tcW w:w="2154" w:type="dxa"/>
            <w:tcBorders>
              <w:bottom w:val="nil"/>
            </w:tcBorders>
          </w:tcPr>
          <w:p w14:paraId="655D9702" w14:textId="667460D2" w:rsidR="00E125FB" w:rsidRDefault="00E125FB" w:rsidP="00E125FB">
            <w:pPr>
              <w:pStyle w:val="tbltext"/>
              <w:spacing w:before="60"/>
              <w:ind w:left="170" w:hanging="170"/>
            </w:pPr>
            <w:r w:rsidRPr="007C61C2">
              <w:rPr>
                <w:bCs/>
              </w:rPr>
              <w:t>Exemption 7</w:t>
            </w:r>
            <w:r w:rsidRPr="007C61C2">
              <w:rPr>
                <w:bCs/>
              </w:rPr>
              <w:br/>
              <w:t>(Trade identifiers)</w:t>
            </w:r>
          </w:p>
        </w:tc>
        <w:tc>
          <w:tcPr>
            <w:tcW w:w="3061" w:type="dxa"/>
            <w:tcBorders>
              <w:bottom w:val="nil"/>
            </w:tcBorders>
          </w:tcPr>
          <w:p w14:paraId="52770F0D" w14:textId="57DE71F1" w:rsidR="00E125FB" w:rsidRDefault="00E125FB" w:rsidP="00E125FB">
            <w:pPr>
              <w:pStyle w:val="tablebullet"/>
              <w:numPr>
                <w:ilvl w:val="0"/>
                <w:numId w:val="10"/>
              </w:numPr>
              <w:tabs>
                <w:tab w:val="num" w:pos="170"/>
              </w:tabs>
              <w:ind w:left="170" w:hanging="170"/>
            </w:pPr>
            <w:proofErr w:type="spellStart"/>
            <w:r>
              <w:t>UTIs</w:t>
            </w:r>
            <w:proofErr w:type="spellEnd"/>
            <w:r>
              <w:t xml:space="preserve"> other than identifiers generated under foreign rules or by certain trading platforms or confirmation platforms</w:t>
            </w:r>
          </w:p>
        </w:tc>
        <w:tc>
          <w:tcPr>
            <w:tcW w:w="3061" w:type="dxa"/>
            <w:tcBorders>
              <w:bottom w:val="nil"/>
            </w:tcBorders>
          </w:tcPr>
          <w:p w14:paraId="3C895212" w14:textId="66F33052" w:rsidR="00E125FB" w:rsidRDefault="00E125FB" w:rsidP="00E125FB">
            <w:pPr>
              <w:pStyle w:val="tablebullet"/>
              <w:numPr>
                <w:ilvl w:val="0"/>
                <w:numId w:val="10"/>
              </w:numPr>
              <w:tabs>
                <w:tab w:val="num" w:pos="170"/>
              </w:tabs>
              <w:ind w:left="170" w:hanging="170"/>
            </w:pPr>
            <w:r>
              <w:t xml:space="preserve">the requirements for </w:t>
            </w:r>
            <w:proofErr w:type="spellStart"/>
            <w:r>
              <w:t>UTIs</w:t>
            </w:r>
            <w:proofErr w:type="spellEnd"/>
            <w:r>
              <w:t xml:space="preserve"> are set out in 2.2.9 and Tables S1.1(1)-(3)</w:t>
            </w:r>
          </w:p>
        </w:tc>
      </w:tr>
    </w:tbl>
    <w:p w14:paraId="6FA84DD6" w14:textId="77777777" w:rsidR="00D20A4B" w:rsidRPr="00D20A4B" w:rsidRDefault="00D20A4B" w:rsidP="00D20A4B">
      <w:pPr>
        <w:pStyle w:val="LI-BodyTextNumbered"/>
        <w:ind w:hanging="1134"/>
        <w:rPr>
          <w:u w:val="single"/>
        </w:rPr>
      </w:pPr>
      <w:r w:rsidRPr="00D20A4B">
        <w:rPr>
          <w:u w:val="single"/>
        </w:rPr>
        <w:t>Incorporation by reference</w:t>
      </w:r>
    </w:p>
    <w:p w14:paraId="20F967EC" w14:textId="1708DD36" w:rsidR="00D75204" w:rsidRDefault="00D55E2D" w:rsidP="002E110A">
      <w:pPr>
        <w:pStyle w:val="LI-BodyTextParaa"/>
        <w:numPr>
          <w:ilvl w:val="0"/>
          <w:numId w:val="3"/>
        </w:numPr>
      </w:pPr>
      <w:r w:rsidRPr="00D75204">
        <w:rPr>
          <w:bCs/>
        </w:rPr>
        <w:t>This instrument incorporates by reference</w:t>
      </w:r>
      <w:r w:rsidR="00201E59" w:rsidRPr="00D75204">
        <w:rPr>
          <w:bCs/>
        </w:rPr>
        <w:t xml:space="preserve"> certain</w:t>
      </w:r>
      <w:r w:rsidR="0036038C" w:rsidRPr="00360CFD">
        <w:rPr>
          <w:bCs/>
        </w:rPr>
        <w:t xml:space="preserve"> </w:t>
      </w:r>
      <w:r w:rsidR="00842B69" w:rsidRPr="00D75204">
        <w:t>International Organization for Standardization</w:t>
      </w:r>
      <w:r w:rsidR="00276225" w:rsidRPr="00D75204">
        <w:t xml:space="preserve"> (</w:t>
      </w:r>
      <w:r w:rsidR="00276225" w:rsidRPr="00D74842">
        <w:rPr>
          <w:b/>
          <w:bCs/>
        </w:rPr>
        <w:t>ISO</w:t>
      </w:r>
      <w:r w:rsidR="00276225" w:rsidRPr="00D75204">
        <w:t>) standards</w:t>
      </w:r>
      <w:r w:rsidR="00B94853" w:rsidRPr="00D75204">
        <w:t xml:space="preserve">. </w:t>
      </w:r>
      <w:r w:rsidR="007D619B" w:rsidRPr="00D75204">
        <w:t>Certain</w:t>
      </w:r>
      <w:r w:rsidR="001701B5">
        <w:t xml:space="preserve"> derivative transaction information</w:t>
      </w:r>
      <w:r w:rsidR="007D619B" w:rsidRPr="000E27E0">
        <w:t xml:space="preserve"> </w:t>
      </w:r>
      <w:r w:rsidR="00201E59" w:rsidRPr="00035854">
        <w:t>is</w:t>
      </w:r>
      <w:r w:rsidR="00201E59" w:rsidRPr="009E038E">
        <w:t xml:space="preserve"> required to be reported in the </w:t>
      </w:r>
      <w:r w:rsidR="005749AA" w:rsidRPr="00A16257">
        <w:t xml:space="preserve">format </w:t>
      </w:r>
      <w:r w:rsidR="005749AA" w:rsidRPr="00FF2F66">
        <w:t xml:space="preserve">and structure specified in the referenced </w:t>
      </w:r>
      <w:r w:rsidR="00BB65FB" w:rsidRPr="00916D22">
        <w:t xml:space="preserve">ISO standard. </w:t>
      </w:r>
      <w:r w:rsidR="00DE6871" w:rsidRPr="00D75204">
        <w:t>Certain</w:t>
      </w:r>
      <w:r w:rsidR="001701B5">
        <w:t xml:space="preserve"> derivative transaction information</w:t>
      </w:r>
      <w:r w:rsidR="00DE6871" w:rsidRPr="000E27E0">
        <w:t xml:space="preserve"> </w:t>
      </w:r>
      <w:r w:rsidR="00DE6871" w:rsidRPr="00122099">
        <w:t xml:space="preserve">is </w:t>
      </w:r>
      <w:r w:rsidR="00DE6871">
        <w:t xml:space="preserve">also </w:t>
      </w:r>
      <w:r w:rsidR="00DE6871" w:rsidRPr="00122099">
        <w:t xml:space="preserve">required to be reported </w:t>
      </w:r>
      <w:r w:rsidR="001E6C1B">
        <w:t xml:space="preserve">as a value that is created </w:t>
      </w:r>
      <w:r w:rsidR="00B87790">
        <w:t xml:space="preserve">or issued </w:t>
      </w:r>
      <w:r w:rsidR="001E6C1B">
        <w:t xml:space="preserve">and maintained under </w:t>
      </w:r>
      <w:r w:rsidR="00777BBF">
        <w:t xml:space="preserve">the referenced ISO standard. </w:t>
      </w:r>
      <w:r w:rsidR="00BB65FB" w:rsidRPr="00DE6871">
        <w:t>The</w:t>
      </w:r>
      <w:r w:rsidR="00BB65FB" w:rsidRPr="001E6C1B">
        <w:t>se standards are:</w:t>
      </w:r>
    </w:p>
    <w:p w14:paraId="45F87433" w14:textId="77777777" w:rsidR="00296771" w:rsidRDefault="00296771" w:rsidP="00296771">
      <w:pPr>
        <w:pStyle w:val="LI-BodyTextParaa"/>
        <w:numPr>
          <w:ilvl w:val="1"/>
          <w:numId w:val="3"/>
        </w:numPr>
      </w:pPr>
      <w:r>
        <w:t xml:space="preserve">ISO 3166 Country </w:t>
      </w:r>
      <w:proofErr w:type="gramStart"/>
      <w:r>
        <w:t>Codes;</w:t>
      </w:r>
      <w:proofErr w:type="gramEnd"/>
    </w:p>
    <w:p w14:paraId="32D78613" w14:textId="77777777" w:rsidR="00296771" w:rsidRDefault="00296771" w:rsidP="00296771">
      <w:pPr>
        <w:pStyle w:val="LI-BodyTextParaa"/>
        <w:numPr>
          <w:ilvl w:val="1"/>
          <w:numId w:val="3"/>
        </w:numPr>
      </w:pPr>
      <w:r>
        <w:t>ISO 4217 Codes for the representation of currencies.</w:t>
      </w:r>
    </w:p>
    <w:p w14:paraId="337E5EFB" w14:textId="77777777" w:rsidR="00296771" w:rsidRDefault="00296771" w:rsidP="00296771">
      <w:pPr>
        <w:pStyle w:val="LI-BodyTextParaa"/>
        <w:numPr>
          <w:ilvl w:val="1"/>
          <w:numId w:val="3"/>
        </w:numPr>
      </w:pPr>
      <w:r>
        <w:t>ISO 4914 Financial services — Unique product identifier (UPI</w:t>
      </w:r>
      <w:proofErr w:type="gramStart"/>
      <w:r>
        <w:t>);</w:t>
      </w:r>
      <w:proofErr w:type="gramEnd"/>
    </w:p>
    <w:p w14:paraId="56C384BE" w14:textId="77777777" w:rsidR="00296771" w:rsidRDefault="00296771" w:rsidP="00296771">
      <w:pPr>
        <w:pStyle w:val="LI-BodyTextParaa"/>
        <w:numPr>
          <w:ilvl w:val="1"/>
          <w:numId w:val="3"/>
        </w:numPr>
      </w:pPr>
      <w:r>
        <w:t xml:space="preserve">ISO 6166 </w:t>
      </w:r>
      <w:r w:rsidRPr="00823018">
        <w:t>Financial services — International securities identification number (</w:t>
      </w:r>
      <w:proofErr w:type="spellStart"/>
      <w:r w:rsidRPr="00823018">
        <w:t>ISIN</w:t>
      </w:r>
      <w:proofErr w:type="spellEnd"/>
      <w:proofErr w:type="gramStart"/>
      <w:r w:rsidRPr="00823018">
        <w:t>)</w:t>
      </w:r>
      <w:r>
        <w:t>;</w:t>
      </w:r>
      <w:proofErr w:type="gramEnd"/>
    </w:p>
    <w:p w14:paraId="28F3FC78" w14:textId="6C6D0916" w:rsidR="00296771" w:rsidRDefault="00296771" w:rsidP="00296771">
      <w:pPr>
        <w:pStyle w:val="LI-BodyTextParaa"/>
        <w:numPr>
          <w:ilvl w:val="1"/>
          <w:numId w:val="3"/>
        </w:numPr>
      </w:pPr>
      <w:r>
        <w:t xml:space="preserve">ISO 8601 Date and time — Representations for information </w:t>
      </w:r>
      <w:proofErr w:type="gramStart"/>
      <w:r>
        <w:t>interchange;</w:t>
      </w:r>
      <w:proofErr w:type="gramEnd"/>
    </w:p>
    <w:p w14:paraId="5AF1FBDE" w14:textId="77777777" w:rsidR="00296771" w:rsidRDefault="00296771" w:rsidP="00296771">
      <w:pPr>
        <w:pStyle w:val="LI-BodyTextParaa"/>
        <w:numPr>
          <w:ilvl w:val="1"/>
          <w:numId w:val="3"/>
        </w:numPr>
      </w:pPr>
      <w:r>
        <w:t>ISO 9362 Banking — Banking telecommunication messages — Business identifier code (BIC</w:t>
      </w:r>
      <w:proofErr w:type="gramStart"/>
      <w:r>
        <w:t>);</w:t>
      </w:r>
      <w:proofErr w:type="gramEnd"/>
    </w:p>
    <w:p w14:paraId="256B9E39" w14:textId="77777777" w:rsidR="00296771" w:rsidRDefault="00296771" w:rsidP="00296771">
      <w:pPr>
        <w:pStyle w:val="LI-BodyTextParaa"/>
        <w:numPr>
          <w:ilvl w:val="1"/>
          <w:numId w:val="3"/>
        </w:numPr>
      </w:pPr>
      <w:r w:rsidRPr="006D2AD5">
        <w:lastRenderedPageBreak/>
        <w:t xml:space="preserve">ISO 10383 Securities and </w:t>
      </w:r>
      <w:r>
        <w:t>r</w:t>
      </w:r>
      <w:r w:rsidRPr="006D2AD5">
        <w:t xml:space="preserve">elated </w:t>
      </w:r>
      <w:r>
        <w:t>f</w:t>
      </w:r>
      <w:r w:rsidRPr="006D2AD5">
        <w:t xml:space="preserve">inancial Instruments — Codes for </w:t>
      </w:r>
      <w:r>
        <w:t>e</w:t>
      </w:r>
      <w:r w:rsidRPr="006D2AD5">
        <w:t xml:space="preserve">xchanges and </w:t>
      </w:r>
      <w:r>
        <w:t>m</w:t>
      </w:r>
      <w:r w:rsidRPr="006D2AD5">
        <w:t xml:space="preserve">arket </w:t>
      </w:r>
      <w:proofErr w:type="gramStart"/>
      <w:r w:rsidRPr="006D2AD5">
        <w:t>Identification</w:t>
      </w:r>
      <w:r>
        <w:t>;</w:t>
      </w:r>
      <w:proofErr w:type="gramEnd"/>
    </w:p>
    <w:p w14:paraId="7C415189" w14:textId="4A1B1118" w:rsidR="00D75204" w:rsidRDefault="009B2D37" w:rsidP="002E110A">
      <w:pPr>
        <w:pStyle w:val="LI-BodyTextParaa"/>
        <w:numPr>
          <w:ilvl w:val="1"/>
          <w:numId w:val="3"/>
        </w:numPr>
      </w:pPr>
      <w:r>
        <w:t xml:space="preserve">ISO 17442 </w:t>
      </w:r>
      <w:r w:rsidR="00035854">
        <w:t>Financial services</w:t>
      </w:r>
      <w:r w:rsidR="00006510">
        <w:t xml:space="preserve"> </w:t>
      </w:r>
      <w:r w:rsidR="009D6496">
        <w:t>—</w:t>
      </w:r>
      <w:r w:rsidR="00006510">
        <w:t xml:space="preserve"> </w:t>
      </w:r>
      <w:r w:rsidR="00360CFD">
        <w:t>Legal entity identifier (LEI</w:t>
      </w:r>
      <w:proofErr w:type="gramStart"/>
      <w:r w:rsidR="00360CFD">
        <w:t>)</w:t>
      </w:r>
      <w:r w:rsidR="00751143">
        <w:t>;</w:t>
      </w:r>
      <w:proofErr w:type="gramEnd"/>
    </w:p>
    <w:p w14:paraId="53E18BD7" w14:textId="6F5B9259" w:rsidR="004C4E15" w:rsidRDefault="004C4E15" w:rsidP="002E110A">
      <w:pPr>
        <w:pStyle w:val="LI-BodyTextParaa"/>
        <w:numPr>
          <w:ilvl w:val="1"/>
          <w:numId w:val="3"/>
        </w:numPr>
      </w:pPr>
      <w:r w:rsidRPr="004C4E15">
        <w:t xml:space="preserve">ISO 20022 Financial services </w:t>
      </w:r>
      <w:r w:rsidR="00937C11">
        <w:t>—</w:t>
      </w:r>
      <w:r w:rsidRPr="004C4E15">
        <w:t xml:space="preserve"> Universal financial message scheme</w:t>
      </w:r>
      <w:r>
        <w:t>;</w:t>
      </w:r>
      <w:r w:rsidR="00D72044">
        <w:t xml:space="preserve"> and</w:t>
      </w:r>
    </w:p>
    <w:p w14:paraId="15A2FD59" w14:textId="0B6BB391" w:rsidR="00751143" w:rsidRDefault="00BA1C66" w:rsidP="002E110A">
      <w:pPr>
        <w:pStyle w:val="LI-BodyTextParaa"/>
        <w:numPr>
          <w:ilvl w:val="1"/>
          <w:numId w:val="3"/>
        </w:numPr>
      </w:pPr>
      <w:r>
        <w:t>ISO 23</w:t>
      </w:r>
      <w:r w:rsidR="00C13F0A">
        <w:t xml:space="preserve">897 </w:t>
      </w:r>
      <w:r w:rsidR="00006510">
        <w:t xml:space="preserve">Financial services </w:t>
      </w:r>
      <w:r w:rsidR="009D6496">
        <w:t>—</w:t>
      </w:r>
      <w:r w:rsidR="00006510">
        <w:t xml:space="preserve"> </w:t>
      </w:r>
      <w:r w:rsidR="00C13F0A">
        <w:t>Unique transaction identifier (</w:t>
      </w:r>
      <w:proofErr w:type="spellStart"/>
      <w:r w:rsidR="000E16D4">
        <w:t>UTI</w:t>
      </w:r>
      <w:proofErr w:type="spellEnd"/>
      <w:proofErr w:type="gramStart"/>
      <w:r w:rsidR="000E16D4">
        <w:t>);</w:t>
      </w:r>
      <w:proofErr w:type="gramEnd"/>
    </w:p>
    <w:p w14:paraId="591FB3DE" w14:textId="01D91B5F" w:rsidR="00BA3A09" w:rsidRDefault="00214EEA" w:rsidP="00BA3A09">
      <w:pPr>
        <w:pStyle w:val="LI-BodyTextParaa"/>
        <w:ind w:left="567" w:firstLine="0"/>
      </w:pPr>
      <w:r>
        <w:t xml:space="preserve">These ISO standards are available </w:t>
      </w:r>
      <w:r w:rsidR="00C02736">
        <w:t xml:space="preserve">on the website maintained by ISO at </w:t>
      </w:r>
      <w:hyperlink r:id="rId24" w:history="1">
        <w:r w:rsidR="00A03305" w:rsidRPr="00A03305">
          <w:rPr>
            <w:rStyle w:val="Hyperlink"/>
          </w:rPr>
          <w:t>https://www.iso.org/home.html</w:t>
        </w:r>
      </w:hyperlink>
      <w:r w:rsidR="002B7A4C">
        <w:t>.</w:t>
      </w:r>
    </w:p>
    <w:p w14:paraId="1267A86E" w14:textId="3044879D" w:rsidR="00DA02A5" w:rsidRDefault="00DA02A5" w:rsidP="00581F49">
      <w:pPr>
        <w:pStyle w:val="LI-BodyTextParaa"/>
        <w:numPr>
          <w:ilvl w:val="0"/>
          <w:numId w:val="3"/>
        </w:numPr>
      </w:pPr>
      <w:r>
        <w:rPr>
          <w:bCs/>
        </w:rPr>
        <w:t xml:space="preserve">This instrument complies with section 14 of the </w:t>
      </w:r>
      <w:r>
        <w:rPr>
          <w:bCs/>
          <w:i/>
          <w:iCs/>
        </w:rPr>
        <w:t>Legislation Act 2003</w:t>
      </w:r>
      <w:r>
        <w:rPr>
          <w:bCs/>
        </w:rPr>
        <w:t>.</w:t>
      </w:r>
      <w:r w:rsidR="00510BFA">
        <w:rPr>
          <w:bCs/>
        </w:rPr>
        <w:t xml:space="preserve"> </w:t>
      </w:r>
      <w:r w:rsidR="00951F4D">
        <w:rPr>
          <w:bCs/>
        </w:rPr>
        <w:t>Under s</w:t>
      </w:r>
      <w:r w:rsidR="002D3772">
        <w:rPr>
          <w:bCs/>
        </w:rPr>
        <w:t>ubsection 907B(2) of the Corporations Act</w:t>
      </w:r>
      <w:r w:rsidR="00951F4D">
        <w:rPr>
          <w:bCs/>
        </w:rPr>
        <w:t>, the 2024 Rules</w:t>
      </w:r>
      <w:r w:rsidR="00B44E23">
        <w:rPr>
          <w:bCs/>
        </w:rPr>
        <w:t xml:space="preserve"> </w:t>
      </w:r>
      <w:r w:rsidR="00EB1F98">
        <w:rPr>
          <w:bCs/>
        </w:rPr>
        <w:t>may incorporate any matter con</w:t>
      </w:r>
      <w:r w:rsidR="00BE1104">
        <w:rPr>
          <w:bCs/>
        </w:rPr>
        <w:t xml:space="preserve">tained in a writing as in force or existing from time to time and subsection 907B(3) </w:t>
      </w:r>
      <w:r w:rsidR="00951F4D">
        <w:rPr>
          <w:bCs/>
        </w:rPr>
        <w:t>provide</w:t>
      </w:r>
      <w:r w:rsidR="00792496">
        <w:rPr>
          <w:bCs/>
        </w:rPr>
        <w:t xml:space="preserve"> that subsection (2) has effect despite subsection 14(2) of the </w:t>
      </w:r>
      <w:r w:rsidR="00223EA7" w:rsidRPr="00661078">
        <w:rPr>
          <w:bCs/>
          <w:i/>
          <w:iCs/>
        </w:rPr>
        <w:t>Legislation Act 2003</w:t>
      </w:r>
      <w:r w:rsidR="00223EA7">
        <w:rPr>
          <w:bCs/>
        </w:rPr>
        <w:t>.</w:t>
      </w:r>
    </w:p>
    <w:p w14:paraId="55F6DF8D" w14:textId="192CAF0C" w:rsidR="00C52E7C" w:rsidRPr="00C52E7C" w:rsidRDefault="00C52E7C" w:rsidP="00863657">
      <w:pPr>
        <w:pStyle w:val="LI-BodyTextParaa"/>
        <w:ind w:left="567"/>
        <w:rPr>
          <w:u w:val="single"/>
        </w:rPr>
      </w:pPr>
      <w:r>
        <w:rPr>
          <w:u w:val="single"/>
        </w:rPr>
        <w:t xml:space="preserve">Legislative instrument </w:t>
      </w:r>
      <w:r w:rsidR="00610709">
        <w:rPr>
          <w:u w:val="single"/>
        </w:rPr>
        <w:t xml:space="preserve">and </w:t>
      </w:r>
      <w:r>
        <w:rPr>
          <w:u w:val="single"/>
        </w:rPr>
        <w:t>p</w:t>
      </w:r>
      <w:r w:rsidRPr="00C52E7C">
        <w:rPr>
          <w:u w:val="single"/>
        </w:rPr>
        <w:t>rimary legislation</w:t>
      </w:r>
    </w:p>
    <w:p w14:paraId="43E6D093" w14:textId="77777777" w:rsidR="003D3E1D" w:rsidRPr="00E950BE" w:rsidRDefault="003D3E1D" w:rsidP="002E110A">
      <w:pPr>
        <w:pStyle w:val="LI-BodyTextParaa"/>
        <w:numPr>
          <w:ilvl w:val="0"/>
          <w:numId w:val="3"/>
        </w:numPr>
        <w:rPr>
          <w:bCs/>
        </w:rPr>
      </w:pPr>
      <w:bookmarkStart w:id="34" w:name="_Hlk95918436"/>
      <w:bookmarkEnd w:id="5"/>
      <w:r w:rsidRPr="00E950BE">
        <w:rPr>
          <w:bCs/>
        </w:rPr>
        <w:t>The</w:t>
      </w:r>
      <w:r>
        <w:rPr>
          <w:bCs/>
        </w:rPr>
        <w:t xml:space="preserve"> </w:t>
      </w:r>
      <w:r w:rsidRPr="00E950BE">
        <w:rPr>
          <w:bCs/>
        </w:rPr>
        <w:t>subject</w:t>
      </w:r>
      <w:r>
        <w:rPr>
          <w:bCs/>
        </w:rPr>
        <w:t xml:space="preserve"> </w:t>
      </w:r>
      <w:r w:rsidRPr="00E950BE">
        <w:rPr>
          <w:bCs/>
        </w:rPr>
        <w:t>matter</w:t>
      </w:r>
      <w:r>
        <w:rPr>
          <w:bCs/>
        </w:rPr>
        <w:t xml:space="preserve"> </w:t>
      </w:r>
      <w:r w:rsidRPr="00E950BE">
        <w:rPr>
          <w:bCs/>
        </w:rPr>
        <w:t>and</w:t>
      </w:r>
      <w:r>
        <w:rPr>
          <w:bCs/>
        </w:rPr>
        <w:t xml:space="preserve"> </w:t>
      </w:r>
      <w:r w:rsidRPr="00E950BE">
        <w:rPr>
          <w:bCs/>
        </w:rPr>
        <w:t>policy</w:t>
      </w:r>
      <w:r>
        <w:rPr>
          <w:bCs/>
        </w:rPr>
        <w:t xml:space="preserve"> </w:t>
      </w:r>
      <w:r w:rsidRPr="00E950BE">
        <w:rPr>
          <w:bCs/>
        </w:rPr>
        <w:t>implemented</w:t>
      </w:r>
      <w:r>
        <w:rPr>
          <w:bCs/>
        </w:rPr>
        <w:t xml:space="preserve"> </w:t>
      </w:r>
      <w:r w:rsidRPr="00E950BE">
        <w:rPr>
          <w:bCs/>
        </w:rPr>
        <w:t>by</w:t>
      </w:r>
      <w:r>
        <w:rPr>
          <w:bCs/>
        </w:rPr>
        <w:t xml:space="preserve"> </w:t>
      </w:r>
      <w:r w:rsidRPr="00E950BE">
        <w:rPr>
          <w:bCs/>
        </w:rPr>
        <w:t>this</w:t>
      </w:r>
      <w:r>
        <w:rPr>
          <w:bCs/>
        </w:rPr>
        <w:t xml:space="preserve"> </w:t>
      </w:r>
      <w:r w:rsidRPr="00E950BE">
        <w:rPr>
          <w:bCs/>
        </w:rPr>
        <w:t>instrument</w:t>
      </w:r>
      <w:r>
        <w:rPr>
          <w:bCs/>
        </w:rPr>
        <w:t xml:space="preserve"> </w:t>
      </w:r>
      <w:r w:rsidRPr="00E950BE">
        <w:rPr>
          <w:bCs/>
        </w:rPr>
        <w:t>is</w:t>
      </w:r>
      <w:r>
        <w:rPr>
          <w:bCs/>
        </w:rPr>
        <w:t xml:space="preserve"> </w:t>
      </w:r>
      <w:r w:rsidRPr="00E950BE">
        <w:rPr>
          <w:bCs/>
        </w:rPr>
        <w:t>more</w:t>
      </w:r>
      <w:r>
        <w:rPr>
          <w:bCs/>
        </w:rPr>
        <w:t xml:space="preserve"> </w:t>
      </w:r>
      <w:r w:rsidRPr="00E950BE">
        <w:rPr>
          <w:bCs/>
        </w:rPr>
        <w:t>appropriate</w:t>
      </w:r>
      <w:r>
        <w:rPr>
          <w:bCs/>
        </w:rPr>
        <w:t xml:space="preserve"> </w:t>
      </w:r>
      <w:r w:rsidRPr="00E950BE">
        <w:rPr>
          <w:bCs/>
        </w:rPr>
        <w:t>for</w:t>
      </w:r>
      <w:r>
        <w:rPr>
          <w:bCs/>
        </w:rPr>
        <w:t xml:space="preserve"> </w:t>
      </w:r>
      <w:r w:rsidRPr="00E950BE">
        <w:rPr>
          <w:bCs/>
        </w:rPr>
        <w:t>a</w:t>
      </w:r>
      <w:r>
        <w:rPr>
          <w:bCs/>
        </w:rPr>
        <w:t xml:space="preserve"> </w:t>
      </w:r>
      <w:r w:rsidRPr="00E950BE">
        <w:rPr>
          <w:bCs/>
        </w:rPr>
        <w:t>legislative</w:t>
      </w:r>
      <w:r>
        <w:rPr>
          <w:bCs/>
        </w:rPr>
        <w:t xml:space="preserve"> </w:t>
      </w:r>
      <w:r w:rsidRPr="00E950BE">
        <w:rPr>
          <w:bCs/>
        </w:rPr>
        <w:t>instrument</w:t>
      </w:r>
      <w:r>
        <w:rPr>
          <w:bCs/>
        </w:rPr>
        <w:t xml:space="preserve"> </w:t>
      </w:r>
      <w:r w:rsidRPr="00E950BE">
        <w:rPr>
          <w:bCs/>
        </w:rPr>
        <w:t>rather</w:t>
      </w:r>
      <w:r>
        <w:rPr>
          <w:bCs/>
        </w:rPr>
        <w:t xml:space="preserve"> </w:t>
      </w:r>
      <w:r w:rsidRPr="00E950BE">
        <w:rPr>
          <w:bCs/>
        </w:rPr>
        <w:t>than</w:t>
      </w:r>
      <w:r>
        <w:rPr>
          <w:bCs/>
        </w:rPr>
        <w:t xml:space="preserve"> </w:t>
      </w:r>
      <w:r w:rsidRPr="00E950BE">
        <w:rPr>
          <w:bCs/>
        </w:rPr>
        <w:t>primary</w:t>
      </w:r>
      <w:r>
        <w:rPr>
          <w:bCs/>
        </w:rPr>
        <w:t xml:space="preserve"> </w:t>
      </w:r>
      <w:r w:rsidRPr="00E950BE">
        <w:rPr>
          <w:bCs/>
        </w:rPr>
        <w:t>legislation</w:t>
      </w:r>
      <w:r>
        <w:rPr>
          <w:bCs/>
        </w:rPr>
        <w:t xml:space="preserve"> </w:t>
      </w:r>
      <w:r w:rsidRPr="00E950BE">
        <w:rPr>
          <w:bCs/>
        </w:rPr>
        <w:t>because:</w:t>
      </w:r>
      <w:bookmarkEnd w:id="34"/>
    </w:p>
    <w:p w14:paraId="08DC74D7" w14:textId="24724FA7" w:rsidR="003D3E1D" w:rsidRPr="00E950BE" w:rsidRDefault="00A3677C" w:rsidP="002E110A">
      <w:pPr>
        <w:pStyle w:val="LI-BodyTextParaa"/>
        <w:numPr>
          <w:ilvl w:val="1"/>
          <w:numId w:val="19"/>
        </w:numPr>
        <w:rPr>
          <w:bCs/>
        </w:rPr>
      </w:pPr>
      <w:r>
        <w:rPr>
          <w:bCs/>
        </w:rPr>
        <w:t>t</w:t>
      </w:r>
      <w:r w:rsidR="003D3E1D" w:rsidRPr="00E950BE">
        <w:rPr>
          <w:bCs/>
        </w:rPr>
        <w:t>he</w:t>
      </w:r>
      <w:r w:rsidR="003D3E1D">
        <w:rPr>
          <w:bCs/>
        </w:rPr>
        <w:t xml:space="preserve"> 2024 </w:t>
      </w:r>
      <w:r w:rsidR="003D3E1D" w:rsidRPr="00E950BE">
        <w:rPr>
          <w:bCs/>
        </w:rPr>
        <w:t>Rules</w:t>
      </w:r>
      <w:r w:rsidR="003D3E1D">
        <w:rPr>
          <w:bCs/>
        </w:rPr>
        <w:t xml:space="preserve"> </w:t>
      </w:r>
      <w:r w:rsidR="003D3E1D" w:rsidRPr="00E950BE">
        <w:rPr>
          <w:bCs/>
        </w:rPr>
        <w:t>are</w:t>
      </w:r>
      <w:r w:rsidR="003D3E1D">
        <w:rPr>
          <w:bCs/>
        </w:rPr>
        <w:t xml:space="preserve"> </w:t>
      </w:r>
      <w:r w:rsidR="003D3E1D" w:rsidRPr="00E950BE">
        <w:rPr>
          <w:bCs/>
        </w:rPr>
        <w:t>made</w:t>
      </w:r>
      <w:r w:rsidR="003D3E1D">
        <w:rPr>
          <w:bCs/>
        </w:rPr>
        <w:t xml:space="preserve"> </w:t>
      </w:r>
      <w:r w:rsidR="003D3E1D" w:rsidRPr="00E950BE">
        <w:rPr>
          <w:bCs/>
        </w:rPr>
        <w:t>by</w:t>
      </w:r>
      <w:r w:rsidR="003D3E1D">
        <w:rPr>
          <w:bCs/>
        </w:rPr>
        <w:t xml:space="preserve"> </w:t>
      </w:r>
      <w:r w:rsidR="003D3E1D" w:rsidRPr="00E950BE">
        <w:rPr>
          <w:bCs/>
        </w:rPr>
        <w:t>ASIC</w:t>
      </w:r>
      <w:r w:rsidR="003D3E1D">
        <w:rPr>
          <w:bCs/>
        </w:rPr>
        <w:t xml:space="preserve"> </w:t>
      </w:r>
      <w:r w:rsidR="003D3E1D" w:rsidRPr="00E950BE">
        <w:rPr>
          <w:bCs/>
        </w:rPr>
        <w:t>utilising</w:t>
      </w:r>
      <w:r w:rsidR="003D3E1D">
        <w:rPr>
          <w:bCs/>
        </w:rPr>
        <w:t xml:space="preserve"> </w:t>
      </w:r>
      <w:r w:rsidR="003D3E1D" w:rsidRPr="00E950BE">
        <w:rPr>
          <w:bCs/>
        </w:rPr>
        <w:t>powers</w:t>
      </w:r>
      <w:r w:rsidR="003D3E1D">
        <w:rPr>
          <w:bCs/>
        </w:rPr>
        <w:t xml:space="preserve"> </w:t>
      </w:r>
      <w:r w:rsidR="003D3E1D" w:rsidRPr="00E950BE">
        <w:rPr>
          <w:bCs/>
        </w:rPr>
        <w:t>given</w:t>
      </w:r>
      <w:r w:rsidR="003D3E1D">
        <w:rPr>
          <w:bCs/>
        </w:rPr>
        <w:t xml:space="preserve"> </w:t>
      </w:r>
      <w:r w:rsidR="003D3E1D" w:rsidRPr="00E950BE">
        <w:rPr>
          <w:bCs/>
        </w:rPr>
        <w:t>by</w:t>
      </w:r>
      <w:r w:rsidR="003D3E1D">
        <w:rPr>
          <w:bCs/>
        </w:rPr>
        <w:t xml:space="preserve"> </w:t>
      </w:r>
      <w:r w:rsidR="003D3E1D" w:rsidRPr="00E950BE">
        <w:rPr>
          <w:bCs/>
        </w:rPr>
        <w:t>Parliament</w:t>
      </w:r>
      <w:r w:rsidR="003D3E1D">
        <w:rPr>
          <w:bCs/>
        </w:rPr>
        <w:t xml:space="preserve"> </w:t>
      </w:r>
      <w:r w:rsidR="003D3E1D" w:rsidRPr="00E950BE">
        <w:rPr>
          <w:bCs/>
        </w:rPr>
        <w:t>to</w:t>
      </w:r>
      <w:r w:rsidR="003D3E1D">
        <w:rPr>
          <w:bCs/>
        </w:rPr>
        <w:t xml:space="preserve"> </w:t>
      </w:r>
      <w:r w:rsidR="003D3E1D" w:rsidRPr="00E950BE">
        <w:rPr>
          <w:bCs/>
        </w:rPr>
        <w:t>ASIC</w:t>
      </w:r>
      <w:r w:rsidR="003D3E1D">
        <w:rPr>
          <w:bCs/>
        </w:rPr>
        <w:t xml:space="preserve"> </w:t>
      </w:r>
      <w:r w:rsidR="003D3E1D" w:rsidRPr="00E950BE">
        <w:rPr>
          <w:bCs/>
        </w:rPr>
        <w:t>that</w:t>
      </w:r>
      <w:r w:rsidR="003D3E1D">
        <w:rPr>
          <w:bCs/>
        </w:rPr>
        <w:t xml:space="preserve"> </w:t>
      </w:r>
      <w:r w:rsidR="003D3E1D" w:rsidRPr="00E950BE">
        <w:rPr>
          <w:bCs/>
        </w:rPr>
        <w:t>allow</w:t>
      </w:r>
      <w:r w:rsidR="003D3E1D">
        <w:rPr>
          <w:bCs/>
        </w:rPr>
        <w:t xml:space="preserve"> </w:t>
      </w:r>
      <w:r w:rsidR="003D3E1D" w:rsidRPr="00E950BE">
        <w:rPr>
          <w:bCs/>
        </w:rPr>
        <w:t>ASIC</w:t>
      </w:r>
      <w:r w:rsidR="003D3E1D">
        <w:rPr>
          <w:bCs/>
        </w:rPr>
        <w:t xml:space="preserve"> </w:t>
      </w:r>
      <w:r w:rsidR="003D3E1D" w:rsidRPr="00E950BE">
        <w:rPr>
          <w:bCs/>
        </w:rPr>
        <w:t>to</w:t>
      </w:r>
      <w:r w:rsidR="003D3E1D">
        <w:rPr>
          <w:bCs/>
        </w:rPr>
        <w:t xml:space="preserve"> </w:t>
      </w:r>
      <w:r w:rsidR="003D3E1D" w:rsidRPr="00E950BE">
        <w:rPr>
          <w:bCs/>
        </w:rPr>
        <w:t>make</w:t>
      </w:r>
      <w:r w:rsidR="003D3E1D">
        <w:rPr>
          <w:bCs/>
        </w:rPr>
        <w:t xml:space="preserve"> derivative transaction </w:t>
      </w:r>
      <w:r w:rsidR="003D3E1D" w:rsidRPr="00E950BE">
        <w:rPr>
          <w:bCs/>
        </w:rPr>
        <w:t>rules</w:t>
      </w:r>
      <w:r w:rsidR="003D3E1D">
        <w:rPr>
          <w:bCs/>
        </w:rPr>
        <w:t xml:space="preserve"> </w:t>
      </w:r>
      <w:r w:rsidR="003D3E1D" w:rsidRPr="00E950BE">
        <w:rPr>
          <w:bCs/>
        </w:rPr>
        <w:t>that</w:t>
      </w:r>
      <w:r w:rsidR="003D3E1D">
        <w:rPr>
          <w:bCs/>
        </w:rPr>
        <w:t xml:space="preserve"> impose reporting requirements upon persons to report information about derivative transactions to a derivative trade </w:t>
      </w:r>
      <w:proofErr w:type="gramStart"/>
      <w:r w:rsidR="003D3E1D">
        <w:rPr>
          <w:bCs/>
        </w:rPr>
        <w:t>repository</w:t>
      </w:r>
      <w:r>
        <w:rPr>
          <w:bCs/>
        </w:rPr>
        <w:t>;</w:t>
      </w:r>
      <w:proofErr w:type="gramEnd"/>
      <w:r>
        <w:rPr>
          <w:bCs/>
        </w:rPr>
        <w:t xml:space="preserve"> and</w:t>
      </w:r>
    </w:p>
    <w:p w14:paraId="0C7B22FE" w14:textId="045EF727" w:rsidR="003D3E1D" w:rsidRPr="00E950BE" w:rsidRDefault="00A3677C" w:rsidP="002E110A">
      <w:pPr>
        <w:pStyle w:val="LI-BodyTextParaa"/>
        <w:numPr>
          <w:ilvl w:val="1"/>
          <w:numId w:val="19"/>
        </w:numPr>
        <w:rPr>
          <w:bCs/>
        </w:rPr>
      </w:pPr>
      <w:bookmarkStart w:id="35" w:name="_Hlk87970799"/>
      <w:r>
        <w:rPr>
          <w:bCs/>
        </w:rPr>
        <w:t>t</w:t>
      </w:r>
      <w:r w:rsidRPr="00E950BE">
        <w:rPr>
          <w:bCs/>
        </w:rPr>
        <w:t>he</w:t>
      </w:r>
      <w:r>
        <w:rPr>
          <w:bCs/>
        </w:rPr>
        <w:t xml:space="preserve"> </w:t>
      </w:r>
      <w:r w:rsidR="006D4993">
        <w:rPr>
          <w:bCs/>
        </w:rPr>
        <w:t xml:space="preserve">2024 </w:t>
      </w:r>
      <w:r w:rsidR="003D3E1D" w:rsidRPr="00E950BE">
        <w:rPr>
          <w:bCs/>
        </w:rPr>
        <w:t>Rules</w:t>
      </w:r>
      <w:r w:rsidR="003D3E1D">
        <w:rPr>
          <w:bCs/>
        </w:rPr>
        <w:t xml:space="preserve"> </w:t>
      </w:r>
      <w:r w:rsidR="003D3E1D" w:rsidRPr="00E950BE">
        <w:rPr>
          <w:bCs/>
        </w:rPr>
        <w:t>contain</w:t>
      </w:r>
      <w:r w:rsidR="003D3E1D">
        <w:rPr>
          <w:bCs/>
        </w:rPr>
        <w:t xml:space="preserve"> </w:t>
      </w:r>
      <w:r w:rsidR="003D3E1D" w:rsidRPr="00E950BE">
        <w:rPr>
          <w:bCs/>
        </w:rPr>
        <w:t>technical</w:t>
      </w:r>
      <w:r w:rsidR="003D3E1D">
        <w:rPr>
          <w:bCs/>
        </w:rPr>
        <w:t xml:space="preserve"> </w:t>
      </w:r>
      <w:r w:rsidR="003D3E1D" w:rsidRPr="00E950BE">
        <w:rPr>
          <w:bCs/>
        </w:rPr>
        <w:t>detail</w:t>
      </w:r>
      <w:r w:rsidR="003D3E1D">
        <w:rPr>
          <w:bCs/>
        </w:rPr>
        <w:t xml:space="preserve"> </w:t>
      </w:r>
      <w:r w:rsidR="003D3E1D" w:rsidRPr="00E950BE">
        <w:rPr>
          <w:bCs/>
        </w:rPr>
        <w:t>which</w:t>
      </w:r>
      <w:r w:rsidR="003D3E1D">
        <w:rPr>
          <w:bCs/>
        </w:rPr>
        <w:t xml:space="preserve"> </w:t>
      </w:r>
      <w:r w:rsidR="003D3E1D" w:rsidRPr="00E950BE">
        <w:rPr>
          <w:bCs/>
        </w:rPr>
        <w:t>would</w:t>
      </w:r>
      <w:r w:rsidR="003D3E1D">
        <w:rPr>
          <w:bCs/>
        </w:rPr>
        <w:t xml:space="preserve"> </w:t>
      </w:r>
      <w:r w:rsidR="003D3E1D" w:rsidRPr="00E950BE">
        <w:rPr>
          <w:bCs/>
        </w:rPr>
        <w:t>otherwise</w:t>
      </w:r>
      <w:r w:rsidR="003D3E1D">
        <w:rPr>
          <w:bCs/>
        </w:rPr>
        <w:t xml:space="preserve"> </w:t>
      </w:r>
      <w:r w:rsidR="003D3E1D" w:rsidRPr="00E950BE">
        <w:rPr>
          <w:bCs/>
        </w:rPr>
        <w:t>introduce</w:t>
      </w:r>
      <w:r w:rsidR="003D3E1D">
        <w:rPr>
          <w:bCs/>
        </w:rPr>
        <w:t xml:space="preserve"> </w:t>
      </w:r>
      <w:r w:rsidR="003D3E1D" w:rsidRPr="00E950BE">
        <w:rPr>
          <w:bCs/>
        </w:rPr>
        <w:t>unnecessary</w:t>
      </w:r>
      <w:r w:rsidR="003D3E1D">
        <w:rPr>
          <w:bCs/>
        </w:rPr>
        <w:t xml:space="preserve"> </w:t>
      </w:r>
      <w:r w:rsidR="003D3E1D" w:rsidRPr="00E950BE">
        <w:rPr>
          <w:bCs/>
        </w:rPr>
        <w:t>complexity</w:t>
      </w:r>
      <w:r w:rsidR="003D3E1D">
        <w:rPr>
          <w:bCs/>
        </w:rPr>
        <w:t xml:space="preserve"> </w:t>
      </w:r>
      <w:r w:rsidR="003D3E1D" w:rsidRPr="00E950BE">
        <w:rPr>
          <w:bCs/>
        </w:rPr>
        <w:t>to</w:t>
      </w:r>
      <w:r w:rsidR="003D3E1D">
        <w:rPr>
          <w:bCs/>
        </w:rPr>
        <w:t xml:space="preserve"> </w:t>
      </w:r>
      <w:r w:rsidR="003D3E1D" w:rsidRPr="00E950BE">
        <w:rPr>
          <w:bCs/>
        </w:rPr>
        <w:t>the</w:t>
      </w:r>
      <w:r w:rsidR="003D3E1D">
        <w:rPr>
          <w:bCs/>
        </w:rPr>
        <w:t xml:space="preserve"> </w:t>
      </w:r>
      <w:r w:rsidR="003D3E1D" w:rsidRPr="00E950BE">
        <w:rPr>
          <w:bCs/>
        </w:rPr>
        <w:t>primary</w:t>
      </w:r>
      <w:r w:rsidR="003D3E1D">
        <w:rPr>
          <w:bCs/>
        </w:rPr>
        <w:t xml:space="preserve"> </w:t>
      </w:r>
      <w:r w:rsidR="003D3E1D" w:rsidRPr="00E950BE">
        <w:rPr>
          <w:bCs/>
        </w:rPr>
        <w:t>legislation</w:t>
      </w:r>
      <w:bookmarkEnd w:id="35"/>
      <w:r w:rsidR="003D3E1D" w:rsidRPr="00E950BE">
        <w:rPr>
          <w:bCs/>
        </w:rPr>
        <w:t>.</w:t>
      </w:r>
      <w:r w:rsidR="003D3E1D">
        <w:rPr>
          <w:bCs/>
        </w:rPr>
        <w:t xml:space="preserve"> </w:t>
      </w:r>
      <w:r w:rsidR="003D3E1D" w:rsidRPr="00E950BE">
        <w:rPr>
          <w:bCs/>
        </w:rPr>
        <w:t>As</w:t>
      </w:r>
      <w:r w:rsidR="003D3E1D">
        <w:rPr>
          <w:bCs/>
        </w:rPr>
        <w:t xml:space="preserve"> </w:t>
      </w:r>
      <w:r w:rsidR="003D3E1D" w:rsidRPr="00E950BE">
        <w:rPr>
          <w:bCs/>
        </w:rPr>
        <w:t>a</w:t>
      </w:r>
      <w:r w:rsidR="003D3E1D">
        <w:rPr>
          <w:bCs/>
        </w:rPr>
        <w:t xml:space="preserve"> </w:t>
      </w:r>
      <w:r w:rsidR="003D3E1D" w:rsidRPr="00E950BE">
        <w:rPr>
          <w:bCs/>
        </w:rPr>
        <w:t>consequence,</w:t>
      </w:r>
      <w:r w:rsidR="003D3E1D">
        <w:rPr>
          <w:bCs/>
        </w:rPr>
        <w:t xml:space="preserve"> </w:t>
      </w:r>
      <w:r w:rsidR="003D3E1D" w:rsidRPr="00E950BE">
        <w:rPr>
          <w:bCs/>
        </w:rPr>
        <w:t>if</w:t>
      </w:r>
      <w:r w:rsidR="003D3E1D">
        <w:rPr>
          <w:bCs/>
        </w:rPr>
        <w:t xml:space="preserve"> </w:t>
      </w:r>
      <w:r w:rsidR="003D3E1D" w:rsidRPr="00E950BE">
        <w:rPr>
          <w:bCs/>
        </w:rPr>
        <w:t>the</w:t>
      </w:r>
      <w:r w:rsidR="003D3E1D">
        <w:rPr>
          <w:bCs/>
        </w:rPr>
        <w:t xml:space="preserve"> </w:t>
      </w:r>
      <w:r w:rsidR="003D3E1D" w:rsidRPr="00E950BE">
        <w:rPr>
          <w:bCs/>
        </w:rPr>
        <w:t>matters</w:t>
      </w:r>
      <w:r w:rsidR="003D3E1D">
        <w:rPr>
          <w:bCs/>
        </w:rPr>
        <w:t xml:space="preserve"> </w:t>
      </w:r>
      <w:r w:rsidR="003D3E1D" w:rsidRPr="00E950BE">
        <w:rPr>
          <w:bCs/>
        </w:rPr>
        <w:t>in</w:t>
      </w:r>
      <w:r w:rsidR="003D3E1D">
        <w:rPr>
          <w:bCs/>
        </w:rPr>
        <w:t xml:space="preserve"> </w:t>
      </w:r>
      <w:r w:rsidR="003D3E1D" w:rsidRPr="00E950BE">
        <w:rPr>
          <w:bCs/>
        </w:rPr>
        <w:t>the</w:t>
      </w:r>
      <w:r w:rsidR="003D3E1D">
        <w:rPr>
          <w:bCs/>
        </w:rPr>
        <w:t xml:space="preserve"> </w:t>
      </w:r>
      <w:r w:rsidR="006D4993">
        <w:rPr>
          <w:bCs/>
        </w:rPr>
        <w:t xml:space="preserve">2024 </w:t>
      </w:r>
      <w:r w:rsidR="003D3E1D" w:rsidRPr="00E950BE">
        <w:rPr>
          <w:bCs/>
        </w:rPr>
        <w:t>Rules</w:t>
      </w:r>
      <w:r w:rsidR="003D3E1D">
        <w:rPr>
          <w:bCs/>
        </w:rPr>
        <w:t xml:space="preserve"> </w:t>
      </w:r>
      <w:r w:rsidR="003D3E1D" w:rsidRPr="00E950BE">
        <w:rPr>
          <w:bCs/>
        </w:rPr>
        <w:t>were</w:t>
      </w:r>
      <w:r w:rsidR="003D3E1D">
        <w:rPr>
          <w:bCs/>
        </w:rPr>
        <w:t xml:space="preserve"> </w:t>
      </w:r>
      <w:r w:rsidR="003D3E1D" w:rsidRPr="00E950BE">
        <w:rPr>
          <w:bCs/>
        </w:rPr>
        <w:t>to</w:t>
      </w:r>
      <w:r w:rsidR="003D3E1D">
        <w:rPr>
          <w:bCs/>
        </w:rPr>
        <w:t xml:space="preserve"> </w:t>
      </w:r>
      <w:r w:rsidR="003D3E1D" w:rsidRPr="00E950BE">
        <w:rPr>
          <w:bCs/>
        </w:rPr>
        <w:t>be</w:t>
      </w:r>
      <w:r w:rsidR="003D3E1D">
        <w:rPr>
          <w:bCs/>
        </w:rPr>
        <w:t xml:space="preserve"> </w:t>
      </w:r>
      <w:r w:rsidR="003D3E1D" w:rsidRPr="00E950BE">
        <w:rPr>
          <w:bCs/>
        </w:rPr>
        <w:t>inserted</w:t>
      </w:r>
      <w:r w:rsidR="003D3E1D">
        <w:rPr>
          <w:bCs/>
        </w:rPr>
        <w:t xml:space="preserve"> </w:t>
      </w:r>
      <w:r w:rsidR="003D3E1D" w:rsidRPr="00E950BE">
        <w:rPr>
          <w:bCs/>
        </w:rPr>
        <w:t>into</w:t>
      </w:r>
      <w:r w:rsidR="003D3E1D">
        <w:rPr>
          <w:bCs/>
        </w:rPr>
        <w:t xml:space="preserve"> </w:t>
      </w:r>
      <w:r w:rsidR="003D3E1D" w:rsidRPr="00E950BE">
        <w:rPr>
          <w:bCs/>
        </w:rPr>
        <w:t>the</w:t>
      </w:r>
      <w:r w:rsidR="003D3E1D">
        <w:rPr>
          <w:bCs/>
        </w:rPr>
        <w:t xml:space="preserve"> </w:t>
      </w:r>
      <w:r w:rsidR="003D3E1D" w:rsidRPr="00E950BE">
        <w:rPr>
          <w:bCs/>
        </w:rPr>
        <w:t>primary</w:t>
      </w:r>
      <w:r w:rsidR="003D3E1D">
        <w:rPr>
          <w:bCs/>
        </w:rPr>
        <w:t xml:space="preserve"> </w:t>
      </w:r>
      <w:r w:rsidR="003D3E1D" w:rsidRPr="00E950BE">
        <w:rPr>
          <w:bCs/>
        </w:rPr>
        <w:t>legislation,</w:t>
      </w:r>
      <w:r w:rsidR="003D3E1D">
        <w:rPr>
          <w:bCs/>
        </w:rPr>
        <w:t xml:space="preserve"> </w:t>
      </w:r>
      <w:r w:rsidR="003D3E1D" w:rsidRPr="00E950BE">
        <w:rPr>
          <w:bCs/>
        </w:rPr>
        <w:t>they</w:t>
      </w:r>
      <w:r w:rsidR="003D3E1D">
        <w:rPr>
          <w:bCs/>
        </w:rPr>
        <w:t xml:space="preserve"> </w:t>
      </w:r>
      <w:r w:rsidR="003D3E1D" w:rsidRPr="00E950BE">
        <w:rPr>
          <w:bCs/>
        </w:rPr>
        <w:t>would</w:t>
      </w:r>
      <w:r w:rsidR="003D3E1D">
        <w:rPr>
          <w:bCs/>
        </w:rPr>
        <w:t xml:space="preserve"> </w:t>
      </w:r>
      <w:r w:rsidR="003D3E1D" w:rsidRPr="00E950BE">
        <w:rPr>
          <w:bCs/>
        </w:rPr>
        <w:t>insert,</w:t>
      </w:r>
      <w:r w:rsidR="003D3E1D">
        <w:rPr>
          <w:bCs/>
        </w:rPr>
        <w:t xml:space="preserve"> </w:t>
      </w:r>
      <w:r w:rsidR="003D3E1D" w:rsidRPr="00E950BE">
        <w:rPr>
          <w:bCs/>
        </w:rPr>
        <w:t>into</w:t>
      </w:r>
      <w:r w:rsidR="003D3E1D">
        <w:rPr>
          <w:bCs/>
        </w:rPr>
        <w:t xml:space="preserve"> </w:t>
      </w:r>
      <w:r w:rsidR="003D3E1D" w:rsidRPr="00E950BE">
        <w:rPr>
          <w:bCs/>
        </w:rPr>
        <w:t>an</w:t>
      </w:r>
      <w:r w:rsidR="003D3E1D">
        <w:rPr>
          <w:bCs/>
        </w:rPr>
        <w:t xml:space="preserve"> </w:t>
      </w:r>
      <w:r w:rsidR="003D3E1D" w:rsidRPr="00E950BE">
        <w:rPr>
          <w:bCs/>
        </w:rPr>
        <w:t>already</w:t>
      </w:r>
      <w:r w:rsidR="003D3E1D">
        <w:rPr>
          <w:bCs/>
        </w:rPr>
        <w:t xml:space="preserve"> </w:t>
      </w:r>
      <w:r w:rsidR="003D3E1D" w:rsidRPr="00E950BE">
        <w:rPr>
          <w:bCs/>
        </w:rPr>
        <w:t>complex</w:t>
      </w:r>
      <w:r w:rsidR="003D3E1D">
        <w:rPr>
          <w:bCs/>
        </w:rPr>
        <w:t xml:space="preserve"> </w:t>
      </w:r>
      <w:r w:rsidR="003D3E1D" w:rsidRPr="00E950BE">
        <w:rPr>
          <w:bCs/>
        </w:rPr>
        <w:t>statutory</w:t>
      </w:r>
      <w:r w:rsidR="003D3E1D">
        <w:rPr>
          <w:bCs/>
        </w:rPr>
        <w:t xml:space="preserve"> </w:t>
      </w:r>
      <w:r w:rsidR="003D3E1D" w:rsidRPr="00E950BE">
        <w:rPr>
          <w:bCs/>
        </w:rPr>
        <w:t>framework,</w:t>
      </w:r>
      <w:r w:rsidR="003D3E1D">
        <w:rPr>
          <w:bCs/>
        </w:rPr>
        <w:t xml:space="preserve"> </w:t>
      </w:r>
      <w:r w:rsidR="003D3E1D" w:rsidRPr="00E950BE">
        <w:rPr>
          <w:bCs/>
        </w:rPr>
        <w:t>a</w:t>
      </w:r>
      <w:r w:rsidR="003D3E1D">
        <w:rPr>
          <w:bCs/>
        </w:rPr>
        <w:t xml:space="preserve"> </w:t>
      </w:r>
      <w:r w:rsidR="003D3E1D" w:rsidRPr="00E950BE">
        <w:rPr>
          <w:bCs/>
        </w:rPr>
        <w:t>set</w:t>
      </w:r>
      <w:r w:rsidR="003D3E1D">
        <w:rPr>
          <w:bCs/>
        </w:rPr>
        <w:t xml:space="preserve"> </w:t>
      </w:r>
      <w:r w:rsidR="003D3E1D" w:rsidRPr="00E950BE">
        <w:rPr>
          <w:bCs/>
        </w:rPr>
        <w:t>of</w:t>
      </w:r>
      <w:r w:rsidR="003D3E1D">
        <w:rPr>
          <w:bCs/>
        </w:rPr>
        <w:t xml:space="preserve"> </w:t>
      </w:r>
      <w:r w:rsidR="003D3E1D" w:rsidRPr="00E950BE">
        <w:rPr>
          <w:bCs/>
        </w:rPr>
        <w:t>provisions</w:t>
      </w:r>
      <w:r w:rsidR="003D3E1D">
        <w:rPr>
          <w:bCs/>
        </w:rPr>
        <w:t xml:space="preserve"> </w:t>
      </w:r>
      <w:r w:rsidR="003D3E1D" w:rsidRPr="00E950BE">
        <w:rPr>
          <w:bCs/>
        </w:rPr>
        <w:t>that</w:t>
      </w:r>
      <w:r w:rsidR="003D3E1D">
        <w:rPr>
          <w:bCs/>
        </w:rPr>
        <w:t xml:space="preserve"> </w:t>
      </w:r>
      <w:r w:rsidR="003D3E1D" w:rsidRPr="00E950BE">
        <w:rPr>
          <w:bCs/>
        </w:rPr>
        <w:t>are</w:t>
      </w:r>
      <w:r w:rsidR="003D3E1D">
        <w:rPr>
          <w:bCs/>
        </w:rPr>
        <w:t xml:space="preserve"> </w:t>
      </w:r>
      <w:r w:rsidR="003D3E1D" w:rsidRPr="00E950BE">
        <w:rPr>
          <w:bCs/>
        </w:rPr>
        <w:t>highly</w:t>
      </w:r>
      <w:r w:rsidR="003D3E1D">
        <w:rPr>
          <w:bCs/>
        </w:rPr>
        <w:t xml:space="preserve"> </w:t>
      </w:r>
      <w:r w:rsidR="003D3E1D" w:rsidRPr="00E950BE">
        <w:rPr>
          <w:bCs/>
        </w:rPr>
        <w:t>specific</w:t>
      </w:r>
      <w:r w:rsidR="003D3E1D">
        <w:rPr>
          <w:bCs/>
        </w:rPr>
        <w:t xml:space="preserve"> </w:t>
      </w:r>
      <w:r w:rsidR="003D3E1D" w:rsidRPr="00E950BE">
        <w:rPr>
          <w:bCs/>
        </w:rPr>
        <w:t>in</w:t>
      </w:r>
      <w:r w:rsidR="003D3E1D">
        <w:rPr>
          <w:bCs/>
        </w:rPr>
        <w:t xml:space="preserve"> </w:t>
      </w:r>
      <w:r w:rsidR="003D3E1D" w:rsidRPr="00E950BE">
        <w:rPr>
          <w:bCs/>
        </w:rPr>
        <w:t>nature</w:t>
      </w:r>
      <w:r w:rsidR="003D3E1D">
        <w:rPr>
          <w:bCs/>
        </w:rPr>
        <w:t xml:space="preserve"> </w:t>
      </w:r>
      <w:r w:rsidR="003D3E1D" w:rsidRPr="00E950BE">
        <w:rPr>
          <w:bCs/>
        </w:rPr>
        <w:t>and</w:t>
      </w:r>
      <w:r w:rsidR="003D3E1D">
        <w:rPr>
          <w:bCs/>
        </w:rPr>
        <w:t xml:space="preserve"> </w:t>
      </w:r>
      <w:r w:rsidR="003D3E1D" w:rsidRPr="00E950BE">
        <w:rPr>
          <w:bCs/>
        </w:rPr>
        <w:t>may</w:t>
      </w:r>
      <w:r w:rsidR="003D3E1D">
        <w:rPr>
          <w:bCs/>
        </w:rPr>
        <w:t xml:space="preserve"> unduly lag behind developments in derivative products for which additional or different information should be required to be reported, changes in the nature of persons from whom information should be required to be reported or changes in the manner or form by which reporting should occur.</w:t>
      </w:r>
    </w:p>
    <w:p w14:paraId="6FFC1665" w14:textId="77777777" w:rsidR="006265A4" w:rsidRDefault="006265A4" w:rsidP="006265A4">
      <w:pPr>
        <w:pStyle w:val="LI-BodyTextParaa"/>
        <w:keepNext/>
        <w:ind w:left="0" w:firstLine="0"/>
        <w:rPr>
          <w:u w:val="single"/>
        </w:rPr>
      </w:pPr>
      <w:r w:rsidRPr="006D6079">
        <w:rPr>
          <w:b/>
          <w:bCs/>
        </w:rPr>
        <w:t>Duration of the instrument</w:t>
      </w:r>
      <w:r>
        <w:rPr>
          <w:u w:val="single"/>
        </w:rPr>
        <w:t xml:space="preserve"> </w:t>
      </w:r>
    </w:p>
    <w:p w14:paraId="087F814D" w14:textId="6A6DEBC1" w:rsidR="0024127B" w:rsidRDefault="0024127B" w:rsidP="0024127B">
      <w:pPr>
        <w:pStyle w:val="LI-BodyTextParaa"/>
        <w:numPr>
          <w:ilvl w:val="0"/>
          <w:numId w:val="3"/>
        </w:numPr>
        <w:rPr>
          <w:bCs/>
        </w:rPr>
      </w:pPr>
      <w:r w:rsidRPr="00E950BE">
        <w:rPr>
          <w:bCs/>
        </w:rPr>
        <w:t>Th</w:t>
      </w:r>
      <w:r w:rsidR="005356DB">
        <w:rPr>
          <w:bCs/>
        </w:rPr>
        <w:t>is</w:t>
      </w:r>
      <w:r>
        <w:rPr>
          <w:bCs/>
        </w:rPr>
        <w:t xml:space="preserve"> instrument </w:t>
      </w:r>
      <w:r w:rsidR="00BA3BFF">
        <w:rPr>
          <w:bCs/>
        </w:rPr>
        <w:t xml:space="preserve">will </w:t>
      </w:r>
      <w:proofErr w:type="gramStart"/>
      <w:r w:rsidR="00BA3BFF">
        <w:rPr>
          <w:bCs/>
        </w:rPr>
        <w:t>automatically</w:t>
      </w:r>
      <w:proofErr w:type="gramEnd"/>
      <w:r w:rsidR="005356DB">
        <w:rPr>
          <w:bCs/>
        </w:rPr>
        <w:t xml:space="preserve"> </w:t>
      </w:r>
      <w:r w:rsidR="00BA3BFF">
        <w:rPr>
          <w:bCs/>
        </w:rPr>
        <w:t>sunset in accordance with section 50</w:t>
      </w:r>
      <w:r w:rsidR="003F665F">
        <w:rPr>
          <w:bCs/>
        </w:rPr>
        <w:t xml:space="preserve"> of the </w:t>
      </w:r>
      <w:r w:rsidR="003F665F" w:rsidRPr="007D3AAD">
        <w:rPr>
          <w:bCs/>
          <w:i/>
          <w:iCs/>
        </w:rPr>
        <w:t xml:space="preserve">Legislation Act </w:t>
      </w:r>
      <w:r w:rsidR="00530C3C" w:rsidRPr="007D3AAD">
        <w:rPr>
          <w:bCs/>
          <w:i/>
          <w:iCs/>
        </w:rPr>
        <w:t>2003</w:t>
      </w:r>
      <w:r w:rsidR="00530C3C">
        <w:rPr>
          <w:bCs/>
        </w:rPr>
        <w:t xml:space="preserve"> </w:t>
      </w:r>
      <w:r w:rsidR="006F6E8B">
        <w:rPr>
          <w:bCs/>
        </w:rPr>
        <w:t>(</w:t>
      </w:r>
      <w:r w:rsidR="006F6E8B" w:rsidRPr="007D3AAD">
        <w:rPr>
          <w:b/>
          <w:i/>
          <w:iCs/>
        </w:rPr>
        <w:t>Legislation Act</w:t>
      </w:r>
      <w:r w:rsidR="006F6E8B">
        <w:rPr>
          <w:bCs/>
        </w:rPr>
        <w:t xml:space="preserve">) </w:t>
      </w:r>
      <w:r w:rsidR="005356DB">
        <w:rPr>
          <w:bCs/>
        </w:rPr>
        <w:t>on</w:t>
      </w:r>
      <w:r w:rsidR="00ED6F7D">
        <w:rPr>
          <w:bCs/>
        </w:rPr>
        <w:t xml:space="preserve"> </w:t>
      </w:r>
      <w:r w:rsidR="001C0642">
        <w:rPr>
          <w:bCs/>
        </w:rPr>
        <w:t>1 April 2033.</w:t>
      </w:r>
    </w:p>
    <w:p w14:paraId="3521C2A1" w14:textId="38559692" w:rsidR="003C7992" w:rsidRDefault="003C7992" w:rsidP="00C84BB5">
      <w:pPr>
        <w:pStyle w:val="LI-BodyTextParaa"/>
        <w:numPr>
          <w:ilvl w:val="0"/>
          <w:numId w:val="3"/>
        </w:numPr>
        <w:rPr>
          <w:bCs/>
        </w:rPr>
      </w:pPr>
      <w:r>
        <w:rPr>
          <w:bCs/>
        </w:rPr>
        <w:t xml:space="preserve">This duration is appropriate </w:t>
      </w:r>
      <w:r w:rsidR="00343BF1">
        <w:rPr>
          <w:bCs/>
        </w:rPr>
        <w:t>because</w:t>
      </w:r>
      <w:r>
        <w:rPr>
          <w:bCs/>
        </w:rPr>
        <w:t>:</w:t>
      </w:r>
    </w:p>
    <w:p w14:paraId="6D5C70E4" w14:textId="3F2809E9" w:rsidR="00C84BB5" w:rsidRDefault="00FA1AEB" w:rsidP="003C7992">
      <w:pPr>
        <w:pStyle w:val="LI-BodyTextParaa"/>
        <w:numPr>
          <w:ilvl w:val="1"/>
          <w:numId w:val="3"/>
        </w:numPr>
        <w:rPr>
          <w:bCs/>
        </w:rPr>
      </w:pPr>
      <w:r>
        <w:rPr>
          <w:bCs/>
        </w:rPr>
        <w:t>t</w:t>
      </w:r>
      <w:r w:rsidR="00C84BB5" w:rsidRPr="00C84BB5">
        <w:rPr>
          <w:bCs/>
        </w:rPr>
        <w:t>he instrument is made under a specifically delegated power which is set out in the primary legislation and is intended to complement the requirements or objectives in the primary legislation</w:t>
      </w:r>
      <w:r w:rsidR="001D6C8B">
        <w:rPr>
          <w:bCs/>
        </w:rPr>
        <w:t xml:space="preserve"> – see </w:t>
      </w:r>
      <w:r w:rsidR="0051541F">
        <w:rPr>
          <w:bCs/>
        </w:rPr>
        <w:t xml:space="preserve">Part </w:t>
      </w:r>
      <w:r w:rsidR="000C0464">
        <w:rPr>
          <w:bCs/>
        </w:rPr>
        <w:t>7.5A of the Corporations Act;</w:t>
      </w:r>
      <w:r w:rsidR="00CE5790">
        <w:rPr>
          <w:bCs/>
        </w:rPr>
        <w:t xml:space="preserve"> and</w:t>
      </w:r>
    </w:p>
    <w:p w14:paraId="036B411F" w14:textId="77777777" w:rsidR="006B5059" w:rsidRDefault="00FA1AEB" w:rsidP="00FA1AEB">
      <w:pPr>
        <w:pStyle w:val="LI-BodyTextParaa"/>
        <w:numPr>
          <w:ilvl w:val="1"/>
          <w:numId w:val="3"/>
        </w:numPr>
        <w:rPr>
          <w:bCs/>
        </w:rPr>
      </w:pPr>
      <w:r>
        <w:rPr>
          <w:bCs/>
        </w:rPr>
        <w:lastRenderedPageBreak/>
        <w:t>t</w:t>
      </w:r>
      <w:r w:rsidR="00C84BB5" w:rsidRPr="00FA1AEB">
        <w:rPr>
          <w:bCs/>
        </w:rPr>
        <w:t>here would be appreciable business uncertainty about the treatment of, or framework for, business activities giving rise to significant commercial risks and/or costs if the sunsetting period was shorter</w:t>
      </w:r>
      <w:r w:rsidR="00C3166D">
        <w:rPr>
          <w:bCs/>
        </w:rPr>
        <w:t xml:space="preserve"> </w:t>
      </w:r>
      <w:r w:rsidR="00AF3CA0">
        <w:rPr>
          <w:bCs/>
        </w:rPr>
        <w:t>–</w:t>
      </w:r>
      <w:r w:rsidR="00C3166D">
        <w:rPr>
          <w:bCs/>
        </w:rPr>
        <w:t xml:space="preserve"> </w:t>
      </w:r>
      <w:r w:rsidR="009A074E">
        <w:rPr>
          <w:bCs/>
        </w:rPr>
        <w:t xml:space="preserve">in </w:t>
      </w:r>
      <w:r w:rsidR="00AF3CA0">
        <w:rPr>
          <w:bCs/>
        </w:rPr>
        <w:t>CP 361</w:t>
      </w:r>
      <w:r w:rsidR="009A074E">
        <w:rPr>
          <w:bCs/>
        </w:rPr>
        <w:t xml:space="preserve">, we identified </w:t>
      </w:r>
      <w:r w:rsidR="00B37DF1">
        <w:rPr>
          <w:bCs/>
        </w:rPr>
        <w:t xml:space="preserve">anticipated </w:t>
      </w:r>
      <w:r w:rsidR="009A074E">
        <w:rPr>
          <w:bCs/>
        </w:rPr>
        <w:t xml:space="preserve">significant </w:t>
      </w:r>
      <w:r w:rsidR="00567AE6">
        <w:rPr>
          <w:bCs/>
        </w:rPr>
        <w:t>investments</w:t>
      </w:r>
      <w:r w:rsidR="009A074E">
        <w:rPr>
          <w:bCs/>
        </w:rPr>
        <w:t xml:space="preserve"> </w:t>
      </w:r>
      <w:r w:rsidR="00B37DF1">
        <w:rPr>
          <w:bCs/>
        </w:rPr>
        <w:t xml:space="preserve">by </w:t>
      </w:r>
      <w:r w:rsidR="00567AE6">
        <w:rPr>
          <w:bCs/>
        </w:rPr>
        <w:t>reporting entities in making changes to their systems and processe</w:t>
      </w:r>
      <w:r w:rsidR="00B37DF1">
        <w:rPr>
          <w:bCs/>
        </w:rPr>
        <w:t xml:space="preserve">s </w:t>
      </w:r>
      <w:r w:rsidR="006B5059">
        <w:rPr>
          <w:bCs/>
        </w:rPr>
        <w:t>to:</w:t>
      </w:r>
    </w:p>
    <w:p w14:paraId="4700CF9B" w14:textId="77777777" w:rsidR="00053731" w:rsidRDefault="00013919" w:rsidP="006B5059">
      <w:pPr>
        <w:pStyle w:val="LI-BodyTextParaa"/>
        <w:numPr>
          <w:ilvl w:val="2"/>
          <w:numId w:val="3"/>
        </w:numPr>
        <w:rPr>
          <w:bCs/>
        </w:rPr>
      </w:pPr>
      <w:r>
        <w:rPr>
          <w:bCs/>
        </w:rPr>
        <w:t>s</w:t>
      </w:r>
      <w:r w:rsidRPr="00013919">
        <w:rPr>
          <w:bCs/>
        </w:rPr>
        <w:t xml:space="preserve">ource additional data elements from front-office, middle-office and/or post-trade </w:t>
      </w:r>
      <w:proofErr w:type="gramStart"/>
      <w:r w:rsidRPr="00013919">
        <w:rPr>
          <w:bCs/>
        </w:rPr>
        <w:t>systems</w:t>
      </w:r>
      <w:r w:rsidR="00053731">
        <w:rPr>
          <w:bCs/>
        </w:rPr>
        <w:t>;</w:t>
      </w:r>
      <w:proofErr w:type="gramEnd"/>
    </w:p>
    <w:p w14:paraId="686B4EF6" w14:textId="77777777" w:rsidR="00886B5F" w:rsidRDefault="003311A4" w:rsidP="003E2314">
      <w:pPr>
        <w:pStyle w:val="LI-BodyTextParaa"/>
        <w:numPr>
          <w:ilvl w:val="2"/>
          <w:numId w:val="3"/>
        </w:numPr>
        <w:rPr>
          <w:bCs/>
        </w:rPr>
      </w:pPr>
      <w:r>
        <w:rPr>
          <w:bCs/>
        </w:rPr>
        <w:t>determin</w:t>
      </w:r>
      <w:r w:rsidR="00544CAC">
        <w:rPr>
          <w:bCs/>
        </w:rPr>
        <w:t xml:space="preserve">e </w:t>
      </w:r>
      <w:proofErr w:type="spellStart"/>
      <w:r w:rsidR="00544CAC">
        <w:rPr>
          <w:bCs/>
        </w:rPr>
        <w:t>UTI</w:t>
      </w:r>
      <w:proofErr w:type="spellEnd"/>
      <w:r w:rsidR="00544CAC">
        <w:rPr>
          <w:bCs/>
        </w:rPr>
        <w:t xml:space="preserve"> generating entities and generate</w:t>
      </w:r>
      <w:r w:rsidR="00870E93">
        <w:rPr>
          <w:bCs/>
        </w:rPr>
        <w:t xml:space="preserve">, </w:t>
      </w:r>
      <w:r w:rsidR="00036B77">
        <w:rPr>
          <w:bCs/>
        </w:rPr>
        <w:t>share</w:t>
      </w:r>
      <w:r w:rsidR="00886B5F">
        <w:rPr>
          <w:bCs/>
        </w:rPr>
        <w:t xml:space="preserve"> and</w:t>
      </w:r>
      <w:r w:rsidR="00036B77">
        <w:rPr>
          <w:bCs/>
        </w:rPr>
        <w:t xml:space="preserve"> handle receipt/non-receipt </w:t>
      </w:r>
      <w:r w:rsidR="00886B5F">
        <w:rPr>
          <w:bCs/>
        </w:rPr>
        <w:t xml:space="preserve">of </w:t>
      </w:r>
      <w:proofErr w:type="spellStart"/>
      <w:proofErr w:type="gramStart"/>
      <w:r w:rsidR="00886B5F">
        <w:rPr>
          <w:bCs/>
        </w:rPr>
        <w:t>UTIs</w:t>
      </w:r>
      <w:proofErr w:type="spellEnd"/>
      <w:r w:rsidR="00886B5F">
        <w:rPr>
          <w:bCs/>
        </w:rPr>
        <w:t>;</w:t>
      </w:r>
      <w:proofErr w:type="gramEnd"/>
    </w:p>
    <w:p w14:paraId="553C4DB3" w14:textId="77777777" w:rsidR="00A65E76" w:rsidRDefault="00BF6AD3" w:rsidP="00BF6AD3">
      <w:pPr>
        <w:pStyle w:val="LI-BodyTextParaa"/>
        <w:numPr>
          <w:ilvl w:val="2"/>
          <w:numId w:val="3"/>
        </w:numPr>
        <w:rPr>
          <w:bCs/>
        </w:rPr>
      </w:pPr>
      <w:r>
        <w:rPr>
          <w:bCs/>
        </w:rPr>
        <w:t xml:space="preserve">create, obtain and/or receive </w:t>
      </w:r>
      <w:proofErr w:type="gramStart"/>
      <w:r>
        <w:rPr>
          <w:bCs/>
        </w:rPr>
        <w:t>UPIs</w:t>
      </w:r>
      <w:r w:rsidR="00A65E76">
        <w:rPr>
          <w:bCs/>
        </w:rPr>
        <w:t>;</w:t>
      </w:r>
      <w:proofErr w:type="gramEnd"/>
    </w:p>
    <w:p w14:paraId="262D26CC" w14:textId="2B02041D" w:rsidR="00C84BB5" w:rsidRDefault="00420330" w:rsidP="002F1505">
      <w:pPr>
        <w:pStyle w:val="LI-BodyTextParaa"/>
        <w:numPr>
          <w:ilvl w:val="2"/>
          <w:numId w:val="3"/>
        </w:numPr>
        <w:rPr>
          <w:bCs/>
        </w:rPr>
      </w:pPr>
      <w:r w:rsidRPr="000073F5">
        <w:rPr>
          <w:bCs/>
        </w:rPr>
        <w:t>engage in outreach with counterparties about LEI requirements</w:t>
      </w:r>
      <w:r w:rsidR="000073F5" w:rsidRPr="000073F5">
        <w:rPr>
          <w:bCs/>
        </w:rPr>
        <w:t xml:space="preserve"> and update </w:t>
      </w:r>
      <w:r w:rsidRPr="000073F5">
        <w:rPr>
          <w:bCs/>
        </w:rPr>
        <w:t>counterparty reference data</w:t>
      </w:r>
      <w:r w:rsidR="000073F5">
        <w:rPr>
          <w:bCs/>
        </w:rPr>
        <w:t>;</w:t>
      </w:r>
      <w:r w:rsidR="00A412C2">
        <w:rPr>
          <w:bCs/>
        </w:rPr>
        <w:t xml:space="preserve"> and</w:t>
      </w:r>
    </w:p>
    <w:p w14:paraId="146E15F9" w14:textId="6CF0BF60" w:rsidR="00564331" w:rsidRPr="00564331" w:rsidRDefault="00564331" w:rsidP="00564331">
      <w:pPr>
        <w:pStyle w:val="LI-BodyTextParaa"/>
        <w:numPr>
          <w:ilvl w:val="2"/>
          <w:numId w:val="3"/>
        </w:numPr>
        <w:rPr>
          <w:bCs/>
        </w:rPr>
      </w:pPr>
      <w:r w:rsidRPr="00564331">
        <w:rPr>
          <w:bCs/>
        </w:rPr>
        <w:t>form and submit to trade repositories ISO 20022 reporting messages</w:t>
      </w:r>
      <w:r w:rsidR="00CE5790">
        <w:rPr>
          <w:bCs/>
        </w:rPr>
        <w:t>.</w:t>
      </w:r>
    </w:p>
    <w:p w14:paraId="0C1DFB91" w14:textId="77777777" w:rsidR="00A60BF2" w:rsidRDefault="00A60BF2" w:rsidP="00A60BF2">
      <w:pPr>
        <w:pStyle w:val="LI-BodyTextParaa"/>
        <w:ind w:left="0" w:firstLine="0"/>
        <w:rPr>
          <w:b/>
        </w:rPr>
      </w:pPr>
      <w:r>
        <w:rPr>
          <w:b/>
        </w:rPr>
        <w:t>Legislative authority</w:t>
      </w:r>
    </w:p>
    <w:p w14:paraId="48C4CB78" w14:textId="131807DF" w:rsidR="00916D22" w:rsidRPr="00564D29" w:rsidRDefault="00916D22" w:rsidP="002E110A">
      <w:pPr>
        <w:pStyle w:val="LI-BodyTextParaa"/>
        <w:numPr>
          <w:ilvl w:val="0"/>
          <w:numId w:val="3"/>
        </w:numPr>
        <w:rPr>
          <w:bCs/>
        </w:rPr>
      </w:pPr>
      <w:r w:rsidRPr="00564D29">
        <w:rPr>
          <w:bCs/>
        </w:rPr>
        <w:t xml:space="preserve">The </w:t>
      </w:r>
      <w:r>
        <w:rPr>
          <w:bCs/>
        </w:rPr>
        <w:t>instrument is made</w:t>
      </w:r>
      <w:r w:rsidRPr="00564D29">
        <w:rPr>
          <w:bCs/>
        </w:rPr>
        <w:t xml:space="preserve"> under section 901A of </w:t>
      </w:r>
      <w:r w:rsidR="00BE553B">
        <w:rPr>
          <w:bCs/>
        </w:rPr>
        <w:t>the Corporations Act</w:t>
      </w:r>
      <w:r w:rsidRPr="00564D29">
        <w:rPr>
          <w:bCs/>
        </w:rPr>
        <w:t xml:space="preserve">. </w:t>
      </w:r>
    </w:p>
    <w:p w14:paraId="40BE8C57" w14:textId="08A15CCF" w:rsidR="00916D22" w:rsidRDefault="00916D22" w:rsidP="002E110A">
      <w:pPr>
        <w:pStyle w:val="LI-BodyTextParaa"/>
        <w:numPr>
          <w:ilvl w:val="0"/>
          <w:numId w:val="3"/>
        </w:numPr>
        <w:rPr>
          <w:bCs/>
        </w:rPr>
      </w:pPr>
      <w:r w:rsidRPr="00D85DC8">
        <w:rPr>
          <w:bCs/>
        </w:rPr>
        <w:t xml:space="preserve">Section 901A of </w:t>
      </w:r>
      <w:r w:rsidR="00BE553B">
        <w:rPr>
          <w:bCs/>
        </w:rPr>
        <w:t>the Corporations Act</w:t>
      </w:r>
      <w:r w:rsidRPr="00D85DC8">
        <w:rPr>
          <w:bCs/>
        </w:rPr>
        <w:t xml:space="preserve"> provides that rules made under this section are by way of legislative instrument. This means that such rules are subject to disallowance in accordance with section 42 of the Legislation Act. Section 44 of the Legislation Act does not apply to this instrument. This instrument is subject to disallowance.</w:t>
      </w:r>
    </w:p>
    <w:p w14:paraId="02A7FEDE" w14:textId="7CFAE435" w:rsidR="00C62025" w:rsidRPr="00C62025" w:rsidRDefault="00C62025" w:rsidP="00C62025">
      <w:pPr>
        <w:pStyle w:val="LI-BodyTextParaa"/>
        <w:numPr>
          <w:ilvl w:val="0"/>
          <w:numId w:val="3"/>
        </w:numPr>
        <w:rPr>
          <w:bCs/>
        </w:rPr>
      </w:pPr>
      <w:r>
        <w:rPr>
          <w:bCs/>
        </w:rPr>
        <w:t>Section 901K</w:t>
      </w:r>
      <w:r w:rsidRPr="00B822AC">
        <w:rPr>
          <w:bCs/>
        </w:rPr>
        <w:t xml:space="preserve"> of the </w:t>
      </w:r>
      <w:r>
        <w:rPr>
          <w:bCs/>
        </w:rPr>
        <w:t xml:space="preserve">Corporations </w:t>
      </w:r>
      <w:r w:rsidRPr="00B822AC">
        <w:rPr>
          <w:bCs/>
        </w:rPr>
        <w:t xml:space="preserve">Act provides that ASIC must not make a </w:t>
      </w:r>
      <w:r>
        <w:rPr>
          <w:bCs/>
        </w:rPr>
        <w:t>derivative transaction rule</w:t>
      </w:r>
      <w:r w:rsidRPr="00B822AC">
        <w:rPr>
          <w:bCs/>
        </w:rPr>
        <w:t xml:space="preserve"> unless the Minister has consented, in writing, to the making of the rule. The Minister consented to the making of this instrument by written notice to ASIC dated </w:t>
      </w:r>
      <w:r w:rsidR="00D72044">
        <w:rPr>
          <w:bCs/>
        </w:rPr>
        <w:t>4 December 2022</w:t>
      </w:r>
      <w:r>
        <w:rPr>
          <w:bCs/>
        </w:rPr>
        <w:t>.</w:t>
      </w:r>
    </w:p>
    <w:p w14:paraId="43295ED6" w14:textId="77777777" w:rsidR="00916D22" w:rsidRPr="001E6D57" w:rsidRDefault="00916D22" w:rsidP="00916D22">
      <w:pPr>
        <w:pStyle w:val="LI-BodyTextParaa"/>
        <w:ind w:left="0" w:firstLine="0"/>
        <w:rPr>
          <w:u w:val="single"/>
        </w:rPr>
      </w:pPr>
      <w:r w:rsidRPr="001E6D57">
        <w:rPr>
          <w:u w:val="single"/>
        </w:rPr>
        <w:t>Matters that may be dealt with in the derivative transaction rules – reporting requirements</w:t>
      </w:r>
    </w:p>
    <w:p w14:paraId="252803DF" w14:textId="1F0B95C3" w:rsidR="00916D22" w:rsidRPr="00564D29" w:rsidRDefault="00916D22" w:rsidP="002E110A">
      <w:pPr>
        <w:pStyle w:val="LI-BodyTextParaa"/>
        <w:numPr>
          <w:ilvl w:val="0"/>
          <w:numId w:val="3"/>
        </w:numPr>
        <w:rPr>
          <w:bCs/>
        </w:rPr>
      </w:pPr>
      <w:r w:rsidRPr="00564D29">
        <w:rPr>
          <w:bCs/>
        </w:rPr>
        <w:t>Under paragraph 901A(2)(</w:t>
      </w:r>
      <w:r w:rsidR="007A470F">
        <w:rPr>
          <w:bCs/>
        </w:rPr>
        <w:t>b</w:t>
      </w:r>
      <w:r w:rsidRPr="00564D29">
        <w:rPr>
          <w:bCs/>
        </w:rPr>
        <w:t xml:space="preserve">) and (d) of </w:t>
      </w:r>
      <w:r w:rsidR="00BE553B">
        <w:rPr>
          <w:bCs/>
        </w:rPr>
        <w:t>the Corporations Act</w:t>
      </w:r>
      <w:r w:rsidRPr="00564D29">
        <w:rPr>
          <w:bCs/>
        </w:rPr>
        <w:t xml:space="preserve">, the derivative transaction rules may, subject to Division 2 of Part 7.5A of </w:t>
      </w:r>
      <w:r w:rsidR="00BE553B">
        <w:rPr>
          <w:bCs/>
        </w:rPr>
        <w:t>the Corporations Act</w:t>
      </w:r>
      <w:r w:rsidRPr="00564D29">
        <w:rPr>
          <w:bCs/>
        </w:rPr>
        <w:t xml:space="preserve">, impose reporting requirements, and requirements that are incidental or related to reporting requirements. </w:t>
      </w:r>
      <w:r w:rsidR="001901D4">
        <w:rPr>
          <w:bCs/>
        </w:rPr>
        <w:t>“</w:t>
      </w:r>
      <w:r w:rsidRPr="00564D29">
        <w:rPr>
          <w:bCs/>
        </w:rPr>
        <w:t>Reporting requirements</w:t>
      </w:r>
      <w:r w:rsidR="001901D4">
        <w:rPr>
          <w:bCs/>
        </w:rPr>
        <w:t>”</w:t>
      </w:r>
      <w:r w:rsidRPr="00564D29">
        <w:rPr>
          <w:bCs/>
        </w:rPr>
        <w:t xml:space="preserve"> is defined in subsection 901A(6) as requirements for information about derivative transactions, or about positions relating to derivative transactions, to be reported to:</w:t>
      </w:r>
    </w:p>
    <w:p w14:paraId="0B294A79" w14:textId="77777777" w:rsidR="00916D22" w:rsidRPr="00564D29" w:rsidRDefault="00916D22" w:rsidP="002E110A">
      <w:pPr>
        <w:pStyle w:val="LI-BodyTextParaa"/>
        <w:numPr>
          <w:ilvl w:val="1"/>
          <w:numId w:val="21"/>
        </w:numPr>
        <w:rPr>
          <w:bCs/>
        </w:rPr>
      </w:pPr>
      <w:r w:rsidRPr="00564D29">
        <w:rPr>
          <w:bCs/>
        </w:rPr>
        <w:t>a licensed derivative trade repository, the licence for which authorises the repository to provide services in respect of a class of derivatives that includes the derivatives to which the transactions relate (see paragraph 901A(6)(a)); or</w:t>
      </w:r>
    </w:p>
    <w:p w14:paraId="4A1AA9DF" w14:textId="77777777" w:rsidR="00916D22" w:rsidRPr="00564D29" w:rsidRDefault="00916D22" w:rsidP="002E110A">
      <w:pPr>
        <w:pStyle w:val="LI-BodyTextParaa"/>
        <w:numPr>
          <w:ilvl w:val="1"/>
          <w:numId w:val="21"/>
        </w:numPr>
        <w:rPr>
          <w:bCs/>
        </w:rPr>
      </w:pPr>
      <w:r w:rsidRPr="00564D29">
        <w:rPr>
          <w:bCs/>
        </w:rPr>
        <w:lastRenderedPageBreak/>
        <w:t>a facility that is (or that is in a class of facilities that is) prescribed by the regulations for the purpose of this paragraph in relation to a class of derivatives that includes the derivatives to which the transactions relate (see paragraph 901A(6)(b)).</w:t>
      </w:r>
    </w:p>
    <w:p w14:paraId="7BF3A667" w14:textId="77777777" w:rsidR="00916D22" w:rsidRDefault="00916D22" w:rsidP="002E110A">
      <w:pPr>
        <w:pStyle w:val="LI-BodyTextParaa"/>
        <w:numPr>
          <w:ilvl w:val="0"/>
          <w:numId w:val="3"/>
        </w:numPr>
        <w:rPr>
          <w:bCs/>
        </w:rPr>
      </w:pPr>
      <w:r w:rsidRPr="000F7276">
        <w:rPr>
          <w:bCs/>
        </w:rPr>
        <w:t xml:space="preserve">Regulation 7.5A.30 sets out that, after 30 June 2015, a prescribed facility is only a facility determined by ASIC. </w:t>
      </w:r>
      <w:r>
        <w:rPr>
          <w:bCs/>
        </w:rPr>
        <w:t>Paragraph (2A) of the regulation states that ASIC must not determine a facility unless ASIC is satisfied that:</w:t>
      </w:r>
    </w:p>
    <w:p w14:paraId="4D43A7D1" w14:textId="61827B25" w:rsidR="00916D22" w:rsidRDefault="003E365E" w:rsidP="002E110A">
      <w:pPr>
        <w:pStyle w:val="LI-BodyTextParaa"/>
        <w:numPr>
          <w:ilvl w:val="1"/>
          <w:numId w:val="22"/>
        </w:numPr>
        <w:rPr>
          <w:bCs/>
        </w:rPr>
      </w:pPr>
      <w:r>
        <w:rPr>
          <w:bCs/>
        </w:rPr>
        <w:t>e</w:t>
      </w:r>
      <w:r w:rsidRPr="00AE082D">
        <w:rPr>
          <w:bCs/>
        </w:rPr>
        <w:t xml:space="preserve">ither </w:t>
      </w:r>
      <w:r w:rsidR="00916D22" w:rsidRPr="00AE082D">
        <w:rPr>
          <w:bCs/>
        </w:rPr>
        <w:t xml:space="preserve">the facility has adopted rules, procedures or processes that substantially implement the </w:t>
      </w:r>
      <w:proofErr w:type="spellStart"/>
      <w:r w:rsidR="00916D22" w:rsidRPr="00AE082D">
        <w:rPr>
          <w:bCs/>
        </w:rPr>
        <w:t>CPSS‑IOSCO</w:t>
      </w:r>
      <w:proofErr w:type="spellEnd"/>
      <w:r w:rsidR="00916D22" w:rsidRPr="00AE082D">
        <w:rPr>
          <w:bCs/>
        </w:rPr>
        <w:t xml:space="preserve"> Principles applicable to the regulation of derivative trade repositories or the foreign jurisdiction concerned has adopted legislation, policies, </w:t>
      </w:r>
      <w:proofErr w:type="gramStart"/>
      <w:r w:rsidR="00916D22" w:rsidRPr="00AE082D">
        <w:rPr>
          <w:bCs/>
        </w:rPr>
        <w:t>standards</w:t>
      </w:r>
      <w:proofErr w:type="gramEnd"/>
      <w:r w:rsidR="00916D22" w:rsidRPr="00AE082D">
        <w:rPr>
          <w:bCs/>
        </w:rPr>
        <w:t xml:space="preserve"> or practices that substantially implement the </w:t>
      </w:r>
      <w:proofErr w:type="spellStart"/>
      <w:r w:rsidR="00916D22" w:rsidRPr="00AE082D">
        <w:rPr>
          <w:bCs/>
        </w:rPr>
        <w:t>CPSS‑IOSCO</w:t>
      </w:r>
      <w:proofErr w:type="spellEnd"/>
      <w:r w:rsidR="00916D22" w:rsidRPr="00AE082D">
        <w:rPr>
          <w:bCs/>
        </w:rPr>
        <w:t xml:space="preserve"> Principles applicable to the regulation of derivative trade repositories; and</w:t>
      </w:r>
    </w:p>
    <w:p w14:paraId="3789D411" w14:textId="77777777" w:rsidR="00916D22" w:rsidRDefault="00916D22" w:rsidP="002E110A">
      <w:pPr>
        <w:pStyle w:val="LI-BodyTextParaa"/>
        <w:numPr>
          <w:ilvl w:val="1"/>
          <w:numId w:val="22"/>
        </w:numPr>
        <w:rPr>
          <w:bCs/>
        </w:rPr>
      </w:pPr>
      <w:r w:rsidRPr="00DA682C">
        <w:rPr>
          <w:bCs/>
        </w:rPr>
        <w:t xml:space="preserve">adequate arrangements exist for cooperation between ASIC and an appropriate authority responsible for licensing, </w:t>
      </w:r>
      <w:proofErr w:type="gramStart"/>
      <w:r w:rsidRPr="00DA682C">
        <w:rPr>
          <w:bCs/>
        </w:rPr>
        <w:t>authorising</w:t>
      </w:r>
      <w:proofErr w:type="gramEnd"/>
      <w:r w:rsidRPr="00DA682C">
        <w:rPr>
          <w:bCs/>
        </w:rPr>
        <w:t xml:space="preserve"> or registering the facility as a derivative trade repository in the foreign jurisdiction.</w:t>
      </w:r>
    </w:p>
    <w:p w14:paraId="3D997388" w14:textId="44B1C5C7" w:rsidR="00916D22" w:rsidRPr="00DA682C" w:rsidRDefault="00916D22" w:rsidP="002E110A">
      <w:pPr>
        <w:pStyle w:val="LI-BodyTextParaa"/>
        <w:numPr>
          <w:ilvl w:val="0"/>
          <w:numId w:val="3"/>
        </w:numPr>
        <w:rPr>
          <w:bCs/>
        </w:rPr>
      </w:pPr>
      <w:r w:rsidRPr="00DA682C">
        <w:rPr>
          <w:bCs/>
        </w:rPr>
        <w:t>As at the time of making</w:t>
      </w:r>
      <w:r w:rsidRPr="00633FF7">
        <w:rPr>
          <w:bCs/>
        </w:rPr>
        <w:t xml:space="preserve"> of </w:t>
      </w:r>
      <w:r w:rsidR="00F04DB8">
        <w:rPr>
          <w:bCs/>
        </w:rPr>
        <w:t>the 2024 Rules</w:t>
      </w:r>
      <w:r w:rsidRPr="00DE4C5B">
        <w:rPr>
          <w:bCs/>
        </w:rPr>
        <w:t xml:space="preserve">, </w:t>
      </w:r>
      <w:r w:rsidRPr="00231177">
        <w:rPr>
          <w:bCs/>
          <w:i/>
          <w:iCs/>
        </w:rPr>
        <w:t>ASIC Prescribed Trade Repositories Determination [15-0591]</w:t>
      </w:r>
      <w:r w:rsidRPr="00966156">
        <w:rPr>
          <w:bCs/>
        </w:rPr>
        <w:t xml:space="preserve"> prescribes </w:t>
      </w:r>
      <w:r w:rsidRPr="003C3060">
        <w:rPr>
          <w:bCs/>
        </w:rPr>
        <w:t>eight overseas derivative trade repositories as prescribed repositories</w:t>
      </w:r>
      <w:r w:rsidRPr="00DA682C">
        <w:rPr>
          <w:bCs/>
        </w:rPr>
        <w:t>.</w:t>
      </w:r>
    </w:p>
    <w:p w14:paraId="58784621" w14:textId="3390AE66" w:rsidR="00916D22" w:rsidRPr="00A66C95" w:rsidRDefault="00916D22" w:rsidP="002E110A">
      <w:pPr>
        <w:pStyle w:val="LI-BodyTextParaa"/>
        <w:numPr>
          <w:ilvl w:val="0"/>
          <w:numId w:val="3"/>
        </w:numPr>
        <w:rPr>
          <w:bCs/>
        </w:rPr>
      </w:pPr>
      <w:r w:rsidRPr="00A66C95">
        <w:rPr>
          <w:bCs/>
        </w:rPr>
        <w:t xml:space="preserve">Under subsection 901A(3) of </w:t>
      </w:r>
      <w:r w:rsidR="00BE553B">
        <w:rPr>
          <w:bCs/>
        </w:rPr>
        <w:t>the Corporations Act</w:t>
      </w:r>
      <w:r w:rsidRPr="00A66C95">
        <w:rPr>
          <w:bCs/>
        </w:rPr>
        <w:t xml:space="preserve">, the derivative transaction rules may also, subject to Division 2 of Part 7.5A of </w:t>
      </w:r>
      <w:r w:rsidR="00BE553B">
        <w:rPr>
          <w:bCs/>
        </w:rPr>
        <w:t>the Corporations Act</w:t>
      </w:r>
      <w:r w:rsidRPr="00A66C95">
        <w:rPr>
          <w:bCs/>
        </w:rPr>
        <w:t>, deal with matters incidental to or related to requirements referred to in subsection</w:t>
      </w:r>
      <w:r>
        <w:rPr>
          <w:bCs/>
        </w:rPr>
        <w:t xml:space="preserve"> </w:t>
      </w:r>
      <w:r w:rsidRPr="00A66C95">
        <w:rPr>
          <w:bCs/>
        </w:rPr>
        <w:t xml:space="preserve">901A(2) of </w:t>
      </w:r>
      <w:r w:rsidR="00BE553B">
        <w:rPr>
          <w:bCs/>
        </w:rPr>
        <w:t>the Corporations Act</w:t>
      </w:r>
      <w:r w:rsidRPr="00A66C95">
        <w:rPr>
          <w:bCs/>
        </w:rPr>
        <w:t>, including any of the following:</w:t>
      </w:r>
    </w:p>
    <w:p w14:paraId="1927376F" w14:textId="507F45F0" w:rsidR="00916D22" w:rsidRPr="00A66C95" w:rsidRDefault="00916D22" w:rsidP="002E110A">
      <w:pPr>
        <w:pStyle w:val="LI-BodyTextParaa"/>
        <w:numPr>
          <w:ilvl w:val="1"/>
          <w:numId w:val="23"/>
        </w:numPr>
        <w:rPr>
          <w:bCs/>
        </w:rPr>
      </w:pPr>
      <w:r w:rsidRPr="00A66C95">
        <w:rPr>
          <w:bCs/>
        </w:rPr>
        <w:t xml:space="preserve">specifying the classes of derivative transactions in relation to which particular requirements apply (see paragraph 901A(3)(a) of </w:t>
      </w:r>
      <w:r w:rsidR="00BE553B">
        <w:rPr>
          <w:bCs/>
        </w:rPr>
        <w:t>the Corporations Act</w:t>
      </w:r>
      <w:proofErr w:type="gramStart"/>
      <w:r w:rsidRPr="00A66C95">
        <w:rPr>
          <w:bCs/>
        </w:rPr>
        <w:t>);</w:t>
      </w:r>
      <w:proofErr w:type="gramEnd"/>
    </w:p>
    <w:p w14:paraId="10864FD4" w14:textId="77777777" w:rsidR="00916D22" w:rsidRPr="00A66C95" w:rsidRDefault="00916D22" w:rsidP="002E110A">
      <w:pPr>
        <w:pStyle w:val="LI-BodyTextParaa"/>
        <w:numPr>
          <w:ilvl w:val="1"/>
          <w:numId w:val="23"/>
        </w:numPr>
        <w:rPr>
          <w:bCs/>
        </w:rPr>
      </w:pPr>
      <w:r w:rsidRPr="00A66C95">
        <w:rPr>
          <w:bCs/>
        </w:rPr>
        <w:t>for reporting requirements:</w:t>
      </w:r>
    </w:p>
    <w:p w14:paraId="0BB13BD4" w14:textId="77777777" w:rsidR="00916D22" w:rsidRPr="00A66C95" w:rsidRDefault="00916D22" w:rsidP="002E110A">
      <w:pPr>
        <w:pStyle w:val="LI-BodyTextParaa"/>
        <w:numPr>
          <w:ilvl w:val="2"/>
          <w:numId w:val="23"/>
        </w:numPr>
        <w:rPr>
          <w:bCs/>
        </w:rPr>
      </w:pPr>
      <w:r w:rsidRPr="00A66C95">
        <w:t>specifying the licensed derivative trade repository or prescribed derivative trade repository (or the class of licensed derivative trade repository or prescribed derivative trade repository),</w:t>
      </w:r>
      <w:r w:rsidRPr="00A66C95">
        <w:rPr>
          <w:i/>
          <w:iCs/>
        </w:rPr>
        <w:t xml:space="preserve"> </w:t>
      </w:r>
      <w:r w:rsidRPr="00A66C95">
        <w:t>to which information about derivative transactions, or positions, in a particular class must be reported; and</w:t>
      </w:r>
    </w:p>
    <w:p w14:paraId="2950F641" w14:textId="3DAADB95" w:rsidR="00916D22" w:rsidRPr="00A66C95" w:rsidRDefault="00916D22" w:rsidP="002E110A">
      <w:pPr>
        <w:pStyle w:val="LI-BodyTextParaa"/>
        <w:numPr>
          <w:ilvl w:val="2"/>
          <w:numId w:val="23"/>
        </w:numPr>
        <w:rPr>
          <w:bCs/>
        </w:rPr>
      </w:pPr>
      <w:r w:rsidRPr="00A66C95">
        <w:t xml:space="preserve">specifying the information that is required to be reported (see paragraph 901A(3)(c) of </w:t>
      </w:r>
      <w:r w:rsidR="00BE553B">
        <w:t>the Corporations Act</w:t>
      </w:r>
      <w:proofErr w:type="gramStart"/>
      <w:r w:rsidRPr="00A66C95">
        <w:t>);</w:t>
      </w:r>
      <w:proofErr w:type="gramEnd"/>
    </w:p>
    <w:p w14:paraId="2203E4F8" w14:textId="5EB6C356" w:rsidR="00916D22" w:rsidRPr="00A66C95" w:rsidRDefault="00916D22" w:rsidP="002E110A">
      <w:pPr>
        <w:pStyle w:val="LI-BodyTextParaa"/>
        <w:numPr>
          <w:ilvl w:val="1"/>
          <w:numId w:val="23"/>
        </w:numPr>
        <w:rPr>
          <w:bCs/>
        </w:rPr>
      </w:pPr>
      <w:r w:rsidRPr="00A66C95">
        <w:rPr>
          <w:bCs/>
        </w:rPr>
        <w:t xml:space="preserve">specifying the persons who are required to comply with requirements imposed by the rules (see paragraph 901A(3)(e) of </w:t>
      </w:r>
      <w:r w:rsidR="00BE553B">
        <w:rPr>
          <w:bCs/>
        </w:rPr>
        <w:t>the Corporations Act</w:t>
      </w:r>
      <w:proofErr w:type="gramStart"/>
      <w:r w:rsidRPr="00A66C95">
        <w:rPr>
          <w:bCs/>
        </w:rPr>
        <w:t>);</w:t>
      </w:r>
      <w:proofErr w:type="gramEnd"/>
    </w:p>
    <w:p w14:paraId="0A73D145" w14:textId="24709CC6" w:rsidR="00916D22" w:rsidRPr="00A66C95" w:rsidRDefault="00916D22" w:rsidP="002E110A">
      <w:pPr>
        <w:pStyle w:val="LI-BodyTextParaa"/>
        <w:numPr>
          <w:ilvl w:val="1"/>
          <w:numId w:val="23"/>
        </w:numPr>
        <w:rPr>
          <w:bCs/>
        </w:rPr>
      </w:pPr>
      <w:r w:rsidRPr="00A66C95">
        <w:rPr>
          <w:bCs/>
        </w:rPr>
        <w:t xml:space="preserve">the manner and form in which persons must comply with requirements imposed by the rules (see paragraph 901A(3)(f) of </w:t>
      </w:r>
      <w:r w:rsidR="00BE553B">
        <w:rPr>
          <w:bCs/>
        </w:rPr>
        <w:t>the Corporations Act</w:t>
      </w:r>
      <w:proofErr w:type="gramStart"/>
      <w:r w:rsidRPr="00A66C95">
        <w:rPr>
          <w:bCs/>
        </w:rPr>
        <w:t>);</w:t>
      </w:r>
      <w:proofErr w:type="gramEnd"/>
    </w:p>
    <w:p w14:paraId="182FE902" w14:textId="0F3B2C4D" w:rsidR="00916D22" w:rsidRPr="00A66C95" w:rsidRDefault="00916D22" w:rsidP="002E110A">
      <w:pPr>
        <w:pStyle w:val="LI-BodyTextParaa"/>
        <w:numPr>
          <w:ilvl w:val="1"/>
          <w:numId w:val="23"/>
        </w:numPr>
        <w:rPr>
          <w:bCs/>
        </w:rPr>
      </w:pPr>
      <w:r w:rsidRPr="00A66C95">
        <w:lastRenderedPageBreak/>
        <w:t xml:space="preserve">the circumstances in which persons are, or may be, relieved from complying with requirements in the rules that would otherwise apply to them (see paragraph 901A(3)(g) of </w:t>
      </w:r>
      <w:r w:rsidR="00BE553B">
        <w:t>the Corporations Act</w:t>
      </w:r>
      <w:proofErr w:type="gramStart"/>
      <w:r w:rsidRPr="00A66C95">
        <w:t>);</w:t>
      </w:r>
      <w:proofErr w:type="gramEnd"/>
    </w:p>
    <w:p w14:paraId="010ABA43" w14:textId="6C1F4DAD" w:rsidR="00916D22" w:rsidRPr="00A66C95" w:rsidRDefault="00916D22" w:rsidP="002E110A">
      <w:pPr>
        <w:pStyle w:val="LI-BodyTextParaa"/>
        <w:numPr>
          <w:ilvl w:val="1"/>
          <w:numId w:val="23"/>
        </w:numPr>
        <w:rPr>
          <w:bCs/>
        </w:rPr>
      </w:pPr>
      <w:r w:rsidRPr="00A66C95">
        <w:t xml:space="preserve">the keeping of records, or the provision of records or other information, relating to compliance with (or determining whether there has been compliance with) the rules (see paragraph 901A(3)(h) of </w:t>
      </w:r>
      <w:r w:rsidR="00BE553B">
        <w:t>the Corporations Act</w:t>
      </w:r>
      <w:proofErr w:type="gramStart"/>
      <w:r w:rsidRPr="00A66C95">
        <w:t>);</w:t>
      </w:r>
      <w:proofErr w:type="gramEnd"/>
    </w:p>
    <w:p w14:paraId="1398493A" w14:textId="31D33DA6" w:rsidR="00916D22" w:rsidRPr="00A66C95" w:rsidRDefault="00916D22" w:rsidP="002E110A">
      <w:pPr>
        <w:pStyle w:val="LI-BodyTextParaa"/>
        <w:numPr>
          <w:ilvl w:val="1"/>
          <w:numId w:val="23"/>
        </w:numPr>
        <w:rPr>
          <w:bCs/>
        </w:rPr>
      </w:pPr>
      <w:r w:rsidRPr="00A66C95">
        <w:t xml:space="preserve">any other matters that the provisions of </w:t>
      </w:r>
      <w:r w:rsidR="00BE553B">
        <w:t>the Corporations Act</w:t>
      </w:r>
      <w:r w:rsidRPr="00A66C95">
        <w:t xml:space="preserve"> provide may be dealt with in the derivative transaction rules (see paragraph 901A(3)(</w:t>
      </w:r>
      <w:proofErr w:type="spellStart"/>
      <w:r w:rsidRPr="00A66C95">
        <w:t>i</w:t>
      </w:r>
      <w:proofErr w:type="spellEnd"/>
      <w:r w:rsidRPr="00A66C95">
        <w:t xml:space="preserve">) of </w:t>
      </w:r>
      <w:r w:rsidR="00BE553B">
        <w:t>the Corporations Act</w:t>
      </w:r>
      <w:r w:rsidRPr="00A66C95">
        <w:t>).</w:t>
      </w:r>
    </w:p>
    <w:p w14:paraId="543DE1FB" w14:textId="77777777" w:rsidR="00916D22" w:rsidRPr="00633FF7" w:rsidRDefault="00916D22" w:rsidP="00916D22">
      <w:pPr>
        <w:pStyle w:val="LI-BodyTextParaa"/>
        <w:ind w:left="0" w:firstLine="0"/>
        <w:rPr>
          <w:u w:val="single"/>
        </w:rPr>
      </w:pPr>
      <w:r w:rsidRPr="00633FF7">
        <w:rPr>
          <w:u w:val="single"/>
        </w:rPr>
        <w:t>Limitations on rule-making power</w:t>
      </w:r>
    </w:p>
    <w:p w14:paraId="65132A18" w14:textId="77777777" w:rsidR="00916D22" w:rsidRPr="00A66C95" w:rsidRDefault="00916D22" w:rsidP="002E110A">
      <w:pPr>
        <w:pStyle w:val="LI-BodyTextParaa"/>
        <w:numPr>
          <w:ilvl w:val="0"/>
          <w:numId w:val="3"/>
        </w:numPr>
        <w:rPr>
          <w:bCs/>
        </w:rPr>
      </w:pPr>
      <w:r w:rsidRPr="00A66C95">
        <w:rPr>
          <w:bCs/>
        </w:rPr>
        <w:t>ASIC’s power to make derivative transaction rules imposing reporting requirements is subject to a number of limitations.</w:t>
      </w:r>
    </w:p>
    <w:p w14:paraId="2B42BD07" w14:textId="77777777" w:rsidR="00916D22" w:rsidRPr="00633FF7" w:rsidRDefault="00916D22" w:rsidP="00916D22">
      <w:pPr>
        <w:pStyle w:val="LI-BodyTextParaa"/>
        <w:ind w:left="0" w:firstLine="0"/>
        <w:rPr>
          <w:i/>
          <w:iCs/>
        </w:rPr>
      </w:pPr>
      <w:r w:rsidRPr="00633FF7">
        <w:rPr>
          <w:i/>
          <w:iCs/>
        </w:rPr>
        <w:t>Ministerial determination</w:t>
      </w:r>
    </w:p>
    <w:p w14:paraId="3A5A7502" w14:textId="62442305" w:rsidR="00916D22" w:rsidRPr="00A66C95" w:rsidRDefault="00916D22" w:rsidP="002E110A">
      <w:pPr>
        <w:pStyle w:val="LI-BodyTextParaa"/>
        <w:numPr>
          <w:ilvl w:val="0"/>
          <w:numId w:val="3"/>
        </w:numPr>
        <w:rPr>
          <w:bCs/>
        </w:rPr>
      </w:pPr>
      <w:r w:rsidRPr="00A66C95">
        <w:rPr>
          <w:bCs/>
        </w:rPr>
        <w:t xml:space="preserve">Subsection 901B(1) of </w:t>
      </w:r>
      <w:r w:rsidR="00BE553B">
        <w:rPr>
          <w:bCs/>
        </w:rPr>
        <w:t>the Corporations Act</w:t>
      </w:r>
      <w:r w:rsidRPr="00A66C95">
        <w:rPr>
          <w:bCs/>
        </w:rPr>
        <w:t xml:space="preserve"> provides that the derivative transaction rules cannot impose reporting requirements in relation to derivative transactions unless the derivatives to which the transactions relate are covered by a determination under section 901B of </w:t>
      </w:r>
      <w:r w:rsidR="00BE553B">
        <w:rPr>
          <w:bCs/>
        </w:rPr>
        <w:t>the Corporations Act</w:t>
      </w:r>
      <w:r w:rsidRPr="00A66C95">
        <w:rPr>
          <w:bCs/>
        </w:rPr>
        <w:t xml:space="preserve"> that relates to requirements of that kind.</w:t>
      </w:r>
    </w:p>
    <w:p w14:paraId="3B47A1CC" w14:textId="2B4B9158" w:rsidR="00916D22" w:rsidRPr="00A66C95" w:rsidRDefault="00916D22" w:rsidP="002E110A">
      <w:pPr>
        <w:pStyle w:val="LI-BodyTextParaa"/>
        <w:numPr>
          <w:ilvl w:val="0"/>
          <w:numId w:val="3"/>
        </w:numPr>
        <w:rPr>
          <w:bCs/>
        </w:rPr>
      </w:pPr>
      <w:r w:rsidRPr="00A66C95">
        <w:rPr>
          <w:bCs/>
        </w:rPr>
        <w:t xml:space="preserve">On 2 May 2013 the Treasurer made the </w:t>
      </w:r>
      <w:r w:rsidR="00B002F4" w:rsidRPr="00231177">
        <w:rPr>
          <w:bCs/>
          <w:i/>
          <w:iCs/>
        </w:rPr>
        <w:t>Corporations (Derivatives) Determination 2013</w:t>
      </w:r>
      <w:r w:rsidRPr="00A66C95">
        <w:rPr>
          <w:bCs/>
        </w:rPr>
        <w:t xml:space="preserve"> (</w:t>
      </w:r>
      <w:r w:rsidRPr="00231177">
        <w:rPr>
          <w:b/>
          <w:i/>
          <w:iCs/>
        </w:rPr>
        <w:t>Ministerial Determination</w:t>
      </w:r>
      <w:r w:rsidRPr="00A66C95">
        <w:rPr>
          <w:bCs/>
        </w:rPr>
        <w:t xml:space="preserve">) under subsection 901B(2) of </w:t>
      </w:r>
      <w:r w:rsidR="00BE553B">
        <w:rPr>
          <w:bCs/>
        </w:rPr>
        <w:t>the Corporations Act</w:t>
      </w:r>
      <w:r w:rsidRPr="00A66C95">
        <w:rPr>
          <w:bCs/>
        </w:rPr>
        <w:t xml:space="preserve">, determining the class of derivatives in relation which reporting requirements may be imposed. Under the Ministerial Determination, the classes of derivatives determined for subsection 901B(2) of </w:t>
      </w:r>
      <w:r w:rsidR="00BE553B">
        <w:rPr>
          <w:bCs/>
        </w:rPr>
        <w:t>the Corporations Act</w:t>
      </w:r>
      <w:r w:rsidRPr="00A66C95">
        <w:rPr>
          <w:bCs/>
        </w:rPr>
        <w:t xml:space="preserve"> is:</w:t>
      </w:r>
    </w:p>
    <w:p w14:paraId="4616E14E" w14:textId="77777777" w:rsidR="00916D22" w:rsidRPr="00A66C95" w:rsidRDefault="00916D22" w:rsidP="008A4584">
      <w:pPr>
        <w:pStyle w:val="LI-BodyTextParaa"/>
        <w:numPr>
          <w:ilvl w:val="1"/>
          <w:numId w:val="31"/>
        </w:numPr>
      </w:pPr>
      <w:r w:rsidRPr="00A66C95">
        <w:t xml:space="preserve">commodity derivatives that are not electricity </w:t>
      </w:r>
      <w:proofErr w:type="gramStart"/>
      <w:r w:rsidRPr="00A66C95">
        <w:t>derivatives;</w:t>
      </w:r>
      <w:proofErr w:type="gramEnd"/>
    </w:p>
    <w:p w14:paraId="76CE5123" w14:textId="77777777" w:rsidR="00916D22" w:rsidRPr="00A66C95" w:rsidRDefault="00916D22" w:rsidP="008A4584">
      <w:pPr>
        <w:pStyle w:val="LI-BodyTextParaa"/>
        <w:numPr>
          <w:ilvl w:val="1"/>
          <w:numId w:val="31"/>
        </w:numPr>
      </w:pPr>
      <w:r w:rsidRPr="00A66C95">
        <w:t xml:space="preserve">credit </w:t>
      </w:r>
      <w:proofErr w:type="gramStart"/>
      <w:r w:rsidRPr="00A66C95">
        <w:t>derivatives;</w:t>
      </w:r>
      <w:proofErr w:type="gramEnd"/>
    </w:p>
    <w:p w14:paraId="640BA9D1" w14:textId="77777777" w:rsidR="00916D22" w:rsidRPr="00A66C95" w:rsidRDefault="00916D22" w:rsidP="008A4584">
      <w:pPr>
        <w:pStyle w:val="LI-BodyTextParaa"/>
        <w:numPr>
          <w:ilvl w:val="1"/>
          <w:numId w:val="31"/>
        </w:numPr>
      </w:pPr>
      <w:r w:rsidRPr="00A66C95">
        <w:t xml:space="preserve">equity </w:t>
      </w:r>
      <w:proofErr w:type="gramStart"/>
      <w:r w:rsidRPr="00A66C95">
        <w:t>derivatives;</w:t>
      </w:r>
      <w:proofErr w:type="gramEnd"/>
    </w:p>
    <w:p w14:paraId="2E7EABBE" w14:textId="77777777" w:rsidR="00916D22" w:rsidRPr="00A66C95" w:rsidRDefault="00916D22" w:rsidP="008A4584">
      <w:pPr>
        <w:pStyle w:val="LI-BodyTextParaa"/>
        <w:numPr>
          <w:ilvl w:val="1"/>
          <w:numId w:val="31"/>
        </w:numPr>
      </w:pPr>
      <w:r w:rsidRPr="00A66C95">
        <w:t>foreign exchange derivatives; and</w:t>
      </w:r>
    </w:p>
    <w:p w14:paraId="4C8F5251" w14:textId="77777777" w:rsidR="00916D22" w:rsidRPr="00A66C95" w:rsidRDefault="00916D22" w:rsidP="008A4584">
      <w:pPr>
        <w:pStyle w:val="LI-BodyTextParaa"/>
        <w:numPr>
          <w:ilvl w:val="1"/>
          <w:numId w:val="31"/>
        </w:numPr>
      </w:pPr>
      <w:r w:rsidRPr="00A66C95">
        <w:t>interest rate derivatives.</w:t>
      </w:r>
    </w:p>
    <w:p w14:paraId="3155D368" w14:textId="72FD32A4" w:rsidR="00916D22" w:rsidRPr="00A66C95" w:rsidRDefault="00F04DB8" w:rsidP="002E110A">
      <w:pPr>
        <w:pStyle w:val="LI-BodyTextParaa"/>
        <w:numPr>
          <w:ilvl w:val="0"/>
          <w:numId w:val="3"/>
        </w:numPr>
        <w:rPr>
          <w:bCs/>
        </w:rPr>
      </w:pPr>
      <w:r>
        <w:rPr>
          <w:bCs/>
        </w:rPr>
        <w:t>The 2024 Rules</w:t>
      </w:r>
      <w:r w:rsidR="00916D22" w:rsidRPr="00A66C95">
        <w:rPr>
          <w:bCs/>
        </w:rPr>
        <w:t xml:space="preserve"> apply only to derivative transactions in derivatives in the prescribed class.</w:t>
      </w:r>
    </w:p>
    <w:p w14:paraId="449BF86D" w14:textId="0CA7BE08" w:rsidR="00916D22" w:rsidRPr="00633FF7" w:rsidRDefault="00916D22" w:rsidP="00916D22">
      <w:pPr>
        <w:pStyle w:val="LI-BodyTextParaa"/>
        <w:ind w:left="0" w:firstLine="0"/>
        <w:rPr>
          <w:i/>
          <w:iCs/>
        </w:rPr>
      </w:pPr>
      <w:r w:rsidRPr="00633FF7">
        <w:rPr>
          <w:i/>
          <w:iCs/>
        </w:rPr>
        <w:t>Transactions and positions to which the</w:t>
      </w:r>
      <w:r w:rsidR="003E365E">
        <w:rPr>
          <w:i/>
          <w:iCs/>
        </w:rPr>
        <w:t xml:space="preserve"> 2024</w:t>
      </w:r>
      <w:r w:rsidRPr="00633FF7">
        <w:rPr>
          <w:i/>
          <w:iCs/>
        </w:rPr>
        <w:t xml:space="preserve"> Rules apply</w:t>
      </w:r>
    </w:p>
    <w:p w14:paraId="2E96378E" w14:textId="1FC6B894" w:rsidR="00916D22" w:rsidRPr="00A66C95" w:rsidRDefault="00916D22" w:rsidP="002E110A">
      <w:pPr>
        <w:pStyle w:val="LI-BodyTextParaa"/>
        <w:numPr>
          <w:ilvl w:val="0"/>
          <w:numId w:val="3"/>
        </w:numPr>
        <w:rPr>
          <w:bCs/>
        </w:rPr>
      </w:pPr>
      <w:r w:rsidRPr="00A66C95">
        <w:rPr>
          <w:bCs/>
        </w:rPr>
        <w:t xml:space="preserve">Paragraph 901A(8)(b) of </w:t>
      </w:r>
      <w:r w:rsidR="00BE553B">
        <w:rPr>
          <w:bCs/>
        </w:rPr>
        <w:t>the Corporations Act</w:t>
      </w:r>
      <w:r w:rsidRPr="00A66C95">
        <w:rPr>
          <w:bCs/>
        </w:rPr>
        <w:t xml:space="preserve"> provides that the derivative transaction rules cannot impose a reporting requirement on a person in relation to a derivative transaction entered into before the requirement started to apply to </w:t>
      </w:r>
      <w:r w:rsidRPr="00A66C95">
        <w:rPr>
          <w:bCs/>
        </w:rPr>
        <w:lastRenderedPageBreak/>
        <w:t xml:space="preserve">the person, or in relation to a position as it was at a time before the requirement started to apply to the person. </w:t>
      </w:r>
    </w:p>
    <w:p w14:paraId="53DE00C7" w14:textId="0D2E87D3" w:rsidR="00916D22" w:rsidRPr="00A66C95" w:rsidRDefault="00916D22" w:rsidP="002E110A">
      <w:pPr>
        <w:pStyle w:val="LI-BodyTextParaa"/>
        <w:numPr>
          <w:ilvl w:val="0"/>
          <w:numId w:val="3"/>
        </w:numPr>
        <w:rPr>
          <w:bCs/>
        </w:rPr>
      </w:pPr>
      <w:r w:rsidRPr="00A66C95">
        <w:rPr>
          <w:bCs/>
        </w:rPr>
        <w:t xml:space="preserve">The </w:t>
      </w:r>
      <w:r>
        <w:rPr>
          <w:bCs/>
        </w:rPr>
        <w:t xml:space="preserve">2013 </w:t>
      </w:r>
      <w:r w:rsidRPr="00A66C95">
        <w:rPr>
          <w:bCs/>
        </w:rPr>
        <w:t>Rules appl</w:t>
      </w:r>
      <w:r>
        <w:rPr>
          <w:bCs/>
        </w:rPr>
        <w:t>ied</w:t>
      </w:r>
      <w:r w:rsidRPr="00A66C95">
        <w:rPr>
          <w:bCs/>
        </w:rPr>
        <w:t xml:space="preserve"> only to derivative transactions entered into after the reporting requirements start</w:t>
      </w:r>
      <w:r>
        <w:rPr>
          <w:bCs/>
        </w:rPr>
        <w:t>ed</w:t>
      </w:r>
      <w:r w:rsidRPr="00A66C95">
        <w:rPr>
          <w:bCs/>
        </w:rPr>
        <w:t xml:space="preserve"> to apply to a person, and to positions as they </w:t>
      </w:r>
      <w:r>
        <w:rPr>
          <w:bCs/>
        </w:rPr>
        <w:t>were</w:t>
      </w:r>
      <w:r w:rsidRPr="00A66C95">
        <w:rPr>
          <w:bCs/>
        </w:rPr>
        <w:t xml:space="preserve"> at the time the reporting requirement start</w:t>
      </w:r>
      <w:r>
        <w:rPr>
          <w:bCs/>
        </w:rPr>
        <w:t>ed</w:t>
      </w:r>
      <w:r w:rsidRPr="00A66C95">
        <w:rPr>
          <w:bCs/>
        </w:rPr>
        <w:t xml:space="preserve"> to apply.</w:t>
      </w:r>
      <w:r>
        <w:rPr>
          <w:bCs/>
        </w:rPr>
        <w:t xml:space="preserve"> The 2022 Rules continue</w:t>
      </w:r>
      <w:r w:rsidR="00964C12">
        <w:rPr>
          <w:bCs/>
        </w:rPr>
        <w:t>d</w:t>
      </w:r>
      <w:r>
        <w:rPr>
          <w:bCs/>
        </w:rPr>
        <w:t xml:space="preserve"> the reporting requirements of the 2013 Rules and </w:t>
      </w:r>
      <w:r w:rsidR="005A6D7E">
        <w:rPr>
          <w:bCs/>
        </w:rPr>
        <w:t xml:space="preserve">did </w:t>
      </w:r>
      <w:r>
        <w:rPr>
          <w:bCs/>
        </w:rPr>
        <w:t>not impose any new or additional reporting requirements on derivative transactions entered into, or positions as they were, before the commencement of the 2022 Rules.</w:t>
      </w:r>
      <w:r w:rsidR="005A6D7E">
        <w:rPr>
          <w:bCs/>
        </w:rPr>
        <w:t xml:space="preserve"> The 2024 Rules change the reporting requirements of the 2022 Rules </w:t>
      </w:r>
      <w:r w:rsidR="00457290">
        <w:rPr>
          <w:bCs/>
        </w:rPr>
        <w:t>but</w:t>
      </w:r>
      <w:r w:rsidR="005A6D7E">
        <w:rPr>
          <w:bCs/>
        </w:rPr>
        <w:t xml:space="preserve"> d</w:t>
      </w:r>
      <w:r w:rsidR="00457290">
        <w:rPr>
          <w:bCs/>
        </w:rPr>
        <w:t>o</w:t>
      </w:r>
      <w:r w:rsidR="005A6D7E">
        <w:rPr>
          <w:bCs/>
        </w:rPr>
        <w:t xml:space="preserve"> not impose any new or additional reporting requirements on derivative transactions entered into, or positions as they were, before the commencement of the 202</w:t>
      </w:r>
      <w:r w:rsidR="00457290">
        <w:rPr>
          <w:bCs/>
        </w:rPr>
        <w:t>4</w:t>
      </w:r>
      <w:r w:rsidR="005A6D7E">
        <w:rPr>
          <w:bCs/>
        </w:rPr>
        <w:t xml:space="preserve"> Rules.</w:t>
      </w:r>
    </w:p>
    <w:p w14:paraId="06D0A2FF" w14:textId="6F217FDD" w:rsidR="00916D22" w:rsidRPr="00664118" w:rsidRDefault="003E365E" w:rsidP="00916D22">
      <w:pPr>
        <w:pStyle w:val="LI-BodyTextParaa"/>
        <w:ind w:left="0" w:firstLine="0"/>
        <w:rPr>
          <w:bCs/>
        </w:rPr>
      </w:pPr>
      <w:r>
        <w:rPr>
          <w:i/>
          <w:iCs/>
        </w:rPr>
        <w:t xml:space="preserve">Corporations </w:t>
      </w:r>
      <w:r w:rsidR="00916D22" w:rsidRPr="00664118">
        <w:rPr>
          <w:i/>
          <w:iCs/>
        </w:rPr>
        <w:t>Regulations</w:t>
      </w:r>
    </w:p>
    <w:p w14:paraId="0D09B5CE" w14:textId="3A3E1DD3" w:rsidR="00916D22" w:rsidRPr="00A66C95" w:rsidRDefault="00916D22" w:rsidP="002E110A">
      <w:pPr>
        <w:pStyle w:val="LI-BodyTextParaa"/>
        <w:numPr>
          <w:ilvl w:val="0"/>
          <w:numId w:val="3"/>
        </w:numPr>
        <w:rPr>
          <w:bCs/>
        </w:rPr>
      </w:pPr>
      <w:r w:rsidRPr="00A66C95">
        <w:rPr>
          <w:bCs/>
        </w:rPr>
        <w:t xml:space="preserve">Under section 901C of </w:t>
      </w:r>
      <w:r w:rsidR="00BE553B">
        <w:rPr>
          <w:bCs/>
        </w:rPr>
        <w:t>the Corporations Act</w:t>
      </w:r>
      <w:r w:rsidRPr="00A66C95">
        <w:rPr>
          <w:bCs/>
        </w:rPr>
        <w:t xml:space="preserve">, the </w:t>
      </w:r>
      <w:r w:rsidR="003E365E">
        <w:rPr>
          <w:bCs/>
        </w:rPr>
        <w:t>Corporations R</w:t>
      </w:r>
      <w:r w:rsidRPr="00A66C95">
        <w:rPr>
          <w:bCs/>
        </w:rPr>
        <w:t>egulations may provide that the derivative transaction rules:</w:t>
      </w:r>
    </w:p>
    <w:p w14:paraId="489056E8" w14:textId="77777777" w:rsidR="00916D22" w:rsidRPr="00A66C95" w:rsidRDefault="00916D22" w:rsidP="002E110A">
      <w:pPr>
        <w:pStyle w:val="LI-BodyTextParaa"/>
        <w:numPr>
          <w:ilvl w:val="1"/>
          <w:numId w:val="24"/>
        </w:numPr>
      </w:pPr>
      <w:r w:rsidRPr="00A66C95">
        <w:t>cannot impose requirements (or certain kinds of requirements) in relation to certain classes of derivative transactions; or</w:t>
      </w:r>
    </w:p>
    <w:p w14:paraId="6462EF86" w14:textId="77777777" w:rsidR="00916D22" w:rsidRPr="00A66C95" w:rsidRDefault="00916D22" w:rsidP="002E110A">
      <w:pPr>
        <w:pStyle w:val="LI-BodyTextParaa"/>
        <w:numPr>
          <w:ilvl w:val="1"/>
          <w:numId w:val="24"/>
        </w:numPr>
      </w:pPr>
      <w:r w:rsidRPr="00A66C95">
        <w:t>can only impose requirements (or certain kinds of requirements) in relation to certain classes of derivative transactions in certain circumstances.</w:t>
      </w:r>
    </w:p>
    <w:p w14:paraId="428BE170" w14:textId="4E1F869E" w:rsidR="00916D22" w:rsidRPr="00A66C95" w:rsidRDefault="00916D22" w:rsidP="002E110A">
      <w:pPr>
        <w:pStyle w:val="LI-BodyTextParaa"/>
        <w:numPr>
          <w:ilvl w:val="0"/>
          <w:numId w:val="3"/>
        </w:numPr>
        <w:rPr>
          <w:bCs/>
        </w:rPr>
      </w:pPr>
      <w:r w:rsidRPr="00A66C95">
        <w:rPr>
          <w:bCs/>
        </w:rPr>
        <w:t xml:space="preserve">Under section 901D of </w:t>
      </w:r>
      <w:r w:rsidR="00BE553B">
        <w:rPr>
          <w:bCs/>
        </w:rPr>
        <w:t>the Corporations Act</w:t>
      </w:r>
      <w:r w:rsidRPr="00A66C95">
        <w:rPr>
          <w:bCs/>
        </w:rPr>
        <w:t xml:space="preserve">, the </w:t>
      </w:r>
      <w:r w:rsidR="003E365E">
        <w:rPr>
          <w:bCs/>
        </w:rPr>
        <w:t>Corporations R</w:t>
      </w:r>
      <w:r w:rsidRPr="00A66C95">
        <w:rPr>
          <w:bCs/>
        </w:rPr>
        <w:t>egulations may provide that the derivative transaction rules:</w:t>
      </w:r>
    </w:p>
    <w:p w14:paraId="0B5465E6" w14:textId="77777777" w:rsidR="00916D22" w:rsidRPr="00A66C95" w:rsidRDefault="00916D22" w:rsidP="002E110A">
      <w:pPr>
        <w:pStyle w:val="LI-BodyTextParaa"/>
        <w:numPr>
          <w:ilvl w:val="1"/>
          <w:numId w:val="24"/>
        </w:numPr>
      </w:pPr>
      <w:r w:rsidRPr="00A66C95">
        <w:t>cannot impose requirements (or certain kinds of requirements) on certain classes of persons; or</w:t>
      </w:r>
    </w:p>
    <w:p w14:paraId="3FD5E4B9" w14:textId="77777777" w:rsidR="00916D22" w:rsidRPr="00A66C95" w:rsidRDefault="00916D22" w:rsidP="002E110A">
      <w:pPr>
        <w:pStyle w:val="LI-BodyTextParaa"/>
        <w:numPr>
          <w:ilvl w:val="1"/>
          <w:numId w:val="24"/>
        </w:numPr>
      </w:pPr>
      <w:r w:rsidRPr="00A66C95">
        <w:t>can only impose requirements (or certain kinds of requirements) on certain classes of persons in certain circumstances.</w:t>
      </w:r>
    </w:p>
    <w:p w14:paraId="21C6A67B" w14:textId="51FE8B9F" w:rsidR="00545A1F" w:rsidRDefault="00545A1F" w:rsidP="00085C68">
      <w:pPr>
        <w:pStyle w:val="LI-BodyTextParaa"/>
        <w:numPr>
          <w:ilvl w:val="0"/>
          <w:numId w:val="3"/>
        </w:numPr>
        <w:rPr>
          <w:bCs/>
        </w:rPr>
      </w:pPr>
      <w:r>
        <w:rPr>
          <w:bCs/>
        </w:rPr>
        <w:t xml:space="preserve">Regulation 7.5A.50 of the </w:t>
      </w:r>
      <w:r w:rsidRPr="00F43554">
        <w:rPr>
          <w:bCs/>
        </w:rPr>
        <w:t>Corporations Regulations</w:t>
      </w:r>
      <w:r w:rsidRPr="00085C68">
        <w:rPr>
          <w:bCs/>
        </w:rPr>
        <w:t xml:space="preserve"> </w:t>
      </w:r>
      <w:r>
        <w:rPr>
          <w:bCs/>
        </w:rPr>
        <w:t xml:space="preserve">precludes derivative transaction rules being imposed upon </w:t>
      </w:r>
      <w:r w:rsidR="00326773">
        <w:rPr>
          <w:bCs/>
        </w:rPr>
        <w:t>“</w:t>
      </w:r>
      <w:r>
        <w:rPr>
          <w:bCs/>
        </w:rPr>
        <w:t>end users</w:t>
      </w:r>
      <w:r w:rsidR="00326773">
        <w:rPr>
          <w:bCs/>
        </w:rPr>
        <w:t>”</w:t>
      </w:r>
      <w:r>
        <w:rPr>
          <w:bCs/>
        </w:rPr>
        <w:t>, defined as persons who are not:</w:t>
      </w:r>
    </w:p>
    <w:p w14:paraId="5CED7029" w14:textId="77777777" w:rsidR="00545A1F" w:rsidRDefault="00545A1F" w:rsidP="00085C68">
      <w:pPr>
        <w:pStyle w:val="LI-BodyTextParaa"/>
        <w:numPr>
          <w:ilvl w:val="1"/>
          <w:numId w:val="29"/>
        </w:numPr>
        <w:rPr>
          <w:bCs/>
        </w:rPr>
      </w:pPr>
      <w:r w:rsidRPr="00122B80">
        <w:rPr>
          <w:bCs/>
        </w:rPr>
        <w:t xml:space="preserve">Australian </w:t>
      </w:r>
      <w:proofErr w:type="spellStart"/>
      <w:r w:rsidRPr="00122B80">
        <w:rPr>
          <w:bCs/>
        </w:rPr>
        <w:t>ADI</w:t>
      </w:r>
      <w:r>
        <w:rPr>
          <w:bCs/>
        </w:rPr>
        <w:t>s</w:t>
      </w:r>
      <w:proofErr w:type="spellEnd"/>
      <w:r>
        <w:rPr>
          <w:bCs/>
        </w:rPr>
        <w:t>; or</w:t>
      </w:r>
    </w:p>
    <w:p w14:paraId="1BF4BD92" w14:textId="28171B43" w:rsidR="00545A1F" w:rsidRDefault="00545A1F" w:rsidP="00085C68">
      <w:pPr>
        <w:pStyle w:val="LI-BodyTextParaa"/>
        <w:numPr>
          <w:ilvl w:val="1"/>
          <w:numId w:val="29"/>
        </w:numPr>
        <w:rPr>
          <w:bCs/>
        </w:rPr>
      </w:pPr>
      <w:r>
        <w:rPr>
          <w:bCs/>
        </w:rPr>
        <w:t xml:space="preserve">CS facility </w:t>
      </w:r>
      <w:proofErr w:type="gramStart"/>
      <w:r>
        <w:rPr>
          <w:bCs/>
        </w:rPr>
        <w:t>licensees;</w:t>
      </w:r>
      <w:proofErr w:type="gramEnd"/>
    </w:p>
    <w:p w14:paraId="17195A5D" w14:textId="77777777" w:rsidR="00545A1F" w:rsidRDefault="00545A1F" w:rsidP="00085C68">
      <w:pPr>
        <w:pStyle w:val="LI-BodyTextParaa"/>
        <w:numPr>
          <w:ilvl w:val="1"/>
          <w:numId w:val="29"/>
        </w:numPr>
        <w:rPr>
          <w:bCs/>
        </w:rPr>
      </w:pPr>
      <w:r>
        <w:rPr>
          <w:bCs/>
        </w:rPr>
        <w:t>AFS licensees; or</w:t>
      </w:r>
    </w:p>
    <w:p w14:paraId="42AC70D6" w14:textId="77777777" w:rsidR="00545A1F" w:rsidRDefault="00545A1F" w:rsidP="00085C68">
      <w:pPr>
        <w:pStyle w:val="LI-BodyTextParaa"/>
        <w:numPr>
          <w:ilvl w:val="1"/>
          <w:numId w:val="29"/>
        </w:numPr>
        <w:rPr>
          <w:bCs/>
        </w:rPr>
      </w:pPr>
      <w:r>
        <w:rPr>
          <w:bCs/>
        </w:rPr>
        <w:t xml:space="preserve">persons </w:t>
      </w:r>
      <w:r w:rsidRPr="00122B80">
        <w:rPr>
          <w:bCs/>
        </w:rPr>
        <w:t>who, in this jurisdiction, provides financial services relating to derivatives to wholesale clients only and</w:t>
      </w:r>
      <w:r>
        <w:rPr>
          <w:bCs/>
        </w:rPr>
        <w:t xml:space="preserve"> </w:t>
      </w:r>
      <w:r w:rsidRPr="00122B80">
        <w:rPr>
          <w:bCs/>
        </w:rPr>
        <w:t>whose activities, relating to derivatives, are regulated by an overseas regulatory authority</w:t>
      </w:r>
      <w:r>
        <w:rPr>
          <w:bCs/>
        </w:rPr>
        <w:t>.</w:t>
      </w:r>
    </w:p>
    <w:p w14:paraId="6C718D6B" w14:textId="77777777" w:rsidR="00545A1F" w:rsidRPr="00085C68" w:rsidRDefault="00545A1F" w:rsidP="00085C68">
      <w:pPr>
        <w:pStyle w:val="LI-BodyTextParaa"/>
        <w:numPr>
          <w:ilvl w:val="0"/>
          <w:numId w:val="3"/>
        </w:numPr>
        <w:rPr>
          <w:bCs/>
        </w:rPr>
      </w:pPr>
      <w:r w:rsidRPr="00085C68">
        <w:rPr>
          <w:bCs/>
        </w:rPr>
        <w:t xml:space="preserve">Paragraph (2A) of </w:t>
      </w:r>
      <w:r>
        <w:rPr>
          <w:bCs/>
        </w:rPr>
        <w:t>Regulation 7.5A.50, also precludes the derivative transaction rules from imposing requirements relating to a class of derivatives on AFS licensees:</w:t>
      </w:r>
    </w:p>
    <w:p w14:paraId="5B4B2D3E" w14:textId="77777777" w:rsidR="00545A1F" w:rsidRPr="00B22D05" w:rsidRDefault="00545A1F" w:rsidP="00085C68">
      <w:pPr>
        <w:pStyle w:val="LI-BodyTextParaa"/>
        <w:numPr>
          <w:ilvl w:val="1"/>
          <w:numId w:val="30"/>
        </w:numPr>
      </w:pPr>
      <w:r>
        <w:rPr>
          <w:bCs/>
        </w:rPr>
        <w:lastRenderedPageBreak/>
        <w:t xml:space="preserve">who are taken not to be end users only because they are an AFS licensee; </w:t>
      </w:r>
      <w:proofErr w:type="gramStart"/>
      <w:r>
        <w:rPr>
          <w:bCs/>
        </w:rPr>
        <w:t>and</w:t>
      </w:r>
      <w:proofErr w:type="gramEnd"/>
    </w:p>
    <w:p w14:paraId="6E138899" w14:textId="77777777" w:rsidR="00545A1F" w:rsidRDefault="00545A1F" w:rsidP="00085C68">
      <w:pPr>
        <w:pStyle w:val="LI-BodyTextParaa"/>
        <w:numPr>
          <w:ilvl w:val="1"/>
          <w:numId w:val="30"/>
        </w:numPr>
      </w:pPr>
      <w:r>
        <w:rPr>
          <w:bCs/>
        </w:rPr>
        <w:t>whose AFS licence does not authorise them to provide financial services in relation to that class derivatives,</w:t>
      </w:r>
    </w:p>
    <w:p w14:paraId="7E6C570E" w14:textId="4D1D557C" w:rsidR="00545A1F" w:rsidRPr="00085C68" w:rsidRDefault="00545A1F" w:rsidP="00085C68">
      <w:pPr>
        <w:pStyle w:val="LI-BodyTextParaa"/>
        <w:numPr>
          <w:ilvl w:val="0"/>
          <w:numId w:val="3"/>
        </w:numPr>
        <w:rPr>
          <w:bCs/>
        </w:rPr>
      </w:pPr>
      <w:r w:rsidRPr="00085C68">
        <w:rPr>
          <w:bCs/>
        </w:rPr>
        <w:t>The 202</w:t>
      </w:r>
      <w:r w:rsidR="00EE3DA2">
        <w:rPr>
          <w:bCs/>
        </w:rPr>
        <w:t>4</w:t>
      </w:r>
      <w:r w:rsidRPr="00085C68">
        <w:rPr>
          <w:bCs/>
        </w:rPr>
        <w:t xml:space="preserve"> Rules do not impose requirements on end users, or AFS licensees which are captured by paragraph (2A). </w:t>
      </w:r>
    </w:p>
    <w:p w14:paraId="647C0D24" w14:textId="0642AD49" w:rsidR="00916D22" w:rsidRPr="00EA17A6" w:rsidRDefault="00916D22" w:rsidP="00916D22">
      <w:pPr>
        <w:pStyle w:val="LI-BodyTextParaa"/>
        <w:ind w:left="567"/>
        <w:rPr>
          <w:b/>
        </w:rPr>
      </w:pPr>
      <w:r w:rsidRPr="00EA17A6">
        <w:rPr>
          <w:b/>
        </w:rPr>
        <w:t>Statement of Compatibility with Human Rights</w:t>
      </w:r>
    </w:p>
    <w:p w14:paraId="5E2BB6DD" w14:textId="77777777" w:rsidR="00347230" w:rsidRDefault="00916D22" w:rsidP="00916D22">
      <w:pPr>
        <w:pStyle w:val="LI-BodyTextParaa"/>
        <w:ind w:left="0" w:firstLine="0"/>
        <w:sectPr w:rsidR="00347230" w:rsidSect="00863657">
          <w:headerReference w:type="even" r:id="rId25"/>
          <w:headerReference w:type="default" r:id="rId26"/>
          <w:footerReference w:type="default" r:id="rId27"/>
          <w:pgSz w:w="11907" w:h="16839" w:code="9"/>
          <w:pgMar w:top="1537" w:right="1797" w:bottom="1440" w:left="1797" w:header="720" w:footer="709" w:gutter="0"/>
          <w:cols w:space="708"/>
          <w:titlePg/>
          <w:docGrid w:linePitch="360"/>
        </w:sectPr>
      </w:pPr>
      <w:r w:rsidRPr="005551F0">
        <w:t xml:space="preserve">The Explanatory Statement for a disallowable legislative instrument must contain a Statement of Compatibility with Human Rights under subsection 9(1) of the </w:t>
      </w:r>
      <w:r w:rsidRPr="005551F0">
        <w:rPr>
          <w:i/>
          <w:iCs/>
        </w:rPr>
        <w:t>Human Rights (Parliamentary Scrutiny) Act 2011.</w:t>
      </w:r>
      <w:r w:rsidR="000D21BE">
        <w:rPr>
          <w:iCs/>
        </w:rPr>
        <w:t xml:space="preserve"> </w:t>
      </w:r>
      <w:r w:rsidRPr="00F8115C">
        <w:t xml:space="preserve">A Statement of Compatibility with Human Rights is in the </w:t>
      </w:r>
      <w:r w:rsidRPr="00F8115C">
        <w:rPr>
          <w:u w:val="single"/>
        </w:rPr>
        <w:t>Attachment</w:t>
      </w:r>
      <w:r w:rsidRPr="00F8115C">
        <w:t>.</w:t>
      </w:r>
      <w:r w:rsidRPr="00EA17A6">
        <w:t xml:space="preserve"> </w:t>
      </w:r>
    </w:p>
    <w:p w14:paraId="06110602" w14:textId="637A587A" w:rsidR="00916D22" w:rsidRDefault="00916D22" w:rsidP="00916D22">
      <w:pPr>
        <w:pStyle w:val="LI-BodyTextParaa"/>
        <w:ind w:left="0" w:firstLine="0"/>
      </w:pPr>
    </w:p>
    <w:p w14:paraId="56202BBB" w14:textId="09EB53F1" w:rsidR="00916D22" w:rsidRPr="00EA17A6" w:rsidRDefault="00916D22" w:rsidP="00916D22">
      <w:pPr>
        <w:pStyle w:val="LI-BodyTextParaa"/>
        <w:ind w:left="567"/>
        <w:jc w:val="right"/>
        <w:rPr>
          <w:u w:val="single"/>
        </w:rPr>
      </w:pPr>
      <w:r>
        <w:rPr>
          <w:color w:val="FF0000"/>
        </w:rPr>
        <w:br w:type="page"/>
      </w:r>
      <w:r w:rsidRPr="00EA17A6">
        <w:rPr>
          <w:u w:val="single"/>
        </w:rPr>
        <w:lastRenderedPageBreak/>
        <w:t xml:space="preserve">Attachment </w:t>
      </w:r>
    </w:p>
    <w:p w14:paraId="2B3A76D5" w14:textId="77777777" w:rsidR="00916D22" w:rsidRPr="00EA17A6" w:rsidRDefault="00916D22" w:rsidP="00916D22">
      <w:pPr>
        <w:pStyle w:val="LI-BodyTextParaa"/>
        <w:ind w:left="567"/>
        <w:jc w:val="center"/>
        <w:rPr>
          <w:b/>
          <w:sz w:val="28"/>
          <w:szCs w:val="28"/>
        </w:rPr>
      </w:pPr>
      <w:r w:rsidRPr="00EA17A6">
        <w:rPr>
          <w:b/>
          <w:sz w:val="28"/>
          <w:szCs w:val="28"/>
        </w:rPr>
        <w:t>Statement of Compatibility with Human Rights</w:t>
      </w:r>
    </w:p>
    <w:p w14:paraId="7CED914F" w14:textId="77777777" w:rsidR="00916D22" w:rsidRPr="00EA17A6" w:rsidRDefault="00916D22" w:rsidP="00916D22">
      <w:pPr>
        <w:pStyle w:val="LI-BodyTextNumbered"/>
        <w:ind w:left="0" w:firstLine="0"/>
        <w:rPr>
          <w:iCs/>
        </w:rPr>
      </w:pPr>
      <w:bookmarkStart w:id="36" w:name="_Hlk534286677"/>
    </w:p>
    <w:p w14:paraId="40EC6BED" w14:textId="7C396ACD" w:rsidR="00916D22" w:rsidRPr="00EA17A6" w:rsidRDefault="00916D22" w:rsidP="00916D22">
      <w:pPr>
        <w:pStyle w:val="LI-BodyTextNumbered"/>
        <w:ind w:left="0" w:firstLine="0"/>
        <w:rPr>
          <w:iCs/>
        </w:rPr>
      </w:pPr>
      <w:r w:rsidRPr="00EA17A6">
        <w:rPr>
          <w:iCs/>
        </w:rPr>
        <w:t xml:space="preserve">This Statement of Compatibility with Human Rights is prepared in accordance with Part 3 of </w:t>
      </w:r>
      <w:bookmarkStart w:id="37" w:name="_Hlk4054932"/>
      <w:r w:rsidRPr="00EA17A6">
        <w:rPr>
          <w:iCs/>
        </w:rPr>
        <w:t xml:space="preserve">the </w:t>
      </w:r>
      <w:r w:rsidRPr="00EA17A6">
        <w:rPr>
          <w:i/>
          <w:iCs/>
        </w:rPr>
        <w:t>Human Rights (Parliamentary Scrutiny) Act 2011</w:t>
      </w:r>
      <w:bookmarkEnd w:id="37"/>
      <w:r w:rsidRPr="00EA17A6">
        <w:rPr>
          <w:iCs/>
        </w:rPr>
        <w:t>.</w:t>
      </w:r>
    </w:p>
    <w:p w14:paraId="01412B1C" w14:textId="0E52ADE0" w:rsidR="00916D22" w:rsidRPr="00EA17A6" w:rsidRDefault="00916D22" w:rsidP="00916D22">
      <w:pPr>
        <w:pStyle w:val="LI-BodyTextNumbered"/>
        <w:ind w:left="0" w:firstLine="0"/>
        <w:rPr>
          <w:b/>
          <w:i/>
        </w:rPr>
      </w:pPr>
      <w:r>
        <w:rPr>
          <w:b/>
          <w:i/>
        </w:rPr>
        <w:t xml:space="preserve">ASIC Derivative Transaction Rules (Reporting) </w:t>
      </w:r>
      <w:r w:rsidR="00F8115C">
        <w:rPr>
          <w:b/>
          <w:i/>
        </w:rPr>
        <w:t>2024</w:t>
      </w:r>
    </w:p>
    <w:p w14:paraId="3C1F701E" w14:textId="77777777" w:rsidR="00916D22" w:rsidRPr="00EA17A6" w:rsidRDefault="00916D22" w:rsidP="00916D22">
      <w:pPr>
        <w:pStyle w:val="LI-BodyTextNumbered"/>
        <w:ind w:left="567"/>
        <w:rPr>
          <w:u w:val="single"/>
        </w:rPr>
      </w:pPr>
      <w:r w:rsidRPr="00EA17A6">
        <w:rPr>
          <w:u w:val="single"/>
        </w:rPr>
        <w:t>Overview</w:t>
      </w:r>
    </w:p>
    <w:p w14:paraId="38F31DD0" w14:textId="3BBA29E0" w:rsidR="0019740C" w:rsidRPr="00ED118B" w:rsidRDefault="0019740C" w:rsidP="0019740C">
      <w:pPr>
        <w:pStyle w:val="LI-BodyTextParaa"/>
        <w:numPr>
          <w:ilvl w:val="0"/>
          <w:numId w:val="20"/>
        </w:numPr>
        <w:rPr>
          <w:iCs/>
        </w:rPr>
      </w:pPr>
      <w:r w:rsidRPr="00755CBD">
        <w:rPr>
          <w:sz w:val="23"/>
          <w:szCs w:val="23"/>
        </w:rPr>
        <w:t xml:space="preserve">The </w:t>
      </w:r>
      <w:r w:rsidRPr="00755CBD">
        <w:rPr>
          <w:i/>
          <w:sz w:val="23"/>
          <w:szCs w:val="23"/>
        </w:rPr>
        <w:t xml:space="preserve">ASIC Derivative </w:t>
      </w:r>
      <w:r>
        <w:rPr>
          <w:i/>
          <w:sz w:val="23"/>
          <w:szCs w:val="23"/>
        </w:rPr>
        <w:t xml:space="preserve">Transaction Rules (Reporting) </w:t>
      </w:r>
      <w:r w:rsidRPr="00755CBD">
        <w:rPr>
          <w:i/>
          <w:sz w:val="23"/>
          <w:szCs w:val="23"/>
        </w:rPr>
        <w:t>20</w:t>
      </w:r>
      <w:r>
        <w:rPr>
          <w:i/>
          <w:sz w:val="23"/>
          <w:szCs w:val="23"/>
        </w:rPr>
        <w:t xml:space="preserve">24 </w:t>
      </w:r>
      <w:r w:rsidRPr="00755CBD">
        <w:rPr>
          <w:sz w:val="23"/>
          <w:szCs w:val="23"/>
        </w:rPr>
        <w:t xml:space="preserve">(the </w:t>
      </w:r>
      <w:r w:rsidR="001D0340">
        <w:rPr>
          <w:b/>
          <w:bCs/>
          <w:i/>
          <w:iCs/>
          <w:sz w:val="23"/>
          <w:szCs w:val="23"/>
        </w:rPr>
        <w:t xml:space="preserve">2024 </w:t>
      </w:r>
      <w:r w:rsidR="0055468D">
        <w:rPr>
          <w:b/>
          <w:bCs/>
          <w:i/>
          <w:iCs/>
          <w:sz w:val="23"/>
          <w:szCs w:val="23"/>
        </w:rPr>
        <w:t>Rules</w:t>
      </w:r>
      <w:r w:rsidR="0055468D" w:rsidRPr="001273A2">
        <w:rPr>
          <w:sz w:val="23"/>
          <w:szCs w:val="23"/>
        </w:rPr>
        <w:t>,</w:t>
      </w:r>
      <w:r w:rsidR="0055468D">
        <w:rPr>
          <w:sz w:val="23"/>
          <w:szCs w:val="23"/>
        </w:rPr>
        <w:t xml:space="preserve"> or the </w:t>
      </w:r>
      <w:r>
        <w:rPr>
          <w:b/>
          <w:i/>
          <w:sz w:val="23"/>
          <w:szCs w:val="23"/>
        </w:rPr>
        <w:t>instrument</w:t>
      </w:r>
      <w:r w:rsidRPr="00755CBD">
        <w:rPr>
          <w:sz w:val="23"/>
          <w:szCs w:val="23"/>
        </w:rPr>
        <w:t>) are made by ASIC</w:t>
      </w:r>
      <w:r>
        <w:rPr>
          <w:sz w:val="23"/>
          <w:szCs w:val="23"/>
        </w:rPr>
        <w:t xml:space="preserve"> under section 901</w:t>
      </w:r>
      <w:r w:rsidRPr="00755CBD">
        <w:rPr>
          <w:sz w:val="23"/>
          <w:szCs w:val="23"/>
        </w:rPr>
        <w:t xml:space="preserve">A of the </w:t>
      </w:r>
      <w:r w:rsidRPr="00B637F8">
        <w:rPr>
          <w:i/>
          <w:iCs/>
          <w:sz w:val="23"/>
          <w:szCs w:val="23"/>
        </w:rPr>
        <w:t>Corporations Act 2001</w:t>
      </w:r>
      <w:r>
        <w:rPr>
          <w:sz w:val="23"/>
          <w:szCs w:val="23"/>
        </w:rPr>
        <w:t xml:space="preserve"> (the </w:t>
      </w:r>
      <w:r>
        <w:rPr>
          <w:b/>
          <w:bCs/>
          <w:i/>
          <w:iCs/>
          <w:sz w:val="23"/>
          <w:szCs w:val="23"/>
        </w:rPr>
        <w:t>Corporations Act)</w:t>
      </w:r>
      <w:r w:rsidRPr="00755CBD">
        <w:rPr>
          <w:sz w:val="23"/>
          <w:szCs w:val="23"/>
        </w:rPr>
        <w:t>, acting with the consent of the Minister</w:t>
      </w:r>
      <w:r>
        <w:rPr>
          <w:sz w:val="23"/>
          <w:szCs w:val="23"/>
        </w:rPr>
        <w:t xml:space="preserve"> under section 901K</w:t>
      </w:r>
      <w:r w:rsidRPr="00755CBD">
        <w:rPr>
          <w:sz w:val="23"/>
          <w:szCs w:val="23"/>
        </w:rPr>
        <w:t xml:space="preserve"> of the </w:t>
      </w:r>
      <w:r>
        <w:rPr>
          <w:sz w:val="23"/>
          <w:szCs w:val="23"/>
        </w:rPr>
        <w:t xml:space="preserve">Corporations </w:t>
      </w:r>
      <w:r w:rsidRPr="00755CBD">
        <w:rPr>
          <w:sz w:val="23"/>
          <w:szCs w:val="23"/>
        </w:rPr>
        <w:t>Act</w:t>
      </w:r>
      <w:r>
        <w:rPr>
          <w:sz w:val="23"/>
          <w:szCs w:val="23"/>
        </w:rPr>
        <w:t>.</w:t>
      </w:r>
    </w:p>
    <w:p w14:paraId="7DFEF6A1" w14:textId="6A43A87F" w:rsidR="00916D22" w:rsidRDefault="00272CE9" w:rsidP="002E110A">
      <w:pPr>
        <w:pStyle w:val="LI-BodyTextParaa"/>
        <w:numPr>
          <w:ilvl w:val="0"/>
          <w:numId w:val="20"/>
        </w:numPr>
        <w:rPr>
          <w:iCs/>
        </w:rPr>
      </w:pPr>
      <w:r w:rsidRPr="00E73252">
        <w:rPr>
          <w:iCs/>
        </w:rPr>
        <w:t>Th</w:t>
      </w:r>
      <w:r>
        <w:rPr>
          <w:iCs/>
        </w:rPr>
        <w:t xml:space="preserve">is </w:t>
      </w:r>
      <w:r w:rsidR="000D21BE" w:rsidRPr="00272CE9">
        <w:rPr>
          <w:iCs/>
        </w:rPr>
        <w:t>instrument</w:t>
      </w:r>
      <w:r w:rsidR="00916D22">
        <w:t xml:space="preserve"> repeals and </w:t>
      </w:r>
      <w:r w:rsidR="003F54CC">
        <w:t xml:space="preserve">remakes the </w:t>
      </w:r>
      <w:r w:rsidR="00916D22">
        <w:rPr>
          <w:i/>
        </w:rPr>
        <w:t xml:space="preserve">ASIC Derivative Transaction Rules (Reporting) </w:t>
      </w:r>
      <w:r w:rsidR="00EB05C9">
        <w:rPr>
          <w:i/>
        </w:rPr>
        <w:t>2022</w:t>
      </w:r>
      <w:r w:rsidR="00EB05C9">
        <w:rPr>
          <w:iCs/>
        </w:rPr>
        <w:t xml:space="preserve"> </w:t>
      </w:r>
      <w:r w:rsidR="000D21BE">
        <w:rPr>
          <w:iCs/>
        </w:rPr>
        <w:t>(</w:t>
      </w:r>
      <w:r w:rsidR="0055468D" w:rsidRPr="001273A2">
        <w:rPr>
          <w:iCs/>
        </w:rPr>
        <w:t>the</w:t>
      </w:r>
      <w:r w:rsidR="0055468D">
        <w:rPr>
          <w:b/>
          <w:bCs/>
          <w:i/>
        </w:rPr>
        <w:t xml:space="preserve"> </w:t>
      </w:r>
      <w:r w:rsidR="000D21BE">
        <w:rPr>
          <w:b/>
          <w:bCs/>
          <w:i/>
        </w:rPr>
        <w:t xml:space="preserve">2022 </w:t>
      </w:r>
      <w:r w:rsidR="000D21BE" w:rsidRPr="001273A2">
        <w:rPr>
          <w:b/>
          <w:bCs/>
          <w:i/>
        </w:rPr>
        <w:t>Rules</w:t>
      </w:r>
      <w:r w:rsidR="000D21BE">
        <w:rPr>
          <w:iCs/>
        </w:rPr>
        <w:t xml:space="preserve">) </w:t>
      </w:r>
      <w:r w:rsidR="00916D22" w:rsidRPr="000D21BE">
        <w:rPr>
          <w:iCs/>
        </w:rPr>
        <w:t>so</w:t>
      </w:r>
      <w:r w:rsidR="00916D22">
        <w:rPr>
          <w:iCs/>
        </w:rPr>
        <w:t xml:space="preserve"> as to continue</w:t>
      </w:r>
      <w:r w:rsidR="007E51EB">
        <w:rPr>
          <w:iCs/>
        </w:rPr>
        <w:t>, but update,</w:t>
      </w:r>
      <w:r w:rsidR="00916D22">
        <w:rPr>
          <w:iCs/>
        </w:rPr>
        <w:t xml:space="preserve"> the requirements for the reporting of </w:t>
      </w:r>
      <w:proofErr w:type="gramStart"/>
      <w:r w:rsidR="00916D22">
        <w:rPr>
          <w:iCs/>
        </w:rPr>
        <w:t>over-the-counter</w:t>
      </w:r>
      <w:proofErr w:type="gramEnd"/>
      <w:r w:rsidR="00916D22">
        <w:rPr>
          <w:iCs/>
        </w:rPr>
        <w:t xml:space="preserve"> </w:t>
      </w:r>
      <w:r w:rsidR="000D21BE">
        <w:rPr>
          <w:iCs/>
        </w:rPr>
        <w:t>(</w:t>
      </w:r>
      <w:r w:rsidR="000D21BE" w:rsidRPr="00D71CDE">
        <w:rPr>
          <w:b/>
          <w:bCs/>
          <w:i/>
        </w:rPr>
        <w:t>OTC</w:t>
      </w:r>
      <w:r w:rsidR="000D21BE">
        <w:rPr>
          <w:iCs/>
        </w:rPr>
        <w:t xml:space="preserve">) </w:t>
      </w:r>
      <w:r w:rsidR="00916D22" w:rsidRPr="00D71CDE">
        <w:rPr>
          <w:iCs/>
        </w:rPr>
        <w:t>derivatives</w:t>
      </w:r>
      <w:r w:rsidR="00916D22">
        <w:rPr>
          <w:iCs/>
        </w:rPr>
        <w:t xml:space="preserve"> transactions</w:t>
      </w:r>
      <w:r w:rsidR="007E51EB">
        <w:rPr>
          <w:iCs/>
        </w:rPr>
        <w:t>.</w:t>
      </w:r>
    </w:p>
    <w:p w14:paraId="39487780" w14:textId="3BF1508D" w:rsidR="00916D22" w:rsidRDefault="00916D22" w:rsidP="002E110A">
      <w:pPr>
        <w:pStyle w:val="LI-BodyTextParaa"/>
        <w:numPr>
          <w:ilvl w:val="0"/>
          <w:numId w:val="20"/>
        </w:numPr>
      </w:pPr>
      <w:r>
        <w:rPr>
          <w:iCs/>
        </w:rPr>
        <w:t xml:space="preserve">The requirements to report </w:t>
      </w:r>
      <w:r w:rsidR="003B5BB6">
        <w:rPr>
          <w:iCs/>
        </w:rPr>
        <w:t>OTC</w:t>
      </w:r>
      <w:r>
        <w:rPr>
          <w:iCs/>
        </w:rPr>
        <w:t xml:space="preserve"> derivative</w:t>
      </w:r>
      <w:r w:rsidR="003B5BB6">
        <w:rPr>
          <w:iCs/>
        </w:rPr>
        <w:t>s</w:t>
      </w:r>
      <w:r>
        <w:rPr>
          <w:iCs/>
        </w:rPr>
        <w:t xml:space="preserve"> transactions were introduced</w:t>
      </w:r>
      <w:r w:rsidR="003B5BB6">
        <w:rPr>
          <w:iCs/>
        </w:rPr>
        <w:t xml:space="preserve"> </w:t>
      </w:r>
      <w:r w:rsidR="002D63E8">
        <w:rPr>
          <w:iCs/>
        </w:rPr>
        <w:t xml:space="preserve">in Australia in 2013 </w:t>
      </w:r>
      <w:r w:rsidR="00233436">
        <w:rPr>
          <w:iCs/>
        </w:rPr>
        <w:t>(as</w:t>
      </w:r>
      <w:r w:rsidR="007A25CB">
        <w:rPr>
          <w:iCs/>
        </w:rPr>
        <w:t xml:space="preserve"> the</w:t>
      </w:r>
      <w:r w:rsidR="00233436">
        <w:rPr>
          <w:iCs/>
        </w:rPr>
        <w:t xml:space="preserve"> </w:t>
      </w:r>
      <w:r w:rsidR="00233436" w:rsidRPr="00233436">
        <w:rPr>
          <w:i/>
        </w:rPr>
        <w:t>ASIC Derivative Transaction Rules (Reporting) 2013</w:t>
      </w:r>
      <w:r w:rsidR="00233436">
        <w:rPr>
          <w:iCs/>
        </w:rPr>
        <w:t xml:space="preserve">) </w:t>
      </w:r>
      <w:r w:rsidR="003B5BB6">
        <w:rPr>
          <w:iCs/>
        </w:rPr>
        <w:t>as</w:t>
      </w:r>
      <w:r>
        <w:rPr>
          <w:iCs/>
        </w:rPr>
        <w:t xml:space="preserve"> </w:t>
      </w:r>
      <w:r w:rsidRPr="00B24D1C">
        <w:rPr>
          <w:iCs/>
        </w:rPr>
        <w:t>a key component of the comprehensive</w:t>
      </w:r>
      <w:r w:rsidR="003E43F4">
        <w:rPr>
          <w:iCs/>
        </w:rPr>
        <w:t xml:space="preserve"> OTC derivative</w:t>
      </w:r>
      <w:r w:rsidRPr="00B24D1C">
        <w:rPr>
          <w:iCs/>
        </w:rPr>
        <w:t>s reform agenda agreed by the G20 leaders in response to the global financial crisis given the significant economic and social damage that was experienced. The</w:t>
      </w:r>
      <w:r w:rsidR="003E43F4">
        <w:rPr>
          <w:iCs/>
        </w:rPr>
        <w:t xml:space="preserve"> OTC derivative</w:t>
      </w:r>
      <w:r w:rsidRPr="00B24D1C">
        <w:rPr>
          <w:iCs/>
        </w:rPr>
        <w:t>s market</w:t>
      </w:r>
      <w:r w:rsidRPr="005705B6">
        <w:t xml:space="preserve"> reform agenda was developed with the objectives of improving transparency</w:t>
      </w:r>
      <w:r>
        <w:t xml:space="preserve"> to regulators</w:t>
      </w:r>
      <w:r w:rsidRPr="005705B6">
        <w:t>, mitigating systemic risk, and protecting against market abuse.</w:t>
      </w:r>
    </w:p>
    <w:p w14:paraId="4BA2F589" w14:textId="33999096" w:rsidR="007B385A" w:rsidRDefault="007B385A" w:rsidP="007B2192">
      <w:pPr>
        <w:pStyle w:val="LI-BodyTextParaa"/>
        <w:numPr>
          <w:ilvl w:val="0"/>
          <w:numId w:val="20"/>
        </w:numPr>
        <w:rPr>
          <w:iCs/>
        </w:rPr>
      </w:pPr>
      <w:r w:rsidRPr="007B2192">
        <w:rPr>
          <w:iCs/>
        </w:rPr>
        <w:t xml:space="preserve">Between 2012 and 2018, international standards and guidance for the reporting of </w:t>
      </w:r>
      <w:r w:rsidRPr="00A82D74">
        <w:rPr>
          <w:iCs/>
        </w:rPr>
        <w:t xml:space="preserve">certain </w:t>
      </w:r>
      <w:r w:rsidRPr="00233436">
        <w:rPr>
          <w:iCs/>
        </w:rPr>
        <w:t xml:space="preserve">derivatives transactions </w:t>
      </w:r>
      <w:r w:rsidRPr="00B575B8">
        <w:rPr>
          <w:iCs/>
        </w:rPr>
        <w:t xml:space="preserve">information </w:t>
      </w:r>
      <w:r w:rsidRPr="003C0FC2">
        <w:rPr>
          <w:iCs/>
        </w:rPr>
        <w:t xml:space="preserve">was developed </w:t>
      </w:r>
      <w:r w:rsidRPr="008C62DA">
        <w:rPr>
          <w:iCs/>
        </w:rPr>
        <w:t>with a view to common adoption across G20 and F</w:t>
      </w:r>
      <w:r w:rsidRPr="00EF14EE">
        <w:rPr>
          <w:iCs/>
        </w:rPr>
        <w:t xml:space="preserve">inancial </w:t>
      </w:r>
      <w:r w:rsidRPr="00D055B2">
        <w:rPr>
          <w:iCs/>
        </w:rPr>
        <w:t>S</w:t>
      </w:r>
      <w:r w:rsidRPr="002747C2">
        <w:rPr>
          <w:iCs/>
        </w:rPr>
        <w:t xml:space="preserve">tability </w:t>
      </w:r>
      <w:r w:rsidRPr="00113A36">
        <w:rPr>
          <w:iCs/>
        </w:rPr>
        <w:t xml:space="preserve">Board </w:t>
      </w:r>
      <w:r w:rsidRPr="00283B22">
        <w:rPr>
          <w:iCs/>
        </w:rPr>
        <w:t>(</w:t>
      </w:r>
      <w:r w:rsidRPr="001273A2">
        <w:rPr>
          <w:b/>
          <w:bCs/>
          <w:i/>
        </w:rPr>
        <w:t>FSB</w:t>
      </w:r>
      <w:r w:rsidRPr="007B2192">
        <w:rPr>
          <w:iCs/>
        </w:rPr>
        <w:t xml:space="preserve">) member </w:t>
      </w:r>
      <w:r w:rsidRPr="00A82D74">
        <w:rPr>
          <w:iCs/>
        </w:rPr>
        <w:t xml:space="preserve">jurisdictions. </w:t>
      </w:r>
      <w:r w:rsidRPr="00233436">
        <w:rPr>
          <w:iCs/>
        </w:rPr>
        <w:t>These sta</w:t>
      </w:r>
      <w:r w:rsidRPr="00225097">
        <w:rPr>
          <w:iCs/>
        </w:rPr>
        <w:t xml:space="preserve">ndards </w:t>
      </w:r>
      <w:r w:rsidRPr="00B575B8">
        <w:rPr>
          <w:iCs/>
        </w:rPr>
        <w:t>were developed</w:t>
      </w:r>
      <w:r w:rsidRPr="003C0FC2">
        <w:rPr>
          <w:iCs/>
        </w:rPr>
        <w:t xml:space="preserve"> to streamline and simplify reporting requirements for businesses and to enable regulatory authorities to more readily aggregate information about internationally traded </w:t>
      </w:r>
      <w:r w:rsidRPr="00EF14EE">
        <w:rPr>
          <w:iCs/>
        </w:rPr>
        <w:t>OTC</w:t>
      </w:r>
      <w:r w:rsidRPr="00D055B2">
        <w:rPr>
          <w:iCs/>
        </w:rPr>
        <w:t xml:space="preserve"> </w:t>
      </w:r>
      <w:r w:rsidRPr="002747C2">
        <w:rPr>
          <w:iCs/>
        </w:rPr>
        <w:t>derivatives and better understand the multiple cross-border connecti</w:t>
      </w:r>
      <w:r w:rsidRPr="00234112">
        <w:t>ons between counterparties.</w:t>
      </w:r>
    </w:p>
    <w:p w14:paraId="25B84CBA" w14:textId="77777777" w:rsidR="00351412" w:rsidRPr="004B0120" w:rsidRDefault="00351412" w:rsidP="00231177">
      <w:pPr>
        <w:pStyle w:val="LI-BodyTextParaa"/>
        <w:numPr>
          <w:ilvl w:val="0"/>
          <w:numId w:val="20"/>
        </w:numPr>
        <w:rPr>
          <w:iCs/>
        </w:rPr>
      </w:pPr>
      <w:r w:rsidRPr="00781B13">
        <w:rPr>
          <w:iCs/>
        </w:rPr>
        <w:t>These international standards are:</w:t>
      </w:r>
    </w:p>
    <w:p w14:paraId="2A6438F0" w14:textId="64934BBD" w:rsidR="00351412" w:rsidRDefault="00351412" w:rsidP="00136F89">
      <w:pPr>
        <w:pStyle w:val="LI-BodyTextParaa"/>
        <w:numPr>
          <w:ilvl w:val="1"/>
          <w:numId w:val="33"/>
        </w:numPr>
      </w:pPr>
      <w:r>
        <w:t>A system for global L</w:t>
      </w:r>
      <w:r w:rsidR="001016AD">
        <w:t xml:space="preserve">egal </w:t>
      </w:r>
      <w:r>
        <w:t>E</w:t>
      </w:r>
      <w:r w:rsidR="001016AD">
        <w:t xml:space="preserve">ntity </w:t>
      </w:r>
      <w:r>
        <w:t>I</w:t>
      </w:r>
      <w:r w:rsidR="001016AD">
        <w:t>dentifier</w:t>
      </w:r>
      <w:r>
        <w:t>s</w:t>
      </w:r>
      <w:r w:rsidR="001016AD">
        <w:t xml:space="preserve"> (</w:t>
      </w:r>
      <w:proofErr w:type="spellStart"/>
      <w:r w:rsidR="001016AD">
        <w:rPr>
          <w:b/>
          <w:bCs/>
          <w:i/>
          <w:iCs/>
        </w:rPr>
        <w:t>LEIs</w:t>
      </w:r>
      <w:proofErr w:type="spellEnd"/>
      <w:r w:rsidR="001016AD">
        <w:t>)</w:t>
      </w:r>
      <w:r>
        <w:t xml:space="preserve"> recommended by the FSB in </w:t>
      </w:r>
      <w:hyperlink r:id="rId28" w:history="1">
        <w:r w:rsidRPr="00477341">
          <w:rPr>
            <w:rStyle w:val="Hyperlink"/>
          </w:rPr>
          <w:t>A global legal entity identifier for financial markets</w:t>
        </w:r>
      </w:hyperlink>
      <w:r w:rsidRPr="00062AE6">
        <w:t xml:space="preserve">, </w:t>
      </w:r>
      <w:r>
        <w:t>June 2012 which was</w:t>
      </w:r>
      <w:r w:rsidRPr="00062AE6">
        <w:t xml:space="preserve"> endorsed by the G20 at the Los Cabos Summit in June 2012</w:t>
      </w:r>
      <w:r>
        <w:t>;</w:t>
      </w:r>
    </w:p>
    <w:p w14:paraId="61E91FF5" w14:textId="77777777" w:rsidR="00351412" w:rsidRDefault="00351412" w:rsidP="00136F89">
      <w:pPr>
        <w:pStyle w:val="LI-BodyTextParaa"/>
        <w:numPr>
          <w:ilvl w:val="1"/>
          <w:numId w:val="33"/>
        </w:numPr>
      </w:pPr>
      <w:r w:rsidRPr="00FE33D8">
        <w:lastRenderedPageBreak/>
        <w:t xml:space="preserve">CPMI </w:t>
      </w:r>
      <w:proofErr w:type="spellStart"/>
      <w:r w:rsidRPr="00FE33D8">
        <w:t>IOSCO</w:t>
      </w:r>
      <w:proofErr w:type="spellEnd"/>
      <w:r>
        <w:rPr>
          <w:rStyle w:val="FootnoteReference"/>
        </w:rPr>
        <w:footnoteReference w:id="5"/>
      </w:r>
      <w:r w:rsidRPr="00FE33D8">
        <w:t xml:space="preserve">, </w:t>
      </w:r>
      <w:hyperlink r:id="rId29" w:history="1">
        <w:r w:rsidRPr="00FE33D8">
          <w:rPr>
            <w:rStyle w:val="Hyperlink"/>
            <w:i/>
            <w:iCs/>
          </w:rPr>
          <w:t>Technical guidance: Harmonisation of the unique transaction identifier</w:t>
        </w:r>
      </w:hyperlink>
      <w:r w:rsidRPr="00FE33D8">
        <w:t>, February 2017 (</w:t>
      </w:r>
      <w:proofErr w:type="spellStart"/>
      <w:r w:rsidRPr="001E153A">
        <w:rPr>
          <w:b/>
          <w:bCs/>
          <w:i/>
          <w:iCs/>
        </w:rPr>
        <w:t>UTI</w:t>
      </w:r>
      <w:proofErr w:type="spellEnd"/>
      <w:r w:rsidRPr="001E153A">
        <w:rPr>
          <w:b/>
          <w:bCs/>
          <w:i/>
          <w:iCs/>
        </w:rPr>
        <w:t xml:space="preserve"> Guidance</w:t>
      </w:r>
      <w:proofErr w:type="gramStart"/>
      <w:r w:rsidRPr="00FE33D8">
        <w:t>)</w:t>
      </w:r>
      <w:r>
        <w:t>;</w:t>
      </w:r>
      <w:proofErr w:type="gramEnd"/>
    </w:p>
    <w:p w14:paraId="477BF2DD" w14:textId="77777777" w:rsidR="00351412" w:rsidRDefault="00351412" w:rsidP="00136F89">
      <w:pPr>
        <w:pStyle w:val="LI-BodyTextParaa"/>
        <w:numPr>
          <w:ilvl w:val="1"/>
          <w:numId w:val="33"/>
        </w:numPr>
      </w:pPr>
      <w:r w:rsidRPr="00FE33D8">
        <w:t xml:space="preserve">CPMI </w:t>
      </w:r>
      <w:proofErr w:type="spellStart"/>
      <w:r w:rsidRPr="00FE33D8">
        <w:t>IOSCO</w:t>
      </w:r>
      <w:proofErr w:type="spellEnd"/>
      <w:r w:rsidRPr="00FE33D8">
        <w:t xml:space="preserve">, </w:t>
      </w:r>
      <w:hyperlink r:id="rId30" w:history="1">
        <w:r w:rsidRPr="00FE33D8">
          <w:rPr>
            <w:rStyle w:val="Hyperlink"/>
            <w:i/>
            <w:iCs/>
          </w:rPr>
          <w:t>Technical guidance: Harmonisation of the unique product identifier</w:t>
        </w:r>
      </w:hyperlink>
      <w:r w:rsidRPr="00FE33D8">
        <w:t>, September 2017 (</w:t>
      </w:r>
      <w:r w:rsidRPr="001E153A">
        <w:rPr>
          <w:b/>
          <w:bCs/>
          <w:i/>
          <w:iCs/>
        </w:rPr>
        <w:t>UPI Guidance</w:t>
      </w:r>
      <w:r w:rsidRPr="00FE33D8">
        <w:t>); and</w:t>
      </w:r>
    </w:p>
    <w:p w14:paraId="7920E199" w14:textId="77777777" w:rsidR="00351412" w:rsidRDefault="00351412" w:rsidP="00136F89">
      <w:pPr>
        <w:pStyle w:val="LI-BodyTextParaa"/>
        <w:numPr>
          <w:ilvl w:val="1"/>
          <w:numId w:val="33"/>
        </w:numPr>
      </w:pPr>
      <w:r w:rsidRPr="00FE33D8">
        <w:t xml:space="preserve">Regulatory Oversight Committee, </w:t>
      </w:r>
      <w:hyperlink r:id="rId31" w:history="1">
        <w:r w:rsidRPr="00FE33D8">
          <w:rPr>
            <w:rStyle w:val="Hyperlink"/>
            <w:i/>
            <w:iCs/>
          </w:rPr>
          <w:t xml:space="preserve">Technical guidance: Harmonisation of critical OTC derivatives data elements (other than </w:t>
        </w:r>
        <w:proofErr w:type="spellStart"/>
        <w:r w:rsidRPr="00FE33D8">
          <w:rPr>
            <w:rStyle w:val="Hyperlink"/>
            <w:i/>
            <w:iCs/>
          </w:rPr>
          <w:t>UTI</w:t>
        </w:r>
        <w:proofErr w:type="spellEnd"/>
        <w:r w:rsidRPr="00FE33D8">
          <w:rPr>
            <w:rStyle w:val="Hyperlink"/>
            <w:i/>
            <w:iCs/>
          </w:rPr>
          <w:t xml:space="preserve"> and UPI)</w:t>
        </w:r>
      </w:hyperlink>
      <w:r w:rsidRPr="00FE33D8">
        <w:t>, September 2021 (</w:t>
      </w:r>
      <w:r w:rsidRPr="001E153A">
        <w:rPr>
          <w:b/>
          <w:bCs/>
          <w:i/>
          <w:iCs/>
        </w:rPr>
        <w:t>CDE Guidance</w:t>
      </w:r>
      <w:r w:rsidRPr="00FE33D8">
        <w:t>)</w:t>
      </w:r>
      <w:r w:rsidRPr="00FE33D8">
        <w:rPr>
          <w:rStyle w:val="FootnoteReference"/>
        </w:rPr>
        <w:footnoteReference w:id="6"/>
      </w:r>
    </w:p>
    <w:p w14:paraId="6E35EC54" w14:textId="7CB14F19" w:rsidR="00351412" w:rsidRPr="00E55838" w:rsidRDefault="00351412" w:rsidP="001273A2">
      <w:pPr>
        <w:pStyle w:val="LI-BodyTextParaa"/>
        <w:ind w:left="567" w:firstLine="0"/>
      </w:pPr>
      <w:r>
        <w:t>(</w:t>
      </w:r>
      <w:proofErr w:type="gramStart"/>
      <w:r>
        <w:t>together</w:t>
      </w:r>
      <w:proofErr w:type="gramEnd"/>
      <w:r>
        <w:t xml:space="preserve">, the </w:t>
      </w:r>
      <w:r>
        <w:rPr>
          <w:b/>
          <w:bCs/>
          <w:i/>
          <w:iCs/>
        </w:rPr>
        <w:t>international standards</w:t>
      </w:r>
      <w:r>
        <w:t>)</w:t>
      </w:r>
      <w:r w:rsidRPr="00FE33D8">
        <w:t>.</w:t>
      </w:r>
    </w:p>
    <w:p w14:paraId="45B259D8" w14:textId="51762A01" w:rsidR="007B385A" w:rsidRPr="009F013B" w:rsidRDefault="007B385A">
      <w:pPr>
        <w:pStyle w:val="LI-BodyTextParaa"/>
        <w:numPr>
          <w:ilvl w:val="0"/>
          <w:numId w:val="20"/>
        </w:numPr>
        <w:rPr>
          <w:iCs/>
        </w:rPr>
      </w:pPr>
      <w:r w:rsidRPr="00351412">
        <w:rPr>
          <w:iCs/>
        </w:rPr>
        <w:t xml:space="preserve">Since 2020, in line with their G20 commitments and the FSB’s expectations, </w:t>
      </w:r>
      <w:r w:rsidRPr="00E55838">
        <w:rPr>
          <w:iCs/>
        </w:rPr>
        <w:t xml:space="preserve">several major </w:t>
      </w:r>
      <w:r w:rsidRPr="00225097">
        <w:rPr>
          <w:iCs/>
        </w:rPr>
        <w:t>jurisdictions have updated</w:t>
      </w:r>
      <w:r w:rsidR="00F704B5">
        <w:rPr>
          <w:iCs/>
        </w:rPr>
        <w:t xml:space="preserve"> </w:t>
      </w:r>
      <w:r w:rsidR="00F704B5" w:rsidRPr="00225097">
        <w:rPr>
          <w:iCs/>
        </w:rPr>
        <w:t>their derivatives transactions reporting rules</w:t>
      </w:r>
      <w:r w:rsidR="00F704B5">
        <w:rPr>
          <w:iCs/>
        </w:rPr>
        <w:t xml:space="preserve"> to adopt the international </w:t>
      </w:r>
      <w:proofErr w:type="gramStart"/>
      <w:r w:rsidR="00F704B5">
        <w:rPr>
          <w:iCs/>
        </w:rPr>
        <w:t xml:space="preserve">standards, </w:t>
      </w:r>
      <w:r w:rsidRPr="00225097">
        <w:rPr>
          <w:iCs/>
        </w:rPr>
        <w:t>or</w:t>
      </w:r>
      <w:proofErr w:type="gramEnd"/>
      <w:r w:rsidRPr="00225097">
        <w:rPr>
          <w:iCs/>
        </w:rPr>
        <w:t xml:space="preserve"> </w:t>
      </w:r>
      <w:r w:rsidR="00FF1A8A">
        <w:rPr>
          <w:iCs/>
        </w:rPr>
        <w:t xml:space="preserve">have </w:t>
      </w:r>
      <w:r w:rsidR="00FF1A8A" w:rsidRPr="00AE09EC">
        <w:t xml:space="preserve">released consultation </w:t>
      </w:r>
      <w:r w:rsidR="004C3074">
        <w:t xml:space="preserve">proposals </w:t>
      </w:r>
      <w:r w:rsidR="00FF1A8A" w:rsidRPr="00AE09EC">
        <w:t xml:space="preserve">papers </w:t>
      </w:r>
      <w:r w:rsidR="00D13F26" w:rsidRPr="00D13F26">
        <w:t xml:space="preserve">about adopting the </w:t>
      </w:r>
      <w:r w:rsidR="009850E8" w:rsidRPr="00D13F26">
        <w:t>standards</w:t>
      </w:r>
      <w:r w:rsidR="009850E8" w:rsidRPr="00D13F26" w:rsidDel="00D13F26">
        <w:t>.</w:t>
      </w:r>
      <w:r w:rsidR="00D272BC">
        <w:t xml:space="preserve"> This includes </w:t>
      </w:r>
      <w:r w:rsidR="00D272BC">
        <w:rPr>
          <w:iCs/>
        </w:rPr>
        <w:t>t</w:t>
      </w:r>
      <w:r w:rsidR="00D272BC" w:rsidRPr="00AE09EC">
        <w:t>he</w:t>
      </w:r>
      <w:r w:rsidR="00D272BC">
        <w:t xml:space="preserve"> </w:t>
      </w:r>
      <w:r w:rsidR="00D272BC" w:rsidRPr="00AE09EC">
        <w:t>U</w:t>
      </w:r>
      <w:r w:rsidR="00D272BC">
        <w:t xml:space="preserve">nited </w:t>
      </w:r>
      <w:r w:rsidR="00D272BC" w:rsidRPr="00AE09EC">
        <w:t>S</w:t>
      </w:r>
      <w:r w:rsidR="00D272BC">
        <w:t xml:space="preserve">tates (September 2020), the </w:t>
      </w:r>
      <w:r w:rsidR="00D272BC" w:rsidRPr="00AE09EC">
        <w:t>E</w:t>
      </w:r>
      <w:r w:rsidR="00D272BC">
        <w:t xml:space="preserve">uropean </w:t>
      </w:r>
      <w:r w:rsidR="00D272BC" w:rsidRPr="00AE09EC">
        <w:t>U</w:t>
      </w:r>
      <w:r w:rsidR="00D272BC">
        <w:t>nion</w:t>
      </w:r>
      <w:r w:rsidR="00D272BC" w:rsidRPr="00AE09EC">
        <w:t xml:space="preserve"> </w:t>
      </w:r>
      <w:r w:rsidR="00D272BC">
        <w:t>(</w:t>
      </w:r>
      <w:r w:rsidR="00D272BC" w:rsidRPr="00AE09EC">
        <w:t>December 2020</w:t>
      </w:r>
      <w:r w:rsidR="00D272BC">
        <w:t xml:space="preserve">), </w:t>
      </w:r>
      <w:r w:rsidR="00FF1A8A" w:rsidRPr="00AE09EC">
        <w:t>Hong Kong (April 2019), Singapore (June 2021), the UK (November 2021)</w:t>
      </w:r>
      <w:r w:rsidR="00FF1A8A">
        <w:t>,</w:t>
      </w:r>
      <w:r w:rsidR="00FF1A8A" w:rsidRPr="00AE09EC">
        <w:t xml:space="preserve"> Canada (June 2022)</w:t>
      </w:r>
      <w:r w:rsidR="00FF1A8A">
        <w:t xml:space="preserve"> and Japan (August 2022)</w:t>
      </w:r>
      <w:r w:rsidR="00FF1A8A" w:rsidRPr="00AE09EC">
        <w:t>.</w:t>
      </w:r>
      <w:r w:rsidR="00B575B8">
        <w:t xml:space="preserve"> </w:t>
      </w:r>
      <w:r w:rsidRPr="001619FC">
        <w:rPr>
          <w:iCs/>
        </w:rPr>
        <w:t>ASIC made proposals to adopt the international standards in a first consultation paper in November 2020</w:t>
      </w:r>
      <w:r w:rsidR="00D13F26">
        <w:rPr>
          <w:iCs/>
        </w:rPr>
        <w:t xml:space="preserve">, </w:t>
      </w:r>
      <w:hyperlink r:id="rId32" w:history="1">
        <w:r w:rsidR="00B002F4" w:rsidRPr="00B002F4">
          <w:rPr>
            <w:rStyle w:val="Hyperlink"/>
            <w:iCs/>
          </w:rPr>
          <w:t>Consultation Paper 334</w:t>
        </w:r>
      </w:hyperlink>
      <w:r w:rsidR="00B002F4" w:rsidRPr="00C74707">
        <w:t xml:space="preserve"> Proposed changes to simplify the ASIC Derivative Transaction Rules (Reporting): First consultation</w:t>
      </w:r>
      <w:r w:rsidR="00D13F26">
        <w:rPr>
          <w:rStyle w:val="Hyperlink"/>
        </w:rPr>
        <w:t>,</w:t>
      </w:r>
      <w:r w:rsidRPr="001619FC">
        <w:rPr>
          <w:iCs/>
        </w:rPr>
        <w:t xml:space="preserve"> and a second consultation paper in May 2022</w:t>
      </w:r>
      <w:r w:rsidR="00D13F26">
        <w:rPr>
          <w:iCs/>
        </w:rPr>
        <w:t xml:space="preserve">, </w:t>
      </w:r>
      <w:hyperlink r:id="rId33" w:history="1">
        <w:r w:rsidR="00B002F4" w:rsidRPr="00B002F4">
          <w:rPr>
            <w:rStyle w:val="Hyperlink"/>
            <w:iCs/>
          </w:rPr>
          <w:t>Consultation Paper 361</w:t>
        </w:r>
      </w:hyperlink>
      <w:r w:rsidR="00B002F4" w:rsidRPr="00C74707">
        <w:t xml:space="preserve"> Proposed changes to simplify the ASIC Derivative Transaction Rules (Reporting): Second consultation</w:t>
      </w:r>
      <w:r w:rsidRPr="001619FC">
        <w:rPr>
          <w:iCs/>
        </w:rPr>
        <w:t>.</w:t>
      </w:r>
      <w:r w:rsidR="00D13F26">
        <w:rPr>
          <w:iCs/>
        </w:rPr>
        <w:t xml:space="preserve"> </w:t>
      </w:r>
    </w:p>
    <w:p w14:paraId="662D7B79" w14:textId="4FF7C81A" w:rsidR="007B385A" w:rsidRPr="00B575B8" w:rsidRDefault="007B385A" w:rsidP="001273A2">
      <w:pPr>
        <w:pStyle w:val="LI-BodyTextParaa"/>
        <w:numPr>
          <w:ilvl w:val="0"/>
          <w:numId w:val="20"/>
        </w:numPr>
        <w:rPr>
          <w:iCs/>
        </w:rPr>
      </w:pPr>
      <w:r w:rsidRPr="009F013B">
        <w:rPr>
          <w:iCs/>
        </w:rPr>
        <w:t>This instrument implements ASIC’s consultation conclusions.</w:t>
      </w:r>
    </w:p>
    <w:p w14:paraId="246660ED" w14:textId="280E2C2F" w:rsidR="007B385A" w:rsidRPr="003E7046" w:rsidRDefault="007B385A" w:rsidP="001273A2">
      <w:pPr>
        <w:pStyle w:val="LI-BodyTextParaa"/>
        <w:numPr>
          <w:ilvl w:val="0"/>
          <w:numId w:val="20"/>
        </w:numPr>
        <w:rPr>
          <w:iCs/>
        </w:rPr>
      </w:pPr>
      <w:r w:rsidRPr="008C62DA">
        <w:rPr>
          <w:iCs/>
        </w:rPr>
        <w:t xml:space="preserve">The purpose of this instrument is to continue the requirements that first commenced in 2013 to </w:t>
      </w:r>
      <w:r w:rsidRPr="00B24D1C">
        <w:rPr>
          <w:iCs/>
        </w:rPr>
        <w:t>report</w:t>
      </w:r>
      <w:r>
        <w:rPr>
          <w:iCs/>
        </w:rPr>
        <w:t xml:space="preserve"> information about OTC </w:t>
      </w:r>
      <w:r w:rsidRPr="00D135F9">
        <w:rPr>
          <w:iCs/>
        </w:rPr>
        <w:t>derivatives</w:t>
      </w:r>
      <w:r w:rsidRPr="00B24D1C">
        <w:rPr>
          <w:iCs/>
        </w:rPr>
        <w:t xml:space="preserve"> transactions by businesses licensed by ASIC or otherwise authorised to deal in derivatives in Australia</w:t>
      </w:r>
      <w:r>
        <w:rPr>
          <w:iCs/>
        </w:rPr>
        <w:t xml:space="preserve">, but updates the requirements </w:t>
      </w:r>
      <w:r w:rsidRPr="007B2192">
        <w:rPr>
          <w:iCs/>
        </w:rPr>
        <w:t>to:</w:t>
      </w:r>
    </w:p>
    <w:p w14:paraId="06A125F7" w14:textId="7610D489" w:rsidR="007B385A" w:rsidRDefault="007B385A" w:rsidP="007B385A">
      <w:pPr>
        <w:pStyle w:val="LI-BodyTextParaa"/>
        <w:numPr>
          <w:ilvl w:val="1"/>
          <w:numId w:val="3"/>
        </w:numPr>
      </w:pPr>
      <w:r>
        <w:t xml:space="preserve">harmonise to the international standards for </w:t>
      </w:r>
      <w:proofErr w:type="spellStart"/>
      <w:r>
        <w:t>LEIs</w:t>
      </w:r>
      <w:proofErr w:type="spellEnd"/>
      <w:r>
        <w:t>, transaction identifiers</w:t>
      </w:r>
      <w:r w:rsidR="00D563EC">
        <w:t xml:space="preserve"> (</w:t>
      </w:r>
      <w:proofErr w:type="spellStart"/>
      <w:r w:rsidR="00D563EC">
        <w:t>UTI</w:t>
      </w:r>
      <w:proofErr w:type="spellEnd"/>
      <w:r w:rsidR="00D563EC">
        <w:t xml:space="preserve"> Guidance)</w:t>
      </w:r>
      <w:r>
        <w:t>, product identifiers</w:t>
      </w:r>
      <w:r w:rsidR="00D563EC">
        <w:t xml:space="preserve"> (UPI Guidance)</w:t>
      </w:r>
      <w:r>
        <w:t xml:space="preserve"> and critical data elements (</w:t>
      </w:r>
      <w:r w:rsidR="00D563EC">
        <w:t>CDE Guidance</w:t>
      </w:r>
      <w:r w:rsidR="00DC0E81">
        <w:t>,</w:t>
      </w:r>
      <w:r w:rsidR="00D563EC">
        <w:t xml:space="preserve"> </w:t>
      </w:r>
      <w:r>
        <w:t xml:space="preserve">supplemented with other important data elements) as implemented or proposed in other </w:t>
      </w:r>
      <w:proofErr w:type="gramStart"/>
      <w:r>
        <w:t>jurisdictions;</w:t>
      </w:r>
      <w:proofErr w:type="gramEnd"/>
    </w:p>
    <w:p w14:paraId="6F3A1B3E" w14:textId="2EF02C77" w:rsidR="007B385A" w:rsidRDefault="007B385A" w:rsidP="007B385A">
      <w:pPr>
        <w:pStyle w:val="LI-BodyTextParaa"/>
        <w:numPr>
          <w:ilvl w:val="1"/>
          <w:numId w:val="3"/>
        </w:numPr>
      </w:pPr>
      <w:r>
        <w:t>remove outdated transitional provisions and consolidate associated exemptions within th</w:t>
      </w:r>
      <w:r w:rsidR="00924A2A">
        <w:t xml:space="preserve">is </w:t>
      </w:r>
      <w:proofErr w:type="gramStart"/>
      <w:r w:rsidR="00924A2A">
        <w:t>instrument</w:t>
      </w:r>
      <w:r>
        <w:t>;</w:t>
      </w:r>
      <w:proofErr w:type="gramEnd"/>
    </w:p>
    <w:p w14:paraId="2334014D" w14:textId="5D78E4A8" w:rsidR="007B385A" w:rsidRDefault="007B385A" w:rsidP="007B385A">
      <w:pPr>
        <w:pStyle w:val="LI-BodyTextParaa"/>
        <w:numPr>
          <w:ilvl w:val="1"/>
          <w:numId w:val="3"/>
        </w:numPr>
      </w:pPr>
      <w:r>
        <w:t>ensure that they are fit</w:t>
      </w:r>
      <w:r w:rsidR="00A56E21">
        <w:t xml:space="preserve"> </w:t>
      </w:r>
      <w:r>
        <w:t>for</w:t>
      </w:r>
      <w:r w:rsidR="00A56E21">
        <w:t xml:space="preserve"> </w:t>
      </w:r>
      <w:r>
        <w:t>purpose as to the scope of reporting entities, derivative products and types of transactions that are subject to th</w:t>
      </w:r>
      <w:r w:rsidR="00924A2A">
        <w:t>is instrument</w:t>
      </w:r>
      <w:r>
        <w:t xml:space="preserve"> and clear as to the roles and responsibilities of entities submitting derivative transaction reports; and</w:t>
      </w:r>
    </w:p>
    <w:p w14:paraId="1D22B07B" w14:textId="1DB1967E" w:rsidR="007B385A" w:rsidRDefault="007B385A" w:rsidP="007B385A">
      <w:pPr>
        <w:pStyle w:val="LI-BodyTextParaa"/>
        <w:numPr>
          <w:ilvl w:val="1"/>
          <w:numId w:val="3"/>
        </w:numPr>
      </w:pPr>
      <w:r>
        <w:lastRenderedPageBreak/>
        <w:t xml:space="preserve">harmonise to an internationally adopted technical standard for reporting under ISO 20022 </w:t>
      </w:r>
      <w:r>
        <w:rPr>
          <w:i/>
          <w:iCs/>
        </w:rPr>
        <w:t>Financial services – Universal financial messaging schem</w:t>
      </w:r>
      <w:r w:rsidR="00924A2A">
        <w:rPr>
          <w:i/>
          <w:iCs/>
        </w:rPr>
        <w:t>e</w:t>
      </w:r>
      <w:r>
        <w:t>.</w:t>
      </w:r>
    </w:p>
    <w:p w14:paraId="74CA2266" w14:textId="01E8D6FA" w:rsidR="007B385A" w:rsidRPr="00067FF7" w:rsidRDefault="007B385A" w:rsidP="00673B9A">
      <w:pPr>
        <w:pStyle w:val="LI-BodyTextParaa"/>
        <w:numPr>
          <w:ilvl w:val="0"/>
          <w:numId w:val="20"/>
        </w:numPr>
        <w:rPr>
          <w:iCs/>
        </w:rPr>
      </w:pPr>
      <w:r w:rsidRPr="008C62DA">
        <w:rPr>
          <w:iCs/>
        </w:rPr>
        <w:t>Harmonising to the international standards has the purposes of reducing ongoing costs and complexity for industry, improv</w:t>
      </w:r>
      <w:r w:rsidRPr="00234112">
        <w:t xml:space="preserve">ing data quality for the Australian regulators, including more comprehensive and </w:t>
      </w:r>
      <w:r w:rsidR="00D13F26">
        <w:t>fit for purpose</w:t>
      </w:r>
      <w:r w:rsidRPr="00234112">
        <w:t xml:space="preserve"> transaction details, and improving inter-jurisdictional data handling and aggregation.</w:t>
      </w:r>
    </w:p>
    <w:p w14:paraId="0996AAFA" w14:textId="5C8BF568" w:rsidR="007B385A" w:rsidRPr="00234112" w:rsidRDefault="007B385A" w:rsidP="00673B9A">
      <w:pPr>
        <w:pStyle w:val="LI-BodyTextParaa"/>
        <w:numPr>
          <w:ilvl w:val="0"/>
          <w:numId w:val="20"/>
        </w:numPr>
      </w:pPr>
      <w:r w:rsidRPr="00067FF7">
        <w:rPr>
          <w:iCs/>
        </w:rPr>
        <w:t>Th</w:t>
      </w:r>
      <w:r w:rsidR="00970674">
        <w:rPr>
          <w:iCs/>
        </w:rPr>
        <w:t>is instrument</w:t>
      </w:r>
      <w:r w:rsidRPr="00970674">
        <w:rPr>
          <w:iCs/>
        </w:rPr>
        <w:t xml:space="preserve"> </w:t>
      </w:r>
      <w:r w:rsidR="00970674">
        <w:rPr>
          <w:iCs/>
        </w:rPr>
        <w:t xml:space="preserve">is </w:t>
      </w:r>
      <w:r w:rsidRPr="00970674">
        <w:rPr>
          <w:iCs/>
        </w:rPr>
        <w:t>simplified by removing outdated transitional provisions of the</w:t>
      </w:r>
      <w:r w:rsidR="002F53FA">
        <w:rPr>
          <w:iCs/>
        </w:rPr>
        <w:t xml:space="preserve"> </w:t>
      </w:r>
      <w:r w:rsidRPr="001C2CC2">
        <w:rPr>
          <w:iCs/>
        </w:rPr>
        <w:t>2022 Rules</w:t>
      </w:r>
      <w:r w:rsidRPr="00970674">
        <w:rPr>
          <w:iCs/>
        </w:rPr>
        <w:t xml:space="preserve"> and by consolidating associated exemptions </w:t>
      </w:r>
      <w:r w:rsidRPr="002747C2">
        <w:rPr>
          <w:iCs/>
        </w:rPr>
        <w:t xml:space="preserve">to the 2022 Rules </w:t>
      </w:r>
      <w:r w:rsidRPr="00234112">
        <w:t>within th</w:t>
      </w:r>
      <w:r w:rsidR="004006A1">
        <w:rPr>
          <w:iCs/>
        </w:rPr>
        <w:t>is instrument</w:t>
      </w:r>
      <w:r w:rsidRPr="004006A1">
        <w:rPr>
          <w:iCs/>
        </w:rPr>
        <w:t xml:space="preserve">. This has the purpose of clarifying for entities the requirements that apply to them, including by removing the need to refer to other </w:t>
      </w:r>
      <w:r w:rsidRPr="00234112">
        <w:t>exemption instruments to understand the requirements in full.</w:t>
      </w:r>
    </w:p>
    <w:p w14:paraId="7429FF7A" w14:textId="41C52D2B" w:rsidR="007B385A" w:rsidRPr="00113A36" w:rsidRDefault="007B385A" w:rsidP="00673B9A">
      <w:pPr>
        <w:pStyle w:val="LI-BodyTextParaa"/>
        <w:numPr>
          <w:ilvl w:val="0"/>
          <w:numId w:val="20"/>
        </w:numPr>
        <w:rPr>
          <w:iCs/>
        </w:rPr>
      </w:pPr>
      <w:r w:rsidRPr="00234112">
        <w:t>Th</w:t>
      </w:r>
      <w:r w:rsidR="004006A1">
        <w:rPr>
          <w:iCs/>
        </w:rPr>
        <w:t>is instrument</w:t>
      </w:r>
      <w:r w:rsidRPr="004006A1">
        <w:rPr>
          <w:iCs/>
        </w:rPr>
        <w:t xml:space="preserve"> also update</w:t>
      </w:r>
      <w:r w:rsidR="004006A1">
        <w:rPr>
          <w:iCs/>
        </w:rPr>
        <w:t>s</w:t>
      </w:r>
      <w:r w:rsidRPr="004006A1">
        <w:rPr>
          <w:iCs/>
        </w:rPr>
        <w:t xml:space="preserve"> the 2022 Rules to clarify certain requirements and improve reporting to better satisfy the needs of the Australian regulators</w:t>
      </w:r>
      <w:r w:rsidRPr="002747C2">
        <w:rPr>
          <w:iCs/>
        </w:rPr>
        <w:t xml:space="preserve"> by:</w:t>
      </w:r>
    </w:p>
    <w:p w14:paraId="0A3AD02D" w14:textId="77F313FC" w:rsidR="007B385A" w:rsidRDefault="007B385A" w:rsidP="00673B9A">
      <w:pPr>
        <w:pStyle w:val="LI-BodyTextParaa"/>
        <w:numPr>
          <w:ilvl w:val="1"/>
          <w:numId w:val="32"/>
        </w:numPr>
      </w:pPr>
      <w:r>
        <w:t xml:space="preserve">clarifying that trades by foreign </w:t>
      </w:r>
      <w:r w:rsidR="00770827">
        <w:t>Australian financial services (</w:t>
      </w:r>
      <w:r w:rsidR="00770827" w:rsidRPr="00C632E6">
        <w:rPr>
          <w:b/>
          <w:bCs/>
          <w:i/>
          <w:iCs/>
        </w:rPr>
        <w:t>AFS</w:t>
      </w:r>
      <w:r w:rsidR="00770827">
        <w:t xml:space="preserve">) </w:t>
      </w:r>
      <w:r>
        <w:t xml:space="preserve">licensees with Australian retail clients are always </w:t>
      </w:r>
      <w:proofErr w:type="gramStart"/>
      <w:r>
        <w:t>reportable;</w:t>
      </w:r>
      <w:proofErr w:type="gramEnd"/>
    </w:p>
    <w:p w14:paraId="0D5114B5" w14:textId="4020C15C" w:rsidR="007B385A" w:rsidRDefault="007B385A" w:rsidP="00673B9A">
      <w:pPr>
        <w:pStyle w:val="LI-BodyTextParaa"/>
        <w:numPr>
          <w:ilvl w:val="1"/>
          <w:numId w:val="32"/>
        </w:numPr>
      </w:pPr>
      <w:r>
        <w:t>exempting small-scale buy-side entities from certain elements of the extended reporting requirements in th</w:t>
      </w:r>
      <w:r w:rsidR="004006A1">
        <w:t>is</w:t>
      </w:r>
      <w:r w:rsidR="001B3EF5">
        <w:t xml:space="preserve"> </w:t>
      </w:r>
      <w:proofErr w:type="gramStart"/>
      <w:r w:rsidR="001B3EF5">
        <w:t>instrument</w:t>
      </w:r>
      <w:r>
        <w:t>;</w:t>
      </w:r>
      <w:proofErr w:type="gramEnd"/>
    </w:p>
    <w:p w14:paraId="7A942CBB" w14:textId="77777777" w:rsidR="007B385A" w:rsidRDefault="007B385A" w:rsidP="00673B9A">
      <w:pPr>
        <w:pStyle w:val="LI-BodyTextParaa"/>
        <w:numPr>
          <w:ilvl w:val="1"/>
          <w:numId w:val="32"/>
        </w:numPr>
      </w:pPr>
      <w:r>
        <w:t xml:space="preserve">aligning the compliance obligations of entities that use outsourced reporting services with all other regulatory provisions for </w:t>
      </w:r>
      <w:proofErr w:type="gramStart"/>
      <w:r>
        <w:t>outsourcing;</w:t>
      </w:r>
      <w:proofErr w:type="gramEnd"/>
    </w:p>
    <w:p w14:paraId="2184FEFE" w14:textId="77777777" w:rsidR="007B385A" w:rsidRDefault="007B385A" w:rsidP="00673B9A">
      <w:pPr>
        <w:pStyle w:val="LI-BodyTextParaa"/>
        <w:numPr>
          <w:ilvl w:val="1"/>
          <w:numId w:val="32"/>
        </w:numPr>
      </w:pPr>
      <w:r>
        <w:t>implementing lifecycle reporting for all derivative products; and</w:t>
      </w:r>
    </w:p>
    <w:p w14:paraId="09B3A3E3" w14:textId="0E8ADA93" w:rsidR="007B385A" w:rsidRDefault="007B385A" w:rsidP="00673B9A">
      <w:pPr>
        <w:pStyle w:val="LI-BodyTextParaa"/>
        <w:numPr>
          <w:ilvl w:val="1"/>
          <w:numId w:val="32"/>
        </w:numPr>
      </w:pPr>
      <w:r>
        <w:t>curtailing recurring duplicative reporting of all outstanding transactions rather than just the new or changed transactions since the last report of transactions.</w:t>
      </w:r>
    </w:p>
    <w:p w14:paraId="26D42025" w14:textId="42C1DB12" w:rsidR="008C62DA" w:rsidRPr="003034DF" w:rsidRDefault="008C62DA" w:rsidP="008C62DA">
      <w:pPr>
        <w:pStyle w:val="LI-BodyTextParaa"/>
        <w:numPr>
          <w:ilvl w:val="0"/>
          <w:numId w:val="20"/>
        </w:numPr>
        <w:rPr>
          <w:bCs/>
        </w:rPr>
      </w:pPr>
      <w:r w:rsidRPr="003034DF">
        <w:rPr>
          <w:bCs/>
        </w:rPr>
        <w:t>Th</w:t>
      </w:r>
      <w:r>
        <w:rPr>
          <w:bCs/>
        </w:rPr>
        <w:t>is</w:t>
      </w:r>
      <w:r w:rsidRPr="003034DF">
        <w:rPr>
          <w:bCs/>
        </w:rPr>
        <w:t xml:space="preserve"> </w:t>
      </w:r>
      <w:r>
        <w:rPr>
          <w:bCs/>
        </w:rPr>
        <w:t>instrument</w:t>
      </w:r>
      <w:r w:rsidRPr="003034DF">
        <w:rPr>
          <w:bCs/>
        </w:rPr>
        <w:t>:</w:t>
      </w:r>
    </w:p>
    <w:p w14:paraId="32E1F71F" w14:textId="79048669" w:rsidR="008C62DA" w:rsidRPr="002A508E" w:rsidRDefault="008C62DA" w:rsidP="008C62DA">
      <w:pPr>
        <w:pStyle w:val="LI-BodyTextParaa"/>
        <w:numPr>
          <w:ilvl w:val="1"/>
          <w:numId w:val="20"/>
        </w:numPr>
        <w:rPr>
          <w:bCs/>
        </w:rPr>
      </w:pPr>
      <w:r w:rsidRPr="003034DF">
        <w:rPr>
          <w:bCs/>
        </w:rPr>
        <w:t>impose</w:t>
      </w:r>
      <w:r>
        <w:rPr>
          <w:bCs/>
        </w:rPr>
        <w:t>s</w:t>
      </w:r>
      <w:r w:rsidRPr="003034DF">
        <w:rPr>
          <w:bCs/>
        </w:rPr>
        <w:t xml:space="preserve"> reporting requirements as permitted by paragraph 901A(2)(b) and subsection 901A(6) of </w:t>
      </w:r>
      <w:r w:rsidR="008C0E8C">
        <w:rPr>
          <w:bCs/>
        </w:rPr>
        <w:t xml:space="preserve">the Corporations </w:t>
      </w:r>
      <w:proofErr w:type="gramStart"/>
      <w:r w:rsidR="008C0E8C">
        <w:rPr>
          <w:bCs/>
        </w:rPr>
        <w:t>Act</w:t>
      </w:r>
      <w:r w:rsidRPr="003034DF">
        <w:rPr>
          <w:bCs/>
        </w:rPr>
        <w:t>;</w:t>
      </w:r>
      <w:proofErr w:type="gramEnd"/>
    </w:p>
    <w:p w14:paraId="21D22546" w14:textId="0EE7CD24" w:rsidR="008C62DA" w:rsidRPr="003034DF" w:rsidRDefault="008C62DA" w:rsidP="008C62DA">
      <w:pPr>
        <w:pStyle w:val="LI-BodyTextParaa"/>
        <w:numPr>
          <w:ilvl w:val="1"/>
          <w:numId w:val="20"/>
        </w:numPr>
        <w:rPr>
          <w:bCs/>
        </w:rPr>
      </w:pPr>
      <w:r w:rsidRPr="003034DF">
        <w:rPr>
          <w:bCs/>
        </w:rPr>
        <w:t>specif</w:t>
      </w:r>
      <w:r>
        <w:rPr>
          <w:bCs/>
        </w:rPr>
        <w:t>ies</w:t>
      </w:r>
      <w:r w:rsidRPr="003034DF">
        <w:rPr>
          <w:bCs/>
        </w:rPr>
        <w:t xml:space="preserve"> the persons who are required to comply with the reporting requirements imposed by </w:t>
      </w:r>
      <w:r w:rsidR="001D0340">
        <w:rPr>
          <w:bCs/>
        </w:rPr>
        <w:t>the 2024 Rules</w:t>
      </w:r>
      <w:r w:rsidRPr="003034DF">
        <w:rPr>
          <w:bCs/>
        </w:rPr>
        <w:t xml:space="preserve"> as permitted by paragraph 901A(3)(e) of </w:t>
      </w:r>
      <w:r w:rsidR="008C0E8C">
        <w:rPr>
          <w:bCs/>
        </w:rPr>
        <w:t xml:space="preserve">the Corporations </w:t>
      </w:r>
      <w:proofErr w:type="gramStart"/>
      <w:r w:rsidR="008C0E8C">
        <w:rPr>
          <w:bCs/>
        </w:rPr>
        <w:t>Act</w:t>
      </w:r>
      <w:r w:rsidRPr="003034DF">
        <w:rPr>
          <w:bCs/>
        </w:rPr>
        <w:t>;</w:t>
      </w:r>
      <w:proofErr w:type="gramEnd"/>
    </w:p>
    <w:p w14:paraId="15ECAD13" w14:textId="6C9783FC" w:rsidR="008C62DA" w:rsidRPr="003034DF" w:rsidRDefault="008C62DA" w:rsidP="008C62DA">
      <w:pPr>
        <w:pStyle w:val="LI-BodyTextParaa"/>
        <w:numPr>
          <w:ilvl w:val="1"/>
          <w:numId w:val="20"/>
        </w:numPr>
        <w:rPr>
          <w:bCs/>
        </w:rPr>
      </w:pPr>
      <w:r w:rsidRPr="003034DF">
        <w:rPr>
          <w:bCs/>
        </w:rPr>
        <w:t>deal</w:t>
      </w:r>
      <w:r>
        <w:rPr>
          <w:bCs/>
        </w:rPr>
        <w:t>s</w:t>
      </w:r>
      <w:r w:rsidRPr="003034DF">
        <w:rPr>
          <w:bCs/>
        </w:rPr>
        <w:t xml:space="preserve"> with the manner and form in which persons are required to comply with the reporting requirement imposed by </w:t>
      </w:r>
      <w:r w:rsidR="001D0340">
        <w:rPr>
          <w:bCs/>
        </w:rPr>
        <w:t>the 2024 Rules</w:t>
      </w:r>
      <w:r w:rsidRPr="003034DF">
        <w:rPr>
          <w:bCs/>
        </w:rPr>
        <w:t xml:space="preserve"> as permitted by paragraph 901A(3)(f) of </w:t>
      </w:r>
      <w:r w:rsidR="008C0E8C">
        <w:rPr>
          <w:bCs/>
        </w:rPr>
        <w:t>the Corporations Act</w:t>
      </w:r>
      <w:r w:rsidRPr="003034DF">
        <w:rPr>
          <w:bCs/>
        </w:rPr>
        <w:t>; and</w:t>
      </w:r>
    </w:p>
    <w:p w14:paraId="33B85FAF" w14:textId="5E7BE90D" w:rsidR="008C62DA" w:rsidRDefault="008C62DA" w:rsidP="008C62DA">
      <w:pPr>
        <w:pStyle w:val="LI-BodyTextParaa"/>
        <w:numPr>
          <w:ilvl w:val="1"/>
          <w:numId w:val="20"/>
        </w:numPr>
        <w:rPr>
          <w:bCs/>
        </w:rPr>
      </w:pPr>
      <w:r w:rsidRPr="003034DF">
        <w:rPr>
          <w:bCs/>
        </w:rPr>
        <w:t>deal</w:t>
      </w:r>
      <w:r>
        <w:rPr>
          <w:bCs/>
        </w:rPr>
        <w:t>s</w:t>
      </w:r>
      <w:r w:rsidRPr="003034DF">
        <w:rPr>
          <w:bCs/>
        </w:rPr>
        <w:t xml:space="preserve"> with the circumstances in which persons are relieved from complying with the reporting requirements in </w:t>
      </w:r>
      <w:r w:rsidR="001D0340">
        <w:rPr>
          <w:bCs/>
        </w:rPr>
        <w:t>the 2024 Rules</w:t>
      </w:r>
      <w:r w:rsidRPr="003034DF">
        <w:rPr>
          <w:bCs/>
        </w:rPr>
        <w:t xml:space="preserve"> that would otherwise apply to them as permitted by paragraph 901A(3)(g) of </w:t>
      </w:r>
      <w:r w:rsidR="008C0E8C">
        <w:rPr>
          <w:bCs/>
        </w:rPr>
        <w:t>the Corporations Act</w:t>
      </w:r>
      <w:r>
        <w:rPr>
          <w:bCs/>
        </w:rPr>
        <w:t>.</w:t>
      </w:r>
    </w:p>
    <w:p w14:paraId="75F2DD36" w14:textId="30075CAE" w:rsidR="00916D22" w:rsidRPr="00D2518D" w:rsidRDefault="00916D22" w:rsidP="002E110A">
      <w:pPr>
        <w:pStyle w:val="LI-BodyTextParaa"/>
        <w:numPr>
          <w:ilvl w:val="0"/>
          <w:numId w:val="20"/>
        </w:numPr>
        <w:rPr>
          <w:bCs/>
        </w:rPr>
      </w:pPr>
      <w:r w:rsidRPr="00D2518D">
        <w:rPr>
          <w:bCs/>
        </w:rPr>
        <w:lastRenderedPageBreak/>
        <w:t xml:space="preserve">The </w:t>
      </w:r>
      <w:r>
        <w:rPr>
          <w:bCs/>
        </w:rPr>
        <w:t xml:space="preserve">information that is required to be reported </w:t>
      </w:r>
      <w:r w:rsidRPr="00D2518D">
        <w:rPr>
          <w:bCs/>
        </w:rPr>
        <w:t>falls broadly into the following categories</w:t>
      </w:r>
      <w:r>
        <w:rPr>
          <w:bCs/>
        </w:rPr>
        <w:t>:</w:t>
      </w:r>
    </w:p>
    <w:p w14:paraId="011D537D" w14:textId="6788B10B" w:rsidR="00916D22" w:rsidRDefault="003B5BB6" w:rsidP="002E110A">
      <w:pPr>
        <w:pStyle w:val="LI-BodyTextParaa"/>
        <w:numPr>
          <w:ilvl w:val="1"/>
          <w:numId w:val="20"/>
        </w:numPr>
        <w:rPr>
          <w:bCs/>
        </w:rPr>
      </w:pPr>
      <w:r>
        <w:rPr>
          <w:bCs/>
        </w:rPr>
        <w:t>c</w:t>
      </w:r>
      <w:r w:rsidRPr="00D2518D">
        <w:rPr>
          <w:bCs/>
        </w:rPr>
        <w:t xml:space="preserve">ounterparty </w:t>
      </w:r>
      <w:r w:rsidR="00916D22" w:rsidRPr="00D2518D">
        <w:rPr>
          <w:bCs/>
        </w:rPr>
        <w:t>information</w:t>
      </w:r>
      <w:r w:rsidR="009D5567" w:rsidRPr="00D2518D">
        <w:rPr>
          <w:bCs/>
        </w:rPr>
        <w:t xml:space="preserve"> – such as an identifier for the counterpart</w:t>
      </w:r>
      <w:r w:rsidR="00A840C2">
        <w:rPr>
          <w:bCs/>
        </w:rPr>
        <w:t>ies</w:t>
      </w:r>
      <w:r w:rsidR="009D5567" w:rsidRPr="00D2518D">
        <w:rPr>
          <w:bCs/>
        </w:rPr>
        <w:t xml:space="preserve"> to a </w:t>
      </w:r>
      <w:r w:rsidR="009D5567">
        <w:rPr>
          <w:bCs/>
        </w:rPr>
        <w:t>d</w:t>
      </w:r>
      <w:r w:rsidR="009D5567" w:rsidRPr="00D2518D">
        <w:rPr>
          <w:bCs/>
        </w:rPr>
        <w:t>erivative (</w:t>
      </w:r>
      <w:proofErr w:type="gramStart"/>
      <w:r w:rsidR="009D5567" w:rsidRPr="00D2518D">
        <w:rPr>
          <w:bCs/>
        </w:rPr>
        <w:t>e.g.</w:t>
      </w:r>
      <w:proofErr w:type="gramEnd"/>
      <w:r w:rsidR="009D5567" w:rsidRPr="00D2518D">
        <w:rPr>
          <w:bCs/>
        </w:rPr>
        <w:t xml:space="preserve"> a</w:t>
      </w:r>
      <w:r w:rsidR="009D5567">
        <w:rPr>
          <w:bCs/>
        </w:rPr>
        <w:t>n</w:t>
      </w:r>
      <w:r w:rsidR="009D5567" w:rsidRPr="00D2518D">
        <w:rPr>
          <w:bCs/>
        </w:rPr>
        <w:t xml:space="preserve"> </w:t>
      </w:r>
      <w:r w:rsidR="009D5567">
        <w:rPr>
          <w:bCs/>
        </w:rPr>
        <w:t>LEI</w:t>
      </w:r>
      <w:r w:rsidR="009D5567" w:rsidRPr="00D2518D">
        <w:rPr>
          <w:bCs/>
        </w:rPr>
        <w:t>)</w:t>
      </w:r>
      <w:r w:rsidR="00916D22">
        <w:rPr>
          <w:bCs/>
        </w:rPr>
        <w:t>;</w:t>
      </w:r>
    </w:p>
    <w:p w14:paraId="7C994293" w14:textId="12A593E3" w:rsidR="00853118" w:rsidRPr="00D2518D" w:rsidRDefault="009F5C56" w:rsidP="002E110A">
      <w:pPr>
        <w:pStyle w:val="LI-BodyTextParaa"/>
        <w:numPr>
          <w:ilvl w:val="1"/>
          <w:numId w:val="20"/>
        </w:numPr>
        <w:rPr>
          <w:bCs/>
        </w:rPr>
      </w:pPr>
      <w:r>
        <w:rPr>
          <w:bCs/>
        </w:rPr>
        <w:t xml:space="preserve">other entity information – such </w:t>
      </w:r>
      <w:r w:rsidRPr="00D2518D">
        <w:rPr>
          <w:bCs/>
        </w:rPr>
        <w:t xml:space="preserve">as an identifier for </w:t>
      </w:r>
      <w:r w:rsidR="00A840C2">
        <w:rPr>
          <w:bCs/>
        </w:rPr>
        <w:t xml:space="preserve">the reporting entity, </w:t>
      </w:r>
      <w:r>
        <w:rPr>
          <w:bCs/>
        </w:rPr>
        <w:t>beneficiary, broker, central clearing facility, clearing member or the person making the report</w:t>
      </w:r>
      <w:r w:rsidRPr="00D2518D">
        <w:rPr>
          <w:bCs/>
        </w:rPr>
        <w:t xml:space="preserve"> </w:t>
      </w:r>
      <w:r>
        <w:rPr>
          <w:bCs/>
        </w:rPr>
        <w:t>in relation to a d</w:t>
      </w:r>
      <w:r w:rsidRPr="00D2518D">
        <w:rPr>
          <w:bCs/>
        </w:rPr>
        <w:t>erivative (</w:t>
      </w:r>
      <w:proofErr w:type="gramStart"/>
      <w:r w:rsidRPr="00D2518D">
        <w:rPr>
          <w:bCs/>
        </w:rPr>
        <w:t>e.g.</w:t>
      </w:r>
      <w:proofErr w:type="gramEnd"/>
      <w:r w:rsidRPr="00D2518D">
        <w:rPr>
          <w:bCs/>
        </w:rPr>
        <w:t xml:space="preserve"> a</w:t>
      </w:r>
      <w:r>
        <w:rPr>
          <w:bCs/>
        </w:rPr>
        <w:t>n</w:t>
      </w:r>
      <w:r w:rsidRPr="00D2518D">
        <w:rPr>
          <w:bCs/>
        </w:rPr>
        <w:t xml:space="preserve"> </w:t>
      </w:r>
      <w:r>
        <w:rPr>
          <w:bCs/>
        </w:rPr>
        <w:t>LEI</w:t>
      </w:r>
      <w:r w:rsidRPr="00D2518D">
        <w:rPr>
          <w:bCs/>
        </w:rPr>
        <w:t>)</w:t>
      </w:r>
      <w:r>
        <w:rPr>
          <w:bCs/>
        </w:rPr>
        <w:t>;</w:t>
      </w:r>
    </w:p>
    <w:p w14:paraId="5D18810E" w14:textId="38438C0A" w:rsidR="00916D22" w:rsidRPr="00D2518D" w:rsidRDefault="003B5BB6" w:rsidP="002E110A">
      <w:pPr>
        <w:pStyle w:val="LI-BodyTextParaa"/>
        <w:numPr>
          <w:ilvl w:val="1"/>
          <w:numId w:val="20"/>
        </w:numPr>
        <w:rPr>
          <w:bCs/>
        </w:rPr>
      </w:pPr>
      <w:r>
        <w:rPr>
          <w:bCs/>
        </w:rPr>
        <w:t>o</w:t>
      </w:r>
      <w:r w:rsidRPr="00D2518D">
        <w:rPr>
          <w:bCs/>
        </w:rPr>
        <w:t xml:space="preserve">perational </w:t>
      </w:r>
      <w:r w:rsidR="00916D22" w:rsidRPr="00D2518D">
        <w:rPr>
          <w:bCs/>
        </w:rPr>
        <w:t>information</w:t>
      </w:r>
      <w:r w:rsidR="00EF14EE" w:rsidRPr="00D2518D">
        <w:rPr>
          <w:bCs/>
        </w:rPr>
        <w:t xml:space="preserve"> – such as an identifier for the </w:t>
      </w:r>
      <w:r w:rsidR="00EF14EE">
        <w:rPr>
          <w:bCs/>
        </w:rPr>
        <w:t>d</w:t>
      </w:r>
      <w:r w:rsidR="00EF14EE" w:rsidRPr="00D2518D">
        <w:rPr>
          <w:bCs/>
        </w:rPr>
        <w:t xml:space="preserve">erivative </w:t>
      </w:r>
      <w:r w:rsidR="00EF14EE">
        <w:rPr>
          <w:bCs/>
        </w:rPr>
        <w:t>t</w:t>
      </w:r>
      <w:r w:rsidR="00EF14EE" w:rsidRPr="00D2518D">
        <w:rPr>
          <w:bCs/>
        </w:rPr>
        <w:t xml:space="preserve">ransaction, and information about whether the </w:t>
      </w:r>
      <w:r w:rsidR="00EF14EE">
        <w:rPr>
          <w:bCs/>
        </w:rPr>
        <w:t>d</w:t>
      </w:r>
      <w:r w:rsidR="00EF14EE" w:rsidRPr="00D2518D">
        <w:rPr>
          <w:bCs/>
        </w:rPr>
        <w:t xml:space="preserve">erivative </w:t>
      </w:r>
      <w:r w:rsidR="00EF14EE">
        <w:rPr>
          <w:bCs/>
        </w:rPr>
        <w:t>t</w:t>
      </w:r>
      <w:r w:rsidR="00EF14EE" w:rsidRPr="00D2518D">
        <w:rPr>
          <w:bCs/>
        </w:rPr>
        <w:t>ransaction was traded on an execution venue</w:t>
      </w:r>
      <w:r w:rsidR="00EF14EE">
        <w:rPr>
          <w:bCs/>
        </w:rPr>
        <w:t xml:space="preserve"> and/or</w:t>
      </w:r>
      <w:r w:rsidR="00EF14EE" w:rsidRPr="00D2518D">
        <w:rPr>
          <w:bCs/>
        </w:rPr>
        <w:t xml:space="preserve"> </w:t>
      </w:r>
      <w:proofErr w:type="gramStart"/>
      <w:r w:rsidR="00EF14EE" w:rsidRPr="00D2518D">
        <w:rPr>
          <w:bCs/>
        </w:rPr>
        <w:t>cleared</w:t>
      </w:r>
      <w:r w:rsidR="00916D22">
        <w:rPr>
          <w:bCs/>
        </w:rPr>
        <w:t>;</w:t>
      </w:r>
      <w:proofErr w:type="gramEnd"/>
    </w:p>
    <w:p w14:paraId="101BDB18" w14:textId="01EF1822" w:rsidR="00916D22" w:rsidRPr="00D2518D" w:rsidRDefault="003B5BB6" w:rsidP="002E110A">
      <w:pPr>
        <w:pStyle w:val="LI-BodyTextParaa"/>
        <w:numPr>
          <w:ilvl w:val="1"/>
          <w:numId w:val="20"/>
        </w:numPr>
        <w:rPr>
          <w:bCs/>
        </w:rPr>
      </w:pPr>
      <w:r>
        <w:rPr>
          <w:bCs/>
        </w:rPr>
        <w:t>p</w:t>
      </w:r>
      <w:r w:rsidR="00916D22" w:rsidRPr="00D2518D">
        <w:rPr>
          <w:bCs/>
        </w:rPr>
        <w:t>roduct information</w:t>
      </w:r>
      <w:r w:rsidR="00B828A2" w:rsidRPr="00D2518D">
        <w:rPr>
          <w:bCs/>
        </w:rPr>
        <w:t xml:space="preserve"> – such as </w:t>
      </w:r>
      <w:r w:rsidR="00B828A2">
        <w:rPr>
          <w:bCs/>
        </w:rPr>
        <w:t>an identifier of</w:t>
      </w:r>
      <w:r w:rsidR="00B828A2" w:rsidRPr="00D2518D">
        <w:rPr>
          <w:bCs/>
        </w:rPr>
        <w:t xml:space="preserve"> the type of </w:t>
      </w:r>
      <w:r w:rsidR="00B828A2">
        <w:rPr>
          <w:bCs/>
        </w:rPr>
        <w:t>d</w:t>
      </w:r>
      <w:r w:rsidR="00B828A2" w:rsidRPr="00D2518D">
        <w:rPr>
          <w:bCs/>
        </w:rPr>
        <w:t xml:space="preserve">erivative </w:t>
      </w:r>
      <w:r w:rsidR="00B828A2">
        <w:rPr>
          <w:bCs/>
        </w:rPr>
        <w:t xml:space="preserve">that conveys information about its general type </w:t>
      </w:r>
      <w:r w:rsidR="00B828A2" w:rsidRPr="00D2518D">
        <w:rPr>
          <w:bCs/>
        </w:rPr>
        <w:t>(</w:t>
      </w:r>
      <w:proofErr w:type="gramStart"/>
      <w:r w:rsidR="00B828A2" w:rsidRPr="00D2518D">
        <w:rPr>
          <w:bCs/>
        </w:rPr>
        <w:t>e.g.</w:t>
      </w:r>
      <w:proofErr w:type="gramEnd"/>
      <w:r w:rsidR="00B828A2" w:rsidRPr="00D2518D">
        <w:rPr>
          <w:bCs/>
        </w:rPr>
        <w:t xml:space="preserve"> swap, forward, option)</w:t>
      </w:r>
      <w:r w:rsidR="00B828A2">
        <w:rPr>
          <w:bCs/>
        </w:rPr>
        <w:t>, underlier and other characteristics</w:t>
      </w:r>
      <w:r w:rsidR="00916D22">
        <w:rPr>
          <w:bCs/>
        </w:rPr>
        <w:t>;</w:t>
      </w:r>
    </w:p>
    <w:p w14:paraId="17B0E0F7" w14:textId="64E15745" w:rsidR="00916D22" w:rsidRPr="00D2518D" w:rsidRDefault="003B5BB6" w:rsidP="002E110A">
      <w:pPr>
        <w:pStyle w:val="LI-BodyTextParaa"/>
        <w:numPr>
          <w:ilvl w:val="1"/>
          <w:numId w:val="20"/>
        </w:numPr>
        <w:rPr>
          <w:bCs/>
        </w:rPr>
      </w:pPr>
      <w:r>
        <w:rPr>
          <w:bCs/>
        </w:rPr>
        <w:t>t</w:t>
      </w:r>
      <w:r w:rsidR="00916D22" w:rsidRPr="00D2518D">
        <w:rPr>
          <w:bCs/>
        </w:rPr>
        <w:t>ransaction economics</w:t>
      </w:r>
      <w:r w:rsidR="005F35D4" w:rsidRPr="00D2518D">
        <w:rPr>
          <w:bCs/>
        </w:rPr>
        <w:t xml:space="preserve"> – the material terms of a </w:t>
      </w:r>
      <w:r w:rsidR="005F35D4">
        <w:rPr>
          <w:bCs/>
        </w:rPr>
        <w:t>d</w:t>
      </w:r>
      <w:r w:rsidR="005F35D4" w:rsidRPr="00D2518D">
        <w:rPr>
          <w:bCs/>
        </w:rPr>
        <w:t xml:space="preserve">erivative, including effective dates, </w:t>
      </w:r>
      <w:r w:rsidR="005F35D4">
        <w:rPr>
          <w:bCs/>
        </w:rPr>
        <w:t>expiration</w:t>
      </w:r>
      <w:r w:rsidR="005F35D4" w:rsidRPr="00D2518D">
        <w:rPr>
          <w:bCs/>
        </w:rPr>
        <w:t xml:space="preserve"> dates, notional amounts, </w:t>
      </w:r>
      <w:r w:rsidR="005F35D4">
        <w:rPr>
          <w:bCs/>
        </w:rPr>
        <w:t>prices</w:t>
      </w:r>
      <w:r w:rsidR="005F35D4" w:rsidRPr="00D2518D">
        <w:rPr>
          <w:bCs/>
        </w:rPr>
        <w:t xml:space="preserve"> and </w:t>
      </w:r>
      <w:r w:rsidR="005F35D4">
        <w:rPr>
          <w:bCs/>
        </w:rPr>
        <w:t xml:space="preserve">interest </w:t>
      </w:r>
      <w:proofErr w:type="gramStart"/>
      <w:r w:rsidR="005F35D4">
        <w:rPr>
          <w:bCs/>
        </w:rPr>
        <w:t>rates</w:t>
      </w:r>
      <w:r w:rsidR="00916D22">
        <w:rPr>
          <w:bCs/>
        </w:rPr>
        <w:t>;</w:t>
      </w:r>
      <w:proofErr w:type="gramEnd"/>
    </w:p>
    <w:p w14:paraId="77B334E0" w14:textId="24D7AB95" w:rsidR="00916D22" w:rsidRPr="00D2518D" w:rsidRDefault="003B5BB6" w:rsidP="002E110A">
      <w:pPr>
        <w:pStyle w:val="LI-BodyTextParaa"/>
        <w:numPr>
          <w:ilvl w:val="1"/>
          <w:numId w:val="20"/>
        </w:numPr>
        <w:rPr>
          <w:bCs/>
        </w:rPr>
      </w:pPr>
      <w:r>
        <w:rPr>
          <w:bCs/>
        </w:rPr>
        <w:t>e</w:t>
      </w:r>
      <w:r w:rsidRPr="00D2518D">
        <w:rPr>
          <w:bCs/>
        </w:rPr>
        <w:t xml:space="preserve">xposures </w:t>
      </w:r>
      <w:r w:rsidR="00916D22" w:rsidRPr="00D2518D">
        <w:rPr>
          <w:bCs/>
        </w:rPr>
        <w:t>data</w:t>
      </w:r>
      <w:r w:rsidR="008E0E67" w:rsidRPr="00D2518D">
        <w:rPr>
          <w:bCs/>
        </w:rPr>
        <w:t xml:space="preserve"> – information about the valuation of a </w:t>
      </w:r>
      <w:r w:rsidR="008E0E67">
        <w:rPr>
          <w:bCs/>
        </w:rPr>
        <w:t>d</w:t>
      </w:r>
      <w:r w:rsidR="008E0E67" w:rsidRPr="00D2518D">
        <w:rPr>
          <w:bCs/>
        </w:rPr>
        <w:t xml:space="preserve">erivative, and information about collateral exchanged on the </w:t>
      </w:r>
      <w:r w:rsidR="008E0E67">
        <w:rPr>
          <w:bCs/>
        </w:rPr>
        <w:t>d</w:t>
      </w:r>
      <w:r w:rsidR="008E0E67" w:rsidRPr="00D2518D">
        <w:rPr>
          <w:bCs/>
        </w:rPr>
        <w:t>erivative</w:t>
      </w:r>
      <w:r w:rsidR="00916D22">
        <w:rPr>
          <w:bCs/>
        </w:rPr>
        <w:t>; and</w:t>
      </w:r>
    </w:p>
    <w:p w14:paraId="31006AB7" w14:textId="59E76527" w:rsidR="00916D22" w:rsidRDefault="003B5BB6" w:rsidP="002E110A">
      <w:pPr>
        <w:pStyle w:val="LI-BodyTextParaa"/>
        <w:numPr>
          <w:ilvl w:val="1"/>
          <w:numId w:val="20"/>
        </w:numPr>
        <w:rPr>
          <w:bCs/>
        </w:rPr>
      </w:pPr>
      <w:r>
        <w:rPr>
          <w:bCs/>
        </w:rPr>
        <w:t>e</w:t>
      </w:r>
      <w:r w:rsidRPr="00D2518D">
        <w:rPr>
          <w:bCs/>
        </w:rPr>
        <w:t xml:space="preserve">vent </w:t>
      </w:r>
      <w:r w:rsidR="00916D22" w:rsidRPr="00D2518D">
        <w:rPr>
          <w:bCs/>
        </w:rPr>
        <w:t>data</w:t>
      </w:r>
      <w:r w:rsidR="00D055B2" w:rsidRPr="00D2518D">
        <w:rPr>
          <w:bCs/>
        </w:rPr>
        <w:t xml:space="preserve"> – information that records the occurrence of an event and includes a timestamp, such as a clearing, </w:t>
      </w:r>
      <w:proofErr w:type="gramStart"/>
      <w:r w:rsidR="00D055B2" w:rsidRPr="00D2518D">
        <w:rPr>
          <w:bCs/>
        </w:rPr>
        <w:t>execution</w:t>
      </w:r>
      <w:proofErr w:type="gramEnd"/>
      <w:r w:rsidR="00D055B2" w:rsidRPr="00D2518D">
        <w:rPr>
          <w:bCs/>
        </w:rPr>
        <w:t xml:space="preserve"> or reporting timestamp</w:t>
      </w:r>
      <w:r w:rsidR="00916D22" w:rsidRPr="00D2518D">
        <w:rPr>
          <w:bCs/>
        </w:rPr>
        <w:t>.</w:t>
      </w:r>
    </w:p>
    <w:p w14:paraId="7F43ACBB" w14:textId="7D666774" w:rsidR="00D055B2" w:rsidRDefault="001B3EF5" w:rsidP="00673B9A">
      <w:pPr>
        <w:pStyle w:val="LI-BodyTextParaa"/>
        <w:numPr>
          <w:ilvl w:val="0"/>
          <w:numId w:val="20"/>
        </w:numPr>
        <w:rPr>
          <w:bCs/>
        </w:rPr>
      </w:pPr>
      <w:r>
        <w:rPr>
          <w:bCs/>
        </w:rPr>
        <w:t xml:space="preserve">An important </w:t>
      </w:r>
      <w:r w:rsidR="001F32FA">
        <w:rPr>
          <w:bCs/>
        </w:rPr>
        <w:t xml:space="preserve">update in this instrument from the 2022 Rules </w:t>
      </w:r>
      <w:r w:rsidR="00A67E97">
        <w:rPr>
          <w:bCs/>
        </w:rPr>
        <w:t xml:space="preserve">is that there </w:t>
      </w:r>
      <w:r w:rsidR="007B43B4">
        <w:rPr>
          <w:bCs/>
        </w:rPr>
        <w:t>are</w:t>
      </w:r>
      <w:r w:rsidR="00A67E97">
        <w:rPr>
          <w:bCs/>
        </w:rPr>
        <w:t xml:space="preserve"> no longer any requirements to report the name of any counterparty or other entity</w:t>
      </w:r>
      <w:r w:rsidR="007B43B4">
        <w:rPr>
          <w:bCs/>
        </w:rPr>
        <w:t xml:space="preserve"> – all counterparties and other entities are only </w:t>
      </w:r>
      <w:r w:rsidR="004A7171">
        <w:rPr>
          <w:bCs/>
        </w:rPr>
        <w:t xml:space="preserve">identified with an identifier code. </w:t>
      </w:r>
      <w:r w:rsidR="003755E4">
        <w:rPr>
          <w:bCs/>
        </w:rPr>
        <w:t xml:space="preserve">As is the case with </w:t>
      </w:r>
      <w:r w:rsidR="00D2488F">
        <w:rPr>
          <w:bCs/>
        </w:rPr>
        <w:t>identifier codes reported under the 2022 Rules, f</w:t>
      </w:r>
      <w:r w:rsidR="00920A4B">
        <w:rPr>
          <w:bCs/>
        </w:rPr>
        <w:t xml:space="preserve">or </w:t>
      </w:r>
      <w:r w:rsidR="00251717">
        <w:rPr>
          <w:bCs/>
        </w:rPr>
        <w:t xml:space="preserve">the vast majority of </w:t>
      </w:r>
      <w:r w:rsidR="002A5C37">
        <w:rPr>
          <w:bCs/>
        </w:rPr>
        <w:t>counterparties</w:t>
      </w:r>
      <w:r w:rsidR="00920A4B">
        <w:rPr>
          <w:bCs/>
        </w:rPr>
        <w:t xml:space="preserve"> </w:t>
      </w:r>
      <w:r w:rsidR="00D02C27">
        <w:rPr>
          <w:bCs/>
        </w:rPr>
        <w:t>and beneficiaries</w:t>
      </w:r>
      <w:r w:rsidR="00920A4B">
        <w:rPr>
          <w:bCs/>
        </w:rPr>
        <w:t xml:space="preserve"> that are individuals</w:t>
      </w:r>
      <w:r w:rsidR="00251717">
        <w:rPr>
          <w:bCs/>
        </w:rPr>
        <w:t xml:space="preserve">, </w:t>
      </w:r>
      <w:r w:rsidR="00B30C2A">
        <w:rPr>
          <w:bCs/>
        </w:rPr>
        <w:t xml:space="preserve">it is expected that these </w:t>
      </w:r>
      <w:r w:rsidR="003C63FC">
        <w:rPr>
          <w:bCs/>
        </w:rPr>
        <w:t xml:space="preserve">identifier codes </w:t>
      </w:r>
      <w:r w:rsidR="00772F1A">
        <w:rPr>
          <w:bCs/>
        </w:rPr>
        <w:t xml:space="preserve">(as required under this instrument for a “client code”) </w:t>
      </w:r>
      <w:r w:rsidR="003C63FC">
        <w:rPr>
          <w:bCs/>
        </w:rPr>
        <w:t xml:space="preserve">will be </w:t>
      </w:r>
      <w:r w:rsidR="003B7783">
        <w:rPr>
          <w:bCs/>
        </w:rPr>
        <w:t>created by, and be unique to, the reporting entity</w:t>
      </w:r>
      <w:r w:rsidR="00D02C27">
        <w:rPr>
          <w:bCs/>
        </w:rPr>
        <w:t>.</w:t>
      </w:r>
      <w:r w:rsidR="003B7783">
        <w:rPr>
          <w:bCs/>
        </w:rPr>
        <w:t xml:space="preserve"> </w:t>
      </w:r>
      <w:r w:rsidR="006A77B6">
        <w:rPr>
          <w:bCs/>
        </w:rPr>
        <w:t>As such,</w:t>
      </w:r>
      <w:r w:rsidR="003B7783">
        <w:rPr>
          <w:bCs/>
        </w:rPr>
        <w:t xml:space="preserve"> </w:t>
      </w:r>
      <w:r w:rsidR="0047085D">
        <w:rPr>
          <w:bCs/>
        </w:rPr>
        <w:t xml:space="preserve">ASIC </w:t>
      </w:r>
      <w:r w:rsidR="00B30C2A">
        <w:rPr>
          <w:bCs/>
        </w:rPr>
        <w:t xml:space="preserve">will not be </w:t>
      </w:r>
      <w:r w:rsidR="0047085D">
        <w:rPr>
          <w:bCs/>
        </w:rPr>
        <w:t xml:space="preserve">able to derive the name </w:t>
      </w:r>
      <w:r w:rsidR="00953490">
        <w:rPr>
          <w:bCs/>
        </w:rPr>
        <w:t>of</w:t>
      </w:r>
      <w:r w:rsidR="0047085D">
        <w:rPr>
          <w:bCs/>
        </w:rPr>
        <w:t xml:space="preserve"> the </w:t>
      </w:r>
      <w:r w:rsidR="00D02C27">
        <w:rPr>
          <w:bCs/>
        </w:rPr>
        <w:t>individual</w:t>
      </w:r>
      <w:r w:rsidR="0047085D">
        <w:rPr>
          <w:bCs/>
        </w:rPr>
        <w:t xml:space="preserve"> from publicly available information or </w:t>
      </w:r>
      <w:r w:rsidR="00D70217">
        <w:rPr>
          <w:bCs/>
        </w:rPr>
        <w:t>other information</w:t>
      </w:r>
      <w:r w:rsidR="002A5C37">
        <w:rPr>
          <w:bCs/>
        </w:rPr>
        <w:t xml:space="preserve"> ordinarily</w:t>
      </w:r>
      <w:r w:rsidR="00D70217">
        <w:rPr>
          <w:bCs/>
        </w:rPr>
        <w:t xml:space="preserve"> held by ASIC.</w:t>
      </w:r>
    </w:p>
    <w:p w14:paraId="780AB356" w14:textId="77777777" w:rsidR="00916D22" w:rsidRPr="00EA17A6" w:rsidRDefault="00916D22" w:rsidP="00916D22">
      <w:pPr>
        <w:pStyle w:val="LI-BodyTextNumbered"/>
        <w:ind w:left="567"/>
        <w:rPr>
          <w:u w:val="single"/>
        </w:rPr>
      </w:pPr>
      <w:bookmarkStart w:id="38" w:name="_Hlk534286807"/>
      <w:bookmarkEnd w:id="36"/>
      <w:r w:rsidRPr="00EA17A6">
        <w:rPr>
          <w:u w:val="single"/>
        </w:rPr>
        <w:t>Assessment of human rights implications</w:t>
      </w:r>
    </w:p>
    <w:bookmarkEnd w:id="38"/>
    <w:p w14:paraId="70455445" w14:textId="77777777" w:rsidR="00F64200" w:rsidRDefault="00F64200" w:rsidP="00F64200">
      <w:pPr>
        <w:pStyle w:val="LI-BodyTextParaa"/>
        <w:ind w:left="567" w:firstLine="0"/>
        <w:rPr>
          <w:bCs/>
        </w:rPr>
      </w:pPr>
      <w:r>
        <w:rPr>
          <w:i/>
          <w:iCs/>
          <w:color w:val="000000"/>
          <w:sz w:val="23"/>
          <w:szCs w:val="23"/>
          <w:u w:val="single"/>
          <w:shd w:val="clear" w:color="auto" w:fill="FFFFFF"/>
        </w:rPr>
        <w:t>Article 17 of the International Covenant on Civil and Political Rights</w:t>
      </w:r>
    </w:p>
    <w:p w14:paraId="2EBECF5B" w14:textId="5D7DF908" w:rsidR="00F64200" w:rsidRPr="00376F39" w:rsidRDefault="00F64200" w:rsidP="00F64200">
      <w:pPr>
        <w:pStyle w:val="LI-BodyTextParaa"/>
        <w:numPr>
          <w:ilvl w:val="0"/>
          <w:numId w:val="20"/>
        </w:numPr>
        <w:rPr>
          <w:bCs/>
        </w:rPr>
      </w:pPr>
      <w:r w:rsidRPr="00376F39">
        <w:rPr>
          <w:bCs/>
        </w:rPr>
        <w:t>Th</w:t>
      </w:r>
      <w:r>
        <w:rPr>
          <w:bCs/>
        </w:rPr>
        <w:t>is instrument</w:t>
      </w:r>
      <w:r w:rsidRPr="00376F39">
        <w:rPr>
          <w:bCs/>
        </w:rPr>
        <w:t xml:space="preserve"> may engage the right to privacy and reputation in Article 17 of the International Covenant on Civil and Political Rights (</w:t>
      </w:r>
      <w:r w:rsidRPr="00A60BB9">
        <w:rPr>
          <w:b/>
          <w:i/>
          <w:iCs/>
        </w:rPr>
        <w:t>Article 17</w:t>
      </w:r>
      <w:r w:rsidRPr="00376F39">
        <w:rPr>
          <w:bCs/>
        </w:rPr>
        <w:t xml:space="preserve">). Article 17 prohibits unlawful or arbitrary interferences with a person's privacy, family, home (which the UN Human Rights Committee has interpreted as including a person’s workplace) and correspondence. It also prohibits unlawful attacks on a person’s reputation. It provides that persons have the right to the protection of the law against such interference or attacks. The UN Human Rights Committee has not defined </w:t>
      </w:r>
      <w:r w:rsidR="00A965AB">
        <w:rPr>
          <w:bCs/>
        </w:rPr>
        <w:t>“</w:t>
      </w:r>
      <w:r w:rsidRPr="00376F39">
        <w:rPr>
          <w:bCs/>
        </w:rPr>
        <w:t>privacy</w:t>
      </w:r>
      <w:r w:rsidR="00A965AB">
        <w:rPr>
          <w:bCs/>
        </w:rPr>
        <w:t>”</w:t>
      </w:r>
      <w:r w:rsidRPr="00376F39">
        <w:rPr>
          <w:bCs/>
        </w:rPr>
        <w:t xml:space="preserve">. The Commonwealth Attorney-General’s Department </w:t>
      </w:r>
      <w:r w:rsidRPr="00376F39">
        <w:rPr>
          <w:bCs/>
        </w:rPr>
        <w:lastRenderedPageBreak/>
        <w:t xml:space="preserve">has provided </w:t>
      </w:r>
      <w:hyperlink r:id="rId34" w:history="1">
        <w:r w:rsidRPr="00ED0B1C">
          <w:rPr>
            <w:rStyle w:val="Hyperlink"/>
            <w:bCs/>
          </w:rPr>
          <w:t>guidance</w:t>
        </w:r>
      </w:hyperlink>
      <w:r w:rsidRPr="00376F39">
        <w:rPr>
          <w:bCs/>
        </w:rPr>
        <w:t xml:space="preserve"> that privacy should be understood to comprise freedom from unwarranted and unreasonable intrusion into activities that society recognises as falling into the individual sphere of autonomy. To avoid being considered arbitrary, any interference with privacy must be in accordance with the provisions, aims and objectives of the ICCPR and should be reasonable in the particular circumstances.</w:t>
      </w:r>
    </w:p>
    <w:p w14:paraId="6925AC4D" w14:textId="2A3CA321" w:rsidR="00F64200" w:rsidRPr="00376F39" w:rsidRDefault="00F64200" w:rsidP="00F64200">
      <w:pPr>
        <w:pStyle w:val="LI-BodyTextParaa"/>
        <w:numPr>
          <w:ilvl w:val="0"/>
          <w:numId w:val="20"/>
        </w:numPr>
        <w:rPr>
          <w:bCs/>
        </w:rPr>
      </w:pPr>
      <w:r w:rsidRPr="00376F39">
        <w:rPr>
          <w:bCs/>
        </w:rPr>
        <w:t>Th</w:t>
      </w:r>
      <w:r>
        <w:rPr>
          <w:bCs/>
        </w:rPr>
        <w:t xml:space="preserve">is instrument </w:t>
      </w:r>
      <w:r w:rsidRPr="00376F39">
        <w:rPr>
          <w:bCs/>
        </w:rPr>
        <w:t>may engage the right to privacy and reputation in Article 17</w:t>
      </w:r>
    </w:p>
    <w:p w14:paraId="654FE26F" w14:textId="208D319E" w:rsidR="00F64200" w:rsidRPr="00376F39" w:rsidRDefault="00F64200" w:rsidP="00F64200">
      <w:pPr>
        <w:pStyle w:val="LI-BodyTextParaa"/>
        <w:numPr>
          <w:ilvl w:val="0"/>
          <w:numId w:val="20"/>
        </w:numPr>
        <w:rPr>
          <w:bCs/>
        </w:rPr>
      </w:pPr>
      <w:r w:rsidRPr="00376F39">
        <w:rPr>
          <w:bCs/>
        </w:rPr>
        <w:t xml:space="preserve">The </w:t>
      </w:r>
      <w:r>
        <w:rPr>
          <w:bCs/>
        </w:rPr>
        <w:t xml:space="preserve">instrument </w:t>
      </w:r>
      <w:r w:rsidRPr="00376F39">
        <w:rPr>
          <w:bCs/>
        </w:rPr>
        <w:t>require</w:t>
      </w:r>
      <w:r>
        <w:rPr>
          <w:bCs/>
        </w:rPr>
        <w:t>s</w:t>
      </w:r>
      <w:r w:rsidRPr="00376F39">
        <w:rPr>
          <w:bCs/>
        </w:rPr>
        <w:t xml:space="preserve"> a </w:t>
      </w:r>
      <w:r w:rsidR="00A965AB">
        <w:rPr>
          <w:bCs/>
        </w:rPr>
        <w:t>“</w:t>
      </w:r>
      <w:r>
        <w:rPr>
          <w:bCs/>
        </w:rPr>
        <w:t>r</w:t>
      </w:r>
      <w:r w:rsidRPr="00376F39">
        <w:rPr>
          <w:bCs/>
        </w:rPr>
        <w:t xml:space="preserve">eporting </w:t>
      </w:r>
      <w:r>
        <w:rPr>
          <w:bCs/>
        </w:rPr>
        <w:t>e</w:t>
      </w:r>
      <w:r w:rsidRPr="00376F39">
        <w:rPr>
          <w:bCs/>
        </w:rPr>
        <w:t>ntity</w:t>
      </w:r>
      <w:r w:rsidR="00A965AB">
        <w:rPr>
          <w:bCs/>
        </w:rPr>
        <w:t>”</w:t>
      </w:r>
      <w:r w:rsidRPr="00376F39">
        <w:rPr>
          <w:bCs/>
        </w:rPr>
        <w:t xml:space="preserve"> (as defined in Rule 1.2.3 of th</w:t>
      </w:r>
      <w:r>
        <w:rPr>
          <w:bCs/>
        </w:rPr>
        <w:t>e instrument</w:t>
      </w:r>
      <w:r w:rsidRPr="00376F39">
        <w:rPr>
          <w:bCs/>
        </w:rPr>
        <w:t xml:space="preserve">) to provide certain </w:t>
      </w:r>
      <w:r w:rsidR="00A965AB">
        <w:rPr>
          <w:bCs/>
        </w:rPr>
        <w:t>“</w:t>
      </w:r>
      <w:r w:rsidRPr="00376F39">
        <w:rPr>
          <w:bCs/>
        </w:rPr>
        <w:t>derivative trade data</w:t>
      </w:r>
      <w:r w:rsidR="00A965AB">
        <w:rPr>
          <w:bCs/>
        </w:rPr>
        <w:t>”</w:t>
      </w:r>
      <w:r w:rsidRPr="00376F39">
        <w:rPr>
          <w:bCs/>
        </w:rPr>
        <w:t xml:space="preserve"> to a derivative trade repository that is licensed under section 905C of the </w:t>
      </w:r>
      <w:r>
        <w:rPr>
          <w:bCs/>
        </w:rPr>
        <w:t xml:space="preserve">Corporations </w:t>
      </w:r>
      <w:r w:rsidRPr="00376F39">
        <w:rPr>
          <w:bCs/>
        </w:rPr>
        <w:t xml:space="preserve">Act or a derivative trade repository that it prescribed under paragraph 901A(6)(b) of the </w:t>
      </w:r>
      <w:r>
        <w:rPr>
          <w:bCs/>
        </w:rPr>
        <w:t xml:space="preserve">Corporations </w:t>
      </w:r>
      <w:r w:rsidRPr="00376F39">
        <w:rPr>
          <w:bCs/>
        </w:rPr>
        <w:t xml:space="preserve">Act. Under Rules 2.3.1 and 2.3.2 of the </w:t>
      </w:r>
      <w:r w:rsidRPr="008B6BC6">
        <w:rPr>
          <w:bCs/>
          <w:i/>
          <w:iCs/>
        </w:rPr>
        <w:t>ASIC Derivative Trade Repository Rules 2013</w:t>
      </w:r>
      <w:r w:rsidR="00A965AB">
        <w:rPr>
          <w:b/>
        </w:rPr>
        <w:t xml:space="preserve"> </w:t>
      </w:r>
      <w:r w:rsidR="00A965AB" w:rsidRPr="006B460D">
        <w:rPr>
          <w:bCs/>
        </w:rPr>
        <w:t>(</w:t>
      </w:r>
      <w:r w:rsidR="00A965AB">
        <w:rPr>
          <w:bCs/>
        </w:rPr>
        <w:t xml:space="preserve">the </w:t>
      </w:r>
      <w:r w:rsidR="00A965AB">
        <w:rPr>
          <w:b/>
          <w:i/>
          <w:iCs/>
        </w:rPr>
        <w:t>Trade Repository Rules 2013</w:t>
      </w:r>
      <w:r w:rsidR="00A965AB">
        <w:rPr>
          <w:bCs/>
        </w:rPr>
        <w:t>)</w:t>
      </w:r>
      <w:r w:rsidRPr="00376F39">
        <w:rPr>
          <w:bCs/>
        </w:rPr>
        <w:t xml:space="preserve">, an operator of a licensed derivative trade repository must accept and retain that information in records of derivative trade data. Under subsection 904B(2) of the </w:t>
      </w:r>
      <w:r>
        <w:rPr>
          <w:bCs/>
        </w:rPr>
        <w:t xml:space="preserve">Corporations </w:t>
      </w:r>
      <w:r w:rsidRPr="00376F39">
        <w:rPr>
          <w:bCs/>
        </w:rPr>
        <w:t xml:space="preserve">Act and Rule 2.3.4 of the </w:t>
      </w:r>
      <w:r w:rsidRPr="00E52F26">
        <w:rPr>
          <w:bCs/>
        </w:rPr>
        <w:t>Trade Repository Rules 2013</w:t>
      </w:r>
      <w:r w:rsidRPr="00376F39">
        <w:rPr>
          <w:bCs/>
        </w:rPr>
        <w:t xml:space="preserve">, the operator of a licensed derivative trade repository may be required to provide derivative trade data on request made by ASIC, </w:t>
      </w:r>
      <w:r>
        <w:rPr>
          <w:bCs/>
        </w:rPr>
        <w:t xml:space="preserve">the </w:t>
      </w:r>
      <w:r w:rsidRPr="00376F39">
        <w:rPr>
          <w:bCs/>
        </w:rPr>
        <w:t>A</w:t>
      </w:r>
      <w:r>
        <w:rPr>
          <w:bCs/>
        </w:rPr>
        <w:t xml:space="preserve">ustralian </w:t>
      </w:r>
      <w:r w:rsidRPr="00376F39">
        <w:rPr>
          <w:bCs/>
        </w:rPr>
        <w:t>P</w:t>
      </w:r>
      <w:r>
        <w:rPr>
          <w:bCs/>
        </w:rPr>
        <w:t xml:space="preserve">rudential </w:t>
      </w:r>
      <w:r w:rsidRPr="00376F39">
        <w:rPr>
          <w:bCs/>
        </w:rPr>
        <w:t>R</w:t>
      </w:r>
      <w:r>
        <w:rPr>
          <w:bCs/>
        </w:rPr>
        <w:t xml:space="preserve">egulatory </w:t>
      </w:r>
      <w:r w:rsidRPr="00376F39">
        <w:rPr>
          <w:bCs/>
        </w:rPr>
        <w:t>A</w:t>
      </w:r>
      <w:r>
        <w:rPr>
          <w:bCs/>
        </w:rPr>
        <w:t>uthority</w:t>
      </w:r>
      <w:r w:rsidRPr="00376F39">
        <w:rPr>
          <w:bCs/>
        </w:rPr>
        <w:t>, the R</w:t>
      </w:r>
      <w:r>
        <w:rPr>
          <w:bCs/>
        </w:rPr>
        <w:t xml:space="preserve">eserve </w:t>
      </w:r>
      <w:r w:rsidRPr="00376F39">
        <w:rPr>
          <w:bCs/>
        </w:rPr>
        <w:t>B</w:t>
      </w:r>
      <w:r>
        <w:rPr>
          <w:bCs/>
        </w:rPr>
        <w:t xml:space="preserve">ank of </w:t>
      </w:r>
      <w:r w:rsidRPr="00376F39">
        <w:rPr>
          <w:bCs/>
        </w:rPr>
        <w:t>A</w:t>
      </w:r>
      <w:r>
        <w:rPr>
          <w:bCs/>
        </w:rPr>
        <w:t>ustralia</w:t>
      </w:r>
      <w:r w:rsidRPr="00376F39">
        <w:rPr>
          <w:bCs/>
        </w:rPr>
        <w:t>, a prescribed person or body, or another licensed derivative trade repository.</w:t>
      </w:r>
    </w:p>
    <w:p w14:paraId="44AE9BB5" w14:textId="1E7F7F10" w:rsidR="00F64200" w:rsidRPr="00376F39" w:rsidRDefault="00F64200" w:rsidP="00F64200">
      <w:pPr>
        <w:pStyle w:val="LI-BodyTextParaa"/>
        <w:numPr>
          <w:ilvl w:val="0"/>
          <w:numId w:val="20"/>
        </w:numPr>
        <w:rPr>
          <w:bCs/>
        </w:rPr>
      </w:pPr>
      <w:r w:rsidRPr="00376F39">
        <w:rPr>
          <w:bCs/>
        </w:rPr>
        <w:t>Derivative trade data includes, for each side of an OTC derivative transaction, information that is capable of identifying the counterpart</w:t>
      </w:r>
      <w:r>
        <w:rPr>
          <w:bCs/>
        </w:rPr>
        <w:t>ies</w:t>
      </w:r>
      <w:r w:rsidRPr="00376F39">
        <w:rPr>
          <w:bCs/>
        </w:rPr>
        <w:t xml:space="preserve"> to the OTC derivative (referred to as </w:t>
      </w:r>
      <w:r w:rsidR="00326773">
        <w:rPr>
          <w:bCs/>
        </w:rPr>
        <w:t>“</w:t>
      </w:r>
      <w:r w:rsidRPr="00376F39">
        <w:rPr>
          <w:bCs/>
        </w:rPr>
        <w:t>counterparty information</w:t>
      </w:r>
      <w:r w:rsidR="00326773">
        <w:rPr>
          <w:bCs/>
        </w:rPr>
        <w:t>”</w:t>
      </w:r>
      <w:r w:rsidRPr="00376F39">
        <w:rPr>
          <w:bCs/>
        </w:rPr>
        <w:t>)</w:t>
      </w:r>
      <w:r>
        <w:rPr>
          <w:bCs/>
        </w:rPr>
        <w:t xml:space="preserve">. If applicable, derivative trade data also includes </w:t>
      </w:r>
      <w:r w:rsidRPr="00376F39">
        <w:rPr>
          <w:bCs/>
        </w:rPr>
        <w:t xml:space="preserve">information that is capable of identifying </w:t>
      </w:r>
      <w:r>
        <w:rPr>
          <w:bCs/>
        </w:rPr>
        <w:t xml:space="preserve">other entities (referred to as </w:t>
      </w:r>
      <w:r w:rsidR="00326773">
        <w:rPr>
          <w:bCs/>
        </w:rPr>
        <w:t>“</w:t>
      </w:r>
      <w:r>
        <w:rPr>
          <w:bCs/>
        </w:rPr>
        <w:t>other entity information</w:t>
      </w:r>
      <w:r w:rsidR="00326773">
        <w:rPr>
          <w:bCs/>
        </w:rPr>
        <w:t>”</w:t>
      </w:r>
      <w:r>
        <w:rPr>
          <w:bCs/>
        </w:rPr>
        <w:t>) involved in the OTC derivative transaction which may be a beneficiary, broker, central clearing facility, clearing member</w:t>
      </w:r>
      <w:r w:rsidR="00B525B1">
        <w:rPr>
          <w:bCs/>
        </w:rPr>
        <w:t xml:space="preserve"> </w:t>
      </w:r>
      <w:r>
        <w:rPr>
          <w:bCs/>
        </w:rPr>
        <w:t>or the person making the derivatives trade data report</w:t>
      </w:r>
      <w:r w:rsidRPr="00D2518D">
        <w:rPr>
          <w:bCs/>
        </w:rPr>
        <w:t xml:space="preserve"> </w:t>
      </w:r>
      <w:r w:rsidRPr="00376F39">
        <w:rPr>
          <w:bCs/>
        </w:rPr>
        <w:t>t</w:t>
      </w:r>
      <w:r>
        <w:rPr>
          <w:bCs/>
        </w:rPr>
        <w:t xml:space="preserve">o a derivative trade repository </w:t>
      </w:r>
      <w:r w:rsidRPr="00376F39">
        <w:rPr>
          <w:bCs/>
        </w:rPr>
        <w:t>(see Tables S</w:t>
      </w:r>
      <w:r w:rsidR="00B77EEC">
        <w:rPr>
          <w:bCs/>
        </w:rPr>
        <w:t>1</w:t>
      </w:r>
      <w:r w:rsidRPr="00376F39">
        <w:rPr>
          <w:bCs/>
        </w:rPr>
        <w:t>.1(1)</w:t>
      </w:r>
      <w:r w:rsidR="00B77EEC">
        <w:rPr>
          <w:bCs/>
        </w:rPr>
        <w:t>, S1.1(2)</w:t>
      </w:r>
      <w:r w:rsidRPr="00376F39">
        <w:rPr>
          <w:bCs/>
        </w:rPr>
        <w:t xml:space="preserve"> and S</w:t>
      </w:r>
      <w:r w:rsidR="00B77EEC">
        <w:rPr>
          <w:bCs/>
        </w:rPr>
        <w:t>1.1(3)</w:t>
      </w:r>
      <w:r w:rsidRPr="00376F39">
        <w:rPr>
          <w:bCs/>
        </w:rPr>
        <w:t xml:space="preserve"> in Schedule </w:t>
      </w:r>
      <w:r w:rsidR="009F0ED1">
        <w:rPr>
          <w:bCs/>
        </w:rPr>
        <w:t>1</w:t>
      </w:r>
      <w:r w:rsidRPr="00376F39">
        <w:rPr>
          <w:bCs/>
        </w:rPr>
        <w:t xml:space="preserve"> to the </w:t>
      </w:r>
      <w:r w:rsidR="009F0ED1">
        <w:rPr>
          <w:bCs/>
        </w:rPr>
        <w:t>instrument</w:t>
      </w:r>
      <w:r w:rsidRPr="00376F39">
        <w:rPr>
          <w:bCs/>
        </w:rPr>
        <w:t xml:space="preserve">). </w:t>
      </w:r>
    </w:p>
    <w:p w14:paraId="62106DCE" w14:textId="318E93D4" w:rsidR="00113A36" w:rsidRDefault="005C2865" w:rsidP="002747C2">
      <w:pPr>
        <w:pStyle w:val="LI-BodyTextParaa"/>
        <w:numPr>
          <w:ilvl w:val="0"/>
          <w:numId w:val="20"/>
        </w:numPr>
        <w:rPr>
          <w:bCs/>
        </w:rPr>
      </w:pPr>
      <w:r>
        <w:rPr>
          <w:bCs/>
        </w:rPr>
        <w:t>“</w:t>
      </w:r>
      <w:r w:rsidR="00F64200" w:rsidRPr="002747C2">
        <w:rPr>
          <w:bCs/>
        </w:rPr>
        <w:t>Counterparty information</w:t>
      </w:r>
      <w:r>
        <w:rPr>
          <w:bCs/>
        </w:rPr>
        <w:t>”</w:t>
      </w:r>
      <w:r w:rsidR="00F64200" w:rsidRPr="002747C2">
        <w:rPr>
          <w:bCs/>
        </w:rPr>
        <w:t xml:space="preserve"> and </w:t>
      </w:r>
      <w:r>
        <w:rPr>
          <w:bCs/>
        </w:rPr>
        <w:t>“</w:t>
      </w:r>
      <w:r w:rsidR="00F64200" w:rsidRPr="002747C2">
        <w:rPr>
          <w:bCs/>
        </w:rPr>
        <w:t>other entity information</w:t>
      </w:r>
      <w:r>
        <w:rPr>
          <w:bCs/>
        </w:rPr>
        <w:t>”</w:t>
      </w:r>
      <w:r w:rsidR="00F64200" w:rsidRPr="002747C2">
        <w:rPr>
          <w:bCs/>
        </w:rPr>
        <w:t xml:space="preserve"> may contain </w:t>
      </w:r>
      <w:r>
        <w:rPr>
          <w:bCs/>
        </w:rPr>
        <w:t>“</w:t>
      </w:r>
      <w:r w:rsidR="00F64200" w:rsidRPr="002747C2">
        <w:rPr>
          <w:bCs/>
        </w:rPr>
        <w:t>personal information</w:t>
      </w:r>
      <w:r>
        <w:rPr>
          <w:bCs/>
        </w:rPr>
        <w:t>”</w:t>
      </w:r>
      <w:r w:rsidR="00F64200" w:rsidRPr="002747C2">
        <w:rPr>
          <w:bCs/>
        </w:rPr>
        <w:t xml:space="preserve"> as defined in the </w:t>
      </w:r>
      <w:r w:rsidR="00F64200" w:rsidRPr="00C74707">
        <w:rPr>
          <w:bCs/>
          <w:i/>
          <w:iCs/>
        </w:rPr>
        <w:t>Privacy Act 1988</w:t>
      </w:r>
      <w:r w:rsidR="00F64200" w:rsidRPr="002747C2">
        <w:rPr>
          <w:bCs/>
        </w:rPr>
        <w:t xml:space="preserve">, being information or an opinion (including information or an opinion forming part of a database), whether true or not, and whether recorded in a material form or not, about an individual whose identity is apparent, or can reasonably be ascertained, from the information or opinion. </w:t>
      </w:r>
    </w:p>
    <w:p w14:paraId="43942980" w14:textId="70F0C401" w:rsidR="00F64200" w:rsidRPr="0010266A" w:rsidRDefault="00F64200" w:rsidP="0010266A">
      <w:pPr>
        <w:pStyle w:val="LI-BodyTextParaa"/>
        <w:numPr>
          <w:ilvl w:val="0"/>
          <w:numId w:val="20"/>
        </w:numPr>
        <w:rPr>
          <w:bCs/>
        </w:rPr>
      </w:pPr>
      <w:r w:rsidRPr="002747C2">
        <w:rPr>
          <w:bCs/>
        </w:rPr>
        <w:t>This is the case where the counterparty or other entity is an individual and the reporting entity reporting the OTC derivative provides</w:t>
      </w:r>
      <w:r w:rsidR="009713F5" w:rsidRPr="002747C2">
        <w:rPr>
          <w:bCs/>
        </w:rPr>
        <w:t xml:space="preserve"> </w:t>
      </w:r>
      <w:r w:rsidRPr="002747C2">
        <w:rPr>
          <w:bCs/>
        </w:rPr>
        <w:t>a code to identify the individual from which the identity of the individual can reasonably be ascertained.</w:t>
      </w:r>
      <w:r w:rsidR="00113A36">
        <w:rPr>
          <w:bCs/>
        </w:rPr>
        <w:t xml:space="preserve"> </w:t>
      </w:r>
      <w:r w:rsidR="00685FA2">
        <w:rPr>
          <w:bCs/>
        </w:rPr>
        <w:t xml:space="preserve">Such identifiers of individuals may </w:t>
      </w:r>
      <w:r w:rsidR="00D9242D">
        <w:rPr>
          <w:bCs/>
        </w:rPr>
        <w:t xml:space="preserve">be </w:t>
      </w:r>
      <w:r w:rsidR="002466D7">
        <w:rPr>
          <w:bCs/>
        </w:rPr>
        <w:t>codes (</w:t>
      </w:r>
      <w:proofErr w:type="gramStart"/>
      <w:r w:rsidR="002466D7">
        <w:rPr>
          <w:bCs/>
        </w:rPr>
        <w:t>e.g.</w:t>
      </w:r>
      <w:proofErr w:type="gramEnd"/>
      <w:r w:rsidR="002466D7">
        <w:rPr>
          <w:bCs/>
        </w:rPr>
        <w:t xml:space="preserve"> an LEI) </w:t>
      </w:r>
      <w:r w:rsidR="00F11603">
        <w:rPr>
          <w:bCs/>
        </w:rPr>
        <w:t>that allow the identity of the individual to be ascertained from publicly available databases</w:t>
      </w:r>
      <w:r w:rsidR="001E33EF">
        <w:rPr>
          <w:bCs/>
        </w:rPr>
        <w:t xml:space="preserve">, but it is expected that the vast majority </w:t>
      </w:r>
      <w:r w:rsidR="00292100">
        <w:rPr>
          <w:bCs/>
        </w:rPr>
        <w:t xml:space="preserve">of </w:t>
      </w:r>
      <w:r w:rsidR="00DB33C7">
        <w:rPr>
          <w:bCs/>
        </w:rPr>
        <w:t xml:space="preserve">these codes will be </w:t>
      </w:r>
      <w:r w:rsidR="00292100">
        <w:rPr>
          <w:bCs/>
        </w:rPr>
        <w:t xml:space="preserve">a </w:t>
      </w:r>
      <w:r w:rsidR="00326773">
        <w:rPr>
          <w:bCs/>
        </w:rPr>
        <w:t>“</w:t>
      </w:r>
      <w:r w:rsidR="00292100">
        <w:rPr>
          <w:bCs/>
        </w:rPr>
        <w:t>client code</w:t>
      </w:r>
      <w:r w:rsidR="00326773">
        <w:rPr>
          <w:bCs/>
        </w:rPr>
        <w:t>”</w:t>
      </w:r>
      <w:r w:rsidR="00292100">
        <w:rPr>
          <w:bCs/>
        </w:rPr>
        <w:t xml:space="preserve"> </w:t>
      </w:r>
      <w:r w:rsidR="00DB33C7">
        <w:rPr>
          <w:bCs/>
        </w:rPr>
        <w:t xml:space="preserve">created by, and unique to, the reporting entity and ASIC will not be able to derive the name of the entity from publicly available information or other information </w:t>
      </w:r>
      <w:r w:rsidR="00362E4C">
        <w:rPr>
          <w:bCs/>
        </w:rPr>
        <w:t>ordinarily</w:t>
      </w:r>
      <w:r w:rsidR="00DB33C7">
        <w:rPr>
          <w:bCs/>
        </w:rPr>
        <w:t xml:space="preserve"> held by ASIC.</w:t>
      </w:r>
    </w:p>
    <w:p w14:paraId="2608EE2A" w14:textId="45E8A303" w:rsidR="00F64200" w:rsidRPr="00376F39" w:rsidRDefault="00F64200" w:rsidP="00F64200">
      <w:pPr>
        <w:pStyle w:val="LI-BodyTextParaa"/>
        <w:numPr>
          <w:ilvl w:val="0"/>
          <w:numId w:val="20"/>
        </w:numPr>
        <w:rPr>
          <w:bCs/>
        </w:rPr>
      </w:pPr>
      <w:r w:rsidRPr="00376F39">
        <w:rPr>
          <w:bCs/>
        </w:rPr>
        <w:lastRenderedPageBreak/>
        <w:t xml:space="preserve">The right in Article 17 is engaged by the </w:t>
      </w:r>
      <w:r>
        <w:rPr>
          <w:bCs/>
        </w:rPr>
        <w:t>instrument</w:t>
      </w:r>
      <w:r w:rsidRPr="00376F39">
        <w:rPr>
          <w:bCs/>
        </w:rPr>
        <w:t xml:space="preserve"> by reason that the reporting of derivative trade data in accordance with the </w:t>
      </w:r>
      <w:r>
        <w:rPr>
          <w:bCs/>
        </w:rPr>
        <w:t>instrument</w:t>
      </w:r>
      <w:r w:rsidRPr="00376F39">
        <w:rPr>
          <w:bCs/>
        </w:rPr>
        <w:t xml:space="preserve"> may:</w:t>
      </w:r>
    </w:p>
    <w:p w14:paraId="3FA592DB" w14:textId="5F9C5E29" w:rsidR="00F64200" w:rsidRPr="00376F39" w:rsidRDefault="00F64200" w:rsidP="00F64200">
      <w:pPr>
        <w:pStyle w:val="LI-BodyTextParaa"/>
        <w:numPr>
          <w:ilvl w:val="1"/>
          <w:numId w:val="20"/>
        </w:numPr>
        <w:rPr>
          <w:bCs/>
        </w:rPr>
      </w:pPr>
      <w:r w:rsidRPr="00376F39">
        <w:rPr>
          <w:bCs/>
        </w:rPr>
        <w:t xml:space="preserve">involve the collection, storage, security, use or disclosure of </w:t>
      </w:r>
      <w:r w:rsidR="00ED6E53">
        <w:rPr>
          <w:bCs/>
        </w:rPr>
        <w:t>personal</w:t>
      </w:r>
      <w:r w:rsidRPr="00376F39">
        <w:rPr>
          <w:bCs/>
        </w:rPr>
        <w:t xml:space="preserve"> </w:t>
      </w:r>
      <w:proofErr w:type="gramStart"/>
      <w:r w:rsidRPr="00376F39">
        <w:rPr>
          <w:bCs/>
        </w:rPr>
        <w:t>information;</w:t>
      </w:r>
      <w:proofErr w:type="gramEnd"/>
    </w:p>
    <w:p w14:paraId="4DFFADFB" w14:textId="796348EB" w:rsidR="00F64200" w:rsidRPr="00376F39" w:rsidRDefault="00F64200" w:rsidP="00F64200">
      <w:pPr>
        <w:pStyle w:val="LI-BodyTextParaa"/>
        <w:numPr>
          <w:ilvl w:val="1"/>
          <w:numId w:val="20"/>
        </w:numPr>
        <w:rPr>
          <w:bCs/>
        </w:rPr>
      </w:pPr>
      <w:r w:rsidRPr="00376F39">
        <w:rPr>
          <w:bCs/>
        </w:rPr>
        <w:t xml:space="preserve">create confidentiality or secrecy provisions relating to personal information; </w:t>
      </w:r>
      <w:r w:rsidR="00DD70D8">
        <w:rPr>
          <w:bCs/>
        </w:rPr>
        <w:t>and</w:t>
      </w:r>
    </w:p>
    <w:p w14:paraId="64C24887" w14:textId="77777777" w:rsidR="00F64200" w:rsidRPr="00376F39" w:rsidRDefault="00F64200" w:rsidP="00F64200">
      <w:pPr>
        <w:pStyle w:val="LI-BodyTextParaa"/>
        <w:numPr>
          <w:ilvl w:val="1"/>
          <w:numId w:val="20"/>
        </w:numPr>
        <w:rPr>
          <w:bCs/>
        </w:rPr>
      </w:pPr>
      <w:r w:rsidRPr="00376F39">
        <w:rPr>
          <w:bCs/>
        </w:rPr>
        <w:t>provide for mandatory disclosure or reporting of information.</w:t>
      </w:r>
    </w:p>
    <w:p w14:paraId="0C6554CA" w14:textId="08C272ED" w:rsidR="00F64200" w:rsidRPr="00376F39" w:rsidRDefault="00F64200" w:rsidP="00F64200">
      <w:pPr>
        <w:pStyle w:val="LI-BodyTextParaa"/>
        <w:numPr>
          <w:ilvl w:val="0"/>
          <w:numId w:val="20"/>
        </w:numPr>
        <w:rPr>
          <w:bCs/>
        </w:rPr>
      </w:pPr>
      <w:r w:rsidRPr="00376F39">
        <w:rPr>
          <w:bCs/>
        </w:rPr>
        <w:t xml:space="preserve">The </w:t>
      </w:r>
      <w:r>
        <w:rPr>
          <w:bCs/>
        </w:rPr>
        <w:t xml:space="preserve">instrument is </w:t>
      </w:r>
      <w:r w:rsidRPr="00376F39">
        <w:rPr>
          <w:bCs/>
        </w:rPr>
        <w:t>compatible with the rights recognised in Article 17 of the ICCPR by reason that any interference with a person's privacy or reputation resulting from compliance with th</w:t>
      </w:r>
      <w:r>
        <w:rPr>
          <w:bCs/>
        </w:rPr>
        <w:t xml:space="preserve">e instrument </w:t>
      </w:r>
      <w:r w:rsidRPr="00376F39">
        <w:rPr>
          <w:bCs/>
        </w:rPr>
        <w:t>will be lawful and not arbitrary. In particular:</w:t>
      </w:r>
    </w:p>
    <w:p w14:paraId="52C22887" w14:textId="77777777" w:rsidR="009829E5" w:rsidRDefault="009829E5" w:rsidP="009829E5">
      <w:pPr>
        <w:pStyle w:val="LI-BodyTextParaa"/>
        <w:numPr>
          <w:ilvl w:val="1"/>
          <w:numId w:val="20"/>
        </w:numPr>
        <w:rPr>
          <w:bCs/>
        </w:rPr>
      </w:pPr>
      <w:r>
        <w:rPr>
          <w:bCs/>
        </w:rPr>
        <w:t>t</w:t>
      </w:r>
      <w:r w:rsidRPr="00376F39">
        <w:rPr>
          <w:bCs/>
        </w:rPr>
        <w:t xml:space="preserve">he </w:t>
      </w:r>
      <w:r>
        <w:rPr>
          <w:bCs/>
        </w:rPr>
        <w:t xml:space="preserve">instrument is </w:t>
      </w:r>
      <w:r w:rsidRPr="00376F39">
        <w:rPr>
          <w:bCs/>
        </w:rPr>
        <w:t xml:space="preserve">made in accordance with ASIC’s power to make derivative transaction rules imposing reporting requirements (see paragraph 901A(2)(b) and subsection 901A(6) of the </w:t>
      </w:r>
      <w:r>
        <w:rPr>
          <w:bCs/>
        </w:rPr>
        <w:t xml:space="preserve">Corporations </w:t>
      </w:r>
      <w:r w:rsidRPr="00376F39">
        <w:rPr>
          <w:bCs/>
        </w:rPr>
        <w:t>Act</w:t>
      </w:r>
      <w:proofErr w:type="gramStart"/>
      <w:r w:rsidRPr="00376F39">
        <w:rPr>
          <w:bCs/>
        </w:rPr>
        <w:t>)</w:t>
      </w:r>
      <w:r>
        <w:rPr>
          <w:bCs/>
        </w:rPr>
        <w:t>;</w:t>
      </w:r>
      <w:proofErr w:type="gramEnd"/>
    </w:p>
    <w:p w14:paraId="7D99B6A7" w14:textId="77777777" w:rsidR="009829E5" w:rsidRDefault="009829E5" w:rsidP="009829E5">
      <w:pPr>
        <w:pStyle w:val="LI-BodyTextParaa"/>
        <w:numPr>
          <w:ilvl w:val="1"/>
          <w:numId w:val="20"/>
        </w:numPr>
        <w:rPr>
          <w:bCs/>
        </w:rPr>
      </w:pPr>
      <w:r>
        <w:rPr>
          <w:bCs/>
        </w:rPr>
        <w:t>t</w:t>
      </w:r>
      <w:r w:rsidRPr="00376F39">
        <w:rPr>
          <w:bCs/>
        </w:rPr>
        <w:t xml:space="preserve">he </w:t>
      </w:r>
      <w:r>
        <w:rPr>
          <w:bCs/>
        </w:rPr>
        <w:t xml:space="preserve">instrument is </w:t>
      </w:r>
      <w:r w:rsidRPr="00376F39">
        <w:rPr>
          <w:bCs/>
        </w:rPr>
        <w:t xml:space="preserve">critical to the </w:t>
      </w:r>
      <w:r>
        <w:rPr>
          <w:bCs/>
        </w:rPr>
        <w:t xml:space="preserve">continuation </w:t>
      </w:r>
      <w:r w:rsidRPr="00376F39">
        <w:rPr>
          <w:bCs/>
        </w:rPr>
        <w:t xml:space="preserve">of </w:t>
      </w:r>
      <w:r>
        <w:rPr>
          <w:bCs/>
        </w:rPr>
        <w:t>the</w:t>
      </w:r>
      <w:r w:rsidRPr="00376F39">
        <w:rPr>
          <w:bCs/>
        </w:rPr>
        <w:t xml:space="preserve"> Australian trade reporting regime and regime for the licensing and regulation of derivative trade repositories, that achieves the stated objectives of the OTC derivatives reforms </w:t>
      </w:r>
      <w:r w:rsidRPr="005705B6">
        <w:t>of improving transparency</w:t>
      </w:r>
      <w:r>
        <w:t xml:space="preserve"> to regulators</w:t>
      </w:r>
      <w:r w:rsidRPr="005705B6">
        <w:t xml:space="preserve">, mitigating systemic risk, and protecting against market </w:t>
      </w:r>
      <w:proofErr w:type="gramStart"/>
      <w:r w:rsidRPr="005705B6">
        <w:t>abuse</w:t>
      </w:r>
      <w:r>
        <w:t>;</w:t>
      </w:r>
      <w:proofErr w:type="gramEnd"/>
    </w:p>
    <w:p w14:paraId="0D012F4A" w14:textId="022E08F1" w:rsidR="009829E5" w:rsidRDefault="009829E5" w:rsidP="009829E5">
      <w:pPr>
        <w:pStyle w:val="LI-BodyTextParaa"/>
        <w:numPr>
          <w:ilvl w:val="1"/>
          <w:numId w:val="20"/>
        </w:numPr>
        <w:rPr>
          <w:bCs/>
        </w:rPr>
      </w:pPr>
      <w:r w:rsidRPr="00B43316">
        <w:rPr>
          <w:bCs/>
        </w:rPr>
        <w:t xml:space="preserve">the </w:t>
      </w:r>
      <w:r>
        <w:rPr>
          <w:bCs/>
        </w:rPr>
        <w:t>i</w:t>
      </w:r>
      <w:r w:rsidRPr="00B43316">
        <w:rPr>
          <w:bCs/>
        </w:rPr>
        <w:t xml:space="preserve">nstrument achieves the objects of </w:t>
      </w:r>
      <w:r w:rsidRPr="005969C5">
        <w:rPr>
          <w:bCs/>
        </w:rPr>
        <w:t xml:space="preserve">the </w:t>
      </w:r>
      <w:r w:rsidRPr="005969C5">
        <w:rPr>
          <w:bCs/>
          <w:i/>
          <w:iCs/>
        </w:rPr>
        <w:t>Corporations Legislation Amendment (Derivative Transactions) Act 2012</w:t>
      </w:r>
      <w:r w:rsidRPr="00B43316">
        <w:rPr>
          <w:bCs/>
        </w:rPr>
        <w:t xml:space="preserve"> by giving regulators access to valuable data with which to assess the risks associated with the OTC derivatives market</w:t>
      </w:r>
      <w:r>
        <w:rPr>
          <w:bCs/>
        </w:rPr>
        <w:t>; and</w:t>
      </w:r>
    </w:p>
    <w:p w14:paraId="017FDEDC" w14:textId="5267C1CD" w:rsidR="009829E5" w:rsidRPr="00B43316" w:rsidRDefault="009829E5" w:rsidP="009829E5">
      <w:pPr>
        <w:pStyle w:val="LI-BodyTextParaa"/>
        <w:numPr>
          <w:ilvl w:val="1"/>
          <w:numId w:val="20"/>
        </w:numPr>
        <w:rPr>
          <w:bCs/>
        </w:rPr>
      </w:pPr>
      <w:r w:rsidRPr="00B43316">
        <w:rPr>
          <w:bCs/>
        </w:rPr>
        <w:t xml:space="preserve">the </w:t>
      </w:r>
      <w:r>
        <w:rPr>
          <w:bCs/>
        </w:rPr>
        <w:t>i</w:t>
      </w:r>
      <w:r w:rsidRPr="00B43316">
        <w:rPr>
          <w:bCs/>
        </w:rPr>
        <w:t xml:space="preserve">nstrument </w:t>
      </w:r>
      <w:r>
        <w:rPr>
          <w:bCs/>
        </w:rPr>
        <w:t xml:space="preserve">as a whole </w:t>
      </w:r>
      <w:r w:rsidRPr="00B43316">
        <w:rPr>
          <w:bCs/>
        </w:rPr>
        <w:t xml:space="preserve">will further the objects of Chapter 7 of the </w:t>
      </w:r>
      <w:r w:rsidR="00294A8D">
        <w:rPr>
          <w:bCs/>
        </w:rPr>
        <w:t xml:space="preserve">Corporations </w:t>
      </w:r>
      <w:r w:rsidRPr="00B43316">
        <w:rPr>
          <w:bCs/>
        </w:rPr>
        <w:t>Act, including promoting fair, orderly</w:t>
      </w:r>
      <w:r>
        <w:rPr>
          <w:bCs/>
        </w:rPr>
        <w:t xml:space="preserve"> and</w:t>
      </w:r>
      <w:r w:rsidRPr="00B43316">
        <w:rPr>
          <w:bCs/>
        </w:rPr>
        <w:t xml:space="preserve"> transparent markets for financial products (see paragraph 760A(c) of the Act)</w:t>
      </w:r>
      <w:r>
        <w:rPr>
          <w:bCs/>
        </w:rPr>
        <w:t>.</w:t>
      </w:r>
    </w:p>
    <w:p w14:paraId="0E15ECB3" w14:textId="0CD53838" w:rsidR="00F64200" w:rsidRPr="00376F39" w:rsidRDefault="00F64200" w:rsidP="00F64200">
      <w:pPr>
        <w:pStyle w:val="LI-BodyTextParaa"/>
        <w:numPr>
          <w:ilvl w:val="0"/>
          <w:numId w:val="20"/>
        </w:numPr>
        <w:rPr>
          <w:bCs/>
        </w:rPr>
      </w:pPr>
      <w:r w:rsidRPr="00376F39">
        <w:rPr>
          <w:bCs/>
        </w:rPr>
        <w:t xml:space="preserve">The </w:t>
      </w:r>
      <w:r>
        <w:rPr>
          <w:bCs/>
        </w:rPr>
        <w:t xml:space="preserve">instrument is </w:t>
      </w:r>
      <w:r w:rsidRPr="00376F39">
        <w:rPr>
          <w:bCs/>
        </w:rPr>
        <w:t>subject to a number of safeguards, including</w:t>
      </w:r>
    </w:p>
    <w:p w14:paraId="40CEE46F" w14:textId="4352B1F1" w:rsidR="00B81782" w:rsidRDefault="00F64200" w:rsidP="00F64200">
      <w:pPr>
        <w:pStyle w:val="LI-BodyTextParaa"/>
        <w:numPr>
          <w:ilvl w:val="1"/>
          <w:numId w:val="20"/>
        </w:numPr>
        <w:rPr>
          <w:bCs/>
        </w:rPr>
      </w:pPr>
      <w:r w:rsidRPr="00376F39">
        <w:rPr>
          <w:bCs/>
        </w:rPr>
        <w:t xml:space="preserve">Any personal information in derivative trade data provided to ASIC will be protected in accordance with ASIC’s legislative obligations under s127 of the </w:t>
      </w:r>
      <w:r w:rsidRPr="00584D7B">
        <w:rPr>
          <w:bCs/>
          <w:i/>
          <w:iCs/>
        </w:rPr>
        <w:t>Australian Securities and Investments Commission Act 2001</w:t>
      </w:r>
      <w:r w:rsidRPr="00376F39">
        <w:rPr>
          <w:bCs/>
        </w:rPr>
        <w:t xml:space="preserve"> (the </w:t>
      </w:r>
      <w:r w:rsidRPr="00584D7B">
        <w:rPr>
          <w:b/>
          <w:i/>
          <w:iCs/>
        </w:rPr>
        <w:t>ASIC Act</w:t>
      </w:r>
      <w:r w:rsidRPr="00376F39">
        <w:rPr>
          <w:bCs/>
        </w:rPr>
        <w:t xml:space="preserve">), and to the extent the information is personal information, under the </w:t>
      </w:r>
      <w:r w:rsidRPr="00C74707">
        <w:rPr>
          <w:bCs/>
          <w:i/>
          <w:iCs/>
        </w:rPr>
        <w:t>Privacy Act 1988</w:t>
      </w:r>
      <w:r w:rsidRPr="00376F39">
        <w:rPr>
          <w:bCs/>
        </w:rPr>
        <w:t xml:space="preserve">. In particular, subrule 2.3.4(10) of the </w:t>
      </w:r>
      <w:r w:rsidRPr="00E52F26">
        <w:rPr>
          <w:bCs/>
        </w:rPr>
        <w:t>Trade Repository Rules 2013</w:t>
      </w:r>
      <w:r w:rsidRPr="00376F39">
        <w:rPr>
          <w:bCs/>
        </w:rPr>
        <w:t xml:space="preserve"> provides that information given to ASIC by the operator, or an officer of an operator, of a derivative trade repository under Part 7.5A of </w:t>
      </w:r>
      <w:r w:rsidR="008C0E8C">
        <w:rPr>
          <w:bCs/>
        </w:rPr>
        <w:t>the Corporations Act</w:t>
      </w:r>
      <w:r w:rsidRPr="00376F39">
        <w:rPr>
          <w:bCs/>
        </w:rPr>
        <w:t xml:space="preserve"> or regulations made under that Part, or under th</w:t>
      </w:r>
      <w:r>
        <w:rPr>
          <w:bCs/>
        </w:rPr>
        <w:t xml:space="preserve">is instrument </w:t>
      </w:r>
      <w:r w:rsidRPr="00376F39">
        <w:rPr>
          <w:bCs/>
        </w:rPr>
        <w:t xml:space="preserve">or the </w:t>
      </w:r>
      <w:r w:rsidRPr="00E52F26">
        <w:rPr>
          <w:bCs/>
        </w:rPr>
        <w:t>Trade Repository Rules 2013</w:t>
      </w:r>
      <w:r w:rsidRPr="00376F39">
        <w:rPr>
          <w:bCs/>
        </w:rPr>
        <w:t>, will be taken to have been given to ASIC in confidence for the purposes of s127 of the ASIC Act (unless the information has already been made publicly available in accordance with those legislative provisions, or as otherwise required or permitted by law)</w:t>
      </w:r>
      <w:r>
        <w:rPr>
          <w:bCs/>
        </w:rPr>
        <w:t>;</w:t>
      </w:r>
      <w:r w:rsidR="004D5381">
        <w:rPr>
          <w:bCs/>
        </w:rPr>
        <w:t xml:space="preserve"> and</w:t>
      </w:r>
    </w:p>
    <w:p w14:paraId="2AD4A963" w14:textId="6F93649D" w:rsidR="00F64200" w:rsidRPr="00376F39" w:rsidRDefault="00F64200" w:rsidP="00F64200">
      <w:pPr>
        <w:pStyle w:val="LI-BodyTextParaa"/>
        <w:numPr>
          <w:ilvl w:val="1"/>
          <w:numId w:val="20"/>
        </w:numPr>
        <w:rPr>
          <w:bCs/>
        </w:rPr>
      </w:pPr>
      <w:r w:rsidRPr="00376F39">
        <w:rPr>
          <w:bCs/>
        </w:rPr>
        <w:lastRenderedPageBreak/>
        <w:t xml:space="preserve">The operator of a derivative trade repository will be subject to obligations under section 904B of the </w:t>
      </w:r>
      <w:r>
        <w:rPr>
          <w:bCs/>
        </w:rPr>
        <w:t xml:space="preserve">Corporations </w:t>
      </w:r>
      <w:r w:rsidRPr="00376F39">
        <w:rPr>
          <w:bCs/>
        </w:rPr>
        <w:t xml:space="preserve">Act, and under Rules 2.3.3, 2.3.4, 2.3.5, 2.3.6 and 2.4.8 of the </w:t>
      </w:r>
      <w:r w:rsidRPr="00E52F26">
        <w:t>Trade Repository Rules 2013</w:t>
      </w:r>
      <w:r w:rsidRPr="00376F39">
        <w:rPr>
          <w:bCs/>
        </w:rPr>
        <w:t xml:space="preserve"> to only use or disclose derivative trade data in certain circumstances, and to take steps to maintain the confidentiality, </w:t>
      </w:r>
      <w:proofErr w:type="gramStart"/>
      <w:r w:rsidRPr="00376F39">
        <w:rPr>
          <w:bCs/>
        </w:rPr>
        <w:t>security</w:t>
      </w:r>
      <w:proofErr w:type="gramEnd"/>
      <w:r w:rsidRPr="00376F39">
        <w:rPr>
          <w:bCs/>
        </w:rPr>
        <w:t xml:space="preserve"> and integrity of the derivative trade data at all times</w:t>
      </w:r>
      <w:r>
        <w:rPr>
          <w:bCs/>
        </w:rPr>
        <w:t>.</w:t>
      </w:r>
    </w:p>
    <w:p w14:paraId="3B730BAA" w14:textId="3FF22404" w:rsidR="00F64200" w:rsidRPr="00376F39" w:rsidRDefault="00F64200" w:rsidP="00F64200">
      <w:pPr>
        <w:pStyle w:val="LI-BodyTextParaa"/>
        <w:numPr>
          <w:ilvl w:val="0"/>
          <w:numId w:val="20"/>
        </w:numPr>
        <w:rPr>
          <w:bCs/>
        </w:rPr>
      </w:pPr>
      <w:r w:rsidRPr="00376F39">
        <w:rPr>
          <w:bCs/>
        </w:rPr>
        <w:t xml:space="preserve">If the </w:t>
      </w:r>
      <w:r>
        <w:rPr>
          <w:bCs/>
        </w:rPr>
        <w:t>instrument was</w:t>
      </w:r>
      <w:r w:rsidRPr="00376F39">
        <w:rPr>
          <w:bCs/>
        </w:rPr>
        <w:t xml:space="preserve"> considered to limit the right in Article 17 of the ICCPR, ASIC considers that the </w:t>
      </w:r>
      <w:r>
        <w:rPr>
          <w:bCs/>
        </w:rPr>
        <w:t>instrument is</w:t>
      </w:r>
      <w:r w:rsidRPr="00376F39">
        <w:rPr>
          <w:bCs/>
        </w:rPr>
        <w:t xml:space="preserve"> nevertheless compatible with that right. The right in Article 17 is not absolute. As noted, the right has implied limitations (</w:t>
      </w:r>
      <w:r w:rsidR="00326773">
        <w:rPr>
          <w:bCs/>
        </w:rPr>
        <w:t>“</w:t>
      </w:r>
      <w:r w:rsidRPr="00376F39">
        <w:rPr>
          <w:bCs/>
        </w:rPr>
        <w:t>unlawful</w:t>
      </w:r>
      <w:r w:rsidR="00326773">
        <w:rPr>
          <w:bCs/>
        </w:rPr>
        <w:t>”</w:t>
      </w:r>
      <w:r w:rsidRPr="00376F39">
        <w:rPr>
          <w:bCs/>
        </w:rPr>
        <w:t xml:space="preserve"> and </w:t>
      </w:r>
      <w:r w:rsidR="00326773">
        <w:rPr>
          <w:bCs/>
        </w:rPr>
        <w:t>“</w:t>
      </w:r>
      <w:r w:rsidRPr="00376F39">
        <w:rPr>
          <w:bCs/>
        </w:rPr>
        <w:t>arbitrary</w:t>
      </w:r>
      <w:r w:rsidR="00326773">
        <w:rPr>
          <w:bCs/>
        </w:rPr>
        <w:t>”</w:t>
      </w:r>
      <w:r w:rsidRPr="00376F39">
        <w:rPr>
          <w:bCs/>
        </w:rPr>
        <w:t xml:space="preserve">) and may be subject to a permissible limitation where that limitation aims to achieve a legitimate objective, there is a rational connection between the limitation, and the objective and the limitation is reasonable, </w:t>
      </w:r>
      <w:proofErr w:type="gramStart"/>
      <w:r w:rsidRPr="00376F39">
        <w:rPr>
          <w:bCs/>
        </w:rPr>
        <w:t>necessary</w:t>
      </w:r>
      <w:proofErr w:type="gramEnd"/>
      <w:r w:rsidRPr="00376F39">
        <w:rPr>
          <w:bCs/>
        </w:rPr>
        <w:t xml:space="preserve"> and proportionate.</w:t>
      </w:r>
    </w:p>
    <w:p w14:paraId="47934449" w14:textId="77777777" w:rsidR="00F64200" w:rsidRPr="00376F39" w:rsidRDefault="00F64200" w:rsidP="00F64200">
      <w:pPr>
        <w:pStyle w:val="LI-BodyTextParaa"/>
        <w:numPr>
          <w:ilvl w:val="0"/>
          <w:numId w:val="20"/>
        </w:numPr>
        <w:rPr>
          <w:bCs/>
        </w:rPr>
      </w:pPr>
      <w:r w:rsidRPr="00376F39">
        <w:rPr>
          <w:bCs/>
        </w:rPr>
        <w:t xml:space="preserve">Any limitation imposed on the right by </w:t>
      </w:r>
      <w:r>
        <w:rPr>
          <w:bCs/>
        </w:rPr>
        <w:t>this instrument</w:t>
      </w:r>
      <w:r w:rsidRPr="00376F39">
        <w:rPr>
          <w:bCs/>
        </w:rPr>
        <w:t xml:space="preserve"> has a clear legal basis, in that it aims to achieve a legitimate objective, has a rational connection with the objective, and is reasonable, </w:t>
      </w:r>
      <w:proofErr w:type="gramStart"/>
      <w:r w:rsidRPr="00376F39">
        <w:rPr>
          <w:bCs/>
        </w:rPr>
        <w:t>necessary</w:t>
      </w:r>
      <w:proofErr w:type="gramEnd"/>
      <w:r w:rsidRPr="00376F39">
        <w:rPr>
          <w:bCs/>
        </w:rPr>
        <w:t xml:space="preserve"> and proportionate.</w:t>
      </w:r>
    </w:p>
    <w:p w14:paraId="77AF81F4" w14:textId="77777777" w:rsidR="00F64200" w:rsidRPr="00376F39" w:rsidRDefault="00F64200" w:rsidP="00F64200">
      <w:pPr>
        <w:pStyle w:val="LI-BodyTextParaa"/>
        <w:numPr>
          <w:ilvl w:val="0"/>
          <w:numId w:val="20"/>
        </w:numPr>
        <w:rPr>
          <w:bCs/>
        </w:rPr>
      </w:pPr>
      <w:r w:rsidRPr="00376F39">
        <w:rPr>
          <w:bCs/>
        </w:rPr>
        <w:t xml:space="preserve">As noted in the </w:t>
      </w:r>
      <w:r w:rsidRPr="00755CBD">
        <w:rPr>
          <w:sz w:val="23"/>
          <w:szCs w:val="23"/>
          <w:lang w:val="en-GB"/>
        </w:rPr>
        <w:t xml:space="preserve">March 2012 report of the Australian Council of Financial Regulators entitled </w:t>
      </w:r>
      <w:r w:rsidRPr="00755CBD">
        <w:rPr>
          <w:i/>
          <w:sz w:val="23"/>
          <w:szCs w:val="23"/>
          <w:lang w:val="en-GB"/>
        </w:rPr>
        <w:t>OTC Derivatives Market Reform Considerations</w:t>
      </w:r>
      <w:r w:rsidRPr="00376F39">
        <w:rPr>
          <w:bCs/>
        </w:rPr>
        <w:t>:</w:t>
      </w:r>
    </w:p>
    <w:p w14:paraId="23195AE3" w14:textId="4315818C" w:rsidR="00F64200" w:rsidRPr="00376F39" w:rsidRDefault="00326773" w:rsidP="00F64200">
      <w:pPr>
        <w:pStyle w:val="LI-BodyTextParaa"/>
        <w:ind w:left="567" w:firstLine="0"/>
        <w:rPr>
          <w:bCs/>
        </w:rPr>
      </w:pPr>
      <w:r>
        <w:rPr>
          <w:bCs/>
        </w:rPr>
        <w:t>“</w:t>
      </w:r>
      <w:r w:rsidR="00F64200" w:rsidRPr="00376F39">
        <w:rPr>
          <w:bCs/>
        </w:rPr>
        <w:t>Reporting to trade repositories should facilitate the maintenance of a reliable and comprehensive source of information on participant trading activity, which would be useful to many regulators in performing their respective functions. It is expected that this increased transparency will assist authorities in identifying vulnerabilities in the financial system and, more broadly, to develop well-informed policies to promote financial stability. Information from trade repositories will be particularly useful in times of financial distress, where rapid and reliable access to accurate data may assist prudential and systemic regulators in their functions. From a market supervision perspective, transaction information stored in trade repositories in some product classes in particular, such as equity derivatives and credit derivatives, has the potential to assist investigations into market misconduct.</w:t>
      </w:r>
      <w:r>
        <w:rPr>
          <w:bCs/>
        </w:rPr>
        <w:t>”</w:t>
      </w:r>
    </w:p>
    <w:p w14:paraId="1EC08A03" w14:textId="56814D15" w:rsidR="00F64200" w:rsidRPr="00376F39" w:rsidRDefault="00F64200" w:rsidP="00F64200">
      <w:pPr>
        <w:pStyle w:val="LI-BodyTextParaa"/>
        <w:numPr>
          <w:ilvl w:val="0"/>
          <w:numId w:val="20"/>
        </w:numPr>
        <w:rPr>
          <w:bCs/>
        </w:rPr>
      </w:pPr>
      <w:r w:rsidRPr="00376F39">
        <w:rPr>
          <w:bCs/>
        </w:rPr>
        <w:t xml:space="preserve">Effective regulation of the OTC derivatives market requires regulators to have detailed data on counterparty exposures where these will pose a systemic risk. A requirement to report transactions, and counterparty information in relation to those transactions, is the most effective method of achieving this legitimate objective. </w:t>
      </w:r>
    </w:p>
    <w:p w14:paraId="4D8EE7AC" w14:textId="620D2C85" w:rsidR="00916D22" w:rsidRPr="003B70C6" w:rsidRDefault="00F64200" w:rsidP="002E110A">
      <w:pPr>
        <w:pStyle w:val="LI-BodyTextParaa"/>
        <w:numPr>
          <w:ilvl w:val="0"/>
          <w:numId w:val="20"/>
        </w:numPr>
        <w:rPr>
          <w:bCs/>
        </w:rPr>
      </w:pPr>
      <w:r w:rsidRPr="00376F39">
        <w:rPr>
          <w:bCs/>
        </w:rPr>
        <w:t xml:space="preserve">The </w:t>
      </w:r>
      <w:r>
        <w:rPr>
          <w:bCs/>
        </w:rPr>
        <w:t xml:space="preserve">instrument is </w:t>
      </w:r>
      <w:r w:rsidRPr="00376F39">
        <w:rPr>
          <w:bCs/>
        </w:rPr>
        <w:t>necess</w:t>
      </w:r>
      <w:r>
        <w:rPr>
          <w:bCs/>
        </w:rPr>
        <w:t>a</w:t>
      </w:r>
      <w:r w:rsidRPr="00376F39">
        <w:rPr>
          <w:bCs/>
        </w:rPr>
        <w:t xml:space="preserve">ry to achieve the legitimate objective because </w:t>
      </w:r>
      <w:r>
        <w:rPr>
          <w:bCs/>
        </w:rPr>
        <w:t>it</w:t>
      </w:r>
      <w:r w:rsidRPr="00376F39">
        <w:rPr>
          <w:bCs/>
        </w:rPr>
        <w:t xml:space="preserve"> provide</w:t>
      </w:r>
      <w:r>
        <w:rPr>
          <w:bCs/>
        </w:rPr>
        <w:t>s</w:t>
      </w:r>
      <w:r w:rsidRPr="00376F39">
        <w:rPr>
          <w:bCs/>
        </w:rPr>
        <w:t xml:space="preserve"> ASIC and other regulators with the data they need to assess </w:t>
      </w:r>
      <w:r>
        <w:rPr>
          <w:bCs/>
        </w:rPr>
        <w:t xml:space="preserve">the exposures of </w:t>
      </w:r>
      <w:r w:rsidRPr="00376F39">
        <w:rPr>
          <w:bCs/>
        </w:rPr>
        <w:t>counterpart</w:t>
      </w:r>
      <w:r>
        <w:rPr>
          <w:bCs/>
        </w:rPr>
        <w:t xml:space="preserve">ies and relevant other </w:t>
      </w:r>
      <w:proofErr w:type="gramStart"/>
      <w:r>
        <w:rPr>
          <w:bCs/>
        </w:rPr>
        <w:t>entities</w:t>
      </w:r>
      <w:r w:rsidRPr="00376F39">
        <w:rPr>
          <w:bCs/>
        </w:rPr>
        <w:t>, and</w:t>
      </w:r>
      <w:proofErr w:type="gramEnd"/>
      <w:r w:rsidRPr="00376F39">
        <w:rPr>
          <w:bCs/>
        </w:rPr>
        <w:t xml:space="preserve"> support the detection and prevention of market abuse. The </w:t>
      </w:r>
      <w:r>
        <w:rPr>
          <w:bCs/>
        </w:rPr>
        <w:t>instrument</w:t>
      </w:r>
      <w:r w:rsidRPr="00376F39">
        <w:rPr>
          <w:bCs/>
        </w:rPr>
        <w:t xml:space="preserve"> contains adequate safeguards by only requiring </w:t>
      </w:r>
      <w:r>
        <w:rPr>
          <w:bCs/>
        </w:rPr>
        <w:t>reporting entities</w:t>
      </w:r>
      <w:r w:rsidRPr="00376F39">
        <w:rPr>
          <w:bCs/>
        </w:rPr>
        <w:t xml:space="preserve"> to report the data necessary to achieve that objective, and, in conjunction with section 904B of </w:t>
      </w:r>
      <w:r w:rsidR="008C0E8C">
        <w:rPr>
          <w:bCs/>
        </w:rPr>
        <w:t>the Corporations Act</w:t>
      </w:r>
      <w:r w:rsidRPr="00376F39">
        <w:rPr>
          <w:bCs/>
        </w:rPr>
        <w:t xml:space="preserve">, to require operators </w:t>
      </w:r>
      <w:r>
        <w:rPr>
          <w:bCs/>
        </w:rPr>
        <w:t xml:space="preserve">of derivative trade repositories </w:t>
      </w:r>
      <w:r w:rsidRPr="00376F39">
        <w:rPr>
          <w:bCs/>
        </w:rPr>
        <w:t>to maintain the confidentiality, security and integrity of that information. Further safeguards are provided by statutory obligations to protect confidential and personal information contained in the data.</w:t>
      </w:r>
    </w:p>
    <w:p w14:paraId="7E5A8E04" w14:textId="77777777" w:rsidR="00916D22" w:rsidRPr="00EA17A6" w:rsidRDefault="00916D22" w:rsidP="00916D22">
      <w:pPr>
        <w:pStyle w:val="LI-BodyTextNumbered"/>
        <w:ind w:left="567"/>
        <w:rPr>
          <w:u w:val="single"/>
        </w:rPr>
      </w:pPr>
      <w:r w:rsidRPr="00EA17A6">
        <w:rPr>
          <w:u w:val="single"/>
        </w:rPr>
        <w:lastRenderedPageBreak/>
        <w:t>Conclusion</w:t>
      </w:r>
    </w:p>
    <w:p w14:paraId="4B50394A" w14:textId="279522CC" w:rsidR="00CB2D96" w:rsidRPr="00A05B0F" w:rsidRDefault="00916D22" w:rsidP="00A05B0F">
      <w:pPr>
        <w:pStyle w:val="LI-BodyTextParaa"/>
        <w:numPr>
          <w:ilvl w:val="0"/>
          <w:numId w:val="20"/>
        </w:numPr>
        <w:rPr>
          <w:bCs/>
        </w:rPr>
      </w:pPr>
      <w:r w:rsidRPr="003B70C6">
        <w:rPr>
          <w:bCs/>
        </w:rPr>
        <w:t xml:space="preserve">This instrument is compatible with the human rights and freedoms recognised or declared in the international instruments listed in section 3 of the </w:t>
      </w:r>
      <w:r w:rsidRPr="003B70C6">
        <w:rPr>
          <w:bCs/>
          <w:i/>
          <w:iCs/>
        </w:rPr>
        <w:t>Human Rights (Parliamentary Scrutiny) Act 2011</w:t>
      </w:r>
      <w:r w:rsidRPr="003B70C6">
        <w:rPr>
          <w:bCs/>
        </w:rPr>
        <w:t>.</w:t>
      </w:r>
    </w:p>
    <w:sectPr w:rsidR="00CB2D96" w:rsidRPr="00A05B0F" w:rsidSect="00347230">
      <w:footnotePr>
        <w:numRestart w:val="eachSect"/>
      </w:footnotePr>
      <w:type w:val="continuous"/>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8B6B" w14:textId="77777777" w:rsidR="00221B71" w:rsidRDefault="00221B71" w:rsidP="00715914">
      <w:pPr>
        <w:spacing w:line="240" w:lineRule="auto"/>
      </w:pPr>
      <w:r>
        <w:separator/>
      </w:r>
    </w:p>
  </w:endnote>
  <w:endnote w:type="continuationSeparator" w:id="0">
    <w:p w14:paraId="3BDE88A2" w14:textId="77777777" w:rsidR="00221B71" w:rsidRDefault="00221B71" w:rsidP="00715914">
      <w:pPr>
        <w:spacing w:line="240" w:lineRule="auto"/>
      </w:pPr>
      <w:r>
        <w:continuationSeparator/>
      </w:r>
    </w:p>
  </w:endnote>
  <w:endnote w:type="continuationNotice" w:id="1">
    <w:p w14:paraId="3DE3C737" w14:textId="77777777" w:rsidR="00221B71" w:rsidRDefault="00221B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2533"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10ECFB95"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012D" w14:textId="77777777" w:rsidR="00221B71" w:rsidRDefault="00221B71" w:rsidP="00715914">
      <w:pPr>
        <w:spacing w:line="240" w:lineRule="auto"/>
      </w:pPr>
      <w:r>
        <w:separator/>
      </w:r>
    </w:p>
  </w:footnote>
  <w:footnote w:type="continuationSeparator" w:id="0">
    <w:p w14:paraId="4833B675" w14:textId="77777777" w:rsidR="00221B71" w:rsidRDefault="00221B71" w:rsidP="00715914">
      <w:pPr>
        <w:spacing w:line="240" w:lineRule="auto"/>
      </w:pPr>
      <w:r>
        <w:continuationSeparator/>
      </w:r>
    </w:p>
  </w:footnote>
  <w:footnote w:type="continuationNotice" w:id="1">
    <w:p w14:paraId="200C1D1E" w14:textId="77777777" w:rsidR="00221B71" w:rsidRDefault="00221B71">
      <w:pPr>
        <w:spacing w:line="240" w:lineRule="auto"/>
      </w:pPr>
    </w:p>
  </w:footnote>
  <w:footnote w:id="2">
    <w:p w14:paraId="6FE6E7AC" w14:textId="5D7B64BF" w:rsidR="009E2197" w:rsidRDefault="009E2197" w:rsidP="004B1583">
      <w:pPr>
        <w:pStyle w:val="FootnoteText"/>
        <w:spacing w:after="120"/>
      </w:pPr>
      <w:r>
        <w:rPr>
          <w:rStyle w:val="FootnoteReference"/>
        </w:rPr>
        <w:footnoteRef/>
      </w:r>
      <w:r>
        <w:t xml:space="preserve"> </w:t>
      </w:r>
      <w:r w:rsidR="004B1583" w:rsidRPr="004B1583">
        <w:t>CPMI-</w:t>
      </w:r>
      <w:proofErr w:type="spellStart"/>
      <w:r w:rsidR="004B1583" w:rsidRPr="004B1583">
        <w:t>IOSCO</w:t>
      </w:r>
      <w:proofErr w:type="spellEnd"/>
      <w:r w:rsidR="004B1583" w:rsidRPr="004B1583">
        <w:t xml:space="preserve"> refers to the joint work of the Committee on Payments and Market Infrastructures (CPMI) of the Bank for International Settlements and the International Organisation of Securities Commissions (</w:t>
      </w:r>
      <w:proofErr w:type="spellStart"/>
      <w:r w:rsidR="004B1583" w:rsidRPr="004B1583">
        <w:t>IOSCO</w:t>
      </w:r>
      <w:proofErr w:type="spellEnd"/>
      <w:r w:rsidR="004B1583" w:rsidRPr="004B1583">
        <w:t>).</w:t>
      </w:r>
    </w:p>
  </w:footnote>
  <w:footnote w:id="3">
    <w:p w14:paraId="5331943B" w14:textId="77777777" w:rsidR="00C92DA7" w:rsidRPr="00CD2BDF" w:rsidRDefault="00C92DA7" w:rsidP="00C92DA7">
      <w:pPr>
        <w:pStyle w:val="FootnoteText"/>
      </w:pPr>
      <w:r w:rsidRPr="00CD2BDF">
        <w:rPr>
          <w:rStyle w:val="FootnoteReference"/>
        </w:rPr>
        <w:footnoteRef/>
      </w:r>
      <w:r w:rsidRPr="00CD2BDF">
        <w:t xml:space="preserve"> CPMI </w:t>
      </w:r>
      <w:proofErr w:type="spellStart"/>
      <w:r w:rsidRPr="00CD2BDF">
        <w:t>IOSCO</w:t>
      </w:r>
      <w:proofErr w:type="spellEnd"/>
      <w:r w:rsidRPr="00CD2BDF">
        <w:t xml:space="preserve"> first published the CDE Guidance in April 2018. Since October 2020, the Regulatory Oversight Committee (</w:t>
      </w:r>
      <w:hyperlink r:id="rId1" w:history="1">
        <w:r w:rsidRPr="00CD2BDF">
          <w:rPr>
            <w:rStyle w:val="Hyperlink"/>
          </w:rPr>
          <w:t>ROC</w:t>
        </w:r>
      </w:hyperlink>
      <w:r w:rsidRPr="00CD2BDF">
        <w:t>) has been designated as the International Governance Body for the CDE Guidance and published an update to the CDE Guidance in September 2021.</w:t>
      </w:r>
    </w:p>
  </w:footnote>
  <w:footnote w:id="4">
    <w:p w14:paraId="1CB91C24" w14:textId="121EA2CB" w:rsidR="00BE281F" w:rsidRDefault="00BE281F">
      <w:pPr>
        <w:pStyle w:val="FootnoteText"/>
      </w:pPr>
      <w:r>
        <w:rPr>
          <w:rStyle w:val="FootnoteReference"/>
        </w:rPr>
        <w:footnoteRef/>
      </w:r>
      <w:r>
        <w:t xml:space="preserve"> </w:t>
      </w:r>
      <w:r w:rsidR="006C4327">
        <w:t>In August 2022</w:t>
      </w:r>
      <w:r w:rsidR="006B76FB">
        <w:t>, the Regulatory Oversight Committee</w:t>
      </w:r>
      <w:r w:rsidR="00415E89">
        <w:t xml:space="preserve"> released a consultation paper that proposed </w:t>
      </w:r>
      <w:r w:rsidR="0020462B">
        <w:t>to add 11 new data elements to the CDE Guidance, of which</w:t>
      </w:r>
      <w:r w:rsidR="00D773A7">
        <w:t xml:space="preserve"> 7 </w:t>
      </w:r>
      <w:r w:rsidR="00CB6BB0">
        <w:t>are already included in the 2024 Rules</w:t>
      </w:r>
      <w:r w:rsidR="008B3132">
        <w:t>. At the time of writing</w:t>
      </w:r>
      <w:r w:rsidR="00BE6452">
        <w:t>, any revisions to the CDE Guidance have not been finalised.</w:t>
      </w:r>
    </w:p>
  </w:footnote>
  <w:footnote w:id="5">
    <w:p w14:paraId="098AD2D8" w14:textId="77777777" w:rsidR="00351412" w:rsidRDefault="00351412" w:rsidP="00351412">
      <w:pPr>
        <w:pStyle w:val="FootnoteText"/>
        <w:spacing w:after="120"/>
      </w:pPr>
      <w:r>
        <w:rPr>
          <w:rStyle w:val="FootnoteReference"/>
        </w:rPr>
        <w:footnoteRef/>
      </w:r>
      <w:r>
        <w:t xml:space="preserve"> </w:t>
      </w:r>
      <w:r w:rsidRPr="004B1583">
        <w:t>CPMI-</w:t>
      </w:r>
      <w:proofErr w:type="spellStart"/>
      <w:r w:rsidRPr="004B1583">
        <w:t>IOSCO</w:t>
      </w:r>
      <w:proofErr w:type="spellEnd"/>
      <w:r w:rsidRPr="004B1583">
        <w:t xml:space="preserve"> refers to the joint work of the Committee on Payments and Market Infrastructures (CPMI) of the Bank for International Settlements and the International Organisation of Securities Commissions (</w:t>
      </w:r>
      <w:proofErr w:type="spellStart"/>
      <w:r w:rsidRPr="004B1583">
        <w:t>IOSCO</w:t>
      </w:r>
      <w:proofErr w:type="spellEnd"/>
      <w:r w:rsidRPr="004B1583">
        <w:t>).</w:t>
      </w:r>
    </w:p>
  </w:footnote>
  <w:footnote w:id="6">
    <w:p w14:paraId="2DC754C1" w14:textId="77777777" w:rsidR="00351412" w:rsidRPr="00CD2BDF" w:rsidRDefault="00351412" w:rsidP="00351412">
      <w:pPr>
        <w:pStyle w:val="FootnoteText"/>
      </w:pPr>
      <w:r w:rsidRPr="00CD2BDF">
        <w:rPr>
          <w:rStyle w:val="FootnoteReference"/>
        </w:rPr>
        <w:footnoteRef/>
      </w:r>
      <w:r w:rsidRPr="00CD2BDF">
        <w:t xml:space="preserve"> CPMI </w:t>
      </w:r>
      <w:proofErr w:type="spellStart"/>
      <w:r w:rsidRPr="00CD2BDF">
        <w:t>IOSCO</w:t>
      </w:r>
      <w:proofErr w:type="spellEnd"/>
      <w:r w:rsidRPr="00CD2BDF">
        <w:t xml:space="preserve"> first published the CDE Guidance in April 2018. Since October 2020, the Regulatory Oversight Committee (</w:t>
      </w:r>
      <w:hyperlink r:id="rId2" w:history="1">
        <w:r w:rsidRPr="00CD2BDF">
          <w:rPr>
            <w:rStyle w:val="Hyperlink"/>
          </w:rPr>
          <w:t>ROC</w:t>
        </w:r>
      </w:hyperlink>
      <w:r w:rsidRPr="00CD2BDF">
        <w:t>) has been designated as the International Governance Body for the CDE Guidance and published an update to the CDE Guidance in September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4B2E"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49D349EF" w14:textId="77777777" w:rsidTr="001E77ED">
      <w:tc>
        <w:tcPr>
          <w:tcW w:w="4253" w:type="dxa"/>
          <w:shd w:val="clear" w:color="auto" w:fill="auto"/>
        </w:tcPr>
        <w:p w14:paraId="1B0B9159" w14:textId="77777777" w:rsidR="00F4215A" w:rsidRDefault="00F4215A" w:rsidP="00E40FF8">
          <w:pPr>
            <w:pStyle w:val="LI-Header"/>
            <w:pBdr>
              <w:bottom w:val="none" w:sz="0" w:space="0" w:color="auto"/>
            </w:pBdr>
            <w:jc w:val="left"/>
          </w:pPr>
        </w:p>
      </w:tc>
      <w:tc>
        <w:tcPr>
          <w:tcW w:w="4060" w:type="dxa"/>
          <w:shd w:val="clear" w:color="auto" w:fill="auto"/>
        </w:tcPr>
        <w:p w14:paraId="25D3CFB0" w14:textId="77777777" w:rsidR="00F4215A" w:rsidRDefault="00F4215A" w:rsidP="00F03BB5">
          <w:pPr>
            <w:pStyle w:val="LI-BodyTextNumbered"/>
          </w:pPr>
        </w:p>
      </w:tc>
    </w:tr>
  </w:tbl>
  <w:p w14:paraId="49C83C1A"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9A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E3628"/>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A4428"/>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769B0"/>
    <w:multiLevelType w:val="hybridMultilevel"/>
    <w:tmpl w:val="B05AECAA"/>
    <w:lvl w:ilvl="0" w:tplc="E3364E6E">
      <w:start w:val="1"/>
      <w:numFmt w:val="bullet"/>
      <w:pStyle w:val="Responsebullet"/>
      <w:lvlText w:val=""/>
      <w:lvlJc w:val="left"/>
      <w:pPr>
        <w:ind w:left="3592" w:hanging="360"/>
      </w:pPr>
      <w:rPr>
        <w:rFonts w:ascii="Symbol" w:hAnsi="Symbol" w:hint="default"/>
      </w:rPr>
    </w:lvl>
    <w:lvl w:ilvl="1" w:tplc="0C090003" w:tentative="1">
      <w:start w:val="1"/>
      <w:numFmt w:val="bullet"/>
      <w:lvlText w:val="o"/>
      <w:lvlJc w:val="left"/>
      <w:pPr>
        <w:ind w:left="4312" w:hanging="360"/>
      </w:pPr>
      <w:rPr>
        <w:rFonts w:ascii="Courier New" w:hAnsi="Courier New" w:cs="Courier New" w:hint="default"/>
      </w:rPr>
    </w:lvl>
    <w:lvl w:ilvl="2" w:tplc="0C090005" w:tentative="1">
      <w:start w:val="1"/>
      <w:numFmt w:val="bullet"/>
      <w:lvlText w:val=""/>
      <w:lvlJc w:val="left"/>
      <w:pPr>
        <w:ind w:left="5032" w:hanging="360"/>
      </w:pPr>
      <w:rPr>
        <w:rFonts w:ascii="Wingdings" w:hAnsi="Wingdings" w:hint="default"/>
      </w:rPr>
    </w:lvl>
    <w:lvl w:ilvl="3" w:tplc="0C090001" w:tentative="1">
      <w:start w:val="1"/>
      <w:numFmt w:val="bullet"/>
      <w:lvlText w:val=""/>
      <w:lvlJc w:val="left"/>
      <w:pPr>
        <w:ind w:left="5752" w:hanging="360"/>
      </w:pPr>
      <w:rPr>
        <w:rFonts w:ascii="Symbol" w:hAnsi="Symbol" w:hint="default"/>
      </w:rPr>
    </w:lvl>
    <w:lvl w:ilvl="4" w:tplc="0C090003" w:tentative="1">
      <w:start w:val="1"/>
      <w:numFmt w:val="bullet"/>
      <w:lvlText w:val="o"/>
      <w:lvlJc w:val="left"/>
      <w:pPr>
        <w:ind w:left="6472" w:hanging="360"/>
      </w:pPr>
      <w:rPr>
        <w:rFonts w:ascii="Courier New" w:hAnsi="Courier New" w:cs="Courier New" w:hint="default"/>
      </w:rPr>
    </w:lvl>
    <w:lvl w:ilvl="5" w:tplc="0C090005" w:tentative="1">
      <w:start w:val="1"/>
      <w:numFmt w:val="bullet"/>
      <w:lvlText w:val=""/>
      <w:lvlJc w:val="left"/>
      <w:pPr>
        <w:ind w:left="7192" w:hanging="360"/>
      </w:pPr>
      <w:rPr>
        <w:rFonts w:ascii="Wingdings" w:hAnsi="Wingdings" w:hint="default"/>
      </w:rPr>
    </w:lvl>
    <w:lvl w:ilvl="6" w:tplc="0C090001" w:tentative="1">
      <w:start w:val="1"/>
      <w:numFmt w:val="bullet"/>
      <w:lvlText w:val=""/>
      <w:lvlJc w:val="left"/>
      <w:pPr>
        <w:ind w:left="7912" w:hanging="360"/>
      </w:pPr>
      <w:rPr>
        <w:rFonts w:ascii="Symbol" w:hAnsi="Symbol" w:hint="default"/>
      </w:rPr>
    </w:lvl>
    <w:lvl w:ilvl="7" w:tplc="0C090003" w:tentative="1">
      <w:start w:val="1"/>
      <w:numFmt w:val="bullet"/>
      <w:lvlText w:val="o"/>
      <w:lvlJc w:val="left"/>
      <w:pPr>
        <w:ind w:left="8632" w:hanging="360"/>
      </w:pPr>
      <w:rPr>
        <w:rFonts w:ascii="Courier New" w:hAnsi="Courier New" w:cs="Courier New" w:hint="default"/>
      </w:rPr>
    </w:lvl>
    <w:lvl w:ilvl="8" w:tplc="0C090005" w:tentative="1">
      <w:start w:val="1"/>
      <w:numFmt w:val="bullet"/>
      <w:lvlText w:val=""/>
      <w:lvlJc w:val="left"/>
      <w:pPr>
        <w:ind w:left="9352" w:hanging="360"/>
      </w:pPr>
      <w:rPr>
        <w:rFonts w:ascii="Wingdings" w:hAnsi="Wingdings" w:hint="default"/>
      </w:rPr>
    </w:lvl>
  </w:abstractNum>
  <w:abstractNum w:abstractNumId="5" w15:restartNumberingAfterBreak="0">
    <w:nsid w:val="1E0C6808"/>
    <w:multiLevelType w:val="multilevel"/>
    <w:tmpl w:val="9C7A7C1E"/>
    <w:lvl w:ilvl="0">
      <w:start w:val="1"/>
      <w:numFmt w:val="decimal"/>
      <w:lvlText w:val="%1"/>
      <w:lvlJc w:val="left"/>
      <w:pPr>
        <w:tabs>
          <w:tab w:val="num" w:pos="2268"/>
        </w:tabs>
        <w:ind w:left="2268" w:hanging="1134"/>
      </w:pPr>
      <w:rPr>
        <w:rFonts w:ascii="Times New Roman" w:hAnsi="Times New Roman" w:cs="Arial"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1F2E617C"/>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D42499"/>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C8130C"/>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E01840"/>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863C1"/>
    <w:multiLevelType w:val="hybridMultilevel"/>
    <w:tmpl w:val="075C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60B82"/>
    <w:multiLevelType w:val="multilevel"/>
    <w:tmpl w:val="8FC2683A"/>
    <w:lvl w:ilvl="0">
      <w:start w:val="1"/>
      <w:numFmt w:val="decimal"/>
      <w:lvlText w:val="%1."/>
      <w:lvlJc w:val="left"/>
      <w:pPr>
        <w:ind w:left="567" w:hanging="567"/>
      </w:pPr>
      <w:rPr>
        <w:rFonts w:hint="default"/>
        <w:sz w:val="24"/>
      </w:rPr>
    </w:lvl>
    <w:lvl w:ilvl="1">
      <w:start w:val="1"/>
      <w:numFmt w:val="lowerLetter"/>
      <w:lvlText w:val="(%2)"/>
      <w:lvlJc w:val="left"/>
      <w:pPr>
        <w:ind w:left="1134" w:hanging="567"/>
      </w:pPr>
      <w:rPr>
        <w:rFonts w:ascii="Times New Roman" w:hAnsi="Times New Roman"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E6C97"/>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99551A"/>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AB0E03"/>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7E095C"/>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61354B"/>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B562F0"/>
    <w:multiLevelType w:val="multilevel"/>
    <w:tmpl w:val="4F48146A"/>
    <w:lvl w:ilvl="0">
      <w:start w:val="1"/>
      <w:numFmt w:val="lowerLetter"/>
      <w:lvlText w:val="(%1)"/>
      <w:lvlJc w:val="left"/>
      <w:pPr>
        <w:ind w:left="1571" w:hanging="360"/>
      </w:pPr>
      <w:rPr>
        <w:rFonts w:hint="default"/>
      </w:rPr>
    </w:lvl>
    <w:lvl w:ilvl="1">
      <w:start w:val="1"/>
      <w:numFmt w:val="lowerLetter"/>
      <w:lvlText w:val="(%2)"/>
      <w:lvlJc w:val="left"/>
      <w:pPr>
        <w:tabs>
          <w:tab w:val="num" w:pos="1276"/>
        </w:tabs>
        <w:ind w:left="1276" w:hanging="425"/>
      </w:pPr>
      <w:rPr>
        <w:rFonts w:hint="default"/>
        <w:sz w:val="18"/>
        <w:szCs w:val="18"/>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01648B3"/>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4C265D"/>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196B29"/>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C9428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F159CB"/>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950088"/>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EF3C65"/>
    <w:multiLevelType w:val="hybridMultilevel"/>
    <w:tmpl w:val="54DCFBB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7" w15:restartNumberingAfterBreak="0">
    <w:nsid w:val="6B2D6CEE"/>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9E5FB6"/>
    <w:multiLevelType w:val="multilevel"/>
    <w:tmpl w:val="B62675B0"/>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1701" w:hanging="567"/>
      </w:pPr>
      <w:rPr>
        <w:rFonts w:hint="default"/>
        <w:sz w:val="16"/>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6B2ED2"/>
    <w:multiLevelType w:val="multilevel"/>
    <w:tmpl w:val="7B5E2D78"/>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0" w15:restartNumberingAfterBreak="0">
    <w:nsid w:val="7709706A"/>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5A5C92"/>
    <w:multiLevelType w:val="multilevel"/>
    <w:tmpl w:val="F5CC13D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9"/>
  </w:num>
  <w:num w:numId="3">
    <w:abstractNumId w:val="12"/>
  </w:num>
  <w:num w:numId="4">
    <w:abstractNumId w:val="0"/>
  </w:num>
  <w:num w:numId="5">
    <w:abstractNumId w:val="22"/>
  </w:num>
  <w:num w:numId="6">
    <w:abstractNumId w:val="14"/>
  </w:num>
  <w:num w:numId="7">
    <w:abstractNumId w:val="4"/>
  </w:num>
  <w:num w:numId="8">
    <w:abstractNumId w:val="26"/>
  </w:num>
  <w:num w:numId="9">
    <w:abstractNumId w:val="10"/>
  </w:num>
  <w:num w:numId="10">
    <w:abstractNumId w:val="11"/>
  </w:num>
  <w:num w:numId="11">
    <w:abstractNumId w:val="29"/>
  </w:num>
  <w:num w:numId="12">
    <w:abstractNumId w:val="2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num>
  <w:num w:numId="19">
    <w:abstractNumId w:val="13"/>
  </w:num>
  <w:num w:numId="20">
    <w:abstractNumId w:val="20"/>
  </w:num>
  <w:num w:numId="21">
    <w:abstractNumId w:val="17"/>
  </w:num>
  <w:num w:numId="22">
    <w:abstractNumId w:val="15"/>
  </w:num>
  <w:num w:numId="23">
    <w:abstractNumId w:val="8"/>
  </w:num>
  <w:num w:numId="24">
    <w:abstractNumId w:val="6"/>
  </w:num>
  <w:num w:numId="25">
    <w:abstractNumId w:val="21"/>
  </w:num>
  <w:num w:numId="26">
    <w:abstractNumId w:val="16"/>
  </w:num>
  <w:num w:numId="27">
    <w:abstractNumId w:val="3"/>
  </w:num>
  <w:num w:numId="28">
    <w:abstractNumId w:val="31"/>
  </w:num>
  <w:num w:numId="29">
    <w:abstractNumId w:val="23"/>
  </w:num>
  <w:num w:numId="30">
    <w:abstractNumId w:val="30"/>
  </w:num>
  <w:num w:numId="31">
    <w:abstractNumId w:val="24"/>
  </w:num>
  <w:num w:numId="32">
    <w:abstractNumId w:val="7"/>
  </w:num>
  <w:num w:numId="33">
    <w:abstractNumId w:val="27"/>
  </w:num>
  <w:num w:numId="34">
    <w:abstractNumId w:val="10"/>
  </w:num>
  <w:num w:numId="35">
    <w:abstractNumId w:val="10"/>
  </w:num>
  <w:num w:numId="36">
    <w:abstractNumId w:val="10"/>
  </w:num>
  <w:num w:numId="3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44A"/>
    <w:rsid w:val="000031AA"/>
    <w:rsid w:val="00003218"/>
    <w:rsid w:val="000043F9"/>
    <w:rsid w:val="00004470"/>
    <w:rsid w:val="0000515A"/>
    <w:rsid w:val="00005446"/>
    <w:rsid w:val="00006510"/>
    <w:rsid w:val="00007173"/>
    <w:rsid w:val="000073F5"/>
    <w:rsid w:val="00007C34"/>
    <w:rsid w:val="000106F6"/>
    <w:rsid w:val="000107F7"/>
    <w:rsid w:val="000136AF"/>
    <w:rsid w:val="00013919"/>
    <w:rsid w:val="00013B8D"/>
    <w:rsid w:val="00014D3C"/>
    <w:rsid w:val="000154CF"/>
    <w:rsid w:val="00015719"/>
    <w:rsid w:val="00016316"/>
    <w:rsid w:val="000166B2"/>
    <w:rsid w:val="00016C00"/>
    <w:rsid w:val="00017179"/>
    <w:rsid w:val="00017522"/>
    <w:rsid w:val="00017D06"/>
    <w:rsid w:val="00020640"/>
    <w:rsid w:val="00020754"/>
    <w:rsid w:val="00020B56"/>
    <w:rsid w:val="00023111"/>
    <w:rsid w:val="000233E0"/>
    <w:rsid w:val="0002349F"/>
    <w:rsid w:val="00023A28"/>
    <w:rsid w:val="00023D53"/>
    <w:rsid w:val="00024CAA"/>
    <w:rsid w:val="00024E2B"/>
    <w:rsid w:val="00025545"/>
    <w:rsid w:val="00025AEB"/>
    <w:rsid w:val="00025C0D"/>
    <w:rsid w:val="00025F44"/>
    <w:rsid w:val="0002613B"/>
    <w:rsid w:val="0002666E"/>
    <w:rsid w:val="00026A5B"/>
    <w:rsid w:val="00031176"/>
    <w:rsid w:val="000315B9"/>
    <w:rsid w:val="0003188A"/>
    <w:rsid w:val="0003206E"/>
    <w:rsid w:val="00032119"/>
    <w:rsid w:val="00032F5B"/>
    <w:rsid w:val="0003319F"/>
    <w:rsid w:val="00033FB4"/>
    <w:rsid w:val="00035373"/>
    <w:rsid w:val="0003570F"/>
    <w:rsid w:val="00035854"/>
    <w:rsid w:val="00036B77"/>
    <w:rsid w:val="000371C2"/>
    <w:rsid w:val="000374BE"/>
    <w:rsid w:val="00040173"/>
    <w:rsid w:val="00040372"/>
    <w:rsid w:val="00040725"/>
    <w:rsid w:val="00040A8F"/>
    <w:rsid w:val="0004124C"/>
    <w:rsid w:val="00041476"/>
    <w:rsid w:val="000423C8"/>
    <w:rsid w:val="000434B9"/>
    <w:rsid w:val="000435D6"/>
    <w:rsid w:val="000437C1"/>
    <w:rsid w:val="00044A78"/>
    <w:rsid w:val="00044C41"/>
    <w:rsid w:val="000457D9"/>
    <w:rsid w:val="000459E5"/>
    <w:rsid w:val="00045A22"/>
    <w:rsid w:val="00046894"/>
    <w:rsid w:val="00050A91"/>
    <w:rsid w:val="00050EE6"/>
    <w:rsid w:val="00051D4F"/>
    <w:rsid w:val="0005269B"/>
    <w:rsid w:val="00053138"/>
    <w:rsid w:val="00053588"/>
    <w:rsid w:val="0005365D"/>
    <w:rsid w:val="00053731"/>
    <w:rsid w:val="00053D11"/>
    <w:rsid w:val="00054875"/>
    <w:rsid w:val="00054C7E"/>
    <w:rsid w:val="0005630A"/>
    <w:rsid w:val="000564A6"/>
    <w:rsid w:val="00056DD9"/>
    <w:rsid w:val="00057676"/>
    <w:rsid w:val="0006039F"/>
    <w:rsid w:val="0006057C"/>
    <w:rsid w:val="000614BF"/>
    <w:rsid w:val="00061B06"/>
    <w:rsid w:val="0006214A"/>
    <w:rsid w:val="0006250C"/>
    <w:rsid w:val="000626DA"/>
    <w:rsid w:val="00063A71"/>
    <w:rsid w:val="0006456C"/>
    <w:rsid w:val="00064E52"/>
    <w:rsid w:val="00066870"/>
    <w:rsid w:val="000669B6"/>
    <w:rsid w:val="00066ECB"/>
    <w:rsid w:val="00067CC5"/>
    <w:rsid w:val="00067FF7"/>
    <w:rsid w:val="000710F4"/>
    <w:rsid w:val="00071D5B"/>
    <w:rsid w:val="00071F5E"/>
    <w:rsid w:val="0007231A"/>
    <w:rsid w:val="000724C4"/>
    <w:rsid w:val="00072E52"/>
    <w:rsid w:val="00073458"/>
    <w:rsid w:val="00073489"/>
    <w:rsid w:val="00073916"/>
    <w:rsid w:val="00073BCF"/>
    <w:rsid w:val="0007432B"/>
    <w:rsid w:val="00074DE9"/>
    <w:rsid w:val="00074EF5"/>
    <w:rsid w:val="00075183"/>
    <w:rsid w:val="000762F1"/>
    <w:rsid w:val="000764D4"/>
    <w:rsid w:val="00077C65"/>
    <w:rsid w:val="00077D38"/>
    <w:rsid w:val="000803DA"/>
    <w:rsid w:val="00080C12"/>
    <w:rsid w:val="00080DFC"/>
    <w:rsid w:val="00081794"/>
    <w:rsid w:val="00081E6E"/>
    <w:rsid w:val="000828E8"/>
    <w:rsid w:val="00082C85"/>
    <w:rsid w:val="0008303F"/>
    <w:rsid w:val="0008455E"/>
    <w:rsid w:val="00084FF4"/>
    <w:rsid w:val="00085C68"/>
    <w:rsid w:val="00086FFE"/>
    <w:rsid w:val="00087AC3"/>
    <w:rsid w:val="000903EA"/>
    <w:rsid w:val="00091002"/>
    <w:rsid w:val="00092C88"/>
    <w:rsid w:val="000931FD"/>
    <w:rsid w:val="0009349D"/>
    <w:rsid w:val="00093C4C"/>
    <w:rsid w:val="00093D49"/>
    <w:rsid w:val="00093D68"/>
    <w:rsid w:val="0009543A"/>
    <w:rsid w:val="00095476"/>
    <w:rsid w:val="0009631A"/>
    <w:rsid w:val="000964FF"/>
    <w:rsid w:val="0009687F"/>
    <w:rsid w:val="00097C59"/>
    <w:rsid w:val="000A0267"/>
    <w:rsid w:val="000A099B"/>
    <w:rsid w:val="000A0F94"/>
    <w:rsid w:val="000A142F"/>
    <w:rsid w:val="000A1CAE"/>
    <w:rsid w:val="000A2BA2"/>
    <w:rsid w:val="000A2F23"/>
    <w:rsid w:val="000A3016"/>
    <w:rsid w:val="000A3AF1"/>
    <w:rsid w:val="000A3E40"/>
    <w:rsid w:val="000A4B9A"/>
    <w:rsid w:val="000A5BB1"/>
    <w:rsid w:val="000A5BEC"/>
    <w:rsid w:val="000A5D40"/>
    <w:rsid w:val="000A62D0"/>
    <w:rsid w:val="000A6B1B"/>
    <w:rsid w:val="000A6BAF"/>
    <w:rsid w:val="000A6C04"/>
    <w:rsid w:val="000A6C39"/>
    <w:rsid w:val="000B0BCF"/>
    <w:rsid w:val="000B0F76"/>
    <w:rsid w:val="000B12B2"/>
    <w:rsid w:val="000B1480"/>
    <w:rsid w:val="000B14CA"/>
    <w:rsid w:val="000B1909"/>
    <w:rsid w:val="000B191B"/>
    <w:rsid w:val="000B342F"/>
    <w:rsid w:val="000B3568"/>
    <w:rsid w:val="000B3722"/>
    <w:rsid w:val="000B3ED6"/>
    <w:rsid w:val="000B43A2"/>
    <w:rsid w:val="000B44AB"/>
    <w:rsid w:val="000B4CFD"/>
    <w:rsid w:val="000B54CA"/>
    <w:rsid w:val="000B58FA"/>
    <w:rsid w:val="000B5F97"/>
    <w:rsid w:val="000B69A3"/>
    <w:rsid w:val="000B6C43"/>
    <w:rsid w:val="000B7195"/>
    <w:rsid w:val="000B733C"/>
    <w:rsid w:val="000C01DC"/>
    <w:rsid w:val="000C0464"/>
    <w:rsid w:val="000C09B9"/>
    <w:rsid w:val="000C1A86"/>
    <w:rsid w:val="000C223B"/>
    <w:rsid w:val="000C2EDC"/>
    <w:rsid w:val="000C350D"/>
    <w:rsid w:val="000C4F16"/>
    <w:rsid w:val="000C50D8"/>
    <w:rsid w:val="000C5246"/>
    <w:rsid w:val="000C5561"/>
    <w:rsid w:val="000C55A0"/>
    <w:rsid w:val="000C586D"/>
    <w:rsid w:val="000C69F8"/>
    <w:rsid w:val="000C7788"/>
    <w:rsid w:val="000D0135"/>
    <w:rsid w:val="000D041F"/>
    <w:rsid w:val="000D05EF"/>
    <w:rsid w:val="000D06B0"/>
    <w:rsid w:val="000D14EE"/>
    <w:rsid w:val="000D21BE"/>
    <w:rsid w:val="000D2D66"/>
    <w:rsid w:val="000D301D"/>
    <w:rsid w:val="000D4E27"/>
    <w:rsid w:val="000D4E85"/>
    <w:rsid w:val="000D4F19"/>
    <w:rsid w:val="000E032C"/>
    <w:rsid w:val="000E035D"/>
    <w:rsid w:val="000E0E2D"/>
    <w:rsid w:val="000E16D4"/>
    <w:rsid w:val="000E2261"/>
    <w:rsid w:val="000E27E0"/>
    <w:rsid w:val="000E2B42"/>
    <w:rsid w:val="000E3C2E"/>
    <w:rsid w:val="000E3E9E"/>
    <w:rsid w:val="000E3F08"/>
    <w:rsid w:val="000E47AF"/>
    <w:rsid w:val="000E5B3B"/>
    <w:rsid w:val="000E6911"/>
    <w:rsid w:val="000E6F1B"/>
    <w:rsid w:val="000E7374"/>
    <w:rsid w:val="000E7BE8"/>
    <w:rsid w:val="000E7DB4"/>
    <w:rsid w:val="000E7FE0"/>
    <w:rsid w:val="000F0202"/>
    <w:rsid w:val="000F115F"/>
    <w:rsid w:val="000F21C1"/>
    <w:rsid w:val="000F24D5"/>
    <w:rsid w:val="000F4805"/>
    <w:rsid w:val="000F6259"/>
    <w:rsid w:val="000F6F6A"/>
    <w:rsid w:val="000F7D0D"/>
    <w:rsid w:val="00100367"/>
    <w:rsid w:val="00100546"/>
    <w:rsid w:val="0010074E"/>
    <w:rsid w:val="00100DB8"/>
    <w:rsid w:val="00100DC4"/>
    <w:rsid w:val="00101001"/>
    <w:rsid w:val="001015D2"/>
    <w:rsid w:val="001016AD"/>
    <w:rsid w:val="0010266A"/>
    <w:rsid w:val="00102CA6"/>
    <w:rsid w:val="00102F26"/>
    <w:rsid w:val="001030FA"/>
    <w:rsid w:val="001039A0"/>
    <w:rsid w:val="00103F49"/>
    <w:rsid w:val="0010447F"/>
    <w:rsid w:val="001056D7"/>
    <w:rsid w:val="00105D5F"/>
    <w:rsid w:val="00105DC3"/>
    <w:rsid w:val="0010631D"/>
    <w:rsid w:val="00106368"/>
    <w:rsid w:val="0010745C"/>
    <w:rsid w:val="00107AE3"/>
    <w:rsid w:val="0011029B"/>
    <w:rsid w:val="001103F1"/>
    <w:rsid w:val="00110BC4"/>
    <w:rsid w:val="00110C82"/>
    <w:rsid w:val="0011170B"/>
    <w:rsid w:val="00111DD2"/>
    <w:rsid w:val="001120F0"/>
    <w:rsid w:val="0011216B"/>
    <w:rsid w:val="001123E6"/>
    <w:rsid w:val="00112447"/>
    <w:rsid w:val="0011266A"/>
    <w:rsid w:val="00113A36"/>
    <w:rsid w:val="00114425"/>
    <w:rsid w:val="00114A3A"/>
    <w:rsid w:val="0011547E"/>
    <w:rsid w:val="00115512"/>
    <w:rsid w:val="0011564F"/>
    <w:rsid w:val="00115F80"/>
    <w:rsid w:val="0011655B"/>
    <w:rsid w:val="00116974"/>
    <w:rsid w:val="00116AEB"/>
    <w:rsid w:val="00117F9A"/>
    <w:rsid w:val="00120178"/>
    <w:rsid w:val="0012061B"/>
    <w:rsid w:val="00120D91"/>
    <w:rsid w:val="00120ED1"/>
    <w:rsid w:val="00121415"/>
    <w:rsid w:val="001216D9"/>
    <w:rsid w:val="00121F56"/>
    <w:rsid w:val="00122134"/>
    <w:rsid w:val="00122A8B"/>
    <w:rsid w:val="00124F57"/>
    <w:rsid w:val="00125141"/>
    <w:rsid w:val="0012566C"/>
    <w:rsid w:val="00126F51"/>
    <w:rsid w:val="001273A2"/>
    <w:rsid w:val="001304AC"/>
    <w:rsid w:val="001319D3"/>
    <w:rsid w:val="00131F41"/>
    <w:rsid w:val="001329B0"/>
    <w:rsid w:val="00132AF4"/>
    <w:rsid w:val="00132B0B"/>
    <w:rsid w:val="00132CEB"/>
    <w:rsid w:val="00133C6E"/>
    <w:rsid w:val="00134A43"/>
    <w:rsid w:val="0013500C"/>
    <w:rsid w:val="001354EC"/>
    <w:rsid w:val="00135538"/>
    <w:rsid w:val="00136B74"/>
    <w:rsid w:val="00136F89"/>
    <w:rsid w:val="00140D65"/>
    <w:rsid w:val="0014132E"/>
    <w:rsid w:val="001414B5"/>
    <w:rsid w:val="001414D9"/>
    <w:rsid w:val="00142097"/>
    <w:rsid w:val="00142B62"/>
    <w:rsid w:val="00142D8B"/>
    <w:rsid w:val="00142F2D"/>
    <w:rsid w:val="00144064"/>
    <w:rsid w:val="001443AE"/>
    <w:rsid w:val="0014449B"/>
    <w:rsid w:val="0014485E"/>
    <w:rsid w:val="0014518D"/>
    <w:rsid w:val="00145739"/>
    <w:rsid w:val="0014577E"/>
    <w:rsid w:val="0014601C"/>
    <w:rsid w:val="001463C3"/>
    <w:rsid w:val="00151142"/>
    <w:rsid w:val="0015158B"/>
    <w:rsid w:val="00151781"/>
    <w:rsid w:val="00151A9D"/>
    <w:rsid w:val="00153183"/>
    <w:rsid w:val="00153B32"/>
    <w:rsid w:val="001549AD"/>
    <w:rsid w:val="00154AA5"/>
    <w:rsid w:val="00154C2E"/>
    <w:rsid w:val="00155495"/>
    <w:rsid w:val="00155E52"/>
    <w:rsid w:val="001562BC"/>
    <w:rsid w:val="001566A8"/>
    <w:rsid w:val="001577E5"/>
    <w:rsid w:val="00157B8B"/>
    <w:rsid w:val="00157BA4"/>
    <w:rsid w:val="00160634"/>
    <w:rsid w:val="00160EBA"/>
    <w:rsid w:val="00161223"/>
    <w:rsid w:val="001619FC"/>
    <w:rsid w:val="001624E1"/>
    <w:rsid w:val="00163639"/>
    <w:rsid w:val="00164DB3"/>
    <w:rsid w:val="00164F9D"/>
    <w:rsid w:val="00166260"/>
    <w:rsid w:val="00166C2F"/>
    <w:rsid w:val="00167DC7"/>
    <w:rsid w:val="00167F86"/>
    <w:rsid w:val="001701B5"/>
    <w:rsid w:val="001710C0"/>
    <w:rsid w:val="00171A6E"/>
    <w:rsid w:val="00172C49"/>
    <w:rsid w:val="001732E3"/>
    <w:rsid w:val="0017332C"/>
    <w:rsid w:val="00174339"/>
    <w:rsid w:val="0017517C"/>
    <w:rsid w:val="0017538B"/>
    <w:rsid w:val="00175A0A"/>
    <w:rsid w:val="001809D7"/>
    <w:rsid w:val="0018105A"/>
    <w:rsid w:val="00182AB8"/>
    <w:rsid w:val="00182B85"/>
    <w:rsid w:val="0018336F"/>
    <w:rsid w:val="00184E96"/>
    <w:rsid w:val="001851CB"/>
    <w:rsid w:val="0018532F"/>
    <w:rsid w:val="00185414"/>
    <w:rsid w:val="00186294"/>
    <w:rsid w:val="0018659E"/>
    <w:rsid w:val="00186D50"/>
    <w:rsid w:val="00186D81"/>
    <w:rsid w:val="00186DE8"/>
    <w:rsid w:val="001872DC"/>
    <w:rsid w:val="001874DD"/>
    <w:rsid w:val="001901D4"/>
    <w:rsid w:val="00190857"/>
    <w:rsid w:val="00190976"/>
    <w:rsid w:val="00190997"/>
    <w:rsid w:val="00191520"/>
    <w:rsid w:val="0019234A"/>
    <w:rsid w:val="0019287B"/>
    <w:rsid w:val="001929B7"/>
    <w:rsid w:val="001936FB"/>
    <w:rsid w:val="001939E1"/>
    <w:rsid w:val="00194C3E"/>
    <w:rsid w:val="00194CAA"/>
    <w:rsid w:val="00194FE3"/>
    <w:rsid w:val="00195382"/>
    <w:rsid w:val="00195BD4"/>
    <w:rsid w:val="00195CC0"/>
    <w:rsid w:val="00195EDC"/>
    <w:rsid w:val="00196670"/>
    <w:rsid w:val="00197164"/>
    <w:rsid w:val="0019717F"/>
    <w:rsid w:val="0019732D"/>
    <w:rsid w:val="0019740C"/>
    <w:rsid w:val="001976F7"/>
    <w:rsid w:val="001A0364"/>
    <w:rsid w:val="001A0C42"/>
    <w:rsid w:val="001A2699"/>
    <w:rsid w:val="001A2E32"/>
    <w:rsid w:val="001A307A"/>
    <w:rsid w:val="001A3F32"/>
    <w:rsid w:val="001A46F0"/>
    <w:rsid w:val="001A4AB5"/>
    <w:rsid w:val="001A55E3"/>
    <w:rsid w:val="001A57FF"/>
    <w:rsid w:val="001A59B9"/>
    <w:rsid w:val="001A6374"/>
    <w:rsid w:val="001A65E9"/>
    <w:rsid w:val="001A68D4"/>
    <w:rsid w:val="001A7175"/>
    <w:rsid w:val="001A718F"/>
    <w:rsid w:val="001A7246"/>
    <w:rsid w:val="001B0C75"/>
    <w:rsid w:val="001B1D53"/>
    <w:rsid w:val="001B1F7A"/>
    <w:rsid w:val="001B2097"/>
    <w:rsid w:val="001B2AFF"/>
    <w:rsid w:val="001B3079"/>
    <w:rsid w:val="001B3EF5"/>
    <w:rsid w:val="001B4117"/>
    <w:rsid w:val="001B448D"/>
    <w:rsid w:val="001B45D2"/>
    <w:rsid w:val="001B4819"/>
    <w:rsid w:val="001B5A2B"/>
    <w:rsid w:val="001B6500"/>
    <w:rsid w:val="001B6E4E"/>
    <w:rsid w:val="001B6F46"/>
    <w:rsid w:val="001B797C"/>
    <w:rsid w:val="001C0642"/>
    <w:rsid w:val="001C0B99"/>
    <w:rsid w:val="001C1170"/>
    <w:rsid w:val="001C2CC2"/>
    <w:rsid w:val="001C391D"/>
    <w:rsid w:val="001C4082"/>
    <w:rsid w:val="001C4B4B"/>
    <w:rsid w:val="001C56B5"/>
    <w:rsid w:val="001C61C5"/>
    <w:rsid w:val="001C69C4"/>
    <w:rsid w:val="001C6ABD"/>
    <w:rsid w:val="001C6FFD"/>
    <w:rsid w:val="001C7E9C"/>
    <w:rsid w:val="001D010B"/>
    <w:rsid w:val="001D0340"/>
    <w:rsid w:val="001D0A79"/>
    <w:rsid w:val="001D18F9"/>
    <w:rsid w:val="001D20F7"/>
    <w:rsid w:val="001D2305"/>
    <w:rsid w:val="001D281E"/>
    <w:rsid w:val="001D37EF"/>
    <w:rsid w:val="001D44E8"/>
    <w:rsid w:val="001D5362"/>
    <w:rsid w:val="001D5944"/>
    <w:rsid w:val="001D6367"/>
    <w:rsid w:val="001D6C8B"/>
    <w:rsid w:val="001E153A"/>
    <w:rsid w:val="001E1CE2"/>
    <w:rsid w:val="001E33EF"/>
    <w:rsid w:val="001E3590"/>
    <w:rsid w:val="001E4380"/>
    <w:rsid w:val="001E45D1"/>
    <w:rsid w:val="001E6C1B"/>
    <w:rsid w:val="001E6F35"/>
    <w:rsid w:val="001E7407"/>
    <w:rsid w:val="001E77ED"/>
    <w:rsid w:val="001E7983"/>
    <w:rsid w:val="001E79B3"/>
    <w:rsid w:val="001E7E2B"/>
    <w:rsid w:val="001E7ED5"/>
    <w:rsid w:val="001E7F55"/>
    <w:rsid w:val="001F0086"/>
    <w:rsid w:val="001F02B1"/>
    <w:rsid w:val="001F19C5"/>
    <w:rsid w:val="001F2234"/>
    <w:rsid w:val="001F22A1"/>
    <w:rsid w:val="001F2D9E"/>
    <w:rsid w:val="001F2F76"/>
    <w:rsid w:val="001F3132"/>
    <w:rsid w:val="001F32FA"/>
    <w:rsid w:val="001F3FF2"/>
    <w:rsid w:val="001F4475"/>
    <w:rsid w:val="001F4C6C"/>
    <w:rsid w:val="001F5D5E"/>
    <w:rsid w:val="001F5F96"/>
    <w:rsid w:val="001F60E7"/>
    <w:rsid w:val="001F6219"/>
    <w:rsid w:val="001F6669"/>
    <w:rsid w:val="001F6CD4"/>
    <w:rsid w:val="001F76D5"/>
    <w:rsid w:val="00200471"/>
    <w:rsid w:val="0020049F"/>
    <w:rsid w:val="00200616"/>
    <w:rsid w:val="00200B45"/>
    <w:rsid w:val="0020160B"/>
    <w:rsid w:val="00201D40"/>
    <w:rsid w:val="00201E59"/>
    <w:rsid w:val="00202F4F"/>
    <w:rsid w:val="0020322A"/>
    <w:rsid w:val="00203643"/>
    <w:rsid w:val="0020462B"/>
    <w:rsid w:val="00204F08"/>
    <w:rsid w:val="0020566A"/>
    <w:rsid w:val="00206C4D"/>
    <w:rsid w:val="00206DDF"/>
    <w:rsid w:val="00207862"/>
    <w:rsid w:val="0021053C"/>
    <w:rsid w:val="002112FC"/>
    <w:rsid w:val="002123B8"/>
    <w:rsid w:val="002127C9"/>
    <w:rsid w:val="00212811"/>
    <w:rsid w:val="00213A27"/>
    <w:rsid w:val="00214EEA"/>
    <w:rsid w:val="00215275"/>
    <w:rsid w:val="00215AF1"/>
    <w:rsid w:val="00216238"/>
    <w:rsid w:val="00216A1C"/>
    <w:rsid w:val="00217536"/>
    <w:rsid w:val="0021789F"/>
    <w:rsid w:val="00217B48"/>
    <w:rsid w:val="00220377"/>
    <w:rsid w:val="00220A36"/>
    <w:rsid w:val="0022160D"/>
    <w:rsid w:val="00221B71"/>
    <w:rsid w:val="00221F10"/>
    <w:rsid w:val="002225E2"/>
    <w:rsid w:val="002232A2"/>
    <w:rsid w:val="00223DCF"/>
    <w:rsid w:val="00223EA7"/>
    <w:rsid w:val="00224155"/>
    <w:rsid w:val="002245E9"/>
    <w:rsid w:val="00225097"/>
    <w:rsid w:val="0022601A"/>
    <w:rsid w:val="00226071"/>
    <w:rsid w:val="00226556"/>
    <w:rsid w:val="00226B06"/>
    <w:rsid w:val="00227B04"/>
    <w:rsid w:val="00227C2D"/>
    <w:rsid w:val="00227EDB"/>
    <w:rsid w:val="002301D2"/>
    <w:rsid w:val="00231026"/>
    <w:rsid w:val="00231177"/>
    <w:rsid w:val="0023163F"/>
    <w:rsid w:val="0023193E"/>
    <w:rsid w:val="00231A11"/>
    <w:rsid w:val="002321E8"/>
    <w:rsid w:val="00232B87"/>
    <w:rsid w:val="002333EB"/>
    <w:rsid w:val="00233436"/>
    <w:rsid w:val="00233C33"/>
    <w:rsid w:val="00234112"/>
    <w:rsid w:val="00235EDD"/>
    <w:rsid w:val="0023609C"/>
    <w:rsid w:val="00236EEC"/>
    <w:rsid w:val="00237208"/>
    <w:rsid w:val="002374E3"/>
    <w:rsid w:val="00237FA6"/>
    <w:rsid w:val="0024010F"/>
    <w:rsid w:val="00240749"/>
    <w:rsid w:val="0024127B"/>
    <w:rsid w:val="00241C3F"/>
    <w:rsid w:val="00241FD4"/>
    <w:rsid w:val="00243018"/>
    <w:rsid w:val="00243EC0"/>
    <w:rsid w:val="00244742"/>
    <w:rsid w:val="00244968"/>
    <w:rsid w:val="00244C16"/>
    <w:rsid w:val="002452E2"/>
    <w:rsid w:val="00245498"/>
    <w:rsid w:val="00246636"/>
    <w:rsid w:val="002466D7"/>
    <w:rsid w:val="00250363"/>
    <w:rsid w:val="0025091E"/>
    <w:rsid w:val="00251717"/>
    <w:rsid w:val="00251983"/>
    <w:rsid w:val="00251E28"/>
    <w:rsid w:val="00252031"/>
    <w:rsid w:val="0025357B"/>
    <w:rsid w:val="00253E7D"/>
    <w:rsid w:val="00254A9F"/>
    <w:rsid w:val="00254B9C"/>
    <w:rsid w:val="0025585F"/>
    <w:rsid w:val="00255AA2"/>
    <w:rsid w:val="00255AE0"/>
    <w:rsid w:val="00256334"/>
    <w:rsid w:val="002564A4"/>
    <w:rsid w:val="00256874"/>
    <w:rsid w:val="00256944"/>
    <w:rsid w:val="00256D58"/>
    <w:rsid w:val="00257966"/>
    <w:rsid w:val="00257F12"/>
    <w:rsid w:val="00260128"/>
    <w:rsid w:val="0026051D"/>
    <w:rsid w:val="0026229A"/>
    <w:rsid w:val="0026234B"/>
    <w:rsid w:val="00262FAD"/>
    <w:rsid w:val="00263198"/>
    <w:rsid w:val="002634C3"/>
    <w:rsid w:val="002639B9"/>
    <w:rsid w:val="00263D57"/>
    <w:rsid w:val="00264711"/>
    <w:rsid w:val="00264FC6"/>
    <w:rsid w:val="00266153"/>
    <w:rsid w:val="002661A5"/>
    <w:rsid w:val="002662D8"/>
    <w:rsid w:val="00266EBA"/>
    <w:rsid w:val="00267123"/>
    <w:rsid w:val="0026736C"/>
    <w:rsid w:val="0027048F"/>
    <w:rsid w:val="00271470"/>
    <w:rsid w:val="002722CC"/>
    <w:rsid w:val="00272CE9"/>
    <w:rsid w:val="00272EF3"/>
    <w:rsid w:val="002734FC"/>
    <w:rsid w:val="00273540"/>
    <w:rsid w:val="002735C0"/>
    <w:rsid w:val="00274030"/>
    <w:rsid w:val="002747C2"/>
    <w:rsid w:val="0027507D"/>
    <w:rsid w:val="002753A0"/>
    <w:rsid w:val="002759A3"/>
    <w:rsid w:val="00276225"/>
    <w:rsid w:val="002762A0"/>
    <w:rsid w:val="00276B02"/>
    <w:rsid w:val="002776F1"/>
    <w:rsid w:val="00281308"/>
    <w:rsid w:val="00281813"/>
    <w:rsid w:val="00281D3C"/>
    <w:rsid w:val="00282FCF"/>
    <w:rsid w:val="0028309E"/>
    <w:rsid w:val="00283B22"/>
    <w:rsid w:val="00284719"/>
    <w:rsid w:val="00284F34"/>
    <w:rsid w:val="0028704B"/>
    <w:rsid w:val="002871AC"/>
    <w:rsid w:val="00287311"/>
    <w:rsid w:val="0029161C"/>
    <w:rsid w:val="00292100"/>
    <w:rsid w:val="00292A40"/>
    <w:rsid w:val="002936F5"/>
    <w:rsid w:val="00293C6C"/>
    <w:rsid w:val="00294A8D"/>
    <w:rsid w:val="00294EDB"/>
    <w:rsid w:val="00295028"/>
    <w:rsid w:val="00295CB4"/>
    <w:rsid w:val="00296771"/>
    <w:rsid w:val="00296C18"/>
    <w:rsid w:val="00296FF2"/>
    <w:rsid w:val="0029751E"/>
    <w:rsid w:val="00297DCA"/>
    <w:rsid w:val="00297ECB"/>
    <w:rsid w:val="002A03F7"/>
    <w:rsid w:val="002A0802"/>
    <w:rsid w:val="002A1718"/>
    <w:rsid w:val="002A1B3D"/>
    <w:rsid w:val="002A3E5B"/>
    <w:rsid w:val="002A41D8"/>
    <w:rsid w:val="002A45D2"/>
    <w:rsid w:val="002A56B5"/>
    <w:rsid w:val="002A5C37"/>
    <w:rsid w:val="002A6524"/>
    <w:rsid w:val="002A6812"/>
    <w:rsid w:val="002A7328"/>
    <w:rsid w:val="002A73AA"/>
    <w:rsid w:val="002A7560"/>
    <w:rsid w:val="002A7BCF"/>
    <w:rsid w:val="002A7C93"/>
    <w:rsid w:val="002A7D2D"/>
    <w:rsid w:val="002A7E5B"/>
    <w:rsid w:val="002B04E8"/>
    <w:rsid w:val="002B121D"/>
    <w:rsid w:val="002B177A"/>
    <w:rsid w:val="002B19F3"/>
    <w:rsid w:val="002B1B5A"/>
    <w:rsid w:val="002B2164"/>
    <w:rsid w:val="002B2B22"/>
    <w:rsid w:val="002B33AD"/>
    <w:rsid w:val="002B3D29"/>
    <w:rsid w:val="002B4A0D"/>
    <w:rsid w:val="002B4F84"/>
    <w:rsid w:val="002B5C2F"/>
    <w:rsid w:val="002B6262"/>
    <w:rsid w:val="002B69D0"/>
    <w:rsid w:val="002B7634"/>
    <w:rsid w:val="002B7A4C"/>
    <w:rsid w:val="002B7B0C"/>
    <w:rsid w:val="002B7FAF"/>
    <w:rsid w:val="002C090B"/>
    <w:rsid w:val="002C14D7"/>
    <w:rsid w:val="002C1613"/>
    <w:rsid w:val="002C263B"/>
    <w:rsid w:val="002C2B21"/>
    <w:rsid w:val="002C2D5B"/>
    <w:rsid w:val="002C33E6"/>
    <w:rsid w:val="002C382F"/>
    <w:rsid w:val="002C3C28"/>
    <w:rsid w:val="002C4AF0"/>
    <w:rsid w:val="002C53A0"/>
    <w:rsid w:val="002C59ED"/>
    <w:rsid w:val="002C6EEC"/>
    <w:rsid w:val="002C75DC"/>
    <w:rsid w:val="002C7604"/>
    <w:rsid w:val="002C76E0"/>
    <w:rsid w:val="002C782C"/>
    <w:rsid w:val="002C7ADA"/>
    <w:rsid w:val="002C7B51"/>
    <w:rsid w:val="002C7B6F"/>
    <w:rsid w:val="002D043A"/>
    <w:rsid w:val="002D18C7"/>
    <w:rsid w:val="002D1C76"/>
    <w:rsid w:val="002D30E0"/>
    <w:rsid w:val="002D3638"/>
    <w:rsid w:val="002D3772"/>
    <w:rsid w:val="002D383B"/>
    <w:rsid w:val="002D3971"/>
    <w:rsid w:val="002D3BCE"/>
    <w:rsid w:val="002D41C5"/>
    <w:rsid w:val="002D4CA8"/>
    <w:rsid w:val="002D5627"/>
    <w:rsid w:val="002D5FD3"/>
    <w:rsid w:val="002D6105"/>
    <w:rsid w:val="002D6224"/>
    <w:rsid w:val="002D63E8"/>
    <w:rsid w:val="002D67B5"/>
    <w:rsid w:val="002D72B3"/>
    <w:rsid w:val="002D72C4"/>
    <w:rsid w:val="002D7468"/>
    <w:rsid w:val="002D7BC3"/>
    <w:rsid w:val="002E110A"/>
    <w:rsid w:val="002E18B2"/>
    <w:rsid w:val="002E1F39"/>
    <w:rsid w:val="002E21B6"/>
    <w:rsid w:val="002E2753"/>
    <w:rsid w:val="002E3F4B"/>
    <w:rsid w:val="002E474E"/>
    <w:rsid w:val="002E493B"/>
    <w:rsid w:val="002E4ACC"/>
    <w:rsid w:val="002E5181"/>
    <w:rsid w:val="002E59C6"/>
    <w:rsid w:val="002E59EC"/>
    <w:rsid w:val="002E5A69"/>
    <w:rsid w:val="002E5C7D"/>
    <w:rsid w:val="002E626C"/>
    <w:rsid w:val="002E644D"/>
    <w:rsid w:val="002E6851"/>
    <w:rsid w:val="002E6B22"/>
    <w:rsid w:val="002E7D73"/>
    <w:rsid w:val="002F01CB"/>
    <w:rsid w:val="002F0595"/>
    <w:rsid w:val="002F08E7"/>
    <w:rsid w:val="002F1002"/>
    <w:rsid w:val="002F1505"/>
    <w:rsid w:val="002F21F5"/>
    <w:rsid w:val="002F2360"/>
    <w:rsid w:val="002F2E3E"/>
    <w:rsid w:val="002F341F"/>
    <w:rsid w:val="002F3690"/>
    <w:rsid w:val="002F4243"/>
    <w:rsid w:val="002F4374"/>
    <w:rsid w:val="002F4533"/>
    <w:rsid w:val="002F487C"/>
    <w:rsid w:val="002F4993"/>
    <w:rsid w:val="002F50F6"/>
    <w:rsid w:val="002F513F"/>
    <w:rsid w:val="002F53FA"/>
    <w:rsid w:val="002F5DEE"/>
    <w:rsid w:val="002F6054"/>
    <w:rsid w:val="002F6063"/>
    <w:rsid w:val="002F6292"/>
    <w:rsid w:val="002F7A8B"/>
    <w:rsid w:val="0030018D"/>
    <w:rsid w:val="00300564"/>
    <w:rsid w:val="003009CC"/>
    <w:rsid w:val="003010C9"/>
    <w:rsid w:val="00302969"/>
    <w:rsid w:val="00303370"/>
    <w:rsid w:val="00303E1C"/>
    <w:rsid w:val="00303EA5"/>
    <w:rsid w:val="00304006"/>
    <w:rsid w:val="003041F8"/>
    <w:rsid w:val="0030431C"/>
    <w:rsid w:val="00304F8B"/>
    <w:rsid w:val="00305A83"/>
    <w:rsid w:val="00307532"/>
    <w:rsid w:val="00310083"/>
    <w:rsid w:val="0031092F"/>
    <w:rsid w:val="00310A42"/>
    <w:rsid w:val="00312270"/>
    <w:rsid w:val="00312434"/>
    <w:rsid w:val="00312610"/>
    <w:rsid w:val="00313153"/>
    <w:rsid w:val="00313D52"/>
    <w:rsid w:val="00313D68"/>
    <w:rsid w:val="00313EC2"/>
    <w:rsid w:val="00313F9E"/>
    <w:rsid w:val="00314AA3"/>
    <w:rsid w:val="003154D7"/>
    <w:rsid w:val="00315A2B"/>
    <w:rsid w:val="003160EF"/>
    <w:rsid w:val="00316443"/>
    <w:rsid w:val="0031695B"/>
    <w:rsid w:val="00317476"/>
    <w:rsid w:val="003178CB"/>
    <w:rsid w:val="00320305"/>
    <w:rsid w:val="00320F1A"/>
    <w:rsid w:val="00321D43"/>
    <w:rsid w:val="00321E08"/>
    <w:rsid w:val="0032270C"/>
    <w:rsid w:val="0032468B"/>
    <w:rsid w:val="0032468C"/>
    <w:rsid w:val="003248BC"/>
    <w:rsid w:val="00324A96"/>
    <w:rsid w:val="00325110"/>
    <w:rsid w:val="003264C8"/>
    <w:rsid w:val="00326773"/>
    <w:rsid w:val="0032737D"/>
    <w:rsid w:val="00327B61"/>
    <w:rsid w:val="00327D92"/>
    <w:rsid w:val="00327DDF"/>
    <w:rsid w:val="00330120"/>
    <w:rsid w:val="0033068C"/>
    <w:rsid w:val="00330AD3"/>
    <w:rsid w:val="00330C08"/>
    <w:rsid w:val="003311A4"/>
    <w:rsid w:val="0033149C"/>
    <w:rsid w:val="00331F2E"/>
    <w:rsid w:val="003324B2"/>
    <w:rsid w:val="00332AAE"/>
    <w:rsid w:val="00332BC1"/>
    <w:rsid w:val="00333679"/>
    <w:rsid w:val="003354D2"/>
    <w:rsid w:val="003356A9"/>
    <w:rsid w:val="00335AD0"/>
    <w:rsid w:val="00335BC6"/>
    <w:rsid w:val="0033617E"/>
    <w:rsid w:val="00336AB4"/>
    <w:rsid w:val="0033724D"/>
    <w:rsid w:val="00341233"/>
    <w:rsid w:val="003415D3"/>
    <w:rsid w:val="00342001"/>
    <w:rsid w:val="0034215D"/>
    <w:rsid w:val="003426CA"/>
    <w:rsid w:val="00343226"/>
    <w:rsid w:val="00343254"/>
    <w:rsid w:val="00343498"/>
    <w:rsid w:val="00343BF1"/>
    <w:rsid w:val="00343FC2"/>
    <w:rsid w:val="003443EA"/>
    <w:rsid w:val="00344490"/>
    <w:rsid w:val="003444FC"/>
    <w:rsid w:val="00344701"/>
    <w:rsid w:val="00345F0D"/>
    <w:rsid w:val="00346BEF"/>
    <w:rsid w:val="00347230"/>
    <w:rsid w:val="003478F9"/>
    <w:rsid w:val="00347D8B"/>
    <w:rsid w:val="003507E3"/>
    <w:rsid w:val="00351412"/>
    <w:rsid w:val="0035176D"/>
    <w:rsid w:val="00352437"/>
    <w:rsid w:val="003528DA"/>
    <w:rsid w:val="00352B0F"/>
    <w:rsid w:val="00352C7D"/>
    <w:rsid w:val="00353F0A"/>
    <w:rsid w:val="00353F73"/>
    <w:rsid w:val="00354D2A"/>
    <w:rsid w:val="00354D97"/>
    <w:rsid w:val="00356690"/>
    <w:rsid w:val="00356A09"/>
    <w:rsid w:val="00357DD0"/>
    <w:rsid w:val="00357EBA"/>
    <w:rsid w:val="0036038C"/>
    <w:rsid w:val="00360459"/>
    <w:rsid w:val="00360483"/>
    <w:rsid w:val="003604AE"/>
    <w:rsid w:val="00360CFD"/>
    <w:rsid w:val="0036209F"/>
    <w:rsid w:val="00362309"/>
    <w:rsid w:val="00362C04"/>
    <w:rsid w:val="00362E4C"/>
    <w:rsid w:val="003633D5"/>
    <w:rsid w:val="0036492F"/>
    <w:rsid w:val="00364E75"/>
    <w:rsid w:val="00365497"/>
    <w:rsid w:val="00365570"/>
    <w:rsid w:val="003663F8"/>
    <w:rsid w:val="00367107"/>
    <w:rsid w:val="003674C8"/>
    <w:rsid w:val="00367A14"/>
    <w:rsid w:val="00367B98"/>
    <w:rsid w:val="00370E39"/>
    <w:rsid w:val="00372F6F"/>
    <w:rsid w:val="00373560"/>
    <w:rsid w:val="003735ED"/>
    <w:rsid w:val="003736E6"/>
    <w:rsid w:val="003755E4"/>
    <w:rsid w:val="00375D4B"/>
    <w:rsid w:val="0037724F"/>
    <w:rsid w:val="00377D2A"/>
    <w:rsid w:val="003801AB"/>
    <w:rsid w:val="0038034E"/>
    <w:rsid w:val="0038061C"/>
    <w:rsid w:val="00381A79"/>
    <w:rsid w:val="003821DB"/>
    <w:rsid w:val="0038328A"/>
    <w:rsid w:val="00383A8E"/>
    <w:rsid w:val="00385272"/>
    <w:rsid w:val="00385CB8"/>
    <w:rsid w:val="00385D70"/>
    <w:rsid w:val="00385FED"/>
    <w:rsid w:val="003869DB"/>
    <w:rsid w:val="00386E3B"/>
    <w:rsid w:val="00386E5C"/>
    <w:rsid w:val="00387869"/>
    <w:rsid w:val="00387A96"/>
    <w:rsid w:val="00387ABB"/>
    <w:rsid w:val="0039107C"/>
    <w:rsid w:val="00391E64"/>
    <w:rsid w:val="00392095"/>
    <w:rsid w:val="003939CB"/>
    <w:rsid w:val="00393C4D"/>
    <w:rsid w:val="00393F81"/>
    <w:rsid w:val="00394DE0"/>
    <w:rsid w:val="00394EC2"/>
    <w:rsid w:val="0039526F"/>
    <w:rsid w:val="003952F4"/>
    <w:rsid w:val="00396081"/>
    <w:rsid w:val="0039615F"/>
    <w:rsid w:val="0039635D"/>
    <w:rsid w:val="00396C8C"/>
    <w:rsid w:val="00396F72"/>
    <w:rsid w:val="00397B58"/>
    <w:rsid w:val="00397E71"/>
    <w:rsid w:val="003A0A76"/>
    <w:rsid w:val="003A0AD4"/>
    <w:rsid w:val="003A0CB4"/>
    <w:rsid w:val="003A0D27"/>
    <w:rsid w:val="003A0EFC"/>
    <w:rsid w:val="003A16E8"/>
    <w:rsid w:val="003A185A"/>
    <w:rsid w:val="003A1FA6"/>
    <w:rsid w:val="003A2928"/>
    <w:rsid w:val="003A2A48"/>
    <w:rsid w:val="003A32C5"/>
    <w:rsid w:val="003A35B7"/>
    <w:rsid w:val="003A36A7"/>
    <w:rsid w:val="003A39E1"/>
    <w:rsid w:val="003A4640"/>
    <w:rsid w:val="003A66F8"/>
    <w:rsid w:val="003A79BA"/>
    <w:rsid w:val="003B28C3"/>
    <w:rsid w:val="003B4040"/>
    <w:rsid w:val="003B43F9"/>
    <w:rsid w:val="003B5904"/>
    <w:rsid w:val="003B5BB6"/>
    <w:rsid w:val="003B7008"/>
    <w:rsid w:val="003B732F"/>
    <w:rsid w:val="003B7783"/>
    <w:rsid w:val="003B7AD3"/>
    <w:rsid w:val="003C01A0"/>
    <w:rsid w:val="003C0FC2"/>
    <w:rsid w:val="003C132F"/>
    <w:rsid w:val="003C2055"/>
    <w:rsid w:val="003C208D"/>
    <w:rsid w:val="003C31A4"/>
    <w:rsid w:val="003C33A0"/>
    <w:rsid w:val="003C3A6B"/>
    <w:rsid w:val="003C4D48"/>
    <w:rsid w:val="003C523D"/>
    <w:rsid w:val="003C6106"/>
    <w:rsid w:val="003C6231"/>
    <w:rsid w:val="003C63FC"/>
    <w:rsid w:val="003C7576"/>
    <w:rsid w:val="003C7992"/>
    <w:rsid w:val="003D05F3"/>
    <w:rsid w:val="003D0BFE"/>
    <w:rsid w:val="003D1441"/>
    <w:rsid w:val="003D1566"/>
    <w:rsid w:val="003D16C9"/>
    <w:rsid w:val="003D18B4"/>
    <w:rsid w:val="003D1D0C"/>
    <w:rsid w:val="003D200B"/>
    <w:rsid w:val="003D218A"/>
    <w:rsid w:val="003D25B8"/>
    <w:rsid w:val="003D2616"/>
    <w:rsid w:val="003D3E1D"/>
    <w:rsid w:val="003D41B5"/>
    <w:rsid w:val="003D45B6"/>
    <w:rsid w:val="003D472D"/>
    <w:rsid w:val="003D50FD"/>
    <w:rsid w:val="003D5700"/>
    <w:rsid w:val="003D5C41"/>
    <w:rsid w:val="003D60E4"/>
    <w:rsid w:val="003D6D61"/>
    <w:rsid w:val="003D746F"/>
    <w:rsid w:val="003D77EF"/>
    <w:rsid w:val="003D7950"/>
    <w:rsid w:val="003D7C47"/>
    <w:rsid w:val="003D7CCB"/>
    <w:rsid w:val="003E00AA"/>
    <w:rsid w:val="003E059C"/>
    <w:rsid w:val="003E0828"/>
    <w:rsid w:val="003E0C6D"/>
    <w:rsid w:val="003E0F99"/>
    <w:rsid w:val="003E1197"/>
    <w:rsid w:val="003E121C"/>
    <w:rsid w:val="003E1AB5"/>
    <w:rsid w:val="003E2314"/>
    <w:rsid w:val="003E341B"/>
    <w:rsid w:val="003E365E"/>
    <w:rsid w:val="003E43F4"/>
    <w:rsid w:val="003E4ABD"/>
    <w:rsid w:val="003E5703"/>
    <w:rsid w:val="003E5CF0"/>
    <w:rsid w:val="003E5F58"/>
    <w:rsid w:val="003E7046"/>
    <w:rsid w:val="003E7C6C"/>
    <w:rsid w:val="003E7CB3"/>
    <w:rsid w:val="003F032B"/>
    <w:rsid w:val="003F0566"/>
    <w:rsid w:val="003F0E82"/>
    <w:rsid w:val="003F0FA6"/>
    <w:rsid w:val="003F13B6"/>
    <w:rsid w:val="003F20E5"/>
    <w:rsid w:val="003F28EE"/>
    <w:rsid w:val="003F33F6"/>
    <w:rsid w:val="003F37C2"/>
    <w:rsid w:val="003F3875"/>
    <w:rsid w:val="003F3DD7"/>
    <w:rsid w:val="003F3EFD"/>
    <w:rsid w:val="003F4442"/>
    <w:rsid w:val="003F4582"/>
    <w:rsid w:val="003F47C8"/>
    <w:rsid w:val="003F4DF0"/>
    <w:rsid w:val="003F5205"/>
    <w:rsid w:val="003F54CC"/>
    <w:rsid w:val="003F59B2"/>
    <w:rsid w:val="003F62F9"/>
    <w:rsid w:val="003F65C7"/>
    <w:rsid w:val="003F665F"/>
    <w:rsid w:val="003F67B0"/>
    <w:rsid w:val="003F73F7"/>
    <w:rsid w:val="0040053F"/>
    <w:rsid w:val="004006A1"/>
    <w:rsid w:val="00400887"/>
    <w:rsid w:val="004009DA"/>
    <w:rsid w:val="00400B7B"/>
    <w:rsid w:val="00401475"/>
    <w:rsid w:val="00401A40"/>
    <w:rsid w:val="00402828"/>
    <w:rsid w:val="00404238"/>
    <w:rsid w:val="00404314"/>
    <w:rsid w:val="0040556F"/>
    <w:rsid w:val="00405960"/>
    <w:rsid w:val="0040630A"/>
    <w:rsid w:val="004069C1"/>
    <w:rsid w:val="00410059"/>
    <w:rsid w:val="00410C2A"/>
    <w:rsid w:val="004116CD"/>
    <w:rsid w:val="004119F1"/>
    <w:rsid w:val="00412195"/>
    <w:rsid w:val="0041237A"/>
    <w:rsid w:val="004133A4"/>
    <w:rsid w:val="004134A1"/>
    <w:rsid w:val="004141FC"/>
    <w:rsid w:val="004144EC"/>
    <w:rsid w:val="00414797"/>
    <w:rsid w:val="00414B66"/>
    <w:rsid w:val="00415132"/>
    <w:rsid w:val="004157A7"/>
    <w:rsid w:val="00415A4D"/>
    <w:rsid w:val="00415B19"/>
    <w:rsid w:val="00415E89"/>
    <w:rsid w:val="00416571"/>
    <w:rsid w:val="0041741F"/>
    <w:rsid w:val="004176FC"/>
    <w:rsid w:val="004178C2"/>
    <w:rsid w:val="00417DAB"/>
    <w:rsid w:val="00417EB9"/>
    <w:rsid w:val="00420330"/>
    <w:rsid w:val="00420712"/>
    <w:rsid w:val="00420D91"/>
    <w:rsid w:val="0042127E"/>
    <w:rsid w:val="004212EE"/>
    <w:rsid w:val="0042135C"/>
    <w:rsid w:val="00421EB7"/>
    <w:rsid w:val="00421FC6"/>
    <w:rsid w:val="004221D9"/>
    <w:rsid w:val="004239E4"/>
    <w:rsid w:val="00423E55"/>
    <w:rsid w:val="00424020"/>
    <w:rsid w:val="00424CA9"/>
    <w:rsid w:val="00424CF9"/>
    <w:rsid w:val="00424F27"/>
    <w:rsid w:val="004254A2"/>
    <w:rsid w:val="004256BB"/>
    <w:rsid w:val="004256CD"/>
    <w:rsid w:val="00425792"/>
    <w:rsid w:val="00425A5C"/>
    <w:rsid w:val="00425BE8"/>
    <w:rsid w:val="00425CA5"/>
    <w:rsid w:val="00425FC4"/>
    <w:rsid w:val="00425FF1"/>
    <w:rsid w:val="004269EB"/>
    <w:rsid w:val="00426ACC"/>
    <w:rsid w:val="00427ACF"/>
    <w:rsid w:val="00427F4D"/>
    <w:rsid w:val="00430B19"/>
    <w:rsid w:val="004316AF"/>
    <w:rsid w:val="00431E9B"/>
    <w:rsid w:val="0043310A"/>
    <w:rsid w:val="004352CB"/>
    <w:rsid w:val="00435B24"/>
    <w:rsid w:val="00435DC8"/>
    <w:rsid w:val="00435EEF"/>
    <w:rsid w:val="00436C3E"/>
    <w:rsid w:val="004379E3"/>
    <w:rsid w:val="00437E43"/>
    <w:rsid w:val="0044015E"/>
    <w:rsid w:val="004414EB"/>
    <w:rsid w:val="00442649"/>
    <w:rsid w:val="0044291A"/>
    <w:rsid w:val="0044345B"/>
    <w:rsid w:val="00444ABD"/>
    <w:rsid w:val="00445229"/>
    <w:rsid w:val="004459D4"/>
    <w:rsid w:val="00446EC4"/>
    <w:rsid w:val="00447A66"/>
    <w:rsid w:val="00447DB4"/>
    <w:rsid w:val="00450149"/>
    <w:rsid w:val="00450925"/>
    <w:rsid w:val="004510C5"/>
    <w:rsid w:val="004519BB"/>
    <w:rsid w:val="00452351"/>
    <w:rsid w:val="004525D6"/>
    <w:rsid w:val="00452F68"/>
    <w:rsid w:val="00453554"/>
    <w:rsid w:val="00453BE2"/>
    <w:rsid w:val="004548F8"/>
    <w:rsid w:val="004553AF"/>
    <w:rsid w:val="00455A15"/>
    <w:rsid w:val="00455A76"/>
    <w:rsid w:val="00455C81"/>
    <w:rsid w:val="00456150"/>
    <w:rsid w:val="00457290"/>
    <w:rsid w:val="0045776A"/>
    <w:rsid w:val="00457EDF"/>
    <w:rsid w:val="00460F1D"/>
    <w:rsid w:val="00461144"/>
    <w:rsid w:val="0046428E"/>
    <w:rsid w:val="00464516"/>
    <w:rsid w:val="00465ADE"/>
    <w:rsid w:val="00465DC1"/>
    <w:rsid w:val="004661E4"/>
    <w:rsid w:val="0046691F"/>
    <w:rsid w:val="00467661"/>
    <w:rsid w:val="00467CA1"/>
    <w:rsid w:val="004705B7"/>
    <w:rsid w:val="0047085D"/>
    <w:rsid w:val="00470CB1"/>
    <w:rsid w:val="00471339"/>
    <w:rsid w:val="0047147E"/>
    <w:rsid w:val="0047197A"/>
    <w:rsid w:val="00471C7B"/>
    <w:rsid w:val="0047241C"/>
    <w:rsid w:val="0047274B"/>
    <w:rsid w:val="00472DBE"/>
    <w:rsid w:val="00473C36"/>
    <w:rsid w:val="00473FFA"/>
    <w:rsid w:val="00474172"/>
    <w:rsid w:val="004742BD"/>
    <w:rsid w:val="004743FC"/>
    <w:rsid w:val="0047476F"/>
    <w:rsid w:val="00474A19"/>
    <w:rsid w:val="00474B52"/>
    <w:rsid w:val="00475CC4"/>
    <w:rsid w:val="004760B9"/>
    <w:rsid w:val="004763A4"/>
    <w:rsid w:val="0047710C"/>
    <w:rsid w:val="0047730F"/>
    <w:rsid w:val="00480231"/>
    <w:rsid w:val="00480749"/>
    <w:rsid w:val="004807E8"/>
    <w:rsid w:val="00481C24"/>
    <w:rsid w:val="00481ED9"/>
    <w:rsid w:val="004823C0"/>
    <w:rsid w:val="0048276B"/>
    <w:rsid w:val="00482965"/>
    <w:rsid w:val="00483AB7"/>
    <w:rsid w:val="004842AF"/>
    <w:rsid w:val="00484870"/>
    <w:rsid w:val="00484B17"/>
    <w:rsid w:val="00484DFB"/>
    <w:rsid w:val="004852ED"/>
    <w:rsid w:val="00485518"/>
    <w:rsid w:val="00485797"/>
    <w:rsid w:val="0048647C"/>
    <w:rsid w:val="00486CAF"/>
    <w:rsid w:val="004872F5"/>
    <w:rsid w:val="00487465"/>
    <w:rsid w:val="00487AC1"/>
    <w:rsid w:val="00490047"/>
    <w:rsid w:val="00490564"/>
    <w:rsid w:val="004909F7"/>
    <w:rsid w:val="00490F87"/>
    <w:rsid w:val="0049118A"/>
    <w:rsid w:val="004917B7"/>
    <w:rsid w:val="00491CFE"/>
    <w:rsid w:val="00491D50"/>
    <w:rsid w:val="00491E9A"/>
    <w:rsid w:val="00492A06"/>
    <w:rsid w:val="00492B7A"/>
    <w:rsid w:val="00493D97"/>
    <w:rsid w:val="0049490B"/>
    <w:rsid w:val="00494FA1"/>
    <w:rsid w:val="004962D9"/>
    <w:rsid w:val="00496A8F"/>
    <w:rsid w:val="00496B5F"/>
    <w:rsid w:val="00496EC9"/>
    <w:rsid w:val="00496F97"/>
    <w:rsid w:val="004A208C"/>
    <w:rsid w:val="004A20FD"/>
    <w:rsid w:val="004A293E"/>
    <w:rsid w:val="004A3C0B"/>
    <w:rsid w:val="004A3E14"/>
    <w:rsid w:val="004A44FC"/>
    <w:rsid w:val="004A4664"/>
    <w:rsid w:val="004A5053"/>
    <w:rsid w:val="004A5F32"/>
    <w:rsid w:val="004A636D"/>
    <w:rsid w:val="004A67E0"/>
    <w:rsid w:val="004A6A73"/>
    <w:rsid w:val="004A7171"/>
    <w:rsid w:val="004A7AC6"/>
    <w:rsid w:val="004B0120"/>
    <w:rsid w:val="004B0489"/>
    <w:rsid w:val="004B06B9"/>
    <w:rsid w:val="004B0997"/>
    <w:rsid w:val="004B0B9E"/>
    <w:rsid w:val="004B0BD8"/>
    <w:rsid w:val="004B1583"/>
    <w:rsid w:val="004B1F68"/>
    <w:rsid w:val="004B3B47"/>
    <w:rsid w:val="004B56CE"/>
    <w:rsid w:val="004B5B44"/>
    <w:rsid w:val="004B6429"/>
    <w:rsid w:val="004B6C01"/>
    <w:rsid w:val="004C0A2B"/>
    <w:rsid w:val="004C1513"/>
    <w:rsid w:val="004C1CB1"/>
    <w:rsid w:val="004C211D"/>
    <w:rsid w:val="004C28B1"/>
    <w:rsid w:val="004C3074"/>
    <w:rsid w:val="004C31AB"/>
    <w:rsid w:val="004C32DC"/>
    <w:rsid w:val="004C38F3"/>
    <w:rsid w:val="004C3E57"/>
    <w:rsid w:val="004C4632"/>
    <w:rsid w:val="004C46AA"/>
    <w:rsid w:val="004C48F6"/>
    <w:rsid w:val="004C4C3E"/>
    <w:rsid w:val="004C4E15"/>
    <w:rsid w:val="004C5488"/>
    <w:rsid w:val="004C56BC"/>
    <w:rsid w:val="004C582E"/>
    <w:rsid w:val="004C5A66"/>
    <w:rsid w:val="004C5D48"/>
    <w:rsid w:val="004D0E5A"/>
    <w:rsid w:val="004D278A"/>
    <w:rsid w:val="004D2CCB"/>
    <w:rsid w:val="004D3792"/>
    <w:rsid w:val="004D3EC5"/>
    <w:rsid w:val="004D5381"/>
    <w:rsid w:val="004D56D2"/>
    <w:rsid w:val="004D75C3"/>
    <w:rsid w:val="004D7E7F"/>
    <w:rsid w:val="004E063A"/>
    <w:rsid w:val="004E0865"/>
    <w:rsid w:val="004E1814"/>
    <w:rsid w:val="004E231E"/>
    <w:rsid w:val="004E23E1"/>
    <w:rsid w:val="004E350A"/>
    <w:rsid w:val="004E3552"/>
    <w:rsid w:val="004E3D39"/>
    <w:rsid w:val="004E451C"/>
    <w:rsid w:val="004E4F3B"/>
    <w:rsid w:val="004E5532"/>
    <w:rsid w:val="004E6815"/>
    <w:rsid w:val="004E721F"/>
    <w:rsid w:val="004E7BEC"/>
    <w:rsid w:val="004E7C4C"/>
    <w:rsid w:val="004F0F9D"/>
    <w:rsid w:val="004F112B"/>
    <w:rsid w:val="004F222F"/>
    <w:rsid w:val="004F2599"/>
    <w:rsid w:val="004F3001"/>
    <w:rsid w:val="004F50DC"/>
    <w:rsid w:val="004F5BE5"/>
    <w:rsid w:val="004F5EAD"/>
    <w:rsid w:val="004F67E3"/>
    <w:rsid w:val="004F72C7"/>
    <w:rsid w:val="004F7614"/>
    <w:rsid w:val="004F768C"/>
    <w:rsid w:val="004F7977"/>
    <w:rsid w:val="004F7E18"/>
    <w:rsid w:val="0050044F"/>
    <w:rsid w:val="0050122F"/>
    <w:rsid w:val="00501B88"/>
    <w:rsid w:val="00501BF4"/>
    <w:rsid w:val="00501CE8"/>
    <w:rsid w:val="005037E4"/>
    <w:rsid w:val="005046C3"/>
    <w:rsid w:val="005049B7"/>
    <w:rsid w:val="00504D32"/>
    <w:rsid w:val="0050518E"/>
    <w:rsid w:val="0050533D"/>
    <w:rsid w:val="005055BB"/>
    <w:rsid w:val="00505D3D"/>
    <w:rsid w:val="005060BC"/>
    <w:rsid w:val="00506189"/>
    <w:rsid w:val="00506961"/>
    <w:rsid w:val="00506AF6"/>
    <w:rsid w:val="00506F73"/>
    <w:rsid w:val="00507335"/>
    <w:rsid w:val="005074DB"/>
    <w:rsid w:val="005077E6"/>
    <w:rsid w:val="00507E41"/>
    <w:rsid w:val="00507ED3"/>
    <w:rsid w:val="00510A90"/>
    <w:rsid w:val="00510BFA"/>
    <w:rsid w:val="00510F40"/>
    <w:rsid w:val="005111B4"/>
    <w:rsid w:val="0051193E"/>
    <w:rsid w:val="0051484A"/>
    <w:rsid w:val="00514882"/>
    <w:rsid w:val="00514A06"/>
    <w:rsid w:val="0051541F"/>
    <w:rsid w:val="005157BE"/>
    <w:rsid w:val="00516B8D"/>
    <w:rsid w:val="00517E56"/>
    <w:rsid w:val="00517FCF"/>
    <w:rsid w:val="00520C29"/>
    <w:rsid w:val="00521577"/>
    <w:rsid w:val="00521622"/>
    <w:rsid w:val="00521834"/>
    <w:rsid w:val="00521E33"/>
    <w:rsid w:val="0052258A"/>
    <w:rsid w:val="00522852"/>
    <w:rsid w:val="005236A1"/>
    <w:rsid w:val="00523BB0"/>
    <w:rsid w:val="00524E33"/>
    <w:rsid w:val="00525157"/>
    <w:rsid w:val="0052517A"/>
    <w:rsid w:val="005254CF"/>
    <w:rsid w:val="0052580E"/>
    <w:rsid w:val="00526908"/>
    <w:rsid w:val="005270A0"/>
    <w:rsid w:val="005302A6"/>
    <w:rsid w:val="00530C3C"/>
    <w:rsid w:val="00531A58"/>
    <w:rsid w:val="00532049"/>
    <w:rsid w:val="005320E7"/>
    <w:rsid w:val="00533437"/>
    <w:rsid w:val="00534158"/>
    <w:rsid w:val="005349DD"/>
    <w:rsid w:val="00534EE0"/>
    <w:rsid w:val="005356A7"/>
    <w:rsid w:val="005356DB"/>
    <w:rsid w:val="00536184"/>
    <w:rsid w:val="0053650F"/>
    <w:rsid w:val="00536EA3"/>
    <w:rsid w:val="00537CC4"/>
    <w:rsid w:val="00537F87"/>
    <w:rsid w:val="00537FBC"/>
    <w:rsid w:val="005400B1"/>
    <w:rsid w:val="00540270"/>
    <w:rsid w:val="005408BB"/>
    <w:rsid w:val="00540B65"/>
    <w:rsid w:val="00541208"/>
    <w:rsid w:val="005414A5"/>
    <w:rsid w:val="0054184E"/>
    <w:rsid w:val="005424A0"/>
    <w:rsid w:val="0054362B"/>
    <w:rsid w:val="00544B33"/>
    <w:rsid w:val="00544C96"/>
    <w:rsid w:val="00544CAC"/>
    <w:rsid w:val="005452EB"/>
    <w:rsid w:val="00545A1F"/>
    <w:rsid w:val="00545B57"/>
    <w:rsid w:val="00546C68"/>
    <w:rsid w:val="00547684"/>
    <w:rsid w:val="00550404"/>
    <w:rsid w:val="00550A19"/>
    <w:rsid w:val="00553139"/>
    <w:rsid w:val="00553168"/>
    <w:rsid w:val="00553516"/>
    <w:rsid w:val="00553917"/>
    <w:rsid w:val="00553DF4"/>
    <w:rsid w:val="005544DF"/>
    <w:rsid w:val="0055468D"/>
    <w:rsid w:val="0055472B"/>
    <w:rsid w:val="005547E9"/>
    <w:rsid w:val="00554809"/>
    <w:rsid w:val="005551F0"/>
    <w:rsid w:val="00555A35"/>
    <w:rsid w:val="005560AF"/>
    <w:rsid w:val="00556335"/>
    <w:rsid w:val="005574D1"/>
    <w:rsid w:val="00560350"/>
    <w:rsid w:val="0056075E"/>
    <w:rsid w:val="005613B0"/>
    <w:rsid w:val="0056199E"/>
    <w:rsid w:val="00561ABB"/>
    <w:rsid w:val="00562083"/>
    <w:rsid w:val="00562422"/>
    <w:rsid w:val="00562820"/>
    <w:rsid w:val="00562F24"/>
    <w:rsid w:val="00563083"/>
    <w:rsid w:val="005632CD"/>
    <w:rsid w:val="005638A8"/>
    <w:rsid w:val="00563C46"/>
    <w:rsid w:val="00563D79"/>
    <w:rsid w:val="00564331"/>
    <w:rsid w:val="005648E9"/>
    <w:rsid w:val="005656F7"/>
    <w:rsid w:val="005657FE"/>
    <w:rsid w:val="00566600"/>
    <w:rsid w:val="005668AE"/>
    <w:rsid w:val="00566CCB"/>
    <w:rsid w:val="00567AE6"/>
    <w:rsid w:val="00571448"/>
    <w:rsid w:val="00572322"/>
    <w:rsid w:val="00572695"/>
    <w:rsid w:val="0057277D"/>
    <w:rsid w:val="005729C6"/>
    <w:rsid w:val="00572BB1"/>
    <w:rsid w:val="005734D0"/>
    <w:rsid w:val="00573831"/>
    <w:rsid w:val="00573F12"/>
    <w:rsid w:val="00574157"/>
    <w:rsid w:val="005741B9"/>
    <w:rsid w:val="005749AA"/>
    <w:rsid w:val="005749FF"/>
    <w:rsid w:val="00574D92"/>
    <w:rsid w:val="005754F2"/>
    <w:rsid w:val="00576352"/>
    <w:rsid w:val="0057643E"/>
    <w:rsid w:val="0057670F"/>
    <w:rsid w:val="005773B1"/>
    <w:rsid w:val="005779D9"/>
    <w:rsid w:val="00577F45"/>
    <w:rsid w:val="00580691"/>
    <w:rsid w:val="005808CB"/>
    <w:rsid w:val="00581208"/>
    <w:rsid w:val="00581F49"/>
    <w:rsid w:val="00581F7A"/>
    <w:rsid w:val="005829A8"/>
    <w:rsid w:val="0058355A"/>
    <w:rsid w:val="00583AD8"/>
    <w:rsid w:val="00584811"/>
    <w:rsid w:val="00584C25"/>
    <w:rsid w:val="00584D27"/>
    <w:rsid w:val="00585784"/>
    <w:rsid w:val="00585B24"/>
    <w:rsid w:val="00585DE3"/>
    <w:rsid w:val="00586EB0"/>
    <w:rsid w:val="00587693"/>
    <w:rsid w:val="0058776D"/>
    <w:rsid w:val="005909C6"/>
    <w:rsid w:val="00590A34"/>
    <w:rsid w:val="00591B54"/>
    <w:rsid w:val="00591D88"/>
    <w:rsid w:val="0059276A"/>
    <w:rsid w:val="00592CED"/>
    <w:rsid w:val="00592EEB"/>
    <w:rsid w:val="0059306A"/>
    <w:rsid w:val="0059345D"/>
    <w:rsid w:val="00593AA6"/>
    <w:rsid w:val="00594161"/>
    <w:rsid w:val="00594749"/>
    <w:rsid w:val="005957A6"/>
    <w:rsid w:val="005965A3"/>
    <w:rsid w:val="005969C5"/>
    <w:rsid w:val="005A0477"/>
    <w:rsid w:val="005A25CF"/>
    <w:rsid w:val="005A2896"/>
    <w:rsid w:val="005A335F"/>
    <w:rsid w:val="005A68A7"/>
    <w:rsid w:val="005A6B71"/>
    <w:rsid w:val="005A6D7E"/>
    <w:rsid w:val="005A71ED"/>
    <w:rsid w:val="005A7C0A"/>
    <w:rsid w:val="005B1235"/>
    <w:rsid w:val="005B30F7"/>
    <w:rsid w:val="005B3488"/>
    <w:rsid w:val="005B3C67"/>
    <w:rsid w:val="005B4067"/>
    <w:rsid w:val="005B439E"/>
    <w:rsid w:val="005B6698"/>
    <w:rsid w:val="005B6893"/>
    <w:rsid w:val="005B70AB"/>
    <w:rsid w:val="005B780C"/>
    <w:rsid w:val="005B7895"/>
    <w:rsid w:val="005B7A30"/>
    <w:rsid w:val="005B7BFE"/>
    <w:rsid w:val="005C01C2"/>
    <w:rsid w:val="005C1DCC"/>
    <w:rsid w:val="005C2357"/>
    <w:rsid w:val="005C2865"/>
    <w:rsid w:val="005C2CF1"/>
    <w:rsid w:val="005C3742"/>
    <w:rsid w:val="005C3C02"/>
    <w:rsid w:val="005C3F41"/>
    <w:rsid w:val="005C4429"/>
    <w:rsid w:val="005C46F5"/>
    <w:rsid w:val="005C47D1"/>
    <w:rsid w:val="005C58C5"/>
    <w:rsid w:val="005C5B32"/>
    <w:rsid w:val="005C5E1B"/>
    <w:rsid w:val="005C5EA4"/>
    <w:rsid w:val="005C6657"/>
    <w:rsid w:val="005C6A2C"/>
    <w:rsid w:val="005C6F8D"/>
    <w:rsid w:val="005C7533"/>
    <w:rsid w:val="005C770B"/>
    <w:rsid w:val="005D026A"/>
    <w:rsid w:val="005D0489"/>
    <w:rsid w:val="005D1FEA"/>
    <w:rsid w:val="005D21B0"/>
    <w:rsid w:val="005D21C6"/>
    <w:rsid w:val="005D27CE"/>
    <w:rsid w:val="005D2D09"/>
    <w:rsid w:val="005D2EFF"/>
    <w:rsid w:val="005D34CA"/>
    <w:rsid w:val="005D3AAC"/>
    <w:rsid w:val="005D3C15"/>
    <w:rsid w:val="005D3D41"/>
    <w:rsid w:val="005D48B4"/>
    <w:rsid w:val="005D6140"/>
    <w:rsid w:val="005D6424"/>
    <w:rsid w:val="005D70C8"/>
    <w:rsid w:val="005D771E"/>
    <w:rsid w:val="005D7B7D"/>
    <w:rsid w:val="005E0541"/>
    <w:rsid w:val="005E12EB"/>
    <w:rsid w:val="005E1801"/>
    <w:rsid w:val="005E286D"/>
    <w:rsid w:val="005E299C"/>
    <w:rsid w:val="005E3879"/>
    <w:rsid w:val="005E4810"/>
    <w:rsid w:val="005E49B4"/>
    <w:rsid w:val="005E64EF"/>
    <w:rsid w:val="005E721E"/>
    <w:rsid w:val="005E72B2"/>
    <w:rsid w:val="005E7C12"/>
    <w:rsid w:val="005F0D64"/>
    <w:rsid w:val="005F262F"/>
    <w:rsid w:val="005F327B"/>
    <w:rsid w:val="005F35D4"/>
    <w:rsid w:val="005F4140"/>
    <w:rsid w:val="005F41AC"/>
    <w:rsid w:val="005F4670"/>
    <w:rsid w:val="005F5316"/>
    <w:rsid w:val="005F65CD"/>
    <w:rsid w:val="005F698F"/>
    <w:rsid w:val="00600219"/>
    <w:rsid w:val="0060146D"/>
    <w:rsid w:val="00601675"/>
    <w:rsid w:val="00601A7C"/>
    <w:rsid w:val="0060236F"/>
    <w:rsid w:val="00603DC4"/>
    <w:rsid w:val="00604451"/>
    <w:rsid w:val="0060457E"/>
    <w:rsid w:val="00604DA6"/>
    <w:rsid w:val="00605B15"/>
    <w:rsid w:val="00605C53"/>
    <w:rsid w:val="00605E4F"/>
    <w:rsid w:val="00607A71"/>
    <w:rsid w:val="00607C30"/>
    <w:rsid w:val="00607D6B"/>
    <w:rsid w:val="00610709"/>
    <w:rsid w:val="00611400"/>
    <w:rsid w:val="006115A8"/>
    <w:rsid w:val="006117CB"/>
    <w:rsid w:val="00611FB1"/>
    <w:rsid w:val="00612C0B"/>
    <w:rsid w:val="00613332"/>
    <w:rsid w:val="006133FA"/>
    <w:rsid w:val="00614269"/>
    <w:rsid w:val="006148B7"/>
    <w:rsid w:val="0061510A"/>
    <w:rsid w:val="00615345"/>
    <w:rsid w:val="006153C9"/>
    <w:rsid w:val="00615D2D"/>
    <w:rsid w:val="00616495"/>
    <w:rsid w:val="00616EB2"/>
    <w:rsid w:val="006171C3"/>
    <w:rsid w:val="00617BE3"/>
    <w:rsid w:val="00620076"/>
    <w:rsid w:val="006215C6"/>
    <w:rsid w:val="00621F92"/>
    <w:rsid w:val="00622CE0"/>
    <w:rsid w:val="006240D1"/>
    <w:rsid w:val="0062421A"/>
    <w:rsid w:val="006246E4"/>
    <w:rsid w:val="00624939"/>
    <w:rsid w:val="00624B17"/>
    <w:rsid w:val="00625511"/>
    <w:rsid w:val="0062555F"/>
    <w:rsid w:val="00625B25"/>
    <w:rsid w:val="006261FB"/>
    <w:rsid w:val="006265A4"/>
    <w:rsid w:val="00626D12"/>
    <w:rsid w:val="00627331"/>
    <w:rsid w:val="00627805"/>
    <w:rsid w:val="00627F2F"/>
    <w:rsid w:val="00630117"/>
    <w:rsid w:val="006302FC"/>
    <w:rsid w:val="00630526"/>
    <w:rsid w:val="0063150D"/>
    <w:rsid w:val="00631B44"/>
    <w:rsid w:val="00631C8B"/>
    <w:rsid w:val="00631F79"/>
    <w:rsid w:val="00634044"/>
    <w:rsid w:val="00634484"/>
    <w:rsid w:val="00634657"/>
    <w:rsid w:val="00634C58"/>
    <w:rsid w:val="00634FE9"/>
    <w:rsid w:val="006350D3"/>
    <w:rsid w:val="006352C2"/>
    <w:rsid w:val="006359DC"/>
    <w:rsid w:val="006378BA"/>
    <w:rsid w:val="00640161"/>
    <w:rsid w:val="006405F8"/>
    <w:rsid w:val="00640877"/>
    <w:rsid w:val="006418DE"/>
    <w:rsid w:val="006424C2"/>
    <w:rsid w:val="00642F42"/>
    <w:rsid w:val="0064470C"/>
    <w:rsid w:val="00644726"/>
    <w:rsid w:val="00644D54"/>
    <w:rsid w:val="00650236"/>
    <w:rsid w:val="00650986"/>
    <w:rsid w:val="00651FC0"/>
    <w:rsid w:val="00651FDE"/>
    <w:rsid w:val="00652769"/>
    <w:rsid w:val="00652D68"/>
    <w:rsid w:val="00653D1B"/>
    <w:rsid w:val="00654170"/>
    <w:rsid w:val="0065542F"/>
    <w:rsid w:val="006554FF"/>
    <w:rsid w:val="00655696"/>
    <w:rsid w:val="00655801"/>
    <w:rsid w:val="00655AE9"/>
    <w:rsid w:val="006563BF"/>
    <w:rsid w:val="00657B46"/>
    <w:rsid w:val="00657CD8"/>
    <w:rsid w:val="006607EC"/>
    <w:rsid w:val="00661078"/>
    <w:rsid w:val="006619D7"/>
    <w:rsid w:val="0066359F"/>
    <w:rsid w:val="00664FD7"/>
    <w:rsid w:val="0066537F"/>
    <w:rsid w:val="0066637A"/>
    <w:rsid w:val="0066741D"/>
    <w:rsid w:val="00670EA1"/>
    <w:rsid w:val="006718C6"/>
    <w:rsid w:val="006722D8"/>
    <w:rsid w:val="00673AE8"/>
    <w:rsid w:val="00673B9A"/>
    <w:rsid w:val="00676C18"/>
    <w:rsid w:val="00676C8A"/>
    <w:rsid w:val="00677CC2"/>
    <w:rsid w:val="0068100B"/>
    <w:rsid w:val="00681CDA"/>
    <w:rsid w:val="00683B92"/>
    <w:rsid w:val="00683E0A"/>
    <w:rsid w:val="00684941"/>
    <w:rsid w:val="00684F07"/>
    <w:rsid w:val="00685737"/>
    <w:rsid w:val="00685831"/>
    <w:rsid w:val="00685FA2"/>
    <w:rsid w:val="00686A64"/>
    <w:rsid w:val="00687BE2"/>
    <w:rsid w:val="006905DE"/>
    <w:rsid w:val="0069105A"/>
    <w:rsid w:val="0069136C"/>
    <w:rsid w:val="00691B44"/>
    <w:rsid w:val="0069207B"/>
    <w:rsid w:val="00692461"/>
    <w:rsid w:val="00692AB5"/>
    <w:rsid w:val="00692CDA"/>
    <w:rsid w:val="00692D74"/>
    <w:rsid w:val="00692E3E"/>
    <w:rsid w:val="00693A3F"/>
    <w:rsid w:val="00693E23"/>
    <w:rsid w:val="00693F29"/>
    <w:rsid w:val="00693FA4"/>
    <w:rsid w:val="00694986"/>
    <w:rsid w:val="0069554A"/>
    <w:rsid w:val="0069661A"/>
    <w:rsid w:val="00697A0B"/>
    <w:rsid w:val="00697D25"/>
    <w:rsid w:val="006A000C"/>
    <w:rsid w:val="006A0143"/>
    <w:rsid w:val="006A0B46"/>
    <w:rsid w:val="006A103C"/>
    <w:rsid w:val="006A171B"/>
    <w:rsid w:val="006A18B2"/>
    <w:rsid w:val="006A2251"/>
    <w:rsid w:val="006A395E"/>
    <w:rsid w:val="006A3E05"/>
    <w:rsid w:val="006A4BC2"/>
    <w:rsid w:val="006A5C5F"/>
    <w:rsid w:val="006A61BC"/>
    <w:rsid w:val="006A6C92"/>
    <w:rsid w:val="006A7441"/>
    <w:rsid w:val="006A7705"/>
    <w:rsid w:val="006A771D"/>
    <w:rsid w:val="006A77B6"/>
    <w:rsid w:val="006A7BE2"/>
    <w:rsid w:val="006A7CBD"/>
    <w:rsid w:val="006B03E0"/>
    <w:rsid w:val="006B0ED5"/>
    <w:rsid w:val="006B1681"/>
    <w:rsid w:val="006B202C"/>
    <w:rsid w:val="006B2685"/>
    <w:rsid w:val="006B2B8E"/>
    <w:rsid w:val="006B324B"/>
    <w:rsid w:val="006B334B"/>
    <w:rsid w:val="006B460D"/>
    <w:rsid w:val="006B4966"/>
    <w:rsid w:val="006B5059"/>
    <w:rsid w:val="006B510D"/>
    <w:rsid w:val="006B5155"/>
    <w:rsid w:val="006B5789"/>
    <w:rsid w:val="006B7065"/>
    <w:rsid w:val="006B709D"/>
    <w:rsid w:val="006B7634"/>
    <w:rsid w:val="006B76FB"/>
    <w:rsid w:val="006B7970"/>
    <w:rsid w:val="006C00BF"/>
    <w:rsid w:val="006C1EE8"/>
    <w:rsid w:val="006C1F29"/>
    <w:rsid w:val="006C2B36"/>
    <w:rsid w:val="006C30C5"/>
    <w:rsid w:val="006C3802"/>
    <w:rsid w:val="006C3C2D"/>
    <w:rsid w:val="006C3F33"/>
    <w:rsid w:val="006C4327"/>
    <w:rsid w:val="006C48FA"/>
    <w:rsid w:val="006C5061"/>
    <w:rsid w:val="006C50EB"/>
    <w:rsid w:val="006C5A69"/>
    <w:rsid w:val="006C699B"/>
    <w:rsid w:val="006C7989"/>
    <w:rsid w:val="006C7F8C"/>
    <w:rsid w:val="006D0490"/>
    <w:rsid w:val="006D0749"/>
    <w:rsid w:val="006D1CAB"/>
    <w:rsid w:val="006D1E02"/>
    <w:rsid w:val="006D20A0"/>
    <w:rsid w:val="006D2A26"/>
    <w:rsid w:val="006D2AD5"/>
    <w:rsid w:val="006D2E86"/>
    <w:rsid w:val="006D3159"/>
    <w:rsid w:val="006D35AC"/>
    <w:rsid w:val="006D3AE6"/>
    <w:rsid w:val="006D424A"/>
    <w:rsid w:val="006D488A"/>
    <w:rsid w:val="006D4993"/>
    <w:rsid w:val="006D4A4F"/>
    <w:rsid w:val="006D6970"/>
    <w:rsid w:val="006D69FB"/>
    <w:rsid w:val="006D750F"/>
    <w:rsid w:val="006E0318"/>
    <w:rsid w:val="006E0B36"/>
    <w:rsid w:val="006E1711"/>
    <w:rsid w:val="006E2F7E"/>
    <w:rsid w:val="006E387A"/>
    <w:rsid w:val="006E4A6C"/>
    <w:rsid w:val="006E5320"/>
    <w:rsid w:val="006E6246"/>
    <w:rsid w:val="006E6AFE"/>
    <w:rsid w:val="006E6E15"/>
    <w:rsid w:val="006E6E4C"/>
    <w:rsid w:val="006F115C"/>
    <w:rsid w:val="006F1320"/>
    <w:rsid w:val="006F178D"/>
    <w:rsid w:val="006F318F"/>
    <w:rsid w:val="006F40A4"/>
    <w:rsid w:val="006F4226"/>
    <w:rsid w:val="006F5092"/>
    <w:rsid w:val="006F5596"/>
    <w:rsid w:val="006F597D"/>
    <w:rsid w:val="006F6CD5"/>
    <w:rsid w:val="006F6DE1"/>
    <w:rsid w:val="006F6DEA"/>
    <w:rsid w:val="006F6E8B"/>
    <w:rsid w:val="006F7B91"/>
    <w:rsid w:val="0070017E"/>
    <w:rsid w:val="0070090F"/>
    <w:rsid w:val="00700B2C"/>
    <w:rsid w:val="00701739"/>
    <w:rsid w:val="007017F1"/>
    <w:rsid w:val="00701FE2"/>
    <w:rsid w:val="007020FC"/>
    <w:rsid w:val="007029CF"/>
    <w:rsid w:val="007029E4"/>
    <w:rsid w:val="00702D1B"/>
    <w:rsid w:val="00702E4D"/>
    <w:rsid w:val="00702EFD"/>
    <w:rsid w:val="00704248"/>
    <w:rsid w:val="00704D8F"/>
    <w:rsid w:val="007050A2"/>
    <w:rsid w:val="00705C9A"/>
    <w:rsid w:val="0070637E"/>
    <w:rsid w:val="00706844"/>
    <w:rsid w:val="007079E4"/>
    <w:rsid w:val="00707EFF"/>
    <w:rsid w:val="00710577"/>
    <w:rsid w:val="00710AB7"/>
    <w:rsid w:val="0071298A"/>
    <w:rsid w:val="00712E79"/>
    <w:rsid w:val="00713084"/>
    <w:rsid w:val="0071399B"/>
    <w:rsid w:val="00714F20"/>
    <w:rsid w:val="0071575E"/>
    <w:rsid w:val="0071590F"/>
    <w:rsid w:val="00715914"/>
    <w:rsid w:val="00717087"/>
    <w:rsid w:val="0071776C"/>
    <w:rsid w:val="007202B9"/>
    <w:rsid w:val="007211EB"/>
    <w:rsid w:val="00722D1F"/>
    <w:rsid w:val="0072364D"/>
    <w:rsid w:val="007248C6"/>
    <w:rsid w:val="0072504B"/>
    <w:rsid w:val="00725913"/>
    <w:rsid w:val="007268FA"/>
    <w:rsid w:val="00726EE0"/>
    <w:rsid w:val="00726EE2"/>
    <w:rsid w:val="0072710B"/>
    <w:rsid w:val="007276BE"/>
    <w:rsid w:val="00727935"/>
    <w:rsid w:val="00731E00"/>
    <w:rsid w:val="007329CC"/>
    <w:rsid w:val="0073350A"/>
    <w:rsid w:val="007359B3"/>
    <w:rsid w:val="00735D30"/>
    <w:rsid w:val="00736D11"/>
    <w:rsid w:val="00737818"/>
    <w:rsid w:val="00737A92"/>
    <w:rsid w:val="00737DBD"/>
    <w:rsid w:val="00740592"/>
    <w:rsid w:val="00741EE8"/>
    <w:rsid w:val="00742719"/>
    <w:rsid w:val="00742EB4"/>
    <w:rsid w:val="007440B7"/>
    <w:rsid w:val="00744848"/>
    <w:rsid w:val="00745A2A"/>
    <w:rsid w:val="007462E7"/>
    <w:rsid w:val="007465AC"/>
    <w:rsid w:val="00746FDA"/>
    <w:rsid w:val="007500C8"/>
    <w:rsid w:val="00750529"/>
    <w:rsid w:val="00750F06"/>
    <w:rsid w:val="0075113A"/>
    <w:rsid w:val="00751143"/>
    <w:rsid w:val="00752242"/>
    <w:rsid w:val="007526D4"/>
    <w:rsid w:val="007542F5"/>
    <w:rsid w:val="007544B5"/>
    <w:rsid w:val="00754CED"/>
    <w:rsid w:val="00754F2A"/>
    <w:rsid w:val="007550F2"/>
    <w:rsid w:val="00755F75"/>
    <w:rsid w:val="00756228"/>
    <w:rsid w:val="00756272"/>
    <w:rsid w:val="00756C19"/>
    <w:rsid w:val="00757680"/>
    <w:rsid w:val="00761B51"/>
    <w:rsid w:val="00761D49"/>
    <w:rsid w:val="00761E29"/>
    <w:rsid w:val="0076219B"/>
    <w:rsid w:val="00762A4D"/>
    <w:rsid w:val="00762B73"/>
    <w:rsid w:val="00763AFC"/>
    <w:rsid w:val="00763F55"/>
    <w:rsid w:val="0076404B"/>
    <w:rsid w:val="00764D2C"/>
    <w:rsid w:val="007652A6"/>
    <w:rsid w:val="00766281"/>
    <w:rsid w:val="007662B5"/>
    <w:rsid w:val="007663E0"/>
    <w:rsid w:val="0076681A"/>
    <w:rsid w:val="00767D3A"/>
    <w:rsid w:val="007703CA"/>
    <w:rsid w:val="00770707"/>
    <w:rsid w:val="00770827"/>
    <w:rsid w:val="007715C9"/>
    <w:rsid w:val="00771613"/>
    <w:rsid w:val="007718EF"/>
    <w:rsid w:val="00771A9B"/>
    <w:rsid w:val="00772228"/>
    <w:rsid w:val="007722F5"/>
    <w:rsid w:val="00772434"/>
    <w:rsid w:val="0077264C"/>
    <w:rsid w:val="00772A9B"/>
    <w:rsid w:val="00772F1A"/>
    <w:rsid w:val="00773378"/>
    <w:rsid w:val="00774722"/>
    <w:rsid w:val="00774EDD"/>
    <w:rsid w:val="0077506D"/>
    <w:rsid w:val="007757EC"/>
    <w:rsid w:val="007759E1"/>
    <w:rsid w:val="0077611B"/>
    <w:rsid w:val="00776A3D"/>
    <w:rsid w:val="00776AA5"/>
    <w:rsid w:val="00776DEE"/>
    <w:rsid w:val="007777A3"/>
    <w:rsid w:val="00777BBF"/>
    <w:rsid w:val="00777ECF"/>
    <w:rsid w:val="00777F8B"/>
    <w:rsid w:val="0078027A"/>
    <w:rsid w:val="00781713"/>
    <w:rsid w:val="00781897"/>
    <w:rsid w:val="00781B13"/>
    <w:rsid w:val="00781B14"/>
    <w:rsid w:val="00781D0D"/>
    <w:rsid w:val="0078218B"/>
    <w:rsid w:val="00782C85"/>
    <w:rsid w:val="00782FE3"/>
    <w:rsid w:val="00783463"/>
    <w:rsid w:val="00783E89"/>
    <w:rsid w:val="007842CE"/>
    <w:rsid w:val="0078449C"/>
    <w:rsid w:val="00785A9E"/>
    <w:rsid w:val="0078634F"/>
    <w:rsid w:val="0078647A"/>
    <w:rsid w:val="0078659D"/>
    <w:rsid w:val="00786C3E"/>
    <w:rsid w:val="007873CC"/>
    <w:rsid w:val="007878B0"/>
    <w:rsid w:val="007879CF"/>
    <w:rsid w:val="00787B84"/>
    <w:rsid w:val="00787EC7"/>
    <w:rsid w:val="00790934"/>
    <w:rsid w:val="00791184"/>
    <w:rsid w:val="00791F9A"/>
    <w:rsid w:val="007920AA"/>
    <w:rsid w:val="00792496"/>
    <w:rsid w:val="00793915"/>
    <w:rsid w:val="00793A2A"/>
    <w:rsid w:val="007943DC"/>
    <w:rsid w:val="007945D5"/>
    <w:rsid w:val="00795119"/>
    <w:rsid w:val="0079543B"/>
    <w:rsid w:val="0079574E"/>
    <w:rsid w:val="00795CF9"/>
    <w:rsid w:val="007969F6"/>
    <w:rsid w:val="00796E34"/>
    <w:rsid w:val="007A0358"/>
    <w:rsid w:val="007A0C50"/>
    <w:rsid w:val="007A1F7C"/>
    <w:rsid w:val="007A237B"/>
    <w:rsid w:val="007A25CB"/>
    <w:rsid w:val="007A2A84"/>
    <w:rsid w:val="007A3B45"/>
    <w:rsid w:val="007A470F"/>
    <w:rsid w:val="007A4E83"/>
    <w:rsid w:val="007A555C"/>
    <w:rsid w:val="007A609F"/>
    <w:rsid w:val="007A6B89"/>
    <w:rsid w:val="007A6D56"/>
    <w:rsid w:val="007B0353"/>
    <w:rsid w:val="007B043E"/>
    <w:rsid w:val="007B0657"/>
    <w:rsid w:val="007B1EAC"/>
    <w:rsid w:val="007B2192"/>
    <w:rsid w:val="007B21DB"/>
    <w:rsid w:val="007B2241"/>
    <w:rsid w:val="007B2931"/>
    <w:rsid w:val="007B2CD4"/>
    <w:rsid w:val="007B3178"/>
    <w:rsid w:val="007B385A"/>
    <w:rsid w:val="007B3A8D"/>
    <w:rsid w:val="007B43B4"/>
    <w:rsid w:val="007B4865"/>
    <w:rsid w:val="007B4C4F"/>
    <w:rsid w:val="007B555A"/>
    <w:rsid w:val="007B5D7D"/>
    <w:rsid w:val="007B6056"/>
    <w:rsid w:val="007B60D4"/>
    <w:rsid w:val="007B651E"/>
    <w:rsid w:val="007C1282"/>
    <w:rsid w:val="007C1743"/>
    <w:rsid w:val="007C1DA8"/>
    <w:rsid w:val="007C21E4"/>
    <w:rsid w:val="007C2253"/>
    <w:rsid w:val="007C2C51"/>
    <w:rsid w:val="007C2DBC"/>
    <w:rsid w:val="007C4035"/>
    <w:rsid w:val="007C45A4"/>
    <w:rsid w:val="007C532F"/>
    <w:rsid w:val="007C53E7"/>
    <w:rsid w:val="007C557D"/>
    <w:rsid w:val="007C61C2"/>
    <w:rsid w:val="007C6819"/>
    <w:rsid w:val="007C7673"/>
    <w:rsid w:val="007C7914"/>
    <w:rsid w:val="007D080D"/>
    <w:rsid w:val="007D0AFB"/>
    <w:rsid w:val="007D1C96"/>
    <w:rsid w:val="007D230B"/>
    <w:rsid w:val="007D3298"/>
    <w:rsid w:val="007D38CA"/>
    <w:rsid w:val="007D3A75"/>
    <w:rsid w:val="007D3AAD"/>
    <w:rsid w:val="007D429D"/>
    <w:rsid w:val="007D46EA"/>
    <w:rsid w:val="007D5122"/>
    <w:rsid w:val="007D5E72"/>
    <w:rsid w:val="007D619B"/>
    <w:rsid w:val="007D6240"/>
    <w:rsid w:val="007D6763"/>
    <w:rsid w:val="007D6FA4"/>
    <w:rsid w:val="007E0F79"/>
    <w:rsid w:val="007E1179"/>
    <w:rsid w:val="007E13C9"/>
    <w:rsid w:val="007E163D"/>
    <w:rsid w:val="007E165B"/>
    <w:rsid w:val="007E1A3C"/>
    <w:rsid w:val="007E1E97"/>
    <w:rsid w:val="007E338D"/>
    <w:rsid w:val="007E3AA3"/>
    <w:rsid w:val="007E44C3"/>
    <w:rsid w:val="007E4FDF"/>
    <w:rsid w:val="007E51EB"/>
    <w:rsid w:val="007E5568"/>
    <w:rsid w:val="007E5E5F"/>
    <w:rsid w:val="007E60AD"/>
    <w:rsid w:val="007E662D"/>
    <w:rsid w:val="007E667A"/>
    <w:rsid w:val="007E6AF4"/>
    <w:rsid w:val="007E703F"/>
    <w:rsid w:val="007E76A6"/>
    <w:rsid w:val="007E7E60"/>
    <w:rsid w:val="007E7FC6"/>
    <w:rsid w:val="007F25AA"/>
    <w:rsid w:val="007F28C9"/>
    <w:rsid w:val="007F3038"/>
    <w:rsid w:val="007F3907"/>
    <w:rsid w:val="007F3A62"/>
    <w:rsid w:val="007F3FDE"/>
    <w:rsid w:val="007F48E7"/>
    <w:rsid w:val="007F4F76"/>
    <w:rsid w:val="007F5683"/>
    <w:rsid w:val="007F568A"/>
    <w:rsid w:val="007F6131"/>
    <w:rsid w:val="007F6DB2"/>
    <w:rsid w:val="007F70A1"/>
    <w:rsid w:val="007F71A1"/>
    <w:rsid w:val="007F783B"/>
    <w:rsid w:val="007F783E"/>
    <w:rsid w:val="007F7E92"/>
    <w:rsid w:val="00800B1C"/>
    <w:rsid w:val="00800E71"/>
    <w:rsid w:val="00801956"/>
    <w:rsid w:val="00801B01"/>
    <w:rsid w:val="0080213E"/>
    <w:rsid w:val="00802263"/>
    <w:rsid w:val="00802575"/>
    <w:rsid w:val="00802DF1"/>
    <w:rsid w:val="00802EC7"/>
    <w:rsid w:val="0080312D"/>
    <w:rsid w:val="00803587"/>
    <w:rsid w:val="00803603"/>
    <w:rsid w:val="00803D88"/>
    <w:rsid w:val="00803EC3"/>
    <w:rsid w:val="008042F5"/>
    <w:rsid w:val="00804F3C"/>
    <w:rsid w:val="0080551C"/>
    <w:rsid w:val="00805587"/>
    <w:rsid w:val="008055CE"/>
    <w:rsid w:val="0080596A"/>
    <w:rsid w:val="00806573"/>
    <w:rsid w:val="008072DD"/>
    <w:rsid w:val="00807BF1"/>
    <w:rsid w:val="00807F5B"/>
    <w:rsid w:val="00810D3B"/>
    <w:rsid w:val="00811314"/>
    <w:rsid w:val="00811676"/>
    <w:rsid w:val="008117E9"/>
    <w:rsid w:val="008119F3"/>
    <w:rsid w:val="00811F7E"/>
    <w:rsid w:val="008123CE"/>
    <w:rsid w:val="00812768"/>
    <w:rsid w:val="008138C9"/>
    <w:rsid w:val="008141DB"/>
    <w:rsid w:val="008153E2"/>
    <w:rsid w:val="00816AD3"/>
    <w:rsid w:val="008170C7"/>
    <w:rsid w:val="00817745"/>
    <w:rsid w:val="00817C8C"/>
    <w:rsid w:val="00817F60"/>
    <w:rsid w:val="00820609"/>
    <w:rsid w:val="008215B1"/>
    <w:rsid w:val="00821D84"/>
    <w:rsid w:val="00822008"/>
    <w:rsid w:val="00822D6F"/>
    <w:rsid w:val="00822E56"/>
    <w:rsid w:val="00823018"/>
    <w:rsid w:val="00823081"/>
    <w:rsid w:val="008230A9"/>
    <w:rsid w:val="00824498"/>
    <w:rsid w:val="008269B2"/>
    <w:rsid w:val="00826C0D"/>
    <w:rsid w:val="00827181"/>
    <w:rsid w:val="008271C3"/>
    <w:rsid w:val="008276D5"/>
    <w:rsid w:val="00827B10"/>
    <w:rsid w:val="00827C7D"/>
    <w:rsid w:val="008324E1"/>
    <w:rsid w:val="008326DC"/>
    <w:rsid w:val="00834E9A"/>
    <w:rsid w:val="00835179"/>
    <w:rsid w:val="0083551E"/>
    <w:rsid w:val="008357A7"/>
    <w:rsid w:val="008359F8"/>
    <w:rsid w:val="008360FB"/>
    <w:rsid w:val="00836C63"/>
    <w:rsid w:val="00837B0D"/>
    <w:rsid w:val="00840442"/>
    <w:rsid w:val="00840872"/>
    <w:rsid w:val="00840B5E"/>
    <w:rsid w:val="00842B69"/>
    <w:rsid w:val="00842BF2"/>
    <w:rsid w:val="00845177"/>
    <w:rsid w:val="00845CF4"/>
    <w:rsid w:val="00845F33"/>
    <w:rsid w:val="00847A78"/>
    <w:rsid w:val="00847DC6"/>
    <w:rsid w:val="008502DA"/>
    <w:rsid w:val="008513A3"/>
    <w:rsid w:val="008522B9"/>
    <w:rsid w:val="00852413"/>
    <w:rsid w:val="008527C0"/>
    <w:rsid w:val="00853118"/>
    <w:rsid w:val="0085337E"/>
    <w:rsid w:val="00853636"/>
    <w:rsid w:val="008556CA"/>
    <w:rsid w:val="00855E94"/>
    <w:rsid w:val="0085609B"/>
    <w:rsid w:val="00856A31"/>
    <w:rsid w:val="00857035"/>
    <w:rsid w:val="0086034B"/>
    <w:rsid w:val="00860B58"/>
    <w:rsid w:val="008610DA"/>
    <w:rsid w:val="0086140E"/>
    <w:rsid w:val="00861C77"/>
    <w:rsid w:val="00862E2E"/>
    <w:rsid w:val="008630D3"/>
    <w:rsid w:val="008635C6"/>
    <w:rsid w:val="00863657"/>
    <w:rsid w:val="00863B4B"/>
    <w:rsid w:val="00863C37"/>
    <w:rsid w:val="00863C52"/>
    <w:rsid w:val="008640AE"/>
    <w:rsid w:val="008647B7"/>
    <w:rsid w:val="00864FCF"/>
    <w:rsid w:val="008659F2"/>
    <w:rsid w:val="00865C95"/>
    <w:rsid w:val="0086641B"/>
    <w:rsid w:val="00866AF8"/>
    <w:rsid w:val="00867B37"/>
    <w:rsid w:val="00867C23"/>
    <w:rsid w:val="00870084"/>
    <w:rsid w:val="00870E93"/>
    <w:rsid w:val="0087153F"/>
    <w:rsid w:val="008718DD"/>
    <w:rsid w:val="00872B75"/>
    <w:rsid w:val="00872CB4"/>
    <w:rsid w:val="0087455A"/>
    <w:rsid w:val="00874662"/>
    <w:rsid w:val="00874BD2"/>
    <w:rsid w:val="008753EF"/>
    <w:rsid w:val="008754D0"/>
    <w:rsid w:val="00876DA5"/>
    <w:rsid w:val="00877975"/>
    <w:rsid w:val="0088005F"/>
    <w:rsid w:val="008803CE"/>
    <w:rsid w:val="008809B1"/>
    <w:rsid w:val="00880BB7"/>
    <w:rsid w:val="00881051"/>
    <w:rsid w:val="00881916"/>
    <w:rsid w:val="0088213A"/>
    <w:rsid w:val="00882152"/>
    <w:rsid w:val="0088244D"/>
    <w:rsid w:val="008837CA"/>
    <w:rsid w:val="00883976"/>
    <w:rsid w:val="00883C85"/>
    <w:rsid w:val="00885379"/>
    <w:rsid w:val="008855C9"/>
    <w:rsid w:val="00885BF8"/>
    <w:rsid w:val="00885E23"/>
    <w:rsid w:val="00886456"/>
    <w:rsid w:val="00886B5F"/>
    <w:rsid w:val="00886E0F"/>
    <w:rsid w:val="008872D0"/>
    <w:rsid w:val="008911C5"/>
    <w:rsid w:val="00891D96"/>
    <w:rsid w:val="0089340C"/>
    <w:rsid w:val="00893759"/>
    <w:rsid w:val="00893BC4"/>
    <w:rsid w:val="00893C09"/>
    <w:rsid w:val="008945E0"/>
    <w:rsid w:val="00894855"/>
    <w:rsid w:val="008948BD"/>
    <w:rsid w:val="00894CB6"/>
    <w:rsid w:val="00894EAF"/>
    <w:rsid w:val="0089527F"/>
    <w:rsid w:val="00895573"/>
    <w:rsid w:val="00895793"/>
    <w:rsid w:val="0089582F"/>
    <w:rsid w:val="00896392"/>
    <w:rsid w:val="00897208"/>
    <w:rsid w:val="00897994"/>
    <w:rsid w:val="008A0443"/>
    <w:rsid w:val="008A05D6"/>
    <w:rsid w:val="008A148C"/>
    <w:rsid w:val="008A2CF4"/>
    <w:rsid w:val="008A362B"/>
    <w:rsid w:val="008A3F77"/>
    <w:rsid w:val="008A3FB0"/>
    <w:rsid w:val="008A44F4"/>
    <w:rsid w:val="008A4584"/>
    <w:rsid w:val="008A46E1"/>
    <w:rsid w:val="008A4F43"/>
    <w:rsid w:val="008A580E"/>
    <w:rsid w:val="008A5C6F"/>
    <w:rsid w:val="008A5EF2"/>
    <w:rsid w:val="008A5FA9"/>
    <w:rsid w:val="008A6E70"/>
    <w:rsid w:val="008A6FA1"/>
    <w:rsid w:val="008A7338"/>
    <w:rsid w:val="008A7A9A"/>
    <w:rsid w:val="008A7E66"/>
    <w:rsid w:val="008B023F"/>
    <w:rsid w:val="008B1DD1"/>
    <w:rsid w:val="008B2189"/>
    <w:rsid w:val="008B265E"/>
    <w:rsid w:val="008B2706"/>
    <w:rsid w:val="008B2C16"/>
    <w:rsid w:val="008B3132"/>
    <w:rsid w:val="008B3903"/>
    <w:rsid w:val="008B3BF7"/>
    <w:rsid w:val="008B4065"/>
    <w:rsid w:val="008B40B4"/>
    <w:rsid w:val="008B4599"/>
    <w:rsid w:val="008B4C83"/>
    <w:rsid w:val="008B61CA"/>
    <w:rsid w:val="008B67A1"/>
    <w:rsid w:val="008B794A"/>
    <w:rsid w:val="008C04AB"/>
    <w:rsid w:val="008C0E8C"/>
    <w:rsid w:val="008C0F29"/>
    <w:rsid w:val="008C207F"/>
    <w:rsid w:val="008C27CD"/>
    <w:rsid w:val="008C27FE"/>
    <w:rsid w:val="008C2B31"/>
    <w:rsid w:val="008C3E59"/>
    <w:rsid w:val="008C47DF"/>
    <w:rsid w:val="008C62DA"/>
    <w:rsid w:val="008C63DA"/>
    <w:rsid w:val="008C6942"/>
    <w:rsid w:val="008C6C1B"/>
    <w:rsid w:val="008C6D65"/>
    <w:rsid w:val="008C714F"/>
    <w:rsid w:val="008D0A4B"/>
    <w:rsid w:val="008D0E8A"/>
    <w:rsid w:val="008D0EE0"/>
    <w:rsid w:val="008D1627"/>
    <w:rsid w:val="008D3422"/>
    <w:rsid w:val="008D4080"/>
    <w:rsid w:val="008D40C5"/>
    <w:rsid w:val="008D4476"/>
    <w:rsid w:val="008D5666"/>
    <w:rsid w:val="008D59DC"/>
    <w:rsid w:val="008D602D"/>
    <w:rsid w:val="008D67C5"/>
    <w:rsid w:val="008D6A19"/>
    <w:rsid w:val="008E02EA"/>
    <w:rsid w:val="008E04A3"/>
    <w:rsid w:val="008E0E67"/>
    <w:rsid w:val="008E1598"/>
    <w:rsid w:val="008E1705"/>
    <w:rsid w:val="008E18C9"/>
    <w:rsid w:val="008E36D8"/>
    <w:rsid w:val="008E3B9C"/>
    <w:rsid w:val="008E3E57"/>
    <w:rsid w:val="008E51E4"/>
    <w:rsid w:val="008E5307"/>
    <w:rsid w:val="008E6067"/>
    <w:rsid w:val="008E619E"/>
    <w:rsid w:val="008E6BB1"/>
    <w:rsid w:val="008E73C8"/>
    <w:rsid w:val="008E73D0"/>
    <w:rsid w:val="008E7F01"/>
    <w:rsid w:val="008F1A11"/>
    <w:rsid w:val="008F1F1F"/>
    <w:rsid w:val="008F20A2"/>
    <w:rsid w:val="008F2522"/>
    <w:rsid w:val="008F2A27"/>
    <w:rsid w:val="008F378E"/>
    <w:rsid w:val="008F3D84"/>
    <w:rsid w:val="008F43CE"/>
    <w:rsid w:val="008F4400"/>
    <w:rsid w:val="008F495B"/>
    <w:rsid w:val="008F4E46"/>
    <w:rsid w:val="008F4FA6"/>
    <w:rsid w:val="008F54E7"/>
    <w:rsid w:val="008F5865"/>
    <w:rsid w:val="008F6149"/>
    <w:rsid w:val="008F6571"/>
    <w:rsid w:val="008F6DBB"/>
    <w:rsid w:val="008F733C"/>
    <w:rsid w:val="008F7AA2"/>
    <w:rsid w:val="009007DA"/>
    <w:rsid w:val="00900D46"/>
    <w:rsid w:val="009011C5"/>
    <w:rsid w:val="009016BE"/>
    <w:rsid w:val="0090172A"/>
    <w:rsid w:val="0090258D"/>
    <w:rsid w:val="009026C6"/>
    <w:rsid w:val="00902A81"/>
    <w:rsid w:val="00902F3B"/>
    <w:rsid w:val="00903422"/>
    <w:rsid w:val="00904319"/>
    <w:rsid w:val="00904C15"/>
    <w:rsid w:val="00904EC1"/>
    <w:rsid w:val="00905088"/>
    <w:rsid w:val="00905598"/>
    <w:rsid w:val="0090701D"/>
    <w:rsid w:val="00907038"/>
    <w:rsid w:val="00907099"/>
    <w:rsid w:val="0090718D"/>
    <w:rsid w:val="00907379"/>
    <w:rsid w:val="009073CF"/>
    <w:rsid w:val="00910523"/>
    <w:rsid w:val="00911177"/>
    <w:rsid w:val="00911656"/>
    <w:rsid w:val="00911F70"/>
    <w:rsid w:val="00912A58"/>
    <w:rsid w:val="00912B83"/>
    <w:rsid w:val="00912C98"/>
    <w:rsid w:val="009138B1"/>
    <w:rsid w:val="00913D6C"/>
    <w:rsid w:val="00914895"/>
    <w:rsid w:val="00915687"/>
    <w:rsid w:val="009157B9"/>
    <w:rsid w:val="00915AA1"/>
    <w:rsid w:val="00915DF9"/>
    <w:rsid w:val="00916907"/>
    <w:rsid w:val="00916D22"/>
    <w:rsid w:val="009179CA"/>
    <w:rsid w:val="009200B7"/>
    <w:rsid w:val="0092015D"/>
    <w:rsid w:val="0092052C"/>
    <w:rsid w:val="00920A4B"/>
    <w:rsid w:val="009219CD"/>
    <w:rsid w:val="009219E1"/>
    <w:rsid w:val="00921B0D"/>
    <w:rsid w:val="00922416"/>
    <w:rsid w:val="0092255D"/>
    <w:rsid w:val="009233D3"/>
    <w:rsid w:val="00923774"/>
    <w:rsid w:val="00924392"/>
    <w:rsid w:val="009248A9"/>
    <w:rsid w:val="00924A2A"/>
    <w:rsid w:val="00924CB0"/>
    <w:rsid w:val="00925317"/>
    <w:rsid w:val="009254C3"/>
    <w:rsid w:val="00925685"/>
    <w:rsid w:val="00926150"/>
    <w:rsid w:val="009262BC"/>
    <w:rsid w:val="00926940"/>
    <w:rsid w:val="00926D60"/>
    <w:rsid w:val="009271AC"/>
    <w:rsid w:val="0092792F"/>
    <w:rsid w:val="00927DD2"/>
    <w:rsid w:val="00927E0F"/>
    <w:rsid w:val="00930732"/>
    <w:rsid w:val="00930A0A"/>
    <w:rsid w:val="00930DCE"/>
    <w:rsid w:val="00931B73"/>
    <w:rsid w:val="00931FD8"/>
    <w:rsid w:val="00932377"/>
    <w:rsid w:val="009323BE"/>
    <w:rsid w:val="009341FD"/>
    <w:rsid w:val="0093526A"/>
    <w:rsid w:val="00936177"/>
    <w:rsid w:val="00937C11"/>
    <w:rsid w:val="00937FCC"/>
    <w:rsid w:val="009416C0"/>
    <w:rsid w:val="00942BB8"/>
    <w:rsid w:val="009436F1"/>
    <w:rsid w:val="00943D8C"/>
    <w:rsid w:val="00944D8B"/>
    <w:rsid w:val="009451B7"/>
    <w:rsid w:val="009456EE"/>
    <w:rsid w:val="00945B22"/>
    <w:rsid w:val="009460DC"/>
    <w:rsid w:val="009462FE"/>
    <w:rsid w:val="00946313"/>
    <w:rsid w:val="00946759"/>
    <w:rsid w:val="009477A2"/>
    <w:rsid w:val="00947C6C"/>
    <w:rsid w:val="00947D5A"/>
    <w:rsid w:val="00951255"/>
    <w:rsid w:val="009514F0"/>
    <w:rsid w:val="00951DA9"/>
    <w:rsid w:val="00951F4D"/>
    <w:rsid w:val="009532A5"/>
    <w:rsid w:val="00953490"/>
    <w:rsid w:val="009540F1"/>
    <w:rsid w:val="00954E60"/>
    <w:rsid w:val="00955014"/>
    <w:rsid w:val="00955175"/>
    <w:rsid w:val="0095528E"/>
    <w:rsid w:val="0095729A"/>
    <w:rsid w:val="00960880"/>
    <w:rsid w:val="00960C85"/>
    <w:rsid w:val="00960D9C"/>
    <w:rsid w:val="00960F58"/>
    <w:rsid w:val="00961852"/>
    <w:rsid w:val="00963FC9"/>
    <w:rsid w:val="00963FFC"/>
    <w:rsid w:val="009645C6"/>
    <w:rsid w:val="00964C12"/>
    <w:rsid w:val="00964E1C"/>
    <w:rsid w:val="00965583"/>
    <w:rsid w:val="00965E5F"/>
    <w:rsid w:val="00967394"/>
    <w:rsid w:val="0096753E"/>
    <w:rsid w:val="009677D1"/>
    <w:rsid w:val="00967B10"/>
    <w:rsid w:val="00970674"/>
    <w:rsid w:val="009711A7"/>
    <w:rsid w:val="009713F5"/>
    <w:rsid w:val="009715F6"/>
    <w:rsid w:val="00971B1E"/>
    <w:rsid w:val="00971E07"/>
    <w:rsid w:val="00972286"/>
    <w:rsid w:val="00972804"/>
    <w:rsid w:val="0097300D"/>
    <w:rsid w:val="00974D57"/>
    <w:rsid w:val="00975DFD"/>
    <w:rsid w:val="009769C3"/>
    <w:rsid w:val="00976C0C"/>
    <w:rsid w:val="00976E59"/>
    <w:rsid w:val="009773CF"/>
    <w:rsid w:val="009776FB"/>
    <w:rsid w:val="00977733"/>
    <w:rsid w:val="00977F83"/>
    <w:rsid w:val="0098195A"/>
    <w:rsid w:val="00982242"/>
    <w:rsid w:val="009829E5"/>
    <w:rsid w:val="00982DBC"/>
    <w:rsid w:val="00982F25"/>
    <w:rsid w:val="009831B7"/>
    <w:rsid w:val="00984F97"/>
    <w:rsid w:val="009850E8"/>
    <w:rsid w:val="00986542"/>
    <w:rsid w:val="009868E9"/>
    <w:rsid w:val="00986EB7"/>
    <w:rsid w:val="00987F73"/>
    <w:rsid w:val="009905FE"/>
    <w:rsid w:val="0099125B"/>
    <w:rsid w:val="00991E32"/>
    <w:rsid w:val="0099322A"/>
    <w:rsid w:val="009934ED"/>
    <w:rsid w:val="0099445E"/>
    <w:rsid w:val="009944E6"/>
    <w:rsid w:val="00994CB2"/>
    <w:rsid w:val="00995B49"/>
    <w:rsid w:val="00997710"/>
    <w:rsid w:val="00997B45"/>
    <w:rsid w:val="009A03D3"/>
    <w:rsid w:val="009A069B"/>
    <w:rsid w:val="009A074E"/>
    <w:rsid w:val="009A0B55"/>
    <w:rsid w:val="009A254B"/>
    <w:rsid w:val="009A25E0"/>
    <w:rsid w:val="009A269F"/>
    <w:rsid w:val="009A3475"/>
    <w:rsid w:val="009A3A6F"/>
    <w:rsid w:val="009A3F74"/>
    <w:rsid w:val="009A4382"/>
    <w:rsid w:val="009A49C9"/>
    <w:rsid w:val="009A558A"/>
    <w:rsid w:val="009A57F7"/>
    <w:rsid w:val="009A61D8"/>
    <w:rsid w:val="009A630F"/>
    <w:rsid w:val="009A6388"/>
    <w:rsid w:val="009A6449"/>
    <w:rsid w:val="009A6FBF"/>
    <w:rsid w:val="009A74BB"/>
    <w:rsid w:val="009A777B"/>
    <w:rsid w:val="009A7DBD"/>
    <w:rsid w:val="009B015E"/>
    <w:rsid w:val="009B06F0"/>
    <w:rsid w:val="009B0718"/>
    <w:rsid w:val="009B0749"/>
    <w:rsid w:val="009B1037"/>
    <w:rsid w:val="009B1A56"/>
    <w:rsid w:val="009B1E44"/>
    <w:rsid w:val="009B24D6"/>
    <w:rsid w:val="009B27F5"/>
    <w:rsid w:val="009B28F9"/>
    <w:rsid w:val="009B2D37"/>
    <w:rsid w:val="009B52AC"/>
    <w:rsid w:val="009B5EF5"/>
    <w:rsid w:val="009C071E"/>
    <w:rsid w:val="009C0A78"/>
    <w:rsid w:val="009C1AB7"/>
    <w:rsid w:val="009C247D"/>
    <w:rsid w:val="009C30AD"/>
    <w:rsid w:val="009C3478"/>
    <w:rsid w:val="009C4516"/>
    <w:rsid w:val="009C78C3"/>
    <w:rsid w:val="009D0CAD"/>
    <w:rsid w:val="009D1545"/>
    <w:rsid w:val="009D1818"/>
    <w:rsid w:val="009D195A"/>
    <w:rsid w:val="009D32AB"/>
    <w:rsid w:val="009D3CB2"/>
    <w:rsid w:val="009D43E1"/>
    <w:rsid w:val="009D43F4"/>
    <w:rsid w:val="009D48AA"/>
    <w:rsid w:val="009D4DA3"/>
    <w:rsid w:val="009D5004"/>
    <w:rsid w:val="009D519F"/>
    <w:rsid w:val="009D5567"/>
    <w:rsid w:val="009D5832"/>
    <w:rsid w:val="009D60CB"/>
    <w:rsid w:val="009D639C"/>
    <w:rsid w:val="009D6496"/>
    <w:rsid w:val="009D69FA"/>
    <w:rsid w:val="009D71CE"/>
    <w:rsid w:val="009D71D7"/>
    <w:rsid w:val="009D74F7"/>
    <w:rsid w:val="009D7993"/>
    <w:rsid w:val="009D7D5D"/>
    <w:rsid w:val="009D7EC6"/>
    <w:rsid w:val="009E038E"/>
    <w:rsid w:val="009E0CC1"/>
    <w:rsid w:val="009E0EA6"/>
    <w:rsid w:val="009E14DB"/>
    <w:rsid w:val="009E163C"/>
    <w:rsid w:val="009E1677"/>
    <w:rsid w:val="009E2197"/>
    <w:rsid w:val="009E222A"/>
    <w:rsid w:val="009E2240"/>
    <w:rsid w:val="009E31C9"/>
    <w:rsid w:val="009E3307"/>
    <w:rsid w:val="009E5CFC"/>
    <w:rsid w:val="009E5F66"/>
    <w:rsid w:val="009E64EC"/>
    <w:rsid w:val="009E6607"/>
    <w:rsid w:val="009E6F88"/>
    <w:rsid w:val="009E75A7"/>
    <w:rsid w:val="009E7EA0"/>
    <w:rsid w:val="009F013B"/>
    <w:rsid w:val="009F0A81"/>
    <w:rsid w:val="009F0ED1"/>
    <w:rsid w:val="009F13AE"/>
    <w:rsid w:val="009F1B82"/>
    <w:rsid w:val="009F2104"/>
    <w:rsid w:val="009F2AE6"/>
    <w:rsid w:val="009F4869"/>
    <w:rsid w:val="009F4F68"/>
    <w:rsid w:val="009F5C56"/>
    <w:rsid w:val="009F62A6"/>
    <w:rsid w:val="009F74C5"/>
    <w:rsid w:val="009F7A21"/>
    <w:rsid w:val="009F7CC6"/>
    <w:rsid w:val="00A00A3F"/>
    <w:rsid w:val="00A00FFD"/>
    <w:rsid w:val="00A01020"/>
    <w:rsid w:val="00A01489"/>
    <w:rsid w:val="00A01B26"/>
    <w:rsid w:val="00A023E0"/>
    <w:rsid w:val="00A02EDF"/>
    <w:rsid w:val="00A02F72"/>
    <w:rsid w:val="00A02FB0"/>
    <w:rsid w:val="00A03305"/>
    <w:rsid w:val="00A035C9"/>
    <w:rsid w:val="00A0399F"/>
    <w:rsid w:val="00A03AF1"/>
    <w:rsid w:val="00A03CE1"/>
    <w:rsid w:val="00A0469F"/>
    <w:rsid w:val="00A04849"/>
    <w:rsid w:val="00A04894"/>
    <w:rsid w:val="00A04FFF"/>
    <w:rsid w:val="00A053AF"/>
    <w:rsid w:val="00A05A5F"/>
    <w:rsid w:val="00A05B0F"/>
    <w:rsid w:val="00A05DE9"/>
    <w:rsid w:val="00A0638E"/>
    <w:rsid w:val="00A06C74"/>
    <w:rsid w:val="00A06E51"/>
    <w:rsid w:val="00A07190"/>
    <w:rsid w:val="00A078BA"/>
    <w:rsid w:val="00A079CB"/>
    <w:rsid w:val="00A12128"/>
    <w:rsid w:val="00A12F48"/>
    <w:rsid w:val="00A13704"/>
    <w:rsid w:val="00A14F6A"/>
    <w:rsid w:val="00A15512"/>
    <w:rsid w:val="00A156CF"/>
    <w:rsid w:val="00A16257"/>
    <w:rsid w:val="00A1664D"/>
    <w:rsid w:val="00A171F2"/>
    <w:rsid w:val="00A1755C"/>
    <w:rsid w:val="00A1781D"/>
    <w:rsid w:val="00A17AC2"/>
    <w:rsid w:val="00A201BC"/>
    <w:rsid w:val="00A20845"/>
    <w:rsid w:val="00A20E03"/>
    <w:rsid w:val="00A21D97"/>
    <w:rsid w:val="00A22010"/>
    <w:rsid w:val="00A22150"/>
    <w:rsid w:val="00A22C98"/>
    <w:rsid w:val="00A231E2"/>
    <w:rsid w:val="00A23378"/>
    <w:rsid w:val="00A23954"/>
    <w:rsid w:val="00A23D97"/>
    <w:rsid w:val="00A2405E"/>
    <w:rsid w:val="00A25647"/>
    <w:rsid w:val="00A26499"/>
    <w:rsid w:val="00A2738F"/>
    <w:rsid w:val="00A278CE"/>
    <w:rsid w:val="00A31443"/>
    <w:rsid w:val="00A31609"/>
    <w:rsid w:val="00A31C91"/>
    <w:rsid w:val="00A3246C"/>
    <w:rsid w:val="00A32BBE"/>
    <w:rsid w:val="00A32EE9"/>
    <w:rsid w:val="00A3302C"/>
    <w:rsid w:val="00A33447"/>
    <w:rsid w:val="00A3386B"/>
    <w:rsid w:val="00A33B82"/>
    <w:rsid w:val="00A33D55"/>
    <w:rsid w:val="00A34412"/>
    <w:rsid w:val="00A34D04"/>
    <w:rsid w:val="00A363AD"/>
    <w:rsid w:val="00A3677C"/>
    <w:rsid w:val="00A371B3"/>
    <w:rsid w:val="00A37965"/>
    <w:rsid w:val="00A379FD"/>
    <w:rsid w:val="00A40424"/>
    <w:rsid w:val="00A408C5"/>
    <w:rsid w:val="00A41107"/>
    <w:rsid w:val="00A412C2"/>
    <w:rsid w:val="00A4162C"/>
    <w:rsid w:val="00A419F1"/>
    <w:rsid w:val="00A41EAE"/>
    <w:rsid w:val="00A4200F"/>
    <w:rsid w:val="00A42363"/>
    <w:rsid w:val="00A42A76"/>
    <w:rsid w:val="00A44C99"/>
    <w:rsid w:val="00A44F09"/>
    <w:rsid w:val="00A45C9E"/>
    <w:rsid w:val="00A45CB9"/>
    <w:rsid w:val="00A472DC"/>
    <w:rsid w:val="00A50D4B"/>
    <w:rsid w:val="00A51A48"/>
    <w:rsid w:val="00A51E7B"/>
    <w:rsid w:val="00A527C8"/>
    <w:rsid w:val="00A52B0F"/>
    <w:rsid w:val="00A533AE"/>
    <w:rsid w:val="00A54917"/>
    <w:rsid w:val="00A54BED"/>
    <w:rsid w:val="00A54D8B"/>
    <w:rsid w:val="00A5632E"/>
    <w:rsid w:val="00A56B0E"/>
    <w:rsid w:val="00A56E21"/>
    <w:rsid w:val="00A576EF"/>
    <w:rsid w:val="00A57AB3"/>
    <w:rsid w:val="00A57E77"/>
    <w:rsid w:val="00A603F1"/>
    <w:rsid w:val="00A60BF2"/>
    <w:rsid w:val="00A62F80"/>
    <w:rsid w:val="00A6424A"/>
    <w:rsid w:val="00A64912"/>
    <w:rsid w:val="00A65E76"/>
    <w:rsid w:val="00A66973"/>
    <w:rsid w:val="00A67E97"/>
    <w:rsid w:val="00A70274"/>
    <w:rsid w:val="00A70A74"/>
    <w:rsid w:val="00A7105B"/>
    <w:rsid w:val="00A71471"/>
    <w:rsid w:val="00A714B9"/>
    <w:rsid w:val="00A72809"/>
    <w:rsid w:val="00A729B4"/>
    <w:rsid w:val="00A73095"/>
    <w:rsid w:val="00A734F5"/>
    <w:rsid w:val="00A7540C"/>
    <w:rsid w:val="00A75951"/>
    <w:rsid w:val="00A761EF"/>
    <w:rsid w:val="00A76A64"/>
    <w:rsid w:val="00A76C14"/>
    <w:rsid w:val="00A77079"/>
    <w:rsid w:val="00A77559"/>
    <w:rsid w:val="00A77841"/>
    <w:rsid w:val="00A77D7F"/>
    <w:rsid w:val="00A81257"/>
    <w:rsid w:val="00A81837"/>
    <w:rsid w:val="00A81B33"/>
    <w:rsid w:val="00A82A88"/>
    <w:rsid w:val="00A82D74"/>
    <w:rsid w:val="00A834C9"/>
    <w:rsid w:val="00A83CBE"/>
    <w:rsid w:val="00A840C2"/>
    <w:rsid w:val="00A86A47"/>
    <w:rsid w:val="00A9027A"/>
    <w:rsid w:val="00A90881"/>
    <w:rsid w:val="00A911CB"/>
    <w:rsid w:val="00A91966"/>
    <w:rsid w:val="00A929CF"/>
    <w:rsid w:val="00A92D02"/>
    <w:rsid w:val="00A93280"/>
    <w:rsid w:val="00A93995"/>
    <w:rsid w:val="00A94424"/>
    <w:rsid w:val="00A954CD"/>
    <w:rsid w:val="00A95B45"/>
    <w:rsid w:val="00A95BD2"/>
    <w:rsid w:val="00A95D8F"/>
    <w:rsid w:val="00A9615D"/>
    <w:rsid w:val="00A965AB"/>
    <w:rsid w:val="00A97B2C"/>
    <w:rsid w:val="00AA03B7"/>
    <w:rsid w:val="00AA0559"/>
    <w:rsid w:val="00AA0D00"/>
    <w:rsid w:val="00AA1FEC"/>
    <w:rsid w:val="00AA52E4"/>
    <w:rsid w:val="00AA56A7"/>
    <w:rsid w:val="00AA5AEA"/>
    <w:rsid w:val="00AA66AC"/>
    <w:rsid w:val="00AA6F0E"/>
    <w:rsid w:val="00AB10BC"/>
    <w:rsid w:val="00AB148E"/>
    <w:rsid w:val="00AB1DE8"/>
    <w:rsid w:val="00AB24EF"/>
    <w:rsid w:val="00AB40E1"/>
    <w:rsid w:val="00AB442C"/>
    <w:rsid w:val="00AB449A"/>
    <w:rsid w:val="00AB58EC"/>
    <w:rsid w:val="00AB5D71"/>
    <w:rsid w:val="00AB6116"/>
    <w:rsid w:val="00AB69D9"/>
    <w:rsid w:val="00AB6D1C"/>
    <w:rsid w:val="00AB73E2"/>
    <w:rsid w:val="00AB7742"/>
    <w:rsid w:val="00AC0886"/>
    <w:rsid w:val="00AC09D1"/>
    <w:rsid w:val="00AC0FC3"/>
    <w:rsid w:val="00AC1170"/>
    <w:rsid w:val="00AC134D"/>
    <w:rsid w:val="00AC189E"/>
    <w:rsid w:val="00AC2767"/>
    <w:rsid w:val="00AC40EC"/>
    <w:rsid w:val="00AC5427"/>
    <w:rsid w:val="00AC5670"/>
    <w:rsid w:val="00AC65BF"/>
    <w:rsid w:val="00AC7C4D"/>
    <w:rsid w:val="00AC7D65"/>
    <w:rsid w:val="00AD0138"/>
    <w:rsid w:val="00AD02B8"/>
    <w:rsid w:val="00AD046B"/>
    <w:rsid w:val="00AD0B82"/>
    <w:rsid w:val="00AD19E6"/>
    <w:rsid w:val="00AD1F73"/>
    <w:rsid w:val="00AD34AF"/>
    <w:rsid w:val="00AD3939"/>
    <w:rsid w:val="00AD477B"/>
    <w:rsid w:val="00AD4991"/>
    <w:rsid w:val="00AD5315"/>
    <w:rsid w:val="00AD5564"/>
    <w:rsid w:val="00AD5641"/>
    <w:rsid w:val="00AD582D"/>
    <w:rsid w:val="00AD73AC"/>
    <w:rsid w:val="00AD7889"/>
    <w:rsid w:val="00AE0B5B"/>
    <w:rsid w:val="00AE0DA9"/>
    <w:rsid w:val="00AE215A"/>
    <w:rsid w:val="00AE23CA"/>
    <w:rsid w:val="00AE28D5"/>
    <w:rsid w:val="00AE2D5B"/>
    <w:rsid w:val="00AE2F67"/>
    <w:rsid w:val="00AE33AC"/>
    <w:rsid w:val="00AE5216"/>
    <w:rsid w:val="00AE5FC7"/>
    <w:rsid w:val="00AE6CC7"/>
    <w:rsid w:val="00AE6D77"/>
    <w:rsid w:val="00AE787B"/>
    <w:rsid w:val="00AE7BB2"/>
    <w:rsid w:val="00AF021B"/>
    <w:rsid w:val="00AF06CF"/>
    <w:rsid w:val="00AF11BC"/>
    <w:rsid w:val="00AF1252"/>
    <w:rsid w:val="00AF2B85"/>
    <w:rsid w:val="00AF2FF4"/>
    <w:rsid w:val="00AF3575"/>
    <w:rsid w:val="00AF3CA0"/>
    <w:rsid w:val="00AF4039"/>
    <w:rsid w:val="00AF43CE"/>
    <w:rsid w:val="00AF5CCA"/>
    <w:rsid w:val="00AF6F6F"/>
    <w:rsid w:val="00AF7C73"/>
    <w:rsid w:val="00AF7FD2"/>
    <w:rsid w:val="00B00153"/>
    <w:rsid w:val="00B001F7"/>
    <w:rsid w:val="00B002F4"/>
    <w:rsid w:val="00B00D98"/>
    <w:rsid w:val="00B015D1"/>
    <w:rsid w:val="00B01CA3"/>
    <w:rsid w:val="00B022F8"/>
    <w:rsid w:val="00B02CAB"/>
    <w:rsid w:val="00B03F0D"/>
    <w:rsid w:val="00B04305"/>
    <w:rsid w:val="00B04419"/>
    <w:rsid w:val="00B045C5"/>
    <w:rsid w:val="00B04E4A"/>
    <w:rsid w:val="00B05E38"/>
    <w:rsid w:val="00B06577"/>
    <w:rsid w:val="00B06DD3"/>
    <w:rsid w:val="00B075EF"/>
    <w:rsid w:val="00B07815"/>
    <w:rsid w:val="00B078F3"/>
    <w:rsid w:val="00B07CDB"/>
    <w:rsid w:val="00B07FCE"/>
    <w:rsid w:val="00B07FEB"/>
    <w:rsid w:val="00B12055"/>
    <w:rsid w:val="00B13BB0"/>
    <w:rsid w:val="00B13E9A"/>
    <w:rsid w:val="00B143D4"/>
    <w:rsid w:val="00B16833"/>
    <w:rsid w:val="00B16A31"/>
    <w:rsid w:val="00B16DF2"/>
    <w:rsid w:val="00B1754C"/>
    <w:rsid w:val="00B17CBD"/>
    <w:rsid w:val="00B17DFD"/>
    <w:rsid w:val="00B215F9"/>
    <w:rsid w:val="00B21C04"/>
    <w:rsid w:val="00B22A4F"/>
    <w:rsid w:val="00B22FFA"/>
    <w:rsid w:val="00B23398"/>
    <w:rsid w:val="00B234E1"/>
    <w:rsid w:val="00B24394"/>
    <w:rsid w:val="00B24DF7"/>
    <w:rsid w:val="00B25393"/>
    <w:rsid w:val="00B26514"/>
    <w:rsid w:val="00B27491"/>
    <w:rsid w:val="00B2799D"/>
    <w:rsid w:val="00B27A94"/>
    <w:rsid w:val="00B308FE"/>
    <w:rsid w:val="00B30C2A"/>
    <w:rsid w:val="00B31670"/>
    <w:rsid w:val="00B3188B"/>
    <w:rsid w:val="00B31963"/>
    <w:rsid w:val="00B319C9"/>
    <w:rsid w:val="00B31B69"/>
    <w:rsid w:val="00B33171"/>
    <w:rsid w:val="00B33709"/>
    <w:rsid w:val="00B33B3C"/>
    <w:rsid w:val="00B33BD1"/>
    <w:rsid w:val="00B343ED"/>
    <w:rsid w:val="00B345E0"/>
    <w:rsid w:val="00B34B7E"/>
    <w:rsid w:val="00B35DEA"/>
    <w:rsid w:val="00B36392"/>
    <w:rsid w:val="00B36916"/>
    <w:rsid w:val="00B37DF1"/>
    <w:rsid w:val="00B40184"/>
    <w:rsid w:val="00B40B13"/>
    <w:rsid w:val="00B4315B"/>
    <w:rsid w:val="00B433E0"/>
    <w:rsid w:val="00B43D19"/>
    <w:rsid w:val="00B445D1"/>
    <w:rsid w:val="00B44E23"/>
    <w:rsid w:val="00B4504D"/>
    <w:rsid w:val="00B46408"/>
    <w:rsid w:val="00B46657"/>
    <w:rsid w:val="00B46690"/>
    <w:rsid w:val="00B46915"/>
    <w:rsid w:val="00B47959"/>
    <w:rsid w:val="00B5023C"/>
    <w:rsid w:val="00B50ADC"/>
    <w:rsid w:val="00B5188D"/>
    <w:rsid w:val="00B51994"/>
    <w:rsid w:val="00B525B1"/>
    <w:rsid w:val="00B52712"/>
    <w:rsid w:val="00B52B80"/>
    <w:rsid w:val="00B549E8"/>
    <w:rsid w:val="00B554D4"/>
    <w:rsid w:val="00B55678"/>
    <w:rsid w:val="00B566B1"/>
    <w:rsid w:val="00B56FF2"/>
    <w:rsid w:val="00B575B8"/>
    <w:rsid w:val="00B577C8"/>
    <w:rsid w:val="00B57E4F"/>
    <w:rsid w:val="00B57E91"/>
    <w:rsid w:val="00B6028D"/>
    <w:rsid w:val="00B608FA"/>
    <w:rsid w:val="00B611D0"/>
    <w:rsid w:val="00B61A1F"/>
    <w:rsid w:val="00B62BD0"/>
    <w:rsid w:val="00B62D57"/>
    <w:rsid w:val="00B62E62"/>
    <w:rsid w:val="00B63182"/>
    <w:rsid w:val="00B63834"/>
    <w:rsid w:val="00B63AAD"/>
    <w:rsid w:val="00B65227"/>
    <w:rsid w:val="00B66F9F"/>
    <w:rsid w:val="00B67623"/>
    <w:rsid w:val="00B72734"/>
    <w:rsid w:val="00B73E1B"/>
    <w:rsid w:val="00B746DD"/>
    <w:rsid w:val="00B747AD"/>
    <w:rsid w:val="00B76EAE"/>
    <w:rsid w:val="00B774E1"/>
    <w:rsid w:val="00B77ACD"/>
    <w:rsid w:val="00B77C43"/>
    <w:rsid w:val="00B77EEC"/>
    <w:rsid w:val="00B8006A"/>
    <w:rsid w:val="00B80199"/>
    <w:rsid w:val="00B80674"/>
    <w:rsid w:val="00B8160B"/>
    <w:rsid w:val="00B81782"/>
    <w:rsid w:val="00B81A52"/>
    <w:rsid w:val="00B82104"/>
    <w:rsid w:val="00B822CC"/>
    <w:rsid w:val="00B824CE"/>
    <w:rsid w:val="00B828A2"/>
    <w:rsid w:val="00B82D81"/>
    <w:rsid w:val="00B83204"/>
    <w:rsid w:val="00B8374D"/>
    <w:rsid w:val="00B84286"/>
    <w:rsid w:val="00B84EA3"/>
    <w:rsid w:val="00B85017"/>
    <w:rsid w:val="00B8620F"/>
    <w:rsid w:val="00B86816"/>
    <w:rsid w:val="00B86A1F"/>
    <w:rsid w:val="00B86AEB"/>
    <w:rsid w:val="00B86DF2"/>
    <w:rsid w:val="00B87790"/>
    <w:rsid w:val="00B87A69"/>
    <w:rsid w:val="00B901C0"/>
    <w:rsid w:val="00B906C0"/>
    <w:rsid w:val="00B91206"/>
    <w:rsid w:val="00B9126E"/>
    <w:rsid w:val="00B91622"/>
    <w:rsid w:val="00B93348"/>
    <w:rsid w:val="00B943F7"/>
    <w:rsid w:val="00B94586"/>
    <w:rsid w:val="00B94853"/>
    <w:rsid w:val="00B94ADE"/>
    <w:rsid w:val="00B95416"/>
    <w:rsid w:val="00B95965"/>
    <w:rsid w:val="00B9701E"/>
    <w:rsid w:val="00B97EB5"/>
    <w:rsid w:val="00BA03AB"/>
    <w:rsid w:val="00BA1128"/>
    <w:rsid w:val="00BA1947"/>
    <w:rsid w:val="00BA1987"/>
    <w:rsid w:val="00BA1C66"/>
    <w:rsid w:val="00BA220B"/>
    <w:rsid w:val="00BA3743"/>
    <w:rsid w:val="00BA3A09"/>
    <w:rsid w:val="00BA3A57"/>
    <w:rsid w:val="00BA3BFF"/>
    <w:rsid w:val="00BA4350"/>
    <w:rsid w:val="00BA60A0"/>
    <w:rsid w:val="00BA6648"/>
    <w:rsid w:val="00BA6758"/>
    <w:rsid w:val="00BA7ED5"/>
    <w:rsid w:val="00BB030C"/>
    <w:rsid w:val="00BB0F3D"/>
    <w:rsid w:val="00BB128E"/>
    <w:rsid w:val="00BB1327"/>
    <w:rsid w:val="00BB13D5"/>
    <w:rsid w:val="00BB1AA9"/>
    <w:rsid w:val="00BB1E79"/>
    <w:rsid w:val="00BB2F8D"/>
    <w:rsid w:val="00BB3E41"/>
    <w:rsid w:val="00BB467F"/>
    <w:rsid w:val="00BB49EB"/>
    <w:rsid w:val="00BB4E1A"/>
    <w:rsid w:val="00BB5C17"/>
    <w:rsid w:val="00BB5D58"/>
    <w:rsid w:val="00BB5DB4"/>
    <w:rsid w:val="00BB5FFC"/>
    <w:rsid w:val="00BB62C2"/>
    <w:rsid w:val="00BB63C0"/>
    <w:rsid w:val="00BB65FB"/>
    <w:rsid w:val="00BB6F8E"/>
    <w:rsid w:val="00BB70F4"/>
    <w:rsid w:val="00BB746D"/>
    <w:rsid w:val="00BB778F"/>
    <w:rsid w:val="00BB7BA2"/>
    <w:rsid w:val="00BC015E"/>
    <w:rsid w:val="00BC07CF"/>
    <w:rsid w:val="00BC09DE"/>
    <w:rsid w:val="00BC1C6A"/>
    <w:rsid w:val="00BC211B"/>
    <w:rsid w:val="00BC2CAD"/>
    <w:rsid w:val="00BC2E8D"/>
    <w:rsid w:val="00BC2F27"/>
    <w:rsid w:val="00BC3581"/>
    <w:rsid w:val="00BC365D"/>
    <w:rsid w:val="00BC3780"/>
    <w:rsid w:val="00BC37A3"/>
    <w:rsid w:val="00BC4336"/>
    <w:rsid w:val="00BC4451"/>
    <w:rsid w:val="00BC4616"/>
    <w:rsid w:val="00BC4FC1"/>
    <w:rsid w:val="00BC6DC9"/>
    <w:rsid w:val="00BC7183"/>
    <w:rsid w:val="00BC76AC"/>
    <w:rsid w:val="00BD0D32"/>
    <w:rsid w:val="00BD0EBD"/>
    <w:rsid w:val="00BD0ECB"/>
    <w:rsid w:val="00BD1D15"/>
    <w:rsid w:val="00BD22DC"/>
    <w:rsid w:val="00BD324B"/>
    <w:rsid w:val="00BD3AA4"/>
    <w:rsid w:val="00BD42F7"/>
    <w:rsid w:val="00BD48F2"/>
    <w:rsid w:val="00BD5579"/>
    <w:rsid w:val="00BD5C38"/>
    <w:rsid w:val="00BD6287"/>
    <w:rsid w:val="00BD6295"/>
    <w:rsid w:val="00BD6EEB"/>
    <w:rsid w:val="00BD7226"/>
    <w:rsid w:val="00BE0499"/>
    <w:rsid w:val="00BE0647"/>
    <w:rsid w:val="00BE07CD"/>
    <w:rsid w:val="00BE1104"/>
    <w:rsid w:val="00BE16DE"/>
    <w:rsid w:val="00BE2050"/>
    <w:rsid w:val="00BE2155"/>
    <w:rsid w:val="00BE2213"/>
    <w:rsid w:val="00BE281F"/>
    <w:rsid w:val="00BE3591"/>
    <w:rsid w:val="00BE3B4C"/>
    <w:rsid w:val="00BE473C"/>
    <w:rsid w:val="00BE548C"/>
    <w:rsid w:val="00BE553B"/>
    <w:rsid w:val="00BE571E"/>
    <w:rsid w:val="00BE5D36"/>
    <w:rsid w:val="00BE5EDA"/>
    <w:rsid w:val="00BE6452"/>
    <w:rsid w:val="00BE6837"/>
    <w:rsid w:val="00BE693D"/>
    <w:rsid w:val="00BE6EF9"/>
    <w:rsid w:val="00BE719A"/>
    <w:rsid w:val="00BE720A"/>
    <w:rsid w:val="00BE7374"/>
    <w:rsid w:val="00BF0BA5"/>
    <w:rsid w:val="00BF0D73"/>
    <w:rsid w:val="00BF0E3B"/>
    <w:rsid w:val="00BF1055"/>
    <w:rsid w:val="00BF1DFD"/>
    <w:rsid w:val="00BF2465"/>
    <w:rsid w:val="00BF2E57"/>
    <w:rsid w:val="00BF420A"/>
    <w:rsid w:val="00BF59C0"/>
    <w:rsid w:val="00BF6555"/>
    <w:rsid w:val="00BF6AD3"/>
    <w:rsid w:val="00BF6C4B"/>
    <w:rsid w:val="00BF747C"/>
    <w:rsid w:val="00BF75C9"/>
    <w:rsid w:val="00BF773B"/>
    <w:rsid w:val="00BF7CEF"/>
    <w:rsid w:val="00C007D0"/>
    <w:rsid w:val="00C015C0"/>
    <w:rsid w:val="00C02736"/>
    <w:rsid w:val="00C02875"/>
    <w:rsid w:val="00C029C4"/>
    <w:rsid w:val="00C02F27"/>
    <w:rsid w:val="00C0408C"/>
    <w:rsid w:val="00C0432A"/>
    <w:rsid w:val="00C04436"/>
    <w:rsid w:val="00C0445D"/>
    <w:rsid w:val="00C045C3"/>
    <w:rsid w:val="00C0544A"/>
    <w:rsid w:val="00C06495"/>
    <w:rsid w:val="00C069D1"/>
    <w:rsid w:val="00C10E7B"/>
    <w:rsid w:val="00C11452"/>
    <w:rsid w:val="00C11EB3"/>
    <w:rsid w:val="00C13D28"/>
    <w:rsid w:val="00C13F0A"/>
    <w:rsid w:val="00C14ED6"/>
    <w:rsid w:val="00C16CCC"/>
    <w:rsid w:val="00C17457"/>
    <w:rsid w:val="00C208FC"/>
    <w:rsid w:val="00C21057"/>
    <w:rsid w:val="00C211DF"/>
    <w:rsid w:val="00C21372"/>
    <w:rsid w:val="00C21F35"/>
    <w:rsid w:val="00C2213B"/>
    <w:rsid w:val="00C22EBA"/>
    <w:rsid w:val="00C22F5B"/>
    <w:rsid w:val="00C23AA7"/>
    <w:rsid w:val="00C24942"/>
    <w:rsid w:val="00C24F90"/>
    <w:rsid w:val="00C25364"/>
    <w:rsid w:val="00C25E2B"/>
    <w:rsid w:val="00C25E7F"/>
    <w:rsid w:val="00C2628B"/>
    <w:rsid w:val="00C2746F"/>
    <w:rsid w:val="00C301AF"/>
    <w:rsid w:val="00C30BDC"/>
    <w:rsid w:val="00C3149D"/>
    <w:rsid w:val="00C3166D"/>
    <w:rsid w:val="00C324A0"/>
    <w:rsid w:val="00C32E55"/>
    <w:rsid w:val="00C32EDF"/>
    <w:rsid w:val="00C3300F"/>
    <w:rsid w:val="00C33039"/>
    <w:rsid w:val="00C33202"/>
    <w:rsid w:val="00C3328D"/>
    <w:rsid w:val="00C33C5D"/>
    <w:rsid w:val="00C3463B"/>
    <w:rsid w:val="00C3470E"/>
    <w:rsid w:val="00C348E7"/>
    <w:rsid w:val="00C34E77"/>
    <w:rsid w:val="00C35875"/>
    <w:rsid w:val="00C35DAF"/>
    <w:rsid w:val="00C360BA"/>
    <w:rsid w:val="00C364BC"/>
    <w:rsid w:val="00C3651C"/>
    <w:rsid w:val="00C365B4"/>
    <w:rsid w:val="00C37513"/>
    <w:rsid w:val="00C40008"/>
    <w:rsid w:val="00C40A2B"/>
    <w:rsid w:val="00C40D6F"/>
    <w:rsid w:val="00C4120A"/>
    <w:rsid w:val="00C4170B"/>
    <w:rsid w:val="00C41B34"/>
    <w:rsid w:val="00C42209"/>
    <w:rsid w:val="00C425E7"/>
    <w:rsid w:val="00C42BF8"/>
    <w:rsid w:val="00C42F47"/>
    <w:rsid w:val="00C434BE"/>
    <w:rsid w:val="00C44F3B"/>
    <w:rsid w:val="00C450F8"/>
    <w:rsid w:val="00C45171"/>
    <w:rsid w:val="00C4561B"/>
    <w:rsid w:val="00C4612C"/>
    <w:rsid w:val="00C46B35"/>
    <w:rsid w:val="00C47032"/>
    <w:rsid w:val="00C50023"/>
    <w:rsid w:val="00C50043"/>
    <w:rsid w:val="00C507E6"/>
    <w:rsid w:val="00C50B97"/>
    <w:rsid w:val="00C50CCA"/>
    <w:rsid w:val="00C50D1B"/>
    <w:rsid w:val="00C51654"/>
    <w:rsid w:val="00C51769"/>
    <w:rsid w:val="00C52E7C"/>
    <w:rsid w:val="00C5378E"/>
    <w:rsid w:val="00C53B7B"/>
    <w:rsid w:val="00C53E02"/>
    <w:rsid w:val="00C56633"/>
    <w:rsid w:val="00C56D9C"/>
    <w:rsid w:val="00C576BE"/>
    <w:rsid w:val="00C5787B"/>
    <w:rsid w:val="00C6048D"/>
    <w:rsid w:val="00C607B9"/>
    <w:rsid w:val="00C60F5B"/>
    <w:rsid w:val="00C6102D"/>
    <w:rsid w:val="00C61601"/>
    <w:rsid w:val="00C61D47"/>
    <w:rsid w:val="00C62025"/>
    <w:rsid w:val="00C62D3F"/>
    <w:rsid w:val="00C632E6"/>
    <w:rsid w:val="00C63AFF"/>
    <w:rsid w:val="00C641ED"/>
    <w:rsid w:val="00C6434E"/>
    <w:rsid w:val="00C6464B"/>
    <w:rsid w:val="00C65F25"/>
    <w:rsid w:val="00C66812"/>
    <w:rsid w:val="00C67F08"/>
    <w:rsid w:val="00C70822"/>
    <w:rsid w:val="00C70CA8"/>
    <w:rsid w:val="00C713FC"/>
    <w:rsid w:val="00C71CB7"/>
    <w:rsid w:val="00C71E86"/>
    <w:rsid w:val="00C72328"/>
    <w:rsid w:val="00C72941"/>
    <w:rsid w:val="00C732DD"/>
    <w:rsid w:val="00C73EEC"/>
    <w:rsid w:val="00C74707"/>
    <w:rsid w:val="00C7573B"/>
    <w:rsid w:val="00C75A8D"/>
    <w:rsid w:val="00C75BAB"/>
    <w:rsid w:val="00C763C4"/>
    <w:rsid w:val="00C76CBA"/>
    <w:rsid w:val="00C7761F"/>
    <w:rsid w:val="00C77930"/>
    <w:rsid w:val="00C77BFB"/>
    <w:rsid w:val="00C77C82"/>
    <w:rsid w:val="00C80BF3"/>
    <w:rsid w:val="00C81234"/>
    <w:rsid w:val="00C819E6"/>
    <w:rsid w:val="00C822DE"/>
    <w:rsid w:val="00C84BB5"/>
    <w:rsid w:val="00C85C1A"/>
    <w:rsid w:val="00C861E9"/>
    <w:rsid w:val="00C86B32"/>
    <w:rsid w:val="00C87A33"/>
    <w:rsid w:val="00C87EAD"/>
    <w:rsid w:val="00C90C52"/>
    <w:rsid w:val="00C913AA"/>
    <w:rsid w:val="00C926E1"/>
    <w:rsid w:val="00C92A5D"/>
    <w:rsid w:val="00C92DA7"/>
    <w:rsid w:val="00C93266"/>
    <w:rsid w:val="00C937C2"/>
    <w:rsid w:val="00C93A3F"/>
    <w:rsid w:val="00C93C03"/>
    <w:rsid w:val="00C942C5"/>
    <w:rsid w:val="00C9556A"/>
    <w:rsid w:val="00C95967"/>
    <w:rsid w:val="00C95AAB"/>
    <w:rsid w:val="00C9612B"/>
    <w:rsid w:val="00C97A46"/>
    <w:rsid w:val="00C97D12"/>
    <w:rsid w:val="00CA05F2"/>
    <w:rsid w:val="00CA0BF8"/>
    <w:rsid w:val="00CA0FDF"/>
    <w:rsid w:val="00CA1019"/>
    <w:rsid w:val="00CA1098"/>
    <w:rsid w:val="00CA1509"/>
    <w:rsid w:val="00CA1AA5"/>
    <w:rsid w:val="00CA1F3E"/>
    <w:rsid w:val="00CA2033"/>
    <w:rsid w:val="00CA299B"/>
    <w:rsid w:val="00CA3938"/>
    <w:rsid w:val="00CA43AB"/>
    <w:rsid w:val="00CA47DE"/>
    <w:rsid w:val="00CA57AE"/>
    <w:rsid w:val="00CA5E30"/>
    <w:rsid w:val="00CA603C"/>
    <w:rsid w:val="00CA6355"/>
    <w:rsid w:val="00CA66DC"/>
    <w:rsid w:val="00CA6E1C"/>
    <w:rsid w:val="00CB083F"/>
    <w:rsid w:val="00CB0B46"/>
    <w:rsid w:val="00CB1120"/>
    <w:rsid w:val="00CB12D2"/>
    <w:rsid w:val="00CB147C"/>
    <w:rsid w:val="00CB154E"/>
    <w:rsid w:val="00CB2C8E"/>
    <w:rsid w:val="00CB2D96"/>
    <w:rsid w:val="00CB3805"/>
    <w:rsid w:val="00CB3D04"/>
    <w:rsid w:val="00CB53A8"/>
    <w:rsid w:val="00CB5CDA"/>
    <w:rsid w:val="00CB602E"/>
    <w:rsid w:val="00CB6BB0"/>
    <w:rsid w:val="00CB71DC"/>
    <w:rsid w:val="00CB7563"/>
    <w:rsid w:val="00CB7C73"/>
    <w:rsid w:val="00CC0233"/>
    <w:rsid w:val="00CC2515"/>
    <w:rsid w:val="00CC32D1"/>
    <w:rsid w:val="00CC3876"/>
    <w:rsid w:val="00CC4577"/>
    <w:rsid w:val="00CC4D3C"/>
    <w:rsid w:val="00CC548C"/>
    <w:rsid w:val="00CC566B"/>
    <w:rsid w:val="00CC5C5F"/>
    <w:rsid w:val="00CC5F02"/>
    <w:rsid w:val="00CC6D87"/>
    <w:rsid w:val="00CC6F4C"/>
    <w:rsid w:val="00CD0206"/>
    <w:rsid w:val="00CD1C7A"/>
    <w:rsid w:val="00CD1CB8"/>
    <w:rsid w:val="00CD2030"/>
    <w:rsid w:val="00CD2BDF"/>
    <w:rsid w:val="00CD2DA4"/>
    <w:rsid w:val="00CD2E90"/>
    <w:rsid w:val="00CD360A"/>
    <w:rsid w:val="00CD3F42"/>
    <w:rsid w:val="00CD69A2"/>
    <w:rsid w:val="00CE0149"/>
    <w:rsid w:val="00CE04EE"/>
    <w:rsid w:val="00CE051D"/>
    <w:rsid w:val="00CE0AE3"/>
    <w:rsid w:val="00CE0FF6"/>
    <w:rsid w:val="00CE1335"/>
    <w:rsid w:val="00CE1BDF"/>
    <w:rsid w:val="00CE2867"/>
    <w:rsid w:val="00CE3494"/>
    <w:rsid w:val="00CE3D2A"/>
    <w:rsid w:val="00CE40B3"/>
    <w:rsid w:val="00CE493D"/>
    <w:rsid w:val="00CE502C"/>
    <w:rsid w:val="00CE541A"/>
    <w:rsid w:val="00CE5790"/>
    <w:rsid w:val="00CE594B"/>
    <w:rsid w:val="00CE60E6"/>
    <w:rsid w:val="00CE625D"/>
    <w:rsid w:val="00CE65A1"/>
    <w:rsid w:val="00CE6D42"/>
    <w:rsid w:val="00CE6D90"/>
    <w:rsid w:val="00CF0030"/>
    <w:rsid w:val="00CF007A"/>
    <w:rsid w:val="00CF0216"/>
    <w:rsid w:val="00CF07FA"/>
    <w:rsid w:val="00CF0BB2"/>
    <w:rsid w:val="00CF1614"/>
    <w:rsid w:val="00CF19BC"/>
    <w:rsid w:val="00CF1F1B"/>
    <w:rsid w:val="00CF1F1F"/>
    <w:rsid w:val="00CF2C4D"/>
    <w:rsid w:val="00CF35E3"/>
    <w:rsid w:val="00CF3D24"/>
    <w:rsid w:val="00CF3EE8"/>
    <w:rsid w:val="00CF488D"/>
    <w:rsid w:val="00CF4E50"/>
    <w:rsid w:val="00CF5313"/>
    <w:rsid w:val="00CF6171"/>
    <w:rsid w:val="00CF6A8F"/>
    <w:rsid w:val="00CF6D46"/>
    <w:rsid w:val="00CF7614"/>
    <w:rsid w:val="00CF7D94"/>
    <w:rsid w:val="00D01D0B"/>
    <w:rsid w:val="00D02024"/>
    <w:rsid w:val="00D02753"/>
    <w:rsid w:val="00D02C27"/>
    <w:rsid w:val="00D03248"/>
    <w:rsid w:val="00D037F8"/>
    <w:rsid w:val="00D03946"/>
    <w:rsid w:val="00D050E6"/>
    <w:rsid w:val="00D0512A"/>
    <w:rsid w:val="00D055B2"/>
    <w:rsid w:val="00D062F7"/>
    <w:rsid w:val="00D0660B"/>
    <w:rsid w:val="00D06941"/>
    <w:rsid w:val="00D06DE3"/>
    <w:rsid w:val="00D06ED5"/>
    <w:rsid w:val="00D103AD"/>
    <w:rsid w:val="00D10D2E"/>
    <w:rsid w:val="00D116B9"/>
    <w:rsid w:val="00D11BC8"/>
    <w:rsid w:val="00D11CBC"/>
    <w:rsid w:val="00D12704"/>
    <w:rsid w:val="00D12780"/>
    <w:rsid w:val="00D12B18"/>
    <w:rsid w:val="00D1300A"/>
    <w:rsid w:val="00D13441"/>
    <w:rsid w:val="00D135F9"/>
    <w:rsid w:val="00D13617"/>
    <w:rsid w:val="00D138EE"/>
    <w:rsid w:val="00D13E5F"/>
    <w:rsid w:val="00D13F26"/>
    <w:rsid w:val="00D14C84"/>
    <w:rsid w:val="00D14C85"/>
    <w:rsid w:val="00D150E7"/>
    <w:rsid w:val="00D1533C"/>
    <w:rsid w:val="00D161C5"/>
    <w:rsid w:val="00D1639D"/>
    <w:rsid w:val="00D16609"/>
    <w:rsid w:val="00D17D5D"/>
    <w:rsid w:val="00D206DC"/>
    <w:rsid w:val="00D20A4B"/>
    <w:rsid w:val="00D20B53"/>
    <w:rsid w:val="00D2140A"/>
    <w:rsid w:val="00D21C41"/>
    <w:rsid w:val="00D22EA8"/>
    <w:rsid w:val="00D22EFF"/>
    <w:rsid w:val="00D22FCA"/>
    <w:rsid w:val="00D2479D"/>
    <w:rsid w:val="00D2488F"/>
    <w:rsid w:val="00D24FE4"/>
    <w:rsid w:val="00D25D79"/>
    <w:rsid w:val="00D25F39"/>
    <w:rsid w:val="00D26767"/>
    <w:rsid w:val="00D26D52"/>
    <w:rsid w:val="00D26E0C"/>
    <w:rsid w:val="00D27289"/>
    <w:rsid w:val="00D272BC"/>
    <w:rsid w:val="00D278D5"/>
    <w:rsid w:val="00D306F8"/>
    <w:rsid w:val="00D309EF"/>
    <w:rsid w:val="00D3235E"/>
    <w:rsid w:val="00D32704"/>
    <w:rsid w:val="00D32F65"/>
    <w:rsid w:val="00D3349E"/>
    <w:rsid w:val="00D340E0"/>
    <w:rsid w:val="00D341C4"/>
    <w:rsid w:val="00D343F0"/>
    <w:rsid w:val="00D34404"/>
    <w:rsid w:val="00D348C1"/>
    <w:rsid w:val="00D35ED7"/>
    <w:rsid w:val="00D361D6"/>
    <w:rsid w:val="00D364D7"/>
    <w:rsid w:val="00D36731"/>
    <w:rsid w:val="00D3790E"/>
    <w:rsid w:val="00D402A8"/>
    <w:rsid w:val="00D41CF2"/>
    <w:rsid w:val="00D421C8"/>
    <w:rsid w:val="00D43879"/>
    <w:rsid w:val="00D4481D"/>
    <w:rsid w:val="00D44851"/>
    <w:rsid w:val="00D45135"/>
    <w:rsid w:val="00D4608F"/>
    <w:rsid w:val="00D46426"/>
    <w:rsid w:val="00D46B5F"/>
    <w:rsid w:val="00D46B68"/>
    <w:rsid w:val="00D46D4A"/>
    <w:rsid w:val="00D470AD"/>
    <w:rsid w:val="00D4711D"/>
    <w:rsid w:val="00D475FA"/>
    <w:rsid w:val="00D50427"/>
    <w:rsid w:val="00D51081"/>
    <w:rsid w:val="00D514D3"/>
    <w:rsid w:val="00D5229D"/>
    <w:rsid w:val="00D52DC2"/>
    <w:rsid w:val="00D538AA"/>
    <w:rsid w:val="00D53BCC"/>
    <w:rsid w:val="00D544CF"/>
    <w:rsid w:val="00D55400"/>
    <w:rsid w:val="00D55E2D"/>
    <w:rsid w:val="00D563EC"/>
    <w:rsid w:val="00D563FF"/>
    <w:rsid w:val="00D60B27"/>
    <w:rsid w:val="00D61732"/>
    <w:rsid w:val="00D61CF3"/>
    <w:rsid w:val="00D61EE3"/>
    <w:rsid w:val="00D621AB"/>
    <w:rsid w:val="00D622FC"/>
    <w:rsid w:val="00D623A6"/>
    <w:rsid w:val="00D643A1"/>
    <w:rsid w:val="00D648BB"/>
    <w:rsid w:val="00D665A5"/>
    <w:rsid w:val="00D67123"/>
    <w:rsid w:val="00D6725B"/>
    <w:rsid w:val="00D70217"/>
    <w:rsid w:val="00D702DE"/>
    <w:rsid w:val="00D70DFB"/>
    <w:rsid w:val="00D7177D"/>
    <w:rsid w:val="00D71CDE"/>
    <w:rsid w:val="00D71E1C"/>
    <w:rsid w:val="00D72044"/>
    <w:rsid w:val="00D728CC"/>
    <w:rsid w:val="00D7310B"/>
    <w:rsid w:val="00D731DB"/>
    <w:rsid w:val="00D732EC"/>
    <w:rsid w:val="00D73B7F"/>
    <w:rsid w:val="00D73C22"/>
    <w:rsid w:val="00D74842"/>
    <w:rsid w:val="00D75204"/>
    <w:rsid w:val="00D75223"/>
    <w:rsid w:val="00D753B6"/>
    <w:rsid w:val="00D766DF"/>
    <w:rsid w:val="00D76C2D"/>
    <w:rsid w:val="00D76E6A"/>
    <w:rsid w:val="00D76ECC"/>
    <w:rsid w:val="00D773A7"/>
    <w:rsid w:val="00D80F2F"/>
    <w:rsid w:val="00D81670"/>
    <w:rsid w:val="00D81BD8"/>
    <w:rsid w:val="00D82597"/>
    <w:rsid w:val="00D82664"/>
    <w:rsid w:val="00D83097"/>
    <w:rsid w:val="00D83206"/>
    <w:rsid w:val="00D83255"/>
    <w:rsid w:val="00D8345E"/>
    <w:rsid w:val="00D83FC0"/>
    <w:rsid w:val="00D84E5B"/>
    <w:rsid w:val="00D85317"/>
    <w:rsid w:val="00D85D4C"/>
    <w:rsid w:val="00D85DC8"/>
    <w:rsid w:val="00D8628F"/>
    <w:rsid w:val="00D8726C"/>
    <w:rsid w:val="00D91246"/>
    <w:rsid w:val="00D91D00"/>
    <w:rsid w:val="00D91D20"/>
    <w:rsid w:val="00D9242D"/>
    <w:rsid w:val="00D924C7"/>
    <w:rsid w:val="00D9338B"/>
    <w:rsid w:val="00D93696"/>
    <w:rsid w:val="00D93699"/>
    <w:rsid w:val="00D939C0"/>
    <w:rsid w:val="00D93BA7"/>
    <w:rsid w:val="00D94ED3"/>
    <w:rsid w:val="00D950C3"/>
    <w:rsid w:val="00D95B78"/>
    <w:rsid w:val="00D962F0"/>
    <w:rsid w:val="00D96C75"/>
    <w:rsid w:val="00D97BEB"/>
    <w:rsid w:val="00D97E42"/>
    <w:rsid w:val="00DA02A5"/>
    <w:rsid w:val="00DA032E"/>
    <w:rsid w:val="00DA186E"/>
    <w:rsid w:val="00DA313A"/>
    <w:rsid w:val="00DA39D3"/>
    <w:rsid w:val="00DA4054"/>
    <w:rsid w:val="00DA4116"/>
    <w:rsid w:val="00DA4C6A"/>
    <w:rsid w:val="00DA5600"/>
    <w:rsid w:val="00DA649A"/>
    <w:rsid w:val="00DA658C"/>
    <w:rsid w:val="00DA70A5"/>
    <w:rsid w:val="00DA790F"/>
    <w:rsid w:val="00DB1ABB"/>
    <w:rsid w:val="00DB23C8"/>
    <w:rsid w:val="00DB251C"/>
    <w:rsid w:val="00DB33C7"/>
    <w:rsid w:val="00DB33DB"/>
    <w:rsid w:val="00DB38AD"/>
    <w:rsid w:val="00DB3976"/>
    <w:rsid w:val="00DB40A5"/>
    <w:rsid w:val="00DB4630"/>
    <w:rsid w:val="00DB4EC3"/>
    <w:rsid w:val="00DB4EDC"/>
    <w:rsid w:val="00DB5795"/>
    <w:rsid w:val="00DB5B54"/>
    <w:rsid w:val="00DB5BDB"/>
    <w:rsid w:val="00DB5C93"/>
    <w:rsid w:val="00DB63B2"/>
    <w:rsid w:val="00DB6FA1"/>
    <w:rsid w:val="00DC0137"/>
    <w:rsid w:val="00DC099E"/>
    <w:rsid w:val="00DC0E81"/>
    <w:rsid w:val="00DC162B"/>
    <w:rsid w:val="00DC2179"/>
    <w:rsid w:val="00DC281F"/>
    <w:rsid w:val="00DC402A"/>
    <w:rsid w:val="00DC4445"/>
    <w:rsid w:val="00DC45F8"/>
    <w:rsid w:val="00DC476A"/>
    <w:rsid w:val="00DC4815"/>
    <w:rsid w:val="00DC4F88"/>
    <w:rsid w:val="00DD055E"/>
    <w:rsid w:val="00DD12CA"/>
    <w:rsid w:val="00DD132C"/>
    <w:rsid w:val="00DD1C3D"/>
    <w:rsid w:val="00DD1D95"/>
    <w:rsid w:val="00DD1ECA"/>
    <w:rsid w:val="00DD326F"/>
    <w:rsid w:val="00DD51C2"/>
    <w:rsid w:val="00DD5495"/>
    <w:rsid w:val="00DD63BE"/>
    <w:rsid w:val="00DD650A"/>
    <w:rsid w:val="00DD6C31"/>
    <w:rsid w:val="00DD70D8"/>
    <w:rsid w:val="00DE0A85"/>
    <w:rsid w:val="00DE1232"/>
    <w:rsid w:val="00DE1314"/>
    <w:rsid w:val="00DE1421"/>
    <w:rsid w:val="00DE1E48"/>
    <w:rsid w:val="00DE2459"/>
    <w:rsid w:val="00DE2AA5"/>
    <w:rsid w:val="00DE3ACE"/>
    <w:rsid w:val="00DE4D47"/>
    <w:rsid w:val="00DE50E4"/>
    <w:rsid w:val="00DE6032"/>
    <w:rsid w:val="00DE64C1"/>
    <w:rsid w:val="00DE677F"/>
    <w:rsid w:val="00DE6871"/>
    <w:rsid w:val="00DE6AD5"/>
    <w:rsid w:val="00DE79F9"/>
    <w:rsid w:val="00DF4909"/>
    <w:rsid w:val="00DF510A"/>
    <w:rsid w:val="00DF61CD"/>
    <w:rsid w:val="00DF6DA5"/>
    <w:rsid w:val="00DF7C02"/>
    <w:rsid w:val="00DF7C04"/>
    <w:rsid w:val="00E02313"/>
    <w:rsid w:val="00E02849"/>
    <w:rsid w:val="00E03038"/>
    <w:rsid w:val="00E03845"/>
    <w:rsid w:val="00E045D8"/>
    <w:rsid w:val="00E05704"/>
    <w:rsid w:val="00E0577D"/>
    <w:rsid w:val="00E06CC3"/>
    <w:rsid w:val="00E075F9"/>
    <w:rsid w:val="00E07702"/>
    <w:rsid w:val="00E07CA4"/>
    <w:rsid w:val="00E10137"/>
    <w:rsid w:val="00E10A30"/>
    <w:rsid w:val="00E11190"/>
    <w:rsid w:val="00E11E44"/>
    <w:rsid w:val="00E12307"/>
    <w:rsid w:val="00E125FB"/>
    <w:rsid w:val="00E12FD3"/>
    <w:rsid w:val="00E13478"/>
    <w:rsid w:val="00E13AFA"/>
    <w:rsid w:val="00E14563"/>
    <w:rsid w:val="00E1605E"/>
    <w:rsid w:val="00E17C57"/>
    <w:rsid w:val="00E206D3"/>
    <w:rsid w:val="00E20832"/>
    <w:rsid w:val="00E20986"/>
    <w:rsid w:val="00E21429"/>
    <w:rsid w:val="00E2168B"/>
    <w:rsid w:val="00E21CE9"/>
    <w:rsid w:val="00E21D1A"/>
    <w:rsid w:val="00E21EB5"/>
    <w:rsid w:val="00E21F03"/>
    <w:rsid w:val="00E227F5"/>
    <w:rsid w:val="00E232D0"/>
    <w:rsid w:val="00E236AA"/>
    <w:rsid w:val="00E24E7A"/>
    <w:rsid w:val="00E250F2"/>
    <w:rsid w:val="00E25DAC"/>
    <w:rsid w:val="00E268AB"/>
    <w:rsid w:val="00E26A62"/>
    <w:rsid w:val="00E26EE8"/>
    <w:rsid w:val="00E27991"/>
    <w:rsid w:val="00E30F00"/>
    <w:rsid w:val="00E3171C"/>
    <w:rsid w:val="00E32235"/>
    <w:rsid w:val="00E338EF"/>
    <w:rsid w:val="00E33BAC"/>
    <w:rsid w:val="00E34290"/>
    <w:rsid w:val="00E34CE8"/>
    <w:rsid w:val="00E35922"/>
    <w:rsid w:val="00E35B51"/>
    <w:rsid w:val="00E35C73"/>
    <w:rsid w:val="00E360B5"/>
    <w:rsid w:val="00E3668B"/>
    <w:rsid w:val="00E37992"/>
    <w:rsid w:val="00E37C06"/>
    <w:rsid w:val="00E37EDB"/>
    <w:rsid w:val="00E40FF8"/>
    <w:rsid w:val="00E451F4"/>
    <w:rsid w:val="00E46E1C"/>
    <w:rsid w:val="00E472DE"/>
    <w:rsid w:val="00E47873"/>
    <w:rsid w:val="00E47A50"/>
    <w:rsid w:val="00E47E74"/>
    <w:rsid w:val="00E47F9F"/>
    <w:rsid w:val="00E5139B"/>
    <w:rsid w:val="00E516A9"/>
    <w:rsid w:val="00E5175A"/>
    <w:rsid w:val="00E51E8C"/>
    <w:rsid w:val="00E51FB4"/>
    <w:rsid w:val="00E52DA6"/>
    <w:rsid w:val="00E52F26"/>
    <w:rsid w:val="00E5343A"/>
    <w:rsid w:val="00E534A7"/>
    <w:rsid w:val="00E53523"/>
    <w:rsid w:val="00E53DB1"/>
    <w:rsid w:val="00E544BB"/>
    <w:rsid w:val="00E546DB"/>
    <w:rsid w:val="00E5526E"/>
    <w:rsid w:val="00E55838"/>
    <w:rsid w:val="00E56172"/>
    <w:rsid w:val="00E57093"/>
    <w:rsid w:val="00E57106"/>
    <w:rsid w:val="00E57381"/>
    <w:rsid w:val="00E578EC"/>
    <w:rsid w:val="00E60423"/>
    <w:rsid w:val="00E60560"/>
    <w:rsid w:val="00E625FD"/>
    <w:rsid w:val="00E63640"/>
    <w:rsid w:val="00E6458D"/>
    <w:rsid w:val="00E645E0"/>
    <w:rsid w:val="00E64866"/>
    <w:rsid w:val="00E649D7"/>
    <w:rsid w:val="00E64A1A"/>
    <w:rsid w:val="00E64CBB"/>
    <w:rsid w:val="00E651D0"/>
    <w:rsid w:val="00E651F4"/>
    <w:rsid w:val="00E65F8F"/>
    <w:rsid w:val="00E662CB"/>
    <w:rsid w:val="00E67227"/>
    <w:rsid w:val="00E67706"/>
    <w:rsid w:val="00E70039"/>
    <w:rsid w:val="00E70122"/>
    <w:rsid w:val="00E703A8"/>
    <w:rsid w:val="00E70525"/>
    <w:rsid w:val="00E720F4"/>
    <w:rsid w:val="00E72E9A"/>
    <w:rsid w:val="00E731FC"/>
    <w:rsid w:val="00E73E09"/>
    <w:rsid w:val="00E7474F"/>
    <w:rsid w:val="00E7493F"/>
    <w:rsid w:val="00E74DC7"/>
    <w:rsid w:val="00E7550A"/>
    <w:rsid w:val="00E75A2E"/>
    <w:rsid w:val="00E75F98"/>
    <w:rsid w:val="00E76029"/>
    <w:rsid w:val="00E765CA"/>
    <w:rsid w:val="00E76D03"/>
    <w:rsid w:val="00E77083"/>
    <w:rsid w:val="00E770F1"/>
    <w:rsid w:val="00E80064"/>
    <w:rsid w:val="00E8075A"/>
    <w:rsid w:val="00E8144D"/>
    <w:rsid w:val="00E8146C"/>
    <w:rsid w:val="00E818A6"/>
    <w:rsid w:val="00E82834"/>
    <w:rsid w:val="00E82C1B"/>
    <w:rsid w:val="00E82D47"/>
    <w:rsid w:val="00E834E1"/>
    <w:rsid w:val="00E83D00"/>
    <w:rsid w:val="00E84052"/>
    <w:rsid w:val="00E85A91"/>
    <w:rsid w:val="00E85C6F"/>
    <w:rsid w:val="00E85D2E"/>
    <w:rsid w:val="00E87436"/>
    <w:rsid w:val="00E87501"/>
    <w:rsid w:val="00E87718"/>
    <w:rsid w:val="00E915A7"/>
    <w:rsid w:val="00E92249"/>
    <w:rsid w:val="00E9273A"/>
    <w:rsid w:val="00E93F69"/>
    <w:rsid w:val="00E93FF9"/>
    <w:rsid w:val="00E94D5E"/>
    <w:rsid w:val="00E957C5"/>
    <w:rsid w:val="00E967C0"/>
    <w:rsid w:val="00E96F3C"/>
    <w:rsid w:val="00E97C84"/>
    <w:rsid w:val="00E97E32"/>
    <w:rsid w:val="00EA0BF6"/>
    <w:rsid w:val="00EA0D3F"/>
    <w:rsid w:val="00EA13D9"/>
    <w:rsid w:val="00EA17A6"/>
    <w:rsid w:val="00EA1A26"/>
    <w:rsid w:val="00EA1A3E"/>
    <w:rsid w:val="00EA2635"/>
    <w:rsid w:val="00EA36F4"/>
    <w:rsid w:val="00EA49B8"/>
    <w:rsid w:val="00EA5C4B"/>
    <w:rsid w:val="00EA5E8A"/>
    <w:rsid w:val="00EA7100"/>
    <w:rsid w:val="00EA740D"/>
    <w:rsid w:val="00EA7BB4"/>
    <w:rsid w:val="00EA7F9F"/>
    <w:rsid w:val="00EB05C9"/>
    <w:rsid w:val="00EB0DB5"/>
    <w:rsid w:val="00EB0E70"/>
    <w:rsid w:val="00EB1274"/>
    <w:rsid w:val="00EB1A8E"/>
    <w:rsid w:val="00EB1B78"/>
    <w:rsid w:val="00EB1F98"/>
    <w:rsid w:val="00EB409D"/>
    <w:rsid w:val="00EB4110"/>
    <w:rsid w:val="00EB4398"/>
    <w:rsid w:val="00EB44AB"/>
    <w:rsid w:val="00EB4AE1"/>
    <w:rsid w:val="00EB51CA"/>
    <w:rsid w:val="00EB59A5"/>
    <w:rsid w:val="00EB5B2C"/>
    <w:rsid w:val="00EB6743"/>
    <w:rsid w:val="00EB6C61"/>
    <w:rsid w:val="00EB6D80"/>
    <w:rsid w:val="00EB7807"/>
    <w:rsid w:val="00EB7A5A"/>
    <w:rsid w:val="00EC06E7"/>
    <w:rsid w:val="00EC0DBC"/>
    <w:rsid w:val="00EC0F39"/>
    <w:rsid w:val="00EC1156"/>
    <w:rsid w:val="00EC4757"/>
    <w:rsid w:val="00EC538E"/>
    <w:rsid w:val="00EC5591"/>
    <w:rsid w:val="00EC5690"/>
    <w:rsid w:val="00EC63C3"/>
    <w:rsid w:val="00EC67D0"/>
    <w:rsid w:val="00EC67EA"/>
    <w:rsid w:val="00EC6B2C"/>
    <w:rsid w:val="00EC765E"/>
    <w:rsid w:val="00EC7AC5"/>
    <w:rsid w:val="00EC7E37"/>
    <w:rsid w:val="00EC7EDB"/>
    <w:rsid w:val="00ED003D"/>
    <w:rsid w:val="00ED0354"/>
    <w:rsid w:val="00ED0FE5"/>
    <w:rsid w:val="00ED14FB"/>
    <w:rsid w:val="00ED1BA4"/>
    <w:rsid w:val="00ED2BB6"/>
    <w:rsid w:val="00ED3028"/>
    <w:rsid w:val="00ED34E1"/>
    <w:rsid w:val="00ED3B8D"/>
    <w:rsid w:val="00ED3D9C"/>
    <w:rsid w:val="00ED410C"/>
    <w:rsid w:val="00ED652B"/>
    <w:rsid w:val="00ED65E0"/>
    <w:rsid w:val="00ED6E53"/>
    <w:rsid w:val="00ED6F7D"/>
    <w:rsid w:val="00ED796D"/>
    <w:rsid w:val="00EE0041"/>
    <w:rsid w:val="00EE0F65"/>
    <w:rsid w:val="00EE1100"/>
    <w:rsid w:val="00EE1F58"/>
    <w:rsid w:val="00EE216B"/>
    <w:rsid w:val="00EE23BB"/>
    <w:rsid w:val="00EE3DA2"/>
    <w:rsid w:val="00EE58E7"/>
    <w:rsid w:val="00EE62E3"/>
    <w:rsid w:val="00EE67D7"/>
    <w:rsid w:val="00EE6D16"/>
    <w:rsid w:val="00EE6DA0"/>
    <w:rsid w:val="00EE7C7C"/>
    <w:rsid w:val="00EF032F"/>
    <w:rsid w:val="00EF054D"/>
    <w:rsid w:val="00EF14EE"/>
    <w:rsid w:val="00EF15D3"/>
    <w:rsid w:val="00EF185F"/>
    <w:rsid w:val="00EF1B0D"/>
    <w:rsid w:val="00EF2E2F"/>
    <w:rsid w:val="00EF2E3A"/>
    <w:rsid w:val="00EF3330"/>
    <w:rsid w:val="00EF3609"/>
    <w:rsid w:val="00EF3640"/>
    <w:rsid w:val="00EF4B14"/>
    <w:rsid w:val="00EF4F5F"/>
    <w:rsid w:val="00EF5C5D"/>
    <w:rsid w:val="00EF63F8"/>
    <w:rsid w:val="00EF6D3C"/>
    <w:rsid w:val="00EF77C5"/>
    <w:rsid w:val="00EF7DD5"/>
    <w:rsid w:val="00F00CE6"/>
    <w:rsid w:val="00F00DD2"/>
    <w:rsid w:val="00F00FFB"/>
    <w:rsid w:val="00F01D37"/>
    <w:rsid w:val="00F01FB1"/>
    <w:rsid w:val="00F021B2"/>
    <w:rsid w:val="00F029CC"/>
    <w:rsid w:val="00F02BD5"/>
    <w:rsid w:val="00F02EF9"/>
    <w:rsid w:val="00F033A9"/>
    <w:rsid w:val="00F03BB5"/>
    <w:rsid w:val="00F047D8"/>
    <w:rsid w:val="00F04922"/>
    <w:rsid w:val="00F04DB8"/>
    <w:rsid w:val="00F063A6"/>
    <w:rsid w:val="00F072A7"/>
    <w:rsid w:val="00F078DC"/>
    <w:rsid w:val="00F1097A"/>
    <w:rsid w:val="00F10E71"/>
    <w:rsid w:val="00F10FBB"/>
    <w:rsid w:val="00F11603"/>
    <w:rsid w:val="00F118C3"/>
    <w:rsid w:val="00F11C5B"/>
    <w:rsid w:val="00F13049"/>
    <w:rsid w:val="00F132EB"/>
    <w:rsid w:val="00F138D4"/>
    <w:rsid w:val="00F13A0F"/>
    <w:rsid w:val="00F14593"/>
    <w:rsid w:val="00F14927"/>
    <w:rsid w:val="00F14A01"/>
    <w:rsid w:val="00F14D32"/>
    <w:rsid w:val="00F16356"/>
    <w:rsid w:val="00F171A1"/>
    <w:rsid w:val="00F17E72"/>
    <w:rsid w:val="00F20062"/>
    <w:rsid w:val="00F20F51"/>
    <w:rsid w:val="00F21193"/>
    <w:rsid w:val="00F2133E"/>
    <w:rsid w:val="00F2183E"/>
    <w:rsid w:val="00F21866"/>
    <w:rsid w:val="00F21D34"/>
    <w:rsid w:val="00F24816"/>
    <w:rsid w:val="00F24F46"/>
    <w:rsid w:val="00F25490"/>
    <w:rsid w:val="00F25A18"/>
    <w:rsid w:val="00F25E9A"/>
    <w:rsid w:val="00F26404"/>
    <w:rsid w:val="00F274B8"/>
    <w:rsid w:val="00F27C09"/>
    <w:rsid w:val="00F27D15"/>
    <w:rsid w:val="00F3090E"/>
    <w:rsid w:val="00F30D41"/>
    <w:rsid w:val="00F31EEA"/>
    <w:rsid w:val="00F32BA8"/>
    <w:rsid w:val="00F32C38"/>
    <w:rsid w:val="00F33137"/>
    <w:rsid w:val="00F33248"/>
    <w:rsid w:val="00F3335E"/>
    <w:rsid w:val="00F337C1"/>
    <w:rsid w:val="00F33E1D"/>
    <w:rsid w:val="00F340F6"/>
    <w:rsid w:val="00F349F1"/>
    <w:rsid w:val="00F35781"/>
    <w:rsid w:val="00F36612"/>
    <w:rsid w:val="00F3715A"/>
    <w:rsid w:val="00F37171"/>
    <w:rsid w:val="00F40031"/>
    <w:rsid w:val="00F400F9"/>
    <w:rsid w:val="00F41055"/>
    <w:rsid w:val="00F4116A"/>
    <w:rsid w:val="00F41C1E"/>
    <w:rsid w:val="00F41C46"/>
    <w:rsid w:val="00F4215A"/>
    <w:rsid w:val="00F4216B"/>
    <w:rsid w:val="00F43113"/>
    <w:rsid w:val="00F43207"/>
    <w:rsid w:val="00F4350D"/>
    <w:rsid w:val="00F43601"/>
    <w:rsid w:val="00F441C5"/>
    <w:rsid w:val="00F452B9"/>
    <w:rsid w:val="00F45491"/>
    <w:rsid w:val="00F45A9F"/>
    <w:rsid w:val="00F45D27"/>
    <w:rsid w:val="00F4687A"/>
    <w:rsid w:val="00F46D1D"/>
    <w:rsid w:val="00F476E4"/>
    <w:rsid w:val="00F47ECE"/>
    <w:rsid w:val="00F50327"/>
    <w:rsid w:val="00F50532"/>
    <w:rsid w:val="00F505A3"/>
    <w:rsid w:val="00F5124F"/>
    <w:rsid w:val="00F513A4"/>
    <w:rsid w:val="00F5214A"/>
    <w:rsid w:val="00F52359"/>
    <w:rsid w:val="00F52C39"/>
    <w:rsid w:val="00F55C1E"/>
    <w:rsid w:val="00F56144"/>
    <w:rsid w:val="00F567F7"/>
    <w:rsid w:val="00F56AB5"/>
    <w:rsid w:val="00F56FB6"/>
    <w:rsid w:val="00F57C87"/>
    <w:rsid w:val="00F604BB"/>
    <w:rsid w:val="00F606DD"/>
    <w:rsid w:val="00F60E71"/>
    <w:rsid w:val="00F610EF"/>
    <w:rsid w:val="00F6191B"/>
    <w:rsid w:val="00F61B09"/>
    <w:rsid w:val="00F62036"/>
    <w:rsid w:val="00F62AAD"/>
    <w:rsid w:val="00F62E7F"/>
    <w:rsid w:val="00F64200"/>
    <w:rsid w:val="00F6482E"/>
    <w:rsid w:val="00F64B66"/>
    <w:rsid w:val="00F659DE"/>
    <w:rsid w:val="00F65ABA"/>
    <w:rsid w:val="00F65B52"/>
    <w:rsid w:val="00F67794"/>
    <w:rsid w:val="00F67BCA"/>
    <w:rsid w:val="00F67BD7"/>
    <w:rsid w:val="00F704B5"/>
    <w:rsid w:val="00F70C2C"/>
    <w:rsid w:val="00F7325C"/>
    <w:rsid w:val="00F73BD6"/>
    <w:rsid w:val="00F74819"/>
    <w:rsid w:val="00F74C6A"/>
    <w:rsid w:val="00F75874"/>
    <w:rsid w:val="00F75C71"/>
    <w:rsid w:val="00F7650B"/>
    <w:rsid w:val="00F77B0B"/>
    <w:rsid w:val="00F77D74"/>
    <w:rsid w:val="00F77E7F"/>
    <w:rsid w:val="00F800C9"/>
    <w:rsid w:val="00F800CA"/>
    <w:rsid w:val="00F80ECF"/>
    <w:rsid w:val="00F8115C"/>
    <w:rsid w:val="00F81D6D"/>
    <w:rsid w:val="00F82449"/>
    <w:rsid w:val="00F83211"/>
    <w:rsid w:val="00F83989"/>
    <w:rsid w:val="00F83B17"/>
    <w:rsid w:val="00F84791"/>
    <w:rsid w:val="00F85099"/>
    <w:rsid w:val="00F85791"/>
    <w:rsid w:val="00F86391"/>
    <w:rsid w:val="00F86839"/>
    <w:rsid w:val="00F86A12"/>
    <w:rsid w:val="00F872E8"/>
    <w:rsid w:val="00F87604"/>
    <w:rsid w:val="00F87EAA"/>
    <w:rsid w:val="00F87FA1"/>
    <w:rsid w:val="00F90038"/>
    <w:rsid w:val="00F90180"/>
    <w:rsid w:val="00F90A8E"/>
    <w:rsid w:val="00F91692"/>
    <w:rsid w:val="00F92783"/>
    <w:rsid w:val="00F92C46"/>
    <w:rsid w:val="00F9343F"/>
    <w:rsid w:val="00F9379C"/>
    <w:rsid w:val="00F9454A"/>
    <w:rsid w:val="00F94D95"/>
    <w:rsid w:val="00F94E5A"/>
    <w:rsid w:val="00F95226"/>
    <w:rsid w:val="00F957D6"/>
    <w:rsid w:val="00F95EB6"/>
    <w:rsid w:val="00F961DE"/>
    <w:rsid w:val="00F9632C"/>
    <w:rsid w:val="00F96334"/>
    <w:rsid w:val="00F96751"/>
    <w:rsid w:val="00F96AB5"/>
    <w:rsid w:val="00F97952"/>
    <w:rsid w:val="00FA0ED9"/>
    <w:rsid w:val="00FA1846"/>
    <w:rsid w:val="00FA1877"/>
    <w:rsid w:val="00FA1AEB"/>
    <w:rsid w:val="00FA1B24"/>
    <w:rsid w:val="00FA1BA9"/>
    <w:rsid w:val="00FA1E52"/>
    <w:rsid w:val="00FA234E"/>
    <w:rsid w:val="00FA31DE"/>
    <w:rsid w:val="00FA3627"/>
    <w:rsid w:val="00FA3D08"/>
    <w:rsid w:val="00FA417C"/>
    <w:rsid w:val="00FA53AF"/>
    <w:rsid w:val="00FA62C9"/>
    <w:rsid w:val="00FA7163"/>
    <w:rsid w:val="00FA7378"/>
    <w:rsid w:val="00FA7625"/>
    <w:rsid w:val="00FA7D17"/>
    <w:rsid w:val="00FA7DC0"/>
    <w:rsid w:val="00FB0938"/>
    <w:rsid w:val="00FB099D"/>
    <w:rsid w:val="00FB1C77"/>
    <w:rsid w:val="00FB1CE5"/>
    <w:rsid w:val="00FB30CD"/>
    <w:rsid w:val="00FB46F3"/>
    <w:rsid w:val="00FB4A98"/>
    <w:rsid w:val="00FB5508"/>
    <w:rsid w:val="00FB5BB2"/>
    <w:rsid w:val="00FB5BFA"/>
    <w:rsid w:val="00FB6137"/>
    <w:rsid w:val="00FB690D"/>
    <w:rsid w:val="00FB70AB"/>
    <w:rsid w:val="00FB742F"/>
    <w:rsid w:val="00FB7519"/>
    <w:rsid w:val="00FB7D23"/>
    <w:rsid w:val="00FB7DEB"/>
    <w:rsid w:val="00FC034F"/>
    <w:rsid w:val="00FC2012"/>
    <w:rsid w:val="00FC21E5"/>
    <w:rsid w:val="00FC2EA5"/>
    <w:rsid w:val="00FC2EDE"/>
    <w:rsid w:val="00FC33E9"/>
    <w:rsid w:val="00FC3427"/>
    <w:rsid w:val="00FC367C"/>
    <w:rsid w:val="00FC3EB8"/>
    <w:rsid w:val="00FC4232"/>
    <w:rsid w:val="00FC51D1"/>
    <w:rsid w:val="00FC58F8"/>
    <w:rsid w:val="00FC7341"/>
    <w:rsid w:val="00FC7369"/>
    <w:rsid w:val="00FC7A4E"/>
    <w:rsid w:val="00FC7D25"/>
    <w:rsid w:val="00FC7F2D"/>
    <w:rsid w:val="00FD0354"/>
    <w:rsid w:val="00FD0A32"/>
    <w:rsid w:val="00FD0A4D"/>
    <w:rsid w:val="00FD0C03"/>
    <w:rsid w:val="00FD0E7B"/>
    <w:rsid w:val="00FD1072"/>
    <w:rsid w:val="00FD13CC"/>
    <w:rsid w:val="00FD1B0D"/>
    <w:rsid w:val="00FD27A4"/>
    <w:rsid w:val="00FD3210"/>
    <w:rsid w:val="00FD3247"/>
    <w:rsid w:val="00FD44F8"/>
    <w:rsid w:val="00FD49DD"/>
    <w:rsid w:val="00FD4A73"/>
    <w:rsid w:val="00FD4F8E"/>
    <w:rsid w:val="00FD5056"/>
    <w:rsid w:val="00FD693F"/>
    <w:rsid w:val="00FD6B29"/>
    <w:rsid w:val="00FD6CBA"/>
    <w:rsid w:val="00FD7469"/>
    <w:rsid w:val="00FE1606"/>
    <w:rsid w:val="00FE24C6"/>
    <w:rsid w:val="00FE2929"/>
    <w:rsid w:val="00FE2FA1"/>
    <w:rsid w:val="00FE2FB8"/>
    <w:rsid w:val="00FE328E"/>
    <w:rsid w:val="00FE328F"/>
    <w:rsid w:val="00FE3DF7"/>
    <w:rsid w:val="00FE45EA"/>
    <w:rsid w:val="00FE4688"/>
    <w:rsid w:val="00FE5349"/>
    <w:rsid w:val="00FE5715"/>
    <w:rsid w:val="00FE5CA7"/>
    <w:rsid w:val="00FE6A2C"/>
    <w:rsid w:val="00FE72D6"/>
    <w:rsid w:val="00FE7452"/>
    <w:rsid w:val="00FE777B"/>
    <w:rsid w:val="00FE79D0"/>
    <w:rsid w:val="00FE7C7A"/>
    <w:rsid w:val="00FF0E2A"/>
    <w:rsid w:val="00FF10CE"/>
    <w:rsid w:val="00FF1544"/>
    <w:rsid w:val="00FF1A8A"/>
    <w:rsid w:val="00FF1E84"/>
    <w:rsid w:val="00FF26B0"/>
    <w:rsid w:val="00FF2F66"/>
    <w:rsid w:val="00FF38C5"/>
    <w:rsid w:val="00FF3A3A"/>
    <w:rsid w:val="00FF40D2"/>
    <w:rsid w:val="00FF5196"/>
    <w:rsid w:val="00FF6007"/>
    <w:rsid w:val="00FF68F3"/>
    <w:rsid w:val="00FF722D"/>
    <w:rsid w:val="00FF7450"/>
    <w:rsid w:val="00FF76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0DBB"/>
  <w15:chartTrackingRefBased/>
  <w15:docId w15:val="{B172F7AF-766D-4554-A5AD-C080B552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FootnoteText">
    <w:name w:val="footnote text"/>
    <w:basedOn w:val="Normal"/>
    <w:link w:val="FootnoteTextChar"/>
    <w:semiHidden/>
    <w:unhideWhenUsed/>
    <w:rsid w:val="00C92DA7"/>
    <w:pPr>
      <w:spacing w:line="240" w:lineRule="auto"/>
    </w:pPr>
    <w:rPr>
      <w:rFonts w:eastAsia="Times New Roman"/>
      <w:sz w:val="20"/>
      <w:lang w:eastAsia="en-AU"/>
    </w:rPr>
  </w:style>
  <w:style w:type="character" w:customStyle="1" w:styleId="FootnoteTextChar">
    <w:name w:val="Footnote Text Char"/>
    <w:basedOn w:val="DefaultParagraphFont"/>
    <w:link w:val="FootnoteText"/>
    <w:semiHidden/>
    <w:rsid w:val="00C92DA7"/>
    <w:rPr>
      <w:rFonts w:eastAsia="Times New Roman"/>
    </w:rPr>
  </w:style>
  <w:style w:type="character" w:styleId="FootnoteReference">
    <w:name w:val="footnote reference"/>
    <w:basedOn w:val="DefaultParagraphFont"/>
    <w:uiPriority w:val="99"/>
    <w:unhideWhenUsed/>
    <w:rsid w:val="00C92DA7"/>
    <w:rPr>
      <w:vertAlign w:val="superscript"/>
    </w:rPr>
  </w:style>
  <w:style w:type="character" w:styleId="FollowedHyperlink">
    <w:name w:val="FollowedHyperlink"/>
    <w:basedOn w:val="DefaultParagraphFont"/>
    <w:uiPriority w:val="99"/>
    <w:semiHidden/>
    <w:unhideWhenUsed/>
    <w:rsid w:val="00157BA4"/>
    <w:rPr>
      <w:color w:val="954F72" w:themeColor="followedHyperlink"/>
      <w:u w:val="single"/>
    </w:rPr>
  </w:style>
  <w:style w:type="paragraph" w:styleId="ListParagraph">
    <w:name w:val="List Paragraph"/>
    <w:basedOn w:val="Normal"/>
    <w:uiPriority w:val="34"/>
    <w:qFormat/>
    <w:rsid w:val="0066359F"/>
    <w:pPr>
      <w:ind w:left="720"/>
      <w:contextualSpacing/>
    </w:pPr>
  </w:style>
  <w:style w:type="paragraph" w:customStyle="1" w:styleId="subparaa">
    <w:name w:val="sub para (a)"/>
    <w:basedOn w:val="BodyText"/>
    <w:rsid w:val="001732E3"/>
    <w:pPr>
      <w:tabs>
        <w:tab w:val="num" w:pos="2693"/>
      </w:tabs>
      <w:overflowPunct/>
      <w:autoSpaceDE/>
      <w:autoSpaceDN/>
      <w:adjustRightInd/>
      <w:spacing w:before="100" w:after="0"/>
      <w:ind w:left="2693" w:hanging="425"/>
    </w:pPr>
    <w:rPr>
      <w:color w:val="auto"/>
      <w:sz w:val="22"/>
      <w:szCs w:val="22"/>
      <w:lang w:eastAsia="en-AU"/>
    </w:rPr>
  </w:style>
  <w:style w:type="paragraph" w:customStyle="1" w:styleId="subsubparai">
    <w:name w:val="sub sub para (i)"/>
    <w:basedOn w:val="subparaa"/>
    <w:rsid w:val="001732E3"/>
    <w:pPr>
      <w:tabs>
        <w:tab w:val="clear" w:pos="2693"/>
        <w:tab w:val="num" w:pos="3119"/>
      </w:tabs>
      <w:ind w:left="3119" w:hanging="426"/>
    </w:pPr>
  </w:style>
  <w:style w:type="paragraph" w:customStyle="1" w:styleId="sub3paraA">
    <w:name w:val="sub3para (A)"/>
    <w:basedOn w:val="subsubparai"/>
    <w:qFormat/>
    <w:rsid w:val="001732E3"/>
    <w:pPr>
      <w:tabs>
        <w:tab w:val="clear" w:pos="3119"/>
        <w:tab w:val="num" w:pos="3544"/>
      </w:tabs>
      <w:ind w:left="3544" w:hanging="425"/>
    </w:pPr>
  </w:style>
  <w:style w:type="paragraph" w:customStyle="1" w:styleId="sub4paraI">
    <w:name w:val="sub4para (I)"/>
    <w:basedOn w:val="subsubparai"/>
    <w:qFormat/>
    <w:rsid w:val="001732E3"/>
    <w:pPr>
      <w:tabs>
        <w:tab w:val="clear" w:pos="3119"/>
        <w:tab w:val="num" w:pos="3969"/>
      </w:tabs>
      <w:ind w:left="3969" w:hanging="425"/>
    </w:pPr>
  </w:style>
  <w:style w:type="paragraph" w:customStyle="1" w:styleId="Responsebullet">
    <w:name w:val="Response bullet"/>
    <w:basedOn w:val="Normal"/>
    <w:qFormat/>
    <w:rsid w:val="001732E3"/>
    <w:pPr>
      <w:numPr>
        <w:numId w:val="7"/>
      </w:numPr>
      <w:pBdr>
        <w:left w:val="single" w:sz="6" w:space="2" w:color="0072CE"/>
      </w:pBdr>
      <w:spacing w:before="100"/>
    </w:pPr>
    <w:rPr>
      <w:rFonts w:ascii="Arial" w:eastAsia="Times New Roman" w:hAnsi="Arial" w:cs="Arial"/>
      <w:sz w:val="20"/>
      <w:lang w:eastAsia="en-AU"/>
    </w:rPr>
  </w:style>
  <w:style w:type="character" w:styleId="UnresolvedMention">
    <w:name w:val="Unresolved Mention"/>
    <w:basedOn w:val="DefaultParagraphFont"/>
    <w:uiPriority w:val="99"/>
    <w:unhideWhenUsed/>
    <w:rsid w:val="008055CE"/>
    <w:rPr>
      <w:color w:val="605E5C"/>
      <w:shd w:val="clear" w:color="auto" w:fill="E1DFDD"/>
    </w:rPr>
  </w:style>
  <w:style w:type="paragraph" w:customStyle="1" w:styleId="ListPara1">
    <w:name w:val="List Para 1"/>
    <w:basedOn w:val="Normal"/>
    <w:link w:val="ListPara1Char"/>
    <w:uiPriority w:val="4"/>
    <w:qFormat/>
    <w:rsid w:val="00CF1F1B"/>
    <w:pPr>
      <w:spacing w:after="200" w:line="276" w:lineRule="auto"/>
      <w:ind w:left="3742" w:hanging="340"/>
    </w:pPr>
    <w:rPr>
      <w:rFonts w:ascii="Century Gothic" w:eastAsia="Times New Roman" w:hAnsi="Century Gothic" w:cs="Arial"/>
      <w:szCs w:val="22"/>
      <w:lang w:val="en-US" w:eastAsia="en-AU"/>
    </w:rPr>
  </w:style>
  <w:style w:type="character" w:customStyle="1" w:styleId="ListPara1Char">
    <w:name w:val="List Para 1 Char"/>
    <w:basedOn w:val="DefaultParagraphFont"/>
    <w:link w:val="ListPara1"/>
    <w:uiPriority w:val="4"/>
    <w:rsid w:val="00CF1F1B"/>
    <w:rPr>
      <w:rFonts w:ascii="Century Gothic" w:eastAsia="Times New Roman" w:hAnsi="Century Gothic" w:cs="Arial"/>
      <w:sz w:val="22"/>
      <w:szCs w:val="22"/>
      <w:lang w:val="en-US"/>
    </w:rPr>
  </w:style>
  <w:style w:type="paragraph" w:customStyle="1" w:styleId="tbltext">
    <w:name w:val="tbl text"/>
    <w:basedOn w:val="Normal"/>
    <w:link w:val="tbltextChar"/>
    <w:rsid w:val="00CF1F1B"/>
    <w:pPr>
      <w:widowControl w:val="0"/>
      <w:spacing w:before="120" w:line="240" w:lineRule="atLeast"/>
    </w:pPr>
    <w:rPr>
      <w:rFonts w:ascii="Arial" w:eastAsia="Times New Roman" w:hAnsi="Arial" w:cs="Arial"/>
      <w:sz w:val="18"/>
      <w:szCs w:val="18"/>
      <w:lang w:eastAsia="en-AU"/>
    </w:rPr>
  </w:style>
  <w:style w:type="paragraph" w:customStyle="1" w:styleId="tablehead">
    <w:name w:val="table head"/>
    <w:basedOn w:val="Normal"/>
    <w:rsid w:val="00CF1F1B"/>
    <w:pPr>
      <w:keepNext/>
      <w:spacing w:before="120" w:line="240" w:lineRule="atLeast"/>
    </w:pPr>
    <w:rPr>
      <w:rFonts w:ascii="Arial" w:eastAsia="Times New Roman" w:hAnsi="Arial" w:cs="Arial"/>
      <w:b/>
      <w:sz w:val="18"/>
      <w:szCs w:val="18"/>
      <w:lang w:eastAsia="en-AU"/>
    </w:rPr>
  </w:style>
  <w:style w:type="paragraph" w:customStyle="1" w:styleId="tabletitleindented">
    <w:name w:val="table title indented"/>
    <w:basedOn w:val="Normal"/>
    <w:rsid w:val="00CF1F1B"/>
    <w:pPr>
      <w:keepNext/>
      <w:spacing w:before="360" w:after="120" w:line="240" w:lineRule="atLeast"/>
      <w:ind w:left="3260" w:hanging="992"/>
    </w:pPr>
    <w:rPr>
      <w:rFonts w:ascii="Arial" w:eastAsia="Times New Roman" w:hAnsi="Arial" w:cs="Arial"/>
      <w:b/>
      <w:sz w:val="20"/>
      <w:lang w:eastAsia="en-AU"/>
    </w:rPr>
  </w:style>
  <w:style w:type="character" w:customStyle="1" w:styleId="tbltextChar">
    <w:name w:val="tbl text Char"/>
    <w:basedOn w:val="DefaultParagraphFont"/>
    <w:link w:val="tbltext"/>
    <w:rsid w:val="00CF1F1B"/>
    <w:rPr>
      <w:rFonts w:ascii="Arial" w:eastAsia="Times New Roman" w:hAnsi="Arial" w:cs="Arial"/>
      <w:sz w:val="18"/>
      <w:szCs w:val="18"/>
    </w:rPr>
  </w:style>
  <w:style w:type="paragraph" w:customStyle="1" w:styleId="tablebullet">
    <w:name w:val="table bullet"/>
    <w:basedOn w:val="Normal"/>
    <w:rsid w:val="003A4640"/>
    <w:pPr>
      <w:widowControl w:val="0"/>
      <w:numPr>
        <w:numId w:val="9"/>
      </w:numPr>
      <w:spacing w:before="60" w:line="240" w:lineRule="atLeast"/>
    </w:pPr>
    <w:rPr>
      <w:rFonts w:ascii="Arial" w:eastAsia="Times New Roman" w:hAnsi="Arial" w:cs="Arial"/>
      <w:sz w:val="18"/>
      <w:szCs w:val="18"/>
      <w:lang w:eastAsia="en-AU"/>
    </w:rPr>
  </w:style>
  <w:style w:type="paragraph" w:customStyle="1" w:styleId="MIRSubpara">
    <w:name w:val="MIR Subpara"/>
    <w:basedOn w:val="Normal"/>
    <w:link w:val="MIRSubparaChar"/>
    <w:qFormat/>
    <w:rsid w:val="003A4640"/>
    <w:pPr>
      <w:numPr>
        <w:ilvl w:val="1"/>
        <w:numId w:val="11"/>
      </w:numPr>
      <w:spacing w:before="100" w:line="300" w:lineRule="atLeast"/>
    </w:pPr>
    <w:rPr>
      <w:rFonts w:eastAsia="Times New Roman"/>
      <w:szCs w:val="22"/>
      <w:lang w:eastAsia="en-AU"/>
    </w:rPr>
  </w:style>
  <w:style w:type="paragraph" w:customStyle="1" w:styleId="MIRsubsubsubpara">
    <w:name w:val="MIR subsubsubpara"/>
    <w:basedOn w:val="Normal"/>
    <w:qFormat/>
    <w:rsid w:val="003A4640"/>
    <w:pPr>
      <w:numPr>
        <w:ilvl w:val="3"/>
        <w:numId w:val="11"/>
      </w:numPr>
      <w:spacing w:before="100" w:line="300" w:lineRule="atLeast"/>
    </w:pPr>
    <w:rPr>
      <w:rFonts w:eastAsia="Times New Roman"/>
      <w:szCs w:val="22"/>
      <w:lang w:eastAsia="en-AU"/>
    </w:rPr>
  </w:style>
  <w:style w:type="paragraph" w:customStyle="1" w:styleId="MIRBodyText">
    <w:name w:val="MIR Body Text"/>
    <w:basedOn w:val="Normal"/>
    <w:link w:val="MIRBodyTextChar"/>
    <w:qFormat/>
    <w:rsid w:val="003A4640"/>
    <w:pPr>
      <w:numPr>
        <w:numId w:val="11"/>
      </w:numPr>
      <w:tabs>
        <w:tab w:val="left" w:pos="851"/>
      </w:tabs>
      <w:spacing w:before="200" w:line="300" w:lineRule="atLeast"/>
    </w:pPr>
    <w:rPr>
      <w:rFonts w:eastAsia="Times New Roman"/>
      <w:szCs w:val="22"/>
      <w:lang w:eastAsia="en-AU"/>
    </w:rPr>
  </w:style>
  <w:style w:type="character" w:customStyle="1" w:styleId="MIRBodyTextChar">
    <w:name w:val="MIR Body Text Char"/>
    <w:basedOn w:val="DefaultParagraphFont"/>
    <w:link w:val="MIRBodyText"/>
    <w:rsid w:val="003A4640"/>
    <w:rPr>
      <w:rFonts w:eastAsia="Times New Roman"/>
      <w:sz w:val="22"/>
      <w:szCs w:val="22"/>
    </w:rPr>
  </w:style>
  <w:style w:type="paragraph" w:customStyle="1" w:styleId="MIRSubsubpara">
    <w:name w:val="MIR Subsubpara"/>
    <w:basedOn w:val="Normal"/>
    <w:qFormat/>
    <w:rsid w:val="003A4640"/>
    <w:pPr>
      <w:numPr>
        <w:ilvl w:val="2"/>
        <w:numId w:val="11"/>
      </w:numPr>
      <w:spacing w:before="100" w:line="300" w:lineRule="atLeast"/>
    </w:pPr>
    <w:rPr>
      <w:rFonts w:eastAsia="Times New Roman"/>
      <w:szCs w:val="22"/>
      <w:lang w:eastAsia="en-AU"/>
    </w:rPr>
  </w:style>
  <w:style w:type="character" w:customStyle="1" w:styleId="MIRSubparaChar">
    <w:name w:val="MIR Subpara Char"/>
    <w:basedOn w:val="DefaultParagraphFont"/>
    <w:link w:val="MIRSubpara"/>
    <w:rsid w:val="005D70C8"/>
    <w:rPr>
      <w:rFonts w:eastAsia="Times New Roman"/>
      <w:sz w:val="22"/>
      <w:szCs w:val="22"/>
    </w:rPr>
  </w:style>
  <w:style w:type="paragraph" w:customStyle="1" w:styleId="boxbullet">
    <w:name w:val="box bullet"/>
    <w:basedOn w:val="Normal"/>
    <w:rsid w:val="00553917"/>
    <w:pPr>
      <w:numPr>
        <w:numId w:val="14"/>
      </w:numPr>
      <w:spacing w:before="60"/>
    </w:pPr>
    <w:rPr>
      <w:rFonts w:ascii="Arial" w:eastAsia="Times New Roman" w:hAnsi="Arial" w:cs="Arial"/>
      <w:sz w:val="20"/>
      <w:lang w:eastAsia="en-AU"/>
    </w:rPr>
  </w:style>
  <w:style w:type="paragraph" w:customStyle="1" w:styleId="definition0">
    <w:name w:val="definition"/>
    <w:basedOn w:val="Normal"/>
    <w:rsid w:val="00553917"/>
    <w:pPr>
      <w:spacing w:before="100" w:beforeAutospacing="1" w:after="100" w:afterAutospacing="1" w:line="240" w:lineRule="auto"/>
    </w:pPr>
    <w:rPr>
      <w:rFonts w:eastAsia="Times New Roman"/>
      <w:sz w:val="24"/>
      <w:szCs w:val="24"/>
      <w:lang w:eastAsia="en-AU"/>
    </w:rPr>
  </w:style>
  <w:style w:type="paragraph" w:customStyle="1" w:styleId="MIRNote">
    <w:name w:val="MIR Note"/>
    <w:basedOn w:val="Normal"/>
    <w:link w:val="MIRNoteChar"/>
    <w:qFormat/>
    <w:rsid w:val="00626D12"/>
    <w:pPr>
      <w:spacing w:before="200" w:line="240" w:lineRule="atLeast"/>
      <w:ind w:left="1701"/>
    </w:pPr>
    <w:rPr>
      <w:rFonts w:eastAsia="Times New Roman"/>
      <w:sz w:val="18"/>
      <w:szCs w:val="22"/>
      <w:lang w:eastAsia="en-AU"/>
    </w:rPr>
  </w:style>
  <w:style w:type="character" w:customStyle="1" w:styleId="MIRNoteChar">
    <w:name w:val="MIR Note Char"/>
    <w:basedOn w:val="DefaultParagraphFont"/>
    <w:link w:val="MIRNote"/>
    <w:rsid w:val="00626D12"/>
    <w:rPr>
      <w:rFonts w:eastAsia="Times New Roman"/>
      <w:sz w:val="18"/>
      <w:szCs w:val="22"/>
    </w:rPr>
  </w:style>
  <w:style w:type="paragraph" w:styleId="Revision">
    <w:name w:val="Revision"/>
    <w:hidden/>
    <w:uiPriority w:val="99"/>
    <w:semiHidden/>
    <w:rsid w:val="007945D5"/>
    <w:rPr>
      <w:sz w:val="22"/>
      <w:lang w:eastAsia="en-US"/>
    </w:rPr>
  </w:style>
  <w:style w:type="character" w:styleId="Mention">
    <w:name w:val="Mention"/>
    <w:basedOn w:val="DefaultParagraphFont"/>
    <w:uiPriority w:val="99"/>
    <w:unhideWhenUsed/>
    <w:rsid w:val="00A256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173">
      <w:bodyDiv w:val="1"/>
      <w:marLeft w:val="0"/>
      <w:marRight w:val="0"/>
      <w:marTop w:val="0"/>
      <w:marBottom w:val="0"/>
      <w:divBdr>
        <w:top w:val="none" w:sz="0" w:space="0" w:color="auto"/>
        <w:left w:val="none" w:sz="0" w:space="0" w:color="auto"/>
        <w:bottom w:val="none" w:sz="0" w:space="0" w:color="auto"/>
        <w:right w:val="none" w:sz="0" w:space="0" w:color="auto"/>
      </w:divBdr>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46307727">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41241078">
      <w:bodyDiv w:val="1"/>
      <w:marLeft w:val="0"/>
      <w:marRight w:val="0"/>
      <w:marTop w:val="0"/>
      <w:marBottom w:val="0"/>
      <w:divBdr>
        <w:top w:val="none" w:sz="0" w:space="0" w:color="auto"/>
        <w:left w:val="none" w:sz="0" w:space="0" w:color="auto"/>
        <w:bottom w:val="none" w:sz="0" w:space="0" w:color="auto"/>
        <w:right w:val="none" w:sz="0" w:space="0" w:color="auto"/>
      </w:divBdr>
      <w:divsChild>
        <w:div w:id="88234285">
          <w:marLeft w:val="0"/>
          <w:marRight w:val="0"/>
          <w:marTop w:val="0"/>
          <w:marBottom w:val="0"/>
          <w:divBdr>
            <w:top w:val="none" w:sz="0" w:space="0" w:color="auto"/>
            <w:left w:val="none" w:sz="0" w:space="0" w:color="auto"/>
            <w:bottom w:val="single" w:sz="8" w:space="1" w:color="auto"/>
            <w:right w:val="none" w:sz="0" w:space="0" w:color="auto"/>
          </w:divBdr>
        </w:div>
        <w:div w:id="1024090509">
          <w:marLeft w:val="0"/>
          <w:marRight w:val="0"/>
          <w:marTop w:val="0"/>
          <w:marBottom w:val="0"/>
          <w:divBdr>
            <w:top w:val="single" w:sz="8" w:space="1" w:color="auto"/>
            <w:left w:val="none" w:sz="0" w:space="0" w:color="auto"/>
            <w:bottom w:val="none" w:sz="0" w:space="0" w:color="auto"/>
            <w:right w:val="none" w:sz="0" w:space="0" w:color="auto"/>
          </w:divBdr>
        </w:div>
      </w:divsChild>
    </w:div>
    <w:div w:id="875001489">
      <w:bodyDiv w:val="1"/>
      <w:marLeft w:val="0"/>
      <w:marRight w:val="0"/>
      <w:marTop w:val="0"/>
      <w:marBottom w:val="0"/>
      <w:divBdr>
        <w:top w:val="none" w:sz="0" w:space="0" w:color="auto"/>
        <w:left w:val="none" w:sz="0" w:space="0" w:color="auto"/>
        <w:bottom w:val="none" w:sz="0" w:space="0" w:color="auto"/>
        <w:right w:val="none" w:sz="0" w:space="0" w:color="auto"/>
      </w:divBdr>
      <w:divsChild>
        <w:div w:id="727612556">
          <w:marLeft w:val="0"/>
          <w:marRight w:val="0"/>
          <w:marTop w:val="0"/>
          <w:marBottom w:val="0"/>
          <w:divBdr>
            <w:top w:val="none" w:sz="0" w:space="0" w:color="auto"/>
            <w:left w:val="none" w:sz="0" w:space="0" w:color="auto"/>
            <w:bottom w:val="none" w:sz="0" w:space="0" w:color="auto"/>
            <w:right w:val="none" w:sz="0" w:space="0" w:color="auto"/>
          </w:divBdr>
          <w:divsChild>
            <w:div w:id="98918638">
              <w:marLeft w:val="0"/>
              <w:marRight w:val="0"/>
              <w:marTop w:val="0"/>
              <w:marBottom w:val="0"/>
              <w:divBdr>
                <w:top w:val="none" w:sz="0" w:space="0" w:color="auto"/>
                <w:left w:val="none" w:sz="0" w:space="0" w:color="auto"/>
                <w:bottom w:val="none" w:sz="0" w:space="0" w:color="auto"/>
                <w:right w:val="none" w:sz="0" w:space="0" w:color="auto"/>
              </w:divBdr>
              <w:divsChild>
                <w:div w:id="1055817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50908226">
          <w:marLeft w:val="0"/>
          <w:marRight w:val="0"/>
          <w:marTop w:val="0"/>
          <w:marBottom w:val="0"/>
          <w:divBdr>
            <w:top w:val="none" w:sz="0" w:space="0" w:color="auto"/>
            <w:left w:val="none" w:sz="0" w:space="0" w:color="auto"/>
            <w:bottom w:val="none" w:sz="0" w:space="0" w:color="auto"/>
            <w:right w:val="none" w:sz="0" w:space="0" w:color="auto"/>
          </w:divBdr>
          <w:divsChild>
            <w:div w:id="2577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88691769">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81715318">
      <w:bodyDiv w:val="1"/>
      <w:marLeft w:val="0"/>
      <w:marRight w:val="0"/>
      <w:marTop w:val="0"/>
      <w:marBottom w:val="0"/>
      <w:divBdr>
        <w:top w:val="none" w:sz="0" w:space="0" w:color="auto"/>
        <w:left w:val="none" w:sz="0" w:space="0" w:color="auto"/>
        <w:bottom w:val="none" w:sz="0" w:space="0" w:color="auto"/>
        <w:right w:val="none" w:sz="0" w:space="0" w:color="auto"/>
      </w:divBdr>
    </w:div>
    <w:div w:id="1681076665">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iroc.org/publications/gls/roc_20210922.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ownload.asic.gov.au/media/4950776/asic-derivative-transaction-rules-reporting-2013-deternination-2018-1096.pdf" TargetMode="External"/><Relationship Id="rId34" Type="http://schemas.openxmlformats.org/officeDocument/2006/relationships/hyperlink" Target="https://www.ag.gov.au/rights-and-protections/human-rights-and-anti-discrimination/human-rights-scrutiny/public-sector-guidance-sheets/privacy-and-reputa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osco.org/library/pubdocs/pdf/IOSCOPD580.pdf" TargetMode="External"/><Relationship Id="rId25" Type="http://schemas.openxmlformats.org/officeDocument/2006/relationships/header" Target="header1.xml"/><Relationship Id="rId33" Type="http://schemas.openxmlformats.org/officeDocument/2006/relationships/hyperlink" Target="https://asic.gov.au/regulatory-resources/find-a-document/consultation-papers/cp-361-proposed-changes-to-simplify-the-asic-derivative-transaction-rules-reporting-second-consultation/" TargetMode="External"/><Relationship Id="rId2" Type="http://schemas.openxmlformats.org/officeDocument/2006/relationships/customXml" Target="../customXml/item2.xml"/><Relationship Id="rId16" Type="http://schemas.openxmlformats.org/officeDocument/2006/relationships/hyperlink" Target="https://www.iosco.org/library/pubdocs/pdf/IOSCOPD557.pdf" TargetMode="External"/><Relationship Id="rId20" Type="http://schemas.openxmlformats.org/officeDocument/2006/relationships/hyperlink" Target="https://asic.gov.au/regulatory-resources/find-a-document/regulatory-guides/rg-216-markets-disciplinary-panel/" TargetMode="External"/><Relationship Id="rId29" Type="http://schemas.openxmlformats.org/officeDocument/2006/relationships/hyperlink" Target="https://www.iosco.org/library/pubdocs/pdf/IOSCOPD557.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so.org/home.html" TargetMode="External"/><Relationship Id="rId32" Type="http://schemas.openxmlformats.org/officeDocument/2006/relationships/hyperlink" Target="https://asic.gov.au/regulatory-resources/find-a-document/consultation-papers/cp-334-proposed-changes-to-simplify-the-asic-derivative-transaction-rules-reporting-first-consultation/" TargetMode="External"/><Relationship Id="rId5" Type="http://schemas.openxmlformats.org/officeDocument/2006/relationships/customXml" Target="../customXml/item5.xml"/><Relationship Id="rId15" Type="http://schemas.openxmlformats.org/officeDocument/2006/relationships/hyperlink" Target="https://www.fsb.org/2012/06/fsb-report-global-legal-entity-identifier-for-financial-markets/" TargetMode="External"/><Relationship Id="rId23" Type="http://schemas.openxmlformats.org/officeDocument/2006/relationships/hyperlink" Target="https://download.asic.gov.au/media/5072063/prescribed-derivative-trade-repositories-determination-19-0325.pdf" TargetMode="External"/><Relationship Id="rId28" Type="http://schemas.openxmlformats.org/officeDocument/2006/relationships/hyperlink" Target="https://www.fsb.org/2012/06/fsb-report-global-legal-entity-identifier-for-financial-markets/"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asic.gov.au/regulatory-resources/find-a-document/consultation-papers/cp-334-proposed-changes-to-simplify-the-asic-derivative-transaction-rules-reporting-first-consultation/" TargetMode="External"/><Relationship Id="rId31" Type="http://schemas.openxmlformats.org/officeDocument/2006/relationships/hyperlink" Target="https://www.leiroc.org/publications/gls/roc_20210922.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download.asic.gov.au/media/3276186/asic-prescribed-trade-repositories-determination-15_0591.pdf" TargetMode="External"/><Relationship Id="rId27" Type="http://schemas.openxmlformats.org/officeDocument/2006/relationships/footer" Target="footer1.xml"/><Relationship Id="rId30" Type="http://schemas.openxmlformats.org/officeDocument/2006/relationships/hyperlink" Target="https://www.iosco.org/library/pubdocs/pdf/IOSCOPD580.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iroc.org" TargetMode="External"/><Relationship Id="rId1" Type="http://schemas.openxmlformats.org/officeDocument/2006/relationships/hyperlink" Target="https://www.leiro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1884093534C14F97E78FECD91E4D5E" ma:contentTypeVersion="7" ma:contentTypeDescription="Create a new document." ma:contentTypeScope="" ma:versionID="0c3b04ecf3eef79b130090765d0a110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6866825ac798522bf9433a7dd65bd0f5"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TaxCatchAll xmlns="db2b92ca-6ed0-4085-802d-4c686a2e8c3f">
      <Value>1</Value>
    </TaxCatchAll>
    <DocumentNotes xmlns="db2b92ca-6ed0-4085-802d-4c686a2e8c3f" xsi:nil="true"/>
    <NAPReason xmlns="db2b92ca-6ed0-4085-802d-4c686a2e8c3f" xsi:nil="true"/>
    <ECMSP13ModifiedBy xmlns="eb44715b-cd74-4c79-92c4-f0e9f1a86440">Chris Flanagan</ECMSP13ModifiedBy>
    <ECMSP13CreatedBy xmlns="eb44715b-cd74-4c79-92c4-f0e9f1a86440">Chris Flanagan</ECMSP13CreatedBy>
    <ECMSP13SecurityClassification xmlns="eb44715b-cd74-4c79-92c4-f0e9f1a86440">Sensitive</ECMSP13SecurityClassification>
    <ECMSP13DocumentID xmlns="eb44715b-cd74-4c79-92c4-f0e9f1a86440">R20190000303009</ECMSP13DocumentID>
    <_dlc_DocId xmlns="eb44715b-cd74-4c79-92c4-f0e9f1a86440">001055-1122178031-2461</_dlc_DocId>
    <_dlc_DocIdUrl xmlns="eb44715b-cd74-4c79-92c4-f0e9f1a86440">
      <Url>https://asiclink.sharepoint.com/teams/001055/_layouts/15/DocIdRedir.aspx?ID=001055-1122178031-2461</Url>
      <Description>001055-1122178031-2461</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1BC3-6422-4ACD-ACC4-CC6B216A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BF981-FD0F-43DE-9486-84B06A309871}">
  <ds:schemaRefs>
    <ds:schemaRef ds:uri="http://schemas.microsoft.com/sharepoint/v3/contenttype/forms"/>
  </ds:schemaRefs>
</ds:datastoreItem>
</file>

<file path=customXml/itemProps3.xml><?xml version="1.0" encoding="utf-8"?>
<ds:datastoreItem xmlns:ds="http://schemas.openxmlformats.org/officeDocument/2006/customXml" ds:itemID="{2F60C075-AFC5-4BA5-A4BF-50F4DAA03D16}">
  <ds:schemaRefs>
    <ds:schemaRef ds:uri="Microsoft.SharePoint.Taxonomy.ContentTypeSync"/>
  </ds:schemaRefs>
</ds:datastoreItem>
</file>

<file path=customXml/itemProps4.xml><?xml version="1.0" encoding="utf-8"?>
<ds:datastoreItem xmlns:ds="http://schemas.openxmlformats.org/officeDocument/2006/customXml" ds:itemID="{8DFC3A2D-29AD-4D61-825B-5E64659D8DA7}">
  <ds:schemaRefs>
    <ds:schemaRef ds:uri="http://schemas.microsoft.com/office/2006/metadata/longProperties"/>
  </ds:schemaRefs>
</ds:datastoreItem>
</file>

<file path=customXml/itemProps5.xml><?xml version="1.0" encoding="utf-8"?>
<ds:datastoreItem xmlns:ds="http://schemas.openxmlformats.org/officeDocument/2006/customXml" ds:itemID="{8FBB6455-C0AB-482E-B236-D86FCAB0EB2C}">
  <ds:schemaRefs>
    <ds:schemaRef ds:uri="http://schemas.microsoft.com/sharepoint/events"/>
  </ds:schemaRefs>
</ds:datastoreItem>
</file>

<file path=customXml/itemProps6.xml><?xml version="1.0" encoding="utf-8"?>
<ds:datastoreItem xmlns:ds="http://schemas.openxmlformats.org/officeDocument/2006/customXml" ds:itemID="{1C5C2BBE-A258-42BC-8E08-C72274913B6C}">
  <ds:schemaRefs>
    <ds:schemaRef ds:uri="http://schemas.microsoft.com/office/infopath/2007/PartnerControls"/>
    <ds:schemaRef ds:uri="http://purl.org/dc/terms/"/>
    <ds:schemaRef ds:uri="http://www.w3.org/XML/1998/namespace"/>
    <ds:schemaRef ds:uri="http://schemas.microsoft.com/office/2006/documentManagement/types"/>
    <ds:schemaRef ds:uri="eb44715b-cd74-4c79-92c4-f0e9f1a86440"/>
    <ds:schemaRef ds:uri="http://purl.org/dc/elements/1.1/"/>
    <ds:schemaRef ds:uri="db2b92ca-6ed0-4085-802d-4c686a2e8c3f"/>
    <ds:schemaRef ds:uri="http://schemas.openxmlformats.org/package/2006/metadata/core-properties"/>
    <ds:schemaRef ds:uri="http://schemas.microsoft.com/office/2006/metadata/properties"/>
    <ds:schemaRef ds:uri="http://purl.org/dc/dcmitype/"/>
  </ds:schemaRefs>
</ds:datastoreItem>
</file>

<file path=customXml/itemProps7.xml><?xml version="1.0" encoding="utf-8"?>
<ds:datastoreItem xmlns:ds="http://schemas.openxmlformats.org/officeDocument/2006/customXml" ds:itemID="{21A89C9C-8A1F-4B12-B0D1-8EAC7106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4</TotalTime>
  <Pages>62</Pages>
  <Words>22199</Words>
  <Characters>126540</Characters>
  <Application>Microsoft Office Word</Application>
  <DocSecurity>0</DocSecurity>
  <PresentationFormat/>
  <Lines>1054</Lines>
  <Paragraphs>296</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148443</CharactersWithSpaces>
  <SharedDoc>false</SharedDoc>
  <HyperlinkBase/>
  <HLinks>
    <vt:vector size="114" baseType="variant">
      <vt:variant>
        <vt:i4>5963841</vt:i4>
      </vt:variant>
      <vt:variant>
        <vt:i4>51</vt:i4>
      </vt:variant>
      <vt:variant>
        <vt:i4>0</vt:i4>
      </vt:variant>
      <vt:variant>
        <vt:i4>5</vt:i4>
      </vt:variant>
      <vt:variant>
        <vt:lpwstr>https://www.ag.gov.au/rights-and-protections/human-rights-and-anti-discrimination/human-rights-scrutiny/public-sector-guidance-sheets/privacy-and-reputation</vt:lpwstr>
      </vt:variant>
      <vt:variant>
        <vt:lpwstr/>
      </vt:variant>
      <vt:variant>
        <vt:i4>1310788</vt:i4>
      </vt:variant>
      <vt:variant>
        <vt:i4>48</vt:i4>
      </vt:variant>
      <vt:variant>
        <vt:i4>0</vt:i4>
      </vt:variant>
      <vt:variant>
        <vt:i4>5</vt:i4>
      </vt:variant>
      <vt:variant>
        <vt:lpwstr>https://asic.gov.au/regulatory-resources/find-a-document/consultation-papers/cp-361-proposed-changes-to-simplify-the-asic-derivative-transaction-rules-reporting-second-consultation/</vt:lpwstr>
      </vt:variant>
      <vt:variant>
        <vt:lpwstr/>
      </vt:variant>
      <vt:variant>
        <vt:i4>786457</vt:i4>
      </vt:variant>
      <vt:variant>
        <vt:i4>45</vt:i4>
      </vt:variant>
      <vt:variant>
        <vt:i4>0</vt:i4>
      </vt:variant>
      <vt:variant>
        <vt:i4>5</vt:i4>
      </vt:variant>
      <vt:variant>
        <vt:lpwstr>https://asic.gov.au/regulatory-resources/find-a-document/consultation-papers/cp-334-proposed-changes-to-simplify-the-asic-derivative-transaction-rules-reporting-first-consultation/</vt:lpwstr>
      </vt:variant>
      <vt:variant>
        <vt:lpwstr/>
      </vt:variant>
      <vt:variant>
        <vt:i4>6881286</vt:i4>
      </vt:variant>
      <vt:variant>
        <vt:i4>42</vt:i4>
      </vt:variant>
      <vt:variant>
        <vt:i4>0</vt:i4>
      </vt:variant>
      <vt:variant>
        <vt:i4>5</vt:i4>
      </vt:variant>
      <vt:variant>
        <vt:lpwstr>https://www.leiroc.org/publications/gls/roc_20210922.pdf</vt:lpwstr>
      </vt:variant>
      <vt:variant>
        <vt:lpwstr/>
      </vt:variant>
      <vt:variant>
        <vt:i4>524368</vt:i4>
      </vt:variant>
      <vt:variant>
        <vt:i4>39</vt:i4>
      </vt:variant>
      <vt:variant>
        <vt:i4>0</vt:i4>
      </vt:variant>
      <vt:variant>
        <vt:i4>5</vt:i4>
      </vt:variant>
      <vt:variant>
        <vt:lpwstr>https://www.iosco.org/library/pubdocs/pdf/IOSCOPD580.pdf</vt:lpwstr>
      </vt:variant>
      <vt:variant>
        <vt:lpwstr/>
      </vt:variant>
      <vt:variant>
        <vt:i4>983133</vt:i4>
      </vt:variant>
      <vt:variant>
        <vt:i4>36</vt:i4>
      </vt:variant>
      <vt:variant>
        <vt:i4>0</vt:i4>
      </vt:variant>
      <vt:variant>
        <vt:i4>5</vt:i4>
      </vt:variant>
      <vt:variant>
        <vt:lpwstr>https://www.iosco.org/library/pubdocs/pdf/IOSCOPD557.pdf</vt:lpwstr>
      </vt:variant>
      <vt:variant>
        <vt:lpwstr/>
      </vt:variant>
      <vt:variant>
        <vt:i4>262212</vt:i4>
      </vt:variant>
      <vt:variant>
        <vt:i4>33</vt:i4>
      </vt:variant>
      <vt:variant>
        <vt:i4>0</vt:i4>
      </vt:variant>
      <vt:variant>
        <vt:i4>5</vt:i4>
      </vt:variant>
      <vt:variant>
        <vt:lpwstr>https://www.fsb.org/2012/06/fsb-report-global-legal-entity-identifier-for-financial-markets/</vt:lpwstr>
      </vt:variant>
      <vt:variant>
        <vt:lpwstr/>
      </vt:variant>
      <vt:variant>
        <vt:i4>4653073</vt:i4>
      </vt:variant>
      <vt:variant>
        <vt:i4>30</vt:i4>
      </vt:variant>
      <vt:variant>
        <vt:i4>0</vt:i4>
      </vt:variant>
      <vt:variant>
        <vt:i4>5</vt:i4>
      </vt:variant>
      <vt:variant>
        <vt:lpwstr>https://www.iso.org/home.html</vt:lpwstr>
      </vt:variant>
      <vt:variant>
        <vt:lpwstr/>
      </vt:variant>
      <vt:variant>
        <vt:i4>6094871</vt:i4>
      </vt:variant>
      <vt:variant>
        <vt:i4>27</vt:i4>
      </vt:variant>
      <vt:variant>
        <vt:i4>0</vt:i4>
      </vt:variant>
      <vt:variant>
        <vt:i4>5</vt:i4>
      </vt:variant>
      <vt:variant>
        <vt:lpwstr>https://download.asic.gov.au/media/5072063/prescribed-derivative-trade-repositories-determination-19-0325.pdf</vt:lpwstr>
      </vt:variant>
      <vt:variant>
        <vt:lpwstr/>
      </vt:variant>
      <vt:variant>
        <vt:i4>4063250</vt:i4>
      </vt:variant>
      <vt:variant>
        <vt:i4>24</vt:i4>
      </vt:variant>
      <vt:variant>
        <vt:i4>0</vt:i4>
      </vt:variant>
      <vt:variant>
        <vt:i4>5</vt:i4>
      </vt:variant>
      <vt:variant>
        <vt:lpwstr>https://download.asic.gov.au/media/3276186/asic-prescribed-trade-repositories-determination-15_0591.pdf</vt:lpwstr>
      </vt:variant>
      <vt:variant>
        <vt:lpwstr/>
      </vt:variant>
      <vt:variant>
        <vt:i4>6684719</vt:i4>
      </vt:variant>
      <vt:variant>
        <vt:i4>21</vt:i4>
      </vt:variant>
      <vt:variant>
        <vt:i4>0</vt:i4>
      </vt:variant>
      <vt:variant>
        <vt:i4>5</vt:i4>
      </vt:variant>
      <vt:variant>
        <vt:lpwstr>https://download.asic.gov.au/media/4950776/asic-derivative-transaction-rules-reporting-2013-deternination-2018-1096.pdf</vt:lpwstr>
      </vt:variant>
      <vt:variant>
        <vt:lpwstr/>
      </vt:variant>
      <vt:variant>
        <vt:i4>458779</vt:i4>
      </vt:variant>
      <vt:variant>
        <vt:i4>18</vt:i4>
      </vt:variant>
      <vt:variant>
        <vt:i4>0</vt:i4>
      </vt:variant>
      <vt:variant>
        <vt:i4>5</vt:i4>
      </vt:variant>
      <vt:variant>
        <vt:lpwstr>https://asic.gov.au/regulatory-resources/find-a-document/regulatory-guides/rg-216-markets-disciplinary-panel/</vt:lpwstr>
      </vt:variant>
      <vt:variant>
        <vt:lpwstr/>
      </vt:variant>
      <vt:variant>
        <vt:i4>786457</vt:i4>
      </vt:variant>
      <vt:variant>
        <vt:i4>12</vt:i4>
      </vt:variant>
      <vt:variant>
        <vt:i4>0</vt:i4>
      </vt:variant>
      <vt:variant>
        <vt:i4>5</vt:i4>
      </vt:variant>
      <vt:variant>
        <vt:lpwstr>https://asic.gov.au/regulatory-resources/find-a-document/consultation-papers/cp-334-proposed-changes-to-simplify-the-asic-derivative-transaction-rules-reporting-first-consultation/</vt:lpwstr>
      </vt:variant>
      <vt:variant>
        <vt:lpwstr/>
      </vt:variant>
      <vt:variant>
        <vt:i4>6881286</vt:i4>
      </vt:variant>
      <vt:variant>
        <vt:i4>9</vt:i4>
      </vt:variant>
      <vt:variant>
        <vt:i4>0</vt:i4>
      </vt:variant>
      <vt:variant>
        <vt:i4>5</vt:i4>
      </vt:variant>
      <vt:variant>
        <vt:lpwstr>https://www.leiroc.org/publications/gls/roc_20210922.pdf</vt:lpwstr>
      </vt:variant>
      <vt:variant>
        <vt:lpwstr/>
      </vt:variant>
      <vt:variant>
        <vt:i4>524368</vt:i4>
      </vt:variant>
      <vt:variant>
        <vt:i4>6</vt:i4>
      </vt:variant>
      <vt:variant>
        <vt:i4>0</vt:i4>
      </vt:variant>
      <vt:variant>
        <vt:i4>5</vt:i4>
      </vt:variant>
      <vt:variant>
        <vt:lpwstr>https://www.iosco.org/library/pubdocs/pdf/IOSCOPD580.pdf</vt:lpwstr>
      </vt:variant>
      <vt:variant>
        <vt:lpwstr/>
      </vt:variant>
      <vt:variant>
        <vt:i4>983133</vt:i4>
      </vt:variant>
      <vt:variant>
        <vt:i4>3</vt:i4>
      </vt:variant>
      <vt:variant>
        <vt:i4>0</vt:i4>
      </vt:variant>
      <vt:variant>
        <vt:i4>5</vt:i4>
      </vt:variant>
      <vt:variant>
        <vt:lpwstr>https://www.iosco.org/library/pubdocs/pdf/IOSCOPD557.pdf</vt:lpwstr>
      </vt:variant>
      <vt:variant>
        <vt:lpwstr/>
      </vt:variant>
      <vt:variant>
        <vt:i4>262212</vt:i4>
      </vt:variant>
      <vt:variant>
        <vt:i4>0</vt:i4>
      </vt:variant>
      <vt:variant>
        <vt:i4>0</vt:i4>
      </vt:variant>
      <vt:variant>
        <vt:i4>5</vt:i4>
      </vt:variant>
      <vt:variant>
        <vt:lpwstr>https://www.fsb.org/2012/06/fsb-report-global-legal-entity-identifier-for-financial-markets/</vt:lpwstr>
      </vt:variant>
      <vt:variant>
        <vt:lpwstr/>
      </vt:variant>
      <vt:variant>
        <vt:i4>3407990</vt:i4>
      </vt:variant>
      <vt:variant>
        <vt:i4>3</vt:i4>
      </vt:variant>
      <vt:variant>
        <vt:i4>0</vt:i4>
      </vt:variant>
      <vt:variant>
        <vt:i4>5</vt:i4>
      </vt:variant>
      <vt:variant>
        <vt:lpwstr>https://www.leiroc.org/</vt:lpwstr>
      </vt:variant>
      <vt:variant>
        <vt:lpwstr/>
      </vt:variant>
      <vt:variant>
        <vt:i4>3407990</vt:i4>
      </vt:variant>
      <vt:variant>
        <vt:i4>0</vt:i4>
      </vt:variant>
      <vt:variant>
        <vt:i4>0</vt:i4>
      </vt:variant>
      <vt:variant>
        <vt:i4>5</vt:i4>
      </vt:variant>
      <vt:variant>
        <vt:lpwstr>https://www.leiroc.org/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4</cp:revision>
  <cp:lastPrinted>2023-03-19T22:07:00Z</cp:lastPrinted>
  <dcterms:created xsi:type="dcterms:W3CDTF">2023-03-24T01:42:00Z</dcterms:created>
  <dcterms:modified xsi:type="dcterms:W3CDTF">2023-03-24T01:47:00Z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{8027df9f-95e0-475c-b900-a220af875f43}</vt:lpwstr>
  </property>
  <property fmtid="{D5CDD505-2E9C-101B-9397-08002B2CF9AE}" pid="41" name="RecordPoint_ActiveItemListId">
    <vt:lpwstr>{f89b27eb-3b45-4769-9d33-ae9295f29f58}</vt:lpwstr>
  </property>
  <property fmtid="{D5CDD505-2E9C-101B-9397-08002B2CF9AE}" pid="42" name="RecordPoint_ActiveItemUniqueId">
    <vt:lpwstr>{c3184e87-7da6-42e3-9c19-f95eafd2bb55}</vt:lpwstr>
  </property>
  <property fmtid="{D5CDD505-2E9C-101B-9397-08002B2CF9AE}" pid="43" name="RecordPoint_ActiveItemWebId">
    <vt:lpwstr>{f63f9ae9-a1c5-49c7-acae-688630facce8}</vt:lpwstr>
  </property>
  <property fmtid="{D5CDD505-2E9C-101B-9397-08002B2CF9AE}" pid="44" name="IconOverlay">
    <vt:lpwstr/>
  </property>
  <property fmtid="{D5CDD505-2E9C-101B-9397-08002B2CF9AE}" pid="45" name="RecordNumber">
    <vt:lpwstr>R20190000303009</vt:lpwstr>
  </property>
  <property fmtid="{D5CDD505-2E9C-101B-9397-08002B2CF9AE}" pid="46" name="RecordPoint_SubmissionCompleted">
    <vt:lpwstr/>
  </property>
  <property fmtid="{D5CDD505-2E9C-101B-9397-08002B2CF9AE}" pid="47" name="RecordPoint_RecordNumberSubmitted">
    <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1;#OFFICIAL - Sensitive|6eccc17f-024b-41b0-b6b1-faf98d2aff85</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RecordPoint_ActiveItemMoved">
    <vt:lpwstr/>
  </property>
  <property fmtid="{D5CDD505-2E9C-101B-9397-08002B2CF9AE}" pid="61" name="ContentTypeId">
    <vt:lpwstr>0x010100B5F685A1365F544391EF8C813B164F3A006A0666AD55E74A4AA7B2AAEA6C351A6000421884093534C14F97E78FECD91E4D5E</vt:lpwstr>
  </property>
  <property fmtid="{D5CDD505-2E9C-101B-9397-08002B2CF9AE}" pid="62" name="f947e1037e3e49619e55f8843e0f11fe">
    <vt:lpwstr>Sensitive|19fd2cb8-3e97-4464-ae71-8c2c2095d028</vt:lpwstr>
  </property>
  <property fmtid="{D5CDD505-2E9C-101B-9397-08002B2CF9AE}" pid="63" name="MailSubject">
    <vt:lpwstr/>
  </property>
  <property fmtid="{D5CDD505-2E9C-101B-9397-08002B2CF9AE}" pid="64" name="display_urn:schemas-microsoft-com:office:office#Editor">
    <vt:lpwstr>Chris Flanagan</vt:lpwstr>
  </property>
  <property fmtid="{D5CDD505-2E9C-101B-9397-08002B2CF9AE}" pid="65" name="MailCc">
    <vt:lpwstr/>
  </property>
  <property fmtid="{D5CDD505-2E9C-101B-9397-08002B2CF9AE}" pid="66" name="MailTo">
    <vt:lpwstr/>
  </property>
  <property fmtid="{D5CDD505-2E9C-101B-9397-08002B2CF9AE}" pid="67" name="DocumentSetDescription">
    <vt:lpwstr/>
  </property>
  <property fmtid="{D5CDD505-2E9C-101B-9397-08002B2CF9AE}" pid="68" name="display_urn:schemas-microsoft-com:office:office#Author">
    <vt:lpwstr>Chris Flanagan</vt:lpwstr>
  </property>
  <property fmtid="{D5CDD505-2E9C-101B-9397-08002B2CF9AE}" pid="69" name="RecordID">
    <vt:lpwstr>R20190000303009</vt:lpwstr>
  </property>
  <property fmtid="{D5CDD505-2E9C-101B-9397-08002B2CF9AE}" pid="70" name="MailReferences">
    <vt:lpwstr/>
  </property>
  <property fmtid="{D5CDD505-2E9C-101B-9397-08002B2CF9AE}" pid="71" name="MailIn-Reply-To">
    <vt:lpwstr/>
  </property>
  <property fmtid="{D5CDD505-2E9C-101B-9397-08002B2CF9AE}" pid="72" name="MailFrom">
    <vt:lpwstr/>
  </property>
  <property fmtid="{D5CDD505-2E9C-101B-9397-08002B2CF9AE}" pid="73" name="MailOriginalSubject">
    <vt:lpwstr/>
  </property>
  <property fmtid="{D5CDD505-2E9C-101B-9397-08002B2CF9AE}" pid="74" name="MailReply-To">
    <vt:lpwstr/>
  </property>
  <property fmtid="{D5CDD505-2E9C-101B-9397-08002B2CF9AE}" pid="75" name="_dlc_DocId">
    <vt:lpwstr>003986-573877388-5055</vt:lpwstr>
  </property>
  <property fmtid="{D5CDD505-2E9C-101B-9397-08002B2CF9AE}" pid="76" name="_dlc_DocIdUrl">
    <vt:lpwstr>https://asiclink.sharepoint.com/teams/003986/_layouts/15/DocIdRedir.aspx?ID=003986-573877388-5055, 003986-573877388-5055</vt:lpwstr>
  </property>
  <property fmtid="{D5CDD505-2E9C-101B-9397-08002B2CF9AE}" pid="77" name="MailIn-Reply-To0">
    <vt:lpwstr/>
  </property>
  <property fmtid="{D5CDD505-2E9C-101B-9397-08002B2CF9AE}" pid="78" name="_ExtendedDescription">
    <vt:lpwstr/>
  </property>
  <property fmtid="{D5CDD505-2E9C-101B-9397-08002B2CF9AE}" pid="79" name="MailReply-To0">
    <vt:lpwstr/>
  </property>
  <property fmtid="{D5CDD505-2E9C-101B-9397-08002B2CF9AE}" pid="80" name="bdf3bab5a81c426f8b5cbfa0265a271c">
    <vt:lpwstr/>
  </property>
  <property fmtid="{D5CDD505-2E9C-101B-9397-08002B2CF9AE}" pid="81" name="PolicyWorkDocumentType">
    <vt:lpwstr/>
  </property>
  <property fmtid="{D5CDD505-2E9C-101B-9397-08002B2CF9AE}" pid="82" name="MSIP_Label_a6aead41-07f8-4767-ac8e-ef1c9c793766_Enabled">
    <vt:lpwstr>true</vt:lpwstr>
  </property>
  <property fmtid="{D5CDD505-2E9C-101B-9397-08002B2CF9AE}" pid="83" name="MSIP_Label_a6aead41-07f8-4767-ac8e-ef1c9c793766_SetDate">
    <vt:lpwstr>2022-11-02T23:06:40Z</vt:lpwstr>
  </property>
  <property fmtid="{D5CDD505-2E9C-101B-9397-08002B2CF9AE}" pid="84" name="MSIP_Label_a6aead41-07f8-4767-ac8e-ef1c9c793766_Method">
    <vt:lpwstr>Standard</vt:lpwstr>
  </property>
  <property fmtid="{D5CDD505-2E9C-101B-9397-08002B2CF9AE}" pid="85" name="MSIP_Label_a6aead41-07f8-4767-ac8e-ef1c9c793766_Name">
    <vt:lpwstr>OFFICIAL</vt:lpwstr>
  </property>
  <property fmtid="{D5CDD505-2E9C-101B-9397-08002B2CF9AE}" pid="86" name="MSIP_Label_a6aead41-07f8-4767-ac8e-ef1c9c793766_SiteId">
    <vt:lpwstr>5f1de7c6-55cd-4bb2-902d-514c78cf10f4</vt:lpwstr>
  </property>
  <property fmtid="{D5CDD505-2E9C-101B-9397-08002B2CF9AE}" pid="87" name="MSIP_Label_a6aead41-07f8-4767-ac8e-ef1c9c793766_ActionId">
    <vt:lpwstr>0b5a4fd0-6ca1-43da-bdc1-6b835e6e3bb0</vt:lpwstr>
  </property>
  <property fmtid="{D5CDD505-2E9C-101B-9397-08002B2CF9AE}" pid="88" name="MSIP_Label_a6aead41-07f8-4767-ac8e-ef1c9c793766_ContentBits">
    <vt:lpwstr>0</vt:lpwstr>
  </property>
  <property fmtid="{D5CDD505-2E9C-101B-9397-08002B2CF9AE}" pid="89" name="_dlc_DocIdItemGuid">
    <vt:lpwstr>05500f03-8383-4f65-9b5f-f72f5902a653</vt:lpwstr>
  </property>
</Properties>
</file>