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052F" w14:textId="77777777" w:rsidR="008037E2" w:rsidRPr="00D02A4D" w:rsidRDefault="008037E2" w:rsidP="008037E2">
      <w:pPr>
        <w:jc w:val="center"/>
        <w:rPr>
          <w:rFonts w:ascii="Times New Roman" w:hAnsi="Times New Roman"/>
          <w:b/>
          <w:sz w:val="24"/>
          <w:szCs w:val="24"/>
          <w:u w:val="single"/>
        </w:rPr>
      </w:pPr>
      <w:r w:rsidRPr="00D02A4D">
        <w:rPr>
          <w:rFonts w:ascii="Times New Roman" w:hAnsi="Times New Roman"/>
          <w:b/>
          <w:sz w:val="24"/>
          <w:szCs w:val="24"/>
          <w:u w:val="single"/>
        </w:rPr>
        <w:t>EXPLANATORY STATEMENT</w:t>
      </w:r>
    </w:p>
    <w:p w14:paraId="41AC8EBA" w14:textId="679E8113" w:rsidR="008037E2" w:rsidRPr="00D02A4D" w:rsidRDefault="008037E2" w:rsidP="008037E2">
      <w:pPr>
        <w:spacing w:before="240" w:after="240"/>
        <w:jc w:val="center"/>
        <w:rPr>
          <w:rFonts w:ascii="Times New Roman" w:hAnsi="Times New Roman"/>
          <w:sz w:val="24"/>
          <w:szCs w:val="24"/>
          <w:u w:val="single"/>
        </w:rPr>
      </w:pPr>
      <w:r w:rsidRPr="00D02A4D">
        <w:rPr>
          <w:rFonts w:ascii="Times New Roman" w:hAnsi="Times New Roman"/>
          <w:sz w:val="24"/>
          <w:szCs w:val="24"/>
          <w:u w:val="single"/>
        </w:rPr>
        <w:t>Issued by the authority of the Greenhouse and Energy Minimum Standards Regulator</w:t>
      </w:r>
    </w:p>
    <w:p w14:paraId="13EC4752" w14:textId="101ACBAF" w:rsidR="008037E2" w:rsidRPr="00D02A4D" w:rsidRDefault="008037E2" w:rsidP="008037E2">
      <w:pPr>
        <w:pStyle w:val="NormalWeb"/>
        <w:jc w:val="center"/>
        <w:rPr>
          <w:i/>
        </w:rPr>
      </w:pPr>
      <w:r w:rsidRPr="00D02A4D">
        <w:rPr>
          <w:i/>
        </w:rPr>
        <w:t>Greenhouse and Energy Minimum Standards Act 2012</w:t>
      </w:r>
    </w:p>
    <w:p w14:paraId="6A78CEC8" w14:textId="6EF76BD6" w:rsidR="008037E2" w:rsidRPr="00D02A4D" w:rsidRDefault="008037E2" w:rsidP="008037E2">
      <w:pPr>
        <w:pStyle w:val="NormalWeb"/>
        <w:jc w:val="center"/>
        <w:rPr>
          <w:i/>
        </w:rPr>
      </w:pPr>
      <w:r w:rsidRPr="00D02A4D">
        <w:rPr>
          <w:i/>
        </w:rPr>
        <w:t xml:space="preserve">Greenhouse and Energy Minimum Standards (Exemption) Instrument (No. </w:t>
      </w:r>
      <w:r w:rsidR="00232A85" w:rsidRPr="00D02A4D">
        <w:rPr>
          <w:i/>
        </w:rPr>
        <w:t>3</w:t>
      </w:r>
      <w:r w:rsidRPr="00D02A4D">
        <w:rPr>
          <w:i/>
        </w:rPr>
        <w:t>) 2022</w:t>
      </w:r>
    </w:p>
    <w:p w14:paraId="37A1BF20" w14:textId="77777777" w:rsidR="008037E2" w:rsidRPr="00D02A4D" w:rsidRDefault="008037E2" w:rsidP="008037E2">
      <w:pPr>
        <w:spacing w:before="240" w:after="240"/>
        <w:rPr>
          <w:rFonts w:ascii="Times New Roman" w:hAnsi="Times New Roman"/>
          <w:b/>
          <w:sz w:val="24"/>
          <w:szCs w:val="24"/>
          <w:u w:val="single"/>
        </w:rPr>
      </w:pPr>
      <w:r w:rsidRPr="00D02A4D">
        <w:rPr>
          <w:rFonts w:ascii="Times New Roman" w:hAnsi="Times New Roman"/>
          <w:b/>
          <w:sz w:val="24"/>
          <w:szCs w:val="24"/>
          <w:u w:val="single"/>
        </w:rPr>
        <w:t>Purpose and Operation</w:t>
      </w:r>
    </w:p>
    <w:p w14:paraId="22BBCC4E" w14:textId="1095DE97" w:rsidR="00426EAD" w:rsidRPr="00D02A4D" w:rsidRDefault="00426EAD" w:rsidP="00426EAD">
      <w:pPr>
        <w:pStyle w:val="NormalWeb"/>
      </w:pPr>
      <w:r w:rsidRPr="00D02A4D">
        <w:t>Subsection 37(1) of the</w:t>
      </w:r>
      <w:r w:rsidRPr="00D02A4D">
        <w:rPr>
          <w:i/>
        </w:rPr>
        <w:t xml:space="preserve"> Greenhouse and Energy Minimum Standards (GEMS) Act 2012</w:t>
      </w:r>
      <w:r w:rsidRPr="00D02A4D">
        <w:t xml:space="preserve"> (</w:t>
      </w:r>
      <w:r w:rsidRPr="00D02A4D">
        <w:rPr>
          <w:b/>
        </w:rPr>
        <w:t>Act</w:t>
      </w:r>
      <w:r w:rsidRPr="00D02A4D">
        <w:t>) provides that the GEMS Regulator may, by legislative instrument, in accordance with regulations made for the purposes of subsection 37(1), exempt specified models of GEMS products from one or more requirements of a GEMS determination in relation to all or specified supplies or uses of products of that model. The GEMS Regulator may specify conditions to which the exemption is subject in accordance with subsection 37(2) of the Act. A GEMS determination is defined in section 11 of the Act.</w:t>
      </w:r>
    </w:p>
    <w:p w14:paraId="5729A562" w14:textId="0790CC7A" w:rsidR="008037E2" w:rsidRPr="00D02A4D" w:rsidRDefault="008037E2" w:rsidP="008037E2">
      <w:pPr>
        <w:pStyle w:val="NormalWeb"/>
      </w:pPr>
      <w:r w:rsidRPr="00D02A4D">
        <w:t xml:space="preserve">Division 4.1 of the </w:t>
      </w:r>
      <w:r w:rsidRPr="00D02A4D">
        <w:rPr>
          <w:i/>
        </w:rPr>
        <w:t>Greenhouse and Energy Minimum Standards Regulation 2012</w:t>
      </w:r>
      <w:r w:rsidRPr="00D02A4D">
        <w:t xml:space="preserve"> (</w:t>
      </w:r>
      <w:r w:rsidRPr="00D02A4D">
        <w:rPr>
          <w:b/>
        </w:rPr>
        <w:t>Regulation</w:t>
      </w:r>
      <w:r w:rsidRPr="00D02A4D">
        <w:t>) sets out the circumstances in which the GEMS Regulator may exempt a model of a GEMS product from the requirements of a GEMS determination.</w:t>
      </w:r>
    </w:p>
    <w:p w14:paraId="73BA7A70" w14:textId="202CF805" w:rsidR="008037E2" w:rsidRPr="00D02A4D" w:rsidRDefault="008037E2" w:rsidP="008037E2">
      <w:pPr>
        <w:pStyle w:val="NormalWeb"/>
        <w:rPr>
          <w:color w:val="000000"/>
          <w:shd w:val="clear" w:color="auto" w:fill="FFFFFF"/>
        </w:rPr>
      </w:pPr>
      <w:r w:rsidRPr="00D02A4D">
        <w:t xml:space="preserve">The purpose of the </w:t>
      </w:r>
      <w:r w:rsidRPr="00D02A4D">
        <w:rPr>
          <w:i/>
        </w:rPr>
        <w:t xml:space="preserve">Greenhouse and Energy Minimum Standards (Exemption) Instrument (No. </w:t>
      </w:r>
      <w:r w:rsidR="00232A85" w:rsidRPr="00D02A4D">
        <w:rPr>
          <w:i/>
        </w:rPr>
        <w:t>3</w:t>
      </w:r>
      <w:r w:rsidRPr="00D02A4D">
        <w:rPr>
          <w:i/>
        </w:rPr>
        <w:t xml:space="preserve">) 2022 </w:t>
      </w:r>
      <w:r w:rsidRPr="00D02A4D">
        <w:t>(</w:t>
      </w:r>
      <w:r w:rsidRPr="00D02A4D">
        <w:rPr>
          <w:b/>
        </w:rPr>
        <w:t>Instrument</w:t>
      </w:r>
      <w:r w:rsidRPr="00D02A4D">
        <w:t>) is to exe</w:t>
      </w:r>
      <w:r w:rsidR="00003D03" w:rsidRPr="00D02A4D">
        <w:t>mpt supplies by Hewlett Packard Australia Pty Ltd (HPA), trading as Hewlett Packard Enterprise of a specified computer server from the minimum energy performance (</w:t>
      </w:r>
      <w:r w:rsidR="00003D03" w:rsidRPr="00D02A4D">
        <w:rPr>
          <w:b/>
        </w:rPr>
        <w:t>MEPS</w:t>
      </w:r>
      <w:r w:rsidR="00003D03" w:rsidRPr="00D02A4D">
        <w:t>) requirement relating to the standby (off) power mode consumption (</w:t>
      </w:r>
      <w:r w:rsidR="00003D03" w:rsidRPr="00D02A4D">
        <w:rPr>
          <w:b/>
        </w:rPr>
        <w:t>standby MEPS requirements</w:t>
      </w:r>
      <w:r w:rsidR="00003D03" w:rsidRPr="00D02A4D">
        <w:t xml:space="preserve">) set out in subsection 6(1)(b) of the  </w:t>
      </w:r>
      <w:r w:rsidRPr="00D02A4D">
        <w:rPr>
          <w:i/>
        </w:rPr>
        <w:t>Greenhouse and Energy Minimum Standa</w:t>
      </w:r>
      <w:r w:rsidR="00003D03" w:rsidRPr="00D02A4D">
        <w:rPr>
          <w:i/>
        </w:rPr>
        <w:t>rds (Computers</w:t>
      </w:r>
      <w:r w:rsidRPr="00D02A4D">
        <w:rPr>
          <w:i/>
        </w:rPr>
        <w:t xml:space="preserve">) Determination </w:t>
      </w:r>
      <w:r w:rsidR="00003D03" w:rsidRPr="00D02A4D">
        <w:rPr>
          <w:i/>
        </w:rPr>
        <w:t>2013</w:t>
      </w:r>
      <w:r w:rsidRPr="00D02A4D">
        <w:rPr>
          <w:i/>
        </w:rPr>
        <w:t xml:space="preserve"> </w:t>
      </w:r>
      <w:r w:rsidRPr="00D02A4D">
        <w:t>(</w:t>
      </w:r>
      <w:r w:rsidRPr="00D02A4D">
        <w:rPr>
          <w:b/>
        </w:rPr>
        <w:t>2</w:t>
      </w:r>
      <w:r w:rsidR="00003D03" w:rsidRPr="00D02A4D">
        <w:rPr>
          <w:b/>
        </w:rPr>
        <w:t>013</w:t>
      </w:r>
      <w:r w:rsidRPr="00D02A4D">
        <w:rPr>
          <w:b/>
        </w:rPr>
        <w:t xml:space="preserve"> Determination</w:t>
      </w:r>
      <w:r w:rsidRPr="00D02A4D">
        <w:t>)</w:t>
      </w:r>
      <w:r w:rsidR="00CE59CF" w:rsidRPr="00D02A4D">
        <w:t>.</w:t>
      </w:r>
    </w:p>
    <w:p w14:paraId="53F812B9" w14:textId="67675712" w:rsidR="008037E2" w:rsidRPr="00D02A4D" w:rsidRDefault="00003D03" w:rsidP="008037E2">
      <w:pPr>
        <w:pStyle w:val="NormalWeb"/>
      </w:pPr>
      <w:r w:rsidRPr="00D02A4D">
        <w:t xml:space="preserve">The remote management capabilities of the </w:t>
      </w:r>
      <w:r w:rsidR="00142E99" w:rsidRPr="00D02A4D">
        <w:t>ProLiant MicroServer Gen10 Plus v2 (Gen10 Plus v2), both small-scale computer servers</w:t>
      </w:r>
      <w:r w:rsidR="00C623DD" w:rsidRPr="00D02A4D">
        <w:t>, which remain</w:t>
      </w:r>
      <w:r w:rsidRPr="00D02A4D">
        <w:t xml:space="preserve"> on even when the server</w:t>
      </w:r>
      <w:r w:rsidR="00C623DD" w:rsidRPr="00D02A4D">
        <w:t>s</w:t>
      </w:r>
      <w:r w:rsidRPr="00D02A4D">
        <w:t xml:space="preserve"> </w:t>
      </w:r>
      <w:r w:rsidR="00C623DD" w:rsidRPr="00D02A4D">
        <w:t>are in standby mode, make</w:t>
      </w:r>
      <w:r w:rsidRPr="00D02A4D">
        <w:t xml:space="preserve"> it difficult for </w:t>
      </w:r>
      <w:r w:rsidR="00C623DD" w:rsidRPr="00D02A4D">
        <w:t xml:space="preserve">these servers </w:t>
      </w:r>
      <w:r w:rsidRPr="00D02A4D">
        <w:t>to comply with the standby MEPS requirements.</w:t>
      </w:r>
    </w:p>
    <w:p w14:paraId="184A54C8" w14:textId="2C580D61" w:rsidR="00003D03" w:rsidRPr="00D02A4D" w:rsidRDefault="008037E2" w:rsidP="008037E2">
      <w:pPr>
        <w:pStyle w:val="NormalWeb"/>
      </w:pPr>
      <w:r w:rsidRPr="00D02A4D">
        <w:t>The GEMS Regulator considered all the matters set out in the Regul</w:t>
      </w:r>
      <w:r w:rsidR="00003D03" w:rsidRPr="00D02A4D">
        <w:t>ation and has decided to grant the</w:t>
      </w:r>
      <w:r w:rsidRPr="00D02A4D">
        <w:t xml:space="preserve"> exemption</w:t>
      </w:r>
      <w:r w:rsidR="00003D03" w:rsidRPr="00D02A4D">
        <w:t xml:space="preserve"> requested by HPA. While the units do not meet the standby MEPS requirements in relation to standby (off mode) power consumption, the GEMS Regulator is satisfied that </w:t>
      </w:r>
      <w:r w:rsidR="00853CA1" w:rsidRPr="00D02A4D">
        <w:t xml:space="preserve">the </w:t>
      </w:r>
      <w:r w:rsidR="00003D03" w:rsidRPr="00D02A4D">
        <w:t xml:space="preserve">impact on Australia’s greenhouse gas emissions as a result of the exemption </w:t>
      </w:r>
      <w:r w:rsidR="00853CA1" w:rsidRPr="00D02A4D">
        <w:t xml:space="preserve">will not be </w:t>
      </w:r>
      <w:r w:rsidR="00C623DD" w:rsidRPr="00D02A4D">
        <w:t>significant</w:t>
      </w:r>
      <w:r w:rsidR="00794013" w:rsidRPr="00D02A4D">
        <w:t xml:space="preserve"> as the projected sales are not large</w:t>
      </w:r>
      <w:r w:rsidR="00003D03" w:rsidRPr="00D02A4D">
        <w:t>.</w:t>
      </w:r>
    </w:p>
    <w:p w14:paraId="634B1408" w14:textId="1E028FE3" w:rsidR="008037E2" w:rsidRPr="00D02A4D" w:rsidRDefault="008037E2" w:rsidP="008037E2">
      <w:pPr>
        <w:pStyle w:val="NormalWeb"/>
      </w:pPr>
      <w:r w:rsidRPr="00D02A4D">
        <w:t xml:space="preserve">Models covered by exemptions must still be registered under the Act. </w:t>
      </w:r>
    </w:p>
    <w:p w14:paraId="5E76997D" w14:textId="2B2FD8E3" w:rsidR="008037E2" w:rsidRPr="00D02A4D" w:rsidRDefault="008037E2" w:rsidP="008037E2">
      <w:pPr>
        <w:pStyle w:val="NormalWeb"/>
      </w:pPr>
      <w:r w:rsidRPr="00D02A4D">
        <w:t xml:space="preserve">Further details of the </w:t>
      </w:r>
      <w:r w:rsidRPr="00D02A4D">
        <w:rPr>
          <w:i/>
        </w:rPr>
        <w:t xml:space="preserve">Greenhouse and Energy Minimum Standards (Exemption) Instrument (No. </w:t>
      </w:r>
      <w:r w:rsidR="00232A85" w:rsidRPr="00D02A4D">
        <w:rPr>
          <w:i/>
        </w:rPr>
        <w:t>3</w:t>
      </w:r>
      <w:r w:rsidRPr="00D02A4D">
        <w:rPr>
          <w:i/>
        </w:rPr>
        <w:t>) 2022</w:t>
      </w:r>
      <w:r w:rsidRPr="00D02A4D">
        <w:t xml:space="preserve"> </w:t>
      </w:r>
      <w:r w:rsidR="005534F2" w:rsidRPr="00D02A4D">
        <w:t xml:space="preserve">are </w:t>
      </w:r>
      <w:r w:rsidRPr="00D02A4D">
        <w:t xml:space="preserve">outlined in </w:t>
      </w:r>
      <w:r w:rsidRPr="00D02A4D">
        <w:rPr>
          <w:u w:val="single"/>
        </w:rPr>
        <w:t>Attachment A</w:t>
      </w:r>
      <w:r w:rsidRPr="00D02A4D">
        <w:t>.</w:t>
      </w:r>
    </w:p>
    <w:p w14:paraId="5B4A664B" w14:textId="77777777" w:rsidR="00D02A4D" w:rsidRPr="00D02A4D" w:rsidRDefault="00D02A4D" w:rsidP="008037E2">
      <w:pPr>
        <w:spacing w:before="240" w:after="240"/>
        <w:rPr>
          <w:rFonts w:ascii="Times New Roman" w:hAnsi="Times New Roman"/>
          <w:b/>
          <w:sz w:val="24"/>
          <w:szCs w:val="24"/>
          <w:u w:val="single"/>
        </w:rPr>
      </w:pPr>
    </w:p>
    <w:p w14:paraId="0F50B207" w14:textId="77777777" w:rsidR="00D02A4D" w:rsidRPr="00D02A4D" w:rsidRDefault="00D02A4D" w:rsidP="008037E2">
      <w:pPr>
        <w:spacing w:before="240" w:after="240"/>
        <w:rPr>
          <w:rFonts w:ascii="Times New Roman" w:hAnsi="Times New Roman"/>
          <w:b/>
          <w:sz w:val="24"/>
          <w:szCs w:val="24"/>
          <w:u w:val="single"/>
        </w:rPr>
      </w:pPr>
    </w:p>
    <w:p w14:paraId="075D1B56" w14:textId="53F5948C" w:rsidR="008037E2" w:rsidRPr="00D02A4D" w:rsidRDefault="008037E2" w:rsidP="008037E2">
      <w:pPr>
        <w:spacing w:before="240" w:after="240"/>
        <w:rPr>
          <w:rFonts w:ascii="Times New Roman" w:hAnsi="Times New Roman"/>
          <w:b/>
          <w:sz w:val="24"/>
          <w:szCs w:val="24"/>
          <w:u w:val="single"/>
        </w:rPr>
      </w:pPr>
      <w:r w:rsidRPr="00D02A4D">
        <w:rPr>
          <w:rFonts w:ascii="Times New Roman" w:hAnsi="Times New Roman"/>
          <w:b/>
          <w:sz w:val="24"/>
          <w:szCs w:val="24"/>
          <w:u w:val="single"/>
        </w:rPr>
        <w:lastRenderedPageBreak/>
        <w:t>Authority</w:t>
      </w:r>
    </w:p>
    <w:p w14:paraId="68A87F57" w14:textId="50C1BC01" w:rsidR="008037E2" w:rsidRPr="00D02A4D" w:rsidRDefault="008037E2" w:rsidP="008037E2">
      <w:pPr>
        <w:pStyle w:val="NormalWeb"/>
      </w:pPr>
      <w:r w:rsidRPr="00D02A4D">
        <w:t xml:space="preserve">Section 37 of the Act enables the </w:t>
      </w:r>
      <w:r w:rsidR="00426EAD" w:rsidRPr="00D02A4D">
        <w:t>GEMS</w:t>
      </w:r>
      <w:r w:rsidRPr="00D02A4D">
        <w:t xml:space="preserve"> Regulator to exempt models of GEMS products from one or more requirements of a GEMS determination. An exemption can be in relation to all supplies or uses of products of that model or limited to specified supplies and uses. The GEMS Regulator </w:t>
      </w:r>
      <w:r w:rsidR="00426EAD" w:rsidRPr="00D02A4D">
        <w:t xml:space="preserve">may </w:t>
      </w:r>
      <w:r w:rsidRPr="00D02A4D">
        <w:t xml:space="preserve">specify conditions to which the exemption is subject.  </w:t>
      </w:r>
    </w:p>
    <w:p w14:paraId="232A14E8" w14:textId="4555E8F7" w:rsidR="008037E2" w:rsidRPr="00D02A4D" w:rsidRDefault="008037E2" w:rsidP="008037E2">
      <w:pPr>
        <w:pStyle w:val="NormalWeb"/>
      </w:pPr>
      <w:r w:rsidRPr="00D02A4D">
        <w:t>Division 4.1 of the Regulation sets out the circumstances in which the GEMS Regulator may exempt a model of a GEMS product from the requirements of a GEMS determination.</w:t>
      </w:r>
    </w:p>
    <w:p w14:paraId="628EF48E" w14:textId="77777777" w:rsidR="008037E2" w:rsidRPr="00D02A4D" w:rsidRDefault="008037E2" w:rsidP="008037E2">
      <w:pPr>
        <w:spacing w:before="240" w:after="240"/>
        <w:rPr>
          <w:rFonts w:ascii="Times New Roman" w:hAnsi="Times New Roman"/>
          <w:b/>
          <w:sz w:val="24"/>
          <w:szCs w:val="24"/>
          <w:u w:val="single"/>
        </w:rPr>
      </w:pPr>
      <w:r w:rsidRPr="00D02A4D">
        <w:rPr>
          <w:rFonts w:ascii="Times New Roman" w:hAnsi="Times New Roman"/>
          <w:b/>
          <w:sz w:val="24"/>
          <w:szCs w:val="24"/>
          <w:u w:val="single"/>
        </w:rPr>
        <w:t>Consultation</w:t>
      </w:r>
    </w:p>
    <w:p w14:paraId="13051727" w14:textId="3ED2803A" w:rsidR="008037E2" w:rsidRPr="00D02A4D" w:rsidRDefault="008037E2" w:rsidP="008037E2">
      <w:pPr>
        <w:pStyle w:val="NormalWeb"/>
      </w:pPr>
      <w:r w:rsidRPr="00D02A4D">
        <w:t>The exemption set out in the Instrument was considered on application from the applicant. Consultation was undertaken with the applicant for the purpose of clarifying the exemption application.</w:t>
      </w:r>
    </w:p>
    <w:p w14:paraId="23B8D214" w14:textId="77777777" w:rsidR="0098174A" w:rsidRPr="00D02A4D" w:rsidRDefault="0098174A" w:rsidP="0098174A">
      <w:pPr>
        <w:spacing w:before="240" w:after="240"/>
        <w:rPr>
          <w:rFonts w:ascii="Times New Roman" w:hAnsi="Times New Roman"/>
          <w:b/>
          <w:sz w:val="24"/>
          <w:szCs w:val="24"/>
          <w:u w:val="single"/>
        </w:rPr>
      </w:pPr>
      <w:r w:rsidRPr="00D02A4D">
        <w:rPr>
          <w:rFonts w:ascii="Times New Roman" w:hAnsi="Times New Roman"/>
          <w:b/>
          <w:sz w:val="24"/>
          <w:szCs w:val="24"/>
          <w:u w:val="single"/>
        </w:rPr>
        <w:t>Regulatory Impact</w:t>
      </w:r>
    </w:p>
    <w:p w14:paraId="0A9837A8" w14:textId="61F65C8E" w:rsidR="0098174A" w:rsidRPr="00D02A4D" w:rsidRDefault="0098174A" w:rsidP="008037E2">
      <w:pPr>
        <w:pStyle w:val="NormalWeb"/>
      </w:pPr>
      <w:r w:rsidRPr="00D02A4D">
        <w:t>There will be no regulatory burden arising from the Instrument. The Office of Best Practice Regulation (</w:t>
      </w:r>
      <w:r w:rsidRPr="00D02A4D">
        <w:rPr>
          <w:b/>
        </w:rPr>
        <w:t>OBPR</w:t>
      </w:r>
      <w:r w:rsidRPr="00D02A4D">
        <w:t>) has advised that such proposals are not likely to have a regulatory impact on business, community organisations or organisations. A Regulatory Impact Statement (</w:t>
      </w:r>
      <w:r w:rsidRPr="00D02A4D">
        <w:rPr>
          <w:b/>
        </w:rPr>
        <w:t>RIS</w:t>
      </w:r>
      <w:r w:rsidRPr="00D02A4D">
        <w:t>) is therefore not required for this proposal. OBPR has advised a RIS is not required for this proposal (OBPR Ref. OBPR21-01246).</w:t>
      </w:r>
    </w:p>
    <w:p w14:paraId="3ED9AC41" w14:textId="77777777" w:rsidR="0098174A" w:rsidRPr="00D02A4D" w:rsidRDefault="0098174A" w:rsidP="0098174A">
      <w:pPr>
        <w:spacing w:before="240" w:after="240"/>
        <w:rPr>
          <w:rFonts w:ascii="Times New Roman" w:hAnsi="Times New Roman"/>
          <w:b/>
          <w:sz w:val="24"/>
          <w:szCs w:val="24"/>
          <w:u w:val="single"/>
        </w:rPr>
      </w:pPr>
      <w:r w:rsidRPr="00D02A4D">
        <w:rPr>
          <w:rFonts w:ascii="Times New Roman" w:hAnsi="Times New Roman"/>
          <w:b/>
          <w:sz w:val="24"/>
          <w:szCs w:val="24"/>
          <w:u w:val="single"/>
        </w:rPr>
        <w:t>Statement of Compatibility with Human Rights</w:t>
      </w:r>
    </w:p>
    <w:p w14:paraId="3FB1FE8C" w14:textId="77777777" w:rsidR="0098174A" w:rsidRPr="00D02A4D" w:rsidRDefault="0098174A" w:rsidP="0098174A">
      <w:pPr>
        <w:spacing w:before="120" w:after="120"/>
        <w:rPr>
          <w:rFonts w:ascii="Times New Roman" w:hAnsi="Times New Roman"/>
          <w:b/>
          <w:sz w:val="24"/>
          <w:szCs w:val="24"/>
          <w:u w:val="single"/>
        </w:rPr>
      </w:pPr>
      <w:r w:rsidRPr="00D02A4D">
        <w:rPr>
          <w:rFonts w:ascii="Times New Roman" w:hAnsi="Times New Roman"/>
          <w:sz w:val="24"/>
          <w:szCs w:val="24"/>
        </w:rPr>
        <w:t xml:space="preserve">A Statement of Compatibility with Human Rights is set out in </w:t>
      </w:r>
      <w:r w:rsidRPr="00D02A4D">
        <w:rPr>
          <w:rFonts w:ascii="Times New Roman" w:hAnsi="Times New Roman"/>
          <w:sz w:val="24"/>
          <w:szCs w:val="24"/>
          <w:u w:val="single"/>
        </w:rPr>
        <w:t>Attachment B.</w:t>
      </w:r>
    </w:p>
    <w:p w14:paraId="3FC2BF5E" w14:textId="77777777" w:rsidR="00E17062" w:rsidRPr="00D02A4D" w:rsidRDefault="00E17062" w:rsidP="00E17062">
      <w:pPr>
        <w:spacing w:before="240" w:after="240"/>
        <w:rPr>
          <w:rFonts w:ascii="Times New Roman" w:hAnsi="Times New Roman"/>
          <w:b/>
          <w:sz w:val="24"/>
          <w:szCs w:val="24"/>
          <w:u w:val="single"/>
        </w:rPr>
        <w:sectPr w:rsidR="00E17062" w:rsidRPr="00D02A4D">
          <w:footerReference w:type="default" r:id="rId12"/>
          <w:pgSz w:w="11906" w:h="16838"/>
          <w:pgMar w:top="1440" w:right="1440" w:bottom="1440" w:left="1440" w:header="708" w:footer="708" w:gutter="0"/>
          <w:cols w:space="708"/>
          <w:docGrid w:linePitch="360"/>
        </w:sectPr>
      </w:pPr>
    </w:p>
    <w:p w14:paraId="2D345B02" w14:textId="77777777" w:rsidR="00E17062" w:rsidRPr="00D02A4D" w:rsidRDefault="00E17062" w:rsidP="00E17062">
      <w:pPr>
        <w:spacing w:before="240" w:after="240"/>
        <w:jc w:val="right"/>
        <w:rPr>
          <w:rFonts w:ascii="Times New Roman" w:hAnsi="Times New Roman"/>
          <w:b/>
          <w:sz w:val="24"/>
          <w:szCs w:val="24"/>
          <w:u w:val="single"/>
        </w:rPr>
      </w:pPr>
      <w:r w:rsidRPr="00D02A4D">
        <w:rPr>
          <w:rFonts w:ascii="Times New Roman" w:hAnsi="Times New Roman"/>
          <w:b/>
          <w:sz w:val="24"/>
          <w:szCs w:val="24"/>
          <w:u w:val="single"/>
        </w:rPr>
        <w:lastRenderedPageBreak/>
        <w:t>Attachment A</w:t>
      </w:r>
    </w:p>
    <w:p w14:paraId="19E83943" w14:textId="2AC75DED" w:rsidR="00E17062" w:rsidRPr="00D02A4D" w:rsidRDefault="00E17062" w:rsidP="00E17062">
      <w:pPr>
        <w:spacing w:before="240" w:after="240"/>
        <w:rPr>
          <w:rFonts w:ascii="Times New Roman" w:hAnsi="Times New Roman"/>
          <w:b/>
          <w:sz w:val="24"/>
          <w:szCs w:val="24"/>
          <w:u w:val="single"/>
        </w:rPr>
      </w:pPr>
      <w:r w:rsidRPr="00D02A4D">
        <w:rPr>
          <w:rFonts w:ascii="Times New Roman" w:hAnsi="Times New Roman"/>
          <w:b/>
          <w:sz w:val="24"/>
          <w:szCs w:val="24"/>
          <w:u w:val="single"/>
        </w:rPr>
        <w:t xml:space="preserve">Details of the </w:t>
      </w:r>
      <w:r w:rsidRPr="00D02A4D">
        <w:rPr>
          <w:rFonts w:ascii="Times New Roman" w:hAnsi="Times New Roman"/>
          <w:b/>
          <w:i/>
          <w:sz w:val="24"/>
          <w:szCs w:val="24"/>
          <w:u w:val="single"/>
        </w:rPr>
        <w:t xml:space="preserve">Greenhouse and Energy Minimum Standards </w:t>
      </w:r>
      <w:r w:rsidR="00575201" w:rsidRPr="00D02A4D">
        <w:rPr>
          <w:rFonts w:ascii="Times New Roman" w:hAnsi="Times New Roman"/>
          <w:b/>
          <w:i/>
          <w:sz w:val="24"/>
          <w:szCs w:val="24"/>
          <w:u w:val="single"/>
        </w:rPr>
        <w:t xml:space="preserve">(Exemption) Instrument (No. </w:t>
      </w:r>
      <w:r w:rsidR="00232A85" w:rsidRPr="00D02A4D">
        <w:rPr>
          <w:rFonts w:ascii="Times New Roman" w:hAnsi="Times New Roman"/>
          <w:b/>
          <w:i/>
          <w:sz w:val="24"/>
          <w:szCs w:val="24"/>
          <w:u w:val="single"/>
        </w:rPr>
        <w:t>3</w:t>
      </w:r>
      <w:r w:rsidRPr="00D02A4D">
        <w:rPr>
          <w:rFonts w:ascii="Times New Roman" w:hAnsi="Times New Roman"/>
          <w:b/>
          <w:i/>
          <w:sz w:val="24"/>
          <w:szCs w:val="24"/>
          <w:u w:val="single"/>
        </w:rPr>
        <w:t>) 2022</w:t>
      </w:r>
    </w:p>
    <w:p w14:paraId="09846A84" w14:textId="77777777" w:rsidR="00E17062" w:rsidRPr="00D02A4D" w:rsidRDefault="00E17062" w:rsidP="00E17062">
      <w:pPr>
        <w:spacing w:before="360"/>
        <w:rPr>
          <w:rFonts w:ascii="Times New Roman" w:hAnsi="Times New Roman"/>
          <w:b/>
          <w:sz w:val="24"/>
          <w:szCs w:val="24"/>
        </w:rPr>
      </w:pPr>
      <w:r w:rsidRPr="00D02A4D">
        <w:rPr>
          <w:rFonts w:ascii="Times New Roman" w:hAnsi="Times New Roman"/>
          <w:b/>
          <w:sz w:val="24"/>
          <w:szCs w:val="24"/>
        </w:rPr>
        <w:t>Section 1 – Name of Instrument</w:t>
      </w:r>
    </w:p>
    <w:p w14:paraId="37F7055F" w14:textId="109B950F" w:rsidR="00E17062" w:rsidRPr="00D02A4D" w:rsidRDefault="00E17062" w:rsidP="00E17062">
      <w:pPr>
        <w:spacing w:before="240"/>
        <w:rPr>
          <w:rFonts w:ascii="Times New Roman" w:hAnsi="Times New Roman"/>
          <w:sz w:val="24"/>
          <w:szCs w:val="24"/>
        </w:rPr>
      </w:pPr>
      <w:r w:rsidRPr="00D02A4D">
        <w:rPr>
          <w:rFonts w:ascii="Times New Roman" w:hAnsi="Times New Roman"/>
          <w:sz w:val="24"/>
          <w:szCs w:val="24"/>
        </w:rPr>
        <w:t xml:space="preserve">This section specifies the name of the Legislative Instrument as the </w:t>
      </w:r>
      <w:r w:rsidRPr="00D02A4D">
        <w:rPr>
          <w:rFonts w:ascii="Times New Roman" w:hAnsi="Times New Roman"/>
          <w:i/>
          <w:sz w:val="24"/>
          <w:szCs w:val="24"/>
        </w:rPr>
        <w:t>Greenhouse and Energy Minimum Standar</w:t>
      </w:r>
      <w:r w:rsidR="000F6B02" w:rsidRPr="00D02A4D">
        <w:rPr>
          <w:rFonts w:ascii="Times New Roman" w:hAnsi="Times New Roman"/>
          <w:i/>
          <w:sz w:val="24"/>
          <w:szCs w:val="24"/>
        </w:rPr>
        <w:t xml:space="preserve">ds (Exemption) Instrument (No. </w:t>
      </w:r>
      <w:r w:rsidR="00232A85" w:rsidRPr="00D02A4D">
        <w:rPr>
          <w:rFonts w:ascii="Times New Roman" w:hAnsi="Times New Roman"/>
          <w:i/>
          <w:sz w:val="24"/>
          <w:szCs w:val="24"/>
        </w:rPr>
        <w:t>3</w:t>
      </w:r>
      <w:r w:rsidRPr="00D02A4D">
        <w:rPr>
          <w:rFonts w:ascii="Times New Roman" w:hAnsi="Times New Roman"/>
          <w:i/>
          <w:sz w:val="24"/>
          <w:szCs w:val="24"/>
        </w:rPr>
        <w:t>) 2022</w:t>
      </w:r>
      <w:r w:rsidRPr="00D02A4D">
        <w:rPr>
          <w:rFonts w:ascii="Times New Roman" w:hAnsi="Times New Roman"/>
          <w:sz w:val="24"/>
          <w:szCs w:val="24"/>
        </w:rPr>
        <w:t>.</w:t>
      </w:r>
    </w:p>
    <w:p w14:paraId="1ED276E8" w14:textId="77777777" w:rsidR="00E17062" w:rsidRPr="00D02A4D" w:rsidRDefault="00E17062" w:rsidP="00E17062">
      <w:pPr>
        <w:tabs>
          <w:tab w:val="left" w:pos="5220"/>
        </w:tabs>
        <w:spacing w:before="240"/>
        <w:rPr>
          <w:rFonts w:ascii="Times New Roman" w:hAnsi="Times New Roman"/>
          <w:b/>
          <w:sz w:val="24"/>
          <w:szCs w:val="24"/>
        </w:rPr>
      </w:pPr>
      <w:r w:rsidRPr="00D02A4D">
        <w:rPr>
          <w:rFonts w:ascii="Times New Roman" w:hAnsi="Times New Roman"/>
          <w:b/>
          <w:sz w:val="24"/>
          <w:szCs w:val="24"/>
        </w:rPr>
        <w:t>Section 2 – Commencement</w:t>
      </w:r>
    </w:p>
    <w:p w14:paraId="0B286066" w14:textId="335656C5" w:rsidR="00E17062" w:rsidRPr="00D02A4D" w:rsidRDefault="00E17062" w:rsidP="00E17062">
      <w:pPr>
        <w:spacing w:before="240" w:after="100" w:afterAutospacing="1"/>
        <w:rPr>
          <w:rFonts w:ascii="Times New Roman" w:hAnsi="Times New Roman"/>
          <w:sz w:val="24"/>
          <w:szCs w:val="24"/>
        </w:rPr>
      </w:pPr>
      <w:r w:rsidRPr="00D02A4D">
        <w:rPr>
          <w:rFonts w:ascii="Times New Roman" w:hAnsi="Times New Roman"/>
          <w:sz w:val="24"/>
          <w:szCs w:val="24"/>
        </w:rPr>
        <w:t xml:space="preserve">This section provides that the Legislative Instrument </w:t>
      </w:r>
      <w:r w:rsidR="005534F2" w:rsidRPr="00D02A4D">
        <w:rPr>
          <w:rFonts w:ascii="Times New Roman" w:hAnsi="Times New Roman"/>
          <w:sz w:val="24"/>
          <w:szCs w:val="24"/>
        </w:rPr>
        <w:t xml:space="preserve">commences </w:t>
      </w:r>
      <w:r w:rsidRPr="00D02A4D">
        <w:rPr>
          <w:rFonts w:ascii="Times New Roman" w:hAnsi="Times New Roman"/>
          <w:sz w:val="24"/>
          <w:szCs w:val="24"/>
        </w:rPr>
        <w:t>on the day after registration on the Federal Register of Legislation.</w:t>
      </w:r>
    </w:p>
    <w:p w14:paraId="65047D77" w14:textId="77777777" w:rsidR="00896FFA" w:rsidRPr="00D02A4D" w:rsidRDefault="00896FFA" w:rsidP="00896FFA">
      <w:pPr>
        <w:tabs>
          <w:tab w:val="left" w:pos="2610"/>
        </w:tabs>
        <w:spacing w:before="240"/>
        <w:rPr>
          <w:rFonts w:ascii="Times New Roman" w:hAnsi="Times New Roman"/>
          <w:b/>
          <w:sz w:val="24"/>
          <w:szCs w:val="24"/>
        </w:rPr>
      </w:pPr>
      <w:r w:rsidRPr="00D02A4D">
        <w:rPr>
          <w:rFonts w:ascii="Times New Roman" w:hAnsi="Times New Roman"/>
          <w:b/>
          <w:sz w:val="24"/>
          <w:szCs w:val="24"/>
        </w:rPr>
        <w:t>Section 3 – Authority</w:t>
      </w:r>
    </w:p>
    <w:p w14:paraId="42482AD3" w14:textId="12CAF4CE" w:rsidR="00E17062" w:rsidRPr="00D02A4D" w:rsidRDefault="00896FFA" w:rsidP="00E17062">
      <w:pPr>
        <w:spacing w:before="240"/>
        <w:rPr>
          <w:rFonts w:ascii="Times New Roman" w:hAnsi="Times New Roman"/>
          <w:sz w:val="24"/>
          <w:szCs w:val="24"/>
        </w:rPr>
      </w:pPr>
      <w:r w:rsidRPr="00D02A4D">
        <w:rPr>
          <w:rFonts w:ascii="Times New Roman" w:hAnsi="Times New Roman"/>
          <w:sz w:val="24"/>
          <w:szCs w:val="24"/>
        </w:rPr>
        <w:t xml:space="preserve">This section provides that </w:t>
      </w:r>
      <w:r w:rsidR="005534F2" w:rsidRPr="00D02A4D">
        <w:rPr>
          <w:rFonts w:ascii="Times New Roman" w:hAnsi="Times New Roman"/>
          <w:sz w:val="24"/>
          <w:szCs w:val="24"/>
        </w:rPr>
        <w:t>sub</w:t>
      </w:r>
      <w:r w:rsidRPr="00D02A4D">
        <w:rPr>
          <w:rFonts w:ascii="Times New Roman" w:hAnsi="Times New Roman"/>
          <w:sz w:val="24"/>
          <w:szCs w:val="24"/>
        </w:rPr>
        <w:t xml:space="preserve">section 37(1) of the </w:t>
      </w:r>
      <w:r w:rsidRPr="00D02A4D">
        <w:rPr>
          <w:rFonts w:ascii="Times New Roman" w:hAnsi="Times New Roman"/>
          <w:i/>
          <w:sz w:val="24"/>
          <w:szCs w:val="24"/>
        </w:rPr>
        <w:t xml:space="preserve">Greenhouse and Energy Minimum Standards Act 2012 </w:t>
      </w:r>
      <w:r w:rsidRPr="00D02A4D">
        <w:rPr>
          <w:rFonts w:ascii="Times New Roman" w:hAnsi="Times New Roman"/>
          <w:sz w:val="24"/>
          <w:szCs w:val="24"/>
        </w:rPr>
        <w:t>is the provision under which the Legislative Instrument is made.</w:t>
      </w:r>
    </w:p>
    <w:p w14:paraId="01F049D9" w14:textId="77777777" w:rsidR="00896FFA" w:rsidRPr="00D02A4D" w:rsidRDefault="00896FFA" w:rsidP="00896FFA">
      <w:pPr>
        <w:spacing w:before="240"/>
        <w:rPr>
          <w:rFonts w:ascii="Times New Roman" w:hAnsi="Times New Roman"/>
          <w:b/>
          <w:sz w:val="24"/>
          <w:szCs w:val="24"/>
        </w:rPr>
      </w:pPr>
      <w:r w:rsidRPr="00D02A4D">
        <w:rPr>
          <w:rFonts w:ascii="Times New Roman" w:hAnsi="Times New Roman"/>
          <w:b/>
          <w:sz w:val="24"/>
          <w:szCs w:val="24"/>
        </w:rPr>
        <w:t>Section 4 – Definitions</w:t>
      </w:r>
    </w:p>
    <w:p w14:paraId="1710DD45" w14:textId="40B2FA59" w:rsidR="00AE789E" w:rsidRPr="00D02A4D" w:rsidRDefault="00896FFA" w:rsidP="00896FFA">
      <w:pPr>
        <w:spacing w:before="240"/>
        <w:rPr>
          <w:rFonts w:ascii="Times New Roman" w:hAnsi="Times New Roman"/>
          <w:sz w:val="24"/>
          <w:szCs w:val="24"/>
        </w:rPr>
      </w:pPr>
      <w:r w:rsidRPr="00D02A4D">
        <w:rPr>
          <w:rFonts w:ascii="Times New Roman" w:hAnsi="Times New Roman"/>
          <w:sz w:val="24"/>
          <w:szCs w:val="24"/>
        </w:rPr>
        <w:t xml:space="preserve">This </w:t>
      </w:r>
      <w:r w:rsidR="005534F2" w:rsidRPr="00D02A4D">
        <w:rPr>
          <w:rFonts w:ascii="Times New Roman" w:hAnsi="Times New Roman"/>
          <w:sz w:val="24"/>
          <w:szCs w:val="24"/>
        </w:rPr>
        <w:t xml:space="preserve">section </w:t>
      </w:r>
      <w:r w:rsidRPr="00D02A4D">
        <w:rPr>
          <w:rFonts w:ascii="Times New Roman" w:hAnsi="Times New Roman"/>
          <w:sz w:val="24"/>
          <w:szCs w:val="24"/>
        </w:rPr>
        <w:t>provides for definitions of terms used in the Legislative Instrument.</w:t>
      </w:r>
      <w:r w:rsidR="00AE789E" w:rsidRPr="00D02A4D">
        <w:rPr>
          <w:rFonts w:ascii="Times New Roman" w:hAnsi="Times New Roman"/>
          <w:sz w:val="24"/>
          <w:szCs w:val="24"/>
        </w:rPr>
        <w:t xml:space="preserve"> </w:t>
      </w:r>
      <w:r w:rsidR="00AE789E" w:rsidRPr="00D02A4D">
        <w:rPr>
          <w:rFonts w:ascii="Times New Roman" w:hAnsi="Times New Roman"/>
          <w:sz w:val="24"/>
        </w:rPr>
        <w:t>The term ‘</w:t>
      </w:r>
      <w:r w:rsidR="00AE789E" w:rsidRPr="00D02A4D">
        <w:rPr>
          <w:rFonts w:ascii="Times New Roman" w:hAnsi="Times New Roman"/>
          <w:i/>
          <w:sz w:val="24"/>
        </w:rPr>
        <w:t>exempt model</w:t>
      </w:r>
      <w:r w:rsidR="00AE789E" w:rsidRPr="00D02A4D">
        <w:rPr>
          <w:rFonts w:ascii="Times New Roman" w:hAnsi="Times New Roman"/>
          <w:sz w:val="24"/>
        </w:rPr>
        <w:t xml:space="preserve">’ is defined in section 5 of the Instrument. </w:t>
      </w:r>
    </w:p>
    <w:p w14:paraId="1A12C6E6" w14:textId="26D01993" w:rsidR="00896FFA" w:rsidRPr="00D02A4D" w:rsidRDefault="00896FFA" w:rsidP="00896FFA">
      <w:pPr>
        <w:spacing w:before="240"/>
        <w:rPr>
          <w:rFonts w:ascii="Times New Roman" w:hAnsi="Times New Roman"/>
          <w:b/>
          <w:sz w:val="24"/>
          <w:szCs w:val="24"/>
        </w:rPr>
      </w:pPr>
      <w:r w:rsidRPr="00D02A4D">
        <w:rPr>
          <w:rFonts w:ascii="Times New Roman" w:hAnsi="Times New Roman"/>
          <w:b/>
          <w:sz w:val="24"/>
          <w:szCs w:val="24"/>
        </w:rPr>
        <w:t xml:space="preserve">Section 5 </w:t>
      </w:r>
      <w:r w:rsidR="00AE789E" w:rsidRPr="00D02A4D">
        <w:rPr>
          <w:rFonts w:ascii="Times New Roman" w:hAnsi="Times New Roman"/>
          <w:b/>
          <w:sz w:val="24"/>
          <w:szCs w:val="24"/>
        </w:rPr>
        <w:t>– Exemption</w:t>
      </w:r>
    </w:p>
    <w:p w14:paraId="29D90F7D" w14:textId="4AB85033" w:rsidR="00AE789E" w:rsidRPr="00D02A4D" w:rsidRDefault="005534F2" w:rsidP="00AE789E">
      <w:pPr>
        <w:autoSpaceDE w:val="0"/>
        <w:autoSpaceDN w:val="0"/>
        <w:adjustRightInd w:val="0"/>
        <w:spacing w:after="240" w:line="240" w:lineRule="auto"/>
        <w:rPr>
          <w:rFonts w:ascii="Times New Roman" w:hAnsi="Times New Roman"/>
          <w:sz w:val="24"/>
        </w:rPr>
      </w:pPr>
      <w:r w:rsidRPr="00D02A4D">
        <w:rPr>
          <w:rFonts w:ascii="Times New Roman" w:hAnsi="Times New Roman"/>
          <w:sz w:val="24"/>
        </w:rPr>
        <w:t xml:space="preserve">This section </w:t>
      </w:r>
      <w:r w:rsidR="00A63F97" w:rsidRPr="00D02A4D">
        <w:rPr>
          <w:rFonts w:ascii="Times New Roman" w:hAnsi="Times New Roman"/>
          <w:sz w:val="24"/>
        </w:rPr>
        <w:t>exempts the model</w:t>
      </w:r>
      <w:r w:rsidR="00AE789E" w:rsidRPr="00D02A4D">
        <w:rPr>
          <w:rFonts w:ascii="Times New Roman" w:hAnsi="Times New Roman"/>
          <w:sz w:val="24"/>
        </w:rPr>
        <w:t xml:space="preserve"> specified in clause 1 of Schedule 1 to the </w:t>
      </w:r>
      <w:r w:rsidRPr="00D02A4D">
        <w:rPr>
          <w:rFonts w:ascii="Times New Roman" w:hAnsi="Times New Roman"/>
          <w:sz w:val="24"/>
        </w:rPr>
        <w:t xml:space="preserve">Legislative </w:t>
      </w:r>
      <w:r w:rsidR="00AE789E" w:rsidRPr="00D02A4D">
        <w:rPr>
          <w:rFonts w:ascii="Times New Roman" w:hAnsi="Times New Roman"/>
          <w:sz w:val="24"/>
        </w:rPr>
        <w:t xml:space="preserve">Instrument (the </w:t>
      </w:r>
      <w:r w:rsidR="00AE789E" w:rsidRPr="00D02A4D">
        <w:rPr>
          <w:rFonts w:ascii="Times New Roman" w:hAnsi="Times New Roman"/>
          <w:b/>
          <w:i/>
          <w:sz w:val="24"/>
        </w:rPr>
        <w:t>exempt model</w:t>
      </w:r>
      <w:r w:rsidR="00AE789E" w:rsidRPr="00D02A4D">
        <w:rPr>
          <w:rFonts w:ascii="Times New Roman" w:hAnsi="Times New Roman"/>
          <w:sz w:val="24"/>
        </w:rPr>
        <w:t>) from the requir</w:t>
      </w:r>
      <w:r w:rsidR="00D32587" w:rsidRPr="00D02A4D">
        <w:rPr>
          <w:rFonts w:ascii="Times New Roman" w:hAnsi="Times New Roman"/>
          <w:sz w:val="24"/>
        </w:rPr>
        <w:t>ements specified in clause 2 of Schedule 1</w:t>
      </w:r>
      <w:r w:rsidR="00AE789E" w:rsidRPr="00D02A4D">
        <w:rPr>
          <w:rFonts w:ascii="Times New Roman" w:hAnsi="Times New Roman"/>
          <w:sz w:val="24"/>
        </w:rPr>
        <w:t>.</w:t>
      </w:r>
    </w:p>
    <w:p w14:paraId="1FAF9F01" w14:textId="05DF34F2" w:rsidR="00AB1E0D" w:rsidRPr="00D02A4D" w:rsidRDefault="00AB1E0D" w:rsidP="0001317A">
      <w:pPr>
        <w:tabs>
          <w:tab w:val="left" w:pos="7127"/>
        </w:tabs>
        <w:spacing w:before="240"/>
        <w:rPr>
          <w:rFonts w:ascii="Times New Roman" w:hAnsi="Times New Roman"/>
          <w:b/>
          <w:sz w:val="24"/>
          <w:szCs w:val="24"/>
        </w:rPr>
      </w:pPr>
      <w:r w:rsidRPr="00D02A4D">
        <w:rPr>
          <w:rFonts w:ascii="Times New Roman" w:hAnsi="Times New Roman"/>
          <w:b/>
          <w:sz w:val="24"/>
          <w:szCs w:val="24"/>
        </w:rPr>
        <w:t xml:space="preserve">Section </w:t>
      </w:r>
      <w:r w:rsidR="001C170F" w:rsidRPr="00D02A4D">
        <w:rPr>
          <w:rFonts w:ascii="Times New Roman" w:hAnsi="Times New Roman"/>
          <w:b/>
          <w:sz w:val="24"/>
          <w:szCs w:val="24"/>
        </w:rPr>
        <w:t>6</w:t>
      </w:r>
      <w:r w:rsidR="00426EAD" w:rsidRPr="00D02A4D">
        <w:rPr>
          <w:rFonts w:ascii="Times New Roman" w:hAnsi="Times New Roman"/>
          <w:b/>
          <w:sz w:val="24"/>
          <w:szCs w:val="24"/>
        </w:rPr>
        <w:t xml:space="preserve"> </w:t>
      </w:r>
      <w:r w:rsidRPr="00D02A4D">
        <w:rPr>
          <w:rFonts w:ascii="Times New Roman" w:hAnsi="Times New Roman"/>
          <w:b/>
          <w:sz w:val="24"/>
          <w:szCs w:val="24"/>
        </w:rPr>
        <w:t>– Repeal</w:t>
      </w:r>
      <w:r w:rsidR="0001317A" w:rsidRPr="00D02A4D">
        <w:rPr>
          <w:rFonts w:ascii="Times New Roman" w:hAnsi="Times New Roman"/>
          <w:b/>
          <w:sz w:val="24"/>
          <w:szCs w:val="24"/>
        </w:rPr>
        <w:tab/>
      </w:r>
    </w:p>
    <w:p w14:paraId="18720340" w14:textId="48294319" w:rsidR="00AB1E0D" w:rsidRPr="00D02A4D" w:rsidRDefault="00AB1E0D" w:rsidP="00AB1E0D">
      <w:pPr>
        <w:rPr>
          <w:rFonts w:ascii="Times New Roman" w:hAnsi="Times New Roman"/>
          <w:sz w:val="24"/>
          <w:szCs w:val="24"/>
        </w:rPr>
      </w:pPr>
      <w:r w:rsidRPr="00D02A4D">
        <w:rPr>
          <w:rFonts w:ascii="Times New Roman" w:hAnsi="Times New Roman"/>
          <w:sz w:val="24"/>
          <w:szCs w:val="24"/>
        </w:rPr>
        <w:t xml:space="preserve">This section provides that the Legislative Instrument is repealed </w:t>
      </w:r>
      <w:r w:rsidR="00E66A79" w:rsidRPr="00D02A4D">
        <w:rPr>
          <w:rFonts w:ascii="Times New Roman" w:hAnsi="Times New Roman"/>
          <w:sz w:val="24"/>
          <w:szCs w:val="24"/>
        </w:rPr>
        <w:t>on 3</w:t>
      </w:r>
      <w:r w:rsidR="00B0607B" w:rsidRPr="00D02A4D">
        <w:rPr>
          <w:rFonts w:ascii="Times New Roman" w:hAnsi="Times New Roman"/>
          <w:sz w:val="24"/>
          <w:szCs w:val="24"/>
        </w:rPr>
        <w:t>0</w:t>
      </w:r>
      <w:r w:rsidR="00E66A79" w:rsidRPr="00D02A4D">
        <w:rPr>
          <w:rFonts w:ascii="Times New Roman" w:hAnsi="Times New Roman"/>
          <w:sz w:val="24"/>
          <w:szCs w:val="24"/>
        </w:rPr>
        <w:t xml:space="preserve"> </w:t>
      </w:r>
      <w:r w:rsidR="00B0607B" w:rsidRPr="00D02A4D">
        <w:rPr>
          <w:rFonts w:ascii="Times New Roman" w:hAnsi="Times New Roman"/>
          <w:sz w:val="24"/>
          <w:szCs w:val="24"/>
        </w:rPr>
        <w:t>Novem</w:t>
      </w:r>
      <w:r w:rsidR="00E66A79" w:rsidRPr="00D02A4D">
        <w:rPr>
          <w:rFonts w:ascii="Times New Roman" w:hAnsi="Times New Roman"/>
          <w:sz w:val="24"/>
          <w:szCs w:val="24"/>
        </w:rPr>
        <w:t>ber 2029</w:t>
      </w:r>
      <w:r w:rsidR="00A665FC" w:rsidRPr="00D02A4D">
        <w:rPr>
          <w:rFonts w:ascii="Times New Roman" w:hAnsi="Times New Roman"/>
          <w:sz w:val="24"/>
          <w:szCs w:val="24"/>
        </w:rPr>
        <w:t>.</w:t>
      </w:r>
    </w:p>
    <w:p w14:paraId="6EA214C1" w14:textId="08DF6DF0" w:rsidR="005534F2" w:rsidRPr="00D02A4D" w:rsidRDefault="005534F2" w:rsidP="005534F2">
      <w:pPr>
        <w:autoSpaceDE w:val="0"/>
        <w:autoSpaceDN w:val="0"/>
        <w:adjustRightInd w:val="0"/>
        <w:spacing w:after="240" w:line="240" w:lineRule="auto"/>
        <w:rPr>
          <w:rFonts w:ascii="Times New Roman" w:hAnsi="Times New Roman"/>
          <w:b/>
          <w:sz w:val="24"/>
        </w:rPr>
      </w:pPr>
      <w:r w:rsidRPr="00D02A4D">
        <w:rPr>
          <w:rFonts w:ascii="Times New Roman" w:hAnsi="Times New Roman"/>
          <w:b/>
          <w:sz w:val="24"/>
        </w:rPr>
        <w:t xml:space="preserve">Schedule 1 – Exemption </w:t>
      </w:r>
      <w:r w:rsidR="0013306A" w:rsidRPr="00D02A4D">
        <w:rPr>
          <w:rFonts w:ascii="Times New Roman" w:hAnsi="Times New Roman"/>
          <w:b/>
          <w:sz w:val="24"/>
        </w:rPr>
        <w:t>and condition of exemption</w:t>
      </w:r>
    </w:p>
    <w:p w14:paraId="5B03181D" w14:textId="05D2C137" w:rsidR="005534F2" w:rsidRPr="00D02A4D" w:rsidRDefault="005534F2" w:rsidP="0073347D">
      <w:pPr>
        <w:autoSpaceDE w:val="0"/>
        <w:autoSpaceDN w:val="0"/>
        <w:adjustRightInd w:val="0"/>
        <w:spacing w:after="240" w:line="240" w:lineRule="auto"/>
        <w:rPr>
          <w:rFonts w:ascii="Times New Roman" w:hAnsi="Times New Roman"/>
          <w:sz w:val="24"/>
          <w:szCs w:val="24"/>
          <w:lang w:eastAsia="en-AU"/>
        </w:rPr>
      </w:pPr>
      <w:r w:rsidRPr="00D02A4D">
        <w:rPr>
          <w:rFonts w:ascii="Times New Roman" w:hAnsi="Times New Roman"/>
          <w:sz w:val="24"/>
        </w:rPr>
        <w:t xml:space="preserve">Schedule 1 to the Legislative Instrument sets out the following terms: </w:t>
      </w:r>
    </w:p>
    <w:p w14:paraId="20C0EEDF" w14:textId="028EE1E8" w:rsidR="005534F2" w:rsidRPr="00D02A4D" w:rsidRDefault="005534F2">
      <w:pPr>
        <w:numPr>
          <w:ilvl w:val="0"/>
          <w:numId w:val="49"/>
        </w:numPr>
        <w:autoSpaceDE w:val="0"/>
        <w:autoSpaceDN w:val="0"/>
        <w:adjustRightInd w:val="0"/>
        <w:spacing w:after="240" w:line="240" w:lineRule="auto"/>
        <w:rPr>
          <w:rFonts w:ascii="Times New Roman" w:hAnsi="Times New Roman"/>
          <w:sz w:val="24"/>
          <w:szCs w:val="24"/>
          <w:lang w:eastAsia="en-AU"/>
        </w:rPr>
      </w:pPr>
      <w:r w:rsidRPr="00D02A4D">
        <w:rPr>
          <w:rFonts w:ascii="Times New Roman" w:hAnsi="Times New Roman"/>
          <w:sz w:val="24"/>
        </w:rPr>
        <w:t xml:space="preserve">the specified </w:t>
      </w:r>
      <w:r w:rsidR="00A63F97" w:rsidRPr="00D02A4D">
        <w:rPr>
          <w:rFonts w:ascii="Times New Roman" w:hAnsi="Times New Roman"/>
          <w:i/>
          <w:sz w:val="24"/>
        </w:rPr>
        <w:t>exempt model</w:t>
      </w:r>
      <w:r w:rsidR="00A63F97" w:rsidRPr="00D02A4D">
        <w:rPr>
          <w:rFonts w:ascii="Times New Roman" w:hAnsi="Times New Roman"/>
          <w:sz w:val="24"/>
        </w:rPr>
        <w:t>, including model number and product description</w:t>
      </w:r>
      <w:r w:rsidRPr="00D02A4D">
        <w:rPr>
          <w:rFonts w:ascii="Times New Roman" w:hAnsi="Times New Roman"/>
          <w:sz w:val="24"/>
        </w:rPr>
        <w:t xml:space="preserve"> covered by the </w:t>
      </w:r>
      <w:r w:rsidR="004610A8" w:rsidRPr="00D02A4D">
        <w:rPr>
          <w:rFonts w:ascii="Times New Roman" w:hAnsi="Times New Roman"/>
          <w:sz w:val="24"/>
        </w:rPr>
        <w:t xml:space="preserve">Legislative </w:t>
      </w:r>
      <w:r w:rsidRPr="00D02A4D">
        <w:rPr>
          <w:rFonts w:ascii="Times New Roman" w:hAnsi="Times New Roman"/>
          <w:sz w:val="24"/>
        </w:rPr>
        <w:t>Instrument (clause 1);</w:t>
      </w:r>
    </w:p>
    <w:p w14:paraId="2498AECA" w14:textId="6B3C7ED0" w:rsidR="005534F2" w:rsidRPr="00D02A4D" w:rsidRDefault="005534F2">
      <w:pPr>
        <w:numPr>
          <w:ilvl w:val="0"/>
          <w:numId w:val="49"/>
        </w:numPr>
        <w:autoSpaceDE w:val="0"/>
        <w:autoSpaceDN w:val="0"/>
        <w:adjustRightInd w:val="0"/>
        <w:spacing w:after="240" w:line="240" w:lineRule="auto"/>
        <w:rPr>
          <w:rFonts w:ascii="Times New Roman" w:hAnsi="Times New Roman"/>
          <w:sz w:val="24"/>
          <w:szCs w:val="24"/>
          <w:lang w:eastAsia="en-AU"/>
        </w:rPr>
      </w:pPr>
      <w:r w:rsidRPr="00D02A4D">
        <w:rPr>
          <w:rFonts w:ascii="Times New Roman" w:hAnsi="Times New Roman"/>
          <w:sz w:val="24"/>
        </w:rPr>
        <w:t xml:space="preserve">the requirements of the </w:t>
      </w:r>
      <w:r w:rsidR="00C83CAD" w:rsidRPr="00D02A4D">
        <w:rPr>
          <w:rFonts w:ascii="Times New Roman" w:hAnsi="Times New Roman"/>
          <w:sz w:val="24"/>
        </w:rPr>
        <w:t>2013</w:t>
      </w:r>
      <w:r w:rsidR="004610A8" w:rsidRPr="00D02A4D">
        <w:rPr>
          <w:rFonts w:ascii="Times New Roman" w:hAnsi="Times New Roman"/>
          <w:sz w:val="24"/>
        </w:rPr>
        <w:t xml:space="preserve"> </w:t>
      </w:r>
      <w:r w:rsidRPr="00D02A4D">
        <w:rPr>
          <w:rFonts w:ascii="Times New Roman" w:hAnsi="Times New Roman"/>
          <w:sz w:val="24"/>
        </w:rPr>
        <w:t>Determination from which the m</w:t>
      </w:r>
      <w:r w:rsidR="00C55195" w:rsidRPr="00D02A4D">
        <w:rPr>
          <w:rFonts w:ascii="Times New Roman" w:hAnsi="Times New Roman"/>
          <w:sz w:val="24"/>
        </w:rPr>
        <w:t>odel is</w:t>
      </w:r>
      <w:r w:rsidRPr="00D02A4D">
        <w:rPr>
          <w:rFonts w:ascii="Times New Roman" w:hAnsi="Times New Roman"/>
          <w:sz w:val="24"/>
        </w:rPr>
        <w:t xml:space="preserve"> exempt (clause 2);</w:t>
      </w:r>
    </w:p>
    <w:p w14:paraId="6A585E65" w14:textId="5844D631" w:rsidR="0027067B" w:rsidRPr="00D02A4D" w:rsidRDefault="0027067B" w:rsidP="00426EAD">
      <w:pPr>
        <w:numPr>
          <w:ilvl w:val="0"/>
          <w:numId w:val="49"/>
        </w:numPr>
        <w:autoSpaceDE w:val="0"/>
        <w:autoSpaceDN w:val="0"/>
        <w:adjustRightInd w:val="0"/>
        <w:spacing w:after="240" w:line="240" w:lineRule="auto"/>
        <w:rPr>
          <w:rFonts w:ascii="Times New Roman" w:hAnsi="Times New Roman"/>
          <w:sz w:val="24"/>
          <w:szCs w:val="24"/>
          <w:lang w:eastAsia="en-AU"/>
        </w:rPr>
      </w:pPr>
      <w:r w:rsidRPr="00D02A4D">
        <w:rPr>
          <w:rFonts w:ascii="Times New Roman" w:hAnsi="Times New Roman"/>
          <w:sz w:val="24"/>
          <w:szCs w:val="24"/>
          <w:lang w:eastAsia="en-AU"/>
        </w:rPr>
        <w:t>the supplies to which the exemption applies (clause 3).</w:t>
      </w:r>
    </w:p>
    <w:p w14:paraId="5DA02982" w14:textId="77777777" w:rsidR="00300FCC" w:rsidRPr="00D02A4D" w:rsidRDefault="00300FCC" w:rsidP="00AB1E0D">
      <w:pPr>
        <w:spacing w:before="360" w:after="120"/>
        <w:jc w:val="right"/>
        <w:rPr>
          <w:rFonts w:ascii="Times New Roman" w:hAnsi="Times New Roman"/>
          <w:b/>
          <w:sz w:val="24"/>
          <w:szCs w:val="24"/>
          <w:u w:val="single"/>
        </w:rPr>
      </w:pPr>
    </w:p>
    <w:p w14:paraId="73F475ED" w14:textId="77777777" w:rsidR="001C170F" w:rsidRPr="00D02A4D" w:rsidRDefault="001C170F">
      <w:pPr>
        <w:spacing w:after="0" w:line="240" w:lineRule="auto"/>
        <w:rPr>
          <w:rFonts w:ascii="Times New Roman" w:hAnsi="Times New Roman"/>
          <w:b/>
          <w:sz w:val="24"/>
          <w:szCs w:val="24"/>
          <w:u w:val="single"/>
        </w:rPr>
      </w:pPr>
      <w:r w:rsidRPr="00D02A4D">
        <w:rPr>
          <w:rFonts w:ascii="Times New Roman" w:hAnsi="Times New Roman"/>
          <w:b/>
          <w:sz w:val="24"/>
          <w:szCs w:val="24"/>
          <w:u w:val="single"/>
        </w:rPr>
        <w:br w:type="page"/>
      </w:r>
    </w:p>
    <w:p w14:paraId="59553815" w14:textId="45C00E61" w:rsidR="00AB1E0D" w:rsidRPr="00D02A4D" w:rsidRDefault="00AB1E0D" w:rsidP="00AB1E0D">
      <w:pPr>
        <w:spacing w:before="360" w:after="120"/>
        <w:jc w:val="right"/>
        <w:rPr>
          <w:rFonts w:ascii="Times New Roman" w:hAnsi="Times New Roman"/>
          <w:b/>
          <w:sz w:val="24"/>
          <w:szCs w:val="24"/>
          <w:u w:val="single"/>
        </w:rPr>
      </w:pPr>
      <w:r w:rsidRPr="00D02A4D">
        <w:rPr>
          <w:rFonts w:ascii="Times New Roman" w:hAnsi="Times New Roman"/>
          <w:b/>
          <w:sz w:val="24"/>
          <w:szCs w:val="24"/>
          <w:u w:val="single"/>
        </w:rPr>
        <w:lastRenderedPageBreak/>
        <w:t>Attachment B</w:t>
      </w:r>
    </w:p>
    <w:p w14:paraId="3555713F" w14:textId="77777777" w:rsidR="00AB1E0D" w:rsidRPr="00D02A4D" w:rsidRDefault="00AB1E0D" w:rsidP="00AB1E0D">
      <w:pPr>
        <w:spacing w:before="360" w:after="120"/>
        <w:jc w:val="center"/>
        <w:rPr>
          <w:rFonts w:ascii="Times New Roman" w:hAnsi="Times New Roman"/>
          <w:b/>
          <w:sz w:val="28"/>
          <w:szCs w:val="28"/>
        </w:rPr>
      </w:pPr>
      <w:r w:rsidRPr="00D02A4D">
        <w:rPr>
          <w:rFonts w:ascii="Times New Roman" w:hAnsi="Times New Roman"/>
          <w:b/>
          <w:sz w:val="28"/>
          <w:szCs w:val="28"/>
        </w:rPr>
        <w:t>Statement of Compatibility with Human Rights</w:t>
      </w:r>
    </w:p>
    <w:p w14:paraId="29E63BC7" w14:textId="77777777" w:rsidR="00AB1E0D" w:rsidRPr="00D02A4D" w:rsidRDefault="00AB1E0D" w:rsidP="00AB1E0D">
      <w:pPr>
        <w:spacing w:before="240" w:after="240"/>
        <w:jc w:val="center"/>
        <w:rPr>
          <w:rFonts w:ascii="Times New Roman" w:hAnsi="Times New Roman"/>
          <w:sz w:val="24"/>
          <w:szCs w:val="24"/>
        </w:rPr>
      </w:pPr>
      <w:r w:rsidRPr="00D02A4D">
        <w:rPr>
          <w:rFonts w:ascii="Times New Roman" w:hAnsi="Times New Roman"/>
          <w:i/>
          <w:sz w:val="24"/>
          <w:szCs w:val="24"/>
        </w:rPr>
        <w:t>Prepared in accordance with Part 3 of the Human Rights (Parliamentary Scrutiny) Act 2011</w:t>
      </w:r>
    </w:p>
    <w:p w14:paraId="56CB8ABC" w14:textId="5329406B" w:rsidR="00D72DC5" w:rsidRPr="00D02A4D" w:rsidRDefault="00D72DC5" w:rsidP="00D72DC5">
      <w:pPr>
        <w:spacing w:before="240" w:after="240"/>
        <w:jc w:val="center"/>
        <w:rPr>
          <w:rFonts w:ascii="Times New Roman" w:hAnsi="Times New Roman"/>
          <w:i/>
          <w:sz w:val="24"/>
          <w:szCs w:val="24"/>
        </w:rPr>
      </w:pPr>
      <w:r w:rsidRPr="00D02A4D">
        <w:rPr>
          <w:rFonts w:ascii="Times New Roman" w:hAnsi="Times New Roman"/>
          <w:i/>
          <w:sz w:val="24"/>
          <w:szCs w:val="24"/>
        </w:rPr>
        <w:t>Greenhouse and Energy Minimum Standar</w:t>
      </w:r>
      <w:r w:rsidR="00B50218" w:rsidRPr="00D02A4D">
        <w:rPr>
          <w:rFonts w:ascii="Times New Roman" w:hAnsi="Times New Roman"/>
          <w:i/>
          <w:sz w:val="24"/>
          <w:szCs w:val="24"/>
        </w:rPr>
        <w:t xml:space="preserve">ds (Exemption) Instrument (No. </w:t>
      </w:r>
      <w:r w:rsidR="00803587" w:rsidRPr="00D02A4D">
        <w:rPr>
          <w:rFonts w:ascii="Times New Roman" w:hAnsi="Times New Roman"/>
          <w:i/>
          <w:sz w:val="24"/>
          <w:szCs w:val="24"/>
        </w:rPr>
        <w:t>3</w:t>
      </w:r>
      <w:r w:rsidRPr="00D02A4D">
        <w:rPr>
          <w:rFonts w:ascii="Times New Roman" w:hAnsi="Times New Roman"/>
          <w:i/>
          <w:sz w:val="24"/>
          <w:szCs w:val="24"/>
        </w:rPr>
        <w:t>) 2022</w:t>
      </w:r>
    </w:p>
    <w:p w14:paraId="33A176B2" w14:textId="21CB8CC0" w:rsidR="00AB1E0D" w:rsidRPr="00D02A4D" w:rsidRDefault="00E77AC0" w:rsidP="00DE6DE0">
      <w:pPr>
        <w:spacing w:before="240" w:after="240"/>
        <w:rPr>
          <w:rFonts w:ascii="Times New Roman" w:hAnsi="Times New Roman"/>
          <w:sz w:val="24"/>
          <w:szCs w:val="24"/>
        </w:rPr>
      </w:pPr>
      <w:r w:rsidRPr="00D02A4D">
        <w:rPr>
          <w:rFonts w:ascii="Times New Roman" w:hAnsi="Times New Roman"/>
          <w:sz w:val="24"/>
          <w:szCs w:val="24"/>
        </w:rPr>
        <w:t>This Legislative Instrument</w:t>
      </w:r>
      <w:r w:rsidR="00AB1E0D" w:rsidRPr="00D02A4D">
        <w:rPr>
          <w:rFonts w:ascii="Times New Roman" w:hAnsi="Times New Roman"/>
          <w:sz w:val="24"/>
          <w:szCs w:val="24"/>
        </w:rPr>
        <w:t xml:space="preserve"> is compatible with the human rights and freedoms recognised or declared in the international instruments listed in section 3 of the </w:t>
      </w:r>
      <w:r w:rsidR="00AB1E0D" w:rsidRPr="00D02A4D">
        <w:rPr>
          <w:rFonts w:ascii="Times New Roman" w:hAnsi="Times New Roman"/>
          <w:i/>
          <w:sz w:val="24"/>
          <w:szCs w:val="24"/>
        </w:rPr>
        <w:t>Human Rights (Parliamentary Scrutiny) Act 2011</w:t>
      </w:r>
      <w:r w:rsidR="00AB1E0D" w:rsidRPr="00D02A4D">
        <w:rPr>
          <w:rFonts w:ascii="Times New Roman" w:hAnsi="Times New Roman"/>
          <w:sz w:val="24"/>
          <w:szCs w:val="24"/>
        </w:rPr>
        <w:t>.</w:t>
      </w:r>
    </w:p>
    <w:p w14:paraId="5453669A" w14:textId="77777777" w:rsidR="00AB1E0D" w:rsidRPr="00D02A4D" w:rsidRDefault="00AB1E0D" w:rsidP="00AB1E0D">
      <w:pPr>
        <w:spacing w:before="240" w:after="240"/>
        <w:jc w:val="both"/>
        <w:rPr>
          <w:rFonts w:ascii="Times New Roman" w:hAnsi="Times New Roman"/>
          <w:b/>
          <w:sz w:val="24"/>
          <w:szCs w:val="24"/>
        </w:rPr>
      </w:pPr>
      <w:r w:rsidRPr="00D02A4D">
        <w:rPr>
          <w:rFonts w:ascii="Times New Roman" w:hAnsi="Times New Roman"/>
          <w:b/>
          <w:sz w:val="24"/>
          <w:szCs w:val="24"/>
        </w:rPr>
        <w:t>Overview of the Legislative Instrument</w:t>
      </w:r>
    </w:p>
    <w:p w14:paraId="39212319" w14:textId="4F499109" w:rsidR="00E77AC0" w:rsidRPr="00D02A4D" w:rsidRDefault="00E77AC0" w:rsidP="008A3B18">
      <w:pPr>
        <w:rPr>
          <w:rFonts w:ascii="Times New Roman" w:hAnsi="Times New Roman"/>
          <w:sz w:val="24"/>
          <w:szCs w:val="24"/>
        </w:rPr>
      </w:pPr>
      <w:r w:rsidRPr="00D02A4D">
        <w:rPr>
          <w:rFonts w:ascii="Times New Roman" w:hAnsi="Times New Roman"/>
          <w:sz w:val="24"/>
          <w:szCs w:val="24"/>
        </w:rPr>
        <w:t xml:space="preserve">The </w:t>
      </w:r>
      <w:r w:rsidRPr="00D02A4D">
        <w:rPr>
          <w:rFonts w:ascii="Times New Roman" w:hAnsi="Times New Roman"/>
          <w:i/>
          <w:sz w:val="24"/>
        </w:rPr>
        <w:t xml:space="preserve">Greenhouse and Energy Minimum Standards (Exemption) Instrument (No. </w:t>
      </w:r>
      <w:r w:rsidR="00803587" w:rsidRPr="00D02A4D">
        <w:rPr>
          <w:rFonts w:ascii="Times New Roman" w:hAnsi="Times New Roman"/>
          <w:i/>
          <w:sz w:val="24"/>
        </w:rPr>
        <w:t>3</w:t>
      </w:r>
      <w:r w:rsidRPr="00D02A4D">
        <w:rPr>
          <w:rFonts w:ascii="Times New Roman" w:hAnsi="Times New Roman"/>
          <w:i/>
          <w:sz w:val="24"/>
        </w:rPr>
        <w:t xml:space="preserve">) 2022 </w:t>
      </w:r>
      <w:r w:rsidRPr="00D02A4D">
        <w:rPr>
          <w:rFonts w:ascii="Times New Roman" w:hAnsi="Times New Roman"/>
          <w:sz w:val="24"/>
          <w:szCs w:val="24"/>
        </w:rPr>
        <w:t xml:space="preserve">specifies models of Greenhouse and Energy Minimum Standards (GEMS) products that the GEMS Regulator has exempted from the </w:t>
      </w:r>
      <w:r w:rsidR="00417755" w:rsidRPr="00D02A4D">
        <w:rPr>
          <w:rFonts w:ascii="Times New Roman" w:hAnsi="Times New Roman"/>
          <w:sz w:val="24"/>
          <w:szCs w:val="24"/>
          <w:lang w:eastAsia="en-AU"/>
        </w:rPr>
        <w:t>requirements of subsection 6(1)(b)</w:t>
      </w:r>
      <w:r w:rsidRPr="00D02A4D">
        <w:rPr>
          <w:rFonts w:ascii="Times New Roman" w:hAnsi="Times New Roman"/>
          <w:sz w:val="24"/>
          <w:szCs w:val="24"/>
          <w:lang w:eastAsia="en-AU"/>
        </w:rPr>
        <w:t xml:space="preserve"> of the </w:t>
      </w:r>
      <w:r w:rsidRPr="00D02A4D">
        <w:rPr>
          <w:rFonts w:ascii="Times New Roman" w:hAnsi="Times New Roman"/>
          <w:i/>
          <w:sz w:val="24"/>
          <w:szCs w:val="24"/>
        </w:rPr>
        <w:t>Greenhouse and Energy Minimum Standards (</w:t>
      </w:r>
      <w:r w:rsidR="00E713A8" w:rsidRPr="00D02A4D">
        <w:rPr>
          <w:rFonts w:ascii="Times New Roman" w:hAnsi="Times New Roman"/>
          <w:i/>
          <w:sz w:val="24"/>
        </w:rPr>
        <w:t>Computers</w:t>
      </w:r>
      <w:r w:rsidRPr="00D02A4D">
        <w:rPr>
          <w:rFonts w:ascii="Times New Roman" w:hAnsi="Times New Roman"/>
          <w:i/>
          <w:sz w:val="24"/>
        </w:rPr>
        <w:t>)</w:t>
      </w:r>
      <w:r w:rsidRPr="00D02A4D">
        <w:rPr>
          <w:rFonts w:ascii="Times New Roman" w:hAnsi="Times New Roman"/>
          <w:i/>
          <w:sz w:val="24"/>
          <w:szCs w:val="24"/>
        </w:rPr>
        <w:t xml:space="preserve"> Determination 20</w:t>
      </w:r>
      <w:r w:rsidR="00E713A8" w:rsidRPr="00D02A4D">
        <w:rPr>
          <w:rFonts w:ascii="Times New Roman" w:hAnsi="Times New Roman"/>
          <w:i/>
          <w:sz w:val="24"/>
          <w:szCs w:val="24"/>
        </w:rPr>
        <w:t>13</w:t>
      </w:r>
      <w:r w:rsidRPr="00D02A4D">
        <w:rPr>
          <w:rFonts w:ascii="Times New Roman" w:hAnsi="Times New Roman"/>
          <w:sz w:val="24"/>
          <w:szCs w:val="24"/>
        </w:rPr>
        <w:t>.</w:t>
      </w:r>
    </w:p>
    <w:p w14:paraId="2F2D8436" w14:textId="77777777" w:rsidR="00AB1E0D" w:rsidRPr="00D02A4D" w:rsidRDefault="00AB1E0D" w:rsidP="008A3B18">
      <w:pPr>
        <w:spacing w:before="240" w:after="240"/>
        <w:rPr>
          <w:rFonts w:ascii="Times New Roman" w:hAnsi="Times New Roman"/>
          <w:b/>
          <w:sz w:val="24"/>
          <w:szCs w:val="24"/>
        </w:rPr>
      </w:pPr>
      <w:r w:rsidRPr="00D02A4D">
        <w:rPr>
          <w:rFonts w:ascii="Times New Roman" w:hAnsi="Times New Roman"/>
          <w:b/>
          <w:sz w:val="24"/>
          <w:szCs w:val="24"/>
        </w:rPr>
        <w:t>Human rights implications</w:t>
      </w:r>
    </w:p>
    <w:p w14:paraId="39D7E026" w14:textId="2AC8B462" w:rsidR="00E77AC0" w:rsidRPr="00D02A4D" w:rsidRDefault="00E77AC0" w:rsidP="008A3B18">
      <w:pPr>
        <w:spacing w:before="120" w:after="120"/>
        <w:rPr>
          <w:rFonts w:ascii="Times New Roman" w:hAnsi="Times New Roman"/>
          <w:sz w:val="24"/>
          <w:szCs w:val="24"/>
        </w:rPr>
      </w:pPr>
      <w:r w:rsidRPr="00D02A4D">
        <w:rPr>
          <w:rFonts w:ascii="Times New Roman" w:hAnsi="Times New Roman"/>
          <w:sz w:val="24"/>
          <w:szCs w:val="24"/>
        </w:rPr>
        <w:t>This Legislative Instrument does not engage any of the applicable rights or freedoms.</w:t>
      </w:r>
    </w:p>
    <w:p w14:paraId="521DE409" w14:textId="77777777" w:rsidR="00E77AC0" w:rsidRPr="00D02A4D" w:rsidRDefault="00E77AC0" w:rsidP="008A3B18">
      <w:pPr>
        <w:spacing w:before="120" w:after="120"/>
        <w:rPr>
          <w:rFonts w:ascii="Times New Roman" w:hAnsi="Times New Roman"/>
          <w:b/>
          <w:sz w:val="24"/>
          <w:szCs w:val="24"/>
        </w:rPr>
      </w:pPr>
      <w:r w:rsidRPr="00D02A4D">
        <w:rPr>
          <w:rFonts w:ascii="Times New Roman" w:hAnsi="Times New Roman"/>
          <w:b/>
          <w:sz w:val="24"/>
          <w:szCs w:val="24"/>
        </w:rPr>
        <w:t>Conclusion</w:t>
      </w:r>
    </w:p>
    <w:p w14:paraId="08EB6E03" w14:textId="4EF31331" w:rsidR="00AB1E0D" w:rsidRPr="00D02A4D" w:rsidRDefault="00E77AC0" w:rsidP="008A3B18">
      <w:pPr>
        <w:autoSpaceDE w:val="0"/>
        <w:autoSpaceDN w:val="0"/>
        <w:adjustRightInd w:val="0"/>
        <w:spacing w:after="240"/>
        <w:rPr>
          <w:rFonts w:ascii="Times New Roman" w:hAnsi="Times New Roman"/>
          <w:sz w:val="24"/>
          <w:szCs w:val="24"/>
        </w:rPr>
      </w:pPr>
      <w:r w:rsidRPr="00D02A4D">
        <w:rPr>
          <w:rFonts w:ascii="Times New Roman" w:hAnsi="Times New Roman"/>
          <w:sz w:val="24"/>
          <w:szCs w:val="24"/>
        </w:rPr>
        <w:t>This Legislative Instrument is compatible with human rights as it does not raise any human rights issues.</w:t>
      </w:r>
    </w:p>
    <w:p w14:paraId="18490F67" w14:textId="263E891D" w:rsidR="00E77AC0" w:rsidRPr="00D02A4D" w:rsidRDefault="00E77AC0" w:rsidP="00E77AC0">
      <w:pPr>
        <w:spacing w:before="120" w:after="120"/>
        <w:jc w:val="center"/>
        <w:rPr>
          <w:rFonts w:ascii="Times New Roman" w:hAnsi="Times New Roman"/>
          <w:b/>
          <w:sz w:val="24"/>
          <w:szCs w:val="24"/>
        </w:rPr>
      </w:pPr>
      <w:r w:rsidRPr="00D02A4D">
        <w:rPr>
          <w:rFonts w:ascii="Times New Roman" w:hAnsi="Times New Roman"/>
          <w:b/>
          <w:sz w:val="24"/>
          <w:szCs w:val="24"/>
        </w:rPr>
        <w:t xml:space="preserve">Penelope Sirault </w:t>
      </w:r>
    </w:p>
    <w:p w14:paraId="7D493786" w14:textId="50468CC9" w:rsidR="00621634" w:rsidRPr="00DE6DE0" w:rsidRDefault="00426EAD" w:rsidP="00DE6DE0">
      <w:pPr>
        <w:spacing w:before="120" w:after="120"/>
        <w:jc w:val="center"/>
        <w:rPr>
          <w:rFonts w:ascii="Times New Roman" w:hAnsi="Times New Roman"/>
          <w:b/>
          <w:sz w:val="24"/>
          <w:szCs w:val="24"/>
        </w:rPr>
      </w:pPr>
      <w:r w:rsidRPr="00D02A4D">
        <w:rPr>
          <w:rFonts w:ascii="Times New Roman" w:hAnsi="Times New Roman"/>
          <w:b/>
          <w:sz w:val="24"/>
          <w:szCs w:val="24"/>
        </w:rPr>
        <w:t>GEMS</w:t>
      </w:r>
      <w:r w:rsidR="00E77AC0" w:rsidRPr="00D02A4D">
        <w:rPr>
          <w:rFonts w:ascii="Times New Roman" w:hAnsi="Times New Roman"/>
          <w:b/>
          <w:sz w:val="24"/>
          <w:szCs w:val="24"/>
        </w:rPr>
        <w:t xml:space="preserve"> Regulator</w:t>
      </w:r>
    </w:p>
    <w:sectPr w:rsidR="00621634" w:rsidRPr="00DE6DE0" w:rsidSect="00FA4CF0">
      <w:headerReference w:type="even" r:id="rId13"/>
      <w:footerReference w:type="defaul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25DC" w14:textId="77777777" w:rsidR="0016289A" w:rsidRDefault="0016289A" w:rsidP="00A60185">
      <w:pPr>
        <w:spacing w:after="0" w:line="240" w:lineRule="auto"/>
      </w:pPr>
      <w:r>
        <w:separator/>
      </w:r>
    </w:p>
  </w:endnote>
  <w:endnote w:type="continuationSeparator" w:id="0">
    <w:p w14:paraId="251F99AB" w14:textId="77777777" w:rsidR="0016289A" w:rsidRDefault="0016289A"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185031"/>
      <w:docPartObj>
        <w:docPartGallery w:val="Page Numbers (Bottom of Page)"/>
        <w:docPartUnique/>
      </w:docPartObj>
    </w:sdtPr>
    <w:sdtEndPr>
      <w:rPr>
        <w:rFonts w:ascii="Times New Roman" w:hAnsi="Times New Roman"/>
        <w:noProof/>
        <w:sz w:val="24"/>
        <w:szCs w:val="24"/>
      </w:rPr>
    </w:sdtEndPr>
    <w:sdtContent>
      <w:p w14:paraId="70C9DEBA" w14:textId="77777777" w:rsidR="00E17062" w:rsidRPr="00383C7E" w:rsidRDefault="00E17062">
        <w:pPr>
          <w:pStyle w:val="Footer"/>
          <w:jc w:val="right"/>
          <w:rPr>
            <w:rFonts w:ascii="Times New Roman" w:hAnsi="Times New Roman"/>
            <w:sz w:val="24"/>
            <w:szCs w:val="24"/>
          </w:rPr>
        </w:pPr>
        <w:r w:rsidRPr="00383C7E">
          <w:rPr>
            <w:rFonts w:ascii="Times New Roman" w:hAnsi="Times New Roman"/>
            <w:sz w:val="24"/>
            <w:szCs w:val="24"/>
          </w:rPr>
          <w:fldChar w:fldCharType="begin"/>
        </w:r>
        <w:r w:rsidRPr="00383C7E">
          <w:rPr>
            <w:rFonts w:ascii="Times New Roman" w:hAnsi="Times New Roman"/>
            <w:sz w:val="24"/>
            <w:szCs w:val="24"/>
          </w:rPr>
          <w:instrText xml:space="preserve"> PAGE   \* MERGEFORMAT </w:instrText>
        </w:r>
        <w:r w:rsidRPr="00383C7E">
          <w:rPr>
            <w:rFonts w:ascii="Times New Roman" w:hAnsi="Times New Roman"/>
            <w:sz w:val="24"/>
            <w:szCs w:val="24"/>
          </w:rPr>
          <w:fldChar w:fldCharType="separate"/>
        </w:r>
        <w:r w:rsidR="00853CA1">
          <w:rPr>
            <w:rFonts w:ascii="Times New Roman" w:hAnsi="Times New Roman"/>
            <w:noProof/>
            <w:sz w:val="24"/>
            <w:szCs w:val="24"/>
          </w:rPr>
          <w:t>1</w:t>
        </w:r>
        <w:r w:rsidRPr="00383C7E">
          <w:rPr>
            <w:rFonts w:ascii="Times New Roman" w:hAnsi="Times New Roman"/>
            <w:noProof/>
            <w:sz w:val="24"/>
            <w:szCs w:val="24"/>
          </w:rPr>
          <w:fldChar w:fldCharType="end"/>
        </w:r>
      </w:p>
    </w:sdtContent>
  </w:sdt>
  <w:p w14:paraId="0B728C38" w14:textId="77777777" w:rsidR="00E17062" w:rsidRDefault="00E17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63AD71C0" w14:textId="77777777" w:rsidR="00100BEF" w:rsidRDefault="00FC62B3">
        <w:pPr>
          <w:pStyle w:val="Footer"/>
          <w:jc w:val="center"/>
        </w:pPr>
        <w:r>
          <w:rPr>
            <w:noProof/>
          </w:rPr>
          <w:fldChar w:fldCharType="begin"/>
        </w:r>
        <w:r>
          <w:rPr>
            <w:noProof/>
          </w:rPr>
          <w:instrText xml:space="preserve"> PAGE   \* MERGEFORMAT </w:instrText>
        </w:r>
        <w:r>
          <w:rPr>
            <w:noProof/>
          </w:rPr>
          <w:fldChar w:fldCharType="separate"/>
        </w:r>
        <w:r w:rsidR="00853CA1">
          <w:rPr>
            <w:noProof/>
          </w:rPr>
          <w:t>2</w:t>
        </w:r>
        <w:r>
          <w:rPr>
            <w:noProof/>
          </w:rPr>
          <w:fldChar w:fldCharType="end"/>
        </w:r>
      </w:p>
    </w:sdtContent>
  </w:sdt>
  <w:p w14:paraId="65027F82" w14:textId="77777777" w:rsidR="00446F34" w:rsidRDefault="00446F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9020" w14:textId="77777777" w:rsidR="0016289A" w:rsidRDefault="0016289A" w:rsidP="00A60185">
      <w:pPr>
        <w:spacing w:after="0" w:line="240" w:lineRule="auto"/>
      </w:pPr>
      <w:r>
        <w:separator/>
      </w:r>
    </w:p>
  </w:footnote>
  <w:footnote w:type="continuationSeparator" w:id="0">
    <w:p w14:paraId="72DE37F0" w14:textId="77777777" w:rsidR="0016289A" w:rsidRDefault="0016289A"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1A92" w14:textId="77777777" w:rsidR="00100BEF" w:rsidRDefault="00CF009A" w:rsidP="00E45765">
    <w:pPr>
      <w:pStyle w:val="Classification"/>
    </w:pPr>
    <w:r>
      <w:fldChar w:fldCharType="begin"/>
    </w:r>
    <w:r>
      <w:instrText xml:space="preserve"> DOCPROPERTY SecurityClassification \* MERGEFORMAT </w:instrText>
    </w:r>
    <w:r>
      <w:fldChar w:fldCharType="separate"/>
    </w:r>
    <w:r w:rsidR="008952B8">
      <w:rPr>
        <w:b/>
        <w:bCs/>
        <w:lang w:val="en-US"/>
      </w:rPr>
      <w:t>Error! Unknown document property name.</w:t>
    </w:r>
    <w:r>
      <w:fldChar w:fldCharType="end"/>
    </w:r>
  </w:p>
  <w:p w14:paraId="2D240905" w14:textId="77777777" w:rsidR="00446F34" w:rsidRDefault="00446F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5B65FC8"/>
    <w:multiLevelType w:val="hybridMultilevel"/>
    <w:tmpl w:val="76F65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253B4A"/>
    <w:multiLevelType w:val="multilevel"/>
    <w:tmpl w:val="E898CC72"/>
    <w:numStyleLink w:val="KeyPoints"/>
  </w:abstractNum>
  <w:abstractNum w:abstractNumId="22" w15:restartNumberingAfterBreak="0">
    <w:nsid w:val="2C1B4F6C"/>
    <w:multiLevelType w:val="multilevel"/>
    <w:tmpl w:val="E898CC72"/>
    <w:numStyleLink w:val="KeyPoints"/>
  </w:abstractNum>
  <w:abstractNum w:abstractNumId="23"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816F9C"/>
    <w:multiLevelType w:val="multilevel"/>
    <w:tmpl w:val="E5E89F92"/>
    <w:numStyleLink w:val="BulletList"/>
  </w:abstractNum>
  <w:abstractNum w:abstractNumId="27" w15:restartNumberingAfterBreak="0">
    <w:nsid w:val="3B351B82"/>
    <w:multiLevelType w:val="multilevel"/>
    <w:tmpl w:val="E5E89F92"/>
    <w:numStyleLink w:val="BulletList"/>
  </w:abstractNum>
  <w:abstractNum w:abstractNumId="28" w15:restartNumberingAfterBreak="0">
    <w:nsid w:val="41146A9C"/>
    <w:multiLevelType w:val="hybridMultilevel"/>
    <w:tmpl w:val="FFA86E22"/>
    <w:lvl w:ilvl="0" w:tplc="68A4EF9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B871CF"/>
    <w:multiLevelType w:val="multilevel"/>
    <w:tmpl w:val="E5E89F92"/>
    <w:numStyleLink w:val="BulletList"/>
  </w:abstractNum>
  <w:abstractNum w:abstractNumId="30" w15:restartNumberingAfterBreak="0">
    <w:nsid w:val="49016841"/>
    <w:multiLevelType w:val="multilevel"/>
    <w:tmpl w:val="E5E89F92"/>
    <w:numStyleLink w:val="BulletList"/>
  </w:abstractNum>
  <w:abstractNum w:abstractNumId="31" w15:restartNumberingAfterBreak="0">
    <w:nsid w:val="4DEA626B"/>
    <w:multiLevelType w:val="hybridMultilevel"/>
    <w:tmpl w:val="02025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1A44175"/>
    <w:multiLevelType w:val="multilevel"/>
    <w:tmpl w:val="E5E89F92"/>
    <w:numStyleLink w:val="BulletList"/>
  </w:abstractNum>
  <w:abstractNum w:abstractNumId="33"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DE1B75"/>
    <w:multiLevelType w:val="hybridMultilevel"/>
    <w:tmpl w:val="47D8B2AC"/>
    <w:lvl w:ilvl="0" w:tplc="2DB28E22">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5456429"/>
    <w:multiLevelType w:val="multilevel"/>
    <w:tmpl w:val="E898CC72"/>
    <w:numStyleLink w:val="KeyPoints"/>
  </w:abstractNum>
  <w:abstractNum w:abstractNumId="36" w15:restartNumberingAfterBreak="0">
    <w:nsid w:val="672E0C2A"/>
    <w:multiLevelType w:val="multilevel"/>
    <w:tmpl w:val="E5E89F92"/>
    <w:numStyleLink w:val="BulletList"/>
  </w:abstractNum>
  <w:abstractNum w:abstractNumId="37"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823B13"/>
    <w:multiLevelType w:val="multilevel"/>
    <w:tmpl w:val="E5E89F92"/>
    <w:numStyleLink w:val="BulletList"/>
  </w:abstractNum>
  <w:abstractNum w:abstractNumId="40" w15:restartNumberingAfterBreak="0">
    <w:nsid w:val="6DF2198A"/>
    <w:multiLevelType w:val="multilevel"/>
    <w:tmpl w:val="E5E89F92"/>
    <w:numStyleLink w:val="BulletList"/>
  </w:abstractNum>
  <w:abstractNum w:abstractNumId="41" w15:restartNumberingAfterBreak="0">
    <w:nsid w:val="6F032444"/>
    <w:multiLevelType w:val="multilevel"/>
    <w:tmpl w:val="E5E89F92"/>
    <w:numStyleLink w:val="BulletList"/>
  </w:abstractNum>
  <w:abstractNum w:abstractNumId="42"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C700E0"/>
    <w:multiLevelType w:val="multilevel"/>
    <w:tmpl w:val="E898CC72"/>
    <w:numStyleLink w:val="KeyPoints"/>
  </w:abstractNum>
  <w:abstractNum w:abstractNumId="4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6" w15:restartNumberingAfterBreak="0">
    <w:nsid w:val="788260C9"/>
    <w:multiLevelType w:val="multilevel"/>
    <w:tmpl w:val="E898CC72"/>
    <w:numStyleLink w:val="KeyPoints"/>
  </w:abstractNum>
  <w:abstractNum w:abstractNumId="47"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D3708B3"/>
    <w:multiLevelType w:val="multilevel"/>
    <w:tmpl w:val="E5E89F92"/>
    <w:numStyleLink w:val="BulletList"/>
  </w:abstractNum>
  <w:num w:numId="1" w16cid:durableId="120652497">
    <w:abstractNumId w:val="45"/>
  </w:num>
  <w:num w:numId="2" w16cid:durableId="87510138">
    <w:abstractNumId w:val="15"/>
    <w:lvlOverride w:ilvl="0">
      <w:lvl w:ilvl="0">
        <w:start w:val="1"/>
        <w:numFmt w:val="decimal"/>
        <w:lvlText w:val="%1."/>
        <w:lvlJc w:val="left"/>
        <w:pPr>
          <w:ind w:left="369" w:hanging="369"/>
        </w:pPr>
        <w:rPr>
          <w:rFonts w:ascii="Arial" w:hAnsi="Arial" w:cs="Arial" w:hint="default"/>
          <w:sz w:val="22"/>
        </w:rPr>
      </w:lvl>
    </w:lvlOverride>
  </w:num>
  <w:num w:numId="3" w16cid:durableId="403071175">
    <w:abstractNumId w:val="10"/>
  </w:num>
  <w:num w:numId="4" w16cid:durableId="1979530768">
    <w:abstractNumId w:val="29"/>
  </w:num>
  <w:num w:numId="5" w16cid:durableId="1960647783">
    <w:abstractNumId w:val="42"/>
  </w:num>
  <w:num w:numId="6" w16cid:durableId="2077819281">
    <w:abstractNumId w:val="43"/>
  </w:num>
  <w:num w:numId="7" w16cid:durableId="1234700445">
    <w:abstractNumId w:val="38"/>
  </w:num>
  <w:num w:numId="8" w16cid:durableId="595792334">
    <w:abstractNumId w:val="23"/>
  </w:num>
  <w:num w:numId="9" w16cid:durableId="181555670">
    <w:abstractNumId w:val="9"/>
  </w:num>
  <w:num w:numId="10" w16cid:durableId="348413577">
    <w:abstractNumId w:val="7"/>
  </w:num>
  <w:num w:numId="11" w16cid:durableId="1887444023">
    <w:abstractNumId w:val="6"/>
  </w:num>
  <w:num w:numId="12" w16cid:durableId="1864172563">
    <w:abstractNumId w:val="5"/>
  </w:num>
  <w:num w:numId="13" w16cid:durableId="1542204635">
    <w:abstractNumId w:val="4"/>
  </w:num>
  <w:num w:numId="14" w16cid:durableId="341396856">
    <w:abstractNumId w:val="25"/>
  </w:num>
  <w:num w:numId="15" w16cid:durableId="2070880326">
    <w:abstractNumId w:val="16"/>
  </w:num>
  <w:num w:numId="16" w16cid:durableId="321206523">
    <w:abstractNumId w:val="47"/>
  </w:num>
  <w:num w:numId="17" w16cid:durableId="223101622">
    <w:abstractNumId w:val="12"/>
  </w:num>
  <w:num w:numId="18" w16cid:durableId="2136827973">
    <w:abstractNumId w:val="36"/>
  </w:num>
  <w:num w:numId="19" w16cid:durableId="1441873831">
    <w:abstractNumId w:val="11"/>
  </w:num>
  <w:num w:numId="20" w16cid:durableId="537277072">
    <w:abstractNumId w:val="22"/>
  </w:num>
  <w:num w:numId="21" w16cid:durableId="1596328095">
    <w:abstractNumId w:val="14"/>
  </w:num>
  <w:num w:numId="22" w16cid:durableId="62721847">
    <w:abstractNumId w:val="21"/>
  </w:num>
  <w:num w:numId="23" w16cid:durableId="506486093">
    <w:abstractNumId w:val="30"/>
  </w:num>
  <w:num w:numId="24" w16cid:durableId="1308777577">
    <w:abstractNumId w:val="41"/>
  </w:num>
  <w:num w:numId="25" w16cid:durableId="2044819965">
    <w:abstractNumId w:val="37"/>
  </w:num>
  <w:num w:numId="26" w16cid:durableId="349994114">
    <w:abstractNumId w:val="27"/>
  </w:num>
  <w:num w:numId="27" w16cid:durableId="1011100267">
    <w:abstractNumId w:val="44"/>
  </w:num>
  <w:num w:numId="28" w16cid:durableId="7791096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9297691">
    <w:abstractNumId w:val="13"/>
  </w:num>
  <w:num w:numId="30" w16cid:durableId="174423258">
    <w:abstractNumId w:val="26"/>
  </w:num>
  <w:num w:numId="31" w16cid:durableId="1777095262">
    <w:abstractNumId w:val="40"/>
  </w:num>
  <w:num w:numId="32" w16cid:durableId="1567644397">
    <w:abstractNumId w:val="37"/>
  </w:num>
  <w:num w:numId="33" w16cid:durableId="298338707">
    <w:abstractNumId w:val="32"/>
  </w:num>
  <w:num w:numId="34" w16cid:durableId="1241599684">
    <w:abstractNumId w:val="17"/>
  </w:num>
  <w:num w:numId="35" w16cid:durableId="905995631">
    <w:abstractNumId w:val="33"/>
  </w:num>
  <w:num w:numId="36" w16cid:durableId="666858958">
    <w:abstractNumId w:val="48"/>
  </w:num>
  <w:num w:numId="37" w16cid:durableId="572158471">
    <w:abstractNumId w:val="48"/>
    <w:lvlOverride w:ilvl="0">
      <w:startOverride w:val="1"/>
    </w:lvlOverride>
  </w:num>
  <w:num w:numId="38" w16cid:durableId="67964886">
    <w:abstractNumId w:val="8"/>
  </w:num>
  <w:num w:numId="39" w16cid:durableId="226695869">
    <w:abstractNumId w:val="24"/>
  </w:num>
  <w:num w:numId="40" w16cid:durableId="814685296">
    <w:abstractNumId w:val="3"/>
  </w:num>
  <w:num w:numId="41" w16cid:durableId="345794888">
    <w:abstractNumId w:val="2"/>
  </w:num>
  <w:num w:numId="42" w16cid:durableId="1556308045">
    <w:abstractNumId w:val="1"/>
  </w:num>
  <w:num w:numId="43" w16cid:durableId="379599841">
    <w:abstractNumId w:val="0"/>
  </w:num>
  <w:num w:numId="44" w16cid:durableId="1666976193">
    <w:abstractNumId w:val="46"/>
  </w:num>
  <w:num w:numId="45" w16cid:durableId="2049065095">
    <w:abstractNumId w:val="39"/>
  </w:num>
  <w:num w:numId="46" w16cid:durableId="1323507906">
    <w:abstractNumId w:val="49"/>
  </w:num>
  <w:num w:numId="47" w16cid:durableId="1392191968">
    <w:abstractNumId w:val="35"/>
  </w:num>
  <w:num w:numId="48" w16cid:durableId="494420807">
    <w:abstractNumId w:val="18"/>
  </w:num>
  <w:num w:numId="49" w16cid:durableId="1569001917">
    <w:abstractNumId w:val="31"/>
  </w:num>
  <w:num w:numId="50" w16cid:durableId="1065373233">
    <w:abstractNumId w:val="28"/>
  </w:num>
  <w:num w:numId="51" w16cid:durableId="922182107">
    <w:abstractNumId w:val="34"/>
  </w:num>
  <w:num w:numId="52" w16cid:durableId="598224753">
    <w:abstractNumId w:val="19"/>
  </w:num>
  <w:num w:numId="53" w16cid:durableId="2064477745">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E308D"/>
    <w:rsid w:val="000026AC"/>
    <w:rsid w:val="0000388E"/>
    <w:rsid w:val="00003D03"/>
    <w:rsid w:val="00004060"/>
    <w:rsid w:val="00004AEE"/>
    <w:rsid w:val="00005CAA"/>
    <w:rsid w:val="00010210"/>
    <w:rsid w:val="000122BB"/>
    <w:rsid w:val="00012D66"/>
    <w:rsid w:val="0001317A"/>
    <w:rsid w:val="0001318B"/>
    <w:rsid w:val="00013EB6"/>
    <w:rsid w:val="00015ADA"/>
    <w:rsid w:val="00016888"/>
    <w:rsid w:val="00020C99"/>
    <w:rsid w:val="00021306"/>
    <w:rsid w:val="0002707B"/>
    <w:rsid w:val="0004237F"/>
    <w:rsid w:val="00044DAA"/>
    <w:rsid w:val="000455A6"/>
    <w:rsid w:val="0005148E"/>
    <w:rsid w:val="00055A0A"/>
    <w:rsid w:val="0006231D"/>
    <w:rsid w:val="000710B4"/>
    <w:rsid w:val="00072C5A"/>
    <w:rsid w:val="000756B5"/>
    <w:rsid w:val="000759E5"/>
    <w:rsid w:val="00077A37"/>
    <w:rsid w:val="000838F2"/>
    <w:rsid w:val="00084653"/>
    <w:rsid w:val="00084AC6"/>
    <w:rsid w:val="00091608"/>
    <w:rsid w:val="0009333C"/>
    <w:rsid w:val="0009704F"/>
    <w:rsid w:val="00097562"/>
    <w:rsid w:val="000A0F11"/>
    <w:rsid w:val="000A125A"/>
    <w:rsid w:val="000A2084"/>
    <w:rsid w:val="000A57CD"/>
    <w:rsid w:val="000B1CA4"/>
    <w:rsid w:val="000B3758"/>
    <w:rsid w:val="000B7681"/>
    <w:rsid w:val="000B7B42"/>
    <w:rsid w:val="000C02B7"/>
    <w:rsid w:val="000C130E"/>
    <w:rsid w:val="000C5100"/>
    <w:rsid w:val="000C5342"/>
    <w:rsid w:val="000C67A6"/>
    <w:rsid w:val="000C706A"/>
    <w:rsid w:val="000D2887"/>
    <w:rsid w:val="000D3C32"/>
    <w:rsid w:val="000D6D63"/>
    <w:rsid w:val="000E0081"/>
    <w:rsid w:val="000E07CF"/>
    <w:rsid w:val="000E0DA9"/>
    <w:rsid w:val="000E31C1"/>
    <w:rsid w:val="000E3C74"/>
    <w:rsid w:val="000F0071"/>
    <w:rsid w:val="000F2CF2"/>
    <w:rsid w:val="000F2ED0"/>
    <w:rsid w:val="000F5A5D"/>
    <w:rsid w:val="000F6B02"/>
    <w:rsid w:val="00100BEF"/>
    <w:rsid w:val="00110419"/>
    <w:rsid w:val="00111326"/>
    <w:rsid w:val="00111ADA"/>
    <w:rsid w:val="0011208A"/>
    <w:rsid w:val="0011498E"/>
    <w:rsid w:val="00114D33"/>
    <w:rsid w:val="0011717C"/>
    <w:rsid w:val="00117A45"/>
    <w:rsid w:val="001224AE"/>
    <w:rsid w:val="001225D4"/>
    <w:rsid w:val="00132A3D"/>
    <w:rsid w:val="0013306A"/>
    <w:rsid w:val="0013309A"/>
    <w:rsid w:val="001337D4"/>
    <w:rsid w:val="00137A22"/>
    <w:rsid w:val="00142E99"/>
    <w:rsid w:val="00145A74"/>
    <w:rsid w:val="00147C12"/>
    <w:rsid w:val="001527A1"/>
    <w:rsid w:val="001530DC"/>
    <w:rsid w:val="00154989"/>
    <w:rsid w:val="00155A9F"/>
    <w:rsid w:val="00157BD6"/>
    <w:rsid w:val="00160262"/>
    <w:rsid w:val="001614B3"/>
    <w:rsid w:val="0016289A"/>
    <w:rsid w:val="00165093"/>
    <w:rsid w:val="0016780A"/>
    <w:rsid w:val="00167A5A"/>
    <w:rsid w:val="001713FA"/>
    <w:rsid w:val="00173543"/>
    <w:rsid w:val="00173EBF"/>
    <w:rsid w:val="00174974"/>
    <w:rsid w:val="00175ACD"/>
    <w:rsid w:val="00175ED3"/>
    <w:rsid w:val="00176435"/>
    <w:rsid w:val="001842A2"/>
    <w:rsid w:val="001844D8"/>
    <w:rsid w:val="00185231"/>
    <w:rsid w:val="001854D9"/>
    <w:rsid w:val="00185D97"/>
    <w:rsid w:val="00187FA8"/>
    <w:rsid w:val="00190BD5"/>
    <w:rsid w:val="00192F5E"/>
    <w:rsid w:val="001968CC"/>
    <w:rsid w:val="00197772"/>
    <w:rsid w:val="001A0D16"/>
    <w:rsid w:val="001A13D2"/>
    <w:rsid w:val="001A51C8"/>
    <w:rsid w:val="001B4CA8"/>
    <w:rsid w:val="001B5EA1"/>
    <w:rsid w:val="001C170F"/>
    <w:rsid w:val="001C4475"/>
    <w:rsid w:val="001C4F3D"/>
    <w:rsid w:val="001D007E"/>
    <w:rsid w:val="001D0CDC"/>
    <w:rsid w:val="001D1D82"/>
    <w:rsid w:val="001D4A69"/>
    <w:rsid w:val="001D554E"/>
    <w:rsid w:val="001E1182"/>
    <w:rsid w:val="001E7C70"/>
    <w:rsid w:val="001F2220"/>
    <w:rsid w:val="00202C90"/>
    <w:rsid w:val="00203285"/>
    <w:rsid w:val="00206945"/>
    <w:rsid w:val="002134F4"/>
    <w:rsid w:val="00213DE8"/>
    <w:rsid w:val="00216118"/>
    <w:rsid w:val="00217DCD"/>
    <w:rsid w:val="0022060B"/>
    <w:rsid w:val="002209AB"/>
    <w:rsid w:val="0022113F"/>
    <w:rsid w:val="0022382E"/>
    <w:rsid w:val="002251E3"/>
    <w:rsid w:val="0022633C"/>
    <w:rsid w:val="00227A95"/>
    <w:rsid w:val="002316BD"/>
    <w:rsid w:val="00232A85"/>
    <w:rsid w:val="002406D3"/>
    <w:rsid w:val="002473FC"/>
    <w:rsid w:val="00252A91"/>
    <w:rsid w:val="00252E3C"/>
    <w:rsid w:val="0025379E"/>
    <w:rsid w:val="0026017F"/>
    <w:rsid w:val="00261079"/>
    <w:rsid w:val="00262198"/>
    <w:rsid w:val="00266DC3"/>
    <w:rsid w:val="00267B7D"/>
    <w:rsid w:val="0027067B"/>
    <w:rsid w:val="0027187A"/>
    <w:rsid w:val="00274DF0"/>
    <w:rsid w:val="002807AB"/>
    <w:rsid w:val="00285F1B"/>
    <w:rsid w:val="002863C4"/>
    <w:rsid w:val="00292B81"/>
    <w:rsid w:val="0029472A"/>
    <w:rsid w:val="00295B90"/>
    <w:rsid w:val="002A75C5"/>
    <w:rsid w:val="002A7C77"/>
    <w:rsid w:val="002B08FD"/>
    <w:rsid w:val="002B18AE"/>
    <w:rsid w:val="002B1E2C"/>
    <w:rsid w:val="002B2CE0"/>
    <w:rsid w:val="002C1AB6"/>
    <w:rsid w:val="002C1C93"/>
    <w:rsid w:val="002C2CC2"/>
    <w:rsid w:val="002C3511"/>
    <w:rsid w:val="002C5066"/>
    <w:rsid w:val="002C52E5"/>
    <w:rsid w:val="002C5813"/>
    <w:rsid w:val="002D0BC9"/>
    <w:rsid w:val="002D25DF"/>
    <w:rsid w:val="002D4AAC"/>
    <w:rsid w:val="002F045A"/>
    <w:rsid w:val="002F28B0"/>
    <w:rsid w:val="002F4B60"/>
    <w:rsid w:val="002F5B8D"/>
    <w:rsid w:val="002F7A79"/>
    <w:rsid w:val="0030039D"/>
    <w:rsid w:val="00300FCC"/>
    <w:rsid w:val="0030326F"/>
    <w:rsid w:val="0030796A"/>
    <w:rsid w:val="00310701"/>
    <w:rsid w:val="00310860"/>
    <w:rsid w:val="00311508"/>
    <w:rsid w:val="00315980"/>
    <w:rsid w:val="00316F7F"/>
    <w:rsid w:val="00320DF4"/>
    <w:rsid w:val="003218E8"/>
    <w:rsid w:val="0032285A"/>
    <w:rsid w:val="003236C2"/>
    <w:rsid w:val="00323CBF"/>
    <w:rsid w:val="0032439E"/>
    <w:rsid w:val="00325E34"/>
    <w:rsid w:val="00330DCE"/>
    <w:rsid w:val="003316BD"/>
    <w:rsid w:val="00331E11"/>
    <w:rsid w:val="003323A4"/>
    <w:rsid w:val="00334761"/>
    <w:rsid w:val="003361BD"/>
    <w:rsid w:val="00337EBC"/>
    <w:rsid w:val="00341DCD"/>
    <w:rsid w:val="00342306"/>
    <w:rsid w:val="00342B76"/>
    <w:rsid w:val="003430D0"/>
    <w:rsid w:val="00344F0C"/>
    <w:rsid w:val="0034563E"/>
    <w:rsid w:val="003518D6"/>
    <w:rsid w:val="0035460C"/>
    <w:rsid w:val="003556BD"/>
    <w:rsid w:val="00364C62"/>
    <w:rsid w:val="00365147"/>
    <w:rsid w:val="0037016E"/>
    <w:rsid w:val="00372908"/>
    <w:rsid w:val="00383020"/>
    <w:rsid w:val="00391745"/>
    <w:rsid w:val="00392DEB"/>
    <w:rsid w:val="00394D7E"/>
    <w:rsid w:val="0039736F"/>
    <w:rsid w:val="003975FD"/>
    <w:rsid w:val="003A12A0"/>
    <w:rsid w:val="003A43EC"/>
    <w:rsid w:val="003A7446"/>
    <w:rsid w:val="003B057D"/>
    <w:rsid w:val="003B107C"/>
    <w:rsid w:val="003B3415"/>
    <w:rsid w:val="003B60CC"/>
    <w:rsid w:val="003C1B25"/>
    <w:rsid w:val="003C2027"/>
    <w:rsid w:val="003C2443"/>
    <w:rsid w:val="003C5DA3"/>
    <w:rsid w:val="003C5E6E"/>
    <w:rsid w:val="003D4BCD"/>
    <w:rsid w:val="003D6C2B"/>
    <w:rsid w:val="003E01D8"/>
    <w:rsid w:val="003E2100"/>
    <w:rsid w:val="003E26DB"/>
    <w:rsid w:val="003E5E0D"/>
    <w:rsid w:val="003E6044"/>
    <w:rsid w:val="003F6F5B"/>
    <w:rsid w:val="0040342D"/>
    <w:rsid w:val="00404EDA"/>
    <w:rsid w:val="0041192D"/>
    <w:rsid w:val="00413EE1"/>
    <w:rsid w:val="00417755"/>
    <w:rsid w:val="0042128E"/>
    <w:rsid w:val="00424419"/>
    <w:rsid w:val="00426AD3"/>
    <w:rsid w:val="00426EAD"/>
    <w:rsid w:val="00432B60"/>
    <w:rsid w:val="004351B3"/>
    <w:rsid w:val="00436596"/>
    <w:rsid w:val="00440698"/>
    <w:rsid w:val="0044261A"/>
    <w:rsid w:val="00446F34"/>
    <w:rsid w:val="004477F8"/>
    <w:rsid w:val="004540E2"/>
    <w:rsid w:val="00454454"/>
    <w:rsid w:val="00455AB1"/>
    <w:rsid w:val="004610A8"/>
    <w:rsid w:val="004677AC"/>
    <w:rsid w:val="00467924"/>
    <w:rsid w:val="004712A5"/>
    <w:rsid w:val="0047266F"/>
    <w:rsid w:val="00476D6B"/>
    <w:rsid w:val="00483C45"/>
    <w:rsid w:val="00485B1C"/>
    <w:rsid w:val="00492C16"/>
    <w:rsid w:val="00493D72"/>
    <w:rsid w:val="004948B5"/>
    <w:rsid w:val="004948FB"/>
    <w:rsid w:val="0049747D"/>
    <w:rsid w:val="004A0678"/>
    <w:rsid w:val="004A068B"/>
    <w:rsid w:val="004A48A3"/>
    <w:rsid w:val="004A7935"/>
    <w:rsid w:val="004B0D92"/>
    <w:rsid w:val="004B0EC0"/>
    <w:rsid w:val="004B66F1"/>
    <w:rsid w:val="004B7A65"/>
    <w:rsid w:val="004C3EA0"/>
    <w:rsid w:val="004D2317"/>
    <w:rsid w:val="004D581E"/>
    <w:rsid w:val="004E1FF0"/>
    <w:rsid w:val="004F595D"/>
    <w:rsid w:val="004F7169"/>
    <w:rsid w:val="00500D66"/>
    <w:rsid w:val="00504EF8"/>
    <w:rsid w:val="00514C8E"/>
    <w:rsid w:val="005158F5"/>
    <w:rsid w:val="00521795"/>
    <w:rsid w:val="00521944"/>
    <w:rsid w:val="00522B0E"/>
    <w:rsid w:val="0052431C"/>
    <w:rsid w:val="0052662A"/>
    <w:rsid w:val="00531DBF"/>
    <w:rsid w:val="005341A9"/>
    <w:rsid w:val="00544AC7"/>
    <w:rsid w:val="00545759"/>
    <w:rsid w:val="00545BE0"/>
    <w:rsid w:val="00546930"/>
    <w:rsid w:val="00553353"/>
    <w:rsid w:val="005534F2"/>
    <w:rsid w:val="00554C6A"/>
    <w:rsid w:val="00557845"/>
    <w:rsid w:val="00562DB6"/>
    <w:rsid w:val="00562E85"/>
    <w:rsid w:val="0056332F"/>
    <w:rsid w:val="005719B3"/>
    <w:rsid w:val="0057295E"/>
    <w:rsid w:val="00575201"/>
    <w:rsid w:val="00581C39"/>
    <w:rsid w:val="005839D4"/>
    <w:rsid w:val="005903B6"/>
    <w:rsid w:val="00590448"/>
    <w:rsid w:val="005925BD"/>
    <w:rsid w:val="00594D2D"/>
    <w:rsid w:val="00596DEF"/>
    <w:rsid w:val="00596F7A"/>
    <w:rsid w:val="005A0247"/>
    <w:rsid w:val="005A126E"/>
    <w:rsid w:val="005A1DCE"/>
    <w:rsid w:val="005A452F"/>
    <w:rsid w:val="005A454E"/>
    <w:rsid w:val="005A4879"/>
    <w:rsid w:val="005A65AF"/>
    <w:rsid w:val="005B140D"/>
    <w:rsid w:val="005C1FEA"/>
    <w:rsid w:val="005C200F"/>
    <w:rsid w:val="005C3495"/>
    <w:rsid w:val="005D18D3"/>
    <w:rsid w:val="005E0687"/>
    <w:rsid w:val="005E3DFC"/>
    <w:rsid w:val="005E479B"/>
    <w:rsid w:val="005E5942"/>
    <w:rsid w:val="005E598C"/>
    <w:rsid w:val="005E60AF"/>
    <w:rsid w:val="005F1DEA"/>
    <w:rsid w:val="005F66B2"/>
    <w:rsid w:val="006017DE"/>
    <w:rsid w:val="00607FC9"/>
    <w:rsid w:val="00616189"/>
    <w:rsid w:val="00620D74"/>
    <w:rsid w:val="00621634"/>
    <w:rsid w:val="00622FE1"/>
    <w:rsid w:val="0062521C"/>
    <w:rsid w:val="0063004E"/>
    <w:rsid w:val="00630A2B"/>
    <w:rsid w:val="00632541"/>
    <w:rsid w:val="00632DC7"/>
    <w:rsid w:val="006357FB"/>
    <w:rsid w:val="006406FC"/>
    <w:rsid w:val="00640E57"/>
    <w:rsid w:val="006445EB"/>
    <w:rsid w:val="00645540"/>
    <w:rsid w:val="00646122"/>
    <w:rsid w:val="00650BAD"/>
    <w:rsid w:val="00652611"/>
    <w:rsid w:val="00652C0A"/>
    <w:rsid w:val="00653E16"/>
    <w:rsid w:val="00657220"/>
    <w:rsid w:val="00657362"/>
    <w:rsid w:val="0066104B"/>
    <w:rsid w:val="006636E7"/>
    <w:rsid w:val="006655EE"/>
    <w:rsid w:val="00667C10"/>
    <w:rsid w:val="00667EF4"/>
    <w:rsid w:val="00676FCA"/>
    <w:rsid w:val="00677177"/>
    <w:rsid w:val="00685B95"/>
    <w:rsid w:val="0068612E"/>
    <w:rsid w:val="00687C92"/>
    <w:rsid w:val="00694727"/>
    <w:rsid w:val="0069534E"/>
    <w:rsid w:val="0069669C"/>
    <w:rsid w:val="006A1200"/>
    <w:rsid w:val="006A2EEE"/>
    <w:rsid w:val="006A4F4E"/>
    <w:rsid w:val="006A5B17"/>
    <w:rsid w:val="006A6C23"/>
    <w:rsid w:val="006B14DB"/>
    <w:rsid w:val="006B21C4"/>
    <w:rsid w:val="006B5C6A"/>
    <w:rsid w:val="006C1CAA"/>
    <w:rsid w:val="006C2376"/>
    <w:rsid w:val="006C3A7E"/>
    <w:rsid w:val="006C3DDB"/>
    <w:rsid w:val="006C4A1A"/>
    <w:rsid w:val="006D0393"/>
    <w:rsid w:val="006D194E"/>
    <w:rsid w:val="006D1A83"/>
    <w:rsid w:val="006D2C50"/>
    <w:rsid w:val="006D688F"/>
    <w:rsid w:val="006D7FC2"/>
    <w:rsid w:val="006E1CFE"/>
    <w:rsid w:val="006E1FD4"/>
    <w:rsid w:val="006F0054"/>
    <w:rsid w:val="006F10C4"/>
    <w:rsid w:val="006F158D"/>
    <w:rsid w:val="006F27F8"/>
    <w:rsid w:val="006F40E9"/>
    <w:rsid w:val="006F4DD2"/>
    <w:rsid w:val="006F5603"/>
    <w:rsid w:val="006F7B87"/>
    <w:rsid w:val="00701400"/>
    <w:rsid w:val="007037CF"/>
    <w:rsid w:val="00714119"/>
    <w:rsid w:val="007167C0"/>
    <w:rsid w:val="00720481"/>
    <w:rsid w:val="00721F8D"/>
    <w:rsid w:val="00722DE8"/>
    <w:rsid w:val="00726388"/>
    <w:rsid w:val="00731409"/>
    <w:rsid w:val="00733193"/>
    <w:rsid w:val="0073347D"/>
    <w:rsid w:val="00735A54"/>
    <w:rsid w:val="00744DDA"/>
    <w:rsid w:val="00745E03"/>
    <w:rsid w:val="007521E0"/>
    <w:rsid w:val="007570DE"/>
    <w:rsid w:val="0075732A"/>
    <w:rsid w:val="007600F8"/>
    <w:rsid w:val="00760262"/>
    <w:rsid w:val="00760857"/>
    <w:rsid w:val="0076310C"/>
    <w:rsid w:val="0076744F"/>
    <w:rsid w:val="00767BCE"/>
    <w:rsid w:val="00767E3A"/>
    <w:rsid w:val="00767EFC"/>
    <w:rsid w:val="007707DE"/>
    <w:rsid w:val="00770B5D"/>
    <w:rsid w:val="00774AFC"/>
    <w:rsid w:val="007752F1"/>
    <w:rsid w:val="007759F6"/>
    <w:rsid w:val="00775FDE"/>
    <w:rsid w:val="00776768"/>
    <w:rsid w:val="007815AF"/>
    <w:rsid w:val="0078187A"/>
    <w:rsid w:val="00794013"/>
    <w:rsid w:val="00794ED8"/>
    <w:rsid w:val="007A2573"/>
    <w:rsid w:val="007B106C"/>
    <w:rsid w:val="007B1A4E"/>
    <w:rsid w:val="007B3D05"/>
    <w:rsid w:val="007B5503"/>
    <w:rsid w:val="007B64CA"/>
    <w:rsid w:val="007C1384"/>
    <w:rsid w:val="007C1451"/>
    <w:rsid w:val="007C179C"/>
    <w:rsid w:val="007C6238"/>
    <w:rsid w:val="007C6BB3"/>
    <w:rsid w:val="007D14B4"/>
    <w:rsid w:val="007D3AD7"/>
    <w:rsid w:val="007E24F6"/>
    <w:rsid w:val="007E4213"/>
    <w:rsid w:val="007E42DF"/>
    <w:rsid w:val="007E5AAC"/>
    <w:rsid w:val="007F26B6"/>
    <w:rsid w:val="00800F64"/>
    <w:rsid w:val="00801050"/>
    <w:rsid w:val="00802F0B"/>
    <w:rsid w:val="00803587"/>
    <w:rsid w:val="008037E2"/>
    <w:rsid w:val="00805237"/>
    <w:rsid w:val="008074EE"/>
    <w:rsid w:val="00810A67"/>
    <w:rsid w:val="00820C4C"/>
    <w:rsid w:val="008275AC"/>
    <w:rsid w:val="00830E96"/>
    <w:rsid w:val="0083276A"/>
    <w:rsid w:val="00833CF7"/>
    <w:rsid w:val="00834CDE"/>
    <w:rsid w:val="0083678F"/>
    <w:rsid w:val="00837913"/>
    <w:rsid w:val="00842464"/>
    <w:rsid w:val="00845601"/>
    <w:rsid w:val="00847A6C"/>
    <w:rsid w:val="008526BC"/>
    <w:rsid w:val="00853CA1"/>
    <w:rsid w:val="00855C5C"/>
    <w:rsid w:val="008626DD"/>
    <w:rsid w:val="0087301F"/>
    <w:rsid w:val="00874035"/>
    <w:rsid w:val="008757BD"/>
    <w:rsid w:val="008804DD"/>
    <w:rsid w:val="00883F25"/>
    <w:rsid w:val="008934DF"/>
    <w:rsid w:val="008952B8"/>
    <w:rsid w:val="008957C6"/>
    <w:rsid w:val="00896BA1"/>
    <w:rsid w:val="00896FFA"/>
    <w:rsid w:val="008A3020"/>
    <w:rsid w:val="008A3B18"/>
    <w:rsid w:val="008A3C96"/>
    <w:rsid w:val="008A503B"/>
    <w:rsid w:val="008A7B30"/>
    <w:rsid w:val="008B0BC0"/>
    <w:rsid w:val="008B4019"/>
    <w:rsid w:val="008B65C9"/>
    <w:rsid w:val="008C2D4A"/>
    <w:rsid w:val="008C6C15"/>
    <w:rsid w:val="008D3900"/>
    <w:rsid w:val="008D5FD5"/>
    <w:rsid w:val="008D6E1D"/>
    <w:rsid w:val="008D7B74"/>
    <w:rsid w:val="008E65F5"/>
    <w:rsid w:val="008F39B4"/>
    <w:rsid w:val="008F4162"/>
    <w:rsid w:val="00903E02"/>
    <w:rsid w:val="00905525"/>
    <w:rsid w:val="009074F6"/>
    <w:rsid w:val="00913175"/>
    <w:rsid w:val="00916EDB"/>
    <w:rsid w:val="00920861"/>
    <w:rsid w:val="00922B13"/>
    <w:rsid w:val="00922CB6"/>
    <w:rsid w:val="009242EF"/>
    <w:rsid w:val="009245C9"/>
    <w:rsid w:val="00925162"/>
    <w:rsid w:val="00932291"/>
    <w:rsid w:val="00932861"/>
    <w:rsid w:val="0093408E"/>
    <w:rsid w:val="00934FD0"/>
    <w:rsid w:val="0093637D"/>
    <w:rsid w:val="00950724"/>
    <w:rsid w:val="00952082"/>
    <w:rsid w:val="00952DDF"/>
    <w:rsid w:val="0095493E"/>
    <w:rsid w:val="009610A3"/>
    <w:rsid w:val="00962CB0"/>
    <w:rsid w:val="00963B6A"/>
    <w:rsid w:val="00970950"/>
    <w:rsid w:val="0097121B"/>
    <w:rsid w:val="009747B3"/>
    <w:rsid w:val="009812D4"/>
    <w:rsid w:val="0098150B"/>
    <w:rsid w:val="0098174A"/>
    <w:rsid w:val="009830E8"/>
    <w:rsid w:val="0098642E"/>
    <w:rsid w:val="009920D8"/>
    <w:rsid w:val="00992496"/>
    <w:rsid w:val="009952F5"/>
    <w:rsid w:val="009A10D2"/>
    <w:rsid w:val="009A1674"/>
    <w:rsid w:val="009A250C"/>
    <w:rsid w:val="009A4611"/>
    <w:rsid w:val="009A73EF"/>
    <w:rsid w:val="009A7551"/>
    <w:rsid w:val="009B38BE"/>
    <w:rsid w:val="009B53FB"/>
    <w:rsid w:val="009C3D0F"/>
    <w:rsid w:val="009C5DA5"/>
    <w:rsid w:val="009D2EC8"/>
    <w:rsid w:val="009E0743"/>
    <w:rsid w:val="009E1B19"/>
    <w:rsid w:val="009E238C"/>
    <w:rsid w:val="009E308D"/>
    <w:rsid w:val="009F35E2"/>
    <w:rsid w:val="009F6557"/>
    <w:rsid w:val="009F65F9"/>
    <w:rsid w:val="009F68BA"/>
    <w:rsid w:val="00A06277"/>
    <w:rsid w:val="00A079DC"/>
    <w:rsid w:val="00A111C2"/>
    <w:rsid w:val="00A167BB"/>
    <w:rsid w:val="00A27865"/>
    <w:rsid w:val="00A27D52"/>
    <w:rsid w:val="00A338E7"/>
    <w:rsid w:val="00A35CAA"/>
    <w:rsid w:val="00A36E7F"/>
    <w:rsid w:val="00A41E65"/>
    <w:rsid w:val="00A43E0A"/>
    <w:rsid w:val="00A46C7D"/>
    <w:rsid w:val="00A530C7"/>
    <w:rsid w:val="00A55F5B"/>
    <w:rsid w:val="00A5777D"/>
    <w:rsid w:val="00A60185"/>
    <w:rsid w:val="00A63F97"/>
    <w:rsid w:val="00A661EA"/>
    <w:rsid w:val="00A665FC"/>
    <w:rsid w:val="00A75D60"/>
    <w:rsid w:val="00A830E5"/>
    <w:rsid w:val="00A87135"/>
    <w:rsid w:val="00A9030A"/>
    <w:rsid w:val="00A93280"/>
    <w:rsid w:val="00A951EA"/>
    <w:rsid w:val="00A95BEF"/>
    <w:rsid w:val="00AA0E89"/>
    <w:rsid w:val="00AA173F"/>
    <w:rsid w:val="00AA2548"/>
    <w:rsid w:val="00AA52DC"/>
    <w:rsid w:val="00AA58C4"/>
    <w:rsid w:val="00AA6F81"/>
    <w:rsid w:val="00AA7003"/>
    <w:rsid w:val="00AB11C8"/>
    <w:rsid w:val="00AB1E0D"/>
    <w:rsid w:val="00AB2E80"/>
    <w:rsid w:val="00AB5E3E"/>
    <w:rsid w:val="00AC08A8"/>
    <w:rsid w:val="00AD0A88"/>
    <w:rsid w:val="00AD56C8"/>
    <w:rsid w:val="00AD58F2"/>
    <w:rsid w:val="00AE65A4"/>
    <w:rsid w:val="00AE789E"/>
    <w:rsid w:val="00AE793A"/>
    <w:rsid w:val="00AF1907"/>
    <w:rsid w:val="00AF6078"/>
    <w:rsid w:val="00B044BD"/>
    <w:rsid w:val="00B0512A"/>
    <w:rsid w:val="00B0529F"/>
    <w:rsid w:val="00B0607B"/>
    <w:rsid w:val="00B11FD6"/>
    <w:rsid w:val="00B1418B"/>
    <w:rsid w:val="00B14475"/>
    <w:rsid w:val="00B15476"/>
    <w:rsid w:val="00B21195"/>
    <w:rsid w:val="00B22654"/>
    <w:rsid w:val="00B24B22"/>
    <w:rsid w:val="00B25310"/>
    <w:rsid w:val="00B32F8F"/>
    <w:rsid w:val="00B3492A"/>
    <w:rsid w:val="00B357FC"/>
    <w:rsid w:val="00B41E1F"/>
    <w:rsid w:val="00B4208F"/>
    <w:rsid w:val="00B50218"/>
    <w:rsid w:val="00B54DE9"/>
    <w:rsid w:val="00B54FD8"/>
    <w:rsid w:val="00B553EC"/>
    <w:rsid w:val="00B55E3F"/>
    <w:rsid w:val="00B63C1E"/>
    <w:rsid w:val="00B81DAD"/>
    <w:rsid w:val="00B85A65"/>
    <w:rsid w:val="00B9301A"/>
    <w:rsid w:val="00B93DD0"/>
    <w:rsid w:val="00B953F6"/>
    <w:rsid w:val="00B97732"/>
    <w:rsid w:val="00BA2773"/>
    <w:rsid w:val="00BA4472"/>
    <w:rsid w:val="00BA65A8"/>
    <w:rsid w:val="00BA6D19"/>
    <w:rsid w:val="00BA7461"/>
    <w:rsid w:val="00BA7DA9"/>
    <w:rsid w:val="00BB0047"/>
    <w:rsid w:val="00BB52CB"/>
    <w:rsid w:val="00BB58CB"/>
    <w:rsid w:val="00BB7363"/>
    <w:rsid w:val="00BC1FFE"/>
    <w:rsid w:val="00BC3262"/>
    <w:rsid w:val="00BC4215"/>
    <w:rsid w:val="00BC6773"/>
    <w:rsid w:val="00BD1A6F"/>
    <w:rsid w:val="00BD4119"/>
    <w:rsid w:val="00BD5BDB"/>
    <w:rsid w:val="00BE6D3C"/>
    <w:rsid w:val="00BE7852"/>
    <w:rsid w:val="00BF6231"/>
    <w:rsid w:val="00BF7CEE"/>
    <w:rsid w:val="00C0102A"/>
    <w:rsid w:val="00C03880"/>
    <w:rsid w:val="00C06966"/>
    <w:rsid w:val="00C116AA"/>
    <w:rsid w:val="00C13588"/>
    <w:rsid w:val="00C135CF"/>
    <w:rsid w:val="00C1476E"/>
    <w:rsid w:val="00C14C55"/>
    <w:rsid w:val="00C20619"/>
    <w:rsid w:val="00C22FD9"/>
    <w:rsid w:val="00C2683F"/>
    <w:rsid w:val="00C3184D"/>
    <w:rsid w:val="00C31DA4"/>
    <w:rsid w:val="00C45ED9"/>
    <w:rsid w:val="00C4714E"/>
    <w:rsid w:val="00C51CCA"/>
    <w:rsid w:val="00C5504F"/>
    <w:rsid w:val="00C55195"/>
    <w:rsid w:val="00C57B55"/>
    <w:rsid w:val="00C623DD"/>
    <w:rsid w:val="00C62E0F"/>
    <w:rsid w:val="00C63376"/>
    <w:rsid w:val="00C6558F"/>
    <w:rsid w:val="00C67828"/>
    <w:rsid w:val="00C7052D"/>
    <w:rsid w:val="00C70C81"/>
    <w:rsid w:val="00C74F97"/>
    <w:rsid w:val="00C75A70"/>
    <w:rsid w:val="00C8276E"/>
    <w:rsid w:val="00C83CAD"/>
    <w:rsid w:val="00C842AC"/>
    <w:rsid w:val="00C932A0"/>
    <w:rsid w:val="00C96688"/>
    <w:rsid w:val="00CA0723"/>
    <w:rsid w:val="00CA087F"/>
    <w:rsid w:val="00CA12D8"/>
    <w:rsid w:val="00CB1690"/>
    <w:rsid w:val="00CB195D"/>
    <w:rsid w:val="00CB4207"/>
    <w:rsid w:val="00CB5A3F"/>
    <w:rsid w:val="00CB6B76"/>
    <w:rsid w:val="00CC4365"/>
    <w:rsid w:val="00CD11B0"/>
    <w:rsid w:val="00CD2E0E"/>
    <w:rsid w:val="00CD33FD"/>
    <w:rsid w:val="00CE3105"/>
    <w:rsid w:val="00CE4330"/>
    <w:rsid w:val="00CE59CF"/>
    <w:rsid w:val="00CE71C2"/>
    <w:rsid w:val="00CF009A"/>
    <w:rsid w:val="00CF019A"/>
    <w:rsid w:val="00CF34E9"/>
    <w:rsid w:val="00CF42D5"/>
    <w:rsid w:val="00CF4EDA"/>
    <w:rsid w:val="00CF7419"/>
    <w:rsid w:val="00CF79B2"/>
    <w:rsid w:val="00D021CB"/>
    <w:rsid w:val="00D02A4D"/>
    <w:rsid w:val="00D10F1A"/>
    <w:rsid w:val="00D116F8"/>
    <w:rsid w:val="00D14B9B"/>
    <w:rsid w:val="00D15E04"/>
    <w:rsid w:val="00D17596"/>
    <w:rsid w:val="00D20537"/>
    <w:rsid w:val="00D21D54"/>
    <w:rsid w:val="00D22640"/>
    <w:rsid w:val="00D26D3A"/>
    <w:rsid w:val="00D32587"/>
    <w:rsid w:val="00D340CA"/>
    <w:rsid w:val="00D3436E"/>
    <w:rsid w:val="00D3554D"/>
    <w:rsid w:val="00D41FF4"/>
    <w:rsid w:val="00D43944"/>
    <w:rsid w:val="00D45EE3"/>
    <w:rsid w:val="00D50618"/>
    <w:rsid w:val="00D509E9"/>
    <w:rsid w:val="00D527A5"/>
    <w:rsid w:val="00D53B1C"/>
    <w:rsid w:val="00D60470"/>
    <w:rsid w:val="00D70E6B"/>
    <w:rsid w:val="00D72DC5"/>
    <w:rsid w:val="00D73279"/>
    <w:rsid w:val="00D767A6"/>
    <w:rsid w:val="00D8639B"/>
    <w:rsid w:val="00D92D53"/>
    <w:rsid w:val="00D93352"/>
    <w:rsid w:val="00D97978"/>
    <w:rsid w:val="00DA1B12"/>
    <w:rsid w:val="00DA320F"/>
    <w:rsid w:val="00DA54C9"/>
    <w:rsid w:val="00DA6739"/>
    <w:rsid w:val="00DA6CAE"/>
    <w:rsid w:val="00DB1A9E"/>
    <w:rsid w:val="00DB31D6"/>
    <w:rsid w:val="00DB3D47"/>
    <w:rsid w:val="00DB4005"/>
    <w:rsid w:val="00DC34EB"/>
    <w:rsid w:val="00DD766A"/>
    <w:rsid w:val="00DE0C64"/>
    <w:rsid w:val="00DE11DF"/>
    <w:rsid w:val="00DE2541"/>
    <w:rsid w:val="00DE46ED"/>
    <w:rsid w:val="00DE6DE0"/>
    <w:rsid w:val="00DF1E5B"/>
    <w:rsid w:val="00DF2275"/>
    <w:rsid w:val="00DF2C9B"/>
    <w:rsid w:val="00DF3F5E"/>
    <w:rsid w:val="00DF5653"/>
    <w:rsid w:val="00E01A91"/>
    <w:rsid w:val="00E0596E"/>
    <w:rsid w:val="00E06F66"/>
    <w:rsid w:val="00E07733"/>
    <w:rsid w:val="00E1123A"/>
    <w:rsid w:val="00E1282C"/>
    <w:rsid w:val="00E17062"/>
    <w:rsid w:val="00E33ABD"/>
    <w:rsid w:val="00E33CF1"/>
    <w:rsid w:val="00E356E5"/>
    <w:rsid w:val="00E36DB3"/>
    <w:rsid w:val="00E36F81"/>
    <w:rsid w:val="00E44709"/>
    <w:rsid w:val="00E45765"/>
    <w:rsid w:val="00E45E72"/>
    <w:rsid w:val="00E5098C"/>
    <w:rsid w:val="00E531F5"/>
    <w:rsid w:val="00E562A9"/>
    <w:rsid w:val="00E60213"/>
    <w:rsid w:val="00E661B2"/>
    <w:rsid w:val="00E666BB"/>
    <w:rsid w:val="00E66A79"/>
    <w:rsid w:val="00E66CA6"/>
    <w:rsid w:val="00E70A77"/>
    <w:rsid w:val="00E713A8"/>
    <w:rsid w:val="00E74B9F"/>
    <w:rsid w:val="00E74C33"/>
    <w:rsid w:val="00E74D29"/>
    <w:rsid w:val="00E77AC0"/>
    <w:rsid w:val="00E82E30"/>
    <w:rsid w:val="00E83C74"/>
    <w:rsid w:val="00E83CEE"/>
    <w:rsid w:val="00E85C13"/>
    <w:rsid w:val="00E86878"/>
    <w:rsid w:val="00E91F18"/>
    <w:rsid w:val="00E9226D"/>
    <w:rsid w:val="00E96E91"/>
    <w:rsid w:val="00EA416C"/>
    <w:rsid w:val="00EA5941"/>
    <w:rsid w:val="00EB60CE"/>
    <w:rsid w:val="00EB669E"/>
    <w:rsid w:val="00EB7D53"/>
    <w:rsid w:val="00EC3014"/>
    <w:rsid w:val="00EE1E2D"/>
    <w:rsid w:val="00EE3146"/>
    <w:rsid w:val="00EF0DAD"/>
    <w:rsid w:val="00EF2BC3"/>
    <w:rsid w:val="00EF50BB"/>
    <w:rsid w:val="00EF53FF"/>
    <w:rsid w:val="00EF74B1"/>
    <w:rsid w:val="00F00192"/>
    <w:rsid w:val="00F0130B"/>
    <w:rsid w:val="00F01DF6"/>
    <w:rsid w:val="00F0340D"/>
    <w:rsid w:val="00F059A6"/>
    <w:rsid w:val="00F12FE1"/>
    <w:rsid w:val="00F2135F"/>
    <w:rsid w:val="00F23756"/>
    <w:rsid w:val="00F2448E"/>
    <w:rsid w:val="00F2523A"/>
    <w:rsid w:val="00F25BB3"/>
    <w:rsid w:val="00F25CD4"/>
    <w:rsid w:val="00F25FFA"/>
    <w:rsid w:val="00F262F7"/>
    <w:rsid w:val="00F27F26"/>
    <w:rsid w:val="00F310D2"/>
    <w:rsid w:val="00F345BE"/>
    <w:rsid w:val="00F36C55"/>
    <w:rsid w:val="00F36F3D"/>
    <w:rsid w:val="00F40279"/>
    <w:rsid w:val="00F477BD"/>
    <w:rsid w:val="00F53491"/>
    <w:rsid w:val="00F55451"/>
    <w:rsid w:val="00F65A1C"/>
    <w:rsid w:val="00F66F50"/>
    <w:rsid w:val="00F678D4"/>
    <w:rsid w:val="00F708C4"/>
    <w:rsid w:val="00F711CF"/>
    <w:rsid w:val="00F8018D"/>
    <w:rsid w:val="00F82FF8"/>
    <w:rsid w:val="00F8330D"/>
    <w:rsid w:val="00F84305"/>
    <w:rsid w:val="00F8485C"/>
    <w:rsid w:val="00F87149"/>
    <w:rsid w:val="00F87FFE"/>
    <w:rsid w:val="00F90ADB"/>
    <w:rsid w:val="00F954C9"/>
    <w:rsid w:val="00FA437C"/>
    <w:rsid w:val="00FA48BF"/>
    <w:rsid w:val="00FA4CF0"/>
    <w:rsid w:val="00FA57BD"/>
    <w:rsid w:val="00FA61AA"/>
    <w:rsid w:val="00FA69A4"/>
    <w:rsid w:val="00FB0BDA"/>
    <w:rsid w:val="00FB1279"/>
    <w:rsid w:val="00FB1495"/>
    <w:rsid w:val="00FB1844"/>
    <w:rsid w:val="00FC43DD"/>
    <w:rsid w:val="00FC62B3"/>
    <w:rsid w:val="00FD1694"/>
    <w:rsid w:val="00FD5A80"/>
    <w:rsid w:val="00FD7636"/>
    <w:rsid w:val="00FE0A96"/>
    <w:rsid w:val="00FE3229"/>
    <w:rsid w:val="00FE3D37"/>
    <w:rsid w:val="00FE74C3"/>
    <w:rsid w:val="00FF215C"/>
    <w:rsid w:val="00FF2ED2"/>
    <w:rsid w:val="00FF34A2"/>
    <w:rsid w:val="00FF49E8"/>
    <w:rsid w:val="00FF660C"/>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82BC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9E308D"/>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52431C"/>
    <w:rPr>
      <w:sz w:val="16"/>
      <w:szCs w:val="16"/>
    </w:rPr>
  </w:style>
  <w:style w:type="paragraph" w:styleId="CommentText">
    <w:name w:val="annotation text"/>
    <w:basedOn w:val="Normal"/>
    <w:link w:val="CommentTextChar"/>
    <w:uiPriority w:val="99"/>
    <w:semiHidden/>
    <w:unhideWhenUsed/>
    <w:rsid w:val="0052431C"/>
    <w:pPr>
      <w:spacing w:line="240" w:lineRule="auto"/>
    </w:pPr>
    <w:rPr>
      <w:sz w:val="20"/>
      <w:szCs w:val="20"/>
    </w:rPr>
  </w:style>
  <w:style w:type="character" w:customStyle="1" w:styleId="CommentTextChar">
    <w:name w:val="Comment Text Char"/>
    <w:basedOn w:val="DefaultParagraphFont"/>
    <w:link w:val="CommentText"/>
    <w:uiPriority w:val="99"/>
    <w:semiHidden/>
    <w:rsid w:val="0052431C"/>
    <w:rPr>
      <w:lang w:eastAsia="en-US"/>
    </w:rPr>
  </w:style>
  <w:style w:type="paragraph" w:styleId="CommentSubject">
    <w:name w:val="annotation subject"/>
    <w:basedOn w:val="CommentText"/>
    <w:next w:val="CommentText"/>
    <w:link w:val="CommentSubjectChar"/>
    <w:uiPriority w:val="99"/>
    <w:semiHidden/>
    <w:unhideWhenUsed/>
    <w:rsid w:val="0052431C"/>
    <w:rPr>
      <w:b/>
      <w:bCs/>
    </w:rPr>
  </w:style>
  <w:style w:type="character" w:customStyle="1" w:styleId="CommentSubjectChar">
    <w:name w:val="Comment Subject Char"/>
    <w:basedOn w:val="CommentTextChar"/>
    <w:link w:val="CommentSubject"/>
    <w:uiPriority w:val="99"/>
    <w:semiHidden/>
    <w:rsid w:val="0052431C"/>
    <w:rPr>
      <w:b/>
      <w:bCs/>
      <w:lang w:eastAsia="en-US"/>
    </w:rPr>
  </w:style>
  <w:style w:type="character" w:customStyle="1" w:styleId="Advisorytext">
    <w:name w:val="Advisory text"/>
    <w:basedOn w:val="DefaultParagraphFont"/>
    <w:uiPriority w:val="99"/>
    <w:rsid w:val="006D2C50"/>
    <w:rPr>
      <w:color w:val="FF0000"/>
    </w:rPr>
  </w:style>
  <w:style w:type="character" w:styleId="Hyperlink">
    <w:name w:val="Hyperlink"/>
    <w:basedOn w:val="DefaultParagraphFont"/>
    <w:uiPriority w:val="99"/>
    <w:unhideWhenUsed/>
    <w:rsid w:val="00AA0E89"/>
    <w:rPr>
      <w:color w:val="0000FF" w:themeColor="hyperlink"/>
      <w:u w:val="single"/>
    </w:rPr>
  </w:style>
  <w:style w:type="character" w:styleId="FollowedHyperlink">
    <w:name w:val="FollowedHyperlink"/>
    <w:basedOn w:val="DefaultParagraphFont"/>
    <w:uiPriority w:val="99"/>
    <w:semiHidden/>
    <w:unhideWhenUsed/>
    <w:rsid w:val="00110419"/>
    <w:rPr>
      <w:color w:val="800080" w:themeColor="followedHyperlink"/>
      <w:u w:val="single"/>
    </w:rPr>
  </w:style>
  <w:style w:type="paragraph" w:customStyle="1" w:styleId="ACMANumberedList">
    <w:name w:val="ACMA Numbered List"/>
    <w:rsid w:val="00BD4119"/>
    <w:pPr>
      <w:numPr>
        <w:numId w:val="53"/>
      </w:numPr>
      <w:spacing w:before="20" w:after="20"/>
    </w:pPr>
    <w:rPr>
      <w:rFonts w:ascii="Times New Roman" w:eastAsia="Times New Roman" w:hAnsi="Times New Roman"/>
      <w:sz w:val="24"/>
      <w:lang w:eastAsia="en-US"/>
    </w:rPr>
  </w:style>
  <w:style w:type="paragraph" w:styleId="Revision">
    <w:name w:val="Revision"/>
    <w:hidden/>
    <w:uiPriority w:val="99"/>
    <w:semiHidden/>
    <w:rsid w:val="00D02A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98551">
      <w:bodyDiv w:val="1"/>
      <w:marLeft w:val="0"/>
      <w:marRight w:val="0"/>
      <w:marTop w:val="0"/>
      <w:marBottom w:val="0"/>
      <w:divBdr>
        <w:top w:val="none" w:sz="0" w:space="0" w:color="auto"/>
        <w:left w:val="none" w:sz="0" w:space="0" w:color="auto"/>
        <w:bottom w:val="none" w:sz="0" w:space="0" w:color="auto"/>
        <w:right w:val="none" w:sz="0" w:space="0" w:color="auto"/>
      </w:divBdr>
    </w:div>
    <w:div w:id="9816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Explanatory Statement to the Exemption Instrument</Comments>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GEMS Exemption</TermName>
          <TermId xmlns="http://schemas.microsoft.com/office/infopath/2007/PartnerControls">efef38b4-64fa-4e81-9fea-a63e3e93101f</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6109bb4a-b3d0-44c7-a4f5-b0fc03ab7eba</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Exemptions</TermName>
          <TermId xmlns="http://schemas.microsoft.com/office/infopath/2007/PartnerControls">792da4f0-bac7-4641-9495-96fcacd773eb</TermId>
        </TermInfo>
      </Terms>
    </g7bcb40ba23249a78edca7d43a67c1c9>
    <TaxCatchAll xmlns="a36bd50b-1532-4c22-b385-5c082c960938">
      <Value>2106</Value>
      <Value>1084</Value>
      <Value>2738</Value>
      <Value>2117</Value>
      <Value>1754</Value>
      <Value>1</Value>
      <Value>2108</Value>
    </TaxCatchAll>
    <IconOverlay xmlns="http://schemas.microsoft.com/sharepoint/v4" xsi:nil="true"/>
    <a674526ffa164a9fae690c035aaec556 xmlns="d92934b5-032c-4da3-958e-788fdb9771c1">
      <Terms xmlns="http://schemas.microsoft.com/office/infopath/2007/PartnerControls"/>
    </a674526ffa164a9fae690c035aaec556>
    <leb4c332ed06408dafad04730a3b9e00 xmlns="d92934b5-032c-4da3-958e-788fdb9771c1">
      <Terms xmlns="http://schemas.microsoft.com/office/infopath/2007/PartnerControls">
        <TermInfo xmlns="http://schemas.microsoft.com/office/infopath/2007/PartnerControls">
          <TermName xmlns="http://schemas.microsoft.com/office/infopath/2007/PartnerControls">Computers</TermName>
          <TermId xmlns="http://schemas.microsoft.com/office/infopath/2007/PartnerControls">69351951-8777-44c6-9bd7-5016195af674</TermId>
        </TermInfo>
      </Terms>
    </leb4c332ed06408dafad04730a3b9e00>
    <b293e574d31a4f65aba73b2d9d7bec1c xmlns="d92934b5-032c-4da3-958e-788fdb9771c1">
      <Terms xmlns="http://schemas.microsoft.com/office/infopath/2007/PartnerControls">
        <TermInfo xmlns="http://schemas.microsoft.com/office/infopath/2007/PartnerControls">
          <TermName xmlns="http://schemas.microsoft.com/office/infopath/2007/PartnerControls">Hewlett Packard Australia Pty Ltd</TermName>
          <TermId xmlns="http://schemas.microsoft.com/office/infopath/2007/PartnerControls">77085330-ec15-4892-a299-5a297e788262</TermId>
        </TermInfo>
      </Terms>
    </b293e574d31a4f65aba73b2d9d7bec1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98E6C3EAE1614F946F9A93062BA094" ma:contentTypeVersion="20" ma:contentTypeDescription="Create a new document." ma:contentTypeScope="" ma:versionID="d94ee45e0dd7a9ff1f9c2acd64ea9c70">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36c485a3e780c5da1eb6f519af276724"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leb4c332ed06408dafad04730a3b9e00" minOccurs="0"/>
                <xsd:element ref="ns3:b293e574d31a4f65aba73b2d9d7bec1c" minOccurs="0"/>
                <xsd:element ref="ns3:a674526ffa164a9fae690c035aaec556"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leb4c332ed06408dafad04730a3b9e00" ma:index="24" nillable="true" ma:taxonomy="true" ma:internalName="leb4c332ed06408dafad04730a3b9e00" ma:taxonomyFieldName="DocHub_GemsPolicyProducts" ma:displayName="Product" ma:indexed="true" ma:default="" ma:fieldId="{5eb4c332-ed06-408d-afad-04730a3b9e00}" ma:sspId="fb0313f7-9433-48c0-866e-9e0bbee59a50" ma:termSetId="5bce6a8f-e6af-49e8-884e-ab24cad2d901" ma:anchorId="45bd36b5-9df9-4b44-b525-b6eabdc90c7b" ma:open="true" ma:isKeyword="false">
      <xsd:complexType>
        <xsd:sequence>
          <xsd:element ref="pc:Terms" minOccurs="0" maxOccurs="1"/>
        </xsd:sequence>
      </xsd:complexType>
    </xsd:element>
    <xsd:element name="b293e574d31a4f65aba73b2d9d7bec1c" ma:index="26" nillable="true" ma:taxonomy="true" ma:internalName="b293e574d31a4f65aba73b2d9d7bec1c" ma:taxonomyFieldName="DocHub_GemsExemptionOrganisations" ma:displayName="Organisation" ma:indexed="true" ma:default="" ma:fieldId="{b293e574-d31a-4f65-aba7-3b2d9d7bec1c}" ma:sspId="fb0313f7-9433-48c0-866e-9e0bbee59a50" ma:termSetId="68b470fb-d62c-446d-85c8-06182e6e8058" ma:anchorId="38cb9afa-07c7-43a1-b52d-db5be6a4c173" ma:open="true" ma:isKeyword="false">
      <xsd:complexType>
        <xsd:sequence>
          <xsd:element ref="pc:Terms" minOccurs="0" maxOccurs="1"/>
        </xsd:sequence>
      </xsd:complexType>
    </xsd:element>
    <xsd:element name="a674526ffa164a9fae690c035aaec556" ma:index="28" nillable="true" ma:taxonomy="true" ma:internalName="a674526ffa164a9fae690c035aaec556" ma:taxonomyFieldName="DocHub_GemsExemptionIDNo" ma:displayName="ID No" ma:indexed="true" ma:default="" ma:fieldId="{a674526f-fa16-4a9f-ae69-0c035aaec556}" ma:sspId="fb0313f7-9433-48c0-866e-9e0bbee59a50" ma:termSetId="68b470fb-d62c-446d-85c8-06182e6e8058" ma:anchorId="01d0d6b9-cd18-4d73-bc47-6d305f515c50" ma:open="tru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C1FD-32A8-4CB9-8A6F-D567920555C2}">
  <ds:schemaRefs>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d92934b5-032c-4da3-958e-788fdb9771c1"/>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6967917-5F60-4604-BCC6-892E29F3E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B3EF6-09F7-4A81-8821-E8BEBB54CB16}">
  <ds:schemaRefs>
    <ds:schemaRef ds:uri="http://schemas.microsoft.com/sharepoint/events"/>
  </ds:schemaRefs>
</ds:datastoreItem>
</file>

<file path=customXml/itemProps4.xml><?xml version="1.0" encoding="utf-8"?>
<ds:datastoreItem xmlns:ds="http://schemas.openxmlformats.org/officeDocument/2006/customXml" ds:itemID="{8A744DDD-5D99-4F23-AF86-6D7AAD473E41}">
  <ds:schemaRefs>
    <ds:schemaRef ds:uri="http://schemas.microsoft.com/sharepoint/v3/contenttype/forms"/>
  </ds:schemaRefs>
</ds:datastoreItem>
</file>

<file path=customXml/itemProps5.xml><?xml version="1.0" encoding="utf-8"?>
<ds:datastoreItem xmlns:ds="http://schemas.openxmlformats.org/officeDocument/2006/customXml" ds:itemID="{3853D300-3121-4BF0-B3A4-D6C35C9D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2021-09-16T00:49:00Z</dcterms:created>
  <dcterms:modified xsi:type="dcterms:W3CDTF">2022-12-19T00:20:00Z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0x0101009798E6C3EAE1614F946F9A93062BA094</vt:lpwstr>
  </property>
  <property fmtid="{D5CDD505-2E9C-101B-9397-08002B2CF9AE}" pid="3" name="DocHub_Year">
    <vt:lpwstr>2117;#2022|4a777a70-2aa9-481e-a746-cca47d761c8e</vt:lpwstr>
  </property>
  <property fmtid="{D5CDD505-2E9C-101B-9397-08002B2CF9AE}" pid="4" name="DocHub_DocumentType">
    <vt:lpwstr>1084;#Regulation|6109bb4a-b3d0-44c7-a4f5-b0fc03ab7eba</vt:lpwstr>
  </property>
  <property fmtid="{D5CDD505-2E9C-101B-9397-08002B2CF9AE}" pid="5" name="DocHub_SecurityClassification">
    <vt:lpwstr>1;#OFFICIAL|6106d03b-a1a0-4e30-9d91-d5e9fb4314f9</vt:lpwstr>
  </property>
  <property fmtid="{D5CDD505-2E9C-101B-9397-08002B2CF9AE}" pid="6" name="DocHub_Keywords">
    <vt:lpwstr>2108;#GEMS Exemption|efef38b4-64fa-4e81-9fea-a63e3e93101f</vt:lpwstr>
  </property>
  <property fmtid="{D5CDD505-2E9C-101B-9397-08002B2CF9AE}" pid="7" name="DocHub_GemsPolicyProducts">
    <vt:lpwstr>1754;#Computers|69351951-8777-44c6-9bd7-5016195af674</vt:lpwstr>
  </property>
  <property fmtid="{D5CDD505-2E9C-101B-9397-08002B2CF9AE}" pid="8" name="DocHub_WorkActivity">
    <vt:lpwstr>2106;#Exemptions|792da4f0-bac7-4641-9495-96fcacd773eb</vt:lpwstr>
  </property>
  <property fmtid="{D5CDD505-2E9C-101B-9397-08002B2CF9AE}" pid="9" name="DocHub_GemsExemptionOrganisations">
    <vt:lpwstr>2738;#Hewlett Packard Australia Pty Ltd|77085330-ec15-4892-a299-5a297e788262</vt:lpwstr>
  </property>
  <property fmtid="{D5CDD505-2E9C-101B-9397-08002B2CF9AE}" pid="10" name="DocHub_GemsExemptionIDNo">
    <vt:lpwstr/>
  </property>
</Properties>
</file>