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184E8B" wp14:editId="4D8A0D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D81860" w:rsidP="005E317F">
      <w:pPr>
        <w:pStyle w:val="ShortT"/>
      </w:pPr>
      <w:r w:rsidRPr="00D81860">
        <w:t>Industry Research and Development (clinical trials, phase 0, I, II, III, pre-market pilot stage, pre-market pivotal stage, for an unapproved therapeutic good) Amendment (Minor Corrections) Determination 2022</w:t>
      </w:r>
    </w:p>
    <w:p w:rsidR="005E317F" w:rsidRPr="008A72E7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F09FE">
        <w:rPr>
          <w:szCs w:val="22"/>
        </w:rPr>
        <w:t>Kelley Wiggin</w:t>
      </w:r>
      <w:r w:rsidR="008A72E7">
        <w:rPr>
          <w:szCs w:val="22"/>
        </w:rPr>
        <w:t xml:space="preserve">s, </w:t>
      </w:r>
      <w:r w:rsidR="003F09FE">
        <w:rPr>
          <w:szCs w:val="22"/>
        </w:rPr>
        <w:t xml:space="preserve">acting </w:t>
      </w:r>
      <w:r w:rsidR="008A72E7" w:rsidRPr="008A72E7">
        <w:rPr>
          <w:szCs w:val="22"/>
        </w:rPr>
        <w:t>General Manager, Research and Development Tax Incentive</w:t>
      </w:r>
      <w:r w:rsidRPr="008A72E7">
        <w:rPr>
          <w:szCs w:val="22"/>
        </w:rPr>
        <w:t>,</w:t>
      </w:r>
      <w:r w:rsidR="00683903" w:rsidRPr="008A72E7">
        <w:rPr>
          <w:szCs w:val="22"/>
        </w:rPr>
        <w:t xml:space="preserve"> delegate of </w:t>
      </w:r>
      <w:r w:rsidR="00683903" w:rsidRPr="008A72E7">
        <w:rPr>
          <w:color w:val="000000"/>
          <w:szCs w:val="22"/>
          <w:shd w:val="clear" w:color="auto" w:fill="FFFFFF"/>
        </w:rPr>
        <w:t>Industry Innovation and Science Australia,</w:t>
      </w:r>
      <w:r w:rsidRPr="008A72E7">
        <w:rPr>
          <w:szCs w:val="22"/>
        </w:rPr>
        <w:t xml:space="preserve"> make the following </w:t>
      </w:r>
      <w:r w:rsidR="00D81860" w:rsidRPr="008A72E7">
        <w:rPr>
          <w:szCs w:val="22"/>
        </w:rPr>
        <w:t>determination</w:t>
      </w:r>
      <w:r w:rsidRPr="008A72E7">
        <w:rPr>
          <w:szCs w:val="22"/>
        </w:rPr>
        <w:t>.</w:t>
      </w:r>
    </w:p>
    <w:p w:rsidR="005E317F" w:rsidRPr="008A72E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A72E7">
        <w:rPr>
          <w:szCs w:val="22"/>
        </w:rPr>
        <w:t>Dated</w:t>
      </w:r>
      <w:r w:rsidR="00315E68">
        <w:rPr>
          <w:szCs w:val="22"/>
        </w:rPr>
        <w:t xml:space="preserve"> 29 June 2022</w:t>
      </w:r>
      <w:bookmarkStart w:id="0" w:name="_GoBack"/>
      <w:bookmarkEnd w:id="0"/>
      <w:r w:rsidRPr="008A72E7">
        <w:rPr>
          <w:szCs w:val="22"/>
        </w:rPr>
        <w:tab/>
      </w:r>
      <w:r w:rsidRPr="008A72E7">
        <w:rPr>
          <w:szCs w:val="22"/>
        </w:rPr>
        <w:tab/>
      </w:r>
      <w:r w:rsidRPr="008A72E7">
        <w:rPr>
          <w:szCs w:val="22"/>
        </w:rPr>
        <w:tab/>
      </w:r>
      <w:r w:rsidRPr="008A72E7">
        <w:rPr>
          <w:szCs w:val="22"/>
        </w:rPr>
        <w:tab/>
      </w:r>
    </w:p>
    <w:p w:rsidR="005E317F" w:rsidRPr="008A72E7" w:rsidRDefault="003F09F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Kelley Wiggi</w:t>
      </w:r>
      <w:r w:rsidR="008A72E7" w:rsidRPr="008A72E7">
        <w:rPr>
          <w:szCs w:val="22"/>
        </w:rPr>
        <w:t>ns</w:t>
      </w:r>
      <w:r w:rsidR="005E317F" w:rsidRPr="008A72E7">
        <w:rPr>
          <w:szCs w:val="22"/>
        </w:rPr>
        <w:t xml:space="preserve"> </w:t>
      </w:r>
    </w:p>
    <w:p w:rsidR="00B72D37" w:rsidRPr="003B6B33" w:rsidRDefault="003F09FE" w:rsidP="003B6B33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B72D37" w:rsidRPr="003B6B33">
        <w:rPr>
          <w:sz w:val="22"/>
        </w:rPr>
        <w:t>General Manager, Research and Development Tax Incentive</w:t>
      </w:r>
      <w:r w:rsidR="00B72D37" w:rsidRPr="00B72D37">
        <w:rPr>
          <w:sz w:val="22"/>
          <w:szCs w:val="22"/>
        </w:rPr>
        <w:t xml:space="preserve">, </w:t>
      </w:r>
      <w:r w:rsidR="00B72D37" w:rsidRPr="005B741A">
        <w:rPr>
          <w:sz w:val="22"/>
          <w:szCs w:val="22"/>
        </w:rPr>
        <w:t>delegate of Industry Innovation and Science Australia</w:t>
      </w:r>
    </w:p>
    <w:p w:rsidR="006540F0" w:rsidRDefault="006540F0" w:rsidP="00B20990"/>
    <w:p w:rsidR="00B72D37" w:rsidRDefault="00B72D37" w:rsidP="00B20990">
      <w:pPr>
        <w:sectPr w:rsidR="00B72D37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27755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77551">
        <w:rPr>
          <w:noProof/>
        </w:rPr>
        <w:t>1  Name</w:t>
      </w:r>
      <w:r w:rsidR="00277551">
        <w:rPr>
          <w:noProof/>
        </w:rPr>
        <w:tab/>
      </w:r>
      <w:r w:rsidR="00277551">
        <w:rPr>
          <w:noProof/>
        </w:rPr>
        <w:fldChar w:fldCharType="begin"/>
      </w:r>
      <w:r w:rsidR="00277551">
        <w:rPr>
          <w:noProof/>
        </w:rPr>
        <w:instrText xml:space="preserve"> PAGEREF _Toc101969402 \h </w:instrText>
      </w:r>
      <w:r w:rsidR="00277551">
        <w:rPr>
          <w:noProof/>
        </w:rPr>
      </w:r>
      <w:r w:rsidR="00277551">
        <w:rPr>
          <w:noProof/>
        </w:rPr>
        <w:fldChar w:fldCharType="separate"/>
      </w:r>
      <w:r w:rsidR="0074401E">
        <w:rPr>
          <w:noProof/>
        </w:rPr>
        <w:t>1</w:t>
      </w:r>
      <w:r w:rsidR="00277551">
        <w:rPr>
          <w:noProof/>
        </w:rPr>
        <w:fldChar w:fldCharType="end"/>
      </w:r>
    </w:p>
    <w:p w:rsidR="00277551" w:rsidRDefault="00277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_Toc101969403 \h </w:instrText>
      </w:r>
      <w:r>
        <w:rPr>
          <w:noProof/>
        </w:rPr>
      </w:r>
      <w:r>
        <w:rPr>
          <w:noProof/>
        </w:rPr>
        <w:fldChar w:fldCharType="separate"/>
      </w:r>
      <w:r w:rsidR="0074401E">
        <w:rPr>
          <w:noProof/>
        </w:rPr>
        <w:t>1</w:t>
      </w:r>
      <w:r>
        <w:rPr>
          <w:noProof/>
        </w:rPr>
        <w:fldChar w:fldCharType="end"/>
      </w:r>
    </w:p>
    <w:p w:rsidR="00277551" w:rsidRDefault="00277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_Toc101969404 \h </w:instrText>
      </w:r>
      <w:r>
        <w:rPr>
          <w:noProof/>
        </w:rPr>
      </w:r>
      <w:r>
        <w:rPr>
          <w:noProof/>
        </w:rPr>
        <w:fldChar w:fldCharType="separate"/>
      </w:r>
      <w:r w:rsidR="0074401E">
        <w:rPr>
          <w:noProof/>
        </w:rPr>
        <w:t>1</w:t>
      </w:r>
      <w:r>
        <w:rPr>
          <w:noProof/>
        </w:rPr>
        <w:fldChar w:fldCharType="end"/>
      </w:r>
    </w:p>
    <w:p w:rsidR="00277551" w:rsidRDefault="002775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_Toc101969405 \h </w:instrText>
      </w:r>
      <w:r>
        <w:rPr>
          <w:noProof/>
        </w:rPr>
      </w:r>
      <w:r>
        <w:rPr>
          <w:noProof/>
        </w:rPr>
        <w:fldChar w:fldCharType="separate"/>
      </w:r>
      <w:r w:rsidR="0074401E">
        <w:rPr>
          <w:noProof/>
        </w:rPr>
        <w:t>1</w:t>
      </w:r>
      <w:r>
        <w:rPr>
          <w:noProof/>
        </w:rPr>
        <w:fldChar w:fldCharType="end"/>
      </w:r>
    </w:p>
    <w:p w:rsidR="00277551" w:rsidRDefault="002775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_Toc101969406 \h </w:instrText>
      </w:r>
      <w:r>
        <w:rPr>
          <w:noProof/>
        </w:rPr>
      </w:r>
      <w:r>
        <w:rPr>
          <w:noProof/>
        </w:rPr>
        <w:fldChar w:fldCharType="separate"/>
      </w:r>
      <w:r w:rsidR="0074401E">
        <w:rPr>
          <w:noProof/>
        </w:rPr>
        <w:t>2</w:t>
      </w:r>
      <w:r>
        <w:rPr>
          <w:noProof/>
        </w:rPr>
        <w:fldChar w:fldCharType="end"/>
      </w:r>
    </w:p>
    <w:p w:rsidR="00277551" w:rsidRDefault="002775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Industry Research and Development (clinical trials, phase 0, I, II, III, pre-market pilot stage, pre-market pivotal stage, for an unapproved therapeutic good) Determination 2022</w:t>
      </w:r>
      <w:r>
        <w:rPr>
          <w:noProof/>
        </w:rPr>
        <w:tab/>
      </w:r>
      <w:r w:rsidRPr="00700707">
        <w:rPr>
          <w:i w:val="0"/>
          <w:noProof/>
        </w:rPr>
        <w:fldChar w:fldCharType="begin"/>
      </w:r>
      <w:r w:rsidRPr="00700707">
        <w:rPr>
          <w:i w:val="0"/>
          <w:noProof/>
        </w:rPr>
        <w:instrText xml:space="preserve"> PAGEREF _Toc101969407 \h </w:instrText>
      </w:r>
      <w:r w:rsidRPr="00700707">
        <w:rPr>
          <w:i w:val="0"/>
          <w:noProof/>
        </w:rPr>
      </w:r>
      <w:r w:rsidRPr="00700707">
        <w:rPr>
          <w:i w:val="0"/>
          <w:noProof/>
        </w:rPr>
        <w:fldChar w:fldCharType="separate"/>
      </w:r>
      <w:r w:rsidR="0074401E" w:rsidRPr="00700707">
        <w:rPr>
          <w:i w:val="0"/>
          <w:noProof/>
        </w:rPr>
        <w:t>2</w:t>
      </w:r>
      <w:r w:rsidRPr="00700707">
        <w:rPr>
          <w:i w:val="0"/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3E5F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0196940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81860" w:rsidRPr="00D81860">
        <w:rPr>
          <w:i/>
        </w:rPr>
        <w:t xml:space="preserve">Industry Research and Development (clinical trials, phase 0, I, II, III, pre-market pilot stage, pre-market pivotal stage, for an unapproved therapeutic good) </w:t>
      </w:r>
      <w:r w:rsidR="00D81860">
        <w:rPr>
          <w:i/>
        </w:rPr>
        <w:t xml:space="preserve">Amendment (Minor Corrections) </w:t>
      </w:r>
      <w:r w:rsidR="00D81860" w:rsidRPr="00D81860">
        <w:rPr>
          <w:i/>
        </w:rPr>
        <w:t>Determination 2022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0196940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3E5F2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3E5F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3E5F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3E5F22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3E5F2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3E5F2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81860" w:rsidRPr="0073398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BE5ABC" w:rsidP="003E5F22">
            <w:pPr>
              <w:pStyle w:val="Tabletext"/>
              <w:rPr>
                <w:i/>
              </w:rPr>
            </w:pPr>
            <w:r>
              <w:t>T</w:t>
            </w:r>
            <w:r w:rsidR="00D81860">
              <w:t>he day after this instrument is registered</w:t>
            </w:r>
            <w:r w:rsidR="0097397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3E5F22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0196940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81860">
        <w:t xml:space="preserve"> </w:t>
      </w:r>
      <w:r w:rsidR="00D81860">
        <w:rPr>
          <w:color w:val="000000"/>
          <w:szCs w:val="22"/>
          <w:shd w:val="clear" w:color="auto" w:fill="FFFFFF"/>
        </w:rPr>
        <w:t xml:space="preserve">subsection </w:t>
      </w:r>
      <w:proofErr w:type="gramStart"/>
      <w:r w:rsidR="00D81860">
        <w:rPr>
          <w:color w:val="000000"/>
          <w:szCs w:val="22"/>
          <w:shd w:val="clear" w:color="auto" w:fill="FFFFFF"/>
        </w:rPr>
        <w:t>31D(</w:t>
      </w:r>
      <w:proofErr w:type="gramEnd"/>
      <w:r w:rsidR="00D81860">
        <w:rPr>
          <w:color w:val="000000"/>
          <w:szCs w:val="22"/>
          <w:shd w:val="clear" w:color="auto" w:fill="FFFFFF"/>
        </w:rPr>
        <w:t>1) of the</w:t>
      </w:r>
      <w:r w:rsidR="00D81860">
        <w:rPr>
          <w:i/>
          <w:iCs/>
          <w:color w:val="000000"/>
          <w:szCs w:val="22"/>
          <w:shd w:val="clear" w:color="auto" w:fill="FFFFFF"/>
        </w:rPr>
        <w:t> Industry Research and Development Act 1986</w:t>
      </w:r>
      <w:r w:rsidRPr="009C2562">
        <w:t>.</w:t>
      </w:r>
    </w:p>
    <w:p w:rsidR="00683903" w:rsidRPr="009C2562" w:rsidRDefault="00683903" w:rsidP="002B2377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</w:r>
      <w:r>
        <w:rPr>
          <w:snapToGrid w:val="0"/>
          <w:lang w:eastAsia="en-US"/>
        </w:rPr>
        <w:t xml:space="preserve">See also </w:t>
      </w:r>
      <w:r w:rsidR="002B2377">
        <w:t xml:space="preserve">subsection 33(3) of the </w:t>
      </w:r>
      <w:r w:rsidR="002B2377" w:rsidRPr="002B2377">
        <w:rPr>
          <w:i/>
        </w:rPr>
        <w:t>Acts Interpretation Act 1901</w:t>
      </w:r>
      <w:r w:rsidRPr="003422B4">
        <w:rPr>
          <w:snapToGrid w:val="0"/>
          <w:lang w:eastAsia="en-US"/>
        </w:rPr>
        <w:t>.</w:t>
      </w:r>
    </w:p>
    <w:p w:rsidR="005E317F" w:rsidRPr="006065DA" w:rsidRDefault="005E317F" w:rsidP="005E317F">
      <w:pPr>
        <w:pStyle w:val="ActHead5"/>
      </w:pPr>
      <w:bookmarkStart w:id="6" w:name="_Toc101969405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0196940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D81860" w:rsidP="00700707">
      <w:pPr>
        <w:pStyle w:val="ActHead9"/>
        <w:ind w:left="0" w:firstLine="0"/>
      </w:pPr>
      <w:bookmarkStart w:id="8" w:name="_Toc101969407"/>
      <w:r w:rsidRPr="00D81860">
        <w:t xml:space="preserve">Industry </w:t>
      </w:r>
      <w:r w:rsidRPr="006540F0">
        <w:t>Research</w:t>
      </w:r>
      <w:r w:rsidRPr="00D81860">
        <w:t xml:space="preserve"> and Development (clinical trials, phase 0, I, II, III, pre-market pilot stage, pre-market pivotal stage, for an unapproved therapeutic good) Determination 2022</w:t>
      </w:r>
      <w:bookmarkEnd w:id="8"/>
    </w:p>
    <w:p w:rsidR="001F2C3B" w:rsidRDefault="005E317F" w:rsidP="005E317F">
      <w:pPr>
        <w:pStyle w:val="ItemHead"/>
      </w:pPr>
      <w:proofErr w:type="gramStart"/>
      <w:r w:rsidRPr="003E5F22">
        <w:t xml:space="preserve">1  </w:t>
      </w:r>
      <w:r w:rsidR="0097397D">
        <w:t>Section</w:t>
      </w:r>
      <w:proofErr w:type="gramEnd"/>
      <w:r w:rsidR="0097397D">
        <w:t> 1</w:t>
      </w:r>
    </w:p>
    <w:p w:rsidR="001F2C3B" w:rsidRPr="001F2C3B" w:rsidRDefault="001F2C3B" w:rsidP="000F369E">
      <w:pPr>
        <w:pStyle w:val="Item"/>
      </w:pPr>
      <w:r>
        <w:t>Omit “</w:t>
      </w:r>
      <w:r w:rsidRPr="000F369E">
        <w:rPr>
          <w:i/>
        </w:rPr>
        <w:t>clinical trials, phase 0, I, II, III, pre-market pilot stage, pre-market pivotal stage, for an unapproved therapeutic good</w:t>
      </w:r>
      <w:r>
        <w:t xml:space="preserve">”, </w:t>
      </w:r>
      <w:r w:rsidR="006540F0">
        <w:t>substitute</w:t>
      </w:r>
      <w:r>
        <w:t xml:space="preserve"> </w:t>
      </w:r>
      <w:r w:rsidR="0097397D">
        <w:t>“</w:t>
      </w:r>
      <w:r w:rsidRPr="000F369E">
        <w:rPr>
          <w:i/>
        </w:rPr>
        <w:t>Clinical Trials</w:t>
      </w:r>
      <w:r w:rsidR="0097397D">
        <w:t>”</w:t>
      </w:r>
      <w:r w:rsidR="00D46CC4">
        <w:t>.</w:t>
      </w:r>
    </w:p>
    <w:p w:rsidR="008F77C5" w:rsidRDefault="001F2C3B" w:rsidP="005E317F">
      <w:pPr>
        <w:pStyle w:val="ItemHead"/>
      </w:pPr>
      <w:proofErr w:type="gramStart"/>
      <w:r>
        <w:t xml:space="preserve">2  </w:t>
      </w:r>
      <w:r w:rsidR="008F77C5">
        <w:t>Section</w:t>
      </w:r>
      <w:proofErr w:type="gramEnd"/>
      <w:r w:rsidR="008F77C5">
        <w:t xml:space="preserve"> 4 (note)</w:t>
      </w:r>
    </w:p>
    <w:p w:rsidR="008F77C5" w:rsidRDefault="00B72D37" w:rsidP="008F77C5">
      <w:pPr>
        <w:pStyle w:val="Item"/>
      </w:pPr>
      <w:r>
        <w:t xml:space="preserve">Repeal the </w:t>
      </w:r>
      <w:r w:rsidR="008F77C5">
        <w:t xml:space="preserve">note, </w:t>
      </w:r>
      <w:r>
        <w:t>substitute</w:t>
      </w:r>
      <w:r w:rsidR="008F77C5">
        <w:t>:</w:t>
      </w:r>
    </w:p>
    <w:p w:rsidR="008F77C5" w:rsidRDefault="008F77C5" w:rsidP="000F369E">
      <w:pPr>
        <w:pStyle w:val="notetext"/>
      </w:pPr>
      <w:r>
        <w:t xml:space="preserve">Note:          A number of expressions used in this instrument are defined in the </w:t>
      </w:r>
      <w:r w:rsidRPr="000F369E">
        <w:rPr>
          <w:i/>
        </w:rPr>
        <w:t>Industry Research and Development Act 1986</w:t>
      </w:r>
      <w:r>
        <w:t xml:space="preserve"> by reference to definitions in Division 355 of the </w:t>
      </w:r>
      <w:r w:rsidRPr="000F369E">
        <w:rPr>
          <w:i/>
        </w:rPr>
        <w:t>Income Tax Assessment Act 1997</w:t>
      </w:r>
      <w:r>
        <w:t xml:space="preserve">, including the following: </w:t>
      </w:r>
    </w:p>
    <w:p w:rsidR="008F77C5" w:rsidRDefault="008F77C5" w:rsidP="000F369E">
      <w:pPr>
        <w:pStyle w:val="notepara"/>
      </w:pPr>
      <w:r>
        <w:t>(a)</w:t>
      </w:r>
      <w:r w:rsidR="0097397D">
        <w:tab/>
      </w:r>
      <w:proofErr w:type="gramStart"/>
      <w:r>
        <w:t>core</w:t>
      </w:r>
      <w:proofErr w:type="gramEnd"/>
      <w:r>
        <w:t xml:space="preserve"> R&amp;D activities;</w:t>
      </w:r>
    </w:p>
    <w:p w:rsidR="008F77C5" w:rsidRPr="008F77C5" w:rsidRDefault="008F77C5" w:rsidP="000F369E">
      <w:pPr>
        <w:pStyle w:val="notepara"/>
      </w:pPr>
      <w:r>
        <w:t>(b)</w:t>
      </w:r>
      <w:r w:rsidR="0097397D">
        <w:tab/>
      </w:r>
      <w:r>
        <w:t>R&amp;D entity.</w:t>
      </w:r>
    </w:p>
    <w:p w:rsidR="006001A6" w:rsidRDefault="001F2C3B" w:rsidP="005E317F">
      <w:pPr>
        <w:pStyle w:val="ItemHead"/>
      </w:pPr>
      <w:proofErr w:type="gramStart"/>
      <w:r>
        <w:t>3</w:t>
      </w:r>
      <w:r w:rsidR="008F77C5">
        <w:t xml:space="preserve">  </w:t>
      </w:r>
      <w:r w:rsidR="006001A6">
        <w:t>Section</w:t>
      </w:r>
      <w:proofErr w:type="gramEnd"/>
      <w:r w:rsidR="006001A6">
        <w:t xml:space="preserve"> 4</w:t>
      </w:r>
    </w:p>
    <w:p w:rsidR="0097397D" w:rsidRDefault="006001A6">
      <w:pPr>
        <w:pStyle w:val="Item"/>
      </w:pPr>
      <w:r>
        <w:t>Insert</w:t>
      </w:r>
      <w:r w:rsidR="0097397D">
        <w:t>:</w:t>
      </w:r>
    </w:p>
    <w:p w:rsidR="006001A6" w:rsidRPr="006001A6" w:rsidRDefault="006001A6" w:rsidP="00B71944">
      <w:pPr>
        <w:pStyle w:val="Definition"/>
      </w:pPr>
      <w:proofErr w:type="gramStart"/>
      <w:r>
        <w:rPr>
          <w:b/>
          <w:i/>
        </w:rPr>
        <w:t>biological</w:t>
      </w:r>
      <w:proofErr w:type="gramEnd"/>
      <w:r>
        <w:t xml:space="preserve"> has the same meaning as in section 32A of the </w:t>
      </w:r>
      <w:r>
        <w:rPr>
          <w:i/>
        </w:rPr>
        <w:t>Therapeutic Goods Act 1989</w:t>
      </w:r>
      <w:r>
        <w:t xml:space="preserve">. </w:t>
      </w:r>
    </w:p>
    <w:p w:rsidR="005E317F" w:rsidRPr="003E5F22" w:rsidRDefault="000F369E" w:rsidP="005E317F">
      <w:pPr>
        <w:pStyle w:val="ItemHead"/>
      </w:pPr>
      <w:proofErr w:type="gramStart"/>
      <w:r>
        <w:t xml:space="preserve">4  </w:t>
      </w:r>
      <w:r w:rsidR="00794306" w:rsidRPr="003E5F22">
        <w:t>Section</w:t>
      </w:r>
      <w:proofErr w:type="gramEnd"/>
      <w:r w:rsidR="00794306" w:rsidRPr="003E5F22">
        <w:t xml:space="preserve"> 4 (definition of </w:t>
      </w:r>
      <w:r w:rsidR="00794306" w:rsidRPr="003E5F22">
        <w:rPr>
          <w:i/>
        </w:rPr>
        <w:t>biosimilar medicine</w:t>
      </w:r>
      <w:r w:rsidR="00794306" w:rsidRPr="003E5F22">
        <w:t>)</w:t>
      </w:r>
    </w:p>
    <w:p w:rsidR="005E317F" w:rsidRPr="003E5F22" w:rsidRDefault="005E317F" w:rsidP="005E317F">
      <w:pPr>
        <w:pStyle w:val="Item"/>
      </w:pPr>
      <w:r w:rsidRPr="003E5F22">
        <w:t>Omit “</w:t>
      </w:r>
      <w:r w:rsidR="003E5F22" w:rsidRPr="003E5F22">
        <w:rPr>
          <w:b/>
          <w:i/>
        </w:rPr>
        <w:t xml:space="preserve">biosimilar </w:t>
      </w:r>
      <w:r w:rsidR="003E5F22" w:rsidRPr="003E5F22">
        <w:rPr>
          <w:i/>
        </w:rPr>
        <w:t>medicine</w:t>
      </w:r>
      <w:r w:rsidRPr="003E5F22">
        <w:t>”</w:t>
      </w:r>
      <w:r w:rsidR="003E5F22" w:rsidRPr="003E5F22">
        <w:t>, substitute “</w:t>
      </w:r>
      <w:bookmarkStart w:id="9" w:name="_Hlk104363093"/>
      <w:r w:rsidR="003E5F22" w:rsidRPr="003E5F22">
        <w:rPr>
          <w:b/>
          <w:i/>
        </w:rPr>
        <w:t>biosimilar medicine</w:t>
      </w:r>
      <w:bookmarkEnd w:id="9"/>
      <w:r w:rsidR="003E5F22" w:rsidRPr="003E5F22">
        <w:t>”</w:t>
      </w:r>
      <w:r w:rsidRPr="003E5F22">
        <w:t>.</w:t>
      </w:r>
    </w:p>
    <w:p w:rsidR="005E317F" w:rsidRPr="003E5F22" w:rsidRDefault="000F369E" w:rsidP="005E317F">
      <w:pPr>
        <w:pStyle w:val="ItemHead"/>
      </w:pPr>
      <w:proofErr w:type="gramStart"/>
      <w:r>
        <w:t>5</w:t>
      </w:r>
      <w:r w:rsidR="005E317F" w:rsidRPr="003E5F22">
        <w:t xml:space="preserve">  </w:t>
      </w:r>
      <w:r w:rsidR="003E5F22" w:rsidRPr="003E5F22">
        <w:t>Section</w:t>
      </w:r>
      <w:proofErr w:type="gramEnd"/>
      <w:r w:rsidR="003E5F22" w:rsidRPr="003E5F22">
        <w:t xml:space="preserve"> 4 (definition of </w:t>
      </w:r>
      <w:r w:rsidR="003E5F22" w:rsidRPr="003E5F22">
        <w:rPr>
          <w:i/>
        </w:rPr>
        <w:t>generic product</w:t>
      </w:r>
      <w:r w:rsidR="003E5F22" w:rsidRPr="003E5F22">
        <w:t>)</w:t>
      </w:r>
    </w:p>
    <w:p w:rsidR="005E317F" w:rsidRPr="003E5F22" w:rsidRDefault="005E317F" w:rsidP="005E317F">
      <w:pPr>
        <w:pStyle w:val="Item"/>
      </w:pPr>
      <w:r w:rsidRPr="003E5F22">
        <w:t>Omit “</w:t>
      </w:r>
      <w:r w:rsidR="003E5F22" w:rsidRPr="003E5F22">
        <w:t>a registered medicine (the comparison medicine)</w:t>
      </w:r>
      <w:r w:rsidRPr="003E5F22">
        <w:t>”, substitute “</w:t>
      </w:r>
      <w:bookmarkStart w:id="10" w:name="_Hlk104363181"/>
      <w:r w:rsidR="003E5F22" w:rsidRPr="003E5F22">
        <w:t xml:space="preserve">a registered medicine (the </w:t>
      </w:r>
      <w:r w:rsidR="003E5F22" w:rsidRPr="003E5F22">
        <w:rPr>
          <w:b/>
          <w:i/>
        </w:rPr>
        <w:t>comparison medicine</w:t>
      </w:r>
      <w:r w:rsidR="003E5F22" w:rsidRPr="003E5F22">
        <w:t>)</w:t>
      </w:r>
      <w:bookmarkEnd w:id="10"/>
      <w:r w:rsidR="003E5F22" w:rsidRPr="003E5F22">
        <w:t>”.</w:t>
      </w:r>
    </w:p>
    <w:p w:rsidR="003E5F22" w:rsidRPr="003E5F22" w:rsidRDefault="000F369E" w:rsidP="003E5F22">
      <w:pPr>
        <w:pStyle w:val="ItemHead"/>
      </w:pPr>
      <w:proofErr w:type="gramStart"/>
      <w:r>
        <w:t>6</w:t>
      </w:r>
      <w:r w:rsidRPr="003E5F22">
        <w:t xml:space="preserve">  </w:t>
      </w:r>
      <w:r w:rsidR="003E5F22" w:rsidRPr="003E5F22">
        <w:t>Section</w:t>
      </w:r>
      <w:proofErr w:type="gramEnd"/>
      <w:r w:rsidR="003E5F22" w:rsidRPr="003E5F22">
        <w:t xml:space="preserve"> 4 (paragraph (b) of the definition of </w:t>
      </w:r>
      <w:r w:rsidR="003E5F22" w:rsidRPr="003E5F22">
        <w:rPr>
          <w:i/>
        </w:rPr>
        <w:t>phase 0 clinical trial</w:t>
      </w:r>
      <w:r w:rsidR="003E5F22" w:rsidRPr="003E5F22">
        <w:t>)</w:t>
      </w:r>
    </w:p>
    <w:p w:rsidR="003E5F22" w:rsidRDefault="003E5F22" w:rsidP="003E5F22">
      <w:pPr>
        <w:pStyle w:val="Item"/>
      </w:pPr>
      <w:r w:rsidRPr="003E5F22">
        <w:t>Omit “preclinical studies”, substitute “</w:t>
      </w:r>
      <w:bookmarkStart w:id="11" w:name="_Hlk104363254"/>
      <w:r w:rsidRPr="003E5F22">
        <w:t>preclinical</w:t>
      </w:r>
      <w:bookmarkEnd w:id="11"/>
      <w:r w:rsidRPr="003E5F22">
        <w:t>”.</w:t>
      </w:r>
    </w:p>
    <w:p w:rsidR="003E5F22" w:rsidRPr="003E5F22" w:rsidRDefault="000F369E" w:rsidP="003E5F22">
      <w:pPr>
        <w:pStyle w:val="ItemHead"/>
      </w:pPr>
      <w:proofErr w:type="gramStart"/>
      <w:r>
        <w:t>7</w:t>
      </w:r>
      <w:r w:rsidRPr="003E5F22">
        <w:t xml:space="preserve">  </w:t>
      </w:r>
      <w:r w:rsidR="003E5F22" w:rsidRPr="003E5F22">
        <w:t>Section</w:t>
      </w:r>
      <w:proofErr w:type="gramEnd"/>
      <w:r w:rsidR="003E5F22" w:rsidRPr="003E5F22">
        <w:t xml:space="preserve"> 4 (definition of </w:t>
      </w:r>
      <w:r w:rsidR="003E5F22" w:rsidRPr="003E5F22">
        <w:rPr>
          <w:i/>
        </w:rPr>
        <w:t xml:space="preserve">phase </w:t>
      </w:r>
      <w:r w:rsidR="00652DC2">
        <w:rPr>
          <w:i/>
        </w:rPr>
        <w:t>I</w:t>
      </w:r>
      <w:r w:rsidR="003E5F22" w:rsidRPr="003E5F22">
        <w:rPr>
          <w:i/>
        </w:rPr>
        <w:t xml:space="preserve"> clinical trial</w:t>
      </w:r>
      <w:r w:rsidR="003E5F22" w:rsidRPr="003E5F22">
        <w:t>)</w:t>
      </w:r>
    </w:p>
    <w:p w:rsidR="003E5F22" w:rsidRPr="006065DA" w:rsidRDefault="003E5F22" w:rsidP="003E5F22">
      <w:pPr>
        <w:pStyle w:val="Item"/>
      </w:pPr>
      <w:r w:rsidRPr="003E5F22">
        <w:t>Omit “</w:t>
      </w:r>
      <w:r>
        <w:t>In includes</w:t>
      </w:r>
      <w:r w:rsidRPr="003E5F22">
        <w:t>”, substitute “</w:t>
      </w:r>
      <w:bookmarkStart w:id="12" w:name="_Hlk104363297"/>
      <w:r>
        <w:t>Such trials typically include</w:t>
      </w:r>
      <w:bookmarkEnd w:id="12"/>
      <w:r w:rsidRPr="003E5F22">
        <w:t>”.</w:t>
      </w:r>
    </w:p>
    <w:p w:rsidR="003E5F22" w:rsidRPr="003E5F22" w:rsidRDefault="000F369E" w:rsidP="003E5F22">
      <w:pPr>
        <w:pStyle w:val="ItemHead"/>
      </w:pPr>
      <w:proofErr w:type="gramStart"/>
      <w:r>
        <w:t>8</w:t>
      </w:r>
      <w:r w:rsidRPr="003E5F22">
        <w:t xml:space="preserve">  </w:t>
      </w:r>
      <w:r w:rsidR="003E5F22" w:rsidRPr="003E5F22">
        <w:t>Section</w:t>
      </w:r>
      <w:proofErr w:type="gramEnd"/>
      <w:r w:rsidR="003E5F22" w:rsidRPr="003E5F22">
        <w:t xml:space="preserve"> 4 (definition of </w:t>
      </w:r>
      <w:r w:rsidR="003E5F22" w:rsidRPr="003E5F22">
        <w:rPr>
          <w:i/>
        </w:rPr>
        <w:t xml:space="preserve">phase </w:t>
      </w:r>
      <w:r w:rsidR="00652DC2">
        <w:rPr>
          <w:i/>
        </w:rPr>
        <w:t>I</w:t>
      </w:r>
      <w:r w:rsidR="003E5F22" w:rsidRPr="003E5F22">
        <w:rPr>
          <w:i/>
        </w:rPr>
        <w:t xml:space="preserve"> clinical trial</w:t>
      </w:r>
      <w:r w:rsidR="003E5F22" w:rsidRPr="003E5F22">
        <w:t>)</w:t>
      </w:r>
    </w:p>
    <w:p w:rsidR="003E5F22" w:rsidRPr="006065DA" w:rsidRDefault="003E5F22" w:rsidP="003E5F22">
      <w:pPr>
        <w:pStyle w:val="Item"/>
      </w:pPr>
      <w:r>
        <w:t>After “</w:t>
      </w:r>
      <w:r w:rsidR="00652DC2">
        <w:t>routes of administration</w:t>
      </w:r>
      <w:r w:rsidR="000739C8">
        <w:t>.</w:t>
      </w:r>
      <w:proofErr w:type="gramStart"/>
      <w:r w:rsidRPr="003E5F22">
        <w:t>”,</w:t>
      </w:r>
      <w:proofErr w:type="gramEnd"/>
      <w:r w:rsidRPr="003E5F22">
        <w:t xml:space="preserve"> </w:t>
      </w:r>
      <w:r w:rsidR="00652DC2">
        <w:t>insert</w:t>
      </w:r>
      <w:r w:rsidRPr="003E5F22">
        <w:t xml:space="preserve"> “</w:t>
      </w:r>
      <w:bookmarkStart w:id="13" w:name="_Hlk104363327"/>
      <w:r w:rsidR="00652DC2">
        <w:t xml:space="preserve">Trials may be </w:t>
      </w:r>
      <w:r w:rsidR="002278D2">
        <w:t>p</w:t>
      </w:r>
      <w:r w:rsidR="00652DC2">
        <w:t xml:space="preserve">hase </w:t>
      </w:r>
      <w:proofErr w:type="spellStart"/>
      <w:r w:rsidR="00652DC2">
        <w:t>Ia</w:t>
      </w:r>
      <w:proofErr w:type="spellEnd"/>
      <w:r w:rsidR="00652DC2">
        <w:t xml:space="preserve"> or </w:t>
      </w:r>
      <w:r w:rsidR="002278D2">
        <w:t>p</w:t>
      </w:r>
      <w:r w:rsidR="00652DC2">
        <w:t xml:space="preserve">hase </w:t>
      </w:r>
      <w:proofErr w:type="spellStart"/>
      <w:r w:rsidR="00652DC2">
        <w:t>Ib</w:t>
      </w:r>
      <w:proofErr w:type="spellEnd"/>
      <w:r w:rsidR="00652DC2">
        <w:t xml:space="preserve"> as follows:</w:t>
      </w:r>
      <w:bookmarkEnd w:id="13"/>
      <w:r w:rsidRPr="003E5F22">
        <w:t>”.</w:t>
      </w:r>
    </w:p>
    <w:p w:rsidR="00652DC2" w:rsidRPr="003E5F22" w:rsidRDefault="000F369E" w:rsidP="00652DC2">
      <w:pPr>
        <w:pStyle w:val="ItemHead"/>
      </w:pPr>
      <w:proofErr w:type="gramStart"/>
      <w:r>
        <w:t>9</w:t>
      </w:r>
      <w:r w:rsidRPr="003E5F22">
        <w:t xml:space="preserve">  </w:t>
      </w:r>
      <w:r w:rsidR="00652DC2" w:rsidRPr="003E5F22">
        <w:t>Section</w:t>
      </w:r>
      <w:proofErr w:type="gramEnd"/>
      <w:r w:rsidR="00652DC2" w:rsidRPr="003E5F22">
        <w:t xml:space="preserve"> 4 (</w:t>
      </w:r>
      <w:r w:rsidR="00652DC2">
        <w:t>paragraph</w:t>
      </w:r>
      <w:r w:rsidR="002278D2">
        <w:t>s (a) and</w:t>
      </w:r>
      <w:r w:rsidR="00652DC2">
        <w:t xml:space="preserve"> (b) of the </w:t>
      </w:r>
      <w:r w:rsidR="00652DC2" w:rsidRPr="003E5F22">
        <w:t xml:space="preserve">definition of </w:t>
      </w:r>
      <w:r w:rsidR="00652DC2" w:rsidRPr="003E5F22">
        <w:rPr>
          <w:i/>
        </w:rPr>
        <w:t xml:space="preserve">phase </w:t>
      </w:r>
      <w:r w:rsidR="00652DC2">
        <w:rPr>
          <w:i/>
        </w:rPr>
        <w:t>I</w:t>
      </w:r>
      <w:r w:rsidR="00652DC2" w:rsidRPr="003E5F22">
        <w:rPr>
          <w:i/>
        </w:rPr>
        <w:t xml:space="preserve"> clinical trial</w:t>
      </w:r>
      <w:r w:rsidR="00652DC2" w:rsidRPr="003E5F22">
        <w:t>)</w:t>
      </w:r>
    </w:p>
    <w:p w:rsidR="003E5F22" w:rsidRPr="00652DC2" w:rsidRDefault="00652DC2" w:rsidP="00652DC2">
      <w:pPr>
        <w:pStyle w:val="Item"/>
      </w:pPr>
      <w:r w:rsidRPr="00652DC2">
        <w:t>Repeal the paragraph</w:t>
      </w:r>
      <w:r w:rsidR="002278D2">
        <w:t>s</w:t>
      </w:r>
      <w:r w:rsidRPr="00652DC2">
        <w:t>, substitute:</w:t>
      </w:r>
    </w:p>
    <w:p w:rsidR="002278D2" w:rsidRDefault="005E317F" w:rsidP="005E317F">
      <w:pPr>
        <w:pStyle w:val="paragraph"/>
      </w:pPr>
      <w:bookmarkStart w:id="14" w:name="_Hlk104363340"/>
      <w:r w:rsidRPr="00652DC2">
        <w:tab/>
      </w:r>
      <w:r w:rsidR="002278D2">
        <w:t>(a)</w:t>
      </w:r>
      <w:r w:rsidR="002278D2">
        <w:tab/>
      </w:r>
      <w:proofErr w:type="gramStart"/>
      <w:r w:rsidR="002278D2" w:rsidRPr="002278D2">
        <w:rPr>
          <w:b/>
          <w:i/>
        </w:rPr>
        <w:t>phase</w:t>
      </w:r>
      <w:proofErr w:type="gramEnd"/>
      <w:r w:rsidR="002278D2" w:rsidRPr="002278D2">
        <w:rPr>
          <w:b/>
          <w:i/>
        </w:rPr>
        <w:t xml:space="preserve"> </w:t>
      </w:r>
      <w:proofErr w:type="spellStart"/>
      <w:r w:rsidR="002278D2">
        <w:rPr>
          <w:b/>
          <w:i/>
        </w:rPr>
        <w:t>I</w:t>
      </w:r>
      <w:r w:rsidR="002278D2" w:rsidRPr="002278D2">
        <w:rPr>
          <w:b/>
          <w:i/>
        </w:rPr>
        <w:t>a</w:t>
      </w:r>
      <w:proofErr w:type="spellEnd"/>
      <w:r w:rsidR="002278D2" w:rsidRPr="002278D2">
        <w:t xml:space="preserve">: </w:t>
      </w:r>
      <w:r w:rsidR="002278D2">
        <w:t>a clinical trial that involves a single ascending dose;</w:t>
      </w:r>
    </w:p>
    <w:p w:rsidR="005E317F" w:rsidRPr="00652DC2" w:rsidRDefault="002278D2" w:rsidP="005E317F">
      <w:pPr>
        <w:pStyle w:val="paragraph"/>
      </w:pPr>
      <w:r>
        <w:tab/>
      </w:r>
      <w:r w:rsidR="005E317F" w:rsidRPr="00652DC2">
        <w:t>(b)</w:t>
      </w:r>
      <w:r w:rsidR="005E317F" w:rsidRPr="00652DC2">
        <w:tab/>
      </w:r>
      <w:proofErr w:type="gramStart"/>
      <w:r>
        <w:rPr>
          <w:b/>
          <w:i/>
        </w:rPr>
        <w:t>p</w:t>
      </w:r>
      <w:r w:rsidR="00652DC2" w:rsidRPr="002278D2">
        <w:rPr>
          <w:b/>
          <w:i/>
        </w:rPr>
        <w:t>hase</w:t>
      </w:r>
      <w:proofErr w:type="gramEnd"/>
      <w:r w:rsidR="00652DC2" w:rsidRPr="002278D2">
        <w:rPr>
          <w:b/>
          <w:i/>
        </w:rPr>
        <w:t xml:space="preserve"> </w:t>
      </w:r>
      <w:proofErr w:type="spellStart"/>
      <w:r w:rsidR="00652DC2" w:rsidRPr="002278D2">
        <w:rPr>
          <w:b/>
          <w:i/>
        </w:rPr>
        <w:t>Ib</w:t>
      </w:r>
      <w:proofErr w:type="spellEnd"/>
      <w:r w:rsidR="00652DC2" w:rsidRPr="00652DC2">
        <w:t>: a clinical trial that involves multiple ascending dose</w:t>
      </w:r>
      <w:r w:rsidR="00652DC2">
        <w:t>s</w:t>
      </w:r>
      <w:r w:rsidR="00652DC2" w:rsidRPr="00652DC2">
        <w:t>.</w:t>
      </w:r>
    </w:p>
    <w:bookmarkEnd w:id="14"/>
    <w:p w:rsidR="00652DC2" w:rsidRPr="00652DC2" w:rsidRDefault="000F369E" w:rsidP="00652DC2">
      <w:pPr>
        <w:pStyle w:val="ItemHead"/>
      </w:pPr>
      <w:proofErr w:type="gramStart"/>
      <w:r>
        <w:lastRenderedPageBreak/>
        <w:t>10</w:t>
      </w:r>
      <w:r w:rsidRPr="00652DC2">
        <w:t xml:space="preserve">  </w:t>
      </w:r>
      <w:r w:rsidR="00652DC2" w:rsidRPr="00652DC2">
        <w:t>Section</w:t>
      </w:r>
      <w:proofErr w:type="gramEnd"/>
      <w:r w:rsidR="00652DC2" w:rsidRPr="00652DC2">
        <w:t xml:space="preserve"> 4 (definition of </w:t>
      </w:r>
      <w:r w:rsidR="00652DC2" w:rsidRPr="00652DC2">
        <w:rPr>
          <w:i/>
        </w:rPr>
        <w:t>phase II clinical trial</w:t>
      </w:r>
      <w:r w:rsidR="00652DC2" w:rsidRPr="00652DC2">
        <w:t>)</w:t>
      </w:r>
    </w:p>
    <w:p w:rsidR="00652DC2" w:rsidRPr="00652DC2" w:rsidRDefault="00361762" w:rsidP="00652DC2">
      <w:pPr>
        <w:pStyle w:val="Item"/>
      </w:pPr>
      <w:r>
        <w:t>After</w:t>
      </w:r>
      <w:r w:rsidRPr="00652DC2">
        <w:t xml:space="preserve"> </w:t>
      </w:r>
      <w:r w:rsidR="00652DC2" w:rsidRPr="00652DC2">
        <w:t>“biological</w:t>
      </w:r>
      <w:r w:rsidR="00F25DB9">
        <w:t>.</w:t>
      </w:r>
      <w:r w:rsidR="00652DC2" w:rsidRPr="00652DC2">
        <w:t>”, insert “</w:t>
      </w:r>
      <w:bookmarkStart w:id="15" w:name="_Hlk104363464"/>
      <w:r w:rsidR="00652DC2" w:rsidRPr="00652DC2">
        <w:t xml:space="preserve">Trials may be </w:t>
      </w:r>
      <w:r w:rsidR="002278D2">
        <w:t>p</w:t>
      </w:r>
      <w:r w:rsidR="00652DC2" w:rsidRPr="00652DC2">
        <w:t xml:space="preserve">hase </w:t>
      </w:r>
      <w:proofErr w:type="spellStart"/>
      <w:r w:rsidR="00652DC2" w:rsidRPr="00652DC2">
        <w:t>IIa</w:t>
      </w:r>
      <w:proofErr w:type="spellEnd"/>
      <w:r w:rsidR="00652DC2" w:rsidRPr="00652DC2">
        <w:t xml:space="preserve"> or </w:t>
      </w:r>
      <w:r w:rsidR="002278D2">
        <w:t>p</w:t>
      </w:r>
      <w:r w:rsidR="00652DC2" w:rsidRPr="00652DC2">
        <w:t xml:space="preserve">hase </w:t>
      </w:r>
      <w:proofErr w:type="spellStart"/>
      <w:r w:rsidR="00652DC2" w:rsidRPr="00652DC2">
        <w:t>IIb</w:t>
      </w:r>
      <w:proofErr w:type="spellEnd"/>
      <w:r w:rsidR="00652DC2" w:rsidRPr="00652DC2">
        <w:t xml:space="preserve"> as follows:</w:t>
      </w:r>
      <w:bookmarkEnd w:id="15"/>
      <w:proofErr w:type="gramStart"/>
      <w:r w:rsidR="00652DC2" w:rsidRPr="00652DC2">
        <w:t>”.</w:t>
      </w:r>
      <w:proofErr w:type="gramEnd"/>
    </w:p>
    <w:p w:rsidR="00652DC2" w:rsidRPr="00652DC2" w:rsidRDefault="000F369E" w:rsidP="00652DC2">
      <w:pPr>
        <w:pStyle w:val="ItemHead"/>
      </w:pPr>
      <w:proofErr w:type="gramStart"/>
      <w:r>
        <w:t>11</w:t>
      </w:r>
      <w:r w:rsidRPr="00652DC2">
        <w:t xml:space="preserve">  </w:t>
      </w:r>
      <w:r w:rsidR="00652DC2" w:rsidRPr="00652DC2">
        <w:t>Section</w:t>
      </w:r>
      <w:proofErr w:type="gramEnd"/>
      <w:r w:rsidR="00652DC2" w:rsidRPr="00652DC2">
        <w:t xml:space="preserve"> 4 (paragraph</w:t>
      </w:r>
      <w:r w:rsidR="00CE55CD">
        <w:t>s</w:t>
      </w:r>
      <w:r w:rsidR="00652DC2" w:rsidRPr="00652DC2">
        <w:t xml:space="preserve"> (c) and (d) of the definition of </w:t>
      </w:r>
      <w:r w:rsidR="00652DC2" w:rsidRPr="00652DC2">
        <w:rPr>
          <w:i/>
        </w:rPr>
        <w:t>phase II clinical trial</w:t>
      </w:r>
      <w:r w:rsidR="00652DC2" w:rsidRPr="00652DC2">
        <w:t>)</w:t>
      </w:r>
    </w:p>
    <w:p w:rsidR="00652DC2" w:rsidRPr="00652DC2" w:rsidRDefault="00652DC2" w:rsidP="00652DC2">
      <w:pPr>
        <w:pStyle w:val="Item"/>
      </w:pPr>
      <w:r w:rsidRPr="00652DC2">
        <w:t>Repeal the paragraphs, substitute:</w:t>
      </w:r>
    </w:p>
    <w:p w:rsidR="00652DC2" w:rsidRPr="00652DC2" w:rsidRDefault="00652DC2" w:rsidP="00652DC2">
      <w:pPr>
        <w:pStyle w:val="paragraph"/>
      </w:pPr>
      <w:bookmarkStart w:id="16" w:name="_Hlk104363534"/>
      <w:r w:rsidRPr="00652DC2">
        <w:tab/>
        <w:t>(a)</w:t>
      </w:r>
      <w:r w:rsidRPr="00652DC2">
        <w:tab/>
      </w:r>
      <w:proofErr w:type="gramStart"/>
      <w:r w:rsidR="002278D2" w:rsidRPr="002278D2">
        <w:rPr>
          <w:b/>
          <w:bCs/>
          <w:i/>
          <w:iCs/>
          <w:szCs w:val="22"/>
        </w:rPr>
        <w:t>p</w:t>
      </w:r>
      <w:r w:rsidRPr="002278D2">
        <w:rPr>
          <w:b/>
          <w:bCs/>
          <w:i/>
          <w:iCs/>
          <w:szCs w:val="22"/>
        </w:rPr>
        <w:t>hase</w:t>
      </w:r>
      <w:proofErr w:type="gramEnd"/>
      <w:r w:rsidRPr="002278D2">
        <w:rPr>
          <w:b/>
          <w:bCs/>
          <w:i/>
          <w:iCs/>
          <w:szCs w:val="22"/>
        </w:rPr>
        <w:t xml:space="preserve"> </w:t>
      </w:r>
      <w:proofErr w:type="spellStart"/>
      <w:r w:rsidRPr="002278D2">
        <w:rPr>
          <w:b/>
          <w:bCs/>
          <w:i/>
          <w:iCs/>
          <w:szCs w:val="22"/>
        </w:rPr>
        <w:t>IIa</w:t>
      </w:r>
      <w:proofErr w:type="spellEnd"/>
      <w:r w:rsidRPr="00652DC2">
        <w:rPr>
          <w:bCs/>
          <w:iCs/>
          <w:szCs w:val="22"/>
        </w:rPr>
        <w:t>: a clinical trial to demonstrate clinical efficacy or biological activity through pilot studies and to explore therapeutic dose range</w:t>
      </w:r>
      <w:r w:rsidRPr="00652DC2">
        <w:t>;</w:t>
      </w:r>
    </w:p>
    <w:p w:rsidR="00652DC2" w:rsidRPr="00652DC2" w:rsidRDefault="00652DC2" w:rsidP="00652DC2">
      <w:pPr>
        <w:pStyle w:val="paragraph"/>
      </w:pPr>
      <w:r w:rsidRPr="00652DC2">
        <w:tab/>
        <w:t>(b)</w:t>
      </w:r>
      <w:r w:rsidRPr="00652DC2">
        <w:tab/>
      </w:r>
      <w:proofErr w:type="gramStart"/>
      <w:r w:rsidR="002278D2">
        <w:rPr>
          <w:b/>
          <w:bCs/>
          <w:i/>
          <w:iCs/>
          <w:szCs w:val="22"/>
        </w:rPr>
        <w:t>p</w:t>
      </w:r>
      <w:r w:rsidRPr="002278D2">
        <w:rPr>
          <w:b/>
          <w:bCs/>
          <w:i/>
          <w:iCs/>
          <w:szCs w:val="22"/>
        </w:rPr>
        <w:t>hase</w:t>
      </w:r>
      <w:proofErr w:type="gramEnd"/>
      <w:r w:rsidRPr="002278D2">
        <w:rPr>
          <w:b/>
          <w:bCs/>
          <w:i/>
          <w:iCs/>
          <w:szCs w:val="22"/>
        </w:rPr>
        <w:t xml:space="preserve"> </w:t>
      </w:r>
      <w:proofErr w:type="spellStart"/>
      <w:r w:rsidRPr="002278D2">
        <w:rPr>
          <w:b/>
          <w:bCs/>
          <w:i/>
          <w:iCs/>
          <w:szCs w:val="22"/>
        </w:rPr>
        <w:t>IIb</w:t>
      </w:r>
      <w:proofErr w:type="spellEnd"/>
      <w:r w:rsidRPr="00652DC2">
        <w:rPr>
          <w:bCs/>
          <w:iCs/>
          <w:szCs w:val="22"/>
        </w:rPr>
        <w:t>: a clinical trial to determine optimum therapeutic dose and regimen (with efficacy as</w:t>
      </w:r>
      <w:r w:rsidR="00D57C93">
        <w:rPr>
          <w:bCs/>
          <w:iCs/>
          <w:szCs w:val="22"/>
        </w:rPr>
        <w:t xml:space="preserve"> the</w:t>
      </w:r>
      <w:r w:rsidRPr="00652DC2">
        <w:rPr>
          <w:bCs/>
          <w:iCs/>
          <w:szCs w:val="22"/>
        </w:rPr>
        <w:t xml:space="preserve"> primary endpoint); and to resolve uncertainties regarding the design and conduct of subsequent trials.</w:t>
      </w:r>
    </w:p>
    <w:bookmarkEnd w:id="16"/>
    <w:p w:rsidR="00652DC2" w:rsidRPr="00652DC2" w:rsidRDefault="000F369E" w:rsidP="00652DC2">
      <w:pPr>
        <w:pStyle w:val="ItemHead"/>
      </w:pPr>
      <w:proofErr w:type="gramStart"/>
      <w:r>
        <w:t>12</w:t>
      </w:r>
      <w:r w:rsidRPr="00652DC2">
        <w:t xml:space="preserve">  </w:t>
      </w:r>
      <w:r w:rsidR="00652DC2" w:rsidRPr="00652DC2">
        <w:t>Section</w:t>
      </w:r>
      <w:proofErr w:type="gramEnd"/>
      <w:r w:rsidR="00652DC2" w:rsidRPr="00652DC2">
        <w:t xml:space="preserve"> 4 (definition of </w:t>
      </w:r>
      <w:r w:rsidR="00652DC2" w:rsidRPr="00652DC2">
        <w:rPr>
          <w:i/>
        </w:rPr>
        <w:t>phase I</w:t>
      </w:r>
      <w:r w:rsidR="00652DC2">
        <w:rPr>
          <w:i/>
        </w:rPr>
        <w:t>I</w:t>
      </w:r>
      <w:r w:rsidR="00652DC2" w:rsidRPr="00652DC2">
        <w:rPr>
          <w:i/>
        </w:rPr>
        <w:t>I clinical trial</w:t>
      </w:r>
      <w:r w:rsidR="00652DC2" w:rsidRPr="00652DC2">
        <w:t>)</w:t>
      </w:r>
    </w:p>
    <w:p w:rsidR="00652DC2" w:rsidRDefault="000F369E" w:rsidP="00652DC2">
      <w:pPr>
        <w:pStyle w:val="Item"/>
      </w:pPr>
      <w:r>
        <w:t>After</w:t>
      </w:r>
      <w:r w:rsidRPr="00652DC2">
        <w:t xml:space="preserve"> </w:t>
      </w:r>
      <w:r w:rsidR="00652DC2" w:rsidRPr="00652DC2">
        <w:t>“biological</w:t>
      </w:r>
      <w:r w:rsidR="00443687">
        <w:t>.</w:t>
      </w:r>
      <w:r w:rsidR="00652DC2" w:rsidRPr="00652DC2">
        <w:t>”, insert “</w:t>
      </w:r>
      <w:bookmarkStart w:id="17" w:name="_Hlk104363678"/>
      <w:r w:rsidR="00652DC2" w:rsidRPr="00652DC2">
        <w:t xml:space="preserve">Trials may be </w:t>
      </w:r>
      <w:r w:rsidR="002278D2">
        <w:t>p</w:t>
      </w:r>
      <w:r w:rsidR="00652DC2" w:rsidRPr="00652DC2">
        <w:t xml:space="preserve">hase </w:t>
      </w:r>
      <w:proofErr w:type="spellStart"/>
      <w:r w:rsidR="00652DC2" w:rsidRPr="00652DC2">
        <w:t>I</w:t>
      </w:r>
      <w:r w:rsidR="00652DC2">
        <w:t>I</w:t>
      </w:r>
      <w:r w:rsidR="00652DC2" w:rsidRPr="00652DC2">
        <w:t>Ia</w:t>
      </w:r>
      <w:proofErr w:type="spellEnd"/>
      <w:r w:rsidR="00652DC2" w:rsidRPr="00652DC2">
        <w:t xml:space="preserve"> or </w:t>
      </w:r>
      <w:r w:rsidR="002278D2">
        <w:t>p</w:t>
      </w:r>
      <w:r w:rsidR="00652DC2" w:rsidRPr="00652DC2">
        <w:t xml:space="preserve">hase </w:t>
      </w:r>
      <w:proofErr w:type="spellStart"/>
      <w:r w:rsidR="00652DC2" w:rsidRPr="00652DC2">
        <w:t>II</w:t>
      </w:r>
      <w:r w:rsidR="00652DC2">
        <w:t>I</w:t>
      </w:r>
      <w:r w:rsidR="00652DC2" w:rsidRPr="00652DC2">
        <w:t>b</w:t>
      </w:r>
      <w:proofErr w:type="spellEnd"/>
      <w:r w:rsidR="00652DC2" w:rsidRPr="00652DC2">
        <w:t xml:space="preserve"> as follows:</w:t>
      </w:r>
      <w:bookmarkEnd w:id="17"/>
      <w:proofErr w:type="gramStart"/>
      <w:r w:rsidR="00652DC2" w:rsidRPr="00652DC2">
        <w:t>”.</w:t>
      </w:r>
      <w:proofErr w:type="gramEnd"/>
    </w:p>
    <w:p w:rsidR="002278D2" w:rsidRPr="00652DC2" w:rsidRDefault="00131D89" w:rsidP="002278D2">
      <w:pPr>
        <w:pStyle w:val="ItemHead"/>
      </w:pPr>
      <w:proofErr w:type="gramStart"/>
      <w:r>
        <w:t>13</w:t>
      </w:r>
      <w:r w:rsidR="002278D2" w:rsidRPr="00652DC2">
        <w:t xml:space="preserve">  Section</w:t>
      </w:r>
      <w:proofErr w:type="gramEnd"/>
      <w:r w:rsidR="002278D2" w:rsidRPr="00652DC2">
        <w:t xml:space="preserve"> 4 (</w:t>
      </w:r>
      <w:r w:rsidR="002278D2">
        <w:t xml:space="preserve">paragraph (a) of the </w:t>
      </w:r>
      <w:r w:rsidR="002278D2" w:rsidRPr="00652DC2">
        <w:t xml:space="preserve">definition of </w:t>
      </w:r>
      <w:r w:rsidR="002278D2" w:rsidRPr="00652DC2">
        <w:rPr>
          <w:i/>
        </w:rPr>
        <w:t>phase I</w:t>
      </w:r>
      <w:r w:rsidR="002278D2">
        <w:rPr>
          <w:i/>
        </w:rPr>
        <w:t>I</w:t>
      </w:r>
      <w:r w:rsidR="002278D2" w:rsidRPr="00652DC2">
        <w:rPr>
          <w:i/>
        </w:rPr>
        <w:t>I clinical trial</w:t>
      </w:r>
      <w:r w:rsidR="002278D2" w:rsidRPr="00652DC2">
        <w:t>)</w:t>
      </w:r>
    </w:p>
    <w:p w:rsidR="002278D2" w:rsidRDefault="002278D2" w:rsidP="002278D2">
      <w:pPr>
        <w:pStyle w:val="Item"/>
      </w:pPr>
      <w:r>
        <w:t>Omit</w:t>
      </w:r>
      <w:r w:rsidRPr="00652DC2">
        <w:t xml:space="preserve"> “</w:t>
      </w:r>
      <w:r>
        <w:t xml:space="preserve">Phase </w:t>
      </w:r>
      <w:proofErr w:type="spellStart"/>
      <w:r>
        <w:t>IIIa</w:t>
      </w:r>
      <w:proofErr w:type="spellEnd"/>
      <w:r>
        <w:t>.</w:t>
      </w:r>
      <w:r w:rsidRPr="00652DC2">
        <w:t xml:space="preserve">”, </w:t>
      </w:r>
      <w:r>
        <w:t>substitute “</w:t>
      </w:r>
      <w:bookmarkStart w:id="18" w:name="_Hlk104363739"/>
      <w:r w:rsidRPr="002278D2">
        <w:rPr>
          <w:b/>
          <w:i/>
        </w:rPr>
        <w:t xml:space="preserve">phase </w:t>
      </w:r>
      <w:proofErr w:type="spellStart"/>
      <w:r w:rsidRPr="002278D2">
        <w:rPr>
          <w:b/>
          <w:i/>
        </w:rPr>
        <w:t>IIIa</w:t>
      </w:r>
      <w:bookmarkEnd w:id="18"/>
      <w:proofErr w:type="spellEnd"/>
      <w:r>
        <w:t>”</w:t>
      </w:r>
      <w:r w:rsidR="00CE55CD">
        <w:t>.</w:t>
      </w:r>
    </w:p>
    <w:p w:rsidR="00277551" w:rsidRPr="00652DC2" w:rsidRDefault="00131D89" w:rsidP="00277551">
      <w:pPr>
        <w:pStyle w:val="ItemHead"/>
      </w:pPr>
      <w:proofErr w:type="gramStart"/>
      <w:r>
        <w:t>14</w:t>
      </w:r>
      <w:r w:rsidRPr="00652DC2">
        <w:t xml:space="preserve">  </w:t>
      </w:r>
      <w:r w:rsidR="00277551" w:rsidRPr="00652DC2">
        <w:t>Section</w:t>
      </w:r>
      <w:proofErr w:type="gramEnd"/>
      <w:r w:rsidR="00277551" w:rsidRPr="00652DC2">
        <w:t xml:space="preserve"> 4 (</w:t>
      </w:r>
      <w:r w:rsidR="00277551">
        <w:t xml:space="preserve">paragraph (a) of the </w:t>
      </w:r>
      <w:r w:rsidR="00277551" w:rsidRPr="00652DC2">
        <w:t xml:space="preserve">definition of </w:t>
      </w:r>
      <w:r w:rsidR="00277551" w:rsidRPr="00652DC2">
        <w:rPr>
          <w:i/>
        </w:rPr>
        <w:t>phase I</w:t>
      </w:r>
      <w:r w:rsidR="00277551">
        <w:rPr>
          <w:i/>
        </w:rPr>
        <w:t>I</w:t>
      </w:r>
      <w:r w:rsidR="00277551" w:rsidRPr="00652DC2">
        <w:rPr>
          <w:i/>
        </w:rPr>
        <w:t>I clinical trial</w:t>
      </w:r>
      <w:r w:rsidR="00277551" w:rsidRPr="00652DC2">
        <w:t>)</w:t>
      </w:r>
    </w:p>
    <w:p w:rsidR="00277551" w:rsidRDefault="00277551" w:rsidP="00277551">
      <w:pPr>
        <w:pStyle w:val="Item"/>
      </w:pPr>
      <w:r>
        <w:t>Omit</w:t>
      </w:r>
      <w:r w:rsidRPr="00652DC2">
        <w:t xml:space="preserve"> “</w:t>
      </w:r>
      <w:r>
        <w:t>).</w:t>
      </w:r>
      <w:proofErr w:type="gramStart"/>
      <w:r w:rsidRPr="00652DC2">
        <w:t>”,</w:t>
      </w:r>
      <w:proofErr w:type="gramEnd"/>
      <w:r w:rsidRPr="00652DC2">
        <w:t xml:space="preserve"> </w:t>
      </w:r>
      <w:r>
        <w:t>substitute “</w:t>
      </w:r>
      <w:bookmarkStart w:id="19" w:name="_Hlk104363758"/>
      <w:r>
        <w:t>);</w:t>
      </w:r>
      <w:bookmarkEnd w:id="19"/>
      <w:r>
        <w:t>”</w:t>
      </w:r>
      <w:r w:rsidR="00CE55CD">
        <w:t>.</w:t>
      </w:r>
    </w:p>
    <w:p w:rsidR="002278D2" w:rsidRPr="00652DC2" w:rsidRDefault="00131D89" w:rsidP="002278D2">
      <w:pPr>
        <w:pStyle w:val="ItemHead"/>
      </w:pPr>
      <w:proofErr w:type="gramStart"/>
      <w:r>
        <w:t>15</w:t>
      </w:r>
      <w:r w:rsidRPr="00652DC2">
        <w:t xml:space="preserve">  </w:t>
      </w:r>
      <w:r w:rsidR="002278D2" w:rsidRPr="00652DC2">
        <w:t>Section</w:t>
      </w:r>
      <w:proofErr w:type="gramEnd"/>
      <w:r w:rsidR="002278D2" w:rsidRPr="00652DC2">
        <w:t xml:space="preserve"> 4 (</w:t>
      </w:r>
      <w:r w:rsidR="002278D2">
        <w:t xml:space="preserve">paragraph (b) of the </w:t>
      </w:r>
      <w:r w:rsidR="002278D2" w:rsidRPr="00652DC2">
        <w:t xml:space="preserve">definition of </w:t>
      </w:r>
      <w:r w:rsidR="002278D2" w:rsidRPr="00652DC2">
        <w:rPr>
          <w:i/>
        </w:rPr>
        <w:t>phase I</w:t>
      </w:r>
      <w:r w:rsidR="002278D2">
        <w:rPr>
          <w:i/>
        </w:rPr>
        <w:t>I</w:t>
      </w:r>
      <w:r w:rsidR="002278D2" w:rsidRPr="00652DC2">
        <w:rPr>
          <w:i/>
        </w:rPr>
        <w:t>I clinical trial</w:t>
      </w:r>
      <w:r w:rsidR="002278D2" w:rsidRPr="00652DC2">
        <w:t>)</w:t>
      </w:r>
    </w:p>
    <w:p w:rsidR="002278D2" w:rsidRDefault="002278D2" w:rsidP="002278D2">
      <w:pPr>
        <w:pStyle w:val="Item"/>
      </w:pPr>
      <w:r>
        <w:t>Omit</w:t>
      </w:r>
      <w:r w:rsidRPr="00652DC2">
        <w:t xml:space="preserve"> “</w:t>
      </w:r>
      <w:r>
        <w:t xml:space="preserve">Phase </w:t>
      </w:r>
      <w:proofErr w:type="spellStart"/>
      <w:r>
        <w:t>IIIb</w:t>
      </w:r>
      <w:proofErr w:type="spellEnd"/>
      <w:r>
        <w:t>.</w:t>
      </w:r>
      <w:r w:rsidRPr="00652DC2">
        <w:t xml:space="preserve">”, </w:t>
      </w:r>
      <w:r>
        <w:t>substitute “</w:t>
      </w:r>
      <w:bookmarkStart w:id="20" w:name="_Hlk104363780"/>
      <w:r w:rsidRPr="002278D2">
        <w:rPr>
          <w:b/>
          <w:i/>
        </w:rPr>
        <w:t xml:space="preserve">phase </w:t>
      </w:r>
      <w:proofErr w:type="spellStart"/>
      <w:r w:rsidRPr="002278D2">
        <w:rPr>
          <w:b/>
          <w:i/>
        </w:rPr>
        <w:t>III</w:t>
      </w:r>
      <w:r>
        <w:rPr>
          <w:b/>
          <w:i/>
        </w:rPr>
        <w:t>b</w:t>
      </w:r>
      <w:bookmarkEnd w:id="20"/>
      <w:proofErr w:type="spellEnd"/>
      <w:r>
        <w:t>”</w:t>
      </w:r>
      <w:r w:rsidR="00CE55CD">
        <w:t>.</w:t>
      </w:r>
    </w:p>
    <w:p w:rsidR="008A72E7" w:rsidRDefault="00131D89" w:rsidP="008A72E7">
      <w:pPr>
        <w:pStyle w:val="ItemHead"/>
      </w:pPr>
      <w:proofErr w:type="gramStart"/>
      <w:r>
        <w:t>16</w:t>
      </w:r>
      <w:r w:rsidRPr="003E5F22">
        <w:t xml:space="preserve">  </w:t>
      </w:r>
      <w:r w:rsidR="008A72E7" w:rsidRPr="003E5F22">
        <w:t>Section</w:t>
      </w:r>
      <w:proofErr w:type="gramEnd"/>
      <w:r w:rsidR="008A72E7" w:rsidRPr="003E5F22">
        <w:t xml:space="preserve"> 4 (definition of </w:t>
      </w:r>
      <w:r w:rsidR="008A72E7" w:rsidRPr="003E5F22">
        <w:rPr>
          <w:i/>
        </w:rPr>
        <w:t xml:space="preserve">phase </w:t>
      </w:r>
      <w:r w:rsidR="008A72E7">
        <w:rPr>
          <w:i/>
        </w:rPr>
        <w:t>IV</w:t>
      </w:r>
      <w:r w:rsidR="008A72E7" w:rsidRPr="003E5F22">
        <w:rPr>
          <w:i/>
        </w:rPr>
        <w:t xml:space="preserve"> clinical trial</w:t>
      </w:r>
      <w:r w:rsidR="008A72E7" w:rsidRPr="003E5F22">
        <w:t>)</w:t>
      </w:r>
    </w:p>
    <w:p w:rsidR="00BA75A9" w:rsidRDefault="00145B75" w:rsidP="00BA75A9">
      <w:pPr>
        <w:pStyle w:val="Item"/>
      </w:pPr>
      <w:r>
        <w:t xml:space="preserve">Repeal the </w:t>
      </w:r>
      <w:r w:rsidR="00BA75A9">
        <w:t>definition, substitute:</w:t>
      </w:r>
    </w:p>
    <w:p w:rsidR="00BA75A9" w:rsidRPr="000F369E" w:rsidRDefault="00BA75A9" w:rsidP="003B6B33">
      <w:pPr>
        <w:pStyle w:val="Definition"/>
        <w:rPr>
          <w:rFonts w:eastAsiaTheme="minorHAnsi"/>
        </w:rPr>
      </w:pPr>
      <w:bookmarkStart w:id="21" w:name="_Hlk104363810"/>
      <w:bookmarkStart w:id="22" w:name="_Hlk106118040"/>
      <w:proofErr w:type="gramStart"/>
      <w:r w:rsidRPr="000F369E">
        <w:rPr>
          <w:rFonts w:eastAsiaTheme="minorHAnsi"/>
          <w:b/>
          <w:bCs/>
          <w:i/>
          <w:iCs/>
        </w:rPr>
        <w:t>phase</w:t>
      </w:r>
      <w:proofErr w:type="gramEnd"/>
      <w:r w:rsidRPr="000F369E">
        <w:rPr>
          <w:rFonts w:eastAsiaTheme="minorHAnsi"/>
          <w:b/>
          <w:bCs/>
          <w:i/>
          <w:iCs/>
        </w:rPr>
        <w:t xml:space="preserve"> </w:t>
      </w:r>
      <w:bookmarkEnd w:id="21"/>
      <w:r w:rsidRPr="000F369E">
        <w:rPr>
          <w:rFonts w:eastAsiaTheme="minorHAnsi"/>
          <w:b/>
          <w:bCs/>
          <w:i/>
          <w:iCs/>
        </w:rPr>
        <w:t>IV clinical trial</w:t>
      </w:r>
      <w:r w:rsidRPr="000F369E">
        <w:rPr>
          <w:rFonts w:eastAsiaTheme="minorHAnsi"/>
        </w:rPr>
        <w:t xml:space="preserve"> </w:t>
      </w:r>
      <w:r w:rsidRPr="000F369E">
        <w:rPr>
          <w:rFonts w:eastAsiaTheme="minorHAnsi"/>
          <w:i/>
          <w:iCs/>
        </w:rPr>
        <w:t xml:space="preserve">(therapeutic use) </w:t>
      </w:r>
      <w:r w:rsidRPr="000F369E">
        <w:rPr>
          <w:rFonts w:eastAsiaTheme="minorHAnsi"/>
        </w:rPr>
        <w:t xml:space="preserve">means a clinical trial of a medicine or biological that includes the following: </w:t>
      </w:r>
    </w:p>
    <w:p w:rsidR="00361762" w:rsidRDefault="00BA75A9" w:rsidP="00B71944">
      <w:pPr>
        <w:pStyle w:val="paragraph"/>
        <w:numPr>
          <w:ilvl w:val="0"/>
          <w:numId w:val="15"/>
        </w:numPr>
        <w:rPr>
          <w:rFonts w:eastAsiaTheme="minorHAnsi"/>
        </w:rPr>
      </w:pPr>
      <w:r w:rsidRPr="000F369E">
        <w:rPr>
          <w:rFonts w:eastAsiaTheme="minorHAnsi"/>
        </w:rPr>
        <w:t xml:space="preserve">post-marketing surveillance or resolution of treatment uncertainties; </w:t>
      </w:r>
    </w:p>
    <w:p w:rsidR="00BA75A9" w:rsidRPr="000F369E" w:rsidRDefault="00BA75A9" w:rsidP="00B71944">
      <w:pPr>
        <w:pStyle w:val="paragraph"/>
        <w:numPr>
          <w:ilvl w:val="0"/>
          <w:numId w:val="15"/>
        </w:numPr>
        <w:rPr>
          <w:rFonts w:eastAsiaTheme="minorHAnsi"/>
        </w:rPr>
      </w:pPr>
      <w:r w:rsidRPr="000F369E">
        <w:rPr>
          <w:rFonts w:eastAsiaTheme="minorHAnsi"/>
        </w:rPr>
        <w:t>monitoring safety in real-world populations;</w:t>
      </w:r>
    </w:p>
    <w:p w:rsidR="00BA75A9" w:rsidRPr="000F369E" w:rsidRDefault="00145B75" w:rsidP="000F369E">
      <w:pPr>
        <w:pStyle w:val="paragraph"/>
        <w:rPr>
          <w:rFonts w:eastAsiaTheme="minorHAnsi"/>
        </w:rPr>
      </w:pPr>
      <w:r>
        <w:rPr>
          <w:rFonts w:eastAsiaTheme="minorHAnsi"/>
        </w:rPr>
        <w:tab/>
      </w:r>
      <w:r w:rsidR="00BA75A9" w:rsidRPr="000F369E">
        <w:rPr>
          <w:rFonts w:eastAsiaTheme="minorHAnsi"/>
        </w:rPr>
        <w:t>(</w:t>
      </w:r>
      <w:r w:rsidR="00C72494">
        <w:rPr>
          <w:rFonts w:eastAsiaTheme="minorHAnsi"/>
        </w:rPr>
        <w:t>c</w:t>
      </w:r>
      <w:r w:rsidR="00BA75A9" w:rsidRPr="000F369E">
        <w:rPr>
          <w:rFonts w:eastAsiaTheme="minorHAnsi"/>
        </w:rPr>
        <w:t>)</w:t>
      </w:r>
      <w:r>
        <w:rPr>
          <w:rFonts w:eastAsiaTheme="minorHAnsi"/>
        </w:rPr>
        <w:tab/>
      </w:r>
      <w:proofErr w:type="gramStart"/>
      <w:r w:rsidR="00BA75A9" w:rsidRPr="000F369E">
        <w:rPr>
          <w:rFonts w:eastAsiaTheme="minorHAnsi"/>
        </w:rPr>
        <w:t>refining</w:t>
      </w:r>
      <w:proofErr w:type="gramEnd"/>
      <w:r w:rsidR="00BA75A9" w:rsidRPr="000F369E">
        <w:rPr>
          <w:rFonts w:eastAsiaTheme="minorHAnsi"/>
        </w:rPr>
        <w:t xml:space="preserve"> knowledge of the risk-benefit balance, detecting rare or long-term adverse effects, and drug interactions;</w:t>
      </w:r>
    </w:p>
    <w:p w:rsidR="00BA75A9" w:rsidRPr="000F369E" w:rsidRDefault="00145B75" w:rsidP="000F369E">
      <w:pPr>
        <w:pStyle w:val="paragraph"/>
        <w:rPr>
          <w:rFonts w:eastAsiaTheme="minorHAnsi"/>
        </w:rPr>
      </w:pPr>
      <w:r>
        <w:rPr>
          <w:rFonts w:eastAsiaTheme="minorHAnsi"/>
        </w:rPr>
        <w:tab/>
      </w:r>
      <w:r w:rsidR="00BA75A9" w:rsidRPr="000F369E">
        <w:rPr>
          <w:rFonts w:eastAsiaTheme="minorHAnsi"/>
        </w:rPr>
        <w:t>(</w:t>
      </w:r>
      <w:r w:rsidR="00C72494">
        <w:rPr>
          <w:rFonts w:eastAsiaTheme="minorHAnsi"/>
        </w:rPr>
        <w:t>d</w:t>
      </w:r>
      <w:r w:rsidR="00BA75A9" w:rsidRPr="000F369E">
        <w:rPr>
          <w:rFonts w:eastAsiaTheme="minorHAnsi"/>
        </w:rPr>
        <w:t>)</w:t>
      </w:r>
      <w:r>
        <w:rPr>
          <w:rFonts w:eastAsiaTheme="minorHAnsi"/>
        </w:rPr>
        <w:tab/>
      </w:r>
      <w:proofErr w:type="spellStart"/>
      <w:proofErr w:type="gramStart"/>
      <w:r w:rsidR="00BA75A9" w:rsidRPr="000F369E">
        <w:rPr>
          <w:rFonts w:eastAsiaTheme="minorHAnsi"/>
        </w:rPr>
        <w:t>pharmacoeconomics</w:t>
      </w:r>
      <w:proofErr w:type="spellEnd"/>
      <w:proofErr w:type="gramEnd"/>
      <w:r w:rsidR="00BA75A9" w:rsidRPr="000F369E">
        <w:rPr>
          <w:rFonts w:eastAsiaTheme="minorHAnsi"/>
        </w:rPr>
        <w:t xml:space="preserve"> to gather data in support of the use; </w:t>
      </w:r>
    </w:p>
    <w:p w:rsidR="00BA75A9" w:rsidRPr="000F369E" w:rsidRDefault="00145B75" w:rsidP="000F369E">
      <w:pPr>
        <w:pStyle w:val="paragraph"/>
        <w:rPr>
          <w:rFonts w:eastAsiaTheme="minorHAnsi"/>
        </w:rPr>
      </w:pPr>
      <w:r>
        <w:rPr>
          <w:rFonts w:eastAsiaTheme="minorHAnsi"/>
        </w:rPr>
        <w:tab/>
      </w:r>
      <w:r w:rsidR="00BA75A9" w:rsidRPr="000F369E">
        <w:rPr>
          <w:rFonts w:eastAsiaTheme="minorHAnsi"/>
        </w:rPr>
        <w:t>(</w:t>
      </w:r>
      <w:r w:rsidR="00C72494">
        <w:rPr>
          <w:rFonts w:eastAsiaTheme="minorHAnsi"/>
        </w:rPr>
        <w:t>e</w:t>
      </w:r>
      <w:r w:rsidR="00BA75A9" w:rsidRPr="000F369E">
        <w:rPr>
          <w:rFonts w:eastAsiaTheme="minorHAnsi"/>
        </w:rPr>
        <w:t>)</w:t>
      </w:r>
      <w:r>
        <w:rPr>
          <w:rFonts w:eastAsiaTheme="minorHAnsi"/>
        </w:rPr>
        <w:tab/>
      </w:r>
      <w:proofErr w:type="gramStart"/>
      <w:r w:rsidR="00BA75A9" w:rsidRPr="000F369E">
        <w:rPr>
          <w:rFonts w:eastAsiaTheme="minorHAnsi"/>
        </w:rPr>
        <w:t>comparative</w:t>
      </w:r>
      <w:proofErr w:type="gramEnd"/>
      <w:r w:rsidR="00BA75A9" w:rsidRPr="000F369E">
        <w:rPr>
          <w:rFonts w:eastAsiaTheme="minorHAnsi"/>
        </w:rPr>
        <w:t xml:space="preserve"> effectiveness and community-based research (sometimes described as </w:t>
      </w:r>
      <w:r w:rsidR="00BA75A9" w:rsidRPr="000F369E">
        <w:rPr>
          <w:rFonts w:eastAsiaTheme="minorHAnsi"/>
          <w:b/>
          <w:bCs/>
          <w:i/>
          <w:iCs/>
        </w:rPr>
        <w:t>phase V trials</w:t>
      </w:r>
      <w:r w:rsidR="00BA75A9" w:rsidRPr="000F369E">
        <w:rPr>
          <w:rFonts w:eastAsiaTheme="minorHAnsi"/>
        </w:rPr>
        <w:t>);</w:t>
      </w:r>
    </w:p>
    <w:p w:rsidR="00BA75A9" w:rsidRPr="000F369E" w:rsidRDefault="00145B75" w:rsidP="000F369E">
      <w:pPr>
        <w:pStyle w:val="paragraph"/>
        <w:rPr>
          <w:rFonts w:eastAsiaTheme="minorHAnsi"/>
        </w:rPr>
      </w:pPr>
      <w:r>
        <w:rPr>
          <w:rFonts w:eastAsiaTheme="minorHAnsi"/>
        </w:rPr>
        <w:tab/>
      </w:r>
      <w:r w:rsidR="00BA75A9" w:rsidRPr="000F369E">
        <w:rPr>
          <w:rFonts w:eastAsiaTheme="minorHAnsi"/>
        </w:rPr>
        <w:t>(</w:t>
      </w:r>
      <w:r w:rsidR="00C72494">
        <w:rPr>
          <w:rFonts w:eastAsiaTheme="minorHAnsi"/>
        </w:rPr>
        <w:t>f</w:t>
      </w:r>
      <w:r w:rsidR="00BA75A9" w:rsidRPr="000F369E">
        <w:rPr>
          <w:rFonts w:eastAsiaTheme="minorHAnsi"/>
        </w:rPr>
        <w:t>)</w:t>
      </w:r>
      <w:r>
        <w:rPr>
          <w:rFonts w:eastAsiaTheme="minorHAnsi"/>
        </w:rPr>
        <w:tab/>
      </w:r>
      <w:proofErr w:type="gramStart"/>
      <w:r w:rsidR="00BA75A9" w:rsidRPr="000F369E">
        <w:rPr>
          <w:rFonts w:eastAsiaTheme="minorHAnsi"/>
        </w:rPr>
        <w:t>trial</w:t>
      </w:r>
      <w:proofErr w:type="gramEnd"/>
      <w:r w:rsidR="00BA75A9" w:rsidRPr="000F369E">
        <w:rPr>
          <w:rFonts w:eastAsiaTheme="minorHAnsi"/>
        </w:rPr>
        <w:t xml:space="preserve"> combinations with existing products.</w:t>
      </w:r>
    </w:p>
    <w:bookmarkEnd w:id="22"/>
    <w:p w:rsidR="00FC12B5" w:rsidRPr="003E5F22" w:rsidRDefault="002278D2" w:rsidP="00FC12B5">
      <w:pPr>
        <w:pStyle w:val="ItemHead"/>
      </w:pPr>
      <w:proofErr w:type="gramStart"/>
      <w:r>
        <w:t>17</w:t>
      </w:r>
      <w:r w:rsidR="00FC12B5" w:rsidRPr="003E5F22">
        <w:t xml:space="preserve">  Section</w:t>
      </w:r>
      <w:proofErr w:type="gramEnd"/>
      <w:r w:rsidR="00FC12B5" w:rsidRPr="003E5F22">
        <w:t xml:space="preserve"> 4 (definition of </w:t>
      </w:r>
      <w:r w:rsidR="00FC12B5">
        <w:rPr>
          <w:i/>
        </w:rPr>
        <w:t>pre-market pilot stage clinical trial</w:t>
      </w:r>
      <w:r w:rsidR="00FC12B5" w:rsidRPr="003E5F22">
        <w:t>)</w:t>
      </w:r>
    </w:p>
    <w:p w:rsidR="00FC12B5" w:rsidRPr="003E5F22" w:rsidRDefault="00FC12B5" w:rsidP="00FC12B5">
      <w:pPr>
        <w:pStyle w:val="Item"/>
      </w:pPr>
      <w:r>
        <w:t>Omit</w:t>
      </w:r>
      <w:r w:rsidRPr="003E5F22">
        <w:t xml:space="preserve"> “</w:t>
      </w:r>
      <w:proofErr w:type="gramStart"/>
      <w:r>
        <w:t>a  medical</w:t>
      </w:r>
      <w:proofErr w:type="gramEnd"/>
      <w:r w:rsidRPr="003E5F22">
        <w:t xml:space="preserve">”, </w:t>
      </w:r>
      <w:r w:rsidR="002278D2">
        <w:t>substitute</w:t>
      </w:r>
      <w:r w:rsidRPr="003E5F22">
        <w:t xml:space="preserve"> “</w:t>
      </w:r>
      <w:bookmarkStart w:id="23" w:name="_Hlk104363838"/>
      <w:r>
        <w:t>a medical</w:t>
      </w:r>
      <w:bookmarkEnd w:id="23"/>
      <w:r w:rsidRPr="003E5F22">
        <w:t xml:space="preserve">”. </w:t>
      </w:r>
    </w:p>
    <w:p w:rsidR="00277551" w:rsidRPr="00652DC2" w:rsidRDefault="00277551" w:rsidP="00277551">
      <w:pPr>
        <w:pStyle w:val="ItemHead"/>
      </w:pPr>
      <w:proofErr w:type="gramStart"/>
      <w:r>
        <w:t>1</w:t>
      </w:r>
      <w:r w:rsidR="002278D2">
        <w:t>8</w:t>
      </w:r>
      <w:r w:rsidRPr="00652DC2">
        <w:t xml:space="preserve">  Section</w:t>
      </w:r>
      <w:proofErr w:type="gramEnd"/>
      <w:r w:rsidRPr="00652DC2">
        <w:t xml:space="preserve"> </w:t>
      </w:r>
      <w:r>
        <w:t>6</w:t>
      </w:r>
      <w:r w:rsidRPr="00652DC2">
        <w:t xml:space="preserve"> (</w:t>
      </w:r>
      <w:r>
        <w:t>heading</w:t>
      </w:r>
      <w:r w:rsidRPr="00652DC2">
        <w:t>)</w:t>
      </w:r>
    </w:p>
    <w:p w:rsidR="00277551" w:rsidRPr="00652DC2" w:rsidRDefault="00277551" w:rsidP="00277551">
      <w:pPr>
        <w:pStyle w:val="Item"/>
      </w:pPr>
      <w:r>
        <w:t>Omit</w:t>
      </w:r>
      <w:r w:rsidRPr="00652DC2">
        <w:t xml:space="preserve"> “</w:t>
      </w:r>
      <w:proofErr w:type="gramStart"/>
      <w:r w:rsidRPr="00277551">
        <w:t>6</w:t>
      </w:r>
      <w:r>
        <w:t xml:space="preserve">  </w:t>
      </w:r>
      <w:r w:rsidRPr="00277551">
        <w:rPr>
          <w:b/>
        </w:rPr>
        <w:t>Exclusions</w:t>
      </w:r>
      <w:proofErr w:type="gramEnd"/>
      <w:r w:rsidRPr="00652DC2">
        <w:t xml:space="preserve">”, </w:t>
      </w:r>
      <w:r>
        <w:t>substitute</w:t>
      </w:r>
      <w:r w:rsidRPr="00652DC2">
        <w:t xml:space="preserve"> “</w:t>
      </w:r>
      <w:bookmarkStart w:id="24" w:name="_Hlk104363970"/>
      <w:r w:rsidRPr="00277551">
        <w:rPr>
          <w:b/>
        </w:rPr>
        <w:t>6  Exclusions</w:t>
      </w:r>
      <w:bookmarkEnd w:id="24"/>
      <w:r w:rsidRPr="00652DC2">
        <w:t>”.</w:t>
      </w:r>
    </w:p>
    <w:p w:rsidR="00277551" w:rsidRPr="00652DC2" w:rsidRDefault="00277551" w:rsidP="00277551">
      <w:pPr>
        <w:pStyle w:val="ItemHead"/>
      </w:pPr>
      <w:proofErr w:type="gramStart"/>
      <w:r>
        <w:t>1</w:t>
      </w:r>
      <w:r w:rsidR="002278D2">
        <w:t>9</w:t>
      </w:r>
      <w:r w:rsidRPr="00652DC2">
        <w:t xml:space="preserve">  </w:t>
      </w:r>
      <w:r>
        <w:t>Paragraph</w:t>
      </w:r>
      <w:proofErr w:type="gramEnd"/>
      <w:r>
        <w:t xml:space="preserve"> 6a)</w:t>
      </w:r>
    </w:p>
    <w:p w:rsidR="00277551" w:rsidRDefault="008A72E7" w:rsidP="00277551">
      <w:pPr>
        <w:pStyle w:val="Item"/>
      </w:pPr>
      <w:r>
        <w:t>Omit “a)”</w:t>
      </w:r>
      <w:r w:rsidR="00277551">
        <w:t xml:space="preserve">, </w:t>
      </w:r>
      <w:r>
        <w:t>substitute</w:t>
      </w:r>
      <w:r w:rsidR="00277551">
        <w:t xml:space="preserve"> “(</w:t>
      </w:r>
      <w:r>
        <w:t>a)</w:t>
      </w:r>
      <w:r w:rsidR="00277551" w:rsidRPr="00652DC2">
        <w:t>”</w:t>
      </w:r>
      <w:r w:rsidR="00277551">
        <w:t>.</w:t>
      </w:r>
    </w:p>
    <w:p w:rsidR="008A72E7" w:rsidRPr="00652DC2" w:rsidRDefault="002278D2" w:rsidP="008A72E7">
      <w:pPr>
        <w:pStyle w:val="ItemHead"/>
      </w:pPr>
      <w:proofErr w:type="gramStart"/>
      <w:r>
        <w:lastRenderedPageBreak/>
        <w:t>20</w:t>
      </w:r>
      <w:r w:rsidR="008A72E7" w:rsidRPr="00652DC2">
        <w:t xml:space="preserve">  </w:t>
      </w:r>
      <w:r w:rsidR="008A72E7">
        <w:t>Paragraph</w:t>
      </w:r>
      <w:proofErr w:type="gramEnd"/>
      <w:r w:rsidR="008A72E7">
        <w:t xml:space="preserve"> 6b)</w:t>
      </w:r>
    </w:p>
    <w:p w:rsidR="008A72E7" w:rsidRDefault="008A72E7" w:rsidP="008A72E7">
      <w:pPr>
        <w:pStyle w:val="Item"/>
      </w:pPr>
      <w:r>
        <w:t>Omit “b)”, substitute “(b)</w:t>
      </w:r>
      <w:r w:rsidRPr="00652DC2">
        <w:t>”</w:t>
      </w:r>
      <w:r>
        <w:t>.</w:t>
      </w:r>
    </w:p>
    <w:p w:rsidR="008A72E7" w:rsidRPr="00652DC2" w:rsidRDefault="002278D2" w:rsidP="008A72E7">
      <w:pPr>
        <w:pStyle w:val="ItemHead"/>
      </w:pPr>
      <w:proofErr w:type="gramStart"/>
      <w:r>
        <w:t>21</w:t>
      </w:r>
      <w:r w:rsidR="008A72E7" w:rsidRPr="00652DC2">
        <w:t xml:space="preserve">  </w:t>
      </w:r>
      <w:r w:rsidR="008A72E7">
        <w:t>Paragraph</w:t>
      </w:r>
      <w:proofErr w:type="gramEnd"/>
      <w:r w:rsidR="008A72E7">
        <w:t xml:space="preserve"> 6c)</w:t>
      </w:r>
    </w:p>
    <w:p w:rsidR="008A72E7" w:rsidRDefault="008A72E7" w:rsidP="008A72E7">
      <w:pPr>
        <w:pStyle w:val="Item"/>
      </w:pPr>
      <w:r>
        <w:t>Omit “c)”, substitute “(c)</w:t>
      </w:r>
      <w:r w:rsidRPr="00652DC2">
        <w:t>”</w:t>
      </w:r>
      <w:r>
        <w:t>.</w:t>
      </w:r>
    </w:p>
    <w:p w:rsidR="008A72E7" w:rsidRPr="00652DC2" w:rsidRDefault="002278D2" w:rsidP="008A72E7">
      <w:pPr>
        <w:pStyle w:val="ItemHead"/>
      </w:pPr>
      <w:proofErr w:type="gramStart"/>
      <w:r>
        <w:t>22</w:t>
      </w:r>
      <w:r w:rsidR="008A72E7" w:rsidRPr="00652DC2">
        <w:t xml:space="preserve">  </w:t>
      </w:r>
      <w:r w:rsidR="008A72E7">
        <w:t>Paragraph</w:t>
      </w:r>
      <w:proofErr w:type="gramEnd"/>
      <w:r w:rsidR="008A72E7">
        <w:t xml:space="preserve"> 6d)</w:t>
      </w:r>
    </w:p>
    <w:p w:rsidR="008A72E7" w:rsidRDefault="008A72E7" w:rsidP="008A72E7">
      <w:pPr>
        <w:pStyle w:val="Item"/>
      </w:pPr>
      <w:r>
        <w:t>Omit “d)”, substitute “(d)</w:t>
      </w:r>
      <w:r w:rsidRPr="00652DC2">
        <w:t>”</w:t>
      </w:r>
      <w:r>
        <w:t>.</w:t>
      </w:r>
    </w:p>
    <w:p w:rsidR="008A72E7" w:rsidRPr="00652DC2" w:rsidRDefault="002278D2" w:rsidP="008A72E7">
      <w:pPr>
        <w:pStyle w:val="ItemHead"/>
      </w:pPr>
      <w:proofErr w:type="gramStart"/>
      <w:r>
        <w:t>23</w:t>
      </w:r>
      <w:r w:rsidR="008A72E7" w:rsidRPr="00652DC2">
        <w:t xml:space="preserve">  </w:t>
      </w:r>
      <w:r w:rsidR="008A72E7">
        <w:t>Paragraph</w:t>
      </w:r>
      <w:proofErr w:type="gramEnd"/>
      <w:r w:rsidR="008A72E7">
        <w:t xml:space="preserve"> 6e)</w:t>
      </w:r>
    </w:p>
    <w:p w:rsidR="008A72E7" w:rsidRDefault="008A72E7" w:rsidP="008A72E7">
      <w:pPr>
        <w:pStyle w:val="Item"/>
      </w:pPr>
      <w:r>
        <w:t>Omit “e)”, substitute “(e)</w:t>
      </w:r>
      <w:r w:rsidRPr="00652DC2">
        <w:t>”</w:t>
      </w:r>
      <w:r>
        <w:t>.</w:t>
      </w:r>
    </w:p>
    <w:p w:rsidR="008A72E7" w:rsidRPr="00652DC2" w:rsidRDefault="002278D2" w:rsidP="008A72E7">
      <w:pPr>
        <w:pStyle w:val="ItemHead"/>
      </w:pPr>
      <w:proofErr w:type="gramStart"/>
      <w:r>
        <w:t>24</w:t>
      </w:r>
      <w:r w:rsidR="008A72E7" w:rsidRPr="00652DC2">
        <w:t xml:space="preserve">  </w:t>
      </w:r>
      <w:r w:rsidR="008A72E7">
        <w:t>Paragraph</w:t>
      </w:r>
      <w:proofErr w:type="gramEnd"/>
      <w:r w:rsidR="008A72E7">
        <w:t xml:space="preserve"> 6f)</w:t>
      </w:r>
    </w:p>
    <w:p w:rsidR="00CE3849" w:rsidRDefault="00145B75" w:rsidP="000F369E">
      <w:pPr>
        <w:pStyle w:val="Item"/>
      </w:pPr>
      <w:r>
        <w:t>Repeal the paragraph</w:t>
      </w:r>
      <w:r w:rsidR="00CE3849">
        <w:t>, substitute:</w:t>
      </w:r>
    </w:p>
    <w:p w:rsidR="00FC12B5" w:rsidRPr="00652DC2" w:rsidRDefault="00CE3849" w:rsidP="00C93A15">
      <w:pPr>
        <w:pStyle w:val="paragraph"/>
      </w:pPr>
      <w:r w:rsidRPr="00CE3849">
        <w:tab/>
        <w:t>(f)</w:t>
      </w:r>
      <w:r w:rsidRPr="00CE3849">
        <w:tab/>
      </w:r>
      <w:proofErr w:type="gramStart"/>
      <w:r w:rsidRPr="00CE3849">
        <w:t>activities</w:t>
      </w:r>
      <w:proofErr w:type="gramEnd"/>
      <w:r w:rsidRPr="00CE3849">
        <w:t xml:space="preserve"> that are within the scope of subsection 355-25(2) of the </w:t>
      </w:r>
      <w:r w:rsidRPr="00CE3849">
        <w:rPr>
          <w:i/>
        </w:rPr>
        <w:t>Income Tax Assessment Act 1997</w:t>
      </w:r>
      <w:r w:rsidRPr="00CE3849">
        <w:t>;</w:t>
      </w:r>
    </w:p>
    <w:p w:rsidR="008A72E7" w:rsidRPr="00652DC2" w:rsidRDefault="00131D89" w:rsidP="008A72E7">
      <w:pPr>
        <w:pStyle w:val="ItemHead"/>
      </w:pPr>
      <w:proofErr w:type="gramStart"/>
      <w:r>
        <w:t>25</w:t>
      </w:r>
      <w:r w:rsidRPr="00652DC2">
        <w:t xml:space="preserve">  </w:t>
      </w:r>
      <w:r w:rsidR="008A72E7">
        <w:t>Paragraph</w:t>
      </w:r>
      <w:proofErr w:type="gramEnd"/>
      <w:r w:rsidR="008A72E7">
        <w:t xml:space="preserve"> 6g)</w:t>
      </w:r>
    </w:p>
    <w:p w:rsidR="008A72E7" w:rsidRDefault="008A72E7" w:rsidP="008A72E7">
      <w:pPr>
        <w:pStyle w:val="Item"/>
      </w:pPr>
      <w:r>
        <w:t>Omit “g)”, substitute “(g)</w:t>
      </w:r>
      <w:r w:rsidRPr="00652DC2">
        <w:t>”</w:t>
      </w:r>
      <w:r>
        <w:t>.</w:t>
      </w:r>
    </w:p>
    <w:p w:rsidR="00277551" w:rsidRPr="00652DC2" w:rsidRDefault="00131D89" w:rsidP="00277551">
      <w:pPr>
        <w:pStyle w:val="ItemHead"/>
      </w:pPr>
      <w:proofErr w:type="gramStart"/>
      <w:r>
        <w:t>26</w:t>
      </w:r>
      <w:r w:rsidRPr="00652DC2">
        <w:t xml:space="preserve">  </w:t>
      </w:r>
      <w:r w:rsidR="00277551">
        <w:t>Note</w:t>
      </w:r>
      <w:proofErr w:type="gramEnd"/>
      <w:r w:rsidR="00277551">
        <w:t xml:space="preserve"> to section 6</w:t>
      </w:r>
      <w:r w:rsidR="00277551" w:rsidRPr="00652DC2">
        <w:t xml:space="preserve"> </w:t>
      </w:r>
    </w:p>
    <w:p w:rsidR="00277551" w:rsidRPr="00652DC2" w:rsidRDefault="00277551" w:rsidP="00277551">
      <w:pPr>
        <w:pStyle w:val="Item"/>
      </w:pPr>
      <w:r>
        <w:t>Omit “</w:t>
      </w:r>
      <w:r w:rsidR="008A72E7">
        <w:t>sub</w:t>
      </w:r>
      <w:r>
        <w:t>subsections”, substitute “paragraphs”.</w:t>
      </w:r>
    </w:p>
    <w:p w:rsidR="003F6F52" w:rsidRPr="00DA182D" w:rsidRDefault="003F6F52" w:rsidP="0027755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8E" w:rsidRDefault="001B338E" w:rsidP="0048364F">
      <w:pPr>
        <w:spacing w:line="240" w:lineRule="auto"/>
      </w:pPr>
      <w:r>
        <w:separator/>
      </w:r>
    </w:p>
  </w:endnote>
  <w:endnote w:type="continuationSeparator" w:id="0">
    <w:p w:rsidR="001B338E" w:rsidRDefault="001B338E" w:rsidP="0048364F">
      <w:pPr>
        <w:spacing w:line="240" w:lineRule="auto"/>
      </w:pPr>
      <w:r>
        <w:continuationSeparator/>
      </w:r>
    </w:p>
  </w:endnote>
  <w:endnote w:type="continuationNotice" w:id="1">
    <w:p w:rsidR="001B338E" w:rsidRDefault="001B33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540F0" w:rsidTr="003E5F22">
      <w:tc>
        <w:tcPr>
          <w:tcW w:w="5000" w:type="pct"/>
        </w:tcPr>
        <w:p w:rsidR="006540F0" w:rsidRDefault="006540F0" w:rsidP="003E5F22">
          <w:pPr>
            <w:rPr>
              <w:sz w:val="18"/>
            </w:rPr>
          </w:pPr>
        </w:p>
      </w:tc>
    </w:tr>
  </w:tbl>
  <w:p w:rsidR="006540F0" w:rsidRPr="005F1388" w:rsidRDefault="006540F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540F0" w:rsidTr="003E5F22">
      <w:tc>
        <w:tcPr>
          <w:tcW w:w="5000" w:type="pct"/>
        </w:tcPr>
        <w:p w:rsidR="006540F0" w:rsidRDefault="006540F0" w:rsidP="003E5F22">
          <w:pPr>
            <w:rPr>
              <w:sz w:val="18"/>
            </w:rPr>
          </w:pPr>
        </w:p>
      </w:tc>
    </w:tr>
  </w:tbl>
  <w:p w:rsidR="006540F0" w:rsidRPr="006D3667" w:rsidRDefault="006540F0" w:rsidP="003E5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Default="006540F0" w:rsidP="003E5F2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540F0" w:rsidTr="003E5F22">
      <w:tc>
        <w:tcPr>
          <w:tcW w:w="5000" w:type="pct"/>
        </w:tcPr>
        <w:p w:rsidR="006540F0" w:rsidRDefault="006540F0" w:rsidP="003E5F22">
          <w:pPr>
            <w:rPr>
              <w:sz w:val="18"/>
            </w:rPr>
          </w:pPr>
        </w:p>
      </w:tc>
    </w:tr>
  </w:tbl>
  <w:p w:rsidR="006540F0" w:rsidRPr="00486382" w:rsidRDefault="006540F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33C1C" w:rsidRDefault="006540F0" w:rsidP="003E5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40F0" w:rsidTr="003E5F2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540F0" w:rsidRDefault="006540F0" w:rsidP="003E5F2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540F0" w:rsidRDefault="006540F0" w:rsidP="003E5F2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540F0" w:rsidRDefault="006540F0" w:rsidP="003E5F22">
          <w:pPr>
            <w:spacing w:line="0" w:lineRule="atLeast"/>
            <w:jc w:val="right"/>
            <w:rPr>
              <w:sz w:val="18"/>
            </w:rPr>
          </w:pPr>
        </w:p>
      </w:tc>
    </w:tr>
    <w:tr w:rsidR="006540F0" w:rsidTr="003E5F2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540F0" w:rsidRDefault="006540F0" w:rsidP="003E5F22">
          <w:pPr>
            <w:jc w:val="right"/>
            <w:rPr>
              <w:sz w:val="18"/>
            </w:rPr>
          </w:pPr>
        </w:p>
      </w:tc>
    </w:tr>
  </w:tbl>
  <w:p w:rsidR="006540F0" w:rsidRPr="00ED79B6" w:rsidRDefault="006540F0" w:rsidP="003E5F2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33C1C" w:rsidRDefault="006540F0" w:rsidP="003E5F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540F0" w:rsidTr="003E5F2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540F0" w:rsidRDefault="006540F0" w:rsidP="003E5F2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540F0" w:rsidRPr="00B20990" w:rsidRDefault="006540F0" w:rsidP="003E5F2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Industry Research and Development (clinical trials, phase 0, I, II, III, pre-market pilot stage, pre-market pivotal stage, for an unapproved therapeutic good) Amendment (Minor Corrections)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540F0" w:rsidRDefault="006540F0" w:rsidP="003E5F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40F0" w:rsidTr="003E5F2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540F0" w:rsidRDefault="006540F0" w:rsidP="003E5F22">
          <w:pPr>
            <w:rPr>
              <w:sz w:val="18"/>
            </w:rPr>
          </w:pPr>
        </w:p>
      </w:tc>
    </w:tr>
  </w:tbl>
  <w:p w:rsidR="006540F0" w:rsidRPr="00ED79B6" w:rsidRDefault="006540F0" w:rsidP="003E5F2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33C1C" w:rsidRDefault="006540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62"/>
      <w:gridCol w:w="1101"/>
    </w:tblGrid>
    <w:tr w:rsidR="006540F0" w:rsidTr="005374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rPr>
              <w:sz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Industry Research and Development (clinical trials, phase 0, I, II, III, pre-market pilot stage, pre-market pivotal stage, for an unapproved therapeutic good) Amendment (Minor Corrections)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6540F0" w:rsidRPr="00700707" w:rsidRDefault="00700707" w:rsidP="00EE57E8">
          <w:pPr>
            <w:spacing w:line="0" w:lineRule="atLeast"/>
            <w:jc w:val="right"/>
            <w:rPr>
              <w:i/>
              <w:sz w:val="18"/>
            </w:rPr>
          </w:pPr>
          <w:r w:rsidRPr="00700707">
            <w:rPr>
              <w:i/>
              <w:sz w:val="18"/>
            </w:rPr>
            <w:fldChar w:fldCharType="begin"/>
          </w:r>
          <w:r w:rsidRPr="00700707">
            <w:rPr>
              <w:i/>
              <w:sz w:val="18"/>
            </w:rPr>
            <w:instrText xml:space="preserve"> PAGE   \* MERGEFORMAT </w:instrText>
          </w:r>
          <w:r w:rsidRPr="00700707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4</w:t>
          </w:r>
          <w:r w:rsidRPr="00700707">
            <w:rPr>
              <w:i/>
              <w:noProof/>
              <w:sz w:val="18"/>
            </w:rPr>
            <w:fldChar w:fldCharType="end"/>
          </w:r>
        </w:p>
      </w:tc>
    </w:tr>
    <w:tr w:rsidR="006540F0" w:rsidTr="0053742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540F0" w:rsidRDefault="006540F0" w:rsidP="00EE57E8">
          <w:pPr>
            <w:jc w:val="right"/>
            <w:rPr>
              <w:sz w:val="18"/>
            </w:rPr>
          </w:pPr>
        </w:p>
      </w:tc>
    </w:tr>
  </w:tbl>
  <w:p w:rsidR="006540F0" w:rsidRPr="00ED79B6" w:rsidRDefault="006540F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33C1C" w:rsidRDefault="006540F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851"/>
      <w:gridCol w:w="6912"/>
      <w:gridCol w:w="709"/>
    </w:tblGrid>
    <w:tr w:rsidR="006540F0" w:rsidTr="0053742B">
      <w:trPr>
        <w:trHeight w:val="709"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rPr>
              <w:sz w:val="18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Industry Research and Development (clinical trials, phase 0, I, II, III, pre-market pilot stage, pre-market pivotal stage, for an unapproved therapeutic good) Amendment (Minor Corrections)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40F0" w:rsidTr="0053742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540F0" w:rsidRDefault="006540F0" w:rsidP="0053742B">
          <w:pPr>
            <w:tabs>
              <w:tab w:val="left" w:pos="2970"/>
            </w:tabs>
            <w:rPr>
              <w:sz w:val="18"/>
            </w:rPr>
          </w:pPr>
          <w:r>
            <w:rPr>
              <w:sz w:val="18"/>
            </w:rPr>
            <w:tab/>
          </w:r>
        </w:p>
      </w:tc>
    </w:tr>
  </w:tbl>
  <w:p w:rsidR="006540F0" w:rsidRPr="00ED79B6" w:rsidRDefault="006540F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33C1C" w:rsidRDefault="006540F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40F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0F0" w:rsidRDefault="006540F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540F0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540F0" w:rsidRDefault="006540F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15E68">
            <w:rPr>
              <w:i/>
              <w:noProof/>
              <w:sz w:val="18"/>
            </w:rPr>
            <w:t>29/6/2022 5:33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40F0" w:rsidRPr="00ED79B6" w:rsidRDefault="006540F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8E" w:rsidRDefault="001B338E" w:rsidP="0048364F">
      <w:pPr>
        <w:spacing w:line="240" w:lineRule="auto"/>
      </w:pPr>
      <w:r>
        <w:separator/>
      </w:r>
    </w:p>
  </w:footnote>
  <w:footnote w:type="continuationSeparator" w:id="0">
    <w:p w:rsidR="001B338E" w:rsidRDefault="001B338E" w:rsidP="0048364F">
      <w:pPr>
        <w:spacing w:line="240" w:lineRule="auto"/>
      </w:pPr>
      <w:r>
        <w:continuationSeparator/>
      </w:r>
    </w:p>
  </w:footnote>
  <w:footnote w:type="continuationNotice" w:id="1">
    <w:p w:rsidR="001B338E" w:rsidRDefault="001B33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5F1388" w:rsidRDefault="006540F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5F1388" w:rsidRDefault="006540F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5F1388" w:rsidRDefault="006540F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D79B6" w:rsidRDefault="006540F0" w:rsidP="003E5F2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D79B6" w:rsidRDefault="006540F0" w:rsidP="003E5F2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ED79B6" w:rsidRDefault="006540F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A961C4" w:rsidRDefault="006540F0" w:rsidP="0048364F">
    <w:pPr>
      <w:rPr>
        <w:b/>
        <w:sz w:val="20"/>
      </w:rPr>
    </w:pPr>
  </w:p>
  <w:p w:rsidR="006540F0" w:rsidRPr="00A961C4" w:rsidRDefault="006540F0" w:rsidP="0048364F">
    <w:pPr>
      <w:rPr>
        <w:b/>
        <w:sz w:val="20"/>
      </w:rPr>
    </w:pPr>
  </w:p>
  <w:p w:rsidR="006540F0" w:rsidRPr="00A961C4" w:rsidRDefault="006540F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F0" w:rsidRPr="00A961C4" w:rsidRDefault="006540F0" w:rsidP="0048364F">
    <w:pPr>
      <w:jc w:val="right"/>
      <w:rPr>
        <w:sz w:val="20"/>
      </w:rPr>
    </w:pPr>
  </w:p>
  <w:p w:rsidR="006540F0" w:rsidRPr="00A961C4" w:rsidRDefault="006540F0" w:rsidP="0048364F">
    <w:pPr>
      <w:jc w:val="right"/>
      <w:rPr>
        <w:b/>
        <w:sz w:val="20"/>
      </w:rPr>
    </w:pPr>
  </w:p>
  <w:p w:rsidR="006540F0" w:rsidRPr="00A961C4" w:rsidRDefault="006540F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BCC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21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945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D41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87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A7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63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4AE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DC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C5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8F4F06"/>
    <w:multiLevelType w:val="hybridMultilevel"/>
    <w:tmpl w:val="BEF2BEB6"/>
    <w:lvl w:ilvl="0" w:tplc="F8F6C19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C1C6324"/>
    <w:multiLevelType w:val="multilevel"/>
    <w:tmpl w:val="1D6C02CA"/>
    <w:lvl w:ilvl="0">
      <w:start w:val="1"/>
      <w:numFmt w:val="lowerLetter"/>
      <w:lvlText w:val="(%1)"/>
      <w:lvlJc w:val="left"/>
      <w:pPr>
        <w:ind w:left="1817" w:hanging="360"/>
      </w:pPr>
    </w:lvl>
    <w:lvl w:ilvl="1">
      <w:start w:val="1"/>
      <w:numFmt w:val="lowerLetter"/>
      <w:lvlText w:val="%2)"/>
      <w:lvlJc w:val="left"/>
      <w:pPr>
        <w:ind w:left="2177" w:hanging="360"/>
      </w:pPr>
    </w:lvl>
    <w:lvl w:ilvl="2">
      <w:start w:val="1"/>
      <w:numFmt w:val="lowerRoman"/>
      <w:lvlText w:val="%3)"/>
      <w:lvlJc w:val="left"/>
      <w:pPr>
        <w:ind w:left="2537" w:hanging="360"/>
      </w:pPr>
    </w:lvl>
    <w:lvl w:ilvl="3">
      <w:start w:val="1"/>
      <w:numFmt w:val="decimal"/>
      <w:lvlText w:val="(%4)"/>
      <w:lvlJc w:val="left"/>
      <w:pPr>
        <w:ind w:left="2897" w:hanging="360"/>
      </w:pPr>
    </w:lvl>
    <w:lvl w:ilvl="4">
      <w:start w:val="1"/>
      <w:numFmt w:val="lowerLetter"/>
      <w:lvlText w:val="(%5)"/>
      <w:lvlJc w:val="left"/>
      <w:pPr>
        <w:ind w:left="3257" w:hanging="360"/>
      </w:pPr>
    </w:lvl>
    <w:lvl w:ilvl="5">
      <w:start w:val="1"/>
      <w:numFmt w:val="lowerRoman"/>
      <w:lvlText w:val="(%6)"/>
      <w:lvlJc w:val="left"/>
      <w:pPr>
        <w:ind w:left="3617" w:hanging="360"/>
      </w:pPr>
    </w:lvl>
    <w:lvl w:ilvl="6">
      <w:start w:val="1"/>
      <w:numFmt w:val="decimal"/>
      <w:lvlText w:val="%7."/>
      <w:lvlJc w:val="left"/>
      <w:pPr>
        <w:ind w:left="3977" w:hanging="360"/>
      </w:pPr>
    </w:lvl>
    <w:lvl w:ilvl="7">
      <w:start w:val="1"/>
      <w:numFmt w:val="lowerLetter"/>
      <w:lvlText w:val="%8."/>
      <w:lvlJc w:val="left"/>
      <w:pPr>
        <w:ind w:left="4337" w:hanging="360"/>
      </w:pPr>
    </w:lvl>
    <w:lvl w:ilvl="8">
      <w:start w:val="1"/>
      <w:numFmt w:val="lowerRoman"/>
      <w:lvlText w:val="%9."/>
      <w:lvlJc w:val="left"/>
      <w:pPr>
        <w:ind w:left="4697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F"/>
    <w:rsid w:val="00000263"/>
    <w:rsid w:val="00002BCC"/>
    <w:rsid w:val="000113BC"/>
    <w:rsid w:val="000136AF"/>
    <w:rsid w:val="0004044E"/>
    <w:rsid w:val="00042D7D"/>
    <w:rsid w:val="0005120E"/>
    <w:rsid w:val="00054577"/>
    <w:rsid w:val="000614BF"/>
    <w:rsid w:val="0007169C"/>
    <w:rsid w:val="000739C8"/>
    <w:rsid w:val="00077593"/>
    <w:rsid w:val="00077C42"/>
    <w:rsid w:val="00083F48"/>
    <w:rsid w:val="000A479A"/>
    <w:rsid w:val="000A7DF9"/>
    <w:rsid w:val="000B3265"/>
    <w:rsid w:val="000C50E2"/>
    <w:rsid w:val="000D05EF"/>
    <w:rsid w:val="000D0E10"/>
    <w:rsid w:val="000D3FB9"/>
    <w:rsid w:val="000D5485"/>
    <w:rsid w:val="000E17D4"/>
    <w:rsid w:val="000E598E"/>
    <w:rsid w:val="000E5A3D"/>
    <w:rsid w:val="000F0ADA"/>
    <w:rsid w:val="000F21C1"/>
    <w:rsid w:val="000F369E"/>
    <w:rsid w:val="0010745C"/>
    <w:rsid w:val="001122FF"/>
    <w:rsid w:val="00131D89"/>
    <w:rsid w:val="00145B7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38E"/>
    <w:rsid w:val="001B7A5D"/>
    <w:rsid w:val="001C69C4"/>
    <w:rsid w:val="001E0A8D"/>
    <w:rsid w:val="001E3590"/>
    <w:rsid w:val="001E7407"/>
    <w:rsid w:val="001F1A46"/>
    <w:rsid w:val="001F2C3B"/>
    <w:rsid w:val="00201D27"/>
    <w:rsid w:val="0021153A"/>
    <w:rsid w:val="002245A6"/>
    <w:rsid w:val="002278D2"/>
    <w:rsid w:val="002302EA"/>
    <w:rsid w:val="00237614"/>
    <w:rsid w:val="00240749"/>
    <w:rsid w:val="002468D7"/>
    <w:rsid w:val="00247E97"/>
    <w:rsid w:val="00256C81"/>
    <w:rsid w:val="00277551"/>
    <w:rsid w:val="00285CDD"/>
    <w:rsid w:val="00287DBD"/>
    <w:rsid w:val="00291167"/>
    <w:rsid w:val="0029489E"/>
    <w:rsid w:val="00297ECB"/>
    <w:rsid w:val="002B2377"/>
    <w:rsid w:val="002C152A"/>
    <w:rsid w:val="002D043A"/>
    <w:rsid w:val="002E4B64"/>
    <w:rsid w:val="00303503"/>
    <w:rsid w:val="00315E68"/>
    <w:rsid w:val="0031713F"/>
    <w:rsid w:val="003222D1"/>
    <w:rsid w:val="00324FE5"/>
    <w:rsid w:val="0032750F"/>
    <w:rsid w:val="003415D3"/>
    <w:rsid w:val="003442F6"/>
    <w:rsid w:val="00346335"/>
    <w:rsid w:val="00352B0F"/>
    <w:rsid w:val="003561B0"/>
    <w:rsid w:val="00361762"/>
    <w:rsid w:val="003760B1"/>
    <w:rsid w:val="00397447"/>
    <w:rsid w:val="00397893"/>
    <w:rsid w:val="003A15AC"/>
    <w:rsid w:val="003B0627"/>
    <w:rsid w:val="003B6B33"/>
    <w:rsid w:val="003C5F2B"/>
    <w:rsid w:val="003C7D35"/>
    <w:rsid w:val="003D0BFE"/>
    <w:rsid w:val="003D5700"/>
    <w:rsid w:val="003E5F22"/>
    <w:rsid w:val="003F0734"/>
    <w:rsid w:val="003F09FE"/>
    <w:rsid w:val="003F6F52"/>
    <w:rsid w:val="004022CA"/>
    <w:rsid w:val="004116CD"/>
    <w:rsid w:val="00414ADE"/>
    <w:rsid w:val="00424CA9"/>
    <w:rsid w:val="004257BB"/>
    <w:rsid w:val="0043666A"/>
    <w:rsid w:val="0044291A"/>
    <w:rsid w:val="00443687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1E22"/>
    <w:rsid w:val="004B35E7"/>
    <w:rsid w:val="004F1FAC"/>
    <w:rsid w:val="004F676E"/>
    <w:rsid w:val="004F687C"/>
    <w:rsid w:val="004F71C0"/>
    <w:rsid w:val="0051437B"/>
    <w:rsid w:val="00516B8D"/>
    <w:rsid w:val="0052756C"/>
    <w:rsid w:val="00530230"/>
    <w:rsid w:val="00530CC9"/>
    <w:rsid w:val="00531B46"/>
    <w:rsid w:val="0053742B"/>
    <w:rsid w:val="00537FBC"/>
    <w:rsid w:val="00541D73"/>
    <w:rsid w:val="00543469"/>
    <w:rsid w:val="005438A6"/>
    <w:rsid w:val="00546FA3"/>
    <w:rsid w:val="00557C7A"/>
    <w:rsid w:val="00562A58"/>
    <w:rsid w:val="0056541A"/>
    <w:rsid w:val="00581211"/>
    <w:rsid w:val="0058171B"/>
    <w:rsid w:val="00584811"/>
    <w:rsid w:val="005875EF"/>
    <w:rsid w:val="00593AA6"/>
    <w:rsid w:val="00594161"/>
    <w:rsid w:val="00594749"/>
    <w:rsid w:val="00594956"/>
    <w:rsid w:val="00597A8D"/>
    <w:rsid w:val="005B1555"/>
    <w:rsid w:val="005B4067"/>
    <w:rsid w:val="005C3F41"/>
    <w:rsid w:val="005C4D2C"/>
    <w:rsid w:val="005C4EF0"/>
    <w:rsid w:val="005C77DF"/>
    <w:rsid w:val="005D5EA1"/>
    <w:rsid w:val="005E098C"/>
    <w:rsid w:val="005E1F8D"/>
    <w:rsid w:val="005E317F"/>
    <w:rsid w:val="005E61D3"/>
    <w:rsid w:val="006001A6"/>
    <w:rsid w:val="00600219"/>
    <w:rsid w:val="006065DA"/>
    <w:rsid w:val="00606AA4"/>
    <w:rsid w:val="0061748F"/>
    <w:rsid w:val="00636412"/>
    <w:rsid w:val="00640402"/>
    <w:rsid w:val="00640F78"/>
    <w:rsid w:val="00652DC2"/>
    <w:rsid w:val="006540F0"/>
    <w:rsid w:val="00655D6A"/>
    <w:rsid w:val="00656DE9"/>
    <w:rsid w:val="00663B88"/>
    <w:rsid w:val="00672876"/>
    <w:rsid w:val="00677CC2"/>
    <w:rsid w:val="00683903"/>
    <w:rsid w:val="00685F42"/>
    <w:rsid w:val="0069207B"/>
    <w:rsid w:val="006A304E"/>
    <w:rsid w:val="006B7006"/>
    <w:rsid w:val="006C05ED"/>
    <w:rsid w:val="006C7F8C"/>
    <w:rsid w:val="006D7AB9"/>
    <w:rsid w:val="006F605B"/>
    <w:rsid w:val="00700707"/>
    <w:rsid w:val="00700ACB"/>
    <w:rsid w:val="00700B2C"/>
    <w:rsid w:val="00713084"/>
    <w:rsid w:val="00717463"/>
    <w:rsid w:val="00720FC2"/>
    <w:rsid w:val="00722E89"/>
    <w:rsid w:val="00731E00"/>
    <w:rsid w:val="007339C7"/>
    <w:rsid w:val="0074401E"/>
    <w:rsid w:val="007440B7"/>
    <w:rsid w:val="00747993"/>
    <w:rsid w:val="007634AD"/>
    <w:rsid w:val="007715C9"/>
    <w:rsid w:val="00774EDD"/>
    <w:rsid w:val="007757EC"/>
    <w:rsid w:val="00794306"/>
    <w:rsid w:val="007A6863"/>
    <w:rsid w:val="007C78B4"/>
    <w:rsid w:val="007E32B6"/>
    <w:rsid w:val="007E486B"/>
    <w:rsid w:val="007E7D4A"/>
    <w:rsid w:val="007F48ED"/>
    <w:rsid w:val="007F5E3F"/>
    <w:rsid w:val="007F7281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DC5"/>
    <w:rsid w:val="008A16A5"/>
    <w:rsid w:val="008A5C57"/>
    <w:rsid w:val="008A72E7"/>
    <w:rsid w:val="008C0629"/>
    <w:rsid w:val="008D0EE0"/>
    <w:rsid w:val="008D7A27"/>
    <w:rsid w:val="008E4702"/>
    <w:rsid w:val="008E69AA"/>
    <w:rsid w:val="008F4F1C"/>
    <w:rsid w:val="008F77C5"/>
    <w:rsid w:val="009069AD"/>
    <w:rsid w:val="00910E64"/>
    <w:rsid w:val="00922764"/>
    <w:rsid w:val="009278C1"/>
    <w:rsid w:val="00932377"/>
    <w:rsid w:val="009346E3"/>
    <w:rsid w:val="0094523D"/>
    <w:rsid w:val="0097397D"/>
    <w:rsid w:val="00976738"/>
    <w:rsid w:val="00976A63"/>
    <w:rsid w:val="009B2490"/>
    <w:rsid w:val="009B50E5"/>
    <w:rsid w:val="009C3431"/>
    <w:rsid w:val="009C45ED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54C2"/>
    <w:rsid w:val="00B30749"/>
    <w:rsid w:val="00B33B3C"/>
    <w:rsid w:val="00B40D74"/>
    <w:rsid w:val="00B42649"/>
    <w:rsid w:val="00B46467"/>
    <w:rsid w:val="00B52663"/>
    <w:rsid w:val="00B56DCB"/>
    <w:rsid w:val="00B61728"/>
    <w:rsid w:val="00B71944"/>
    <w:rsid w:val="00B72D37"/>
    <w:rsid w:val="00B770D2"/>
    <w:rsid w:val="00B93516"/>
    <w:rsid w:val="00B96776"/>
    <w:rsid w:val="00B973E5"/>
    <w:rsid w:val="00BA47A3"/>
    <w:rsid w:val="00BA5026"/>
    <w:rsid w:val="00BA75A9"/>
    <w:rsid w:val="00BA7B5B"/>
    <w:rsid w:val="00BB3615"/>
    <w:rsid w:val="00BB5BCF"/>
    <w:rsid w:val="00BB6E79"/>
    <w:rsid w:val="00BE42C5"/>
    <w:rsid w:val="00BE5ABC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2CC"/>
    <w:rsid w:val="00C72494"/>
    <w:rsid w:val="00C72D10"/>
    <w:rsid w:val="00C7573B"/>
    <w:rsid w:val="00C76CF3"/>
    <w:rsid w:val="00C93205"/>
    <w:rsid w:val="00C93A15"/>
    <w:rsid w:val="00C945DC"/>
    <w:rsid w:val="00C957FB"/>
    <w:rsid w:val="00CA7844"/>
    <w:rsid w:val="00CB58EF"/>
    <w:rsid w:val="00CE0A93"/>
    <w:rsid w:val="00CE3849"/>
    <w:rsid w:val="00CE55CD"/>
    <w:rsid w:val="00CF0BB2"/>
    <w:rsid w:val="00D12B0D"/>
    <w:rsid w:val="00D13441"/>
    <w:rsid w:val="00D243A3"/>
    <w:rsid w:val="00D26E5B"/>
    <w:rsid w:val="00D33440"/>
    <w:rsid w:val="00D46CC4"/>
    <w:rsid w:val="00D52EE1"/>
    <w:rsid w:val="00D52EFE"/>
    <w:rsid w:val="00D56A0D"/>
    <w:rsid w:val="00D57C93"/>
    <w:rsid w:val="00D63EF6"/>
    <w:rsid w:val="00D66518"/>
    <w:rsid w:val="00D70DFB"/>
    <w:rsid w:val="00D71EEA"/>
    <w:rsid w:val="00D735CD"/>
    <w:rsid w:val="00D766DF"/>
    <w:rsid w:val="00D81860"/>
    <w:rsid w:val="00D90841"/>
    <w:rsid w:val="00D961F6"/>
    <w:rsid w:val="00DA2439"/>
    <w:rsid w:val="00DA6F05"/>
    <w:rsid w:val="00DB64FC"/>
    <w:rsid w:val="00DC52F5"/>
    <w:rsid w:val="00DE149E"/>
    <w:rsid w:val="00E034DB"/>
    <w:rsid w:val="00E05464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747D"/>
    <w:rsid w:val="00EB3A99"/>
    <w:rsid w:val="00EB65F8"/>
    <w:rsid w:val="00EB6C4D"/>
    <w:rsid w:val="00EB6DCC"/>
    <w:rsid w:val="00EC4626"/>
    <w:rsid w:val="00ED12DA"/>
    <w:rsid w:val="00ED1EF0"/>
    <w:rsid w:val="00ED4928"/>
    <w:rsid w:val="00ED756B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DB9"/>
    <w:rsid w:val="00F312E1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12B5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C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C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C42"/>
    <w:rPr>
      <w:b/>
      <w:bCs/>
    </w:rPr>
  </w:style>
  <w:style w:type="character" w:styleId="Hyperlink">
    <w:name w:val="Hyperlink"/>
    <w:basedOn w:val="DefaultParagraphFont"/>
    <w:uiPriority w:val="99"/>
    <w:unhideWhenUsed/>
    <w:rsid w:val="00077C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D7D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E3849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D0E10"/>
    <w:rPr>
      <w:sz w:val="22"/>
    </w:rPr>
  </w:style>
  <w:style w:type="paragraph" w:customStyle="1" w:styleId="Leg4Subsec1">
    <w:name w:val="Leg4 Subsec: (1)"/>
    <w:aliases w:val="L4"/>
    <w:basedOn w:val="Normal"/>
    <w:uiPriority w:val="5"/>
    <w:rsid w:val="00BA75A9"/>
    <w:pPr>
      <w:spacing w:before="60" w:after="60"/>
      <w:ind w:left="1276" w:right="567" w:hanging="425"/>
    </w:pPr>
    <w:rPr>
      <w:rFonts w:ascii="Arial" w:eastAsia="Times New Roman" w:hAnsi="Arial" w:cs="Arial"/>
      <w:sz w:val="20"/>
      <w:lang w:eastAsia="en-AU"/>
    </w:rPr>
  </w:style>
  <w:style w:type="paragraph" w:customStyle="1" w:styleId="Leg5Paraa">
    <w:name w:val="Leg5 Para: (a)"/>
    <w:aliases w:val="L5"/>
    <w:basedOn w:val="Normal"/>
    <w:uiPriority w:val="5"/>
    <w:rsid w:val="00BA75A9"/>
    <w:pPr>
      <w:spacing w:before="60" w:after="60"/>
      <w:ind w:left="1843" w:right="567" w:hanging="567"/>
    </w:pPr>
    <w:rPr>
      <w:rFonts w:ascii="Arial" w:eastAsia="Times New Roman" w:hAnsi="Arial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 D o c u m e n t s ! 4 4 9 1 5 2 9 8 . 1 < / d o c u m e n t i d >  
     < s e n d e r i d > M O Y S E I < / s e n d e r i d >  
     < s e n d e r e m a i l > I S L A . M O Y S E @ A G S . G O V . A U < / s e n d e r e m a i l >  
     < l a s t m o d i f i e d > 2 0 2 2 - 0 6 - 1 4 T 1 7 : 2 5 : 0 0 . 0 0 0 0 0 0 0 + 1 0 : 0 0 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922C-0BF2-4F21-BD81-3D79FECD667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E7FCC66-8B93-4DAD-B866-6072307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2022-06-29T04:52:00Z</dcterms:created>
  <dcterms:modified xsi:type="dcterms:W3CDTF">2022-06-29T07:33:00Z</dcterms:modified>
  <cp:category/>
</cp:coreProperties>
</file>