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046C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B8552D" wp14:editId="519B82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A2C4" w14:textId="77777777" w:rsidR="00FA06CA" w:rsidRPr="00E500D4" w:rsidRDefault="00FA06CA" w:rsidP="00FA06CA">
      <w:pPr>
        <w:rPr>
          <w:sz w:val="19"/>
        </w:rPr>
      </w:pPr>
    </w:p>
    <w:p w14:paraId="6DAFF2AC" w14:textId="6D4824D5" w:rsidR="00FA06CA" w:rsidRPr="00E500D4" w:rsidRDefault="00BB5F8A" w:rsidP="00FA06CA">
      <w:pPr>
        <w:pStyle w:val="ShortT"/>
      </w:pPr>
      <w:r w:rsidRPr="00BB5F8A">
        <w:t>Data Availability and Transparency</w:t>
      </w:r>
      <w:r w:rsidR="008141F0">
        <w:t xml:space="preserve"> </w:t>
      </w:r>
      <w:r>
        <w:t>(Authorised Officers—Treasury) Authorisation 2022</w:t>
      </w:r>
    </w:p>
    <w:p w14:paraId="11FD968A" w14:textId="25DDC6FC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BB3113" w:rsidRPr="00BB3113">
        <w:rPr>
          <w:szCs w:val="22"/>
        </w:rPr>
        <w:t xml:space="preserve">Steven Kennedy, Secretary to the Treasury, make the following </w:t>
      </w:r>
      <w:r w:rsidR="00BB3113">
        <w:rPr>
          <w:szCs w:val="22"/>
        </w:rPr>
        <w:t>instrument</w:t>
      </w:r>
      <w:r w:rsidR="00BB3113" w:rsidRPr="00BB3113">
        <w:rPr>
          <w:szCs w:val="22"/>
        </w:rPr>
        <w:t>.</w:t>
      </w:r>
    </w:p>
    <w:p w14:paraId="4884EEE5" w14:textId="0CD6320E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97BEF">
        <w:rPr>
          <w:szCs w:val="22"/>
        </w:rPr>
        <w:t xml:space="preserve">8 September </w:t>
      </w:r>
      <w:r w:rsidR="00BB3113">
        <w:rPr>
          <w:szCs w:val="22"/>
        </w:rPr>
        <w:t>2022</w:t>
      </w:r>
    </w:p>
    <w:p w14:paraId="4DDB6303" w14:textId="48277402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4724054" w14:textId="6488CE6B" w:rsidR="00FA06CA" w:rsidRPr="00BC5754" w:rsidRDefault="00BB3113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Steven Kennedy</w:t>
      </w:r>
    </w:p>
    <w:p w14:paraId="5E1AD957" w14:textId="2B96ADED" w:rsidR="00FA06CA" w:rsidRPr="00BC5754" w:rsidRDefault="00BB3113" w:rsidP="00FA06CA">
      <w:pPr>
        <w:pStyle w:val="SignCoverPageEnd"/>
        <w:rPr>
          <w:szCs w:val="22"/>
        </w:rPr>
      </w:pPr>
      <w:r>
        <w:rPr>
          <w:szCs w:val="22"/>
        </w:rPr>
        <w:t>Secretary</w:t>
      </w:r>
      <w:r>
        <w:rPr>
          <w:szCs w:val="22"/>
        </w:rPr>
        <w:br/>
        <w:t>Department of the Treasury</w:t>
      </w:r>
    </w:p>
    <w:p w14:paraId="4710BE24" w14:textId="77777777" w:rsidR="00FA06CA" w:rsidRPr="00BC5754" w:rsidRDefault="00FA06CA" w:rsidP="00FA06CA">
      <w:pPr>
        <w:rPr>
          <w:rStyle w:val="CharAmSchNo"/>
        </w:rPr>
      </w:pPr>
    </w:p>
    <w:p w14:paraId="685B3541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E16F81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237B53D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E30B1D0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224B6F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296DD64" w14:textId="19391249" w:rsidR="009E6D57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E6D57">
        <w:fldChar w:fldCharType="begin"/>
      </w:r>
      <w:r>
        <w:instrText xml:space="preserve"> TOC \o "1-9" </w:instrText>
      </w:r>
      <w:r w:rsidRPr="009E6D57">
        <w:fldChar w:fldCharType="separate"/>
      </w:r>
      <w:r w:rsidR="009E6D57">
        <w:rPr>
          <w:noProof/>
        </w:rPr>
        <w:t>Part 1—Preliminary</w:t>
      </w:r>
      <w:r w:rsidR="009E6D57">
        <w:rPr>
          <w:noProof/>
        </w:rPr>
        <w:tab/>
      </w:r>
      <w:r w:rsidR="009E6D57" w:rsidRPr="009E6D57">
        <w:rPr>
          <w:b w:val="0"/>
          <w:noProof/>
          <w:sz w:val="18"/>
        </w:rPr>
        <w:fldChar w:fldCharType="begin"/>
      </w:r>
      <w:r w:rsidR="009E6D57" w:rsidRPr="009E6D57">
        <w:rPr>
          <w:b w:val="0"/>
          <w:noProof/>
          <w:sz w:val="18"/>
        </w:rPr>
        <w:instrText xml:space="preserve"> PAGEREF _Toc111208524 \h </w:instrText>
      </w:r>
      <w:r w:rsidR="009E6D57" w:rsidRPr="009E6D57">
        <w:rPr>
          <w:b w:val="0"/>
          <w:noProof/>
          <w:sz w:val="18"/>
        </w:rPr>
      </w:r>
      <w:r w:rsidR="009E6D57" w:rsidRPr="009E6D57">
        <w:rPr>
          <w:b w:val="0"/>
          <w:noProof/>
          <w:sz w:val="18"/>
        </w:rPr>
        <w:fldChar w:fldCharType="separate"/>
      </w:r>
      <w:r w:rsidR="0070198E">
        <w:rPr>
          <w:b w:val="0"/>
          <w:noProof/>
          <w:sz w:val="18"/>
        </w:rPr>
        <w:t>1</w:t>
      </w:r>
      <w:r w:rsidR="009E6D57" w:rsidRPr="009E6D57">
        <w:rPr>
          <w:b w:val="0"/>
          <w:noProof/>
          <w:sz w:val="18"/>
        </w:rPr>
        <w:fldChar w:fldCharType="end"/>
      </w:r>
    </w:p>
    <w:p w14:paraId="10B7FF8D" w14:textId="53E357FF" w:rsidR="009E6D57" w:rsidRDefault="009E6D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9E6D57">
        <w:rPr>
          <w:noProof/>
        </w:rPr>
        <w:fldChar w:fldCharType="begin"/>
      </w:r>
      <w:r w:rsidRPr="009E6D57">
        <w:rPr>
          <w:noProof/>
        </w:rPr>
        <w:instrText xml:space="preserve"> PAGEREF _Toc111208525 \h </w:instrText>
      </w:r>
      <w:r w:rsidRPr="009E6D57">
        <w:rPr>
          <w:noProof/>
        </w:rPr>
      </w:r>
      <w:r w:rsidRPr="009E6D57">
        <w:rPr>
          <w:noProof/>
        </w:rPr>
        <w:fldChar w:fldCharType="separate"/>
      </w:r>
      <w:r w:rsidR="0070198E">
        <w:rPr>
          <w:noProof/>
        </w:rPr>
        <w:t>1</w:t>
      </w:r>
      <w:r w:rsidRPr="009E6D57">
        <w:rPr>
          <w:noProof/>
        </w:rPr>
        <w:fldChar w:fldCharType="end"/>
      </w:r>
    </w:p>
    <w:p w14:paraId="7DD37CDD" w14:textId="303BE82E" w:rsidR="009E6D57" w:rsidRDefault="009E6D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9E6D57">
        <w:rPr>
          <w:noProof/>
        </w:rPr>
        <w:fldChar w:fldCharType="begin"/>
      </w:r>
      <w:r w:rsidRPr="009E6D57">
        <w:rPr>
          <w:noProof/>
        </w:rPr>
        <w:instrText xml:space="preserve"> PAGEREF _Toc111208526 \h </w:instrText>
      </w:r>
      <w:r w:rsidRPr="009E6D57">
        <w:rPr>
          <w:noProof/>
        </w:rPr>
      </w:r>
      <w:r w:rsidRPr="009E6D57">
        <w:rPr>
          <w:noProof/>
        </w:rPr>
        <w:fldChar w:fldCharType="separate"/>
      </w:r>
      <w:r w:rsidR="0070198E">
        <w:rPr>
          <w:noProof/>
        </w:rPr>
        <w:t>1</w:t>
      </w:r>
      <w:r w:rsidRPr="009E6D57">
        <w:rPr>
          <w:noProof/>
        </w:rPr>
        <w:fldChar w:fldCharType="end"/>
      </w:r>
    </w:p>
    <w:p w14:paraId="356A36C7" w14:textId="10F59F59" w:rsidR="009E6D57" w:rsidRDefault="009E6D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9E6D57">
        <w:rPr>
          <w:noProof/>
        </w:rPr>
        <w:fldChar w:fldCharType="begin"/>
      </w:r>
      <w:r w:rsidRPr="009E6D57">
        <w:rPr>
          <w:noProof/>
        </w:rPr>
        <w:instrText xml:space="preserve"> PAGEREF _Toc111208527 \h </w:instrText>
      </w:r>
      <w:r w:rsidRPr="009E6D57">
        <w:rPr>
          <w:noProof/>
        </w:rPr>
      </w:r>
      <w:r w:rsidRPr="009E6D57">
        <w:rPr>
          <w:noProof/>
        </w:rPr>
        <w:fldChar w:fldCharType="separate"/>
      </w:r>
      <w:r w:rsidR="0070198E">
        <w:rPr>
          <w:noProof/>
        </w:rPr>
        <w:t>1</w:t>
      </w:r>
      <w:r w:rsidRPr="009E6D57">
        <w:rPr>
          <w:noProof/>
        </w:rPr>
        <w:fldChar w:fldCharType="end"/>
      </w:r>
    </w:p>
    <w:p w14:paraId="46C439F3" w14:textId="177946CA" w:rsidR="009E6D57" w:rsidRDefault="009E6D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9E6D57">
        <w:rPr>
          <w:noProof/>
        </w:rPr>
        <w:fldChar w:fldCharType="begin"/>
      </w:r>
      <w:r w:rsidRPr="009E6D57">
        <w:rPr>
          <w:noProof/>
        </w:rPr>
        <w:instrText xml:space="preserve"> PAGEREF _Toc111208528 \h </w:instrText>
      </w:r>
      <w:r w:rsidRPr="009E6D57">
        <w:rPr>
          <w:noProof/>
        </w:rPr>
      </w:r>
      <w:r w:rsidRPr="009E6D57">
        <w:rPr>
          <w:noProof/>
        </w:rPr>
        <w:fldChar w:fldCharType="separate"/>
      </w:r>
      <w:r w:rsidR="0070198E">
        <w:rPr>
          <w:noProof/>
        </w:rPr>
        <w:t>1</w:t>
      </w:r>
      <w:r w:rsidRPr="009E6D57">
        <w:rPr>
          <w:noProof/>
        </w:rPr>
        <w:fldChar w:fldCharType="end"/>
      </w:r>
    </w:p>
    <w:p w14:paraId="70EFE7F5" w14:textId="0E8DB46C" w:rsidR="009E6D57" w:rsidRDefault="009E6D5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2—Authorised officers in the Treasury for the purposes of the data sharing scheme</w:t>
      </w:r>
      <w:r>
        <w:rPr>
          <w:noProof/>
        </w:rPr>
        <w:tab/>
      </w:r>
      <w:r w:rsidRPr="009E6D57">
        <w:rPr>
          <w:b w:val="0"/>
          <w:noProof/>
          <w:sz w:val="18"/>
        </w:rPr>
        <w:fldChar w:fldCharType="begin"/>
      </w:r>
      <w:r w:rsidRPr="009E6D57">
        <w:rPr>
          <w:b w:val="0"/>
          <w:noProof/>
          <w:sz w:val="18"/>
        </w:rPr>
        <w:instrText xml:space="preserve"> PAGEREF _Toc111208529 \h </w:instrText>
      </w:r>
      <w:r w:rsidRPr="009E6D57">
        <w:rPr>
          <w:b w:val="0"/>
          <w:noProof/>
          <w:sz w:val="18"/>
        </w:rPr>
      </w:r>
      <w:r w:rsidRPr="009E6D57">
        <w:rPr>
          <w:b w:val="0"/>
          <w:noProof/>
          <w:sz w:val="18"/>
        </w:rPr>
        <w:fldChar w:fldCharType="separate"/>
      </w:r>
      <w:r w:rsidR="0070198E">
        <w:rPr>
          <w:b w:val="0"/>
          <w:noProof/>
          <w:sz w:val="18"/>
        </w:rPr>
        <w:t>2</w:t>
      </w:r>
      <w:r w:rsidRPr="009E6D57">
        <w:rPr>
          <w:b w:val="0"/>
          <w:noProof/>
          <w:sz w:val="18"/>
        </w:rPr>
        <w:fldChar w:fldCharType="end"/>
      </w:r>
    </w:p>
    <w:p w14:paraId="3EA28330" w14:textId="1405550D" w:rsidR="009E6D57" w:rsidRPr="009E6D57" w:rsidRDefault="009E6D57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Authorised officers in the Treasury</w:t>
      </w:r>
      <w:r>
        <w:rPr>
          <w:noProof/>
        </w:rPr>
        <w:tab/>
      </w:r>
      <w:r w:rsidRPr="009E6D57">
        <w:rPr>
          <w:noProof/>
        </w:rPr>
        <w:fldChar w:fldCharType="begin"/>
      </w:r>
      <w:r w:rsidRPr="009E6D57">
        <w:rPr>
          <w:noProof/>
        </w:rPr>
        <w:instrText xml:space="preserve"> PAGEREF _Toc111208530 \h </w:instrText>
      </w:r>
      <w:r w:rsidRPr="009E6D57">
        <w:rPr>
          <w:noProof/>
        </w:rPr>
      </w:r>
      <w:r w:rsidRPr="009E6D57">
        <w:rPr>
          <w:noProof/>
        </w:rPr>
        <w:fldChar w:fldCharType="separate"/>
      </w:r>
      <w:r w:rsidR="0070198E">
        <w:rPr>
          <w:noProof/>
        </w:rPr>
        <w:t>2</w:t>
      </w:r>
      <w:r w:rsidRPr="009E6D57">
        <w:rPr>
          <w:noProof/>
        </w:rPr>
        <w:fldChar w:fldCharType="end"/>
      </w:r>
    </w:p>
    <w:p w14:paraId="3419F5F1" w14:textId="7B8F928A" w:rsidR="00FA06CA" w:rsidRDefault="00FA06CA" w:rsidP="00FA06CA">
      <w:r w:rsidRPr="009E6D57">
        <w:rPr>
          <w:sz w:val="18"/>
        </w:rPr>
        <w:fldChar w:fldCharType="end"/>
      </w:r>
    </w:p>
    <w:p w14:paraId="62FCE701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C5F51D" w14:textId="2C539BF9" w:rsidR="00543097" w:rsidRPr="00543097" w:rsidRDefault="00543097" w:rsidP="00543097">
      <w:pPr>
        <w:pStyle w:val="ActHead2"/>
        <w:pageBreakBefore/>
        <w:rPr>
          <w:lang w:eastAsia="en-US"/>
        </w:rPr>
      </w:pPr>
      <w:bookmarkStart w:id="16" w:name="_Toc111208524"/>
      <w:r w:rsidRPr="00543097">
        <w:rPr>
          <w:rStyle w:val="CharPartNo"/>
        </w:rPr>
        <w:lastRenderedPageBreak/>
        <w:t>Part 1</w:t>
      </w:r>
      <w:r>
        <w:t>—</w:t>
      </w:r>
      <w:r w:rsidRPr="00543097">
        <w:rPr>
          <w:rStyle w:val="CharPartText"/>
        </w:rPr>
        <w:t>Preliminary</w:t>
      </w:r>
      <w:bookmarkEnd w:id="16"/>
    </w:p>
    <w:p w14:paraId="28A170C2" w14:textId="77777777" w:rsidR="00FA06CA" w:rsidRDefault="00FA06CA" w:rsidP="00FA06CA">
      <w:pPr>
        <w:pStyle w:val="Header"/>
      </w:pPr>
      <w:r>
        <w:t xml:space="preserve">  </w:t>
      </w:r>
    </w:p>
    <w:p w14:paraId="546F8683" w14:textId="77777777" w:rsidR="00FA06CA" w:rsidRDefault="00FA06CA" w:rsidP="00FA06CA">
      <w:pPr>
        <w:pStyle w:val="ActHead5"/>
      </w:pPr>
      <w:bookmarkStart w:id="17" w:name="_Toc111208525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7"/>
      <w:proofErr w:type="gramEnd"/>
    </w:p>
    <w:p w14:paraId="558826BB" w14:textId="3E288734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BB3113" w:rsidRPr="00BB3113">
        <w:rPr>
          <w:i/>
          <w:noProof/>
        </w:rPr>
        <w:t>Data Availability and Transparency</w:t>
      </w:r>
      <w:r w:rsidR="008141F0">
        <w:rPr>
          <w:i/>
          <w:noProof/>
        </w:rPr>
        <w:t xml:space="preserve"> </w:t>
      </w:r>
      <w:r w:rsidR="00BB3113" w:rsidRPr="00BB3113">
        <w:rPr>
          <w:i/>
          <w:noProof/>
        </w:rPr>
        <w:t>(Authorised Officers—Treasury) Authorisation 2022</w:t>
      </w:r>
      <w:r w:rsidRPr="009A038B">
        <w:t>.</w:t>
      </w:r>
    </w:p>
    <w:p w14:paraId="6342B749" w14:textId="77777777" w:rsidR="00FA06CA" w:rsidRDefault="00FA06CA" w:rsidP="00FA06CA">
      <w:pPr>
        <w:pStyle w:val="ActHead5"/>
      </w:pPr>
      <w:bookmarkStart w:id="18" w:name="_Toc111208526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proofErr w:type="gramEnd"/>
    </w:p>
    <w:p w14:paraId="117E662E" w14:textId="4A6CAB57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BB3113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922B373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339AF35" w14:textId="77777777" w:rsidTr="00BB3113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4B1A39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55F61AB4" w14:textId="77777777" w:rsidTr="00BB311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036E6F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B04B34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1CA2D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63C84E4E" w14:textId="77777777" w:rsidTr="00BB311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6B5D0E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DDD0FA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A7006E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BB3113" w14:paraId="3C52141B" w14:textId="77777777" w:rsidTr="00BB3113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14A08F" w14:textId="2F062BAD" w:rsidR="00BB3113" w:rsidRDefault="00BB3113" w:rsidP="00BB3113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160537D" w14:textId="1AC6634B" w:rsidR="00BB3113" w:rsidRDefault="00BB3113" w:rsidP="00BB3113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6F851A" w14:textId="77777777" w:rsidR="00BB3113" w:rsidRDefault="00BB3113" w:rsidP="00BB3113">
            <w:pPr>
              <w:pStyle w:val="Tabletext"/>
            </w:pPr>
          </w:p>
        </w:tc>
      </w:tr>
    </w:tbl>
    <w:p w14:paraId="33DA3710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557F1FD4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8F4D8A4" w14:textId="77777777" w:rsidR="00FA06CA" w:rsidRDefault="00FA06CA" w:rsidP="00FA06CA">
      <w:pPr>
        <w:pStyle w:val="ActHead5"/>
      </w:pPr>
      <w:bookmarkStart w:id="19" w:name="_Toc111208527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3427D023" w14:textId="2ADAB602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BB3113" w:rsidRPr="00BB3113">
        <w:rPr>
          <w:i/>
        </w:rPr>
        <w:t>Data Availability and Transparency Act 2022</w:t>
      </w:r>
      <w:r w:rsidRPr="003C6231">
        <w:t>.</w:t>
      </w:r>
    </w:p>
    <w:p w14:paraId="7668B045" w14:textId="408F0C38" w:rsidR="00FA06CA" w:rsidRDefault="00FA06CA" w:rsidP="00FA06CA">
      <w:pPr>
        <w:pStyle w:val="ActHead5"/>
      </w:pPr>
      <w:bookmarkStart w:id="20" w:name="_Toc111208528"/>
      <w:proofErr w:type="gramStart"/>
      <w:r w:rsidRPr="00AE1A82">
        <w:rPr>
          <w:rStyle w:val="CharSectno"/>
        </w:rPr>
        <w:t>4</w:t>
      </w:r>
      <w:r>
        <w:t xml:space="preserve">  </w:t>
      </w:r>
      <w:r w:rsidR="00BB3113">
        <w:t>Definitions</w:t>
      </w:r>
      <w:bookmarkEnd w:id="20"/>
      <w:proofErr w:type="gramEnd"/>
    </w:p>
    <w:p w14:paraId="40D30184" w14:textId="7C588921" w:rsidR="00BB3113" w:rsidRPr="00EA057A" w:rsidRDefault="00BB3113" w:rsidP="00BB3113">
      <w:pPr>
        <w:pStyle w:val="notemargin"/>
      </w:pPr>
      <w:r w:rsidRPr="00EA057A">
        <w:t>Note:</w:t>
      </w:r>
      <w:r w:rsidRPr="00EA057A">
        <w:tab/>
        <w:t xml:space="preserve">Expressions have the same meaning in this instrument as in the </w:t>
      </w:r>
      <w:r w:rsidRPr="00BB3113">
        <w:rPr>
          <w:i/>
        </w:rPr>
        <w:t>Data Availability and Transparency Act</w:t>
      </w:r>
      <w:r w:rsidR="00CA7931">
        <w:rPr>
          <w:i/>
        </w:rPr>
        <w:t> </w:t>
      </w:r>
      <w:r w:rsidRPr="00BB3113">
        <w:rPr>
          <w:i/>
        </w:rPr>
        <w:t>2022</w:t>
      </w:r>
      <w:r w:rsidRPr="00EA057A">
        <w:t xml:space="preserve"> as in force from time to time—see paragraph 13(1)(b) of the </w:t>
      </w:r>
      <w:r w:rsidRPr="00EA057A">
        <w:rPr>
          <w:i/>
          <w:iCs/>
        </w:rPr>
        <w:t>Legislation Act 2003</w:t>
      </w:r>
      <w:r w:rsidRPr="00EA057A">
        <w:t>.</w:t>
      </w:r>
    </w:p>
    <w:p w14:paraId="4BE7764A" w14:textId="77777777" w:rsidR="00543097" w:rsidRPr="00EA057A" w:rsidRDefault="00543097" w:rsidP="00543097">
      <w:pPr>
        <w:pStyle w:val="subsection"/>
      </w:pPr>
      <w:r w:rsidRPr="00EA057A">
        <w:tab/>
      </w:r>
      <w:r w:rsidRPr="00EA057A">
        <w:tab/>
        <w:t>In this instrument:</w:t>
      </w:r>
    </w:p>
    <w:p w14:paraId="4028ED70" w14:textId="47EAC2AD" w:rsidR="00543097" w:rsidRPr="00EA057A" w:rsidRDefault="00543097" w:rsidP="00543097">
      <w:pPr>
        <w:pStyle w:val="Definition"/>
      </w:pPr>
      <w:r w:rsidRPr="00EA057A">
        <w:rPr>
          <w:b/>
          <w:bCs/>
          <w:i/>
          <w:iCs/>
        </w:rPr>
        <w:t>the Act</w:t>
      </w:r>
      <w:r w:rsidRPr="00EA057A">
        <w:t xml:space="preserve"> means the </w:t>
      </w:r>
      <w:r w:rsidRPr="00BB3113">
        <w:rPr>
          <w:i/>
        </w:rPr>
        <w:t>Data Availability and Transparency Act 2022</w:t>
      </w:r>
      <w:r w:rsidRPr="00EA057A">
        <w:t>.</w:t>
      </w:r>
    </w:p>
    <w:p w14:paraId="7D29B0F5" w14:textId="77777777" w:rsidR="00543097" w:rsidRDefault="00543097" w:rsidP="00543097">
      <w:pPr>
        <w:pStyle w:val="Definition"/>
      </w:pPr>
      <w:r w:rsidRPr="00EA057A">
        <w:rPr>
          <w:b/>
          <w:bCs/>
          <w:i/>
          <w:iCs/>
        </w:rPr>
        <w:t>the Treasury</w:t>
      </w:r>
      <w:r w:rsidRPr="00EA057A">
        <w:t xml:space="preserve"> means the Department of the Treasury.</w:t>
      </w:r>
    </w:p>
    <w:p w14:paraId="293F33F0" w14:textId="43F01A8A" w:rsidR="00FA06CA" w:rsidRPr="00543097" w:rsidRDefault="00543097" w:rsidP="00543097">
      <w:pPr>
        <w:pStyle w:val="ActHead2"/>
        <w:pageBreakBefore/>
        <w:rPr>
          <w:lang w:eastAsia="en-US"/>
        </w:rPr>
      </w:pPr>
      <w:bookmarkStart w:id="21" w:name="_Toc111208529"/>
      <w:r w:rsidRPr="00543097">
        <w:rPr>
          <w:rStyle w:val="CharPartNo"/>
        </w:rPr>
        <w:lastRenderedPageBreak/>
        <w:t>Part 2</w:t>
      </w:r>
      <w:r w:rsidRPr="00543097">
        <w:t>—</w:t>
      </w:r>
      <w:r w:rsidRPr="00543097">
        <w:rPr>
          <w:rStyle w:val="CharPartText"/>
        </w:rPr>
        <w:t>Authorised officers in the Treasury</w:t>
      </w:r>
      <w:r w:rsidR="007341C1">
        <w:rPr>
          <w:rStyle w:val="CharPartText"/>
        </w:rPr>
        <w:t xml:space="preserve"> </w:t>
      </w:r>
      <w:r w:rsidR="007341C1">
        <w:t xml:space="preserve">for the purposes of the data sharing </w:t>
      </w:r>
      <w:r w:rsidR="007341C1" w:rsidRPr="00957C2A">
        <w:rPr>
          <w:rStyle w:val="CharSectno"/>
        </w:rPr>
        <w:t>s</w:t>
      </w:r>
      <w:r w:rsidR="007341C1">
        <w:t>cheme</w:t>
      </w:r>
      <w:bookmarkEnd w:id="21"/>
    </w:p>
    <w:p w14:paraId="58A905D4" w14:textId="77777777" w:rsidR="00543097" w:rsidRDefault="00543097" w:rsidP="00543097">
      <w:pPr>
        <w:pStyle w:val="Header"/>
      </w:pPr>
      <w:r>
        <w:t xml:space="preserve">  </w:t>
      </w:r>
    </w:p>
    <w:p w14:paraId="28E36AE4" w14:textId="10B7987E" w:rsidR="007341C1" w:rsidRDefault="007341C1" w:rsidP="007341C1">
      <w:pPr>
        <w:pStyle w:val="ActHead5"/>
      </w:pPr>
      <w:bookmarkStart w:id="22" w:name="_Toc111208530"/>
      <w:proofErr w:type="gramStart"/>
      <w:r w:rsidRPr="007341C1">
        <w:rPr>
          <w:rStyle w:val="CharSectno"/>
        </w:rPr>
        <w:t>5</w:t>
      </w:r>
      <w:r>
        <w:t xml:space="preserve">  Authorised</w:t>
      </w:r>
      <w:proofErr w:type="gramEnd"/>
      <w:r>
        <w:t xml:space="preserve"> officers in the Treasury</w:t>
      </w:r>
      <w:bookmarkEnd w:id="22"/>
    </w:p>
    <w:p w14:paraId="1FAC1620" w14:textId="574C659F" w:rsidR="00957C2A" w:rsidRDefault="00957C2A" w:rsidP="00957C2A">
      <w:pPr>
        <w:pStyle w:val="subsection"/>
      </w:pPr>
      <w:r>
        <w:tab/>
      </w:r>
      <w:r>
        <w:tab/>
        <w:t xml:space="preserve">Under subsection 137(2) the Act, each person holding, </w:t>
      </w:r>
      <w:proofErr w:type="gramStart"/>
      <w:r>
        <w:t>occupying</w:t>
      </w:r>
      <w:proofErr w:type="gramEnd"/>
      <w:r>
        <w:t xml:space="preserve"> or performing the duties of each of the following offices or positions in the Treasury, has been authorised to be an authorised officer for the purposes of the data sharing scheme:</w:t>
      </w:r>
    </w:p>
    <w:p w14:paraId="62610969" w14:textId="2A0F1EE3" w:rsidR="00957C2A" w:rsidRPr="007341C1" w:rsidRDefault="007341C1" w:rsidP="007341C1">
      <w:pPr>
        <w:pStyle w:val="paragraph"/>
      </w:pPr>
      <w:r w:rsidRPr="007341C1">
        <w:tab/>
        <w:t>(</w:t>
      </w:r>
      <w:r>
        <w:t>a)</w:t>
      </w:r>
      <w:r>
        <w:tab/>
      </w:r>
      <w:r w:rsidR="00957C2A" w:rsidRPr="007341C1">
        <w:t xml:space="preserve">a Deputy </w:t>
      </w:r>
      <w:proofErr w:type="gramStart"/>
      <w:r w:rsidR="00957C2A" w:rsidRPr="007341C1">
        <w:t>Secretary;</w:t>
      </w:r>
      <w:proofErr w:type="gramEnd"/>
    </w:p>
    <w:p w14:paraId="7A5340E0" w14:textId="0982BF14" w:rsidR="00957C2A" w:rsidRPr="007341C1" w:rsidRDefault="007341C1" w:rsidP="007341C1">
      <w:pPr>
        <w:pStyle w:val="paragraph"/>
      </w:pPr>
      <w:r>
        <w:tab/>
      </w:r>
      <w:r w:rsidR="00957C2A" w:rsidRPr="007341C1">
        <w:t>(b)</w:t>
      </w:r>
      <w:r>
        <w:tab/>
      </w:r>
      <w:r w:rsidR="00957C2A" w:rsidRPr="007341C1">
        <w:t xml:space="preserve">an SES </w:t>
      </w:r>
      <w:r>
        <w:t>employee</w:t>
      </w:r>
      <w:r w:rsidR="00957C2A" w:rsidRPr="007341C1">
        <w:t xml:space="preserve"> whose </w:t>
      </w:r>
      <w:r>
        <w:t xml:space="preserve">duties or </w:t>
      </w:r>
      <w:r w:rsidR="00957C2A" w:rsidRPr="007341C1">
        <w:t xml:space="preserve">responsibilities include </w:t>
      </w:r>
      <w:r>
        <w:t>data strategy and governance for the Treasury</w:t>
      </w:r>
      <w:r w:rsidR="00957C2A" w:rsidRPr="007341C1">
        <w:t>.</w:t>
      </w:r>
    </w:p>
    <w:sectPr w:rsidR="00957C2A" w:rsidRPr="007341C1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555A" w14:textId="77777777" w:rsidR="00BB5F8A" w:rsidRDefault="00BB5F8A" w:rsidP="00FA06CA">
      <w:pPr>
        <w:spacing w:line="240" w:lineRule="auto"/>
      </w:pPr>
      <w:r>
        <w:separator/>
      </w:r>
    </w:p>
  </w:endnote>
  <w:endnote w:type="continuationSeparator" w:id="0">
    <w:p w14:paraId="0596FD50" w14:textId="77777777" w:rsidR="00BB5F8A" w:rsidRDefault="00BB5F8A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14F8" w14:textId="1A5B7863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F7D909B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794F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4F5" w14:textId="7D4588B8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981F625" w14:textId="77777777" w:rsidTr="005430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6FFB96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3887F" w14:textId="47DEDD8C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0198E">
            <w:rPr>
              <w:i/>
              <w:noProof/>
              <w:sz w:val="18"/>
            </w:rPr>
            <w:t>Data Availability and Transparency (Authorised Officers—Treasury)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687CA0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814F71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CFC" w14:textId="581E4F7E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94ACAE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CBC517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A54C267" w14:textId="7D59A1C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57F9A">
            <w:rPr>
              <w:i/>
              <w:noProof/>
              <w:sz w:val="18"/>
            </w:rPr>
            <w:t>Data Availability and Transparency (Authorised Officers—Treasury)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2E012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CBA6326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6A1" w14:textId="4B06D311" w:rsidR="007500C8" w:rsidRPr="00E33C1C" w:rsidRDefault="00E57F9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E4AFFCD" w14:textId="77777777" w:rsidTr="005430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2A4225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84F3E" w14:textId="46DBB1E5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57F9A">
            <w:rPr>
              <w:i/>
              <w:noProof/>
              <w:sz w:val="18"/>
            </w:rPr>
            <w:t>Data Availability and Transparency (Authorised Officers—Treasury)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4FA82" w14:textId="77777777" w:rsidR="007500C8" w:rsidRDefault="00E57F9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4B0E8E5" w14:textId="77777777" w:rsidR="007500C8" w:rsidRPr="00ED79B6" w:rsidRDefault="00E57F9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7CB" w14:textId="2B5C12F1" w:rsidR="00472DBE" w:rsidRPr="00E33C1C" w:rsidRDefault="00E57F9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3"/>
      <w:gridCol w:w="6262"/>
      <w:gridCol w:w="698"/>
    </w:tblGrid>
    <w:tr w:rsidR="00472DBE" w14:paraId="41F55019" w14:textId="77777777" w:rsidTr="00543097">
      <w:tc>
        <w:tcPr>
          <w:tcW w:w="1353" w:type="dxa"/>
          <w:tcBorders>
            <w:top w:val="nil"/>
            <w:left w:val="nil"/>
            <w:bottom w:val="nil"/>
            <w:right w:val="nil"/>
          </w:tcBorders>
        </w:tcPr>
        <w:p w14:paraId="40640F6D" w14:textId="77777777" w:rsidR="00472DBE" w:rsidRDefault="00E57F9A" w:rsidP="008067B4">
          <w:pPr>
            <w:spacing w:line="0" w:lineRule="atLeast"/>
            <w:rPr>
              <w:sz w:val="18"/>
            </w:rPr>
          </w:pPr>
        </w:p>
      </w:tc>
      <w:tc>
        <w:tcPr>
          <w:tcW w:w="6262" w:type="dxa"/>
          <w:tcBorders>
            <w:top w:val="nil"/>
            <w:left w:val="nil"/>
            <w:bottom w:val="nil"/>
            <w:right w:val="nil"/>
          </w:tcBorders>
        </w:tcPr>
        <w:p w14:paraId="59B0A9C7" w14:textId="1FE44D9A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57F9A">
            <w:rPr>
              <w:i/>
              <w:noProof/>
              <w:sz w:val="18"/>
            </w:rPr>
            <w:t>Data Availability and Transparency (Authorised Officers—Treasury)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8" w:type="dxa"/>
          <w:tcBorders>
            <w:top w:val="nil"/>
            <w:left w:val="nil"/>
            <w:bottom w:val="nil"/>
            <w:right w:val="nil"/>
          </w:tcBorders>
        </w:tcPr>
        <w:p w14:paraId="696E27AF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2C72339A" w14:textId="77777777" w:rsidR="00472DBE" w:rsidRPr="00ED79B6" w:rsidRDefault="00E57F9A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9386" w14:textId="77777777" w:rsidR="007500C8" w:rsidRPr="00E33C1C" w:rsidRDefault="00E57F9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090AA045" w14:textId="77777777" w:rsidTr="00543097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237567A7" w14:textId="77777777" w:rsidR="007500C8" w:rsidRDefault="00E57F9A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A1641B0" w14:textId="0A555E00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198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2E2FCD6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1807EB8C" w14:textId="77777777" w:rsidR="007500C8" w:rsidRPr="00ED79B6" w:rsidRDefault="00E57F9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363B" w14:textId="77777777" w:rsidR="00BB5F8A" w:rsidRDefault="00BB5F8A" w:rsidP="00FA06CA">
      <w:pPr>
        <w:spacing w:line="240" w:lineRule="auto"/>
      </w:pPr>
      <w:r>
        <w:separator/>
      </w:r>
    </w:p>
  </w:footnote>
  <w:footnote w:type="continuationSeparator" w:id="0">
    <w:p w14:paraId="22A3424E" w14:textId="77777777" w:rsidR="00BB5F8A" w:rsidRDefault="00BB5F8A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5934" w14:textId="4FC198EF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6467" w14:textId="0777474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E51E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5936" w14:textId="5B8D72B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229F" w14:textId="14E358B5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8C8B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3CB" w14:textId="353A0B60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7EC206A" w14:textId="6482E63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57F9A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57F9A">
      <w:rPr>
        <w:noProof/>
        <w:sz w:val="20"/>
      </w:rPr>
      <w:t>Authorised officers in the Treasury</w:t>
    </w:r>
    <w:r>
      <w:rPr>
        <w:sz w:val="20"/>
      </w:rPr>
      <w:fldChar w:fldCharType="end"/>
    </w:r>
  </w:p>
  <w:p w14:paraId="58A448CA" w14:textId="7E4B1DA3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18955C2" w14:textId="77777777" w:rsidR="00715914" w:rsidRPr="007A1328" w:rsidRDefault="00E57F9A" w:rsidP="00715914">
    <w:pPr>
      <w:rPr>
        <w:b/>
        <w:sz w:val="24"/>
      </w:rPr>
    </w:pPr>
  </w:p>
  <w:p w14:paraId="7CABCE49" w14:textId="41203E1F" w:rsidR="00715914" w:rsidRPr="007A1328" w:rsidRDefault="007341C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19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="009E6D57">
      <w:rPr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6D4FEF1F" w14:textId="6AA107C0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E9578B1" w14:textId="1ACE6DE1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477F7">
      <w:rPr>
        <w:sz w:val="20"/>
      </w:rPr>
      <w:fldChar w:fldCharType="separate"/>
    </w:r>
    <w:r w:rsidR="00E57F9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477F7">
      <w:rPr>
        <w:b/>
        <w:sz w:val="20"/>
      </w:rPr>
      <w:fldChar w:fldCharType="separate"/>
    </w:r>
    <w:r w:rsidR="00E57F9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743DEAA" w14:textId="6064CB70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1C1FAB9" w14:textId="77777777" w:rsidR="00715914" w:rsidRPr="007A1328" w:rsidRDefault="00E57F9A" w:rsidP="00715914">
    <w:pPr>
      <w:jc w:val="right"/>
      <w:rPr>
        <w:b/>
        <w:sz w:val="24"/>
      </w:rPr>
    </w:pPr>
  </w:p>
  <w:p w14:paraId="49BC5250" w14:textId="6BBC29A4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19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57F9A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8CD3" w14:textId="77777777" w:rsidR="00715914" w:rsidRPr="007A1328" w:rsidRDefault="00E57F9A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5203E"/>
    <w:multiLevelType w:val="hybridMultilevel"/>
    <w:tmpl w:val="8DAC71B2"/>
    <w:lvl w:ilvl="0" w:tplc="0C4AD33E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8A"/>
    <w:rsid w:val="002B752E"/>
    <w:rsid w:val="00543097"/>
    <w:rsid w:val="005477F7"/>
    <w:rsid w:val="00636078"/>
    <w:rsid w:val="0070198E"/>
    <w:rsid w:val="007341C1"/>
    <w:rsid w:val="008141F0"/>
    <w:rsid w:val="00957C2A"/>
    <w:rsid w:val="009E6D57"/>
    <w:rsid w:val="00A24522"/>
    <w:rsid w:val="00BB3113"/>
    <w:rsid w:val="00BB5F8A"/>
    <w:rsid w:val="00C53081"/>
    <w:rsid w:val="00C9209D"/>
    <w:rsid w:val="00C9500F"/>
    <w:rsid w:val="00C97BEF"/>
    <w:rsid w:val="00CA7931"/>
    <w:rsid w:val="00DE5959"/>
    <w:rsid w:val="00E13224"/>
    <w:rsid w:val="00E57F9A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B24392"/>
  <w15:chartTrackingRefBased/>
  <w15:docId w15:val="{01C5259D-9F06-4F8F-B594-9B1D6E4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2022RG-111-25490</_dlc_DocId>
    <_dlc_DocIdUrl xmlns="0f563589-9cf9-4143-b1eb-fb0534803d38">
      <Url>http://tweb/sites/rg/ldp/lmu/_layouts/15/DocIdRedir.aspx?ID=2022RG-111-25490</Url>
      <Description>2022RG-111-25490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9600" ma:contentTypeDescription=" " ma:contentTypeScope="" ma:versionID="4ad79ab5b3375a37bd4624a11e7446b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A941A-7969-4485-95CC-1BACA29E85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3B5B2-0910-48C6-AF4D-1787A339AF98}">
  <ds:schemaRefs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4"/>
    <ds:schemaRef ds:uri="9f7bc583-7cbe-45b9-a2bd-8bbb6543b37e"/>
    <ds:schemaRef ds:uri="http://purl.org/dc/elements/1.1/"/>
    <ds:schemaRef ds:uri="http://schemas.microsoft.com/office/2006/documentManagement/types"/>
    <ds:schemaRef ds:uri="0f563589-9cf9-4143-b1eb-fb0534803d3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E42CFC-13C7-43BE-86B2-306FC38A2B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90DE2E-56FC-4033-8784-343312A7331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50930D51-68D5-4777-9A84-CA22F738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220812-NI-TSY_47_0100-DATA-authorisation.master</dc:title>
  <dc:subject/>
  <dc:creator>Leggett, Chris</dc:creator>
  <cp:keywords/>
  <dc:description/>
  <cp:lastModifiedBy>Halse, Katie</cp:lastModifiedBy>
  <cp:revision>2</cp:revision>
  <cp:lastPrinted>2022-08-18T01:21:00Z</cp:lastPrinted>
  <dcterms:created xsi:type="dcterms:W3CDTF">2022-09-12T23:19:00Z</dcterms:created>
  <dcterms:modified xsi:type="dcterms:W3CDTF">2022-09-12T23:19:00Z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1b47d81d-2edc-4635-a56b-2375a8ee4315</vt:lpwstr>
  </property>
  <property fmtid="{D5CDD505-2E9C-101B-9397-08002B2CF9AE}" pid="17" name="TSYTopic">
    <vt:lpwstr/>
  </property>
  <property fmtid="{D5CDD505-2E9C-101B-9397-08002B2CF9AE}" pid="18" name="Order">
    <vt:r8>2549000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