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0DE4" w14:textId="7D38F72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8DB4BA" wp14:editId="105AF207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DEB6" w14:textId="6E5BFFCC" w:rsidR="008D011C" w:rsidRPr="000A3524" w:rsidRDefault="008D011C" w:rsidP="008D011C">
      <w:pPr>
        <w:pStyle w:val="LDTitle"/>
      </w:pPr>
      <w:bookmarkStart w:id="0" w:name="LIN"/>
      <w:r>
        <w:t>LI</w:t>
      </w:r>
      <w:r w:rsidR="009B3D10">
        <w:t>N 22/056</w:t>
      </w:r>
      <w:bookmarkEnd w:id="0"/>
    </w:p>
    <w:p w14:paraId="77A2C1C2" w14:textId="57FE5C29" w:rsidR="009228CB" w:rsidRPr="009B3D10" w:rsidRDefault="00BB243F" w:rsidP="000B14AD">
      <w:pPr>
        <w:pStyle w:val="LDDescription"/>
      </w:pPr>
      <w:bookmarkStart w:id="1" w:name="Title"/>
      <w:r w:rsidRPr="009B3D10">
        <w:t xml:space="preserve">Security of Critical Infrastructure (Definitions) </w:t>
      </w:r>
      <w:r w:rsidR="008D1341" w:rsidRPr="009B3D10">
        <w:t xml:space="preserve">Amendment </w:t>
      </w:r>
      <w:r w:rsidRPr="009B3D10">
        <w:t>Rules</w:t>
      </w:r>
      <w:r w:rsidR="00D7152D" w:rsidRPr="009B3D10">
        <w:t xml:space="preserve"> </w:t>
      </w:r>
      <w:r w:rsidR="005A34B4" w:rsidRPr="009B3D10">
        <w:t>(LIN 22/0</w:t>
      </w:r>
      <w:r w:rsidR="00CD22D3" w:rsidRPr="009B3D10">
        <w:t>56</w:t>
      </w:r>
      <w:r w:rsidR="005A34B4" w:rsidRPr="009B3D10">
        <w:t xml:space="preserve">) </w:t>
      </w:r>
      <w:r w:rsidR="00D7152D" w:rsidRPr="009B3D10">
        <w:t>202</w:t>
      </w:r>
      <w:r w:rsidR="009B3D10" w:rsidRPr="009B3D10">
        <w:t>2 (No. 2)</w:t>
      </w:r>
      <w:bookmarkEnd w:id="1"/>
    </w:p>
    <w:p w14:paraId="39F020EB" w14:textId="295D0918" w:rsidR="00554826" w:rsidRDefault="00554826" w:rsidP="00365E41">
      <w:pPr>
        <w:pStyle w:val="LDBodytext"/>
      </w:pPr>
      <w:r w:rsidRPr="009464C5">
        <w:t xml:space="preserve">I, </w:t>
      </w:r>
      <w:r w:rsidR="0003319C">
        <w:t>Clare O’Neil</w:t>
      </w:r>
      <w:r w:rsidRPr="009464C5">
        <w:t xml:space="preserve">, </w:t>
      </w:r>
      <w:r w:rsidR="00BB243F">
        <w:t>Minister for Home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BB243F">
        <w:t>section</w:t>
      </w:r>
      <w:r w:rsidR="009B3D10">
        <w:t> </w:t>
      </w:r>
      <w:r w:rsidR="00BB243F">
        <w:t>61</w:t>
      </w:r>
      <w:r w:rsidR="00BD08C0">
        <w:t xml:space="preserve"> </w:t>
      </w:r>
      <w:r w:rsidR="00F27438" w:rsidRPr="009464C5">
        <w:t xml:space="preserve">of the </w:t>
      </w:r>
      <w:r w:rsidR="00BB243F">
        <w:rPr>
          <w:i/>
        </w:rPr>
        <w:t>Security of Critical Infrastructure Act 2018</w:t>
      </w:r>
      <w:r w:rsidR="00F27438" w:rsidRPr="009464C5">
        <w:rPr>
          <w:i/>
        </w:rPr>
        <w:t>.</w:t>
      </w:r>
    </w:p>
    <w:p w14:paraId="4C2BB182" w14:textId="0C31614F" w:rsidR="00554826" w:rsidRPr="00F17CC6" w:rsidRDefault="00554826" w:rsidP="00CA467B">
      <w:pPr>
        <w:pStyle w:val="LDDate"/>
        <w:tabs>
          <w:tab w:val="clear" w:pos="3402"/>
        </w:tabs>
        <w:spacing w:before="360"/>
        <w:rPr>
          <w:szCs w:val="22"/>
        </w:rPr>
      </w:pPr>
      <w:r w:rsidRPr="000B14AD">
        <w:t>Dated</w:t>
      </w:r>
      <w:r w:rsidR="00DB39B5">
        <w:t xml:space="preserve"> 21 December </w:t>
      </w:r>
      <w:bookmarkStart w:id="2" w:name="_GoBack"/>
      <w:bookmarkEnd w:id="2"/>
      <w:r w:rsidR="008D1341">
        <w:rPr>
          <w:szCs w:val="22"/>
        </w:rPr>
        <w:t>202</w:t>
      </w:r>
      <w:r w:rsidR="00FB3B69">
        <w:rPr>
          <w:szCs w:val="22"/>
        </w:rPr>
        <w:t>2</w:t>
      </w:r>
    </w:p>
    <w:p w14:paraId="12CF6F49" w14:textId="057B425C" w:rsidR="009B3D10" w:rsidRPr="004A11D6" w:rsidRDefault="004A11D6" w:rsidP="009B3D10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The Hon </w:t>
      </w:r>
      <w:r w:rsidRPr="004A11D6">
        <w:rPr>
          <w:rFonts w:ascii="Times New Roman" w:hAnsi="Times New Roman"/>
          <w:b w:val="0"/>
        </w:rPr>
        <w:t>Clare O’Neil</w:t>
      </w:r>
      <w:r>
        <w:rPr>
          <w:rFonts w:ascii="Times New Roman" w:hAnsi="Times New Roman"/>
          <w:b w:val="0"/>
        </w:rPr>
        <w:t xml:space="preserve"> MP</w:t>
      </w:r>
    </w:p>
    <w:p w14:paraId="645B35D5" w14:textId="72F7B243" w:rsidR="00554826" w:rsidRPr="00F17CC6" w:rsidRDefault="008D1341" w:rsidP="00E03D9B">
      <w:pPr>
        <w:pStyle w:val="LDBodytext"/>
        <w:spacing w:after="360"/>
      </w:pPr>
      <w:r>
        <w:t xml:space="preserve">Minister for Home Affairs </w:t>
      </w:r>
    </w:p>
    <w:p w14:paraId="1A2D2278" w14:textId="19B29480" w:rsidR="007235A0" w:rsidRDefault="007235A0" w:rsidP="004B4FE5">
      <w:pPr>
        <w:pStyle w:val="LDLine"/>
      </w:pPr>
      <w:bookmarkStart w:id="3" w:name="_Toc454512513"/>
      <w:bookmarkStart w:id="4" w:name="_Toc454512517"/>
    </w:p>
    <w:bookmarkStart w:id="5" w:name="_Toc31201286"/>
    <w:p w14:paraId="50901342" w14:textId="612F02A1" w:rsidR="003B3646" w:rsidRPr="00F17CC6" w:rsidRDefault="009B3D10" w:rsidP="00607D1D">
      <w:pPr>
        <w:pStyle w:val="LDSecHead"/>
        <w:spacing w:before="360"/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D372AD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23FB79F" w14:textId="5C26547C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9B3D10" w:rsidRPr="000B14AD">
        <w:rPr>
          <w:rStyle w:val="LDItal"/>
        </w:rPr>
        <w:fldChar w:fldCharType="begin"/>
      </w:r>
      <w:r w:rsidR="009B3D10" w:rsidRPr="000B14AD">
        <w:rPr>
          <w:rStyle w:val="LDItal"/>
        </w:rPr>
        <w:instrText xml:space="preserve"> REF Title \h </w:instrText>
      </w:r>
      <w:r w:rsidR="009B3D10">
        <w:rPr>
          <w:rStyle w:val="LDItal"/>
        </w:rPr>
        <w:instrText xml:space="preserve"> \* MERGEFORMAT </w:instrText>
      </w:r>
      <w:r w:rsidR="009B3D10" w:rsidRPr="000B14AD">
        <w:rPr>
          <w:rStyle w:val="LDItal"/>
        </w:rPr>
      </w:r>
      <w:r w:rsidR="009B3D10" w:rsidRPr="000B14AD">
        <w:rPr>
          <w:rStyle w:val="LDItal"/>
        </w:rPr>
        <w:fldChar w:fldCharType="separate"/>
      </w:r>
      <w:r w:rsidR="00D372AD" w:rsidRPr="00D372AD">
        <w:rPr>
          <w:rStyle w:val="LDItal"/>
        </w:rPr>
        <w:t>Security of Critical Infrastructure (Definitions) Amendment Rules (LIN 22/056) 2022 (No</w:t>
      </w:r>
      <w:r w:rsidR="00D372AD" w:rsidRPr="009B3D10">
        <w:t xml:space="preserve">. </w:t>
      </w:r>
      <w:r w:rsidR="00D372AD" w:rsidRPr="00D372AD">
        <w:rPr>
          <w:i/>
        </w:rPr>
        <w:t>2)</w:t>
      </w:r>
      <w:r w:rsidR="009B3D10" w:rsidRPr="000B14AD">
        <w:rPr>
          <w:rStyle w:val="LDItal"/>
        </w:rPr>
        <w:fldChar w:fldCharType="end"/>
      </w:r>
      <w:r>
        <w:t>.</w:t>
      </w:r>
    </w:p>
    <w:bookmarkStart w:id="6" w:name="_Toc454512514"/>
    <w:bookmarkStart w:id="7" w:name="_Toc31201287"/>
    <w:p w14:paraId="21743724" w14:textId="72B63860" w:rsidR="003B3646" w:rsidRPr="007E11B9" w:rsidRDefault="009B3D1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D372AD">
        <w:rPr>
          <w:noProof/>
        </w:rPr>
        <w:t>2</w:t>
      </w:r>
      <w:r>
        <w:rPr>
          <w:noProof/>
        </w:rP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02741488" w14:textId="45052879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724526">
        <w:t xml:space="preserve">on the day after </w:t>
      </w:r>
      <w:r w:rsidR="009B3D10">
        <w:t>registration</w:t>
      </w:r>
      <w:r w:rsidR="003B3646" w:rsidRPr="00F17CC6">
        <w:t>.</w:t>
      </w:r>
    </w:p>
    <w:bookmarkStart w:id="9" w:name="_Toc454512516"/>
    <w:bookmarkStart w:id="10" w:name="_Toc31201288"/>
    <w:bookmarkEnd w:id="8"/>
    <w:p w14:paraId="3A445E94" w14:textId="670D2BF6" w:rsidR="003B3646" w:rsidRPr="00F17CC6" w:rsidRDefault="009B3D1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D372AD">
        <w:rPr>
          <w:noProof/>
        </w:rPr>
        <w:t>3</w:t>
      </w:r>
      <w:r>
        <w:rPr>
          <w:noProof/>
        </w:rPr>
        <w:fldChar w:fldCharType="end"/>
      </w:r>
      <w:r w:rsidR="000B14AD">
        <w:tab/>
      </w:r>
      <w:bookmarkEnd w:id="9"/>
      <w:bookmarkEnd w:id="10"/>
      <w:r w:rsidR="0089556D">
        <w:t>Schedules</w:t>
      </w:r>
    </w:p>
    <w:p w14:paraId="7DF22D83" w14:textId="61EE9385" w:rsidR="009B3D10" w:rsidRDefault="009B3D10" w:rsidP="009B3D10">
      <w:pPr>
        <w:pStyle w:val="LDSec1"/>
        <w:keepNext/>
      </w:pPr>
      <w:r>
        <w:tab/>
      </w:r>
      <w:r w:rsidRPr="00F17CC6">
        <w:tab/>
      </w:r>
      <w:r>
        <w:t xml:space="preserve">Schedule 1 amends </w:t>
      </w:r>
      <w:r>
        <w:rPr>
          <w:i/>
        </w:rPr>
        <w:t xml:space="preserve">Security of Critical Infrastructure (Definitions) Rules </w:t>
      </w:r>
      <w:r w:rsidR="007A488D">
        <w:rPr>
          <w:i/>
        </w:rPr>
        <w:t xml:space="preserve">2021 </w:t>
      </w:r>
      <w:r>
        <w:rPr>
          <w:i/>
        </w:rPr>
        <w:t>(LIN 21/039)</w:t>
      </w:r>
      <w:r>
        <w:t>.</w:t>
      </w:r>
    </w:p>
    <w:p w14:paraId="67581C80" w14:textId="617DD703" w:rsidR="00A93040" w:rsidRDefault="00A93040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11" w:name="_Toc31201296"/>
      <w:bookmarkEnd w:id="4"/>
    </w:p>
    <w:p w14:paraId="61D46E1A" w14:textId="77777777" w:rsidR="00CD22D3" w:rsidRDefault="00CD22D3" w:rsidP="007235A0">
      <w:pPr>
        <w:pStyle w:val="LDSchedule"/>
        <w:sectPr w:rsidR="00CD22D3" w:rsidSect="008D011C">
          <w:headerReference w:type="default" r:id="rId9"/>
          <w:footerReference w:type="default" r:id="rId10"/>
          <w:pgSz w:w="11907" w:h="16839" w:code="9"/>
          <w:pgMar w:top="1361" w:right="1701" w:bottom="1361" w:left="1701" w:header="720" w:footer="720" w:gutter="0"/>
          <w:cols w:space="708"/>
          <w:titlePg/>
          <w:docGrid w:linePitch="360"/>
        </w:sectPr>
      </w:pPr>
    </w:p>
    <w:p w14:paraId="3753CFB9" w14:textId="1A9D4902" w:rsidR="00A252F1" w:rsidRDefault="00A252F1" w:rsidP="007235A0">
      <w:pPr>
        <w:pStyle w:val="LDSchedule"/>
      </w:pPr>
      <w:r>
        <w:lastRenderedPageBreak/>
        <w:t xml:space="preserve">Schedule </w:t>
      </w:r>
      <w:bookmarkStart w:id="12" w:name="SchedFirst"/>
      <w:r w:rsidR="001B155A">
        <w:rPr>
          <w:noProof/>
        </w:rPr>
        <w:t>1</w:t>
      </w:r>
      <w:bookmarkEnd w:id="12"/>
      <w:r w:rsidR="0089556D">
        <w:rPr>
          <w:noProof/>
        </w:rPr>
        <w:t>—</w:t>
      </w:r>
      <w:bookmarkEnd w:id="11"/>
      <w:r w:rsidR="00C21F16">
        <w:t>Amendment</w:t>
      </w:r>
      <w:r w:rsidR="0089556D">
        <w:t>s</w:t>
      </w:r>
    </w:p>
    <w:p w14:paraId="6CAB116F" w14:textId="6A3810F9" w:rsidR="009B3D10" w:rsidRDefault="009B3D10" w:rsidP="009B3D10">
      <w:pPr>
        <w:pStyle w:val="LDSchedref"/>
      </w:pPr>
      <w:r>
        <w:t>(</w:t>
      </w:r>
      <w:proofErr w:type="gramStart"/>
      <w:r>
        <w:t>section</w:t>
      </w:r>
      <w:proofErr w:type="gramEnd"/>
      <w:r>
        <w:t> 3</w:t>
      </w:r>
      <w:r w:rsidRPr="00A252F1">
        <w:t>)</w:t>
      </w:r>
    </w:p>
    <w:p w14:paraId="52422BBD" w14:textId="5D363443" w:rsidR="005B33FE" w:rsidRPr="005B33FE" w:rsidRDefault="005B33FE" w:rsidP="005B33FE">
      <w:pPr>
        <w:pStyle w:val="LDAmendHeading"/>
        <w:rPr>
          <w:i/>
        </w:rPr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t>]</w:t>
      </w:r>
      <w:r>
        <w:tab/>
        <w:t>Section 3</w:t>
      </w:r>
    </w:p>
    <w:p w14:paraId="6A6838B4" w14:textId="0CF466FE" w:rsidR="0078300F" w:rsidRDefault="0078300F" w:rsidP="004F169F">
      <w:pPr>
        <w:pStyle w:val="LDAmendInstruction"/>
      </w:pPr>
      <w:proofErr w:type="gramStart"/>
      <w:r>
        <w:t>insert</w:t>
      </w:r>
      <w:proofErr w:type="gramEnd"/>
    </w:p>
    <w:p w14:paraId="140570F6" w14:textId="7E79081C" w:rsidR="0078300F" w:rsidRDefault="0078300F" w:rsidP="00613C4A">
      <w:pPr>
        <w:pStyle w:val="LDAmendInstruction"/>
      </w:pPr>
      <w:r w:rsidRPr="00613C4A">
        <w:rPr>
          <w:b/>
        </w:rPr>
        <w:t xml:space="preserve">.au </w:t>
      </w:r>
      <w:proofErr w:type="spellStart"/>
      <w:r w:rsidRPr="00613C4A">
        <w:rPr>
          <w:b/>
        </w:rPr>
        <w:t>ccTLD</w:t>
      </w:r>
      <w:proofErr w:type="spellEnd"/>
      <w:r w:rsidRPr="00613C4A">
        <w:rPr>
          <w:b/>
        </w:rPr>
        <w:t xml:space="preserve"> system</w:t>
      </w:r>
      <w:r>
        <w:t xml:space="preserve"> </w:t>
      </w:r>
      <w:r w:rsidRPr="005A58EC">
        <w:rPr>
          <w:i w:val="0"/>
        </w:rPr>
        <w:t xml:space="preserve">means the system </w:t>
      </w:r>
      <w:r w:rsidR="00EB244D" w:rsidRPr="005A58EC">
        <w:rPr>
          <w:i w:val="0"/>
        </w:rPr>
        <w:t xml:space="preserve">used in </w:t>
      </w:r>
      <w:r w:rsidR="004F169F" w:rsidRPr="005A58EC">
        <w:rPr>
          <w:i w:val="0"/>
        </w:rPr>
        <w:t>providing the</w:t>
      </w:r>
      <w:r w:rsidRPr="005A58EC">
        <w:rPr>
          <w:i w:val="0"/>
        </w:rPr>
        <w:t xml:space="preserve"> </w:t>
      </w:r>
      <w:r w:rsidR="002A6070" w:rsidRPr="005A58EC">
        <w:rPr>
          <w:i w:val="0"/>
        </w:rPr>
        <w:t>‘</w:t>
      </w:r>
      <w:r w:rsidRPr="005A58EC">
        <w:rPr>
          <w:i w:val="0"/>
        </w:rPr>
        <w:t>.au</w:t>
      </w:r>
      <w:r w:rsidR="002A6070" w:rsidRPr="005A58EC">
        <w:rPr>
          <w:i w:val="0"/>
        </w:rPr>
        <w:t>’ country code Top Level D</w:t>
      </w:r>
      <w:r w:rsidRPr="005A58EC">
        <w:rPr>
          <w:i w:val="0"/>
        </w:rPr>
        <w:t>omain (</w:t>
      </w:r>
      <w:proofErr w:type="spellStart"/>
      <w:r w:rsidRPr="005A58EC">
        <w:rPr>
          <w:i w:val="0"/>
        </w:rPr>
        <w:t>ccTLD</w:t>
      </w:r>
      <w:proofErr w:type="spellEnd"/>
      <w:r w:rsidRPr="005A58EC">
        <w:rPr>
          <w:i w:val="0"/>
        </w:rPr>
        <w:t>)</w:t>
      </w:r>
      <w:r w:rsidR="00EB244D" w:rsidRPr="005A58EC">
        <w:rPr>
          <w:i w:val="0"/>
        </w:rPr>
        <w:t xml:space="preserve"> internet service</w:t>
      </w:r>
      <w:r>
        <w:t xml:space="preserve">. </w:t>
      </w:r>
    </w:p>
    <w:p w14:paraId="07416871" w14:textId="59EA0A77" w:rsidR="00553B08" w:rsidRDefault="00553B08" w:rsidP="00613C4A">
      <w:pPr>
        <w:pStyle w:val="LDAmendHeading"/>
      </w:pPr>
      <w:r>
        <w:t>[</w:t>
      </w:r>
      <w:fldSimple w:instr=" SEQ ItemNo \* MERGEFORMAT ">
        <w:r w:rsidR="00D372AD">
          <w:rPr>
            <w:noProof/>
          </w:rPr>
          <w:t>2</w:t>
        </w:r>
      </w:fldSimple>
      <w:r>
        <w:t>]</w:t>
      </w:r>
      <w:r>
        <w:tab/>
        <w:t>Section 3</w:t>
      </w:r>
    </w:p>
    <w:p w14:paraId="5744298E" w14:textId="76BA2973" w:rsidR="00772430" w:rsidRPr="00772430" w:rsidRDefault="00BA4D82" w:rsidP="004F169F">
      <w:pPr>
        <w:pStyle w:val="LDAmendInstruction"/>
      </w:pPr>
      <w:proofErr w:type="gramStart"/>
      <w:r w:rsidRPr="00553B08">
        <w:t>i</w:t>
      </w:r>
      <w:r w:rsidR="00772430" w:rsidRPr="00553B08">
        <w:t>nsert</w:t>
      </w:r>
      <w:proofErr w:type="gramEnd"/>
    </w:p>
    <w:p w14:paraId="6520E26C" w14:textId="1FB1253B" w:rsidR="00772430" w:rsidRDefault="00772430" w:rsidP="00613C4A">
      <w:pPr>
        <w:pStyle w:val="LDAmendText"/>
        <w:ind w:left="720"/>
        <w:rPr>
          <w:i/>
        </w:rPr>
      </w:pPr>
      <w:proofErr w:type="gramStart"/>
      <w:r w:rsidRPr="00613C4A">
        <w:rPr>
          <w:b/>
          <w:i/>
        </w:rPr>
        <w:t>authoritative</w:t>
      </w:r>
      <w:proofErr w:type="gramEnd"/>
      <w:r w:rsidRPr="00613C4A">
        <w:rPr>
          <w:b/>
          <w:i/>
        </w:rPr>
        <w:t xml:space="preserve"> DNS name server</w:t>
      </w:r>
      <w:r>
        <w:rPr>
          <w:b/>
          <w:i/>
        </w:rPr>
        <w:t xml:space="preserve"> </w:t>
      </w:r>
      <w:r w:rsidRPr="005A58EC">
        <w:t xml:space="preserve">means a computer server </w:t>
      </w:r>
      <w:r w:rsidR="00565D4C" w:rsidRPr="00565D4C">
        <w:t>that provides authoritative DNS information about a domain name, which may include the Internet Protocol address of a website server or an email server.</w:t>
      </w:r>
      <w:r>
        <w:rPr>
          <w:i/>
        </w:rPr>
        <w:t xml:space="preserve"> </w:t>
      </w:r>
    </w:p>
    <w:p w14:paraId="7DE58458" w14:textId="5DE253B9" w:rsidR="00553B08" w:rsidRPr="00553B08" w:rsidRDefault="00553B08" w:rsidP="00613C4A">
      <w:pPr>
        <w:pStyle w:val="LDAmendHeading"/>
      </w:pPr>
      <w:r>
        <w:t>[</w:t>
      </w:r>
      <w:fldSimple w:instr=" SEQ ItemNo \* MERGEFORMAT ">
        <w:r w:rsidR="00D372AD">
          <w:rPr>
            <w:noProof/>
          </w:rPr>
          <w:t>3</w:t>
        </w:r>
      </w:fldSimple>
      <w:r>
        <w:t>]</w:t>
      </w:r>
      <w:r>
        <w:tab/>
        <w:t>Section 3</w:t>
      </w:r>
    </w:p>
    <w:p w14:paraId="337DD91E" w14:textId="2E17B4B2" w:rsidR="0078300F" w:rsidRPr="004F169F" w:rsidRDefault="0078300F" w:rsidP="004F169F">
      <w:pPr>
        <w:pStyle w:val="LDAmendInstruction"/>
      </w:pPr>
      <w:proofErr w:type="gramStart"/>
      <w:r>
        <w:t>insert</w:t>
      </w:r>
      <w:proofErr w:type="gramEnd"/>
    </w:p>
    <w:p w14:paraId="7DFF123C" w14:textId="761361A5" w:rsidR="0078300F" w:rsidRPr="008425D4" w:rsidRDefault="0078300F" w:rsidP="0078300F">
      <w:pPr>
        <w:pStyle w:val="LDAmendInstruction"/>
      </w:pPr>
      <w:r>
        <w:rPr>
          <w:b/>
        </w:rPr>
        <w:t xml:space="preserve">DNS </w:t>
      </w:r>
      <w:r w:rsidRPr="005A58EC">
        <w:rPr>
          <w:i w:val="0"/>
        </w:rPr>
        <w:t xml:space="preserve">means a domain name system, which is a component of the Internet that enables users to find and connect to local </w:t>
      </w:r>
      <w:r w:rsidR="00EB244D" w:rsidRPr="005A58EC">
        <w:rPr>
          <w:i w:val="0"/>
        </w:rPr>
        <w:t>websites, email</w:t>
      </w:r>
      <w:r w:rsidRPr="005A58EC">
        <w:rPr>
          <w:i w:val="0"/>
        </w:rPr>
        <w:t xml:space="preserve"> addresses </w:t>
      </w:r>
      <w:r w:rsidR="00EB244D" w:rsidRPr="005A58EC">
        <w:rPr>
          <w:i w:val="0"/>
        </w:rPr>
        <w:t xml:space="preserve">and other Internet connected resources </w:t>
      </w:r>
      <w:r w:rsidRPr="005A58EC">
        <w:rPr>
          <w:i w:val="0"/>
        </w:rPr>
        <w:t xml:space="preserve">by mapping </w:t>
      </w:r>
      <w:r w:rsidR="002548B8">
        <w:rPr>
          <w:i w:val="0"/>
        </w:rPr>
        <w:t xml:space="preserve">domain names to their corresponding </w:t>
      </w:r>
      <w:r w:rsidRPr="005A58EC">
        <w:rPr>
          <w:i w:val="0"/>
        </w:rPr>
        <w:t>Internet Protocol numeric addresses</w:t>
      </w:r>
      <w:r w:rsidR="002548B8">
        <w:rPr>
          <w:i w:val="0"/>
        </w:rPr>
        <w:t>.</w:t>
      </w:r>
      <w:r>
        <w:t xml:space="preserve">  </w:t>
      </w:r>
    </w:p>
    <w:p w14:paraId="785C5921" w14:textId="35037A54" w:rsidR="00344917" w:rsidRPr="00D372AD" w:rsidRDefault="00DA3C41" w:rsidP="00D372AD">
      <w:pPr>
        <w:pStyle w:val="LDAmendInstruction"/>
        <w:rPr>
          <w:i w:val="0"/>
        </w:rPr>
      </w:pPr>
      <w:r w:rsidRPr="005A58EC">
        <w:rPr>
          <w:b/>
        </w:rPr>
        <w:t>DNSSEC</w:t>
      </w:r>
      <w:r>
        <w:rPr>
          <w:b/>
          <w:i w:val="0"/>
        </w:rPr>
        <w:t xml:space="preserve"> </w:t>
      </w:r>
      <w:r w:rsidR="000240AA" w:rsidRPr="00344917">
        <w:rPr>
          <w:i w:val="0"/>
        </w:rPr>
        <w:t>means</w:t>
      </w:r>
      <w:r w:rsidR="0078300F" w:rsidRPr="00344917">
        <w:rPr>
          <w:i w:val="0"/>
        </w:rPr>
        <w:t xml:space="preserve"> </w:t>
      </w:r>
      <w:r w:rsidRPr="005A58EC">
        <w:rPr>
          <w:i w:val="0"/>
        </w:rPr>
        <w:t xml:space="preserve">DNS Security </w:t>
      </w:r>
      <w:r w:rsidR="004F169F" w:rsidRPr="005A58EC">
        <w:rPr>
          <w:i w:val="0"/>
        </w:rPr>
        <w:t>Extensions</w:t>
      </w:r>
      <w:r w:rsidR="004F169F" w:rsidRPr="005A58EC">
        <w:rPr>
          <w:b/>
          <w:i w:val="0"/>
        </w:rPr>
        <w:t xml:space="preserve"> </w:t>
      </w:r>
      <w:r w:rsidR="004F169F" w:rsidRPr="00344917">
        <w:rPr>
          <w:i w:val="0"/>
        </w:rPr>
        <w:t>that</w:t>
      </w:r>
      <w:r w:rsidR="000240AA" w:rsidRPr="00344917">
        <w:rPr>
          <w:i w:val="0"/>
        </w:rPr>
        <w:t xml:space="preserve"> facilitate</w:t>
      </w:r>
      <w:r w:rsidR="0078300F" w:rsidRPr="00344917">
        <w:rPr>
          <w:i w:val="0"/>
        </w:rPr>
        <w:t xml:space="preserve"> the digital signing of DNS records, to assist in ensuring the integrity and authenticity of DNS information</w:t>
      </w:r>
      <w:r w:rsidR="005A58EC">
        <w:rPr>
          <w:i w:val="0"/>
        </w:rPr>
        <w:t>.</w:t>
      </w:r>
    </w:p>
    <w:p w14:paraId="2A796DD9" w14:textId="3C726630" w:rsidR="00344917" w:rsidRPr="00553B08" w:rsidRDefault="00344917">
      <w:pPr>
        <w:pStyle w:val="LDAmendHeading"/>
      </w:pPr>
      <w:r>
        <w:t>[</w:t>
      </w:r>
      <w:r w:rsidR="00DB39B5">
        <w:fldChar w:fldCharType="begin"/>
      </w:r>
      <w:r w:rsidR="00DB39B5">
        <w:instrText xml:space="preserve"> SEQ ItemNo \* MERGEFORMAT </w:instrText>
      </w:r>
      <w:r w:rsidR="00DB39B5">
        <w:fldChar w:fldCharType="separate"/>
      </w:r>
      <w:r w:rsidR="00D372AD">
        <w:rPr>
          <w:noProof/>
        </w:rPr>
        <w:t>4</w:t>
      </w:r>
      <w:r w:rsidR="00DB39B5">
        <w:rPr>
          <w:noProof/>
        </w:rPr>
        <w:fldChar w:fldCharType="end"/>
      </w:r>
      <w:r>
        <w:t>]</w:t>
      </w:r>
      <w:r>
        <w:tab/>
        <w:t>Section 3</w:t>
      </w:r>
    </w:p>
    <w:p w14:paraId="0F77DB5A" w14:textId="77777777" w:rsidR="00344917" w:rsidRPr="00527827" w:rsidRDefault="00344917" w:rsidP="00344917">
      <w:pPr>
        <w:pStyle w:val="LDAmendInstruction"/>
      </w:pPr>
      <w:proofErr w:type="gramStart"/>
      <w:r>
        <w:t>insert</w:t>
      </w:r>
      <w:proofErr w:type="gramEnd"/>
    </w:p>
    <w:p w14:paraId="0426C40C" w14:textId="77777777" w:rsidR="00344917" w:rsidRDefault="00344917" w:rsidP="00344917">
      <w:pPr>
        <w:pStyle w:val="LDAmendInstruction"/>
        <w:rPr>
          <w:i w:val="0"/>
        </w:rPr>
      </w:pPr>
      <w:proofErr w:type="gramStart"/>
      <w:r>
        <w:rPr>
          <w:b/>
        </w:rPr>
        <w:t>registrant</w:t>
      </w:r>
      <w:proofErr w:type="gramEnd"/>
      <w:r>
        <w:rPr>
          <w:b/>
        </w:rPr>
        <w:t xml:space="preserve"> information</w:t>
      </w:r>
      <w:r>
        <w:rPr>
          <w:i w:val="0"/>
        </w:rPr>
        <w:t xml:space="preserve"> includes:</w:t>
      </w:r>
    </w:p>
    <w:p w14:paraId="2E035CDB" w14:textId="77777777" w:rsidR="00945299" w:rsidRDefault="00344917" w:rsidP="005A58EC">
      <w:pPr>
        <w:pStyle w:val="LDAmendInstruction"/>
        <w:numPr>
          <w:ilvl w:val="0"/>
          <w:numId w:val="43"/>
        </w:numPr>
        <w:rPr>
          <w:i w:val="0"/>
        </w:rPr>
      </w:pPr>
      <w:r>
        <w:rPr>
          <w:i w:val="0"/>
        </w:rPr>
        <w:t>registrant legal entity name;</w:t>
      </w:r>
    </w:p>
    <w:p w14:paraId="0F688839" w14:textId="77777777" w:rsidR="00945299" w:rsidRDefault="00344917" w:rsidP="005A58EC">
      <w:pPr>
        <w:pStyle w:val="LDAmendInstruction"/>
        <w:numPr>
          <w:ilvl w:val="0"/>
          <w:numId w:val="43"/>
        </w:numPr>
        <w:rPr>
          <w:i w:val="0"/>
        </w:rPr>
      </w:pPr>
      <w:r w:rsidRPr="00143CF5">
        <w:rPr>
          <w:i w:val="0"/>
        </w:rPr>
        <w:t>registrant identification number;</w:t>
      </w:r>
    </w:p>
    <w:p w14:paraId="4FBF32B5" w14:textId="77777777" w:rsidR="00945299" w:rsidRDefault="00344917" w:rsidP="005A58EC">
      <w:pPr>
        <w:pStyle w:val="LDAmendInstruction"/>
        <w:numPr>
          <w:ilvl w:val="0"/>
          <w:numId w:val="43"/>
        </w:numPr>
        <w:rPr>
          <w:i w:val="0"/>
        </w:rPr>
      </w:pPr>
      <w:r w:rsidRPr="00143CF5">
        <w:rPr>
          <w:i w:val="0"/>
        </w:rPr>
        <w:t>eligibility type;</w:t>
      </w:r>
    </w:p>
    <w:p w14:paraId="6E6858F8" w14:textId="77777777" w:rsidR="00945299" w:rsidRDefault="00344917" w:rsidP="005A58EC">
      <w:pPr>
        <w:pStyle w:val="LDAmendInstruction"/>
        <w:numPr>
          <w:ilvl w:val="0"/>
          <w:numId w:val="43"/>
        </w:numPr>
        <w:rPr>
          <w:i w:val="0"/>
        </w:rPr>
      </w:pPr>
      <w:r w:rsidRPr="00143CF5">
        <w:rPr>
          <w:i w:val="0"/>
        </w:rPr>
        <w:t xml:space="preserve">eligibility name; </w:t>
      </w:r>
    </w:p>
    <w:p w14:paraId="277E3DA9" w14:textId="1B88E93C" w:rsidR="00344917" w:rsidRPr="005A58EC" w:rsidRDefault="00344917" w:rsidP="005A58EC">
      <w:pPr>
        <w:pStyle w:val="LDAmendInstruction"/>
        <w:numPr>
          <w:ilvl w:val="0"/>
          <w:numId w:val="43"/>
        </w:numPr>
        <w:rPr>
          <w:i w:val="0"/>
        </w:rPr>
      </w:pPr>
      <w:proofErr w:type="gramStart"/>
      <w:r w:rsidRPr="00143CF5">
        <w:rPr>
          <w:i w:val="0"/>
        </w:rPr>
        <w:t>eligibility</w:t>
      </w:r>
      <w:proofErr w:type="gramEnd"/>
      <w:r w:rsidRPr="00143CF5">
        <w:rPr>
          <w:i w:val="0"/>
        </w:rPr>
        <w:t xml:space="preserve"> identification.</w:t>
      </w:r>
      <w:r w:rsidRPr="00143CF5">
        <w:rPr>
          <w:b/>
        </w:rPr>
        <w:t xml:space="preserve"> </w:t>
      </w:r>
    </w:p>
    <w:p w14:paraId="07330D97" w14:textId="4877AABA" w:rsidR="00DA3C41" w:rsidRPr="00D372AD" w:rsidRDefault="005B33FE" w:rsidP="00D372AD">
      <w:pPr>
        <w:pStyle w:val="LDAmendInstruction"/>
        <w:keepNext w:val="0"/>
        <w:rPr>
          <w:i w:val="0"/>
        </w:rPr>
      </w:pPr>
      <w:proofErr w:type="gramStart"/>
      <w:r w:rsidRPr="005B33FE">
        <w:rPr>
          <w:b/>
        </w:rPr>
        <w:t>registrable</w:t>
      </w:r>
      <w:proofErr w:type="gramEnd"/>
      <w:r w:rsidRPr="005B33FE">
        <w:rPr>
          <w:b/>
        </w:rPr>
        <w:t xml:space="preserve"> superannuation entity</w:t>
      </w:r>
      <w:r>
        <w:rPr>
          <w:i w:val="0"/>
        </w:rPr>
        <w:t xml:space="preserve"> has the same meaning as in the </w:t>
      </w:r>
      <w:r w:rsidRPr="005B33FE">
        <w:t>Superannuation Industry (Supervision) Act 1993</w:t>
      </w:r>
      <w:r>
        <w:rPr>
          <w:i w:val="0"/>
        </w:rPr>
        <w:t>.</w:t>
      </w:r>
    </w:p>
    <w:p w14:paraId="3A644A27" w14:textId="6D10CDC5" w:rsidR="00553B08" w:rsidRPr="00553B08" w:rsidRDefault="00553B08" w:rsidP="00613C4A">
      <w:pPr>
        <w:pStyle w:val="LDAmendHeading"/>
      </w:pPr>
      <w:r>
        <w:t>[</w:t>
      </w:r>
      <w:fldSimple w:instr=" SEQ ItemNo \* MERGEFORMAT ">
        <w:r w:rsidR="00D372AD">
          <w:rPr>
            <w:noProof/>
          </w:rPr>
          <w:t>5</w:t>
        </w:r>
      </w:fldSimple>
      <w:r>
        <w:t>]</w:t>
      </w:r>
      <w:r>
        <w:tab/>
        <w:t>Section 3</w:t>
      </w:r>
    </w:p>
    <w:p w14:paraId="7D2D4078" w14:textId="744CD99A" w:rsidR="00D87B83" w:rsidRPr="004F169F" w:rsidRDefault="00D87B83" w:rsidP="004F169F">
      <w:pPr>
        <w:pStyle w:val="LDAmendInstruction"/>
      </w:pPr>
      <w:proofErr w:type="gramStart"/>
      <w:r>
        <w:t>insert</w:t>
      </w:r>
      <w:proofErr w:type="gramEnd"/>
    </w:p>
    <w:p w14:paraId="0A65E3C7" w14:textId="55C0D5B7" w:rsidR="0038185C" w:rsidRPr="00661687" w:rsidRDefault="0038185C" w:rsidP="00613C4A">
      <w:pPr>
        <w:pStyle w:val="LDAmendText"/>
        <w:ind w:left="720"/>
      </w:pPr>
      <w:r w:rsidRPr="00613C4A">
        <w:rPr>
          <w:b/>
          <w:i/>
        </w:rPr>
        <w:t>WHOIS service</w:t>
      </w:r>
      <w:r>
        <w:rPr>
          <w:i/>
        </w:rPr>
        <w:t xml:space="preserve"> </w:t>
      </w:r>
      <w:r w:rsidRPr="005A58EC">
        <w:t>means a service or tool that provides domain information</w:t>
      </w:r>
      <w:r w:rsidR="00772430" w:rsidRPr="005A58EC">
        <w:t>,</w:t>
      </w:r>
      <w:r w:rsidRPr="005A58EC">
        <w:t xml:space="preserve"> includ</w:t>
      </w:r>
      <w:r w:rsidR="004957D9" w:rsidRPr="005A58EC">
        <w:t>ing</w:t>
      </w:r>
      <w:r w:rsidRPr="005A58EC">
        <w:t xml:space="preserve"> </w:t>
      </w:r>
      <w:r w:rsidR="004957D9" w:rsidRPr="005A58EC">
        <w:t>(</w:t>
      </w:r>
      <w:r w:rsidRPr="005A58EC">
        <w:t>any of</w:t>
      </w:r>
      <w:r w:rsidR="004957D9" w:rsidRPr="005A58EC">
        <w:t>)</w:t>
      </w:r>
      <w:r w:rsidRPr="005A58EC">
        <w:t xml:space="preserve"> the following:</w:t>
      </w:r>
    </w:p>
    <w:p w14:paraId="493464B8" w14:textId="02F585BD" w:rsidR="0038185C" w:rsidRPr="005A58EC" w:rsidRDefault="0038185C" w:rsidP="00613C4A">
      <w:pPr>
        <w:pStyle w:val="LDAmendText"/>
        <w:numPr>
          <w:ilvl w:val="0"/>
          <w:numId w:val="37"/>
        </w:numPr>
      </w:pPr>
      <w:r w:rsidRPr="005A58EC">
        <w:t xml:space="preserve">domain registrar; </w:t>
      </w:r>
    </w:p>
    <w:p w14:paraId="20184DB2" w14:textId="7944C502" w:rsidR="00EB244D" w:rsidRPr="00661687" w:rsidRDefault="004957D9">
      <w:pPr>
        <w:pStyle w:val="LDAmendText"/>
        <w:numPr>
          <w:ilvl w:val="0"/>
          <w:numId w:val="37"/>
        </w:numPr>
      </w:pPr>
      <w:r w:rsidRPr="005A58EC">
        <w:t xml:space="preserve">registrar contact information; </w:t>
      </w:r>
    </w:p>
    <w:p w14:paraId="2F6D84F3" w14:textId="6B6B47ED" w:rsidR="004957D9" w:rsidRPr="00661687" w:rsidRDefault="004957D9">
      <w:pPr>
        <w:pStyle w:val="LDAmendText"/>
        <w:numPr>
          <w:ilvl w:val="0"/>
          <w:numId w:val="37"/>
        </w:numPr>
      </w:pPr>
      <w:r w:rsidRPr="005A58EC">
        <w:t xml:space="preserve">domain name </w:t>
      </w:r>
      <w:r w:rsidR="0038185C" w:rsidRPr="005A58EC">
        <w:t>status;</w:t>
      </w:r>
    </w:p>
    <w:p w14:paraId="5194D365" w14:textId="2C97081C" w:rsidR="0038185C" w:rsidRPr="005A58EC" w:rsidRDefault="0038185C" w:rsidP="00613C4A">
      <w:pPr>
        <w:pStyle w:val="LDAmendText"/>
        <w:numPr>
          <w:ilvl w:val="0"/>
          <w:numId w:val="37"/>
        </w:numPr>
      </w:pPr>
      <w:r w:rsidRPr="005A58EC">
        <w:t xml:space="preserve">DNS name servers; </w:t>
      </w:r>
    </w:p>
    <w:p w14:paraId="391EE327" w14:textId="1302ED9D" w:rsidR="004957D9" w:rsidRPr="00661687" w:rsidRDefault="004957D9">
      <w:pPr>
        <w:pStyle w:val="LDAmendText"/>
        <w:numPr>
          <w:ilvl w:val="0"/>
          <w:numId w:val="37"/>
        </w:numPr>
      </w:pPr>
      <w:r w:rsidRPr="00661687">
        <w:t xml:space="preserve">IP addresses of DNS name servers; </w:t>
      </w:r>
    </w:p>
    <w:p w14:paraId="72626B09" w14:textId="34167017" w:rsidR="004957D9" w:rsidRPr="00661687" w:rsidRDefault="004957D9">
      <w:pPr>
        <w:pStyle w:val="LDAmendText"/>
        <w:numPr>
          <w:ilvl w:val="0"/>
          <w:numId w:val="37"/>
        </w:numPr>
      </w:pPr>
      <w:r w:rsidRPr="00661687">
        <w:lastRenderedPageBreak/>
        <w:t xml:space="preserve">DNSSEC information; </w:t>
      </w:r>
    </w:p>
    <w:p w14:paraId="1C5E4247" w14:textId="15DB89FC" w:rsidR="004957D9" w:rsidRPr="00661687" w:rsidRDefault="004957D9">
      <w:pPr>
        <w:pStyle w:val="LDAmendText"/>
        <w:numPr>
          <w:ilvl w:val="0"/>
          <w:numId w:val="37"/>
        </w:numPr>
      </w:pPr>
      <w:r w:rsidRPr="00661687">
        <w:t>registrant information;</w:t>
      </w:r>
    </w:p>
    <w:p w14:paraId="72AC0048" w14:textId="4065A104" w:rsidR="004957D9" w:rsidRPr="00661687" w:rsidRDefault="004957D9">
      <w:pPr>
        <w:pStyle w:val="LDAmendText"/>
        <w:numPr>
          <w:ilvl w:val="0"/>
          <w:numId w:val="37"/>
        </w:numPr>
      </w:pPr>
      <w:r w:rsidRPr="00661687">
        <w:t>registrant contact information;</w:t>
      </w:r>
    </w:p>
    <w:p w14:paraId="160E8AE9" w14:textId="5EBF2022" w:rsidR="004957D9" w:rsidRPr="005A58EC" w:rsidRDefault="004957D9">
      <w:pPr>
        <w:pStyle w:val="LDAmendText"/>
        <w:numPr>
          <w:ilvl w:val="0"/>
          <w:numId w:val="37"/>
        </w:numPr>
        <w:rPr>
          <w:i/>
        </w:rPr>
      </w:pPr>
      <w:proofErr w:type="gramStart"/>
      <w:r w:rsidRPr="00661687">
        <w:t>technical</w:t>
      </w:r>
      <w:proofErr w:type="gramEnd"/>
      <w:r w:rsidRPr="00661687">
        <w:t xml:space="preserve"> contact information.</w:t>
      </w:r>
    </w:p>
    <w:p w14:paraId="231D6C3E" w14:textId="72269206" w:rsidR="00C21D64" w:rsidRDefault="001D750E" w:rsidP="00C21D64">
      <w:pPr>
        <w:pStyle w:val="LDAmendHeading"/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6</w:t>
      </w:r>
      <w:r>
        <w:rPr>
          <w:noProof/>
        </w:rPr>
        <w:fldChar w:fldCharType="end"/>
      </w:r>
      <w:r>
        <w:rPr>
          <w:noProof/>
        </w:rPr>
        <w:t>]</w:t>
      </w:r>
      <w:r>
        <w:tab/>
      </w:r>
      <w:r w:rsidR="00C21D64">
        <w:t>Section 14</w:t>
      </w:r>
    </w:p>
    <w:p w14:paraId="3ACE5007" w14:textId="42422889" w:rsidR="00C21D64" w:rsidRDefault="00C21D64" w:rsidP="00C21D64">
      <w:pPr>
        <w:pStyle w:val="LDAmendInstruction"/>
      </w:pPr>
      <w:proofErr w:type="gramStart"/>
      <w:r>
        <w:t>omit</w:t>
      </w:r>
      <w:proofErr w:type="gramEnd"/>
    </w:p>
    <w:p w14:paraId="2D0E5302" w14:textId="40E40431" w:rsidR="00C21D64" w:rsidRPr="00C21D64" w:rsidRDefault="0001517B" w:rsidP="00C21D64">
      <w:pPr>
        <w:pStyle w:val="LDAmendText"/>
      </w:pPr>
      <w:proofErr w:type="gramStart"/>
      <w:r w:rsidRPr="0001517B">
        <w:t>a</w:t>
      </w:r>
      <w:proofErr w:type="gramEnd"/>
      <w:r w:rsidRPr="0001517B">
        <w:t xml:space="preserve"> registrable superannuation entity is critical to the security and reliability of the financial services and markets sector if it holds</w:t>
      </w:r>
    </w:p>
    <w:p w14:paraId="2C7A2EC0" w14:textId="1FE0F00A" w:rsidR="00C21D64" w:rsidRDefault="00C21D64" w:rsidP="00C21D64">
      <w:pPr>
        <w:pStyle w:val="LDAmendInstruction"/>
      </w:pPr>
      <w:proofErr w:type="gramStart"/>
      <w:r>
        <w:t>insert</w:t>
      </w:r>
      <w:proofErr w:type="gramEnd"/>
    </w:p>
    <w:p w14:paraId="3F05EDAE" w14:textId="3358C715" w:rsidR="00C21D64" w:rsidRDefault="0001517B" w:rsidP="00C21D64">
      <w:pPr>
        <w:pStyle w:val="LDAmendText"/>
      </w:pPr>
      <w:proofErr w:type="gramStart"/>
      <w:r>
        <w:t>a</w:t>
      </w:r>
      <w:r w:rsidR="0003319C">
        <w:t>n</w:t>
      </w:r>
      <w:proofErr w:type="gramEnd"/>
      <w:r>
        <w:t xml:space="preserve"> RSE licensee</w:t>
      </w:r>
      <w:r w:rsidRPr="0001517B">
        <w:t xml:space="preserve"> is critical to the security and reliability of the financial services and markets sector if it </w:t>
      </w:r>
      <w:r w:rsidR="00BC1FB9">
        <w:t>is a</w:t>
      </w:r>
      <w:r w:rsidR="0003319C">
        <w:t xml:space="preserve"> trustee of a </w:t>
      </w:r>
      <w:r w:rsidR="00BC1FB9" w:rsidRPr="00BC1FB9">
        <w:t xml:space="preserve">registrable </w:t>
      </w:r>
      <w:r w:rsidR="0003319C">
        <w:t xml:space="preserve">superannuation entity that </w:t>
      </w:r>
      <w:r>
        <w:t>has</w:t>
      </w:r>
    </w:p>
    <w:p w14:paraId="0B778702" w14:textId="7B732646" w:rsidR="001D750E" w:rsidRPr="005B33FE" w:rsidRDefault="001D750E" w:rsidP="001D750E">
      <w:pPr>
        <w:pStyle w:val="LDAmendHeading"/>
        <w:rPr>
          <w:i/>
        </w:rPr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7</w:t>
      </w:r>
      <w:r>
        <w:rPr>
          <w:noProof/>
        </w:rPr>
        <w:fldChar w:fldCharType="end"/>
      </w:r>
      <w:r>
        <w:rPr>
          <w:noProof/>
        </w:rPr>
        <w:t>]</w:t>
      </w:r>
      <w:r>
        <w:tab/>
        <w:t>Subsection 16(1)</w:t>
      </w:r>
    </w:p>
    <w:p w14:paraId="59AFAB07" w14:textId="77777777" w:rsidR="001D750E" w:rsidRDefault="001D750E" w:rsidP="001D750E">
      <w:pPr>
        <w:pStyle w:val="LDAmendInstruction"/>
      </w:pPr>
      <w:proofErr w:type="gramStart"/>
      <w:r>
        <w:t>omit</w:t>
      </w:r>
      <w:proofErr w:type="gramEnd"/>
    </w:p>
    <w:p w14:paraId="06812257" w14:textId="4F587E2B" w:rsidR="001D750E" w:rsidRPr="00C21D64" w:rsidRDefault="001D750E" w:rsidP="001D750E">
      <w:pPr>
        <w:pStyle w:val="LDAmendText"/>
      </w:pPr>
      <w:proofErr w:type="gramStart"/>
      <w:r>
        <w:t>subparagraph</w:t>
      </w:r>
      <w:proofErr w:type="gramEnd"/>
    </w:p>
    <w:p w14:paraId="6FDA31D0" w14:textId="4843A6D6" w:rsidR="001D750E" w:rsidRDefault="001D750E" w:rsidP="00613C4A">
      <w:pPr>
        <w:pStyle w:val="LDAmendInstruction"/>
      </w:pPr>
      <w:proofErr w:type="gramStart"/>
      <w:r>
        <w:t>insert</w:t>
      </w:r>
      <w:proofErr w:type="gramEnd"/>
    </w:p>
    <w:p w14:paraId="66643A8E" w14:textId="4218DBD3" w:rsidR="001D750E" w:rsidRDefault="001D750E">
      <w:pPr>
        <w:pStyle w:val="LDAmendText"/>
      </w:pPr>
      <w:proofErr w:type="gramStart"/>
      <w:r>
        <w:t>paragraph</w:t>
      </w:r>
      <w:proofErr w:type="gramEnd"/>
      <w:r>
        <w:t xml:space="preserve"> </w:t>
      </w:r>
    </w:p>
    <w:p w14:paraId="0888409F" w14:textId="38DAC139" w:rsidR="001D750E" w:rsidRPr="005B33FE" w:rsidRDefault="001D750E" w:rsidP="001D750E">
      <w:pPr>
        <w:pStyle w:val="LDAmendHeading"/>
        <w:rPr>
          <w:i/>
        </w:rPr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8</w:t>
      </w:r>
      <w:r>
        <w:rPr>
          <w:noProof/>
        </w:rPr>
        <w:fldChar w:fldCharType="end"/>
      </w:r>
      <w:r>
        <w:rPr>
          <w:noProof/>
        </w:rPr>
        <w:t>]</w:t>
      </w:r>
      <w:r>
        <w:tab/>
        <w:t>Subsection 16(2)</w:t>
      </w:r>
    </w:p>
    <w:p w14:paraId="4140483F" w14:textId="18FC4719" w:rsidR="00381866" w:rsidRDefault="00F96C37" w:rsidP="00381866">
      <w:pPr>
        <w:pStyle w:val="LDAmendInstruction"/>
      </w:pPr>
      <w:proofErr w:type="gramStart"/>
      <w:r>
        <w:t>substitute</w:t>
      </w:r>
      <w:proofErr w:type="gramEnd"/>
    </w:p>
    <w:p w14:paraId="38F653A1" w14:textId="5B63870C" w:rsidR="00381866" w:rsidRDefault="00381866" w:rsidP="00381866">
      <w:pPr>
        <w:pStyle w:val="LDSec1"/>
      </w:pPr>
      <w:r>
        <w:tab/>
        <w:t>(2)</w:t>
      </w:r>
      <w:r>
        <w:tab/>
        <w:t xml:space="preserve">For paragraph </w:t>
      </w:r>
      <w:proofErr w:type="gramStart"/>
      <w:r>
        <w:t>12KA(</w:t>
      </w:r>
      <w:proofErr w:type="gramEnd"/>
      <w:r>
        <w:t>2</w:t>
      </w:r>
      <w:r w:rsidRPr="001D750E">
        <w:t>)(</w:t>
      </w:r>
      <w:r>
        <w:t>b</w:t>
      </w:r>
      <w:r w:rsidRPr="001D750E">
        <w:t>) of the Act,</w:t>
      </w:r>
      <w:r>
        <w:t xml:space="preserve"> an entity that administers the </w:t>
      </w:r>
      <w:r w:rsidR="00350ADF">
        <w:t xml:space="preserve">.au </w:t>
      </w:r>
      <w:proofErr w:type="spellStart"/>
      <w:r w:rsidR="00350ADF">
        <w:t>ccTLD</w:t>
      </w:r>
      <w:proofErr w:type="spellEnd"/>
      <w:r w:rsidR="00350ADF">
        <w:t xml:space="preserve"> system</w:t>
      </w:r>
      <w:r>
        <w:t xml:space="preserve"> is critical to the administration of an Australian domain name system</w:t>
      </w:r>
      <w:r w:rsidRPr="001D750E">
        <w:t>.</w:t>
      </w:r>
    </w:p>
    <w:p w14:paraId="32D87BCA" w14:textId="423FC68F" w:rsidR="001D750E" w:rsidRPr="005B33FE" w:rsidRDefault="001D750E" w:rsidP="001D750E">
      <w:pPr>
        <w:pStyle w:val="LDAmendHeading"/>
        <w:rPr>
          <w:i/>
        </w:rPr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9</w:t>
      </w:r>
      <w:r>
        <w:rPr>
          <w:noProof/>
        </w:rPr>
        <w:fldChar w:fldCharType="end"/>
      </w:r>
      <w:r>
        <w:rPr>
          <w:noProof/>
        </w:rPr>
        <w:t>]</w:t>
      </w:r>
      <w:r>
        <w:tab/>
        <w:t>After subsection 16(2)</w:t>
      </w:r>
    </w:p>
    <w:p w14:paraId="0DF09CEA" w14:textId="77777777" w:rsidR="001D750E" w:rsidRDefault="001D750E" w:rsidP="00613C4A">
      <w:pPr>
        <w:pStyle w:val="LDAmendInstruction"/>
      </w:pPr>
      <w:proofErr w:type="gramStart"/>
      <w:r>
        <w:t>insert</w:t>
      </w:r>
      <w:proofErr w:type="gramEnd"/>
    </w:p>
    <w:p w14:paraId="4EB60073" w14:textId="7FED6D4C" w:rsidR="001D750E" w:rsidRDefault="001D750E" w:rsidP="00613C4A">
      <w:pPr>
        <w:pStyle w:val="LDSec1"/>
      </w:pPr>
      <w:r>
        <w:tab/>
        <w:t>(3)</w:t>
      </w:r>
      <w:r>
        <w:tab/>
      </w:r>
      <w:r w:rsidR="00DD04A5" w:rsidRPr="001D750E">
        <w:t xml:space="preserve">For paragraph </w:t>
      </w:r>
      <w:proofErr w:type="gramStart"/>
      <w:r w:rsidR="00DD04A5" w:rsidRPr="001D750E">
        <w:t>12KA(</w:t>
      </w:r>
      <w:proofErr w:type="gramEnd"/>
      <w:r w:rsidR="00DD04A5" w:rsidRPr="001D750E">
        <w:t xml:space="preserve">3)(a) of the Act, </w:t>
      </w:r>
      <w:r w:rsidR="00DD04A5">
        <w:t xml:space="preserve">the following </w:t>
      </w:r>
      <w:r w:rsidR="005D0309">
        <w:t xml:space="preserve">assets </w:t>
      </w:r>
      <w:r w:rsidR="00350ADF">
        <w:t xml:space="preserve">within the .au </w:t>
      </w:r>
      <w:proofErr w:type="spellStart"/>
      <w:r w:rsidR="00350ADF">
        <w:t>ccTLD</w:t>
      </w:r>
      <w:proofErr w:type="spellEnd"/>
      <w:r w:rsidR="00350ADF">
        <w:t xml:space="preserve"> system </w:t>
      </w:r>
      <w:r w:rsidR="005D0309">
        <w:t>are</w:t>
      </w:r>
      <w:r w:rsidR="00DD04A5">
        <w:t xml:space="preserve"> </w:t>
      </w:r>
      <w:r w:rsidR="00DD04A5" w:rsidRPr="001D750E">
        <w:t>critical to the administration of an Australian domain name system</w:t>
      </w:r>
      <w:r w:rsidR="00DD04A5">
        <w:t>:</w:t>
      </w:r>
    </w:p>
    <w:p w14:paraId="601F2428" w14:textId="5CE09652" w:rsidR="005D0309" w:rsidRDefault="00CA6DBB" w:rsidP="00613C4A">
      <w:pPr>
        <w:pStyle w:val="LDP1a"/>
      </w:pPr>
      <w:r>
        <w:t>(a)</w:t>
      </w:r>
      <w:r>
        <w:tab/>
      </w:r>
      <w:proofErr w:type="gramStart"/>
      <w:r w:rsidR="005D0309">
        <w:t>registry</w:t>
      </w:r>
      <w:proofErr w:type="gramEnd"/>
      <w:r w:rsidR="005D0309">
        <w:t xml:space="preserve"> database;</w:t>
      </w:r>
    </w:p>
    <w:p w14:paraId="6BF86E5D" w14:textId="4106F725" w:rsidR="005D0309" w:rsidRDefault="00CA6DBB" w:rsidP="00613C4A">
      <w:pPr>
        <w:pStyle w:val="LDP1a"/>
      </w:pPr>
      <w:r>
        <w:t>(b)</w:t>
      </w:r>
      <w:r>
        <w:tab/>
      </w:r>
      <w:proofErr w:type="gramStart"/>
      <w:r w:rsidR="005D0309">
        <w:t>public</w:t>
      </w:r>
      <w:proofErr w:type="gramEnd"/>
      <w:r w:rsidR="005D0309">
        <w:t xml:space="preserve"> WHOIS service (</w:t>
      </w:r>
      <w:hyperlink r:id="rId11" w:history="1">
        <w:r w:rsidR="005D0309" w:rsidRPr="00377CC3">
          <w:rPr>
            <w:rStyle w:val="Hyperlink"/>
          </w:rPr>
          <w:t>https://whois.auda.org.au/</w:t>
        </w:r>
      </w:hyperlink>
      <w:r w:rsidR="005D0309">
        <w:t>);</w:t>
      </w:r>
    </w:p>
    <w:p w14:paraId="0A9F0F7B" w14:textId="0A09E593" w:rsidR="005D0309" w:rsidRDefault="00CA6DBB" w:rsidP="00613C4A">
      <w:pPr>
        <w:pStyle w:val="LDP1a"/>
      </w:pPr>
      <w:r>
        <w:t>(c)</w:t>
      </w:r>
      <w:r>
        <w:tab/>
      </w:r>
      <w:r w:rsidR="005D0309">
        <w:t>.au top level authoritative DNS name</w:t>
      </w:r>
      <w:r w:rsidR="008B7887">
        <w:t xml:space="preserve"> </w:t>
      </w:r>
      <w:r w:rsidR="005D0309">
        <w:t>server</w:t>
      </w:r>
      <w:r w:rsidR="0003369E">
        <w:t>s</w:t>
      </w:r>
      <w:r w:rsidR="005D0309">
        <w:t>;</w:t>
      </w:r>
    </w:p>
    <w:p w14:paraId="18DED596" w14:textId="45DFC30A" w:rsidR="0003369E" w:rsidRDefault="00CA6DBB" w:rsidP="00613C4A">
      <w:pPr>
        <w:pStyle w:val="LDP1a"/>
      </w:pPr>
      <w:r>
        <w:t>(d)</w:t>
      </w:r>
      <w:r>
        <w:tab/>
      </w:r>
      <w:proofErr w:type="gramStart"/>
      <w:r w:rsidR="0003369E">
        <w:t>the</w:t>
      </w:r>
      <w:proofErr w:type="gramEnd"/>
      <w:r w:rsidR="0003369E">
        <w:t xml:space="preserve"> following </w:t>
      </w:r>
      <w:r w:rsidR="005D0309">
        <w:t>second level authoritative DNS name</w:t>
      </w:r>
      <w:r w:rsidR="008B7887">
        <w:t xml:space="preserve"> </w:t>
      </w:r>
      <w:r w:rsidR="005D0309">
        <w:t>server</w:t>
      </w:r>
      <w:r w:rsidR="0003369E">
        <w:t>s:</w:t>
      </w:r>
    </w:p>
    <w:p w14:paraId="6F13551E" w14:textId="77777777" w:rsidR="0003369E" w:rsidRDefault="0003369E" w:rsidP="005A58EC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.com.au;</w:t>
      </w:r>
    </w:p>
    <w:p w14:paraId="583F7C77" w14:textId="48F1D72E" w:rsidR="0003369E" w:rsidRDefault="0003369E" w:rsidP="005A58EC">
      <w:pPr>
        <w:pStyle w:val="LDP2i"/>
      </w:pPr>
      <w:r>
        <w:tab/>
        <w:t>(ii)</w:t>
      </w:r>
      <w:r>
        <w:tab/>
        <w:t>.net.au;</w:t>
      </w:r>
    </w:p>
    <w:p w14:paraId="490C3E3A" w14:textId="77777777" w:rsidR="0003369E" w:rsidRDefault="0003369E" w:rsidP="005A58EC">
      <w:pPr>
        <w:pStyle w:val="LDP2i"/>
      </w:pPr>
      <w:r>
        <w:tab/>
        <w:t>(iii)</w:t>
      </w:r>
      <w:r>
        <w:tab/>
        <w:t>.org.au;</w:t>
      </w:r>
    </w:p>
    <w:p w14:paraId="6419F02F" w14:textId="77777777" w:rsidR="0003369E" w:rsidRDefault="0003369E" w:rsidP="005A58EC">
      <w:pPr>
        <w:pStyle w:val="LDP2i"/>
      </w:pPr>
      <w:r>
        <w:tab/>
      </w:r>
      <w:proofErr w:type="gramStart"/>
      <w:r>
        <w:t>(iv)</w:t>
      </w:r>
      <w:r>
        <w:tab/>
        <w:t>.asn.au</w:t>
      </w:r>
      <w:proofErr w:type="gramEnd"/>
      <w:r>
        <w:t>;</w:t>
      </w:r>
    </w:p>
    <w:p w14:paraId="2086E01B" w14:textId="7C926002" w:rsidR="0003369E" w:rsidRDefault="0003369E" w:rsidP="005A58EC">
      <w:pPr>
        <w:pStyle w:val="LDP2i"/>
      </w:pPr>
      <w:r>
        <w:tab/>
        <w:t>(v)</w:t>
      </w:r>
      <w:r>
        <w:tab/>
        <w:t>.id.au;</w:t>
      </w:r>
    </w:p>
    <w:p w14:paraId="02065AA7" w14:textId="77777777" w:rsidR="0003369E" w:rsidRDefault="0003369E" w:rsidP="005A58EC">
      <w:pPr>
        <w:pStyle w:val="LDP2i"/>
      </w:pPr>
      <w:r>
        <w:tab/>
      </w:r>
      <w:proofErr w:type="gramStart"/>
      <w:r>
        <w:t>(vi)</w:t>
      </w:r>
      <w:r>
        <w:tab/>
        <w:t>.edu.au</w:t>
      </w:r>
      <w:proofErr w:type="gramEnd"/>
      <w:r>
        <w:t>;</w:t>
      </w:r>
    </w:p>
    <w:p w14:paraId="2A3B8880" w14:textId="344A3D96" w:rsidR="005D0309" w:rsidRDefault="0003369E" w:rsidP="005A58EC">
      <w:pPr>
        <w:pStyle w:val="LDP2i"/>
      </w:pPr>
      <w:r>
        <w:tab/>
        <w:t>(vii)</w:t>
      </w:r>
      <w:r>
        <w:tab/>
        <w:t xml:space="preserve">.gov.au. </w:t>
      </w:r>
    </w:p>
    <w:p w14:paraId="2D3227ED" w14:textId="5DA357FF" w:rsidR="0043418A" w:rsidRDefault="001D750E" w:rsidP="0043418A">
      <w:pPr>
        <w:pStyle w:val="LDAmendHeading"/>
      </w:pPr>
      <w:r>
        <w:rPr>
          <w:noProof/>
        </w:rPr>
        <w:lastRenderedPageBreak/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10</w:t>
      </w:r>
      <w:r>
        <w:rPr>
          <w:noProof/>
        </w:rPr>
        <w:fldChar w:fldCharType="end"/>
      </w:r>
      <w:r>
        <w:rPr>
          <w:noProof/>
        </w:rPr>
        <w:t>]</w:t>
      </w:r>
      <w:r>
        <w:tab/>
      </w:r>
      <w:r w:rsidR="0043418A">
        <w:t>After section 18</w:t>
      </w:r>
    </w:p>
    <w:p w14:paraId="7D7F983C" w14:textId="36136780" w:rsidR="001D750E" w:rsidRPr="00D837F1" w:rsidRDefault="007A488D" w:rsidP="00613C4A">
      <w:pPr>
        <w:pStyle w:val="LDAmendInstruction"/>
      </w:pPr>
      <w:proofErr w:type="gramStart"/>
      <w:r w:rsidRPr="001D750E">
        <w:t>insert</w:t>
      </w:r>
      <w:proofErr w:type="gramEnd"/>
    </w:p>
    <w:p w14:paraId="439AD0E1" w14:textId="05CF94D5" w:rsidR="008171B8" w:rsidRDefault="008171B8" w:rsidP="008171B8">
      <w:pPr>
        <w:pStyle w:val="LDDivHead"/>
      </w:pPr>
      <w:bookmarkStart w:id="13" w:name="_Toc501639271"/>
      <w:bookmarkStart w:id="14" w:name="_Toc23422646"/>
      <w:bookmarkStart w:id="15" w:name="_Toc31201284"/>
      <w:bookmarkStart w:id="16" w:name="_Toc31201292"/>
      <w:r w:rsidRPr="003113D0">
        <w:t>Division</w:t>
      </w:r>
      <w:r>
        <w:t xml:space="preserve"> 2</w:t>
      </w:r>
      <w:r w:rsidRPr="003113D0">
        <w:t>.</w:t>
      </w:r>
      <w:bookmarkEnd w:id="13"/>
      <w:r>
        <w:t>3</w:t>
      </w:r>
      <w:r>
        <w:tab/>
      </w:r>
      <w:bookmarkEnd w:id="14"/>
      <w:bookmarkEnd w:id="15"/>
      <w:r>
        <w:t>Assets that are not critical infrastructure assets</w:t>
      </w:r>
    </w:p>
    <w:p w14:paraId="3B49AC6B" w14:textId="6755F0EE" w:rsidR="0043418A" w:rsidRDefault="0043418A" w:rsidP="0043418A">
      <w:pPr>
        <w:pStyle w:val="LDSecHead"/>
      </w:pPr>
      <w:r>
        <w:t>19</w:t>
      </w:r>
      <w:r>
        <w:tab/>
      </w:r>
      <w:bookmarkEnd w:id="16"/>
      <w:r>
        <w:t>Sugar mills</w:t>
      </w:r>
    </w:p>
    <w:p w14:paraId="14685798" w14:textId="134753BF" w:rsidR="0043418A" w:rsidRDefault="0043418A" w:rsidP="0043418A">
      <w:pPr>
        <w:pStyle w:val="LDSec1"/>
      </w:pPr>
      <w:r>
        <w:tab/>
        <w:t>(1)</w:t>
      </w:r>
      <w:r>
        <w:tab/>
        <w:t xml:space="preserve">For </w:t>
      </w:r>
      <w:r w:rsidR="00143CF5">
        <w:t>paragraph</w:t>
      </w:r>
      <w:r w:rsidR="00143CF5">
        <w:rPr>
          <w:vertAlign w:val="subscript"/>
        </w:rPr>
        <w:t> </w:t>
      </w:r>
      <w:r>
        <w:t>9(2</w:t>
      </w:r>
      <w:proofErr w:type="gramStart"/>
      <w:r>
        <w:t>)</w:t>
      </w:r>
      <w:r w:rsidR="00143CF5">
        <w:t>(</w:t>
      </w:r>
      <w:proofErr w:type="gramEnd"/>
      <w:r w:rsidR="00143CF5">
        <w:t>j)</w:t>
      </w:r>
      <w:r>
        <w:t xml:space="preserve"> of the Act, a critical electricity asset mentioned in subsection</w:t>
      </w:r>
      <w:r w:rsidR="008171B8">
        <w:t> </w:t>
      </w:r>
      <w:r>
        <w:t xml:space="preserve">(2) is not a critical infrastructure asset.  </w:t>
      </w:r>
    </w:p>
    <w:p w14:paraId="2C52DD58" w14:textId="25B95BF8" w:rsidR="00AA76C3" w:rsidRDefault="00AA76C3" w:rsidP="00AA76C3">
      <w:pPr>
        <w:pStyle w:val="LDSec1"/>
      </w:pPr>
      <w:r>
        <w:tab/>
        <w:t>(2)</w:t>
      </w:r>
      <w:r>
        <w:tab/>
        <w:t xml:space="preserve">An asset mentioned in an item </w:t>
      </w:r>
      <w:r w:rsidR="00372401">
        <w:t xml:space="preserve">in </w:t>
      </w:r>
      <w:r>
        <w:t xml:space="preserve">the following table that is owned or operated by the entity mentioned in the item.  </w:t>
      </w:r>
    </w:p>
    <w:tbl>
      <w:tblPr>
        <w:tblStyle w:val="TableGrid1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472"/>
        <w:gridCol w:w="3473"/>
      </w:tblGrid>
      <w:tr w:rsidR="00AA76C3" w:rsidRPr="00926ACD" w14:paraId="54EF5D58" w14:textId="77777777" w:rsidTr="00C91D35">
        <w:trPr>
          <w:tblHeader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3B28A" w14:textId="77777777" w:rsidR="00AA76C3" w:rsidRPr="00926ACD" w:rsidRDefault="00AA76C3" w:rsidP="00427EBD">
            <w:pPr>
              <w:pStyle w:val="LDTableheading"/>
            </w:pPr>
            <w:r w:rsidRPr="00926ACD">
              <w:t>Item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453843" w14:textId="77777777" w:rsidR="00AA76C3" w:rsidRPr="00926ACD" w:rsidRDefault="00AA76C3" w:rsidP="00427EBD">
            <w:pPr>
              <w:pStyle w:val="LDTableheading"/>
            </w:pPr>
            <w:r>
              <w:t>Asset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C6443" w14:textId="77777777" w:rsidR="00AA76C3" w:rsidRPr="00926ACD" w:rsidRDefault="00AA76C3" w:rsidP="00427EBD">
            <w:pPr>
              <w:pStyle w:val="LDTableheading"/>
            </w:pPr>
            <w:r>
              <w:t>Entity</w:t>
            </w:r>
          </w:p>
        </w:tc>
      </w:tr>
      <w:tr w:rsidR="00AA76C3" w:rsidRPr="00926ACD" w14:paraId="7EEF0537" w14:textId="77777777" w:rsidTr="00C91D35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CCE4F" w14:textId="77777777" w:rsidR="00AA76C3" w:rsidRPr="00926ACD" w:rsidRDefault="00AA76C3" w:rsidP="00427EBD">
            <w:pPr>
              <w:pStyle w:val="LDTabletext"/>
            </w:pPr>
            <w:r w:rsidRPr="00926ACD"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3A8A2" w14:textId="77777777" w:rsidR="00AA76C3" w:rsidRPr="00926ACD" w:rsidRDefault="00AA76C3" w:rsidP="00427EBD">
            <w:pPr>
              <w:pStyle w:val="LDTabletext"/>
            </w:pPr>
            <w:proofErr w:type="spellStart"/>
            <w:r>
              <w:t>Invicta</w:t>
            </w:r>
            <w:proofErr w:type="spellEnd"/>
            <w:r>
              <w:t xml:space="preserve"> Sugar Mill, Giru,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9131D" w14:textId="77777777" w:rsidR="00AA76C3" w:rsidRPr="00926ACD" w:rsidRDefault="00AA76C3" w:rsidP="00427EBD">
            <w:pPr>
              <w:pStyle w:val="LDTabletext"/>
            </w:pPr>
            <w:r w:rsidRPr="00F22767">
              <w:t>The Haughton Sugar Company</w:t>
            </w:r>
            <w:r>
              <w:t xml:space="preserve"> Pty Ltd (ABN: </w:t>
            </w:r>
            <w:r w:rsidRPr="00F22767">
              <w:t>65</w:t>
            </w:r>
            <w:r>
              <w:t xml:space="preserve"> </w:t>
            </w:r>
            <w:r w:rsidRPr="00F22767">
              <w:t>009</w:t>
            </w:r>
            <w:r>
              <w:t xml:space="preserve"> </w:t>
            </w:r>
            <w:r w:rsidRPr="00F22767">
              <w:t>656</w:t>
            </w:r>
            <w:r>
              <w:t xml:space="preserve"> </w:t>
            </w:r>
            <w:r w:rsidRPr="00F22767">
              <w:t>062</w:t>
            </w:r>
            <w:r>
              <w:t>)</w:t>
            </w:r>
          </w:p>
        </w:tc>
      </w:tr>
      <w:tr w:rsidR="00AA76C3" w:rsidRPr="00926ACD" w14:paraId="4801C1B4" w14:textId="77777777" w:rsidTr="00C91D35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80C56" w14:textId="77777777" w:rsidR="00AA76C3" w:rsidRPr="00926ACD" w:rsidRDefault="00AA76C3" w:rsidP="00427EBD">
            <w:pPr>
              <w:pStyle w:val="LDTabletext"/>
            </w:pPr>
            <w:r w:rsidRPr="00926ACD"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EE14BC" w14:textId="77777777" w:rsidR="00AA76C3" w:rsidRPr="00926ACD" w:rsidRDefault="00AA76C3" w:rsidP="00427EBD">
            <w:pPr>
              <w:pStyle w:val="LDTabletext"/>
            </w:pPr>
            <w:r>
              <w:t>Pioneer Sugar Mill, Brandon,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E53CE" w14:textId="77777777" w:rsidR="00AA76C3" w:rsidRPr="00926ACD" w:rsidRDefault="00AA76C3" w:rsidP="00427EBD">
            <w:pPr>
              <w:pStyle w:val="LDTabletext"/>
            </w:pPr>
            <w:r w:rsidRPr="00F22767">
              <w:t>Pioneer Sugar Mills</w:t>
            </w:r>
            <w:r>
              <w:t xml:space="preserve"> Pty Ltd (ABN: </w:t>
            </w:r>
            <w:r w:rsidRPr="00F22767">
              <w:t>63009889856</w:t>
            </w:r>
            <w:r>
              <w:t>)</w:t>
            </w:r>
          </w:p>
        </w:tc>
      </w:tr>
      <w:tr w:rsidR="00AA76C3" w:rsidRPr="00926ACD" w14:paraId="53AA0256" w14:textId="77777777" w:rsidTr="00C91D35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70F541" w14:textId="77777777" w:rsidR="00AA76C3" w:rsidRPr="00926ACD" w:rsidRDefault="00AA76C3" w:rsidP="00427EBD">
            <w:pPr>
              <w:pStyle w:val="LDTabletext"/>
            </w:pPr>
            <w:r w:rsidRPr="00926ACD"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7D7071" w14:textId="77777777" w:rsidR="00AA76C3" w:rsidRPr="00926ACD" w:rsidRDefault="00AA76C3" w:rsidP="00427EBD">
            <w:pPr>
              <w:pStyle w:val="LDTabletext"/>
            </w:pPr>
            <w:r>
              <w:t>Racecourse Sugar Mill, Racecourse, Mackay,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4F70E0" w14:textId="77777777" w:rsidR="00AA76C3" w:rsidRPr="00926ACD" w:rsidRDefault="00AA76C3" w:rsidP="00427EBD">
            <w:pPr>
              <w:pStyle w:val="LDTabletext"/>
            </w:pPr>
            <w:r>
              <w:t>Mackay Sugar Ltd (</w:t>
            </w:r>
            <w:r w:rsidRPr="00D26D58">
              <w:t>ABN</w:t>
            </w:r>
            <w:r>
              <w:t>:</w:t>
            </w:r>
            <w:r w:rsidRPr="00D26D58">
              <w:t xml:space="preserve"> 12 057 463 671</w:t>
            </w:r>
            <w:r>
              <w:t>)</w:t>
            </w:r>
          </w:p>
        </w:tc>
      </w:tr>
      <w:tr w:rsidR="00AA76C3" w:rsidRPr="00926ACD" w14:paraId="70F05917" w14:textId="77777777" w:rsidTr="00C91D35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288997" w14:textId="77777777" w:rsidR="00AA76C3" w:rsidRPr="00926ACD" w:rsidRDefault="00AA76C3" w:rsidP="00427EBD">
            <w:pPr>
              <w:pStyle w:val="LDTabletext"/>
            </w:pPr>
            <w:r w:rsidRPr="00926ACD"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3325B" w14:textId="77777777" w:rsidR="00AA76C3" w:rsidRPr="00926ACD" w:rsidRDefault="00AA76C3" w:rsidP="00427EBD">
            <w:pPr>
              <w:pStyle w:val="LDTabletext"/>
            </w:pPr>
            <w:r>
              <w:t>South Johnstone Sugar Mill, South Johnstone,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1FB85C" w14:textId="77777777" w:rsidR="00AA76C3" w:rsidRPr="00926ACD" w:rsidRDefault="00AA76C3" w:rsidP="00427EBD">
            <w:pPr>
              <w:pStyle w:val="LDTabletext"/>
            </w:pPr>
            <w:r>
              <w:t>MSF Sugar Pty Ltd (</w:t>
            </w:r>
            <w:r w:rsidRPr="00D26D58">
              <w:t>ABN</w:t>
            </w:r>
            <w:r>
              <w:t>: 11 </w:t>
            </w:r>
            <w:r w:rsidRPr="00D26D58">
              <w:t>009 658 708</w:t>
            </w:r>
            <w:r>
              <w:t>)</w:t>
            </w:r>
          </w:p>
        </w:tc>
      </w:tr>
    </w:tbl>
    <w:p w14:paraId="381E8F17" w14:textId="1985B677" w:rsidR="00101C86" w:rsidRDefault="00C91D35" w:rsidP="00101C86">
      <w:pPr>
        <w:pStyle w:val="LDAmendHeading"/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11</w:t>
      </w:r>
      <w:r>
        <w:rPr>
          <w:noProof/>
        </w:rPr>
        <w:fldChar w:fldCharType="end"/>
      </w:r>
      <w:r>
        <w:rPr>
          <w:noProof/>
        </w:rPr>
        <w:t>]</w:t>
      </w:r>
      <w:r>
        <w:tab/>
      </w:r>
      <w:r w:rsidR="00CF5A39">
        <w:t>Schedule 1</w:t>
      </w:r>
      <w:r w:rsidR="0003319C">
        <w:t>, item</w:t>
      </w:r>
      <w:r w:rsidR="00F02CAF">
        <w:t>s</w:t>
      </w:r>
      <w:r w:rsidR="0003319C">
        <w:t xml:space="preserve"> </w:t>
      </w:r>
      <w:r w:rsidR="0012397D">
        <w:t xml:space="preserve">1, </w:t>
      </w:r>
      <w:r w:rsidR="0003319C">
        <w:t>2</w:t>
      </w:r>
      <w:r w:rsidR="00F02CAF">
        <w:t>, 3 and 4</w:t>
      </w:r>
    </w:p>
    <w:p w14:paraId="470C3F3F" w14:textId="74117B52" w:rsidR="00CF5A39" w:rsidRDefault="007123DD" w:rsidP="00CF5A39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40"/>
        <w:gridCol w:w="4110"/>
      </w:tblGrid>
      <w:tr w:rsidR="0012397D" w:rsidRPr="00F72834" w14:paraId="33D8A7CA" w14:textId="77777777" w:rsidTr="00322A4B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A33EB" w14:textId="03E7A138" w:rsidR="0012397D" w:rsidRPr="00F72834" w:rsidRDefault="0012397D" w:rsidP="00322A4B">
            <w:pPr>
              <w:pStyle w:val="LDTabletext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6BCC7" w14:textId="757B58C0" w:rsidR="0012397D" w:rsidRPr="00F72834" w:rsidRDefault="0012397D" w:rsidP="00322A4B">
            <w:pPr>
              <w:pStyle w:val="LDTabletext"/>
            </w:pPr>
            <w:r w:rsidRPr="0012397D">
              <w:t>Chullora</w:t>
            </w:r>
            <w:r>
              <w:t>, New South Wales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4E241" w14:textId="471E2883" w:rsidR="0012397D" w:rsidRPr="00F72834" w:rsidRDefault="005041DA" w:rsidP="00613C4A">
            <w:pPr>
              <w:pStyle w:val="LDTabletext"/>
            </w:pPr>
            <w:r>
              <w:t>Pacific National (ABN 48 052 134 362)</w:t>
            </w:r>
          </w:p>
        </w:tc>
      </w:tr>
      <w:tr w:rsidR="00F50DBA" w:rsidRPr="00F72834" w14:paraId="4BFA722E" w14:textId="77777777" w:rsidTr="00322A4B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C3538" w14:textId="77777777" w:rsidR="00F50DBA" w:rsidRPr="00F72834" w:rsidRDefault="00F50DBA" w:rsidP="00322A4B">
            <w:pPr>
              <w:pStyle w:val="LDTabletext"/>
            </w:pPr>
            <w:r w:rsidRPr="00F72834"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025860" w14:textId="77777777" w:rsidR="00F50DBA" w:rsidRPr="00F72834" w:rsidRDefault="00F50DBA" w:rsidP="00322A4B">
            <w:pPr>
              <w:pStyle w:val="LDTabletext"/>
            </w:pPr>
            <w:r w:rsidRPr="00F72834">
              <w:t>Parkes, New South Wales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519BD" w14:textId="77777777" w:rsidR="00F50DBA" w:rsidRPr="00F72834" w:rsidRDefault="00F50DBA" w:rsidP="00322A4B">
            <w:pPr>
              <w:pStyle w:val="LDTabletext"/>
              <w:numPr>
                <w:ilvl w:val="0"/>
                <w:numId w:val="29"/>
              </w:numPr>
              <w:ind w:left="316" w:hanging="284"/>
            </w:pPr>
            <w:r w:rsidRPr="00F72834">
              <w:t xml:space="preserve">Pacific National (ABN 50 105 300 767); </w:t>
            </w:r>
          </w:p>
          <w:p w14:paraId="57B950B5" w14:textId="77777777" w:rsidR="00F50DBA" w:rsidRPr="00F72834" w:rsidRDefault="00F50DBA" w:rsidP="00322A4B">
            <w:pPr>
              <w:pStyle w:val="LDTabletext"/>
              <w:numPr>
                <w:ilvl w:val="0"/>
                <w:numId w:val="29"/>
              </w:numPr>
              <w:ind w:left="316" w:hanging="284"/>
            </w:pPr>
            <w:r w:rsidRPr="00F72834">
              <w:t>SCT Logistics (ABN 37 757 194 158); and</w:t>
            </w:r>
          </w:p>
          <w:p w14:paraId="7B5A22EA" w14:textId="77777777" w:rsidR="00F50DBA" w:rsidRPr="00F72834" w:rsidRDefault="00F50DBA" w:rsidP="00322A4B">
            <w:pPr>
              <w:pStyle w:val="LDTabletext"/>
              <w:numPr>
                <w:ilvl w:val="0"/>
                <w:numId w:val="29"/>
              </w:numPr>
              <w:ind w:left="316" w:hanging="284"/>
            </w:pPr>
            <w:r w:rsidRPr="00F72834">
              <w:t>Linfox (ABN 24 121 216 724)</w:t>
            </w:r>
          </w:p>
        </w:tc>
      </w:tr>
      <w:tr w:rsidR="00F02CAF" w:rsidRPr="00F72834" w14:paraId="26904F68" w14:textId="77777777" w:rsidTr="00322A4B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BF8B5" w14:textId="0276E955" w:rsidR="00F02CAF" w:rsidRPr="00F72834" w:rsidRDefault="00F02CAF" w:rsidP="00322A4B">
            <w:pPr>
              <w:pStyle w:val="LDTabletext"/>
            </w:pPr>
            <w: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11018" w14:textId="0F84BB00" w:rsidR="00F02CAF" w:rsidRPr="00F72834" w:rsidRDefault="00F02CAF" w:rsidP="00322A4B">
            <w:pPr>
              <w:pStyle w:val="LDTabletext"/>
            </w:pPr>
            <w:r>
              <w:t>Altona, Victoria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3487A" w14:textId="09D8286E" w:rsidR="00F02CAF" w:rsidRPr="00F72834" w:rsidRDefault="00F02CAF" w:rsidP="00F02CAF">
            <w:pPr>
              <w:pStyle w:val="LDTabletext"/>
            </w:pPr>
            <w:r>
              <w:t xml:space="preserve">SCT Logistics </w:t>
            </w:r>
            <w:r w:rsidRPr="00F72834">
              <w:t>(ABN 37 757 194 158)</w:t>
            </w:r>
          </w:p>
        </w:tc>
      </w:tr>
      <w:tr w:rsidR="00F02CAF" w:rsidRPr="00F72834" w14:paraId="1F3E7E25" w14:textId="77777777" w:rsidTr="00322A4B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BA1C8" w14:textId="27F32F00" w:rsidR="00F02CAF" w:rsidRPr="00F72834" w:rsidRDefault="00F02CAF" w:rsidP="00322A4B">
            <w:pPr>
              <w:pStyle w:val="LDTabletext"/>
            </w:pPr>
            <w: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A3C9E" w14:textId="2C2462BC" w:rsidR="00F02CAF" w:rsidRPr="00F72834" w:rsidRDefault="004F169F" w:rsidP="00322A4B">
            <w:pPr>
              <w:pStyle w:val="LDTabletext"/>
            </w:pPr>
            <w:r>
              <w:t>Barnawartha</w:t>
            </w:r>
            <w:r w:rsidR="00F02CAF">
              <w:t>, Victoria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42D66" w14:textId="67B3BD6F" w:rsidR="00F02CAF" w:rsidRPr="00F72834" w:rsidRDefault="00F02CAF" w:rsidP="00F02CAF">
            <w:pPr>
              <w:pStyle w:val="LDTabletext"/>
            </w:pPr>
            <w:r>
              <w:t xml:space="preserve">SCT Logistics </w:t>
            </w:r>
            <w:r w:rsidRPr="00F72834">
              <w:t>(ABN 37 757 194 158)</w:t>
            </w:r>
          </w:p>
        </w:tc>
      </w:tr>
    </w:tbl>
    <w:p w14:paraId="2C0CEF44" w14:textId="0A8C8B20" w:rsidR="0003319C" w:rsidRDefault="00C91D35" w:rsidP="0003319C">
      <w:pPr>
        <w:pStyle w:val="LDAmendHeading"/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12</w:t>
      </w:r>
      <w:r>
        <w:rPr>
          <w:noProof/>
        </w:rPr>
        <w:fldChar w:fldCharType="end"/>
      </w:r>
      <w:r>
        <w:rPr>
          <w:noProof/>
        </w:rPr>
        <w:t>]</w:t>
      </w:r>
      <w:r>
        <w:tab/>
        <w:t>S</w:t>
      </w:r>
      <w:r w:rsidR="0003319C">
        <w:t xml:space="preserve">chedule 1, </w:t>
      </w:r>
      <w:r w:rsidR="004A11D6">
        <w:t>items 7 and 8</w:t>
      </w:r>
    </w:p>
    <w:p w14:paraId="348F8438" w14:textId="661243A7" w:rsidR="004A11D6" w:rsidRDefault="004A11D6" w:rsidP="004A11D6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40"/>
        <w:gridCol w:w="4110"/>
      </w:tblGrid>
      <w:tr w:rsidR="004A11D6" w14:paraId="1089A65D" w14:textId="77777777" w:rsidTr="004A11D6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0C41D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A07AAE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Acacia Ridge, Queensland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F3FA7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Pacific National (ABN 26 615 302 111)</w:t>
            </w:r>
          </w:p>
        </w:tc>
      </w:tr>
      <w:tr w:rsidR="004A11D6" w14:paraId="7739B58D" w14:textId="77777777" w:rsidTr="004A11D6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C1B83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184E54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Bromelton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, Queensland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81A8E8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SCT Logistics (ABN 37 757 194 158)</w:t>
            </w:r>
          </w:p>
        </w:tc>
      </w:tr>
    </w:tbl>
    <w:p w14:paraId="61331020" w14:textId="49F314F8" w:rsidR="004A11D6" w:rsidRDefault="00C91D35" w:rsidP="00613C4A">
      <w:pPr>
        <w:pStyle w:val="LDAmendHeading"/>
        <w:ind w:left="0" w:firstLine="0"/>
      </w:pPr>
      <w:r>
        <w:rPr>
          <w:noProof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72AD">
        <w:rPr>
          <w:noProof/>
        </w:rPr>
        <w:t>13</w:t>
      </w:r>
      <w:r>
        <w:rPr>
          <w:noProof/>
        </w:rPr>
        <w:fldChar w:fldCharType="end"/>
      </w:r>
      <w:r>
        <w:rPr>
          <w:noProof/>
        </w:rPr>
        <w:t>]</w:t>
      </w:r>
      <w:r>
        <w:tab/>
      </w:r>
      <w:r w:rsidR="004A11D6">
        <w:t xml:space="preserve">Schedule 1, items </w:t>
      </w:r>
      <w:r w:rsidR="00F66772">
        <w:t xml:space="preserve">11 </w:t>
      </w:r>
      <w:r w:rsidR="004A11D6">
        <w:t xml:space="preserve">and </w:t>
      </w:r>
      <w:r w:rsidR="00F66772">
        <w:t>12</w:t>
      </w:r>
    </w:p>
    <w:p w14:paraId="70703420" w14:textId="366B5360" w:rsidR="004A11D6" w:rsidRPr="004A11D6" w:rsidRDefault="004A11D6" w:rsidP="004A11D6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40"/>
        <w:gridCol w:w="4110"/>
      </w:tblGrid>
      <w:tr w:rsidR="004A11D6" w14:paraId="20311B72" w14:textId="77777777" w:rsidTr="00C91D35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823A0" w14:textId="0AA53C56" w:rsidR="004A11D6" w:rsidRDefault="00F6677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BBA689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Penfield, South Australia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F0C7E3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SCT Logistics (ABN 37 757 194 158)</w:t>
            </w:r>
          </w:p>
        </w:tc>
      </w:tr>
      <w:tr w:rsidR="004A11D6" w14:paraId="0699C61E" w14:textId="77777777" w:rsidTr="00C91D35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69EF0" w14:textId="000869FD" w:rsidR="004A11D6" w:rsidRDefault="00F66772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C0B59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Forrestfield, Western Australia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8C049D" w14:textId="77777777" w:rsidR="004A11D6" w:rsidRDefault="004A11D6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SCT Logistics (ABN 37 757 194 158)</w:t>
            </w:r>
          </w:p>
        </w:tc>
      </w:tr>
      <w:tr w:rsidR="00C91D35" w14:paraId="172FDC83" w14:textId="77777777" w:rsidTr="00C91D35"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99463" w14:textId="4E96CB90" w:rsidR="00C91D35" w:rsidRPr="00613C4A" w:rsidRDefault="00C91D35" w:rsidP="00C91D3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 w:rsidRPr="00613C4A">
              <w:rPr>
                <w:rFonts w:ascii="Arial" w:eastAsia="Times New Roman" w:hAnsi="Arial" w:cs="Arial"/>
                <w:sz w:val="20"/>
              </w:rPr>
              <w:t>12A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57C9" w14:textId="0A15B71A" w:rsidR="00C91D35" w:rsidRPr="000837EC" w:rsidRDefault="00C91D35" w:rsidP="00C91D3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 w:rsidRPr="005A58EC">
              <w:rPr>
                <w:rFonts w:ascii="Arial" w:hAnsi="Arial" w:cs="Arial"/>
                <w:sz w:val="20"/>
              </w:rPr>
              <w:t>Kewdale-Welshpool, Western Australia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A67DF" w14:textId="7E1E1830" w:rsidR="00C91D35" w:rsidRPr="000837EC" w:rsidRDefault="00C91D35" w:rsidP="00C91D3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</w:rPr>
            </w:pPr>
            <w:r w:rsidRPr="005A58EC">
              <w:rPr>
                <w:rFonts w:ascii="Arial" w:hAnsi="Arial" w:cs="Arial"/>
                <w:sz w:val="20"/>
              </w:rPr>
              <w:t>Pacific National (ABN 48 052 134 362)</w:t>
            </w:r>
          </w:p>
        </w:tc>
      </w:tr>
    </w:tbl>
    <w:p w14:paraId="197578B6" w14:textId="313E2A97" w:rsidR="00CD22D3" w:rsidRPr="00CD22D3" w:rsidRDefault="00CD22D3" w:rsidP="0003319C">
      <w:pPr>
        <w:pStyle w:val="LDAmendInstruction"/>
        <w:ind w:left="0"/>
      </w:pPr>
    </w:p>
    <w:sectPr w:rsidR="00CD22D3" w:rsidRPr="00CD22D3" w:rsidSect="00F50AD6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6FFA8" w14:textId="77777777" w:rsidR="004C5E04" w:rsidRDefault="004C5E04" w:rsidP="00715914">
      <w:pPr>
        <w:spacing w:line="240" w:lineRule="auto"/>
      </w:pPr>
      <w:r>
        <w:separator/>
      </w:r>
    </w:p>
    <w:p w14:paraId="157AB94F" w14:textId="77777777" w:rsidR="004C5E04" w:rsidRDefault="004C5E04"/>
    <w:p w14:paraId="2023C70B" w14:textId="77777777" w:rsidR="004C5E04" w:rsidRDefault="004C5E04"/>
  </w:endnote>
  <w:endnote w:type="continuationSeparator" w:id="0">
    <w:p w14:paraId="347E4EBA" w14:textId="77777777" w:rsidR="004C5E04" w:rsidRDefault="004C5E04" w:rsidP="00715914">
      <w:pPr>
        <w:spacing w:line="240" w:lineRule="auto"/>
      </w:pPr>
      <w:r>
        <w:continuationSeparator/>
      </w:r>
    </w:p>
    <w:p w14:paraId="6C9F04C4" w14:textId="77777777" w:rsidR="004C5E04" w:rsidRDefault="004C5E04"/>
    <w:p w14:paraId="2B86D32F" w14:textId="77777777" w:rsidR="004C5E04" w:rsidRDefault="004C5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AC2D" w14:textId="0A8D96AA" w:rsidR="00494305" w:rsidRPr="007C5FDD" w:rsidRDefault="00C852B5" w:rsidP="00494305">
    <w:pPr>
      <w:pStyle w:val="LDFooter"/>
    </w:pPr>
    <w:r w:rsidRPr="00C852B5">
      <w:rPr>
        <w:rStyle w:val="LDItal"/>
      </w:rPr>
      <w:t>Security of Critical Infrastructure (Definiti</w:t>
    </w:r>
    <w:r w:rsidR="00E3710C">
      <w:rPr>
        <w:rStyle w:val="LDItal"/>
      </w:rPr>
      <w:t>ons) Amendment Rules (LIN 22/056</w:t>
    </w:r>
    <w:r w:rsidRPr="00C852B5">
      <w:rPr>
        <w:rStyle w:val="LDItal"/>
      </w:rPr>
      <w:t>) 2022</w:t>
    </w:r>
    <w:r w:rsidR="00E73F7A">
      <w:rPr>
        <w:rStyle w:val="LDItal"/>
      </w:rPr>
      <w:t xml:space="preserve"> (No. 2)</w:t>
    </w:r>
  </w:p>
  <w:p w14:paraId="3598F83D" w14:textId="28DF25A3" w:rsidR="00B714F2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B39B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B76B" w14:textId="77777777" w:rsidR="004C5E04" w:rsidRDefault="004C5E04" w:rsidP="00715914">
      <w:pPr>
        <w:spacing w:line="240" w:lineRule="auto"/>
      </w:pPr>
      <w:r>
        <w:separator/>
      </w:r>
    </w:p>
    <w:p w14:paraId="2DE383B3" w14:textId="77777777" w:rsidR="004C5E04" w:rsidRDefault="004C5E04"/>
    <w:p w14:paraId="0C403F60" w14:textId="77777777" w:rsidR="004C5E04" w:rsidRDefault="004C5E04"/>
  </w:footnote>
  <w:footnote w:type="continuationSeparator" w:id="0">
    <w:p w14:paraId="0685EABE" w14:textId="77777777" w:rsidR="004C5E04" w:rsidRDefault="004C5E04" w:rsidP="00715914">
      <w:pPr>
        <w:spacing w:line="240" w:lineRule="auto"/>
      </w:pPr>
      <w:r>
        <w:continuationSeparator/>
      </w:r>
    </w:p>
    <w:p w14:paraId="5A8B32C5" w14:textId="77777777" w:rsidR="004C5E04" w:rsidRDefault="004C5E04"/>
    <w:p w14:paraId="29278ECD" w14:textId="77777777" w:rsidR="004C5E04" w:rsidRDefault="004C5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006B" w14:textId="5EC7FEC0" w:rsidR="00101C86" w:rsidRPr="00480098" w:rsidRDefault="00101C86" w:rsidP="00480098">
    <w:pPr>
      <w:pBdr>
        <w:bottom w:val="single" w:sz="6" w:space="1" w:color="auto"/>
      </w:pBdr>
      <w:spacing w:after="120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B0DBF"/>
    <w:multiLevelType w:val="hybridMultilevel"/>
    <w:tmpl w:val="34DA077C"/>
    <w:lvl w:ilvl="0" w:tplc="7A0A6E20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10670345"/>
    <w:multiLevelType w:val="hybridMultilevel"/>
    <w:tmpl w:val="19C06138"/>
    <w:lvl w:ilvl="0" w:tplc="D85E4EB4">
      <w:start w:val="1"/>
      <w:numFmt w:val="lowerLetter"/>
      <w:lvlText w:val="(%1)"/>
      <w:lvlJc w:val="left"/>
      <w:pPr>
        <w:ind w:left="1893" w:hanging="7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7" w:hanging="360"/>
      </w:pPr>
    </w:lvl>
    <w:lvl w:ilvl="2" w:tplc="0C09001B" w:tentative="1">
      <w:start w:val="1"/>
      <w:numFmt w:val="lowerRoman"/>
      <w:lvlText w:val="%3."/>
      <w:lvlJc w:val="right"/>
      <w:pPr>
        <w:ind w:left="2617" w:hanging="180"/>
      </w:pPr>
    </w:lvl>
    <w:lvl w:ilvl="3" w:tplc="0C09000F" w:tentative="1">
      <w:start w:val="1"/>
      <w:numFmt w:val="decimal"/>
      <w:lvlText w:val="%4."/>
      <w:lvlJc w:val="left"/>
      <w:pPr>
        <w:ind w:left="3337" w:hanging="360"/>
      </w:pPr>
    </w:lvl>
    <w:lvl w:ilvl="4" w:tplc="0C090019" w:tentative="1">
      <w:start w:val="1"/>
      <w:numFmt w:val="lowerLetter"/>
      <w:lvlText w:val="%5."/>
      <w:lvlJc w:val="left"/>
      <w:pPr>
        <w:ind w:left="4057" w:hanging="360"/>
      </w:pPr>
    </w:lvl>
    <w:lvl w:ilvl="5" w:tplc="0C09001B" w:tentative="1">
      <w:start w:val="1"/>
      <w:numFmt w:val="lowerRoman"/>
      <w:lvlText w:val="%6."/>
      <w:lvlJc w:val="right"/>
      <w:pPr>
        <w:ind w:left="4777" w:hanging="180"/>
      </w:pPr>
    </w:lvl>
    <w:lvl w:ilvl="6" w:tplc="0C09000F" w:tentative="1">
      <w:start w:val="1"/>
      <w:numFmt w:val="decimal"/>
      <w:lvlText w:val="%7."/>
      <w:lvlJc w:val="left"/>
      <w:pPr>
        <w:ind w:left="5497" w:hanging="360"/>
      </w:pPr>
    </w:lvl>
    <w:lvl w:ilvl="7" w:tplc="0C090019" w:tentative="1">
      <w:start w:val="1"/>
      <w:numFmt w:val="lowerLetter"/>
      <w:lvlText w:val="%8."/>
      <w:lvlJc w:val="left"/>
      <w:pPr>
        <w:ind w:left="6217" w:hanging="360"/>
      </w:pPr>
    </w:lvl>
    <w:lvl w:ilvl="8" w:tplc="0C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1A2EE7"/>
    <w:multiLevelType w:val="hybridMultilevel"/>
    <w:tmpl w:val="7E40C1B4"/>
    <w:lvl w:ilvl="0" w:tplc="9CFC1690">
      <w:start w:val="1"/>
      <w:numFmt w:val="lowerLetter"/>
      <w:lvlText w:val="(%1)"/>
      <w:lvlJc w:val="left"/>
      <w:pPr>
        <w:ind w:left="1637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1E210280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2C46603"/>
    <w:multiLevelType w:val="hybridMultilevel"/>
    <w:tmpl w:val="32F2D7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B6210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5B52243"/>
    <w:multiLevelType w:val="hybridMultilevel"/>
    <w:tmpl w:val="5B762BE6"/>
    <w:lvl w:ilvl="0" w:tplc="7A0A6E20">
      <w:start w:val="1"/>
      <w:numFmt w:val="lowerLetter"/>
      <w:lvlText w:val="(%1)"/>
      <w:lvlJc w:val="left"/>
      <w:pPr>
        <w:ind w:left="14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40960D90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2F5A83"/>
    <w:multiLevelType w:val="hybridMultilevel"/>
    <w:tmpl w:val="7D3600E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4D0A2DC5"/>
    <w:multiLevelType w:val="hybridMultilevel"/>
    <w:tmpl w:val="AF66485E"/>
    <w:lvl w:ilvl="0" w:tplc="D85E4EB4">
      <w:start w:val="1"/>
      <w:numFmt w:val="lowerLetter"/>
      <w:lvlText w:val="(%1)"/>
      <w:lvlJc w:val="left"/>
      <w:pPr>
        <w:ind w:left="1436" w:hanging="7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527B0831"/>
    <w:multiLevelType w:val="hybridMultilevel"/>
    <w:tmpl w:val="BE403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C5E04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36E67"/>
    <w:multiLevelType w:val="hybridMultilevel"/>
    <w:tmpl w:val="8660707E"/>
    <w:lvl w:ilvl="0" w:tplc="EBA6D4D4">
      <w:start w:val="1"/>
      <w:numFmt w:val="lowerLetter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E55CFD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66B6D"/>
    <w:multiLevelType w:val="hybridMultilevel"/>
    <w:tmpl w:val="2320D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1"/>
  </w:num>
  <w:num w:numId="13">
    <w:abstractNumId w:val="16"/>
  </w:num>
  <w:num w:numId="14">
    <w:abstractNumId w:val="21"/>
  </w:num>
  <w:num w:numId="15">
    <w:abstractNumId w:val="15"/>
  </w:num>
  <w:num w:numId="16">
    <w:abstractNumId w:val="19"/>
  </w:num>
  <w:num w:numId="17">
    <w:abstractNumId w:val="27"/>
  </w:num>
  <w:num w:numId="18">
    <w:abstractNumId w:val="31"/>
  </w:num>
  <w:num w:numId="19">
    <w:abstractNumId w:val="10"/>
  </w:num>
  <w:num w:numId="20">
    <w:abstractNumId w:val="39"/>
  </w:num>
  <w:num w:numId="21">
    <w:abstractNumId w:val="23"/>
  </w:num>
  <w:num w:numId="22">
    <w:abstractNumId w:val="30"/>
  </w:num>
  <w:num w:numId="23">
    <w:abstractNumId w:val="35"/>
  </w:num>
  <w:num w:numId="24">
    <w:abstractNumId w:val="38"/>
  </w:num>
  <w:num w:numId="25">
    <w:abstractNumId w:val="14"/>
  </w:num>
  <w:num w:numId="26">
    <w:abstractNumId w:val="22"/>
  </w:num>
  <w:num w:numId="27">
    <w:abstractNumId w:val="33"/>
  </w:num>
  <w:num w:numId="28">
    <w:abstractNumId w:val="3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24"/>
  </w:num>
  <w:num w:numId="35">
    <w:abstractNumId w:val="29"/>
  </w:num>
  <w:num w:numId="36">
    <w:abstractNumId w:val="13"/>
  </w:num>
  <w:num w:numId="37">
    <w:abstractNumId w:val="34"/>
  </w:num>
  <w:num w:numId="38">
    <w:abstractNumId w:val="32"/>
  </w:num>
  <w:num w:numId="39">
    <w:abstractNumId w:val="37"/>
  </w:num>
  <w:num w:numId="40">
    <w:abstractNumId w:val="17"/>
  </w:num>
  <w:num w:numId="41">
    <w:abstractNumId w:val="20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04"/>
    <w:rsid w:val="0000089F"/>
    <w:rsid w:val="00000F86"/>
    <w:rsid w:val="00004174"/>
    <w:rsid w:val="00004470"/>
    <w:rsid w:val="0000660A"/>
    <w:rsid w:val="000102EE"/>
    <w:rsid w:val="000136AF"/>
    <w:rsid w:val="00014524"/>
    <w:rsid w:val="0001517B"/>
    <w:rsid w:val="000240AA"/>
    <w:rsid w:val="00024496"/>
    <w:rsid w:val="000258B1"/>
    <w:rsid w:val="000312C5"/>
    <w:rsid w:val="0003319C"/>
    <w:rsid w:val="000332E8"/>
    <w:rsid w:val="0003369E"/>
    <w:rsid w:val="000352C3"/>
    <w:rsid w:val="00040A89"/>
    <w:rsid w:val="000437C1"/>
    <w:rsid w:val="0004455A"/>
    <w:rsid w:val="00046A83"/>
    <w:rsid w:val="0005365D"/>
    <w:rsid w:val="0005691F"/>
    <w:rsid w:val="000614BF"/>
    <w:rsid w:val="0006709C"/>
    <w:rsid w:val="00074376"/>
    <w:rsid w:val="0007722C"/>
    <w:rsid w:val="000837EC"/>
    <w:rsid w:val="00083E36"/>
    <w:rsid w:val="000978F5"/>
    <w:rsid w:val="000A3E46"/>
    <w:rsid w:val="000B14AD"/>
    <w:rsid w:val="000B15CD"/>
    <w:rsid w:val="000B35EB"/>
    <w:rsid w:val="000B3719"/>
    <w:rsid w:val="000C7C03"/>
    <w:rsid w:val="000D05EF"/>
    <w:rsid w:val="000D081D"/>
    <w:rsid w:val="000D1000"/>
    <w:rsid w:val="000E0BC4"/>
    <w:rsid w:val="000E2261"/>
    <w:rsid w:val="000E7118"/>
    <w:rsid w:val="000E78B7"/>
    <w:rsid w:val="000F21C1"/>
    <w:rsid w:val="000F29C1"/>
    <w:rsid w:val="000F5B84"/>
    <w:rsid w:val="00100FE6"/>
    <w:rsid w:val="00101C86"/>
    <w:rsid w:val="001031F5"/>
    <w:rsid w:val="00103204"/>
    <w:rsid w:val="0010745C"/>
    <w:rsid w:val="0011242F"/>
    <w:rsid w:val="0012239D"/>
    <w:rsid w:val="0012397D"/>
    <w:rsid w:val="001244DA"/>
    <w:rsid w:val="00132CEB"/>
    <w:rsid w:val="001339B0"/>
    <w:rsid w:val="00134429"/>
    <w:rsid w:val="00142B62"/>
    <w:rsid w:val="00143CF5"/>
    <w:rsid w:val="001441B7"/>
    <w:rsid w:val="00144384"/>
    <w:rsid w:val="001446F7"/>
    <w:rsid w:val="00150195"/>
    <w:rsid w:val="001516CB"/>
    <w:rsid w:val="00152336"/>
    <w:rsid w:val="00152E14"/>
    <w:rsid w:val="00157250"/>
    <w:rsid w:val="001578DB"/>
    <w:rsid w:val="00157B8B"/>
    <w:rsid w:val="00166C2F"/>
    <w:rsid w:val="001809D7"/>
    <w:rsid w:val="00182C05"/>
    <w:rsid w:val="00182EAC"/>
    <w:rsid w:val="00182F81"/>
    <w:rsid w:val="00191881"/>
    <w:rsid w:val="001939E1"/>
    <w:rsid w:val="00194C3E"/>
    <w:rsid w:val="00195382"/>
    <w:rsid w:val="001979C7"/>
    <w:rsid w:val="001A6885"/>
    <w:rsid w:val="001B155A"/>
    <w:rsid w:val="001B1978"/>
    <w:rsid w:val="001B2CB6"/>
    <w:rsid w:val="001B3F2D"/>
    <w:rsid w:val="001C1715"/>
    <w:rsid w:val="001C61C5"/>
    <w:rsid w:val="001C6494"/>
    <w:rsid w:val="001C65BF"/>
    <w:rsid w:val="001C69C4"/>
    <w:rsid w:val="001D1880"/>
    <w:rsid w:val="001D37EF"/>
    <w:rsid w:val="001D681A"/>
    <w:rsid w:val="001D729F"/>
    <w:rsid w:val="001D750E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22018"/>
    <w:rsid w:val="002321E8"/>
    <w:rsid w:val="00232984"/>
    <w:rsid w:val="0023378D"/>
    <w:rsid w:val="00237C31"/>
    <w:rsid w:val="0024010F"/>
    <w:rsid w:val="00240749"/>
    <w:rsid w:val="00243018"/>
    <w:rsid w:val="00247348"/>
    <w:rsid w:val="00252279"/>
    <w:rsid w:val="002548B8"/>
    <w:rsid w:val="002564A4"/>
    <w:rsid w:val="0026736C"/>
    <w:rsid w:val="002707CD"/>
    <w:rsid w:val="0027325B"/>
    <w:rsid w:val="00277DC8"/>
    <w:rsid w:val="00281308"/>
    <w:rsid w:val="00281AEE"/>
    <w:rsid w:val="00284719"/>
    <w:rsid w:val="00297ECB"/>
    <w:rsid w:val="002A3E6A"/>
    <w:rsid w:val="002A4006"/>
    <w:rsid w:val="002A506E"/>
    <w:rsid w:val="002A6070"/>
    <w:rsid w:val="002A7BCF"/>
    <w:rsid w:val="002B2473"/>
    <w:rsid w:val="002C3FD1"/>
    <w:rsid w:val="002D043A"/>
    <w:rsid w:val="002D266B"/>
    <w:rsid w:val="002D43A4"/>
    <w:rsid w:val="002D6224"/>
    <w:rsid w:val="002D67E8"/>
    <w:rsid w:val="002D719F"/>
    <w:rsid w:val="002F5727"/>
    <w:rsid w:val="00300274"/>
    <w:rsid w:val="003040B2"/>
    <w:rsid w:val="00304F8B"/>
    <w:rsid w:val="0030661C"/>
    <w:rsid w:val="0031370A"/>
    <w:rsid w:val="00321085"/>
    <w:rsid w:val="003218F9"/>
    <w:rsid w:val="0033335B"/>
    <w:rsid w:val="00335BC6"/>
    <w:rsid w:val="00337E7C"/>
    <w:rsid w:val="003415D3"/>
    <w:rsid w:val="00343D01"/>
    <w:rsid w:val="00344338"/>
    <w:rsid w:val="00344701"/>
    <w:rsid w:val="00344917"/>
    <w:rsid w:val="00350ADF"/>
    <w:rsid w:val="00352B0F"/>
    <w:rsid w:val="003542C0"/>
    <w:rsid w:val="003551C7"/>
    <w:rsid w:val="00355410"/>
    <w:rsid w:val="00360459"/>
    <w:rsid w:val="00365E41"/>
    <w:rsid w:val="00372401"/>
    <w:rsid w:val="00372C47"/>
    <w:rsid w:val="00376996"/>
    <w:rsid w:val="0038049F"/>
    <w:rsid w:val="0038185C"/>
    <w:rsid w:val="00381866"/>
    <w:rsid w:val="003B0687"/>
    <w:rsid w:val="003B3646"/>
    <w:rsid w:val="003C12FE"/>
    <w:rsid w:val="003C6231"/>
    <w:rsid w:val="003C6D52"/>
    <w:rsid w:val="003C7F9F"/>
    <w:rsid w:val="003D0BFE"/>
    <w:rsid w:val="003D34D7"/>
    <w:rsid w:val="003D4259"/>
    <w:rsid w:val="003D5700"/>
    <w:rsid w:val="003E183E"/>
    <w:rsid w:val="003E341B"/>
    <w:rsid w:val="003E4D00"/>
    <w:rsid w:val="003F0007"/>
    <w:rsid w:val="003F28BC"/>
    <w:rsid w:val="003F6A76"/>
    <w:rsid w:val="004116CD"/>
    <w:rsid w:val="004136B6"/>
    <w:rsid w:val="00417133"/>
    <w:rsid w:val="00417EB9"/>
    <w:rsid w:val="00424CA9"/>
    <w:rsid w:val="004276DF"/>
    <w:rsid w:val="00431E9B"/>
    <w:rsid w:val="0043418A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098"/>
    <w:rsid w:val="00480366"/>
    <w:rsid w:val="00480BB0"/>
    <w:rsid w:val="0048324C"/>
    <w:rsid w:val="0048758A"/>
    <w:rsid w:val="00487764"/>
    <w:rsid w:val="00490D54"/>
    <w:rsid w:val="00494305"/>
    <w:rsid w:val="004951EF"/>
    <w:rsid w:val="004957D9"/>
    <w:rsid w:val="00496F97"/>
    <w:rsid w:val="004A11D6"/>
    <w:rsid w:val="004A23DC"/>
    <w:rsid w:val="004A3DD1"/>
    <w:rsid w:val="004A7042"/>
    <w:rsid w:val="004A78E0"/>
    <w:rsid w:val="004B1666"/>
    <w:rsid w:val="004B4FE5"/>
    <w:rsid w:val="004B61E6"/>
    <w:rsid w:val="004B6C48"/>
    <w:rsid w:val="004C3385"/>
    <w:rsid w:val="004C4E59"/>
    <w:rsid w:val="004C5E04"/>
    <w:rsid w:val="004C6809"/>
    <w:rsid w:val="004D17AE"/>
    <w:rsid w:val="004D4B19"/>
    <w:rsid w:val="004D5B13"/>
    <w:rsid w:val="004D5BFC"/>
    <w:rsid w:val="004E063A"/>
    <w:rsid w:val="004E1307"/>
    <w:rsid w:val="004E498B"/>
    <w:rsid w:val="004E7BEC"/>
    <w:rsid w:val="004F169F"/>
    <w:rsid w:val="004F3A8C"/>
    <w:rsid w:val="005041DA"/>
    <w:rsid w:val="00505D3D"/>
    <w:rsid w:val="00506AF6"/>
    <w:rsid w:val="0051232F"/>
    <w:rsid w:val="00516B8D"/>
    <w:rsid w:val="00525780"/>
    <w:rsid w:val="005303C8"/>
    <w:rsid w:val="00533164"/>
    <w:rsid w:val="00537FBC"/>
    <w:rsid w:val="00540812"/>
    <w:rsid w:val="00541EBC"/>
    <w:rsid w:val="00544E69"/>
    <w:rsid w:val="00551357"/>
    <w:rsid w:val="00553B08"/>
    <w:rsid w:val="00554826"/>
    <w:rsid w:val="00562877"/>
    <w:rsid w:val="00565D4C"/>
    <w:rsid w:val="005734D4"/>
    <w:rsid w:val="0057476B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3BA7"/>
    <w:rsid w:val="00594161"/>
    <w:rsid w:val="00594749"/>
    <w:rsid w:val="005A2ACC"/>
    <w:rsid w:val="005A34B4"/>
    <w:rsid w:val="005A58EC"/>
    <w:rsid w:val="005A65D5"/>
    <w:rsid w:val="005B33FE"/>
    <w:rsid w:val="005B4067"/>
    <w:rsid w:val="005C2C89"/>
    <w:rsid w:val="005C2D26"/>
    <w:rsid w:val="005C3F41"/>
    <w:rsid w:val="005C48B1"/>
    <w:rsid w:val="005D0309"/>
    <w:rsid w:val="005D1D92"/>
    <w:rsid w:val="005D2D09"/>
    <w:rsid w:val="005D59DF"/>
    <w:rsid w:val="005E3F34"/>
    <w:rsid w:val="005F0066"/>
    <w:rsid w:val="005F3E90"/>
    <w:rsid w:val="005F5239"/>
    <w:rsid w:val="00600219"/>
    <w:rsid w:val="00604F2A"/>
    <w:rsid w:val="00607C3E"/>
    <w:rsid w:val="00607D1D"/>
    <w:rsid w:val="00613C4A"/>
    <w:rsid w:val="00620076"/>
    <w:rsid w:val="0062192F"/>
    <w:rsid w:val="006224B1"/>
    <w:rsid w:val="0062438A"/>
    <w:rsid w:val="006273BE"/>
    <w:rsid w:val="00627E0A"/>
    <w:rsid w:val="006303E3"/>
    <w:rsid w:val="006504D5"/>
    <w:rsid w:val="00651007"/>
    <w:rsid w:val="0065488B"/>
    <w:rsid w:val="00661687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9CA"/>
    <w:rsid w:val="0069408C"/>
    <w:rsid w:val="00694E6D"/>
    <w:rsid w:val="00695A3E"/>
    <w:rsid w:val="00696560"/>
    <w:rsid w:val="006A154F"/>
    <w:rsid w:val="006A437B"/>
    <w:rsid w:val="006A47E4"/>
    <w:rsid w:val="006B5789"/>
    <w:rsid w:val="006C30C5"/>
    <w:rsid w:val="006C5CDD"/>
    <w:rsid w:val="006C7F8C"/>
    <w:rsid w:val="006D22E9"/>
    <w:rsid w:val="006E2E1C"/>
    <w:rsid w:val="006E3F70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0134"/>
    <w:rsid w:val="007123DD"/>
    <w:rsid w:val="00713084"/>
    <w:rsid w:val="0071448F"/>
    <w:rsid w:val="00714F20"/>
    <w:rsid w:val="0071590F"/>
    <w:rsid w:val="00715914"/>
    <w:rsid w:val="00715D5E"/>
    <w:rsid w:val="007160BC"/>
    <w:rsid w:val="0072147A"/>
    <w:rsid w:val="007235A0"/>
    <w:rsid w:val="00723791"/>
    <w:rsid w:val="00724526"/>
    <w:rsid w:val="007272BC"/>
    <w:rsid w:val="00730942"/>
    <w:rsid w:val="00731E00"/>
    <w:rsid w:val="0073703D"/>
    <w:rsid w:val="007440B7"/>
    <w:rsid w:val="00745E80"/>
    <w:rsid w:val="007500C8"/>
    <w:rsid w:val="00753D7B"/>
    <w:rsid w:val="00756272"/>
    <w:rsid w:val="00762D38"/>
    <w:rsid w:val="00765F36"/>
    <w:rsid w:val="007715C9"/>
    <w:rsid w:val="00771613"/>
    <w:rsid w:val="00772430"/>
    <w:rsid w:val="00774EDD"/>
    <w:rsid w:val="007757EC"/>
    <w:rsid w:val="0078011C"/>
    <w:rsid w:val="0078300F"/>
    <w:rsid w:val="00783810"/>
    <w:rsid w:val="00783E89"/>
    <w:rsid w:val="00793263"/>
    <w:rsid w:val="00793915"/>
    <w:rsid w:val="00795866"/>
    <w:rsid w:val="007A2237"/>
    <w:rsid w:val="007A488D"/>
    <w:rsid w:val="007A656F"/>
    <w:rsid w:val="007B13E2"/>
    <w:rsid w:val="007B3652"/>
    <w:rsid w:val="007B3795"/>
    <w:rsid w:val="007B66E6"/>
    <w:rsid w:val="007C0155"/>
    <w:rsid w:val="007C2253"/>
    <w:rsid w:val="007C343A"/>
    <w:rsid w:val="007C5FDD"/>
    <w:rsid w:val="007D71B5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4435"/>
    <w:rsid w:val="00807D62"/>
    <w:rsid w:val="008117E9"/>
    <w:rsid w:val="008171B8"/>
    <w:rsid w:val="00824498"/>
    <w:rsid w:val="00825587"/>
    <w:rsid w:val="00826BD1"/>
    <w:rsid w:val="00832267"/>
    <w:rsid w:val="0084208C"/>
    <w:rsid w:val="0084375B"/>
    <w:rsid w:val="00850046"/>
    <w:rsid w:val="00854D0B"/>
    <w:rsid w:val="008551D1"/>
    <w:rsid w:val="00856A31"/>
    <w:rsid w:val="00860B4E"/>
    <w:rsid w:val="00867B37"/>
    <w:rsid w:val="008754D0"/>
    <w:rsid w:val="00875D13"/>
    <w:rsid w:val="00881923"/>
    <w:rsid w:val="00881A6A"/>
    <w:rsid w:val="008855C9"/>
    <w:rsid w:val="00886456"/>
    <w:rsid w:val="0088653B"/>
    <w:rsid w:val="0089029F"/>
    <w:rsid w:val="0089556D"/>
    <w:rsid w:val="00896176"/>
    <w:rsid w:val="008A12F5"/>
    <w:rsid w:val="008A4534"/>
    <w:rsid w:val="008A46E1"/>
    <w:rsid w:val="008A4F43"/>
    <w:rsid w:val="008A6C38"/>
    <w:rsid w:val="008A75B6"/>
    <w:rsid w:val="008B16EF"/>
    <w:rsid w:val="008B2706"/>
    <w:rsid w:val="008B4BA0"/>
    <w:rsid w:val="008B7887"/>
    <w:rsid w:val="008C25AE"/>
    <w:rsid w:val="008C2EAC"/>
    <w:rsid w:val="008C3379"/>
    <w:rsid w:val="008C379A"/>
    <w:rsid w:val="008D011C"/>
    <w:rsid w:val="008D0EE0"/>
    <w:rsid w:val="008D1341"/>
    <w:rsid w:val="008E0027"/>
    <w:rsid w:val="008E31A1"/>
    <w:rsid w:val="008E5408"/>
    <w:rsid w:val="008E6067"/>
    <w:rsid w:val="008F3675"/>
    <w:rsid w:val="008F54E7"/>
    <w:rsid w:val="00903422"/>
    <w:rsid w:val="009035D9"/>
    <w:rsid w:val="00905A44"/>
    <w:rsid w:val="00906CEE"/>
    <w:rsid w:val="00916E8D"/>
    <w:rsid w:val="009228CB"/>
    <w:rsid w:val="00923013"/>
    <w:rsid w:val="0092516D"/>
    <w:rsid w:val="009254C3"/>
    <w:rsid w:val="00932377"/>
    <w:rsid w:val="00941236"/>
    <w:rsid w:val="009420F1"/>
    <w:rsid w:val="00943FD5"/>
    <w:rsid w:val="00945299"/>
    <w:rsid w:val="009464C5"/>
    <w:rsid w:val="009466BF"/>
    <w:rsid w:val="00947D5A"/>
    <w:rsid w:val="009532A5"/>
    <w:rsid w:val="009545BD"/>
    <w:rsid w:val="009573CA"/>
    <w:rsid w:val="00964CF0"/>
    <w:rsid w:val="009713DE"/>
    <w:rsid w:val="00973DC6"/>
    <w:rsid w:val="00977806"/>
    <w:rsid w:val="00980BEC"/>
    <w:rsid w:val="00982242"/>
    <w:rsid w:val="009868E9"/>
    <w:rsid w:val="009900A3"/>
    <w:rsid w:val="00994EB3"/>
    <w:rsid w:val="00995433"/>
    <w:rsid w:val="009A7C1F"/>
    <w:rsid w:val="009B3D10"/>
    <w:rsid w:val="009C215C"/>
    <w:rsid w:val="009C3413"/>
    <w:rsid w:val="009C4566"/>
    <w:rsid w:val="009D0C05"/>
    <w:rsid w:val="009D77C9"/>
    <w:rsid w:val="009E09B1"/>
    <w:rsid w:val="009F13F4"/>
    <w:rsid w:val="009F49B2"/>
    <w:rsid w:val="009F69F1"/>
    <w:rsid w:val="009F77E3"/>
    <w:rsid w:val="00A011FD"/>
    <w:rsid w:val="00A0441E"/>
    <w:rsid w:val="00A06CA5"/>
    <w:rsid w:val="00A12128"/>
    <w:rsid w:val="00A127E7"/>
    <w:rsid w:val="00A16FC3"/>
    <w:rsid w:val="00A22C98"/>
    <w:rsid w:val="00A231E2"/>
    <w:rsid w:val="00A252F1"/>
    <w:rsid w:val="00A369E3"/>
    <w:rsid w:val="00A47ABD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829B2"/>
    <w:rsid w:val="00A91E05"/>
    <w:rsid w:val="00A93040"/>
    <w:rsid w:val="00A94216"/>
    <w:rsid w:val="00AA2CB1"/>
    <w:rsid w:val="00AA76C3"/>
    <w:rsid w:val="00AA7A1C"/>
    <w:rsid w:val="00AB4502"/>
    <w:rsid w:val="00AC59FC"/>
    <w:rsid w:val="00AC72C8"/>
    <w:rsid w:val="00AD20A2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1A19"/>
    <w:rsid w:val="00B33709"/>
    <w:rsid w:val="00B33B3C"/>
    <w:rsid w:val="00B36392"/>
    <w:rsid w:val="00B367EE"/>
    <w:rsid w:val="00B418CB"/>
    <w:rsid w:val="00B42DCF"/>
    <w:rsid w:val="00B4644E"/>
    <w:rsid w:val="00B47444"/>
    <w:rsid w:val="00B50ADC"/>
    <w:rsid w:val="00B528A6"/>
    <w:rsid w:val="00B5651C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2401"/>
    <w:rsid w:val="00BA3A57"/>
    <w:rsid w:val="00BA4D82"/>
    <w:rsid w:val="00BA72C4"/>
    <w:rsid w:val="00BB1533"/>
    <w:rsid w:val="00BB243F"/>
    <w:rsid w:val="00BB29D5"/>
    <w:rsid w:val="00BB4E1A"/>
    <w:rsid w:val="00BB6030"/>
    <w:rsid w:val="00BC015E"/>
    <w:rsid w:val="00BC1FB9"/>
    <w:rsid w:val="00BC2760"/>
    <w:rsid w:val="00BC76AC"/>
    <w:rsid w:val="00BD08C0"/>
    <w:rsid w:val="00BD0ECB"/>
    <w:rsid w:val="00BD2979"/>
    <w:rsid w:val="00BE2155"/>
    <w:rsid w:val="00BE5EE4"/>
    <w:rsid w:val="00BE719A"/>
    <w:rsid w:val="00BE720A"/>
    <w:rsid w:val="00BF0D73"/>
    <w:rsid w:val="00BF2465"/>
    <w:rsid w:val="00BF4687"/>
    <w:rsid w:val="00BF71C9"/>
    <w:rsid w:val="00C05A87"/>
    <w:rsid w:val="00C06FBA"/>
    <w:rsid w:val="00C100B7"/>
    <w:rsid w:val="00C125E0"/>
    <w:rsid w:val="00C16619"/>
    <w:rsid w:val="00C21424"/>
    <w:rsid w:val="00C21D64"/>
    <w:rsid w:val="00C21F16"/>
    <w:rsid w:val="00C25E7F"/>
    <w:rsid w:val="00C2746F"/>
    <w:rsid w:val="00C27628"/>
    <w:rsid w:val="00C323D6"/>
    <w:rsid w:val="00C324A0"/>
    <w:rsid w:val="00C3701B"/>
    <w:rsid w:val="00C42BF8"/>
    <w:rsid w:val="00C50043"/>
    <w:rsid w:val="00C55649"/>
    <w:rsid w:val="00C562C7"/>
    <w:rsid w:val="00C5708A"/>
    <w:rsid w:val="00C57992"/>
    <w:rsid w:val="00C73B6F"/>
    <w:rsid w:val="00C73F01"/>
    <w:rsid w:val="00C7573B"/>
    <w:rsid w:val="00C852B5"/>
    <w:rsid w:val="00C91D35"/>
    <w:rsid w:val="00C94DA9"/>
    <w:rsid w:val="00C9583D"/>
    <w:rsid w:val="00C96D4F"/>
    <w:rsid w:val="00C97A54"/>
    <w:rsid w:val="00CA467B"/>
    <w:rsid w:val="00CA5B23"/>
    <w:rsid w:val="00CA6DBB"/>
    <w:rsid w:val="00CA7D78"/>
    <w:rsid w:val="00CB1323"/>
    <w:rsid w:val="00CB602E"/>
    <w:rsid w:val="00CB7E90"/>
    <w:rsid w:val="00CC6838"/>
    <w:rsid w:val="00CC77B2"/>
    <w:rsid w:val="00CD0A7C"/>
    <w:rsid w:val="00CD22D3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5A39"/>
    <w:rsid w:val="00D13441"/>
    <w:rsid w:val="00D150E7"/>
    <w:rsid w:val="00D31ABC"/>
    <w:rsid w:val="00D32EA1"/>
    <w:rsid w:val="00D372AD"/>
    <w:rsid w:val="00D44E94"/>
    <w:rsid w:val="00D5016F"/>
    <w:rsid w:val="00D52DC2"/>
    <w:rsid w:val="00D53BCC"/>
    <w:rsid w:val="00D54C9E"/>
    <w:rsid w:val="00D56422"/>
    <w:rsid w:val="00D6537E"/>
    <w:rsid w:val="00D66C86"/>
    <w:rsid w:val="00D706D1"/>
    <w:rsid w:val="00D70DFB"/>
    <w:rsid w:val="00D7152D"/>
    <w:rsid w:val="00D766DF"/>
    <w:rsid w:val="00D8206C"/>
    <w:rsid w:val="00D82AF6"/>
    <w:rsid w:val="00D837F1"/>
    <w:rsid w:val="00D86EDA"/>
    <w:rsid w:val="00D87B83"/>
    <w:rsid w:val="00D910DF"/>
    <w:rsid w:val="00D91F10"/>
    <w:rsid w:val="00D93DB7"/>
    <w:rsid w:val="00D944B9"/>
    <w:rsid w:val="00D979C7"/>
    <w:rsid w:val="00DA186E"/>
    <w:rsid w:val="00DA3C41"/>
    <w:rsid w:val="00DA4116"/>
    <w:rsid w:val="00DA4310"/>
    <w:rsid w:val="00DA56DD"/>
    <w:rsid w:val="00DB251C"/>
    <w:rsid w:val="00DB2569"/>
    <w:rsid w:val="00DB2C9E"/>
    <w:rsid w:val="00DB39B5"/>
    <w:rsid w:val="00DB4630"/>
    <w:rsid w:val="00DB4D32"/>
    <w:rsid w:val="00DC4F88"/>
    <w:rsid w:val="00DC51B5"/>
    <w:rsid w:val="00DC5C81"/>
    <w:rsid w:val="00DD04A5"/>
    <w:rsid w:val="00DD22E6"/>
    <w:rsid w:val="00DD2D35"/>
    <w:rsid w:val="00DD54CD"/>
    <w:rsid w:val="00DE08BC"/>
    <w:rsid w:val="00DE107C"/>
    <w:rsid w:val="00DF0969"/>
    <w:rsid w:val="00DF2388"/>
    <w:rsid w:val="00DF5230"/>
    <w:rsid w:val="00E03D9B"/>
    <w:rsid w:val="00E05704"/>
    <w:rsid w:val="00E05CB5"/>
    <w:rsid w:val="00E10B75"/>
    <w:rsid w:val="00E13901"/>
    <w:rsid w:val="00E14961"/>
    <w:rsid w:val="00E23301"/>
    <w:rsid w:val="00E267AB"/>
    <w:rsid w:val="00E33196"/>
    <w:rsid w:val="00E338EF"/>
    <w:rsid w:val="00E3710C"/>
    <w:rsid w:val="00E5391B"/>
    <w:rsid w:val="00E544BB"/>
    <w:rsid w:val="00E5543F"/>
    <w:rsid w:val="00E5722B"/>
    <w:rsid w:val="00E6260D"/>
    <w:rsid w:val="00E73F7A"/>
    <w:rsid w:val="00E74DC7"/>
    <w:rsid w:val="00E75C47"/>
    <w:rsid w:val="00E8070F"/>
    <w:rsid w:val="00E8075A"/>
    <w:rsid w:val="00E85499"/>
    <w:rsid w:val="00E85F33"/>
    <w:rsid w:val="00E91D70"/>
    <w:rsid w:val="00E940D8"/>
    <w:rsid w:val="00E94D5E"/>
    <w:rsid w:val="00EA14A6"/>
    <w:rsid w:val="00EA4D9D"/>
    <w:rsid w:val="00EA6642"/>
    <w:rsid w:val="00EA7100"/>
    <w:rsid w:val="00EA74EE"/>
    <w:rsid w:val="00EA7F9F"/>
    <w:rsid w:val="00EB1274"/>
    <w:rsid w:val="00EB244D"/>
    <w:rsid w:val="00EB6695"/>
    <w:rsid w:val="00EC5603"/>
    <w:rsid w:val="00ED2BB6"/>
    <w:rsid w:val="00ED2BFB"/>
    <w:rsid w:val="00ED34E1"/>
    <w:rsid w:val="00ED3B8D"/>
    <w:rsid w:val="00EE1241"/>
    <w:rsid w:val="00EE5E36"/>
    <w:rsid w:val="00EF2E3A"/>
    <w:rsid w:val="00F003C4"/>
    <w:rsid w:val="00F02C7C"/>
    <w:rsid w:val="00F02CAF"/>
    <w:rsid w:val="00F072A7"/>
    <w:rsid w:val="00F078DC"/>
    <w:rsid w:val="00F16327"/>
    <w:rsid w:val="00F17CC6"/>
    <w:rsid w:val="00F27438"/>
    <w:rsid w:val="00F32BA8"/>
    <w:rsid w:val="00F32EE0"/>
    <w:rsid w:val="00F349F1"/>
    <w:rsid w:val="00F37249"/>
    <w:rsid w:val="00F37FB6"/>
    <w:rsid w:val="00F4350D"/>
    <w:rsid w:val="00F479C4"/>
    <w:rsid w:val="00F50AD6"/>
    <w:rsid w:val="00F50DBA"/>
    <w:rsid w:val="00F5322F"/>
    <w:rsid w:val="00F567F7"/>
    <w:rsid w:val="00F66772"/>
    <w:rsid w:val="00F6696E"/>
    <w:rsid w:val="00F72834"/>
    <w:rsid w:val="00F73BD6"/>
    <w:rsid w:val="00F7570C"/>
    <w:rsid w:val="00F76F38"/>
    <w:rsid w:val="00F807EB"/>
    <w:rsid w:val="00F83989"/>
    <w:rsid w:val="00F85099"/>
    <w:rsid w:val="00F86FAC"/>
    <w:rsid w:val="00F875DC"/>
    <w:rsid w:val="00F87F6A"/>
    <w:rsid w:val="00F9379C"/>
    <w:rsid w:val="00F9452B"/>
    <w:rsid w:val="00F95196"/>
    <w:rsid w:val="00F9632C"/>
    <w:rsid w:val="00F96C37"/>
    <w:rsid w:val="00FA1E52"/>
    <w:rsid w:val="00FA6BB8"/>
    <w:rsid w:val="00FB2787"/>
    <w:rsid w:val="00FB3B69"/>
    <w:rsid w:val="00FB5A08"/>
    <w:rsid w:val="00FC0830"/>
    <w:rsid w:val="00FC3B35"/>
    <w:rsid w:val="00FC577D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FE10766"/>
  <w15:docId w15:val="{8220A71C-98E7-4A27-A5A4-4D095F5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iPriority w:val="99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31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A76C3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58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ois.auda.org.a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3854-AA63-41B3-BF3B-12D916CC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cp:lastModifiedBy>Thomas BURBURY</cp:lastModifiedBy>
  <cp:revision>3</cp:revision>
  <cp:lastPrinted>2022-09-23T04:02:00Z</cp:lastPrinted>
  <dcterms:created xsi:type="dcterms:W3CDTF">2022-12-22T23:02:00Z</dcterms:created>
  <dcterms:modified xsi:type="dcterms:W3CDTF">2022-12-22T23:05:00Z</dcterms:modified>
</cp:coreProperties>
</file>