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Pr="00C06546" w:rsidRDefault="00414BC3" w:rsidP="00A94F2A">
      <w:pPr>
        <w:pStyle w:val="CoverTitle"/>
        <w:spacing w:after="600"/>
        <w:jc w:val="center"/>
      </w:pPr>
      <w:r w:rsidRPr="00C06546">
        <w:t>Explanatory Statement</w:t>
      </w:r>
    </w:p>
    <w:p w14:paraId="13976966" w14:textId="0584BED9" w:rsidR="00414BC3" w:rsidRPr="00C06546" w:rsidRDefault="00396BCD" w:rsidP="006B1B4A">
      <w:pPr>
        <w:pStyle w:val="CoverTitle"/>
        <w:spacing w:after="120"/>
        <w:jc w:val="center"/>
        <w:rPr>
          <w:i/>
          <w:sz w:val="36"/>
          <w:szCs w:val="36"/>
        </w:rPr>
      </w:pPr>
      <w:r w:rsidRPr="00C06546">
        <w:rPr>
          <w:sz w:val="36"/>
          <w:szCs w:val="36"/>
        </w:rPr>
        <w:t xml:space="preserve">Accounting Standard </w:t>
      </w:r>
      <w:r w:rsidR="005F4451" w:rsidRPr="00C06546">
        <w:rPr>
          <w:sz w:val="36"/>
          <w:szCs w:val="36"/>
        </w:rPr>
        <w:t xml:space="preserve">AASB </w:t>
      </w:r>
      <w:r w:rsidR="00C61FC9" w:rsidRPr="00C06546">
        <w:rPr>
          <w:sz w:val="36"/>
          <w:szCs w:val="36"/>
        </w:rPr>
        <w:t>20</w:t>
      </w:r>
      <w:r w:rsidR="00D2416F" w:rsidRPr="00C06546">
        <w:rPr>
          <w:sz w:val="36"/>
          <w:szCs w:val="36"/>
        </w:rPr>
        <w:t>22</w:t>
      </w:r>
      <w:r w:rsidR="00C61FC9" w:rsidRPr="00C06546">
        <w:rPr>
          <w:sz w:val="36"/>
          <w:szCs w:val="36"/>
        </w:rPr>
        <w:t>-</w:t>
      </w:r>
      <w:r w:rsidR="00AF3C4B" w:rsidRPr="00C06546">
        <w:rPr>
          <w:sz w:val="36"/>
          <w:szCs w:val="36"/>
        </w:rPr>
        <w:t>6</w:t>
      </w:r>
      <w:r w:rsidR="00347521" w:rsidRPr="00C06546">
        <w:rPr>
          <w:sz w:val="36"/>
          <w:szCs w:val="36"/>
        </w:rPr>
        <w:br/>
      </w:r>
      <w:r w:rsidR="00C61FC9" w:rsidRPr="00C06546">
        <w:rPr>
          <w:i/>
          <w:sz w:val="36"/>
          <w:szCs w:val="36"/>
        </w:rPr>
        <w:t xml:space="preserve">Amendments to Australian Accounting Standards </w:t>
      </w:r>
      <w:r w:rsidR="00A94F2A" w:rsidRPr="00C06546">
        <w:rPr>
          <w:i/>
          <w:sz w:val="36"/>
          <w:szCs w:val="36"/>
        </w:rPr>
        <w:t xml:space="preserve">– </w:t>
      </w:r>
      <w:r w:rsidR="00A94F2A" w:rsidRPr="00C06546">
        <w:rPr>
          <w:i/>
          <w:sz w:val="36"/>
          <w:szCs w:val="36"/>
        </w:rPr>
        <w:br/>
      </w:r>
      <w:r w:rsidR="004E696F" w:rsidRPr="00C06546">
        <w:rPr>
          <w:i/>
          <w:sz w:val="36"/>
          <w:szCs w:val="36"/>
        </w:rPr>
        <w:t>Non-current Liabilities with Covenants</w:t>
      </w:r>
    </w:p>
    <w:p w14:paraId="13976967" w14:textId="77777777" w:rsidR="006776BD" w:rsidRPr="00C06546" w:rsidRDefault="006776BD" w:rsidP="006776BD">
      <w:pPr>
        <w:pStyle w:val="CoverSubtitle"/>
        <w:spacing w:after="3120"/>
        <w:rPr>
          <w:sz w:val="32"/>
          <w:szCs w:val="32"/>
        </w:rPr>
      </w:pPr>
    </w:p>
    <w:p w14:paraId="13976968" w14:textId="0C09F0B8" w:rsidR="00414BC3" w:rsidRPr="00C06546" w:rsidRDefault="004E696F" w:rsidP="00D2416F">
      <w:pPr>
        <w:pStyle w:val="CoverDate"/>
        <w:tabs>
          <w:tab w:val="left" w:pos="3794"/>
          <w:tab w:val="left" w:pos="6232"/>
        </w:tabs>
        <w:spacing w:before="840"/>
        <w:jc w:val="center"/>
        <w:rPr>
          <w:b/>
          <w:sz w:val="28"/>
          <w:szCs w:val="28"/>
        </w:rPr>
      </w:pPr>
      <w:r w:rsidRPr="00C06546">
        <w:rPr>
          <w:b/>
          <w:sz w:val="28"/>
          <w:szCs w:val="28"/>
        </w:rPr>
        <w:t>December</w:t>
      </w:r>
      <w:r w:rsidR="00C61FC9" w:rsidRPr="00C06546">
        <w:rPr>
          <w:b/>
          <w:sz w:val="28"/>
          <w:szCs w:val="28"/>
        </w:rPr>
        <w:t xml:space="preserve"> </w:t>
      </w:r>
      <w:r w:rsidR="00225101" w:rsidRPr="00C06546">
        <w:rPr>
          <w:b/>
          <w:sz w:val="28"/>
          <w:szCs w:val="28"/>
        </w:rPr>
        <w:t>20</w:t>
      </w:r>
      <w:r w:rsidR="00D2416F" w:rsidRPr="00C06546">
        <w:rPr>
          <w:b/>
          <w:sz w:val="28"/>
          <w:szCs w:val="28"/>
        </w:rPr>
        <w:t>22</w:t>
      </w:r>
    </w:p>
    <w:p w14:paraId="13976969" w14:textId="77777777" w:rsidR="00414BC3" w:rsidRPr="00C06546" w:rsidRDefault="00C06546">
      <w:pPr>
        <w:sectPr w:rsidR="00414BC3" w:rsidRPr="00C06546" w:rsidSect="00B93CE4">
          <w:pgSz w:w="11907" w:h="16840"/>
          <w:pgMar w:top="1134" w:right="1134" w:bottom="1134" w:left="1134" w:header="720" w:footer="720" w:gutter="0"/>
          <w:cols w:space="720"/>
        </w:sectPr>
      </w:pPr>
      <w:r w:rsidRPr="00C06546">
        <w:rPr>
          <w:noProof/>
        </w:rP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4.15pt;height:95.8pt;z-index:251658240;visibility:visible;mso-wrap-edited:f;mso-position-horizontal:left;mso-position-horizontal-relative:margin;mso-position-vertical:bottom;mso-position-vertical-relative:margin">
            <v:imagedata r:id="rId7" o:title=""/>
            <w10:wrap anchorx="margin" anchory="margin"/>
            <w10:anchorlock/>
          </v:shape>
          <o:OLEObject Type="Embed" ProgID="Word.Picture.8" ShapeID="_x0000_s2050" DrawAspect="Content" ObjectID="_1733059573" r:id="rId8"/>
        </w:object>
      </w:r>
    </w:p>
    <w:p w14:paraId="1397696A" w14:textId="77777777" w:rsidR="00414BC3" w:rsidRPr="00C06546" w:rsidRDefault="00414BC3">
      <w:pPr>
        <w:pStyle w:val="Heading1"/>
      </w:pPr>
      <w:r w:rsidRPr="00C06546">
        <w:lastRenderedPageBreak/>
        <w:t>EXPLANATORY STATEMENT</w:t>
      </w:r>
    </w:p>
    <w:p w14:paraId="1397696B" w14:textId="45932997" w:rsidR="00FD4C0C" w:rsidRPr="00C06546" w:rsidRDefault="006B1B4A" w:rsidP="00FD4C0C">
      <w:pPr>
        <w:pStyle w:val="Heading2"/>
      </w:pPr>
      <w:r w:rsidRPr="00C06546">
        <w:t>Standards Amended by</w:t>
      </w:r>
      <w:r w:rsidR="00FD4C0C" w:rsidRPr="00C06546">
        <w:t xml:space="preserve"> AASB </w:t>
      </w:r>
      <w:r w:rsidR="00C068D8" w:rsidRPr="00C06546">
        <w:t>20</w:t>
      </w:r>
      <w:r w:rsidR="00D2416F" w:rsidRPr="00C06546">
        <w:t>22</w:t>
      </w:r>
      <w:r w:rsidR="00C068D8" w:rsidRPr="00C06546">
        <w:t>-</w:t>
      </w:r>
      <w:r w:rsidR="00AF3C4B" w:rsidRPr="00C06546">
        <w:t>6</w:t>
      </w:r>
    </w:p>
    <w:p w14:paraId="41C34540" w14:textId="2A8075C2" w:rsidR="002A6880" w:rsidRPr="00C06546" w:rsidRDefault="002A6880" w:rsidP="002A6880">
      <w:pPr>
        <w:pStyle w:val="NoNumPlain1"/>
      </w:pPr>
      <w:r w:rsidRPr="00C06546">
        <w:t>This Standard makes amendments to AASB 1</w:t>
      </w:r>
      <w:r w:rsidR="00934970" w:rsidRPr="00C06546">
        <w:t>01</w:t>
      </w:r>
      <w:r w:rsidRPr="00C06546">
        <w:t xml:space="preserve"> </w:t>
      </w:r>
      <w:r w:rsidR="00E2749C" w:rsidRPr="00C06546">
        <w:rPr>
          <w:i/>
          <w:iCs/>
        </w:rPr>
        <w:t>Presentation of Financial Statements</w:t>
      </w:r>
      <w:r w:rsidRPr="00C06546">
        <w:rPr>
          <w:i/>
          <w:iCs/>
        </w:rPr>
        <w:t xml:space="preserve"> </w:t>
      </w:r>
      <w:r w:rsidRPr="00C06546">
        <w:t>(</w:t>
      </w:r>
      <w:r w:rsidR="00E2749C" w:rsidRPr="00C06546">
        <w:t>July</w:t>
      </w:r>
      <w:r w:rsidRPr="00C06546">
        <w:t xml:space="preserve"> 201</w:t>
      </w:r>
      <w:r w:rsidR="00E2749C" w:rsidRPr="00C06546">
        <w:t>5</w:t>
      </w:r>
      <w:r w:rsidRPr="00C06546">
        <w:t>)</w:t>
      </w:r>
      <w:r w:rsidR="0067073C" w:rsidRPr="00C06546">
        <w:t xml:space="preserve"> </w:t>
      </w:r>
      <w:r w:rsidR="0067073C" w:rsidRPr="00C06546">
        <w:rPr>
          <w:sz w:val="19"/>
          <w:szCs w:val="19"/>
        </w:rPr>
        <w:t xml:space="preserve">and AASB Practice Statement 2 </w:t>
      </w:r>
      <w:r w:rsidR="0067073C" w:rsidRPr="00C06546">
        <w:rPr>
          <w:i/>
          <w:iCs/>
          <w:sz w:val="19"/>
          <w:szCs w:val="19"/>
        </w:rPr>
        <w:t xml:space="preserve">Making Materiality Judgements </w:t>
      </w:r>
      <w:r w:rsidR="0067073C" w:rsidRPr="00C06546">
        <w:rPr>
          <w:sz w:val="19"/>
          <w:szCs w:val="19"/>
        </w:rPr>
        <w:t>(December 2017).</w:t>
      </w:r>
    </w:p>
    <w:p w14:paraId="5D91CD3D" w14:textId="6FC2F8DC" w:rsidR="002A6880" w:rsidRPr="00C06546" w:rsidRDefault="002A6880" w:rsidP="002A6880">
      <w:pPr>
        <w:pStyle w:val="NoNumPlain1"/>
      </w:pPr>
      <w:r w:rsidRPr="00C06546">
        <w:t xml:space="preserve">These amendments arise from the issuance of International Financial Reporting Standard </w:t>
      </w:r>
      <w:bookmarkStart w:id="0" w:name="ArisingTitle"/>
      <w:r w:rsidR="0067073C" w:rsidRPr="00C06546">
        <w:rPr>
          <w:i/>
        </w:rPr>
        <w:t>Non-current Liabilities with Covenants</w:t>
      </w:r>
      <w:bookmarkEnd w:id="0"/>
      <w:r w:rsidRPr="00C06546">
        <w:t xml:space="preserve"> (Amendments to </w:t>
      </w:r>
      <w:r w:rsidR="00104195" w:rsidRPr="00C06546">
        <w:t>IAS 1</w:t>
      </w:r>
      <w:r w:rsidRPr="00C06546">
        <w:t xml:space="preserve">) by the International Accounting Standards Board (IASB) in </w:t>
      </w:r>
      <w:bookmarkStart w:id="1" w:name="ArisingDate"/>
      <w:r w:rsidR="00104195" w:rsidRPr="00C06546">
        <w:t>October</w:t>
      </w:r>
      <w:r w:rsidRPr="00C06546">
        <w:t xml:space="preserve"> 2022</w:t>
      </w:r>
      <w:bookmarkEnd w:id="1"/>
      <w:r w:rsidRPr="00C06546">
        <w:t>.</w:t>
      </w:r>
    </w:p>
    <w:p w14:paraId="13976970" w14:textId="528AD714" w:rsidR="00FD4C0C" w:rsidRPr="00C06546" w:rsidRDefault="00FD4C0C" w:rsidP="00FD4C0C">
      <w:pPr>
        <w:pStyle w:val="Heading2"/>
      </w:pPr>
      <w:r w:rsidRPr="00C06546">
        <w:t xml:space="preserve">Main Features of AASB </w:t>
      </w:r>
      <w:r w:rsidR="00C068D8" w:rsidRPr="00C06546">
        <w:t>20</w:t>
      </w:r>
      <w:r w:rsidR="00D2416F" w:rsidRPr="00C06546">
        <w:t>22</w:t>
      </w:r>
      <w:r w:rsidR="00C068D8" w:rsidRPr="00C06546">
        <w:t>-</w:t>
      </w:r>
      <w:r w:rsidR="00AF3C4B" w:rsidRPr="00C06546">
        <w:t>6</w:t>
      </w:r>
    </w:p>
    <w:p w14:paraId="21EC26FA" w14:textId="195F4146" w:rsidR="00A108EA" w:rsidRPr="00C06546" w:rsidRDefault="00B238A4" w:rsidP="002A6880">
      <w:pPr>
        <w:pStyle w:val="NoNumPlain1"/>
      </w:pPr>
      <w:r w:rsidRPr="00C06546">
        <w:t xml:space="preserve">This </w:t>
      </w:r>
      <w:r w:rsidR="0070643A" w:rsidRPr="00C06546">
        <w:t>Standard</w:t>
      </w:r>
      <w:r w:rsidRPr="00C06546">
        <w:t xml:space="preserve"> amends AASB 101 to</w:t>
      </w:r>
      <w:r w:rsidR="0070643A" w:rsidRPr="00C06546">
        <w:t xml:space="preserve"> </w:t>
      </w:r>
      <w:r w:rsidR="00A108EA" w:rsidRPr="00C06546">
        <w:t xml:space="preserve">improve the information an entity provides </w:t>
      </w:r>
      <w:r w:rsidR="004F063D" w:rsidRPr="00C06546">
        <w:t xml:space="preserve">in its financial statements </w:t>
      </w:r>
      <w:r w:rsidR="00A108EA" w:rsidRPr="00C06546">
        <w:t xml:space="preserve">about liabilities arising from loan arrangements for which </w:t>
      </w:r>
      <w:r w:rsidR="004F063D" w:rsidRPr="00C06546">
        <w:t xml:space="preserve">the </w:t>
      </w:r>
      <w:r w:rsidR="00A108EA" w:rsidRPr="00C06546">
        <w:t>entity’s right to defer settlement of those liabilities for at least twelve months after the reporting period is subject to the entity complying with conditions specified in the loan arrangement</w:t>
      </w:r>
      <w:r w:rsidR="00A108EA" w:rsidRPr="00C06546" w:rsidDel="009178BF">
        <w:t xml:space="preserve"> (</w:t>
      </w:r>
      <w:r w:rsidR="00214B06" w:rsidRPr="00C06546">
        <w:t xml:space="preserve">often referred to as </w:t>
      </w:r>
      <w:r w:rsidR="001C510E" w:rsidRPr="00C06546">
        <w:t>‘</w:t>
      </w:r>
      <w:r w:rsidR="00214B06" w:rsidRPr="00C06546">
        <w:t>covenants</w:t>
      </w:r>
      <w:r w:rsidR="001C510E" w:rsidRPr="00C06546">
        <w:t>’</w:t>
      </w:r>
      <w:r w:rsidR="00214B06" w:rsidRPr="00C06546">
        <w:t>)</w:t>
      </w:r>
      <w:r w:rsidR="00A108EA" w:rsidRPr="00C06546">
        <w:t>.</w:t>
      </w:r>
    </w:p>
    <w:p w14:paraId="46649F4F" w14:textId="34D31B7A" w:rsidR="00B238A4" w:rsidRPr="00C06546" w:rsidRDefault="00A108EA" w:rsidP="002A6880">
      <w:pPr>
        <w:pStyle w:val="NoNumPlain1"/>
      </w:pPr>
      <w:r w:rsidRPr="00C06546">
        <w:t xml:space="preserve">This </w:t>
      </w:r>
      <w:r w:rsidRPr="00C06546">
        <w:t xml:space="preserve">Standard </w:t>
      </w:r>
      <w:r w:rsidR="00DC2925" w:rsidRPr="00C06546">
        <w:t xml:space="preserve">revises and </w:t>
      </w:r>
      <w:r w:rsidRPr="00C06546">
        <w:t>defers</w:t>
      </w:r>
      <w:r w:rsidR="00B238A4" w:rsidRPr="00C06546">
        <w:t xml:space="preserve"> requirements for the presentation of liabilities in the statement of financial position as current or non-current that were </w:t>
      </w:r>
      <w:r w:rsidR="0070643A" w:rsidRPr="00C06546">
        <w:t xml:space="preserve">added to AASB 101 in </w:t>
      </w:r>
      <w:r w:rsidR="009A280B" w:rsidRPr="00C06546">
        <w:t xml:space="preserve">AASB 2020-1 </w:t>
      </w:r>
      <w:r w:rsidR="009A280B" w:rsidRPr="00C06546">
        <w:rPr>
          <w:i/>
          <w:iCs/>
        </w:rPr>
        <w:t>Amendments to Australian Accounting Standards – Classification of Liabilities as Current or Non</w:t>
      </w:r>
      <w:r w:rsidR="009A280B" w:rsidRPr="00C06546">
        <w:rPr>
          <w:i/>
          <w:iCs/>
        </w:rPr>
        <w:noBreakHyphen/>
        <w:t>current</w:t>
      </w:r>
      <w:r w:rsidR="009A280B" w:rsidRPr="00C06546">
        <w:t xml:space="preserve"> in March 2020.</w:t>
      </w:r>
      <w:r w:rsidR="00920660" w:rsidRPr="00C06546">
        <w:t xml:space="preserve"> </w:t>
      </w:r>
      <w:r w:rsidR="009A280B" w:rsidRPr="00C06546">
        <w:t xml:space="preserve"> </w:t>
      </w:r>
      <w:r w:rsidRPr="00C06546">
        <w:t>Those requirements</w:t>
      </w:r>
      <w:r w:rsidR="0006511D" w:rsidRPr="00C06546">
        <w:t xml:space="preserve"> </w:t>
      </w:r>
      <w:r w:rsidR="0070643A" w:rsidRPr="00C06546">
        <w:t xml:space="preserve">will </w:t>
      </w:r>
      <w:r w:rsidR="00C61FC6" w:rsidRPr="00C06546">
        <w:t>now</w:t>
      </w:r>
      <w:r w:rsidR="0070643A" w:rsidRPr="00C06546">
        <w:t xml:space="preserve"> apply mandatorily to annual reporting periods beginning on or after 1 January 2024 instead of 1 January 20</w:t>
      </w:r>
      <w:r w:rsidR="00C61FC6" w:rsidRPr="00C06546">
        <w:t>23, with earlier application permitted</w:t>
      </w:r>
      <w:r w:rsidR="009A280B" w:rsidRPr="00C06546">
        <w:t xml:space="preserve">. </w:t>
      </w:r>
    </w:p>
    <w:p w14:paraId="27E7CD5A" w14:textId="1480A96C" w:rsidR="008F53E7" w:rsidRPr="00C06546" w:rsidRDefault="001B490C" w:rsidP="00902A7E">
      <w:pPr>
        <w:pStyle w:val="NoNumPlain1"/>
      </w:pPr>
      <w:r w:rsidRPr="00C06546">
        <w:t xml:space="preserve">This Standard also </w:t>
      </w:r>
      <w:r w:rsidR="00902A7E" w:rsidRPr="00C06546">
        <w:t>amends</w:t>
      </w:r>
      <w:r w:rsidRPr="00C06546">
        <w:t xml:space="preserve"> </w:t>
      </w:r>
      <w:r w:rsidR="00EC3CE5" w:rsidRPr="00C06546">
        <w:t xml:space="preserve">an example in </w:t>
      </w:r>
      <w:r w:rsidRPr="00C06546">
        <w:t xml:space="preserve">Practice Statement 2 </w:t>
      </w:r>
      <w:r w:rsidR="008F53E7" w:rsidRPr="00C06546">
        <w:t>regarding assessing whether info</w:t>
      </w:r>
      <w:r w:rsidR="00A63682" w:rsidRPr="00C06546">
        <w:t>rmati</w:t>
      </w:r>
      <w:r w:rsidR="008F53E7" w:rsidRPr="00C06546">
        <w:t xml:space="preserve">on about </w:t>
      </w:r>
      <w:r w:rsidR="005874FB" w:rsidRPr="00C06546">
        <w:t>covenants</w:t>
      </w:r>
      <w:r w:rsidR="00A63682" w:rsidRPr="00C06546">
        <w:t xml:space="preserve"> </w:t>
      </w:r>
      <w:r w:rsidR="008F53E7" w:rsidRPr="00C06546">
        <w:t>is material for disclosure</w:t>
      </w:r>
      <w:r w:rsidRPr="00C06546">
        <w:t xml:space="preserve">.  </w:t>
      </w:r>
    </w:p>
    <w:p w14:paraId="13976972" w14:textId="77777777" w:rsidR="00FD4C0C" w:rsidRPr="00C06546" w:rsidRDefault="00FD4C0C" w:rsidP="006B1B4A">
      <w:pPr>
        <w:pStyle w:val="Heading3"/>
      </w:pPr>
      <w:r w:rsidRPr="00C06546">
        <w:t>Application Date</w:t>
      </w:r>
    </w:p>
    <w:p w14:paraId="064873F0" w14:textId="35F956DE" w:rsidR="002A6880" w:rsidRPr="00C06546" w:rsidRDefault="002A6880" w:rsidP="002A6880">
      <w:pPr>
        <w:pStyle w:val="NoNumPlain1"/>
      </w:pPr>
      <w:r w:rsidRPr="00C06546">
        <w:t xml:space="preserve">This Standard applies to annual periods </w:t>
      </w:r>
      <w:bookmarkStart w:id="2" w:name="ApplyText"/>
      <w:r w:rsidRPr="00C06546">
        <w:t>beginning</w:t>
      </w:r>
      <w:bookmarkEnd w:id="2"/>
      <w:r w:rsidRPr="00C06546">
        <w:t xml:space="preserve"> on or after </w:t>
      </w:r>
      <w:bookmarkStart w:id="3" w:name="ApplyDate"/>
      <w:r w:rsidRPr="00C06546">
        <w:t>1 January 202</w:t>
      </w:r>
      <w:r w:rsidR="0028374D" w:rsidRPr="00C06546">
        <w:t>3</w:t>
      </w:r>
      <w:bookmarkEnd w:id="3"/>
      <w:r w:rsidRPr="00C06546">
        <w:t>.  Earlier application is permitted</w:t>
      </w:r>
      <w:r w:rsidR="004F063D" w:rsidRPr="00C06546">
        <w:t>,</w:t>
      </w:r>
      <w:r w:rsidR="005324F0" w:rsidRPr="00C06546">
        <w:t xml:space="preserve"> </w:t>
      </w:r>
      <w:r w:rsidR="00934282" w:rsidRPr="00C06546">
        <w:t xml:space="preserve">provided AASB 2020-1 is also applied </w:t>
      </w:r>
      <w:r w:rsidR="00FB0481" w:rsidRPr="00C06546">
        <w:t xml:space="preserve">at </w:t>
      </w:r>
      <w:r w:rsidR="00934282" w:rsidRPr="00C06546">
        <w:t xml:space="preserve">the </w:t>
      </w:r>
      <w:r w:rsidR="00FB0481" w:rsidRPr="00C06546">
        <w:t>same time</w:t>
      </w:r>
      <w:r w:rsidR="00855B93" w:rsidRPr="00C06546">
        <w:t>.</w:t>
      </w:r>
    </w:p>
    <w:p w14:paraId="2430C6D7" w14:textId="02890EF1" w:rsidR="00FB4D41" w:rsidRPr="00C06546" w:rsidRDefault="00FB4D41" w:rsidP="00FB4D41">
      <w:pPr>
        <w:pStyle w:val="Heading3"/>
      </w:pPr>
      <w:r w:rsidRPr="00C06546">
        <w:t>Marked-up Text</w:t>
      </w:r>
    </w:p>
    <w:p w14:paraId="7E48E591" w14:textId="209199D2" w:rsidR="00FB4D41" w:rsidRPr="00C06546" w:rsidRDefault="00FB4D41" w:rsidP="00FB4D41">
      <w:pPr>
        <w:pStyle w:val="NoNumPlain1"/>
      </w:pPr>
      <w:r w:rsidRPr="00C06546">
        <w:t>This Standard incorporates marked-up text to clearly identify</w:t>
      </w:r>
      <w:r w:rsidR="00345A43" w:rsidRPr="00C06546">
        <w:t xml:space="preserve"> </w:t>
      </w:r>
      <w:r w:rsidRPr="00C06546">
        <w:t>the amendments to</w:t>
      </w:r>
      <w:r w:rsidR="004B1D54" w:rsidRPr="00C06546">
        <w:t xml:space="preserve"> AASB </w:t>
      </w:r>
      <w:r w:rsidR="0028374D" w:rsidRPr="00C06546">
        <w:t>101</w:t>
      </w:r>
      <w:r w:rsidR="00685257" w:rsidRPr="00C06546">
        <w:t xml:space="preserve"> and </w:t>
      </w:r>
      <w:r w:rsidR="006A2549" w:rsidRPr="00C06546">
        <w:t>Practice Statement 2</w:t>
      </w:r>
      <w:r w:rsidRPr="00C06546">
        <w:t>.</w:t>
      </w:r>
      <w:r w:rsidR="00E574C8" w:rsidRPr="00C06546">
        <w:t xml:space="preserve"> </w:t>
      </w:r>
      <w:r w:rsidRPr="00C06546">
        <w:t xml:space="preserve"> All amendments are incorporated using clean text into the compilations of the pronouncements when they are prepared, based on the legal commencement date of the amendments.</w:t>
      </w:r>
    </w:p>
    <w:p w14:paraId="13976976" w14:textId="77777777" w:rsidR="00EA0A87" w:rsidRPr="00C06546" w:rsidRDefault="00EA0A87" w:rsidP="00EA0A87">
      <w:pPr>
        <w:pStyle w:val="Heading2"/>
      </w:pPr>
      <w:r w:rsidRPr="00C06546">
        <w:t>Consultation Prior to Issuing this Standard</w:t>
      </w:r>
    </w:p>
    <w:p w14:paraId="3DC17EB7" w14:textId="0896A10E" w:rsidR="00234DBE" w:rsidRPr="00C06546" w:rsidRDefault="00E113C4" w:rsidP="00E113C4">
      <w:pPr>
        <w:pStyle w:val="NoNumPlain1"/>
      </w:pPr>
      <w:r w:rsidRPr="00C06546">
        <w:t>In January 2020</w:t>
      </w:r>
      <w:r w:rsidR="008F73FD" w:rsidRPr="00C06546">
        <w:t>,</w:t>
      </w:r>
      <w:r w:rsidRPr="00C06546">
        <w:t xml:space="preserve"> the IASB issued </w:t>
      </w:r>
      <w:r w:rsidR="00EB7E6E" w:rsidRPr="00C06546">
        <w:t xml:space="preserve">IFRS Standard </w:t>
      </w:r>
      <w:r w:rsidRPr="00C06546">
        <w:rPr>
          <w:i/>
          <w:iCs/>
        </w:rPr>
        <w:t>Classification of Liabilities as Current or Non-current</w:t>
      </w:r>
      <w:r w:rsidR="00EA0CF7" w:rsidRPr="00C06546">
        <w:t xml:space="preserve">.  In Australia, these amendments were issued </w:t>
      </w:r>
      <w:r w:rsidR="00EB7E6E" w:rsidRPr="00C06546">
        <w:t xml:space="preserve">by the AASB </w:t>
      </w:r>
      <w:r w:rsidR="00EA0CF7" w:rsidRPr="00C06546">
        <w:t xml:space="preserve">in </w:t>
      </w:r>
      <w:r w:rsidR="00D930DE" w:rsidRPr="00C06546">
        <w:t>AASB 2020-1</w:t>
      </w:r>
      <w:r w:rsidR="00EB7E6E" w:rsidRPr="00C06546">
        <w:t xml:space="preserve">, in March 2020, following a public consultation process that included Exposure Draft ED 259 </w:t>
      </w:r>
      <w:r w:rsidR="00EB7E6E" w:rsidRPr="00C06546">
        <w:rPr>
          <w:i/>
          <w:iCs/>
        </w:rPr>
        <w:t>Classification of Liabilities</w:t>
      </w:r>
      <w:r w:rsidRPr="00C06546">
        <w:t>.</w:t>
      </w:r>
      <w:r w:rsidR="00920660" w:rsidRPr="00C06546">
        <w:t xml:space="preserve"> </w:t>
      </w:r>
      <w:r w:rsidRPr="00C06546">
        <w:t xml:space="preserve"> </w:t>
      </w:r>
      <w:r w:rsidR="00EB7E6E" w:rsidRPr="00C06546">
        <w:t xml:space="preserve">These </w:t>
      </w:r>
      <w:r w:rsidRPr="00C06546">
        <w:t xml:space="preserve">amendments </w:t>
      </w:r>
      <w:r w:rsidR="00EB7E6E" w:rsidRPr="00C06546">
        <w:t xml:space="preserve">were intended to clarify </w:t>
      </w:r>
      <w:r w:rsidRPr="00C06546">
        <w:t>aspects of how entities classify liabilities as current or non-current; in particular, how an entity assesses whether it has the right to defer settlement of a liability when that right is subject to compliance with covenants within twelve months after the reporting period</w:t>
      </w:r>
      <w:r w:rsidR="00E2740C" w:rsidRPr="00C06546">
        <w:t>.</w:t>
      </w:r>
    </w:p>
    <w:p w14:paraId="66112DCD" w14:textId="71C3B1EA" w:rsidR="00E2740C" w:rsidRPr="00C06546" w:rsidRDefault="00E2740C" w:rsidP="00DD2F16">
      <w:pPr>
        <w:pStyle w:val="NoNumPlain1"/>
      </w:pPr>
      <w:r w:rsidRPr="00C06546">
        <w:t>In response to questions from stakeholders, the IFRS Interpretations Committee published a tentative agenda decision explaining how to apply the 2020 amendments to particular fact patterns.</w:t>
      </w:r>
      <w:r w:rsidR="00920660" w:rsidRPr="00C06546">
        <w:t xml:space="preserve"> </w:t>
      </w:r>
      <w:r w:rsidRPr="00C06546">
        <w:t xml:space="preserve"> Respondents to the tentative agenda decision raised concerns about the outcomes and potential consequences of the 2020 amendments in some situations. </w:t>
      </w:r>
      <w:r w:rsidR="00F93520" w:rsidRPr="00C06546">
        <w:t xml:space="preserve"> </w:t>
      </w:r>
      <w:r w:rsidR="00570C59" w:rsidRPr="00C06546">
        <w:t>In November 2021, a</w:t>
      </w:r>
      <w:r w:rsidR="00F93520" w:rsidRPr="00C06546">
        <w:t xml:space="preserve">fter considering the new information, the IASB </w:t>
      </w:r>
      <w:r w:rsidR="00125833" w:rsidRPr="00C06546">
        <w:t xml:space="preserve">issued </w:t>
      </w:r>
      <w:r w:rsidR="00EB7E6E" w:rsidRPr="00C06546">
        <w:t xml:space="preserve">Exposure Draft </w:t>
      </w:r>
      <w:r w:rsidR="00125833" w:rsidRPr="00C06546">
        <w:t>ED/</w:t>
      </w:r>
      <w:r w:rsidR="00226895" w:rsidRPr="00C06546">
        <w:t>2021</w:t>
      </w:r>
      <w:r w:rsidR="00125833" w:rsidRPr="00C06546">
        <w:t xml:space="preserve">/9 </w:t>
      </w:r>
      <w:r w:rsidR="00125833" w:rsidRPr="00C06546">
        <w:rPr>
          <w:i/>
          <w:iCs/>
        </w:rPr>
        <w:t>Non-current Liabilities with Covenants</w:t>
      </w:r>
      <w:r w:rsidR="007729D8" w:rsidRPr="00C06546">
        <w:t>, proposing</w:t>
      </w:r>
      <w:r w:rsidR="00F93520" w:rsidRPr="00C06546">
        <w:t xml:space="preserve"> </w:t>
      </w:r>
      <w:r w:rsidR="00EB7E6E" w:rsidRPr="00C06546">
        <w:t xml:space="preserve">further </w:t>
      </w:r>
      <w:r w:rsidR="00F93520" w:rsidRPr="00C06546">
        <w:t xml:space="preserve">amendments to </w:t>
      </w:r>
      <w:r w:rsidR="00C313B4" w:rsidRPr="00C06546">
        <w:t xml:space="preserve">the liability classification requirements in </w:t>
      </w:r>
      <w:r w:rsidR="00F93520" w:rsidRPr="00C06546">
        <w:t>IAS</w:t>
      </w:r>
      <w:r w:rsidR="00C313B4" w:rsidRPr="00C06546">
        <w:t> </w:t>
      </w:r>
      <w:r w:rsidR="00F93520" w:rsidRPr="00C06546">
        <w:t>1</w:t>
      </w:r>
      <w:r w:rsidR="00DF23D7" w:rsidRPr="00C06546">
        <w:t xml:space="preserve"> </w:t>
      </w:r>
      <w:r w:rsidR="00DF23D7" w:rsidRPr="00C06546">
        <w:rPr>
          <w:i/>
          <w:iCs/>
        </w:rPr>
        <w:t>Presentation of Financial Statements</w:t>
      </w:r>
      <w:r w:rsidR="0084574B" w:rsidRPr="00C06546">
        <w:t xml:space="preserve"> and a deferral of the revised </w:t>
      </w:r>
      <w:r w:rsidR="00C313B4" w:rsidRPr="00C06546">
        <w:t xml:space="preserve">requirements </w:t>
      </w:r>
      <w:r w:rsidR="0084574B" w:rsidRPr="00C06546">
        <w:t xml:space="preserve">to periods beginning no earlier </w:t>
      </w:r>
      <w:r w:rsidR="0084574B" w:rsidRPr="00C06546" w:rsidDel="00DF183B">
        <w:t>than</w:t>
      </w:r>
      <w:r w:rsidR="004F5926" w:rsidRPr="00C06546">
        <w:t xml:space="preserve"> </w:t>
      </w:r>
      <w:r w:rsidR="0084574B" w:rsidRPr="00C06546">
        <w:t>1</w:t>
      </w:r>
      <w:r w:rsidR="00C313B4" w:rsidRPr="00C06546">
        <w:t> </w:t>
      </w:r>
      <w:r w:rsidR="0084574B" w:rsidRPr="00C06546">
        <w:t>January 2024</w:t>
      </w:r>
      <w:r w:rsidR="00DD2F16" w:rsidRPr="00C06546">
        <w:t>.</w:t>
      </w:r>
    </w:p>
    <w:p w14:paraId="63E89960" w14:textId="0D824A8E" w:rsidR="005E4C0C" w:rsidRPr="00C06546" w:rsidRDefault="00843BF6" w:rsidP="004C1746">
      <w:pPr>
        <w:pStyle w:val="NoNumPlain1"/>
      </w:pPr>
      <w:r w:rsidRPr="00C06546">
        <w:t xml:space="preserve">The AASB </w:t>
      </w:r>
      <w:r w:rsidR="00CD0A54" w:rsidRPr="00C06546">
        <w:t>issued ED</w:t>
      </w:r>
      <w:r w:rsidR="00345A43" w:rsidRPr="00C06546">
        <w:t xml:space="preserve"> </w:t>
      </w:r>
      <w:r w:rsidR="00AA0395" w:rsidRPr="00C06546">
        <w:t>316</w:t>
      </w:r>
      <w:r w:rsidR="00345A43" w:rsidRPr="00C06546">
        <w:t xml:space="preserve"> </w:t>
      </w:r>
      <w:r w:rsidR="00AA0395" w:rsidRPr="00C06546">
        <w:rPr>
          <w:i/>
          <w:iCs/>
        </w:rPr>
        <w:t>Non-current Liabilities with Covenants</w:t>
      </w:r>
      <w:r w:rsidR="00345A43" w:rsidRPr="00C06546">
        <w:rPr>
          <w:i/>
          <w:iCs/>
        </w:rPr>
        <w:t xml:space="preserve"> </w:t>
      </w:r>
      <w:r w:rsidR="00345A43" w:rsidRPr="00C06546">
        <w:t>in December 202</w:t>
      </w:r>
      <w:r w:rsidR="00A02299" w:rsidRPr="00C06546">
        <w:t>1</w:t>
      </w:r>
      <w:r w:rsidR="00C04EB7" w:rsidRPr="00C06546">
        <w:t xml:space="preserve">, with comments due by </w:t>
      </w:r>
      <w:r w:rsidR="008C1FEB" w:rsidRPr="00C06546">
        <w:t>3</w:t>
      </w:r>
      <w:r w:rsidR="004F5926" w:rsidRPr="00C06546">
        <w:t> </w:t>
      </w:r>
      <w:r w:rsidR="00226895" w:rsidRPr="00C06546">
        <w:t xml:space="preserve">February </w:t>
      </w:r>
      <w:r w:rsidR="008C1FEB" w:rsidRPr="00C06546">
        <w:t>2022</w:t>
      </w:r>
      <w:r w:rsidR="00345A43" w:rsidRPr="00C06546">
        <w:t>.</w:t>
      </w:r>
      <w:r w:rsidR="00E574C8" w:rsidRPr="00C06546">
        <w:t xml:space="preserve"> </w:t>
      </w:r>
      <w:r w:rsidR="00345A43" w:rsidRPr="00C06546">
        <w:t xml:space="preserve"> ED </w:t>
      </w:r>
      <w:r w:rsidR="008C1FEB" w:rsidRPr="00C06546">
        <w:t xml:space="preserve">316 </w:t>
      </w:r>
      <w:r w:rsidR="00345A43" w:rsidRPr="00C06546">
        <w:t xml:space="preserve">incorporated </w:t>
      </w:r>
      <w:r w:rsidR="00226895" w:rsidRPr="00C06546">
        <w:t xml:space="preserve">the IASB’s </w:t>
      </w:r>
      <w:r w:rsidR="00345A43" w:rsidRPr="00C06546">
        <w:t>ED/</w:t>
      </w:r>
      <w:r w:rsidR="00226895" w:rsidRPr="00C06546">
        <w:t>2021</w:t>
      </w:r>
      <w:r w:rsidR="00345A43" w:rsidRPr="00C06546">
        <w:t>/</w:t>
      </w:r>
      <w:r w:rsidR="008C1FEB" w:rsidRPr="00C06546">
        <w:t xml:space="preserve">9. </w:t>
      </w:r>
      <w:r w:rsidR="00345A43" w:rsidRPr="00C06546">
        <w:t xml:space="preserve"> The AASB received feedback on ED 3</w:t>
      </w:r>
      <w:r w:rsidR="008C1FEB" w:rsidRPr="00C06546">
        <w:t>16</w:t>
      </w:r>
      <w:r w:rsidR="00345A43" w:rsidRPr="00C06546">
        <w:t xml:space="preserve"> via targeted consultation with key stakeholders</w:t>
      </w:r>
      <w:r w:rsidR="00E84132" w:rsidRPr="00C06546">
        <w:t>, including users of financial statements, financial statement preparers, auditors, professional bodies and regulators</w:t>
      </w:r>
      <w:r w:rsidR="00C04EB7" w:rsidRPr="00C06546">
        <w:t>.</w:t>
      </w:r>
    </w:p>
    <w:p w14:paraId="09E13E3F" w14:textId="5A72D4F8" w:rsidR="009B1B46" w:rsidRPr="00C06546" w:rsidRDefault="00C04EB7" w:rsidP="0055197A">
      <w:pPr>
        <w:pStyle w:val="NoNumPlain1"/>
      </w:pPr>
      <w:r w:rsidRPr="00C06546">
        <w:t>Feedback on ED</w:t>
      </w:r>
      <w:r w:rsidR="00913B8E" w:rsidRPr="00C06546">
        <w:t> 316</w:t>
      </w:r>
      <w:r w:rsidR="00273574" w:rsidRPr="00C06546">
        <w:t xml:space="preserve"> indicated that the proposed changes </w:t>
      </w:r>
      <w:r w:rsidR="00C313B4" w:rsidRPr="00C06546">
        <w:t xml:space="preserve">to the liability classification requirements </w:t>
      </w:r>
      <w:r w:rsidR="001A4178" w:rsidRPr="00C06546">
        <w:t>would</w:t>
      </w:r>
      <w:r w:rsidR="003975D1" w:rsidRPr="00C06546">
        <w:t xml:space="preserve"> provide useful information. </w:t>
      </w:r>
      <w:r w:rsidR="00553133" w:rsidRPr="00C06546">
        <w:t xml:space="preserve"> </w:t>
      </w:r>
      <w:r w:rsidR="003975D1" w:rsidRPr="00C06546">
        <w:t xml:space="preserve">However, </w:t>
      </w:r>
      <w:r w:rsidR="00D33B89" w:rsidRPr="00C06546">
        <w:t xml:space="preserve">recognising the potential </w:t>
      </w:r>
      <w:r w:rsidR="009B1B46" w:rsidRPr="00C06546">
        <w:t>implementation challenges, stakeholders suggested the IASB</w:t>
      </w:r>
      <w:r w:rsidR="00BA44B8" w:rsidRPr="00C06546">
        <w:t xml:space="preserve"> consider the interaction between the proposals in ED/2021/9 and the IASB’s Primary Financial Statements project, its Management Commentary project and IFRS 7 </w:t>
      </w:r>
      <w:r w:rsidR="00BA44B8" w:rsidRPr="00C06546">
        <w:rPr>
          <w:i/>
          <w:iCs/>
        </w:rPr>
        <w:t>Financial Instruments: Disclosures</w:t>
      </w:r>
      <w:r w:rsidR="004F5926" w:rsidRPr="00C06546">
        <w:t>,</w:t>
      </w:r>
      <w:r w:rsidR="00BA44B8" w:rsidRPr="00C06546">
        <w:t xml:space="preserve"> to ensure consistent principles are applied and to avoid duplicative requirements.  Clarification of proposed disclosure requirements was also suggested.</w:t>
      </w:r>
    </w:p>
    <w:p w14:paraId="13976977" w14:textId="02610E75" w:rsidR="00843BF6" w:rsidRPr="00C06546" w:rsidRDefault="0033233B" w:rsidP="004C1746">
      <w:pPr>
        <w:pStyle w:val="NoNumPlain1"/>
      </w:pPr>
      <w:r w:rsidRPr="00C06546">
        <w:t xml:space="preserve">The AASB </w:t>
      </w:r>
      <w:r w:rsidR="00C2384B" w:rsidRPr="00C06546">
        <w:t xml:space="preserve">disagreed with the </w:t>
      </w:r>
      <w:r w:rsidR="00590D31" w:rsidRPr="00C06546">
        <w:t xml:space="preserve">IASB’s </w:t>
      </w:r>
      <w:r w:rsidR="00C2384B" w:rsidRPr="00C06546">
        <w:t xml:space="preserve">proposal </w:t>
      </w:r>
      <w:r w:rsidR="00565A4C" w:rsidRPr="00C06546">
        <w:t xml:space="preserve">in </w:t>
      </w:r>
      <w:r w:rsidR="00590D31" w:rsidRPr="00C06546">
        <w:t xml:space="preserve">ED/2021/9 </w:t>
      </w:r>
      <w:r w:rsidR="00565A4C" w:rsidRPr="00C06546">
        <w:t xml:space="preserve">to require an entity </w:t>
      </w:r>
      <w:r w:rsidR="004C0714" w:rsidRPr="00C06546">
        <w:t xml:space="preserve">to </w:t>
      </w:r>
      <w:r w:rsidR="00565A4C" w:rsidRPr="00C06546">
        <w:t xml:space="preserve">present non-current liabilities that are subject to compliance with </w:t>
      </w:r>
      <w:r w:rsidR="0033786B" w:rsidRPr="00C06546">
        <w:t xml:space="preserve">covenants </w:t>
      </w:r>
      <w:r w:rsidR="00565A4C" w:rsidRPr="00C06546">
        <w:t xml:space="preserve">within twelve months after the reporting </w:t>
      </w:r>
      <w:r w:rsidR="004C0714" w:rsidRPr="00C06546">
        <w:t>period</w:t>
      </w:r>
      <w:r w:rsidR="00590D31" w:rsidRPr="00C06546">
        <w:t xml:space="preserve"> separately in the statement of financial position, taking the view that note disclosure would be sufficient</w:t>
      </w:r>
      <w:r w:rsidR="004C0714" w:rsidRPr="00C06546">
        <w:t>.</w:t>
      </w:r>
      <w:r w:rsidR="00920660" w:rsidRPr="00C06546">
        <w:t xml:space="preserve"> </w:t>
      </w:r>
      <w:r w:rsidR="004C0714" w:rsidRPr="00C06546">
        <w:t xml:space="preserve"> </w:t>
      </w:r>
      <w:r w:rsidR="00C04EB7" w:rsidRPr="00C06546">
        <w:t xml:space="preserve">The </w:t>
      </w:r>
      <w:r w:rsidR="00400192" w:rsidRPr="00C06546">
        <w:t>AASB made a submission to the IASB on ED/202</w:t>
      </w:r>
      <w:r w:rsidR="00AA0395" w:rsidRPr="00C06546">
        <w:t>1</w:t>
      </w:r>
      <w:r w:rsidR="00400192" w:rsidRPr="00C06546">
        <w:t>/</w:t>
      </w:r>
      <w:r w:rsidR="00AA0395" w:rsidRPr="00C06546">
        <w:t>9</w:t>
      </w:r>
      <w:r w:rsidR="00400192" w:rsidRPr="00C06546">
        <w:t xml:space="preserve"> </w:t>
      </w:r>
      <w:r w:rsidR="004607FB" w:rsidRPr="00C06546">
        <w:t xml:space="preserve">on </w:t>
      </w:r>
      <w:r w:rsidR="00090AD7" w:rsidRPr="00C06546">
        <w:t>11</w:t>
      </w:r>
      <w:r w:rsidR="00413838" w:rsidRPr="00C06546">
        <w:t> </w:t>
      </w:r>
      <w:r w:rsidR="004607FB" w:rsidRPr="00C06546">
        <w:t>March 202</w:t>
      </w:r>
      <w:r w:rsidR="00090AD7" w:rsidRPr="00C06546">
        <w:t>2</w:t>
      </w:r>
      <w:r w:rsidR="004B1D54" w:rsidRPr="00C06546">
        <w:t>, consistent with the feedback received</w:t>
      </w:r>
      <w:r w:rsidR="004607FB" w:rsidRPr="00C06546">
        <w:t>.</w:t>
      </w:r>
    </w:p>
    <w:p w14:paraId="0359083E" w14:textId="4D17BB10" w:rsidR="0041320B" w:rsidRPr="00C06546" w:rsidRDefault="004607FB" w:rsidP="004C1746">
      <w:pPr>
        <w:pStyle w:val="NoNumPlain1"/>
      </w:pPr>
      <w:r w:rsidRPr="00C06546">
        <w:lastRenderedPageBreak/>
        <w:t>The IASB analysed the feedback it received on the proposed amendments and decided to finalise the amendments after making changes.</w:t>
      </w:r>
      <w:r w:rsidR="00E574C8" w:rsidRPr="00C06546">
        <w:t xml:space="preserve"> </w:t>
      </w:r>
      <w:r w:rsidRPr="00C06546">
        <w:t xml:space="preserve"> </w:t>
      </w:r>
      <w:r w:rsidR="00026782" w:rsidRPr="00C06546">
        <w:t>The changes included requiring note disclosure of the relevant non-current liabilities rather than separate presentation in the statement of financial position.</w:t>
      </w:r>
    </w:p>
    <w:p w14:paraId="465AC1F4" w14:textId="30FE2FC9" w:rsidR="00026782" w:rsidRPr="00C06546" w:rsidRDefault="00026782" w:rsidP="00026782">
      <w:pPr>
        <w:pStyle w:val="NoNumPlain1"/>
      </w:pPr>
      <w:r w:rsidRPr="00C06546">
        <w:t>The AASB considered and adopted the amendments made by the IASB to IAS 1 in finalising AASB 2022-6 and the revised amendments to AASB 101.</w:t>
      </w:r>
    </w:p>
    <w:p w14:paraId="23CCB1B7" w14:textId="671E3704" w:rsidR="00026782" w:rsidRPr="00C06546" w:rsidRDefault="00143ED2" w:rsidP="00B06683">
      <w:pPr>
        <w:pStyle w:val="NoNumPlain1"/>
      </w:pPr>
      <w:r w:rsidRPr="00C06546">
        <w:t xml:space="preserve">The amendments </w:t>
      </w:r>
      <w:r w:rsidR="003F02D6" w:rsidRPr="00C06546">
        <w:t xml:space="preserve">in </w:t>
      </w:r>
      <w:r w:rsidRPr="00C06546">
        <w:t xml:space="preserve">AASB 2022-6 </w:t>
      </w:r>
      <w:r w:rsidR="003F02D6" w:rsidRPr="00C06546">
        <w:t xml:space="preserve">are effective for annual periods beginning on or after 1 January 2024, with earlier application permitted. </w:t>
      </w:r>
      <w:r w:rsidR="003A1E87" w:rsidRPr="00C06546">
        <w:t xml:space="preserve"> </w:t>
      </w:r>
      <w:r w:rsidR="003F02D6" w:rsidRPr="00C06546">
        <w:t xml:space="preserve">AASB 2022-6 </w:t>
      </w:r>
      <w:r w:rsidRPr="00C06546">
        <w:t xml:space="preserve">therefore </w:t>
      </w:r>
      <w:r w:rsidR="003F02D6" w:rsidRPr="00C06546">
        <w:t xml:space="preserve">defers the amendments originally made to AASB 101 </w:t>
      </w:r>
      <w:r w:rsidR="007B4653" w:rsidRPr="00C06546">
        <w:t>by AASB</w:t>
      </w:r>
      <w:r w:rsidRPr="00C06546">
        <w:t> </w:t>
      </w:r>
      <w:r w:rsidR="007B4653" w:rsidRPr="00C06546">
        <w:t>2020-1</w:t>
      </w:r>
      <w:r w:rsidR="00F3428C" w:rsidRPr="00C06546">
        <w:t>,</w:t>
      </w:r>
      <w:r w:rsidR="007B4653" w:rsidRPr="00C06546">
        <w:t xml:space="preserve"> </w:t>
      </w:r>
      <w:r w:rsidR="003F02D6" w:rsidRPr="00C06546">
        <w:t xml:space="preserve">which were previously deferred by </w:t>
      </w:r>
      <w:r w:rsidR="007B4653" w:rsidRPr="00C06546">
        <w:t xml:space="preserve">AASB 2020-6 </w:t>
      </w:r>
      <w:r w:rsidR="007B4653" w:rsidRPr="00C06546">
        <w:rPr>
          <w:i/>
          <w:iCs/>
        </w:rPr>
        <w:t xml:space="preserve">Amendments to Australian Accounting Standards – Classification of Liabilities as Current or Non-current – Deferral of Effective Date </w:t>
      </w:r>
      <w:r w:rsidR="007B4653" w:rsidRPr="00C06546">
        <w:t>(August 2020)</w:t>
      </w:r>
      <w:r w:rsidR="003F02D6" w:rsidRPr="00C06546">
        <w:t xml:space="preserve"> to periods beginning on or after 1</w:t>
      </w:r>
      <w:r w:rsidR="004F5926" w:rsidRPr="00C06546">
        <w:t> </w:t>
      </w:r>
      <w:r w:rsidR="003F02D6" w:rsidRPr="00C06546">
        <w:t xml:space="preserve">January 2023. </w:t>
      </w:r>
      <w:r w:rsidR="003A1E87" w:rsidRPr="00C06546">
        <w:t xml:space="preserve"> </w:t>
      </w:r>
      <w:r w:rsidR="003F02D6" w:rsidRPr="00C06546">
        <w:t xml:space="preserve">Consequently, </w:t>
      </w:r>
      <w:r w:rsidR="00FA59D7" w:rsidRPr="00C06546">
        <w:t xml:space="preserve">AASB 2022-6 </w:t>
      </w:r>
      <w:r w:rsidRPr="00C06546">
        <w:t xml:space="preserve">itself </w:t>
      </w:r>
      <w:r w:rsidR="00FA59D7" w:rsidRPr="00C06546">
        <w:t xml:space="preserve">applies to periods beginning on or after 1 January 2023 in order to defer the amendments from </w:t>
      </w:r>
      <w:r w:rsidR="001F7111" w:rsidRPr="00C06546">
        <w:t xml:space="preserve">that date </w:t>
      </w:r>
      <w:r w:rsidRPr="00C06546">
        <w:t xml:space="preserve">for </w:t>
      </w:r>
      <w:r w:rsidR="001F7111" w:rsidRPr="00C06546">
        <w:t xml:space="preserve">another year. </w:t>
      </w:r>
      <w:r w:rsidR="003A1E87" w:rsidRPr="00C06546">
        <w:t xml:space="preserve"> </w:t>
      </w:r>
      <w:r w:rsidR="0055197A" w:rsidRPr="00C06546">
        <w:t xml:space="preserve">The result is that the revised liability classification requirements in AASB 101 </w:t>
      </w:r>
      <w:r w:rsidR="007B4653" w:rsidRPr="00C06546">
        <w:t xml:space="preserve">will now apply mandatorily to annual reporting periods beginning on or after </w:t>
      </w:r>
      <w:r w:rsidR="007B4653" w:rsidRPr="00C06546" w:rsidDel="00E41A44">
        <w:t>1</w:t>
      </w:r>
      <w:r w:rsidR="00E41A44" w:rsidRPr="00C06546">
        <w:t> </w:t>
      </w:r>
      <w:r w:rsidR="007B4653" w:rsidRPr="00C06546">
        <w:t>January</w:t>
      </w:r>
      <w:r w:rsidR="00141D3C" w:rsidRPr="00C06546">
        <w:t xml:space="preserve"> </w:t>
      </w:r>
      <w:r w:rsidR="007B4653" w:rsidRPr="00C06546">
        <w:t>2024, with earlier application permitted.</w:t>
      </w:r>
      <w:r w:rsidR="00B06683" w:rsidRPr="00C06546">
        <w:t xml:space="preserve"> </w:t>
      </w:r>
    </w:p>
    <w:p w14:paraId="28B06DC9" w14:textId="70ED904F" w:rsidR="004607FB" w:rsidRPr="00C06546" w:rsidRDefault="004607FB" w:rsidP="00026782">
      <w:pPr>
        <w:pStyle w:val="NoNumPlain1"/>
      </w:pPr>
      <w:r w:rsidRPr="00C06546">
        <w:t>A Regulation Impact Statement (RIS) has not been prepared in connection with the issue of AASB 202</w:t>
      </w:r>
      <w:r w:rsidR="00413838" w:rsidRPr="00C06546">
        <w:t>2</w:t>
      </w:r>
      <w:r w:rsidRPr="00C06546">
        <w:t>-</w:t>
      </w:r>
      <w:r w:rsidR="00F52782" w:rsidRPr="00C06546">
        <w:t xml:space="preserve">6 </w:t>
      </w:r>
      <w:r w:rsidRPr="00C06546">
        <w:t>as the amendments made do not have a substantial direct or indirect impact on business or competition.</w:t>
      </w:r>
    </w:p>
    <w:p w14:paraId="0AE931A0" w14:textId="7EB10F8C" w:rsidR="008E704E" w:rsidRPr="00C06546" w:rsidRDefault="008E704E" w:rsidP="008E704E">
      <w:pPr>
        <w:pStyle w:val="Heading2"/>
      </w:pPr>
      <w:r w:rsidRPr="00C06546">
        <w:t xml:space="preserve">Legislative Features of </w:t>
      </w:r>
      <w:r w:rsidR="0054748E" w:rsidRPr="00C06546">
        <w:t>Accounting Standards</w:t>
      </w:r>
    </w:p>
    <w:p w14:paraId="5C28FC21" w14:textId="4DFB51E4" w:rsidR="008E704E" w:rsidRPr="00C06546" w:rsidRDefault="008E704E" w:rsidP="008E704E">
      <w:pPr>
        <w:pStyle w:val="Heading3"/>
      </w:pPr>
      <w:r w:rsidRPr="00C06546">
        <w:t xml:space="preserve">Power to Make Amendments </w:t>
      </w:r>
    </w:p>
    <w:p w14:paraId="2B5D664A" w14:textId="77777777" w:rsidR="008E704E" w:rsidRPr="00C06546" w:rsidRDefault="008E704E" w:rsidP="008E704E">
      <w:pPr>
        <w:pStyle w:val="NoNumPlain1"/>
      </w:pPr>
      <w:r w:rsidRPr="00C06546">
        <w:t xml:space="preserve">Under subsection 33(3) of the </w:t>
      </w:r>
      <w:r w:rsidRPr="00C06546">
        <w:rPr>
          <w:i/>
        </w:rPr>
        <w:t>Acts Interpretation Act 1901</w:t>
      </w:r>
      <w:r w:rsidRPr="00C06546">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C06546">
        <w:rPr>
          <w:i/>
        </w:rPr>
        <w:t>Corporations Act 2001</w:t>
      </w:r>
      <w:r w:rsidRPr="00C06546">
        <w:t>.</w:t>
      </w:r>
    </w:p>
    <w:p w14:paraId="241C4F8E" w14:textId="6107698C" w:rsidR="00FB4D41" w:rsidRPr="00C06546" w:rsidRDefault="00FB4D41" w:rsidP="00FB4D41">
      <w:pPr>
        <w:pStyle w:val="Heading3"/>
      </w:pPr>
      <w:r w:rsidRPr="00C06546">
        <w:t xml:space="preserve">References to Other AASB Standards </w:t>
      </w:r>
    </w:p>
    <w:p w14:paraId="6D24B182" w14:textId="77777777" w:rsidR="00FB4D41" w:rsidRPr="00C06546" w:rsidRDefault="00FB4D41" w:rsidP="00FB4D41">
      <w:pPr>
        <w:pStyle w:val="NoNumPlain1"/>
      </w:pPr>
      <w:r w:rsidRPr="00C06546">
        <w:t>References in this Standard to the titles of other AASB Standards that are legislative instruments are to be construed as references to those other Standards as originally made and as amended from time to time and incorporate provisions of those Standards as in force from time to time.</w:t>
      </w:r>
    </w:p>
    <w:p w14:paraId="33BAA789" w14:textId="65540AF3" w:rsidR="00FB4D41" w:rsidRPr="00C06546" w:rsidRDefault="00FB4D41" w:rsidP="00FB4D41">
      <w:pPr>
        <w:pStyle w:val="Heading3"/>
      </w:pPr>
      <w:r w:rsidRPr="00C06546">
        <w:t>Copyright</w:t>
      </w:r>
    </w:p>
    <w:p w14:paraId="1ABA0E69" w14:textId="23A7FF29" w:rsidR="00FB4D41" w:rsidRPr="00C06546" w:rsidRDefault="0054748E" w:rsidP="00FB4D41">
      <w:pPr>
        <w:pStyle w:val="NoNumPlain1"/>
      </w:pPr>
      <w:r w:rsidRPr="00C06546">
        <w:t xml:space="preserve">This Standard, like </w:t>
      </w:r>
      <w:r w:rsidR="00FB4D41" w:rsidRPr="00C06546">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C06546" w:rsidRDefault="0054748E" w:rsidP="0054748E">
      <w:pPr>
        <w:pStyle w:val="NoNumPlain1"/>
        <w:spacing w:line="240" w:lineRule="exact"/>
        <w:rPr>
          <w:rFonts w:cs="Arial"/>
          <w:b/>
          <w:bCs/>
          <w:iCs/>
          <w:sz w:val="24"/>
          <w:szCs w:val="24"/>
        </w:rPr>
      </w:pPr>
      <w:r w:rsidRPr="00C06546">
        <w:rPr>
          <w:rFonts w:cs="Arial"/>
          <w:b/>
          <w:bCs/>
          <w:iCs/>
          <w:sz w:val="24"/>
          <w:szCs w:val="24"/>
        </w:rPr>
        <w:t>Exemption from Sunsetting</w:t>
      </w:r>
    </w:p>
    <w:p w14:paraId="4C0E3ED7" w14:textId="00F6CED0" w:rsidR="007303BE" w:rsidRPr="00C06546" w:rsidRDefault="007303BE" w:rsidP="007303BE">
      <w:pPr>
        <w:pStyle w:val="NoNumPlain1"/>
      </w:pPr>
      <w:r w:rsidRPr="00C06546">
        <w:t xml:space="preserve">Accounting Standards promulgated by the AASB that are legislative instruments are exempt from the sunsetting provisions of the </w:t>
      </w:r>
      <w:r w:rsidRPr="00C06546">
        <w:rPr>
          <w:i/>
          <w:iCs/>
        </w:rPr>
        <w:t>Legislation Act 2003</w:t>
      </w:r>
      <w:r w:rsidRPr="00C06546">
        <w:t xml:space="preserve"> through section 12 of the </w:t>
      </w:r>
      <w:r w:rsidRPr="00C06546">
        <w:rPr>
          <w:i/>
          <w:iCs/>
        </w:rPr>
        <w:t>Legislation (Exemption</w:t>
      </w:r>
      <w:r w:rsidR="00C34A0B" w:rsidRPr="00C06546">
        <w:rPr>
          <w:i/>
          <w:iCs/>
        </w:rPr>
        <w:t>s</w:t>
      </w:r>
      <w:r w:rsidRPr="00C06546">
        <w:rPr>
          <w:i/>
          <w:iCs/>
        </w:rPr>
        <w:t xml:space="preserve"> and Other Matters) Regulation 2015</w:t>
      </w:r>
      <w:r w:rsidRPr="00C06546">
        <w:t xml:space="preserve"> (Item 18(a)).</w:t>
      </w:r>
    </w:p>
    <w:p w14:paraId="598DA6DB" w14:textId="5A95B658" w:rsidR="007303BE" w:rsidRPr="00C06546" w:rsidRDefault="007303BE" w:rsidP="007303BE">
      <w:pPr>
        <w:pStyle w:val="NoNumPlain1"/>
      </w:pPr>
      <w:r w:rsidRPr="00C06546">
        <w:t xml:space="preserve">The AASB’s </w:t>
      </w:r>
      <w:r w:rsidRPr="00C06546">
        <w:rPr>
          <w:lang w:eastAsia="en-AU"/>
        </w:rPr>
        <w:t xml:space="preserve">Standards incorporate Standards set by the International Accounting Standards Board in respect of publicly accountable for-profit entities.  </w:t>
      </w:r>
      <w:r w:rsidRPr="00C06546">
        <w:t xml:space="preserve">The AASB’s Standards are exempt from sunsetting because a more stringent review process than sunsetting applies to the Standards.  This review process ensures Australia’s Accounting Standards regime remains consistent with international Standards.  Typically, the AASB Standards are revised at least once within a ten-year period, with most of the Standards subject to </w:t>
      </w:r>
      <w:r w:rsidR="00C34A0B" w:rsidRPr="00C06546">
        <w:t xml:space="preserve">much more frequent </w:t>
      </w:r>
      <w:r w:rsidRPr="00C06546">
        <w:t xml:space="preserve">revisions.  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Therefore, if it applied, a ten-year sunsetting regime would have very limited practical application to AASB Standards.  Parliamentary oversight is retained whenever a Standard is replaced or amended since the Standards are disallowable instruments and subject to the normal tabling and scrutiny process as required by the </w:t>
      </w:r>
      <w:r w:rsidRPr="00C06546">
        <w:rPr>
          <w:i/>
          <w:iCs/>
        </w:rPr>
        <w:t>Legislation Act 2003</w:t>
      </w:r>
      <w:r w:rsidRPr="00C06546">
        <w:t>.</w:t>
      </w:r>
    </w:p>
    <w:p w14:paraId="1397697A" w14:textId="69475B4F" w:rsidR="00AD44F9" w:rsidRPr="00C06546" w:rsidRDefault="00CD0A54" w:rsidP="00225C75">
      <w:pPr>
        <w:pStyle w:val="Heading2"/>
        <w:spacing w:before="720"/>
        <w:jc w:val="center"/>
      </w:pPr>
      <w:r w:rsidRPr="00C06546">
        <w:lastRenderedPageBreak/>
        <w:t>Statement of Compatibility with Human Rights</w:t>
      </w:r>
    </w:p>
    <w:p w14:paraId="1397697B" w14:textId="77777777" w:rsidR="00E770E5" w:rsidRPr="00C06546" w:rsidRDefault="00E770E5" w:rsidP="00FB4D41">
      <w:pPr>
        <w:pStyle w:val="NoNumPlain1"/>
        <w:keepNext/>
        <w:jc w:val="center"/>
      </w:pPr>
      <w:r w:rsidRPr="00C06546">
        <w:t xml:space="preserve">Prepared in accordance with Part 3 of the </w:t>
      </w:r>
      <w:r w:rsidRPr="00C06546">
        <w:br/>
      </w:r>
      <w:r w:rsidRPr="00C06546">
        <w:rPr>
          <w:i/>
        </w:rPr>
        <w:t>Human Rights (Parliamentary Scrutiny) Act 2011</w:t>
      </w:r>
    </w:p>
    <w:p w14:paraId="1397697C" w14:textId="782F2F05" w:rsidR="00E770E5" w:rsidRPr="00C06546" w:rsidRDefault="00A90A3D" w:rsidP="00A90A3D">
      <w:pPr>
        <w:pStyle w:val="Heading3"/>
        <w:spacing w:after="360"/>
        <w:jc w:val="center"/>
      </w:pPr>
      <w:r w:rsidRPr="00C06546">
        <w:t xml:space="preserve">Accounting Standard AASB </w:t>
      </w:r>
      <w:r w:rsidR="00D2416F" w:rsidRPr="00C06546">
        <w:t>2022</w:t>
      </w:r>
      <w:r w:rsidRPr="00C06546">
        <w:t>-</w:t>
      </w:r>
      <w:r w:rsidR="00F52782" w:rsidRPr="00C06546">
        <w:t>6</w:t>
      </w:r>
      <w:r w:rsidRPr="00C06546">
        <w:br/>
      </w:r>
      <w:r w:rsidRPr="00C06546">
        <w:rPr>
          <w:i/>
          <w:iCs w:val="0"/>
        </w:rPr>
        <w:t xml:space="preserve">Amendments to Australian Accounting Standards </w:t>
      </w:r>
      <w:r w:rsidR="00B223A3" w:rsidRPr="00C06546">
        <w:rPr>
          <w:i/>
          <w:iCs w:val="0"/>
        </w:rPr>
        <w:t>–</w:t>
      </w:r>
      <w:r w:rsidR="00B223A3" w:rsidRPr="00C06546">
        <w:t xml:space="preserve"> </w:t>
      </w:r>
      <w:r w:rsidR="00AA0395" w:rsidRPr="00C06546">
        <w:rPr>
          <w:i/>
          <w:iCs w:val="0"/>
        </w:rPr>
        <w:t>Non-current</w:t>
      </w:r>
      <w:r w:rsidR="00A12B2F" w:rsidRPr="00C06546">
        <w:rPr>
          <w:i/>
          <w:iCs w:val="0"/>
        </w:rPr>
        <w:t xml:space="preserve"> </w:t>
      </w:r>
      <w:r w:rsidR="00AA0395" w:rsidRPr="00C06546">
        <w:rPr>
          <w:i/>
          <w:iCs w:val="0"/>
        </w:rPr>
        <w:t>Liabilities with Covenants</w:t>
      </w:r>
      <w:r w:rsidR="00A12B2F" w:rsidRPr="00C06546">
        <w:rPr>
          <w:i/>
          <w:iCs w:val="0"/>
        </w:rPr>
        <w:t xml:space="preserve"> </w:t>
      </w:r>
    </w:p>
    <w:p w14:paraId="1397697D" w14:textId="77777777" w:rsidR="00A90A3D" w:rsidRPr="00C06546" w:rsidRDefault="00A90A3D" w:rsidP="00A90A3D">
      <w:pPr>
        <w:pStyle w:val="Heading3"/>
      </w:pPr>
      <w:r w:rsidRPr="00C06546">
        <w:t>Overview of the Accounting Standard</w:t>
      </w:r>
    </w:p>
    <w:p w14:paraId="7164E6C0" w14:textId="77777777" w:rsidR="000422D0" w:rsidRPr="00C06546" w:rsidRDefault="000422D0" w:rsidP="000422D0">
      <w:pPr>
        <w:pStyle w:val="NoNumPlain1"/>
      </w:pPr>
      <w:r w:rsidRPr="00C06546">
        <w:t xml:space="preserve">This Standard makes amendments to AASB 101 </w:t>
      </w:r>
      <w:r w:rsidRPr="00C06546">
        <w:rPr>
          <w:i/>
          <w:iCs/>
        </w:rPr>
        <w:t xml:space="preserve">Presentation of Financial Statements </w:t>
      </w:r>
      <w:r w:rsidRPr="00C06546">
        <w:t xml:space="preserve">(July 2015) and AASB Practice Statement 2 </w:t>
      </w:r>
      <w:r w:rsidRPr="00C06546">
        <w:rPr>
          <w:i/>
        </w:rPr>
        <w:t xml:space="preserve">Making Materiality Judgements </w:t>
      </w:r>
      <w:r w:rsidRPr="00C06546">
        <w:t>(December 2017).</w:t>
      </w:r>
    </w:p>
    <w:p w14:paraId="75F5664A" w14:textId="3C812257" w:rsidR="00791336" w:rsidRPr="00C06546" w:rsidRDefault="000422D0" w:rsidP="00791336">
      <w:pPr>
        <w:pStyle w:val="NoNumPlain1"/>
      </w:pPr>
      <w:r w:rsidRPr="00C06546">
        <w:t xml:space="preserve">The </w:t>
      </w:r>
      <w:r w:rsidR="003E5E16" w:rsidRPr="00C06546">
        <w:t xml:space="preserve">amendments to </w:t>
      </w:r>
      <w:r w:rsidR="00045495" w:rsidRPr="00C06546">
        <w:t xml:space="preserve">AASB 101 </w:t>
      </w:r>
      <w:r w:rsidR="001B490C" w:rsidRPr="00C06546">
        <w:t xml:space="preserve">improve the information an entity provides </w:t>
      </w:r>
      <w:r w:rsidR="00C34A0B" w:rsidRPr="00C06546">
        <w:t xml:space="preserve">in its financial statements </w:t>
      </w:r>
      <w:r w:rsidR="001B490C" w:rsidRPr="00C06546">
        <w:t xml:space="preserve">about liabilities arising from loan arrangements for which </w:t>
      </w:r>
      <w:r w:rsidR="00C34A0B" w:rsidRPr="00C06546">
        <w:t xml:space="preserve">the </w:t>
      </w:r>
      <w:r w:rsidR="001B490C" w:rsidRPr="00C06546">
        <w:t>entity’s right to defer settlement of those liabilities for at least twelve months after the reporting period is subject to the entity complying with conditions specified in the loan arrangement</w:t>
      </w:r>
      <w:r w:rsidR="001B490C" w:rsidRPr="00C06546" w:rsidDel="006B1C9A">
        <w:t xml:space="preserve"> (</w:t>
      </w:r>
      <w:r w:rsidR="000A55AB" w:rsidRPr="00C06546">
        <w:t xml:space="preserve">often referred to as </w:t>
      </w:r>
      <w:r w:rsidR="001C510E" w:rsidRPr="00C06546">
        <w:t>‘</w:t>
      </w:r>
      <w:r w:rsidR="000A55AB" w:rsidRPr="00C06546">
        <w:t>covenants</w:t>
      </w:r>
      <w:r w:rsidR="001C510E" w:rsidRPr="00C06546">
        <w:t>’</w:t>
      </w:r>
      <w:r w:rsidR="000A55AB" w:rsidRPr="00C06546">
        <w:t>).</w:t>
      </w:r>
    </w:p>
    <w:p w14:paraId="7D195D8C" w14:textId="6F4F394D" w:rsidR="003E5E16" w:rsidRPr="00C06546" w:rsidRDefault="0034635D" w:rsidP="003E5E16">
      <w:pPr>
        <w:pStyle w:val="NoNumPlain1"/>
      </w:pPr>
      <w:r w:rsidRPr="00C06546">
        <w:t xml:space="preserve">This Standard </w:t>
      </w:r>
      <w:r w:rsidR="004F5926" w:rsidRPr="00C06546">
        <w:t xml:space="preserve">revises and </w:t>
      </w:r>
      <w:r w:rsidRPr="00C06546">
        <w:t xml:space="preserve">defers the amendments originally made to AASB 101 by AASB 2020-1 </w:t>
      </w:r>
      <w:r w:rsidRPr="00C06546">
        <w:rPr>
          <w:i/>
          <w:iCs/>
        </w:rPr>
        <w:t xml:space="preserve">Amendments to Australian Accounting Standards – Classification of Liabilities as Current or Non-current </w:t>
      </w:r>
      <w:r w:rsidRPr="00C06546">
        <w:t xml:space="preserve">(March 2020), which were previously deferred by AASB 2020-6 </w:t>
      </w:r>
      <w:r w:rsidRPr="00C06546">
        <w:rPr>
          <w:i/>
          <w:iCs/>
        </w:rPr>
        <w:t xml:space="preserve">Amendments to Australian Accounting Standards – Classification of Liabilities as Current or Non-current – Deferral of Effective Date </w:t>
      </w:r>
      <w:r w:rsidRPr="00C06546">
        <w:t xml:space="preserve">(August 2020) to periods beginning on or after 1 January 2023.  Consequently, AASB 2022-6 </w:t>
      </w:r>
      <w:r w:rsidR="00445C5B" w:rsidRPr="00C06546">
        <w:t xml:space="preserve">itself </w:t>
      </w:r>
      <w:r w:rsidRPr="00C06546">
        <w:t xml:space="preserve">applies to periods beginning on or after 1 January 2023 in order to defer the amendments from that date </w:t>
      </w:r>
      <w:r w:rsidR="00445C5B" w:rsidRPr="00C06546">
        <w:t xml:space="preserve">for </w:t>
      </w:r>
      <w:r w:rsidRPr="00C06546">
        <w:t xml:space="preserve">another year.  </w:t>
      </w:r>
      <w:r w:rsidR="00445C5B" w:rsidRPr="00C06546">
        <w:t>The result is that the revised liability classification requirements in AASB</w:t>
      </w:r>
      <w:r w:rsidR="004F5926" w:rsidRPr="00C06546">
        <w:t> </w:t>
      </w:r>
      <w:r w:rsidR="00445C5B" w:rsidRPr="00C06546">
        <w:t xml:space="preserve">101 </w:t>
      </w:r>
      <w:r w:rsidRPr="00C06546">
        <w:t xml:space="preserve">will now apply mandatorily to annual reporting periods beginning on or after 1 January 2024, with earlier application permitted. </w:t>
      </w:r>
    </w:p>
    <w:p w14:paraId="582828CD" w14:textId="62C10A7C" w:rsidR="008F53E7" w:rsidRPr="00C06546" w:rsidRDefault="00F31F8A" w:rsidP="008F53E7">
      <w:pPr>
        <w:pStyle w:val="NoNumPlain1"/>
      </w:pPr>
      <w:r w:rsidRPr="00C06546">
        <w:t xml:space="preserve">This Standard also amends an example in Practice Statement 2 regarding assessing whether information about </w:t>
      </w:r>
      <w:r w:rsidR="00DD7166" w:rsidRPr="00C06546">
        <w:t>covenants</w:t>
      </w:r>
      <w:r w:rsidRPr="00C06546">
        <w:t xml:space="preserve"> is material for disclosure.  </w:t>
      </w:r>
    </w:p>
    <w:p w14:paraId="1397697F" w14:textId="4A4A57DB" w:rsidR="00A90A3D" w:rsidRPr="00C06546" w:rsidRDefault="00A90A3D" w:rsidP="00A90A3D">
      <w:pPr>
        <w:pStyle w:val="Heading3"/>
      </w:pPr>
      <w:r w:rsidRPr="00C06546">
        <w:t>Human Rights Implications</w:t>
      </w:r>
    </w:p>
    <w:p w14:paraId="13976980" w14:textId="77777777" w:rsidR="00A90A3D" w:rsidRPr="00C06546" w:rsidRDefault="00F62F5C" w:rsidP="00C068D8">
      <w:pPr>
        <w:pStyle w:val="NoNumPlain1"/>
      </w:pPr>
      <w:r w:rsidRPr="00C06546">
        <w:t>This Standard is issued by the AASB in furtherance of the objective of facilitating the Australian economy.  It does not diminish or limit any of the applicable human rights or freedoms, and thus does not raise any human rights issues.</w:t>
      </w:r>
    </w:p>
    <w:p w14:paraId="13976981" w14:textId="77777777" w:rsidR="00F62F5C" w:rsidRPr="00C06546" w:rsidRDefault="00F62F5C" w:rsidP="00F62F5C">
      <w:pPr>
        <w:pStyle w:val="Heading3"/>
      </w:pPr>
      <w:r w:rsidRPr="00C06546">
        <w:t>Conclusion</w:t>
      </w:r>
    </w:p>
    <w:p w14:paraId="13976983" w14:textId="5F736634" w:rsidR="00F62F5C" w:rsidRPr="00C06546" w:rsidRDefault="00CD0A54" w:rsidP="00C068D8">
      <w:pPr>
        <w:pStyle w:val="NoNumPlain1"/>
      </w:pPr>
      <w:r w:rsidRPr="00C06546">
        <w:t xml:space="preserve">This Standard is compatible with the human rights and freedoms recognised or declared in the international instruments listed in section 3 of the </w:t>
      </w:r>
      <w:r w:rsidRPr="00C06546">
        <w:rPr>
          <w:i/>
        </w:rPr>
        <w:t>Human Rights (Parliamentary Scrutiny) Act 2011</w:t>
      </w:r>
      <w:r w:rsidRPr="00C06546">
        <w:t>.</w:t>
      </w:r>
    </w:p>
    <w:sectPr w:rsidR="00F62F5C" w:rsidRPr="00C06546" w:rsidSect="00B93CE4">
      <w:headerReference w:type="even" r:id="rId9"/>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DAF3" w14:textId="77777777" w:rsidR="00F93501" w:rsidRDefault="00F93501">
      <w:r>
        <w:separator/>
      </w:r>
    </w:p>
  </w:endnote>
  <w:endnote w:type="continuationSeparator" w:id="0">
    <w:p w14:paraId="7D7AC4DE" w14:textId="77777777" w:rsidR="00F93501" w:rsidRDefault="00F93501">
      <w:r>
        <w:continuationSeparator/>
      </w:r>
    </w:p>
  </w:endnote>
  <w:endnote w:type="continuationNotice" w:id="1">
    <w:p w14:paraId="3CCA5957" w14:textId="77777777" w:rsidR="00F93501" w:rsidRDefault="00F93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7EA6DBD6"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Pr>
        <w:b/>
      </w:rPr>
      <w:t>2022</w:t>
    </w:r>
    <w:r w:rsidR="00C068D8">
      <w:rPr>
        <w:b/>
      </w:rPr>
      <w:t>-</w:t>
    </w:r>
    <w:r w:rsidR="002A46EC">
      <w:rPr>
        <w:b/>
      </w:rPr>
      <w:t>6</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B04B" w14:textId="77777777" w:rsidR="00F93501" w:rsidRDefault="00F93501">
      <w:r>
        <w:separator/>
      </w:r>
    </w:p>
  </w:footnote>
  <w:footnote w:type="continuationSeparator" w:id="0">
    <w:p w14:paraId="654BA698" w14:textId="77777777" w:rsidR="00F93501" w:rsidRDefault="00F93501">
      <w:r>
        <w:continuationSeparator/>
      </w:r>
    </w:p>
  </w:footnote>
  <w:footnote w:type="continuationNotice" w:id="1">
    <w:p w14:paraId="7E669245" w14:textId="77777777" w:rsidR="00F93501" w:rsidRDefault="00F93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7"/>
  </w:num>
  <w:num w:numId="2" w16cid:durableId="1429426008">
    <w:abstractNumId w:val="13"/>
  </w:num>
  <w:num w:numId="3" w16cid:durableId="1559124823">
    <w:abstractNumId w:val="9"/>
  </w:num>
  <w:num w:numId="4" w16cid:durableId="142161562">
    <w:abstractNumId w:val="1"/>
  </w:num>
  <w:num w:numId="5" w16cid:durableId="458110039">
    <w:abstractNumId w:val="6"/>
  </w:num>
  <w:num w:numId="6" w16cid:durableId="750128220">
    <w:abstractNumId w:val="5"/>
  </w:num>
  <w:num w:numId="7" w16cid:durableId="511379662">
    <w:abstractNumId w:val="8"/>
  </w:num>
  <w:num w:numId="8" w16cid:durableId="372267131">
    <w:abstractNumId w:val="4"/>
  </w:num>
  <w:num w:numId="9" w16cid:durableId="970400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1"/>
  </w:num>
  <w:num w:numId="12" w16cid:durableId="1696614698">
    <w:abstractNumId w:val="10"/>
  </w:num>
  <w:num w:numId="13" w16cid:durableId="1462574602">
    <w:abstractNumId w:val="10"/>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4"/>
  </w:num>
  <w:num w:numId="15" w16cid:durableId="239173273">
    <w:abstractNumId w:val="2"/>
  </w:num>
  <w:num w:numId="16" w16cid:durableId="647250156">
    <w:abstractNumId w:val="12"/>
  </w:num>
  <w:num w:numId="17" w16cid:durableId="74025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NK0FAO6kqOstAAAA"/>
  </w:docVars>
  <w:rsids>
    <w:rsidRoot w:val="00D429C8"/>
    <w:rsid w:val="000018C8"/>
    <w:rsid w:val="00002AB8"/>
    <w:rsid w:val="00005371"/>
    <w:rsid w:val="0000582C"/>
    <w:rsid w:val="00005A5B"/>
    <w:rsid w:val="00006415"/>
    <w:rsid w:val="00007EF5"/>
    <w:rsid w:val="0001484E"/>
    <w:rsid w:val="000204A6"/>
    <w:rsid w:val="00024D2A"/>
    <w:rsid w:val="00026782"/>
    <w:rsid w:val="00031DBC"/>
    <w:rsid w:val="00032964"/>
    <w:rsid w:val="000340ED"/>
    <w:rsid w:val="00040513"/>
    <w:rsid w:val="000408F8"/>
    <w:rsid w:val="000422D0"/>
    <w:rsid w:val="0004439B"/>
    <w:rsid w:val="00045495"/>
    <w:rsid w:val="00055755"/>
    <w:rsid w:val="00056DE8"/>
    <w:rsid w:val="000623C8"/>
    <w:rsid w:val="0006511D"/>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2A30"/>
    <w:rsid w:val="000A47AF"/>
    <w:rsid w:val="000A55AB"/>
    <w:rsid w:val="000B07AF"/>
    <w:rsid w:val="000C7398"/>
    <w:rsid w:val="000D380C"/>
    <w:rsid w:val="000D41A4"/>
    <w:rsid w:val="000D428B"/>
    <w:rsid w:val="000D5A37"/>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7125"/>
    <w:rsid w:val="0012730F"/>
    <w:rsid w:val="001311D0"/>
    <w:rsid w:val="00131465"/>
    <w:rsid w:val="00131C3F"/>
    <w:rsid w:val="00141D3C"/>
    <w:rsid w:val="00143ED2"/>
    <w:rsid w:val="00144CC0"/>
    <w:rsid w:val="00145D0F"/>
    <w:rsid w:val="00150682"/>
    <w:rsid w:val="0015670A"/>
    <w:rsid w:val="001639EB"/>
    <w:rsid w:val="00164A51"/>
    <w:rsid w:val="0018198F"/>
    <w:rsid w:val="00183A24"/>
    <w:rsid w:val="00190DF0"/>
    <w:rsid w:val="001934F4"/>
    <w:rsid w:val="00195D9C"/>
    <w:rsid w:val="001A3A3D"/>
    <w:rsid w:val="001A4178"/>
    <w:rsid w:val="001B14BE"/>
    <w:rsid w:val="001B490C"/>
    <w:rsid w:val="001B50B0"/>
    <w:rsid w:val="001B6F82"/>
    <w:rsid w:val="001C510E"/>
    <w:rsid w:val="001C7634"/>
    <w:rsid w:val="001D0117"/>
    <w:rsid w:val="001D11AD"/>
    <w:rsid w:val="001D1FFA"/>
    <w:rsid w:val="001D25AD"/>
    <w:rsid w:val="001D69FD"/>
    <w:rsid w:val="001D7DA0"/>
    <w:rsid w:val="001E0872"/>
    <w:rsid w:val="001E0EA2"/>
    <w:rsid w:val="001E26D3"/>
    <w:rsid w:val="001E2BEB"/>
    <w:rsid w:val="001E4107"/>
    <w:rsid w:val="001E50B3"/>
    <w:rsid w:val="001E5C5D"/>
    <w:rsid w:val="001F3ED4"/>
    <w:rsid w:val="001F648A"/>
    <w:rsid w:val="001F6C93"/>
    <w:rsid w:val="001F7111"/>
    <w:rsid w:val="00200047"/>
    <w:rsid w:val="0020218F"/>
    <w:rsid w:val="0020261B"/>
    <w:rsid w:val="00203B57"/>
    <w:rsid w:val="00205EE9"/>
    <w:rsid w:val="00206A47"/>
    <w:rsid w:val="00212B63"/>
    <w:rsid w:val="00214B06"/>
    <w:rsid w:val="00216D67"/>
    <w:rsid w:val="00220F1B"/>
    <w:rsid w:val="00223EED"/>
    <w:rsid w:val="00225101"/>
    <w:rsid w:val="00225C75"/>
    <w:rsid w:val="00226895"/>
    <w:rsid w:val="00226D88"/>
    <w:rsid w:val="00230E6D"/>
    <w:rsid w:val="0023104C"/>
    <w:rsid w:val="00234DBE"/>
    <w:rsid w:val="00236896"/>
    <w:rsid w:val="00243728"/>
    <w:rsid w:val="00247FC3"/>
    <w:rsid w:val="002600A4"/>
    <w:rsid w:val="00266D81"/>
    <w:rsid w:val="00267D86"/>
    <w:rsid w:val="00272C26"/>
    <w:rsid w:val="00273574"/>
    <w:rsid w:val="00282A29"/>
    <w:rsid w:val="0028374D"/>
    <w:rsid w:val="00284D8D"/>
    <w:rsid w:val="002A46EC"/>
    <w:rsid w:val="002A4C26"/>
    <w:rsid w:val="002A6880"/>
    <w:rsid w:val="002B36F5"/>
    <w:rsid w:val="002C0FEE"/>
    <w:rsid w:val="002D4E3D"/>
    <w:rsid w:val="002D6726"/>
    <w:rsid w:val="002D6D7A"/>
    <w:rsid w:val="002E2390"/>
    <w:rsid w:val="002E6AE0"/>
    <w:rsid w:val="002F49F8"/>
    <w:rsid w:val="002F6757"/>
    <w:rsid w:val="002F724F"/>
    <w:rsid w:val="0030160B"/>
    <w:rsid w:val="0032467B"/>
    <w:rsid w:val="0033233B"/>
    <w:rsid w:val="003329B8"/>
    <w:rsid w:val="0033786B"/>
    <w:rsid w:val="0034440A"/>
    <w:rsid w:val="00345A43"/>
    <w:rsid w:val="0034635D"/>
    <w:rsid w:val="003469FC"/>
    <w:rsid w:val="00347521"/>
    <w:rsid w:val="00352568"/>
    <w:rsid w:val="00352D10"/>
    <w:rsid w:val="00377953"/>
    <w:rsid w:val="00384832"/>
    <w:rsid w:val="00384DE0"/>
    <w:rsid w:val="00385E62"/>
    <w:rsid w:val="0039164A"/>
    <w:rsid w:val="00391DC5"/>
    <w:rsid w:val="003959F6"/>
    <w:rsid w:val="00396BCD"/>
    <w:rsid w:val="003975D1"/>
    <w:rsid w:val="00397D98"/>
    <w:rsid w:val="003A09B8"/>
    <w:rsid w:val="003A1E87"/>
    <w:rsid w:val="003A2645"/>
    <w:rsid w:val="003A5EC1"/>
    <w:rsid w:val="003C1874"/>
    <w:rsid w:val="003C701F"/>
    <w:rsid w:val="003C7139"/>
    <w:rsid w:val="003D1F98"/>
    <w:rsid w:val="003D3301"/>
    <w:rsid w:val="003E05BE"/>
    <w:rsid w:val="003E145B"/>
    <w:rsid w:val="003E5E16"/>
    <w:rsid w:val="003F01EE"/>
    <w:rsid w:val="003F02D6"/>
    <w:rsid w:val="003F1B8F"/>
    <w:rsid w:val="003F5B8A"/>
    <w:rsid w:val="00400192"/>
    <w:rsid w:val="00402FB3"/>
    <w:rsid w:val="0041172E"/>
    <w:rsid w:val="0041320B"/>
    <w:rsid w:val="00413230"/>
    <w:rsid w:val="00413838"/>
    <w:rsid w:val="00413F93"/>
    <w:rsid w:val="00414BC3"/>
    <w:rsid w:val="00416FE6"/>
    <w:rsid w:val="004179BF"/>
    <w:rsid w:val="004209B2"/>
    <w:rsid w:val="0043213F"/>
    <w:rsid w:val="00434707"/>
    <w:rsid w:val="00434740"/>
    <w:rsid w:val="00442527"/>
    <w:rsid w:val="00445C5B"/>
    <w:rsid w:val="00457DCC"/>
    <w:rsid w:val="004605B1"/>
    <w:rsid w:val="004607FB"/>
    <w:rsid w:val="00462D2E"/>
    <w:rsid w:val="0046675A"/>
    <w:rsid w:val="00466C21"/>
    <w:rsid w:val="004772DF"/>
    <w:rsid w:val="0047780E"/>
    <w:rsid w:val="00484224"/>
    <w:rsid w:val="00493DD4"/>
    <w:rsid w:val="004A25C5"/>
    <w:rsid w:val="004A4C97"/>
    <w:rsid w:val="004A793F"/>
    <w:rsid w:val="004B136A"/>
    <w:rsid w:val="004B1D54"/>
    <w:rsid w:val="004C0714"/>
    <w:rsid w:val="004C1746"/>
    <w:rsid w:val="004C290D"/>
    <w:rsid w:val="004C62D2"/>
    <w:rsid w:val="004D2BDB"/>
    <w:rsid w:val="004E696F"/>
    <w:rsid w:val="004F063D"/>
    <w:rsid w:val="004F5926"/>
    <w:rsid w:val="005002D9"/>
    <w:rsid w:val="00512D58"/>
    <w:rsid w:val="00512F90"/>
    <w:rsid w:val="00520E9E"/>
    <w:rsid w:val="00526DA0"/>
    <w:rsid w:val="00532273"/>
    <w:rsid w:val="005324F0"/>
    <w:rsid w:val="005352D8"/>
    <w:rsid w:val="00540A97"/>
    <w:rsid w:val="00540E70"/>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A0715"/>
    <w:rsid w:val="005B238F"/>
    <w:rsid w:val="005B39FC"/>
    <w:rsid w:val="005B7BB7"/>
    <w:rsid w:val="005D5F81"/>
    <w:rsid w:val="005E2750"/>
    <w:rsid w:val="005E2BBE"/>
    <w:rsid w:val="005E4C0C"/>
    <w:rsid w:val="005F0581"/>
    <w:rsid w:val="005F1173"/>
    <w:rsid w:val="005F14BD"/>
    <w:rsid w:val="005F3AA4"/>
    <w:rsid w:val="005F4451"/>
    <w:rsid w:val="005F75FF"/>
    <w:rsid w:val="006104FA"/>
    <w:rsid w:val="006163AE"/>
    <w:rsid w:val="00616B47"/>
    <w:rsid w:val="00620A91"/>
    <w:rsid w:val="00626AC2"/>
    <w:rsid w:val="0063194F"/>
    <w:rsid w:val="00632D20"/>
    <w:rsid w:val="00635FA2"/>
    <w:rsid w:val="0064180B"/>
    <w:rsid w:val="0064180C"/>
    <w:rsid w:val="00646823"/>
    <w:rsid w:val="006575CF"/>
    <w:rsid w:val="006628B2"/>
    <w:rsid w:val="00664EE6"/>
    <w:rsid w:val="00666164"/>
    <w:rsid w:val="00667DFB"/>
    <w:rsid w:val="0067073C"/>
    <w:rsid w:val="0067195B"/>
    <w:rsid w:val="00672100"/>
    <w:rsid w:val="006776BD"/>
    <w:rsid w:val="00677EC0"/>
    <w:rsid w:val="00684668"/>
    <w:rsid w:val="00685257"/>
    <w:rsid w:val="00686B7C"/>
    <w:rsid w:val="0069260A"/>
    <w:rsid w:val="00696DAB"/>
    <w:rsid w:val="006A01D2"/>
    <w:rsid w:val="006A0C7C"/>
    <w:rsid w:val="006A2549"/>
    <w:rsid w:val="006A2A04"/>
    <w:rsid w:val="006A56D8"/>
    <w:rsid w:val="006B1B4A"/>
    <w:rsid w:val="006B1C9A"/>
    <w:rsid w:val="006B4CBF"/>
    <w:rsid w:val="006C34F1"/>
    <w:rsid w:val="006C39D1"/>
    <w:rsid w:val="006C5EB8"/>
    <w:rsid w:val="006D5858"/>
    <w:rsid w:val="006D6B35"/>
    <w:rsid w:val="006E776F"/>
    <w:rsid w:val="006F217C"/>
    <w:rsid w:val="006F3F09"/>
    <w:rsid w:val="006F46DE"/>
    <w:rsid w:val="00700221"/>
    <w:rsid w:val="0070643A"/>
    <w:rsid w:val="00706D55"/>
    <w:rsid w:val="00711664"/>
    <w:rsid w:val="00717627"/>
    <w:rsid w:val="007178F3"/>
    <w:rsid w:val="00720919"/>
    <w:rsid w:val="00720A2E"/>
    <w:rsid w:val="00722CEF"/>
    <w:rsid w:val="007231BD"/>
    <w:rsid w:val="007261ED"/>
    <w:rsid w:val="007303BE"/>
    <w:rsid w:val="00731975"/>
    <w:rsid w:val="007322D6"/>
    <w:rsid w:val="007328C0"/>
    <w:rsid w:val="00735E30"/>
    <w:rsid w:val="00741AD2"/>
    <w:rsid w:val="00743146"/>
    <w:rsid w:val="00753A73"/>
    <w:rsid w:val="00753C86"/>
    <w:rsid w:val="00755B4C"/>
    <w:rsid w:val="00755D8C"/>
    <w:rsid w:val="00757555"/>
    <w:rsid w:val="007676C0"/>
    <w:rsid w:val="007729D8"/>
    <w:rsid w:val="00774277"/>
    <w:rsid w:val="00781C08"/>
    <w:rsid w:val="00783BEC"/>
    <w:rsid w:val="00785522"/>
    <w:rsid w:val="00787825"/>
    <w:rsid w:val="00791279"/>
    <w:rsid w:val="00791336"/>
    <w:rsid w:val="00794926"/>
    <w:rsid w:val="007A487E"/>
    <w:rsid w:val="007B02E3"/>
    <w:rsid w:val="007B3132"/>
    <w:rsid w:val="007B323F"/>
    <w:rsid w:val="007B4653"/>
    <w:rsid w:val="007B539D"/>
    <w:rsid w:val="007C13D0"/>
    <w:rsid w:val="007C1E39"/>
    <w:rsid w:val="007C1FC7"/>
    <w:rsid w:val="007C2A76"/>
    <w:rsid w:val="007C2B04"/>
    <w:rsid w:val="007D1E4B"/>
    <w:rsid w:val="007D22EA"/>
    <w:rsid w:val="007E548A"/>
    <w:rsid w:val="007F4E20"/>
    <w:rsid w:val="007F559F"/>
    <w:rsid w:val="00802C2B"/>
    <w:rsid w:val="00813CFA"/>
    <w:rsid w:val="00822659"/>
    <w:rsid w:val="0082668C"/>
    <w:rsid w:val="00826FE1"/>
    <w:rsid w:val="00830F6B"/>
    <w:rsid w:val="00835C4B"/>
    <w:rsid w:val="008377FF"/>
    <w:rsid w:val="00840E63"/>
    <w:rsid w:val="008412BD"/>
    <w:rsid w:val="00843BF6"/>
    <w:rsid w:val="0084574B"/>
    <w:rsid w:val="00846DF4"/>
    <w:rsid w:val="00854BCD"/>
    <w:rsid w:val="00855B93"/>
    <w:rsid w:val="00857B51"/>
    <w:rsid w:val="00857D06"/>
    <w:rsid w:val="00861618"/>
    <w:rsid w:val="00874B2D"/>
    <w:rsid w:val="00882101"/>
    <w:rsid w:val="008824C2"/>
    <w:rsid w:val="00891737"/>
    <w:rsid w:val="00896AE0"/>
    <w:rsid w:val="008A471F"/>
    <w:rsid w:val="008B63BA"/>
    <w:rsid w:val="008B66C2"/>
    <w:rsid w:val="008C1BD9"/>
    <w:rsid w:val="008C1FEB"/>
    <w:rsid w:val="008C5B82"/>
    <w:rsid w:val="008C70DC"/>
    <w:rsid w:val="008C7E56"/>
    <w:rsid w:val="008D3E1A"/>
    <w:rsid w:val="008E0FA7"/>
    <w:rsid w:val="008E4294"/>
    <w:rsid w:val="008E4AEA"/>
    <w:rsid w:val="008E704E"/>
    <w:rsid w:val="008F344A"/>
    <w:rsid w:val="008F53E7"/>
    <w:rsid w:val="008F6E8E"/>
    <w:rsid w:val="008F73FD"/>
    <w:rsid w:val="00902A7E"/>
    <w:rsid w:val="00906821"/>
    <w:rsid w:val="0090761D"/>
    <w:rsid w:val="00907DFB"/>
    <w:rsid w:val="00912BD6"/>
    <w:rsid w:val="00913B8E"/>
    <w:rsid w:val="009143FD"/>
    <w:rsid w:val="00916B64"/>
    <w:rsid w:val="00917770"/>
    <w:rsid w:val="009178BF"/>
    <w:rsid w:val="00920660"/>
    <w:rsid w:val="00930915"/>
    <w:rsid w:val="0093220C"/>
    <w:rsid w:val="00934282"/>
    <w:rsid w:val="00934970"/>
    <w:rsid w:val="00936AD7"/>
    <w:rsid w:val="009476A5"/>
    <w:rsid w:val="00957D59"/>
    <w:rsid w:val="00963C4D"/>
    <w:rsid w:val="009707EC"/>
    <w:rsid w:val="00970EDD"/>
    <w:rsid w:val="00972EC0"/>
    <w:rsid w:val="009839D3"/>
    <w:rsid w:val="00997560"/>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451E"/>
    <w:rsid w:val="009F2CD1"/>
    <w:rsid w:val="009F7265"/>
    <w:rsid w:val="00A019FC"/>
    <w:rsid w:val="00A02299"/>
    <w:rsid w:val="00A02CA7"/>
    <w:rsid w:val="00A033D0"/>
    <w:rsid w:val="00A043F0"/>
    <w:rsid w:val="00A04C1F"/>
    <w:rsid w:val="00A07B58"/>
    <w:rsid w:val="00A108EA"/>
    <w:rsid w:val="00A12B2F"/>
    <w:rsid w:val="00A13412"/>
    <w:rsid w:val="00A14C37"/>
    <w:rsid w:val="00A2422B"/>
    <w:rsid w:val="00A33757"/>
    <w:rsid w:val="00A41043"/>
    <w:rsid w:val="00A41EF3"/>
    <w:rsid w:val="00A43C4F"/>
    <w:rsid w:val="00A46379"/>
    <w:rsid w:val="00A479AE"/>
    <w:rsid w:val="00A531DE"/>
    <w:rsid w:val="00A56177"/>
    <w:rsid w:val="00A61CB2"/>
    <w:rsid w:val="00A63682"/>
    <w:rsid w:val="00A802A3"/>
    <w:rsid w:val="00A8344C"/>
    <w:rsid w:val="00A90590"/>
    <w:rsid w:val="00A90A3D"/>
    <w:rsid w:val="00A92FFA"/>
    <w:rsid w:val="00A9484D"/>
    <w:rsid w:val="00A94F2A"/>
    <w:rsid w:val="00A97AA9"/>
    <w:rsid w:val="00A97B77"/>
    <w:rsid w:val="00A97E68"/>
    <w:rsid w:val="00AA0395"/>
    <w:rsid w:val="00AB2137"/>
    <w:rsid w:val="00AB61AB"/>
    <w:rsid w:val="00AB7BA8"/>
    <w:rsid w:val="00AC2063"/>
    <w:rsid w:val="00AC2CA9"/>
    <w:rsid w:val="00AD44F9"/>
    <w:rsid w:val="00AE1F8A"/>
    <w:rsid w:val="00AF02A8"/>
    <w:rsid w:val="00AF3C4B"/>
    <w:rsid w:val="00AF61C3"/>
    <w:rsid w:val="00AF7057"/>
    <w:rsid w:val="00B00C1B"/>
    <w:rsid w:val="00B02951"/>
    <w:rsid w:val="00B06683"/>
    <w:rsid w:val="00B10AB1"/>
    <w:rsid w:val="00B127B5"/>
    <w:rsid w:val="00B13409"/>
    <w:rsid w:val="00B223A3"/>
    <w:rsid w:val="00B238A4"/>
    <w:rsid w:val="00B259A2"/>
    <w:rsid w:val="00B44EFA"/>
    <w:rsid w:val="00B50A3C"/>
    <w:rsid w:val="00B5196B"/>
    <w:rsid w:val="00B528E1"/>
    <w:rsid w:val="00B53860"/>
    <w:rsid w:val="00B54797"/>
    <w:rsid w:val="00B67434"/>
    <w:rsid w:val="00B716EA"/>
    <w:rsid w:val="00B72216"/>
    <w:rsid w:val="00B805A9"/>
    <w:rsid w:val="00B81972"/>
    <w:rsid w:val="00B842DF"/>
    <w:rsid w:val="00B85DBC"/>
    <w:rsid w:val="00B93CE4"/>
    <w:rsid w:val="00BA44B8"/>
    <w:rsid w:val="00BB2459"/>
    <w:rsid w:val="00BD0B5B"/>
    <w:rsid w:val="00BE1DD0"/>
    <w:rsid w:val="00BE2C0C"/>
    <w:rsid w:val="00BE6290"/>
    <w:rsid w:val="00BE66D4"/>
    <w:rsid w:val="00C04EB7"/>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6133A"/>
    <w:rsid w:val="00C61FC6"/>
    <w:rsid w:val="00C61FC9"/>
    <w:rsid w:val="00C634BB"/>
    <w:rsid w:val="00C661A8"/>
    <w:rsid w:val="00C742AA"/>
    <w:rsid w:val="00C744B3"/>
    <w:rsid w:val="00C758E7"/>
    <w:rsid w:val="00C80CE0"/>
    <w:rsid w:val="00C813F4"/>
    <w:rsid w:val="00C82A8C"/>
    <w:rsid w:val="00C92E61"/>
    <w:rsid w:val="00C93AFB"/>
    <w:rsid w:val="00CA1593"/>
    <w:rsid w:val="00CA20FA"/>
    <w:rsid w:val="00CA401C"/>
    <w:rsid w:val="00CA518E"/>
    <w:rsid w:val="00CB49A1"/>
    <w:rsid w:val="00CB74B0"/>
    <w:rsid w:val="00CC546B"/>
    <w:rsid w:val="00CD0A54"/>
    <w:rsid w:val="00CD50A4"/>
    <w:rsid w:val="00CF19C5"/>
    <w:rsid w:val="00CF3D4E"/>
    <w:rsid w:val="00CF4D2F"/>
    <w:rsid w:val="00CF72F6"/>
    <w:rsid w:val="00D02AD3"/>
    <w:rsid w:val="00D03547"/>
    <w:rsid w:val="00D03A28"/>
    <w:rsid w:val="00D06196"/>
    <w:rsid w:val="00D10418"/>
    <w:rsid w:val="00D15C0A"/>
    <w:rsid w:val="00D17CF4"/>
    <w:rsid w:val="00D2416F"/>
    <w:rsid w:val="00D2418C"/>
    <w:rsid w:val="00D24634"/>
    <w:rsid w:val="00D24B3E"/>
    <w:rsid w:val="00D27169"/>
    <w:rsid w:val="00D27E14"/>
    <w:rsid w:val="00D3041D"/>
    <w:rsid w:val="00D32242"/>
    <w:rsid w:val="00D33B89"/>
    <w:rsid w:val="00D40502"/>
    <w:rsid w:val="00D429C8"/>
    <w:rsid w:val="00D43163"/>
    <w:rsid w:val="00D511B3"/>
    <w:rsid w:val="00D5323B"/>
    <w:rsid w:val="00D5363A"/>
    <w:rsid w:val="00D67C43"/>
    <w:rsid w:val="00D71916"/>
    <w:rsid w:val="00D71B35"/>
    <w:rsid w:val="00D74C19"/>
    <w:rsid w:val="00D81427"/>
    <w:rsid w:val="00D82053"/>
    <w:rsid w:val="00D850DE"/>
    <w:rsid w:val="00D930DE"/>
    <w:rsid w:val="00D96A9D"/>
    <w:rsid w:val="00DA2E07"/>
    <w:rsid w:val="00DA32D2"/>
    <w:rsid w:val="00DA505F"/>
    <w:rsid w:val="00DB5798"/>
    <w:rsid w:val="00DC2925"/>
    <w:rsid w:val="00DD1167"/>
    <w:rsid w:val="00DD2F16"/>
    <w:rsid w:val="00DD3B65"/>
    <w:rsid w:val="00DD3FDF"/>
    <w:rsid w:val="00DD7166"/>
    <w:rsid w:val="00DE2BF2"/>
    <w:rsid w:val="00DE2EAB"/>
    <w:rsid w:val="00DF183B"/>
    <w:rsid w:val="00DF23D7"/>
    <w:rsid w:val="00E00D64"/>
    <w:rsid w:val="00E030B5"/>
    <w:rsid w:val="00E04398"/>
    <w:rsid w:val="00E079C1"/>
    <w:rsid w:val="00E113C4"/>
    <w:rsid w:val="00E11F07"/>
    <w:rsid w:val="00E1658F"/>
    <w:rsid w:val="00E24278"/>
    <w:rsid w:val="00E2740C"/>
    <w:rsid w:val="00E2749C"/>
    <w:rsid w:val="00E332B9"/>
    <w:rsid w:val="00E34411"/>
    <w:rsid w:val="00E401CE"/>
    <w:rsid w:val="00E41A44"/>
    <w:rsid w:val="00E41E4F"/>
    <w:rsid w:val="00E443CF"/>
    <w:rsid w:val="00E4487C"/>
    <w:rsid w:val="00E463EF"/>
    <w:rsid w:val="00E574C8"/>
    <w:rsid w:val="00E770E5"/>
    <w:rsid w:val="00E7777B"/>
    <w:rsid w:val="00E8259F"/>
    <w:rsid w:val="00E84132"/>
    <w:rsid w:val="00E90C7E"/>
    <w:rsid w:val="00E928A7"/>
    <w:rsid w:val="00E938FD"/>
    <w:rsid w:val="00EA0A87"/>
    <w:rsid w:val="00EA0CF7"/>
    <w:rsid w:val="00EA56FD"/>
    <w:rsid w:val="00EA6908"/>
    <w:rsid w:val="00EB406E"/>
    <w:rsid w:val="00EB7E6E"/>
    <w:rsid w:val="00EC3CE5"/>
    <w:rsid w:val="00ED03F7"/>
    <w:rsid w:val="00ED5250"/>
    <w:rsid w:val="00EE1FA6"/>
    <w:rsid w:val="00EF1E68"/>
    <w:rsid w:val="00F038A3"/>
    <w:rsid w:val="00F041AA"/>
    <w:rsid w:val="00F04EBC"/>
    <w:rsid w:val="00F0766F"/>
    <w:rsid w:val="00F12B4A"/>
    <w:rsid w:val="00F12DF8"/>
    <w:rsid w:val="00F165E3"/>
    <w:rsid w:val="00F22BD6"/>
    <w:rsid w:val="00F23FEF"/>
    <w:rsid w:val="00F240F8"/>
    <w:rsid w:val="00F31F8A"/>
    <w:rsid w:val="00F33A28"/>
    <w:rsid w:val="00F3428C"/>
    <w:rsid w:val="00F34FE0"/>
    <w:rsid w:val="00F52782"/>
    <w:rsid w:val="00F5288D"/>
    <w:rsid w:val="00F52CE1"/>
    <w:rsid w:val="00F61BCB"/>
    <w:rsid w:val="00F62F5C"/>
    <w:rsid w:val="00F63F3B"/>
    <w:rsid w:val="00F657DB"/>
    <w:rsid w:val="00F71510"/>
    <w:rsid w:val="00F7512E"/>
    <w:rsid w:val="00F81864"/>
    <w:rsid w:val="00F81F26"/>
    <w:rsid w:val="00F8246A"/>
    <w:rsid w:val="00F82A0B"/>
    <w:rsid w:val="00F82FF2"/>
    <w:rsid w:val="00F93501"/>
    <w:rsid w:val="00F93520"/>
    <w:rsid w:val="00FA30CB"/>
    <w:rsid w:val="00FA59D7"/>
    <w:rsid w:val="00FA7C5C"/>
    <w:rsid w:val="00FB0481"/>
    <w:rsid w:val="00FB0CFC"/>
    <w:rsid w:val="00FB158E"/>
    <w:rsid w:val="00FB3DED"/>
    <w:rsid w:val="00FB455A"/>
    <w:rsid w:val="00FB46AD"/>
    <w:rsid w:val="00FB4D41"/>
    <w:rsid w:val="00FB4E69"/>
    <w:rsid w:val="00FC6232"/>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B4EFDED2-59E1-4221-8402-268B29F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TotalTime>
  <Pages>4</Pages>
  <Words>1656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AASB2022-6_ES_12-22</vt:lpstr>
    </vt:vector>
  </TitlesOfParts>
  <Company>AASB</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AASB2022-6_ES_12-22</dc:title>
  <dc:subject/>
  <dc:creator>.</dc:creator>
  <cp:keywords/>
  <cp:lastModifiedBy>Clark Anstis</cp:lastModifiedBy>
  <cp:revision>309</cp:revision>
  <cp:lastPrinted>2022-12-21T00:14:00Z</cp:lastPrinted>
  <dcterms:created xsi:type="dcterms:W3CDTF">2022-11-18T22:18:00Z</dcterms:created>
  <dcterms:modified xsi:type="dcterms:W3CDTF">2022-12-20T05:40:00Z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ies>
</file>