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CED1" w14:textId="77777777" w:rsidR="00715914" w:rsidRPr="00C033B1" w:rsidRDefault="00DA186E" w:rsidP="00B05CF4">
      <w:pPr>
        <w:rPr>
          <w:sz w:val="28"/>
        </w:rPr>
      </w:pPr>
      <w:r w:rsidRPr="00C033B1">
        <w:rPr>
          <w:noProof/>
          <w:lang w:eastAsia="en-AU"/>
        </w:rPr>
        <w:drawing>
          <wp:inline distT="0" distB="0" distL="0" distR="0" wp14:anchorId="23B6FE14" wp14:editId="3E3E128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E8BFB8D" w14:textId="77777777" w:rsidR="00715914" w:rsidRPr="00C033B1" w:rsidRDefault="00715914" w:rsidP="00715914">
      <w:pPr>
        <w:rPr>
          <w:sz w:val="19"/>
        </w:rPr>
      </w:pPr>
    </w:p>
    <w:p w14:paraId="2B3DF89C" w14:textId="77777777" w:rsidR="00715914" w:rsidRPr="00C033B1" w:rsidRDefault="00A2071C" w:rsidP="00715914">
      <w:pPr>
        <w:pStyle w:val="ShortT"/>
      </w:pPr>
      <w:r w:rsidRPr="00C033B1">
        <w:t xml:space="preserve">Federal Court and Federal Circuit and Family Court </w:t>
      </w:r>
      <w:r w:rsidR="00C033B1" w:rsidRPr="00C033B1">
        <w:t>Regulations 2</w:t>
      </w:r>
      <w:r w:rsidRPr="00C033B1">
        <w:t>022</w:t>
      </w:r>
    </w:p>
    <w:p w14:paraId="03774ED8" w14:textId="77777777" w:rsidR="00A1309B" w:rsidRPr="00C033B1" w:rsidRDefault="00A1309B" w:rsidP="00CA2BA1">
      <w:pPr>
        <w:pStyle w:val="SignCoverPageStart"/>
        <w:spacing w:before="240"/>
        <w:rPr>
          <w:szCs w:val="22"/>
        </w:rPr>
      </w:pPr>
      <w:r w:rsidRPr="00C033B1">
        <w:rPr>
          <w:szCs w:val="22"/>
        </w:rPr>
        <w:t>I, General the Honourable David Hurley AC DSC (Retd), Governor</w:t>
      </w:r>
      <w:r w:rsidR="00C033B1">
        <w:rPr>
          <w:szCs w:val="22"/>
        </w:rPr>
        <w:noBreakHyphen/>
      </w:r>
      <w:r w:rsidRPr="00C033B1">
        <w:rPr>
          <w:szCs w:val="22"/>
        </w:rPr>
        <w:t>General of the Commonwealth of Australia, acting with the advice of the Federal Executive Council, make the following regulations.</w:t>
      </w:r>
    </w:p>
    <w:p w14:paraId="1318639A" w14:textId="4B8E4FE6" w:rsidR="00A1309B" w:rsidRPr="00C033B1" w:rsidRDefault="00A1309B" w:rsidP="00CA2BA1">
      <w:pPr>
        <w:keepNext/>
        <w:spacing w:before="720" w:line="240" w:lineRule="atLeast"/>
        <w:ind w:right="397"/>
        <w:jc w:val="both"/>
        <w:rPr>
          <w:szCs w:val="22"/>
        </w:rPr>
      </w:pPr>
      <w:r w:rsidRPr="00C033B1">
        <w:rPr>
          <w:szCs w:val="22"/>
        </w:rPr>
        <w:t xml:space="preserve">Dated </w:t>
      </w:r>
      <w:r w:rsidRPr="00C033B1">
        <w:rPr>
          <w:szCs w:val="22"/>
        </w:rPr>
        <w:tab/>
      </w:r>
      <w:r w:rsidR="00BF3E12">
        <w:rPr>
          <w:szCs w:val="22"/>
        </w:rPr>
        <w:t xml:space="preserve">15 December </w:t>
      </w:r>
      <w:r w:rsidRPr="00C033B1">
        <w:rPr>
          <w:szCs w:val="22"/>
        </w:rPr>
        <w:fldChar w:fldCharType="begin"/>
      </w:r>
      <w:r w:rsidRPr="00C033B1">
        <w:rPr>
          <w:szCs w:val="22"/>
        </w:rPr>
        <w:instrText xml:space="preserve"> DOCPROPERTY  DateMade </w:instrText>
      </w:r>
      <w:r w:rsidRPr="00C033B1">
        <w:rPr>
          <w:szCs w:val="22"/>
        </w:rPr>
        <w:fldChar w:fldCharType="separate"/>
      </w:r>
      <w:r w:rsidR="00153CC8">
        <w:rPr>
          <w:szCs w:val="22"/>
        </w:rPr>
        <w:t>2022</w:t>
      </w:r>
      <w:r w:rsidRPr="00C033B1">
        <w:rPr>
          <w:szCs w:val="22"/>
        </w:rPr>
        <w:fldChar w:fldCharType="end"/>
      </w:r>
    </w:p>
    <w:p w14:paraId="29B1C817" w14:textId="77777777" w:rsidR="00A1309B" w:rsidRPr="00C033B1" w:rsidRDefault="00A1309B" w:rsidP="00CA2BA1">
      <w:pPr>
        <w:keepNext/>
        <w:tabs>
          <w:tab w:val="left" w:pos="3402"/>
        </w:tabs>
        <w:spacing w:before="1080" w:line="300" w:lineRule="atLeast"/>
        <w:ind w:left="397" w:right="397"/>
        <w:jc w:val="right"/>
        <w:rPr>
          <w:szCs w:val="22"/>
        </w:rPr>
      </w:pPr>
      <w:r w:rsidRPr="00C033B1">
        <w:rPr>
          <w:szCs w:val="22"/>
        </w:rPr>
        <w:t>David Hurley</w:t>
      </w:r>
    </w:p>
    <w:p w14:paraId="2455D63A" w14:textId="77777777" w:rsidR="00A1309B" w:rsidRPr="00C033B1" w:rsidRDefault="00A1309B" w:rsidP="00CA2BA1">
      <w:pPr>
        <w:keepNext/>
        <w:tabs>
          <w:tab w:val="left" w:pos="3402"/>
        </w:tabs>
        <w:spacing w:line="300" w:lineRule="atLeast"/>
        <w:ind w:left="397" w:right="397"/>
        <w:jc w:val="right"/>
        <w:rPr>
          <w:szCs w:val="22"/>
        </w:rPr>
      </w:pPr>
      <w:bookmarkStart w:id="0" w:name="_GoBack"/>
      <w:bookmarkEnd w:id="0"/>
      <w:r w:rsidRPr="00C033B1">
        <w:rPr>
          <w:szCs w:val="22"/>
        </w:rPr>
        <w:t>Governor</w:t>
      </w:r>
      <w:r w:rsidR="00C033B1">
        <w:rPr>
          <w:szCs w:val="22"/>
        </w:rPr>
        <w:noBreakHyphen/>
      </w:r>
      <w:r w:rsidRPr="00C033B1">
        <w:rPr>
          <w:szCs w:val="22"/>
        </w:rPr>
        <w:t>General</w:t>
      </w:r>
    </w:p>
    <w:p w14:paraId="0C082792" w14:textId="77777777" w:rsidR="00A1309B" w:rsidRPr="00C033B1" w:rsidRDefault="00A1309B" w:rsidP="00CA2BA1">
      <w:pPr>
        <w:keepNext/>
        <w:tabs>
          <w:tab w:val="left" w:pos="3402"/>
        </w:tabs>
        <w:spacing w:before="840" w:after="1080" w:line="300" w:lineRule="atLeast"/>
        <w:ind w:right="397"/>
        <w:rPr>
          <w:szCs w:val="22"/>
        </w:rPr>
      </w:pPr>
      <w:r w:rsidRPr="00C033B1">
        <w:rPr>
          <w:szCs w:val="22"/>
        </w:rPr>
        <w:t>By His Excellency’s Command</w:t>
      </w:r>
    </w:p>
    <w:p w14:paraId="2FE2BDDE" w14:textId="77777777" w:rsidR="00A1309B" w:rsidRPr="00C033B1" w:rsidRDefault="00A1309B" w:rsidP="00CA2BA1">
      <w:pPr>
        <w:keepNext/>
        <w:tabs>
          <w:tab w:val="left" w:pos="3402"/>
        </w:tabs>
        <w:spacing w:before="480" w:line="300" w:lineRule="atLeast"/>
        <w:ind w:right="397"/>
        <w:rPr>
          <w:szCs w:val="22"/>
        </w:rPr>
      </w:pPr>
      <w:r w:rsidRPr="00C033B1">
        <w:rPr>
          <w:szCs w:val="22"/>
        </w:rPr>
        <w:t xml:space="preserve">Mark Dreyfus </w:t>
      </w:r>
      <w:r w:rsidR="00F82222" w:rsidRPr="00C033B1">
        <w:rPr>
          <w:szCs w:val="22"/>
        </w:rPr>
        <w:t>K</w:t>
      </w:r>
      <w:r w:rsidRPr="00C033B1">
        <w:rPr>
          <w:szCs w:val="22"/>
        </w:rPr>
        <w:t>C</w:t>
      </w:r>
    </w:p>
    <w:p w14:paraId="289ABF79" w14:textId="77777777" w:rsidR="00A1309B" w:rsidRPr="00C033B1" w:rsidRDefault="00A1309B" w:rsidP="00CA2BA1">
      <w:pPr>
        <w:pStyle w:val="SignCoverPageEnd"/>
        <w:rPr>
          <w:szCs w:val="22"/>
        </w:rPr>
      </w:pPr>
      <w:r w:rsidRPr="00C033B1">
        <w:rPr>
          <w:szCs w:val="22"/>
        </w:rPr>
        <w:t>Attorney</w:t>
      </w:r>
      <w:r w:rsidR="00C033B1">
        <w:rPr>
          <w:szCs w:val="22"/>
        </w:rPr>
        <w:noBreakHyphen/>
      </w:r>
      <w:r w:rsidRPr="00C033B1">
        <w:rPr>
          <w:szCs w:val="22"/>
        </w:rPr>
        <w:t>General</w:t>
      </w:r>
    </w:p>
    <w:p w14:paraId="53B045EB" w14:textId="77777777" w:rsidR="00A1309B" w:rsidRPr="00C033B1" w:rsidRDefault="00A1309B" w:rsidP="00CA2BA1"/>
    <w:p w14:paraId="2C7734B8" w14:textId="77777777" w:rsidR="00A1309B" w:rsidRPr="00C033B1" w:rsidRDefault="00A1309B" w:rsidP="00CA2BA1"/>
    <w:p w14:paraId="742E4358" w14:textId="77777777" w:rsidR="00A1309B" w:rsidRPr="00C033B1" w:rsidRDefault="00A1309B" w:rsidP="00CA2BA1"/>
    <w:p w14:paraId="2DDA7244" w14:textId="77777777" w:rsidR="00715914" w:rsidRPr="00025E64" w:rsidRDefault="00715914" w:rsidP="00715914">
      <w:pPr>
        <w:pStyle w:val="Header"/>
        <w:tabs>
          <w:tab w:val="clear" w:pos="4150"/>
          <w:tab w:val="clear" w:pos="8307"/>
        </w:tabs>
      </w:pPr>
      <w:r w:rsidRPr="00025E64">
        <w:rPr>
          <w:rStyle w:val="CharChapNo"/>
        </w:rPr>
        <w:t xml:space="preserve"> </w:t>
      </w:r>
      <w:r w:rsidRPr="00025E64">
        <w:rPr>
          <w:rStyle w:val="CharChapText"/>
        </w:rPr>
        <w:t xml:space="preserve"> </w:t>
      </w:r>
    </w:p>
    <w:p w14:paraId="305E78BD" w14:textId="77777777" w:rsidR="00715914" w:rsidRPr="00025E64" w:rsidRDefault="00715914" w:rsidP="00715914">
      <w:pPr>
        <w:pStyle w:val="Header"/>
        <w:tabs>
          <w:tab w:val="clear" w:pos="4150"/>
          <w:tab w:val="clear" w:pos="8307"/>
        </w:tabs>
      </w:pPr>
      <w:r w:rsidRPr="00025E64">
        <w:rPr>
          <w:rStyle w:val="CharPartNo"/>
        </w:rPr>
        <w:t xml:space="preserve"> </w:t>
      </w:r>
      <w:r w:rsidRPr="00025E64">
        <w:rPr>
          <w:rStyle w:val="CharPartText"/>
        </w:rPr>
        <w:t xml:space="preserve"> </w:t>
      </w:r>
    </w:p>
    <w:p w14:paraId="334AC2ED" w14:textId="77777777" w:rsidR="00715914" w:rsidRPr="00025E64" w:rsidRDefault="00715914" w:rsidP="00715914">
      <w:pPr>
        <w:pStyle w:val="Header"/>
        <w:tabs>
          <w:tab w:val="clear" w:pos="4150"/>
          <w:tab w:val="clear" w:pos="8307"/>
        </w:tabs>
      </w:pPr>
      <w:r w:rsidRPr="00025E64">
        <w:rPr>
          <w:rStyle w:val="CharDivNo"/>
        </w:rPr>
        <w:t xml:space="preserve"> </w:t>
      </w:r>
      <w:r w:rsidRPr="00025E64">
        <w:rPr>
          <w:rStyle w:val="CharDivText"/>
        </w:rPr>
        <w:t xml:space="preserve"> </w:t>
      </w:r>
    </w:p>
    <w:p w14:paraId="5624D6E3" w14:textId="77777777" w:rsidR="00715914" w:rsidRPr="00C033B1" w:rsidRDefault="00715914" w:rsidP="00715914">
      <w:pPr>
        <w:sectPr w:rsidR="00715914" w:rsidRPr="00C033B1" w:rsidSect="00AB317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E54A5AB" w14:textId="77777777" w:rsidR="00F67BCA" w:rsidRPr="00C033B1" w:rsidRDefault="00715914" w:rsidP="00715914">
      <w:pPr>
        <w:outlineLvl w:val="0"/>
        <w:rPr>
          <w:sz w:val="36"/>
        </w:rPr>
      </w:pPr>
      <w:r w:rsidRPr="00C033B1">
        <w:rPr>
          <w:sz w:val="36"/>
        </w:rPr>
        <w:lastRenderedPageBreak/>
        <w:t>Contents</w:t>
      </w:r>
    </w:p>
    <w:p w14:paraId="70647DD7" w14:textId="65D6038B" w:rsidR="00D608C2" w:rsidRPr="00C033B1" w:rsidRDefault="00D608C2">
      <w:pPr>
        <w:pStyle w:val="TOC2"/>
        <w:rPr>
          <w:rFonts w:asciiTheme="minorHAnsi" w:eastAsiaTheme="minorEastAsia" w:hAnsiTheme="minorHAnsi" w:cstheme="minorBidi"/>
          <w:b w:val="0"/>
          <w:noProof/>
          <w:kern w:val="0"/>
          <w:sz w:val="22"/>
          <w:szCs w:val="22"/>
        </w:rPr>
      </w:pPr>
      <w:r w:rsidRPr="00C033B1">
        <w:fldChar w:fldCharType="begin"/>
      </w:r>
      <w:r w:rsidRPr="00C033B1">
        <w:instrText xml:space="preserve"> TOC \o "1-9" </w:instrText>
      </w:r>
      <w:r w:rsidRPr="00C033B1">
        <w:fldChar w:fldCharType="separate"/>
      </w:r>
      <w:r w:rsidRPr="00C033B1">
        <w:rPr>
          <w:noProof/>
        </w:rPr>
        <w:t>Part 1—Preliminary</w:t>
      </w:r>
      <w:r w:rsidRPr="00C033B1">
        <w:rPr>
          <w:b w:val="0"/>
          <w:noProof/>
          <w:sz w:val="18"/>
        </w:rPr>
        <w:tab/>
      </w:r>
      <w:r w:rsidRPr="00C033B1">
        <w:rPr>
          <w:b w:val="0"/>
          <w:noProof/>
          <w:sz w:val="18"/>
        </w:rPr>
        <w:fldChar w:fldCharType="begin"/>
      </w:r>
      <w:r w:rsidRPr="00C033B1">
        <w:rPr>
          <w:b w:val="0"/>
          <w:noProof/>
          <w:sz w:val="18"/>
        </w:rPr>
        <w:instrText xml:space="preserve"> PAGEREF _Toc114043956 \h </w:instrText>
      </w:r>
      <w:r w:rsidRPr="00C033B1">
        <w:rPr>
          <w:b w:val="0"/>
          <w:noProof/>
          <w:sz w:val="18"/>
        </w:rPr>
      </w:r>
      <w:r w:rsidRPr="00C033B1">
        <w:rPr>
          <w:b w:val="0"/>
          <w:noProof/>
          <w:sz w:val="18"/>
        </w:rPr>
        <w:fldChar w:fldCharType="separate"/>
      </w:r>
      <w:r w:rsidR="00153CC8">
        <w:rPr>
          <w:b w:val="0"/>
          <w:noProof/>
          <w:sz w:val="18"/>
        </w:rPr>
        <w:t>1</w:t>
      </w:r>
      <w:r w:rsidRPr="00C033B1">
        <w:rPr>
          <w:b w:val="0"/>
          <w:noProof/>
          <w:sz w:val="18"/>
        </w:rPr>
        <w:fldChar w:fldCharType="end"/>
      </w:r>
    </w:p>
    <w:p w14:paraId="5A3C9073" w14:textId="290D1E8B" w:rsidR="00D608C2" w:rsidRPr="00C033B1" w:rsidRDefault="00D608C2">
      <w:pPr>
        <w:pStyle w:val="TOC5"/>
        <w:rPr>
          <w:rFonts w:asciiTheme="minorHAnsi" w:eastAsiaTheme="minorEastAsia" w:hAnsiTheme="minorHAnsi" w:cstheme="minorBidi"/>
          <w:noProof/>
          <w:kern w:val="0"/>
          <w:sz w:val="22"/>
          <w:szCs w:val="22"/>
        </w:rPr>
      </w:pPr>
      <w:r w:rsidRPr="00C033B1">
        <w:rPr>
          <w:noProof/>
        </w:rPr>
        <w:t>1.01</w:t>
      </w:r>
      <w:r w:rsidRPr="00C033B1">
        <w:rPr>
          <w:noProof/>
        </w:rPr>
        <w:tab/>
        <w:t>Name</w:t>
      </w:r>
      <w:r w:rsidRPr="00C033B1">
        <w:rPr>
          <w:noProof/>
        </w:rPr>
        <w:tab/>
      </w:r>
      <w:r w:rsidRPr="00C033B1">
        <w:rPr>
          <w:noProof/>
        </w:rPr>
        <w:fldChar w:fldCharType="begin"/>
      </w:r>
      <w:r w:rsidRPr="00C033B1">
        <w:rPr>
          <w:noProof/>
        </w:rPr>
        <w:instrText xml:space="preserve"> PAGEREF _Toc114043957 \h </w:instrText>
      </w:r>
      <w:r w:rsidRPr="00C033B1">
        <w:rPr>
          <w:noProof/>
        </w:rPr>
      </w:r>
      <w:r w:rsidRPr="00C033B1">
        <w:rPr>
          <w:noProof/>
        </w:rPr>
        <w:fldChar w:fldCharType="separate"/>
      </w:r>
      <w:r w:rsidR="00153CC8">
        <w:rPr>
          <w:noProof/>
        </w:rPr>
        <w:t>1</w:t>
      </w:r>
      <w:r w:rsidRPr="00C033B1">
        <w:rPr>
          <w:noProof/>
        </w:rPr>
        <w:fldChar w:fldCharType="end"/>
      </w:r>
    </w:p>
    <w:p w14:paraId="607E629E" w14:textId="41D621D6" w:rsidR="00D608C2" w:rsidRPr="00C033B1" w:rsidRDefault="00D608C2">
      <w:pPr>
        <w:pStyle w:val="TOC5"/>
        <w:rPr>
          <w:rFonts w:asciiTheme="minorHAnsi" w:eastAsiaTheme="minorEastAsia" w:hAnsiTheme="minorHAnsi" w:cstheme="minorBidi"/>
          <w:noProof/>
          <w:kern w:val="0"/>
          <w:sz w:val="22"/>
          <w:szCs w:val="22"/>
        </w:rPr>
      </w:pPr>
      <w:r w:rsidRPr="00C033B1">
        <w:rPr>
          <w:noProof/>
        </w:rPr>
        <w:t>1.01A</w:t>
      </w:r>
      <w:r w:rsidRPr="00C033B1">
        <w:rPr>
          <w:noProof/>
        </w:rPr>
        <w:tab/>
        <w:t>Commencement</w:t>
      </w:r>
      <w:r w:rsidRPr="00C033B1">
        <w:rPr>
          <w:noProof/>
        </w:rPr>
        <w:tab/>
      </w:r>
      <w:r w:rsidRPr="00C033B1">
        <w:rPr>
          <w:noProof/>
        </w:rPr>
        <w:fldChar w:fldCharType="begin"/>
      </w:r>
      <w:r w:rsidRPr="00C033B1">
        <w:rPr>
          <w:noProof/>
        </w:rPr>
        <w:instrText xml:space="preserve"> PAGEREF _Toc114043958 \h </w:instrText>
      </w:r>
      <w:r w:rsidRPr="00C033B1">
        <w:rPr>
          <w:noProof/>
        </w:rPr>
      </w:r>
      <w:r w:rsidRPr="00C033B1">
        <w:rPr>
          <w:noProof/>
        </w:rPr>
        <w:fldChar w:fldCharType="separate"/>
      </w:r>
      <w:r w:rsidR="00153CC8">
        <w:rPr>
          <w:noProof/>
        </w:rPr>
        <w:t>1</w:t>
      </w:r>
      <w:r w:rsidRPr="00C033B1">
        <w:rPr>
          <w:noProof/>
        </w:rPr>
        <w:fldChar w:fldCharType="end"/>
      </w:r>
    </w:p>
    <w:p w14:paraId="6B9A353E" w14:textId="0E23932A" w:rsidR="00D608C2" w:rsidRPr="00C033B1" w:rsidRDefault="00D608C2">
      <w:pPr>
        <w:pStyle w:val="TOC5"/>
        <w:rPr>
          <w:rFonts w:asciiTheme="minorHAnsi" w:eastAsiaTheme="minorEastAsia" w:hAnsiTheme="minorHAnsi" w:cstheme="minorBidi"/>
          <w:noProof/>
          <w:kern w:val="0"/>
          <w:sz w:val="22"/>
          <w:szCs w:val="22"/>
        </w:rPr>
      </w:pPr>
      <w:r w:rsidRPr="00C033B1">
        <w:rPr>
          <w:noProof/>
        </w:rPr>
        <w:t>1.02</w:t>
      </w:r>
      <w:r w:rsidRPr="00C033B1">
        <w:rPr>
          <w:noProof/>
        </w:rPr>
        <w:tab/>
        <w:t>Authority</w:t>
      </w:r>
      <w:r w:rsidRPr="00C033B1">
        <w:rPr>
          <w:noProof/>
        </w:rPr>
        <w:tab/>
      </w:r>
      <w:r w:rsidRPr="00C033B1">
        <w:rPr>
          <w:noProof/>
        </w:rPr>
        <w:fldChar w:fldCharType="begin"/>
      </w:r>
      <w:r w:rsidRPr="00C033B1">
        <w:rPr>
          <w:noProof/>
        </w:rPr>
        <w:instrText xml:space="preserve"> PAGEREF _Toc114043959 \h </w:instrText>
      </w:r>
      <w:r w:rsidRPr="00C033B1">
        <w:rPr>
          <w:noProof/>
        </w:rPr>
      </w:r>
      <w:r w:rsidRPr="00C033B1">
        <w:rPr>
          <w:noProof/>
        </w:rPr>
        <w:fldChar w:fldCharType="separate"/>
      </w:r>
      <w:r w:rsidR="00153CC8">
        <w:rPr>
          <w:noProof/>
        </w:rPr>
        <w:t>1</w:t>
      </w:r>
      <w:r w:rsidRPr="00C033B1">
        <w:rPr>
          <w:noProof/>
        </w:rPr>
        <w:fldChar w:fldCharType="end"/>
      </w:r>
    </w:p>
    <w:p w14:paraId="15F9704E" w14:textId="4C69B848" w:rsidR="00D608C2" w:rsidRPr="00C033B1" w:rsidRDefault="00D608C2">
      <w:pPr>
        <w:pStyle w:val="TOC5"/>
        <w:rPr>
          <w:rFonts w:asciiTheme="minorHAnsi" w:eastAsiaTheme="minorEastAsia" w:hAnsiTheme="minorHAnsi" w:cstheme="minorBidi"/>
          <w:noProof/>
          <w:kern w:val="0"/>
          <w:sz w:val="22"/>
          <w:szCs w:val="22"/>
        </w:rPr>
      </w:pPr>
      <w:r w:rsidRPr="00C033B1">
        <w:rPr>
          <w:noProof/>
        </w:rPr>
        <w:t>1.02A</w:t>
      </w:r>
      <w:r w:rsidRPr="00C033B1">
        <w:rPr>
          <w:noProof/>
        </w:rPr>
        <w:tab/>
        <w:t>Schedule 3</w:t>
      </w:r>
      <w:r w:rsidRPr="00C033B1">
        <w:rPr>
          <w:noProof/>
        </w:rPr>
        <w:tab/>
      </w:r>
      <w:r w:rsidRPr="00C033B1">
        <w:rPr>
          <w:noProof/>
        </w:rPr>
        <w:fldChar w:fldCharType="begin"/>
      </w:r>
      <w:r w:rsidRPr="00C033B1">
        <w:rPr>
          <w:noProof/>
        </w:rPr>
        <w:instrText xml:space="preserve"> PAGEREF _Toc114043960 \h </w:instrText>
      </w:r>
      <w:r w:rsidRPr="00C033B1">
        <w:rPr>
          <w:noProof/>
        </w:rPr>
      </w:r>
      <w:r w:rsidRPr="00C033B1">
        <w:rPr>
          <w:noProof/>
        </w:rPr>
        <w:fldChar w:fldCharType="separate"/>
      </w:r>
      <w:r w:rsidR="00153CC8">
        <w:rPr>
          <w:noProof/>
        </w:rPr>
        <w:t>1</w:t>
      </w:r>
      <w:r w:rsidRPr="00C033B1">
        <w:rPr>
          <w:noProof/>
        </w:rPr>
        <w:fldChar w:fldCharType="end"/>
      </w:r>
    </w:p>
    <w:p w14:paraId="1D561FA7" w14:textId="473C89AC" w:rsidR="00D608C2" w:rsidRPr="00C033B1" w:rsidRDefault="00D608C2">
      <w:pPr>
        <w:pStyle w:val="TOC5"/>
        <w:rPr>
          <w:rFonts w:asciiTheme="minorHAnsi" w:eastAsiaTheme="minorEastAsia" w:hAnsiTheme="minorHAnsi" w:cstheme="minorBidi"/>
          <w:noProof/>
          <w:kern w:val="0"/>
          <w:sz w:val="22"/>
          <w:szCs w:val="22"/>
        </w:rPr>
      </w:pPr>
      <w:r w:rsidRPr="00C033B1">
        <w:rPr>
          <w:noProof/>
        </w:rPr>
        <w:t>1.03</w:t>
      </w:r>
      <w:r w:rsidRPr="00C033B1">
        <w:rPr>
          <w:noProof/>
        </w:rPr>
        <w:tab/>
        <w:t>Definitions</w:t>
      </w:r>
      <w:r w:rsidRPr="00C033B1">
        <w:rPr>
          <w:noProof/>
        </w:rPr>
        <w:tab/>
      </w:r>
      <w:r w:rsidRPr="00C033B1">
        <w:rPr>
          <w:noProof/>
        </w:rPr>
        <w:fldChar w:fldCharType="begin"/>
      </w:r>
      <w:r w:rsidRPr="00C033B1">
        <w:rPr>
          <w:noProof/>
        </w:rPr>
        <w:instrText xml:space="preserve"> PAGEREF _Toc114043961 \h </w:instrText>
      </w:r>
      <w:r w:rsidRPr="00C033B1">
        <w:rPr>
          <w:noProof/>
        </w:rPr>
      </w:r>
      <w:r w:rsidRPr="00C033B1">
        <w:rPr>
          <w:noProof/>
        </w:rPr>
        <w:fldChar w:fldCharType="separate"/>
      </w:r>
      <w:r w:rsidR="00153CC8">
        <w:rPr>
          <w:noProof/>
        </w:rPr>
        <w:t>1</w:t>
      </w:r>
      <w:r w:rsidRPr="00C033B1">
        <w:rPr>
          <w:noProof/>
        </w:rPr>
        <w:fldChar w:fldCharType="end"/>
      </w:r>
    </w:p>
    <w:p w14:paraId="0C090FCE" w14:textId="0BF262CB" w:rsidR="00D608C2" w:rsidRPr="00C033B1" w:rsidRDefault="00D608C2">
      <w:pPr>
        <w:pStyle w:val="TOC5"/>
        <w:rPr>
          <w:rFonts w:asciiTheme="minorHAnsi" w:eastAsiaTheme="minorEastAsia" w:hAnsiTheme="minorHAnsi" w:cstheme="minorBidi"/>
          <w:noProof/>
          <w:kern w:val="0"/>
          <w:sz w:val="22"/>
          <w:szCs w:val="22"/>
        </w:rPr>
      </w:pPr>
      <w:r w:rsidRPr="00C033B1">
        <w:rPr>
          <w:noProof/>
        </w:rPr>
        <w:t>1.04</w:t>
      </w:r>
      <w:r w:rsidRPr="00C033B1">
        <w:rPr>
          <w:noProof/>
        </w:rPr>
        <w:tab/>
        <w:t xml:space="preserve">Meaning of </w:t>
      </w:r>
      <w:r w:rsidRPr="00C033B1">
        <w:rPr>
          <w:i/>
          <w:noProof/>
        </w:rPr>
        <w:t>corporation</w:t>
      </w:r>
      <w:r w:rsidRPr="00C033B1">
        <w:rPr>
          <w:noProof/>
        </w:rPr>
        <w:tab/>
      </w:r>
      <w:r w:rsidRPr="00C033B1">
        <w:rPr>
          <w:noProof/>
        </w:rPr>
        <w:fldChar w:fldCharType="begin"/>
      </w:r>
      <w:r w:rsidRPr="00C033B1">
        <w:rPr>
          <w:noProof/>
        </w:rPr>
        <w:instrText xml:space="preserve"> PAGEREF _Toc114043962 \h </w:instrText>
      </w:r>
      <w:r w:rsidRPr="00C033B1">
        <w:rPr>
          <w:noProof/>
        </w:rPr>
      </w:r>
      <w:r w:rsidRPr="00C033B1">
        <w:rPr>
          <w:noProof/>
        </w:rPr>
        <w:fldChar w:fldCharType="separate"/>
      </w:r>
      <w:r w:rsidR="00153CC8">
        <w:rPr>
          <w:noProof/>
        </w:rPr>
        <w:t>4</w:t>
      </w:r>
      <w:r w:rsidRPr="00C033B1">
        <w:rPr>
          <w:noProof/>
        </w:rPr>
        <w:fldChar w:fldCharType="end"/>
      </w:r>
    </w:p>
    <w:p w14:paraId="52B005E9" w14:textId="501FA71B"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t>Part 2—Fees</w:t>
      </w:r>
      <w:r w:rsidRPr="00C033B1">
        <w:rPr>
          <w:b w:val="0"/>
          <w:noProof/>
          <w:sz w:val="18"/>
        </w:rPr>
        <w:tab/>
      </w:r>
      <w:r w:rsidRPr="00C033B1">
        <w:rPr>
          <w:b w:val="0"/>
          <w:noProof/>
          <w:sz w:val="18"/>
        </w:rPr>
        <w:fldChar w:fldCharType="begin"/>
      </w:r>
      <w:r w:rsidRPr="00C033B1">
        <w:rPr>
          <w:b w:val="0"/>
          <w:noProof/>
          <w:sz w:val="18"/>
        </w:rPr>
        <w:instrText xml:space="preserve"> PAGEREF _Toc114043963 \h </w:instrText>
      </w:r>
      <w:r w:rsidRPr="00C033B1">
        <w:rPr>
          <w:b w:val="0"/>
          <w:noProof/>
          <w:sz w:val="18"/>
        </w:rPr>
      </w:r>
      <w:r w:rsidRPr="00C033B1">
        <w:rPr>
          <w:b w:val="0"/>
          <w:noProof/>
          <w:sz w:val="18"/>
        </w:rPr>
        <w:fldChar w:fldCharType="separate"/>
      </w:r>
      <w:r w:rsidR="00153CC8">
        <w:rPr>
          <w:b w:val="0"/>
          <w:noProof/>
          <w:sz w:val="18"/>
        </w:rPr>
        <w:t>5</w:t>
      </w:r>
      <w:r w:rsidRPr="00C033B1">
        <w:rPr>
          <w:b w:val="0"/>
          <w:noProof/>
          <w:sz w:val="18"/>
        </w:rPr>
        <w:fldChar w:fldCharType="end"/>
      </w:r>
    </w:p>
    <w:p w14:paraId="45DF9EB3" w14:textId="52A57F64"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.1—General</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_Toc114043964 \h </w:instrText>
      </w:r>
      <w:r w:rsidR="00D608C2" w:rsidRPr="00C033B1">
        <w:rPr>
          <w:b w:val="0"/>
          <w:noProof/>
          <w:sz w:val="18"/>
        </w:rPr>
      </w:r>
      <w:r w:rsidR="00D608C2" w:rsidRPr="00C033B1">
        <w:rPr>
          <w:b w:val="0"/>
          <w:noProof/>
          <w:sz w:val="18"/>
        </w:rPr>
        <w:fldChar w:fldCharType="separate"/>
      </w:r>
      <w:r w:rsidR="00153CC8">
        <w:rPr>
          <w:b w:val="0"/>
          <w:noProof/>
          <w:sz w:val="18"/>
        </w:rPr>
        <w:t>5</w:t>
      </w:r>
      <w:r w:rsidR="00D608C2" w:rsidRPr="00C033B1">
        <w:rPr>
          <w:b w:val="0"/>
          <w:noProof/>
          <w:sz w:val="18"/>
        </w:rPr>
        <w:fldChar w:fldCharType="end"/>
      </w:r>
    </w:p>
    <w:p w14:paraId="2ED817D0" w14:textId="68BC02E5" w:rsidR="00D608C2" w:rsidRPr="00C033B1" w:rsidRDefault="00D608C2">
      <w:pPr>
        <w:pStyle w:val="TOC5"/>
        <w:rPr>
          <w:rFonts w:asciiTheme="minorHAnsi" w:eastAsiaTheme="minorEastAsia" w:hAnsiTheme="minorHAnsi" w:cstheme="minorBidi"/>
          <w:noProof/>
          <w:kern w:val="0"/>
          <w:sz w:val="22"/>
          <w:szCs w:val="22"/>
        </w:rPr>
      </w:pPr>
      <w:r w:rsidRPr="00C033B1">
        <w:rPr>
          <w:noProof/>
        </w:rPr>
        <w:t>2.01</w:t>
      </w:r>
      <w:r w:rsidRPr="00C033B1">
        <w:rPr>
          <w:noProof/>
        </w:rPr>
        <w:tab/>
        <w:t>Purpose of this Part</w:t>
      </w:r>
      <w:r w:rsidRPr="00C033B1">
        <w:rPr>
          <w:noProof/>
        </w:rPr>
        <w:tab/>
      </w:r>
      <w:r w:rsidRPr="00C033B1">
        <w:rPr>
          <w:noProof/>
        </w:rPr>
        <w:fldChar w:fldCharType="begin"/>
      </w:r>
      <w:r w:rsidRPr="00C033B1">
        <w:rPr>
          <w:noProof/>
        </w:rPr>
        <w:instrText xml:space="preserve"> PAGEREF _Toc114043965 \h </w:instrText>
      </w:r>
      <w:r w:rsidRPr="00C033B1">
        <w:rPr>
          <w:noProof/>
        </w:rPr>
      </w:r>
      <w:r w:rsidRPr="00C033B1">
        <w:rPr>
          <w:noProof/>
        </w:rPr>
        <w:fldChar w:fldCharType="separate"/>
      </w:r>
      <w:r w:rsidR="00153CC8">
        <w:rPr>
          <w:noProof/>
        </w:rPr>
        <w:t>5</w:t>
      </w:r>
      <w:r w:rsidRPr="00C033B1">
        <w:rPr>
          <w:noProof/>
        </w:rPr>
        <w:fldChar w:fldCharType="end"/>
      </w:r>
    </w:p>
    <w:p w14:paraId="331657C9" w14:textId="073F00D1" w:rsidR="00D608C2" w:rsidRPr="00C033B1" w:rsidRDefault="00D608C2">
      <w:pPr>
        <w:pStyle w:val="TOC5"/>
        <w:rPr>
          <w:rFonts w:asciiTheme="minorHAnsi" w:eastAsiaTheme="minorEastAsia" w:hAnsiTheme="minorHAnsi" w:cstheme="minorBidi"/>
          <w:noProof/>
          <w:kern w:val="0"/>
          <w:sz w:val="22"/>
          <w:szCs w:val="22"/>
        </w:rPr>
      </w:pPr>
      <w:r w:rsidRPr="00C033B1">
        <w:rPr>
          <w:noProof/>
        </w:rPr>
        <w:t>2.01A</w:t>
      </w:r>
      <w:r w:rsidRPr="00C033B1">
        <w:rPr>
          <w:noProof/>
        </w:rPr>
        <w:tab/>
        <w:t>Application of this Part</w:t>
      </w:r>
      <w:r w:rsidRPr="00C033B1">
        <w:rPr>
          <w:noProof/>
        </w:rPr>
        <w:tab/>
      </w:r>
      <w:r w:rsidRPr="00C033B1">
        <w:rPr>
          <w:noProof/>
        </w:rPr>
        <w:fldChar w:fldCharType="begin"/>
      </w:r>
      <w:r w:rsidRPr="00C033B1">
        <w:rPr>
          <w:noProof/>
        </w:rPr>
        <w:instrText xml:space="preserve"> PAGEREF _Toc114043966 \h </w:instrText>
      </w:r>
      <w:r w:rsidRPr="00C033B1">
        <w:rPr>
          <w:noProof/>
        </w:rPr>
      </w:r>
      <w:r w:rsidRPr="00C033B1">
        <w:rPr>
          <w:noProof/>
        </w:rPr>
        <w:fldChar w:fldCharType="separate"/>
      </w:r>
      <w:r w:rsidR="00153CC8">
        <w:rPr>
          <w:noProof/>
        </w:rPr>
        <w:t>5</w:t>
      </w:r>
      <w:r w:rsidRPr="00C033B1">
        <w:rPr>
          <w:noProof/>
        </w:rPr>
        <w:fldChar w:fldCharType="end"/>
      </w:r>
    </w:p>
    <w:p w14:paraId="7B328FF6" w14:textId="373AC77C" w:rsidR="00D608C2" w:rsidRPr="00C033B1" w:rsidRDefault="00D608C2">
      <w:pPr>
        <w:pStyle w:val="TOC5"/>
        <w:rPr>
          <w:rFonts w:asciiTheme="minorHAnsi" w:eastAsiaTheme="minorEastAsia" w:hAnsiTheme="minorHAnsi" w:cstheme="minorBidi"/>
          <w:noProof/>
          <w:kern w:val="0"/>
          <w:sz w:val="22"/>
          <w:szCs w:val="22"/>
        </w:rPr>
      </w:pPr>
      <w:r w:rsidRPr="00C033B1">
        <w:rPr>
          <w:noProof/>
        </w:rPr>
        <w:t>2.02</w:t>
      </w:r>
      <w:r w:rsidRPr="00C033B1">
        <w:rPr>
          <w:noProof/>
        </w:rPr>
        <w:tab/>
        <w:t>Fees</w:t>
      </w:r>
      <w:r w:rsidRPr="00C033B1">
        <w:rPr>
          <w:noProof/>
        </w:rPr>
        <w:tab/>
      </w:r>
      <w:r w:rsidRPr="00C033B1">
        <w:rPr>
          <w:noProof/>
        </w:rPr>
        <w:fldChar w:fldCharType="begin"/>
      </w:r>
      <w:r w:rsidRPr="00C033B1">
        <w:rPr>
          <w:noProof/>
        </w:rPr>
        <w:instrText xml:space="preserve"> PAGEREF _Toc114043967 \h </w:instrText>
      </w:r>
      <w:r w:rsidRPr="00C033B1">
        <w:rPr>
          <w:noProof/>
        </w:rPr>
      </w:r>
      <w:r w:rsidRPr="00C033B1">
        <w:rPr>
          <w:noProof/>
        </w:rPr>
        <w:fldChar w:fldCharType="separate"/>
      </w:r>
      <w:r w:rsidR="00153CC8">
        <w:rPr>
          <w:noProof/>
        </w:rPr>
        <w:t>5</w:t>
      </w:r>
      <w:r w:rsidRPr="00C033B1">
        <w:rPr>
          <w:noProof/>
        </w:rPr>
        <w:fldChar w:fldCharType="end"/>
      </w:r>
    </w:p>
    <w:p w14:paraId="5DC9B751" w14:textId="5C077F3D"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.2—Liability to pay fees</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_Toc114043968 \h </w:instrText>
      </w:r>
      <w:r w:rsidR="00D608C2" w:rsidRPr="00C033B1">
        <w:rPr>
          <w:b w:val="0"/>
          <w:noProof/>
          <w:sz w:val="18"/>
        </w:rPr>
      </w:r>
      <w:r w:rsidR="00D608C2" w:rsidRPr="00C033B1">
        <w:rPr>
          <w:b w:val="0"/>
          <w:noProof/>
          <w:sz w:val="18"/>
        </w:rPr>
        <w:fldChar w:fldCharType="separate"/>
      </w:r>
      <w:r w:rsidR="00153CC8">
        <w:rPr>
          <w:b w:val="0"/>
          <w:noProof/>
          <w:sz w:val="18"/>
        </w:rPr>
        <w:t>7</w:t>
      </w:r>
      <w:r w:rsidR="00D608C2" w:rsidRPr="00C033B1">
        <w:rPr>
          <w:b w:val="0"/>
          <w:noProof/>
          <w:sz w:val="18"/>
        </w:rPr>
        <w:fldChar w:fldCharType="end"/>
      </w:r>
    </w:p>
    <w:p w14:paraId="1E8A8E72" w14:textId="41FF07B0" w:rsidR="00D608C2" w:rsidRPr="00C033B1" w:rsidRDefault="00D608C2">
      <w:pPr>
        <w:pStyle w:val="TOC5"/>
        <w:rPr>
          <w:rFonts w:asciiTheme="minorHAnsi" w:eastAsiaTheme="minorEastAsia" w:hAnsiTheme="minorHAnsi" w:cstheme="minorBidi"/>
          <w:noProof/>
          <w:kern w:val="0"/>
          <w:sz w:val="22"/>
          <w:szCs w:val="22"/>
        </w:rPr>
      </w:pPr>
      <w:r w:rsidRPr="00C033B1">
        <w:rPr>
          <w:noProof/>
        </w:rPr>
        <w:t>2.03</w:t>
      </w:r>
      <w:r w:rsidRPr="00C033B1">
        <w:rPr>
          <w:noProof/>
        </w:rPr>
        <w:tab/>
        <w:t>Persons liable to pay fees</w:t>
      </w:r>
      <w:r w:rsidRPr="00C033B1">
        <w:rPr>
          <w:noProof/>
        </w:rPr>
        <w:tab/>
      </w:r>
      <w:r w:rsidRPr="00C033B1">
        <w:rPr>
          <w:noProof/>
        </w:rPr>
        <w:fldChar w:fldCharType="begin"/>
      </w:r>
      <w:r w:rsidRPr="00C033B1">
        <w:rPr>
          <w:noProof/>
        </w:rPr>
        <w:instrText xml:space="preserve"> PAGEREF _Toc114043969 \h </w:instrText>
      </w:r>
      <w:r w:rsidRPr="00C033B1">
        <w:rPr>
          <w:noProof/>
        </w:rPr>
      </w:r>
      <w:r w:rsidRPr="00C033B1">
        <w:rPr>
          <w:noProof/>
        </w:rPr>
        <w:fldChar w:fldCharType="separate"/>
      </w:r>
      <w:r w:rsidR="00153CC8">
        <w:rPr>
          <w:noProof/>
        </w:rPr>
        <w:t>7</w:t>
      </w:r>
      <w:r w:rsidRPr="00C033B1">
        <w:rPr>
          <w:noProof/>
        </w:rPr>
        <w:fldChar w:fldCharType="end"/>
      </w:r>
    </w:p>
    <w:p w14:paraId="44877418" w14:textId="1E5BCB8D" w:rsidR="00D608C2" w:rsidRPr="00C033B1" w:rsidRDefault="00D608C2">
      <w:pPr>
        <w:pStyle w:val="TOC5"/>
        <w:rPr>
          <w:rFonts w:asciiTheme="minorHAnsi" w:eastAsiaTheme="minorEastAsia" w:hAnsiTheme="minorHAnsi" w:cstheme="minorBidi"/>
          <w:noProof/>
          <w:kern w:val="0"/>
          <w:sz w:val="22"/>
          <w:szCs w:val="22"/>
        </w:rPr>
      </w:pPr>
      <w:r w:rsidRPr="00C033B1">
        <w:rPr>
          <w:noProof/>
        </w:rPr>
        <w:t>2.04</w:t>
      </w:r>
      <w:r w:rsidRPr="00C033B1">
        <w:rPr>
          <w:noProof/>
        </w:rPr>
        <w:tab/>
        <w:t>When fees for producing files and copying documents are payable</w:t>
      </w:r>
      <w:r w:rsidRPr="00C033B1">
        <w:rPr>
          <w:noProof/>
        </w:rPr>
        <w:tab/>
      </w:r>
      <w:r w:rsidRPr="00C033B1">
        <w:rPr>
          <w:noProof/>
        </w:rPr>
        <w:fldChar w:fldCharType="begin"/>
      </w:r>
      <w:r w:rsidRPr="00C033B1">
        <w:rPr>
          <w:noProof/>
        </w:rPr>
        <w:instrText xml:space="preserve"> PAGEREF _Toc114043970 \h </w:instrText>
      </w:r>
      <w:r w:rsidRPr="00C033B1">
        <w:rPr>
          <w:noProof/>
        </w:rPr>
      </w:r>
      <w:r w:rsidRPr="00C033B1">
        <w:rPr>
          <w:noProof/>
        </w:rPr>
        <w:fldChar w:fldCharType="separate"/>
      </w:r>
      <w:r w:rsidR="00153CC8">
        <w:rPr>
          <w:noProof/>
        </w:rPr>
        <w:t>8</w:t>
      </w:r>
      <w:r w:rsidRPr="00C033B1">
        <w:rPr>
          <w:noProof/>
        </w:rPr>
        <w:fldChar w:fldCharType="end"/>
      </w:r>
    </w:p>
    <w:p w14:paraId="1B7D9DE7" w14:textId="0FC35EB2"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.3—Exemptions and reduced fees</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_Toc114043971 \h </w:instrText>
      </w:r>
      <w:r w:rsidR="00D608C2" w:rsidRPr="00C033B1">
        <w:rPr>
          <w:b w:val="0"/>
          <w:noProof/>
          <w:sz w:val="18"/>
        </w:rPr>
      </w:r>
      <w:r w:rsidR="00D608C2" w:rsidRPr="00C033B1">
        <w:rPr>
          <w:b w:val="0"/>
          <w:noProof/>
          <w:sz w:val="18"/>
        </w:rPr>
        <w:fldChar w:fldCharType="separate"/>
      </w:r>
      <w:r w:rsidR="00153CC8">
        <w:rPr>
          <w:b w:val="0"/>
          <w:noProof/>
          <w:sz w:val="18"/>
        </w:rPr>
        <w:t>9</w:t>
      </w:r>
      <w:r w:rsidR="00D608C2" w:rsidRPr="00C033B1">
        <w:rPr>
          <w:b w:val="0"/>
          <w:noProof/>
          <w:sz w:val="18"/>
        </w:rPr>
        <w:fldChar w:fldCharType="end"/>
      </w:r>
    </w:p>
    <w:p w14:paraId="3D1F70F3" w14:textId="12E5FCA9" w:rsidR="00D608C2" w:rsidRPr="00C033B1" w:rsidRDefault="00D608C2">
      <w:pPr>
        <w:pStyle w:val="TOC5"/>
        <w:rPr>
          <w:rFonts w:asciiTheme="minorHAnsi" w:eastAsiaTheme="minorEastAsia" w:hAnsiTheme="minorHAnsi" w:cstheme="minorBidi"/>
          <w:noProof/>
          <w:kern w:val="0"/>
          <w:sz w:val="22"/>
          <w:szCs w:val="22"/>
        </w:rPr>
      </w:pPr>
      <w:r w:rsidRPr="00C033B1">
        <w:rPr>
          <w:noProof/>
        </w:rPr>
        <w:t>2.05</w:t>
      </w:r>
      <w:r w:rsidRPr="00C033B1">
        <w:rPr>
          <w:noProof/>
        </w:rPr>
        <w:tab/>
        <w:t>Persons exempt from paying fee—general</w:t>
      </w:r>
      <w:r w:rsidRPr="00C033B1">
        <w:rPr>
          <w:noProof/>
        </w:rPr>
        <w:tab/>
      </w:r>
      <w:r w:rsidRPr="00C033B1">
        <w:rPr>
          <w:noProof/>
        </w:rPr>
        <w:fldChar w:fldCharType="begin"/>
      </w:r>
      <w:r w:rsidRPr="00C033B1">
        <w:rPr>
          <w:noProof/>
        </w:rPr>
        <w:instrText xml:space="preserve"> PAGEREF _Toc114043972 \h </w:instrText>
      </w:r>
      <w:r w:rsidRPr="00C033B1">
        <w:rPr>
          <w:noProof/>
        </w:rPr>
      </w:r>
      <w:r w:rsidRPr="00C033B1">
        <w:rPr>
          <w:noProof/>
        </w:rPr>
        <w:fldChar w:fldCharType="separate"/>
      </w:r>
      <w:r w:rsidR="00153CC8">
        <w:rPr>
          <w:noProof/>
        </w:rPr>
        <w:t>9</w:t>
      </w:r>
      <w:r w:rsidRPr="00C033B1">
        <w:rPr>
          <w:noProof/>
        </w:rPr>
        <w:fldChar w:fldCharType="end"/>
      </w:r>
    </w:p>
    <w:p w14:paraId="7A3CDF6F" w14:textId="46751929" w:rsidR="00D608C2" w:rsidRPr="00C033B1" w:rsidRDefault="00D608C2">
      <w:pPr>
        <w:pStyle w:val="TOC5"/>
        <w:rPr>
          <w:rFonts w:asciiTheme="minorHAnsi" w:eastAsiaTheme="minorEastAsia" w:hAnsiTheme="minorHAnsi" w:cstheme="minorBidi"/>
          <w:noProof/>
          <w:kern w:val="0"/>
          <w:sz w:val="22"/>
          <w:szCs w:val="22"/>
        </w:rPr>
      </w:pPr>
      <w:r w:rsidRPr="00C033B1">
        <w:rPr>
          <w:noProof/>
        </w:rPr>
        <w:t>2.06</w:t>
      </w:r>
      <w:r w:rsidRPr="00C033B1">
        <w:rPr>
          <w:noProof/>
        </w:rPr>
        <w:tab/>
        <w:t>Persons exempt from paying fee—financial hardship</w:t>
      </w:r>
      <w:r w:rsidRPr="00C033B1">
        <w:rPr>
          <w:noProof/>
        </w:rPr>
        <w:tab/>
      </w:r>
      <w:r w:rsidRPr="00C033B1">
        <w:rPr>
          <w:noProof/>
        </w:rPr>
        <w:fldChar w:fldCharType="begin"/>
      </w:r>
      <w:r w:rsidRPr="00C033B1">
        <w:rPr>
          <w:noProof/>
        </w:rPr>
        <w:instrText xml:space="preserve"> PAGEREF _Toc114043973 \h </w:instrText>
      </w:r>
      <w:r w:rsidRPr="00C033B1">
        <w:rPr>
          <w:noProof/>
        </w:rPr>
      </w:r>
      <w:r w:rsidRPr="00C033B1">
        <w:rPr>
          <w:noProof/>
        </w:rPr>
        <w:fldChar w:fldCharType="separate"/>
      </w:r>
      <w:r w:rsidR="00153CC8">
        <w:rPr>
          <w:noProof/>
        </w:rPr>
        <w:t>9</w:t>
      </w:r>
      <w:r w:rsidRPr="00C033B1">
        <w:rPr>
          <w:noProof/>
        </w:rPr>
        <w:fldChar w:fldCharType="end"/>
      </w:r>
    </w:p>
    <w:p w14:paraId="0C549845" w14:textId="302B9955" w:rsidR="00D608C2" w:rsidRPr="00C033B1" w:rsidRDefault="00D608C2">
      <w:pPr>
        <w:pStyle w:val="TOC5"/>
        <w:rPr>
          <w:rFonts w:asciiTheme="minorHAnsi" w:eastAsiaTheme="minorEastAsia" w:hAnsiTheme="minorHAnsi" w:cstheme="minorBidi"/>
          <w:noProof/>
          <w:kern w:val="0"/>
          <w:sz w:val="22"/>
          <w:szCs w:val="22"/>
        </w:rPr>
      </w:pPr>
      <w:r w:rsidRPr="00C033B1">
        <w:rPr>
          <w:noProof/>
        </w:rPr>
        <w:t>2.06A</w:t>
      </w:r>
      <w:r w:rsidRPr="00C033B1">
        <w:rPr>
          <w:noProof/>
        </w:rPr>
        <w:tab/>
        <w:t>Reduced fee or fee exemption for migration proceedings—financial hardship</w:t>
      </w:r>
      <w:r w:rsidRPr="00C033B1">
        <w:rPr>
          <w:noProof/>
        </w:rPr>
        <w:tab/>
      </w:r>
      <w:r w:rsidRPr="00C033B1">
        <w:rPr>
          <w:noProof/>
        </w:rPr>
        <w:fldChar w:fldCharType="begin"/>
      </w:r>
      <w:r w:rsidRPr="00C033B1">
        <w:rPr>
          <w:noProof/>
        </w:rPr>
        <w:instrText xml:space="preserve"> PAGEREF _Toc114043974 \h </w:instrText>
      </w:r>
      <w:r w:rsidRPr="00C033B1">
        <w:rPr>
          <w:noProof/>
        </w:rPr>
      </w:r>
      <w:r w:rsidRPr="00C033B1">
        <w:rPr>
          <w:noProof/>
        </w:rPr>
        <w:fldChar w:fldCharType="separate"/>
      </w:r>
      <w:r w:rsidR="00153CC8">
        <w:rPr>
          <w:noProof/>
        </w:rPr>
        <w:t>10</w:t>
      </w:r>
      <w:r w:rsidRPr="00C033B1">
        <w:rPr>
          <w:noProof/>
        </w:rPr>
        <w:fldChar w:fldCharType="end"/>
      </w:r>
    </w:p>
    <w:p w14:paraId="246234C2" w14:textId="64FFB085"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.4—When fees are not payable</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_Toc114043975 \h </w:instrText>
      </w:r>
      <w:r w:rsidR="00D608C2" w:rsidRPr="00C033B1">
        <w:rPr>
          <w:b w:val="0"/>
          <w:noProof/>
          <w:sz w:val="18"/>
        </w:rPr>
      </w:r>
      <w:r w:rsidR="00D608C2" w:rsidRPr="00C033B1">
        <w:rPr>
          <w:b w:val="0"/>
          <w:noProof/>
          <w:sz w:val="18"/>
        </w:rPr>
        <w:fldChar w:fldCharType="separate"/>
      </w:r>
      <w:r w:rsidR="00153CC8">
        <w:rPr>
          <w:b w:val="0"/>
          <w:noProof/>
          <w:sz w:val="18"/>
        </w:rPr>
        <w:t>11</w:t>
      </w:r>
      <w:r w:rsidR="00D608C2" w:rsidRPr="00C033B1">
        <w:rPr>
          <w:b w:val="0"/>
          <w:noProof/>
          <w:sz w:val="18"/>
        </w:rPr>
        <w:fldChar w:fldCharType="end"/>
      </w:r>
    </w:p>
    <w:p w14:paraId="668EB7F6" w14:textId="377ECFA2" w:rsidR="00D608C2" w:rsidRPr="00C033B1" w:rsidRDefault="00D608C2">
      <w:pPr>
        <w:pStyle w:val="TOC5"/>
        <w:rPr>
          <w:rFonts w:asciiTheme="minorHAnsi" w:eastAsiaTheme="minorEastAsia" w:hAnsiTheme="minorHAnsi" w:cstheme="minorBidi"/>
          <w:noProof/>
          <w:kern w:val="0"/>
          <w:sz w:val="22"/>
          <w:szCs w:val="22"/>
        </w:rPr>
      </w:pPr>
      <w:r w:rsidRPr="00C033B1">
        <w:rPr>
          <w:noProof/>
        </w:rPr>
        <w:t>2.07</w:t>
      </w:r>
      <w:r w:rsidRPr="00C033B1">
        <w:rPr>
          <w:noProof/>
        </w:rPr>
        <w:tab/>
        <w:t>Fees not payable if already paid</w:t>
      </w:r>
      <w:r w:rsidRPr="00C033B1">
        <w:rPr>
          <w:noProof/>
        </w:rPr>
        <w:tab/>
      </w:r>
      <w:r w:rsidRPr="00C033B1">
        <w:rPr>
          <w:noProof/>
        </w:rPr>
        <w:fldChar w:fldCharType="begin"/>
      </w:r>
      <w:r w:rsidRPr="00C033B1">
        <w:rPr>
          <w:noProof/>
        </w:rPr>
        <w:instrText xml:space="preserve"> PAGEREF _Toc114043976 \h </w:instrText>
      </w:r>
      <w:r w:rsidRPr="00C033B1">
        <w:rPr>
          <w:noProof/>
        </w:rPr>
      </w:r>
      <w:r w:rsidRPr="00C033B1">
        <w:rPr>
          <w:noProof/>
        </w:rPr>
        <w:fldChar w:fldCharType="separate"/>
      </w:r>
      <w:r w:rsidR="00153CC8">
        <w:rPr>
          <w:noProof/>
        </w:rPr>
        <w:t>11</w:t>
      </w:r>
      <w:r w:rsidRPr="00C033B1">
        <w:rPr>
          <w:noProof/>
        </w:rPr>
        <w:fldChar w:fldCharType="end"/>
      </w:r>
    </w:p>
    <w:p w14:paraId="0C344F22" w14:textId="1A5A9AE9" w:rsidR="00D608C2" w:rsidRPr="00C033B1" w:rsidRDefault="00D608C2">
      <w:pPr>
        <w:pStyle w:val="TOC5"/>
        <w:rPr>
          <w:rFonts w:asciiTheme="minorHAnsi" w:eastAsiaTheme="minorEastAsia" w:hAnsiTheme="minorHAnsi" w:cstheme="minorBidi"/>
          <w:noProof/>
          <w:kern w:val="0"/>
          <w:sz w:val="22"/>
          <w:szCs w:val="22"/>
        </w:rPr>
      </w:pPr>
      <w:r w:rsidRPr="00C033B1">
        <w:rPr>
          <w:noProof/>
        </w:rPr>
        <w:t>2.08</w:t>
      </w:r>
      <w:r w:rsidRPr="00C033B1">
        <w:rPr>
          <w:noProof/>
        </w:rPr>
        <w:tab/>
        <w:t>Fees not payable in certain Federal Court proceedings</w:t>
      </w:r>
      <w:r w:rsidRPr="00C033B1">
        <w:rPr>
          <w:noProof/>
        </w:rPr>
        <w:tab/>
      </w:r>
      <w:r w:rsidRPr="00C033B1">
        <w:rPr>
          <w:noProof/>
        </w:rPr>
        <w:fldChar w:fldCharType="begin"/>
      </w:r>
      <w:r w:rsidRPr="00C033B1">
        <w:rPr>
          <w:noProof/>
        </w:rPr>
        <w:instrText xml:space="preserve"> PAGEREF _Toc114043977 \h </w:instrText>
      </w:r>
      <w:r w:rsidRPr="00C033B1">
        <w:rPr>
          <w:noProof/>
        </w:rPr>
      </w:r>
      <w:r w:rsidRPr="00C033B1">
        <w:rPr>
          <w:noProof/>
        </w:rPr>
        <w:fldChar w:fldCharType="separate"/>
      </w:r>
      <w:r w:rsidR="00153CC8">
        <w:rPr>
          <w:noProof/>
        </w:rPr>
        <w:t>11</w:t>
      </w:r>
      <w:r w:rsidRPr="00C033B1">
        <w:rPr>
          <w:noProof/>
        </w:rPr>
        <w:fldChar w:fldCharType="end"/>
      </w:r>
    </w:p>
    <w:p w14:paraId="4DCC7B01" w14:textId="08C07A43" w:rsidR="00D608C2" w:rsidRPr="00C033B1" w:rsidRDefault="00D608C2">
      <w:pPr>
        <w:pStyle w:val="TOC5"/>
        <w:rPr>
          <w:rFonts w:asciiTheme="minorHAnsi" w:eastAsiaTheme="minorEastAsia" w:hAnsiTheme="minorHAnsi" w:cstheme="minorBidi"/>
          <w:noProof/>
          <w:kern w:val="0"/>
          <w:sz w:val="22"/>
          <w:szCs w:val="22"/>
        </w:rPr>
      </w:pPr>
      <w:r w:rsidRPr="00C033B1">
        <w:rPr>
          <w:noProof/>
        </w:rPr>
        <w:t>2.09</w:t>
      </w:r>
      <w:r w:rsidRPr="00C033B1">
        <w:rPr>
          <w:noProof/>
        </w:rPr>
        <w:tab/>
        <w:t>Fees not payable in certain Federal Circuit and Family Court of Australia (</w:t>
      </w:r>
      <w:r w:rsidR="007D3911" w:rsidRPr="00C033B1">
        <w:rPr>
          <w:noProof/>
        </w:rPr>
        <w:t>Division 2</w:t>
      </w:r>
      <w:r w:rsidRPr="00C033B1">
        <w:rPr>
          <w:noProof/>
        </w:rPr>
        <w:t>) proceedings</w:t>
      </w:r>
      <w:r w:rsidRPr="00C033B1">
        <w:rPr>
          <w:noProof/>
        </w:rPr>
        <w:tab/>
      </w:r>
      <w:r w:rsidRPr="00C033B1">
        <w:rPr>
          <w:noProof/>
        </w:rPr>
        <w:fldChar w:fldCharType="begin"/>
      </w:r>
      <w:r w:rsidRPr="00C033B1">
        <w:rPr>
          <w:noProof/>
        </w:rPr>
        <w:instrText xml:space="preserve"> PAGEREF _Toc114043978 \h </w:instrText>
      </w:r>
      <w:r w:rsidRPr="00C033B1">
        <w:rPr>
          <w:noProof/>
        </w:rPr>
      </w:r>
      <w:r w:rsidRPr="00C033B1">
        <w:rPr>
          <w:noProof/>
        </w:rPr>
        <w:fldChar w:fldCharType="separate"/>
      </w:r>
      <w:r w:rsidR="00153CC8">
        <w:rPr>
          <w:noProof/>
        </w:rPr>
        <w:t>12</w:t>
      </w:r>
      <w:r w:rsidRPr="00C033B1">
        <w:rPr>
          <w:noProof/>
        </w:rPr>
        <w:fldChar w:fldCharType="end"/>
      </w:r>
    </w:p>
    <w:p w14:paraId="3897C349" w14:textId="5454F813" w:rsidR="00D608C2" w:rsidRPr="00C033B1" w:rsidRDefault="00D608C2">
      <w:pPr>
        <w:pStyle w:val="TOC5"/>
        <w:rPr>
          <w:rFonts w:asciiTheme="minorHAnsi" w:eastAsiaTheme="minorEastAsia" w:hAnsiTheme="minorHAnsi" w:cstheme="minorBidi"/>
          <w:noProof/>
          <w:kern w:val="0"/>
          <w:sz w:val="22"/>
          <w:szCs w:val="22"/>
        </w:rPr>
      </w:pPr>
      <w:r w:rsidRPr="00C033B1">
        <w:rPr>
          <w:noProof/>
        </w:rPr>
        <w:t>2.10</w:t>
      </w:r>
      <w:r w:rsidRPr="00C033B1">
        <w:rPr>
          <w:noProof/>
        </w:rPr>
        <w:tab/>
        <w:t>When only filing fees are payable</w:t>
      </w:r>
      <w:r w:rsidRPr="00C033B1">
        <w:rPr>
          <w:noProof/>
        </w:rPr>
        <w:tab/>
      </w:r>
      <w:r w:rsidRPr="00C033B1">
        <w:rPr>
          <w:noProof/>
        </w:rPr>
        <w:fldChar w:fldCharType="begin"/>
      </w:r>
      <w:r w:rsidRPr="00C033B1">
        <w:rPr>
          <w:noProof/>
        </w:rPr>
        <w:instrText xml:space="preserve"> PAGEREF _Toc114043979 \h </w:instrText>
      </w:r>
      <w:r w:rsidRPr="00C033B1">
        <w:rPr>
          <w:noProof/>
        </w:rPr>
      </w:r>
      <w:r w:rsidRPr="00C033B1">
        <w:rPr>
          <w:noProof/>
        </w:rPr>
        <w:fldChar w:fldCharType="separate"/>
      </w:r>
      <w:r w:rsidR="00153CC8">
        <w:rPr>
          <w:noProof/>
        </w:rPr>
        <w:t>12</w:t>
      </w:r>
      <w:r w:rsidRPr="00C033B1">
        <w:rPr>
          <w:noProof/>
        </w:rPr>
        <w:fldChar w:fldCharType="end"/>
      </w:r>
    </w:p>
    <w:p w14:paraId="312B8CE8" w14:textId="41C0C289" w:rsidR="00D608C2" w:rsidRPr="00C033B1" w:rsidRDefault="00D608C2">
      <w:pPr>
        <w:pStyle w:val="TOC5"/>
        <w:rPr>
          <w:rFonts w:asciiTheme="minorHAnsi" w:eastAsiaTheme="minorEastAsia" w:hAnsiTheme="minorHAnsi" w:cstheme="minorBidi"/>
          <w:noProof/>
          <w:kern w:val="0"/>
          <w:sz w:val="22"/>
          <w:szCs w:val="22"/>
        </w:rPr>
      </w:pPr>
      <w:r w:rsidRPr="00C033B1">
        <w:rPr>
          <w:noProof/>
        </w:rPr>
        <w:t>2.11</w:t>
      </w:r>
      <w:r w:rsidRPr="00C033B1">
        <w:rPr>
          <w:noProof/>
        </w:rPr>
        <w:tab/>
        <w:t>When filing fees are not payable</w:t>
      </w:r>
      <w:r w:rsidRPr="00C033B1">
        <w:rPr>
          <w:noProof/>
        </w:rPr>
        <w:tab/>
      </w:r>
      <w:r w:rsidRPr="00C033B1">
        <w:rPr>
          <w:noProof/>
        </w:rPr>
        <w:fldChar w:fldCharType="begin"/>
      </w:r>
      <w:r w:rsidRPr="00C033B1">
        <w:rPr>
          <w:noProof/>
        </w:rPr>
        <w:instrText xml:space="preserve"> PAGEREF _Toc114043980 \h </w:instrText>
      </w:r>
      <w:r w:rsidRPr="00C033B1">
        <w:rPr>
          <w:noProof/>
        </w:rPr>
      </w:r>
      <w:r w:rsidRPr="00C033B1">
        <w:rPr>
          <w:noProof/>
        </w:rPr>
        <w:fldChar w:fldCharType="separate"/>
      </w:r>
      <w:r w:rsidR="00153CC8">
        <w:rPr>
          <w:noProof/>
        </w:rPr>
        <w:t>13</w:t>
      </w:r>
      <w:r w:rsidRPr="00C033B1">
        <w:rPr>
          <w:noProof/>
        </w:rPr>
        <w:fldChar w:fldCharType="end"/>
      </w:r>
    </w:p>
    <w:p w14:paraId="6EC95B66" w14:textId="180EC36A" w:rsidR="00D608C2" w:rsidRPr="00C033B1" w:rsidRDefault="00D608C2">
      <w:pPr>
        <w:pStyle w:val="TOC5"/>
        <w:rPr>
          <w:rFonts w:asciiTheme="minorHAnsi" w:eastAsiaTheme="minorEastAsia" w:hAnsiTheme="minorHAnsi" w:cstheme="minorBidi"/>
          <w:noProof/>
          <w:kern w:val="0"/>
          <w:sz w:val="22"/>
          <w:szCs w:val="22"/>
        </w:rPr>
      </w:pPr>
      <w:r w:rsidRPr="00C033B1">
        <w:rPr>
          <w:noProof/>
        </w:rPr>
        <w:t>2.12</w:t>
      </w:r>
      <w:r w:rsidRPr="00C033B1">
        <w:rPr>
          <w:noProof/>
        </w:rPr>
        <w:tab/>
        <w:t>When setting down fees are not payable</w:t>
      </w:r>
      <w:r w:rsidRPr="00C033B1">
        <w:rPr>
          <w:noProof/>
        </w:rPr>
        <w:tab/>
      </w:r>
      <w:r w:rsidRPr="00C033B1">
        <w:rPr>
          <w:noProof/>
        </w:rPr>
        <w:fldChar w:fldCharType="begin"/>
      </w:r>
      <w:r w:rsidRPr="00C033B1">
        <w:rPr>
          <w:noProof/>
        </w:rPr>
        <w:instrText xml:space="preserve"> PAGEREF _Toc114043981 \h </w:instrText>
      </w:r>
      <w:r w:rsidRPr="00C033B1">
        <w:rPr>
          <w:noProof/>
        </w:rPr>
      </w:r>
      <w:r w:rsidRPr="00C033B1">
        <w:rPr>
          <w:noProof/>
        </w:rPr>
        <w:fldChar w:fldCharType="separate"/>
      </w:r>
      <w:r w:rsidR="00153CC8">
        <w:rPr>
          <w:noProof/>
        </w:rPr>
        <w:t>14</w:t>
      </w:r>
      <w:r w:rsidRPr="00C033B1">
        <w:rPr>
          <w:noProof/>
        </w:rPr>
        <w:fldChar w:fldCharType="end"/>
      </w:r>
    </w:p>
    <w:p w14:paraId="3DC43DF5" w14:textId="7D516266" w:rsidR="00D608C2" w:rsidRPr="00C033B1" w:rsidRDefault="00D608C2">
      <w:pPr>
        <w:pStyle w:val="TOC5"/>
        <w:rPr>
          <w:rFonts w:asciiTheme="minorHAnsi" w:eastAsiaTheme="minorEastAsia" w:hAnsiTheme="minorHAnsi" w:cstheme="minorBidi"/>
          <w:noProof/>
          <w:kern w:val="0"/>
          <w:sz w:val="22"/>
          <w:szCs w:val="22"/>
        </w:rPr>
      </w:pPr>
      <w:r w:rsidRPr="00C033B1">
        <w:rPr>
          <w:noProof/>
        </w:rPr>
        <w:t>2.13</w:t>
      </w:r>
      <w:r w:rsidRPr="00C033B1">
        <w:rPr>
          <w:noProof/>
        </w:rPr>
        <w:tab/>
        <w:t>When hearing fees are not payable</w:t>
      </w:r>
      <w:r w:rsidRPr="00C033B1">
        <w:rPr>
          <w:noProof/>
        </w:rPr>
        <w:tab/>
      </w:r>
      <w:r w:rsidRPr="00C033B1">
        <w:rPr>
          <w:noProof/>
        </w:rPr>
        <w:fldChar w:fldCharType="begin"/>
      </w:r>
      <w:r w:rsidRPr="00C033B1">
        <w:rPr>
          <w:noProof/>
        </w:rPr>
        <w:instrText xml:space="preserve"> PAGEREF _Toc114043982 \h </w:instrText>
      </w:r>
      <w:r w:rsidRPr="00C033B1">
        <w:rPr>
          <w:noProof/>
        </w:rPr>
      </w:r>
      <w:r w:rsidRPr="00C033B1">
        <w:rPr>
          <w:noProof/>
        </w:rPr>
        <w:fldChar w:fldCharType="separate"/>
      </w:r>
      <w:r w:rsidR="00153CC8">
        <w:rPr>
          <w:noProof/>
        </w:rPr>
        <w:t>15</w:t>
      </w:r>
      <w:r w:rsidRPr="00C033B1">
        <w:rPr>
          <w:noProof/>
        </w:rPr>
        <w:fldChar w:fldCharType="end"/>
      </w:r>
    </w:p>
    <w:p w14:paraId="2C89BB0B" w14:textId="4008A600"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.5—Payment of fees</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_Toc114043983 \h </w:instrText>
      </w:r>
      <w:r w:rsidR="00D608C2" w:rsidRPr="00C033B1">
        <w:rPr>
          <w:b w:val="0"/>
          <w:noProof/>
          <w:sz w:val="18"/>
        </w:rPr>
      </w:r>
      <w:r w:rsidR="00D608C2" w:rsidRPr="00C033B1">
        <w:rPr>
          <w:b w:val="0"/>
          <w:noProof/>
          <w:sz w:val="18"/>
        </w:rPr>
        <w:fldChar w:fldCharType="separate"/>
      </w:r>
      <w:r w:rsidR="00153CC8">
        <w:rPr>
          <w:b w:val="0"/>
          <w:noProof/>
          <w:sz w:val="18"/>
        </w:rPr>
        <w:t>17</w:t>
      </w:r>
      <w:r w:rsidR="00D608C2" w:rsidRPr="00C033B1">
        <w:rPr>
          <w:b w:val="0"/>
          <w:noProof/>
          <w:sz w:val="18"/>
        </w:rPr>
        <w:fldChar w:fldCharType="end"/>
      </w:r>
    </w:p>
    <w:p w14:paraId="3AD96312" w14:textId="5801F053" w:rsidR="00D608C2" w:rsidRPr="00C033B1" w:rsidRDefault="00D608C2">
      <w:pPr>
        <w:pStyle w:val="TOC5"/>
        <w:rPr>
          <w:rFonts w:asciiTheme="minorHAnsi" w:eastAsiaTheme="minorEastAsia" w:hAnsiTheme="minorHAnsi" w:cstheme="minorBidi"/>
          <w:noProof/>
          <w:kern w:val="0"/>
          <w:sz w:val="22"/>
          <w:szCs w:val="22"/>
        </w:rPr>
      </w:pPr>
      <w:r w:rsidRPr="00C033B1">
        <w:rPr>
          <w:noProof/>
        </w:rPr>
        <w:t>2.14</w:t>
      </w:r>
      <w:r w:rsidRPr="00C033B1">
        <w:rPr>
          <w:noProof/>
        </w:rPr>
        <w:tab/>
        <w:t>When fees must be paid</w:t>
      </w:r>
      <w:r w:rsidRPr="00C033B1">
        <w:rPr>
          <w:noProof/>
        </w:rPr>
        <w:tab/>
      </w:r>
      <w:r w:rsidRPr="00C033B1">
        <w:rPr>
          <w:noProof/>
        </w:rPr>
        <w:fldChar w:fldCharType="begin"/>
      </w:r>
      <w:r w:rsidRPr="00C033B1">
        <w:rPr>
          <w:noProof/>
        </w:rPr>
        <w:instrText xml:space="preserve"> PAGEREF _Toc114043984 \h </w:instrText>
      </w:r>
      <w:r w:rsidRPr="00C033B1">
        <w:rPr>
          <w:noProof/>
        </w:rPr>
      </w:r>
      <w:r w:rsidRPr="00C033B1">
        <w:rPr>
          <w:noProof/>
        </w:rPr>
        <w:fldChar w:fldCharType="separate"/>
      </w:r>
      <w:r w:rsidR="00153CC8">
        <w:rPr>
          <w:noProof/>
        </w:rPr>
        <w:t>17</w:t>
      </w:r>
      <w:r w:rsidRPr="00C033B1">
        <w:rPr>
          <w:noProof/>
        </w:rPr>
        <w:fldChar w:fldCharType="end"/>
      </w:r>
    </w:p>
    <w:p w14:paraId="40BA8DB8" w14:textId="4B2D3F9C" w:rsidR="00D608C2" w:rsidRPr="00C033B1" w:rsidRDefault="00D608C2">
      <w:pPr>
        <w:pStyle w:val="TOC5"/>
        <w:rPr>
          <w:rFonts w:asciiTheme="minorHAnsi" w:eastAsiaTheme="minorEastAsia" w:hAnsiTheme="minorHAnsi" w:cstheme="minorBidi"/>
          <w:noProof/>
          <w:kern w:val="0"/>
          <w:sz w:val="22"/>
          <w:szCs w:val="22"/>
        </w:rPr>
      </w:pPr>
      <w:r w:rsidRPr="00C033B1">
        <w:rPr>
          <w:noProof/>
        </w:rPr>
        <w:t>2.15</w:t>
      </w:r>
      <w:r w:rsidRPr="00C033B1">
        <w:rPr>
          <w:noProof/>
        </w:rPr>
        <w:tab/>
        <w:t>Deferral of payment of fees</w:t>
      </w:r>
      <w:r w:rsidRPr="00C033B1">
        <w:rPr>
          <w:noProof/>
        </w:rPr>
        <w:tab/>
      </w:r>
      <w:r w:rsidRPr="00C033B1">
        <w:rPr>
          <w:noProof/>
        </w:rPr>
        <w:fldChar w:fldCharType="begin"/>
      </w:r>
      <w:r w:rsidRPr="00C033B1">
        <w:rPr>
          <w:noProof/>
        </w:rPr>
        <w:instrText xml:space="preserve"> PAGEREF _Toc114043985 \h </w:instrText>
      </w:r>
      <w:r w:rsidRPr="00C033B1">
        <w:rPr>
          <w:noProof/>
        </w:rPr>
      </w:r>
      <w:r w:rsidRPr="00C033B1">
        <w:rPr>
          <w:noProof/>
        </w:rPr>
        <w:fldChar w:fldCharType="separate"/>
      </w:r>
      <w:r w:rsidR="00153CC8">
        <w:rPr>
          <w:noProof/>
        </w:rPr>
        <w:t>17</w:t>
      </w:r>
      <w:r w:rsidRPr="00C033B1">
        <w:rPr>
          <w:noProof/>
        </w:rPr>
        <w:fldChar w:fldCharType="end"/>
      </w:r>
    </w:p>
    <w:p w14:paraId="4FDBA010" w14:textId="48000FFA" w:rsidR="00D608C2" w:rsidRPr="00C033B1" w:rsidRDefault="00D608C2">
      <w:pPr>
        <w:pStyle w:val="TOC5"/>
        <w:rPr>
          <w:rFonts w:asciiTheme="minorHAnsi" w:eastAsiaTheme="minorEastAsia" w:hAnsiTheme="minorHAnsi" w:cstheme="minorBidi"/>
          <w:noProof/>
          <w:kern w:val="0"/>
          <w:sz w:val="22"/>
          <w:szCs w:val="22"/>
        </w:rPr>
      </w:pPr>
      <w:r w:rsidRPr="00C033B1">
        <w:rPr>
          <w:noProof/>
        </w:rPr>
        <w:t>2.16</w:t>
      </w:r>
      <w:r w:rsidRPr="00C033B1">
        <w:rPr>
          <w:noProof/>
        </w:rPr>
        <w:tab/>
        <w:t>Payment of fees on invoice</w:t>
      </w:r>
      <w:r w:rsidRPr="00C033B1">
        <w:rPr>
          <w:noProof/>
        </w:rPr>
        <w:tab/>
      </w:r>
      <w:r w:rsidRPr="00C033B1">
        <w:rPr>
          <w:noProof/>
        </w:rPr>
        <w:fldChar w:fldCharType="begin"/>
      </w:r>
      <w:r w:rsidRPr="00C033B1">
        <w:rPr>
          <w:noProof/>
        </w:rPr>
        <w:instrText xml:space="preserve"> PAGEREF _Toc114043986 \h </w:instrText>
      </w:r>
      <w:r w:rsidRPr="00C033B1">
        <w:rPr>
          <w:noProof/>
        </w:rPr>
      </w:r>
      <w:r w:rsidRPr="00C033B1">
        <w:rPr>
          <w:noProof/>
        </w:rPr>
        <w:fldChar w:fldCharType="separate"/>
      </w:r>
      <w:r w:rsidR="00153CC8">
        <w:rPr>
          <w:noProof/>
        </w:rPr>
        <w:t>18</w:t>
      </w:r>
      <w:r w:rsidRPr="00C033B1">
        <w:rPr>
          <w:noProof/>
        </w:rPr>
        <w:fldChar w:fldCharType="end"/>
      </w:r>
    </w:p>
    <w:p w14:paraId="379865F2" w14:textId="372CEA6C" w:rsidR="00D608C2" w:rsidRPr="00C033B1" w:rsidRDefault="00D608C2">
      <w:pPr>
        <w:pStyle w:val="TOC5"/>
        <w:rPr>
          <w:rFonts w:asciiTheme="minorHAnsi" w:eastAsiaTheme="minorEastAsia" w:hAnsiTheme="minorHAnsi" w:cstheme="minorBidi"/>
          <w:noProof/>
          <w:kern w:val="0"/>
          <w:sz w:val="22"/>
          <w:szCs w:val="22"/>
        </w:rPr>
      </w:pPr>
      <w:r w:rsidRPr="00C033B1">
        <w:rPr>
          <w:noProof/>
        </w:rPr>
        <w:t>2.17</w:t>
      </w:r>
      <w:r w:rsidRPr="00C033B1">
        <w:rPr>
          <w:noProof/>
        </w:rPr>
        <w:tab/>
        <w:t>Payment of fees in advance</w:t>
      </w:r>
      <w:r w:rsidRPr="00C033B1">
        <w:rPr>
          <w:noProof/>
        </w:rPr>
        <w:tab/>
      </w:r>
      <w:r w:rsidRPr="00C033B1">
        <w:rPr>
          <w:noProof/>
        </w:rPr>
        <w:fldChar w:fldCharType="begin"/>
      </w:r>
      <w:r w:rsidRPr="00C033B1">
        <w:rPr>
          <w:noProof/>
        </w:rPr>
        <w:instrText xml:space="preserve"> PAGEREF _Toc114043987 \h </w:instrText>
      </w:r>
      <w:r w:rsidRPr="00C033B1">
        <w:rPr>
          <w:noProof/>
        </w:rPr>
      </w:r>
      <w:r w:rsidRPr="00C033B1">
        <w:rPr>
          <w:noProof/>
        </w:rPr>
        <w:fldChar w:fldCharType="separate"/>
      </w:r>
      <w:r w:rsidR="00153CC8">
        <w:rPr>
          <w:noProof/>
        </w:rPr>
        <w:t>19</w:t>
      </w:r>
      <w:r w:rsidRPr="00C033B1">
        <w:rPr>
          <w:noProof/>
        </w:rPr>
        <w:fldChar w:fldCharType="end"/>
      </w:r>
    </w:p>
    <w:p w14:paraId="6C8BD079" w14:textId="54764F65" w:rsidR="00D608C2" w:rsidRPr="00C033B1" w:rsidRDefault="00D608C2">
      <w:pPr>
        <w:pStyle w:val="TOC5"/>
        <w:rPr>
          <w:rFonts w:asciiTheme="minorHAnsi" w:eastAsiaTheme="minorEastAsia" w:hAnsiTheme="minorHAnsi" w:cstheme="minorBidi"/>
          <w:noProof/>
          <w:kern w:val="0"/>
          <w:sz w:val="22"/>
          <w:szCs w:val="22"/>
        </w:rPr>
      </w:pPr>
      <w:r w:rsidRPr="00C033B1">
        <w:rPr>
          <w:noProof/>
        </w:rPr>
        <w:t>2.18</w:t>
      </w:r>
      <w:r w:rsidRPr="00C033B1">
        <w:rPr>
          <w:noProof/>
        </w:rPr>
        <w:tab/>
        <w:t>What happens if fees are not paid</w:t>
      </w:r>
      <w:r w:rsidRPr="00C033B1">
        <w:rPr>
          <w:noProof/>
        </w:rPr>
        <w:tab/>
      </w:r>
      <w:r w:rsidRPr="00C033B1">
        <w:rPr>
          <w:noProof/>
        </w:rPr>
        <w:fldChar w:fldCharType="begin"/>
      </w:r>
      <w:r w:rsidRPr="00C033B1">
        <w:rPr>
          <w:noProof/>
        </w:rPr>
        <w:instrText xml:space="preserve"> PAGEREF _Toc114043988 \h </w:instrText>
      </w:r>
      <w:r w:rsidRPr="00C033B1">
        <w:rPr>
          <w:noProof/>
        </w:rPr>
      </w:r>
      <w:r w:rsidRPr="00C033B1">
        <w:rPr>
          <w:noProof/>
        </w:rPr>
        <w:fldChar w:fldCharType="separate"/>
      </w:r>
      <w:r w:rsidR="00153CC8">
        <w:rPr>
          <w:noProof/>
        </w:rPr>
        <w:t>19</w:t>
      </w:r>
      <w:r w:rsidRPr="00C033B1">
        <w:rPr>
          <w:noProof/>
        </w:rPr>
        <w:fldChar w:fldCharType="end"/>
      </w:r>
    </w:p>
    <w:p w14:paraId="4AC9B0CF" w14:textId="34E531D9" w:rsidR="00D608C2" w:rsidRPr="00C033B1" w:rsidRDefault="007D3911">
      <w:pPr>
        <w:pStyle w:val="TOC3"/>
        <w:rPr>
          <w:rFonts w:asciiTheme="minorHAnsi" w:eastAsiaTheme="minorEastAsia" w:hAnsiTheme="minorHAnsi" w:cstheme="minorBidi"/>
          <w:b w:val="0"/>
          <w:noProof/>
          <w:kern w:val="0"/>
          <w:szCs w:val="22"/>
        </w:rPr>
      </w:pPr>
      <w:r w:rsidRPr="00C033B1">
        <w:rPr>
          <w:noProof/>
        </w:rPr>
        <w:t>Division 2</w:t>
      </w:r>
      <w:r w:rsidR="00D608C2" w:rsidRPr="00C033B1">
        <w:rPr>
          <w:noProof/>
        </w:rPr>
        <w:t>.6—Miscellaneous</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_Toc114043989 \h </w:instrText>
      </w:r>
      <w:r w:rsidR="00D608C2" w:rsidRPr="00C033B1">
        <w:rPr>
          <w:b w:val="0"/>
          <w:noProof/>
          <w:sz w:val="18"/>
        </w:rPr>
      </w:r>
      <w:r w:rsidR="00D608C2" w:rsidRPr="00C033B1">
        <w:rPr>
          <w:b w:val="0"/>
          <w:noProof/>
          <w:sz w:val="18"/>
        </w:rPr>
        <w:fldChar w:fldCharType="separate"/>
      </w:r>
      <w:r w:rsidR="00153CC8">
        <w:rPr>
          <w:b w:val="0"/>
          <w:noProof/>
          <w:sz w:val="18"/>
        </w:rPr>
        <w:t>21</w:t>
      </w:r>
      <w:r w:rsidR="00D608C2" w:rsidRPr="00C033B1">
        <w:rPr>
          <w:b w:val="0"/>
          <w:noProof/>
          <w:sz w:val="18"/>
        </w:rPr>
        <w:fldChar w:fldCharType="end"/>
      </w:r>
    </w:p>
    <w:p w14:paraId="3690E2F8" w14:textId="015A66CF" w:rsidR="00D608C2" w:rsidRPr="00C033B1" w:rsidRDefault="00D608C2">
      <w:pPr>
        <w:pStyle w:val="TOC5"/>
        <w:rPr>
          <w:rFonts w:asciiTheme="minorHAnsi" w:eastAsiaTheme="minorEastAsia" w:hAnsiTheme="minorHAnsi" w:cstheme="minorBidi"/>
          <w:noProof/>
          <w:kern w:val="0"/>
          <w:sz w:val="22"/>
          <w:szCs w:val="22"/>
        </w:rPr>
      </w:pPr>
      <w:r w:rsidRPr="00C033B1">
        <w:rPr>
          <w:noProof/>
        </w:rPr>
        <w:t>2.19</w:t>
      </w:r>
      <w:r w:rsidRPr="00C033B1">
        <w:rPr>
          <w:noProof/>
        </w:rPr>
        <w:tab/>
        <w:t>Refund of fees</w:t>
      </w:r>
      <w:r w:rsidRPr="00C033B1">
        <w:rPr>
          <w:noProof/>
        </w:rPr>
        <w:tab/>
      </w:r>
      <w:r w:rsidRPr="00C033B1">
        <w:rPr>
          <w:noProof/>
        </w:rPr>
        <w:fldChar w:fldCharType="begin"/>
      </w:r>
      <w:r w:rsidRPr="00C033B1">
        <w:rPr>
          <w:noProof/>
        </w:rPr>
        <w:instrText xml:space="preserve"> PAGEREF _Toc114043990 \h </w:instrText>
      </w:r>
      <w:r w:rsidRPr="00C033B1">
        <w:rPr>
          <w:noProof/>
        </w:rPr>
      </w:r>
      <w:r w:rsidRPr="00C033B1">
        <w:rPr>
          <w:noProof/>
        </w:rPr>
        <w:fldChar w:fldCharType="separate"/>
      </w:r>
      <w:r w:rsidR="00153CC8">
        <w:rPr>
          <w:noProof/>
        </w:rPr>
        <w:t>21</w:t>
      </w:r>
      <w:r w:rsidRPr="00C033B1">
        <w:rPr>
          <w:noProof/>
        </w:rPr>
        <w:fldChar w:fldCharType="end"/>
      </w:r>
    </w:p>
    <w:p w14:paraId="6F6021E7" w14:textId="5E8C8D6D" w:rsidR="00D608C2" w:rsidRPr="00C033B1" w:rsidRDefault="00D608C2">
      <w:pPr>
        <w:pStyle w:val="TOC5"/>
        <w:rPr>
          <w:rFonts w:asciiTheme="minorHAnsi" w:eastAsiaTheme="minorEastAsia" w:hAnsiTheme="minorHAnsi" w:cstheme="minorBidi"/>
          <w:noProof/>
          <w:kern w:val="0"/>
          <w:sz w:val="22"/>
          <w:szCs w:val="22"/>
        </w:rPr>
      </w:pPr>
      <w:r w:rsidRPr="00C033B1">
        <w:rPr>
          <w:noProof/>
        </w:rPr>
        <w:t>2.20</w:t>
      </w:r>
      <w:r w:rsidRPr="00C033B1">
        <w:rPr>
          <w:noProof/>
        </w:rPr>
        <w:tab/>
        <w:t>Annual increase in fees</w:t>
      </w:r>
      <w:r w:rsidRPr="00C033B1">
        <w:rPr>
          <w:noProof/>
        </w:rPr>
        <w:tab/>
      </w:r>
      <w:r w:rsidRPr="00C033B1">
        <w:rPr>
          <w:noProof/>
        </w:rPr>
        <w:fldChar w:fldCharType="begin"/>
      </w:r>
      <w:r w:rsidRPr="00C033B1">
        <w:rPr>
          <w:noProof/>
        </w:rPr>
        <w:instrText xml:space="preserve"> PAGEREF _Toc114043991 \h </w:instrText>
      </w:r>
      <w:r w:rsidRPr="00C033B1">
        <w:rPr>
          <w:noProof/>
        </w:rPr>
      </w:r>
      <w:r w:rsidRPr="00C033B1">
        <w:rPr>
          <w:noProof/>
        </w:rPr>
        <w:fldChar w:fldCharType="separate"/>
      </w:r>
      <w:r w:rsidR="00153CC8">
        <w:rPr>
          <w:noProof/>
        </w:rPr>
        <w:t>22</w:t>
      </w:r>
      <w:r w:rsidRPr="00C033B1">
        <w:rPr>
          <w:noProof/>
        </w:rPr>
        <w:fldChar w:fldCharType="end"/>
      </w:r>
    </w:p>
    <w:p w14:paraId="560184A4" w14:textId="7D6021BC" w:rsidR="00D608C2" w:rsidRPr="00C033B1" w:rsidRDefault="00D608C2">
      <w:pPr>
        <w:pStyle w:val="TOC5"/>
        <w:rPr>
          <w:rFonts w:asciiTheme="minorHAnsi" w:eastAsiaTheme="minorEastAsia" w:hAnsiTheme="minorHAnsi" w:cstheme="minorBidi"/>
          <w:noProof/>
          <w:kern w:val="0"/>
          <w:sz w:val="22"/>
          <w:szCs w:val="22"/>
        </w:rPr>
      </w:pPr>
      <w:r w:rsidRPr="00C033B1">
        <w:rPr>
          <w:noProof/>
        </w:rPr>
        <w:t>2.21</w:t>
      </w:r>
      <w:r w:rsidRPr="00C033B1">
        <w:rPr>
          <w:noProof/>
        </w:rPr>
        <w:tab/>
        <w:t>Notice of decision and AAT review</w:t>
      </w:r>
      <w:r w:rsidRPr="00C033B1">
        <w:rPr>
          <w:noProof/>
        </w:rPr>
        <w:tab/>
      </w:r>
      <w:r w:rsidRPr="00C033B1">
        <w:rPr>
          <w:noProof/>
        </w:rPr>
        <w:fldChar w:fldCharType="begin"/>
      </w:r>
      <w:r w:rsidRPr="00C033B1">
        <w:rPr>
          <w:noProof/>
        </w:rPr>
        <w:instrText xml:space="preserve"> PAGEREF _Toc114043992 \h </w:instrText>
      </w:r>
      <w:r w:rsidRPr="00C033B1">
        <w:rPr>
          <w:noProof/>
        </w:rPr>
      </w:r>
      <w:r w:rsidRPr="00C033B1">
        <w:rPr>
          <w:noProof/>
        </w:rPr>
        <w:fldChar w:fldCharType="separate"/>
      </w:r>
      <w:r w:rsidR="00153CC8">
        <w:rPr>
          <w:noProof/>
        </w:rPr>
        <w:t>23</w:t>
      </w:r>
      <w:r w:rsidRPr="00C033B1">
        <w:rPr>
          <w:noProof/>
        </w:rPr>
        <w:fldChar w:fldCharType="end"/>
      </w:r>
    </w:p>
    <w:p w14:paraId="134A6CCF" w14:textId="1F766E2D" w:rsidR="00D608C2" w:rsidRPr="00C033B1" w:rsidRDefault="00D608C2">
      <w:pPr>
        <w:pStyle w:val="TOC5"/>
        <w:rPr>
          <w:rFonts w:asciiTheme="minorHAnsi" w:eastAsiaTheme="minorEastAsia" w:hAnsiTheme="minorHAnsi" w:cstheme="minorBidi"/>
          <w:noProof/>
          <w:kern w:val="0"/>
          <w:sz w:val="22"/>
          <w:szCs w:val="22"/>
        </w:rPr>
      </w:pPr>
      <w:r w:rsidRPr="00C033B1">
        <w:rPr>
          <w:noProof/>
        </w:rPr>
        <w:t>2.22</w:t>
      </w:r>
      <w:r w:rsidRPr="00C033B1">
        <w:rPr>
          <w:noProof/>
        </w:rPr>
        <w:tab/>
        <w:t>Debt due to Commonwealth</w:t>
      </w:r>
      <w:r w:rsidRPr="00C033B1">
        <w:rPr>
          <w:noProof/>
        </w:rPr>
        <w:tab/>
      </w:r>
      <w:r w:rsidRPr="00C033B1">
        <w:rPr>
          <w:noProof/>
        </w:rPr>
        <w:fldChar w:fldCharType="begin"/>
      </w:r>
      <w:r w:rsidRPr="00C033B1">
        <w:rPr>
          <w:noProof/>
        </w:rPr>
        <w:instrText xml:space="preserve"> PAGEREF _Toc114043993 \h </w:instrText>
      </w:r>
      <w:r w:rsidRPr="00C033B1">
        <w:rPr>
          <w:noProof/>
        </w:rPr>
      </w:r>
      <w:r w:rsidRPr="00C033B1">
        <w:rPr>
          <w:noProof/>
        </w:rPr>
        <w:fldChar w:fldCharType="separate"/>
      </w:r>
      <w:r w:rsidR="00153CC8">
        <w:rPr>
          <w:noProof/>
        </w:rPr>
        <w:t>24</w:t>
      </w:r>
      <w:r w:rsidRPr="00C033B1">
        <w:rPr>
          <w:noProof/>
        </w:rPr>
        <w:fldChar w:fldCharType="end"/>
      </w:r>
    </w:p>
    <w:p w14:paraId="293D03E3" w14:textId="09ECD30D"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t>Part 3—Jurors’ remuneration</w:t>
      </w:r>
      <w:r w:rsidRPr="00C033B1">
        <w:rPr>
          <w:b w:val="0"/>
          <w:noProof/>
          <w:sz w:val="18"/>
        </w:rPr>
        <w:tab/>
      </w:r>
      <w:r w:rsidRPr="00C033B1">
        <w:rPr>
          <w:b w:val="0"/>
          <w:noProof/>
          <w:sz w:val="18"/>
        </w:rPr>
        <w:fldChar w:fldCharType="begin"/>
      </w:r>
      <w:r w:rsidRPr="00C033B1">
        <w:rPr>
          <w:b w:val="0"/>
          <w:noProof/>
          <w:sz w:val="18"/>
        </w:rPr>
        <w:instrText xml:space="preserve"> PAGEREF _Toc114043994 \h </w:instrText>
      </w:r>
      <w:r w:rsidRPr="00C033B1">
        <w:rPr>
          <w:b w:val="0"/>
          <w:noProof/>
          <w:sz w:val="18"/>
        </w:rPr>
      </w:r>
      <w:r w:rsidRPr="00C033B1">
        <w:rPr>
          <w:b w:val="0"/>
          <w:noProof/>
          <w:sz w:val="18"/>
        </w:rPr>
        <w:fldChar w:fldCharType="separate"/>
      </w:r>
      <w:r w:rsidR="00153CC8">
        <w:rPr>
          <w:b w:val="0"/>
          <w:noProof/>
          <w:sz w:val="18"/>
        </w:rPr>
        <w:t>25</w:t>
      </w:r>
      <w:r w:rsidRPr="00C033B1">
        <w:rPr>
          <w:b w:val="0"/>
          <w:noProof/>
          <w:sz w:val="18"/>
        </w:rPr>
        <w:fldChar w:fldCharType="end"/>
      </w:r>
    </w:p>
    <w:p w14:paraId="24CAE845" w14:textId="2C6A27B3" w:rsidR="00D608C2" w:rsidRPr="00C033B1" w:rsidRDefault="00D608C2">
      <w:pPr>
        <w:pStyle w:val="TOC5"/>
        <w:rPr>
          <w:rFonts w:asciiTheme="minorHAnsi" w:eastAsiaTheme="minorEastAsia" w:hAnsiTheme="minorHAnsi" w:cstheme="minorBidi"/>
          <w:noProof/>
          <w:kern w:val="0"/>
          <w:sz w:val="22"/>
          <w:szCs w:val="22"/>
        </w:rPr>
      </w:pPr>
      <w:r w:rsidRPr="00C033B1">
        <w:rPr>
          <w:noProof/>
        </w:rPr>
        <w:t>3.01</w:t>
      </w:r>
      <w:r w:rsidRPr="00C033B1">
        <w:rPr>
          <w:noProof/>
        </w:rPr>
        <w:tab/>
        <w:t>Purpose of Part</w:t>
      </w:r>
      <w:r w:rsidRPr="00C033B1">
        <w:rPr>
          <w:noProof/>
        </w:rPr>
        <w:tab/>
      </w:r>
      <w:r w:rsidRPr="00C033B1">
        <w:rPr>
          <w:noProof/>
        </w:rPr>
        <w:fldChar w:fldCharType="begin"/>
      </w:r>
      <w:r w:rsidRPr="00C033B1">
        <w:rPr>
          <w:noProof/>
        </w:rPr>
        <w:instrText xml:space="preserve"> PAGEREF _Toc114043995 \h </w:instrText>
      </w:r>
      <w:r w:rsidRPr="00C033B1">
        <w:rPr>
          <w:noProof/>
        </w:rPr>
      </w:r>
      <w:r w:rsidRPr="00C033B1">
        <w:rPr>
          <w:noProof/>
        </w:rPr>
        <w:fldChar w:fldCharType="separate"/>
      </w:r>
      <w:r w:rsidR="00153CC8">
        <w:rPr>
          <w:noProof/>
        </w:rPr>
        <w:t>25</w:t>
      </w:r>
      <w:r w:rsidRPr="00C033B1">
        <w:rPr>
          <w:noProof/>
        </w:rPr>
        <w:fldChar w:fldCharType="end"/>
      </w:r>
    </w:p>
    <w:p w14:paraId="173D5983" w14:textId="31DEC15C" w:rsidR="00D608C2" w:rsidRPr="00C033B1" w:rsidRDefault="00D608C2">
      <w:pPr>
        <w:pStyle w:val="TOC5"/>
        <w:rPr>
          <w:rFonts w:asciiTheme="minorHAnsi" w:eastAsiaTheme="minorEastAsia" w:hAnsiTheme="minorHAnsi" w:cstheme="minorBidi"/>
          <w:noProof/>
          <w:kern w:val="0"/>
          <w:sz w:val="22"/>
          <w:szCs w:val="22"/>
        </w:rPr>
      </w:pPr>
      <w:r w:rsidRPr="00C033B1">
        <w:rPr>
          <w:noProof/>
        </w:rPr>
        <w:t>3.02</w:t>
      </w:r>
      <w:r w:rsidRPr="00C033B1">
        <w:rPr>
          <w:noProof/>
        </w:rPr>
        <w:tab/>
        <w:t>Remuneration and allowances—base amount</w:t>
      </w:r>
      <w:r w:rsidRPr="00C033B1">
        <w:rPr>
          <w:noProof/>
        </w:rPr>
        <w:tab/>
      </w:r>
      <w:r w:rsidRPr="00C033B1">
        <w:rPr>
          <w:noProof/>
        </w:rPr>
        <w:fldChar w:fldCharType="begin"/>
      </w:r>
      <w:r w:rsidRPr="00C033B1">
        <w:rPr>
          <w:noProof/>
        </w:rPr>
        <w:instrText xml:space="preserve"> PAGEREF _Toc114043996 \h </w:instrText>
      </w:r>
      <w:r w:rsidRPr="00C033B1">
        <w:rPr>
          <w:noProof/>
        </w:rPr>
      </w:r>
      <w:r w:rsidRPr="00C033B1">
        <w:rPr>
          <w:noProof/>
        </w:rPr>
        <w:fldChar w:fldCharType="separate"/>
      </w:r>
      <w:r w:rsidR="00153CC8">
        <w:rPr>
          <w:noProof/>
        </w:rPr>
        <w:t>25</w:t>
      </w:r>
      <w:r w:rsidRPr="00C033B1">
        <w:rPr>
          <w:noProof/>
        </w:rPr>
        <w:fldChar w:fldCharType="end"/>
      </w:r>
    </w:p>
    <w:p w14:paraId="279FC424" w14:textId="7F64C988" w:rsidR="00D608C2" w:rsidRPr="00C033B1" w:rsidRDefault="00D608C2">
      <w:pPr>
        <w:pStyle w:val="TOC5"/>
        <w:rPr>
          <w:rFonts w:asciiTheme="minorHAnsi" w:eastAsiaTheme="minorEastAsia" w:hAnsiTheme="minorHAnsi" w:cstheme="minorBidi"/>
          <w:noProof/>
          <w:kern w:val="0"/>
          <w:sz w:val="22"/>
          <w:szCs w:val="22"/>
        </w:rPr>
      </w:pPr>
      <w:r w:rsidRPr="00C033B1">
        <w:rPr>
          <w:noProof/>
        </w:rPr>
        <w:t>3.03</w:t>
      </w:r>
      <w:r w:rsidRPr="00C033B1">
        <w:rPr>
          <w:noProof/>
        </w:rPr>
        <w:tab/>
        <w:t>Remuneration and allowances—reimbursement of additional travel costs</w:t>
      </w:r>
      <w:r w:rsidRPr="00C033B1">
        <w:rPr>
          <w:noProof/>
        </w:rPr>
        <w:tab/>
      </w:r>
      <w:r w:rsidRPr="00C033B1">
        <w:rPr>
          <w:noProof/>
        </w:rPr>
        <w:fldChar w:fldCharType="begin"/>
      </w:r>
      <w:r w:rsidRPr="00C033B1">
        <w:rPr>
          <w:noProof/>
        </w:rPr>
        <w:instrText xml:space="preserve"> PAGEREF _Toc114043997 \h </w:instrText>
      </w:r>
      <w:r w:rsidRPr="00C033B1">
        <w:rPr>
          <w:noProof/>
        </w:rPr>
      </w:r>
      <w:r w:rsidRPr="00C033B1">
        <w:rPr>
          <w:noProof/>
        </w:rPr>
        <w:fldChar w:fldCharType="separate"/>
      </w:r>
      <w:r w:rsidR="00153CC8">
        <w:rPr>
          <w:noProof/>
        </w:rPr>
        <w:t>25</w:t>
      </w:r>
      <w:r w:rsidRPr="00C033B1">
        <w:rPr>
          <w:noProof/>
        </w:rPr>
        <w:fldChar w:fldCharType="end"/>
      </w:r>
    </w:p>
    <w:p w14:paraId="373472D8" w14:textId="4F0C0D9C" w:rsidR="00D608C2" w:rsidRPr="00C033B1" w:rsidRDefault="00D608C2">
      <w:pPr>
        <w:pStyle w:val="TOC5"/>
        <w:rPr>
          <w:rFonts w:asciiTheme="minorHAnsi" w:eastAsiaTheme="minorEastAsia" w:hAnsiTheme="minorHAnsi" w:cstheme="minorBidi"/>
          <w:noProof/>
          <w:kern w:val="0"/>
          <w:sz w:val="22"/>
          <w:szCs w:val="22"/>
        </w:rPr>
      </w:pPr>
      <w:r w:rsidRPr="00C033B1">
        <w:rPr>
          <w:noProof/>
        </w:rPr>
        <w:t>3.04</w:t>
      </w:r>
      <w:r w:rsidRPr="00C033B1">
        <w:rPr>
          <w:noProof/>
        </w:rPr>
        <w:tab/>
        <w:t>Annual increase in remuneration and allowances</w:t>
      </w:r>
      <w:r w:rsidRPr="00C033B1">
        <w:rPr>
          <w:noProof/>
        </w:rPr>
        <w:tab/>
      </w:r>
      <w:r w:rsidRPr="00C033B1">
        <w:rPr>
          <w:noProof/>
        </w:rPr>
        <w:fldChar w:fldCharType="begin"/>
      </w:r>
      <w:r w:rsidRPr="00C033B1">
        <w:rPr>
          <w:noProof/>
        </w:rPr>
        <w:instrText xml:space="preserve"> PAGEREF _Toc114043998 \h </w:instrText>
      </w:r>
      <w:r w:rsidRPr="00C033B1">
        <w:rPr>
          <w:noProof/>
        </w:rPr>
      </w:r>
      <w:r w:rsidRPr="00C033B1">
        <w:rPr>
          <w:noProof/>
        </w:rPr>
        <w:fldChar w:fldCharType="separate"/>
      </w:r>
      <w:r w:rsidR="00153CC8">
        <w:rPr>
          <w:noProof/>
        </w:rPr>
        <w:t>25</w:t>
      </w:r>
      <w:r w:rsidRPr="00C033B1">
        <w:rPr>
          <w:noProof/>
        </w:rPr>
        <w:fldChar w:fldCharType="end"/>
      </w:r>
    </w:p>
    <w:p w14:paraId="7226932B" w14:textId="01AF91DC"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lastRenderedPageBreak/>
        <w:t>Part 4—Jurisdiction</w:t>
      </w:r>
      <w:r w:rsidRPr="00C033B1">
        <w:rPr>
          <w:b w:val="0"/>
          <w:noProof/>
          <w:sz w:val="18"/>
        </w:rPr>
        <w:tab/>
      </w:r>
      <w:r w:rsidRPr="00C033B1">
        <w:rPr>
          <w:b w:val="0"/>
          <w:noProof/>
          <w:sz w:val="18"/>
        </w:rPr>
        <w:fldChar w:fldCharType="begin"/>
      </w:r>
      <w:r w:rsidRPr="00C033B1">
        <w:rPr>
          <w:b w:val="0"/>
          <w:noProof/>
          <w:sz w:val="18"/>
        </w:rPr>
        <w:instrText xml:space="preserve"> PAGEREF _Toc114043999 \h </w:instrText>
      </w:r>
      <w:r w:rsidRPr="00C033B1">
        <w:rPr>
          <w:b w:val="0"/>
          <w:noProof/>
          <w:sz w:val="18"/>
        </w:rPr>
      </w:r>
      <w:r w:rsidRPr="00C033B1">
        <w:rPr>
          <w:b w:val="0"/>
          <w:noProof/>
          <w:sz w:val="18"/>
        </w:rPr>
        <w:fldChar w:fldCharType="separate"/>
      </w:r>
      <w:r w:rsidR="00153CC8">
        <w:rPr>
          <w:b w:val="0"/>
          <w:noProof/>
          <w:sz w:val="18"/>
        </w:rPr>
        <w:t>27</w:t>
      </w:r>
      <w:r w:rsidRPr="00C033B1">
        <w:rPr>
          <w:b w:val="0"/>
          <w:noProof/>
          <w:sz w:val="18"/>
        </w:rPr>
        <w:fldChar w:fldCharType="end"/>
      </w:r>
    </w:p>
    <w:p w14:paraId="4CE8DC7F" w14:textId="6203B257" w:rsidR="00D608C2" w:rsidRPr="00C033B1" w:rsidRDefault="00D608C2">
      <w:pPr>
        <w:pStyle w:val="TOC5"/>
        <w:rPr>
          <w:rFonts w:asciiTheme="minorHAnsi" w:eastAsiaTheme="minorEastAsia" w:hAnsiTheme="minorHAnsi" w:cstheme="minorBidi"/>
          <w:noProof/>
          <w:kern w:val="0"/>
          <w:sz w:val="22"/>
          <w:szCs w:val="22"/>
        </w:rPr>
      </w:pPr>
      <w:r w:rsidRPr="00C033B1">
        <w:rPr>
          <w:noProof/>
        </w:rPr>
        <w:t>4.02</w:t>
      </w:r>
      <w:r w:rsidRPr="00C033B1">
        <w:rPr>
          <w:noProof/>
        </w:rPr>
        <w:tab/>
        <w:t>Leave to appeal required for some family law and child support proceedings—prescribed judgments</w:t>
      </w:r>
      <w:r w:rsidRPr="00C033B1">
        <w:rPr>
          <w:noProof/>
        </w:rPr>
        <w:tab/>
      </w:r>
      <w:r w:rsidRPr="00C033B1">
        <w:rPr>
          <w:noProof/>
        </w:rPr>
        <w:fldChar w:fldCharType="begin"/>
      </w:r>
      <w:r w:rsidRPr="00C033B1">
        <w:rPr>
          <w:noProof/>
        </w:rPr>
        <w:instrText xml:space="preserve"> PAGEREF _Toc114044000 \h </w:instrText>
      </w:r>
      <w:r w:rsidRPr="00C033B1">
        <w:rPr>
          <w:noProof/>
        </w:rPr>
      </w:r>
      <w:r w:rsidRPr="00C033B1">
        <w:rPr>
          <w:noProof/>
        </w:rPr>
        <w:fldChar w:fldCharType="separate"/>
      </w:r>
      <w:r w:rsidR="00153CC8">
        <w:rPr>
          <w:noProof/>
        </w:rPr>
        <w:t>27</w:t>
      </w:r>
      <w:r w:rsidRPr="00C033B1">
        <w:rPr>
          <w:noProof/>
        </w:rPr>
        <w:fldChar w:fldCharType="end"/>
      </w:r>
    </w:p>
    <w:p w14:paraId="1C5FC1FD" w14:textId="4A0F0E7F"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t>Part 5—Application, saving and transitional provisions</w:t>
      </w:r>
      <w:r w:rsidRPr="00C033B1">
        <w:rPr>
          <w:b w:val="0"/>
          <w:noProof/>
          <w:sz w:val="18"/>
        </w:rPr>
        <w:tab/>
      </w:r>
      <w:r w:rsidRPr="00C033B1">
        <w:rPr>
          <w:b w:val="0"/>
          <w:noProof/>
          <w:sz w:val="18"/>
        </w:rPr>
        <w:fldChar w:fldCharType="begin"/>
      </w:r>
      <w:r w:rsidRPr="00C033B1">
        <w:rPr>
          <w:b w:val="0"/>
          <w:noProof/>
          <w:sz w:val="18"/>
        </w:rPr>
        <w:instrText xml:space="preserve"> PAGEREF _Toc114044001 \h </w:instrText>
      </w:r>
      <w:r w:rsidRPr="00C033B1">
        <w:rPr>
          <w:b w:val="0"/>
          <w:noProof/>
          <w:sz w:val="18"/>
        </w:rPr>
      </w:r>
      <w:r w:rsidRPr="00C033B1">
        <w:rPr>
          <w:b w:val="0"/>
          <w:noProof/>
          <w:sz w:val="18"/>
        </w:rPr>
        <w:fldChar w:fldCharType="separate"/>
      </w:r>
      <w:r w:rsidR="00153CC8">
        <w:rPr>
          <w:b w:val="0"/>
          <w:noProof/>
          <w:sz w:val="18"/>
        </w:rPr>
        <w:t>28</w:t>
      </w:r>
      <w:r w:rsidRPr="00C033B1">
        <w:rPr>
          <w:b w:val="0"/>
          <w:noProof/>
          <w:sz w:val="18"/>
        </w:rPr>
        <w:fldChar w:fldCharType="end"/>
      </w:r>
    </w:p>
    <w:p w14:paraId="20A1D630" w14:textId="6882AA67" w:rsidR="00D608C2" w:rsidRPr="00C033B1" w:rsidRDefault="00D608C2">
      <w:pPr>
        <w:pStyle w:val="TOC3"/>
        <w:rPr>
          <w:rFonts w:asciiTheme="minorHAnsi" w:eastAsiaTheme="minorEastAsia" w:hAnsiTheme="minorHAnsi" w:cstheme="minorBidi"/>
          <w:b w:val="0"/>
          <w:noProof/>
          <w:kern w:val="0"/>
          <w:szCs w:val="22"/>
        </w:rPr>
      </w:pPr>
      <w:r w:rsidRPr="00C033B1">
        <w:rPr>
          <w:noProof/>
        </w:rPr>
        <w:t>Division 5.1—Application, saving and transitional provisions in relation to the commencement of this instrument</w:t>
      </w:r>
      <w:r w:rsidRPr="00C033B1">
        <w:rPr>
          <w:b w:val="0"/>
          <w:noProof/>
          <w:sz w:val="18"/>
        </w:rPr>
        <w:tab/>
      </w:r>
      <w:r w:rsidRPr="00C033B1">
        <w:rPr>
          <w:b w:val="0"/>
          <w:noProof/>
          <w:sz w:val="18"/>
        </w:rPr>
        <w:fldChar w:fldCharType="begin"/>
      </w:r>
      <w:r w:rsidRPr="00C033B1">
        <w:rPr>
          <w:b w:val="0"/>
          <w:noProof/>
          <w:sz w:val="18"/>
        </w:rPr>
        <w:instrText xml:space="preserve"> PAGEREF _Toc114044002 \h </w:instrText>
      </w:r>
      <w:r w:rsidRPr="00C033B1">
        <w:rPr>
          <w:b w:val="0"/>
          <w:noProof/>
          <w:sz w:val="18"/>
        </w:rPr>
      </w:r>
      <w:r w:rsidRPr="00C033B1">
        <w:rPr>
          <w:b w:val="0"/>
          <w:noProof/>
          <w:sz w:val="18"/>
        </w:rPr>
        <w:fldChar w:fldCharType="separate"/>
      </w:r>
      <w:r w:rsidR="00153CC8">
        <w:rPr>
          <w:b w:val="0"/>
          <w:noProof/>
          <w:sz w:val="18"/>
        </w:rPr>
        <w:t>28</w:t>
      </w:r>
      <w:r w:rsidRPr="00C033B1">
        <w:rPr>
          <w:b w:val="0"/>
          <w:noProof/>
          <w:sz w:val="18"/>
        </w:rPr>
        <w:fldChar w:fldCharType="end"/>
      </w:r>
    </w:p>
    <w:p w14:paraId="7BA2A9A7" w14:textId="04272AD3" w:rsidR="00D608C2" w:rsidRPr="00C033B1" w:rsidRDefault="00D608C2">
      <w:pPr>
        <w:pStyle w:val="TOC5"/>
        <w:rPr>
          <w:rFonts w:asciiTheme="minorHAnsi" w:eastAsiaTheme="minorEastAsia" w:hAnsiTheme="minorHAnsi" w:cstheme="minorBidi"/>
          <w:noProof/>
          <w:kern w:val="0"/>
          <w:sz w:val="22"/>
          <w:szCs w:val="22"/>
        </w:rPr>
      </w:pPr>
      <w:r w:rsidRPr="00C033B1">
        <w:rPr>
          <w:noProof/>
        </w:rPr>
        <w:t>5.01</w:t>
      </w:r>
      <w:r w:rsidRPr="00C033B1">
        <w:rPr>
          <w:noProof/>
        </w:rPr>
        <w:tab/>
        <w:t xml:space="preserve"> Definitions</w:t>
      </w:r>
      <w:r w:rsidRPr="00C033B1">
        <w:rPr>
          <w:noProof/>
        </w:rPr>
        <w:tab/>
      </w:r>
      <w:r w:rsidRPr="00C033B1">
        <w:rPr>
          <w:noProof/>
        </w:rPr>
        <w:fldChar w:fldCharType="begin"/>
      </w:r>
      <w:r w:rsidRPr="00C033B1">
        <w:rPr>
          <w:noProof/>
        </w:rPr>
        <w:instrText xml:space="preserve"> PAGEREF _Toc114044003 \h </w:instrText>
      </w:r>
      <w:r w:rsidRPr="00C033B1">
        <w:rPr>
          <w:noProof/>
        </w:rPr>
      </w:r>
      <w:r w:rsidRPr="00C033B1">
        <w:rPr>
          <w:noProof/>
        </w:rPr>
        <w:fldChar w:fldCharType="separate"/>
      </w:r>
      <w:r w:rsidR="00153CC8">
        <w:rPr>
          <w:noProof/>
        </w:rPr>
        <w:t>28</w:t>
      </w:r>
      <w:r w:rsidRPr="00C033B1">
        <w:rPr>
          <w:noProof/>
        </w:rPr>
        <w:fldChar w:fldCharType="end"/>
      </w:r>
    </w:p>
    <w:p w14:paraId="2A53710B" w14:textId="101C930B" w:rsidR="00D608C2" w:rsidRPr="00C033B1" w:rsidRDefault="00D608C2">
      <w:pPr>
        <w:pStyle w:val="TOC5"/>
        <w:rPr>
          <w:rFonts w:asciiTheme="minorHAnsi" w:eastAsiaTheme="minorEastAsia" w:hAnsiTheme="minorHAnsi" w:cstheme="minorBidi"/>
          <w:noProof/>
          <w:kern w:val="0"/>
          <w:sz w:val="22"/>
          <w:szCs w:val="22"/>
        </w:rPr>
      </w:pPr>
      <w:r w:rsidRPr="00C033B1">
        <w:rPr>
          <w:noProof/>
        </w:rPr>
        <w:t>5.02</w:t>
      </w:r>
      <w:r w:rsidRPr="00C033B1">
        <w:rPr>
          <w:noProof/>
        </w:rPr>
        <w:tab/>
        <w:t>Application provision</w:t>
      </w:r>
      <w:r w:rsidRPr="00C033B1">
        <w:rPr>
          <w:noProof/>
        </w:rPr>
        <w:tab/>
      </w:r>
      <w:r w:rsidRPr="00C033B1">
        <w:rPr>
          <w:noProof/>
        </w:rPr>
        <w:fldChar w:fldCharType="begin"/>
      </w:r>
      <w:r w:rsidRPr="00C033B1">
        <w:rPr>
          <w:noProof/>
        </w:rPr>
        <w:instrText xml:space="preserve"> PAGEREF _Toc114044004 \h </w:instrText>
      </w:r>
      <w:r w:rsidRPr="00C033B1">
        <w:rPr>
          <w:noProof/>
        </w:rPr>
      </w:r>
      <w:r w:rsidRPr="00C033B1">
        <w:rPr>
          <w:noProof/>
        </w:rPr>
        <w:fldChar w:fldCharType="separate"/>
      </w:r>
      <w:r w:rsidR="00153CC8">
        <w:rPr>
          <w:noProof/>
        </w:rPr>
        <w:t>28</w:t>
      </w:r>
      <w:r w:rsidRPr="00C033B1">
        <w:rPr>
          <w:noProof/>
        </w:rPr>
        <w:fldChar w:fldCharType="end"/>
      </w:r>
    </w:p>
    <w:p w14:paraId="5E2472C2" w14:textId="7F111624" w:rsidR="00D608C2" w:rsidRPr="00C033B1" w:rsidRDefault="00D608C2">
      <w:pPr>
        <w:pStyle w:val="TOC5"/>
        <w:rPr>
          <w:rFonts w:asciiTheme="minorHAnsi" w:eastAsiaTheme="minorEastAsia" w:hAnsiTheme="minorHAnsi" w:cstheme="minorBidi"/>
          <w:noProof/>
          <w:kern w:val="0"/>
          <w:sz w:val="22"/>
          <w:szCs w:val="22"/>
        </w:rPr>
      </w:pPr>
      <w:r w:rsidRPr="00C033B1">
        <w:rPr>
          <w:noProof/>
        </w:rPr>
        <w:t>5.03</w:t>
      </w:r>
      <w:r w:rsidRPr="00C033B1">
        <w:rPr>
          <w:noProof/>
        </w:rPr>
        <w:tab/>
        <w:t>Saving provision</w:t>
      </w:r>
      <w:r w:rsidRPr="00C033B1">
        <w:rPr>
          <w:noProof/>
        </w:rPr>
        <w:tab/>
      </w:r>
      <w:r w:rsidRPr="00C033B1">
        <w:rPr>
          <w:noProof/>
        </w:rPr>
        <w:fldChar w:fldCharType="begin"/>
      </w:r>
      <w:r w:rsidRPr="00C033B1">
        <w:rPr>
          <w:noProof/>
        </w:rPr>
        <w:instrText xml:space="preserve"> PAGEREF _Toc114044005 \h </w:instrText>
      </w:r>
      <w:r w:rsidRPr="00C033B1">
        <w:rPr>
          <w:noProof/>
        </w:rPr>
      </w:r>
      <w:r w:rsidRPr="00C033B1">
        <w:rPr>
          <w:noProof/>
        </w:rPr>
        <w:fldChar w:fldCharType="separate"/>
      </w:r>
      <w:r w:rsidR="00153CC8">
        <w:rPr>
          <w:noProof/>
        </w:rPr>
        <w:t>28</w:t>
      </w:r>
      <w:r w:rsidRPr="00C033B1">
        <w:rPr>
          <w:noProof/>
        </w:rPr>
        <w:fldChar w:fldCharType="end"/>
      </w:r>
    </w:p>
    <w:p w14:paraId="37536C6C" w14:textId="7486F444" w:rsidR="00D608C2" w:rsidRPr="00C033B1" w:rsidRDefault="00D608C2">
      <w:pPr>
        <w:pStyle w:val="TOC5"/>
        <w:rPr>
          <w:rFonts w:asciiTheme="minorHAnsi" w:eastAsiaTheme="minorEastAsia" w:hAnsiTheme="minorHAnsi" w:cstheme="minorBidi"/>
          <w:noProof/>
          <w:kern w:val="0"/>
          <w:sz w:val="22"/>
          <w:szCs w:val="22"/>
        </w:rPr>
      </w:pPr>
      <w:r w:rsidRPr="00C033B1">
        <w:rPr>
          <w:noProof/>
        </w:rPr>
        <w:t>5.04</w:t>
      </w:r>
      <w:r w:rsidRPr="00C033B1">
        <w:rPr>
          <w:noProof/>
        </w:rPr>
        <w:tab/>
        <w:t>Things done under the old regulations</w:t>
      </w:r>
      <w:r w:rsidRPr="00C033B1">
        <w:rPr>
          <w:noProof/>
        </w:rPr>
        <w:tab/>
      </w:r>
      <w:r w:rsidRPr="00C033B1">
        <w:rPr>
          <w:noProof/>
        </w:rPr>
        <w:fldChar w:fldCharType="begin"/>
      </w:r>
      <w:r w:rsidRPr="00C033B1">
        <w:rPr>
          <w:noProof/>
        </w:rPr>
        <w:instrText xml:space="preserve"> PAGEREF _Toc114044006 \h </w:instrText>
      </w:r>
      <w:r w:rsidRPr="00C033B1">
        <w:rPr>
          <w:noProof/>
        </w:rPr>
      </w:r>
      <w:r w:rsidRPr="00C033B1">
        <w:rPr>
          <w:noProof/>
        </w:rPr>
        <w:fldChar w:fldCharType="separate"/>
      </w:r>
      <w:r w:rsidR="00153CC8">
        <w:rPr>
          <w:noProof/>
        </w:rPr>
        <w:t>28</w:t>
      </w:r>
      <w:r w:rsidRPr="00C033B1">
        <w:rPr>
          <w:noProof/>
        </w:rPr>
        <w:fldChar w:fldCharType="end"/>
      </w:r>
    </w:p>
    <w:p w14:paraId="16732CF3" w14:textId="0F2C0196" w:rsidR="00D608C2" w:rsidRPr="00C033B1" w:rsidRDefault="00D608C2">
      <w:pPr>
        <w:pStyle w:val="TOC5"/>
        <w:rPr>
          <w:rFonts w:asciiTheme="minorHAnsi" w:eastAsiaTheme="minorEastAsia" w:hAnsiTheme="minorHAnsi" w:cstheme="minorBidi"/>
          <w:noProof/>
          <w:kern w:val="0"/>
          <w:sz w:val="22"/>
          <w:szCs w:val="22"/>
        </w:rPr>
      </w:pPr>
      <w:r w:rsidRPr="00C033B1">
        <w:rPr>
          <w:noProof/>
        </w:rPr>
        <w:t>5.05</w:t>
      </w:r>
      <w:r w:rsidRPr="00C033B1">
        <w:rPr>
          <w:noProof/>
        </w:rPr>
        <w:tab/>
        <w:t>Conduct, event, circumstances occurring before commencement</w:t>
      </w:r>
      <w:r w:rsidRPr="00C033B1">
        <w:rPr>
          <w:noProof/>
        </w:rPr>
        <w:tab/>
      </w:r>
      <w:r w:rsidRPr="00C033B1">
        <w:rPr>
          <w:noProof/>
        </w:rPr>
        <w:fldChar w:fldCharType="begin"/>
      </w:r>
      <w:r w:rsidRPr="00C033B1">
        <w:rPr>
          <w:noProof/>
        </w:rPr>
        <w:instrText xml:space="preserve"> PAGEREF _Toc114044007 \h </w:instrText>
      </w:r>
      <w:r w:rsidRPr="00C033B1">
        <w:rPr>
          <w:noProof/>
        </w:rPr>
      </w:r>
      <w:r w:rsidRPr="00C033B1">
        <w:rPr>
          <w:noProof/>
        </w:rPr>
        <w:fldChar w:fldCharType="separate"/>
      </w:r>
      <w:r w:rsidR="00153CC8">
        <w:rPr>
          <w:noProof/>
        </w:rPr>
        <w:t>28</w:t>
      </w:r>
      <w:r w:rsidRPr="00C033B1">
        <w:rPr>
          <w:noProof/>
        </w:rPr>
        <w:fldChar w:fldCharType="end"/>
      </w:r>
    </w:p>
    <w:p w14:paraId="5B902537" w14:textId="56D4080A" w:rsidR="00D608C2" w:rsidRPr="00C033B1" w:rsidRDefault="007D3911">
      <w:pPr>
        <w:pStyle w:val="TOC1"/>
        <w:rPr>
          <w:rFonts w:asciiTheme="minorHAnsi" w:eastAsiaTheme="minorEastAsia" w:hAnsiTheme="minorHAnsi" w:cstheme="minorBidi"/>
          <w:b w:val="0"/>
          <w:noProof/>
          <w:kern w:val="0"/>
          <w:sz w:val="22"/>
          <w:szCs w:val="22"/>
        </w:rPr>
      </w:pPr>
      <w:r w:rsidRPr="00C033B1">
        <w:rPr>
          <w:noProof/>
        </w:rPr>
        <w:t>Schedule 1</w:t>
      </w:r>
      <w:r w:rsidR="00D608C2" w:rsidRPr="00C033B1">
        <w:rPr>
          <w:noProof/>
        </w:rPr>
        <w:t>—Fees</w:t>
      </w:r>
      <w:r w:rsidR="00D608C2" w:rsidRPr="00C033B1">
        <w:rPr>
          <w:b w:val="0"/>
          <w:noProof/>
          <w:sz w:val="18"/>
        </w:rPr>
        <w:tab/>
      </w:r>
      <w:r w:rsidR="00D608C2" w:rsidRPr="00C033B1">
        <w:rPr>
          <w:b w:val="0"/>
          <w:noProof/>
          <w:sz w:val="18"/>
        </w:rPr>
        <w:fldChar w:fldCharType="begin"/>
      </w:r>
      <w:r w:rsidR="00D608C2" w:rsidRPr="00C033B1">
        <w:rPr>
          <w:b w:val="0"/>
          <w:noProof/>
          <w:sz w:val="18"/>
        </w:rPr>
        <w:instrText xml:space="preserve"> PAGEREF _Toc114044008 \h </w:instrText>
      </w:r>
      <w:r w:rsidR="00D608C2" w:rsidRPr="00C033B1">
        <w:rPr>
          <w:b w:val="0"/>
          <w:noProof/>
          <w:sz w:val="18"/>
        </w:rPr>
      </w:r>
      <w:r w:rsidR="00D608C2" w:rsidRPr="00C033B1">
        <w:rPr>
          <w:b w:val="0"/>
          <w:noProof/>
          <w:sz w:val="18"/>
        </w:rPr>
        <w:fldChar w:fldCharType="separate"/>
      </w:r>
      <w:r w:rsidR="00153CC8">
        <w:rPr>
          <w:b w:val="0"/>
          <w:noProof/>
          <w:sz w:val="18"/>
        </w:rPr>
        <w:t>30</w:t>
      </w:r>
      <w:r w:rsidR="00D608C2" w:rsidRPr="00C033B1">
        <w:rPr>
          <w:b w:val="0"/>
          <w:noProof/>
          <w:sz w:val="18"/>
        </w:rPr>
        <w:fldChar w:fldCharType="end"/>
      </w:r>
    </w:p>
    <w:p w14:paraId="43F09F00" w14:textId="3E975482"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t>Part 1—Fees for proceedings in the Federal Court</w:t>
      </w:r>
      <w:r w:rsidRPr="00C033B1">
        <w:rPr>
          <w:b w:val="0"/>
          <w:noProof/>
          <w:sz w:val="18"/>
        </w:rPr>
        <w:tab/>
      </w:r>
      <w:r w:rsidRPr="00C033B1">
        <w:rPr>
          <w:b w:val="0"/>
          <w:noProof/>
          <w:sz w:val="18"/>
        </w:rPr>
        <w:fldChar w:fldCharType="begin"/>
      </w:r>
      <w:r w:rsidRPr="00C033B1">
        <w:rPr>
          <w:b w:val="0"/>
          <w:noProof/>
          <w:sz w:val="18"/>
        </w:rPr>
        <w:instrText xml:space="preserve"> PAGEREF _Toc114044009 \h </w:instrText>
      </w:r>
      <w:r w:rsidRPr="00C033B1">
        <w:rPr>
          <w:b w:val="0"/>
          <w:noProof/>
          <w:sz w:val="18"/>
        </w:rPr>
      </w:r>
      <w:r w:rsidRPr="00C033B1">
        <w:rPr>
          <w:b w:val="0"/>
          <w:noProof/>
          <w:sz w:val="18"/>
        </w:rPr>
        <w:fldChar w:fldCharType="separate"/>
      </w:r>
      <w:r w:rsidR="00153CC8">
        <w:rPr>
          <w:b w:val="0"/>
          <w:noProof/>
          <w:sz w:val="18"/>
        </w:rPr>
        <w:t>30</w:t>
      </w:r>
      <w:r w:rsidRPr="00C033B1">
        <w:rPr>
          <w:b w:val="0"/>
          <w:noProof/>
          <w:sz w:val="18"/>
        </w:rPr>
        <w:fldChar w:fldCharType="end"/>
      </w:r>
    </w:p>
    <w:p w14:paraId="01108BAF" w14:textId="4D77A4E1" w:rsidR="00D608C2" w:rsidRPr="00C033B1" w:rsidRDefault="00D608C2">
      <w:pPr>
        <w:pStyle w:val="TOC2"/>
        <w:rPr>
          <w:rFonts w:asciiTheme="minorHAnsi" w:eastAsiaTheme="minorEastAsia" w:hAnsiTheme="minorHAnsi" w:cstheme="minorBidi"/>
          <w:b w:val="0"/>
          <w:noProof/>
          <w:kern w:val="0"/>
          <w:sz w:val="22"/>
          <w:szCs w:val="22"/>
        </w:rPr>
      </w:pPr>
      <w:r w:rsidRPr="00C033B1">
        <w:rPr>
          <w:noProof/>
        </w:rPr>
        <w:t>Part 2—Fees for proceedings in the Federal Circuit and Family Court of Australia (</w:t>
      </w:r>
      <w:r w:rsidR="007D3911" w:rsidRPr="00C033B1">
        <w:rPr>
          <w:noProof/>
        </w:rPr>
        <w:t>Division 2</w:t>
      </w:r>
      <w:r w:rsidRPr="00C033B1">
        <w:rPr>
          <w:noProof/>
        </w:rPr>
        <w:t>)</w:t>
      </w:r>
      <w:r w:rsidRPr="00C033B1">
        <w:rPr>
          <w:b w:val="0"/>
          <w:noProof/>
          <w:sz w:val="18"/>
        </w:rPr>
        <w:tab/>
      </w:r>
      <w:r w:rsidRPr="00C033B1">
        <w:rPr>
          <w:b w:val="0"/>
          <w:noProof/>
          <w:sz w:val="18"/>
        </w:rPr>
        <w:fldChar w:fldCharType="begin"/>
      </w:r>
      <w:r w:rsidRPr="00C033B1">
        <w:rPr>
          <w:b w:val="0"/>
          <w:noProof/>
          <w:sz w:val="18"/>
        </w:rPr>
        <w:instrText xml:space="preserve"> PAGEREF _Toc114044010 \h </w:instrText>
      </w:r>
      <w:r w:rsidRPr="00C033B1">
        <w:rPr>
          <w:b w:val="0"/>
          <w:noProof/>
          <w:sz w:val="18"/>
        </w:rPr>
      </w:r>
      <w:r w:rsidRPr="00C033B1">
        <w:rPr>
          <w:b w:val="0"/>
          <w:noProof/>
          <w:sz w:val="18"/>
        </w:rPr>
        <w:fldChar w:fldCharType="separate"/>
      </w:r>
      <w:r w:rsidR="00153CC8">
        <w:rPr>
          <w:b w:val="0"/>
          <w:noProof/>
          <w:sz w:val="18"/>
        </w:rPr>
        <w:t>35</w:t>
      </w:r>
      <w:r w:rsidRPr="00C033B1">
        <w:rPr>
          <w:b w:val="0"/>
          <w:noProof/>
          <w:sz w:val="18"/>
        </w:rPr>
        <w:fldChar w:fldCharType="end"/>
      </w:r>
    </w:p>
    <w:p w14:paraId="72CB7364" w14:textId="69D096D4" w:rsidR="00D608C2" w:rsidRPr="00C033B1" w:rsidRDefault="00D608C2">
      <w:pPr>
        <w:pStyle w:val="TOC1"/>
        <w:rPr>
          <w:rFonts w:asciiTheme="minorHAnsi" w:eastAsiaTheme="minorEastAsia" w:hAnsiTheme="minorHAnsi" w:cstheme="minorBidi"/>
          <w:b w:val="0"/>
          <w:noProof/>
          <w:kern w:val="0"/>
          <w:sz w:val="22"/>
          <w:szCs w:val="22"/>
        </w:rPr>
      </w:pPr>
      <w:r w:rsidRPr="00C033B1">
        <w:rPr>
          <w:noProof/>
        </w:rPr>
        <w:t>Schedule 2—Remuneration and allowances</w:t>
      </w:r>
      <w:r w:rsidRPr="00C033B1">
        <w:rPr>
          <w:b w:val="0"/>
          <w:noProof/>
          <w:sz w:val="18"/>
        </w:rPr>
        <w:tab/>
      </w:r>
      <w:r w:rsidRPr="00C033B1">
        <w:rPr>
          <w:b w:val="0"/>
          <w:noProof/>
          <w:sz w:val="18"/>
        </w:rPr>
        <w:fldChar w:fldCharType="begin"/>
      </w:r>
      <w:r w:rsidRPr="00C033B1">
        <w:rPr>
          <w:b w:val="0"/>
          <w:noProof/>
          <w:sz w:val="18"/>
        </w:rPr>
        <w:instrText xml:space="preserve"> PAGEREF _Toc114044011 \h </w:instrText>
      </w:r>
      <w:r w:rsidRPr="00C033B1">
        <w:rPr>
          <w:b w:val="0"/>
          <w:noProof/>
          <w:sz w:val="18"/>
        </w:rPr>
      </w:r>
      <w:r w:rsidRPr="00C033B1">
        <w:rPr>
          <w:b w:val="0"/>
          <w:noProof/>
          <w:sz w:val="18"/>
        </w:rPr>
        <w:fldChar w:fldCharType="separate"/>
      </w:r>
      <w:r w:rsidR="00153CC8">
        <w:rPr>
          <w:b w:val="0"/>
          <w:noProof/>
          <w:sz w:val="18"/>
        </w:rPr>
        <w:t>39</w:t>
      </w:r>
      <w:r w:rsidRPr="00C033B1">
        <w:rPr>
          <w:b w:val="0"/>
          <w:noProof/>
          <w:sz w:val="18"/>
        </w:rPr>
        <w:fldChar w:fldCharType="end"/>
      </w:r>
    </w:p>
    <w:p w14:paraId="0216B3BA" w14:textId="1B7CB6A5" w:rsidR="00D608C2" w:rsidRPr="00C033B1" w:rsidRDefault="00D608C2">
      <w:pPr>
        <w:pStyle w:val="TOC6"/>
        <w:rPr>
          <w:rFonts w:asciiTheme="minorHAnsi" w:eastAsiaTheme="minorEastAsia" w:hAnsiTheme="minorHAnsi" w:cstheme="minorBidi"/>
          <w:b w:val="0"/>
          <w:noProof/>
          <w:kern w:val="0"/>
          <w:sz w:val="22"/>
          <w:szCs w:val="22"/>
        </w:rPr>
      </w:pPr>
      <w:r w:rsidRPr="00C033B1">
        <w:rPr>
          <w:noProof/>
        </w:rPr>
        <w:t>Schedule 3—Repeals</w:t>
      </w:r>
      <w:r w:rsidRPr="00C033B1">
        <w:rPr>
          <w:b w:val="0"/>
          <w:noProof/>
          <w:sz w:val="18"/>
        </w:rPr>
        <w:tab/>
      </w:r>
      <w:r w:rsidRPr="00C033B1">
        <w:rPr>
          <w:b w:val="0"/>
          <w:noProof/>
          <w:sz w:val="18"/>
        </w:rPr>
        <w:fldChar w:fldCharType="begin"/>
      </w:r>
      <w:r w:rsidRPr="00C033B1">
        <w:rPr>
          <w:b w:val="0"/>
          <w:noProof/>
          <w:sz w:val="18"/>
        </w:rPr>
        <w:instrText xml:space="preserve"> PAGEREF _Toc114044012 \h </w:instrText>
      </w:r>
      <w:r w:rsidRPr="00C033B1">
        <w:rPr>
          <w:b w:val="0"/>
          <w:noProof/>
          <w:sz w:val="18"/>
        </w:rPr>
      </w:r>
      <w:r w:rsidRPr="00C033B1">
        <w:rPr>
          <w:b w:val="0"/>
          <w:noProof/>
          <w:sz w:val="18"/>
        </w:rPr>
        <w:fldChar w:fldCharType="separate"/>
      </w:r>
      <w:r w:rsidR="00153CC8">
        <w:rPr>
          <w:b w:val="0"/>
          <w:noProof/>
          <w:sz w:val="18"/>
        </w:rPr>
        <w:t>40</w:t>
      </w:r>
      <w:r w:rsidRPr="00C033B1">
        <w:rPr>
          <w:b w:val="0"/>
          <w:noProof/>
          <w:sz w:val="18"/>
        </w:rPr>
        <w:fldChar w:fldCharType="end"/>
      </w:r>
    </w:p>
    <w:p w14:paraId="3BF990E8" w14:textId="787141EE" w:rsidR="00D608C2" w:rsidRPr="00C033B1" w:rsidRDefault="00D608C2">
      <w:pPr>
        <w:pStyle w:val="TOC9"/>
        <w:rPr>
          <w:rFonts w:asciiTheme="minorHAnsi" w:eastAsiaTheme="minorEastAsia" w:hAnsiTheme="minorHAnsi" w:cstheme="minorBidi"/>
          <w:i w:val="0"/>
          <w:noProof/>
          <w:kern w:val="0"/>
          <w:sz w:val="22"/>
          <w:szCs w:val="22"/>
        </w:rPr>
      </w:pPr>
      <w:r w:rsidRPr="00C033B1">
        <w:rPr>
          <w:noProof/>
        </w:rPr>
        <w:t xml:space="preserve">Federal Court and Federal Circuit and Family Court </w:t>
      </w:r>
      <w:r w:rsidR="00C033B1" w:rsidRPr="00C033B1">
        <w:rPr>
          <w:noProof/>
        </w:rPr>
        <w:t>Regulations 2</w:t>
      </w:r>
      <w:r w:rsidRPr="00C033B1">
        <w:rPr>
          <w:noProof/>
        </w:rPr>
        <w:t>012</w:t>
      </w:r>
      <w:r w:rsidRPr="00C033B1">
        <w:rPr>
          <w:i w:val="0"/>
          <w:noProof/>
          <w:sz w:val="18"/>
        </w:rPr>
        <w:tab/>
      </w:r>
      <w:r w:rsidRPr="00C033B1">
        <w:rPr>
          <w:i w:val="0"/>
          <w:noProof/>
          <w:sz w:val="18"/>
        </w:rPr>
        <w:fldChar w:fldCharType="begin"/>
      </w:r>
      <w:r w:rsidRPr="00C033B1">
        <w:rPr>
          <w:i w:val="0"/>
          <w:noProof/>
          <w:sz w:val="18"/>
        </w:rPr>
        <w:instrText xml:space="preserve"> PAGEREF _Toc114044013 \h </w:instrText>
      </w:r>
      <w:r w:rsidRPr="00C033B1">
        <w:rPr>
          <w:i w:val="0"/>
          <w:noProof/>
          <w:sz w:val="18"/>
        </w:rPr>
      </w:r>
      <w:r w:rsidRPr="00C033B1">
        <w:rPr>
          <w:i w:val="0"/>
          <w:noProof/>
          <w:sz w:val="18"/>
        </w:rPr>
        <w:fldChar w:fldCharType="separate"/>
      </w:r>
      <w:r w:rsidR="00153CC8">
        <w:rPr>
          <w:i w:val="0"/>
          <w:noProof/>
          <w:sz w:val="18"/>
        </w:rPr>
        <w:t>40</w:t>
      </w:r>
      <w:r w:rsidRPr="00C033B1">
        <w:rPr>
          <w:i w:val="0"/>
          <w:noProof/>
          <w:sz w:val="18"/>
        </w:rPr>
        <w:fldChar w:fldCharType="end"/>
      </w:r>
    </w:p>
    <w:p w14:paraId="7038DFCF" w14:textId="77777777" w:rsidR="007819D8" w:rsidRPr="00C033B1" w:rsidRDefault="00D608C2" w:rsidP="00697104">
      <w:pPr>
        <w:sectPr w:rsidR="007819D8" w:rsidRPr="00C033B1" w:rsidSect="00AB3172">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rsidRPr="00C033B1">
        <w:fldChar w:fldCharType="end"/>
      </w:r>
    </w:p>
    <w:p w14:paraId="50EEFCA3" w14:textId="77777777" w:rsidR="001A514A" w:rsidRPr="00C033B1" w:rsidRDefault="00D4482F" w:rsidP="001A514A">
      <w:pPr>
        <w:pStyle w:val="ActHead2"/>
        <w:pageBreakBefore/>
      </w:pPr>
      <w:bookmarkStart w:id="1" w:name="_Toc114043956"/>
      <w:r w:rsidRPr="00025E64">
        <w:rPr>
          <w:rStyle w:val="CharPartNo"/>
        </w:rPr>
        <w:lastRenderedPageBreak/>
        <w:t>Part 1</w:t>
      </w:r>
      <w:r w:rsidR="001A514A" w:rsidRPr="00C033B1">
        <w:t>—</w:t>
      </w:r>
      <w:r w:rsidR="001A514A" w:rsidRPr="00025E64">
        <w:rPr>
          <w:rStyle w:val="CharPartText"/>
        </w:rPr>
        <w:t>Preliminary</w:t>
      </w:r>
      <w:bookmarkEnd w:id="1"/>
    </w:p>
    <w:p w14:paraId="7B5EDD8A" w14:textId="77777777" w:rsidR="001A514A" w:rsidRPr="00025E64" w:rsidRDefault="001A514A" w:rsidP="001A514A">
      <w:pPr>
        <w:pStyle w:val="Header"/>
      </w:pPr>
      <w:r w:rsidRPr="00025E64">
        <w:rPr>
          <w:rStyle w:val="CharDivNo"/>
        </w:rPr>
        <w:t xml:space="preserve"> </w:t>
      </w:r>
      <w:r w:rsidRPr="00025E64">
        <w:rPr>
          <w:rStyle w:val="CharDivText"/>
        </w:rPr>
        <w:t xml:space="preserve"> </w:t>
      </w:r>
    </w:p>
    <w:p w14:paraId="0165FFA8" w14:textId="77777777" w:rsidR="001A514A" w:rsidRPr="00C033B1" w:rsidRDefault="001A514A" w:rsidP="001A514A">
      <w:pPr>
        <w:pStyle w:val="ActHead5"/>
      </w:pPr>
      <w:bookmarkStart w:id="2" w:name="_Toc114043957"/>
      <w:r w:rsidRPr="00025E64">
        <w:rPr>
          <w:rStyle w:val="CharSectno"/>
        </w:rPr>
        <w:t>1.01</w:t>
      </w:r>
      <w:r w:rsidRPr="00C033B1">
        <w:t xml:space="preserve">  Name</w:t>
      </w:r>
      <w:bookmarkEnd w:id="2"/>
    </w:p>
    <w:p w14:paraId="410D81B5" w14:textId="77777777" w:rsidR="001A514A" w:rsidRPr="00C033B1" w:rsidRDefault="001A514A" w:rsidP="001A514A">
      <w:pPr>
        <w:pStyle w:val="subsection"/>
      </w:pPr>
      <w:r w:rsidRPr="00C033B1">
        <w:tab/>
      </w:r>
      <w:r w:rsidRPr="00C033B1">
        <w:tab/>
        <w:t xml:space="preserve">This instrument is the </w:t>
      </w:r>
      <w:r w:rsidR="00C033B1" w:rsidRPr="00C033B1">
        <w:rPr>
          <w:i/>
          <w:noProof/>
        </w:rPr>
        <w:t>Federal Court and Federal Circuit and Family Court Regulations 2022</w:t>
      </w:r>
      <w:r w:rsidRPr="00C033B1">
        <w:t>.</w:t>
      </w:r>
    </w:p>
    <w:p w14:paraId="3E35E701" w14:textId="77777777" w:rsidR="001A514A" w:rsidRPr="00C033B1" w:rsidRDefault="001A514A" w:rsidP="001A514A">
      <w:pPr>
        <w:pStyle w:val="ActHead5"/>
      </w:pPr>
      <w:bookmarkStart w:id="3" w:name="_Toc114043958"/>
      <w:r w:rsidRPr="00025E64">
        <w:rPr>
          <w:rStyle w:val="CharSectno"/>
        </w:rPr>
        <w:t>1.01A</w:t>
      </w:r>
      <w:r w:rsidRPr="00C033B1">
        <w:t xml:space="preserve">  Commencement</w:t>
      </w:r>
      <w:bookmarkEnd w:id="3"/>
    </w:p>
    <w:p w14:paraId="34EBE609" w14:textId="77777777" w:rsidR="001A514A" w:rsidRPr="00C033B1" w:rsidRDefault="001A514A" w:rsidP="001A514A">
      <w:pPr>
        <w:pStyle w:val="subsection"/>
      </w:pPr>
      <w:r w:rsidRPr="00C033B1">
        <w:tab/>
        <w:t>(1)</w:t>
      </w:r>
      <w:r w:rsidRPr="00C033B1">
        <w:tab/>
        <w:t>Each provision of this instrument specified in column 1 of the table commences, or is taken to have commenced, in accordance with column 2 of the table. Any other statement in column 2 has effect according to its terms.</w:t>
      </w:r>
    </w:p>
    <w:p w14:paraId="58E4A47C" w14:textId="77777777" w:rsidR="001A514A" w:rsidRPr="00C033B1" w:rsidRDefault="001A514A" w:rsidP="001A514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1A514A" w:rsidRPr="00C033B1" w14:paraId="16D3D5A1" w14:textId="77777777" w:rsidTr="00775E26">
        <w:trPr>
          <w:tblHeader/>
        </w:trPr>
        <w:tc>
          <w:tcPr>
            <w:tcW w:w="5000" w:type="pct"/>
            <w:gridSpan w:val="3"/>
            <w:tcBorders>
              <w:top w:val="single" w:sz="12" w:space="0" w:color="auto"/>
              <w:bottom w:val="single" w:sz="6" w:space="0" w:color="auto"/>
            </w:tcBorders>
            <w:shd w:val="clear" w:color="auto" w:fill="auto"/>
            <w:hideMark/>
          </w:tcPr>
          <w:p w14:paraId="5687123F" w14:textId="77777777" w:rsidR="001A514A" w:rsidRPr="00C033B1" w:rsidRDefault="001A514A" w:rsidP="00B22585">
            <w:pPr>
              <w:pStyle w:val="TableHeading"/>
            </w:pPr>
            <w:r w:rsidRPr="00C033B1">
              <w:t>Commencement information</w:t>
            </w:r>
          </w:p>
        </w:tc>
      </w:tr>
      <w:tr w:rsidR="001A514A" w:rsidRPr="00C033B1" w14:paraId="31A5E8FB" w14:textId="77777777" w:rsidTr="00775E26">
        <w:trPr>
          <w:tblHeader/>
        </w:trPr>
        <w:tc>
          <w:tcPr>
            <w:tcW w:w="1272" w:type="pct"/>
            <w:tcBorders>
              <w:top w:val="single" w:sz="6" w:space="0" w:color="auto"/>
              <w:bottom w:val="single" w:sz="6" w:space="0" w:color="auto"/>
            </w:tcBorders>
            <w:shd w:val="clear" w:color="auto" w:fill="auto"/>
            <w:hideMark/>
          </w:tcPr>
          <w:p w14:paraId="57B733B0" w14:textId="77777777" w:rsidR="001A514A" w:rsidRPr="00C033B1" w:rsidRDefault="001A514A" w:rsidP="00B22585">
            <w:pPr>
              <w:pStyle w:val="TableHeading"/>
            </w:pPr>
            <w:r w:rsidRPr="00C033B1">
              <w:t>Column 1</w:t>
            </w:r>
          </w:p>
        </w:tc>
        <w:tc>
          <w:tcPr>
            <w:tcW w:w="2627" w:type="pct"/>
            <w:tcBorders>
              <w:top w:val="single" w:sz="6" w:space="0" w:color="auto"/>
              <w:bottom w:val="single" w:sz="6" w:space="0" w:color="auto"/>
            </w:tcBorders>
            <w:shd w:val="clear" w:color="auto" w:fill="auto"/>
            <w:hideMark/>
          </w:tcPr>
          <w:p w14:paraId="2A46DB9A" w14:textId="77777777" w:rsidR="001A514A" w:rsidRPr="00C033B1" w:rsidRDefault="001A514A" w:rsidP="00B22585">
            <w:pPr>
              <w:pStyle w:val="TableHeading"/>
            </w:pPr>
            <w:r w:rsidRPr="00C033B1">
              <w:t>Column 2</w:t>
            </w:r>
          </w:p>
        </w:tc>
        <w:tc>
          <w:tcPr>
            <w:tcW w:w="1102" w:type="pct"/>
            <w:tcBorders>
              <w:top w:val="single" w:sz="6" w:space="0" w:color="auto"/>
              <w:bottom w:val="single" w:sz="6" w:space="0" w:color="auto"/>
            </w:tcBorders>
            <w:shd w:val="clear" w:color="auto" w:fill="auto"/>
            <w:hideMark/>
          </w:tcPr>
          <w:p w14:paraId="7B6375AA" w14:textId="77777777" w:rsidR="001A514A" w:rsidRPr="00C033B1" w:rsidRDefault="001A514A" w:rsidP="00B22585">
            <w:pPr>
              <w:pStyle w:val="TableHeading"/>
            </w:pPr>
            <w:r w:rsidRPr="00C033B1">
              <w:t>Column 3</w:t>
            </w:r>
          </w:p>
        </w:tc>
      </w:tr>
      <w:tr w:rsidR="001A514A" w:rsidRPr="00C033B1" w14:paraId="2711932E" w14:textId="77777777" w:rsidTr="00775E26">
        <w:trPr>
          <w:tblHeader/>
        </w:trPr>
        <w:tc>
          <w:tcPr>
            <w:tcW w:w="1272" w:type="pct"/>
            <w:tcBorders>
              <w:top w:val="single" w:sz="6" w:space="0" w:color="auto"/>
              <w:bottom w:val="single" w:sz="12" w:space="0" w:color="auto"/>
            </w:tcBorders>
            <w:shd w:val="clear" w:color="auto" w:fill="auto"/>
            <w:hideMark/>
          </w:tcPr>
          <w:p w14:paraId="44E7A027" w14:textId="77777777" w:rsidR="001A514A" w:rsidRPr="00C033B1" w:rsidRDefault="001A514A" w:rsidP="00B22585">
            <w:pPr>
              <w:pStyle w:val="TableHeading"/>
            </w:pPr>
            <w:r w:rsidRPr="00C033B1">
              <w:t>Provisions</w:t>
            </w:r>
          </w:p>
        </w:tc>
        <w:tc>
          <w:tcPr>
            <w:tcW w:w="2627" w:type="pct"/>
            <w:tcBorders>
              <w:top w:val="single" w:sz="6" w:space="0" w:color="auto"/>
              <w:bottom w:val="single" w:sz="12" w:space="0" w:color="auto"/>
            </w:tcBorders>
            <w:shd w:val="clear" w:color="auto" w:fill="auto"/>
            <w:hideMark/>
          </w:tcPr>
          <w:p w14:paraId="04F7D023" w14:textId="77777777" w:rsidR="001A514A" w:rsidRPr="00C033B1" w:rsidRDefault="001A514A" w:rsidP="00B22585">
            <w:pPr>
              <w:pStyle w:val="TableHeading"/>
            </w:pPr>
            <w:r w:rsidRPr="00C033B1">
              <w:t>Commencement</w:t>
            </w:r>
          </w:p>
        </w:tc>
        <w:tc>
          <w:tcPr>
            <w:tcW w:w="1102" w:type="pct"/>
            <w:tcBorders>
              <w:top w:val="single" w:sz="6" w:space="0" w:color="auto"/>
              <w:bottom w:val="single" w:sz="12" w:space="0" w:color="auto"/>
            </w:tcBorders>
            <w:shd w:val="clear" w:color="auto" w:fill="auto"/>
            <w:hideMark/>
          </w:tcPr>
          <w:p w14:paraId="31F88BA2" w14:textId="77777777" w:rsidR="001A514A" w:rsidRPr="00C033B1" w:rsidRDefault="001A514A" w:rsidP="00B22585">
            <w:pPr>
              <w:pStyle w:val="TableHeading"/>
            </w:pPr>
            <w:r w:rsidRPr="00C033B1">
              <w:t>Date/Details</w:t>
            </w:r>
          </w:p>
        </w:tc>
      </w:tr>
      <w:tr w:rsidR="001A514A" w:rsidRPr="00C033B1" w14:paraId="30AB6695" w14:textId="77777777" w:rsidTr="00775E26">
        <w:tc>
          <w:tcPr>
            <w:tcW w:w="1272" w:type="pct"/>
            <w:tcBorders>
              <w:top w:val="single" w:sz="12" w:space="0" w:color="auto"/>
              <w:bottom w:val="single" w:sz="12" w:space="0" w:color="auto"/>
            </w:tcBorders>
            <w:shd w:val="clear" w:color="auto" w:fill="auto"/>
            <w:hideMark/>
          </w:tcPr>
          <w:p w14:paraId="68481091" w14:textId="77777777" w:rsidR="001A514A" w:rsidRPr="00C033B1" w:rsidRDefault="001A514A" w:rsidP="00B22585">
            <w:pPr>
              <w:pStyle w:val="Tabletext"/>
            </w:pPr>
            <w:r w:rsidRPr="00C033B1">
              <w:t>1.  The whole of this instrument</w:t>
            </w:r>
          </w:p>
        </w:tc>
        <w:tc>
          <w:tcPr>
            <w:tcW w:w="2627" w:type="pct"/>
            <w:tcBorders>
              <w:top w:val="single" w:sz="12" w:space="0" w:color="auto"/>
              <w:bottom w:val="single" w:sz="12" w:space="0" w:color="auto"/>
            </w:tcBorders>
            <w:shd w:val="clear" w:color="auto" w:fill="auto"/>
            <w:hideMark/>
          </w:tcPr>
          <w:p w14:paraId="2FB0881B" w14:textId="77777777" w:rsidR="001A514A" w:rsidRPr="00C033B1" w:rsidRDefault="00B154CF" w:rsidP="00B22585">
            <w:pPr>
              <w:pStyle w:val="Tabletext"/>
            </w:pPr>
            <w:r w:rsidRPr="00C033B1">
              <w:t>1 April</w:t>
            </w:r>
            <w:r w:rsidR="001A514A" w:rsidRPr="00C033B1">
              <w:t xml:space="preserve"> 2023.</w:t>
            </w:r>
          </w:p>
        </w:tc>
        <w:tc>
          <w:tcPr>
            <w:tcW w:w="1102" w:type="pct"/>
            <w:tcBorders>
              <w:top w:val="single" w:sz="12" w:space="0" w:color="auto"/>
              <w:bottom w:val="single" w:sz="12" w:space="0" w:color="auto"/>
            </w:tcBorders>
            <w:shd w:val="clear" w:color="auto" w:fill="auto"/>
          </w:tcPr>
          <w:p w14:paraId="22625033" w14:textId="77777777" w:rsidR="001A514A" w:rsidRPr="00C033B1" w:rsidRDefault="00B154CF" w:rsidP="00B22585">
            <w:pPr>
              <w:pStyle w:val="Tabletext"/>
            </w:pPr>
            <w:r w:rsidRPr="00C033B1">
              <w:t>1 April</w:t>
            </w:r>
            <w:r w:rsidR="001A514A" w:rsidRPr="00C033B1">
              <w:t xml:space="preserve"> 2023</w:t>
            </w:r>
          </w:p>
        </w:tc>
      </w:tr>
    </w:tbl>
    <w:p w14:paraId="3A8B227E" w14:textId="77777777" w:rsidR="001A514A" w:rsidRPr="00C033B1" w:rsidRDefault="001A514A" w:rsidP="001A514A">
      <w:pPr>
        <w:pStyle w:val="notetext"/>
      </w:pPr>
      <w:r w:rsidRPr="00C033B1">
        <w:rPr>
          <w:snapToGrid w:val="0"/>
          <w:lang w:eastAsia="en-US"/>
        </w:rPr>
        <w:t>Note:</w:t>
      </w:r>
      <w:r w:rsidRPr="00C033B1">
        <w:rPr>
          <w:snapToGrid w:val="0"/>
          <w:lang w:eastAsia="en-US"/>
        </w:rPr>
        <w:tab/>
        <w:t>This table relates only to the provisions of this instrument</w:t>
      </w:r>
      <w:r w:rsidRPr="00C033B1">
        <w:t xml:space="preserve"> </w:t>
      </w:r>
      <w:r w:rsidRPr="00C033B1">
        <w:rPr>
          <w:snapToGrid w:val="0"/>
          <w:lang w:eastAsia="en-US"/>
        </w:rPr>
        <w:t>as originally made. It will not be amended to deal with any later amendments of this instrument.</w:t>
      </w:r>
    </w:p>
    <w:p w14:paraId="06B716BD" w14:textId="77777777" w:rsidR="001A514A" w:rsidRPr="00C033B1" w:rsidRDefault="001A514A" w:rsidP="001A514A">
      <w:pPr>
        <w:pStyle w:val="subsection"/>
      </w:pPr>
      <w:r w:rsidRPr="00C033B1">
        <w:tab/>
        <w:t>(2)</w:t>
      </w:r>
      <w:r w:rsidRPr="00C033B1">
        <w:tab/>
        <w:t>Any information in column 3 of the table is not part of this instrument. Information may be inserted in this column, or information in it may be edited, in any published version of this instrument.</w:t>
      </w:r>
    </w:p>
    <w:p w14:paraId="38F017C5" w14:textId="77777777" w:rsidR="009648B2" w:rsidRPr="00C033B1" w:rsidRDefault="009648B2" w:rsidP="009648B2">
      <w:pPr>
        <w:pStyle w:val="ActHead5"/>
      </w:pPr>
      <w:bookmarkStart w:id="4" w:name="_Toc114043959"/>
      <w:r w:rsidRPr="00025E64">
        <w:rPr>
          <w:rStyle w:val="CharSectno"/>
        </w:rPr>
        <w:t>1.02</w:t>
      </w:r>
      <w:r w:rsidRPr="00C033B1">
        <w:t xml:space="preserve">  Authority</w:t>
      </w:r>
      <w:bookmarkEnd w:id="4"/>
    </w:p>
    <w:p w14:paraId="6DCCA280" w14:textId="77777777" w:rsidR="009648B2" w:rsidRPr="00C033B1" w:rsidRDefault="009648B2" w:rsidP="009648B2">
      <w:pPr>
        <w:pStyle w:val="subsection"/>
      </w:pPr>
      <w:r w:rsidRPr="00C033B1">
        <w:tab/>
      </w:r>
      <w:r w:rsidRPr="00C033B1">
        <w:tab/>
        <w:t>This instrument is made under the following:</w:t>
      </w:r>
    </w:p>
    <w:p w14:paraId="5E8302B5" w14:textId="77777777" w:rsidR="009648B2" w:rsidRPr="00C033B1" w:rsidRDefault="009648B2" w:rsidP="009648B2">
      <w:pPr>
        <w:pStyle w:val="paragraph"/>
      </w:pPr>
      <w:r w:rsidRPr="00C033B1">
        <w:tab/>
        <w:t>(a)</w:t>
      </w:r>
      <w:r w:rsidRPr="00C033B1">
        <w:tab/>
        <w:t xml:space="preserve">the </w:t>
      </w:r>
      <w:r w:rsidRPr="00C033B1">
        <w:rPr>
          <w:i/>
        </w:rPr>
        <w:t>Federal Circuit and Family Court of Australia Act 2021</w:t>
      </w:r>
      <w:r w:rsidRPr="00C033B1">
        <w:t>;</w:t>
      </w:r>
    </w:p>
    <w:p w14:paraId="630BBD7B" w14:textId="77777777" w:rsidR="009648B2" w:rsidRPr="00C033B1" w:rsidRDefault="009648B2" w:rsidP="009648B2">
      <w:pPr>
        <w:pStyle w:val="paragraph"/>
      </w:pPr>
      <w:r w:rsidRPr="00C033B1">
        <w:tab/>
        <w:t>(b)</w:t>
      </w:r>
      <w:r w:rsidRPr="00C033B1">
        <w:tab/>
        <w:t xml:space="preserve">the </w:t>
      </w:r>
      <w:r w:rsidRPr="00C033B1">
        <w:rPr>
          <w:i/>
        </w:rPr>
        <w:t>Federal Court of Australia Act 1976</w:t>
      </w:r>
      <w:r w:rsidRPr="00C033B1">
        <w:t>.</w:t>
      </w:r>
    </w:p>
    <w:p w14:paraId="54710ED2" w14:textId="77777777" w:rsidR="001A514A" w:rsidRPr="00C033B1" w:rsidRDefault="001A514A" w:rsidP="001A514A">
      <w:pPr>
        <w:pStyle w:val="ActHead5"/>
      </w:pPr>
      <w:bookmarkStart w:id="5" w:name="_Toc114043960"/>
      <w:r w:rsidRPr="00025E64">
        <w:rPr>
          <w:rStyle w:val="CharSectno"/>
        </w:rPr>
        <w:t>1.02A</w:t>
      </w:r>
      <w:r w:rsidRPr="00C033B1">
        <w:t xml:space="preserve">  </w:t>
      </w:r>
      <w:r w:rsidR="005833F4" w:rsidRPr="00C033B1">
        <w:t>Schedule 3</w:t>
      </w:r>
      <w:bookmarkEnd w:id="5"/>
    </w:p>
    <w:p w14:paraId="105260CA" w14:textId="77777777" w:rsidR="001A514A" w:rsidRPr="00C033B1" w:rsidRDefault="001A514A" w:rsidP="00B22585">
      <w:pPr>
        <w:pStyle w:val="subsection"/>
      </w:pPr>
      <w:r w:rsidRPr="00C033B1">
        <w:tab/>
      </w:r>
      <w:r w:rsidRPr="00C033B1">
        <w:tab/>
        <w:t xml:space="preserve">Each instrument that is specified in </w:t>
      </w:r>
      <w:r w:rsidR="005833F4" w:rsidRPr="00C033B1">
        <w:t>Schedule 3</w:t>
      </w:r>
      <w:r w:rsidRPr="00C033B1">
        <w:t xml:space="preserve"> to this instrument is amended or repealed as set out in </w:t>
      </w:r>
      <w:r w:rsidR="00C85F04" w:rsidRPr="00C033B1">
        <w:t>that Schedule</w:t>
      </w:r>
      <w:r w:rsidRPr="00C033B1">
        <w:t xml:space="preserve">, and any other item in </w:t>
      </w:r>
      <w:r w:rsidR="00C85F04" w:rsidRPr="00C033B1">
        <w:t>that</w:t>
      </w:r>
      <w:r w:rsidRPr="00C033B1">
        <w:t xml:space="preserve"> Schedule has effect according to its terms.</w:t>
      </w:r>
    </w:p>
    <w:p w14:paraId="4357D856" w14:textId="77777777" w:rsidR="009648B2" w:rsidRPr="00C033B1" w:rsidRDefault="009648B2" w:rsidP="009648B2">
      <w:pPr>
        <w:pStyle w:val="ActHead5"/>
      </w:pPr>
      <w:bookmarkStart w:id="6" w:name="_Toc114043961"/>
      <w:r w:rsidRPr="00025E64">
        <w:rPr>
          <w:rStyle w:val="CharSectno"/>
        </w:rPr>
        <w:t>1.03</w:t>
      </w:r>
      <w:r w:rsidRPr="00C033B1">
        <w:t xml:space="preserve">  Definitions</w:t>
      </w:r>
      <w:bookmarkEnd w:id="6"/>
    </w:p>
    <w:p w14:paraId="1C132280" w14:textId="77777777" w:rsidR="00D10F0E" w:rsidRPr="00C033B1" w:rsidRDefault="009648B2" w:rsidP="00D10F0E">
      <w:pPr>
        <w:pStyle w:val="notetext"/>
      </w:pPr>
      <w:r w:rsidRPr="00C033B1">
        <w:t>Note</w:t>
      </w:r>
      <w:r w:rsidR="00D10F0E" w:rsidRPr="00C033B1">
        <w:t xml:space="preserve"> 1</w:t>
      </w:r>
      <w:r w:rsidRPr="00C033B1">
        <w:t>:</w:t>
      </w:r>
      <w:r w:rsidRPr="00C033B1">
        <w:tab/>
        <w:t>A number of expressions used in this instrument are defined in the Federal Court Act</w:t>
      </w:r>
      <w:r w:rsidR="00D10F0E" w:rsidRPr="00C033B1">
        <w:t>, including the following:</w:t>
      </w:r>
    </w:p>
    <w:p w14:paraId="251F5860" w14:textId="77777777" w:rsidR="00D10F0E" w:rsidRPr="00C033B1" w:rsidRDefault="00D10F0E" w:rsidP="00D10F0E">
      <w:pPr>
        <w:pStyle w:val="notepara"/>
      </w:pPr>
      <w:r w:rsidRPr="00C033B1">
        <w:t>(a)</w:t>
      </w:r>
      <w:r w:rsidRPr="00C033B1">
        <w:tab/>
        <w:t>juror;</w:t>
      </w:r>
    </w:p>
    <w:p w14:paraId="3E8E267A" w14:textId="77777777" w:rsidR="00D10F0E" w:rsidRPr="00C033B1" w:rsidRDefault="00D10F0E" w:rsidP="00D10F0E">
      <w:pPr>
        <w:pStyle w:val="notepara"/>
      </w:pPr>
      <w:r w:rsidRPr="00C033B1">
        <w:t>(b)</w:t>
      </w:r>
      <w:r w:rsidRPr="00C033B1">
        <w:tab/>
        <w:t>potential juror.</w:t>
      </w:r>
    </w:p>
    <w:p w14:paraId="6E66FAB9" w14:textId="77777777" w:rsidR="00D10F0E" w:rsidRPr="00C033B1" w:rsidRDefault="00D10F0E" w:rsidP="00D10F0E">
      <w:pPr>
        <w:pStyle w:val="notetext"/>
      </w:pPr>
      <w:r w:rsidRPr="00C033B1">
        <w:t>Note 2:</w:t>
      </w:r>
      <w:r w:rsidRPr="00C033B1">
        <w:tab/>
        <w:t>A number of expressions used in this instrument are defined in the Federal Circuit and Family Court Act, including the following:</w:t>
      </w:r>
    </w:p>
    <w:p w14:paraId="7FAD7454" w14:textId="77777777" w:rsidR="00D10F0E" w:rsidRPr="00C033B1" w:rsidRDefault="00D10F0E" w:rsidP="00D10F0E">
      <w:pPr>
        <w:pStyle w:val="notepara"/>
      </w:pPr>
      <w:r w:rsidRPr="00C033B1">
        <w:t>(a)</w:t>
      </w:r>
      <w:r w:rsidRPr="00C033B1">
        <w:tab/>
      </w:r>
      <w:r w:rsidR="00CA2BA1" w:rsidRPr="00C033B1">
        <w:t>Chief Executive Officer;</w:t>
      </w:r>
    </w:p>
    <w:p w14:paraId="3C54B4B9" w14:textId="77777777" w:rsidR="00CA2BA1" w:rsidRPr="00C033B1" w:rsidRDefault="00CA2BA1" w:rsidP="00D10F0E">
      <w:pPr>
        <w:pStyle w:val="notepara"/>
      </w:pPr>
      <w:r w:rsidRPr="00C033B1">
        <w:t>(b)</w:t>
      </w:r>
      <w:r w:rsidRPr="00C033B1">
        <w:tab/>
      </w:r>
      <w:r w:rsidR="00390F43" w:rsidRPr="00C033B1">
        <w:t>Registrar.</w:t>
      </w:r>
    </w:p>
    <w:p w14:paraId="18A600F0" w14:textId="77777777" w:rsidR="009648B2" w:rsidRPr="00C033B1" w:rsidRDefault="009648B2" w:rsidP="009648B2">
      <w:pPr>
        <w:pStyle w:val="subsection"/>
      </w:pPr>
      <w:r w:rsidRPr="00C033B1">
        <w:tab/>
      </w:r>
      <w:r w:rsidR="005344A5" w:rsidRPr="00C033B1">
        <w:t>(1)</w:t>
      </w:r>
      <w:r w:rsidRPr="00C033B1">
        <w:tab/>
        <w:t>In this instrument:</w:t>
      </w:r>
    </w:p>
    <w:p w14:paraId="337EC7F6" w14:textId="77777777" w:rsidR="009648B2" w:rsidRPr="00C033B1" w:rsidRDefault="009648B2" w:rsidP="009648B2">
      <w:pPr>
        <w:pStyle w:val="Definition"/>
      </w:pPr>
      <w:r w:rsidRPr="00C033B1">
        <w:rPr>
          <w:b/>
          <w:i/>
        </w:rPr>
        <w:lastRenderedPageBreak/>
        <w:t>applicant</w:t>
      </w:r>
      <w:r w:rsidRPr="00C033B1">
        <w:t>, in relation to a proceeding, means the person who commences the proceeding.</w:t>
      </w:r>
    </w:p>
    <w:p w14:paraId="21C9FADE" w14:textId="77777777" w:rsidR="005B3F85" w:rsidRPr="00C033B1" w:rsidRDefault="005B3F85" w:rsidP="009648B2">
      <w:pPr>
        <w:pStyle w:val="Definition"/>
      </w:pPr>
      <w:r w:rsidRPr="00C033B1">
        <w:rPr>
          <w:b/>
          <w:i/>
        </w:rPr>
        <w:t>approved user of court services</w:t>
      </w:r>
      <w:r w:rsidR="00EC0784" w:rsidRPr="00C033B1">
        <w:t>, in relation to a relevant court</w:t>
      </w:r>
      <w:r w:rsidRPr="00C033B1">
        <w:t xml:space="preserve">: see </w:t>
      </w:r>
      <w:r w:rsidR="007D3911" w:rsidRPr="00C033B1">
        <w:t>subsection 2</w:t>
      </w:r>
      <w:r w:rsidRPr="00C033B1">
        <w:t>.16(4).</w:t>
      </w:r>
    </w:p>
    <w:p w14:paraId="5CA9C999" w14:textId="77777777" w:rsidR="009648B2" w:rsidRPr="00C033B1" w:rsidRDefault="009648B2" w:rsidP="009648B2">
      <w:pPr>
        <w:pStyle w:val="Definition"/>
      </w:pPr>
      <w:r w:rsidRPr="00C033B1">
        <w:rPr>
          <w:b/>
          <w:i/>
        </w:rPr>
        <w:t>authorised officer</w:t>
      </w:r>
      <w:r w:rsidRPr="00C033B1">
        <w:t>, in relation to a power or function, means:</w:t>
      </w:r>
    </w:p>
    <w:p w14:paraId="78A7E033" w14:textId="77777777" w:rsidR="009648B2" w:rsidRPr="00C033B1" w:rsidRDefault="009648B2" w:rsidP="009648B2">
      <w:pPr>
        <w:pStyle w:val="paragraph"/>
      </w:pPr>
      <w:r w:rsidRPr="00C033B1">
        <w:tab/>
        <w:t>(a)</w:t>
      </w:r>
      <w:r w:rsidRPr="00C033B1">
        <w:tab/>
        <w:t xml:space="preserve">in relation to the Federal Court—an officer of that court who is authorised by the relevant Registrar of that court to exercise the power or carry out the function; </w:t>
      </w:r>
      <w:r w:rsidR="00CA2BA1" w:rsidRPr="00C033B1">
        <w:t>or</w:t>
      </w:r>
    </w:p>
    <w:p w14:paraId="5B50FAC3" w14:textId="77777777" w:rsidR="009648B2" w:rsidRPr="00C033B1" w:rsidRDefault="009648B2" w:rsidP="009648B2">
      <w:pPr>
        <w:pStyle w:val="paragraph"/>
      </w:pPr>
      <w:r w:rsidRPr="00C033B1">
        <w:tab/>
        <w:t>(b)</w:t>
      </w:r>
      <w:r w:rsidRPr="00C033B1">
        <w:tab/>
        <w:t>in relation to the Federal Circuit and Family Court of Australia (</w:t>
      </w:r>
      <w:r w:rsidR="007D3911" w:rsidRPr="00C033B1">
        <w:t>Division 2</w:t>
      </w:r>
      <w:r w:rsidRPr="00C033B1">
        <w:t>)—the following:</w:t>
      </w:r>
    </w:p>
    <w:p w14:paraId="4CB0FCF5" w14:textId="77777777" w:rsidR="009648B2" w:rsidRPr="00C033B1" w:rsidRDefault="009648B2" w:rsidP="009648B2">
      <w:pPr>
        <w:pStyle w:val="paragraphsub"/>
      </w:pPr>
      <w:r w:rsidRPr="00C033B1">
        <w:tab/>
        <w:t>(i)</w:t>
      </w:r>
      <w:r w:rsidRPr="00C033B1">
        <w:tab/>
        <w:t>an officer of that court authorised by the Chief Executive Officer to exercise the power or carry out the function;</w:t>
      </w:r>
    </w:p>
    <w:p w14:paraId="3CE50EFB" w14:textId="77777777" w:rsidR="009648B2" w:rsidRPr="00C033B1" w:rsidRDefault="009648B2" w:rsidP="009648B2">
      <w:pPr>
        <w:pStyle w:val="paragraphsub"/>
      </w:pPr>
      <w:r w:rsidRPr="00C033B1">
        <w:tab/>
        <w:t>(ii)</w:t>
      </w:r>
      <w:r w:rsidRPr="00C033B1">
        <w:tab/>
        <w:t xml:space="preserve">an officer of another court performing the function under an arrangement under </w:t>
      </w:r>
      <w:r w:rsidR="007D3911" w:rsidRPr="00C033B1">
        <w:t>section 2</w:t>
      </w:r>
      <w:r w:rsidRPr="00C033B1">
        <w:t xml:space="preserve">46 of </w:t>
      </w:r>
      <w:r w:rsidR="00CA2BA1" w:rsidRPr="00C033B1">
        <w:t>the Federal Circuit and Family Court Act</w:t>
      </w:r>
      <w:r w:rsidRPr="00C033B1">
        <w:t>;</w:t>
      </w:r>
    </w:p>
    <w:p w14:paraId="3A7C9411" w14:textId="77777777" w:rsidR="009648B2" w:rsidRPr="00C033B1" w:rsidRDefault="009648B2" w:rsidP="009648B2">
      <w:pPr>
        <w:pStyle w:val="paragraphsub"/>
      </w:pPr>
      <w:r w:rsidRPr="00C033B1">
        <w:tab/>
        <w:t>(iii)</w:t>
      </w:r>
      <w:r w:rsidRPr="00C033B1">
        <w:tab/>
        <w:t xml:space="preserve">an employee of an agency or organisation performing the function under an arrangement under </w:t>
      </w:r>
      <w:r w:rsidR="007D3911" w:rsidRPr="00C033B1">
        <w:t>section 2</w:t>
      </w:r>
      <w:r w:rsidRPr="00C033B1">
        <w:t>47 of that Act.</w:t>
      </w:r>
    </w:p>
    <w:p w14:paraId="584924B2" w14:textId="77777777" w:rsidR="00426E67" w:rsidRPr="00C033B1" w:rsidRDefault="00426E67" w:rsidP="00426E67">
      <w:pPr>
        <w:pStyle w:val="Definition"/>
      </w:pPr>
      <w:r w:rsidRPr="00C033B1">
        <w:rPr>
          <w:b/>
          <w:i/>
        </w:rPr>
        <w:t>corporation</w:t>
      </w:r>
      <w:r w:rsidRPr="00C033B1">
        <w:t>: see section 1.04.</w:t>
      </w:r>
    </w:p>
    <w:p w14:paraId="09119650" w14:textId="77777777" w:rsidR="00E20E44" w:rsidRPr="00C033B1" w:rsidRDefault="00E20E44" w:rsidP="00E20E44">
      <w:pPr>
        <w:pStyle w:val="Definition"/>
      </w:pPr>
      <w:r w:rsidRPr="00C033B1">
        <w:rPr>
          <w:b/>
          <w:i/>
        </w:rPr>
        <w:t>CPI number</w:t>
      </w:r>
      <w:r w:rsidR="007C6E3A" w:rsidRPr="00C033B1">
        <w:t>, for a quarter,</w:t>
      </w:r>
      <w:r w:rsidRPr="00C033B1">
        <w:t xml:space="preserve"> means the All Groups Consumer Price Index number (being the weighted average of the 8 Australian capital cities) published by the Australian Statistician</w:t>
      </w:r>
      <w:r w:rsidR="007C6E3A" w:rsidRPr="00C033B1">
        <w:t xml:space="preserve"> for that quarter</w:t>
      </w:r>
      <w:r w:rsidRPr="00C033B1">
        <w:t>.</w:t>
      </w:r>
    </w:p>
    <w:p w14:paraId="02C01FC8" w14:textId="77777777" w:rsidR="00D16B05" w:rsidRPr="00C033B1" w:rsidRDefault="00D16B05" w:rsidP="009648B2">
      <w:pPr>
        <w:pStyle w:val="Definition"/>
      </w:pPr>
      <w:r w:rsidRPr="00C033B1">
        <w:rPr>
          <w:b/>
          <w:i/>
        </w:rPr>
        <w:t>Family Law Act</w:t>
      </w:r>
      <w:r w:rsidRPr="00C033B1">
        <w:t xml:space="preserve"> means the </w:t>
      </w:r>
      <w:r w:rsidRPr="00C033B1">
        <w:rPr>
          <w:i/>
        </w:rPr>
        <w:t>Family Law Act 1975</w:t>
      </w:r>
      <w:r w:rsidRPr="00C033B1">
        <w:t>.</w:t>
      </w:r>
    </w:p>
    <w:p w14:paraId="1F8FEF49" w14:textId="77777777" w:rsidR="009648B2" w:rsidRPr="00C033B1" w:rsidRDefault="009648B2" w:rsidP="009648B2">
      <w:pPr>
        <w:pStyle w:val="Definition"/>
      </w:pPr>
      <w:r w:rsidRPr="00C033B1">
        <w:rPr>
          <w:b/>
          <w:i/>
        </w:rPr>
        <w:t>Federal Circuit and Family Court Act</w:t>
      </w:r>
      <w:r w:rsidRPr="00C033B1">
        <w:t xml:space="preserve"> means the </w:t>
      </w:r>
      <w:r w:rsidRPr="00C033B1">
        <w:rPr>
          <w:i/>
        </w:rPr>
        <w:t>Federal Circuit and Family Court of Australia Act 2021</w:t>
      </w:r>
      <w:r w:rsidRPr="00C033B1">
        <w:t>.</w:t>
      </w:r>
    </w:p>
    <w:p w14:paraId="6FDB7CC4" w14:textId="77777777" w:rsidR="009648B2" w:rsidRPr="00C033B1" w:rsidRDefault="009648B2" w:rsidP="009648B2">
      <w:pPr>
        <w:pStyle w:val="Definition"/>
      </w:pPr>
      <w:r w:rsidRPr="00C033B1">
        <w:rPr>
          <w:b/>
          <w:i/>
        </w:rPr>
        <w:t>Federal Court</w:t>
      </w:r>
      <w:r w:rsidRPr="00C033B1">
        <w:t xml:space="preserve"> means the Federal Court of Australia.</w:t>
      </w:r>
    </w:p>
    <w:p w14:paraId="524E535A" w14:textId="77777777" w:rsidR="009648B2" w:rsidRPr="00C033B1" w:rsidRDefault="009648B2" w:rsidP="009648B2">
      <w:pPr>
        <w:pStyle w:val="Definition"/>
      </w:pPr>
      <w:r w:rsidRPr="00C033B1">
        <w:rPr>
          <w:b/>
          <w:i/>
        </w:rPr>
        <w:t>Federal Court Act</w:t>
      </w:r>
      <w:r w:rsidRPr="00C033B1">
        <w:t xml:space="preserve"> means the </w:t>
      </w:r>
      <w:r w:rsidRPr="00C033B1">
        <w:rPr>
          <w:i/>
        </w:rPr>
        <w:t>Federal Court of Australia Act 1976</w:t>
      </w:r>
      <w:r w:rsidRPr="00C033B1">
        <w:t>.</w:t>
      </w:r>
    </w:p>
    <w:p w14:paraId="21E0901E" w14:textId="77777777" w:rsidR="009648B2" w:rsidRPr="00C033B1" w:rsidRDefault="009648B2" w:rsidP="009648B2">
      <w:pPr>
        <w:pStyle w:val="Definition"/>
      </w:pPr>
      <w:r w:rsidRPr="00C033B1">
        <w:rPr>
          <w:b/>
          <w:i/>
        </w:rPr>
        <w:t>Federal Court Rules</w:t>
      </w:r>
      <w:r w:rsidRPr="00C033B1">
        <w:t xml:space="preserve"> means the rules made under </w:t>
      </w:r>
      <w:r w:rsidR="007D3911" w:rsidRPr="00C033B1">
        <w:t>section 5</w:t>
      </w:r>
      <w:r w:rsidRPr="00C033B1">
        <w:t>9 of the Federal Court Act.</w:t>
      </w:r>
    </w:p>
    <w:p w14:paraId="3F05A25E" w14:textId="77777777" w:rsidR="009648B2" w:rsidRPr="00C033B1" w:rsidRDefault="009648B2" w:rsidP="009648B2">
      <w:pPr>
        <w:pStyle w:val="Definition"/>
      </w:pPr>
      <w:r w:rsidRPr="00C033B1">
        <w:rPr>
          <w:b/>
          <w:i/>
        </w:rPr>
        <w:t>filing fee</w:t>
      </w:r>
      <w:r w:rsidRPr="00C033B1">
        <w:t xml:space="preserve"> means a fee mentioned in any of </w:t>
      </w:r>
      <w:r w:rsidR="007D3911" w:rsidRPr="00C033B1">
        <w:t>items 1</w:t>
      </w:r>
      <w:r w:rsidRPr="00C033B1">
        <w:t xml:space="preserve">01 to 115C and 201 to 214A of </w:t>
      </w:r>
      <w:r w:rsidR="007D3911" w:rsidRPr="00C033B1">
        <w:t>Schedule 1</w:t>
      </w:r>
      <w:r w:rsidRPr="00C033B1">
        <w:t>.</w:t>
      </w:r>
    </w:p>
    <w:p w14:paraId="5632D753" w14:textId="77777777" w:rsidR="009648B2" w:rsidRPr="00C033B1" w:rsidRDefault="009648B2" w:rsidP="009648B2">
      <w:pPr>
        <w:pStyle w:val="Definition"/>
      </w:pPr>
      <w:r w:rsidRPr="00C033B1">
        <w:rPr>
          <w:b/>
          <w:i/>
        </w:rPr>
        <w:t>hearing fee</w:t>
      </w:r>
      <w:r w:rsidRPr="00C033B1">
        <w:t xml:space="preserve"> means a fee mentioned in any of </w:t>
      </w:r>
      <w:r w:rsidR="007D3911" w:rsidRPr="00C033B1">
        <w:t>items 1</w:t>
      </w:r>
      <w:r w:rsidRPr="00C033B1">
        <w:t xml:space="preserve">17 to 122 and 216 to 218 of </w:t>
      </w:r>
      <w:r w:rsidR="007D3911" w:rsidRPr="00C033B1">
        <w:t>Schedule 1</w:t>
      </w:r>
      <w:r w:rsidRPr="00C033B1">
        <w:t>.</w:t>
      </w:r>
    </w:p>
    <w:p w14:paraId="777B698F" w14:textId="77777777" w:rsidR="009648B2" w:rsidRPr="00C033B1" w:rsidRDefault="009648B2" w:rsidP="009648B2">
      <w:pPr>
        <w:pStyle w:val="Definition"/>
      </w:pPr>
      <w:r w:rsidRPr="00C033B1">
        <w:rPr>
          <w:b/>
          <w:i/>
        </w:rPr>
        <w:t>interlocutory application</w:t>
      </w:r>
      <w:r w:rsidRPr="00C033B1">
        <w:t xml:space="preserve"> means an application, other than a cross</w:t>
      </w:r>
      <w:r w:rsidR="00C033B1">
        <w:noBreakHyphen/>
      </w:r>
      <w:r w:rsidRPr="00C033B1">
        <w:t>claim, in a proceeding that has already commenced.</w:t>
      </w:r>
    </w:p>
    <w:p w14:paraId="548D8E0E" w14:textId="77777777" w:rsidR="009648B2" w:rsidRPr="00C033B1" w:rsidRDefault="009648B2" w:rsidP="009648B2">
      <w:pPr>
        <w:pStyle w:val="Definition"/>
      </w:pPr>
      <w:r w:rsidRPr="00C033B1">
        <w:rPr>
          <w:b/>
          <w:i/>
        </w:rPr>
        <w:t>liable person</w:t>
      </w:r>
      <w:r w:rsidRPr="00C033B1">
        <w:t xml:space="preserve">, in relation to a fee, means the person who is required to pay the fee under </w:t>
      </w:r>
      <w:r w:rsidR="007D3911" w:rsidRPr="00C033B1">
        <w:t>section 2</w:t>
      </w:r>
      <w:r w:rsidRPr="00C033B1">
        <w:t>.03.</w:t>
      </w:r>
    </w:p>
    <w:p w14:paraId="558F99B5" w14:textId="77777777" w:rsidR="00E20E44" w:rsidRPr="00C033B1" w:rsidRDefault="00E20E44" w:rsidP="00E20E44">
      <w:pPr>
        <w:pStyle w:val="Definition"/>
      </w:pPr>
      <w:r w:rsidRPr="00C033B1">
        <w:rPr>
          <w:b/>
          <w:i/>
        </w:rPr>
        <w:t>March quarter</w:t>
      </w:r>
      <w:r w:rsidRPr="00C033B1">
        <w:t xml:space="preserve"> means a period of 3 months ending at the end of March.</w:t>
      </w:r>
    </w:p>
    <w:p w14:paraId="0108A0CE" w14:textId="77777777" w:rsidR="009648B2" w:rsidRPr="00C033B1" w:rsidRDefault="009648B2" w:rsidP="009648B2">
      <w:pPr>
        <w:pStyle w:val="Definition"/>
      </w:pPr>
      <w:r w:rsidRPr="00C033B1">
        <w:rPr>
          <w:b/>
          <w:i/>
        </w:rPr>
        <w:t>mediation fee</w:t>
      </w:r>
      <w:r w:rsidRPr="00C033B1">
        <w:t xml:space="preserve"> means a fee mentioned in </w:t>
      </w:r>
      <w:r w:rsidR="005833F4" w:rsidRPr="00C033B1">
        <w:t>item 1</w:t>
      </w:r>
      <w:r w:rsidRPr="00C033B1">
        <w:t xml:space="preserve">32 or 224 of </w:t>
      </w:r>
      <w:r w:rsidR="007D3911" w:rsidRPr="00C033B1">
        <w:t>Schedule 1</w:t>
      </w:r>
      <w:r w:rsidRPr="00C033B1">
        <w:t>.</w:t>
      </w:r>
    </w:p>
    <w:p w14:paraId="430DAF77" w14:textId="77777777" w:rsidR="00963862" w:rsidRPr="00C033B1" w:rsidRDefault="00963862" w:rsidP="00963862">
      <w:pPr>
        <w:pStyle w:val="Definition"/>
      </w:pPr>
      <w:r w:rsidRPr="00C033B1">
        <w:rPr>
          <w:b/>
          <w:i/>
        </w:rPr>
        <w:t>public authority</w:t>
      </w:r>
      <w:r w:rsidRPr="00C033B1">
        <w:t xml:space="preserve"> means the following:</w:t>
      </w:r>
    </w:p>
    <w:p w14:paraId="7F113DA5" w14:textId="77777777" w:rsidR="00963862" w:rsidRPr="00C033B1" w:rsidRDefault="00963862" w:rsidP="00963862">
      <w:pPr>
        <w:pStyle w:val="paragraph"/>
      </w:pPr>
      <w:r w:rsidRPr="00C033B1">
        <w:lastRenderedPageBreak/>
        <w:tab/>
        <w:t>(a)</w:t>
      </w:r>
      <w:r w:rsidRPr="00C033B1">
        <w:tab/>
        <w:t>a body or authority of the Commonwealth or of a State or Territory, including the following:</w:t>
      </w:r>
    </w:p>
    <w:p w14:paraId="5376F14E" w14:textId="77777777" w:rsidR="00963862" w:rsidRPr="00C033B1" w:rsidRDefault="00963862" w:rsidP="00963862">
      <w:pPr>
        <w:pStyle w:val="paragraphsub"/>
      </w:pPr>
      <w:r w:rsidRPr="00C033B1">
        <w:tab/>
        <w:t>(i)</w:t>
      </w:r>
      <w:r w:rsidRPr="00C033B1">
        <w:tab/>
        <w:t>a Department of the Commonwealth or of a State or Territory;</w:t>
      </w:r>
    </w:p>
    <w:p w14:paraId="15141BAC" w14:textId="77777777" w:rsidR="00963862" w:rsidRPr="00C033B1" w:rsidRDefault="00963862" w:rsidP="00963862">
      <w:pPr>
        <w:pStyle w:val="paragraphsub"/>
      </w:pPr>
      <w:r w:rsidRPr="00C033B1">
        <w:tab/>
        <w:t>(ii)</w:t>
      </w:r>
      <w:r w:rsidRPr="00C033B1">
        <w:tab/>
        <w:t xml:space="preserve">a Department of the Parliament established under the </w:t>
      </w:r>
      <w:r w:rsidRPr="00C033B1">
        <w:rPr>
          <w:i/>
        </w:rPr>
        <w:t>Parliamentary Service Act 1999</w:t>
      </w:r>
      <w:r w:rsidRPr="00C033B1">
        <w:t>, a Department of the Parliament of a State or a Department of the legislature of a Territory;</w:t>
      </w:r>
    </w:p>
    <w:p w14:paraId="3F766343" w14:textId="77777777" w:rsidR="00963862" w:rsidRPr="00C033B1" w:rsidRDefault="00963862" w:rsidP="00963862">
      <w:pPr>
        <w:pStyle w:val="paragraphsub"/>
      </w:pPr>
      <w:r w:rsidRPr="00C033B1">
        <w:tab/>
        <w:t>(iii)</w:t>
      </w:r>
      <w:r w:rsidRPr="00C033B1">
        <w:tab/>
        <w:t>any other non</w:t>
      </w:r>
      <w:r w:rsidR="00C033B1">
        <w:noBreakHyphen/>
      </w:r>
      <w:r w:rsidRPr="00C033B1">
        <w:t xml:space="preserve">corporate Commonwealth entity within the meaning of the </w:t>
      </w:r>
      <w:r w:rsidRPr="00C033B1">
        <w:rPr>
          <w:i/>
        </w:rPr>
        <w:t>Public Governance, Performance and Accountability Act 2013</w:t>
      </w:r>
      <w:r w:rsidRPr="00C033B1">
        <w:t>;</w:t>
      </w:r>
    </w:p>
    <w:p w14:paraId="3BCAC9A5" w14:textId="77777777" w:rsidR="00963862" w:rsidRPr="00C033B1" w:rsidRDefault="00963862" w:rsidP="00963862">
      <w:pPr>
        <w:pStyle w:val="paragraph"/>
      </w:pPr>
      <w:r w:rsidRPr="00C033B1">
        <w:tab/>
        <w:t>(b)</w:t>
      </w:r>
      <w:r w:rsidRPr="00C033B1">
        <w:tab/>
        <w:t>a person representing a body or authority of the Commonwealth or of a State or Territory;</w:t>
      </w:r>
    </w:p>
    <w:p w14:paraId="6DA6A3A4" w14:textId="77777777" w:rsidR="00963862" w:rsidRPr="00C033B1" w:rsidRDefault="00963862" w:rsidP="00963862">
      <w:pPr>
        <w:pStyle w:val="paragraph"/>
      </w:pPr>
      <w:r w:rsidRPr="00C033B1">
        <w:tab/>
        <w:t>(c)</w:t>
      </w:r>
      <w:r w:rsidRPr="00C033B1">
        <w:tab/>
        <w:t>a Minister for the Commonwealth or for a State or Territory;</w:t>
      </w:r>
    </w:p>
    <w:p w14:paraId="2CE0CF94" w14:textId="77777777" w:rsidR="00963862" w:rsidRPr="00C033B1" w:rsidRDefault="00963862" w:rsidP="00963862">
      <w:pPr>
        <w:pStyle w:val="paragraph"/>
      </w:pPr>
      <w:r w:rsidRPr="00C033B1">
        <w:tab/>
        <w:t>(d)</w:t>
      </w:r>
      <w:r w:rsidRPr="00C033B1">
        <w:tab/>
        <w:t>a statutory office holder.</w:t>
      </w:r>
    </w:p>
    <w:p w14:paraId="47882420" w14:textId="77777777" w:rsidR="009648B2" w:rsidRPr="00C033B1" w:rsidRDefault="009648B2" w:rsidP="009648B2">
      <w:pPr>
        <w:pStyle w:val="Definition"/>
      </w:pPr>
      <w:r w:rsidRPr="00C033B1">
        <w:rPr>
          <w:b/>
          <w:i/>
        </w:rPr>
        <w:t>publicly listed company</w:t>
      </w:r>
      <w:r w:rsidRPr="00C033B1">
        <w:t xml:space="preserve"> means a company that is listed on a stock exchange or financial market in any country.</w:t>
      </w:r>
    </w:p>
    <w:p w14:paraId="4CDEC4C7" w14:textId="77777777" w:rsidR="009648B2" w:rsidRPr="00C033B1" w:rsidRDefault="009648B2" w:rsidP="009648B2">
      <w:pPr>
        <w:pStyle w:val="Definition"/>
      </w:pPr>
      <w:r w:rsidRPr="00C033B1">
        <w:rPr>
          <w:b/>
          <w:i/>
        </w:rPr>
        <w:t>relevant court</w:t>
      </w:r>
      <w:r w:rsidRPr="00C033B1">
        <w:t>, in relation to a proceeding, means:</w:t>
      </w:r>
    </w:p>
    <w:p w14:paraId="192FE860" w14:textId="77777777" w:rsidR="009648B2" w:rsidRPr="00C033B1" w:rsidRDefault="009648B2" w:rsidP="009648B2">
      <w:pPr>
        <w:pStyle w:val="paragraph"/>
      </w:pPr>
      <w:r w:rsidRPr="00C033B1">
        <w:tab/>
        <w:t>(a)</w:t>
      </w:r>
      <w:r w:rsidRPr="00C033B1">
        <w:tab/>
        <w:t xml:space="preserve">if the proceeding is in the Federal Court—that court; </w:t>
      </w:r>
      <w:r w:rsidR="00426E67" w:rsidRPr="00C033B1">
        <w:t>or</w:t>
      </w:r>
    </w:p>
    <w:p w14:paraId="5DF27BCC" w14:textId="77777777" w:rsidR="009648B2" w:rsidRPr="00C033B1" w:rsidRDefault="009648B2" w:rsidP="009648B2">
      <w:pPr>
        <w:pStyle w:val="paragraph"/>
      </w:pPr>
      <w:r w:rsidRPr="00C033B1">
        <w:tab/>
        <w:t>(b)</w:t>
      </w:r>
      <w:r w:rsidRPr="00C033B1">
        <w:tab/>
        <w:t>if the proceeding is in the Federal Circuit and Family Court of Australia (</w:t>
      </w:r>
      <w:r w:rsidR="007D3911" w:rsidRPr="00C033B1">
        <w:t>Division 2</w:t>
      </w:r>
      <w:r w:rsidRPr="00C033B1">
        <w:t>)—that court.</w:t>
      </w:r>
    </w:p>
    <w:p w14:paraId="3A84218B" w14:textId="77777777" w:rsidR="009648B2" w:rsidRPr="00C033B1" w:rsidRDefault="009648B2" w:rsidP="009648B2">
      <w:pPr>
        <w:pStyle w:val="Definition"/>
      </w:pPr>
      <w:r w:rsidRPr="00C033B1">
        <w:rPr>
          <w:b/>
          <w:i/>
        </w:rPr>
        <w:t>relevant period</w:t>
      </w:r>
      <w:r w:rsidRPr="00C033B1">
        <w:t xml:space="preserve"> means a financial year starting on or after 1 July </w:t>
      </w:r>
      <w:r w:rsidR="004C1A4B" w:rsidRPr="00C033B1">
        <w:t>2022</w:t>
      </w:r>
      <w:r w:rsidRPr="00C033B1">
        <w:t>.</w:t>
      </w:r>
    </w:p>
    <w:p w14:paraId="7A07A291" w14:textId="77777777" w:rsidR="009648B2" w:rsidRPr="00C033B1" w:rsidRDefault="009648B2" w:rsidP="009648B2">
      <w:pPr>
        <w:pStyle w:val="Definition"/>
      </w:pPr>
      <w:r w:rsidRPr="00C033B1">
        <w:rPr>
          <w:b/>
          <w:i/>
        </w:rPr>
        <w:t>relevant Registrar</w:t>
      </w:r>
      <w:r w:rsidRPr="00C033B1">
        <w:t xml:space="preserve"> of a court means:</w:t>
      </w:r>
    </w:p>
    <w:p w14:paraId="11F4830C" w14:textId="77777777" w:rsidR="009648B2" w:rsidRPr="00C033B1" w:rsidRDefault="009648B2" w:rsidP="009648B2">
      <w:pPr>
        <w:pStyle w:val="paragraph"/>
      </w:pPr>
      <w:r w:rsidRPr="00C033B1">
        <w:tab/>
        <w:t>(a)</w:t>
      </w:r>
      <w:r w:rsidRPr="00C033B1">
        <w:tab/>
        <w:t>in relation to the Federal Court—the following:</w:t>
      </w:r>
    </w:p>
    <w:p w14:paraId="6C542C43" w14:textId="77777777" w:rsidR="009648B2" w:rsidRPr="00C033B1" w:rsidRDefault="009648B2" w:rsidP="009648B2">
      <w:pPr>
        <w:pStyle w:val="paragraphsub"/>
      </w:pPr>
      <w:r w:rsidRPr="00C033B1">
        <w:tab/>
        <w:t>(i)</w:t>
      </w:r>
      <w:r w:rsidRPr="00C033B1">
        <w:tab/>
        <w:t>the Chief Executive Officer;</w:t>
      </w:r>
    </w:p>
    <w:p w14:paraId="7432FC6D" w14:textId="77777777" w:rsidR="00BD76B3" w:rsidRPr="00C033B1" w:rsidRDefault="00BD76B3" w:rsidP="009648B2">
      <w:pPr>
        <w:pStyle w:val="paragraphsub"/>
      </w:pPr>
      <w:r w:rsidRPr="00C033B1">
        <w:tab/>
        <w:t>(ii)</w:t>
      </w:r>
      <w:r w:rsidRPr="00C033B1">
        <w:tab/>
        <w:t>a Registrar of the court;</w:t>
      </w:r>
    </w:p>
    <w:p w14:paraId="630AC5A0" w14:textId="77777777" w:rsidR="009648B2" w:rsidRPr="00C033B1" w:rsidRDefault="009648B2" w:rsidP="009648B2">
      <w:pPr>
        <w:pStyle w:val="paragraphsub"/>
      </w:pPr>
      <w:r w:rsidRPr="00C033B1">
        <w:tab/>
        <w:t>(ii</w:t>
      </w:r>
      <w:r w:rsidR="00BD76B3" w:rsidRPr="00C033B1">
        <w:t>i</w:t>
      </w:r>
      <w:r w:rsidRPr="00C033B1">
        <w:t>)</w:t>
      </w:r>
      <w:r w:rsidRPr="00C033B1">
        <w:tab/>
        <w:t>a District Registrar of the court;</w:t>
      </w:r>
    </w:p>
    <w:p w14:paraId="2F4C77D9" w14:textId="77777777" w:rsidR="009648B2" w:rsidRPr="00C033B1" w:rsidRDefault="009648B2" w:rsidP="00BD76B3">
      <w:pPr>
        <w:pStyle w:val="paragraphsub"/>
      </w:pPr>
      <w:r w:rsidRPr="00C033B1">
        <w:tab/>
        <w:t>(i</w:t>
      </w:r>
      <w:r w:rsidR="00BD76B3" w:rsidRPr="00C033B1">
        <w:t>v</w:t>
      </w:r>
      <w:r w:rsidRPr="00C033B1">
        <w:t>)</w:t>
      </w:r>
      <w:r w:rsidRPr="00C033B1">
        <w:tab/>
        <w:t xml:space="preserve">a Deputy District Registrar of the court; </w:t>
      </w:r>
      <w:r w:rsidR="00FA5A00" w:rsidRPr="00C033B1">
        <w:t>or</w:t>
      </w:r>
    </w:p>
    <w:p w14:paraId="239E88D0" w14:textId="77777777" w:rsidR="009648B2" w:rsidRPr="00C033B1" w:rsidRDefault="009648B2" w:rsidP="009648B2">
      <w:pPr>
        <w:pStyle w:val="paragraph"/>
      </w:pPr>
      <w:r w:rsidRPr="00C033B1">
        <w:tab/>
        <w:t>(b)</w:t>
      </w:r>
      <w:r w:rsidRPr="00C033B1">
        <w:tab/>
        <w:t>in relation to the Federal Circuit and Family Court of Australia (</w:t>
      </w:r>
      <w:r w:rsidR="007D3911" w:rsidRPr="00C033B1">
        <w:t>Division 2</w:t>
      </w:r>
      <w:r w:rsidRPr="00C033B1">
        <w:t>)—the following:</w:t>
      </w:r>
    </w:p>
    <w:p w14:paraId="13F36A42" w14:textId="77777777" w:rsidR="009648B2" w:rsidRPr="00C033B1" w:rsidRDefault="009648B2" w:rsidP="009648B2">
      <w:pPr>
        <w:pStyle w:val="paragraphsub"/>
      </w:pPr>
      <w:r w:rsidRPr="00C033B1">
        <w:tab/>
        <w:t>(i)</w:t>
      </w:r>
      <w:r w:rsidRPr="00C033B1">
        <w:tab/>
        <w:t>the Chief Executive Officer;</w:t>
      </w:r>
    </w:p>
    <w:p w14:paraId="7C401F85" w14:textId="77777777" w:rsidR="009648B2" w:rsidRPr="00C033B1" w:rsidRDefault="009648B2" w:rsidP="009648B2">
      <w:pPr>
        <w:pStyle w:val="paragraphsub"/>
      </w:pPr>
      <w:r w:rsidRPr="00C033B1">
        <w:tab/>
        <w:t>(ii)</w:t>
      </w:r>
      <w:r w:rsidRPr="00C033B1">
        <w:tab/>
        <w:t>a Senior Registrar or Registrar of the court.</w:t>
      </w:r>
    </w:p>
    <w:p w14:paraId="43061E56" w14:textId="77777777" w:rsidR="009648B2" w:rsidRPr="00C033B1" w:rsidRDefault="009648B2" w:rsidP="009648B2">
      <w:pPr>
        <w:pStyle w:val="Definition"/>
      </w:pPr>
      <w:r w:rsidRPr="00C033B1">
        <w:rPr>
          <w:b/>
          <w:i/>
        </w:rPr>
        <w:t>setting down fee</w:t>
      </w:r>
      <w:r w:rsidRPr="00C033B1">
        <w:t xml:space="preserve"> means a fee mentioned in </w:t>
      </w:r>
      <w:r w:rsidR="005833F4" w:rsidRPr="00C033B1">
        <w:t>item 1</w:t>
      </w:r>
      <w:r w:rsidRPr="00C033B1">
        <w:t xml:space="preserve">16 or 215 of </w:t>
      </w:r>
      <w:r w:rsidR="007D3911" w:rsidRPr="00C033B1">
        <w:t>Schedule 1</w:t>
      </w:r>
      <w:r w:rsidRPr="00C033B1">
        <w:t>.</w:t>
      </w:r>
    </w:p>
    <w:p w14:paraId="5CC6AE2B" w14:textId="77777777" w:rsidR="00A63231" w:rsidRPr="00C033B1" w:rsidRDefault="00307B49" w:rsidP="009648B2">
      <w:pPr>
        <w:pStyle w:val="Definition"/>
      </w:pPr>
      <w:r w:rsidRPr="00C033B1">
        <w:rPr>
          <w:b/>
          <w:i/>
        </w:rPr>
        <w:t>s</w:t>
      </w:r>
      <w:r w:rsidR="00A63231" w:rsidRPr="00C033B1">
        <w:rPr>
          <w:b/>
          <w:i/>
        </w:rPr>
        <w:t>mall claims proceeding</w:t>
      </w:r>
      <w:r w:rsidR="00A63231" w:rsidRPr="00C033B1">
        <w:t xml:space="preserve"> means a proceeding dealt with as </w:t>
      </w:r>
      <w:r w:rsidRPr="00C033B1">
        <w:t>a small claims proceeding under:</w:t>
      </w:r>
    </w:p>
    <w:p w14:paraId="4D149B29" w14:textId="77777777" w:rsidR="00307B49" w:rsidRPr="00C033B1" w:rsidRDefault="00307B49" w:rsidP="00307B49">
      <w:pPr>
        <w:pStyle w:val="paragraph"/>
      </w:pPr>
      <w:r w:rsidRPr="00C033B1">
        <w:tab/>
        <w:t>(a)</w:t>
      </w:r>
      <w:r w:rsidRPr="00C033B1">
        <w:tab/>
      </w:r>
      <w:r w:rsidR="007D3911" w:rsidRPr="00C033B1">
        <w:t>section 5</w:t>
      </w:r>
      <w:r w:rsidRPr="00C033B1">
        <w:t xml:space="preserve">48 of the </w:t>
      </w:r>
      <w:r w:rsidRPr="00C033B1">
        <w:rPr>
          <w:i/>
        </w:rPr>
        <w:t>Fair Work Act 2009</w:t>
      </w:r>
      <w:r w:rsidRPr="00C033B1">
        <w:t>; or</w:t>
      </w:r>
    </w:p>
    <w:p w14:paraId="2A91512F" w14:textId="77777777" w:rsidR="00307B49" w:rsidRPr="00C033B1" w:rsidRDefault="00307B49" w:rsidP="00307B49">
      <w:pPr>
        <w:pStyle w:val="paragraph"/>
      </w:pPr>
      <w:r w:rsidRPr="00C033B1">
        <w:tab/>
        <w:t>(b)</w:t>
      </w:r>
      <w:r w:rsidRPr="00C033B1">
        <w:tab/>
        <w:t xml:space="preserve">section 199 of the </w:t>
      </w:r>
      <w:r w:rsidRPr="00C033B1">
        <w:rPr>
          <w:i/>
        </w:rPr>
        <w:t>National Consumer Credit Protection Act 2009</w:t>
      </w:r>
      <w:r w:rsidRPr="00C033B1">
        <w:t>.</w:t>
      </w:r>
    </w:p>
    <w:p w14:paraId="23E43106" w14:textId="77777777" w:rsidR="004C1A4B" w:rsidRPr="00C033B1" w:rsidRDefault="004C1A4B" w:rsidP="004C1A4B">
      <w:pPr>
        <w:pStyle w:val="SubsectionHead"/>
      </w:pPr>
      <w:bookmarkStart w:id="7" w:name="_Hlk105512760"/>
      <w:r w:rsidRPr="00C033B1">
        <w:t>Expressions used in this instrument that are defined in the Federal Court Act and the Federal Circuit and Family Court Act</w:t>
      </w:r>
    </w:p>
    <w:bookmarkEnd w:id="7"/>
    <w:p w14:paraId="04396875" w14:textId="77777777" w:rsidR="009648B2" w:rsidRPr="00C033B1" w:rsidRDefault="009648B2" w:rsidP="009648B2">
      <w:pPr>
        <w:pStyle w:val="subsection"/>
      </w:pPr>
      <w:r w:rsidRPr="00C033B1">
        <w:tab/>
        <w:t>(2)</w:t>
      </w:r>
      <w:r w:rsidRPr="00C033B1">
        <w:tab/>
        <w:t xml:space="preserve">When used in a provision of this instrument, </w:t>
      </w:r>
      <w:r w:rsidR="004C1A4B" w:rsidRPr="00C033B1">
        <w:t>an</w:t>
      </w:r>
      <w:r w:rsidRPr="00C033B1">
        <w:t xml:space="preserve"> expression </w:t>
      </w:r>
      <w:r w:rsidR="004C1A4B" w:rsidRPr="00C033B1">
        <w:t xml:space="preserve">defined in the Federal Court Act and the Federal Circuit and Family Court Act </w:t>
      </w:r>
      <w:r w:rsidRPr="00C033B1">
        <w:t>has the meaning given by whichever of those Acts is appropriate in the context of the application and operation of that provision.</w:t>
      </w:r>
    </w:p>
    <w:p w14:paraId="2969099A" w14:textId="77777777" w:rsidR="009648B2" w:rsidRPr="00C033B1" w:rsidRDefault="009648B2" w:rsidP="009648B2">
      <w:pPr>
        <w:pStyle w:val="ActHead5"/>
      </w:pPr>
      <w:bookmarkStart w:id="8" w:name="_Toc114043962"/>
      <w:r w:rsidRPr="00025E64">
        <w:rPr>
          <w:rStyle w:val="CharSectno"/>
        </w:rPr>
        <w:lastRenderedPageBreak/>
        <w:t>1.04</w:t>
      </w:r>
      <w:r w:rsidRPr="00C033B1">
        <w:t xml:space="preserve">  Meaning of </w:t>
      </w:r>
      <w:r w:rsidRPr="00C033B1">
        <w:rPr>
          <w:i/>
        </w:rPr>
        <w:t>corporation</w:t>
      </w:r>
      <w:bookmarkEnd w:id="8"/>
    </w:p>
    <w:p w14:paraId="3DA21C28" w14:textId="77777777" w:rsidR="009648B2" w:rsidRPr="00C033B1" w:rsidRDefault="009648B2" w:rsidP="009648B2">
      <w:pPr>
        <w:pStyle w:val="subsection"/>
      </w:pPr>
      <w:r w:rsidRPr="00C033B1">
        <w:tab/>
        <w:t>(1)</w:t>
      </w:r>
      <w:r w:rsidRPr="00C033B1">
        <w:tab/>
        <w:t xml:space="preserve">In this instrument, </w:t>
      </w:r>
      <w:r w:rsidRPr="00C033B1">
        <w:rPr>
          <w:b/>
          <w:i/>
        </w:rPr>
        <w:t>corporation</w:t>
      </w:r>
      <w:r w:rsidRPr="00C033B1">
        <w:t xml:space="preserve"> includes the following:</w:t>
      </w:r>
    </w:p>
    <w:p w14:paraId="0F1F01C0" w14:textId="77777777" w:rsidR="009648B2" w:rsidRPr="00C033B1" w:rsidRDefault="009648B2" w:rsidP="009648B2">
      <w:pPr>
        <w:pStyle w:val="paragraph"/>
      </w:pPr>
      <w:r w:rsidRPr="00C033B1">
        <w:tab/>
        <w:t>(a)</w:t>
      </w:r>
      <w:r w:rsidRPr="00C033B1">
        <w:tab/>
        <w:t>a company;</w:t>
      </w:r>
    </w:p>
    <w:p w14:paraId="3392E6B6" w14:textId="77777777" w:rsidR="009648B2" w:rsidRPr="00C033B1" w:rsidRDefault="009648B2" w:rsidP="009648B2">
      <w:pPr>
        <w:pStyle w:val="paragraph"/>
      </w:pPr>
      <w:r w:rsidRPr="00C033B1">
        <w:tab/>
        <w:t>(b)</w:t>
      </w:r>
      <w:r w:rsidRPr="00C033B1">
        <w:tab/>
        <w:t>a body corporate;</w:t>
      </w:r>
    </w:p>
    <w:p w14:paraId="25A9A44B" w14:textId="77777777" w:rsidR="009648B2" w:rsidRPr="00C033B1" w:rsidRDefault="009648B2" w:rsidP="009648B2">
      <w:pPr>
        <w:pStyle w:val="paragraph"/>
      </w:pPr>
      <w:r w:rsidRPr="00C033B1">
        <w:tab/>
        <w:t>(c)</w:t>
      </w:r>
      <w:r w:rsidRPr="00C033B1">
        <w:tab/>
        <w:t>an unincorporated body that, under the law of the place where the body is formed, may:</w:t>
      </w:r>
    </w:p>
    <w:p w14:paraId="7810925B" w14:textId="77777777" w:rsidR="009648B2" w:rsidRPr="00C033B1" w:rsidRDefault="009648B2" w:rsidP="009648B2">
      <w:pPr>
        <w:pStyle w:val="paragraphsub"/>
      </w:pPr>
      <w:r w:rsidRPr="00C033B1">
        <w:tab/>
        <w:t>(i)</w:t>
      </w:r>
      <w:r w:rsidRPr="00C033B1">
        <w:tab/>
        <w:t>sue or be sued; or</w:t>
      </w:r>
    </w:p>
    <w:p w14:paraId="2ECBA758" w14:textId="77777777" w:rsidR="009648B2" w:rsidRPr="00C033B1" w:rsidRDefault="009648B2" w:rsidP="009648B2">
      <w:pPr>
        <w:pStyle w:val="paragraphsub"/>
      </w:pPr>
      <w:r w:rsidRPr="00C033B1">
        <w:tab/>
        <w:t>(ii)</w:t>
      </w:r>
      <w:r w:rsidRPr="00C033B1">
        <w:tab/>
        <w:t>hold property in the name of the secretary of the body or an office holder of the body appointed for that purpose;</w:t>
      </w:r>
    </w:p>
    <w:p w14:paraId="55DF9F3A" w14:textId="77777777" w:rsidR="009648B2" w:rsidRPr="00C033B1" w:rsidRDefault="009648B2" w:rsidP="009648B2">
      <w:pPr>
        <w:pStyle w:val="paragraph"/>
      </w:pPr>
      <w:r w:rsidRPr="00C033B1">
        <w:tab/>
        <w:t>(</w:t>
      </w:r>
      <w:r w:rsidR="00FA5A00" w:rsidRPr="00C033B1">
        <w:t>d</w:t>
      </w:r>
      <w:r w:rsidRPr="00C033B1">
        <w:t>)</w:t>
      </w:r>
      <w:r w:rsidRPr="00C033B1">
        <w:tab/>
        <w:t xml:space="preserve">a corporation registered under the </w:t>
      </w:r>
      <w:r w:rsidRPr="00C033B1">
        <w:rPr>
          <w:i/>
        </w:rPr>
        <w:t>Corporations (Aboriginal and Torres Strait Islander) Act 2006</w:t>
      </w:r>
      <w:r w:rsidRPr="00C033B1">
        <w:t>;</w:t>
      </w:r>
    </w:p>
    <w:p w14:paraId="7EEC601D" w14:textId="77777777" w:rsidR="009648B2" w:rsidRPr="00C033B1" w:rsidRDefault="009648B2" w:rsidP="009648B2">
      <w:pPr>
        <w:pStyle w:val="paragraph"/>
      </w:pPr>
      <w:r w:rsidRPr="00C033B1">
        <w:tab/>
        <w:t>(</w:t>
      </w:r>
      <w:r w:rsidR="00FA5A00" w:rsidRPr="00C033B1">
        <w:t>e</w:t>
      </w:r>
      <w:r w:rsidRPr="00C033B1">
        <w:t>)</w:t>
      </w:r>
      <w:r w:rsidRPr="00C033B1">
        <w:tab/>
        <w:t>a trade union.</w:t>
      </w:r>
    </w:p>
    <w:p w14:paraId="4D3035E4" w14:textId="77777777" w:rsidR="009648B2" w:rsidRPr="00C033B1" w:rsidRDefault="009648B2" w:rsidP="009648B2">
      <w:pPr>
        <w:pStyle w:val="subsection"/>
      </w:pPr>
      <w:r w:rsidRPr="00C033B1">
        <w:tab/>
        <w:t>(2)</w:t>
      </w:r>
      <w:r w:rsidRPr="00C033B1">
        <w:tab/>
        <w:t xml:space="preserve">However, </w:t>
      </w:r>
      <w:r w:rsidRPr="00C033B1">
        <w:rPr>
          <w:b/>
          <w:i/>
        </w:rPr>
        <w:t>corporation</w:t>
      </w:r>
      <w:r w:rsidRPr="00C033B1">
        <w:t xml:space="preserve"> does not include the following:</w:t>
      </w:r>
    </w:p>
    <w:p w14:paraId="4D904152" w14:textId="77777777" w:rsidR="009648B2" w:rsidRPr="00C033B1" w:rsidRDefault="009648B2" w:rsidP="009648B2">
      <w:pPr>
        <w:pStyle w:val="paragraph"/>
      </w:pPr>
      <w:r w:rsidRPr="00C033B1">
        <w:tab/>
        <w:t>(a)</w:t>
      </w:r>
      <w:r w:rsidRPr="00C033B1">
        <w:tab/>
        <w:t>a corporation sole;</w:t>
      </w:r>
    </w:p>
    <w:p w14:paraId="3226CA4C" w14:textId="77777777" w:rsidR="009648B2" w:rsidRPr="00C033B1" w:rsidRDefault="009648B2" w:rsidP="009648B2">
      <w:pPr>
        <w:pStyle w:val="paragraph"/>
      </w:pPr>
      <w:r w:rsidRPr="00C033B1">
        <w:tab/>
        <w:t>(b)</w:t>
      </w:r>
      <w:r w:rsidRPr="00C033B1">
        <w:tab/>
        <w:t>a small business;</w:t>
      </w:r>
    </w:p>
    <w:p w14:paraId="152B817B" w14:textId="77777777" w:rsidR="009648B2" w:rsidRPr="00C033B1" w:rsidRDefault="009648B2" w:rsidP="009648B2">
      <w:pPr>
        <w:pStyle w:val="paragraph"/>
      </w:pPr>
      <w:r w:rsidRPr="00C033B1">
        <w:tab/>
        <w:t>(c)</w:t>
      </w:r>
      <w:r w:rsidRPr="00C033B1">
        <w:tab/>
        <w:t>an unincorporated not</w:t>
      </w:r>
      <w:r w:rsidR="00C033B1">
        <w:noBreakHyphen/>
      </w:r>
      <w:r w:rsidRPr="00C033B1">
        <w:t>for</w:t>
      </w:r>
      <w:r w:rsidR="00C033B1">
        <w:noBreakHyphen/>
      </w:r>
      <w:r w:rsidRPr="00C033B1">
        <w:t>profit association;</w:t>
      </w:r>
    </w:p>
    <w:p w14:paraId="4113042E" w14:textId="77777777" w:rsidR="009648B2" w:rsidRPr="00C033B1" w:rsidRDefault="009648B2" w:rsidP="009648B2">
      <w:pPr>
        <w:pStyle w:val="paragraph"/>
      </w:pPr>
      <w:r w:rsidRPr="00C033B1">
        <w:tab/>
        <w:t>(d)</w:t>
      </w:r>
      <w:r w:rsidRPr="00C033B1">
        <w:tab/>
        <w:t>a public authority.</w:t>
      </w:r>
    </w:p>
    <w:p w14:paraId="119430E8" w14:textId="77777777" w:rsidR="008879F5" w:rsidRPr="00C033B1" w:rsidRDefault="00963862" w:rsidP="008879F5">
      <w:pPr>
        <w:pStyle w:val="subsection"/>
      </w:pPr>
      <w:r w:rsidRPr="00C033B1">
        <w:tab/>
      </w:r>
      <w:r w:rsidR="008879F5" w:rsidRPr="00C033B1">
        <w:t>(3)</w:t>
      </w:r>
      <w:r w:rsidR="008879F5" w:rsidRPr="00C033B1">
        <w:tab/>
        <w:t xml:space="preserve">For </w:t>
      </w:r>
      <w:r w:rsidR="005833F4" w:rsidRPr="00C033B1">
        <w:t>paragraph (</w:t>
      </w:r>
      <w:r w:rsidR="008879F5" w:rsidRPr="00C033B1">
        <w:t xml:space="preserve">2)(b), a </w:t>
      </w:r>
      <w:r w:rsidR="008879F5" w:rsidRPr="00C033B1">
        <w:rPr>
          <w:b/>
          <w:i/>
        </w:rPr>
        <w:t>small business</w:t>
      </w:r>
      <w:r w:rsidR="008879F5" w:rsidRPr="00C033B1">
        <w:t xml:space="preserve"> is a business with:</w:t>
      </w:r>
    </w:p>
    <w:p w14:paraId="7D24DFBC" w14:textId="77777777" w:rsidR="008879F5" w:rsidRPr="00C033B1" w:rsidRDefault="008879F5" w:rsidP="008879F5">
      <w:pPr>
        <w:pStyle w:val="paragraph"/>
      </w:pPr>
      <w:r w:rsidRPr="00C033B1">
        <w:tab/>
        <w:t>(a)</w:t>
      </w:r>
      <w:r w:rsidRPr="00C033B1">
        <w:tab/>
        <w:t>no more than 19 employees; and</w:t>
      </w:r>
    </w:p>
    <w:p w14:paraId="0AA83CFD" w14:textId="77777777" w:rsidR="008879F5" w:rsidRPr="00C033B1" w:rsidRDefault="008879F5" w:rsidP="008879F5">
      <w:pPr>
        <w:pStyle w:val="paragraph"/>
      </w:pPr>
      <w:r w:rsidRPr="00C033B1">
        <w:tab/>
        <w:t>(b)</w:t>
      </w:r>
      <w:r w:rsidRPr="00C033B1">
        <w:tab/>
        <w:t>a total turnover of less than $2 million each year.</w:t>
      </w:r>
    </w:p>
    <w:p w14:paraId="73387BF7" w14:textId="77777777" w:rsidR="00963862" w:rsidRPr="00C033B1" w:rsidRDefault="008879F5" w:rsidP="008879F5">
      <w:pPr>
        <w:pStyle w:val="subsection"/>
      </w:pPr>
      <w:r w:rsidRPr="00C033B1">
        <w:tab/>
      </w:r>
      <w:r w:rsidR="00963862" w:rsidRPr="00C033B1">
        <w:t>(</w:t>
      </w:r>
      <w:r w:rsidRPr="00C033B1">
        <w:t>4</w:t>
      </w:r>
      <w:r w:rsidR="00963862" w:rsidRPr="00C033B1">
        <w:t>)</w:t>
      </w:r>
      <w:r w:rsidR="00963862" w:rsidRPr="00C033B1">
        <w:tab/>
      </w:r>
      <w:r w:rsidRPr="00C033B1">
        <w:t xml:space="preserve">For </w:t>
      </w:r>
      <w:r w:rsidR="005833F4" w:rsidRPr="00C033B1">
        <w:t>paragraph (</w:t>
      </w:r>
      <w:r w:rsidRPr="00C033B1">
        <w:t xml:space="preserve">2)(c), a </w:t>
      </w:r>
      <w:r w:rsidR="00963862" w:rsidRPr="00C033B1">
        <w:rPr>
          <w:b/>
          <w:i/>
        </w:rPr>
        <w:t>not</w:t>
      </w:r>
      <w:r w:rsidR="00C033B1">
        <w:rPr>
          <w:b/>
          <w:i/>
        </w:rPr>
        <w:noBreakHyphen/>
      </w:r>
      <w:r w:rsidR="00963862" w:rsidRPr="00C033B1">
        <w:rPr>
          <w:b/>
          <w:i/>
        </w:rPr>
        <w:t>for</w:t>
      </w:r>
      <w:r w:rsidR="00C033B1">
        <w:rPr>
          <w:b/>
          <w:i/>
        </w:rPr>
        <w:noBreakHyphen/>
      </w:r>
      <w:r w:rsidR="00963862" w:rsidRPr="00C033B1">
        <w:rPr>
          <w:b/>
          <w:i/>
        </w:rPr>
        <w:t>profit association</w:t>
      </w:r>
      <w:r w:rsidR="00963862" w:rsidRPr="00C033B1">
        <w:t xml:space="preserve"> </w:t>
      </w:r>
      <w:r w:rsidRPr="00C033B1">
        <w:t>is</w:t>
      </w:r>
      <w:r w:rsidR="00963862" w:rsidRPr="00C033B1">
        <w:t xml:space="preserve"> a society, club, institution or body that is not formed for the purpose of trading or securing pecuniary profit from its transactions for its members.</w:t>
      </w:r>
    </w:p>
    <w:p w14:paraId="58F8AC90" w14:textId="77777777" w:rsidR="008879F5" w:rsidRPr="00C033B1" w:rsidRDefault="008879F5" w:rsidP="008879F5">
      <w:pPr>
        <w:pStyle w:val="subsection"/>
      </w:pPr>
      <w:r w:rsidRPr="00C033B1">
        <w:tab/>
        <w:t>(5)</w:t>
      </w:r>
      <w:r w:rsidRPr="00C033B1">
        <w:tab/>
        <w:t xml:space="preserve">A corporation is not required to be subject to the </w:t>
      </w:r>
      <w:r w:rsidRPr="00C033B1">
        <w:rPr>
          <w:i/>
        </w:rPr>
        <w:t>Corporations Act 2001</w:t>
      </w:r>
      <w:r w:rsidRPr="00C033B1">
        <w:t xml:space="preserve"> to be a corporation for </w:t>
      </w:r>
      <w:r w:rsidR="00FA5A00" w:rsidRPr="00C033B1">
        <w:t>the purposes of this</w:t>
      </w:r>
      <w:r w:rsidRPr="00C033B1">
        <w:t xml:space="preserve"> instrument.</w:t>
      </w:r>
    </w:p>
    <w:p w14:paraId="5700F7A3" w14:textId="77777777" w:rsidR="009648B2" w:rsidRPr="00C033B1" w:rsidRDefault="00B154CF" w:rsidP="00775E26">
      <w:pPr>
        <w:pStyle w:val="ActHead2"/>
        <w:pageBreakBefore/>
      </w:pPr>
      <w:bookmarkStart w:id="9" w:name="_Toc114043963"/>
      <w:r w:rsidRPr="00025E64">
        <w:rPr>
          <w:rStyle w:val="CharPartNo"/>
        </w:rPr>
        <w:lastRenderedPageBreak/>
        <w:t>Part 2</w:t>
      </w:r>
      <w:r w:rsidR="009648B2" w:rsidRPr="00C033B1">
        <w:t>—</w:t>
      </w:r>
      <w:r w:rsidR="009648B2" w:rsidRPr="00025E64">
        <w:rPr>
          <w:rStyle w:val="CharPartText"/>
        </w:rPr>
        <w:t>Fees</w:t>
      </w:r>
      <w:bookmarkEnd w:id="9"/>
    </w:p>
    <w:p w14:paraId="5B29148F" w14:textId="77777777" w:rsidR="009648B2" w:rsidRPr="00C033B1" w:rsidRDefault="007D3911" w:rsidP="009648B2">
      <w:pPr>
        <w:pStyle w:val="ActHead3"/>
      </w:pPr>
      <w:bookmarkStart w:id="10" w:name="_Toc114043964"/>
      <w:r w:rsidRPr="00025E64">
        <w:rPr>
          <w:rStyle w:val="CharDivNo"/>
        </w:rPr>
        <w:t>Division 2</w:t>
      </w:r>
      <w:r w:rsidR="009648B2" w:rsidRPr="00025E64">
        <w:rPr>
          <w:rStyle w:val="CharDivNo"/>
        </w:rPr>
        <w:t>.1</w:t>
      </w:r>
      <w:r w:rsidR="009648B2" w:rsidRPr="00C033B1">
        <w:t>—</w:t>
      </w:r>
      <w:r w:rsidR="00775E26" w:rsidRPr="00025E64">
        <w:rPr>
          <w:rStyle w:val="CharDivText"/>
        </w:rPr>
        <w:t>G</w:t>
      </w:r>
      <w:r w:rsidR="009648B2" w:rsidRPr="00025E64">
        <w:rPr>
          <w:rStyle w:val="CharDivText"/>
        </w:rPr>
        <w:t>eneral</w:t>
      </w:r>
      <w:bookmarkEnd w:id="10"/>
    </w:p>
    <w:p w14:paraId="5206A4D0" w14:textId="77777777" w:rsidR="009648B2" w:rsidRPr="00C033B1" w:rsidRDefault="009648B2" w:rsidP="009648B2">
      <w:pPr>
        <w:pStyle w:val="ActHead5"/>
      </w:pPr>
      <w:bookmarkStart w:id="11" w:name="_Toc114043965"/>
      <w:r w:rsidRPr="00025E64">
        <w:rPr>
          <w:rStyle w:val="CharSectno"/>
        </w:rPr>
        <w:t>2.01</w:t>
      </w:r>
      <w:r w:rsidRPr="00C033B1">
        <w:t xml:space="preserve">  Purpose of this Part</w:t>
      </w:r>
      <w:bookmarkEnd w:id="11"/>
    </w:p>
    <w:p w14:paraId="63EDAADC" w14:textId="77777777" w:rsidR="009648B2" w:rsidRPr="00C033B1" w:rsidRDefault="009648B2" w:rsidP="0023142C">
      <w:pPr>
        <w:pStyle w:val="subsection"/>
      </w:pPr>
      <w:r w:rsidRPr="00C033B1">
        <w:tab/>
      </w:r>
      <w:r w:rsidRPr="00C033B1">
        <w:tab/>
        <w:t>This Part prescribes matters relating to fees for the purposes of</w:t>
      </w:r>
      <w:r w:rsidR="0023142C" w:rsidRPr="00C033B1">
        <w:t xml:space="preserve"> </w:t>
      </w:r>
      <w:r w:rsidRPr="00C033B1">
        <w:t>section 60 of the Federal Court Act</w:t>
      </w:r>
      <w:r w:rsidR="0023142C" w:rsidRPr="00C033B1">
        <w:t xml:space="preserve"> and </w:t>
      </w:r>
      <w:r w:rsidR="007D3911" w:rsidRPr="00C033B1">
        <w:t>section 2</w:t>
      </w:r>
      <w:r w:rsidRPr="00C033B1">
        <w:t>85</w:t>
      </w:r>
      <w:r w:rsidR="005C0CD2" w:rsidRPr="00C033B1">
        <w:t xml:space="preserve"> </w:t>
      </w:r>
      <w:r w:rsidRPr="00C033B1">
        <w:t>of the Federal Circuit and Family Court Act.</w:t>
      </w:r>
    </w:p>
    <w:p w14:paraId="2FC097F5" w14:textId="77777777" w:rsidR="00775E26" w:rsidRPr="00C033B1" w:rsidRDefault="00775E26" w:rsidP="00775E26">
      <w:pPr>
        <w:pStyle w:val="ActHead5"/>
      </w:pPr>
      <w:bookmarkStart w:id="12" w:name="_Toc114043966"/>
      <w:r w:rsidRPr="00025E64">
        <w:rPr>
          <w:rStyle w:val="CharSectno"/>
        </w:rPr>
        <w:t>2.01A</w:t>
      </w:r>
      <w:r w:rsidRPr="00C033B1">
        <w:t xml:space="preserve">  Application of this Part</w:t>
      </w:r>
      <w:bookmarkEnd w:id="12"/>
    </w:p>
    <w:p w14:paraId="0A926A46" w14:textId="77777777" w:rsidR="00775E26" w:rsidRPr="00C033B1" w:rsidRDefault="00775E26" w:rsidP="00775E26">
      <w:pPr>
        <w:pStyle w:val="subsection"/>
      </w:pPr>
      <w:r w:rsidRPr="00C033B1">
        <w:tab/>
      </w:r>
      <w:r w:rsidRPr="00C033B1">
        <w:tab/>
        <w:t>This Part applies to a fee for a service that is requested, or for the filing of a document that is lodged, in relation to the following:</w:t>
      </w:r>
    </w:p>
    <w:p w14:paraId="2E03B1DC" w14:textId="77777777" w:rsidR="00775E26" w:rsidRPr="00C033B1" w:rsidRDefault="00775E26" w:rsidP="00775E26">
      <w:pPr>
        <w:pStyle w:val="paragraph"/>
      </w:pPr>
      <w:r w:rsidRPr="00C033B1">
        <w:tab/>
        <w:t>(a)</w:t>
      </w:r>
      <w:r w:rsidRPr="00C033B1">
        <w:tab/>
        <w:t>a proceeding in the Federal Court;</w:t>
      </w:r>
    </w:p>
    <w:p w14:paraId="5ECB01C3" w14:textId="77777777" w:rsidR="00775E26" w:rsidRPr="00C033B1" w:rsidRDefault="00775E26" w:rsidP="00775E26">
      <w:pPr>
        <w:pStyle w:val="paragraph"/>
      </w:pPr>
      <w:r w:rsidRPr="00C033B1">
        <w:tab/>
        <w:t>(b)</w:t>
      </w:r>
      <w:r w:rsidRPr="00C033B1">
        <w:tab/>
        <w:t>a proceeding in the Federal Circuit and Family Court of Australia (</w:t>
      </w:r>
      <w:r w:rsidR="007D3911" w:rsidRPr="00C033B1">
        <w:t>Division 2</w:t>
      </w:r>
      <w:r w:rsidRPr="00C033B1">
        <w:t>)</w:t>
      </w:r>
      <w:r w:rsidR="00065B45" w:rsidRPr="00C033B1">
        <w:t xml:space="preserve">, </w:t>
      </w:r>
      <w:r w:rsidRPr="00C033B1">
        <w:t xml:space="preserve">other than a proceeding under the </w:t>
      </w:r>
      <w:r w:rsidR="00D16B05" w:rsidRPr="00C033B1">
        <w:t>Family Law Act</w:t>
      </w:r>
      <w:r w:rsidRPr="00C033B1">
        <w:t>.</w:t>
      </w:r>
    </w:p>
    <w:p w14:paraId="2D0F8290" w14:textId="77777777" w:rsidR="00E70410" w:rsidRPr="00C033B1" w:rsidRDefault="00E70410" w:rsidP="00E70410">
      <w:pPr>
        <w:pStyle w:val="notetext"/>
      </w:pPr>
      <w:r w:rsidRPr="00C033B1">
        <w:t>Note:</w:t>
      </w:r>
      <w:r w:rsidRPr="00C033B1">
        <w:tab/>
        <w:t xml:space="preserve">For fees in relation to proceedings under the </w:t>
      </w:r>
      <w:r w:rsidR="00D16B05" w:rsidRPr="00C033B1">
        <w:t>Family Law Act</w:t>
      </w:r>
      <w:r w:rsidRPr="00C033B1">
        <w:t xml:space="preserve">, see the </w:t>
      </w:r>
      <w:r w:rsidRPr="00C033B1">
        <w:rPr>
          <w:i/>
        </w:rPr>
        <w:t xml:space="preserve">Family Law (Fees) </w:t>
      </w:r>
      <w:r w:rsidR="00C033B1" w:rsidRPr="00C033B1">
        <w:rPr>
          <w:i/>
        </w:rPr>
        <w:t>Regulations 2</w:t>
      </w:r>
      <w:r w:rsidRPr="00C033B1">
        <w:rPr>
          <w:i/>
        </w:rPr>
        <w:t>022</w:t>
      </w:r>
      <w:r w:rsidRPr="00C033B1">
        <w:t>.</w:t>
      </w:r>
    </w:p>
    <w:p w14:paraId="4710974B" w14:textId="77777777" w:rsidR="009648B2" w:rsidRPr="00C033B1" w:rsidRDefault="009648B2" w:rsidP="009648B2">
      <w:pPr>
        <w:pStyle w:val="ActHead5"/>
      </w:pPr>
      <w:bookmarkStart w:id="13" w:name="_Toc114043967"/>
      <w:r w:rsidRPr="00025E64">
        <w:rPr>
          <w:rStyle w:val="CharSectno"/>
        </w:rPr>
        <w:t>2.02</w:t>
      </w:r>
      <w:r w:rsidRPr="00C033B1">
        <w:t xml:space="preserve">  Fees</w:t>
      </w:r>
      <w:bookmarkEnd w:id="13"/>
    </w:p>
    <w:p w14:paraId="6288EEF0" w14:textId="77777777" w:rsidR="009648B2" w:rsidRPr="00C033B1" w:rsidRDefault="009648B2" w:rsidP="009648B2">
      <w:pPr>
        <w:pStyle w:val="subsection"/>
      </w:pPr>
      <w:r w:rsidRPr="00C033B1">
        <w:tab/>
        <w:t>(1)</w:t>
      </w:r>
      <w:r w:rsidRPr="00C033B1">
        <w:tab/>
      </w:r>
      <w:r w:rsidR="007D3911" w:rsidRPr="00C033B1">
        <w:t>Schedule 1</w:t>
      </w:r>
      <w:r w:rsidRPr="00C033B1">
        <w:t xml:space="preserve"> sets out the fees payable </w:t>
      </w:r>
      <w:r w:rsidR="0050060F" w:rsidRPr="00C033B1">
        <w:t xml:space="preserve">for </w:t>
      </w:r>
      <w:r w:rsidRPr="00C033B1">
        <w:t>the following:</w:t>
      </w:r>
    </w:p>
    <w:p w14:paraId="3A434D19" w14:textId="77777777" w:rsidR="009648B2" w:rsidRPr="00C033B1" w:rsidRDefault="009648B2" w:rsidP="009648B2">
      <w:pPr>
        <w:pStyle w:val="paragraph"/>
      </w:pPr>
      <w:r w:rsidRPr="00C033B1">
        <w:tab/>
        <w:t>(a)</w:t>
      </w:r>
      <w:r w:rsidRPr="00C033B1">
        <w:tab/>
        <w:t>the filing of a document</w:t>
      </w:r>
      <w:r w:rsidR="00C254EF" w:rsidRPr="00C033B1">
        <w:t xml:space="preserve"> in relation to a proceeding</w:t>
      </w:r>
      <w:r w:rsidRPr="00C033B1">
        <w:t>;</w:t>
      </w:r>
    </w:p>
    <w:p w14:paraId="42F17EBD" w14:textId="77777777" w:rsidR="009648B2" w:rsidRPr="00C033B1" w:rsidRDefault="009648B2" w:rsidP="009648B2">
      <w:pPr>
        <w:pStyle w:val="paragraph"/>
      </w:pPr>
      <w:r w:rsidRPr="00C033B1">
        <w:tab/>
        <w:t>(b)</w:t>
      </w:r>
      <w:r w:rsidRPr="00C033B1">
        <w:tab/>
        <w:t>a service in relation to a proceeding</w:t>
      </w:r>
      <w:r w:rsidR="00065B45" w:rsidRPr="00C033B1">
        <w:t xml:space="preserve"> provided</w:t>
      </w:r>
      <w:r w:rsidRPr="00C033B1">
        <w:t xml:space="preserve"> by:</w:t>
      </w:r>
    </w:p>
    <w:p w14:paraId="4597FD83" w14:textId="77777777" w:rsidR="009648B2" w:rsidRPr="00C033B1" w:rsidRDefault="009648B2" w:rsidP="009648B2">
      <w:pPr>
        <w:pStyle w:val="paragraphsub"/>
      </w:pPr>
      <w:r w:rsidRPr="00C033B1">
        <w:tab/>
        <w:t>(i)</w:t>
      </w:r>
      <w:r w:rsidRPr="00C033B1">
        <w:tab/>
      </w:r>
      <w:r w:rsidR="00622718" w:rsidRPr="00C033B1">
        <w:t>a</w:t>
      </w:r>
      <w:r w:rsidRPr="00C033B1">
        <w:t xml:space="preserve"> relevant court; or</w:t>
      </w:r>
    </w:p>
    <w:p w14:paraId="72E57728" w14:textId="77777777" w:rsidR="009648B2" w:rsidRPr="00C033B1" w:rsidRDefault="009648B2" w:rsidP="009648B2">
      <w:pPr>
        <w:pStyle w:val="paragraphsub"/>
      </w:pPr>
      <w:r w:rsidRPr="00C033B1">
        <w:tab/>
        <w:t>(ii)</w:t>
      </w:r>
      <w:r w:rsidRPr="00C033B1">
        <w:tab/>
        <w:t xml:space="preserve">an officer of </w:t>
      </w:r>
      <w:r w:rsidR="00622718" w:rsidRPr="00C033B1">
        <w:t>a</w:t>
      </w:r>
      <w:r w:rsidRPr="00C033B1">
        <w:t xml:space="preserve"> relevant court; or</w:t>
      </w:r>
    </w:p>
    <w:p w14:paraId="6819414D" w14:textId="77777777" w:rsidR="009648B2" w:rsidRPr="00C033B1" w:rsidRDefault="009648B2" w:rsidP="009648B2">
      <w:pPr>
        <w:pStyle w:val="paragraphsub"/>
      </w:pPr>
      <w:r w:rsidRPr="00C033B1">
        <w:tab/>
        <w:t>(iii)</w:t>
      </w:r>
      <w:r w:rsidRPr="00C033B1">
        <w:tab/>
        <w:t xml:space="preserve">another person acting on behalf of </w:t>
      </w:r>
      <w:r w:rsidR="00622718" w:rsidRPr="00C033B1">
        <w:t>a</w:t>
      </w:r>
      <w:r w:rsidRPr="00C033B1">
        <w:t xml:space="preserve"> relevant court.</w:t>
      </w:r>
    </w:p>
    <w:p w14:paraId="2BEB05E9" w14:textId="77777777" w:rsidR="009648B2" w:rsidRPr="00C033B1" w:rsidRDefault="009648B2" w:rsidP="009648B2">
      <w:pPr>
        <w:pStyle w:val="notetext"/>
      </w:pPr>
      <w:r w:rsidRPr="00C033B1">
        <w:t>Note 1:</w:t>
      </w:r>
      <w:r w:rsidRPr="00C033B1">
        <w:tab/>
        <w:t xml:space="preserve">Fees are subject to increase under </w:t>
      </w:r>
      <w:r w:rsidR="007D3911" w:rsidRPr="00C033B1">
        <w:t>section 2</w:t>
      </w:r>
      <w:r w:rsidRPr="00C033B1">
        <w:t>.20.</w:t>
      </w:r>
    </w:p>
    <w:p w14:paraId="724E7470" w14:textId="77777777" w:rsidR="009648B2" w:rsidRPr="00C033B1" w:rsidRDefault="009648B2" w:rsidP="009648B2">
      <w:pPr>
        <w:pStyle w:val="notetext"/>
      </w:pPr>
      <w:r w:rsidRPr="00C033B1">
        <w:t>Note 2:</w:t>
      </w:r>
      <w:r w:rsidRPr="00C033B1">
        <w:tab/>
        <w:t xml:space="preserve">Fees are not payable in some circumstances: see </w:t>
      </w:r>
      <w:r w:rsidR="007D3911" w:rsidRPr="00C033B1">
        <w:t>Division 2</w:t>
      </w:r>
      <w:r w:rsidRPr="00C033B1">
        <w:t>.4.</w:t>
      </w:r>
    </w:p>
    <w:p w14:paraId="46D5E0C0" w14:textId="77777777" w:rsidR="009648B2" w:rsidRPr="00C033B1" w:rsidRDefault="009648B2" w:rsidP="009648B2">
      <w:pPr>
        <w:pStyle w:val="subsection"/>
      </w:pPr>
      <w:r w:rsidRPr="00C033B1">
        <w:tab/>
        <w:t>(2)</w:t>
      </w:r>
      <w:r w:rsidRPr="00C033B1">
        <w:tab/>
        <w:t xml:space="preserve">If </w:t>
      </w:r>
      <w:r w:rsidR="00065B45" w:rsidRPr="00C033B1">
        <w:t>the</w:t>
      </w:r>
      <w:r w:rsidR="005C0CD2" w:rsidRPr="00C033B1">
        <w:t xml:space="preserve"> liable person for</w:t>
      </w:r>
      <w:r w:rsidRPr="00C033B1">
        <w:t xml:space="preserve"> a fee mentioned in an item in </w:t>
      </w:r>
      <w:r w:rsidR="007D3911" w:rsidRPr="00C033B1">
        <w:t>Schedule 1</w:t>
      </w:r>
      <w:r w:rsidRPr="00C033B1">
        <w:t xml:space="preserve"> is a corporation, the fee payable is:</w:t>
      </w:r>
    </w:p>
    <w:p w14:paraId="161C0D87" w14:textId="77777777" w:rsidR="009648B2" w:rsidRPr="00C033B1" w:rsidRDefault="009648B2" w:rsidP="009648B2">
      <w:pPr>
        <w:pStyle w:val="paragraph"/>
      </w:pPr>
      <w:r w:rsidRPr="00C033B1">
        <w:tab/>
        <w:t>(a)</w:t>
      </w:r>
      <w:r w:rsidRPr="00C033B1">
        <w:tab/>
        <w:t>if the corporation is a publicly listed company and a fee is mentioned in the item for a publicly listed company—that fee; or</w:t>
      </w:r>
    </w:p>
    <w:p w14:paraId="4D3FBD79" w14:textId="77777777" w:rsidR="009648B2" w:rsidRPr="00C033B1" w:rsidRDefault="009648B2" w:rsidP="009648B2">
      <w:pPr>
        <w:pStyle w:val="paragraph"/>
      </w:pPr>
      <w:r w:rsidRPr="00C033B1">
        <w:tab/>
        <w:t>(</w:t>
      </w:r>
      <w:r w:rsidR="002D48A2" w:rsidRPr="00C033B1">
        <w:t>b</w:t>
      </w:r>
      <w:r w:rsidRPr="00C033B1">
        <w:t>)</w:t>
      </w:r>
      <w:r w:rsidRPr="00C033B1">
        <w:tab/>
        <w:t>if the corporation is a publicly listed company and a fee is mentioned in the item for a corporation, but not for a publicly listed company—that fee; or</w:t>
      </w:r>
    </w:p>
    <w:p w14:paraId="2154A519" w14:textId="77777777" w:rsidR="009648B2" w:rsidRPr="00C033B1" w:rsidRDefault="009648B2" w:rsidP="009648B2">
      <w:pPr>
        <w:pStyle w:val="paragraph"/>
      </w:pPr>
      <w:r w:rsidRPr="00C033B1">
        <w:tab/>
        <w:t>(</w:t>
      </w:r>
      <w:r w:rsidR="002D48A2" w:rsidRPr="00C033B1">
        <w:t>c</w:t>
      </w:r>
      <w:r w:rsidRPr="00C033B1">
        <w:t>)</w:t>
      </w:r>
      <w:r w:rsidRPr="00C033B1">
        <w:tab/>
        <w:t>if the corporation is not a publicly listed company and a fee is mentioned in the item for a corporation—that fee; or</w:t>
      </w:r>
    </w:p>
    <w:p w14:paraId="474E7744" w14:textId="77777777" w:rsidR="009648B2" w:rsidRPr="00C033B1" w:rsidRDefault="009648B2" w:rsidP="009648B2">
      <w:pPr>
        <w:pStyle w:val="paragraph"/>
      </w:pPr>
      <w:r w:rsidRPr="00C033B1">
        <w:tab/>
        <w:t>(</w:t>
      </w:r>
      <w:r w:rsidR="002D48A2" w:rsidRPr="00C033B1">
        <w:t>d</w:t>
      </w:r>
      <w:r w:rsidRPr="00C033B1">
        <w:t>)</w:t>
      </w:r>
      <w:r w:rsidRPr="00C033B1">
        <w:tab/>
        <w:t>if no fee is mentioned in the item specifically for a corporation or a publicly listed company—the fee mentioned in the item.</w:t>
      </w:r>
    </w:p>
    <w:p w14:paraId="2842349C" w14:textId="77777777" w:rsidR="00B622B1" w:rsidRPr="00C033B1" w:rsidRDefault="009648B2" w:rsidP="00B622B1">
      <w:pPr>
        <w:pStyle w:val="subsection"/>
      </w:pPr>
      <w:r w:rsidRPr="00C033B1">
        <w:tab/>
        <w:t>(3)</w:t>
      </w:r>
      <w:r w:rsidRPr="00C033B1">
        <w:tab/>
      </w:r>
      <w:r w:rsidR="00B622B1" w:rsidRPr="00C033B1">
        <w:t>However, if:</w:t>
      </w:r>
    </w:p>
    <w:p w14:paraId="0EE91466" w14:textId="77777777" w:rsidR="00B622B1" w:rsidRPr="00C033B1" w:rsidRDefault="00B622B1" w:rsidP="00B622B1">
      <w:pPr>
        <w:pStyle w:val="paragraph"/>
      </w:pPr>
      <w:r w:rsidRPr="00C033B1">
        <w:tab/>
        <w:t>(a)</w:t>
      </w:r>
      <w:r w:rsidRPr="00C033B1">
        <w:tab/>
        <w:t xml:space="preserve">under </w:t>
      </w:r>
      <w:r w:rsidR="007D3911" w:rsidRPr="00C033B1">
        <w:t>section 2</w:t>
      </w:r>
      <w:r w:rsidRPr="00C033B1">
        <w:t xml:space="preserve">.03, a particular fee mentioned in an item in </w:t>
      </w:r>
      <w:r w:rsidR="007D3911" w:rsidRPr="00C033B1">
        <w:t>Schedule 1</w:t>
      </w:r>
      <w:r w:rsidRPr="00C033B1">
        <w:t xml:space="preserve"> is payable by more than one person; and</w:t>
      </w:r>
    </w:p>
    <w:p w14:paraId="1EC04AB9" w14:textId="77777777" w:rsidR="00B622B1" w:rsidRPr="00C033B1" w:rsidRDefault="00B622B1" w:rsidP="00B622B1">
      <w:pPr>
        <w:pStyle w:val="paragraph"/>
      </w:pPr>
      <w:r w:rsidRPr="00C033B1">
        <w:tab/>
        <w:t>(b)</w:t>
      </w:r>
      <w:r w:rsidRPr="00C033B1">
        <w:tab/>
        <w:t>the item mentions different fees for different persons; and</w:t>
      </w:r>
    </w:p>
    <w:p w14:paraId="51FF617D" w14:textId="77777777" w:rsidR="00B622B1" w:rsidRPr="00C033B1" w:rsidRDefault="00B622B1" w:rsidP="00B622B1">
      <w:pPr>
        <w:pStyle w:val="paragraph"/>
      </w:pPr>
      <w:r w:rsidRPr="00C033B1">
        <w:tab/>
        <w:t>(c)</w:t>
      </w:r>
      <w:r w:rsidRPr="00C033B1">
        <w:tab/>
        <w:t xml:space="preserve">at least 2 of the persons mentioned in </w:t>
      </w:r>
      <w:r w:rsidR="005833F4" w:rsidRPr="00C033B1">
        <w:t>paragraph (</w:t>
      </w:r>
      <w:r w:rsidRPr="00C033B1">
        <w:t>a) are different persons;</w:t>
      </w:r>
    </w:p>
    <w:p w14:paraId="4D4BE0C9" w14:textId="77777777" w:rsidR="009648B2" w:rsidRPr="00C033B1" w:rsidRDefault="00B622B1" w:rsidP="00B622B1">
      <w:pPr>
        <w:pStyle w:val="subsection2"/>
      </w:pPr>
      <w:r w:rsidRPr="00C033B1">
        <w:lastRenderedPageBreak/>
        <w:t>the only fee that is payable in relation to that particular fee is the highest fee that applies to any of those persons.</w:t>
      </w:r>
    </w:p>
    <w:p w14:paraId="72FB59D4" w14:textId="77777777" w:rsidR="009648B2" w:rsidRPr="00C033B1" w:rsidRDefault="007D3911" w:rsidP="004507C2">
      <w:pPr>
        <w:pStyle w:val="ActHead3"/>
        <w:pageBreakBefore/>
      </w:pPr>
      <w:bookmarkStart w:id="14" w:name="_Toc114043968"/>
      <w:r w:rsidRPr="00025E64">
        <w:rPr>
          <w:rStyle w:val="CharDivNo"/>
        </w:rPr>
        <w:lastRenderedPageBreak/>
        <w:t>Division 2</w:t>
      </w:r>
      <w:r w:rsidR="009648B2" w:rsidRPr="00025E64">
        <w:rPr>
          <w:rStyle w:val="CharDivNo"/>
        </w:rPr>
        <w:t>.2</w:t>
      </w:r>
      <w:r w:rsidR="009648B2" w:rsidRPr="00C033B1">
        <w:t>—</w:t>
      </w:r>
      <w:r w:rsidR="009648B2" w:rsidRPr="00025E64">
        <w:rPr>
          <w:rStyle w:val="CharDivText"/>
        </w:rPr>
        <w:t>Liability to pay fee</w:t>
      </w:r>
      <w:r w:rsidR="00065B45" w:rsidRPr="00025E64">
        <w:rPr>
          <w:rStyle w:val="CharDivText"/>
        </w:rPr>
        <w:t>s</w:t>
      </w:r>
      <w:bookmarkEnd w:id="14"/>
    </w:p>
    <w:p w14:paraId="2FB21FEA" w14:textId="77777777" w:rsidR="009648B2" w:rsidRPr="00C033B1" w:rsidRDefault="009648B2" w:rsidP="009648B2">
      <w:pPr>
        <w:pStyle w:val="ActHead5"/>
      </w:pPr>
      <w:bookmarkStart w:id="15" w:name="_Toc114043969"/>
      <w:r w:rsidRPr="00025E64">
        <w:rPr>
          <w:rStyle w:val="CharSectno"/>
        </w:rPr>
        <w:t>2.03</w:t>
      </w:r>
      <w:r w:rsidRPr="00C033B1">
        <w:t xml:space="preserve">  Persons liable to pay fee</w:t>
      </w:r>
      <w:r w:rsidR="00065B45" w:rsidRPr="00C033B1">
        <w:t>s</w:t>
      </w:r>
      <w:bookmarkEnd w:id="15"/>
    </w:p>
    <w:p w14:paraId="5F7F1E43" w14:textId="77777777" w:rsidR="009648B2" w:rsidRPr="00C033B1" w:rsidRDefault="009648B2" w:rsidP="009648B2">
      <w:pPr>
        <w:pStyle w:val="subsection"/>
      </w:pPr>
      <w:r w:rsidRPr="00C033B1">
        <w:tab/>
        <w:t>(1)</w:t>
      </w:r>
      <w:r w:rsidRPr="00C033B1">
        <w:tab/>
        <w:t xml:space="preserve">A fee in relation to a proceeding </w:t>
      </w:r>
      <w:r w:rsidR="003C7AB6" w:rsidRPr="00C033B1">
        <w:t xml:space="preserve">in a relevant court </w:t>
      </w:r>
      <w:r w:rsidRPr="00C033B1">
        <w:t>is payable as set out in this section, unless the relevant court, or a Judge or relevant Registrar of that court, directs otherwise.</w:t>
      </w:r>
    </w:p>
    <w:p w14:paraId="2AB8CA68" w14:textId="77777777" w:rsidR="009648B2" w:rsidRPr="00C033B1" w:rsidRDefault="009648B2" w:rsidP="009648B2">
      <w:pPr>
        <w:pStyle w:val="SubsectionHead"/>
      </w:pPr>
      <w:r w:rsidRPr="00C033B1">
        <w:t>Filing fee</w:t>
      </w:r>
      <w:r w:rsidR="003C7AB6" w:rsidRPr="00C033B1">
        <w:t>s</w:t>
      </w:r>
    </w:p>
    <w:p w14:paraId="0E39B800" w14:textId="77777777" w:rsidR="009648B2" w:rsidRPr="00C033B1" w:rsidRDefault="009648B2" w:rsidP="009648B2">
      <w:pPr>
        <w:pStyle w:val="subsection"/>
      </w:pPr>
      <w:r w:rsidRPr="00C033B1">
        <w:tab/>
        <w:t>(2)</w:t>
      </w:r>
      <w:r w:rsidRPr="00C033B1">
        <w:tab/>
        <w:t xml:space="preserve">A filing fee is payable by the person for whom the </w:t>
      </w:r>
      <w:r w:rsidR="003C7AB6" w:rsidRPr="00C033B1">
        <w:t xml:space="preserve">relevant </w:t>
      </w:r>
      <w:r w:rsidRPr="00C033B1">
        <w:t>document is filed.</w:t>
      </w:r>
    </w:p>
    <w:p w14:paraId="57547EA9" w14:textId="77777777" w:rsidR="009648B2" w:rsidRPr="00C033B1" w:rsidRDefault="003C7AB6" w:rsidP="009648B2">
      <w:pPr>
        <w:pStyle w:val="SubsectionHead"/>
      </w:pPr>
      <w:r w:rsidRPr="00C033B1">
        <w:t>Setting down fees and h</w:t>
      </w:r>
      <w:r w:rsidR="009648B2" w:rsidRPr="00C033B1">
        <w:t>earing fee</w:t>
      </w:r>
      <w:r w:rsidRPr="00C033B1">
        <w:t>s</w:t>
      </w:r>
    </w:p>
    <w:p w14:paraId="5F8C0F1B" w14:textId="77777777" w:rsidR="009648B2" w:rsidRPr="00C033B1" w:rsidRDefault="009648B2" w:rsidP="009648B2">
      <w:pPr>
        <w:pStyle w:val="subsection"/>
      </w:pPr>
      <w:r w:rsidRPr="00C033B1">
        <w:tab/>
        <w:t>(3)</w:t>
      </w:r>
      <w:r w:rsidRPr="00C033B1">
        <w:tab/>
        <w:t xml:space="preserve">A </w:t>
      </w:r>
      <w:r w:rsidR="00703CB1" w:rsidRPr="00C033B1">
        <w:t xml:space="preserve">hearing fee or a </w:t>
      </w:r>
      <w:r w:rsidR="003C7AB6" w:rsidRPr="00C033B1">
        <w:t>setting down fee</w:t>
      </w:r>
      <w:r w:rsidR="00703CB1" w:rsidRPr="00C033B1">
        <w:t xml:space="preserve"> </w:t>
      </w:r>
      <w:r w:rsidRPr="00C033B1">
        <w:t>is payable by:</w:t>
      </w:r>
    </w:p>
    <w:p w14:paraId="1B2C665D" w14:textId="77777777" w:rsidR="009648B2" w:rsidRPr="00C033B1" w:rsidRDefault="009648B2" w:rsidP="009648B2">
      <w:pPr>
        <w:pStyle w:val="paragraph"/>
      </w:pPr>
      <w:r w:rsidRPr="00C033B1">
        <w:tab/>
        <w:t>(a)</w:t>
      </w:r>
      <w:r w:rsidRPr="00C033B1">
        <w:tab/>
      </w:r>
      <w:r w:rsidR="00703CB1" w:rsidRPr="00C033B1">
        <w:t>if the hearing</w:t>
      </w:r>
      <w:r w:rsidR="00FC2E93" w:rsidRPr="00C033B1">
        <w:t xml:space="preserve"> is for</w:t>
      </w:r>
      <w:r w:rsidRPr="00C033B1">
        <w:t xml:space="preserve"> a cross</w:t>
      </w:r>
      <w:r w:rsidR="00C033B1">
        <w:noBreakHyphen/>
      </w:r>
      <w:r w:rsidRPr="00C033B1">
        <w:t>claim or cross</w:t>
      </w:r>
      <w:r w:rsidR="00C033B1">
        <w:noBreakHyphen/>
      </w:r>
      <w:r w:rsidRPr="00C033B1">
        <w:t>appeal only—the cross</w:t>
      </w:r>
      <w:r w:rsidR="00C033B1">
        <w:noBreakHyphen/>
      </w:r>
      <w:r w:rsidRPr="00C033B1">
        <w:t>claimant or cross</w:t>
      </w:r>
      <w:r w:rsidR="00C033B1">
        <w:noBreakHyphen/>
      </w:r>
      <w:r w:rsidRPr="00C033B1">
        <w:t>appellant; or</w:t>
      </w:r>
    </w:p>
    <w:p w14:paraId="115FB250" w14:textId="77777777" w:rsidR="00703CB1" w:rsidRPr="00C033B1" w:rsidRDefault="00703CB1" w:rsidP="009648B2">
      <w:pPr>
        <w:pStyle w:val="paragraph"/>
      </w:pPr>
      <w:r w:rsidRPr="00C033B1">
        <w:tab/>
        <w:t>(b)</w:t>
      </w:r>
      <w:r w:rsidRPr="00C033B1">
        <w:tab/>
        <w:t>if the hearing is for an interlocutory application—the person who made the interlocutory application; or</w:t>
      </w:r>
    </w:p>
    <w:p w14:paraId="1F486734" w14:textId="77777777" w:rsidR="009648B2" w:rsidRPr="00C033B1" w:rsidRDefault="009648B2" w:rsidP="009648B2">
      <w:pPr>
        <w:pStyle w:val="paragraph"/>
      </w:pPr>
      <w:r w:rsidRPr="00C033B1">
        <w:tab/>
        <w:t>(</w:t>
      </w:r>
      <w:r w:rsidR="007F3973" w:rsidRPr="00C033B1">
        <w:t>c</w:t>
      </w:r>
      <w:r w:rsidRPr="00C033B1">
        <w:t>)</w:t>
      </w:r>
      <w:r w:rsidRPr="00C033B1">
        <w:tab/>
        <w:t xml:space="preserve">in any other case—the </w:t>
      </w:r>
      <w:r w:rsidR="00B42F79" w:rsidRPr="00C033B1">
        <w:t xml:space="preserve">applicant </w:t>
      </w:r>
      <w:r w:rsidRPr="00C033B1">
        <w:t>(other than a cross</w:t>
      </w:r>
      <w:r w:rsidR="00C033B1">
        <w:noBreakHyphen/>
      </w:r>
      <w:r w:rsidRPr="00C033B1">
        <w:t>applicant) or appellant (other than a cross</w:t>
      </w:r>
      <w:r w:rsidR="00C033B1">
        <w:noBreakHyphen/>
      </w:r>
      <w:r w:rsidRPr="00C033B1">
        <w:t>appellant).</w:t>
      </w:r>
    </w:p>
    <w:p w14:paraId="37ABFBF3" w14:textId="77777777" w:rsidR="009648B2" w:rsidRPr="00C033B1" w:rsidRDefault="009648B2" w:rsidP="009648B2">
      <w:pPr>
        <w:pStyle w:val="subsection"/>
      </w:pPr>
      <w:r w:rsidRPr="00C033B1">
        <w:tab/>
        <w:t>(</w:t>
      </w:r>
      <w:r w:rsidR="00703CB1" w:rsidRPr="00C033B1">
        <w:t>4</w:t>
      </w:r>
      <w:r w:rsidRPr="00C033B1">
        <w:t>)</w:t>
      </w:r>
      <w:r w:rsidRPr="00C033B1">
        <w:tab/>
        <w:t>If 2 or more proceedings are set down for hearing together and the hearings are not consolidated:</w:t>
      </w:r>
    </w:p>
    <w:p w14:paraId="5BED6CBF" w14:textId="77777777" w:rsidR="009648B2" w:rsidRPr="00C033B1" w:rsidRDefault="009648B2" w:rsidP="009648B2">
      <w:pPr>
        <w:pStyle w:val="paragraph"/>
      </w:pPr>
      <w:r w:rsidRPr="00C033B1">
        <w:tab/>
        <w:t>(a)</w:t>
      </w:r>
      <w:r w:rsidRPr="00C033B1">
        <w:tab/>
        <w:t xml:space="preserve">only one setting down fee and one </w:t>
      </w:r>
      <w:r w:rsidR="00E961AA" w:rsidRPr="00C033B1">
        <w:t xml:space="preserve">set of </w:t>
      </w:r>
      <w:r w:rsidRPr="00C033B1">
        <w:t>hearing fee</w:t>
      </w:r>
      <w:r w:rsidR="00E961AA" w:rsidRPr="00C033B1">
        <w:t>s</w:t>
      </w:r>
      <w:r w:rsidRPr="00C033B1">
        <w:t xml:space="preserve"> is payable for all the proceedings; and</w:t>
      </w:r>
    </w:p>
    <w:p w14:paraId="3E71C290" w14:textId="77777777" w:rsidR="009648B2" w:rsidRPr="00C033B1" w:rsidRDefault="009648B2" w:rsidP="009648B2">
      <w:pPr>
        <w:pStyle w:val="paragraph"/>
      </w:pPr>
      <w:r w:rsidRPr="00C033B1">
        <w:tab/>
        <w:t>(b)</w:t>
      </w:r>
      <w:r w:rsidRPr="00C033B1">
        <w:tab/>
      </w:r>
      <w:r w:rsidR="00431E37" w:rsidRPr="00C033B1">
        <w:t xml:space="preserve">the </w:t>
      </w:r>
      <w:r w:rsidRPr="00C033B1">
        <w:t xml:space="preserve">amount of </w:t>
      </w:r>
      <w:r w:rsidR="007F3973" w:rsidRPr="00C033B1">
        <w:t xml:space="preserve">each of </w:t>
      </w:r>
      <w:r w:rsidRPr="00C033B1">
        <w:t xml:space="preserve">the setting down fee and the </w:t>
      </w:r>
      <w:r w:rsidR="00E961AA" w:rsidRPr="00C033B1">
        <w:t xml:space="preserve">set of </w:t>
      </w:r>
      <w:r w:rsidRPr="00C033B1">
        <w:t>hearing fee</w:t>
      </w:r>
      <w:r w:rsidR="00E961AA" w:rsidRPr="00C033B1">
        <w:t>s</w:t>
      </w:r>
      <w:r w:rsidRPr="00C033B1">
        <w:t xml:space="preserve"> is apportioned equally between the liable persons for the fee.</w:t>
      </w:r>
    </w:p>
    <w:p w14:paraId="2D41ECB9" w14:textId="77777777" w:rsidR="009648B2" w:rsidRPr="00C033B1" w:rsidRDefault="009648B2" w:rsidP="009648B2">
      <w:pPr>
        <w:pStyle w:val="SubsectionHead"/>
      </w:pPr>
      <w:r w:rsidRPr="00C033B1">
        <w:t>Mediation fee</w:t>
      </w:r>
      <w:r w:rsidR="003C7AB6" w:rsidRPr="00C033B1">
        <w:t>s</w:t>
      </w:r>
    </w:p>
    <w:p w14:paraId="552349F3" w14:textId="77777777" w:rsidR="009648B2" w:rsidRPr="00C033B1" w:rsidRDefault="009648B2" w:rsidP="009648B2">
      <w:pPr>
        <w:pStyle w:val="subsection"/>
      </w:pPr>
      <w:r w:rsidRPr="00C033B1">
        <w:tab/>
        <w:t>(</w:t>
      </w:r>
      <w:r w:rsidR="00703CB1" w:rsidRPr="00C033B1">
        <w:t>5</w:t>
      </w:r>
      <w:r w:rsidRPr="00C033B1">
        <w:t>)</w:t>
      </w:r>
      <w:r w:rsidRPr="00C033B1">
        <w:tab/>
        <w:t>A mediation fee is payable by the applicant in the proceeding to which the mediation relates.</w:t>
      </w:r>
    </w:p>
    <w:p w14:paraId="45D8D9D3" w14:textId="77777777" w:rsidR="009648B2" w:rsidRPr="00C033B1" w:rsidRDefault="009648B2" w:rsidP="009648B2">
      <w:pPr>
        <w:pStyle w:val="SubsectionHead"/>
      </w:pPr>
      <w:r w:rsidRPr="00C033B1">
        <w:t>Fee</w:t>
      </w:r>
      <w:r w:rsidR="003C7AB6" w:rsidRPr="00C033B1">
        <w:t>s</w:t>
      </w:r>
      <w:r w:rsidRPr="00C033B1">
        <w:t xml:space="preserve"> for taxation of bill of costs—Federal Court</w:t>
      </w:r>
    </w:p>
    <w:p w14:paraId="2B2958BB" w14:textId="77777777" w:rsidR="009648B2" w:rsidRPr="00C033B1" w:rsidRDefault="009648B2" w:rsidP="009648B2">
      <w:pPr>
        <w:pStyle w:val="subsection"/>
      </w:pPr>
      <w:r w:rsidRPr="00C033B1">
        <w:tab/>
        <w:t>(</w:t>
      </w:r>
      <w:r w:rsidR="00703CB1" w:rsidRPr="00C033B1">
        <w:t>6</w:t>
      </w:r>
      <w:r w:rsidRPr="00C033B1">
        <w:t>)</w:t>
      </w:r>
      <w:r w:rsidRPr="00C033B1">
        <w:tab/>
        <w:t>If:</w:t>
      </w:r>
    </w:p>
    <w:p w14:paraId="6C3DD90B" w14:textId="77777777" w:rsidR="009648B2" w:rsidRPr="00C033B1" w:rsidRDefault="009648B2" w:rsidP="009648B2">
      <w:pPr>
        <w:pStyle w:val="paragraph"/>
      </w:pPr>
      <w:r w:rsidRPr="00C033B1">
        <w:tab/>
        <w:t>(a)</w:t>
      </w:r>
      <w:r w:rsidRPr="00C033B1">
        <w:tab/>
        <w:t xml:space="preserve">a fee mentioned in any of </w:t>
      </w:r>
      <w:r w:rsidR="007D3911" w:rsidRPr="00C033B1">
        <w:t>items 1</w:t>
      </w:r>
      <w:r w:rsidRPr="00C033B1">
        <w:t xml:space="preserve">28 to 131 of </w:t>
      </w:r>
      <w:r w:rsidR="007D3911" w:rsidRPr="00C033B1">
        <w:t>Schedule 1</w:t>
      </w:r>
      <w:r w:rsidR="00BC3833" w:rsidRPr="00C033B1">
        <w:t xml:space="preserve"> </w:t>
      </w:r>
      <w:r w:rsidRPr="00C033B1">
        <w:t>is payable for a bill of costs in relation to a proceeding; and</w:t>
      </w:r>
    </w:p>
    <w:p w14:paraId="1BBC7668" w14:textId="77777777" w:rsidR="009648B2" w:rsidRPr="00C033B1" w:rsidRDefault="009648B2" w:rsidP="009648B2">
      <w:pPr>
        <w:pStyle w:val="paragraph"/>
      </w:pPr>
      <w:r w:rsidRPr="00C033B1">
        <w:tab/>
        <w:t>(b)</w:t>
      </w:r>
      <w:r w:rsidRPr="00C033B1">
        <w:tab/>
        <w:t>the bill of costs is subject to an estimate, or has been provisionally taxed, under the Federal Court Rules; and</w:t>
      </w:r>
    </w:p>
    <w:p w14:paraId="28172D8E" w14:textId="77777777" w:rsidR="009648B2" w:rsidRPr="00C033B1" w:rsidRDefault="009648B2" w:rsidP="009648B2">
      <w:pPr>
        <w:pStyle w:val="paragraph"/>
      </w:pPr>
      <w:r w:rsidRPr="00C033B1">
        <w:tab/>
        <w:t>(c)</w:t>
      </w:r>
      <w:r w:rsidRPr="00C033B1">
        <w:tab/>
        <w:t>a party to the proceeding objects to the estimate, or requires a full taxation of the bill of costs, in accordance with those Rules;</w:t>
      </w:r>
    </w:p>
    <w:p w14:paraId="1C3B55CA" w14:textId="77777777" w:rsidR="009648B2" w:rsidRPr="00C033B1" w:rsidRDefault="009648B2" w:rsidP="009648B2">
      <w:pPr>
        <w:pStyle w:val="subsection2"/>
      </w:pPr>
      <w:r w:rsidRPr="00C033B1">
        <w:t xml:space="preserve">the fee is payable by the party mentioned in </w:t>
      </w:r>
      <w:r w:rsidR="005833F4" w:rsidRPr="00C033B1">
        <w:t>paragraph (</w:t>
      </w:r>
      <w:r w:rsidRPr="00C033B1">
        <w:t>c).</w:t>
      </w:r>
    </w:p>
    <w:p w14:paraId="2B56D883" w14:textId="77777777" w:rsidR="009648B2" w:rsidRPr="00C033B1" w:rsidRDefault="009648B2" w:rsidP="009648B2">
      <w:pPr>
        <w:pStyle w:val="subsection"/>
      </w:pPr>
      <w:r w:rsidRPr="00C033B1">
        <w:tab/>
        <w:t>(</w:t>
      </w:r>
      <w:r w:rsidR="00703CB1" w:rsidRPr="00C033B1">
        <w:t>7</w:t>
      </w:r>
      <w:r w:rsidRPr="00C033B1">
        <w:t>)</w:t>
      </w:r>
      <w:r w:rsidRPr="00C033B1">
        <w:tab/>
        <w:t>If more than one party objects to the estimate, or requires a full taxation of the bill of costs, the fee is apportioned between those parties as determined by the relevant Registrar of the Federal Court.</w:t>
      </w:r>
    </w:p>
    <w:p w14:paraId="3DBCE0EC" w14:textId="77777777" w:rsidR="009648B2" w:rsidRPr="00C033B1" w:rsidRDefault="009648B2" w:rsidP="009648B2">
      <w:pPr>
        <w:pStyle w:val="SubsectionHead"/>
      </w:pPr>
      <w:r w:rsidRPr="00C033B1">
        <w:lastRenderedPageBreak/>
        <w:t>Fee</w:t>
      </w:r>
      <w:r w:rsidR="00431E37" w:rsidRPr="00C033B1">
        <w:t>s</w:t>
      </w:r>
      <w:r w:rsidRPr="00C033B1">
        <w:t xml:space="preserve"> for other service</w:t>
      </w:r>
      <w:r w:rsidR="00431E37" w:rsidRPr="00C033B1">
        <w:t>s</w:t>
      </w:r>
    </w:p>
    <w:p w14:paraId="120D9494" w14:textId="77777777" w:rsidR="009648B2" w:rsidRPr="00C033B1" w:rsidRDefault="009648B2" w:rsidP="009648B2">
      <w:pPr>
        <w:pStyle w:val="subsection"/>
      </w:pPr>
      <w:r w:rsidRPr="00C033B1">
        <w:tab/>
        <w:t>(</w:t>
      </w:r>
      <w:r w:rsidR="00703CB1" w:rsidRPr="00C033B1">
        <w:t>8</w:t>
      </w:r>
      <w:r w:rsidRPr="00C033B1">
        <w:t>)</w:t>
      </w:r>
      <w:r w:rsidRPr="00C033B1">
        <w:tab/>
        <w:t>A fee for a service:</w:t>
      </w:r>
    </w:p>
    <w:p w14:paraId="2E09B940" w14:textId="77777777" w:rsidR="009648B2" w:rsidRPr="00C033B1" w:rsidRDefault="009648B2" w:rsidP="009648B2">
      <w:pPr>
        <w:pStyle w:val="paragraph"/>
      </w:pPr>
      <w:r w:rsidRPr="00C033B1">
        <w:tab/>
        <w:t>(a)</w:t>
      </w:r>
      <w:r w:rsidRPr="00C033B1">
        <w:tab/>
        <w:t xml:space="preserve">mentioned in an item in </w:t>
      </w:r>
      <w:r w:rsidR="007D3911" w:rsidRPr="00C033B1">
        <w:t>Schedule 1</w:t>
      </w:r>
      <w:r w:rsidRPr="00C033B1">
        <w:t>; and</w:t>
      </w:r>
    </w:p>
    <w:p w14:paraId="46148AAA" w14:textId="77777777" w:rsidR="009648B2" w:rsidRPr="00C033B1" w:rsidRDefault="009648B2" w:rsidP="009648B2">
      <w:pPr>
        <w:pStyle w:val="paragraph"/>
      </w:pPr>
      <w:r w:rsidRPr="00C033B1">
        <w:tab/>
        <w:t>(b)</w:t>
      </w:r>
      <w:r w:rsidRPr="00C033B1">
        <w:tab/>
        <w:t>not otherwise mentioned in this section;</w:t>
      </w:r>
    </w:p>
    <w:p w14:paraId="1D18815D" w14:textId="77777777" w:rsidR="009648B2" w:rsidRPr="00C033B1" w:rsidRDefault="009648B2" w:rsidP="009648B2">
      <w:pPr>
        <w:pStyle w:val="subsection2"/>
      </w:pPr>
      <w:r w:rsidRPr="00C033B1">
        <w:t>is payable by the person for whom the service is provided.</w:t>
      </w:r>
    </w:p>
    <w:p w14:paraId="50278BF3" w14:textId="77777777" w:rsidR="001F247C" w:rsidRPr="00C033B1" w:rsidRDefault="001F247C" w:rsidP="001F247C">
      <w:pPr>
        <w:pStyle w:val="ActHead5"/>
      </w:pPr>
      <w:bookmarkStart w:id="16" w:name="_Toc114043970"/>
      <w:r w:rsidRPr="00025E64">
        <w:rPr>
          <w:rStyle w:val="CharSectno"/>
        </w:rPr>
        <w:t>2.04</w:t>
      </w:r>
      <w:r w:rsidRPr="00C033B1">
        <w:t xml:space="preserve">  When fees for producing files and copying documents are payable</w:t>
      </w:r>
      <w:bookmarkEnd w:id="16"/>
    </w:p>
    <w:p w14:paraId="1830C7D7" w14:textId="77777777" w:rsidR="001F247C" w:rsidRPr="00C033B1" w:rsidRDefault="001F247C" w:rsidP="001F247C">
      <w:pPr>
        <w:pStyle w:val="subsection"/>
      </w:pPr>
      <w:r w:rsidRPr="00C033B1">
        <w:tab/>
        <w:t>(1)</w:t>
      </w:r>
      <w:r w:rsidRPr="00C033B1">
        <w:tab/>
        <w:t xml:space="preserve">Despite </w:t>
      </w:r>
      <w:r w:rsidR="0096715E" w:rsidRPr="00C033B1">
        <w:t>Divisions 2</w:t>
      </w:r>
      <w:r w:rsidRPr="00C033B1">
        <w:t xml:space="preserve">.3 and 2.4, a fee mentioned in </w:t>
      </w:r>
      <w:r w:rsidR="005833F4" w:rsidRPr="00C033B1">
        <w:t>item 1</w:t>
      </w:r>
      <w:r w:rsidRPr="00C033B1">
        <w:t xml:space="preserve">23 or 219 of </w:t>
      </w:r>
      <w:r w:rsidR="007D3911" w:rsidRPr="00C033B1">
        <w:t>Schedule 1</w:t>
      </w:r>
      <w:r w:rsidRPr="00C033B1">
        <w:t xml:space="preserve"> is payable in all proceedings.</w:t>
      </w:r>
    </w:p>
    <w:p w14:paraId="226F3F6D" w14:textId="77777777" w:rsidR="001F247C" w:rsidRPr="00C033B1" w:rsidRDefault="001F247C" w:rsidP="001F247C">
      <w:pPr>
        <w:pStyle w:val="subsection"/>
      </w:pPr>
      <w:r w:rsidRPr="00C033B1">
        <w:tab/>
        <w:t>(2)</w:t>
      </w:r>
      <w:r w:rsidRPr="00C033B1">
        <w:tab/>
        <w:t>However, the fee is not payable</w:t>
      </w:r>
      <w:r w:rsidR="00D84AE2" w:rsidRPr="00C033B1">
        <w:t xml:space="preserve"> in relation to a proceeding</w:t>
      </w:r>
      <w:r w:rsidRPr="00C033B1">
        <w:t xml:space="preserve"> if:</w:t>
      </w:r>
    </w:p>
    <w:p w14:paraId="20E0F48B" w14:textId="77777777" w:rsidR="001F247C" w:rsidRPr="00C033B1" w:rsidRDefault="001F247C" w:rsidP="001F247C">
      <w:pPr>
        <w:pStyle w:val="paragraph"/>
      </w:pPr>
      <w:r w:rsidRPr="00C033B1">
        <w:tab/>
        <w:t>(a)</w:t>
      </w:r>
      <w:r w:rsidRPr="00C033B1">
        <w:tab/>
        <w:t>either:</w:t>
      </w:r>
    </w:p>
    <w:p w14:paraId="711237F5" w14:textId="77777777" w:rsidR="001F247C" w:rsidRPr="00C033B1" w:rsidRDefault="001F247C" w:rsidP="001F247C">
      <w:pPr>
        <w:pStyle w:val="paragraphsub"/>
      </w:pPr>
      <w:r w:rsidRPr="00C033B1">
        <w:tab/>
        <w:t>(i)</w:t>
      </w:r>
      <w:r w:rsidRPr="00C033B1">
        <w:tab/>
        <w:t xml:space="preserve">apart from </w:t>
      </w:r>
      <w:r w:rsidR="005833F4" w:rsidRPr="00C033B1">
        <w:t>subsection (</w:t>
      </w:r>
      <w:r w:rsidRPr="00C033B1">
        <w:t xml:space="preserve">1), the liable person </w:t>
      </w:r>
      <w:r w:rsidR="00C92806" w:rsidRPr="00C033B1">
        <w:t xml:space="preserve">for the fee </w:t>
      </w:r>
      <w:r w:rsidRPr="00C033B1">
        <w:t xml:space="preserve">would be exempt from paying the fee under </w:t>
      </w:r>
      <w:r w:rsidR="007D3911" w:rsidRPr="00C033B1">
        <w:t>section 2</w:t>
      </w:r>
      <w:r w:rsidRPr="00C033B1">
        <w:t>.05; or</w:t>
      </w:r>
    </w:p>
    <w:p w14:paraId="62F9AC6F" w14:textId="77777777" w:rsidR="001F247C" w:rsidRPr="00C033B1" w:rsidRDefault="001F247C" w:rsidP="001F247C">
      <w:pPr>
        <w:pStyle w:val="paragraphsub"/>
      </w:pPr>
      <w:r w:rsidRPr="00C033B1">
        <w:tab/>
        <w:t>(ii)</w:t>
      </w:r>
      <w:r w:rsidRPr="00C033B1">
        <w:tab/>
        <w:t xml:space="preserve">the liable person </w:t>
      </w:r>
      <w:r w:rsidR="00C92806" w:rsidRPr="00C033B1">
        <w:t>for the fee is</w:t>
      </w:r>
      <w:r w:rsidRPr="00C033B1">
        <w:t xml:space="preserve"> exempt under </w:t>
      </w:r>
      <w:r w:rsidR="007D3911" w:rsidRPr="00C033B1">
        <w:t>section 2</w:t>
      </w:r>
      <w:r w:rsidRPr="00C033B1">
        <w:t>.06</w:t>
      </w:r>
      <w:r w:rsidR="00D84AE2" w:rsidRPr="00C033B1">
        <w:t xml:space="preserve"> </w:t>
      </w:r>
      <w:r w:rsidRPr="00C033B1">
        <w:t xml:space="preserve">from paying </w:t>
      </w:r>
      <w:r w:rsidR="00D84AE2" w:rsidRPr="00C033B1">
        <w:t>another fee</w:t>
      </w:r>
      <w:r w:rsidRPr="00C033B1">
        <w:t xml:space="preserve"> in relation to the proceeding</w:t>
      </w:r>
      <w:r w:rsidR="00D84AE2" w:rsidRPr="00C033B1">
        <w:t xml:space="preserve">, and that other fee </w:t>
      </w:r>
      <w:r w:rsidR="00C92806" w:rsidRPr="00C033B1">
        <w:t>was</w:t>
      </w:r>
      <w:r w:rsidR="00D84AE2" w:rsidRPr="00C033B1">
        <w:t xml:space="preserve"> the most recent fee that would otherwise have been payable by the liable person in the proceeding</w:t>
      </w:r>
      <w:r w:rsidRPr="00C033B1">
        <w:t>; and</w:t>
      </w:r>
    </w:p>
    <w:p w14:paraId="1F591709" w14:textId="77777777" w:rsidR="001F247C" w:rsidRPr="00C033B1" w:rsidRDefault="001F247C" w:rsidP="001F247C">
      <w:pPr>
        <w:pStyle w:val="paragraph"/>
      </w:pPr>
      <w:r w:rsidRPr="00C033B1">
        <w:tab/>
        <w:t>(b)</w:t>
      </w:r>
      <w:r w:rsidRPr="00C033B1">
        <w:tab/>
      </w:r>
      <w:r w:rsidR="00E27FEA" w:rsidRPr="00C033B1">
        <w:t xml:space="preserve">the copy of the </w:t>
      </w:r>
      <w:r w:rsidR="000D6E0E" w:rsidRPr="00C033B1">
        <w:t xml:space="preserve">relevant </w:t>
      </w:r>
      <w:r w:rsidR="00E27FEA" w:rsidRPr="00C033B1">
        <w:t>document requested</w:t>
      </w:r>
      <w:r w:rsidRPr="00C033B1">
        <w:t>:</w:t>
      </w:r>
    </w:p>
    <w:p w14:paraId="37D57FA6" w14:textId="77777777" w:rsidR="001F247C" w:rsidRPr="00C033B1" w:rsidRDefault="001F247C" w:rsidP="001F247C">
      <w:pPr>
        <w:pStyle w:val="paragraphsub"/>
      </w:pPr>
      <w:r w:rsidRPr="00C033B1">
        <w:tab/>
        <w:t>(i)</w:t>
      </w:r>
      <w:r w:rsidRPr="00C033B1">
        <w:tab/>
        <w:t>is the first copy of that document that the person has requested; or</w:t>
      </w:r>
    </w:p>
    <w:p w14:paraId="148ED2CE" w14:textId="77777777" w:rsidR="001F247C" w:rsidRPr="00C033B1" w:rsidRDefault="001F247C" w:rsidP="001F247C">
      <w:pPr>
        <w:pStyle w:val="paragraphsub"/>
      </w:pPr>
      <w:r w:rsidRPr="00C033B1">
        <w:tab/>
        <w:t>(ii)</w:t>
      </w:r>
      <w:r w:rsidRPr="00C033B1">
        <w:tab/>
      </w:r>
      <w:r w:rsidR="00E27FEA" w:rsidRPr="00C033B1">
        <w:t>is required for the preparation of appeal papers</w:t>
      </w:r>
      <w:r w:rsidRPr="00C033B1">
        <w:t>.</w:t>
      </w:r>
    </w:p>
    <w:p w14:paraId="4639F7F6" w14:textId="77777777" w:rsidR="009648B2" w:rsidRPr="00C033B1" w:rsidRDefault="007D3911" w:rsidP="004507C2">
      <w:pPr>
        <w:pStyle w:val="ActHead3"/>
        <w:pageBreakBefore/>
      </w:pPr>
      <w:bookmarkStart w:id="17" w:name="_Toc114043971"/>
      <w:r w:rsidRPr="00025E64">
        <w:rPr>
          <w:rStyle w:val="CharDivNo"/>
        </w:rPr>
        <w:lastRenderedPageBreak/>
        <w:t>Division 2</w:t>
      </w:r>
      <w:r w:rsidR="009648B2" w:rsidRPr="00025E64">
        <w:rPr>
          <w:rStyle w:val="CharDivNo"/>
        </w:rPr>
        <w:t>.3</w:t>
      </w:r>
      <w:r w:rsidR="009648B2" w:rsidRPr="00C033B1">
        <w:t>—</w:t>
      </w:r>
      <w:r w:rsidR="001E3C23" w:rsidRPr="00025E64">
        <w:rPr>
          <w:rStyle w:val="CharDivText"/>
        </w:rPr>
        <w:t>Exemptions and reduced fees</w:t>
      </w:r>
      <w:bookmarkEnd w:id="17"/>
    </w:p>
    <w:p w14:paraId="38EA6B04" w14:textId="77777777" w:rsidR="009648B2" w:rsidRPr="00C033B1" w:rsidRDefault="009648B2" w:rsidP="009648B2">
      <w:pPr>
        <w:pStyle w:val="ActHead5"/>
      </w:pPr>
      <w:bookmarkStart w:id="18" w:name="_Toc114043972"/>
      <w:r w:rsidRPr="00025E64">
        <w:rPr>
          <w:rStyle w:val="CharSectno"/>
        </w:rPr>
        <w:t>2.05</w:t>
      </w:r>
      <w:r w:rsidRPr="00C033B1">
        <w:t xml:space="preserve">  Persons exempt from paying fee—general</w:t>
      </w:r>
      <w:bookmarkEnd w:id="18"/>
    </w:p>
    <w:p w14:paraId="14183958" w14:textId="77777777" w:rsidR="009648B2" w:rsidRPr="00C033B1" w:rsidRDefault="009648B2" w:rsidP="009648B2">
      <w:pPr>
        <w:pStyle w:val="subsection"/>
      </w:pPr>
      <w:r w:rsidRPr="00C033B1">
        <w:tab/>
        <w:t>(1)</w:t>
      </w:r>
      <w:r w:rsidRPr="00C033B1">
        <w:tab/>
        <w:t xml:space="preserve">A person is exempt from paying a fee mentioned in </w:t>
      </w:r>
      <w:r w:rsidR="007D3911" w:rsidRPr="00C033B1">
        <w:t>Schedule 1</w:t>
      </w:r>
      <w:r w:rsidRPr="00C033B1">
        <w:t xml:space="preserve"> (other than </w:t>
      </w:r>
      <w:r w:rsidR="00C277D3" w:rsidRPr="00C033B1">
        <w:t>a</w:t>
      </w:r>
      <w:r w:rsidRPr="00C033B1">
        <w:t xml:space="preserve"> fee mentioned in </w:t>
      </w:r>
      <w:r w:rsidR="005833F4" w:rsidRPr="00C033B1">
        <w:t>item 1</w:t>
      </w:r>
      <w:r w:rsidRPr="00C033B1">
        <w:t xml:space="preserve">15C or 214A) </w:t>
      </w:r>
      <w:r w:rsidR="00F0514C" w:rsidRPr="00C033B1">
        <w:t xml:space="preserve">in relation to a proceeding </w:t>
      </w:r>
      <w:r w:rsidRPr="00C033B1">
        <w:t>if, at the time the fee is payable, one or more of the following apply:</w:t>
      </w:r>
    </w:p>
    <w:p w14:paraId="005CA3FD" w14:textId="77777777" w:rsidR="009648B2" w:rsidRPr="00C033B1" w:rsidRDefault="009648B2" w:rsidP="009648B2">
      <w:pPr>
        <w:pStyle w:val="paragraph"/>
      </w:pPr>
      <w:r w:rsidRPr="00C033B1">
        <w:tab/>
        <w:t>(a)</w:t>
      </w:r>
      <w:r w:rsidRPr="00C033B1">
        <w:tab/>
        <w:t xml:space="preserve">the person has been granted legal aid </w:t>
      </w:r>
      <w:r w:rsidR="009673CF" w:rsidRPr="00C033B1">
        <w:t xml:space="preserve">for the proceeding </w:t>
      </w:r>
      <w:r w:rsidRPr="00C033B1">
        <w:t>under a legal aid scheme or service:</w:t>
      </w:r>
    </w:p>
    <w:p w14:paraId="7D0BCB2B" w14:textId="77777777" w:rsidR="009648B2" w:rsidRPr="00C033B1" w:rsidRDefault="009648B2" w:rsidP="009648B2">
      <w:pPr>
        <w:pStyle w:val="paragraphsub"/>
      </w:pPr>
      <w:r w:rsidRPr="00C033B1">
        <w:tab/>
        <w:t>(i)</w:t>
      </w:r>
      <w:r w:rsidRPr="00C033B1">
        <w:tab/>
        <w:t>established under a law of the Commonwealth or of a State or Territory; or</w:t>
      </w:r>
    </w:p>
    <w:p w14:paraId="487E1B8C" w14:textId="77777777" w:rsidR="009648B2" w:rsidRPr="00C033B1" w:rsidRDefault="009648B2" w:rsidP="009673CF">
      <w:pPr>
        <w:pStyle w:val="paragraphsub"/>
      </w:pPr>
      <w:r w:rsidRPr="00C033B1">
        <w:tab/>
        <w:t>(ii)</w:t>
      </w:r>
      <w:r w:rsidRPr="00C033B1">
        <w:tab/>
        <w:t>approved by the Attorney</w:t>
      </w:r>
      <w:r w:rsidR="00C033B1">
        <w:noBreakHyphen/>
      </w:r>
      <w:r w:rsidRPr="00C033B1">
        <w:t>General;</w:t>
      </w:r>
    </w:p>
    <w:p w14:paraId="28F39384" w14:textId="77777777" w:rsidR="009648B2" w:rsidRPr="00C033B1" w:rsidRDefault="009648B2" w:rsidP="009648B2">
      <w:pPr>
        <w:pStyle w:val="paragraph"/>
      </w:pPr>
      <w:r w:rsidRPr="00C033B1">
        <w:tab/>
        <w:t>(b)</w:t>
      </w:r>
      <w:r w:rsidRPr="00C033B1">
        <w:tab/>
        <w:t>the person is the holder of any of the following cards issued by the Commonwealth:</w:t>
      </w:r>
    </w:p>
    <w:p w14:paraId="236EF7A3" w14:textId="77777777" w:rsidR="009648B2" w:rsidRPr="00C033B1" w:rsidRDefault="009648B2" w:rsidP="009648B2">
      <w:pPr>
        <w:pStyle w:val="paragraphsub"/>
      </w:pPr>
      <w:r w:rsidRPr="00C033B1">
        <w:tab/>
        <w:t>(i)</w:t>
      </w:r>
      <w:r w:rsidRPr="00C033B1">
        <w:tab/>
        <w:t>a health care card;</w:t>
      </w:r>
    </w:p>
    <w:p w14:paraId="731EE308" w14:textId="77777777" w:rsidR="009648B2" w:rsidRPr="00C033B1" w:rsidRDefault="009648B2" w:rsidP="009648B2">
      <w:pPr>
        <w:pStyle w:val="paragraphsub"/>
      </w:pPr>
      <w:r w:rsidRPr="00C033B1">
        <w:tab/>
        <w:t>(ii)</w:t>
      </w:r>
      <w:r w:rsidRPr="00C033B1">
        <w:tab/>
        <w:t>a pensioner concession card;</w:t>
      </w:r>
    </w:p>
    <w:p w14:paraId="02F89A4E" w14:textId="77777777" w:rsidR="009648B2" w:rsidRPr="00C033B1" w:rsidRDefault="009648B2" w:rsidP="009648B2">
      <w:pPr>
        <w:pStyle w:val="paragraphsub"/>
      </w:pPr>
      <w:r w:rsidRPr="00C033B1">
        <w:tab/>
        <w:t>(iii)</w:t>
      </w:r>
      <w:r w:rsidRPr="00C033B1">
        <w:tab/>
        <w:t>a Commonwealth seniors health card;</w:t>
      </w:r>
    </w:p>
    <w:p w14:paraId="16444122" w14:textId="77777777" w:rsidR="009648B2" w:rsidRPr="00C033B1" w:rsidRDefault="009648B2" w:rsidP="009648B2">
      <w:pPr>
        <w:pStyle w:val="paragraphsub"/>
      </w:pPr>
      <w:r w:rsidRPr="00C033B1">
        <w:tab/>
        <w:t>(iv)</w:t>
      </w:r>
      <w:r w:rsidRPr="00C033B1">
        <w:tab/>
        <w:t>any other card that certifies the holder’s entitlement to Commonwealth health concessions;</w:t>
      </w:r>
    </w:p>
    <w:p w14:paraId="538381EE" w14:textId="77777777" w:rsidR="009648B2" w:rsidRPr="00C033B1" w:rsidRDefault="009648B2" w:rsidP="009648B2">
      <w:pPr>
        <w:pStyle w:val="paragraph"/>
      </w:pPr>
      <w:r w:rsidRPr="00C033B1">
        <w:tab/>
        <w:t>(c)</w:t>
      </w:r>
      <w:r w:rsidRPr="00C033B1">
        <w:tab/>
        <w:t>the person is serving a sentence of imprisonment or is otherwise detained in a public institution</w:t>
      </w:r>
      <w:r w:rsidR="007C6E3A" w:rsidRPr="00C033B1">
        <w:t xml:space="preserve">, or is in immigration detention (within the meaning of the </w:t>
      </w:r>
      <w:r w:rsidR="007C6E3A" w:rsidRPr="00C033B1">
        <w:rPr>
          <w:i/>
        </w:rPr>
        <w:t>Migration Act 1958</w:t>
      </w:r>
      <w:r w:rsidR="007C6E3A" w:rsidRPr="00C033B1">
        <w:t>)</w:t>
      </w:r>
      <w:r w:rsidRPr="00C033B1">
        <w:t>;</w:t>
      </w:r>
    </w:p>
    <w:p w14:paraId="771C6A5D" w14:textId="77777777" w:rsidR="009648B2" w:rsidRPr="00C033B1" w:rsidRDefault="009648B2" w:rsidP="009648B2">
      <w:pPr>
        <w:pStyle w:val="paragraph"/>
      </w:pPr>
      <w:r w:rsidRPr="00C033B1">
        <w:tab/>
        <w:t>(d)</w:t>
      </w:r>
      <w:r w:rsidRPr="00C033B1">
        <w:tab/>
        <w:t>the person is younger than 18;</w:t>
      </w:r>
    </w:p>
    <w:p w14:paraId="18296900" w14:textId="77777777" w:rsidR="009648B2" w:rsidRPr="00C033B1" w:rsidRDefault="009648B2" w:rsidP="009648B2">
      <w:pPr>
        <w:pStyle w:val="paragraph"/>
      </w:pPr>
      <w:r w:rsidRPr="00C033B1">
        <w:tab/>
        <w:t>(e)</w:t>
      </w:r>
      <w:r w:rsidRPr="00C033B1">
        <w:tab/>
        <w:t xml:space="preserve">the person is receiving youth allowance or Austudy payments under the </w:t>
      </w:r>
      <w:r w:rsidRPr="00C033B1">
        <w:rPr>
          <w:i/>
        </w:rPr>
        <w:t>Social Security Act 1991</w:t>
      </w:r>
      <w:r w:rsidRPr="00C033B1">
        <w:t xml:space="preserve"> or benefits under the ABSTUDY Scheme;</w:t>
      </w:r>
    </w:p>
    <w:p w14:paraId="07ADD82E" w14:textId="77777777" w:rsidR="009648B2" w:rsidRPr="00C033B1" w:rsidRDefault="009648B2" w:rsidP="009648B2">
      <w:pPr>
        <w:pStyle w:val="paragraph"/>
      </w:pPr>
      <w:r w:rsidRPr="00C033B1">
        <w:tab/>
        <w:t>(f)</w:t>
      </w:r>
      <w:r w:rsidRPr="00C033B1">
        <w:tab/>
        <w:t xml:space="preserve">the person has </w:t>
      </w:r>
      <w:r w:rsidR="00596CFB" w:rsidRPr="00C033B1">
        <w:t xml:space="preserve">received </w:t>
      </w:r>
      <w:r w:rsidR="001F31A6" w:rsidRPr="00C033B1">
        <w:t>funding</w:t>
      </w:r>
      <w:r w:rsidRPr="00C033B1">
        <w:t xml:space="preserve"> </w:t>
      </w:r>
      <w:r w:rsidR="00537DAF" w:rsidRPr="00C033B1">
        <w:t xml:space="preserve">for the proceeding </w:t>
      </w:r>
      <w:r w:rsidRPr="00C033B1">
        <w:t xml:space="preserve">under </w:t>
      </w:r>
      <w:r w:rsidR="00D4482F" w:rsidRPr="00C033B1">
        <w:t>Part 1</w:t>
      </w:r>
      <w:r w:rsidRPr="00C033B1">
        <w:t xml:space="preserve">1 of the </w:t>
      </w:r>
      <w:r w:rsidRPr="00C033B1">
        <w:rPr>
          <w:i/>
        </w:rPr>
        <w:t>Native Title Act 1993</w:t>
      </w:r>
      <w:r w:rsidRPr="00C033B1">
        <w:t xml:space="preserve"> </w:t>
      </w:r>
      <w:r w:rsidR="00A0700B" w:rsidRPr="00C033B1">
        <w:t>from</w:t>
      </w:r>
      <w:r w:rsidRPr="00C033B1">
        <w:t>:</w:t>
      </w:r>
    </w:p>
    <w:p w14:paraId="334B1283" w14:textId="77777777" w:rsidR="009648B2" w:rsidRPr="00C033B1" w:rsidRDefault="009648B2" w:rsidP="009648B2">
      <w:pPr>
        <w:pStyle w:val="paragraphsub"/>
      </w:pPr>
      <w:r w:rsidRPr="00C033B1">
        <w:tab/>
        <w:t>(i)</w:t>
      </w:r>
      <w:r w:rsidRPr="00C033B1">
        <w:tab/>
        <w:t xml:space="preserve">a representative body within the meaning </w:t>
      </w:r>
      <w:r w:rsidR="00E6127E" w:rsidRPr="00C033B1">
        <w:t>of</w:t>
      </w:r>
      <w:r w:rsidRPr="00C033B1">
        <w:t xml:space="preserve"> </w:t>
      </w:r>
      <w:r w:rsidR="007D3911" w:rsidRPr="00C033B1">
        <w:t>section 2</w:t>
      </w:r>
      <w:r w:rsidRPr="00C033B1">
        <w:t>53 of that Act; or</w:t>
      </w:r>
    </w:p>
    <w:p w14:paraId="6211EF19" w14:textId="77777777" w:rsidR="009648B2" w:rsidRPr="00C033B1" w:rsidRDefault="009648B2" w:rsidP="00537DAF">
      <w:pPr>
        <w:pStyle w:val="paragraphsub"/>
      </w:pPr>
      <w:r w:rsidRPr="00C033B1">
        <w:tab/>
        <w:t>(ii)</w:t>
      </w:r>
      <w:r w:rsidRPr="00C033B1">
        <w:tab/>
        <w:t xml:space="preserve">a person or body to whom funding has been </w:t>
      </w:r>
      <w:r w:rsidR="001F31A6" w:rsidRPr="00C033B1">
        <w:t>made available</w:t>
      </w:r>
      <w:r w:rsidRPr="00C033B1">
        <w:t xml:space="preserve"> under </w:t>
      </w:r>
      <w:r w:rsidR="007D3911" w:rsidRPr="00C033B1">
        <w:t>section 2</w:t>
      </w:r>
      <w:r w:rsidRPr="00C033B1">
        <w:t>03FE of that Act.</w:t>
      </w:r>
    </w:p>
    <w:p w14:paraId="650E852C" w14:textId="77777777" w:rsidR="009648B2" w:rsidRPr="00C033B1" w:rsidRDefault="009648B2" w:rsidP="009648B2">
      <w:pPr>
        <w:pStyle w:val="subsection"/>
      </w:pPr>
      <w:r w:rsidRPr="00C033B1">
        <w:tab/>
        <w:t>(2)</w:t>
      </w:r>
      <w:r w:rsidRPr="00C033B1">
        <w:tab/>
        <w:t xml:space="preserve">For </w:t>
      </w:r>
      <w:r w:rsidR="005833F4" w:rsidRPr="00C033B1">
        <w:t>paragraph (</w:t>
      </w:r>
      <w:r w:rsidRPr="00C033B1">
        <w:t xml:space="preserve">1)(b), the </w:t>
      </w:r>
      <w:r w:rsidRPr="00C033B1">
        <w:rPr>
          <w:b/>
          <w:i/>
        </w:rPr>
        <w:t>holder</w:t>
      </w:r>
      <w:r w:rsidRPr="00C033B1">
        <w:t xml:space="preserve"> of a card does not include a dependant of the person who is issued the card.</w:t>
      </w:r>
    </w:p>
    <w:p w14:paraId="7917C2D2" w14:textId="77777777" w:rsidR="009648B2" w:rsidRPr="00C033B1" w:rsidRDefault="009648B2" w:rsidP="009648B2">
      <w:pPr>
        <w:pStyle w:val="ActHead5"/>
      </w:pPr>
      <w:bookmarkStart w:id="19" w:name="_Toc114043973"/>
      <w:r w:rsidRPr="00025E64">
        <w:rPr>
          <w:rStyle w:val="CharSectno"/>
        </w:rPr>
        <w:t>2.06</w:t>
      </w:r>
      <w:r w:rsidRPr="00C033B1">
        <w:t xml:space="preserve">  Persons exempt from paying fee—financial hardship</w:t>
      </w:r>
      <w:bookmarkEnd w:id="19"/>
    </w:p>
    <w:p w14:paraId="1F99EA54" w14:textId="77777777" w:rsidR="009648B2" w:rsidRPr="00C033B1" w:rsidRDefault="009648B2" w:rsidP="009648B2">
      <w:pPr>
        <w:pStyle w:val="subsection"/>
      </w:pPr>
      <w:r w:rsidRPr="00C033B1">
        <w:tab/>
        <w:t>(1)</w:t>
      </w:r>
      <w:r w:rsidRPr="00C033B1">
        <w:tab/>
        <w:t>If:</w:t>
      </w:r>
    </w:p>
    <w:p w14:paraId="6EBF4BB0" w14:textId="77777777" w:rsidR="009648B2" w:rsidRPr="00C033B1" w:rsidRDefault="009648B2" w:rsidP="009648B2">
      <w:pPr>
        <w:pStyle w:val="paragraph"/>
      </w:pPr>
      <w:r w:rsidRPr="00C033B1">
        <w:tab/>
        <w:t>(a)</w:t>
      </w:r>
      <w:r w:rsidRPr="00C033B1">
        <w:tab/>
        <w:t xml:space="preserve">a fee mentioned in </w:t>
      </w:r>
      <w:r w:rsidR="007D3911" w:rsidRPr="00C033B1">
        <w:t>Schedule 1</w:t>
      </w:r>
      <w:r w:rsidRPr="00C033B1">
        <w:t xml:space="preserve"> (other than </w:t>
      </w:r>
      <w:r w:rsidR="001E3C23" w:rsidRPr="00C033B1">
        <w:t>a</w:t>
      </w:r>
      <w:r w:rsidRPr="00C033B1">
        <w:t xml:space="preserve"> fee mentioned in </w:t>
      </w:r>
      <w:r w:rsidR="005833F4" w:rsidRPr="00C033B1">
        <w:t>item 1</w:t>
      </w:r>
      <w:r w:rsidRPr="00C033B1">
        <w:t>15C, 201A or 214A) is payable by an individual in relation to a proceeding; and</w:t>
      </w:r>
    </w:p>
    <w:p w14:paraId="3BC7A177" w14:textId="77777777" w:rsidR="009648B2" w:rsidRPr="00C033B1" w:rsidRDefault="009648B2" w:rsidP="009648B2">
      <w:pPr>
        <w:pStyle w:val="paragraph"/>
      </w:pPr>
      <w:r w:rsidRPr="00C033B1">
        <w:tab/>
        <w:t>(b)</w:t>
      </w:r>
      <w:r w:rsidRPr="00C033B1">
        <w:tab/>
        <w:t>in the opinion of the relevant Registrar or authorised officer of the relevant court at the time the fee is payable, the payment of the fee would cause financial hardship to the individual;</w:t>
      </w:r>
    </w:p>
    <w:p w14:paraId="748A15E3" w14:textId="77777777" w:rsidR="009648B2" w:rsidRPr="00C033B1" w:rsidRDefault="009648B2" w:rsidP="009648B2">
      <w:pPr>
        <w:pStyle w:val="subsection2"/>
      </w:pPr>
      <w:r w:rsidRPr="00C033B1">
        <w:t>the relevant Registrar or authorised officer may exempt the individual from paying the fee.</w:t>
      </w:r>
    </w:p>
    <w:p w14:paraId="7076A67D" w14:textId="77777777" w:rsidR="009648B2" w:rsidRPr="00C033B1" w:rsidRDefault="009648B2" w:rsidP="009648B2">
      <w:pPr>
        <w:pStyle w:val="subsection"/>
      </w:pPr>
      <w:r w:rsidRPr="00C033B1">
        <w:lastRenderedPageBreak/>
        <w:tab/>
        <w:t>(2)</w:t>
      </w:r>
      <w:r w:rsidRPr="00C033B1">
        <w:tab/>
        <w:t>In considering whether payment of a fee would cause financial hardship to an individual, the relevant Registrar or authorised officer must consider the individual’s income, day</w:t>
      </w:r>
      <w:r w:rsidR="00C033B1">
        <w:noBreakHyphen/>
      </w:r>
      <w:r w:rsidRPr="00C033B1">
        <w:t>to</w:t>
      </w:r>
      <w:r w:rsidR="00C033B1">
        <w:noBreakHyphen/>
      </w:r>
      <w:r w:rsidRPr="00C033B1">
        <w:t>day living expenses, liabilities and assets.</w:t>
      </w:r>
    </w:p>
    <w:p w14:paraId="12DE0186" w14:textId="77777777" w:rsidR="009648B2" w:rsidRPr="00C033B1" w:rsidRDefault="009648B2" w:rsidP="009648B2">
      <w:pPr>
        <w:pStyle w:val="notetext"/>
      </w:pPr>
      <w:r w:rsidRPr="00C033B1">
        <w:t>Note:</w:t>
      </w:r>
      <w:r w:rsidRPr="00C033B1">
        <w:tab/>
        <w:t xml:space="preserve">A decision of the relevant Registrar or authorised officer under this section is reviewable by the AAT: see </w:t>
      </w:r>
      <w:r w:rsidR="007D3911" w:rsidRPr="00C033B1">
        <w:t>section 2</w:t>
      </w:r>
      <w:r w:rsidRPr="00C033B1">
        <w:t>.21.</w:t>
      </w:r>
    </w:p>
    <w:p w14:paraId="69ED2BBF" w14:textId="77777777" w:rsidR="009648B2" w:rsidRPr="00C033B1" w:rsidRDefault="009648B2" w:rsidP="009648B2">
      <w:pPr>
        <w:pStyle w:val="ActHead5"/>
      </w:pPr>
      <w:bookmarkStart w:id="20" w:name="_Toc114043974"/>
      <w:r w:rsidRPr="00025E64">
        <w:rPr>
          <w:rStyle w:val="CharSectno"/>
        </w:rPr>
        <w:t>2.06A</w:t>
      </w:r>
      <w:r w:rsidRPr="00C033B1">
        <w:t xml:space="preserve">  Reduced fee or fee exemption for migration proceedings—financial hardship</w:t>
      </w:r>
      <w:bookmarkEnd w:id="20"/>
    </w:p>
    <w:p w14:paraId="4AB435D2" w14:textId="77777777" w:rsidR="00D40379" w:rsidRPr="00C033B1" w:rsidRDefault="009648B2" w:rsidP="009648B2">
      <w:pPr>
        <w:pStyle w:val="subsection"/>
      </w:pPr>
      <w:r w:rsidRPr="00C033B1">
        <w:tab/>
        <w:t>(</w:t>
      </w:r>
      <w:r w:rsidR="00BF4A95" w:rsidRPr="00C033B1">
        <w:t>1</w:t>
      </w:r>
      <w:r w:rsidRPr="00C033B1">
        <w:t>)</w:t>
      </w:r>
      <w:r w:rsidRPr="00C033B1">
        <w:tab/>
      </w:r>
      <w:r w:rsidR="00D40379" w:rsidRPr="00C033B1">
        <w:t>This section applies to a proceeding in the Federal Circuit and Family Court of Australia (</w:t>
      </w:r>
      <w:r w:rsidR="007D3911" w:rsidRPr="00C033B1">
        <w:t>Division 2</w:t>
      </w:r>
      <w:r w:rsidR="00D40379" w:rsidRPr="00C033B1">
        <w:t xml:space="preserve">) of a kind mentioned in </w:t>
      </w:r>
      <w:r w:rsidR="007D3911" w:rsidRPr="00C033B1">
        <w:t>item 2</w:t>
      </w:r>
      <w:r w:rsidR="00D40379" w:rsidRPr="00C033B1">
        <w:t xml:space="preserve">01A of </w:t>
      </w:r>
      <w:r w:rsidR="007D3911" w:rsidRPr="00C033B1">
        <w:t>Schedule 1</w:t>
      </w:r>
      <w:r w:rsidR="00D40379" w:rsidRPr="00C033B1">
        <w:t>.</w:t>
      </w:r>
    </w:p>
    <w:p w14:paraId="7E81A7A8" w14:textId="77777777" w:rsidR="009616C4" w:rsidRPr="00C033B1" w:rsidRDefault="009616C4" w:rsidP="009648B2">
      <w:pPr>
        <w:pStyle w:val="subsection"/>
      </w:pPr>
      <w:r w:rsidRPr="00C033B1">
        <w:tab/>
        <w:t>(2)</w:t>
      </w:r>
      <w:r w:rsidRPr="00C033B1">
        <w:tab/>
        <w:t>If:</w:t>
      </w:r>
    </w:p>
    <w:p w14:paraId="4F09C739" w14:textId="77777777" w:rsidR="009648B2" w:rsidRPr="00C033B1" w:rsidRDefault="009648B2" w:rsidP="009648B2">
      <w:pPr>
        <w:pStyle w:val="paragraph"/>
      </w:pPr>
      <w:r w:rsidRPr="00C033B1">
        <w:tab/>
        <w:t>(a)</w:t>
      </w:r>
      <w:r w:rsidRPr="00C033B1">
        <w:tab/>
      </w:r>
      <w:r w:rsidR="009616C4" w:rsidRPr="00C033B1">
        <w:t>the full</w:t>
      </w:r>
      <w:r w:rsidRPr="00C033B1">
        <w:t xml:space="preserve"> fee mentioned in </w:t>
      </w:r>
      <w:r w:rsidR="007D3911" w:rsidRPr="00C033B1">
        <w:t>item 2</w:t>
      </w:r>
      <w:r w:rsidR="00BF4A95" w:rsidRPr="00C033B1">
        <w:t xml:space="preserve">01A of </w:t>
      </w:r>
      <w:r w:rsidR="007D3911" w:rsidRPr="00C033B1">
        <w:t>Schedule 1</w:t>
      </w:r>
      <w:r w:rsidRPr="00C033B1">
        <w:t xml:space="preserve"> is payable by an individual in relation to </w:t>
      </w:r>
      <w:r w:rsidR="009616C4" w:rsidRPr="00C033B1">
        <w:t>the</w:t>
      </w:r>
      <w:r w:rsidRPr="00C033B1">
        <w:t xml:space="preserve"> proceeding; and</w:t>
      </w:r>
    </w:p>
    <w:p w14:paraId="452CC4D3" w14:textId="77777777" w:rsidR="009648B2" w:rsidRPr="00C033B1" w:rsidRDefault="009648B2" w:rsidP="009648B2">
      <w:pPr>
        <w:pStyle w:val="paragraph"/>
      </w:pPr>
      <w:r w:rsidRPr="00C033B1">
        <w:tab/>
        <w:t>(b)</w:t>
      </w:r>
      <w:r w:rsidRPr="00C033B1">
        <w:tab/>
        <w:t>in the opinion of a relevant Registrar or an authorised officer of the Federal Circuit and Family Court of Australia (</w:t>
      </w:r>
      <w:r w:rsidR="007D3911" w:rsidRPr="00C033B1">
        <w:t>Division 2</w:t>
      </w:r>
      <w:r w:rsidRPr="00C033B1">
        <w:t>) at the time the fee is payable, the payment of the full fee would cause financial hardship to the individual;</w:t>
      </w:r>
    </w:p>
    <w:p w14:paraId="6187BACD" w14:textId="77777777" w:rsidR="009648B2" w:rsidRPr="00C033B1" w:rsidRDefault="009648B2" w:rsidP="009648B2">
      <w:pPr>
        <w:pStyle w:val="subsection2"/>
      </w:pPr>
      <w:r w:rsidRPr="00C033B1">
        <w:t>the relevant Registrar or authorised officer may determine that:</w:t>
      </w:r>
    </w:p>
    <w:p w14:paraId="2F1636BF" w14:textId="77777777" w:rsidR="009648B2" w:rsidRPr="00C033B1" w:rsidRDefault="009648B2" w:rsidP="009648B2">
      <w:pPr>
        <w:pStyle w:val="paragraph"/>
      </w:pPr>
      <w:r w:rsidRPr="00C033B1">
        <w:tab/>
        <w:t>(c)</w:t>
      </w:r>
      <w:r w:rsidRPr="00C033B1">
        <w:tab/>
        <w:t>the individual may instead pay the reduced fee specified in that item; or</w:t>
      </w:r>
    </w:p>
    <w:p w14:paraId="023F02ED" w14:textId="77777777" w:rsidR="009648B2" w:rsidRPr="00C033B1" w:rsidRDefault="009648B2" w:rsidP="009648B2">
      <w:pPr>
        <w:pStyle w:val="paragraph"/>
      </w:pPr>
      <w:r w:rsidRPr="00C033B1">
        <w:tab/>
        <w:t>(d)</w:t>
      </w:r>
      <w:r w:rsidRPr="00C033B1">
        <w:tab/>
        <w:t>if, in the opinion of the relevant Registrar or the authorised officer</w:t>
      </w:r>
      <w:r w:rsidR="009616C4" w:rsidRPr="00C033B1">
        <w:t xml:space="preserve"> at that time</w:t>
      </w:r>
      <w:r w:rsidRPr="00C033B1">
        <w:t>, the payment of the reduced fee would also cause financial hardship to the individua</w:t>
      </w:r>
      <w:r w:rsidR="009616C4" w:rsidRPr="00C033B1">
        <w:t>l</w:t>
      </w:r>
      <w:r w:rsidRPr="00C033B1">
        <w:t>—the individual is exempt from paying both the full fee and the reduced fee.</w:t>
      </w:r>
    </w:p>
    <w:p w14:paraId="465FE0CA" w14:textId="77777777" w:rsidR="009648B2" w:rsidRPr="00C033B1" w:rsidRDefault="009648B2" w:rsidP="009648B2">
      <w:pPr>
        <w:pStyle w:val="subsection"/>
      </w:pPr>
      <w:r w:rsidRPr="00C033B1">
        <w:tab/>
        <w:t>(</w:t>
      </w:r>
      <w:r w:rsidR="009616C4" w:rsidRPr="00C033B1">
        <w:t>3</w:t>
      </w:r>
      <w:r w:rsidRPr="00C033B1">
        <w:t>)</w:t>
      </w:r>
      <w:r w:rsidRPr="00C033B1">
        <w:tab/>
        <w:t xml:space="preserve">In considering whether payment of </w:t>
      </w:r>
      <w:r w:rsidR="00005E93" w:rsidRPr="00C033B1">
        <w:t>the full fee or the reduced</w:t>
      </w:r>
      <w:r w:rsidR="00BF4A95" w:rsidRPr="00C033B1">
        <w:t xml:space="preserve"> fee </w:t>
      </w:r>
      <w:r w:rsidRPr="00C033B1">
        <w:t>would cause financial hardship to an individual, the relevant Registrar or authorised officer must consider the individual’s income, day</w:t>
      </w:r>
      <w:r w:rsidR="00C033B1">
        <w:noBreakHyphen/>
      </w:r>
      <w:r w:rsidRPr="00C033B1">
        <w:t>to</w:t>
      </w:r>
      <w:r w:rsidR="00C033B1">
        <w:noBreakHyphen/>
      </w:r>
      <w:r w:rsidRPr="00C033B1">
        <w:t>day living expenses, liabilities and assets.</w:t>
      </w:r>
    </w:p>
    <w:p w14:paraId="673F830B" w14:textId="77777777" w:rsidR="009648B2" w:rsidRPr="00C033B1" w:rsidRDefault="009648B2" w:rsidP="009648B2">
      <w:pPr>
        <w:pStyle w:val="notetext"/>
      </w:pPr>
      <w:r w:rsidRPr="00C033B1">
        <w:t>Note:</w:t>
      </w:r>
      <w:r w:rsidRPr="00C033B1">
        <w:tab/>
        <w:t xml:space="preserve">A decision of a relevant Registrar or an authorised officer under </w:t>
      </w:r>
      <w:r w:rsidR="00BF4A95" w:rsidRPr="00C033B1">
        <w:t>this section</w:t>
      </w:r>
      <w:r w:rsidRPr="00C033B1">
        <w:t xml:space="preserve"> is reviewable by the AAT: see </w:t>
      </w:r>
      <w:r w:rsidR="007D3911" w:rsidRPr="00C033B1">
        <w:t>section 2</w:t>
      </w:r>
      <w:r w:rsidRPr="00C033B1">
        <w:t>.21.</w:t>
      </w:r>
    </w:p>
    <w:p w14:paraId="0A932FCA" w14:textId="77777777" w:rsidR="009648B2" w:rsidRPr="00C033B1" w:rsidRDefault="007D3911" w:rsidP="004507C2">
      <w:pPr>
        <w:pStyle w:val="ActHead3"/>
        <w:pageBreakBefore/>
      </w:pPr>
      <w:bookmarkStart w:id="21" w:name="_Toc114043975"/>
      <w:r w:rsidRPr="00025E64">
        <w:rPr>
          <w:rStyle w:val="CharDivNo"/>
        </w:rPr>
        <w:lastRenderedPageBreak/>
        <w:t>Division 2</w:t>
      </w:r>
      <w:r w:rsidR="009648B2" w:rsidRPr="00025E64">
        <w:rPr>
          <w:rStyle w:val="CharDivNo"/>
        </w:rPr>
        <w:t>.4</w:t>
      </w:r>
      <w:r w:rsidR="009648B2" w:rsidRPr="00C033B1">
        <w:t>—</w:t>
      </w:r>
      <w:r w:rsidR="009648B2" w:rsidRPr="00025E64">
        <w:rPr>
          <w:rStyle w:val="CharDivText"/>
        </w:rPr>
        <w:t>When fee</w:t>
      </w:r>
      <w:r w:rsidR="005C4C04" w:rsidRPr="00025E64">
        <w:rPr>
          <w:rStyle w:val="CharDivText"/>
        </w:rPr>
        <w:t>s</w:t>
      </w:r>
      <w:r w:rsidR="009648B2" w:rsidRPr="00025E64">
        <w:rPr>
          <w:rStyle w:val="CharDivText"/>
        </w:rPr>
        <w:t xml:space="preserve"> </w:t>
      </w:r>
      <w:r w:rsidR="005C4C04" w:rsidRPr="00025E64">
        <w:rPr>
          <w:rStyle w:val="CharDivText"/>
        </w:rPr>
        <w:t>are</w:t>
      </w:r>
      <w:r w:rsidR="009648B2" w:rsidRPr="00025E64">
        <w:rPr>
          <w:rStyle w:val="CharDivText"/>
        </w:rPr>
        <w:t xml:space="preserve"> not payable</w:t>
      </w:r>
      <w:bookmarkEnd w:id="21"/>
    </w:p>
    <w:p w14:paraId="4B9D1659" w14:textId="77777777" w:rsidR="009648B2" w:rsidRPr="00C033B1" w:rsidRDefault="009648B2" w:rsidP="009648B2">
      <w:pPr>
        <w:pStyle w:val="ActHead5"/>
      </w:pPr>
      <w:bookmarkStart w:id="22" w:name="_Toc114043976"/>
      <w:r w:rsidRPr="00025E64">
        <w:rPr>
          <w:rStyle w:val="CharSectno"/>
        </w:rPr>
        <w:t>2.07</w:t>
      </w:r>
      <w:r w:rsidRPr="00C033B1">
        <w:t xml:space="preserve">  Fee</w:t>
      </w:r>
      <w:r w:rsidR="005C4C04" w:rsidRPr="00C033B1">
        <w:t>s</w:t>
      </w:r>
      <w:r w:rsidRPr="00C033B1">
        <w:t xml:space="preserve"> not payable if already paid</w:t>
      </w:r>
      <w:bookmarkEnd w:id="22"/>
    </w:p>
    <w:p w14:paraId="646F367C" w14:textId="77777777" w:rsidR="009648B2" w:rsidRPr="00C033B1" w:rsidRDefault="009648B2" w:rsidP="009648B2">
      <w:pPr>
        <w:pStyle w:val="subsection"/>
      </w:pPr>
      <w:r w:rsidRPr="00C033B1">
        <w:tab/>
      </w:r>
      <w:r w:rsidRPr="00C033B1">
        <w:tab/>
        <w:t xml:space="preserve">A fee mentioned in </w:t>
      </w:r>
      <w:r w:rsidR="007D3911" w:rsidRPr="00C033B1">
        <w:t>Schedule 1</w:t>
      </w:r>
      <w:r w:rsidRPr="00C033B1">
        <w:t xml:space="preserve"> is not payable by the liable person</w:t>
      </w:r>
      <w:r w:rsidR="005C4C04" w:rsidRPr="00C033B1">
        <w:t xml:space="preserve"> for the fee</w:t>
      </w:r>
      <w:r w:rsidRPr="00C033B1">
        <w:t xml:space="preserve"> if another person has paid the fee.</w:t>
      </w:r>
    </w:p>
    <w:p w14:paraId="198A314E" w14:textId="77777777" w:rsidR="009648B2" w:rsidRPr="00C033B1" w:rsidRDefault="009648B2" w:rsidP="009648B2">
      <w:pPr>
        <w:pStyle w:val="ActHead5"/>
      </w:pPr>
      <w:bookmarkStart w:id="23" w:name="_Toc114043977"/>
      <w:r w:rsidRPr="00025E64">
        <w:rPr>
          <w:rStyle w:val="CharSectno"/>
        </w:rPr>
        <w:t>2.08</w:t>
      </w:r>
      <w:r w:rsidRPr="00C033B1">
        <w:t xml:space="preserve">  Fee</w:t>
      </w:r>
      <w:r w:rsidR="005C4C04" w:rsidRPr="00C033B1">
        <w:t>s</w:t>
      </w:r>
      <w:r w:rsidRPr="00C033B1">
        <w:t xml:space="preserve"> not payable in </w:t>
      </w:r>
      <w:r w:rsidR="005C4C04" w:rsidRPr="00C033B1">
        <w:t xml:space="preserve">certain </w:t>
      </w:r>
      <w:r w:rsidRPr="00C033B1">
        <w:t>Federal Court proceeding</w:t>
      </w:r>
      <w:r w:rsidR="005C4C04" w:rsidRPr="00C033B1">
        <w:t>s</w:t>
      </w:r>
      <w:bookmarkEnd w:id="23"/>
    </w:p>
    <w:p w14:paraId="65923348" w14:textId="77777777" w:rsidR="002C34CF" w:rsidRPr="00C033B1" w:rsidRDefault="009648B2" w:rsidP="009648B2">
      <w:pPr>
        <w:pStyle w:val="subsection"/>
      </w:pPr>
      <w:r w:rsidRPr="00C033B1">
        <w:tab/>
        <w:t>(</w:t>
      </w:r>
      <w:r w:rsidR="00D94167" w:rsidRPr="00C033B1">
        <w:t>1</w:t>
      </w:r>
      <w:r w:rsidRPr="00C033B1">
        <w:t>)</w:t>
      </w:r>
      <w:r w:rsidRPr="00C033B1">
        <w:tab/>
      </w:r>
      <w:r w:rsidR="002C34CF" w:rsidRPr="00C033B1">
        <w:t>This section applies to proceedings in the Federal Court.</w:t>
      </w:r>
    </w:p>
    <w:p w14:paraId="34C648F8" w14:textId="77777777" w:rsidR="009648B2" w:rsidRPr="00C033B1" w:rsidRDefault="002C34CF" w:rsidP="009648B2">
      <w:pPr>
        <w:pStyle w:val="subsection"/>
      </w:pPr>
      <w:r w:rsidRPr="00C033B1">
        <w:tab/>
        <w:t>(2)</w:t>
      </w:r>
      <w:r w:rsidRPr="00C033B1">
        <w:tab/>
      </w:r>
      <w:r w:rsidR="009648B2" w:rsidRPr="00C033B1">
        <w:t xml:space="preserve">A fee mentioned in </w:t>
      </w:r>
      <w:r w:rsidR="007D3911" w:rsidRPr="00C033B1">
        <w:t>Schedule 1</w:t>
      </w:r>
      <w:r w:rsidR="009648B2" w:rsidRPr="00C033B1">
        <w:t xml:space="preserve"> is not payable in relation to </w:t>
      </w:r>
      <w:r w:rsidR="00884161" w:rsidRPr="00C033B1">
        <w:t>any of the</w:t>
      </w:r>
      <w:r w:rsidR="009648B2" w:rsidRPr="00C033B1">
        <w:t xml:space="preserve"> following proceedings:</w:t>
      </w:r>
    </w:p>
    <w:p w14:paraId="35EA1694" w14:textId="77777777" w:rsidR="002C34CF" w:rsidRPr="00C033B1" w:rsidRDefault="00334A5B" w:rsidP="00334A5B">
      <w:pPr>
        <w:pStyle w:val="paragraph"/>
      </w:pPr>
      <w:r w:rsidRPr="00C033B1">
        <w:tab/>
        <w:t>(a)</w:t>
      </w:r>
      <w:r w:rsidRPr="00C033B1">
        <w:tab/>
      </w:r>
      <w:r w:rsidR="002C34CF" w:rsidRPr="00C033B1">
        <w:t xml:space="preserve">an appeal from a judgment in relation to an application under section 46PO or 46PP of the </w:t>
      </w:r>
      <w:r w:rsidR="002C34CF" w:rsidRPr="00C033B1">
        <w:rPr>
          <w:i/>
        </w:rPr>
        <w:t>Australian Human Rights Commission Act 1986</w:t>
      </w:r>
      <w:r w:rsidR="002C34CF" w:rsidRPr="00C033B1">
        <w:t>;</w:t>
      </w:r>
    </w:p>
    <w:p w14:paraId="7071065A" w14:textId="77777777" w:rsidR="002C34CF" w:rsidRPr="00C033B1" w:rsidRDefault="002C34CF" w:rsidP="002C34CF">
      <w:pPr>
        <w:pStyle w:val="paragraph"/>
      </w:pPr>
      <w:r w:rsidRPr="00C033B1">
        <w:tab/>
        <w:t>(b)</w:t>
      </w:r>
      <w:r w:rsidRPr="00C033B1">
        <w:tab/>
        <w:t xml:space="preserve">an appeal from a judgment in relation to an application made by a person under </w:t>
      </w:r>
      <w:r w:rsidR="007D3911" w:rsidRPr="00C033B1">
        <w:t>section 5</w:t>
      </w:r>
      <w:r w:rsidRPr="00C033B1">
        <w:t xml:space="preserve">39 of the </w:t>
      </w:r>
      <w:r w:rsidRPr="00C033B1">
        <w:rPr>
          <w:i/>
        </w:rPr>
        <w:t>Fair Work Act 2009</w:t>
      </w:r>
      <w:r w:rsidRPr="00C033B1">
        <w:t xml:space="preserve"> in either of the following circumstances:</w:t>
      </w:r>
    </w:p>
    <w:p w14:paraId="3B0D9BB0" w14:textId="77777777" w:rsidR="002C34CF" w:rsidRPr="00C033B1" w:rsidRDefault="002C34CF" w:rsidP="002C34CF">
      <w:pPr>
        <w:pStyle w:val="paragraphsub"/>
      </w:pPr>
      <w:r w:rsidRPr="00C033B1">
        <w:tab/>
        <w:t>(i)</w:t>
      </w:r>
      <w:r w:rsidRPr="00C033B1">
        <w:tab/>
        <w:t>the person has been dismissed from employment in alleged contravention of Part 3</w:t>
      </w:r>
      <w:r w:rsidR="00C033B1">
        <w:noBreakHyphen/>
      </w:r>
      <w:r w:rsidRPr="00C033B1">
        <w:t>1 of that Act;</w:t>
      </w:r>
    </w:p>
    <w:p w14:paraId="141A857C" w14:textId="77777777" w:rsidR="002C34CF" w:rsidRPr="00C033B1" w:rsidRDefault="002C34CF" w:rsidP="002C34CF">
      <w:pPr>
        <w:pStyle w:val="paragraphsub"/>
      </w:pPr>
      <w:r w:rsidRPr="00C033B1">
        <w:tab/>
        <w:t>(ii)</w:t>
      </w:r>
      <w:r w:rsidRPr="00C033B1">
        <w:tab/>
        <w:t xml:space="preserve">the person alleges </w:t>
      </w:r>
      <w:r w:rsidR="00B20ED6" w:rsidRPr="00C033B1">
        <w:t xml:space="preserve">that an employer has taken adverse action against the person in </w:t>
      </w:r>
      <w:r w:rsidRPr="00C033B1">
        <w:t xml:space="preserve">breach of </w:t>
      </w:r>
      <w:r w:rsidR="007D3911" w:rsidRPr="00C033B1">
        <w:t>section 3</w:t>
      </w:r>
      <w:r w:rsidRPr="00C033B1">
        <w:t>51 of that Act;</w:t>
      </w:r>
    </w:p>
    <w:p w14:paraId="587F91A7" w14:textId="77777777" w:rsidR="002C34CF" w:rsidRPr="00C033B1" w:rsidRDefault="002C34CF" w:rsidP="00334A5B">
      <w:pPr>
        <w:pStyle w:val="paragraph"/>
      </w:pPr>
      <w:r w:rsidRPr="00C033B1">
        <w:tab/>
        <w:t>(c)</w:t>
      </w:r>
      <w:r w:rsidRPr="00C033B1">
        <w:tab/>
        <w:t xml:space="preserve">an appeal from a judgment in relation to an application made by a person under </w:t>
      </w:r>
      <w:r w:rsidR="007D3911" w:rsidRPr="00C033B1">
        <w:t>section 5</w:t>
      </w:r>
      <w:r w:rsidRPr="00C033B1">
        <w:t xml:space="preserve">39 of the </w:t>
      </w:r>
      <w:r w:rsidRPr="00C033B1">
        <w:rPr>
          <w:i/>
        </w:rPr>
        <w:t>Fair Work Act 2009</w:t>
      </w:r>
      <w:r w:rsidRPr="00C033B1">
        <w:t xml:space="preserve"> if the person has been dismissed from employment in alleged contravention of section 772 of that Act</w:t>
      </w:r>
      <w:r w:rsidR="002448C0" w:rsidRPr="00C033B1">
        <w:t>;</w:t>
      </w:r>
    </w:p>
    <w:p w14:paraId="3103A8EF" w14:textId="77777777" w:rsidR="00334A5B" w:rsidRPr="00C033B1" w:rsidRDefault="002C34CF" w:rsidP="00334A5B">
      <w:pPr>
        <w:pStyle w:val="paragraph"/>
      </w:pPr>
      <w:r w:rsidRPr="00C033B1">
        <w:tab/>
        <w:t>(d)</w:t>
      </w:r>
      <w:r w:rsidRPr="00C033B1">
        <w:tab/>
      </w:r>
      <w:r w:rsidR="00334A5B" w:rsidRPr="00C033B1">
        <w:t xml:space="preserve">the trying of an election petition under the </w:t>
      </w:r>
      <w:r w:rsidR="00334A5B" w:rsidRPr="00C033B1">
        <w:rPr>
          <w:i/>
        </w:rPr>
        <w:t>Aboriginal and Torres Strait Islander Act 2005</w:t>
      </w:r>
      <w:r w:rsidR="00334A5B" w:rsidRPr="00C033B1">
        <w:t>;</w:t>
      </w:r>
    </w:p>
    <w:p w14:paraId="74749690" w14:textId="77777777" w:rsidR="002C34CF" w:rsidRPr="00C033B1" w:rsidRDefault="002C34CF" w:rsidP="00334A5B">
      <w:pPr>
        <w:pStyle w:val="paragraph"/>
      </w:pPr>
      <w:r w:rsidRPr="00C033B1">
        <w:tab/>
        <w:t>(e)</w:t>
      </w:r>
      <w:r w:rsidRPr="00C033B1">
        <w:tab/>
        <w:t>an application by a person to set aside a subpoena;</w:t>
      </w:r>
    </w:p>
    <w:p w14:paraId="37C105ED" w14:textId="77777777" w:rsidR="002C34CF" w:rsidRPr="00C033B1" w:rsidRDefault="002C34CF" w:rsidP="00334A5B">
      <w:pPr>
        <w:pStyle w:val="paragraph"/>
      </w:pPr>
      <w:r w:rsidRPr="00C033B1">
        <w:tab/>
        <w:t>(f)</w:t>
      </w:r>
      <w:r w:rsidRPr="00C033B1">
        <w:tab/>
        <w:t xml:space="preserve">a proceeding under the </w:t>
      </w:r>
      <w:r w:rsidRPr="00C033B1">
        <w:rPr>
          <w:i/>
        </w:rPr>
        <w:t>Child Support (Registration and Collection) Act 1988</w:t>
      </w:r>
      <w:r w:rsidRPr="00C033B1">
        <w:t>;</w:t>
      </w:r>
    </w:p>
    <w:p w14:paraId="030D396E" w14:textId="77777777" w:rsidR="00F50782" w:rsidRPr="00C033B1" w:rsidRDefault="00F50782" w:rsidP="00F50782">
      <w:pPr>
        <w:pStyle w:val="paragraph"/>
      </w:pPr>
      <w:r w:rsidRPr="00C033B1">
        <w:tab/>
        <w:t>(</w:t>
      </w:r>
      <w:r w:rsidR="002C34CF" w:rsidRPr="00C033B1">
        <w:t>g</w:t>
      </w:r>
      <w:r w:rsidRPr="00C033B1">
        <w:t>)</w:t>
      </w:r>
      <w:r w:rsidRPr="00C033B1">
        <w:tab/>
        <w:t xml:space="preserve">an appeal on a question of law from a decision of the Administrative Appeals Tribunal in a child support first review (within the meaning of the </w:t>
      </w:r>
      <w:r w:rsidRPr="00C033B1">
        <w:rPr>
          <w:i/>
        </w:rPr>
        <w:t>Administrative Appeals Tribunal Act 1975</w:t>
      </w:r>
      <w:r w:rsidRPr="00C033B1">
        <w:t>) under sub</w:t>
      </w:r>
      <w:r w:rsidR="00D4482F" w:rsidRPr="00C033B1">
        <w:t>section 4</w:t>
      </w:r>
      <w:r w:rsidRPr="00C033B1">
        <w:t>4(1) of that Act</w:t>
      </w:r>
      <w:r w:rsidR="00426E67" w:rsidRPr="00C033B1">
        <w:t>;</w:t>
      </w:r>
    </w:p>
    <w:p w14:paraId="2D60ECC1" w14:textId="77777777" w:rsidR="009648B2" w:rsidRPr="00C033B1" w:rsidRDefault="00334A5B" w:rsidP="009648B2">
      <w:pPr>
        <w:pStyle w:val="paragraph"/>
      </w:pPr>
      <w:r w:rsidRPr="00C033B1">
        <w:tab/>
      </w:r>
      <w:r w:rsidR="009648B2" w:rsidRPr="00C033B1">
        <w:t>(</w:t>
      </w:r>
      <w:r w:rsidR="002C34CF" w:rsidRPr="00C033B1">
        <w:t>h</w:t>
      </w:r>
      <w:r w:rsidR="009648B2" w:rsidRPr="00C033B1">
        <w:t>)</w:t>
      </w:r>
      <w:r w:rsidR="009648B2" w:rsidRPr="00C033B1">
        <w:tab/>
      </w:r>
      <w:r w:rsidR="008D3DB3" w:rsidRPr="00C033B1">
        <w:t>a proceeding for which an international convention that is in force for Australia provides that no fee is to be payable</w:t>
      </w:r>
      <w:r w:rsidR="002C34CF" w:rsidRPr="00C033B1">
        <w:t>;</w:t>
      </w:r>
    </w:p>
    <w:p w14:paraId="7A678001" w14:textId="77777777" w:rsidR="00662EC8" w:rsidRPr="00C033B1" w:rsidRDefault="00334A5B" w:rsidP="009648B2">
      <w:pPr>
        <w:pStyle w:val="paragraph"/>
      </w:pPr>
      <w:r w:rsidRPr="00C033B1">
        <w:tab/>
        <w:t>(</w:t>
      </w:r>
      <w:r w:rsidR="002C34CF" w:rsidRPr="00C033B1">
        <w:t>i</w:t>
      </w:r>
      <w:r w:rsidRPr="00C033B1">
        <w:t>)</w:t>
      </w:r>
      <w:r w:rsidRPr="00C033B1">
        <w:tab/>
        <w:t xml:space="preserve">an application under </w:t>
      </w:r>
      <w:r w:rsidR="007D3911" w:rsidRPr="00C033B1">
        <w:t>section 2</w:t>
      </w:r>
      <w:r w:rsidRPr="00C033B1">
        <w:t xml:space="preserve">3 of the </w:t>
      </w:r>
      <w:r w:rsidRPr="00C033B1">
        <w:rPr>
          <w:i/>
        </w:rPr>
        <w:t>International Arbitration Act 1974</w:t>
      </w:r>
      <w:r w:rsidRPr="00C033B1">
        <w:t xml:space="preserve"> for the issue of a subpoena</w:t>
      </w:r>
      <w:r w:rsidR="002C34CF" w:rsidRPr="00C033B1">
        <w:t>.</w:t>
      </w:r>
    </w:p>
    <w:p w14:paraId="6FA699AD" w14:textId="77777777" w:rsidR="009648B2" w:rsidRPr="00C033B1" w:rsidRDefault="009648B2" w:rsidP="009648B2">
      <w:pPr>
        <w:pStyle w:val="SubsectionHead"/>
      </w:pPr>
      <w:r w:rsidRPr="00C033B1">
        <w:t>Taxation proceedings</w:t>
      </w:r>
    </w:p>
    <w:p w14:paraId="656270AA" w14:textId="77777777" w:rsidR="009648B2" w:rsidRPr="00C033B1" w:rsidRDefault="009648B2" w:rsidP="009648B2">
      <w:pPr>
        <w:pStyle w:val="subsection"/>
      </w:pPr>
      <w:r w:rsidRPr="00C033B1">
        <w:tab/>
        <w:t>(</w:t>
      </w:r>
      <w:r w:rsidR="002C34CF" w:rsidRPr="00C033B1">
        <w:t>3</w:t>
      </w:r>
      <w:r w:rsidRPr="00C033B1">
        <w:t>)</w:t>
      </w:r>
      <w:r w:rsidRPr="00C033B1">
        <w:tab/>
        <w:t xml:space="preserve">A fee mentioned in </w:t>
      </w:r>
      <w:r w:rsidR="007D3911" w:rsidRPr="00C033B1">
        <w:t>Schedule 1</w:t>
      </w:r>
      <w:r w:rsidRPr="00C033B1">
        <w:t xml:space="preserve"> is not payable in relation to any of the following </w:t>
      </w:r>
      <w:r w:rsidR="00C331D7" w:rsidRPr="00C033B1">
        <w:t xml:space="preserve">kinds of </w:t>
      </w:r>
      <w:r w:rsidRPr="00C033B1">
        <w:t xml:space="preserve">proceedings </w:t>
      </w:r>
      <w:r w:rsidR="007A4731" w:rsidRPr="00C033B1">
        <w:t xml:space="preserve">if a relevant Registrar or authorised officer of the court is satisfied that </w:t>
      </w:r>
      <w:r w:rsidR="00BE0F9B" w:rsidRPr="00C033B1">
        <w:t xml:space="preserve">the circumstance set out in </w:t>
      </w:r>
      <w:r w:rsidR="005833F4" w:rsidRPr="00C033B1">
        <w:t>subsection (</w:t>
      </w:r>
      <w:r w:rsidR="002C34CF" w:rsidRPr="00C033B1">
        <w:t>4</w:t>
      </w:r>
      <w:r w:rsidR="00BE0F9B" w:rsidRPr="00C033B1">
        <w:t>)</w:t>
      </w:r>
      <w:r w:rsidR="007A4731" w:rsidRPr="00C033B1">
        <w:t xml:space="preserve"> apply in relation to the proceedings</w:t>
      </w:r>
      <w:r w:rsidRPr="00C033B1">
        <w:t>:</w:t>
      </w:r>
    </w:p>
    <w:p w14:paraId="0C891C7A" w14:textId="77777777" w:rsidR="009648B2" w:rsidRPr="00C033B1" w:rsidRDefault="009648B2" w:rsidP="009648B2">
      <w:pPr>
        <w:pStyle w:val="paragraph"/>
      </w:pPr>
      <w:r w:rsidRPr="00C033B1">
        <w:tab/>
        <w:t>(a)</w:t>
      </w:r>
      <w:r w:rsidRPr="00C033B1">
        <w:tab/>
        <w:t xml:space="preserve">an appeal under section 14ZZ of the </w:t>
      </w:r>
      <w:r w:rsidRPr="00C033B1">
        <w:rPr>
          <w:i/>
        </w:rPr>
        <w:t>Taxation Administration Act 1953</w:t>
      </w:r>
      <w:r w:rsidRPr="00C033B1">
        <w:t>;</w:t>
      </w:r>
    </w:p>
    <w:p w14:paraId="03162B52" w14:textId="77777777" w:rsidR="009648B2" w:rsidRPr="00C033B1" w:rsidRDefault="009648B2" w:rsidP="009648B2">
      <w:pPr>
        <w:pStyle w:val="paragraph"/>
      </w:pPr>
      <w:r w:rsidRPr="00C033B1">
        <w:tab/>
        <w:t>(b)</w:t>
      </w:r>
      <w:r w:rsidRPr="00C033B1">
        <w:tab/>
        <w:t>an appeal from a decision of the Taxation and Commercial Division of the Administrative Appeals Tribunal;</w:t>
      </w:r>
    </w:p>
    <w:p w14:paraId="0488A8B5" w14:textId="77777777" w:rsidR="009648B2" w:rsidRPr="00C033B1" w:rsidRDefault="009648B2" w:rsidP="009648B2">
      <w:pPr>
        <w:pStyle w:val="paragraph"/>
      </w:pPr>
      <w:r w:rsidRPr="00C033B1">
        <w:lastRenderedPageBreak/>
        <w:tab/>
        <w:t>(c)</w:t>
      </w:r>
      <w:r w:rsidRPr="00C033B1">
        <w:tab/>
        <w:t xml:space="preserve">an appeal from a single judge to the Full Court in relation to an appeal under section 14ZZ of the </w:t>
      </w:r>
      <w:r w:rsidRPr="00C033B1">
        <w:rPr>
          <w:i/>
        </w:rPr>
        <w:t>Taxation Administration Act 1953</w:t>
      </w:r>
      <w:r w:rsidRPr="00C033B1">
        <w:t>.</w:t>
      </w:r>
    </w:p>
    <w:p w14:paraId="09BCD8EA" w14:textId="77777777" w:rsidR="007A4731" w:rsidRPr="00C033B1" w:rsidRDefault="007A4731" w:rsidP="007A4731">
      <w:pPr>
        <w:pStyle w:val="notetext"/>
      </w:pPr>
      <w:r w:rsidRPr="00C033B1">
        <w:t>Note:</w:t>
      </w:r>
      <w:r w:rsidRPr="00C033B1">
        <w:tab/>
        <w:t xml:space="preserve">A decision of the relevant Registrar or authorised officer under this subsection is reviewable by the AAT: see </w:t>
      </w:r>
      <w:r w:rsidR="007D3911" w:rsidRPr="00C033B1">
        <w:t>section 2</w:t>
      </w:r>
      <w:r w:rsidRPr="00C033B1">
        <w:t>.21.</w:t>
      </w:r>
    </w:p>
    <w:p w14:paraId="2CDA331C" w14:textId="77777777" w:rsidR="009648B2" w:rsidRPr="00C033B1" w:rsidRDefault="009648B2" w:rsidP="009648B2">
      <w:pPr>
        <w:pStyle w:val="subsection"/>
      </w:pPr>
      <w:r w:rsidRPr="00C033B1">
        <w:tab/>
        <w:t>(</w:t>
      </w:r>
      <w:r w:rsidR="002C34CF" w:rsidRPr="00C033B1">
        <w:t>4</w:t>
      </w:r>
      <w:r w:rsidRPr="00C033B1">
        <w:t>)</w:t>
      </w:r>
      <w:r w:rsidRPr="00C033B1">
        <w:tab/>
      </w:r>
      <w:r w:rsidR="00C331D7" w:rsidRPr="00C033B1">
        <w:t>The circumstance</w:t>
      </w:r>
      <w:r w:rsidR="007A4731" w:rsidRPr="00C033B1">
        <w:t xml:space="preserve">s are </w:t>
      </w:r>
      <w:r w:rsidR="00C331D7" w:rsidRPr="00C033B1">
        <w:t>that:</w:t>
      </w:r>
    </w:p>
    <w:p w14:paraId="49E786E6" w14:textId="77777777" w:rsidR="009648B2" w:rsidRPr="00C033B1" w:rsidRDefault="009648B2" w:rsidP="009648B2">
      <w:pPr>
        <w:pStyle w:val="paragraph"/>
      </w:pPr>
      <w:r w:rsidRPr="00C033B1">
        <w:tab/>
        <w:t>(a)</w:t>
      </w:r>
      <w:r w:rsidRPr="00C033B1">
        <w:tab/>
        <w:t xml:space="preserve">the person lodging the appeal has lodged with the court another appeal for which the fee mentioned in </w:t>
      </w:r>
      <w:r w:rsidR="007D3911" w:rsidRPr="00C033B1">
        <w:t>Schedule 1</w:t>
      </w:r>
      <w:r w:rsidRPr="00C033B1">
        <w:t xml:space="preserve"> has been paid; and</w:t>
      </w:r>
    </w:p>
    <w:p w14:paraId="522F14AC" w14:textId="77777777" w:rsidR="009648B2" w:rsidRPr="00C033B1" w:rsidRDefault="009648B2" w:rsidP="009648B2">
      <w:pPr>
        <w:pStyle w:val="paragraph"/>
      </w:pPr>
      <w:r w:rsidRPr="00C033B1">
        <w:tab/>
        <w:t>(b)</w:t>
      </w:r>
      <w:r w:rsidRPr="00C033B1">
        <w:tab/>
        <w:t xml:space="preserve">both appeals are the same kind of proceeding under </w:t>
      </w:r>
      <w:r w:rsidR="005833F4" w:rsidRPr="00C033B1">
        <w:t>subsection (</w:t>
      </w:r>
      <w:r w:rsidR="002C34CF" w:rsidRPr="00C033B1">
        <w:t>3</w:t>
      </w:r>
      <w:r w:rsidRPr="00C033B1">
        <w:t>); and</w:t>
      </w:r>
    </w:p>
    <w:p w14:paraId="7338F2A2" w14:textId="77777777" w:rsidR="009648B2" w:rsidRPr="00C033B1" w:rsidRDefault="009648B2" w:rsidP="009648B2">
      <w:pPr>
        <w:pStyle w:val="paragraph"/>
      </w:pPr>
      <w:r w:rsidRPr="00C033B1">
        <w:tab/>
        <w:t>(c)</w:t>
      </w:r>
      <w:r w:rsidRPr="00C033B1">
        <w:tab/>
        <w:t>the appeal concerns an issue (other than a procedural issue) that is substantially the same as an issue of concern in the other appeal.</w:t>
      </w:r>
    </w:p>
    <w:p w14:paraId="6AC11D1F" w14:textId="77777777" w:rsidR="009648B2" w:rsidRPr="00C033B1" w:rsidRDefault="009648B2" w:rsidP="009648B2">
      <w:pPr>
        <w:pStyle w:val="ActHead5"/>
      </w:pPr>
      <w:bookmarkStart w:id="24" w:name="_Toc114043978"/>
      <w:r w:rsidRPr="00025E64">
        <w:rPr>
          <w:rStyle w:val="CharSectno"/>
        </w:rPr>
        <w:t>2.09</w:t>
      </w:r>
      <w:r w:rsidRPr="00C033B1">
        <w:t xml:space="preserve">  Fee</w:t>
      </w:r>
      <w:r w:rsidR="00D94167" w:rsidRPr="00C033B1">
        <w:t>s</w:t>
      </w:r>
      <w:r w:rsidRPr="00C033B1">
        <w:t xml:space="preserve"> not payable in </w:t>
      </w:r>
      <w:r w:rsidR="00D94167" w:rsidRPr="00C033B1">
        <w:t xml:space="preserve">certain </w:t>
      </w:r>
      <w:r w:rsidRPr="00C033B1">
        <w:t>Federal Circuit and Family Court of Australia (</w:t>
      </w:r>
      <w:r w:rsidR="007D3911" w:rsidRPr="00C033B1">
        <w:t>Division 2</w:t>
      </w:r>
      <w:r w:rsidRPr="00C033B1">
        <w:t>) proceeding</w:t>
      </w:r>
      <w:r w:rsidR="00D94167" w:rsidRPr="00C033B1">
        <w:t>s</w:t>
      </w:r>
      <w:bookmarkEnd w:id="24"/>
    </w:p>
    <w:p w14:paraId="0D871A3D" w14:textId="77777777" w:rsidR="002C34CF" w:rsidRPr="00C033B1" w:rsidRDefault="009648B2" w:rsidP="009648B2">
      <w:pPr>
        <w:pStyle w:val="subsection"/>
      </w:pPr>
      <w:r w:rsidRPr="00C033B1">
        <w:tab/>
        <w:t>(</w:t>
      </w:r>
      <w:r w:rsidR="00D94167" w:rsidRPr="00C033B1">
        <w:t>1</w:t>
      </w:r>
      <w:r w:rsidRPr="00C033B1">
        <w:t>)</w:t>
      </w:r>
      <w:r w:rsidRPr="00C033B1">
        <w:tab/>
      </w:r>
      <w:r w:rsidR="002C34CF" w:rsidRPr="00C033B1">
        <w:t>This section applies to proceedings in the Federal Circuit and Family Court of Australia (</w:t>
      </w:r>
      <w:r w:rsidR="007D3911" w:rsidRPr="00C033B1">
        <w:t>Division 2</w:t>
      </w:r>
      <w:r w:rsidR="002C34CF" w:rsidRPr="00C033B1">
        <w:t>).</w:t>
      </w:r>
    </w:p>
    <w:p w14:paraId="13063FD3" w14:textId="77777777" w:rsidR="009648B2" w:rsidRPr="00C033B1" w:rsidRDefault="002C34CF" w:rsidP="009648B2">
      <w:pPr>
        <w:pStyle w:val="subsection"/>
      </w:pPr>
      <w:r w:rsidRPr="00C033B1">
        <w:tab/>
        <w:t>(2)</w:t>
      </w:r>
      <w:r w:rsidRPr="00C033B1">
        <w:tab/>
      </w:r>
      <w:r w:rsidR="009648B2" w:rsidRPr="00C033B1">
        <w:t xml:space="preserve">A fee mentioned in </w:t>
      </w:r>
      <w:r w:rsidR="007D3911" w:rsidRPr="00C033B1">
        <w:t>Schedule 1</w:t>
      </w:r>
      <w:r w:rsidR="009648B2" w:rsidRPr="00C033B1">
        <w:t xml:space="preserve"> is not payable in relation to </w:t>
      </w:r>
      <w:r w:rsidR="00F50782" w:rsidRPr="00C033B1">
        <w:t>any of the</w:t>
      </w:r>
      <w:r w:rsidR="009648B2" w:rsidRPr="00C033B1">
        <w:t xml:space="preserve"> following:</w:t>
      </w:r>
    </w:p>
    <w:p w14:paraId="71CB34D3" w14:textId="77777777" w:rsidR="002C34CF" w:rsidRPr="00C033B1" w:rsidRDefault="009648B2" w:rsidP="009648B2">
      <w:pPr>
        <w:pStyle w:val="paragraph"/>
      </w:pPr>
      <w:r w:rsidRPr="00C033B1">
        <w:tab/>
        <w:t>(</w:t>
      </w:r>
      <w:r w:rsidR="00F50782" w:rsidRPr="00C033B1">
        <w:t>a</w:t>
      </w:r>
      <w:r w:rsidRPr="00C033B1">
        <w:t>)</w:t>
      </w:r>
      <w:r w:rsidRPr="00C033B1">
        <w:tab/>
      </w:r>
      <w:r w:rsidR="002C34CF" w:rsidRPr="00C033B1">
        <w:t>an application for an extension of the time within which a proceeding may be commenced;</w:t>
      </w:r>
    </w:p>
    <w:p w14:paraId="1BB6852E" w14:textId="77777777" w:rsidR="002C34CF" w:rsidRPr="00C033B1" w:rsidRDefault="002C34CF" w:rsidP="002C34CF">
      <w:pPr>
        <w:pStyle w:val="paragraph"/>
      </w:pPr>
      <w:r w:rsidRPr="00C033B1">
        <w:tab/>
        <w:t>(b)</w:t>
      </w:r>
      <w:r w:rsidRPr="00C033B1">
        <w:tab/>
        <w:t xml:space="preserve">a proceeding for which an international convention </w:t>
      </w:r>
      <w:r w:rsidR="00E93207" w:rsidRPr="00C033B1">
        <w:t xml:space="preserve">that is in force for </w:t>
      </w:r>
      <w:r w:rsidRPr="00C033B1">
        <w:t>Australia provides that no fee is to be payable;</w:t>
      </w:r>
    </w:p>
    <w:p w14:paraId="441FF95F" w14:textId="77777777" w:rsidR="002C34CF" w:rsidRPr="00C033B1" w:rsidRDefault="002C34CF" w:rsidP="002C34CF">
      <w:pPr>
        <w:pStyle w:val="paragraph"/>
      </w:pPr>
      <w:r w:rsidRPr="00C033B1">
        <w:tab/>
        <w:t>(c)</w:t>
      </w:r>
      <w:r w:rsidRPr="00C033B1">
        <w:tab/>
        <w:t>an application by a person to set aside a subpoena</w:t>
      </w:r>
      <w:r w:rsidR="00376BDA" w:rsidRPr="00C033B1">
        <w:t>;</w:t>
      </w:r>
    </w:p>
    <w:p w14:paraId="19AE8C2D" w14:textId="77777777" w:rsidR="002C34CF" w:rsidRPr="00C033B1" w:rsidRDefault="002C34CF" w:rsidP="002C34CF">
      <w:pPr>
        <w:pStyle w:val="paragraph"/>
      </w:pPr>
      <w:r w:rsidRPr="00C033B1">
        <w:tab/>
        <w:t>(d)</w:t>
      </w:r>
      <w:r w:rsidRPr="00C033B1">
        <w:tab/>
        <w:t xml:space="preserve">a proceeding under the </w:t>
      </w:r>
      <w:r w:rsidRPr="00C033B1">
        <w:rPr>
          <w:i/>
        </w:rPr>
        <w:t>Child Support (Assessment) Act 1989</w:t>
      </w:r>
      <w:r w:rsidRPr="00C033B1">
        <w:t xml:space="preserve"> or the </w:t>
      </w:r>
      <w:r w:rsidRPr="00C033B1">
        <w:rPr>
          <w:i/>
        </w:rPr>
        <w:t>Child Support (Registration and Collection) Act 1988</w:t>
      </w:r>
      <w:r w:rsidRPr="00C033B1">
        <w:t>;</w:t>
      </w:r>
    </w:p>
    <w:p w14:paraId="58446BF2" w14:textId="77777777" w:rsidR="002A4821" w:rsidRPr="00C033B1" w:rsidRDefault="002C34CF" w:rsidP="00F50782">
      <w:pPr>
        <w:pStyle w:val="paragraph"/>
      </w:pPr>
      <w:r w:rsidRPr="00C033B1">
        <w:tab/>
        <w:t>(e)</w:t>
      </w:r>
      <w:r w:rsidRPr="00C033B1">
        <w:tab/>
      </w:r>
      <w:r w:rsidR="00F50782" w:rsidRPr="00C033B1">
        <w:t xml:space="preserve">an appeal on a question of law from a decision of the Administrative Appeals Tribunal in a child support first review (within the meaning of the </w:t>
      </w:r>
      <w:r w:rsidR="00F50782" w:rsidRPr="00C033B1">
        <w:rPr>
          <w:i/>
        </w:rPr>
        <w:t>Administrative Appeals Tribunal Act 1975</w:t>
      </w:r>
      <w:r w:rsidR="00F50782" w:rsidRPr="00C033B1">
        <w:t>) under sub</w:t>
      </w:r>
      <w:r w:rsidR="00D4482F" w:rsidRPr="00C033B1">
        <w:t>section 4</w:t>
      </w:r>
      <w:r w:rsidR="00F50782" w:rsidRPr="00C033B1">
        <w:t>4AAA(1) of that Act</w:t>
      </w:r>
      <w:r w:rsidRPr="00C033B1">
        <w:t>.</w:t>
      </w:r>
    </w:p>
    <w:p w14:paraId="53EDF556" w14:textId="77777777" w:rsidR="009648B2" w:rsidRPr="00C033B1" w:rsidRDefault="009648B2" w:rsidP="009648B2">
      <w:pPr>
        <w:pStyle w:val="subsection"/>
      </w:pPr>
      <w:r w:rsidRPr="00C033B1">
        <w:tab/>
        <w:t>(</w:t>
      </w:r>
      <w:r w:rsidR="00A444E3" w:rsidRPr="00C033B1">
        <w:t>3</w:t>
      </w:r>
      <w:r w:rsidRPr="00C033B1">
        <w:t>)</w:t>
      </w:r>
      <w:r w:rsidRPr="00C033B1">
        <w:tab/>
        <w:t xml:space="preserve">A fee mentioned in </w:t>
      </w:r>
      <w:r w:rsidR="007D3911" w:rsidRPr="00C033B1">
        <w:t>Schedule 1</w:t>
      </w:r>
      <w:r w:rsidRPr="00C033B1">
        <w:t xml:space="preserve"> is not payable in relation to an objection to a subpoenaed document being inspected or copied.</w:t>
      </w:r>
    </w:p>
    <w:p w14:paraId="6AE9B696" w14:textId="77777777" w:rsidR="009648B2" w:rsidRPr="00C033B1" w:rsidRDefault="009648B2" w:rsidP="009648B2">
      <w:pPr>
        <w:pStyle w:val="ActHead5"/>
      </w:pPr>
      <w:bookmarkStart w:id="25" w:name="_Toc114043979"/>
      <w:r w:rsidRPr="00025E64">
        <w:rPr>
          <w:rStyle w:val="CharSectno"/>
        </w:rPr>
        <w:t>2.10</w:t>
      </w:r>
      <w:r w:rsidRPr="00C033B1">
        <w:t xml:space="preserve">  When only filing fee</w:t>
      </w:r>
      <w:r w:rsidR="004241D9" w:rsidRPr="00C033B1">
        <w:t>s</w:t>
      </w:r>
      <w:r w:rsidRPr="00C033B1">
        <w:t xml:space="preserve"> </w:t>
      </w:r>
      <w:r w:rsidR="004241D9" w:rsidRPr="00C033B1">
        <w:t>are</w:t>
      </w:r>
      <w:r w:rsidRPr="00C033B1">
        <w:t xml:space="preserve"> payable</w:t>
      </w:r>
      <w:bookmarkEnd w:id="25"/>
    </w:p>
    <w:p w14:paraId="230E8A3C" w14:textId="77777777" w:rsidR="009648B2" w:rsidRPr="00C033B1" w:rsidRDefault="009648B2" w:rsidP="009648B2">
      <w:pPr>
        <w:pStyle w:val="subsection"/>
      </w:pPr>
      <w:r w:rsidRPr="00C033B1">
        <w:tab/>
        <w:t>(1)</w:t>
      </w:r>
      <w:r w:rsidRPr="00C033B1">
        <w:tab/>
        <w:t xml:space="preserve">A fee mentioned in </w:t>
      </w:r>
      <w:r w:rsidR="007D3911" w:rsidRPr="00C033B1">
        <w:t>Schedule 1</w:t>
      </w:r>
      <w:r w:rsidR="004241D9" w:rsidRPr="00C033B1">
        <w:t xml:space="preserve">, </w:t>
      </w:r>
      <w:r w:rsidRPr="00C033B1">
        <w:t xml:space="preserve">other than </w:t>
      </w:r>
      <w:r w:rsidR="00AF7BC5" w:rsidRPr="00C033B1">
        <w:t>a</w:t>
      </w:r>
      <w:r w:rsidRPr="00C033B1">
        <w:t xml:space="preserve"> </w:t>
      </w:r>
      <w:r w:rsidR="004241D9" w:rsidRPr="00C033B1">
        <w:t xml:space="preserve">filing </w:t>
      </w:r>
      <w:r w:rsidRPr="00C033B1">
        <w:t xml:space="preserve">fee mentioned in </w:t>
      </w:r>
      <w:r w:rsidR="005833F4" w:rsidRPr="00C033B1">
        <w:t>item 1</w:t>
      </w:r>
      <w:r w:rsidRPr="00C033B1">
        <w:t>02 or 202</w:t>
      </w:r>
      <w:r w:rsidR="004241D9" w:rsidRPr="00C033B1">
        <w:t>,</w:t>
      </w:r>
      <w:r w:rsidRPr="00C033B1">
        <w:t xml:space="preserve"> is not payable in relation to an application under </w:t>
      </w:r>
      <w:r w:rsidR="00D4482F" w:rsidRPr="00C033B1">
        <w:t>section 4</w:t>
      </w:r>
      <w:r w:rsidRPr="00C033B1">
        <w:t xml:space="preserve">6PO or 46PP of the </w:t>
      </w:r>
      <w:r w:rsidRPr="00C033B1">
        <w:rPr>
          <w:i/>
        </w:rPr>
        <w:t>Australian Human Rights Commission Act 1986</w:t>
      </w:r>
      <w:r w:rsidRPr="00C033B1">
        <w:t>.</w:t>
      </w:r>
    </w:p>
    <w:p w14:paraId="7FD9EF71" w14:textId="77777777" w:rsidR="009648B2" w:rsidRPr="00C033B1" w:rsidRDefault="009648B2" w:rsidP="009648B2">
      <w:pPr>
        <w:pStyle w:val="subsection"/>
      </w:pPr>
      <w:r w:rsidRPr="00C033B1">
        <w:tab/>
        <w:t>(2)</w:t>
      </w:r>
      <w:r w:rsidRPr="00C033B1">
        <w:tab/>
        <w:t xml:space="preserve">A fee mentioned in </w:t>
      </w:r>
      <w:r w:rsidR="007D3911" w:rsidRPr="00C033B1">
        <w:t>Schedule 1</w:t>
      </w:r>
      <w:r w:rsidR="004241D9" w:rsidRPr="00C033B1">
        <w:t xml:space="preserve">, </w:t>
      </w:r>
      <w:r w:rsidRPr="00C033B1">
        <w:t xml:space="preserve">other than </w:t>
      </w:r>
      <w:r w:rsidR="004241D9" w:rsidRPr="00C033B1">
        <w:t>a</w:t>
      </w:r>
      <w:r w:rsidRPr="00C033B1">
        <w:t xml:space="preserve"> </w:t>
      </w:r>
      <w:r w:rsidR="004241D9" w:rsidRPr="00C033B1">
        <w:t xml:space="preserve">filing </w:t>
      </w:r>
      <w:r w:rsidRPr="00C033B1">
        <w:t xml:space="preserve">fee mentioned in </w:t>
      </w:r>
      <w:r w:rsidR="005833F4" w:rsidRPr="00C033B1">
        <w:t>item 1</w:t>
      </w:r>
      <w:r w:rsidRPr="00C033B1">
        <w:t>03 or 209</w:t>
      </w:r>
      <w:r w:rsidR="004241D9" w:rsidRPr="00C033B1">
        <w:t>,</w:t>
      </w:r>
      <w:r w:rsidRPr="00C033B1">
        <w:t xml:space="preserve"> is not payable in relation to an application under </w:t>
      </w:r>
      <w:r w:rsidR="007D3911" w:rsidRPr="00C033B1">
        <w:t>section 5</w:t>
      </w:r>
      <w:r w:rsidRPr="00C033B1">
        <w:t xml:space="preserve">39 of the </w:t>
      </w:r>
      <w:r w:rsidRPr="00C033B1">
        <w:rPr>
          <w:i/>
        </w:rPr>
        <w:t>Fair Work Act 2009</w:t>
      </w:r>
      <w:r w:rsidRPr="00C033B1">
        <w:t xml:space="preserve"> in either of the following circumstances:</w:t>
      </w:r>
    </w:p>
    <w:p w14:paraId="66C3C579" w14:textId="77777777" w:rsidR="009648B2" w:rsidRPr="00C033B1" w:rsidRDefault="009648B2" w:rsidP="009648B2">
      <w:pPr>
        <w:pStyle w:val="paragraph"/>
      </w:pPr>
      <w:r w:rsidRPr="00C033B1">
        <w:tab/>
        <w:t>(a)</w:t>
      </w:r>
      <w:r w:rsidRPr="00C033B1">
        <w:tab/>
        <w:t>the applicant has been dismissed from employment in alleged contravention of Part 3</w:t>
      </w:r>
      <w:r w:rsidR="00C033B1">
        <w:noBreakHyphen/>
      </w:r>
      <w:r w:rsidRPr="00C033B1">
        <w:t>1 of that Act;</w:t>
      </w:r>
    </w:p>
    <w:p w14:paraId="7F7BA3DF" w14:textId="77777777" w:rsidR="009648B2" w:rsidRPr="00C033B1" w:rsidRDefault="009648B2" w:rsidP="009648B2">
      <w:pPr>
        <w:pStyle w:val="paragraph"/>
      </w:pPr>
      <w:r w:rsidRPr="00C033B1">
        <w:tab/>
        <w:t>(b)</w:t>
      </w:r>
      <w:r w:rsidRPr="00C033B1">
        <w:tab/>
        <w:t xml:space="preserve">the applicant alleges a breach of </w:t>
      </w:r>
      <w:r w:rsidR="007D3911" w:rsidRPr="00C033B1">
        <w:t>section 3</w:t>
      </w:r>
      <w:r w:rsidRPr="00C033B1">
        <w:t>51 of that Act.</w:t>
      </w:r>
    </w:p>
    <w:p w14:paraId="454A97F3" w14:textId="77777777" w:rsidR="009648B2" w:rsidRPr="00C033B1" w:rsidRDefault="009648B2" w:rsidP="009648B2">
      <w:pPr>
        <w:pStyle w:val="subsection"/>
      </w:pPr>
      <w:r w:rsidRPr="00C033B1">
        <w:tab/>
        <w:t>(3)</w:t>
      </w:r>
      <w:r w:rsidRPr="00C033B1">
        <w:tab/>
        <w:t xml:space="preserve">A fee mentioned in </w:t>
      </w:r>
      <w:r w:rsidR="007D3911" w:rsidRPr="00C033B1">
        <w:t>Schedule 1</w:t>
      </w:r>
      <w:r w:rsidR="004241D9" w:rsidRPr="00C033B1">
        <w:t xml:space="preserve">, </w:t>
      </w:r>
      <w:r w:rsidRPr="00C033B1">
        <w:t xml:space="preserve">other than </w:t>
      </w:r>
      <w:r w:rsidR="004241D9" w:rsidRPr="00C033B1">
        <w:t>a</w:t>
      </w:r>
      <w:r w:rsidRPr="00C033B1">
        <w:t xml:space="preserve"> </w:t>
      </w:r>
      <w:r w:rsidR="004241D9" w:rsidRPr="00C033B1">
        <w:t xml:space="preserve">filing </w:t>
      </w:r>
      <w:r w:rsidRPr="00C033B1">
        <w:t xml:space="preserve">fee mentioned in </w:t>
      </w:r>
      <w:r w:rsidR="005833F4" w:rsidRPr="00C033B1">
        <w:t>item 1</w:t>
      </w:r>
      <w:r w:rsidRPr="00C033B1">
        <w:t>04 or 210</w:t>
      </w:r>
      <w:r w:rsidR="004241D9" w:rsidRPr="00C033B1">
        <w:t>,</w:t>
      </w:r>
      <w:r w:rsidRPr="00C033B1">
        <w:t xml:space="preserve"> is not payable in relation to an application under </w:t>
      </w:r>
      <w:r w:rsidR="007D3911" w:rsidRPr="00C033B1">
        <w:t>section 5</w:t>
      </w:r>
      <w:r w:rsidRPr="00C033B1">
        <w:t xml:space="preserve">39 of the </w:t>
      </w:r>
      <w:r w:rsidRPr="00C033B1">
        <w:rPr>
          <w:i/>
        </w:rPr>
        <w:t xml:space="preserve">Fair Work Act 2009 </w:t>
      </w:r>
      <w:r w:rsidRPr="00C033B1">
        <w:t>if the applicant has been dismissed from employment in alleged contravention of section 772 of that Act.</w:t>
      </w:r>
    </w:p>
    <w:p w14:paraId="59B41B85" w14:textId="77777777" w:rsidR="009648B2" w:rsidRPr="00C033B1" w:rsidRDefault="009648B2" w:rsidP="009648B2">
      <w:pPr>
        <w:pStyle w:val="subsection"/>
      </w:pPr>
      <w:r w:rsidRPr="00C033B1">
        <w:lastRenderedPageBreak/>
        <w:tab/>
        <w:t>(4)</w:t>
      </w:r>
      <w:r w:rsidRPr="00C033B1">
        <w:tab/>
        <w:t xml:space="preserve">A fee mentioned in </w:t>
      </w:r>
      <w:r w:rsidR="007D3911" w:rsidRPr="00C033B1">
        <w:t>Schedule 1</w:t>
      </w:r>
      <w:r w:rsidR="004241D9" w:rsidRPr="00C033B1">
        <w:t xml:space="preserve">, </w:t>
      </w:r>
      <w:r w:rsidRPr="00C033B1">
        <w:t xml:space="preserve">other than </w:t>
      </w:r>
      <w:r w:rsidR="004241D9" w:rsidRPr="00C033B1">
        <w:t>a</w:t>
      </w:r>
      <w:r w:rsidRPr="00C033B1">
        <w:t xml:space="preserve"> </w:t>
      </w:r>
      <w:r w:rsidR="004241D9" w:rsidRPr="00C033B1">
        <w:t xml:space="preserve">filing </w:t>
      </w:r>
      <w:r w:rsidRPr="00C033B1">
        <w:t xml:space="preserve">fee mentioned in any of </w:t>
      </w:r>
      <w:r w:rsidR="00D4482F" w:rsidRPr="00C033B1">
        <w:t>items 2</w:t>
      </w:r>
      <w:r w:rsidRPr="00C033B1">
        <w:t>11 to 214</w:t>
      </w:r>
      <w:r w:rsidR="004241D9" w:rsidRPr="00C033B1">
        <w:t>,</w:t>
      </w:r>
      <w:r w:rsidRPr="00C033B1">
        <w:t xml:space="preserve"> is not payable in relation to a small claims proceeding in the Federal Circuit and Family Court of Australia (</w:t>
      </w:r>
      <w:r w:rsidR="007D3911" w:rsidRPr="00C033B1">
        <w:t>Division 2</w:t>
      </w:r>
      <w:r w:rsidRPr="00C033B1">
        <w:t>).</w:t>
      </w:r>
    </w:p>
    <w:p w14:paraId="6D9099C7" w14:textId="77777777" w:rsidR="009648B2" w:rsidRPr="00C033B1" w:rsidRDefault="009648B2" w:rsidP="009648B2">
      <w:pPr>
        <w:pStyle w:val="ActHead5"/>
      </w:pPr>
      <w:bookmarkStart w:id="26" w:name="_Toc114043980"/>
      <w:r w:rsidRPr="00025E64">
        <w:rPr>
          <w:rStyle w:val="CharSectno"/>
        </w:rPr>
        <w:t>2.11</w:t>
      </w:r>
      <w:r w:rsidRPr="00C033B1">
        <w:t xml:space="preserve">  When filing fee</w:t>
      </w:r>
      <w:r w:rsidR="004241D9" w:rsidRPr="00C033B1">
        <w:t>s</w:t>
      </w:r>
      <w:r w:rsidRPr="00C033B1">
        <w:t xml:space="preserve"> </w:t>
      </w:r>
      <w:r w:rsidR="004241D9" w:rsidRPr="00C033B1">
        <w:t>are</w:t>
      </w:r>
      <w:r w:rsidRPr="00C033B1">
        <w:t xml:space="preserve"> not payable</w:t>
      </w:r>
      <w:bookmarkEnd w:id="26"/>
    </w:p>
    <w:p w14:paraId="5F6846AD" w14:textId="77777777" w:rsidR="009648B2" w:rsidRPr="00C033B1" w:rsidRDefault="009648B2" w:rsidP="009648B2">
      <w:pPr>
        <w:pStyle w:val="SubsectionHead"/>
      </w:pPr>
      <w:r w:rsidRPr="00C033B1">
        <w:t>Federal Court</w:t>
      </w:r>
    </w:p>
    <w:p w14:paraId="3E6C3D87" w14:textId="77777777" w:rsidR="009648B2" w:rsidRPr="00C033B1" w:rsidRDefault="009648B2" w:rsidP="009648B2">
      <w:pPr>
        <w:pStyle w:val="subsection"/>
      </w:pPr>
      <w:r w:rsidRPr="00C033B1">
        <w:tab/>
        <w:t>(1)</w:t>
      </w:r>
      <w:r w:rsidRPr="00C033B1">
        <w:tab/>
        <w:t xml:space="preserve">A filing fee (other than the </w:t>
      </w:r>
      <w:r w:rsidR="004241D9" w:rsidRPr="00C033B1">
        <w:t xml:space="preserve">filing </w:t>
      </w:r>
      <w:r w:rsidRPr="00C033B1">
        <w:t xml:space="preserve">fee mentioned in </w:t>
      </w:r>
      <w:r w:rsidR="005833F4" w:rsidRPr="00C033B1">
        <w:t>item 1</w:t>
      </w:r>
      <w:r w:rsidRPr="00C033B1">
        <w:t>15C</w:t>
      </w:r>
      <w:r w:rsidR="000048F0" w:rsidRPr="00C033B1">
        <w:t xml:space="preserve"> of </w:t>
      </w:r>
      <w:r w:rsidR="007D3911" w:rsidRPr="00C033B1">
        <w:t>Schedule 1</w:t>
      </w:r>
      <w:r w:rsidRPr="00C033B1">
        <w:t xml:space="preserve">) is not payable in relation to </w:t>
      </w:r>
      <w:r w:rsidR="003E79F0" w:rsidRPr="00C033B1">
        <w:t>any of the</w:t>
      </w:r>
      <w:r w:rsidRPr="00C033B1">
        <w:t xml:space="preserve"> following proceedings in the Federal Court:</w:t>
      </w:r>
    </w:p>
    <w:p w14:paraId="59814659" w14:textId="77777777" w:rsidR="009648B2" w:rsidRPr="00C033B1" w:rsidRDefault="009648B2" w:rsidP="009648B2">
      <w:pPr>
        <w:pStyle w:val="paragraph"/>
      </w:pPr>
      <w:r w:rsidRPr="00C033B1">
        <w:tab/>
        <w:t>(a)</w:t>
      </w:r>
      <w:r w:rsidRPr="00C033B1">
        <w:tab/>
        <w:t xml:space="preserve">a proceeding in relation to a matter remitted to the Federal Court by the High Court under </w:t>
      </w:r>
      <w:r w:rsidR="00D4482F" w:rsidRPr="00C033B1">
        <w:t>section 4</w:t>
      </w:r>
      <w:r w:rsidRPr="00C033B1">
        <w:t xml:space="preserve">4 of the </w:t>
      </w:r>
      <w:r w:rsidRPr="00C033B1">
        <w:rPr>
          <w:i/>
        </w:rPr>
        <w:t>Judiciary Act 1903</w:t>
      </w:r>
      <w:r w:rsidRPr="00C033B1">
        <w:t>;</w:t>
      </w:r>
    </w:p>
    <w:p w14:paraId="4F74AA29" w14:textId="77777777" w:rsidR="009648B2" w:rsidRPr="00C033B1" w:rsidRDefault="009648B2" w:rsidP="009648B2">
      <w:pPr>
        <w:pStyle w:val="paragraph"/>
      </w:pPr>
      <w:r w:rsidRPr="00C033B1">
        <w:tab/>
        <w:t>(b)</w:t>
      </w:r>
      <w:r w:rsidRPr="00C033B1">
        <w:tab/>
        <w:t xml:space="preserve">a proceeding in relation to a matter referred to the Federal Court by the High Court under </w:t>
      </w:r>
      <w:r w:rsidR="005833F4" w:rsidRPr="00C033B1">
        <w:t>sub</w:t>
      </w:r>
      <w:r w:rsidR="007D3911" w:rsidRPr="00C033B1">
        <w:t>section 3</w:t>
      </w:r>
      <w:r w:rsidRPr="00C033B1">
        <w:t xml:space="preserve">54(1) </w:t>
      </w:r>
      <w:r w:rsidR="00A444E3" w:rsidRPr="00C033B1">
        <w:t xml:space="preserve">or (3) </w:t>
      </w:r>
      <w:r w:rsidRPr="00C033B1">
        <w:t xml:space="preserve">of the </w:t>
      </w:r>
      <w:r w:rsidRPr="00C033B1">
        <w:rPr>
          <w:i/>
        </w:rPr>
        <w:t>Commonwealth Electoral Act 1918</w:t>
      </w:r>
      <w:r w:rsidRPr="00C033B1">
        <w:t>;</w:t>
      </w:r>
    </w:p>
    <w:p w14:paraId="49B0BAF7" w14:textId="77777777" w:rsidR="009648B2" w:rsidRPr="00C033B1" w:rsidRDefault="009648B2" w:rsidP="009648B2">
      <w:pPr>
        <w:pStyle w:val="paragraph"/>
      </w:pPr>
      <w:r w:rsidRPr="00C033B1">
        <w:tab/>
        <w:t>(c)</w:t>
      </w:r>
      <w:r w:rsidRPr="00C033B1">
        <w:tab/>
        <w:t>a proceeding in relation to a criminal matter;</w:t>
      </w:r>
    </w:p>
    <w:p w14:paraId="1C0167EE" w14:textId="77777777" w:rsidR="009648B2" w:rsidRPr="00C033B1" w:rsidRDefault="009648B2" w:rsidP="009648B2">
      <w:pPr>
        <w:pStyle w:val="paragraph"/>
      </w:pPr>
      <w:r w:rsidRPr="00C033B1">
        <w:tab/>
        <w:t>(d)</w:t>
      </w:r>
      <w:r w:rsidRPr="00C033B1">
        <w:tab/>
        <w:t>a proceeding in relation to a case stated, or a question reserved, for the consideration or opinion of the Federal Court;</w:t>
      </w:r>
    </w:p>
    <w:p w14:paraId="7CFCD2E6" w14:textId="77777777" w:rsidR="009648B2" w:rsidRPr="00C033B1" w:rsidRDefault="009648B2" w:rsidP="009648B2">
      <w:pPr>
        <w:pStyle w:val="paragraph"/>
      </w:pPr>
      <w:r w:rsidRPr="00C033B1">
        <w:tab/>
        <w:t>(e)</w:t>
      </w:r>
      <w:r w:rsidRPr="00C033B1">
        <w:tab/>
        <w:t>a proceeding in relation to a referral to the Federal Court of a question of law by a tribunal or body that, under a law of the Commonwealth, may refer questions of law to the Federal Court;</w:t>
      </w:r>
    </w:p>
    <w:p w14:paraId="0A33BFAA" w14:textId="77777777" w:rsidR="009648B2" w:rsidRPr="00C033B1" w:rsidRDefault="009648B2" w:rsidP="009648B2">
      <w:pPr>
        <w:pStyle w:val="paragraph"/>
      </w:pPr>
      <w:r w:rsidRPr="00C033B1">
        <w:tab/>
        <w:t>(f)</w:t>
      </w:r>
      <w:r w:rsidRPr="00C033B1">
        <w:tab/>
        <w:t>an application to the Federal Court for an extension of time within which a particular proceeding may be commenced;</w:t>
      </w:r>
    </w:p>
    <w:p w14:paraId="7E4C84D7" w14:textId="77777777" w:rsidR="009648B2" w:rsidRPr="00C033B1" w:rsidRDefault="009648B2" w:rsidP="009648B2">
      <w:pPr>
        <w:pStyle w:val="paragraph"/>
      </w:pPr>
      <w:r w:rsidRPr="00C033B1">
        <w:tab/>
        <w:t>(g)</w:t>
      </w:r>
      <w:r w:rsidRPr="00C033B1">
        <w:tab/>
        <w:t>a proceeding transferred from the Federal Circuit and Family Court of Australia (</w:t>
      </w:r>
      <w:r w:rsidR="007D3911" w:rsidRPr="00C033B1">
        <w:t>Division 2</w:t>
      </w:r>
      <w:r w:rsidRPr="00C033B1">
        <w:t xml:space="preserve">) by the Federal Court under </w:t>
      </w:r>
      <w:r w:rsidR="007D3911" w:rsidRPr="00C033B1">
        <w:t>section 3</w:t>
      </w:r>
      <w:r w:rsidRPr="00C033B1">
        <w:t>2AC of the Federal Court Act;</w:t>
      </w:r>
    </w:p>
    <w:p w14:paraId="58913320" w14:textId="77777777" w:rsidR="009648B2" w:rsidRPr="00C033B1" w:rsidRDefault="009648B2" w:rsidP="009648B2">
      <w:pPr>
        <w:pStyle w:val="paragraph"/>
      </w:pPr>
      <w:r w:rsidRPr="00C033B1">
        <w:tab/>
        <w:t>(h)</w:t>
      </w:r>
      <w:r w:rsidRPr="00C033B1">
        <w:tab/>
        <w:t>a proceeding:</w:t>
      </w:r>
    </w:p>
    <w:p w14:paraId="556338C0" w14:textId="77777777" w:rsidR="009648B2" w:rsidRPr="00C033B1" w:rsidRDefault="009648B2" w:rsidP="009648B2">
      <w:pPr>
        <w:pStyle w:val="paragraphsub"/>
      </w:pPr>
      <w:r w:rsidRPr="00C033B1">
        <w:tab/>
        <w:t>(i)</w:t>
      </w:r>
      <w:r w:rsidRPr="00C033B1">
        <w:tab/>
        <w:t>transferred by the Federal Circuit and Family Court of Australia (</w:t>
      </w:r>
      <w:r w:rsidR="007D3911" w:rsidRPr="00C033B1">
        <w:t>Division 2</w:t>
      </w:r>
      <w:r w:rsidRPr="00C033B1">
        <w:t>) to the Federal Court under section 153 of the Federal Circuit and Family Court Act; and</w:t>
      </w:r>
    </w:p>
    <w:p w14:paraId="5A850DB1" w14:textId="77777777" w:rsidR="009648B2" w:rsidRPr="00C033B1" w:rsidRDefault="009648B2" w:rsidP="009648B2">
      <w:pPr>
        <w:pStyle w:val="paragraphsub"/>
      </w:pPr>
      <w:r w:rsidRPr="00C033B1">
        <w:tab/>
        <w:t>(ii)</w:t>
      </w:r>
      <w:r w:rsidRPr="00C033B1">
        <w:tab/>
        <w:t xml:space="preserve">whose transfer is confirmed by the Federal Court under </w:t>
      </w:r>
      <w:r w:rsidR="007D3911" w:rsidRPr="00C033B1">
        <w:t>section 3</w:t>
      </w:r>
      <w:r w:rsidRPr="00C033B1">
        <w:t>2AD of the Federal Court Act.</w:t>
      </w:r>
    </w:p>
    <w:p w14:paraId="3D6B2760" w14:textId="77777777" w:rsidR="009648B2" w:rsidRPr="00C033B1" w:rsidRDefault="009648B2" w:rsidP="009648B2">
      <w:pPr>
        <w:pStyle w:val="SubsectionHead"/>
      </w:pPr>
      <w:r w:rsidRPr="00C033B1">
        <w:t>Federal Circuit and Family Court of Australia (</w:t>
      </w:r>
      <w:r w:rsidR="007D3911" w:rsidRPr="00C033B1">
        <w:t>Division 2</w:t>
      </w:r>
      <w:r w:rsidRPr="00C033B1">
        <w:t>)</w:t>
      </w:r>
    </w:p>
    <w:p w14:paraId="52D2732D" w14:textId="77777777" w:rsidR="009648B2" w:rsidRPr="00C033B1" w:rsidRDefault="009648B2" w:rsidP="009648B2">
      <w:pPr>
        <w:pStyle w:val="subsection"/>
      </w:pPr>
      <w:r w:rsidRPr="00C033B1">
        <w:tab/>
        <w:t>(2)</w:t>
      </w:r>
      <w:r w:rsidRPr="00C033B1">
        <w:tab/>
        <w:t xml:space="preserve">A filing fee (other than </w:t>
      </w:r>
      <w:r w:rsidR="000048F0" w:rsidRPr="00C033B1">
        <w:t>the filing</w:t>
      </w:r>
      <w:r w:rsidRPr="00C033B1">
        <w:t xml:space="preserve"> fee mentioned in </w:t>
      </w:r>
      <w:r w:rsidR="007D3911" w:rsidRPr="00C033B1">
        <w:t>item 2</w:t>
      </w:r>
      <w:r w:rsidRPr="00C033B1">
        <w:t>14A</w:t>
      </w:r>
      <w:r w:rsidR="000048F0" w:rsidRPr="00C033B1">
        <w:t xml:space="preserve"> of </w:t>
      </w:r>
      <w:r w:rsidR="007D3911" w:rsidRPr="00C033B1">
        <w:t>Schedule 1</w:t>
      </w:r>
      <w:r w:rsidRPr="00C033B1">
        <w:t>) is not payable in relation to a proceeding in the Federal Circuit and Family Court of Australia (</w:t>
      </w:r>
      <w:r w:rsidR="007D3911" w:rsidRPr="00C033B1">
        <w:t>Division 2</w:t>
      </w:r>
      <w:r w:rsidRPr="00C033B1">
        <w:t>) if:</w:t>
      </w:r>
    </w:p>
    <w:p w14:paraId="6E99755D" w14:textId="77777777" w:rsidR="009648B2" w:rsidRPr="00C033B1" w:rsidRDefault="009648B2" w:rsidP="009648B2">
      <w:pPr>
        <w:pStyle w:val="paragraph"/>
      </w:pPr>
      <w:r w:rsidRPr="00C033B1">
        <w:tab/>
        <w:t>(a)</w:t>
      </w:r>
      <w:r w:rsidRPr="00C033B1">
        <w:tab/>
        <w:t>the proceeding is in relation to a matter that:</w:t>
      </w:r>
    </w:p>
    <w:p w14:paraId="10385FD5" w14:textId="77777777" w:rsidR="009648B2" w:rsidRPr="00C033B1" w:rsidRDefault="009648B2" w:rsidP="009648B2">
      <w:pPr>
        <w:pStyle w:val="paragraphsub"/>
      </w:pPr>
      <w:r w:rsidRPr="00C033B1">
        <w:tab/>
        <w:t>(i)</w:t>
      </w:r>
      <w:r w:rsidRPr="00C033B1">
        <w:tab/>
        <w:t xml:space="preserve">was remitted by the High Court to the Federal Court under </w:t>
      </w:r>
      <w:r w:rsidR="00D4482F" w:rsidRPr="00C033B1">
        <w:t>section 4</w:t>
      </w:r>
      <w:r w:rsidRPr="00C033B1">
        <w:t xml:space="preserve">4 of the </w:t>
      </w:r>
      <w:r w:rsidRPr="00C033B1">
        <w:rPr>
          <w:i/>
        </w:rPr>
        <w:t>Judiciary Act 1903</w:t>
      </w:r>
      <w:r w:rsidRPr="00C033B1">
        <w:t>; and</w:t>
      </w:r>
    </w:p>
    <w:p w14:paraId="5DC12959" w14:textId="77777777" w:rsidR="009648B2" w:rsidRPr="00C033B1" w:rsidRDefault="009648B2" w:rsidP="009648B2">
      <w:pPr>
        <w:pStyle w:val="paragraphsub"/>
      </w:pPr>
      <w:r w:rsidRPr="00C033B1">
        <w:tab/>
        <w:t>(ii)</w:t>
      </w:r>
      <w:r w:rsidRPr="00C033B1">
        <w:tab/>
        <w:t>was subsequently transferred by the Federal Court to the Federal Circuit and Family Court of Australia (</w:t>
      </w:r>
      <w:r w:rsidR="007D3911" w:rsidRPr="00C033B1">
        <w:t>Division 2</w:t>
      </w:r>
      <w:r w:rsidRPr="00C033B1">
        <w:t xml:space="preserve">) under </w:t>
      </w:r>
      <w:r w:rsidR="007D3911" w:rsidRPr="00C033B1">
        <w:t>section 3</w:t>
      </w:r>
      <w:r w:rsidRPr="00C033B1">
        <w:t>2AB of the Federal Court Act; or</w:t>
      </w:r>
    </w:p>
    <w:p w14:paraId="565C134C" w14:textId="77777777" w:rsidR="009648B2" w:rsidRPr="00C033B1" w:rsidRDefault="009648B2" w:rsidP="009648B2">
      <w:pPr>
        <w:pStyle w:val="paragraph"/>
      </w:pPr>
      <w:r w:rsidRPr="00C033B1">
        <w:tab/>
        <w:t>(b)</w:t>
      </w:r>
      <w:r w:rsidRPr="00C033B1">
        <w:tab/>
        <w:t>the proceeding is in relation to a matter remitted by the High Court to the Federal Circuit and Family Court of Australia (</w:t>
      </w:r>
      <w:r w:rsidR="007D3911" w:rsidRPr="00C033B1">
        <w:t>Division 2</w:t>
      </w:r>
      <w:r w:rsidRPr="00C033B1">
        <w:t xml:space="preserve">) under </w:t>
      </w:r>
      <w:r w:rsidR="00D4482F" w:rsidRPr="00C033B1">
        <w:t>section 4</w:t>
      </w:r>
      <w:r w:rsidRPr="00C033B1">
        <w:t xml:space="preserve">4 of the </w:t>
      </w:r>
      <w:r w:rsidRPr="00C033B1">
        <w:rPr>
          <w:i/>
        </w:rPr>
        <w:t>Judiciary Act 1903</w:t>
      </w:r>
      <w:r w:rsidRPr="00C033B1">
        <w:t>.</w:t>
      </w:r>
    </w:p>
    <w:p w14:paraId="255D2DE4" w14:textId="77777777" w:rsidR="009648B2" w:rsidRPr="00C033B1" w:rsidRDefault="009648B2" w:rsidP="009648B2">
      <w:pPr>
        <w:pStyle w:val="notetext"/>
      </w:pPr>
      <w:r w:rsidRPr="00C033B1">
        <w:t>Note:</w:t>
      </w:r>
      <w:r w:rsidRPr="00C033B1">
        <w:tab/>
        <w:t>Other fees may be payable in relation to a proceeding mentioned in this section.</w:t>
      </w:r>
    </w:p>
    <w:p w14:paraId="02B65128" w14:textId="77777777" w:rsidR="009648B2" w:rsidRPr="00C033B1" w:rsidRDefault="009648B2" w:rsidP="009648B2">
      <w:pPr>
        <w:pStyle w:val="ActHead5"/>
      </w:pPr>
      <w:bookmarkStart w:id="27" w:name="_Toc114043981"/>
      <w:r w:rsidRPr="00025E64">
        <w:rPr>
          <w:rStyle w:val="CharSectno"/>
        </w:rPr>
        <w:lastRenderedPageBreak/>
        <w:t>2.12</w:t>
      </w:r>
      <w:r w:rsidRPr="00C033B1">
        <w:t xml:space="preserve">  When setting down fee</w:t>
      </w:r>
      <w:r w:rsidR="00CA71E2" w:rsidRPr="00C033B1">
        <w:t>s</w:t>
      </w:r>
      <w:r w:rsidRPr="00C033B1">
        <w:t xml:space="preserve"> </w:t>
      </w:r>
      <w:r w:rsidR="00CA71E2" w:rsidRPr="00C033B1">
        <w:t>are</w:t>
      </w:r>
      <w:r w:rsidRPr="00C033B1">
        <w:t xml:space="preserve"> not payable</w:t>
      </w:r>
      <w:bookmarkEnd w:id="27"/>
    </w:p>
    <w:p w14:paraId="27543064" w14:textId="77777777" w:rsidR="009648B2" w:rsidRPr="00C033B1" w:rsidRDefault="009648B2" w:rsidP="009648B2">
      <w:pPr>
        <w:pStyle w:val="SubsectionHead"/>
      </w:pPr>
      <w:r w:rsidRPr="00C033B1">
        <w:t>Federal Court</w:t>
      </w:r>
    </w:p>
    <w:p w14:paraId="63D14365" w14:textId="77777777" w:rsidR="009648B2" w:rsidRPr="00C033B1" w:rsidRDefault="009648B2" w:rsidP="009648B2">
      <w:pPr>
        <w:pStyle w:val="subsection"/>
      </w:pPr>
      <w:r w:rsidRPr="00C033B1">
        <w:tab/>
        <w:t>(1)</w:t>
      </w:r>
      <w:r w:rsidRPr="00C033B1">
        <w:tab/>
        <w:t>A setting down fee is not payable in relation to a proceeding in the Federal Court if:</w:t>
      </w:r>
    </w:p>
    <w:p w14:paraId="6E136D14" w14:textId="77777777" w:rsidR="009648B2" w:rsidRPr="00C033B1" w:rsidRDefault="009648B2" w:rsidP="009648B2">
      <w:pPr>
        <w:pStyle w:val="paragraph"/>
      </w:pPr>
      <w:r w:rsidRPr="00C033B1">
        <w:tab/>
        <w:t>(a)</w:t>
      </w:r>
      <w:r w:rsidRPr="00C033B1">
        <w:tab/>
        <w:t xml:space="preserve">the proceeding is only </w:t>
      </w:r>
      <w:r w:rsidR="00BC4864" w:rsidRPr="00C033B1">
        <w:t xml:space="preserve">a proceeding that is commenced by </w:t>
      </w:r>
      <w:r w:rsidRPr="00C033B1">
        <w:t>an</w:t>
      </w:r>
      <w:r w:rsidR="00AE70B6" w:rsidRPr="00C033B1">
        <w:rPr>
          <w:i/>
        </w:rPr>
        <w:t xml:space="preserve"> </w:t>
      </w:r>
      <w:r w:rsidRPr="00C033B1">
        <w:t>interlocutory application; or</w:t>
      </w:r>
    </w:p>
    <w:p w14:paraId="7A4C8DFA" w14:textId="77777777" w:rsidR="00F35C40" w:rsidRPr="00C033B1" w:rsidRDefault="009648B2" w:rsidP="009648B2">
      <w:pPr>
        <w:pStyle w:val="paragraph"/>
      </w:pPr>
      <w:r w:rsidRPr="00C033B1">
        <w:tab/>
        <w:t>(b)</w:t>
      </w:r>
      <w:r w:rsidRPr="00C033B1">
        <w:tab/>
      </w:r>
      <w:r w:rsidR="00286E6B" w:rsidRPr="00C033B1">
        <w:t>in relation to an application or appeal</w:t>
      </w:r>
      <w:r w:rsidR="00F35C40" w:rsidRPr="00C033B1">
        <w:t>:</w:t>
      </w:r>
    </w:p>
    <w:p w14:paraId="65EF9772" w14:textId="77777777" w:rsidR="00F35C40" w:rsidRPr="00C033B1" w:rsidRDefault="009648B2" w:rsidP="00F35C40">
      <w:pPr>
        <w:pStyle w:val="paragraphsub"/>
      </w:pPr>
      <w:r w:rsidRPr="00C033B1">
        <w:tab/>
        <w:t>(i)</w:t>
      </w:r>
      <w:r w:rsidRPr="00C033B1">
        <w:tab/>
        <w:t>a setting down fee</w:t>
      </w:r>
      <w:r w:rsidR="009E6CCE" w:rsidRPr="00C033B1">
        <w:t>, or a fee for setting down under another law of the Commonwealth,</w:t>
      </w:r>
      <w:r w:rsidRPr="00C033B1">
        <w:t xml:space="preserve"> has already been paid </w:t>
      </w:r>
      <w:r w:rsidR="00894903" w:rsidRPr="00C033B1">
        <w:t>in relation to</w:t>
      </w:r>
      <w:r w:rsidRPr="00C033B1">
        <w:t xml:space="preserve"> </w:t>
      </w:r>
      <w:r w:rsidR="00F35C40" w:rsidRPr="00C033B1">
        <w:t>the proceeding;</w:t>
      </w:r>
      <w:r w:rsidR="00286E6B" w:rsidRPr="00C033B1">
        <w:t xml:space="preserve"> and</w:t>
      </w:r>
    </w:p>
    <w:p w14:paraId="3391D259" w14:textId="77777777" w:rsidR="000048F0" w:rsidRPr="00C033B1" w:rsidRDefault="00F35C40" w:rsidP="00F35C40">
      <w:pPr>
        <w:pStyle w:val="paragraphsub"/>
      </w:pPr>
      <w:r w:rsidRPr="00C033B1">
        <w:tab/>
      </w:r>
      <w:r w:rsidR="000048F0" w:rsidRPr="00C033B1">
        <w:t>(ii)</w:t>
      </w:r>
      <w:r w:rsidR="000048F0" w:rsidRPr="00C033B1">
        <w:tab/>
      </w:r>
      <w:r w:rsidRPr="00C033B1">
        <w:t>that</w:t>
      </w:r>
      <w:r w:rsidR="000048F0" w:rsidRPr="00C033B1">
        <w:t xml:space="preserve"> fee has not been refunded; or</w:t>
      </w:r>
    </w:p>
    <w:p w14:paraId="7C3F6351" w14:textId="77777777" w:rsidR="009648B2" w:rsidRPr="00C033B1" w:rsidRDefault="000048F0" w:rsidP="000048F0">
      <w:pPr>
        <w:pStyle w:val="paragraph"/>
      </w:pPr>
      <w:r w:rsidRPr="00C033B1">
        <w:tab/>
      </w:r>
      <w:r w:rsidR="009648B2" w:rsidRPr="00C033B1">
        <w:t>(c)</w:t>
      </w:r>
      <w:r w:rsidRPr="00C033B1">
        <w:tab/>
      </w:r>
      <w:r w:rsidR="009648B2" w:rsidRPr="00C033B1">
        <w:t>the proceeding is an application for admission to practice as a barrister, solicitor, or barrister and solicitor; or</w:t>
      </w:r>
    </w:p>
    <w:p w14:paraId="26D2031A" w14:textId="77777777" w:rsidR="009648B2" w:rsidRPr="00C033B1" w:rsidRDefault="009648B2" w:rsidP="009648B2">
      <w:pPr>
        <w:pStyle w:val="paragraph"/>
      </w:pPr>
      <w:r w:rsidRPr="00C033B1">
        <w:tab/>
        <w:t>(d)</w:t>
      </w:r>
      <w:r w:rsidRPr="00C033B1">
        <w:tab/>
        <w:t xml:space="preserve">the proceeding is in relation to a matter that was remitted to the Federal Court by the High Court under </w:t>
      </w:r>
      <w:r w:rsidR="00D4482F" w:rsidRPr="00C033B1">
        <w:t>section 4</w:t>
      </w:r>
      <w:r w:rsidRPr="00C033B1">
        <w:t xml:space="preserve">4 of the </w:t>
      </w:r>
      <w:r w:rsidRPr="00C033B1">
        <w:rPr>
          <w:i/>
        </w:rPr>
        <w:t>Judiciary Act 1903</w:t>
      </w:r>
      <w:r w:rsidRPr="00C033B1">
        <w:t>, and:</w:t>
      </w:r>
    </w:p>
    <w:p w14:paraId="61CDCCD7" w14:textId="77777777" w:rsidR="009648B2" w:rsidRPr="00C033B1" w:rsidRDefault="009648B2" w:rsidP="009648B2">
      <w:pPr>
        <w:pStyle w:val="paragraphsub"/>
      </w:pPr>
      <w:r w:rsidRPr="00C033B1">
        <w:tab/>
        <w:t>(i)</w:t>
      </w:r>
      <w:r w:rsidRPr="00C033B1">
        <w:tab/>
        <w:t>it was commenced in the High Court before 1 November 2004; or</w:t>
      </w:r>
    </w:p>
    <w:p w14:paraId="2F38507D" w14:textId="77777777" w:rsidR="009648B2" w:rsidRPr="00C033B1" w:rsidRDefault="009648B2" w:rsidP="009648B2">
      <w:pPr>
        <w:pStyle w:val="paragraphsub"/>
      </w:pPr>
      <w:r w:rsidRPr="00C033B1">
        <w:tab/>
        <w:t>(ii)</w:t>
      </w:r>
      <w:r w:rsidRPr="00C033B1">
        <w:tab/>
        <w:t>it was remitted by the High Court in its appellate jurisdiction for re</w:t>
      </w:r>
      <w:r w:rsidR="00C033B1">
        <w:noBreakHyphen/>
      </w:r>
      <w:r w:rsidRPr="00C033B1">
        <w:t>hearing by the Federal Court; or</w:t>
      </w:r>
    </w:p>
    <w:p w14:paraId="1E7492F8" w14:textId="77777777" w:rsidR="009648B2" w:rsidRPr="00C033B1" w:rsidRDefault="009648B2" w:rsidP="009648B2">
      <w:pPr>
        <w:pStyle w:val="paragraph"/>
      </w:pPr>
      <w:r w:rsidRPr="00C033B1">
        <w:tab/>
        <w:t>(e)</w:t>
      </w:r>
      <w:r w:rsidRPr="00C033B1">
        <w:tab/>
        <w:t xml:space="preserve">the proceeding is an exercise by the Federal Court of its original jurisdiction under the </w:t>
      </w:r>
      <w:r w:rsidRPr="00C033B1">
        <w:rPr>
          <w:i/>
        </w:rPr>
        <w:t>Bankruptcy Act 1966</w:t>
      </w:r>
      <w:r w:rsidRPr="00C033B1">
        <w:t>; or</w:t>
      </w:r>
    </w:p>
    <w:p w14:paraId="7936F979" w14:textId="77777777" w:rsidR="009648B2" w:rsidRPr="00C033B1" w:rsidRDefault="009648B2" w:rsidP="009648B2">
      <w:pPr>
        <w:pStyle w:val="paragraph"/>
      </w:pPr>
      <w:r w:rsidRPr="00C033B1">
        <w:tab/>
        <w:t>(f)</w:t>
      </w:r>
      <w:r w:rsidRPr="00C033B1">
        <w:tab/>
        <w:t>the proceeding is in relation to a criminal matter; or</w:t>
      </w:r>
    </w:p>
    <w:p w14:paraId="4D0D9ECD" w14:textId="77777777" w:rsidR="009648B2" w:rsidRPr="00C033B1" w:rsidRDefault="009648B2" w:rsidP="009648B2">
      <w:pPr>
        <w:pStyle w:val="paragraph"/>
      </w:pPr>
      <w:r w:rsidRPr="00C033B1">
        <w:tab/>
        <w:t>(g)</w:t>
      </w:r>
      <w:r w:rsidRPr="00C033B1">
        <w:tab/>
        <w:t>the proceeding is in relation to a case stated, or a question reserved, for the consideration or opinion of the Federal Court; or</w:t>
      </w:r>
    </w:p>
    <w:p w14:paraId="1E920474" w14:textId="77777777" w:rsidR="009648B2" w:rsidRPr="00C033B1" w:rsidRDefault="009648B2" w:rsidP="009648B2">
      <w:pPr>
        <w:pStyle w:val="paragraph"/>
      </w:pPr>
      <w:r w:rsidRPr="00C033B1">
        <w:tab/>
        <w:t>(h)</w:t>
      </w:r>
      <w:r w:rsidRPr="00C033B1">
        <w:tab/>
        <w:t>the proceeding is in relation to a referral to the Federal Court of a question of law by a tribunal or body that, under a law of the Commonwealth, may refer questions of law to the Federal Court; or</w:t>
      </w:r>
    </w:p>
    <w:p w14:paraId="62C191C8" w14:textId="77777777" w:rsidR="009648B2" w:rsidRPr="00C033B1" w:rsidRDefault="009648B2" w:rsidP="009648B2">
      <w:pPr>
        <w:pStyle w:val="paragraph"/>
      </w:pPr>
      <w:r w:rsidRPr="00C033B1">
        <w:tab/>
        <w:t>(i)</w:t>
      </w:r>
      <w:r w:rsidRPr="00C033B1">
        <w:tab/>
        <w:t>the proceeding is an application to the Federal Court for an extension of time within which a particular proceeding may be commenced; or</w:t>
      </w:r>
    </w:p>
    <w:p w14:paraId="370295FA" w14:textId="77777777" w:rsidR="009648B2" w:rsidRPr="00C033B1" w:rsidRDefault="009648B2" w:rsidP="00286E6B">
      <w:pPr>
        <w:pStyle w:val="paragraph"/>
      </w:pPr>
      <w:r w:rsidRPr="00C033B1">
        <w:tab/>
        <w:t>(j)</w:t>
      </w:r>
      <w:r w:rsidRPr="00C033B1">
        <w:tab/>
        <w:t>the proceeding is one that is transferred from the Federal Circuit and Family Court of Australia (</w:t>
      </w:r>
      <w:r w:rsidR="007D3911" w:rsidRPr="00C033B1">
        <w:t>Division 2</w:t>
      </w:r>
      <w:r w:rsidRPr="00C033B1">
        <w:t xml:space="preserve">) by the Federal Court under </w:t>
      </w:r>
      <w:r w:rsidR="007D3911" w:rsidRPr="00C033B1">
        <w:t>section 3</w:t>
      </w:r>
      <w:r w:rsidRPr="00C033B1">
        <w:t>2AC of the Federal Court Act</w:t>
      </w:r>
      <w:r w:rsidR="00286E6B" w:rsidRPr="00C033B1">
        <w:t xml:space="preserve"> </w:t>
      </w:r>
      <w:r w:rsidRPr="00C033B1">
        <w:t>and</w:t>
      </w:r>
      <w:r w:rsidR="00286E6B" w:rsidRPr="00C033B1">
        <w:t xml:space="preserve"> </w:t>
      </w:r>
      <w:r w:rsidRPr="00C033B1">
        <w:t>a setting down fee has already been paid in relation to the proceeding; or</w:t>
      </w:r>
    </w:p>
    <w:p w14:paraId="79405602" w14:textId="77777777" w:rsidR="009648B2" w:rsidRPr="00C033B1" w:rsidRDefault="009648B2" w:rsidP="009648B2">
      <w:pPr>
        <w:pStyle w:val="paragraph"/>
      </w:pPr>
      <w:r w:rsidRPr="00C033B1">
        <w:tab/>
        <w:t>(k)</w:t>
      </w:r>
      <w:r w:rsidRPr="00C033B1">
        <w:tab/>
        <w:t>all of the following apply:</w:t>
      </w:r>
    </w:p>
    <w:p w14:paraId="343081CA" w14:textId="77777777" w:rsidR="009648B2" w:rsidRPr="00C033B1" w:rsidRDefault="009648B2" w:rsidP="009648B2">
      <w:pPr>
        <w:pStyle w:val="paragraphsub"/>
      </w:pPr>
      <w:r w:rsidRPr="00C033B1">
        <w:tab/>
        <w:t>(i)</w:t>
      </w:r>
      <w:r w:rsidRPr="00C033B1">
        <w:tab/>
        <w:t>the proceeding is one that is transferred by the Federal Circuit and Family Court of Australia (</w:t>
      </w:r>
      <w:r w:rsidR="007D3911" w:rsidRPr="00C033B1">
        <w:t>Division 2</w:t>
      </w:r>
      <w:r w:rsidRPr="00C033B1">
        <w:t>) to the Federal Court under section 153 of the Federal Circuit and Family Court Act;</w:t>
      </w:r>
    </w:p>
    <w:p w14:paraId="43EFEDFC" w14:textId="77777777" w:rsidR="009648B2" w:rsidRPr="00C033B1" w:rsidRDefault="009648B2" w:rsidP="009648B2">
      <w:pPr>
        <w:pStyle w:val="paragraphsub"/>
      </w:pPr>
      <w:r w:rsidRPr="00C033B1">
        <w:tab/>
        <w:t>(ii)</w:t>
      </w:r>
      <w:r w:rsidRPr="00C033B1">
        <w:tab/>
        <w:t xml:space="preserve">the transfer of the proceeding is confirmed by the Federal Court under </w:t>
      </w:r>
      <w:r w:rsidR="007D3911" w:rsidRPr="00C033B1">
        <w:t>section 3</w:t>
      </w:r>
      <w:r w:rsidRPr="00C033B1">
        <w:t>2AD of the Federal Court Act;</w:t>
      </w:r>
    </w:p>
    <w:p w14:paraId="6689C0F3" w14:textId="77777777" w:rsidR="009648B2" w:rsidRPr="00C033B1" w:rsidRDefault="009648B2" w:rsidP="009648B2">
      <w:pPr>
        <w:pStyle w:val="paragraphsub"/>
      </w:pPr>
      <w:r w:rsidRPr="00C033B1">
        <w:tab/>
        <w:t>(iii)</w:t>
      </w:r>
      <w:r w:rsidRPr="00C033B1">
        <w:tab/>
        <w:t>a setting down fee has already been paid in relation to the proceeding.</w:t>
      </w:r>
    </w:p>
    <w:p w14:paraId="4DBC1367" w14:textId="77777777" w:rsidR="009648B2" w:rsidRPr="00C033B1" w:rsidRDefault="009648B2" w:rsidP="009648B2">
      <w:pPr>
        <w:pStyle w:val="SubsectionHead"/>
      </w:pPr>
      <w:r w:rsidRPr="00C033B1">
        <w:t>Federal Circuit and Family Court of Australia (</w:t>
      </w:r>
      <w:r w:rsidR="007D3911" w:rsidRPr="00C033B1">
        <w:t>Division 2</w:t>
      </w:r>
      <w:r w:rsidRPr="00C033B1">
        <w:t>)</w:t>
      </w:r>
    </w:p>
    <w:p w14:paraId="43412A30" w14:textId="77777777" w:rsidR="009648B2" w:rsidRPr="00C033B1" w:rsidRDefault="009648B2" w:rsidP="009648B2">
      <w:pPr>
        <w:pStyle w:val="subsection"/>
      </w:pPr>
      <w:r w:rsidRPr="00C033B1">
        <w:tab/>
        <w:t>(2)</w:t>
      </w:r>
      <w:r w:rsidRPr="00C033B1">
        <w:tab/>
        <w:t>A setting down fee is not payable in relation to a proceeding in the Federal Circuit and Family Court of Australia (</w:t>
      </w:r>
      <w:r w:rsidR="007D3911" w:rsidRPr="00C033B1">
        <w:t>Division 2</w:t>
      </w:r>
      <w:r w:rsidRPr="00C033B1">
        <w:t>) if:</w:t>
      </w:r>
    </w:p>
    <w:p w14:paraId="35FC5020" w14:textId="77777777" w:rsidR="009648B2" w:rsidRPr="00C033B1" w:rsidRDefault="009648B2" w:rsidP="009648B2">
      <w:pPr>
        <w:pStyle w:val="paragraph"/>
      </w:pPr>
      <w:r w:rsidRPr="00C033B1">
        <w:tab/>
        <w:t>(a)</w:t>
      </w:r>
      <w:r w:rsidRPr="00C033B1">
        <w:tab/>
        <w:t>the proceeding is in relation to a matter that:</w:t>
      </w:r>
    </w:p>
    <w:p w14:paraId="2B9AA98D" w14:textId="77777777" w:rsidR="009648B2" w:rsidRPr="00C033B1" w:rsidRDefault="009648B2" w:rsidP="009648B2">
      <w:pPr>
        <w:pStyle w:val="paragraphsub"/>
      </w:pPr>
      <w:r w:rsidRPr="00C033B1">
        <w:lastRenderedPageBreak/>
        <w:tab/>
        <w:t>(i)</w:t>
      </w:r>
      <w:r w:rsidRPr="00C033B1">
        <w:tab/>
        <w:t>was remitted by the High Court, in the exercise of its appellate jurisdiction, for re</w:t>
      </w:r>
      <w:r w:rsidR="00C033B1">
        <w:noBreakHyphen/>
      </w:r>
      <w:r w:rsidRPr="00C033B1">
        <w:t xml:space="preserve">hearing by the Federal Court under </w:t>
      </w:r>
      <w:r w:rsidR="00D4482F" w:rsidRPr="00C033B1">
        <w:t>section 4</w:t>
      </w:r>
      <w:r w:rsidRPr="00C033B1">
        <w:t xml:space="preserve">4 of the </w:t>
      </w:r>
      <w:r w:rsidRPr="00C033B1">
        <w:rPr>
          <w:i/>
        </w:rPr>
        <w:t>Judiciary Act 1903</w:t>
      </w:r>
      <w:r w:rsidRPr="00C033B1">
        <w:t>; and</w:t>
      </w:r>
    </w:p>
    <w:p w14:paraId="67675C77" w14:textId="77777777" w:rsidR="009648B2" w:rsidRPr="00C033B1" w:rsidRDefault="009648B2" w:rsidP="009648B2">
      <w:pPr>
        <w:pStyle w:val="paragraphsub"/>
      </w:pPr>
      <w:r w:rsidRPr="00C033B1">
        <w:tab/>
        <w:t>(ii)</w:t>
      </w:r>
      <w:r w:rsidRPr="00C033B1">
        <w:tab/>
        <w:t>was subsequently transferred by the Federal Court to the Federal Circuit and Family Court of Australia (</w:t>
      </w:r>
      <w:r w:rsidR="007D3911" w:rsidRPr="00C033B1">
        <w:t>Division 2</w:t>
      </w:r>
      <w:r w:rsidRPr="00C033B1">
        <w:t xml:space="preserve">) under </w:t>
      </w:r>
      <w:r w:rsidR="007D3911" w:rsidRPr="00C033B1">
        <w:t>section 3</w:t>
      </w:r>
      <w:r w:rsidRPr="00C033B1">
        <w:t>2AB of the Federal Court Act; or</w:t>
      </w:r>
    </w:p>
    <w:p w14:paraId="03531DB2" w14:textId="77777777" w:rsidR="009648B2" w:rsidRPr="00C033B1" w:rsidRDefault="009648B2" w:rsidP="009648B2">
      <w:pPr>
        <w:pStyle w:val="paragraph"/>
      </w:pPr>
      <w:r w:rsidRPr="00C033B1">
        <w:tab/>
        <w:t>(b)</w:t>
      </w:r>
      <w:r w:rsidRPr="00C033B1">
        <w:tab/>
        <w:t>the proceeding is in relation to a matter remitted by the High Court, in the exercise of its appellate jurisdiction, for re</w:t>
      </w:r>
      <w:r w:rsidR="00C033B1">
        <w:noBreakHyphen/>
      </w:r>
      <w:r w:rsidRPr="00C033B1">
        <w:t>hearing by the Federal Circuit and Family Court of Australia (</w:t>
      </w:r>
      <w:r w:rsidR="007D3911" w:rsidRPr="00C033B1">
        <w:t>Division 2</w:t>
      </w:r>
      <w:r w:rsidRPr="00C033B1">
        <w:t xml:space="preserve">) under </w:t>
      </w:r>
      <w:r w:rsidR="00D4482F" w:rsidRPr="00C033B1">
        <w:t>section 4</w:t>
      </w:r>
      <w:r w:rsidRPr="00C033B1">
        <w:t xml:space="preserve">4 of the </w:t>
      </w:r>
      <w:r w:rsidRPr="00C033B1">
        <w:rPr>
          <w:i/>
        </w:rPr>
        <w:t>Judiciary Act 1903</w:t>
      </w:r>
      <w:r w:rsidRPr="00C033B1">
        <w:t>.</w:t>
      </w:r>
    </w:p>
    <w:p w14:paraId="26A6EEB0" w14:textId="77777777" w:rsidR="009648B2" w:rsidRPr="00C033B1" w:rsidRDefault="009648B2" w:rsidP="009648B2">
      <w:pPr>
        <w:pStyle w:val="notetext"/>
      </w:pPr>
      <w:r w:rsidRPr="00C033B1">
        <w:t>Note:</w:t>
      </w:r>
      <w:r w:rsidRPr="00C033B1">
        <w:tab/>
        <w:t>Other fees may be payable in relation to a proceeding mentioned in this section.</w:t>
      </w:r>
    </w:p>
    <w:p w14:paraId="6D1F922E" w14:textId="77777777" w:rsidR="009648B2" w:rsidRPr="00C033B1" w:rsidRDefault="009648B2" w:rsidP="004F3853">
      <w:pPr>
        <w:pStyle w:val="ActHead5"/>
      </w:pPr>
      <w:bookmarkStart w:id="28" w:name="_Toc114043982"/>
      <w:r w:rsidRPr="00025E64">
        <w:rPr>
          <w:rStyle w:val="CharSectno"/>
        </w:rPr>
        <w:t>2.13</w:t>
      </w:r>
      <w:r w:rsidRPr="00C033B1">
        <w:t xml:space="preserve">  When hearing fee</w:t>
      </w:r>
      <w:r w:rsidR="00CA71E2" w:rsidRPr="00C033B1">
        <w:t>s</w:t>
      </w:r>
      <w:r w:rsidRPr="00C033B1">
        <w:t xml:space="preserve"> </w:t>
      </w:r>
      <w:r w:rsidR="00CA71E2" w:rsidRPr="00C033B1">
        <w:t>are</w:t>
      </w:r>
      <w:r w:rsidRPr="00C033B1">
        <w:t xml:space="preserve"> not payable</w:t>
      </w:r>
      <w:bookmarkEnd w:id="28"/>
    </w:p>
    <w:p w14:paraId="6F37E10D" w14:textId="77777777" w:rsidR="009648B2" w:rsidRPr="00C033B1" w:rsidRDefault="009648B2" w:rsidP="009648B2">
      <w:pPr>
        <w:pStyle w:val="SubsectionHead"/>
      </w:pPr>
      <w:r w:rsidRPr="00C033B1">
        <w:t>Federal Court</w:t>
      </w:r>
    </w:p>
    <w:p w14:paraId="4DC190C1" w14:textId="77777777" w:rsidR="009648B2" w:rsidRPr="00C033B1" w:rsidRDefault="009648B2" w:rsidP="009648B2">
      <w:pPr>
        <w:pStyle w:val="subsection"/>
      </w:pPr>
      <w:r w:rsidRPr="00C033B1">
        <w:tab/>
        <w:t>(1)</w:t>
      </w:r>
      <w:r w:rsidRPr="00C033B1">
        <w:tab/>
        <w:t>A hearing fee is not payable in relation to a proceeding in the Federal Court if:</w:t>
      </w:r>
    </w:p>
    <w:p w14:paraId="15DB1EA6" w14:textId="77777777" w:rsidR="009648B2" w:rsidRPr="00C033B1" w:rsidRDefault="009648B2" w:rsidP="009648B2">
      <w:pPr>
        <w:pStyle w:val="paragraph"/>
      </w:pPr>
      <w:r w:rsidRPr="00C033B1">
        <w:tab/>
        <w:t>(a)</w:t>
      </w:r>
      <w:r w:rsidRPr="00C033B1">
        <w:tab/>
        <w:t>the hearing is cancelled before the fee is paid; or</w:t>
      </w:r>
    </w:p>
    <w:p w14:paraId="12337450" w14:textId="77777777" w:rsidR="009648B2" w:rsidRPr="00C033B1" w:rsidRDefault="009648B2" w:rsidP="009648B2">
      <w:pPr>
        <w:pStyle w:val="paragraph"/>
      </w:pPr>
      <w:r w:rsidRPr="00C033B1">
        <w:tab/>
        <w:t>(b)</w:t>
      </w:r>
      <w:r w:rsidRPr="00C033B1">
        <w:tab/>
        <w:t>the sole purpose of the hearing is the delivery of a reserved judgment; or</w:t>
      </w:r>
    </w:p>
    <w:p w14:paraId="5B01E8C4" w14:textId="77777777" w:rsidR="00743134" w:rsidRPr="00C033B1" w:rsidRDefault="009648B2" w:rsidP="009648B2">
      <w:pPr>
        <w:pStyle w:val="paragraph"/>
      </w:pPr>
      <w:r w:rsidRPr="00C033B1">
        <w:tab/>
        <w:t>(c)</w:t>
      </w:r>
      <w:r w:rsidRPr="00C033B1">
        <w:tab/>
      </w:r>
      <w:r w:rsidR="00740A43" w:rsidRPr="00C033B1">
        <w:t>in relation to an application or appeal</w:t>
      </w:r>
      <w:r w:rsidR="00743134" w:rsidRPr="00C033B1">
        <w:t>:</w:t>
      </w:r>
    </w:p>
    <w:p w14:paraId="734BA0E2" w14:textId="77777777" w:rsidR="00743134" w:rsidRPr="00C033B1" w:rsidRDefault="009648B2" w:rsidP="00743134">
      <w:pPr>
        <w:pStyle w:val="paragraphsub"/>
      </w:pPr>
      <w:r w:rsidRPr="00C033B1">
        <w:tab/>
        <w:t>(</w:t>
      </w:r>
      <w:r w:rsidR="00942628" w:rsidRPr="00C033B1">
        <w:t>i</w:t>
      </w:r>
      <w:r w:rsidRPr="00C033B1">
        <w:t>)</w:t>
      </w:r>
      <w:r w:rsidRPr="00C033B1">
        <w:tab/>
        <w:t>a hearing fee</w:t>
      </w:r>
      <w:r w:rsidR="00743134" w:rsidRPr="00C033B1">
        <w:t>, or a fee for the hearing under another law of the Commonwealth,</w:t>
      </w:r>
      <w:r w:rsidRPr="00C033B1">
        <w:t xml:space="preserve"> has already been paid for the </w:t>
      </w:r>
      <w:r w:rsidR="00740A43" w:rsidRPr="00C033B1">
        <w:t>application or appeal</w:t>
      </w:r>
      <w:r w:rsidRPr="00C033B1">
        <w:t>;</w:t>
      </w:r>
      <w:r w:rsidR="00740A43" w:rsidRPr="00C033B1">
        <w:t xml:space="preserve"> and</w:t>
      </w:r>
    </w:p>
    <w:p w14:paraId="3767FDB5" w14:textId="77777777" w:rsidR="009648B2" w:rsidRPr="00C033B1" w:rsidRDefault="00743134" w:rsidP="00743134">
      <w:pPr>
        <w:pStyle w:val="paragraphsub"/>
      </w:pPr>
      <w:r w:rsidRPr="00C033B1">
        <w:tab/>
        <w:t>(ii)</w:t>
      </w:r>
      <w:r w:rsidRPr="00C033B1">
        <w:tab/>
        <w:t>that</w:t>
      </w:r>
      <w:r w:rsidR="009648B2" w:rsidRPr="00C033B1">
        <w:t xml:space="preserve"> fee has not been refunded; or</w:t>
      </w:r>
    </w:p>
    <w:p w14:paraId="2B7CC91E" w14:textId="77777777" w:rsidR="009648B2" w:rsidRPr="00C033B1" w:rsidRDefault="009648B2" w:rsidP="009648B2">
      <w:pPr>
        <w:pStyle w:val="paragraph"/>
      </w:pPr>
      <w:r w:rsidRPr="00C033B1">
        <w:tab/>
        <w:t>(d)</w:t>
      </w:r>
      <w:r w:rsidRPr="00C033B1">
        <w:tab/>
        <w:t>the proceeding is an application for admission to practice as a barrister, solicitor or barrister and solicitor; or</w:t>
      </w:r>
    </w:p>
    <w:p w14:paraId="6D3C5EDC" w14:textId="77777777" w:rsidR="009648B2" w:rsidRPr="00C033B1" w:rsidRDefault="009648B2" w:rsidP="009648B2">
      <w:pPr>
        <w:pStyle w:val="paragraph"/>
      </w:pPr>
      <w:r w:rsidRPr="00C033B1">
        <w:tab/>
        <w:t>(e)</w:t>
      </w:r>
      <w:r w:rsidRPr="00C033B1">
        <w:tab/>
        <w:t xml:space="preserve">the proceeding is in relation to a matter that was remitted to the Federal Court by the High Court under </w:t>
      </w:r>
      <w:r w:rsidR="00D4482F" w:rsidRPr="00C033B1">
        <w:t>section 4</w:t>
      </w:r>
      <w:r w:rsidRPr="00C033B1">
        <w:t xml:space="preserve">4 of the </w:t>
      </w:r>
      <w:r w:rsidRPr="00C033B1">
        <w:rPr>
          <w:i/>
        </w:rPr>
        <w:t>Judiciary Act 1903</w:t>
      </w:r>
      <w:r w:rsidRPr="00C033B1">
        <w:t>, and:</w:t>
      </w:r>
    </w:p>
    <w:p w14:paraId="40100B64" w14:textId="77777777" w:rsidR="009648B2" w:rsidRPr="00C033B1" w:rsidRDefault="009648B2" w:rsidP="009648B2">
      <w:pPr>
        <w:pStyle w:val="paragraphsub"/>
      </w:pPr>
      <w:r w:rsidRPr="00C033B1">
        <w:tab/>
        <w:t>(i)</w:t>
      </w:r>
      <w:r w:rsidRPr="00C033B1">
        <w:tab/>
        <w:t>it was commenced in the High Court before 1 November 2004; or</w:t>
      </w:r>
    </w:p>
    <w:p w14:paraId="4291E3B4" w14:textId="77777777" w:rsidR="009648B2" w:rsidRPr="00C033B1" w:rsidRDefault="009648B2" w:rsidP="009648B2">
      <w:pPr>
        <w:pStyle w:val="paragraphsub"/>
      </w:pPr>
      <w:r w:rsidRPr="00C033B1">
        <w:tab/>
        <w:t>(ii)</w:t>
      </w:r>
      <w:r w:rsidRPr="00C033B1">
        <w:tab/>
        <w:t>it was remitted by the High Court in its appellate jurisdiction for re</w:t>
      </w:r>
      <w:r w:rsidR="00C033B1">
        <w:noBreakHyphen/>
      </w:r>
      <w:r w:rsidRPr="00C033B1">
        <w:t>hearing by the Federal Court; or</w:t>
      </w:r>
    </w:p>
    <w:p w14:paraId="71D94B33" w14:textId="77777777" w:rsidR="009648B2" w:rsidRPr="00C033B1" w:rsidRDefault="009648B2" w:rsidP="009648B2">
      <w:pPr>
        <w:pStyle w:val="paragraph"/>
      </w:pPr>
      <w:r w:rsidRPr="00C033B1">
        <w:tab/>
        <w:t>(f)</w:t>
      </w:r>
      <w:r w:rsidRPr="00C033B1">
        <w:tab/>
        <w:t xml:space="preserve">the proceeding is an exercise by the Federal Court of its original jurisdiction under the </w:t>
      </w:r>
      <w:r w:rsidRPr="00C033B1">
        <w:rPr>
          <w:i/>
        </w:rPr>
        <w:t>Bankruptcy Act 1966</w:t>
      </w:r>
      <w:r w:rsidRPr="00C033B1">
        <w:t>; or</w:t>
      </w:r>
    </w:p>
    <w:p w14:paraId="3826E96D" w14:textId="77777777" w:rsidR="009648B2" w:rsidRPr="00C033B1" w:rsidRDefault="009648B2" w:rsidP="009648B2">
      <w:pPr>
        <w:pStyle w:val="paragraph"/>
      </w:pPr>
      <w:r w:rsidRPr="00C033B1">
        <w:tab/>
        <w:t>(g)</w:t>
      </w:r>
      <w:r w:rsidRPr="00C033B1">
        <w:tab/>
        <w:t>the proceeding is in relation to a criminal matter; or</w:t>
      </w:r>
    </w:p>
    <w:p w14:paraId="47D5C4DA" w14:textId="77777777" w:rsidR="009648B2" w:rsidRPr="00C033B1" w:rsidRDefault="009648B2" w:rsidP="009648B2">
      <w:pPr>
        <w:pStyle w:val="paragraph"/>
      </w:pPr>
      <w:r w:rsidRPr="00C033B1">
        <w:tab/>
        <w:t>(h)</w:t>
      </w:r>
      <w:r w:rsidRPr="00C033B1">
        <w:tab/>
        <w:t>the proceeding is in relation to a case stated, or a question reserved, for the consideration or opinion of the Federal Court; or</w:t>
      </w:r>
    </w:p>
    <w:p w14:paraId="6EEDB942" w14:textId="77777777" w:rsidR="009648B2" w:rsidRPr="00C033B1" w:rsidRDefault="009648B2" w:rsidP="009648B2">
      <w:pPr>
        <w:pStyle w:val="paragraph"/>
      </w:pPr>
      <w:r w:rsidRPr="00C033B1">
        <w:tab/>
        <w:t>(i)</w:t>
      </w:r>
      <w:r w:rsidRPr="00C033B1">
        <w:tab/>
        <w:t>the proceeding is in relation to a referral to the Federal Court of a question of law by a tribunal or body that, under a law of the Commonwealth, may refer questions of law to the Federal Court; or</w:t>
      </w:r>
    </w:p>
    <w:p w14:paraId="30E8FF8E" w14:textId="77777777" w:rsidR="009648B2" w:rsidRPr="00C033B1" w:rsidRDefault="009648B2" w:rsidP="009648B2">
      <w:pPr>
        <w:pStyle w:val="paragraph"/>
      </w:pPr>
      <w:r w:rsidRPr="00C033B1">
        <w:tab/>
        <w:t>(j)</w:t>
      </w:r>
      <w:r w:rsidRPr="00C033B1">
        <w:tab/>
        <w:t>the proceeding is an application to the Federal Court for an extension of time within which a particular proceeding may be commenced; or</w:t>
      </w:r>
    </w:p>
    <w:p w14:paraId="75A0B7AF" w14:textId="77777777" w:rsidR="009648B2" w:rsidRPr="00C033B1" w:rsidRDefault="009648B2" w:rsidP="00740A43">
      <w:pPr>
        <w:pStyle w:val="paragraph"/>
      </w:pPr>
      <w:r w:rsidRPr="00C033B1">
        <w:tab/>
        <w:t>(k)</w:t>
      </w:r>
      <w:r w:rsidRPr="00C033B1">
        <w:tab/>
        <w:t>the proceeding is one that is transferred from the Federal Circuit and Family Court of Australia (</w:t>
      </w:r>
      <w:r w:rsidR="007D3911" w:rsidRPr="00C033B1">
        <w:t>Division 2</w:t>
      </w:r>
      <w:r w:rsidRPr="00C033B1">
        <w:t xml:space="preserve">) by the Federal Court under </w:t>
      </w:r>
      <w:r w:rsidR="007D3911" w:rsidRPr="00C033B1">
        <w:t>section 3</w:t>
      </w:r>
      <w:r w:rsidRPr="00C033B1">
        <w:t>2AC of the Federal Court Act and</w:t>
      </w:r>
      <w:r w:rsidR="00740A43" w:rsidRPr="00C033B1">
        <w:t xml:space="preserve"> </w:t>
      </w:r>
      <w:r w:rsidRPr="00C033B1">
        <w:t>a hearing fee has already been paid in relation to the proceeding; or</w:t>
      </w:r>
    </w:p>
    <w:p w14:paraId="31B3B142" w14:textId="77777777" w:rsidR="009648B2" w:rsidRPr="00C033B1" w:rsidRDefault="009648B2" w:rsidP="009648B2">
      <w:pPr>
        <w:pStyle w:val="paragraph"/>
      </w:pPr>
      <w:r w:rsidRPr="00C033B1">
        <w:tab/>
        <w:t>(l)</w:t>
      </w:r>
      <w:r w:rsidRPr="00C033B1">
        <w:tab/>
        <w:t>all of the following apply:</w:t>
      </w:r>
    </w:p>
    <w:p w14:paraId="55A3EE0B" w14:textId="77777777" w:rsidR="009648B2" w:rsidRPr="00C033B1" w:rsidRDefault="009648B2" w:rsidP="009648B2">
      <w:pPr>
        <w:pStyle w:val="paragraphsub"/>
      </w:pPr>
      <w:r w:rsidRPr="00C033B1">
        <w:lastRenderedPageBreak/>
        <w:tab/>
        <w:t>(i)</w:t>
      </w:r>
      <w:r w:rsidRPr="00C033B1">
        <w:tab/>
        <w:t>the proceeding is one that is transferred by the Federal Circuit and Family Court of Australia (</w:t>
      </w:r>
      <w:r w:rsidR="007D3911" w:rsidRPr="00C033B1">
        <w:t>Division 2</w:t>
      </w:r>
      <w:r w:rsidRPr="00C033B1">
        <w:t>) to the Federal Court under section 153 of the Federal Circuit and Family Court Act;</w:t>
      </w:r>
    </w:p>
    <w:p w14:paraId="0CEFF743" w14:textId="77777777" w:rsidR="009648B2" w:rsidRPr="00C033B1" w:rsidRDefault="009648B2" w:rsidP="009648B2">
      <w:pPr>
        <w:pStyle w:val="paragraphsub"/>
      </w:pPr>
      <w:r w:rsidRPr="00C033B1">
        <w:tab/>
        <w:t>(ii)</w:t>
      </w:r>
      <w:r w:rsidRPr="00C033B1">
        <w:tab/>
        <w:t xml:space="preserve">the transfer of the proceeding is confirmed by the Federal Court under </w:t>
      </w:r>
      <w:r w:rsidR="007D3911" w:rsidRPr="00C033B1">
        <w:t>section 3</w:t>
      </w:r>
      <w:r w:rsidRPr="00C033B1">
        <w:t>2AD of the Federal Court Act;</w:t>
      </w:r>
    </w:p>
    <w:p w14:paraId="6CED81F4" w14:textId="77777777" w:rsidR="009648B2" w:rsidRPr="00C033B1" w:rsidRDefault="009648B2" w:rsidP="009648B2">
      <w:pPr>
        <w:pStyle w:val="paragraphsub"/>
      </w:pPr>
      <w:r w:rsidRPr="00C033B1">
        <w:tab/>
        <w:t>(iii)</w:t>
      </w:r>
      <w:r w:rsidRPr="00C033B1">
        <w:tab/>
        <w:t>a hearing fee has already been paid in relation to the proceeding.</w:t>
      </w:r>
    </w:p>
    <w:p w14:paraId="6E9F6BD1" w14:textId="77777777" w:rsidR="009648B2" w:rsidRPr="00174127" w:rsidRDefault="009648B2" w:rsidP="009648B2">
      <w:pPr>
        <w:pStyle w:val="SubsectionHead"/>
      </w:pPr>
      <w:r w:rsidRPr="00C033B1">
        <w:t>Federal Circuit and Family Court of Australia (</w:t>
      </w:r>
      <w:r w:rsidR="007D3911" w:rsidRPr="00C033B1">
        <w:t>Division 2</w:t>
      </w:r>
      <w:r w:rsidRPr="00174127">
        <w:t>)</w:t>
      </w:r>
    </w:p>
    <w:p w14:paraId="74F82CA1" w14:textId="77777777" w:rsidR="009648B2" w:rsidRPr="00C033B1" w:rsidRDefault="009648B2" w:rsidP="009648B2">
      <w:pPr>
        <w:pStyle w:val="subsection"/>
      </w:pPr>
      <w:r w:rsidRPr="00174127">
        <w:tab/>
        <w:t>(2)</w:t>
      </w:r>
      <w:r w:rsidRPr="00174127">
        <w:tab/>
        <w:t>A hearing fee is not payable in relation to a proceeding in th</w:t>
      </w:r>
      <w:r w:rsidRPr="00C033B1">
        <w:t>e Federal Circuit and Family Court of Australia (</w:t>
      </w:r>
      <w:r w:rsidR="007D3911" w:rsidRPr="00C033B1">
        <w:t>Division 2</w:t>
      </w:r>
      <w:r w:rsidRPr="00C033B1">
        <w:t>) if:</w:t>
      </w:r>
    </w:p>
    <w:p w14:paraId="6FD5187E" w14:textId="77777777" w:rsidR="009648B2" w:rsidRPr="00C033B1" w:rsidRDefault="009648B2" w:rsidP="009648B2">
      <w:pPr>
        <w:pStyle w:val="paragraph"/>
      </w:pPr>
      <w:r w:rsidRPr="00C033B1">
        <w:tab/>
        <w:t>(a)</w:t>
      </w:r>
      <w:r w:rsidRPr="00C033B1">
        <w:tab/>
        <w:t>the proceeding is in relation to a matter that:</w:t>
      </w:r>
    </w:p>
    <w:p w14:paraId="5D198B4A" w14:textId="77777777" w:rsidR="009648B2" w:rsidRPr="00C033B1" w:rsidRDefault="009648B2" w:rsidP="009648B2">
      <w:pPr>
        <w:pStyle w:val="paragraphsub"/>
      </w:pPr>
      <w:r w:rsidRPr="00C033B1">
        <w:tab/>
        <w:t>(i)</w:t>
      </w:r>
      <w:r w:rsidRPr="00C033B1">
        <w:tab/>
        <w:t>was remitted by the High Court, in the exercise of its appellate jurisdiction, for re</w:t>
      </w:r>
      <w:r w:rsidR="00C033B1">
        <w:noBreakHyphen/>
      </w:r>
      <w:r w:rsidRPr="00C033B1">
        <w:t xml:space="preserve">hearing by the Federal Court under </w:t>
      </w:r>
      <w:r w:rsidR="00D4482F" w:rsidRPr="00C033B1">
        <w:t>section 4</w:t>
      </w:r>
      <w:r w:rsidRPr="00C033B1">
        <w:t xml:space="preserve">4 of the </w:t>
      </w:r>
      <w:r w:rsidRPr="00C033B1">
        <w:rPr>
          <w:i/>
        </w:rPr>
        <w:t>Judiciary Act 1903</w:t>
      </w:r>
      <w:r w:rsidRPr="00C033B1">
        <w:t>; and</w:t>
      </w:r>
    </w:p>
    <w:p w14:paraId="380176EA" w14:textId="77777777" w:rsidR="009648B2" w:rsidRPr="00C033B1" w:rsidRDefault="009648B2" w:rsidP="009648B2">
      <w:pPr>
        <w:pStyle w:val="paragraphsub"/>
      </w:pPr>
      <w:r w:rsidRPr="00C033B1">
        <w:tab/>
        <w:t>(ii)</w:t>
      </w:r>
      <w:r w:rsidRPr="00C033B1">
        <w:tab/>
        <w:t>was subsequently transferred by the Federal Court to the Federal Circuit and Family Court of Australia (</w:t>
      </w:r>
      <w:r w:rsidR="007D3911" w:rsidRPr="00C033B1">
        <w:t>Division 2</w:t>
      </w:r>
      <w:r w:rsidRPr="00C033B1">
        <w:t xml:space="preserve">) under </w:t>
      </w:r>
      <w:r w:rsidR="007D3911" w:rsidRPr="00C033B1">
        <w:t>section 3</w:t>
      </w:r>
      <w:r w:rsidRPr="00C033B1">
        <w:t>2AB of the Federal Court Act; or</w:t>
      </w:r>
    </w:p>
    <w:p w14:paraId="2B3BD177" w14:textId="77777777" w:rsidR="009648B2" w:rsidRPr="00C033B1" w:rsidRDefault="009648B2" w:rsidP="009648B2">
      <w:pPr>
        <w:pStyle w:val="paragraph"/>
      </w:pPr>
      <w:r w:rsidRPr="00C033B1">
        <w:tab/>
        <w:t>(b)</w:t>
      </w:r>
      <w:r w:rsidRPr="00C033B1">
        <w:tab/>
        <w:t>the proceeding is in relation to a matter remitted by the High Court, in the exercise of its appellate jurisdiction, for re</w:t>
      </w:r>
      <w:r w:rsidR="00C033B1">
        <w:noBreakHyphen/>
      </w:r>
      <w:r w:rsidRPr="00C033B1">
        <w:t>hearing by the Federal Circuit and Family Court of Australia (</w:t>
      </w:r>
      <w:r w:rsidR="007D3911" w:rsidRPr="00C033B1">
        <w:t>Division 2</w:t>
      </w:r>
      <w:r w:rsidRPr="00C033B1">
        <w:t xml:space="preserve">) under </w:t>
      </w:r>
      <w:r w:rsidR="00D4482F" w:rsidRPr="00C033B1">
        <w:t>section 4</w:t>
      </w:r>
      <w:r w:rsidRPr="00C033B1">
        <w:t xml:space="preserve">4 of the </w:t>
      </w:r>
      <w:r w:rsidRPr="00C033B1">
        <w:rPr>
          <w:i/>
        </w:rPr>
        <w:t>Judiciary Act 1903</w:t>
      </w:r>
      <w:r w:rsidRPr="00C033B1">
        <w:t>.</w:t>
      </w:r>
    </w:p>
    <w:p w14:paraId="30DF8FA2" w14:textId="77777777" w:rsidR="009648B2" w:rsidRPr="00C033B1" w:rsidRDefault="009648B2" w:rsidP="009648B2">
      <w:pPr>
        <w:pStyle w:val="notetext"/>
      </w:pPr>
      <w:r w:rsidRPr="00C033B1">
        <w:t>Note:</w:t>
      </w:r>
      <w:r w:rsidRPr="00C033B1">
        <w:tab/>
        <w:t>Other fees may be payable in relation to a proceeding mentioned in this section.</w:t>
      </w:r>
    </w:p>
    <w:p w14:paraId="0B9605AF" w14:textId="77777777" w:rsidR="009648B2" w:rsidRPr="00C033B1" w:rsidRDefault="007D3911" w:rsidP="004507C2">
      <w:pPr>
        <w:pStyle w:val="ActHead3"/>
        <w:pageBreakBefore/>
      </w:pPr>
      <w:bookmarkStart w:id="29" w:name="_Toc114043983"/>
      <w:r w:rsidRPr="00025E64">
        <w:rPr>
          <w:rStyle w:val="CharDivNo"/>
        </w:rPr>
        <w:lastRenderedPageBreak/>
        <w:t>Division 2</w:t>
      </w:r>
      <w:r w:rsidR="009648B2" w:rsidRPr="00025E64">
        <w:rPr>
          <w:rStyle w:val="CharDivNo"/>
        </w:rPr>
        <w:t>.5</w:t>
      </w:r>
      <w:r w:rsidR="009648B2" w:rsidRPr="00C033B1">
        <w:t>—</w:t>
      </w:r>
      <w:r w:rsidR="009648B2" w:rsidRPr="00025E64">
        <w:rPr>
          <w:rStyle w:val="CharDivText"/>
        </w:rPr>
        <w:t>Payment of fees</w:t>
      </w:r>
      <w:bookmarkEnd w:id="29"/>
    </w:p>
    <w:p w14:paraId="1564B729" w14:textId="77777777" w:rsidR="009648B2" w:rsidRPr="00C033B1" w:rsidRDefault="009648B2" w:rsidP="009648B2">
      <w:pPr>
        <w:pStyle w:val="ActHead5"/>
      </w:pPr>
      <w:bookmarkStart w:id="30" w:name="_Toc114043984"/>
      <w:r w:rsidRPr="00025E64">
        <w:rPr>
          <w:rStyle w:val="CharSectno"/>
        </w:rPr>
        <w:t>2.14</w:t>
      </w:r>
      <w:r w:rsidRPr="00C033B1">
        <w:t xml:space="preserve">  When fee</w:t>
      </w:r>
      <w:r w:rsidR="00CA71E2" w:rsidRPr="00C033B1">
        <w:t>s</w:t>
      </w:r>
      <w:r w:rsidRPr="00C033B1">
        <w:t xml:space="preserve"> must be paid</w:t>
      </w:r>
      <w:bookmarkEnd w:id="30"/>
    </w:p>
    <w:p w14:paraId="53D3564B" w14:textId="77777777" w:rsidR="009648B2" w:rsidRPr="00C033B1" w:rsidRDefault="009648B2" w:rsidP="009648B2">
      <w:pPr>
        <w:pStyle w:val="SubsectionHead"/>
      </w:pPr>
      <w:r w:rsidRPr="00C033B1">
        <w:t>Filing fee</w:t>
      </w:r>
    </w:p>
    <w:p w14:paraId="6DA25023" w14:textId="77777777" w:rsidR="009648B2" w:rsidRPr="00C033B1" w:rsidRDefault="009648B2" w:rsidP="009648B2">
      <w:pPr>
        <w:pStyle w:val="subsection"/>
      </w:pPr>
      <w:r w:rsidRPr="00C033B1">
        <w:tab/>
        <w:t>(1)</w:t>
      </w:r>
      <w:r w:rsidRPr="00C033B1">
        <w:tab/>
        <w:t xml:space="preserve">A filing fee for a document must be paid before the </w:t>
      </w:r>
      <w:r w:rsidR="00894903" w:rsidRPr="00C033B1">
        <w:t xml:space="preserve">relevant </w:t>
      </w:r>
      <w:r w:rsidRPr="00C033B1">
        <w:t>document is filed.</w:t>
      </w:r>
    </w:p>
    <w:p w14:paraId="06E94734" w14:textId="77777777" w:rsidR="009648B2" w:rsidRPr="00C033B1" w:rsidRDefault="009648B2" w:rsidP="009648B2">
      <w:pPr>
        <w:pStyle w:val="SubsectionHead"/>
      </w:pPr>
      <w:r w:rsidRPr="00C033B1">
        <w:t>Setting down fee</w:t>
      </w:r>
    </w:p>
    <w:p w14:paraId="3E5D4C5D" w14:textId="77777777" w:rsidR="009648B2" w:rsidRPr="00C033B1" w:rsidRDefault="009648B2" w:rsidP="009648B2">
      <w:pPr>
        <w:pStyle w:val="subsection"/>
      </w:pPr>
      <w:r w:rsidRPr="00C033B1">
        <w:tab/>
        <w:t>(2)</w:t>
      </w:r>
      <w:r w:rsidRPr="00C033B1">
        <w:tab/>
        <w:t xml:space="preserve">A setting down fee for a hearing in relation to a proceeding must be paid </w:t>
      </w:r>
      <w:r w:rsidR="00894903" w:rsidRPr="00C033B1">
        <w:t xml:space="preserve">when a relevant court fixes the hearing, </w:t>
      </w:r>
      <w:r w:rsidRPr="00C033B1">
        <w:t>as follows:</w:t>
      </w:r>
    </w:p>
    <w:p w14:paraId="1C4767A6" w14:textId="77777777" w:rsidR="009648B2" w:rsidRPr="00C033B1" w:rsidRDefault="009648B2" w:rsidP="009648B2">
      <w:pPr>
        <w:pStyle w:val="paragraph"/>
      </w:pPr>
      <w:r w:rsidRPr="00C033B1">
        <w:tab/>
        <w:t>(a)</w:t>
      </w:r>
      <w:r w:rsidRPr="00C033B1">
        <w:tab/>
        <w:t xml:space="preserve">if the hearing is </w:t>
      </w:r>
      <w:r w:rsidR="00894903" w:rsidRPr="00C033B1">
        <w:t xml:space="preserve">fixed to commence </w:t>
      </w:r>
      <w:r w:rsidRPr="00C033B1">
        <w:t xml:space="preserve">within 28 days after the day when the </w:t>
      </w:r>
      <w:r w:rsidR="00480492" w:rsidRPr="00C033B1">
        <w:t>court fixes the hearing</w:t>
      </w:r>
      <w:r w:rsidRPr="00C033B1">
        <w:t>—within the period, or at the time, approved by the relevant Registrar or authorised officer of the relevant court for the payment of that fee;</w:t>
      </w:r>
    </w:p>
    <w:p w14:paraId="7A60194D" w14:textId="77777777" w:rsidR="009648B2" w:rsidRPr="00C033B1" w:rsidRDefault="009648B2" w:rsidP="009648B2">
      <w:pPr>
        <w:pStyle w:val="paragraph"/>
      </w:pPr>
      <w:r w:rsidRPr="00C033B1">
        <w:tab/>
        <w:t>(b)</w:t>
      </w:r>
      <w:r w:rsidRPr="00C033B1">
        <w:tab/>
        <w:t xml:space="preserve">in any other case—no later than 28 days before the hearing </w:t>
      </w:r>
      <w:r w:rsidR="00480492" w:rsidRPr="00C033B1">
        <w:t>is fixed to commence</w:t>
      </w:r>
      <w:r w:rsidRPr="00C033B1">
        <w:t>.</w:t>
      </w:r>
    </w:p>
    <w:p w14:paraId="53B7A28C" w14:textId="77777777" w:rsidR="00480492" w:rsidRPr="00C033B1" w:rsidRDefault="00480492" w:rsidP="00480492">
      <w:pPr>
        <w:pStyle w:val="subsection"/>
      </w:pPr>
      <w:r w:rsidRPr="00C033B1">
        <w:tab/>
        <w:t>(3)</w:t>
      </w:r>
      <w:r w:rsidRPr="00C033B1">
        <w:tab/>
        <w:t xml:space="preserve">To avoid doubt, a setting down fee is payable for the fixing of </w:t>
      </w:r>
      <w:r w:rsidR="00A84DA2" w:rsidRPr="00C033B1">
        <w:t>t</w:t>
      </w:r>
      <w:r w:rsidRPr="00C033B1">
        <w:t>he hearing of a proceeding whether or not the proceedings are heard on those days, on later days or at all.</w:t>
      </w:r>
    </w:p>
    <w:p w14:paraId="46E3AD33" w14:textId="77777777" w:rsidR="009648B2" w:rsidRPr="00C033B1" w:rsidRDefault="009648B2" w:rsidP="009648B2">
      <w:pPr>
        <w:pStyle w:val="SubsectionHead"/>
      </w:pPr>
      <w:r w:rsidRPr="00C033B1">
        <w:t>Hearing fee</w:t>
      </w:r>
    </w:p>
    <w:p w14:paraId="27785D4A" w14:textId="77777777" w:rsidR="009648B2" w:rsidRPr="00C033B1" w:rsidRDefault="009648B2" w:rsidP="009648B2">
      <w:pPr>
        <w:pStyle w:val="subsection"/>
      </w:pPr>
      <w:r w:rsidRPr="00C033B1">
        <w:tab/>
        <w:t>(</w:t>
      </w:r>
      <w:r w:rsidR="00480492" w:rsidRPr="00C033B1">
        <w:t>4</w:t>
      </w:r>
      <w:r w:rsidRPr="00C033B1">
        <w:t>)</w:t>
      </w:r>
      <w:r w:rsidRPr="00C033B1">
        <w:tab/>
        <w:t>A hearing fee for a hearing</w:t>
      </w:r>
      <w:r w:rsidR="00E74279" w:rsidRPr="00C033B1">
        <w:t xml:space="preserve"> day</w:t>
      </w:r>
      <w:r w:rsidR="00176C63" w:rsidRPr="00C033B1">
        <w:t xml:space="preserve"> </w:t>
      </w:r>
      <w:r w:rsidRPr="00C033B1">
        <w:t>in relation to a proceeding must be paid as follows:</w:t>
      </w:r>
    </w:p>
    <w:p w14:paraId="4F9F989A" w14:textId="77777777" w:rsidR="009648B2" w:rsidRPr="00C033B1" w:rsidRDefault="009648B2" w:rsidP="009648B2">
      <w:pPr>
        <w:pStyle w:val="paragraph"/>
      </w:pPr>
      <w:r w:rsidRPr="00C033B1">
        <w:tab/>
        <w:t>(a)</w:t>
      </w:r>
      <w:r w:rsidRPr="00C033B1">
        <w:tab/>
        <w:t>if the hearing day is more than 2 business days after the day when the hearing day is fixed—no later than close of business for the relevant court on the day that is 2 business days before the hearing day;</w:t>
      </w:r>
    </w:p>
    <w:p w14:paraId="38AE390B" w14:textId="77777777" w:rsidR="009648B2" w:rsidRPr="00C033B1" w:rsidRDefault="009648B2" w:rsidP="009648B2">
      <w:pPr>
        <w:pStyle w:val="paragraph"/>
      </w:pPr>
      <w:r w:rsidRPr="00C033B1">
        <w:tab/>
        <w:t>(b)</w:t>
      </w:r>
      <w:r w:rsidRPr="00C033B1">
        <w:tab/>
        <w:t>in any other case—no later than 9.30 am on the hearing day.</w:t>
      </w:r>
    </w:p>
    <w:p w14:paraId="0ECF2075" w14:textId="77777777" w:rsidR="009648B2" w:rsidRPr="00C033B1" w:rsidRDefault="009648B2" w:rsidP="009648B2">
      <w:pPr>
        <w:pStyle w:val="SubsectionHead"/>
      </w:pPr>
      <w:r w:rsidRPr="00C033B1">
        <w:t>Fee for service or execution of process, or seizure and sale of goods</w:t>
      </w:r>
    </w:p>
    <w:p w14:paraId="3B1CEA97" w14:textId="77777777" w:rsidR="009648B2" w:rsidRPr="00C033B1" w:rsidRDefault="009648B2" w:rsidP="009648B2">
      <w:pPr>
        <w:pStyle w:val="subsection"/>
      </w:pPr>
      <w:r w:rsidRPr="00C033B1">
        <w:tab/>
        <w:t>(</w:t>
      </w:r>
      <w:r w:rsidR="00C229AD" w:rsidRPr="00C033B1">
        <w:t>5</w:t>
      </w:r>
      <w:r w:rsidRPr="00C033B1">
        <w:t>)</w:t>
      </w:r>
      <w:r w:rsidRPr="00C033B1">
        <w:tab/>
        <w:t xml:space="preserve">A fee mentioned in any of </w:t>
      </w:r>
      <w:r w:rsidR="007D3911" w:rsidRPr="00C033B1">
        <w:t>items 1</w:t>
      </w:r>
      <w:r w:rsidRPr="00C033B1">
        <w:t xml:space="preserve">24, 125, 220 and 221 of </w:t>
      </w:r>
      <w:r w:rsidR="007D3911" w:rsidRPr="00C033B1">
        <w:t>Schedule 1</w:t>
      </w:r>
      <w:r w:rsidRPr="00C033B1">
        <w:t xml:space="preserve"> must be paid within the period, or at the time, approved by the relevant Registrar or an authorised officer of the relevant court for the payment of </w:t>
      </w:r>
      <w:r w:rsidR="00480492" w:rsidRPr="00C033B1">
        <w:t>the</w:t>
      </w:r>
      <w:r w:rsidRPr="00C033B1">
        <w:t xml:space="preserve"> fee.</w:t>
      </w:r>
    </w:p>
    <w:p w14:paraId="5F6084A3" w14:textId="77777777" w:rsidR="009648B2" w:rsidRPr="00C033B1" w:rsidRDefault="009648B2" w:rsidP="009648B2">
      <w:pPr>
        <w:pStyle w:val="SubsectionHead"/>
      </w:pPr>
      <w:r w:rsidRPr="00C033B1">
        <w:t>Fee for other service</w:t>
      </w:r>
    </w:p>
    <w:p w14:paraId="14CD3CA1" w14:textId="77777777" w:rsidR="009648B2" w:rsidRPr="00C033B1" w:rsidRDefault="009648B2" w:rsidP="009648B2">
      <w:pPr>
        <w:pStyle w:val="subsection"/>
      </w:pPr>
      <w:r w:rsidRPr="00C033B1">
        <w:tab/>
        <w:t>(</w:t>
      </w:r>
      <w:r w:rsidR="00480492" w:rsidRPr="00C033B1">
        <w:t>6</w:t>
      </w:r>
      <w:r w:rsidRPr="00C033B1">
        <w:t>)</w:t>
      </w:r>
      <w:r w:rsidRPr="00C033B1">
        <w:tab/>
        <w:t>A fee for a service:</w:t>
      </w:r>
    </w:p>
    <w:p w14:paraId="209BB70B" w14:textId="77777777" w:rsidR="009648B2" w:rsidRPr="00C033B1" w:rsidRDefault="009648B2" w:rsidP="009648B2">
      <w:pPr>
        <w:pStyle w:val="paragraph"/>
      </w:pPr>
      <w:r w:rsidRPr="00C033B1">
        <w:tab/>
        <w:t>(a)</w:t>
      </w:r>
      <w:r w:rsidRPr="00C033B1">
        <w:tab/>
        <w:t xml:space="preserve">mentioned in an item in </w:t>
      </w:r>
      <w:r w:rsidR="007D3911" w:rsidRPr="00C033B1">
        <w:t>Schedule 1</w:t>
      </w:r>
      <w:r w:rsidRPr="00C033B1">
        <w:t>; and</w:t>
      </w:r>
    </w:p>
    <w:p w14:paraId="10C9F093" w14:textId="77777777" w:rsidR="009648B2" w:rsidRPr="00C033B1" w:rsidRDefault="009648B2" w:rsidP="009648B2">
      <w:pPr>
        <w:pStyle w:val="paragraph"/>
      </w:pPr>
      <w:r w:rsidRPr="00C033B1">
        <w:tab/>
        <w:t>(b)</w:t>
      </w:r>
      <w:r w:rsidRPr="00C033B1">
        <w:tab/>
        <w:t>not otherwise mentioned in this section;</w:t>
      </w:r>
    </w:p>
    <w:p w14:paraId="2E1EE722" w14:textId="77777777" w:rsidR="009648B2" w:rsidRPr="00C033B1" w:rsidRDefault="009648B2" w:rsidP="009648B2">
      <w:pPr>
        <w:pStyle w:val="subsection2"/>
      </w:pPr>
      <w:r w:rsidRPr="00C033B1">
        <w:t>must be paid before the service is provided.</w:t>
      </w:r>
    </w:p>
    <w:p w14:paraId="7295D1E0" w14:textId="77777777" w:rsidR="009648B2" w:rsidRPr="00C033B1" w:rsidRDefault="009648B2" w:rsidP="009648B2">
      <w:pPr>
        <w:pStyle w:val="ActHead5"/>
      </w:pPr>
      <w:bookmarkStart w:id="31" w:name="_Toc114043985"/>
      <w:r w:rsidRPr="00025E64">
        <w:rPr>
          <w:rStyle w:val="CharSectno"/>
        </w:rPr>
        <w:t>2.15</w:t>
      </w:r>
      <w:r w:rsidRPr="00C033B1">
        <w:t xml:space="preserve">  Deferral of payment of fees</w:t>
      </w:r>
      <w:bookmarkEnd w:id="31"/>
    </w:p>
    <w:p w14:paraId="78A165FF" w14:textId="77777777" w:rsidR="009648B2" w:rsidRPr="00C033B1" w:rsidRDefault="009648B2" w:rsidP="009648B2">
      <w:pPr>
        <w:pStyle w:val="subsection"/>
      </w:pPr>
      <w:r w:rsidRPr="00C033B1">
        <w:tab/>
        <w:t>(1)</w:t>
      </w:r>
      <w:r w:rsidRPr="00C033B1">
        <w:tab/>
        <w:t>Section 2.14 does not apply to a fee payable in relation to a proceeding if the relevant Registrar or an authorised officer of the relevant court defers the payment of the fee.</w:t>
      </w:r>
    </w:p>
    <w:p w14:paraId="62D2EFEE" w14:textId="77777777" w:rsidR="009648B2" w:rsidRPr="00C033B1" w:rsidRDefault="009648B2" w:rsidP="009648B2">
      <w:pPr>
        <w:pStyle w:val="subsection"/>
      </w:pPr>
      <w:r w:rsidRPr="00C033B1">
        <w:lastRenderedPageBreak/>
        <w:tab/>
        <w:t>(2)</w:t>
      </w:r>
      <w:r w:rsidRPr="00C033B1">
        <w:tab/>
        <w:t xml:space="preserve">The relevant Registrar or authorised officer may defer the payment of a fee under </w:t>
      </w:r>
      <w:r w:rsidR="005833F4" w:rsidRPr="00C033B1">
        <w:t>subsection (</w:t>
      </w:r>
      <w:r w:rsidRPr="00C033B1">
        <w:t xml:space="preserve">1) </w:t>
      </w:r>
      <w:r w:rsidR="006850C2" w:rsidRPr="00C033B1">
        <w:t>(other than</w:t>
      </w:r>
      <w:r w:rsidRPr="00C033B1">
        <w:t xml:space="preserve"> a fee mentioned in any of </w:t>
      </w:r>
      <w:r w:rsidR="007D3911" w:rsidRPr="00C033B1">
        <w:t>items 1</w:t>
      </w:r>
      <w:r w:rsidRPr="00C033B1">
        <w:t xml:space="preserve">23 to 125 and 219 to 221 of </w:t>
      </w:r>
      <w:r w:rsidR="007D3911" w:rsidRPr="00C033B1">
        <w:t>Schedule 1</w:t>
      </w:r>
      <w:r w:rsidR="006850C2" w:rsidRPr="00C033B1">
        <w:t>)</w:t>
      </w:r>
      <w:r w:rsidRPr="00C033B1">
        <w:t xml:space="preserve"> </w:t>
      </w:r>
      <w:r w:rsidR="006850C2" w:rsidRPr="00C033B1">
        <w:t>if</w:t>
      </w:r>
      <w:r w:rsidRPr="00C033B1">
        <w:t>:</w:t>
      </w:r>
    </w:p>
    <w:p w14:paraId="514B66E2" w14:textId="77777777" w:rsidR="009648B2" w:rsidRPr="00C033B1" w:rsidRDefault="009648B2" w:rsidP="009648B2">
      <w:pPr>
        <w:pStyle w:val="paragraph"/>
      </w:pPr>
      <w:r w:rsidRPr="00C033B1">
        <w:tab/>
        <w:t>(a)</w:t>
      </w:r>
      <w:r w:rsidRPr="00C033B1">
        <w:tab/>
        <w:t>in the opinion of the relevant Registrar or authorised officer:</w:t>
      </w:r>
    </w:p>
    <w:p w14:paraId="54B6DBBE" w14:textId="77777777" w:rsidR="009648B2" w:rsidRPr="00C033B1" w:rsidRDefault="009648B2" w:rsidP="009648B2">
      <w:pPr>
        <w:pStyle w:val="paragraphsub"/>
      </w:pPr>
      <w:r w:rsidRPr="00C033B1">
        <w:tab/>
        <w:t>(i)</w:t>
      </w:r>
      <w:r w:rsidRPr="00C033B1">
        <w:tab/>
        <w:t>for a filing fee for a document—the need to file the document is so urgent that it overrides the requirement to pay the filing fee before the document is filed; or</w:t>
      </w:r>
    </w:p>
    <w:p w14:paraId="0618FA98" w14:textId="77777777" w:rsidR="009648B2" w:rsidRPr="00C033B1" w:rsidRDefault="009648B2" w:rsidP="009648B2">
      <w:pPr>
        <w:pStyle w:val="paragraphsub"/>
      </w:pPr>
      <w:r w:rsidRPr="00C033B1">
        <w:tab/>
        <w:t>(ii)</w:t>
      </w:r>
      <w:r w:rsidRPr="00C033B1">
        <w:tab/>
        <w:t xml:space="preserve">considering the financial circumstances of the person liable to pay the fee, it would be oppressive or otherwise unreasonable to require payment of the fee in accordance with </w:t>
      </w:r>
      <w:r w:rsidR="007D3911" w:rsidRPr="00C033B1">
        <w:t>section 2</w:t>
      </w:r>
      <w:r w:rsidRPr="00C033B1">
        <w:t>.14; or</w:t>
      </w:r>
    </w:p>
    <w:p w14:paraId="07524249" w14:textId="77777777" w:rsidR="009648B2" w:rsidRPr="00C033B1" w:rsidRDefault="009648B2" w:rsidP="009648B2">
      <w:pPr>
        <w:pStyle w:val="paragraph"/>
      </w:pPr>
      <w:r w:rsidRPr="00C033B1">
        <w:tab/>
        <w:t>(b)</w:t>
      </w:r>
      <w:r w:rsidRPr="00C033B1">
        <w:tab/>
        <w:t xml:space="preserve">the </w:t>
      </w:r>
      <w:r w:rsidR="00480492" w:rsidRPr="00C033B1">
        <w:t>liable person for the fee</w:t>
      </w:r>
      <w:r w:rsidRPr="00C033B1">
        <w:t xml:space="preserve"> is represented by a lawyer who is not charging the person in relation to the proceeding.</w:t>
      </w:r>
    </w:p>
    <w:p w14:paraId="79C58C4F" w14:textId="77777777" w:rsidR="009648B2" w:rsidRPr="00C033B1" w:rsidRDefault="009648B2" w:rsidP="009648B2">
      <w:pPr>
        <w:pStyle w:val="subsection"/>
      </w:pPr>
      <w:r w:rsidRPr="00C033B1">
        <w:tab/>
        <w:t>(3)</w:t>
      </w:r>
      <w:r w:rsidRPr="00C033B1">
        <w:tab/>
        <w:t>If the payment of a fee is deferred, the fee must be paid:</w:t>
      </w:r>
    </w:p>
    <w:p w14:paraId="2AA4AFD5" w14:textId="77777777" w:rsidR="009648B2" w:rsidRPr="00C033B1" w:rsidRDefault="009648B2" w:rsidP="009648B2">
      <w:pPr>
        <w:pStyle w:val="paragraph"/>
      </w:pPr>
      <w:r w:rsidRPr="00C033B1">
        <w:tab/>
        <w:t>(a)</w:t>
      </w:r>
      <w:r w:rsidRPr="00C033B1">
        <w:tab/>
        <w:t>within 28 days after the day the payment is deferred; or</w:t>
      </w:r>
    </w:p>
    <w:p w14:paraId="0AFA3F0C" w14:textId="77777777" w:rsidR="009648B2" w:rsidRPr="00C033B1" w:rsidRDefault="009648B2" w:rsidP="009648B2">
      <w:pPr>
        <w:pStyle w:val="paragraph"/>
      </w:pPr>
      <w:r w:rsidRPr="00C033B1">
        <w:tab/>
        <w:t>(b)</w:t>
      </w:r>
      <w:r w:rsidRPr="00C033B1">
        <w:tab/>
        <w:t>within another period approved, in writing, by the relevant Registrar or authorised officer for the payment of that fee.</w:t>
      </w:r>
    </w:p>
    <w:p w14:paraId="3D515978" w14:textId="77777777" w:rsidR="009648B2" w:rsidRPr="00C033B1" w:rsidRDefault="009648B2" w:rsidP="009648B2">
      <w:pPr>
        <w:pStyle w:val="notetext"/>
      </w:pPr>
      <w:r w:rsidRPr="00C033B1">
        <w:t>Note:</w:t>
      </w:r>
      <w:r w:rsidRPr="00C033B1">
        <w:tab/>
        <w:t>If a setting down fee in relation to a hearing is deferred and the hearing does not occur, the setting down fee is still payable in accordance with this subsection.</w:t>
      </w:r>
    </w:p>
    <w:p w14:paraId="74E22D94" w14:textId="77777777" w:rsidR="009648B2" w:rsidRPr="00C033B1" w:rsidRDefault="009648B2" w:rsidP="009648B2">
      <w:pPr>
        <w:pStyle w:val="subsection"/>
      </w:pPr>
      <w:r w:rsidRPr="00C033B1">
        <w:tab/>
        <w:t>(4)</w:t>
      </w:r>
      <w:r w:rsidRPr="00C033B1">
        <w:tab/>
        <w:t>A fee may be deferred more than once.</w:t>
      </w:r>
    </w:p>
    <w:p w14:paraId="23FB7091" w14:textId="77777777" w:rsidR="009648B2" w:rsidRPr="00C033B1" w:rsidRDefault="009648B2" w:rsidP="009648B2">
      <w:pPr>
        <w:pStyle w:val="subsection"/>
      </w:pPr>
      <w:r w:rsidRPr="00C033B1">
        <w:tab/>
        <w:t>(5)</w:t>
      </w:r>
      <w:r w:rsidRPr="00C033B1">
        <w:tab/>
        <w:t>The relevant Registrar or authorised officer may impose conditions on the deferral of the payment of a fee.</w:t>
      </w:r>
    </w:p>
    <w:p w14:paraId="001A3070" w14:textId="77777777" w:rsidR="00A828FC" w:rsidRPr="00C033B1" w:rsidRDefault="00A828FC" w:rsidP="00A828FC">
      <w:pPr>
        <w:pStyle w:val="notetext"/>
      </w:pPr>
      <w:r w:rsidRPr="00C033B1">
        <w:t>Note:</w:t>
      </w:r>
      <w:r w:rsidRPr="00C033B1">
        <w:tab/>
        <w:t xml:space="preserve">A decision of the relevant Registrar or authorised officer under this section is reviewable by the AAT: see </w:t>
      </w:r>
      <w:r w:rsidR="007D3911" w:rsidRPr="00C033B1">
        <w:t>section 2</w:t>
      </w:r>
      <w:r w:rsidRPr="00C033B1">
        <w:t>.21.</w:t>
      </w:r>
    </w:p>
    <w:p w14:paraId="07C0F04A" w14:textId="77777777" w:rsidR="009648B2" w:rsidRPr="00C033B1" w:rsidRDefault="009648B2" w:rsidP="009648B2">
      <w:pPr>
        <w:pStyle w:val="ActHead5"/>
      </w:pPr>
      <w:bookmarkStart w:id="32" w:name="_Toc114043986"/>
      <w:r w:rsidRPr="00025E64">
        <w:rPr>
          <w:rStyle w:val="CharSectno"/>
        </w:rPr>
        <w:t>2.16</w:t>
      </w:r>
      <w:r w:rsidRPr="00C033B1">
        <w:t xml:space="preserve">  Payment of fee</w:t>
      </w:r>
      <w:r w:rsidR="00112EB2" w:rsidRPr="00C033B1">
        <w:t>s</w:t>
      </w:r>
      <w:r w:rsidRPr="00C033B1">
        <w:t xml:space="preserve"> on invoice</w:t>
      </w:r>
      <w:bookmarkEnd w:id="32"/>
    </w:p>
    <w:p w14:paraId="0FCEF1D2" w14:textId="77777777" w:rsidR="00C846E3" w:rsidRPr="00C033B1" w:rsidRDefault="00C846E3" w:rsidP="00C846E3">
      <w:pPr>
        <w:pStyle w:val="SubsectionHead"/>
      </w:pPr>
      <w:r w:rsidRPr="00C033B1">
        <w:t>Payment of fee by approved user of court services</w:t>
      </w:r>
    </w:p>
    <w:p w14:paraId="111FCA38" w14:textId="77777777" w:rsidR="009648B2" w:rsidRPr="00C033B1" w:rsidRDefault="00C846E3" w:rsidP="009648B2">
      <w:pPr>
        <w:pStyle w:val="subsection"/>
      </w:pPr>
      <w:r w:rsidRPr="00C033B1">
        <w:tab/>
      </w:r>
      <w:r w:rsidR="009648B2" w:rsidRPr="00C033B1">
        <w:t>(1)</w:t>
      </w:r>
      <w:r w:rsidR="009648B2" w:rsidRPr="00C033B1">
        <w:tab/>
        <w:t>Section 2.14 does not apply to a fee</w:t>
      </w:r>
      <w:r w:rsidR="00D34C25" w:rsidRPr="00C033B1">
        <w:t xml:space="preserve"> payable in relation to </w:t>
      </w:r>
      <w:r w:rsidR="000571F5" w:rsidRPr="00C033B1">
        <w:t xml:space="preserve">a </w:t>
      </w:r>
      <w:r w:rsidR="00D34C25" w:rsidRPr="00C033B1">
        <w:t>proceeding in a relevant court</w:t>
      </w:r>
      <w:r w:rsidR="009648B2" w:rsidRPr="00C033B1">
        <w:t xml:space="preserve"> if, at the time the fee would be payable under </w:t>
      </w:r>
      <w:r w:rsidR="00D34C25" w:rsidRPr="00C033B1">
        <w:t>that section</w:t>
      </w:r>
      <w:r w:rsidR="009648B2" w:rsidRPr="00C033B1">
        <w:t>, the liable person</w:t>
      </w:r>
      <w:r w:rsidR="000571F5" w:rsidRPr="00C033B1">
        <w:t xml:space="preserve"> for the fee</w:t>
      </w:r>
      <w:r w:rsidR="009648B2" w:rsidRPr="00C033B1">
        <w:t>:</w:t>
      </w:r>
    </w:p>
    <w:p w14:paraId="0B9D6EC5" w14:textId="77777777" w:rsidR="009648B2" w:rsidRPr="00C033B1" w:rsidRDefault="009648B2" w:rsidP="009648B2">
      <w:pPr>
        <w:pStyle w:val="paragraph"/>
      </w:pPr>
      <w:r w:rsidRPr="00C033B1">
        <w:tab/>
        <w:t>(a)</w:t>
      </w:r>
      <w:r w:rsidRPr="00C033B1">
        <w:tab/>
        <w:t>is an approved user of court services in relation to the relevant court; or</w:t>
      </w:r>
    </w:p>
    <w:p w14:paraId="31AF420A" w14:textId="77777777" w:rsidR="009648B2" w:rsidRPr="00C033B1" w:rsidRDefault="009648B2" w:rsidP="009648B2">
      <w:pPr>
        <w:pStyle w:val="paragraph"/>
      </w:pPr>
      <w:r w:rsidRPr="00C033B1">
        <w:tab/>
        <w:t>(b)</w:t>
      </w:r>
      <w:r w:rsidRPr="00C033B1">
        <w:tab/>
        <w:t>is represented by a lawyer who is an approved user of court services in relation to the relevant court.</w:t>
      </w:r>
    </w:p>
    <w:p w14:paraId="2B8539E3" w14:textId="77777777" w:rsidR="009648B2" w:rsidRPr="00C033B1" w:rsidRDefault="009648B2" w:rsidP="009648B2">
      <w:pPr>
        <w:pStyle w:val="subsection"/>
      </w:pPr>
      <w:r w:rsidRPr="00C033B1">
        <w:tab/>
        <w:t>(2)</w:t>
      </w:r>
      <w:r w:rsidRPr="00C033B1">
        <w:tab/>
        <w:t>If the liable person has not paid the fee, the relevant court may:</w:t>
      </w:r>
    </w:p>
    <w:p w14:paraId="310A76CB" w14:textId="77777777" w:rsidR="009648B2" w:rsidRPr="00C033B1" w:rsidRDefault="009648B2" w:rsidP="009648B2">
      <w:pPr>
        <w:pStyle w:val="paragraph"/>
      </w:pPr>
      <w:r w:rsidRPr="00C033B1">
        <w:tab/>
        <w:t>(a)</w:t>
      </w:r>
      <w:r w:rsidRPr="00C033B1">
        <w:tab/>
        <w:t xml:space="preserve">if </w:t>
      </w:r>
      <w:r w:rsidR="005833F4" w:rsidRPr="00C033B1">
        <w:t>paragraph (</w:t>
      </w:r>
      <w:r w:rsidRPr="00C033B1">
        <w:t xml:space="preserve">1)(a) applies—invoice the </w:t>
      </w:r>
      <w:r w:rsidR="000571F5" w:rsidRPr="00C033B1">
        <w:t xml:space="preserve">liable </w:t>
      </w:r>
      <w:r w:rsidRPr="00C033B1">
        <w:t>person for the fee; or</w:t>
      </w:r>
    </w:p>
    <w:p w14:paraId="797C2A37" w14:textId="77777777" w:rsidR="009648B2" w:rsidRPr="00C033B1" w:rsidRDefault="009648B2" w:rsidP="009648B2">
      <w:pPr>
        <w:pStyle w:val="paragraph"/>
      </w:pPr>
      <w:r w:rsidRPr="00C033B1">
        <w:tab/>
        <w:t>(b)</w:t>
      </w:r>
      <w:r w:rsidRPr="00C033B1">
        <w:tab/>
        <w:t xml:space="preserve">if </w:t>
      </w:r>
      <w:r w:rsidR="005833F4" w:rsidRPr="00C033B1">
        <w:t>paragraph (</w:t>
      </w:r>
      <w:r w:rsidRPr="00C033B1">
        <w:t xml:space="preserve">1)(b) applies—invoice the </w:t>
      </w:r>
      <w:r w:rsidR="000571F5" w:rsidRPr="00C033B1">
        <w:t xml:space="preserve">liable </w:t>
      </w:r>
      <w:r w:rsidRPr="00C033B1">
        <w:t xml:space="preserve">person, or the lawyer representing the </w:t>
      </w:r>
      <w:r w:rsidR="000571F5" w:rsidRPr="00C033B1">
        <w:t xml:space="preserve">liable </w:t>
      </w:r>
      <w:r w:rsidRPr="00C033B1">
        <w:t>person, for the fee.</w:t>
      </w:r>
    </w:p>
    <w:p w14:paraId="2B6C67B8" w14:textId="77777777" w:rsidR="009648B2" w:rsidRPr="00C033B1" w:rsidRDefault="009648B2" w:rsidP="009648B2">
      <w:pPr>
        <w:pStyle w:val="subsection"/>
      </w:pPr>
      <w:r w:rsidRPr="00C033B1">
        <w:tab/>
        <w:t>(3)</w:t>
      </w:r>
      <w:r w:rsidRPr="00C033B1">
        <w:tab/>
        <w:t>The</w:t>
      </w:r>
      <w:r w:rsidR="00DF1610" w:rsidRPr="00C033B1">
        <w:t xml:space="preserve"> liable person or the lawyer (as applicable)</w:t>
      </w:r>
      <w:r w:rsidRPr="00C033B1">
        <w:t xml:space="preserve"> must pay the fee within 30 days after </w:t>
      </w:r>
      <w:r w:rsidR="00DF1610" w:rsidRPr="00C033B1">
        <w:t>the day the person or lawyer receives</w:t>
      </w:r>
      <w:r w:rsidRPr="00C033B1">
        <w:t xml:space="preserve"> the invoice.</w:t>
      </w:r>
    </w:p>
    <w:p w14:paraId="78D3D715" w14:textId="77777777" w:rsidR="009648B2" w:rsidRPr="00C033B1" w:rsidRDefault="00C846E3" w:rsidP="009648B2">
      <w:pPr>
        <w:pStyle w:val="SubsectionHead"/>
      </w:pPr>
      <w:r w:rsidRPr="00C033B1">
        <w:t xml:space="preserve">Approved </w:t>
      </w:r>
      <w:r w:rsidR="009648B2" w:rsidRPr="00C033B1">
        <w:t>user of court services</w:t>
      </w:r>
    </w:p>
    <w:p w14:paraId="71EF2747" w14:textId="77777777" w:rsidR="009648B2" w:rsidRPr="00C033B1" w:rsidRDefault="009648B2" w:rsidP="009648B2">
      <w:pPr>
        <w:pStyle w:val="subsection"/>
      </w:pPr>
      <w:r w:rsidRPr="00C033B1">
        <w:tab/>
        <w:t>(4)</w:t>
      </w:r>
      <w:r w:rsidRPr="00C033B1">
        <w:tab/>
      </w:r>
      <w:r w:rsidR="00C846E3" w:rsidRPr="00C033B1">
        <w:t>A</w:t>
      </w:r>
      <w:r w:rsidRPr="00C033B1">
        <w:t xml:space="preserve"> </w:t>
      </w:r>
      <w:r w:rsidR="00D34C25" w:rsidRPr="00C033B1">
        <w:t>person</w:t>
      </w:r>
      <w:r w:rsidRPr="00C033B1">
        <w:t xml:space="preserve"> is an </w:t>
      </w:r>
      <w:r w:rsidRPr="00C033B1">
        <w:rPr>
          <w:b/>
          <w:i/>
        </w:rPr>
        <w:t>approved user of court services</w:t>
      </w:r>
      <w:r w:rsidRPr="00C033B1">
        <w:t xml:space="preserve"> in relation to </w:t>
      </w:r>
      <w:r w:rsidR="00C846E3" w:rsidRPr="00C033B1">
        <w:t>a</w:t>
      </w:r>
      <w:r w:rsidRPr="00C033B1">
        <w:t xml:space="preserve"> relevant court if the relevant Registrar of that court has approved the</w:t>
      </w:r>
      <w:r w:rsidR="00D34C25" w:rsidRPr="00C033B1">
        <w:t xml:space="preserve"> </w:t>
      </w:r>
      <w:r w:rsidRPr="00C033B1">
        <w:t xml:space="preserve">person </w:t>
      </w:r>
      <w:r w:rsidR="00D34C25" w:rsidRPr="00C033B1">
        <w:t>for</w:t>
      </w:r>
      <w:r w:rsidRPr="00C033B1">
        <w:t xml:space="preserve"> </w:t>
      </w:r>
      <w:r w:rsidR="006F4067" w:rsidRPr="00C033B1">
        <w:t>the purposes of this</w:t>
      </w:r>
      <w:r w:rsidRPr="00C033B1">
        <w:t xml:space="preserve"> section.</w:t>
      </w:r>
    </w:p>
    <w:p w14:paraId="7EC2C94C" w14:textId="77777777" w:rsidR="009648B2" w:rsidRPr="00C033B1" w:rsidRDefault="009648B2" w:rsidP="009648B2">
      <w:pPr>
        <w:pStyle w:val="subsection"/>
      </w:pPr>
      <w:r w:rsidRPr="00C033B1">
        <w:lastRenderedPageBreak/>
        <w:tab/>
        <w:t>(5)</w:t>
      </w:r>
      <w:r w:rsidRPr="00C033B1">
        <w:tab/>
        <w:t xml:space="preserve">In deciding whether to approve </w:t>
      </w:r>
      <w:r w:rsidR="00D34C25" w:rsidRPr="00C033B1">
        <w:t>the</w:t>
      </w:r>
      <w:r w:rsidRPr="00C033B1">
        <w:t xml:space="preserve"> person for </w:t>
      </w:r>
      <w:r w:rsidR="006F4067" w:rsidRPr="00C033B1">
        <w:t>the purposes of this</w:t>
      </w:r>
      <w:r w:rsidRPr="00C033B1">
        <w:t xml:space="preserve"> section, the relevant Registrar must consider the following:</w:t>
      </w:r>
    </w:p>
    <w:p w14:paraId="11B16837" w14:textId="77777777" w:rsidR="009648B2" w:rsidRPr="00C033B1" w:rsidRDefault="009648B2" w:rsidP="009648B2">
      <w:pPr>
        <w:pStyle w:val="paragraph"/>
      </w:pPr>
      <w:r w:rsidRPr="00C033B1">
        <w:tab/>
        <w:t>(a)</w:t>
      </w:r>
      <w:r w:rsidRPr="00C033B1">
        <w:tab/>
        <w:t>the person’s financial history with the court, including the frequency of dealings with the court and whether fees have been paid;</w:t>
      </w:r>
    </w:p>
    <w:p w14:paraId="5DF7C658" w14:textId="77777777" w:rsidR="009648B2" w:rsidRPr="00C033B1" w:rsidRDefault="009648B2" w:rsidP="009648B2">
      <w:pPr>
        <w:pStyle w:val="paragraph"/>
      </w:pPr>
      <w:r w:rsidRPr="00C033B1">
        <w:tab/>
        <w:t>(b)</w:t>
      </w:r>
      <w:r w:rsidRPr="00C033B1">
        <w:tab/>
        <w:t xml:space="preserve">whether the person </w:t>
      </w:r>
      <w:r w:rsidR="00D64B4A" w:rsidRPr="00C033B1">
        <w:t xml:space="preserve">has </w:t>
      </w:r>
      <w:r w:rsidR="005D5C91" w:rsidRPr="00C033B1">
        <w:t xml:space="preserve">agreed to be responsible for, and guarantees, the payment of fees due for payment by the person </w:t>
      </w:r>
      <w:r w:rsidR="00A74EFF" w:rsidRPr="00C033B1">
        <w:t xml:space="preserve">within the period mentioned in </w:t>
      </w:r>
      <w:r w:rsidR="005833F4" w:rsidRPr="00C033B1">
        <w:t>subsection (</w:t>
      </w:r>
      <w:r w:rsidR="00A74EFF" w:rsidRPr="00C033B1">
        <w:t>3);</w:t>
      </w:r>
    </w:p>
    <w:p w14:paraId="0580F8F0" w14:textId="77777777" w:rsidR="009648B2" w:rsidRPr="00C033B1" w:rsidRDefault="009648B2" w:rsidP="009648B2">
      <w:pPr>
        <w:pStyle w:val="paragraph"/>
      </w:pPr>
      <w:r w:rsidRPr="00C033B1">
        <w:tab/>
        <w:t>(c)</w:t>
      </w:r>
      <w:r w:rsidRPr="00C033B1">
        <w:tab/>
        <w:t>whether the person is, or is likely to be, a regular user of the services of the court;</w:t>
      </w:r>
    </w:p>
    <w:p w14:paraId="3FDAAFEE" w14:textId="77777777" w:rsidR="009648B2" w:rsidRPr="00C033B1" w:rsidRDefault="009648B2" w:rsidP="009648B2">
      <w:pPr>
        <w:pStyle w:val="paragraph"/>
      </w:pPr>
      <w:r w:rsidRPr="00C033B1">
        <w:tab/>
        <w:t>(d)</w:t>
      </w:r>
      <w:r w:rsidRPr="00C033B1">
        <w:tab/>
        <w:t>the financial circumstances</w:t>
      </w:r>
      <w:r w:rsidRPr="00C033B1">
        <w:rPr>
          <w:i/>
        </w:rPr>
        <w:t xml:space="preserve"> </w:t>
      </w:r>
      <w:r w:rsidRPr="00C033B1">
        <w:t>of the person</w:t>
      </w:r>
      <w:r w:rsidR="005D5C91" w:rsidRPr="00C033B1">
        <w:t>;</w:t>
      </w:r>
    </w:p>
    <w:p w14:paraId="439C25C3" w14:textId="77777777" w:rsidR="009648B2" w:rsidRPr="00C033B1" w:rsidRDefault="009648B2" w:rsidP="009648B2">
      <w:pPr>
        <w:pStyle w:val="paragraph"/>
      </w:pPr>
      <w:r w:rsidRPr="00C033B1">
        <w:tab/>
        <w:t>(e)</w:t>
      </w:r>
      <w:r w:rsidRPr="00C033B1">
        <w:tab/>
        <w:t>any other matter the relevant Registrar considers relevant.</w:t>
      </w:r>
    </w:p>
    <w:p w14:paraId="58617DAF" w14:textId="77777777" w:rsidR="009648B2" w:rsidRPr="00C033B1" w:rsidRDefault="009648B2" w:rsidP="009648B2">
      <w:pPr>
        <w:pStyle w:val="subsection"/>
      </w:pPr>
      <w:r w:rsidRPr="00C033B1">
        <w:tab/>
        <w:t>(6)</w:t>
      </w:r>
      <w:r w:rsidRPr="00C033B1">
        <w:tab/>
        <w:t>The relevant Registrar may impose conditions on the approval of the person</w:t>
      </w:r>
      <w:r w:rsidR="00D34C25" w:rsidRPr="00C033B1">
        <w:t xml:space="preserve"> for this section</w:t>
      </w:r>
      <w:r w:rsidRPr="00C033B1">
        <w:t>.</w:t>
      </w:r>
    </w:p>
    <w:p w14:paraId="2F1F863B" w14:textId="77777777" w:rsidR="009648B2" w:rsidRPr="00C033B1" w:rsidRDefault="009648B2" w:rsidP="009648B2">
      <w:pPr>
        <w:pStyle w:val="ActHead5"/>
      </w:pPr>
      <w:bookmarkStart w:id="33" w:name="_Toc114043987"/>
      <w:r w:rsidRPr="00025E64">
        <w:rPr>
          <w:rStyle w:val="CharSectno"/>
        </w:rPr>
        <w:t>2.17</w:t>
      </w:r>
      <w:r w:rsidRPr="00C033B1">
        <w:t xml:space="preserve">  Payment of fee</w:t>
      </w:r>
      <w:r w:rsidR="00112EB2" w:rsidRPr="00C033B1">
        <w:t>s</w:t>
      </w:r>
      <w:r w:rsidRPr="00C033B1">
        <w:t xml:space="preserve"> in advance</w:t>
      </w:r>
      <w:bookmarkEnd w:id="33"/>
    </w:p>
    <w:p w14:paraId="676D4F3C" w14:textId="77777777" w:rsidR="009648B2" w:rsidRPr="00C033B1" w:rsidRDefault="009648B2" w:rsidP="009648B2">
      <w:pPr>
        <w:pStyle w:val="subsection"/>
      </w:pPr>
      <w:r w:rsidRPr="00C033B1">
        <w:tab/>
        <w:t>(1)</w:t>
      </w:r>
      <w:r w:rsidRPr="00C033B1">
        <w:tab/>
        <w:t xml:space="preserve">A person may pay an amount </w:t>
      </w:r>
      <w:r w:rsidR="006F6600" w:rsidRPr="00C033B1">
        <w:t xml:space="preserve">on account </w:t>
      </w:r>
      <w:r w:rsidRPr="00C033B1">
        <w:t xml:space="preserve">to </w:t>
      </w:r>
      <w:r w:rsidR="006F6600" w:rsidRPr="00C033B1">
        <w:t xml:space="preserve">a relevant court in relation to a proceeding </w:t>
      </w:r>
      <w:r w:rsidRPr="00C033B1">
        <w:t>if:</w:t>
      </w:r>
    </w:p>
    <w:p w14:paraId="6785ADC6" w14:textId="77777777" w:rsidR="009648B2" w:rsidRPr="00C033B1" w:rsidRDefault="009648B2" w:rsidP="009648B2">
      <w:pPr>
        <w:pStyle w:val="paragraph"/>
      </w:pPr>
      <w:r w:rsidRPr="00C033B1">
        <w:tab/>
        <w:t>(a)</w:t>
      </w:r>
      <w:r w:rsidRPr="00C033B1">
        <w:tab/>
        <w:t>the person is an approved user of court services in relation to that court; and</w:t>
      </w:r>
    </w:p>
    <w:p w14:paraId="0E68843C" w14:textId="77777777" w:rsidR="009648B2" w:rsidRPr="00C033B1" w:rsidRDefault="009648B2" w:rsidP="009648B2">
      <w:pPr>
        <w:pStyle w:val="paragraph"/>
      </w:pPr>
      <w:r w:rsidRPr="00C033B1">
        <w:tab/>
        <w:t>(b)</w:t>
      </w:r>
      <w:r w:rsidRPr="00C033B1">
        <w:tab/>
        <w:t xml:space="preserve">the person expects to become liable to pay a fee mentioned in </w:t>
      </w:r>
      <w:r w:rsidR="007D3911" w:rsidRPr="00C033B1">
        <w:t>Schedule 1</w:t>
      </w:r>
      <w:r w:rsidRPr="00C033B1">
        <w:t xml:space="preserve"> in relation to a proceeding in that court; and</w:t>
      </w:r>
    </w:p>
    <w:p w14:paraId="5AA5BC93" w14:textId="77777777" w:rsidR="009648B2" w:rsidRPr="00C033B1" w:rsidRDefault="009648B2" w:rsidP="009648B2">
      <w:pPr>
        <w:pStyle w:val="paragraph"/>
      </w:pPr>
      <w:r w:rsidRPr="00C033B1">
        <w:tab/>
        <w:t>(c)</w:t>
      </w:r>
      <w:r w:rsidRPr="00C033B1">
        <w:tab/>
        <w:t>the relevant Registrar of that court authorises the person to pay fees in advance.</w:t>
      </w:r>
    </w:p>
    <w:p w14:paraId="234037E2" w14:textId="77777777" w:rsidR="009648B2" w:rsidRPr="00C033B1" w:rsidRDefault="009648B2" w:rsidP="009648B2">
      <w:pPr>
        <w:pStyle w:val="subsection"/>
      </w:pPr>
      <w:r w:rsidRPr="00C033B1">
        <w:tab/>
        <w:t>(2)</w:t>
      </w:r>
      <w:r w:rsidRPr="00C033B1">
        <w:tab/>
        <w:t xml:space="preserve">If an amount is paid under </w:t>
      </w:r>
      <w:r w:rsidR="005833F4" w:rsidRPr="00C033B1">
        <w:t>subsection (</w:t>
      </w:r>
      <w:r w:rsidRPr="00C033B1">
        <w:t>1), any fees payable by the person must be charged against that amount until the amount is exhausted.</w:t>
      </w:r>
    </w:p>
    <w:p w14:paraId="71ACA2D4" w14:textId="77777777" w:rsidR="009648B2" w:rsidRPr="00C033B1" w:rsidRDefault="009648B2" w:rsidP="009648B2">
      <w:pPr>
        <w:pStyle w:val="subsection"/>
      </w:pPr>
      <w:r w:rsidRPr="00C033B1">
        <w:tab/>
        <w:t>(3)</w:t>
      </w:r>
      <w:r w:rsidRPr="00C033B1">
        <w:tab/>
        <w:t>The relevant Registrar may impose conditions on the authorisation of a person for this section.</w:t>
      </w:r>
    </w:p>
    <w:p w14:paraId="06EF9508" w14:textId="77777777" w:rsidR="009648B2" w:rsidRPr="00C033B1" w:rsidRDefault="009648B2" w:rsidP="009648B2">
      <w:pPr>
        <w:pStyle w:val="ActHead5"/>
      </w:pPr>
      <w:bookmarkStart w:id="34" w:name="_Toc114043988"/>
      <w:r w:rsidRPr="00025E64">
        <w:rPr>
          <w:rStyle w:val="CharSectno"/>
        </w:rPr>
        <w:t>2.18</w:t>
      </w:r>
      <w:r w:rsidRPr="00C033B1">
        <w:t xml:space="preserve">  What happens if fee</w:t>
      </w:r>
      <w:r w:rsidR="00112EB2" w:rsidRPr="00C033B1">
        <w:t>s</w:t>
      </w:r>
      <w:r w:rsidRPr="00C033B1">
        <w:t xml:space="preserve"> </w:t>
      </w:r>
      <w:r w:rsidR="00112EB2" w:rsidRPr="00C033B1">
        <w:t>are</w:t>
      </w:r>
      <w:r w:rsidRPr="00C033B1">
        <w:t xml:space="preserve"> not paid</w:t>
      </w:r>
      <w:bookmarkEnd w:id="34"/>
    </w:p>
    <w:p w14:paraId="30350AAE" w14:textId="77777777" w:rsidR="009648B2" w:rsidRPr="00C033B1" w:rsidRDefault="009648B2" w:rsidP="009648B2">
      <w:pPr>
        <w:pStyle w:val="subsection"/>
      </w:pPr>
      <w:r w:rsidRPr="00C033B1">
        <w:tab/>
        <w:t>(1)</w:t>
      </w:r>
      <w:r w:rsidRPr="00C033B1">
        <w:tab/>
        <w:t>This section applies if the payment of a fee:</w:t>
      </w:r>
    </w:p>
    <w:p w14:paraId="7DE78694" w14:textId="77777777" w:rsidR="009648B2" w:rsidRPr="00C033B1" w:rsidRDefault="009648B2" w:rsidP="009648B2">
      <w:pPr>
        <w:pStyle w:val="paragraph"/>
      </w:pPr>
      <w:r w:rsidRPr="00C033B1">
        <w:tab/>
        <w:t>(a)</w:t>
      </w:r>
      <w:r w:rsidRPr="00C033B1">
        <w:tab/>
        <w:t xml:space="preserve">is not deferred under </w:t>
      </w:r>
      <w:r w:rsidR="007D3911" w:rsidRPr="00C033B1">
        <w:t>section 2</w:t>
      </w:r>
      <w:r w:rsidRPr="00C033B1">
        <w:t>.15; and</w:t>
      </w:r>
    </w:p>
    <w:p w14:paraId="3622E602" w14:textId="77777777" w:rsidR="009648B2" w:rsidRPr="00C033B1" w:rsidRDefault="009648B2" w:rsidP="009648B2">
      <w:pPr>
        <w:pStyle w:val="paragraph"/>
      </w:pPr>
      <w:r w:rsidRPr="00C033B1">
        <w:tab/>
        <w:t>(b)</w:t>
      </w:r>
      <w:r w:rsidRPr="00C033B1">
        <w:tab/>
        <w:t xml:space="preserve">cannot be invoiced under </w:t>
      </w:r>
      <w:r w:rsidR="007D3911" w:rsidRPr="00C033B1">
        <w:t>section 2</w:t>
      </w:r>
      <w:r w:rsidRPr="00C033B1">
        <w:t>.16.</w:t>
      </w:r>
    </w:p>
    <w:p w14:paraId="73DEB982" w14:textId="77777777" w:rsidR="009648B2" w:rsidRPr="00C033B1" w:rsidRDefault="009648B2" w:rsidP="009648B2">
      <w:pPr>
        <w:pStyle w:val="subsection"/>
      </w:pPr>
      <w:r w:rsidRPr="00C033B1">
        <w:tab/>
        <w:t>(2)</w:t>
      </w:r>
      <w:r w:rsidRPr="00C033B1">
        <w:tab/>
        <w:t xml:space="preserve">If a person is required to pay a fee mentioned in </w:t>
      </w:r>
      <w:r w:rsidR="007D3911" w:rsidRPr="00C033B1">
        <w:t>Schedule 1</w:t>
      </w:r>
      <w:r w:rsidRPr="00C033B1">
        <w:t xml:space="preserve"> in relation to a proceeding before, or at the time of, the filing of a document or the provision of a service for which the fee is payable, the document must not be filed or the service must not be provided until the fee is paid.</w:t>
      </w:r>
    </w:p>
    <w:p w14:paraId="427FA7D0" w14:textId="77777777" w:rsidR="009648B2" w:rsidRPr="00C033B1" w:rsidRDefault="009648B2" w:rsidP="009648B2">
      <w:pPr>
        <w:pStyle w:val="subsection"/>
      </w:pPr>
      <w:r w:rsidRPr="00C033B1">
        <w:tab/>
        <w:t>(3)</w:t>
      </w:r>
      <w:r w:rsidRPr="00C033B1">
        <w:tab/>
        <w:t>However, the relevant court for the proceeding, or a Judge or relevant Registrar of that court, may allow the document to be filed or the service to be provided despite the fee, or part of the fee, not being paid.</w:t>
      </w:r>
    </w:p>
    <w:p w14:paraId="3655AC82" w14:textId="77777777" w:rsidR="009648B2" w:rsidRPr="00C033B1" w:rsidRDefault="009648B2" w:rsidP="009648B2">
      <w:pPr>
        <w:pStyle w:val="subsection"/>
      </w:pPr>
      <w:r w:rsidRPr="00C033B1">
        <w:tab/>
        <w:t>(4)</w:t>
      </w:r>
      <w:r w:rsidRPr="00C033B1">
        <w:tab/>
        <w:t>If a setting down fee or a hearing fee</w:t>
      </w:r>
      <w:r w:rsidR="00501514" w:rsidRPr="00C033B1">
        <w:t xml:space="preserve"> (or a</w:t>
      </w:r>
      <w:r w:rsidRPr="00C033B1">
        <w:t xml:space="preserve"> part of </w:t>
      </w:r>
      <w:r w:rsidR="00501514" w:rsidRPr="00C033B1">
        <w:t>either of those</w:t>
      </w:r>
      <w:r w:rsidRPr="00C033B1">
        <w:t xml:space="preserve"> fee</w:t>
      </w:r>
      <w:r w:rsidR="00501514" w:rsidRPr="00C033B1">
        <w:t>s)</w:t>
      </w:r>
      <w:r w:rsidR="00415F4B" w:rsidRPr="00C033B1">
        <w:t xml:space="preserve"> </w:t>
      </w:r>
      <w:r w:rsidRPr="00C033B1">
        <w:t>is not paid in relation to a proceeding:</w:t>
      </w:r>
    </w:p>
    <w:p w14:paraId="0FC7B7D1" w14:textId="77777777" w:rsidR="009648B2" w:rsidRPr="00C033B1" w:rsidRDefault="009648B2" w:rsidP="009648B2">
      <w:pPr>
        <w:pStyle w:val="paragraph"/>
      </w:pPr>
      <w:r w:rsidRPr="00C033B1">
        <w:tab/>
        <w:t>(a)</w:t>
      </w:r>
      <w:r w:rsidRPr="00C033B1">
        <w:tab/>
        <w:t>the relevant court, or a Judge or relevant Registrar of that court, may order that no proceeding, or no proceeding other than a specified proceeding, is to take place except by leave; and</w:t>
      </w:r>
    </w:p>
    <w:p w14:paraId="7BE3966D" w14:textId="77777777" w:rsidR="009648B2" w:rsidRPr="00C033B1" w:rsidRDefault="009648B2" w:rsidP="009648B2">
      <w:pPr>
        <w:pStyle w:val="paragraph"/>
      </w:pPr>
      <w:r w:rsidRPr="00C033B1">
        <w:lastRenderedPageBreak/>
        <w:tab/>
        <w:t>(b)</w:t>
      </w:r>
      <w:r w:rsidRPr="00C033B1">
        <w:tab/>
        <w:t>a person other than the person liable to pay the fee may pay the fee without affecting any power of the relevant court, or of a Judge or relevant Registrar of that court, to make an order for costs for the fee; and</w:t>
      </w:r>
    </w:p>
    <w:p w14:paraId="650EDB11" w14:textId="77777777" w:rsidR="009648B2" w:rsidRPr="00C033B1" w:rsidRDefault="009648B2" w:rsidP="009648B2">
      <w:pPr>
        <w:pStyle w:val="paragraph"/>
      </w:pPr>
      <w:r w:rsidRPr="00C033B1">
        <w:tab/>
        <w:t>(c)</w:t>
      </w:r>
      <w:r w:rsidRPr="00C033B1">
        <w:tab/>
        <w:t>the relevant court, or a Judge or relevant Registrar of that court, may vacate the hearing day.</w:t>
      </w:r>
    </w:p>
    <w:p w14:paraId="05F7049B" w14:textId="77777777" w:rsidR="009648B2" w:rsidRPr="00C033B1" w:rsidRDefault="007D3911" w:rsidP="004507C2">
      <w:pPr>
        <w:pStyle w:val="ActHead3"/>
        <w:pageBreakBefore/>
      </w:pPr>
      <w:bookmarkStart w:id="35" w:name="_Toc114043989"/>
      <w:r w:rsidRPr="00025E64">
        <w:rPr>
          <w:rStyle w:val="CharDivNo"/>
        </w:rPr>
        <w:lastRenderedPageBreak/>
        <w:t>Division 2</w:t>
      </w:r>
      <w:r w:rsidR="009648B2" w:rsidRPr="00025E64">
        <w:rPr>
          <w:rStyle w:val="CharDivNo"/>
        </w:rPr>
        <w:t>.6</w:t>
      </w:r>
      <w:r w:rsidR="009648B2" w:rsidRPr="00C033B1">
        <w:t>—</w:t>
      </w:r>
      <w:r w:rsidR="009648B2" w:rsidRPr="00025E64">
        <w:rPr>
          <w:rStyle w:val="CharDivText"/>
        </w:rPr>
        <w:t>Miscellaneous</w:t>
      </w:r>
      <w:bookmarkEnd w:id="35"/>
    </w:p>
    <w:p w14:paraId="70785139" w14:textId="77777777" w:rsidR="009648B2" w:rsidRPr="00C033B1" w:rsidRDefault="009648B2" w:rsidP="009648B2">
      <w:pPr>
        <w:pStyle w:val="ActHead5"/>
      </w:pPr>
      <w:bookmarkStart w:id="36" w:name="_Toc114043990"/>
      <w:r w:rsidRPr="00025E64">
        <w:rPr>
          <w:rStyle w:val="CharSectno"/>
        </w:rPr>
        <w:t>2.19</w:t>
      </w:r>
      <w:r w:rsidRPr="00C033B1">
        <w:t xml:space="preserve">  Refund of fees</w:t>
      </w:r>
      <w:bookmarkEnd w:id="36"/>
    </w:p>
    <w:p w14:paraId="52D0EA46" w14:textId="77777777" w:rsidR="009648B2" w:rsidRPr="00C033B1" w:rsidRDefault="009648B2" w:rsidP="009648B2">
      <w:pPr>
        <w:pStyle w:val="SubsectionHead"/>
      </w:pPr>
      <w:r w:rsidRPr="00C033B1">
        <w:t>General</w:t>
      </w:r>
    </w:p>
    <w:p w14:paraId="33B84EEE" w14:textId="77777777" w:rsidR="00AE4E4D" w:rsidRPr="00C033B1" w:rsidRDefault="009648B2" w:rsidP="00AE4E4D">
      <w:pPr>
        <w:pStyle w:val="subsection"/>
      </w:pPr>
      <w:r w:rsidRPr="00C033B1">
        <w:tab/>
      </w:r>
      <w:r w:rsidR="00AE4E4D" w:rsidRPr="00C033B1">
        <w:t>(1)</w:t>
      </w:r>
      <w:r w:rsidR="00AE4E4D" w:rsidRPr="00C033B1">
        <w:tab/>
        <w:t xml:space="preserve">A person is entitled to a refund of an amount in relation to the payment of a fee mentioned in </w:t>
      </w:r>
      <w:r w:rsidR="007D3911" w:rsidRPr="00C033B1">
        <w:t>Schedule 1</w:t>
      </w:r>
      <w:r w:rsidR="00AE4E4D" w:rsidRPr="00C033B1">
        <w:t xml:space="preserve"> if:</w:t>
      </w:r>
    </w:p>
    <w:p w14:paraId="40B8CF96" w14:textId="77777777" w:rsidR="00AE4E4D" w:rsidRPr="00C033B1" w:rsidRDefault="00AE4E4D" w:rsidP="00AE4E4D">
      <w:pPr>
        <w:pStyle w:val="paragraph"/>
      </w:pPr>
      <w:r w:rsidRPr="00C033B1">
        <w:tab/>
        <w:t>(a)</w:t>
      </w:r>
      <w:r w:rsidRPr="00C033B1">
        <w:tab/>
        <w:t>the person pays an amount for the fee; and</w:t>
      </w:r>
    </w:p>
    <w:p w14:paraId="0D008024" w14:textId="77777777" w:rsidR="00AE4E4D" w:rsidRPr="00C033B1" w:rsidRDefault="00AE4E4D" w:rsidP="00AE4E4D">
      <w:pPr>
        <w:pStyle w:val="paragraph"/>
      </w:pPr>
      <w:r w:rsidRPr="00C033B1">
        <w:tab/>
        <w:t>(b)</w:t>
      </w:r>
      <w:r w:rsidRPr="00C033B1">
        <w:tab/>
        <w:t>the amount paid by the person is more than the amount that is required to be paid under this instrument for the fee.</w:t>
      </w:r>
    </w:p>
    <w:p w14:paraId="6740A5F7" w14:textId="77777777" w:rsidR="00AE4E4D" w:rsidRPr="00C033B1" w:rsidRDefault="00AE4E4D" w:rsidP="00AE4E4D">
      <w:pPr>
        <w:pStyle w:val="subsection"/>
      </w:pPr>
      <w:r w:rsidRPr="00C033B1">
        <w:tab/>
        <w:t>(2)</w:t>
      </w:r>
      <w:r w:rsidRPr="00C033B1">
        <w:tab/>
        <w:t>The amount to be refunded is the difference between the amount paid by the person and the amount of the fee that is required to be paid under this instrument.</w:t>
      </w:r>
    </w:p>
    <w:p w14:paraId="362BDA1C" w14:textId="77777777" w:rsidR="009648B2" w:rsidRPr="00C033B1" w:rsidRDefault="009648B2" w:rsidP="009648B2">
      <w:pPr>
        <w:pStyle w:val="subsection"/>
      </w:pPr>
      <w:r w:rsidRPr="00C033B1">
        <w:tab/>
        <w:t>(3)</w:t>
      </w:r>
      <w:r w:rsidRPr="00C033B1">
        <w:tab/>
        <w:t xml:space="preserve">A person is entitled to the refund of the amount paid by the person as a fee mentioned in </w:t>
      </w:r>
      <w:r w:rsidR="007D3911" w:rsidRPr="00C033B1">
        <w:t>Schedule 1</w:t>
      </w:r>
      <w:r w:rsidRPr="00C033B1">
        <w:t xml:space="preserve"> if:</w:t>
      </w:r>
    </w:p>
    <w:p w14:paraId="4B5B34CB" w14:textId="77777777" w:rsidR="009648B2" w:rsidRPr="00C033B1" w:rsidRDefault="009648B2" w:rsidP="009648B2">
      <w:pPr>
        <w:pStyle w:val="paragraph"/>
      </w:pPr>
      <w:r w:rsidRPr="00C033B1">
        <w:tab/>
        <w:t>(a)</w:t>
      </w:r>
      <w:r w:rsidRPr="00C033B1">
        <w:tab/>
        <w:t>the fee had already been paid by another person; or</w:t>
      </w:r>
    </w:p>
    <w:p w14:paraId="05053AAC" w14:textId="77777777" w:rsidR="009648B2" w:rsidRPr="00C033B1" w:rsidRDefault="009648B2" w:rsidP="009648B2">
      <w:pPr>
        <w:pStyle w:val="paragraph"/>
      </w:pPr>
      <w:r w:rsidRPr="00C033B1">
        <w:tab/>
        <w:t>(b)</w:t>
      </w:r>
      <w:r w:rsidRPr="00C033B1">
        <w:tab/>
        <w:t>the fee was not payable under this instrument.</w:t>
      </w:r>
    </w:p>
    <w:p w14:paraId="34A893AE" w14:textId="77777777" w:rsidR="009648B2" w:rsidRPr="00C033B1" w:rsidRDefault="009648B2" w:rsidP="009648B2">
      <w:pPr>
        <w:pStyle w:val="SubsectionHead"/>
      </w:pPr>
      <w:r w:rsidRPr="00C033B1">
        <w:t>Setting down fee</w:t>
      </w:r>
    </w:p>
    <w:p w14:paraId="423640B8" w14:textId="77777777" w:rsidR="009648B2" w:rsidRPr="00C033B1" w:rsidRDefault="009648B2" w:rsidP="009648B2">
      <w:pPr>
        <w:pStyle w:val="subsection"/>
      </w:pPr>
      <w:r w:rsidRPr="00C033B1">
        <w:tab/>
        <w:t>(4)</w:t>
      </w:r>
      <w:r w:rsidRPr="00C033B1">
        <w:tab/>
        <w:t>A person is not entitled to the refund of the amount paid by the person as a setting down fee for a hearing in relation to a proceeding if the first hearing day fixed by the setting down, or a hearing day fixed in place of the first hearing day, does not occur.</w:t>
      </w:r>
    </w:p>
    <w:p w14:paraId="365DA9C3" w14:textId="77777777" w:rsidR="009648B2" w:rsidRPr="00C033B1" w:rsidRDefault="009648B2" w:rsidP="009648B2">
      <w:pPr>
        <w:pStyle w:val="SubsectionHead"/>
      </w:pPr>
      <w:r w:rsidRPr="00C033B1">
        <w:t>Hearing fees—hearings not commenced</w:t>
      </w:r>
    </w:p>
    <w:p w14:paraId="42466C4A" w14:textId="77777777" w:rsidR="009648B2" w:rsidRPr="00C033B1" w:rsidRDefault="009648B2" w:rsidP="009648B2">
      <w:pPr>
        <w:pStyle w:val="subsection"/>
      </w:pPr>
      <w:r w:rsidRPr="00C033B1">
        <w:tab/>
        <w:t>(5)</w:t>
      </w:r>
      <w:r w:rsidRPr="00C033B1">
        <w:tab/>
        <w:t xml:space="preserve">A person is entitled to the refund of the amount paid by the person as a hearing fee for </w:t>
      </w:r>
      <w:r w:rsidR="0033073A" w:rsidRPr="00C033B1">
        <w:t>a hearing day</w:t>
      </w:r>
      <w:r w:rsidR="00904557" w:rsidRPr="00C033B1">
        <w:t>, or a part of a hearing day,</w:t>
      </w:r>
      <w:r w:rsidR="0033073A" w:rsidRPr="00C033B1">
        <w:t xml:space="preserve"> in respect of </w:t>
      </w:r>
      <w:r w:rsidRPr="00C033B1">
        <w:t>a hearing that has not commenced if:</w:t>
      </w:r>
    </w:p>
    <w:p w14:paraId="22B5338B" w14:textId="77777777" w:rsidR="009648B2" w:rsidRPr="00C033B1" w:rsidRDefault="009648B2" w:rsidP="009648B2">
      <w:pPr>
        <w:pStyle w:val="paragraph"/>
      </w:pPr>
      <w:r w:rsidRPr="00C033B1">
        <w:tab/>
        <w:t>(a)</w:t>
      </w:r>
      <w:r w:rsidRPr="00C033B1">
        <w:tab/>
        <w:t xml:space="preserve">the person notifies the relevant Registrar or an authorised officer of the relevant court, in accordance with </w:t>
      </w:r>
      <w:r w:rsidR="005833F4" w:rsidRPr="00C033B1">
        <w:t>subsection (</w:t>
      </w:r>
      <w:r w:rsidRPr="00C033B1">
        <w:t xml:space="preserve">6), that the hearing will not occur or will occur only for the purpose of making </w:t>
      </w:r>
      <w:r w:rsidR="00415F4B" w:rsidRPr="00C033B1">
        <w:t>orders finalising the proceeding that was to be the subject of the hearing</w:t>
      </w:r>
      <w:r w:rsidRPr="00C033B1">
        <w:t>; and</w:t>
      </w:r>
    </w:p>
    <w:p w14:paraId="1C871B1D" w14:textId="77777777" w:rsidR="009648B2" w:rsidRPr="00C033B1" w:rsidRDefault="009648B2" w:rsidP="00904557">
      <w:pPr>
        <w:pStyle w:val="paragraph"/>
      </w:pPr>
      <w:r w:rsidRPr="00C033B1">
        <w:tab/>
        <w:t>(b)</w:t>
      </w:r>
      <w:r w:rsidRPr="00C033B1">
        <w:tab/>
        <w:t>the hearing does not occur</w:t>
      </w:r>
      <w:r w:rsidR="00904557" w:rsidRPr="00C033B1">
        <w:t xml:space="preserve"> </w:t>
      </w:r>
      <w:r w:rsidRPr="00C033B1">
        <w:t>or</w:t>
      </w:r>
      <w:r w:rsidR="00904557" w:rsidRPr="00C033B1">
        <w:t xml:space="preserve"> </w:t>
      </w:r>
      <w:r w:rsidRPr="00C033B1">
        <w:t xml:space="preserve">occurs only for the purpose of making </w:t>
      </w:r>
      <w:r w:rsidR="00415F4B" w:rsidRPr="00C033B1">
        <w:t xml:space="preserve">those </w:t>
      </w:r>
      <w:r w:rsidRPr="00C033B1">
        <w:t>orders.</w:t>
      </w:r>
    </w:p>
    <w:p w14:paraId="0627E32F" w14:textId="77777777" w:rsidR="009648B2" w:rsidRPr="00C033B1" w:rsidRDefault="009648B2" w:rsidP="009648B2">
      <w:pPr>
        <w:pStyle w:val="subsection"/>
      </w:pPr>
      <w:r w:rsidRPr="00C033B1">
        <w:tab/>
        <w:t>(6)</w:t>
      </w:r>
      <w:r w:rsidRPr="00C033B1">
        <w:tab/>
        <w:t>The person must notify the relevant Registrar or authorised officer in writing:</w:t>
      </w:r>
    </w:p>
    <w:p w14:paraId="434325AA" w14:textId="77777777" w:rsidR="009648B2" w:rsidRPr="00C033B1" w:rsidRDefault="009648B2" w:rsidP="009648B2">
      <w:pPr>
        <w:pStyle w:val="paragraph"/>
      </w:pPr>
      <w:r w:rsidRPr="00C033B1">
        <w:tab/>
        <w:t>(a)</w:t>
      </w:r>
      <w:r w:rsidRPr="00C033B1">
        <w:tab/>
        <w:t>if the hearing day was fixed less than 10 business days before the hearing day—at least 2 business days before the hearing day; and</w:t>
      </w:r>
    </w:p>
    <w:p w14:paraId="0208CF51" w14:textId="77777777" w:rsidR="009648B2" w:rsidRPr="00C033B1" w:rsidRDefault="009648B2" w:rsidP="009648B2">
      <w:pPr>
        <w:pStyle w:val="paragraph"/>
      </w:pPr>
      <w:r w:rsidRPr="00C033B1">
        <w:tab/>
        <w:t>(b)</w:t>
      </w:r>
      <w:r w:rsidRPr="00C033B1">
        <w:tab/>
        <w:t>in any other case—at least 10 business days before the hearing day.</w:t>
      </w:r>
    </w:p>
    <w:p w14:paraId="270600C3" w14:textId="77777777" w:rsidR="009648B2" w:rsidRPr="00C033B1" w:rsidRDefault="009648B2" w:rsidP="009648B2">
      <w:pPr>
        <w:pStyle w:val="subsection"/>
      </w:pPr>
      <w:r w:rsidRPr="00C033B1">
        <w:tab/>
        <w:t>(7)</w:t>
      </w:r>
      <w:r w:rsidRPr="00C033B1">
        <w:tab/>
        <w:t xml:space="preserve">Despite </w:t>
      </w:r>
      <w:r w:rsidR="005833F4" w:rsidRPr="00C033B1">
        <w:t>subsection (</w:t>
      </w:r>
      <w:r w:rsidRPr="00C033B1">
        <w:t>5), a relevant Registrar or authorised officer may refund a hearing fee for a</w:t>
      </w:r>
      <w:r w:rsidR="0033073A" w:rsidRPr="00C033B1">
        <w:t xml:space="preserve"> hearing day</w:t>
      </w:r>
      <w:r w:rsidR="00904557" w:rsidRPr="00C033B1">
        <w:t>, or a part of a hearing day,</w:t>
      </w:r>
      <w:r w:rsidR="0033073A" w:rsidRPr="00C033B1">
        <w:t xml:space="preserve"> in respect of a</w:t>
      </w:r>
      <w:r w:rsidRPr="00C033B1">
        <w:t xml:space="preserve"> hearing that has not commenced if:</w:t>
      </w:r>
    </w:p>
    <w:p w14:paraId="2C58045F" w14:textId="77777777" w:rsidR="009648B2" w:rsidRPr="00C033B1" w:rsidRDefault="009648B2" w:rsidP="009648B2">
      <w:pPr>
        <w:pStyle w:val="paragraph"/>
      </w:pPr>
      <w:r w:rsidRPr="00C033B1">
        <w:tab/>
        <w:t>(a)</w:t>
      </w:r>
      <w:r w:rsidRPr="00C033B1">
        <w:tab/>
        <w:t xml:space="preserve">the person who paid the hearing fee has not notified the relevant Registrar or authorised officer in accordance with </w:t>
      </w:r>
      <w:r w:rsidR="005833F4" w:rsidRPr="00C033B1">
        <w:t>paragraph (</w:t>
      </w:r>
      <w:r w:rsidRPr="00C033B1">
        <w:t xml:space="preserve">5)(a) and </w:t>
      </w:r>
      <w:r w:rsidR="005833F4" w:rsidRPr="00C033B1">
        <w:t>subsection (</w:t>
      </w:r>
      <w:r w:rsidRPr="00C033B1">
        <w:t>6); and</w:t>
      </w:r>
    </w:p>
    <w:p w14:paraId="47AC7E96" w14:textId="77777777" w:rsidR="009648B2" w:rsidRPr="00C033B1" w:rsidRDefault="009648B2" w:rsidP="009648B2">
      <w:pPr>
        <w:pStyle w:val="paragraph"/>
      </w:pPr>
      <w:r w:rsidRPr="00C033B1">
        <w:lastRenderedPageBreak/>
        <w:tab/>
        <w:t>(b)</w:t>
      </w:r>
      <w:r w:rsidRPr="00C033B1">
        <w:tab/>
        <w:t>the relevant Registrar or authorised officer is satisfied that the reason the person has not notified the relevant Registrar or authorised officer is not the fault of the person; and</w:t>
      </w:r>
    </w:p>
    <w:p w14:paraId="3F8124AC" w14:textId="77777777" w:rsidR="007D7D52" w:rsidRPr="00C033B1" w:rsidRDefault="009648B2" w:rsidP="00904557">
      <w:pPr>
        <w:pStyle w:val="paragraph"/>
      </w:pPr>
      <w:r w:rsidRPr="00C033B1">
        <w:tab/>
        <w:t>(c)</w:t>
      </w:r>
      <w:r w:rsidRPr="00C033B1">
        <w:tab/>
      </w:r>
      <w:r w:rsidR="007D7D52" w:rsidRPr="00C033B1">
        <w:t>the hearing does not occur</w:t>
      </w:r>
      <w:r w:rsidR="00904557" w:rsidRPr="00C033B1">
        <w:t xml:space="preserve"> </w:t>
      </w:r>
      <w:r w:rsidR="007D7D52" w:rsidRPr="00C033B1">
        <w:t>or</w:t>
      </w:r>
      <w:r w:rsidR="00904557" w:rsidRPr="00C033B1">
        <w:t xml:space="preserve"> </w:t>
      </w:r>
      <w:r w:rsidR="007D7D52" w:rsidRPr="00C033B1">
        <w:t>occurs only for the purpose of making orders finalising the proceeding</w:t>
      </w:r>
      <w:r w:rsidR="00904557" w:rsidRPr="00C033B1">
        <w:t>s</w:t>
      </w:r>
      <w:r w:rsidR="007D7D52" w:rsidRPr="00C033B1">
        <w:t xml:space="preserve"> that </w:t>
      </w:r>
      <w:r w:rsidR="00904557" w:rsidRPr="00C033B1">
        <w:t>were</w:t>
      </w:r>
      <w:r w:rsidR="007D7D52" w:rsidRPr="00C033B1">
        <w:t xml:space="preserve"> the subject of the hearing.</w:t>
      </w:r>
    </w:p>
    <w:p w14:paraId="5868AEB4" w14:textId="77777777" w:rsidR="007A023E" w:rsidRPr="00C033B1" w:rsidRDefault="007A023E" w:rsidP="007A023E">
      <w:pPr>
        <w:pStyle w:val="notetext"/>
      </w:pPr>
      <w:r w:rsidRPr="00C033B1">
        <w:t>Note:</w:t>
      </w:r>
      <w:r w:rsidRPr="00C033B1">
        <w:tab/>
        <w:t xml:space="preserve">A decision of the relevant Registrar or authorised officer under this subsection is reviewable by the AAT: see </w:t>
      </w:r>
      <w:r w:rsidR="007D3911" w:rsidRPr="00C033B1">
        <w:t>section 2</w:t>
      </w:r>
      <w:r w:rsidRPr="00C033B1">
        <w:t>.21.</w:t>
      </w:r>
    </w:p>
    <w:p w14:paraId="43030F86" w14:textId="77777777" w:rsidR="009648B2" w:rsidRPr="00C033B1" w:rsidRDefault="009648B2" w:rsidP="009648B2">
      <w:pPr>
        <w:pStyle w:val="SubsectionHead"/>
      </w:pPr>
      <w:r w:rsidRPr="00C033B1">
        <w:t>Hearing fees—hearings commenced</w:t>
      </w:r>
    </w:p>
    <w:p w14:paraId="6777633D" w14:textId="77777777" w:rsidR="009648B2" w:rsidRPr="00C033B1" w:rsidRDefault="009648B2" w:rsidP="009648B2">
      <w:pPr>
        <w:pStyle w:val="subsection"/>
      </w:pPr>
      <w:r w:rsidRPr="00C033B1">
        <w:tab/>
        <w:t>(</w:t>
      </w:r>
      <w:r w:rsidR="007D7D52" w:rsidRPr="00C033B1">
        <w:t>8</w:t>
      </w:r>
      <w:r w:rsidRPr="00C033B1">
        <w:t>)</w:t>
      </w:r>
      <w:r w:rsidRPr="00C033B1">
        <w:tab/>
        <w:t>A person is entitled to the refund of the amount paid by the person as a hearing fee for a hearing day</w:t>
      </w:r>
      <w:r w:rsidR="00904557" w:rsidRPr="00C033B1">
        <w:t>, or a part of a hearing day,</w:t>
      </w:r>
      <w:r w:rsidRPr="00C033B1">
        <w:t xml:space="preserve"> </w:t>
      </w:r>
      <w:r w:rsidR="002F41E9" w:rsidRPr="00C033B1">
        <w:t>in respect of</w:t>
      </w:r>
      <w:r w:rsidRPr="00C033B1">
        <w:t xml:space="preserve"> a hearing that has commenced if:</w:t>
      </w:r>
    </w:p>
    <w:p w14:paraId="6A271A03" w14:textId="77777777" w:rsidR="009648B2" w:rsidRPr="00C033B1" w:rsidRDefault="009648B2" w:rsidP="009648B2">
      <w:pPr>
        <w:pStyle w:val="paragraph"/>
      </w:pPr>
      <w:r w:rsidRPr="00C033B1">
        <w:tab/>
        <w:t>(a)</w:t>
      </w:r>
      <w:r w:rsidRPr="00C033B1">
        <w:tab/>
        <w:t>the proceeding</w:t>
      </w:r>
      <w:r w:rsidR="002F41E9" w:rsidRPr="00C033B1">
        <w:t xml:space="preserve"> that was the subject of the hearing</w:t>
      </w:r>
      <w:r w:rsidRPr="00C033B1">
        <w:t xml:space="preserve"> is settled or discontinued before the hearing day; or</w:t>
      </w:r>
    </w:p>
    <w:p w14:paraId="791DD2C8" w14:textId="77777777" w:rsidR="009648B2" w:rsidRPr="00C033B1" w:rsidRDefault="009648B2" w:rsidP="009648B2">
      <w:pPr>
        <w:pStyle w:val="paragraph"/>
      </w:pPr>
      <w:r w:rsidRPr="00C033B1">
        <w:tab/>
        <w:t>(b)</w:t>
      </w:r>
      <w:r w:rsidRPr="00C033B1">
        <w:tab/>
        <w:t>the hearing day does not proceed for some other reason.</w:t>
      </w:r>
    </w:p>
    <w:p w14:paraId="082C3FDD" w14:textId="77777777" w:rsidR="009648B2" w:rsidRPr="00C033B1" w:rsidRDefault="009648B2" w:rsidP="009648B2">
      <w:pPr>
        <w:pStyle w:val="notetext"/>
      </w:pPr>
      <w:r w:rsidRPr="00C033B1">
        <w:t>Example:</w:t>
      </w:r>
      <w:r w:rsidRPr="00C033B1">
        <w:tab/>
        <w:t>If a person pays hearing fees in advance for 20 hearing days, but the proceeding finishes after 1</w:t>
      </w:r>
      <w:r w:rsidR="00C4787C" w:rsidRPr="00C033B1">
        <w:t>2</w:t>
      </w:r>
      <w:r w:rsidRPr="00C033B1">
        <w:t xml:space="preserve"> hearing days, a person is entitled to a refund of the hearing fees paid for </w:t>
      </w:r>
      <w:r w:rsidR="00C4787C" w:rsidRPr="00C033B1">
        <w:t>8 hearing days</w:t>
      </w:r>
      <w:r w:rsidRPr="00C033B1">
        <w:t>.</w:t>
      </w:r>
    </w:p>
    <w:p w14:paraId="249AC8D8" w14:textId="77777777" w:rsidR="009648B2" w:rsidRPr="00C033B1" w:rsidRDefault="009648B2" w:rsidP="009648B2">
      <w:pPr>
        <w:pStyle w:val="SubsectionHead"/>
      </w:pPr>
      <w:r w:rsidRPr="00C033B1">
        <w:t>Mediation fee</w:t>
      </w:r>
    </w:p>
    <w:p w14:paraId="6117CBDA" w14:textId="77777777" w:rsidR="009648B2" w:rsidRPr="00C033B1" w:rsidRDefault="009648B2" w:rsidP="009648B2">
      <w:pPr>
        <w:pStyle w:val="subsection"/>
      </w:pPr>
      <w:r w:rsidRPr="00C033B1">
        <w:tab/>
        <w:t>(</w:t>
      </w:r>
      <w:r w:rsidR="007D7D52" w:rsidRPr="00C033B1">
        <w:t>9</w:t>
      </w:r>
      <w:r w:rsidRPr="00C033B1">
        <w:t>)</w:t>
      </w:r>
      <w:r w:rsidRPr="00C033B1">
        <w:tab/>
        <w:t>A person is entitled to the refund of the amount paid by the person as a mediation fee in relation to a proceeding if:</w:t>
      </w:r>
    </w:p>
    <w:p w14:paraId="68F44BAD" w14:textId="77777777" w:rsidR="009648B2" w:rsidRPr="00C033B1" w:rsidRDefault="009648B2" w:rsidP="009648B2">
      <w:pPr>
        <w:pStyle w:val="paragraph"/>
      </w:pPr>
      <w:r w:rsidRPr="00C033B1">
        <w:tab/>
        <w:t>(a)</w:t>
      </w:r>
      <w:r w:rsidRPr="00C033B1">
        <w:tab/>
        <w:t>the mediation does not proceed on the occasion for which the fee was paid; and</w:t>
      </w:r>
    </w:p>
    <w:p w14:paraId="7F0811BF" w14:textId="77777777" w:rsidR="009648B2" w:rsidRPr="00C033B1" w:rsidRDefault="009648B2" w:rsidP="009648B2">
      <w:pPr>
        <w:pStyle w:val="paragraph"/>
      </w:pPr>
      <w:r w:rsidRPr="00C033B1">
        <w:tab/>
        <w:t>(b)</w:t>
      </w:r>
      <w:r w:rsidRPr="00C033B1">
        <w:tab/>
        <w:t>the relevant court, or a Judge or relevant Registrar of that court, orders a refund of the fee.</w:t>
      </w:r>
    </w:p>
    <w:p w14:paraId="739DCDC9" w14:textId="77777777" w:rsidR="009648B2" w:rsidRPr="00C033B1" w:rsidRDefault="009648B2" w:rsidP="009648B2">
      <w:pPr>
        <w:pStyle w:val="ActHead5"/>
      </w:pPr>
      <w:bookmarkStart w:id="37" w:name="_Toc114043991"/>
      <w:r w:rsidRPr="00025E64">
        <w:rPr>
          <w:rStyle w:val="CharSectno"/>
        </w:rPr>
        <w:t>2.20</w:t>
      </w:r>
      <w:r w:rsidRPr="00C033B1">
        <w:t xml:space="preserve">  Annual increase in fees</w:t>
      </w:r>
      <w:bookmarkEnd w:id="37"/>
    </w:p>
    <w:p w14:paraId="07EC8C89" w14:textId="77777777" w:rsidR="009648B2" w:rsidRPr="00C033B1" w:rsidRDefault="009648B2" w:rsidP="009648B2">
      <w:pPr>
        <w:pStyle w:val="subsection"/>
      </w:pPr>
      <w:r w:rsidRPr="00C033B1">
        <w:tab/>
        <w:t>(1)</w:t>
      </w:r>
      <w:r w:rsidRPr="00C033B1">
        <w:tab/>
      </w:r>
      <w:r w:rsidR="003A4B85" w:rsidRPr="00C033B1">
        <w:t>The amount of each fee</w:t>
      </w:r>
      <w:r w:rsidRPr="00C033B1">
        <w:t xml:space="preserve"> </w:t>
      </w:r>
      <w:r w:rsidR="00812BC5" w:rsidRPr="00C033B1">
        <w:t>mentioned</w:t>
      </w:r>
      <w:r w:rsidRPr="00C033B1">
        <w:t xml:space="preserve"> in </w:t>
      </w:r>
      <w:r w:rsidR="007D3911" w:rsidRPr="00C033B1">
        <w:t>Schedule 1</w:t>
      </w:r>
      <w:r w:rsidR="003A4B85" w:rsidRPr="00C033B1">
        <w:t xml:space="preserve">, </w:t>
      </w:r>
      <w:r w:rsidR="00205C11" w:rsidRPr="00C033B1">
        <w:t xml:space="preserve">other than </w:t>
      </w:r>
      <w:r w:rsidR="00812BC5" w:rsidRPr="00C033B1">
        <w:t>the</w:t>
      </w:r>
      <w:r w:rsidR="00205C11" w:rsidRPr="00C033B1">
        <w:t xml:space="preserve"> </w:t>
      </w:r>
      <w:r w:rsidR="003A4B85" w:rsidRPr="00C033B1">
        <w:t xml:space="preserve">fees in any of </w:t>
      </w:r>
      <w:r w:rsidR="007D3911" w:rsidRPr="00C033B1">
        <w:t>items 1</w:t>
      </w:r>
      <w:r w:rsidR="003A4B85" w:rsidRPr="00C033B1">
        <w:t>02 to 104, 107, 124, 201A, 202, 209, 210 and 220</w:t>
      </w:r>
      <w:r w:rsidRPr="00C033B1">
        <w:t>,</w:t>
      </w:r>
      <w:r w:rsidR="00205C11" w:rsidRPr="00C033B1">
        <w:t xml:space="preserve"> </w:t>
      </w:r>
      <w:r w:rsidR="00C010FE" w:rsidRPr="00C033B1">
        <w:t>is</w:t>
      </w:r>
      <w:r w:rsidRPr="00C033B1">
        <w:t xml:space="preserve"> increased on 1 July </w:t>
      </w:r>
      <w:r w:rsidR="002F41E9" w:rsidRPr="00C033B1">
        <w:t>2023</w:t>
      </w:r>
      <w:r w:rsidRPr="00C033B1">
        <w:t>, and on each 1 July following that day</w:t>
      </w:r>
      <w:r w:rsidR="00205C11" w:rsidRPr="00C033B1">
        <w:t>, in accordance with this section</w:t>
      </w:r>
      <w:r w:rsidRPr="00C033B1">
        <w:t>.</w:t>
      </w:r>
    </w:p>
    <w:p w14:paraId="18D828A2" w14:textId="77777777" w:rsidR="009648B2" w:rsidRPr="00C033B1" w:rsidRDefault="009648B2" w:rsidP="009648B2">
      <w:pPr>
        <w:pStyle w:val="SubsectionHead"/>
        <w:rPr>
          <w:i w:val="0"/>
        </w:rPr>
      </w:pPr>
      <w:r w:rsidRPr="00C033B1">
        <w:t>Fees other than reduced fees</w:t>
      </w:r>
    </w:p>
    <w:p w14:paraId="379B7F8E" w14:textId="77777777" w:rsidR="009648B2" w:rsidRPr="00C033B1" w:rsidRDefault="009648B2" w:rsidP="009648B2">
      <w:pPr>
        <w:pStyle w:val="subsection"/>
      </w:pPr>
      <w:r w:rsidRPr="00C033B1">
        <w:tab/>
        <w:t>(</w:t>
      </w:r>
      <w:r w:rsidR="003A4B85" w:rsidRPr="00C033B1">
        <w:t>2</w:t>
      </w:r>
      <w:r w:rsidRPr="00C033B1">
        <w:t>)</w:t>
      </w:r>
      <w:r w:rsidRPr="00C033B1">
        <w:tab/>
        <w:t xml:space="preserve">If, in a relevant period, the latest CPI number is greater than the earlier CPI number, the </w:t>
      </w:r>
      <w:r w:rsidR="00C17067" w:rsidRPr="00C033B1">
        <w:t>fee</w:t>
      </w:r>
      <w:r w:rsidRPr="00C033B1">
        <w:t xml:space="preserve"> is increased, on 1 July immediately following the end of the period, in accordance with the formula:</w:t>
      </w:r>
    </w:p>
    <w:p w14:paraId="637946F8" w14:textId="77777777" w:rsidR="00993813" w:rsidRPr="00C033B1" w:rsidRDefault="00113E5F" w:rsidP="00993813">
      <w:pPr>
        <w:pStyle w:val="subsection2"/>
      </w:pPr>
      <w:r w:rsidRPr="00C033B1">
        <w:rPr>
          <w:position w:val="-32"/>
        </w:rPr>
        <w:object w:dxaOrig="2240" w:dyaOrig="880" w14:anchorId="6E593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fee times latest CPI number over earlier CPI number end fraction end formula." style="width:112.5pt;height:44.25pt" o:ole="">
            <v:imagedata r:id="rId20" o:title=""/>
          </v:shape>
          <o:OLEObject Type="Embed" ProgID="Equation.DSMT4" ShapeID="_x0000_i1025" DrawAspect="Content" ObjectID="_1734345066" r:id="rId21"/>
        </w:object>
      </w:r>
    </w:p>
    <w:p w14:paraId="3EA496DF" w14:textId="77777777" w:rsidR="009648B2" w:rsidRPr="00C033B1" w:rsidRDefault="009648B2" w:rsidP="009648B2">
      <w:pPr>
        <w:pStyle w:val="subsection2"/>
      </w:pPr>
      <w:r w:rsidRPr="00C033B1">
        <w:t>where:</w:t>
      </w:r>
    </w:p>
    <w:p w14:paraId="4B3CCFBD" w14:textId="77777777" w:rsidR="009648B2" w:rsidRPr="00C033B1" w:rsidRDefault="009648B2" w:rsidP="009648B2">
      <w:pPr>
        <w:pStyle w:val="Definition"/>
      </w:pPr>
      <w:r w:rsidRPr="00C033B1">
        <w:rPr>
          <w:b/>
          <w:i/>
        </w:rPr>
        <w:t>earlier CPI number</w:t>
      </w:r>
      <w:r w:rsidRPr="00C033B1">
        <w:t xml:space="preserve"> is the CPI number for the last March quarter before the start of the relevant period.</w:t>
      </w:r>
    </w:p>
    <w:p w14:paraId="76FA609F" w14:textId="77777777" w:rsidR="007D3911" w:rsidRPr="00C033B1" w:rsidRDefault="007D3911" w:rsidP="007D3911">
      <w:pPr>
        <w:pStyle w:val="Definition"/>
      </w:pPr>
      <w:r w:rsidRPr="00C033B1">
        <w:rPr>
          <w:b/>
          <w:i/>
        </w:rPr>
        <w:t>fee</w:t>
      </w:r>
      <w:r w:rsidRPr="00C033B1">
        <w:t xml:space="preserve"> is the</w:t>
      </w:r>
      <w:r w:rsidR="0029007F" w:rsidRPr="00C033B1">
        <w:t xml:space="preserve"> amount of the</w:t>
      </w:r>
      <w:r w:rsidRPr="00C033B1">
        <w:t xml:space="preserve"> fee in force at the end of the relevant period.</w:t>
      </w:r>
    </w:p>
    <w:p w14:paraId="7E59A13A" w14:textId="77777777" w:rsidR="009648B2" w:rsidRPr="00C033B1" w:rsidRDefault="009648B2" w:rsidP="009648B2">
      <w:pPr>
        <w:pStyle w:val="Definition"/>
      </w:pPr>
      <w:r w:rsidRPr="00C033B1">
        <w:rPr>
          <w:b/>
          <w:i/>
        </w:rPr>
        <w:t>latest CPI number</w:t>
      </w:r>
      <w:r w:rsidRPr="00C033B1">
        <w:t xml:space="preserve"> is the CPI number for the last March quarter before the end of the relevant period.</w:t>
      </w:r>
    </w:p>
    <w:p w14:paraId="4F8B3CCF" w14:textId="77777777" w:rsidR="009648B2" w:rsidRPr="00C033B1" w:rsidRDefault="009648B2" w:rsidP="009648B2">
      <w:pPr>
        <w:pStyle w:val="subsection"/>
      </w:pPr>
      <w:r w:rsidRPr="00C033B1">
        <w:lastRenderedPageBreak/>
        <w:tab/>
        <w:t>(</w:t>
      </w:r>
      <w:r w:rsidR="003A4B85" w:rsidRPr="00C033B1">
        <w:t>3</w:t>
      </w:r>
      <w:r w:rsidRPr="00C033B1">
        <w:t>)</w:t>
      </w:r>
      <w:r w:rsidRPr="00C033B1">
        <w:tab/>
        <w:t xml:space="preserve">The </w:t>
      </w:r>
      <w:r w:rsidR="00D608C2" w:rsidRPr="00C033B1">
        <w:t xml:space="preserve">amount of the </w:t>
      </w:r>
      <w:r w:rsidR="00C17067" w:rsidRPr="00C033B1">
        <w:t>fee</w:t>
      </w:r>
      <w:r w:rsidRPr="00C033B1">
        <w:t xml:space="preserve"> worked out under </w:t>
      </w:r>
      <w:r w:rsidR="005833F4" w:rsidRPr="00C033B1">
        <w:t>subsection (</w:t>
      </w:r>
      <w:r w:rsidR="00C17067" w:rsidRPr="00C033B1">
        <w:t>2</w:t>
      </w:r>
      <w:r w:rsidRPr="00C033B1">
        <w:t>) is to be rounded to an amount of dollars and cents and then further rounded as follows:</w:t>
      </w:r>
    </w:p>
    <w:p w14:paraId="2BA8AC17" w14:textId="77777777" w:rsidR="009648B2" w:rsidRPr="00C033B1" w:rsidRDefault="009648B2" w:rsidP="009648B2">
      <w:pPr>
        <w:pStyle w:val="paragraph"/>
      </w:pPr>
      <w:r w:rsidRPr="00C033B1">
        <w:tab/>
        <w:t>(a)</w:t>
      </w:r>
      <w:r w:rsidRPr="00C033B1">
        <w:tab/>
        <w:t>if the amount is $50 or more—the amount is to be rounded to the nearest amount that is a multiple of $5;</w:t>
      </w:r>
    </w:p>
    <w:p w14:paraId="00DEAE80" w14:textId="77777777" w:rsidR="009648B2" w:rsidRPr="00C033B1" w:rsidRDefault="009648B2" w:rsidP="009648B2">
      <w:pPr>
        <w:pStyle w:val="paragraph"/>
      </w:pPr>
      <w:r w:rsidRPr="00C033B1">
        <w:tab/>
        <w:t>(</w:t>
      </w:r>
      <w:r w:rsidR="00C17067" w:rsidRPr="00C033B1">
        <w:t>b</w:t>
      </w:r>
      <w:r w:rsidRPr="00C033B1">
        <w:t>)</w:t>
      </w:r>
      <w:r w:rsidRPr="00C033B1">
        <w:tab/>
        <w:t>if the amount is less than $50—the amount is to be rounded to the nearest whole dollar;</w:t>
      </w:r>
    </w:p>
    <w:p w14:paraId="79D90431" w14:textId="77777777" w:rsidR="009648B2" w:rsidRPr="00C033B1" w:rsidRDefault="009648B2" w:rsidP="009648B2">
      <w:pPr>
        <w:pStyle w:val="paragraph"/>
      </w:pPr>
      <w:r w:rsidRPr="00C033B1">
        <w:tab/>
        <w:t>(</w:t>
      </w:r>
      <w:r w:rsidR="00C17067" w:rsidRPr="00C033B1">
        <w:t>c</w:t>
      </w:r>
      <w:r w:rsidRPr="00C033B1">
        <w:t>)</w:t>
      </w:r>
      <w:r w:rsidRPr="00C033B1">
        <w:tab/>
        <w:t>if the amount to be rounded</w:t>
      </w:r>
      <w:r w:rsidR="001E2B3D" w:rsidRPr="00C033B1">
        <w:t xml:space="preserve"> </w:t>
      </w:r>
      <w:r w:rsidRPr="00C033B1">
        <w:t>is 50 cents, the amount is to be rounded down.</w:t>
      </w:r>
    </w:p>
    <w:p w14:paraId="1582C5A3" w14:textId="77777777" w:rsidR="009648B2" w:rsidRPr="00C033B1" w:rsidRDefault="009648B2" w:rsidP="009648B2">
      <w:pPr>
        <w:pStyle w:val="SubsectionHead"/>
      </w:pPr>
      <w:r w:rsidRPr="00C033B1">
        <w:t>Reduced fees</w:t>
      </w:r>
    </w:p>
    <w:p w14:paraId="54E4CA91" w14:textId="77777777" w:rsidR="009648B2" w:rsidRPr="00C033B1" w:rsidRDefault="009648B2" w:rsidP="009648B2">
      <w:pPr>
        <w:pStyle w:val="subsection"/>
      </w:pPr>
      <w:r w:rsidRPr="00C033B1">
        <w:tab/>
        <w:t>(</w:t>
      </w:r>
      <w:r w:rsidR="003A4B85" w:rsidRPr="00C033B1">
        <w:t>4</w:t>
      </w:r>
      <w:r w:rsidRPr="00C033B1">
        <w:t>)</w:t>
      </w:r>
      <w:r w:rsidRPr="00C033B1">
        <w:tab/>
        <w:t xml:space="preserve">If the full fee mentioned in </w:t>
      </w:r>
      <w:r w:rsidR="007D3911" w:rsidRPr="00C033B1">
        <w:t>item 2</w:t>
      </w:r>
      <w:r w:rsidRPr="00C033B1">
        <w:t xml:space="preserve">01A of </w:t>
      </w:r>
      <w:r w:rsidR="007D3911" w:rsidRPr="00C033B1">
        <w:t>Schedule 1</w:t>
      </w:r>
      <w:r w:rsidRPr="00C033B1">
        <w:t xml:space="preserve"> is increased and rounded under </w:t>
      </w:r>
      <w:r w:rsidR="005833F4" w:rsidRPr="00C033B1">
        <w:t>subsections (</w:t>
      </w:r>
      <w:r w:rsidR="00C17067" w:rsidRPr="00C033B1">
        <w:t>2</w:t>
      </w:r>
      <w:r w:rsidRPr="00C033B1">
        <w:t>) and (</w:t>
      </w:r>
      <w:r w:rsidR="00C17067" w:rsidRPr="00C033B1">
        <w:t>3</w:t>
      </w:r>
      <w:r w:rsidRPr="00C033B1">
        <w:t xml:space="preserve">), the reduced fee mentioned in that item is increased in accordance with </w:t>
      </w:r>
      <w:r w:rsidR="005833F4" w:rsidRPr="00C033B1">
        <w:t>subsection (</w:t>
      </w:r>
      <w:r w:rsidR="00C17067" w:rsidRPr="00C033B1">
        <w:t>5</w:t>
      </w:r>
      <w:r w:rsidRPr="00C033B1">
        <w:t>) at the same time.</w:t>
      </w:r>
    </w:p>
    <w:p w14:paraId="683BFA09" w14:textId="77777777" w:rsidR="009648B2" w:rsidRPr="00C033B1" w:rsidRDefault="009648B2" w:rsidP="009648B2">
      <w:pPr>
        <w:pStyle w:val="subsection"/>
      </w:pPr>
      <w:r w:rsidRPr="00C033B1">
        <w:tab/>
        <w:t>(</w:t>
      </w:r>
      <w:r w:rsidR="003A4B85" w:rsidRPr="00C033B1">
        <w:t>5</w:t>
      </w:r>
      <w:r w:rsidRPr="00C033B1">
        <w:t>)</w:t>
      </w:r>
      <w:r w:rsidRPr="00C033B1">
        <w:tab/>
        <w:t xml:space="preserve">The increased reduced fee is half the amount of the full fee (as increased and rounded under </w:t>
      </w:r>
      <w:r w:rsidR="005833F4" w:rsidRPr="00C033B1">
        <w:t>subsections (</w:t>
      </w:r>
      <w:r w:rsidR="00C17067" w:rsidRPr="00C033B1">
        <w:t>2</w:t>
      </w:r>
      <w:r w:rsidRPr="00C033B1">
        <w:t>) and (</w:t>
      </w:r>
      <w:r w:rsidR="00C17067" w:rsidRPr="00C033B1">
        <w:t>3</w:t>
      </w:r>
      <w:r w:rsidRPr="00C033B1">
        <w:t>)), rounded down to the nearest multiple of $5.</w:t>
      </w:r>
    </w:p>
    <w:p w14:paraId="5FF4118C" w14:textId="77777777" w:rsidR="009648B2" w:rsidRPr="00C033B1" w:rsidRDefault="009648B2" w:rsidP="009648B2">
      <w:pPr>
        <w:pStyle w:val="SubsectionHead"/>
      </w:pPr>
      <w:r w:rsidRPr="00C033B1">
        <w:t>Other rules</w:t>
      </w:r>
    </w:p>
    <w:p w14:paraId="3151FF60" w14:textId="77777777" w:rsidR="009648B2" w:rsidRPr="00C033B1" w:rsidRDefault="009648B2" w:rsidP="009648B2">
      <w:pPr>
        <w:pStyle w:val="subsection"/>
      </w:pPr>
      <w:r w:rsidRPr="00C033B1">
        <w:tab/>
        <w:t>(</w:t>
      </w:r>
      <w:r w:rsidR="003A4B85" w:rsidRPr="00C033B1">
        <w:t>6</w:t>
      </w:r>
      <w:r w:rsidRPr="00C033B1">
        <w:t>)</w:t>
      </w:r>
      <w:r w:rsidRPr="00C033B1">
        <w:tab/>
        <w:t>If the Australian Statistician publishes for a particular March quarter a CPI number in substitution for a CPI number previously published by the Australian Statistician for that quarter, the publication of the later CPI number is disregarded for this section.</w:t>
      </w:r>
    </w:p>
    <w:p w14:paraId="31BEE5B6" w14:textId="77777777" w:rsidR="009648B2" w:rsidRPr="00C033B1" w:rsidRDefault="009648B2" w:rsidP="009648B2">
      <w:pPr>
        <w:pStyle w:val="subsection"/>
      </w:pPr>
      <w:r w:rsidRPr="00C033B1">
        <w:tab/>
        <w:t>(</w:t>
      </w:r>
      <w:r w:rsidR="003A4B85" w:rsidRPr="00C033B1">
        <w:t>7</w:t>
      </w:r>
      <w:r w:rsidRPr="00C033B1">
        <w:t>)</w:t>
      </w:r>
      <w:r w:rsidRPr="00C033B1">
        <w:tab/>
        <w:t>However, if the Australian Statistician changes the</w:t>
      </w:r>
      <w:r w:rsidR="00107F4A" w:rsidRPr="00C033B1">
        <w:t xml:space="preserve"> index reference period</w:t>
      </w:r>
      <w:r w:rsidRPr="00C033B1">
        <w:t xml:space="preserve"> for the </w:t>
      </w:r>
      <w:r w:rsidR="007C6E3A" w:rsidRPr="00C033B1">
        <w:t>CPI number</w:t>
      </w:r>
      <w:r w:rsidRPr="00C033B1">
        <w:t xml:space="preserve">, then for the application of this section after the change is made, regard must be had only to CPI numbers published in terms of the new </w:t>
      </w:r>
      <w:r w:rsidR="00107F4A" w:rsidRPr="00C033B1">
        <w:t>index reference period</w:t>
      </w:r>
      <w:r w:rsidRPr="00C033B1">
        <w:t>.</w:t>
      </w:r>
    </w:p>
    <w:p w14:paraId="037F36CF" w14:textId="77777777" w:rsidR="009648B2" w:rsidRPr="00C033B1" w:rsidRDefault="009648B2" w:rsidP="009648B2">
      <w:pPr>
        <w:pStyle w:val="ActHead5"/>
      </w:pPr>
      <w:bookmarkStart w:id="38" w:name="_Toc114043992"/>
      <w:r w:rsidRPr="00025E64">
        <w:rPr>
          <w:rStyle w:val="CharSectno"/>
        </w:rPr>
        <w:t>2.21</w:t>
      </w:r>
      <w:r w:rsidRPr="00C033B1">
        <w:t xml:space="preserve">  Notice of decision and AAT review</w:t>
      </w:r>
      <w:bookmarkEnd w:id="38"/>
    </w:p>
    <w:p w14:paraId="426665D0" w14:textId="77777777" w:rsidR="008B4409" w:rsidRPr="00C033B1" w:rsidRDefault="008B4409" w:rsidP="008B4409">
      <w:pPr>
        <w:pStyle w:val="SubsectionHead"/>
      </w:pPr>
      <w:r w:rsidRPr="00C033B1">
        <w:t>Notice of decision</w:t>
      </w:r>
    </w:p>
    <w:p w14:paraId="6D5CA265" w14:textId="77777777" w:rsidR="009648B2" w:rsidRPr="00C033B1" w:rsidRDefault="008B4409" w:rsidP="00E64C1E">
      <w:pPr>
        <w:pStyle w:val="subsection"/>
      </w:pPr>
      <w:r w:rsidRPr="00C033B1">
        <w:tab/>
      </w:r>
      <w:r w:rsidR="009648B2" w:rsidRPr="00C033B1">
        <w:t>(1)</w:t>
      </w:r>
      <w:r w:rsidR="009648B2" w:rsidRPr="00C033B1">
        <w:tab/>
        <w:t xml:space="preserve">A relevant Registrar or an authorised officer must give a </w:t>
      </w:r>
      <w:r w:rsidR="00E64C1E" w:rsidRPr="00C033B1">
        <w:t xml:space="preserve">liable </w:t>
      </w:r>
      <w:r w:rsidR="009648B2" w:rsidRPr="00C033B1">
        <w:t>person</w:t>
      </w:r>
      <w:r w:rsidR="00E64C1E" w:rsidRPr="00C033B1">
        <w:t xml:space="preserve"> for</w:t>
      </w:r>
      <w:r w:rsidR="009648B2" w:rsidRPr="00C033B1">
        <w:t xml:space="preserve"> a fee a notice in accordance with this section if the relevant Registrar or authorised officer makes a decision about the payment of the fee under</w:t>
      </w:r>
      <w:r w:rsidR="00E64C1E" w:rsidRPr="00C033B1">
        <w:t xml:space="preserve"> </w:t>
      </w:r>
      <w:r w:rsidR="007D3911" w:rsidRPr="00C033B1">
        <w:t>section 2</w:t>
      </w:r>
      <w:r w:rsidR="009648B2" w:rsidRPr="00C033B1">
        <w:t>.06</w:t>
      </w:r>
      <w:r w:rsidR="0002121B" w:rsidRPr="00C033B1">
        <w:t xml:space="preserve"> or </w:t>
      </w:r>
      <w:r w:rsidR="009648B2" w:rsidRPr="00C033B1">
        <w:t>2.06A</w:t>
      </w:r>
      <w:r w:rsidR="00A828FC" w:rsidRPr="00C033B1">
        <w:t xml:space="preserve">, </w:t>
      </w:r>
      <w:r w:rsidR="007D3911" w:rsidRPr="00C033B1">
        <w:t>subsection 2</w:t>
      </w:r>
      <w:r w:rsidR="0002121B" w:rsidRPr="00C033B1">
        <w:t>.08(</w:t>
      </w:r>
      <w:r w:rsidR="0099319A" w:rsidRPr="00C033B1">
        <w:t>3</w:t>
      </w:r>
      <w:r w:rsidR="0002121B" w:rsidRPr="00C033B1">
        <w:t xml:space="preserve">), </w:t>
      </w:r>
      <w:r w:rsidR="007D3911" w:rsidRPr="00C033B1">
        <w:t>section 2</w:t>
      </w:r>
      <w:r w:rsidR="009648B2" w:rsidRPr="00C033B1">
        <w:t>.15 or</w:t>
      </w:r>
      <w:r w:rsidR="00E64C1E" w:rsidRPr="00C033B1">
        <w:t xml:space="preserve"> </w:t>
      </w:r>
      <w:r w:rsidR="007D3911" w:rsidRPr="00C033B1">
        <w:t>subsection 2</w:t>
      </w:r>
      <w:r w:rsidR="009648B2" w:rsidRPr="00C033B1">
        <w:t>.19(7).</w:t>
      </w:r>
    </w:p>
    <w:p w14:paraId="15CEE19F" w14:textId="77777777" w:rsidR="009648B2" w:rsidRPr="00C033B1" w:rsidRDefault="009648B2" w:rsidP="009648B2">
      <w:pPr>
        <w:pStyle w:val="subsection"/>
      </w:pPr>
      <w:r w:rsidRPr="00C033B1">
        <w:tab/>
        <w:t>(2)</w:t>
      </w:r>
      <w:r w:rsidRPr="00C033B1">
        <w:tab/>
        <w:t>The relevant Registrar or authorised officer must give the notice to the liable person within 28 days after making the decision.</w:t>
      </w:r>
    </w:p>
    <w:p w14:paraId="3CB25E03" w14:textId="77777777" w:rsidR="009648B2" w:rsidRPr="00C033B1" w:rsidRDefault="009648B2" w:rsidP="009648B2">
      <w:pPr>
        <w:pStyle w:val="subsection"/>
      </w:pPr>
      <w:r w:rsidRPr="00C033B1">
        <w:tab/>
        <w:t>(3)</w:t>
      </w:r>
      <w:r w:rsidRPr="00C033B1">
        <w:tab/>
        <w:t>The notice must set out:</w:t>
      </w:r>
    </w:p>
    <w:p w14:paraId="21CD7D59" w14:textId="77777777" w:rsidR="009648B2" w:rsidRPr="00C033B1" w:rsidRDefault="009648B2" w:rsidP="009648B2">
      <w:pPr>
        <w:pStyle w:val="paragraph"/>
      </w:pPr>
      <w:r w:rsidRPr="00C033B1">
        <w:tab/>
        <w:t>(a)</w:t>
      </w:r>
      <w:r w:rsidRPr="00C033B1">
        <w:tab/>
        <w:t>the decision; and</w:t>
      </w:r>
    </w:p>
    <w:p w14:paraId="634E7428" w14:textId="77777777" w:rsidR="008B4409" w:rsidRPr="00C033B1" w:rsidRDefault="008B4409" w:rsidP="008B4409">
      <w:pPr>
        <w:pStyle w:val="paragraph"/>
      </w:pPr>
      <w:r w:rsidRPr="00C033B1">
        <w:tab/>
        <w:t>(b)</w:t>
      </w:r>
      <w:r w:rsidRPr="00C033B1">
        <w:tab/>
        <w:t xml:space="preserve">for a decision mentioned in </w:t>
      </w:r>
      <w:r w:rsidR="005833F4" w:rsidRPr="00C033B1">
        <w:t>subsection (</w:t>
      </w:r>
      <w:r w:rsidRPr="00C033B1">
        <w:t>5):</w:t>
      </w:r>
    </w:p>
    <w:p w14:paraId="53CAFE8B" w14:textId="77777777" w:rsidR="009648B2" w:rsidRPr="00C033B1" w:rsidRDefault="009648B2" w:rsidP="008B4409">
      <w:pPr>
        <w:pStyle w:val="paragraphsub"/>
      </w:pPr>
      <w:r w:rsidRPr="00C033B1">
        <w:tab/>
        <w:t>(</w:t>
      </w:r>
      <w:r w:rsidR="008B4409" w:rsidRPr="00C033B1">
        <w:t>i</w:t>
      </w:r>
      <w:r w:rsidRPr="00C033B1">
        <w:t>)</w:t>
      </w:r>
      <w:r w:rsidRPr="00C033B1">
        <w:tab/>
        <w:t>a statement that the liable person may apply to the Administrative Appeals Tribunal for review of the decision; and</w:t>
      </w:r>
    </w:p>
    <w:p w14:paraId="2D93F66F" w14:textId="77777777" w:rsidR="009648B2" w:rsidRPr="00C033B1" w:rsidRDefault="009648B2" w:rsidP="008B4409">
      <w:pPr>
        <w:pStyle w:val="paragraphsub"/>
      </w:pPr>
      <w:r w:rsidRPr="00C033B1">
        <w:tab/>
        <w:t>(</w:t>
      </w:r>
      <w:r w:rsidR="008B4409" w:rsidRPr="00C033B1">
        <w:t>ii</w:t>
      </w:r>
      <w:r w:rsidRPr="00C033B1">
        <w:t>)</w:t>
      </w:r>
      <w:r w:rsidRPr="00C033B1">
        <w:tab/>
        <w:t>reasons for the decision.</w:t>
      </w:r>
    </w:p>
    <w:p w14:paraId="2061D54C" w14:textId="77777777" w:rsidR="008B4409" w:rsidRPr="00C033B1" w:rsidRDefault="008B4409" w:rsidP="008B4409">
      <w:pPr>
        <w:pStyle w:val="subsection"/>
      </w:pPr>
      <w:r w:rsidRPr="00C033B1">
        <w:tab/>
        <w:t>(4)</w:t>
      </w:r>
      <w:r w:rsidRPr="00C033B1">
        <w:tab/>
        <w:t xml:space="preserve">Failure to comply with </w:t>
      </w:r>
      <w:r w:rsidR="00D4482F" w:rsidRPr="00C033B1">
        <w:t>sub</w:t>
      </w:r>
      <w:r w:rsidR="005833F4" w:rsidRPr="00C033B1">
        <w:t>paragraph (</w:t>
      </w:r>
      <w:r w:rsidRPr="00C033B1">
        <w:t>3)(b)(i) does not affect the validity of the decision.</w:t>
      </w:r>
    </w:p>
    <w:p w14:paraId="64407755" w14:textId="77777777" w:rsidR="008B4409" w:rsidRPr="00C033B1" w:rsidRDefault="008B4409" w:rsidP="008B4409">
      <w:pPr>
        <w:pStyle w:val="SubsectionHead"/>
      </w:pPr>
      <w:r w:rsidRPr="00C033B1">
        <w:lastRenderedPageBreak/>
        <w:t>Application for review of decision</w:t>
      </w:r>
    </w:p>
    <w:p w14:paraId="182EF6F6" w14:textId="77777777" w:rsidR="009648B2" w:rsidRPr="00C033B1" w:rsidRDefault="009648B2" w:rsidP="009648B2">
      <w:pPr>
        <w:pStyle w:val="subsection"/>
      </w:pPr>
      <w:r w:rsidRPr="00C033B1">
        <w:tab/>
        <w:t>(</w:t>
      </w:r>
      <w:r w:rsidR="008B4409" w:rsidRPr="00C033B1">
        <w:t>5</w:t>
      </w:r>
      <w:r w:rsidRPr="00C033B1">
        <w:t>)</w:t>
      </w:r>
      <w:r w:rsidRPr="00C033B1">
        <w:tab/>
      </w:r>
      <w:r w:rsidR="008B4409" w:rsidRPr="00C033B1">
        <w:t>The liable person may apply to the Administrative Appeals Tribunal for review of a decision</w:t>
      </w:r>
      <w:r w:rsidRPr="00C033B1">
        <w:t>:</w:t>
      </w:r>
    </w:p>
    <w:p w14:paraId="5CC4F13D" w14:textId="77777777" w:rsidR="009648B2" w:rsidRPr="00C033B1" w:rsidRDefault="009648B2" w:rsidP="009648B2">
      <w:pPr>
        <w:pStyle w:val="paragraph"/>
      </w:pPr>
      <w:r w:rsidRPr="00C033B1">
        <w:tab/>
        <w:t>(a)</w:t>
      </w:r>
      <w:r w:rsidRPr="00C033B1">
        <w:tab/>
        <w:t>to not exempt a person from paying a fee; or</w:t>
      </w:r>
    </w:p>
    <w:p w14:paraId="0A67A201" w14:textId="77777777" w:rsidR="009648B2" w:rsidRPr="00C033B1" w:rsidRDefault="009648B2" w:rsidP="009648B2">
      <w:pPr>
        <w:pStyle w:val="paragraph"/>
      </w:pPr>
      <w:r w:rsidRPr="00C033B1">
        <w:tab/>
        <w:t>(b)</w:t>
      </w:r>
      <w:r w:rsidRPr="00C033B1">
        <w:tab/>
        <w:t>to not defer the payment of a fee; or</w:t>
      </w:r>
    </w:p>
    <w:p w14:paraId="44BEC8F8" w14:textId="77777777" w:rsidR="009648B2" w:rsidRPr="00C033B1" w:rsidRDefault="009648B2" w:rsidP="009648B2">
      <w:pPr>
        <w:pStyle w:val="paragraph"/>
      </w:pPr>
      <w:r w:rsidRPr="00C033B1">
        <w:tab/>
        <w:t>(c)</w:t>
      </w:r>
      <w:r w:rsidRPr="00C033B1">
        <w:tab/>
        <w:t xml:space="preserve">to not refund a </w:t>
      </w:r>
      <w:r w:rsidR="000E6EB3" w:rsidRPr="00C033B1">
        <w:t xml:space="preserve">hearing </w:t>
      </w:r>
      <w:r w:rsidRPr="00C033B1">
        <w:t>fee that has been paid</w:t>
      </w:r>
      <w:r w:rsidR="00C17067" w:rsidRPr="00C033B1">
        <w:t xml:space="preserve"> for a hearing day in respect of a hearing that has not commenced</w:t>
      </w:r>
      <w:r w:rsidR="00C35591" w:rsidRPr="00C033B1">
        <w:t>;</w:t>
      </w:r>
      <w:r w:rsidR="007A4731" w:rsidRPr="00C033B1">
        <w:t xml:space="preserve"> or</w:t>
      </w:r>
    </w:p>
    <w:p w14:paraId="6630AC4E" w14:textId="77777777" w:rsidR="00630AC1" w:rsidRPr="00C033B1" w:rsidRDefault="00C35591" w:rsidP="009648B2">
      <w:pPr>
        <w:pStyle w:val="paragraph"/>
      </w:pPr>
      <w:r w:rsidRPr="00C033B1">
        <w:tab/>
        <w:t>(d)</w:t>
      </w:r>
      <w:r w:rsidRPr="00C033B1">
        <w:tab/>
        <w:t>to not determine that a person may pay a reduced fee</w:t>
      </w:r>
      <w:r w:rsidR="00630AC1" w:rsidRPr="00C033B1">
        <w:t>;</w:t>
      </w:r>
      <w:r w:rsidR="007A4731" w:rsidRPr="00C033B1">
        <w:t xml:space="preserve"> or</w:t>
      </w:r>
    </w:p>
    <w:p w14:paraId="744F20D9" w14:textId="77777777" w:rsidR="00C35591" w:rsidRPr="00C033B1" w:rsidRDefault="00630AC1" w:rsidP="009648B2">
      <w:pPr>
        <w:pStyle w:val="paragraph"/>
      </w:pPr>
      <w:r w:rsidRPr="00C033B1">
        <w:tab/>
        <w:t>(e)</w:t>
      </w:r>
      <w:r w:rsidRPr="00C033B1">
        <w:tab/>
        <w:t xml:space="preserve">to not be satisfied that </w:t>
      </w:r>
      <w:r w:rsidR="00380E1D" w:rsidRPr="00C033B1">
        <w:t>the</w:t>
      </w:r>
      <w:r w:rsidR="007A4731" w:rsidRPr="00C033B1">
        <w:t xml:space="preserve"> </w:t>
      </w:r>
      <w:r w:rsidRPr="00C033B1">
        <w:t xml:space="preserve">circumstances </w:t>
      </w:r>
      <w:r w:rsidR="00380E1D" w:rsidRPr="00C033B1">
        <w:t xml:space="preserve">set out in </w:t>
      </w:r>
      <w:r w:rsidR="007D3911" w:rsidRPr="00C033B1">
        <w:t>subsection 2</w:t>
      </w:r>
      <w:r w:rsidR="00380E1D" w:rsidRPr="00C033B1">
        <w:t>.08(</w:t>
      </w:r>
      <w:r w:rsidR="0099319A" w:rsidRPr="00C033B1">
        <w:t>4</w:t>
      </w:r>
      <w:r w:rsidR="00380E1D" w:rsidRPr="00C033B1">
        <w:t xml:space="preserve">) </w:t>
      </w:r>
      <w:r w:rsidR="007A4731" w:rsidRPr="00C033B1">
        <w:t xml:space="preserve">apply </w:t>
      </w:r>
      <w:r w:rsidRPr="00C033B1">
        <w:t xml:space="preserve">in respect of </w:t>
      </w:r>
      <w:r w:rsidR="0055685D" w:rsidRPr="00C033B1">
        <w:t xml:space="preserve">certain </w:t>
      </w:r>
      <w:r w:rsidRPr="00C033B1">
        <w:t>taxation proceedings</w:t>
      </w:r>
      <w:r w:rsidR="00C35591" w:rsidRPr="00C033B1">
        <w:rPr>
          <w:i/>
        </w:rPr>
        <w:t>.</w:t>
      </w:r>
    </w:p>
    <w:p w14:paraId="1AAC0FFB" w14:textId="77777777" w:rsidR="009648B2" w:rsidRPr="00C033B1" w:rsidRDefault="009648B2" w:rsidP="009648B2">
      <w:pPr>
        <w:pStyle w:val="ActHead5"/>
      </w:pPr>
      <w:bookmarkStart w:id="39" w:name="_Toc114043993"/>
      <w:r w:rsidRPr="00025E64">
        <w:rPr>
          <w:rStyle w:val="CharSectno"/>
        </w:rPr>
        <w:t>2.22</w:t>
      </w:r>
      <w:r w:rsidRPr="00C033B1">
        <w:t xml:space="preserve">  Debt due to Commonwealth</w:t>
      </w:r>
      <w:bookmarkEnd w:id="39"/>
    </w:p>
    <w:p w14:paraId="55EDE06E" w14:textId="77777777" w:rsidR="009648B2" w:rsidRPr="00C033B1" w:rsidRDefault="009648B2" w:rsidP="009648B2">
      <w:pPr>
        <w:pStyle w:val="subsection"/>
      </w:pPr>
      <w:r w:rsidRPr="00C033B1">
        <w:tab/>
      </w:r>
      <w:r w:rsidRPr="00C033B1">
        <w:tab/>
        <w:t>Any fee that is not paid in accordance with this instrument is recoverable by the Commonwealth as a debt due to the Commonwealth.</w:t>
      </w:r>
    </w:p>
    <w:p w14:paraId="21C7CA68" w14:textId="77777777" w:rsidR="009648B2" w:rsidRPr="00C033B1" w:rsidRDefault="009648B2" w:rsidP="002345B6">
      <w:pPr>
        <w:pStyle w:val="ActHead2"/>
        <w:pageBreakBefore/>
      </w:pPr>
      <w:bookmarkStart w:id="40" w:name="_Toc114043994"/>
      <w:r w:rsidRPr="00025E64">
        <w:rPr>
          <w:rStyle w:val="CharPartNo"/>
        </w:rPr>
        <w:lastRenderedPageBreak/>
        <w:t>Part 3</w:t>
      </w:r>
      <w:r w:rsidRPr="00C033B1">
        <w:t>—</w:t>
      </w:r>
      <w:r w:rsidR="00C17E37" w:rsidRPr="00025E64">
        <w:rPr>
          <w:rStyle w:val="CharPartText"/>
        </w:rPr>
        <w:t>Jurors’ r</w:t>
      </w:r>
      <w:r w:rsidRPr="00025E64">
        <w:rPr>
          <w:rStyle w:val="CharPartText"/>
        </w:rPr>
        <w:t>emuneration</w:t>
      </w:r>
      <w:bookmarkEnd w:id="40"/>
    </w:p>
    <w:p w14:paraId="08ACC795" w14:textId="77777777" w:rsidR="009648B2" w:rsidRPr="00025E64" w:rsidRDefault="009648B2" w:rsidP="009648B2">
      <w:pPr>
        <w:pStyle w:val="Header"/>
      </w:pPr>
      <w:r w:rsidRPr="00025E64">
        <w:rPr>
          <w:rStyle w:val="CharDivNo"/>
        </w:rPr>
        <w:t xml:space="preserve"> </w:t>
      </w:r>
      <w:r w:rsidRPr="00025E64">
        <w:rPr>
          <w:rStyle w:val="CharDivText"/>
        </w:rPr>
        <w:t xml:space="preserve"> </w:t>
      </w:r>
    </w:p>
    <w:p w14:paraId="677163C3" w14:textId="77777777" w:rsidR="009648B2" w:rsidRPr="00C033B1" w:rsidRDefault="009648B2" w:rsidP="009648B2">
      <w:pPr>
        <w:pStyle w:val="ActHead5"/>
      </w:pPr>
      <w:bookmarkStart w:id="41" w:name="_Toc114043995"/>
      <w:r w:rsidRPr="00025E64">
        <w:rPr>
          <w:rStyle w:val="CharSectno"/>
        </w:rPr>
        <w:t>3.01</w:t>
      </w:r>
      <w:r w:rsidRPr="00C033B1">
        <w:t xml:space="preserve">  Purpose of Part</w:t>
      </w:r>
      <w:bookmarkEnd w:id="41"/>
    </w:p>
    <w:p w14:paraId="040D185E" w14:textId="77777777" w:rsidR="009648B2" w:rsidRPr="00C033B1" w:rsidRDefault="009648B2" w:rsidP="009648B2">
      <w:pPr>
        <w:pStyle w:val="subsection"/>
      </w:pPr>
      <w:r w:rsidRPr="00C033B1">
        <w:tab/>
      </w:r>
      <w:r w:rsidRPr="00C033B1">
        <w:tab/>
        <w:t xml:space="preserve">For </w:t>
      </w:r>
      <w:r w:rsidR="00020600" w:rsidRPr="00C033B1">
        <w:t xml:space="preserve">the purposes of </w:t>
      </w:r>
      <w:r w:rsidR="007D3911" w:rsidRPr="00C033B1">
        <w:t>section 2</w:t>
      </w:r>
      <w:r w:rsidRPr="00C033B1">
        <w:t xml:space="preserve">3EH of the Federal Court Act, this Part provides for remuneration and allowances </w:t>
      </w:r>
      <w:r w:rsidR="00625ED0" w:rsidRPr="00C033B1">
        <w:t>that are</w:t>
      </w:r>
      <w:r w:rsidRPr="00C033B1">
        <w:t xml:space="preserve"> payable to </w:t>
      </w:r>
      <w:r w:rsidR="00586897" w:rsidRPr="00C033B1">
        <w:t xml:space="preserve">a person who is a </w:t>
      </w:r>
      <w:r w:rsidR="001030BE" w:rsidRPr="00C033B1">
        <w:t xml:space="preserve">potential </w:t>
      </w:r>
      <w:r w:rsidRPr="00C033B1">
        <w:t xml:space="preserve">juror </w:t>
      </w:r>
      <w:r w:rsidR="00586897" w:rsidRPr="00C033B1">
        <w:t xml:space="preserve">or </w:t>
      </w:r>
      <w:r w:rsidRPr="00C033B1">
        <w:t xml:space="preserve">juror in relation to </w:t>
      </w:r>
      <w:r w:rsidR="00586897" w:rsidRPr="00C033B1">
        <w:t xml:space="preserve">a </w:t>
      </w:r>
      <w:r w:rsidRPr="00C033B1">
        <w:t>proceeding in the Federal Court.</w:t>
      </w:r>
    </w:p>
    <w:p w14:paraId="056C908A" w14:textId="77777777" w:rsidR="009648B2" w:rsidRPr="00C033B1" w:rsidRDefault="009648B2" w:rsidP="009648B2">
      <w:pPr>
        <w:pStyle w:val="ActHead5"/>
      </w:pPr>
      <w:bookmarkStart w:id="42" w:name="_Toc114043996"/>
      <w:r w:rsidRPr="00025E64">
        <w:rPr>
          <w:rStyle w:val="CharSectno"/>
        </w:rPr>
        <w:t>3.02</w:t>
      </w:r>
      <w:r w:rsidRPr="00C033B1">
        <w:t xml:space="preserve">  Remuneration</w:t>
      </w:r>
      <w:r w:rsidR="00625ED0" w:rsidRPr="00C033B1">
        <w:t xml:space="preserve"> and allowances</w:t>
      </w:r>
      <w:r w:rsidR="00C17E37" w:rsidRPr="00C033B1">
        <w:t>—base amount</w:t>
      </w:r>
      <w:bookmarkEnd w:id="42"/>
    </w:p>
    <w:p w14:paraId="30F1AF10" w14:textId="77777777" w:rsidR="009648B2" w:rsidRPr="00C033B1" w:rsidRDefault="009648B2" w:rsidP="009648B2">
      <w:pPr>
        <w:pStyle w:val="subsection"/>
      </w:pPr>
      <w:r w:rsidRPr="00C033B1">
        <w:tab/>
      </w:r>
      <w:r w:rsidR="00993813" w:rsidRPr="00C033B1">
        <w:t>(1)</w:t>
      </w:r>
      <w:r w:rsidR="009D5F26" w:rsidRPr="00C033B1">
        <w:tab/>
      </w:r>
      <w:r w:rsidR="0096715E" w:rsidRPr="00C033B1">
        <w:t>Schedule 2</w:t>
      </w:r>
      <w:r w:rsidRPr="00C033B1">
        <w:t xml:space="preserve"> sets out the </w:t>
      </w:r>
      <w:r w:rsidR="009D5F26" w:rsidRPr="00C033B1">
        <w:t xml:space="preserve">amounts of </w:t>
      </w:r>
      <w:r w:rsidRPr="00C033B1">
        <w:t>remuneration</w:t>
      </w:r>
      <w:r w:rsidR="00625ED0" w:rsidRPr="00C033B1">
        <w:t xml:space="preserve"> and allowances </w:t>
      </w:r>
      <w:r w:rsidRPr="00C033B1">
        <w:t xml:space="preserve">that </w:t>
      </w:r>
      <w:r w:rsidR="00625ED0" w:rsidRPr="00C033B1">
        <w:t>are</w:t>
      </w:r>
      <w:r w:rsidRPr="00C033B1">
        <w:t xml:space="preserve"> payable to </w:t>
      </w:r>
      <w:r w:rsidR="001030BE" w:rsidRPr="00C033B1">
        <w:t>the person.</w:t>
      </w:r>
    </w:p>
    <w:p w14:paraId="42D5C3BE" w14:textId="77777777" w:rsidR="001030BE" w:rsidRPr="00C033B1" w:rsidRDefault="001030BE" w:rsidP="001030BE">
      <w:pPr>
        <w:pStyle w:val="notetext"/>
      </w:pPr>
      <w:r w:rsidRPr="00C033B1">
        <w:t>Note:</w:t>
      </w:r>
      <w:r w:rsidRPr="00C033B1">
        <w:tab/>
        <w:t xml:space="preserve">The amounts are subject to increase under </w:t>
      </w:r>
      <w:r w:rsidR="007D3911" w:rsidRPr="00C033B1">
        <w:t>section 3</w:t>
      </w:r>
      <w:r w:rsidRPr="00C033B1">
        <w:t>.04.</w:t>
      </w:r>
    </w:p>
    <w:p w14:paraId="1DC31C14" w14:textId="77777777" w:rsidR="00B07422" w:rsidRPr="00C033B1" w:rsidRDefault="00B07422" w:rsidP="00B07422">
      <w:pPr>
        <w:pStyle w:val="SubsectionHead"/>
      </w:pPr>
      <w:r w:rsidRPr="00C033B1">
        <w:t>Amounts for attendance</w:t>
      </w:r>
    </w:p>
    <w:p w14:paraId="6118ECC0" w14:textId="77777777" w:rsidR="009D5F26" w:rsidRPr="00C033B1" w:rsidRDefault="001030BE" w:rsidP="004404FD">
      <w:pPr>
        <w:pStyle w:val="subsection"/>
      </w:pPr>
      <w:r w:rsidRPr="00C033B1">
        <w:tab/>
        <w:t>(2)</w:t>
      </w:r>
      <w:r w:rsidRPr="00C033B1">
        <w:tab/>
        <w:t xml:space="preserve">The amounts mentioned in </w:t>
      </w:r>
      <w:r w:rsidR="0096715E" w:rsidRPr="00C033B1">
        <w:t>Schedule 2</w:t>
      </w:r>
      <w:r w:rsidRPr="00C033B1">
        <w:t xml:space="preserve"> are payable</w:t>
      </w:r>
      <w:r w:rsidR="004404FD" w:rsidRPr="00C033B1">
        <w:t xml:space="preserve"> </w:t>
      </w:r>
      <w:r w:rsidR="009D5F26" w:rsidRPr="00C033B1">
        <w:t>for each day</w:t>
      </w:r>
      <w:r w:rsidRPr="00C033B1">
        <w:t xml:space="preserve"> </w:t>
      </w:r>
      <w:r w:rsidR="009D5F26" w:rsidRPr="00C033B1">
        <w:t>that</w:t>
      </w:r>
      <w:r w:rsidRPr="00C033B1">
        <w:t xml:space="preserve"> the person</w:t>
      </w:r>
      <w:r w:rsidR="009D5F26" w:rsidRPr="00C033B1">
        <w:t xml:space="preserve"> attends court</w:t>
      </w:r>
      <w:r w:rsidR="004404FD" w:rsidRPr="00C033B1">
        <w:t>.</w:t>
      </w:r>
    </w:p>
    <w:p w14:paraId="143F7884" w14:textId="77777777" w:rsidR="00B07422" w:rsidRPr="00C033B1" w:rsidRDefault="00B07422" w:rsidP="00B07422">
      <w:pPr>
        <w:pStyle w:val="SubsectionHead"/>
      </w:pPr>
      <w:r w:rsidRPr="00C033B1">
        <w:t>Amounts for non</w:t>
      </w:r>
      <w:r w:rsidR="00C033B1">
        <w:noBreakHyphen/>
      </w:r>
      <w:r w:rsidRPr="00C033B1">
        <w:t>attendance</w:t>
      </w:r>
    </w:p>
    <w:p w14:paraId="61FF0F9B" w14:textId="77777777" w:rsidR="0031355C" w:rsidRPr="00C033B1" w:rsidRDefault="004404FD" w:rsidP="004404FD">
      <w:pPr>
        <w:pStyle w:val="subsection"/>
      </w:pPr>
      <w:r w:rsidRPr="00C033B1">
        <w:tab/>
        <w:t>(3)</w:t>
      </w:r>
      <w:r w:rsidRPr="00C033B1">
        <w:tab/>
        <w:t xml:space="preserve">The amounts mentioned in </w:t>
      </w:r>
      <w:r w:rsidR="0096715E" w:rsidRPr="00C033B1">
        <w:t>Schedule 2</w:t>
      </w:r>
      <w:r w:rsidRPr="00C033B1">
        <w:t xml:space="preserve"> are also payable for each day, to a maximum of 5 days, that the person</w:t>
      </w:r>
      <w:r w:rsidR="001030BE" w:rsidRPr="00C033B1">
        <w:t xml:space="preserve"> </w:t>
      </w:r>
      <w:r w:rsidR="009D5F26" w:rsidRPr="00C033B1">
        <w:t>is not required to attend court</w:t>
      </w:r>
      <w:r w:rsidR="0031355C" w:rsidRPr="00C033B1">
        <w:t>.</w:t>
      </w:r>
    </w:p>
    <w:p w14:paraId="11069B3B" w14:textId="77777777" w:rsidR="009648B2" w:rsidRPr="00C033B1" w:rsidRDefault="009648B2" w:rsidP="009648B2">
      <w:pPr>
        <w:pStyle w:val="ActHead5"/>
      </w:pPr>
      <w:bookmarkStart w:id="43" w:name="_Toc114043997"/>
      <w:r w:rsidRPr="00025E64">
        <w:rPr>
          <w:rStyle w:val="CharSectno"/>
        </w:rPr>
        <w:t>3.03</w:t>
      </w:r>
      <w:r w:rsidRPr="00C033B1">
        <w:t xml:space="preserve">  </w:t>
      </w:r>
      <w:r w:rsidR="00C17E37" w:rsidRPr="00C033B1">
        <w:t>Remuneration and allowances—reimbursement of a</w:t>
      </w:r>
      <w:r w:rsidR="00625ED0" w:rsidRPr="00C033B1">
        <w:t xml:space="preserve">dditional </w:t>
      </w:r>
      <w:r w:rsidR="00C17E37" w:rsidRPr="00C033B1">
        <w:t>travel costs</w:t>
      </w:r>
      <w:bookmarkEnd w:id="43"/>
    </w:p>
    <w:p w14:paraId="457DEBD1" w14:textId="77777777" w:rsidR="009648B2" w:rsidRPr="00C033B1" w:rsidRDefault="009648B2" w:rsidP="009648B2">
      <w:pPr>
        <w:pStyle w:val="subsection"/>
      </w:pPr>
      <w:r w:rsidRPr="00C033B1">
        <w:tab/>
        <w:t>(</w:t>
      </w:r>
      <w:r w:rsidR="009D5F26" w:rsidRPr="00C033B1">
        <w:t>1</w:t>
      </w:r>
      <w:r w:rsidRPr="00C033B1">
        <w:t>)</w:t>
      </w:r>
      <w:r w:rsidRPr="00C033B1">
        <w:tab/>
      </w:r>
      <w:r w:rsidR="009D5F26" w:rsidRPr="00C033B1">
        <w:t>I</w:t>
      </w:r>
      <w:r w:rsidRPr="00C033B1">
        <w:t xml:space="preserve">f </w:t>
      </w:r>
      <w:r w:rsidR="000E6EB3" w:rsidRPr="00C033B1">
        <w:t>the person</w:t>
      </w:r>
      <w:r w:rsidR="00586897" w:rsidRPr="00C033B1">
        <w:t xml:space="preserve"> </w:t>
      </w:r>
      <w:r w:rsidRPr="00C033B1">
        <w:t xml:space="preserve">is required to travel more than 30 </w:t>
      </w:r>
      <w:r w:rsidR="00586897" w:rsidRPr="00C033B1">
        <w:t xml:space="preserve">kilometres </w:t>
      </w:r>
      <w:r w:rsidRPr="00C033B1">
        <w:t xml:space="preserve">(by the shortest practical route) from </w:t>
      </w:r>
      <w:r w:rsidR="00586897" w:rsidRPr="00C033B1">
        <w:t>the person’s</w:t>
      </w:r>
      <w:r w:rsidRPr="00C033B1">
        <w:t xml:space="preserve"> usual place of residence to the Federal Court, the </w:t>
      </w:r>
      <w:r w:rsidR="00586897" w:rsidRPr="00C033B1">
        <w:t>person</w:t>
      </w:r>
      <w:r w:rsidRPr="00C033B1">
        <w:t xml:space="preserve"> may apply to the Sheriff of the Federal Court for reimbursement of reasonable travel costs.</w:t>
      </w:r>
    </w:p>
    <w:p w14:paraId="0ACC9269" w14:textId="77777777" w:rsidR="009648B2" w:rsidRPr="00C033B1" w:rsidRDefault="009648B2" w:rsidP="009648B2">
      <w:pPr>
        <w:pStyle w:val="subsection"/>
      </w:pPr>
      <w:r w:rsidRPr="00C033B1">
        <w:tab/>
        <w:t>(</w:t>
      </w:r>
      <w:r w:rsidR="009D5F26" w:rsidRPr="00C033B1">
        <w:t>2</w:t>
      </w:r>
      <w:r w:rsidRPr="00C033B1">
        <w:t>)</w:t>
      </w:r>
      <w:r w:rsidRPr="00C033B1">
        <w:tab/>
        <w:t xml:space="preserve">The Sheriff </w:t>
      </w:r>
      <w:r w:rsidR="00427977" w:rsidRPr="00C033B1">
        <w:t xml:space="preserve">of the Federal Court </w:t>
      </w:r>
      <w:r w:rsidRPr="00C033B1">
        <w:t>may approve:</w:t>
      </w:r>
    </w:p>
    <w:p w14:paraId="651985AF" w14:textId="77777777" w:rsidR="009648B2" w:rsidRPr="00C033B1" w:rsidRDefault="009648B2" w:rsidP="009648B2">
      <w:pPr>
        <w:pStyle w:val="paragraph"/>
      </w:pPr>
      <w:r w:rsidRPr="00C033B1">
        <w:tab/>
        <w:t>(a)</w:t>
      </w:r>
      <w:r w:rsidRPr="00C033B1">
        <w:tab/>
        <w:t>when the claim for reimbursement of travel costs may be submitted; and</w:t>
      </w:r>
    </w:p>
    <w:p w14:paraId="1F2A659D" w14:textId="77777777" w:rsidR="009648B2" w:rsidRPr="00C033B1" w:rsidRDefault="009648B2" w:rsidP="009648B2">
      <w:pPr>
        <w:pStyle w:val="paragraph"/>
      </w:pPr>
      <w:r w:rsidRPr="00C033B1">
        <w:tab/>
        <w:t>(b)</w:t>
      </w:r>
      <w:r w:rsidRPr="00C033B1">
        <w:tab/>
        <w:t>the form of the claim; and</w:t>
      </w:r>
    </w:p>
    <w:p w14:paraId="3889061C" w14:textId="77777777" w:rsidR="009648B2" w:rsidRPr="00C033B1" w:rsidRDefault="009648B2" w:rsidP="009648B2">
      <w:pPr>
        <w:pStyle w:val="paragraph"/>
      </w:pPr>
      <w:r w:rsidRPr="00C033B1">
        <w:tab/>
        <w:t>(c)</w:t>
      </w:r>
      <w:r w:rsidRPr="00C033B1">
        <w:tab/>
        <w:t>the information or documents that must be submitted with the claim.</w:t>
      </w:r>
    </w:p>
    <w:p w14:paraId="7BBC4459" w14:textId="77777777" w:rsidR="009648B2" w:rsidRPr="00C033B1" w:rsidRDefault="009648B2" w:rsidP="009648B2">
      <w:pPr>
        <w:pStyle w:val="subsection"/>
      </w:pPr>
      <w:r w:rsidRPr="00C033B1">
        <w:tab/>
        <w:t>(</w:t>
      </w:r>
      <w:r w:rsidR="009D5F26" w:rsidRPr="00C033B1">
        <w:t>3</w:t>
      </w:r>
      <w:r w:rsidRPr="00C033B1">
        <w:t>)</w:t>
      </w:r>
      <w:r w:rsidRPr="00C033B1">
        <w:tab/>
        <w:t xml:space="preserve">If the Sheriff </w:t>
      </w:r>
      <w:r w:rsidR="00427977" w:rsidRPr="00C033B1">
        <w:t xml:space="preserve">of the Federal Court </w:t>
      </w:r>
      <w:r w:rsidRPr="00C033B1">
        <w:t xml:space="preserve">does not, under </w:t>
      </w:r>
      <w:r w:rsidR="005833F4" w:rsidRPr="00C033B1">
        <w:t>paragraph (</w:t>
      </w:r>
      <w:r w:rsidR="009D5F26" w:rsidRPr="00C033B1">
        <w:t>2</w:t>
      </w:r>
      <w:r w:rsidRPr="00C033B1">
        <w:t xml:space="preserve">)(a), approve when the claim may be submitted, a claim for reimbursement of travel costs may be submitted within 5 days of the </w:t>
      </w:r>
      <w:r w:rsidR="00625ED0" w:rsidRPr="00C033B1">
        <w:t>person</w:t>
      </w:r>
      <w:r w:rsidRPr="00C033B1">
        <w:t xml:space="preserve"> incurring the travel costs.</w:t>
      </w:r>
    </w:p>
    <w:p w14:paraId="009704EB" w14:textId="77777777" w:rsidR="009648B2" w:rsidRPr="00C033B1" w:rsidRDefault="009648B2" w:rsidP="009648B2">
      <w:pPr>
        <w:pStyle w:val="ActHead5"/>
      </w:pPr>
      <w:bookmarkStart w:id="44" w:name="_Toc114043998"/>
      <w:r w:rsidRPr="00025E64">
        <w:rPr>
          <w:rStyle w:val="CharSectno"/>
        </w:rPr>
        <w:t>3.04</w:t>
      </w:r>
      <w:r w:rsidRPr="00C033B1">
        <w:t xml:space="preserve">  Annual increase in remuneration</w:t>
      </w:r>
      <w:r w:rsidR="004A5A8F" w:rsidRPr="00C033B1">
        <w:t xml:space="preserve"> and allowances</w:t>
      </w:r>
      <w:bookmarkEnd w:id="44"/>
    </w:p>
    <w:p w14:paraId="3CA46524" w14:textId="77777777" w:rsidR="009648B2" w:rsidRPr="00C033B1" w:rsidRDefault="009648B2" w:rsidP="009648B2">
      <w:pPr>
        <w:pStyle w:val="subsection"/>
      </w:pPr>
      <w:r w:rsidRPr="00C033B1">
        <w:tab/>
        <w:t>(1)</w:t>
      </w:r>
      <w:r w:rsidRPr="00C033B1">
        <w:tab/>
      </w:r>
      <w:r w:rsidR="00812BC5" w:rsidRPr="00C033B1">
        <w:t>Each</w:t>
      </w:r>
      <w:r w:rsidR="007E7652" w:rsidRPr="00C033B1">
        <w:t xml:space="preserve"> dollar</w:t>
      </w:r>
      <w:r w:rsidRPr="00C033B1">
        <w:t xml:space="preserve"> amount</w:t>
      </w:r>
      <w:r w:rsidR="00812BC5" w:rsidRPr="00C033B1">
        <w:t xml:space="preserve"> mentioned</w:t>
      </w:r>
      <w:r w:rsidRPr="00C033B1">
        <w:t xml:space="preserve"> </w:t>
      </w:r>
      <w:r w:rsidR="006F77E9" w:rsidRPr="00C033B1">
        <w:t>in</w:t>
      </w:r>
      <w:r w:rsidR="00993813" w:rsidRPr="00C033B1">
        <w:t xml:space="preserve"> </w:t>
      </w:r>
      <w:r w:rsidR="0096715E" w:rsidRPr="00C033B1">
        <w:t>Schedule 2</w:t>
      </w:r>
      <w:r w:rsidRPr="00C033B1">
        <w:t xml:space="preserve"> </w:t>
      </w:r>
      <w:r w:rsidR="00812BC5" w:rsidRPr="00C033B1">
        <w:t>is</w:t>
      </w:r>
      <w:r w:rsidRPr="00C033B1">
        <w:t xml:space="preserve"> increased on 1 July </w:t>
      </w:r>
      <w:r w:rsidR="00625ED0" w:rsidRPr="00C033B1">
        <w:t>2023</w:t>
      </w:r>
      <w:r w:rsidRPr="00C033B1">
        <w:t>, and on each 1 July following that day</w:t>
      </w:r>
      <w:r w:rsidR="000E6EB3" w:rsidRPr="00C033B1">
        <w:t>, in accordance with this section</w:t>
      </w:r>
      <w:r w:rsidRPr="00C033B1">
        <w:t>.</w:t>
      </w:r>
    </w:p>
    <w:p w14:paraId="09C8F1A5" w14:textId="77777777" w:rsidR="009648B2" w:rsidRPr="00C033B1" w:rsidRDefault="009648B2" w:rsidP="009648B2">
      <w:pPr>
        <w:pStyle w:val="subsection"/>
      </w:pPr>
      <w:r w:rsidRPr="00C033B1">
        <w:tab/>
        <w:t>(2)</w:t>
      </w:r>
      <w:r w:rsidRPr="00C033B1">
        <w:tab/>
        <w:t xml:space="preserve">If, in a relevant period, the latest CPI number is greater than the earlier CPI number, </w:t>
      </w:r>
      <w:r w:rsidR="00812BC5" w:rsidRPr="00C033B1">
        <w:t>the</w:t>
      </w:r>
      <w:r w:rsidRPr="00C033B1">
        <w:t xml:space="preserve"> </w:t>
      </w:r>
      <w:r w:rsidR="006F77E9" w:rsidRPr="00C033B1">
        <w:t>amount</w:t>
      </w:r>
      <w:r w:rsidRPr="00C033B1">
        <w:t xml:space="preserve"> </w:t>
      </w:r>
      <w:r w:rsidR="00993813" w:rsidRPr="00C033B1">
        <w:t xml:space="preserve">is </w:t>
      </w:r>
      <w:r w:rsidRPr="00C033B1">
        <w:t>increase</w:t>
      </w:r>
      <w:r w:rsidR="00993813" w:rsidRPr="00C033B1">
        <w:t>d</w:t>
      </w:r>
      <w:r w:rsidRPr="00C033B1">
        <w:t>, on 1 July immediately following the end of the period, in accordance with the formula:</w:t>
      </w:r>
    </w:p>
    <w:p w14:paraId="7CEB0487" w14:textId="77777777" w:rsidR="00CB12C1" w:rsidRPr="00C033B1" w:rsidRDefault="00113E5F" w:rsidP="00CB12C1">
      <w:pPr>
        <w:pStyle w:val="subsection2"/>
      </w:pPr>
      <w:r w:rsidRPr="00C033B1">
        <w:rPr>
          <w:position w:val="-54"/>
        </w:rPr>
        <w:object w:dxaOrig="2580" w:dyaOrig="1100" w14:anchorId="6F816A70">
          <v:shape id="_x0000_i1026" type="#_x0000_t75" alt="Start formula start fraction amount times latest CPI number over earlier CPI number end fraction end formula." style="width:129pt;height:54pt" o:ole="">
            <v:imagedata r:id="rId22" o:title=""/>
          </v:shape>
          <o:OLEObject Type="Embed" ProgID="Equation.DSMT4" ShapeID="_x0000_i1026" DrawAspect="Content" ObjectID="_1734345067" r:id="rId23"/>
        </w:object>
      </w:r>
    </w:p>
    <w:p w14:paraId="5F19BB15" w14:textId="77777777" w:rsidR="009648B2" w:rsidRPr="00C033B1" w:rsidRDefault="009648B2" w:rsidP="009648B2">
      <w:pPr>
        <w:pStyle w:val="subsection2"/>
      </w:pPr>
      <w:r w:rsidRPr="00C033B1">
        <w:t>where:</w:t>
      </w:r>
    </w:p>
    <w:p w14:paraId="792B0132" w14:textId="77777777" w:rsidR="00CB12C1" w:rsidRPr="00C033B1" w:rsidRDefault="006F77E9" w:rsidP="009648B2">
      <w:pPr>
        <w:pStyle w:val="Definition"/>
      </w:pPr>
      <w:r w:rsidRPr="00C033B1">
        <w:rPr>
          <w:b/>
          <w:i/>
        </w:rPr>
        <w:t>amount</w:t>
      </w:r>
      <w:r w:rsidR="00426E67" w:rsidRPr="00C033B1">
        <w:t xml:space="preserve"> </w:t>
      </w:r>
      <w:r w:rsidR="00CB12C1" w:rsidRPr="00C033B1">
        <w:t xml:space="preserve">is the amount </w:t>
      </w:r>
      <w:r w:rsidRPr="00C033B1">
        <w:t>in force at the end of the relevant period.</w:t>
      </w:r>
    </w:p>
    <w:p w14:paraId="01D9E2F0" w14:textId="77777777" w:rsidR="009648B2" w:rsidRPr="00C033B1" w:rsidRDefault="009648B2" w:rsidP="009648B2">
      <w:pPr>
        <w:pStyle w:val="Definition"/>
      </w:pPr>
      <w:r w:rsidRPr="00C033B1">
        <w:rPr>
          <w:b/>
          <w:i/>
        </w:rPr>
        <w:t>earlier CPI number</w:t>
      </w:r>
      <w:r w:rsidRPr="00C033B1">
        <w:t xml:space="preserve"> is the CPI number for the last March quarter before the start of the relevant period.</w:t>
      </w:r>
    </w:p>
    <w:p w14:paraId="1EE3C9C3" w14:textId="77777777" w:rsidR="009648B2" w:rsidRPr="00C033B1" w:rsidRDefault="009648B2" w:rsidP="009648B2">
      <w:pPr>
        <w:pStyle w:val="Definition"/>
      </w:pPr>
      <w:r w:rsidRPr="00C033B1">
        <w:rPr>
          <w:b/>
          <w:i/>
        </w:rPr>
        <w:t>latest CPI number</w:t>
      </w:r>
      <w:r w:rsidRPr="00C033B1">
        <w:t xml:space="preserve"> is the CPI number for the last March quarter before the end of the relevant period.</w:t>
      </w:r>
    </w:p>
    <w:p w14:paraId="23BFF6A4" w14:textId="77777777" w:rsidR="009648B2" w:rsidRPr="00C033B1" w:rsidRDefault="009648B2" w:rsidP="009648B2">
      <w:pPr>
        <w:pStyle w:val="subsection"/>
      </w:pPr>
      <w:r w:rsidRPr="00C033B1">
        <w:tab/>
        <w:t>(3)</w:t>
      </w:r>
      <w:r w:rsidRPr="00C033B1">
        <w:tab/>
        <w:t xml:space="preserve">If, apart from this clause, </w:t>
      </w:r>
      <w:r w:rsidR="006F77E9" w:rsidRPr="00C033B1">
        <w:t>an amount</w:t>
      </w:r>
      <w:r w:rsidRPr="00C033B1">
        <w:t xml:space="preserve"> increased under </w:t>
      </w:r>
      <w:r w:rsidR="005833F4" w:rsidRPr="00C033B1">
        <w:t>subsection (</w:t>
      </w:r>
      <w:r w:rsidRPr="00C033B1">
        <w:t>2) would be an amount of dollars and cents, the amount is taken to be rounded to the nearest whole dollar and, if the amount to be rounded is 50 cents, rounded down.</w:t>
      </w:r>
    </w:p>
    <w:p w14:paraId="1665AFEC" w14:textId="77777777" w:rsidR="009648B2" w:rsidRPr="00C033B1" w:rsidRDefault="009648B2" w:rsidP="009648B2">
      <w:pPr>
        <w:pStyle w:val="subsection"/>
      </w:pPr>
      <w:r w:rsidRPr="00C033B1">
        <w:tab/>
        <w:t>(4)</w:t>
      </w:r>
      <w:r w:rsidRPr="00C033B1">
        <w:tab/>
        <w:t>If the Australian Statistician publishes for a particular March quarter a CPI number in substitution for a CPI number previously published by the Australian Statistician for that quarter, the publication of the later CPI number is disregarded for this section.</w:t>
      </w:r>
    </w:p>
    <w:p w14:paraId="561AA901" w14:textId="77777777" w:rsidR="009648B2" w:rsidRPr="00C033B1" w:rsidRDefault="009648B2" w:rsidP="009648B2">
      <w:pPr>
        <w:pStyle w:val="subsection"/>
      </w:pPr>
      <w:r w:rsidRPr="00C033B1">
        <w:tab/>
        <w:t>(5)</w:t>
      </w:r>
      <w:r w:rsidRPr="00C033B1">
        <w:tab/>
        <w:t xml:space="preserve">However, if the Australian Statistician changes the </w:t>
      </w:r>
      <w:r w:rsidR="006F77E9" w:rsidRPr="00C033B1">
        <w:t>index reference period</w:t>
      </w:r>
      <w:r w:rsidRPr="00C033B1">
        <w:t xml:space="preserve"> for the </w:t>
      </w:r>
      <w:r w:rsidR="007C6E3A" w:rsidRPr="00C033B1">
        <w:t>CPI number</w:t>
      </w:r>
      <w:r w:rsidRPr="00C033B1">
        <w:t xml:space="preserve">, then for the application of this section after the change is made, regard must be had only to CPI numbers published in terms of the new </w:t>
      </w:r>
      <w:r w:rsidR="006F77E9" w:rsidRPr="00C033B1">
        <w:t>index reference period</w:t>
      </w:r>
      <w:r w:rsidRPr="00C033B1">
        <w:t>.</w:t>
      </w:r>
    </w:p>
    <w:p w14:paraId="57D27503" w14:textId="77777777" w:rsidR="009648B2" w:rsidRPr="00C033B1" w:rsidRDefault="009648B2" w:rsidP="00B85C14">
      <w:pPr>
        <w:pStyle w:val="ActHead2"/>
        <w:pageBreakBefore/>
      </w:pPr>
      <w:bookmarkStart w:id="45" w:name="_Toc114043999"/>
      <w:r w:rsidRPr="00025E64">
        <w:rPr>
          <w:rStyle w:val="CharPartNo"/>
        </w:rPr>
        <w:lastRenderedPageBreak/>
        <w:t>Part 4</w:t>
      </w:r>
      <w:r w:rsidRPr="00C033B1">
        <w:t>—</w:t>
      </w:r>
      <w:r w:rsidR="00D608C2" w:rsidRPr="00025E64">
        <w:rPr>
          <w:rStyle w:val="CharPartText"/>
        </w:rPr>
        <w:t>Jurisdiction</w:t>
      </w:r>
      <w:bookmarkEnd w:id="45"/>
    </w:p>
    <w:p w14:paraId="3FDFD246" w14:textId="77777777" w:rsidR="009648B2" w:rsidRPr="00025E64" w:rsidRDefault="009648B2" w:rsidP="009648B2">
      <w:pPr>
        <w:pStyle w:val="Header"/>
      </w:pPr>
      <w:r w:rsidRPr="00025E64">
        <w:rPr>
          <w:rStyle w:val="CharDivNo"/>
        </w:rPr>
        <w:t xml:space="preserve"> </w:t>
      </w:r>
      <w:r w:rsidRPr="00025E64">
        <w:rPr>
          <w:rStyle w:val="CharDivText"/>
        </w:rPr>
        <w:t xml:space="preserve"> </w:t>
      </w:r>
    </w:p>
    <w:p w14:paraId="0892ADA3" w14:textId="77777777" w:rsidR="009648B2" w:rsidRPr="00C033B1" w:rsidRDefault="009648B2" w:rsidP="009648B2">
      <w:pPr>
        <w:pStyle w:val="ActHead5"/>
      </w:pPr>
      <w:bookmarkStart w:id="46" w:name="_Toc114044000"/>
      <w:r w:rsidRPr="00025E64">
        <w:rPr>
          <w:rStyle w:val="CharSectno"/>
        </w:rPr>
        <w:t>4.02</w:t>
      </w:r>
      <w:r w:rsidRPr="00C033B1">
        <w:t xml:space="preserve">  Leave to appeal</w:t>
      </w:r>
      <w:r w:rsidR="00E91EB5" w:rsidRPr="00C033B1">
        <w:t xml:space="preserve"> </w:t>
      </w:r>
      <w:r w:rsidR="00BC4864" w:rsidRPr="00C033B1">
        <w:t xml:space="preserve">required </w:t>
      </w:r>
      <w:r w:rsidR="009B66A0" w:rsidRPr="00C033B1">
        <w:t>for some family law and child support proceedings—prescribed judgments</w:t>
      </w:r>
      <w:bookmarkEnd w:id="46"/>
    </w:p>
    <w:p w14:paraId="7E1BF065" w14:textId="77777777" w:rsidR="009648B2" w:rsidRPr="00C033B1" w:rsidRDefault="009B66A0" w:rsidP="009648B2">
      <w:pPr>
        <w:pStyle w:val="subsection"/>
      </w:pPr>
      <w:r w:rsidRPr="00C033B1">
        <w:tab/>
      </w:r>
      <w:r w:rsidR="009648B2" w:rsidRPr="00C033B1">
        <w:t>(1)</w:t>
      </w:r>
      <w:r w:rsidR="009648B2" w:rsidRPr="00C033B1">
        <w:tab/>
        <w:t xml:space="preserve">For the purposes of </w:t>
      </w:r>
      <w:r w:rsidR="00D4482F" w:rsidRPr="00C033B1">
        <w:t>paragraph</w:t>
      </w:r>
      <w:r w:rsidR="009754C9" w:rsidRPr="00C033B1">
        <w:t>s</w:t>
      </w:r>
      <w:r w:rsidR="00D4482F" w:rsidRPr="00C033B1">
        <w:t> 2</w:t>
      </w:r>
      <w:r w:rsidR="009648B2" w:rsidRPr="00C033B1">
        <w:t xml:space="preserve">8(1)(b) </w:t>
      </w:r>
      <w:r w:rsidR="009754C9" w:rsidRPr="00C033B1">
        <w:t xml:space="preserve">and (3)(e) </w:t>
      </w:r>
      <w:r w:rsidR="009648B2" w:rsidRPr="00C033B1">
        <w:t>of the Federal Circuit and Family Court Act, the following judgments are prescribed:</w:t>
      </w:r>
    </w:p>
    <w:p w14:paraId="10E25D03" w14:textId="77777777" w:rsidR="009648B2" w:rsidRPr="00C033B1" w:rsidRDefault="009648B2" w:rsidP="009648B2">
      <w:pPr>
        <w:pStyle w:val="paragraph"/>
      </w:pPr>
      <w:r w:rsidRPr="00C033B1">
        <w:tab/>
        <w:t>(a)</w:t>
      </w:r>
      <w:r w:rsidRPr="00C033B1">
        <w:tab/>
        <w:t>an interlocutory decree</w:t>
      </w:r>
      <w:r w:rsidR="009754C9" w:rsidRPr="00C033B1">
        <w:t xml:space="preserve"> (</w:t>
      </w:r>
      <w:r w:rsidRPr="00C033B1">
        <w:t xml:space="preserve">other than </w:t>
      </w:r>
      <w:r w:rsidR="009754C9" w:rsidRPr="00C033B1">
        <w:t xml:space="preserve">a </w:t>
      </w:r>
      <w:r w:rsidRPr="00C033B1">
        <w:t>decree in relation to a child welfare matter</w:t>
      </w:r>
      <w:r w:rsidR="009754C9" w:rsidRPr="00C033B1">
        <w:t>)</w:t>
      </w:r>
      <w:r w:rsidRPr="00C033B1">
        <w:t>;</w:t>
      </w:r>
    </w:p>
    <w:p w14:paraId="5716FB8E" w14:textId="77777777" w:rsidR="009648B2" w:rsidRPr="00C033B1" w:rsidRDefault="009648B2" w:rsidP="009648B2">
      <w:pPr>
        <w:pStyle w:val="paragraph"/>
      </w:pPr>
      <w:r w:rsidRPr="00C033B1">
        <w:tab/>
        <w:t>(b)</w:t>
      </w:r>
      <w:r w:rsidRPr="00C033B1">
        <w:tab/>
        <w:t>an order under section 102PE, 102QF or 102QG of the Family Law Act.</w:t>
      </w:r>
    </w:p>
    <w:p w14:paraId="27BD4AA8" w14:textId="77777777" w:rsidR="009648B2" w:rsidRPr="00C033B1" w:rsidRDefault="009648B2" w:rsidP="009D4599">
      <w:pPr>
        <w:pStyle w:val="subsection"/>
      </w:pPr>
      <w:r w:rsidRPr="00C033B1">
        <w:tab/>
        <w:t>(</w:t>
      </w:r>
      <w:r w:rsidR="009754C9" w:rsidRPr="00C033B1">
        <w:t>2</w:t>
      </w:r>
      <w:r w:rsidRPr="00C033B1">
        <w:t>)</w:t>
      </w:r>
      <w:r w:rsidRPr="00C033B1">
        <w:tab/>
      </w:r>
      <w:r w:rsidR="009D4599" w:rsidRPr="00C033B1">
        <w:t xml:space="preserve">For </w:t>
      </w:r>
      <w:r w:rsidR="005833F4" w:rsidRPr="00C033B1">
        <w:t>paragraph (</w:t>
      </w:r>
      <w:r w:rsidR="009D4599" w:rsidRPr="00C033B1">
        <w:t xml:space="preserve">1)(a), a </w:t>
      </w:r>
      <w:r w:rsidRPr="00C033B1">
        <w:rPr>
          <w:b/>
          <w:i/>
        </w:rPr>
        <w:t>child welfare matter</w:t>
      </w:r>
      <w:r w:rsidRPr="00C033B1">
        <w:t xml:space="preserve"> </w:t>
      </w:r>
      <w:r w:rsidR="009D4599" w:rsidRPr="00C033B1">
        <w:t>is</w:t>
      </w:r>
      <w:r w:rsidRPr="00C033B1">
        <w:t xml:space="preserve"> a matter relating to the following:</w:t>
      </w:r>
    </w:p>
    <w:p w14:paraId="23E5E13B" w14:textId="77777777" w:rsidR="009648B2" w:rsidRPr="00C033B1" w:rsidRDefault="009648B2" w:rsidP="009648B2">
      <w:pPr>
        <w:pStyle w:val="paragraph"/>
      </w:pPr>
      <w:r w:rsidRPr="00C033B1">
        <w:tab/>
        <w:t>(a)</w:t>
      </w:r>
      <w:r w:rsidRPr="00C033B1">
        <w:tab/>
        <w:t>the person or persons with whom a child is to live;</w:t>
      </w:r>
    </w:p>
    <w:p w14:paraId="44FE51E0" w14:textId="77777777" w:rsidR="009648B2" w:rsidRPr="00C033B1" w:rsidRDefault="009648B2" w:rsidP="009648B2">
      <w:pPr>
        <w:pStyle w:val="paragraph"/>
      </w:pPr>
      <w:r w:rsidRPr="00C033B1">
        <w:tab/>
        <w:t>(b)</w:t>
      </w:r>
      <w:r w:rsidRPr="00C033B1">
        <w:tab/>
        <w:t>the person or persons with whom a child is to spend time or communicate;</w:t>
      </w:r>
    </w:p>
    <w:p w14:paraId="6B97D61D" w14:textId="77777777" w:rsidR="00E41D95" w:rsidRPr="00C033B1" w:rsidRDefault="009648B2" w:rsidP="009754C9">
      <w:pPr>
        <w:pStyle w:val="paragraph"/>
      </w:pPr>
      <w:r w:rsidRPr="00C033B1">
        <w:tab/>
        <w:t>(c)</w:t>
      </w:r>
      <w:r w:rsidRPr="00C033B1">
        <w:tab/>
        <w:t xml:space="preserve">any other aspect of parental responsibility (within the meaning of Part VII of the </w:t>
      </w:r>
      <w:r w:rsidR="00D16B05" w:rsidRPr="00C033B1">
        <w:t>Family Law Act</w:t>
      </w:r>
      <w:r w:rsidRPr="00C033B1">
        <w:t>) for a child.</w:t>
      </w:r>
    </w:p>
    <w:p w14:paraId="3AFE0B46" w14:textId="77777777" w:rsidR="00775E26" w:rsidRPr="00C033B1" w:rsidRDefault="009648B2" w:rsidP="00775E26">
      <w:pPr>
        <w:pStyle w:val="ActHead2"/>
        <w:pageBreakBefore/>
      </w:pPr>
      <w:bookmarkStart w:id="47" w:name="_Toc114044001"/>
      <w:r w:rsidRPr="00025E64">
        <w:rPr>
          <w:rStyle w:val="CharPartNo"/>
        </w:rPr>
        <w:lastRenderedPageBreak/>
        <w:t>Part 5</w:t>
      </w:r>
      <w:r w:rsidRPr="00C033B1">
        <w:t>—</w:t>
      </w:r>
      <w:r w:rsidR="00775E26" w:rsidRPr="00025E64">
        <w:rPr>
          <w:rStyle w:val="CharPartText"/>
        </w:rPr>
        <w:t>Application, saving and transitional provisions</w:t>
      </w:r>
      <w:bookmarkEnd w:id="47"/>
    </w:p>
    <w:p w14:paraId="3F035645" w14:textId="77777777" w:rsidR="00775E26" w:rsidRPr="00C033B1" w:rsidRDefault="00775E26" w:rsidP="00775E26">
      <w:pPr>
        <w:pStyle w:val="ActHead3"/>
      </w:pPr>
      <w:bookmarkStart w:id="48" w:name="_Toc114044002"/>
      <w:r w:rsidRPr="00025E64">
        <w:rPr>
          <w:rStyle w:val="CharDivNo"/>
        </w:rPr>
        <w:t>Division 5.1</w:t>
      </w:r>
      <w:r w:rsidRPr="00C033B1">
        <w:t>—</w:t>
      </w:r>
      <w:r w:rsidRPr="00025E64">
        <w:rPr>
          <w:rStyle w:val="CharDivText"/>
        </w:rPr>
        <w:t>Application, saving and transitional provisions in relation to the commencement of this instrument</w:t>
      </w:r>
      <w:bookmarkEnd w:id="48"/>
    </w:p>
    <w:p w14:paraId="7E1166BC" w14:textId="77777777" w:rsidR="00775E26" w:rsidRPr="00C033B1" w:rsidRDefault="00775E26" w:rsidP="00775E26">
      <w:pPr>
        <w:pStyle w:val="ActHead5"/>
      </w:pPr>
      <w:bookmarkStart w:id="49" w:name="_Toc114044003"/>
      <w:r w:rsidRPr="00025E64">
        <w:rPr>
          <w:rStyle w:val="CharSectno"/>
        </w:rPr>
        <w:t>5.01</w:t>
      </w:r>
      <w:r w:rsidRPr="00C033B1">
        <w:t xml:space="preserve">   Definitions</w:t>
      </w:r>
      <w:bookmarkEnd w:id="49"/>
    </w:p>
    <w:p w14:paraId="7C9F3A0C" w14:textId="77777777" w:rsidR="00775E26" w:rsidRPr="00C033B1" w:rsidRDefault="00775E26" w:rsidP="00775E26">
      <w:pPr>
        <w:pStyle w:val="subsection"/>
      </w:pPr>
      <w:r w:rsidRPr="00C033B1">
        <w:tab/>
      </w:r>
      <w:r w:rsidRPr="00C033B1">
        <w:tab/>
        <w:t>In this Division:</w:t>
      </w:r>
    </w:p>
    <w:p w14:paraId="0382D307" w14:textId="77777777" w:rsidR="00775E26" w:rsidRPr="00C033B1" w:rsidRDefault="00775E26" w:rsidP="00775E26">
      <w:pPr>
        <w:pStyle w:val="Definition"/>
      </w:pPr>
      <w:r w:rsidRPr="00C033B1">
        <w:rPr>
          <w:b/>
          <w:i/>
        </w:rPr>
        <w:t>old regulations</w:t>
      </w:r>
      <w:r w:rsidRPr="00C033B1">
        <w:t xml:space="preserve"> means the </w:t>
      </w:r>
      <w:r w:rsidRPr="00C033B1">
        <w:rPr>
          <w:i/>
        </w:rPr>
        <w:t xml:space="preserve">Federal Court and Federal Circuit and Family Court </w:t>
      </w:r>
      <w:r w:rsidR="00C033B1" w:rsidRPr="00C033B1">
        <w:rPr>
          <w:i/>
        </w:rPr>
        <w:t>Regulations 2</w:t>
      </w:r>
      <w:r w:rsidRPr="00C033B1">
        <w:rPr>
          <w:i/>
        </w:rPr>
        <w:t>012</w:t>
      </w:r>
      <w:r w:rsidRPr="00C033B1">
        <w:t xml:space="preserve">, as in force immediately before </w:t>
      </w:r>
      <w:r w:rsidR="00B154CF" w:rsidRPr="00C033B1">
        <w:t>1 April</w:t>
      </w:r>
      <w:r w:rsidRPr="00C033B1">
        <w:t xml:space="preserve"> 2023.</w:t>
      </w:r>
    </w:p>
    <w:p w14:paraId="4CE65FFA" w14:textId="77777777" w:rsidR="00F352AD" w:rsidRPr="00C033B1" w:rsidRDefault="00F352AD" w:rsidP="00F352AD">
      <w:pPr>
        <w:pStyle w:val="ActHead5"/>
      </w:pPr>
      <w:bookmarkStart w:id="50" w:name="_Toc114044004"/>
      <w:r w:rsidRPr="00025E64">
        <w:rPr>
          <w:rStyle w:val="CharSectno"/>
        </w:rPr>
        <w:t>5.02</w:t>
      </w:r>
      <w:r w:rsidRPr="00C033B1">
        <w:t xml:space="preserve">  Application provision</w:t>
      </w:r>
      <w:bookmarkEnd w:id="50"/>
    </w:p>
    <w:p w14:paraId="3CFCC8A5" w14:textId="77777777" w:rsidR="00F352AD" w:rsidRPr="00C033B1" w:rsidRDefault="00F352AD" w:rsidP="00F352AD">
      <w:pPr>
        <w:pStyle w:val="subsection"/>
      </w:pPr>
      <w:r w:rsidRPr="00C033B1">
        <w:tab/>
      </w:r>
      <w:r w:rsidRPr="00C033B1">
        <w:tab/>
        <w:t>This instrument applies in relation to the liability of a person to pay any of the following fees:</w:t>
      </w:r>
    </w:p>
    <w:p w14:paraId="48AA3F14" w14:textId="77777777" w:rsidR="00F352AD" w:rsidRPr="00C033B1" w:rsidRDefault="00F352AD" w:rsidP="00F352AD">
      <w:pPr>
        <w:pStyle w:val="paragraph"/>
      </w:pPr>
      <w:r w:rsidRPr="00C033B1">
        <w:tab/>
        <w:t>(a)</w:t>
      </w:r>
      <w:r w:rsidRPr="00C033B1">
        <w:tab/>
        <w:t>a filing fee for filing a document on or after 1 April 2023;</w:t>
      </w:r>
    </w:p>
    <w:p w14:paraId="4642B3A3" w14:textId="77777777" w:rsidR="00F352AD" w:rsidRPr="00C033B1" w:rsidRDefault="00F352AD" w:rsidP="00F352AD">
      <w:pPr>
        <w:pStyle w:val="paragraph"/>
      </w:pPr>
      <w:r w:rsidRPr="00C033B1">
        <w:tab/>
        <w:t>(b)</w:t>
      </w:r>
      <w:r w:rsidRPr="00C033B1">
        <w:tab/>
        <w:t>a setting down fee for a hearing if the day when the hearing is fixed is on or after 1 April 2023;</w:t>
      </w:r>
    </w:p>
    <w:p w14:paraId="07F25819" w14:textId="77777777" w:rsidR="00F352AD" w:rsidRPr="00C033B1" w:rsidRDefault="00F352AD" w:rsidP="00F352AD">
      <w:pPr>
        <w:pStyle w:val="paragraph"/>
      </w:pPr>
      <w:r w:rsidRPr="00C033B1">
        <w:tab/>
        <w:t>(c)</w:t>
      </w:r>
      <w:r w:rsidRPr="00C033B1">
        <w:tab/>
        <w:t xml:space="preserve">a hearing fee for a </w:t>
      </w:r>
      <w:r w:rsidR="005B0BCC" w:rsidRPr="00C033B1">
        <w:t xml:space="preserve">hearing </w:t>
      </w:r>
      <w:r w:rsidRPr="00C033B1">
        <w:t>day</w:t>
      </w:r>
      <w:r w:rsidR="00FE1E45" w:rsidRPr="00C033B1">
        <w:t xml:space="preserve"> if </w:t>
      </w:r>
      <w:r w:rsidR="005B0BCC" w:rsidRPr="00C033B1">
        <w:t>the</w:t>
      </w:r>
      <w:r w:rsidR="00FE1E45" w:rsidRPr="00C033B1">
        <w:t xml:space="preserve"> day </w:t>
      </w:r>
      <w:r w:rsidR="005B0BCC" w:rsidRPr="00C033B1">
        <w:t xml:space="preserve">when the hearing day </w:t>
      </w:r>
      <w:r w:rsidRPr="00C033B1">
        <w:t xml:space="preserve">is fixed </w:t>
      </w:r>
      <w:r w:rsidR="005B0BCC" w:rsidRPr="00C033B1">
        <w:t xml:space="preserve">is </w:t>
      </w:r>
      <w:r w:rsidRPr="00C033B1">
        <w:t>on or after 1 April 2023;</w:t>
      </w:r>
    </w:p>
    <w:p w14:paraId="772A6F6D" w14:textId="77777777" w:rsidR="00F352AD" w:rsidRPr="00C033B1" w:rsidRDefault="00F352AD" w:rsidP="00F352AD">
      <w:pPr>
        <w:pStyle w:val="paragraph"/>
      </w:pPr>
      <w:r w:rsidRPr="00C033B1">
        <w:tab/>
        <w:t>(d)</w:t>
      </w:r>
      <w:r w:rsidRPr="00C033B1">
        <w:tab/>
        <w:t>any other fee under this instrument for a document or service provided on or after 1 April 2023.</w:t>
      </w:r>
    </w:p>
    <w:p w14:paraId="32019937" w14:textId="77777777" w:rsidR="00E93207" w:rsidRPr="00C033B1" w:rsidRDefault="00E93207" w:rsidP="00E93207">
      <w:pPr>
        <w:pStyle w:val="ActHead5"/>
      </w:pPr>
      <w:bookmarkStart w:id="51" w:name="_Toc114044005"/>
      <w:r w:rsidRPr="00025E64">
        <w:rPr>
          <w:rStyle w:val="CharSectno"/>
        </w:rPr>
        <w:t>5.03</w:t>
      </w:r>
      <w:r w:rsidRPr="00C033B1">
        <w:t xml:space="preserve">  Saving provision</w:t>
      </w:r>
      <w:bookmarkEnd w:id="51"/>
    </w:p>
    <w:p w14:paraId="025FAD20" w14:textId="77777777" w:rsidR="00E93207" w:rsidRPr="00C033B1" w:rsidRDefault="00E93207" w:rsidP="00E93207">
      <w:pPr>
        <w:pStyle w:val="subsection"/>
      </w:pPr>
      <w:r w:rsidRPr="00C033B1">
        <w:tab/>
      </w:r>
      <w:r w:rsidRPr="00C033B1">
        <w:tab/>
        <w:t>To avoid doubt, the old regulations continue to apply in relation to the liability of a person to pay a fee incurred under the old regulations before 1 April 2023.</w:t>
      </w:r>
    </w:p>
    <w:p w14:paraId="2B814572" w14:textId="77777777" w:rsidR="00E93207" w:rsidRPr="00C033B1" w:rsidRDefault="00E93207" w:rsidP="00E93207">
      <w:pPr>
        <w:pStyle w:val="notetext"/>
      </w:pPr>
      <w:r w:rsidRPr="00C033B1">
        <w:t>Note:</w:t>
      </w:r>
      <w:r w:rsidRPr="00C033B1">
        <w:tab/>
        <w:t xml:space="preserve">Section 7 of the </w:t>
      </w:r>
      <w:r w:rsidRPr="00C033B1">
        <w:rPr>
          <w:i/>
        </w:rPr>
        <w:t>Acts Interpretation Act 1901</w:t>
      </w:r>
      <w:r w:rsidRPr="00C033B1">
        <w:t xml:space="preserve"> preserves the liability despite the repeal of the old regulations by this instrument on 1 April 2023. That section applies in relation to regulations because of section 13 of the </w:t>
      </w:r>
      <w:r w:rsidRPr="00C033B1">
        <w:rPr>
          <w:i/>
        </w:rPr>
        <w:t>Legislation Act 2003</w:t>
      </w:r>
      <w:r w:rsidRPr="00C033B1">
        <w:t>.</w:t>
      </w:r>
    </w:p>
    <w:p w14:paraId="1951EF53" w14:textId="77777777" w:rsidR="00F352AD" w:rsidRPr="00C033B1" w:rsidRDefault="00F352AD" w:rsidP="00F352AD">
      <w:pPr>
        <w:pStyle w:val="ActHead5"/>
      </w:pPr>
      <w:bookmarkStart w:id="52" w:name="_Toc114044006"/>
      <w:r w:rsidRPr="00025E64">
        <w:rPr>
          <w:rStyle w:val="CharSectno"/>
        </w:rPr>
        <w:t>5.0</w:t>
      </w:r>
      <w:r w:rsidR="00E93207" w:rsidRPr="00025E64">
        <w:rPr>
          <w:rStyle w:val="CharSectno"/>
        </w:rPr>
        <w:t>4</w:t>
      </w:r>
      <w:r w:rsidRPr="00C033B1">
        <w:t xml:space="preserve">  Things done under the old regulations</w:t>
      </w:r>
      <w:bookmarkEnd w:id="52"/>
    </w:p>
    <w:p w14:paraId="77570383" w14:textId="77777777" w:rsidR="00F352AD" w:rsidRPr="00C033B1" w:rsidRDefault="00F352AD" w:rsidP="00F352AD">
      <w:pPr>
        <w:pStyle w:val="subsection"/>
      </w:pPr>
      <w:r w:rsidRPr="00C033B1">
        <w:tab/>
        <w:t>(1)</w:t>
      </w:r>
      <w:r w:rsidRPr="00C033B1">
        <w:tab/>
        <w:t>If:</w:t>
      </w:r>
    </w:p>
    <w:p w14:paraId="602EB9EA" w14:textId="77777777" w:rsidR="00F352AD" w:rsidRPr="00C033B1" w:rsidRDefault="00F352AD" w:rsidP="00F352AD">
      <w:pPr>
        <w:pStyle w:val="paragraph"/>
      </w:pPr>
      <w:r w:rsidRPr="00C033B1">
        <w:tab/>
        <w:t>(a)</w:t>
      </w:r>
      <w:r w:rsidRPr="00C033B1">
        <w:tab/>
        <w:t>a thing was done for a particular purpose under the old regulations; and</w:t>
      </w:r>
    </w:p>
    <w:p w14:paraId="7B9F33A0" w14:textId="77777777" w:rsidR="00F352AD" w:rsidRPr="00C033B1" w:rsidRDefault="00F352AD" w:rsidP="00F352AD">
      <w:pPr>
        <w:pStyle w:val="paragraph"/>
      </w:pPr>
      <w:r w:rsidRPr="00C033B1">
        <w:tab/>
        <w:t>(b)</w:t>
      </w:r>
      <w:r w:rsidRPr="00C033B1">
        <w:tab/>
        <w:t>the thing could be done for that purpose under this instrument;</w:t>
      </w:r>
    </w:p>
    <w:p w14:paraId="258C775D" w14:textId="77777777" w:rsidR="00F352AD" w:rsidRPr="00C033B1" w:rsidRDefault="00F352AD" w:rsidP="00F352AD">
      <w:pPr>
        <w:pStyle w:val="subsection2"/>
      </w:pPr>
      <w:r w:rsidRPr="00C033B1">
        <w:t>the thing has effect for the purposes of this instrument as if it had been done for that purpose under this instrument.</w:t>
      </w:r>
    </w:p>
    <w:p w14:paraId="18CBF68A" w14:textId="77777777" w:rsidR="00F352AD" w:rsidRPr="00C033B1" w:rsidRDefault="00F352AD" w:rsidP="00F352AD">
      <w:pPr>
        <w:pStyle w:val="subsection"/>
      </w:pPr>
      <w:r w:rsidRPr="00C033B1">
        <w:tab/>
        <w:t>(2)</w:t>
      </w:r>
      <w:r w:rsidRPr="00C033B1">
        <w:tab/>
        <w:t xml:space="preserve">Without limiting </w:t>
      </w:r>
      <w:r w:rsidR="005833F4" w:rsidRPr="00C033B1">
        <w:t>subsection (</w:t>
      </w:r>
      <w:r w:rsidRPr="00C033B1">
        <w:t>1), a reference in that subsection to a thing being done includes a reference to a notice or a determination being given or made.</w:t>
      </w:r>
    </w:p>
    <w:p w14:paraId="63BDD81C" w14:textId="77777777" w:rsidR="00F352AD" w:rsidRPr="00C033B1" w:rsidRDefault="00F352AD" w:rsidP="00F352AD">
      <w:pPr>
        <w:pStyle w:val="ActHead5"/>
      </w:pPr>
      <w:bookmarkStart w:id="53" w:name="_Toc114044007"/>
      <w:r w:rsidRPr="00025E64">
        <w:rPr>
          <w:rStyle w:val="CharSectno"/>
        </w:rPr>
        <w:t>5.0</w:t>
      </w:r>
      <w:r w:rsidR="00E93207" w:rsidRPr="00025E64">
        <w:rPr>
          <w:rStyle w:val="CharSectno"/>
        </w:rPr>
        <w:t>5</w:t>
      </w:r>
      <w:r w:rsidRPr="00C033B1">
        <w:t xml:space="preserve">  Conduct, event</w:t>
      </w:r>
      <w:r w:rsidR="00715479" w:rsidRPr="00C033B1">
        <w:t xml:space="preserve"> or </w:t>
      </w:r>
      <w:r w:rsidRPr="00C033B1">
        <w:t>circumstances occurring before commencement</w:t>
      </w:r>
      <w:bookmarkEnd w:id="53"/>
    </w:p>
    <w:p w14:paraId="05188B0F" w14:textId="77777777" w:rsidR="00F352AD" w:rsidRPr="00C033B1" w:rsidRDefault="00F352AD" w:rsidP="00F352AD">
      <w:pPr>
        <w:pStyle w:val="subsection"/>
      </w:pPr>
      <w:r w:rsidRPr="00C033B1">
        <w:tab/>
        <w:t>(1)</w:t>
      </w:r>
      <w:r w:rsidRPr="00C033B1">
        <w:tab/>
        <w:t>To avoid doubt, a function or duty may be performed, or a power exercised, under this instrument in relation to conduct engaged in, an event that occurred, or a circumstance that arose, before 1 April 2023.</w:t>
      </w:r>
    </w:p>
    <w:p w14:paraId="199B6C9C" w14:textId="77777777" w:rsidR="00F352AD" w:rsidRPr="00C033B1" w:rsidRDefault="00F352AD" w:rsidP="00F352AD">
      <w:pPr>
        <w:pStyle w:val="notetext"/>
      </w:pPr>
      <w:r w:rsidRPr="00C033B1">
        <w:lastRenderedPageBreak/>
        <w:t>Note:</w:t>
      </w:r>
      <w:r w:rsidRPr="00C033B1">
        <w:tab/>
        <w:t>For example:</w:t>
      </w:r>
    </w:p>
    <w:p w14:paraId="7AA24BF3" w14:textId="77777777" w:rsidR="00F352AD" w:rsidRPr="00C033B1" w:rsidRDefault="00F352AD" w:rsidP="00F352AD">
      <w:pPr>
        <w:pStyle w:val="notepara"/>
      </w:pPr>
      <w:r w:rsidRPr="00C033B1">
        <w:t>(a)</w:t>
      </w:r>
      <w:r w:rsidRPr="00C033B1">
        <w:tab/>
        <w:t xml:space="preserve">a fee may be paid after 1 April 2023 in accordance with </w:t>
      </w:r>
      <w:r w:rsidR="007D3911" w:rsidRPr="00C033B1">
        <w:t>section 2</w:t>
      </w:r>
      <w:r w:rsidRPr="00C033B1">
        <w:t>.15 of this instrument if the Registrar deferred the payment of the fee before that day; and</w:t>
      </w:r>
    </w:p>
    <w:p w14:paraId="3F489AB8" w14:textId="77777777" w:rsidR="00F352AD" w:rsidRPr="00C033B1" w:rsidRDefault="00F352AD" w:rsidP="00F352AD">
      <w:pPr>
        <w:pStyle w:val="notepara"/>
      </w:pPr>
      <w:r w:rsidRPr="00C033B1">
        <w:t>(b)</w:t>
      </w:r>
      <w:r w:rsidRPr="00C033B1">
        <w:tab/>
        <w:t>a person may pay a reduced fee in respect of a hearing that is fixed on or after 1 April 2023 if the Registrar determines before that day that the person may pay that fee.</w:t>
      </w:r>
    </w:p>
    <w:p w14:paraId="5F645EFB" w14:textId="77777777" w:rsidR="00F352AD" w:rsidRPr="00C033B1" w:rsidRDefault="00F352AD" w:rsidP="00F352AD">
      <w:pPr>
        <w:pStyle w:val="subsection"/>
      </w:pPr>
      <w:r w:rsidRPr="00C033B1">
        <w:tab/>
        <w:t>(2)</w:t>
      </w:r>
      <w:r w:rsidRPr="00C033B1">
        <w:tab/>
        <w:t xml:space="preserve">This section does not limit </w:t>
      </w:r>
      <w:r w:rsidR="007D3911" w:rsidRPr="00C033B1">
        <w:t>section 5</w:t>
      </w:r>
      <w:r w:rsidRPr="00C033B1">
        <w:t>.0</w:t>
      </w:r>
      <w:r w:rsidR="00E93207" w:rsidRPr="00C033B1">
        <w:t>4</w:t>
      </w:r>
      <w:r w:rsidRPr="00C033B1">
        <w:t xml:space="preserve"> of this instrument or section 7 of the </w:t>
      </w:r>
      <w:r w:rsidRPr="00C033B1">
        <w:rPr>
          <w:i/>
        </w:rPr>
        <w:t>Acts Interpretation Act 1901</w:t>
      </w:r>
      <w:r w:rsidRPr="00C033B1">
        <w:t xml:space="preserve"> (as that Act applies in relation to this instrument because of paragraph 13(1)(a) of the </w:t>
      </w:r>
      <w:r w:rsidRPr="00C033B1">
        <w:rPr>
          <w:i/>
        </w:rPr>
        <w:t>Legislation Act 2003</w:t>
      </w:r>
      <w:r w:rsidRPr="00C033B1">
        <w:t>).</w:t>
      </w:r>
    </w:p>
    <w:p w14:paraId="289CB0BB" w14:textId="77777777" w:rsidR="007819D8" w:rsidRPr="00C033B1" w:rsidRDefault="007819D8" w:rsidP="004A1E86">
      <w:pPr>
        <w:sectPr w:rsidR="007819D8" w:rsidRPr="00C033B1" w:rsidSect="00AB3172">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09" w:gutter="0"/>
          <w:pgNumType w:start="1"/>
          <w:cols w:space="720"/>
          <w:docGrid w:linePitch="299"/>
        </w:sectPr>
      </w:pPr>
    </w:p>
    <w:p w14:paraId="1E34BED7" w14:textId="77777777" w:rsidR="009648B2" w:rsidRPr="00C033B1" w:rsidRDefault="007D3911" w:rsidP="00243DF1">
      <w:pPr>
        <w:pStyle w:val="ActHead1"/>
        <w:pageBreakBefore/>
      </w:pPr>
      <w:bookmarkStart w:id="54" w:name="_Toc114044008"/>
      <w:r w:rsidRPr="00025E64">
        <w:rPr>
          <w:rStyle w:val="CharChapNo"/>
        </w:rPr>
        <w:lastRenderedPageBreak/>
        <w:t>Schedule 1</w:t>
      </w:r>
      <w:r w:rsidR="009648B2" w:rsidRPr="00C033B1">
        <w:t>—</w:t>
      </w:r>
      <w:r w:rsidR="009648B2" w:rsidRPr="00025E64">
        <w:rPr>
          <w:rStyle w:val="CharChapText"/>
        </w:rPr>
        <w:t>Fees</w:t>
      </w:r>
      <w:bookmarkEnd w:id="54"/>
    </w:p>
    <w:p w14:paraId="688A0DD4" w14:textId="77777777" w:rsidR="009648B2" w:rsidRPr="00C033B1" w:rsidRDefault="009648B2" w:rsidP="009648B2">
      <w:pPr>
        <w:pStyle w:val="notemargin"/>
      </w:pPr>
      <w:r w:rsidRPr="00C033B1">
        <w:t>Note:</w:t>
      </w:r>
      <w:r w:rsidRPr="00C033B1">
        <w:tab/>
        <w:t xml:space="preserve">See </w:t>
      </w:r>
      <w:r w:rsidR="007D3911" w:rsidRPr="00C033B1">
        <w:t>section 2</w:t>
      </w:r>
      <w:r w:rsidRPr="00C033B1">
        <w:t>.02.</w:t>
      </w:r>
    </w:p>
    <w:p w14:paraId="1341620C" w14:textId="77777777" w:rsidR="009648B2" w:rsidRPr="00C033B1" w:rsidRDefault="00D4482F" w:rsidP="009648B2">
      <w:pPr>
        <w:pStyle w:val="ActHead2"/>
      </w:pPr>
      <w:bookmarkStart w:id="55" w:name="_Toc114044009"/>
      <w:r w:rsidRPr="00025E64">
        <w:rPr>
          <w:rStyle w:val="CharPartNo"/>
        </w:rPr>
        <w:t>Part 1</w:t>
      </w:r>
      <w:r w:rsidR="009648B2" w:rsidRPr="00C033B1">
        <w:t>—</w:t>
      </w:r>
      <w:r w:rsidR="009648B2" w:rsidRPr="00025E64">
        <w:rPr>
          <w:rStyle w:val="CharPartText"/>
        </w:rPr>
        <w:t>Fees for proceedings in the Federal Court</w:t>
      </w:r>
      <w:bookmarkEnd w:id="55"/>
    </w:p>
    <w:p w14:paraId="4E5B2CA4" w14:textId="77777777" w:rsidR="009648B2" w:rsidRPr="00025E64" w:rsidRDefault="009648B2" w:rsidP="009648B2">
      <w:pPr>
        <w:pStyle w:val="Header"/>
      </w:pPr>
      <w:r w:rsidRPr="00025E64">
        <w:rPr>
          <w:rStyle w:val="CharDivNo"/>
        </w:rPr>
        <w:t xml:space="preserve"> </w:t>
      </w:r>
      <w:r w:rsidRPr="00025E64">
        <w:rPr>
          <w:rStyle w:val="CharDivText"/>
        </w:rPr>
        <w:t xml:space="preserve"> </w:t>
      </w:r>
    </w:p>
    <w:p w14:paraId="1ACC77F5" w14:textId="77777777" w:rsidR="009648B2" w:rsidRPr="00C033B1" w:rsidRDefault="009648B2" w:rsidP="009648B2">
      <w:pPr>
        <w:pStyle w:val="subsection"/>
      </w:pPr>
      <w:r w:rsidRPr="00C033B1">
        <w:tab/>
      </w:r>
      <w:r w:rsidRPr="00C033B1">
        <w:tab/>
        <w:t>The following table sets out fees payable in relation to proceedings in the Federal Court.</w:t>
      </w:r>
    </w:p>
    <w:p w14:paraId="3122A674" w14:textId="77777777" w:rsidR="009648B2" w:rsidRPr="00C033B1" w:rsidRDefault="009648B2" w:rsidP="009648B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01"/>
        <w:gridCol w:w="4514"/>
        <w:gridCol w:w="3314"/>
      </w:tblGrid>
      <w:tr w:rsidR="009648B2" w:rsidRPr="00C033B1" w14:paraId="758CAA06" w14:textId="77777777" w:rsidTr="00775E26">
        <w:trPr>
          <w:tblHeader/>
        </w:trPr>
        <w:tc>
          <w:tcPr>
            <w:tcW w:w="5000" w:type="pct"/>
            <w:gridSpan w:val="3"/>
            <w:tcBorders>
              <w:top w:val="single" w:sz="12" w:space="0" w:color="auto"/>
              <w:bottom w:val="single" w:sz="2" w:space="0" w:color="auto"/>
            </w:tcBorders>
            <w:shd w:val="clear" w:color="auto" w:fill="auto"/>
          </w:tcPr>
          <w:p w14:paraId="19588FAD" w14:textId="77777777" w:rsidR="009648B2" w:rsidRPr="00C033B1" w:rsidRDefault="009648B2" w:rsidP="00B22585">
            <w:pPr>
              <w:pStyle w:val="TableHeading"/>
            </w:pPr>
            <w:r w:rsidRPr="00C033B1">
              <w:t>Fees for proceedings in the Federal Court</w:t>
            </w:r>
          </w:p>
        </w:tc>
      </w:tr>
      <w:tr w:rsidR="009648B2" w:rsidRPr="00C033B1" w14:paraId="49E44D28" w14:textId="77777777" w:rsidTr="00775E26">
        <w:trPr>
          <w:tblHeader/>
        </w:trPr>
        <w:tc>
          <w:tcPr>
            <w:tcW w:w="411" w:type="pct"/>
            <w:tcBorders>
              <w:top w:val="single" w:sz="2" w:space="0" w:color="auto"/>
              <w:bottom w:val="single" w:sz="12" w:space="0" w:color="auto"/>
            </w:tcBorders>
            <w:shd w:val="clear" w:color="auto" w:fill="auto"/>
          </w:tcPr>
          <w:p w14:paraId="3063A1A4" w14:textId="77777777" w:rsidR="009648B2" w:rsidRPr="00C033B1" w:rsidRDefault="009648B2" w:rsidP="00B22585">
            <w:pPr>
              <w:pStyle w:val="TableHeading"/>
            </w:pPr>
            <w:r w:rsidRPr="00C033B1">
              <w:t>Item</w:t>
            </w:r>
          </w:p>
        </w:tc>
        <w:tc>
          <w:tcPr>
            <w:tcW w:w="2646" w:type="pct"/>
            <w:tcBorders>
              <w:top w:val="single" w:sz="2" w:space="0" w:color="auto"/>
              <w:bottom w:val="single" w:sz="12" w:space="0" w:color="auto"/>
            </w:tcBorders>
            <w:shd w:val="clear" w:color="auto" w:fill="auto"/>
          </w:tcPr>
          <w:p w14:paraId="793CD4FC" w14:textId="77777777" w:rsidR="009648B2" w:rsidRPr="00C033B1" w:rsidRDefault="009648B2" w:rsidP="00B22585">
            <w:pPr>
              <w:pStyle w:val="TableHeading"/>
            </w:pPr>
            <w:r w:rsidRPr="00C033B1">
              <w:t>Document or service</w:t>
            </w:r>
          </w:p>
        </w:tc>
        <w:tc>
          <w:tcPr>
            <w:tcW w:w="1943" w:type="pct"/>
            <w:tcBorders>
              <w:top w:val="single" w:sz="2" w:space="0" w:color="auto"/>
              <w:bottom w:val="single" w:sz="12" w:space="0" w:color="auto"/>
            </w:tcBorders>
            <w:shd w:val="clear" w:color="auto" w:fill="auto"/>
          </w:tcPr>
          <w:p w14:paraId="2DC3C188" w14:textId="77777777" w:rsidR="009648B2" w:rsidRPr="00C033B1" w:rsidRDefault="009648B2" w:rsidP="00B22585">
            <w:pPr>
              <w:pStyle w:val="TableHeading"/>
            </w:pPr>
            <w:r w:rsidRPr="00C033B1">
              <w:t>Fee</w:t>
            </w:r>
          </w:p>
        </w:tc>
      </w:tr>
      <w:tr w:rsidR="009648B2" w:rsidRPr="00C033B1" w14:paraId="782E17AC" w14:textId="77777777" w:rsidTr="00775E26">
        <w:tc>
          <w:tcPr>
            <w:tcW w:w="411" w:type="pct"/>
            <w:tcBorders>
              <w:top w:val="single" w:sz="12" w:space="0" w:color="auto"/>
            </w:tcBorders>
            <w:shd w:val="clear" w:color="auto" w:fill="auto"/>
          </w:tcPr>
          <w:p w14:paraId="5670CDB3" w14:textId="77777777" w:rsidR="009648B2" w:rsidRPr="00C033B1" w:rsidRDefault="009648B2" w:rsidP="00B22585">
            <w:pPr>
              <w:pStyle w:val="Tabletext"/>
            </w:pPr>
            <w:r w:rsidRPr="00C033B1">
              <w:t>101</w:t>
            </w:r>
          </w:p>
        </w:tc>
        <w:tc>
          <w:tcPr>
            <w:tcW w:w="2646" w:type="pct"/>
            <w:tcBorders>
              <w:top w:val="single" w:sz="12" w:space="0" w:color="auto"/>
            </w:tcBorders>
            <w:shd w:val="clear" w:color="auto" w:fill="auto"/>
          </w:tcPr>
          <w:p w14:paraId="40902185" w14:textId="77777777" w:rsidR="009648B2" w:rsidRPr="00C033B1" w:rsidRDefault="009648B2" w:rsidP="00B22585">
            <w:pPr>
              <w:pStyle w:val="Tabletext"/>
            </w:pPr>
            <w:r w:rsidRPr="00C033B1">
              <w:t>Filing of a document by which a proceeding</w:t>
            </w:r>
            <w:r w:rsidR="00E64632" w:rsidRPr="00C033B1">
              <w:t xml:space="preserve"> in the Federal Court</w:t>
            </w:r>
            <w:r w:rsidRPr="00C033B1">
              <w:t xml:space="preserve"> is commenced, other than:</w:t>
            </w:r>
          </w:p>
          <w:p w14:paraId="7462CED1" w14:textId="77777777" w:rsidR="009648B2" w:rsidRPr="00C033B1" w:rsidRDefault="009648B2" w:rsidP="00B22585">
            <w:pPr>
              <w:pStyle w:val="Tablea"/>
            </w:pPr>
            <w:r w:rsidRPr="00C033B1">
              <w:t xml:space="preserve">(a) a proceeding or application mentioned in </w:t>
            </w:r>
            <w:r w:rsidR="005833F4" w:rsidRPr="00C033B1">
              <w:t>item 1</w:t>
            </w:r>
            <w:r w:rsidRPr="00C033B1">
              <w:t>02 to 104, 112, 113 or 115 to 115B; or</w:t>
            </w:r>
          </w:p>
          <w:p w14:paraId="0DA53086" w14:textId="77777777" w:rsidR="009648B2" w:rsidRPr="00C033B1" w:rsidRDefault="009648B2" w:rsidP="00B22585">
            <w:pPr>
              <w:pStyle w:val="Tablea"/>
            </w:pPr>
            <w:r w:rsidRPr="00C033B1">
              <w:t>(b) an appeal from a judgment of a court; or</w:t>
            </w:r>
          </w:p>
          <w:p w14:paraId="15433D41" w14:textId="77777777" w:rsidR="009648B2" w:rsidRPr="00C033B1" w:rsidRDefault="009648B2" w:rsidP="00B22585">
            <w:pPr>
              <w:pStyle w:val="Tablea"/>
            </w:pPr>
            <w:r w:rsidRPr="00C033B1">
              <w:t>(c) an application for leave or special leave to appeal; or</w:t>
            </w:r>
          </w:p>
          <w:p w14:paraId="4F919F69" w14:textId="77777777" w:rsidR="009648B2" w:rsidRPr="00C033B1" w:rsidRDefault="009648B2" w:rsidP="00B22585">
            <w:pPr>
              <w:pStyle w:val="Tablea"/>
            </w:pPr>
            <w:r w:rsidRPr="00C033B1">
              <w:t>(d) an incidental proceeding in the course of, or in connection with, a proceeding; or</w:t>
            </w:r>
          </w:p>
          <w:p w14:paraId="209D4CD9" w14:textId="77777777" w:rsidR="009648B2" w:rsidRPr="00C033B1" w:rsidRDefault="009648B2" w:rsidP="00B22585">
            <w:pPr>
              <w:pStyle w:val="Tablea"/>
            </w:pPr>
            <w:r w:rsidRPr="00C033B1">
              <w:t xml:space="preserve">(e) an application under the </w:t>
            </w:r>
            <w:r w:rsidRPr="00C033B1">
              <w:rPr>
                <w:i/>
              </w:rPr>
              <w:t>Trans</w:t>
            </w:r>
            <w:r w:rsidR="00C033B1">
              <w:rPr>
                <w:i/>
              </w:rPr>
              <w:noBreakHyphen/>
            </w:r>
            <w:r w:rsidRPr="00C033B1">
              <w:rPr>
                <w:i/>
              </w:rPr>
              <w:t>Tasman Proceedings Act 2010</w:t>
            </w:r>
          </w:p>
        </w:tc>
        <w:tc>
          <w:tcPr>
            <w:tcW w:w="1943" w:type="pct"/>
            <w:tcBorders>
              <w:top w:val="single" w:sz="12" w:space="0" w:color="auto"/>
            </w:tcBorders>
            <w:shd w:val="clear" w:color="auto" w:fill="auto"/>
          </w:tcPr>
          <w:p w14:paraId="4D99E22B" w14:textId="77777777" w:rsidR="009648B2" w:rsidRPr="00C033B1" w:rsidRDefault="009648B2" w:rsidP="00D961F9">
            <w:pPr>
              <w:pStyle w:val="Tablea"/>
            </w:pPr>
            <w:r w:rsidRPr="00C033B1">
              <w:t>(a) for a corporation—$</w:t>
            </w:r>
            <w:r w:rsidR="004103CC" w:rsidRPr="00C033B1">
              <w:t>4,450</w:t>
            </w:r>
          </w:p>
          <w:p w14:paraId="23867473" w14:textId="77777777" w:rsidR="009648B2" w:rsidRPr="00C033B1" w:rsidRDefault="009648B2" w:rsidP="00D961F9">
            <w:pPr>
              <w:pStyle w:val="Tablea"/>
            </w:pPr>
            <w:r w:rsidRPr="00C033B1">
              <w:t>(b) in any other case—$</w:t>
            </w:r>
            <w:r w:rsidR="004103CC" w:rsidRPr="00C033B1">
              <w:t>1,530</w:t>
            </w:r>
          </w:p>
        </w:tc>
      </w:tr>
      <w:tr w:rsidR="009648B2" w:rsidRPr="00C033B1" w14:paraId="5DA93A6D" w14:textId="77777777" w:rsidTr="00775E26">
        <w:tc>
          <w:tcPr>
            <w:tcW w:w="411" w:type="pct"/>
            <w:shd w:val="clear" w:color="auto" w:fill="auto"/>
          </w:tcPr>
          <w:p w14:paraId="1B4F0EA8" w14:textId="77777777" w:rsidR="009648B2" w:rsidRPr="00C033B1" w:rsidRDefault="009648B2" w:rsidP="00B22585">
            <w:pPr>
              <w:pStyle w:val="Tabletext"/>
              <w:ind w:left="-14" w:right="-26"/>
            </w:pPr>
            <w:r w:rsidRPr="00C033B1">
              <w:t>102</w:t>
            </w:r>
          </w:p>
        </w:tc>
        <w:tc>
          <w:tcPr>
            <w:tcW w:w="2646" w:type="pct"/>
            <w:shd w:val="clear" w:color="auto" w:fill="auto"/>
          </w:tcPr>
          <w:p w14:paraId="42F20F88" w14:textId="77777777" w:rsidR="009648B2" w:rsidRPr="00C033B1" w:rsidRDefault="009648B2" w:rsidP="00B22585">
            <w:pPr>
              <w:pStyle w:val="Tabletext"/>
            </w:pPr>
            <w:r w:rsidRPr="00C033B1">
              <w:t xml:space="preserve">Filing of an application under </w:t>
            </w:r>
            <w:r w:rsidR="00D4482F" w:rsidRPr="00C033B1">
              <w:t>section 4</w:t>
            </w:r>
            <w:r w:rsidRPr="00C033B1">
              <w:t xml:space="preserve">6PO or 46PP of the </w:t>
            </w:r>
            <w:r w:rsidRPr="00C033B1">
              <w:rPr>
                <w:i/>
              </w:rPr>
              <w:t>Australian Human Rights Commission Act 1986</w:t>
            </w:r>
          </w:p>
        </w:tc>
        <w:tc>
          <w:tcPr>
            <w:tcW w:w="1943" w:type="pct"/>
            <w:shd w:val="clear" w:color="auto" w:fill="auto"/>
          </w:tcPr>
          <w:p w14:paraId="5B4ABFB4" w14:textId="77777777" w:rsidR="009648B2" w:rsidRPr="00C033B1" w:rsidRDefault="009648B2" w:rsidP="00B22585">
            <w:pPr>
              <w:pStyle w:val="Tabletext"/>
            </w:pPr>
            <w:r w:rsidRPr="00C033B1">
              <w:t>$55</w:t>
            </w:r>
          </w:p>
        </w:tc>
      </w:tr>
      <w:tr w:rsidR="009648B2" w:rsidRPr="00C033B1" w14:paraId="6A9A4CA8" w14:textId="77777777" w:rsidTr="00775E26">
        <w:trPr>
          <w:trHeight w:val="1620"/>
        </w:trPr>
        <w:tc>
          <w:tcPr>
            <w:tcW w:w="411" w:type="pct"/>
            <w:shd w:val="clear" w:color="auto" w:fill="auto"/>
          </w:tcPr>
          <w:p w14:paraId="40333FDD" w14:textId="77777777" w:rsidR="009648B2" w:rsidRPr="00C033B1" w:rsidRDefault="009648B2" w:rsidP="00B22585">
            <w:pPr>
              <w:pStyle w:val="Tabletext"/>
              <w:ind w:left="-14" w:right="-26"/>
            </w:pPr>
            <w:r w:rsidRPr="00C033B1">
              <w:t>103</w:t>
            </w:r>
          </w:p>
        </w:tc>
        <w:tc>
          <w:tcPr>
            <w:tcW w:w="2646" w:type="pct"/>
            <w:shd w:val="clear" w:color="auto" w:fill="auto"/>
          </w:tcPr>
          <w:p w14:paraId="0925DA14" w14:textId="77777777" w:rsidR="009648B2"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in either of the following circumstances:</w:t>
            </w:r>
          </w:p>
          <w:p w14:paraId="0C2BEE1C" w14:textId="77777777" w:rsidR="009648B2" w:rsidRPr="00C033B1" w:rsidRDefault="009648B2" w:rsidP="00B22585">
            <w:pPr>
              <w:pStyle w:val="Tablea"/>
            </w:pPr>
            <w:r w:rsidRPr="00C033B1">
              <w:t>(a) the applicant has been dismissed from employment in alleged contravention of Part 3</w:t>
            </w:r>
            <w:r w:rsidR="00C033B1">
              <w:noBreakHyphen/>
            </w:r>
            <w:r w:rsidRPr="00C033B1">
              <w:t>1 of that Act;</w:t>
            </w:r>
          </w:p>
          <w:p w14:paraId="0C5A6E88" w14:textId="77777777" w:rsidR="009648B2" w:rsidRPr="00C033B1" w:rsidRDefault="009648B2" w:rsidP="00B22585">
            <w:pPr>
              <w:pStyle w:val="Tablea"/>
            </w:pPr>
            <w:r w:rsidRPr="00C033B1">
              <w:t xml:space="preserve">(b) the applicant alleges a breach of </w:t>
            </w:r>
            <w:r w:rsidR="007D3911" w:rsidRPr="00C033B1">
              <w:t>section 3</w:t>
            </w:r>
            <w:r w:rsidRPr="00C033B1">
              <w:t>51 of that Act</w:t>
            </w:r>
          </w:p>
        </w:tc>
        <w:tc>
          <w:tcPr>
            <w:tcW w:w="1943" w:type="pct"/>
            <w:shd w:val="clear" w:color="auto" w:fill="auto"/>
          </w:tcPr>
          <w:p w14:paraId="044F2064" w14:textId="77777777" w:rsidR="009648B2" w:rsidRPr="00C033B1" w:rsidRDefault="009648B2" w:rsidP="00B22585">
            <w:pPr>
              <w:pStyle w:val="Tabletext"/>
            </w:pPr>
            <w:r w:rsidRPr="00C033B1">
              <w:t xml:space="preserve">The fee prescribed under </w:t>
            </w:r>
            <w:r w:rsidR="005833F4" w:rsidRPr="00C033B1">
              <w:t>sub</w:t>
            </w:r>
            <w:r w:rsidR="007D3911" w:rsidRPr="00C033B1">
              <w:t>section 3</w:t>
            </w:r>
            <w:r w:rsidRPr="00C033B1">
              <w:t xml:space="preserve">95(2) of the </w:t>
            </w:r>
            <w:r w:rsidRPr="00C033B1">
              <w:rPr>
                <w:i/>
              </w:rPr>
              <w:t>Fair Work Act 2009</w:t>
            </w:r>
            <w:r w:rsidRPr="00C033B1">
              <w:t xml:space="preserve"> for the filing of the application</w:t>
            </w:r>
          </w:p>
        </w:tc>
      </w:tr>
      <w:tr w:rsidR="009648B2" w:rsidRPr="00C033B1" w14:paraId="58C80287" w14:textId="77777777" w:rsidTr="00775E26">
        <w:tc>
          <w:tcPr>
            <w:tcW w:w="411" w:type="pct"/>
            <w:shd w:val="clear" w:color="auto" w:fill="auto"/>
          </w:tcPr>
          <w:p w14:paraId="3C7BA8F1" w14:textId="77777777" w:rsidR="009648B2" w:rsidRPr="00C033B1" w:rsidRDefault="009648B2" w:rsidP="00B22585">
            <w:pPr>
              <w:pStyle w:val="Tabletext"/>
              <w:ind w:left="-14" w:right="-26"/>
            </w:pPr>
            <w:r w:rsidRPr="00C033B1">
              <w:t>104</w:t>
            </w:r>
          </w:p>
        </w:tc>
        <w:tc>
          <w:tcPr>
            <w:tcW w:w="2646" w:type="pct"/>
            <w:shd w:val="clear" w:color="auto" w:fill="auto"/>
          </w:tcPr>
          <w:p w14:paraId="6F0CEC35" w14:textId="77777777" w:rsidR="009648B2"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if the applicant has been dismissed from employment in alleged contravention of section 772 of that Act</w:t>
            </w:r>
          </w:p>
        </w:tc>
        <w:tc>
          <w:tcPr>
            <w:tcW w:w="1943" w:type="pct"/>
            <w:shd w:val="clear" w:color="auto" w:fill="auto"/>
          </w:tcPr>
          <w:p w14:paraId="5DCE921B" w14:textId="77777777" w:rsidR="009648B2" w:rsidRPr="00C033B1" w:rsidRDefault="009648B2" w:rsidP="00B22585">
            <w:pPr>
              <w:pStyle w:val="Tabletext"/>
            </w:pPr>
            <w:r w:rsidRPr="00C033B1">
              <w:t xml:space="preserve">The fee prescribed under </w:t>
            </w:r>
            <w:r w:rsidR="005833F4" w:rsidRPr="00C033B1">
              <w:t>sub</w:t>
            </w:r>
            <w:r w:rsidR="007D3911" w:rsidRPr="00C033B1">
              <w:t>section 3</w:t>
            </w:r>
            <w:r w:rsidRPr="00C033B1">
              <w:t xml:space="preserve">95(2) of the </w:t>
            </w:r>
            <w:r w:rsidRPr="00C033B1">
              <w:rPr>
                <w:i/>
              </w:rPr>
              <w:t>Fair Work Act 2009</w:t>
            </w:r>
            <w:r w:rsidRPr="00C033B1">
              <w:t xml:space="preserve"> for the filing of the application</w:t>
            </w:r>
          </w:p>
        </w:tc>
      </w:tr>
      <w:tr w:rsidR="009648B2" w:rsidRPr="00C033B1" w14:paraId="6B0EC035" w14:textId="77777777" w:rsidTr="00775E26">
        <w:tc>
          <w:tcPr>
            <w:tcW w:w="411" w:type="pct"/>
            <w:shd w:val="clear" w:color="auto" w:fill="auto"/>
          </w:tcPr>
          <w:p w14:paraId="0C15E464" w14:textId="77777777" w:rsidR="009648B2" w:rsidRPr="00C033B1" w:rsidRDefault="009648B2" w:rsidP="00B22585">
            <w:pPr>
              <w:pStyle w:val="Tabletext"/>
              <w:ind w:left="-14" w:right="-26"/>
            </w:pPr>
            <w:r w:rsidRPr="00C033B1">
              <w:t>105</w:t>
            </w:r>
          </w:p>
        </w:tc>
        <w:tc>
          <w:tcPr>
            <w:tcW w:w="2646" w:type="pct"/>
            <w:shd w:val="clear" w:color="auto" w:fill="auto"/>
          </w:tcPr>
          <w:p w14:paraId="3EE780A8" w14:textId="77777777" w:rsidR="009648B2" w:rsidRPr="00C033B1" w:rsidRDefault="009648B2" w:rsidP="00B22585">
            <w:pPr>
              <w:pStyle w:val="Tabletext"/>
            </w:pPr>
            <w:r w:rsidRPr="00C033B1">
              <w:t>Filing of a bill of costs</w:t>
            </w:r>
          </w:p>
        </w:tc>
        <w:tc>
          <w:tcPr>
            <w:tcW w:w="1943" w:type="pct"/>
            <w:shd w:val="clear" w:color="auto" w:fill="auto"/>
          </w:tcPr>
          <w:p w14:paraId="523F8CF0" w14:textId="77777777" w:rsidR="009648B2" w:rsidRPr="00C033B1" w:rsidRDefault="009648B2" w:rsidP="00D961F9">
            <w:pPr>
              <w:pStyle w:val="Tabletext"/>
            </w:pPr>
            <w:r w:rsidRPr="00C033B1">
              <w:t>$</w:t>
            </w:r>
            <w:r w:rsidR="004103CC" w:rsidRPr="00C033B1">
              <w:t>490</w:t>
            </w:r>
          </w:p>
        </w:tc>
      </w:tr>
      <w:tr w:rsidR="009648B2" w:rsidRPr="00C033B1" w14:paraId="0FA0D0F1" w14:textId="77777777" w:rsidTr="00775E26">
        <w:tc>
          <w:tcPr>
            <w:tcW w:w="411" w:type="pct"/>
            <w:shd w:val="clear" w:color="auto" w:fill="auto"/>
          </w:tcPr>
          <w:p w14:paraId="2FF0961C" w14:textId="77777777" w:rsidR="009648B2" w:rsidRPr="00C033B1" w:rsidRDefault="009648B2" w:rsidP="00B22585">
            <w:pPr>
              <w:pStyle w:val="Tabletext"/>
              <w:ind w:left="-14" w:right="-26"/>
            </w:pPr>
            <w:r w:rsidRPr="00C033B1">
              <w:t>106</w:t>
            </w:r>
          </w:p>
        </w:tc>
        <w:tc>
          <w:tcPr>
            <w:tcW w:w="2646" w:type="pct"/>
            <w:shd w:val="clear" w:color="auto" w:fill="auto"/>
          </w:tcPr>
          <w:p w14:paraId="3BBB7688" w14:textId="77777777" w:rsidR="009648B2" w:rsidRPr="00C033B1" w:rsidRDefault="009648B2" w:rsidP="00B22585">
            <w:pPr>
              <w:pStyle w:val="Tabletext"/>
            </w:pPr>
            <w:r w:rsidRPr="00C033B1">
              <w:t>Filing of an affidavit or other document originating an application for leave or special leave to appeal</w:t>
            </w:r>
          </w:p>
        </w:tc>
        <w:tc>
          <w:tcPr>
            <w:tcW w:w="1943" w:type="pct"/>
            <w:shd w:val="clear" w:color="auto" w:fill="auto"/>
          </w:tcPr>
          <w:p w14:paraId="21BF0863" w14:textId="77777777" w:rsidR="009648B2" w:rsidRPr="00C033B1" w:rsidRDefault="009648B2" w:rsidP="00D961F9">
            <w:pPr>
              <w:pStyle w:val="Tablea"/>
            </w:pPr>
            <w:r w:rsidRPr="00C033B1">
              <w:t>(a) for a corporation—$</w:t>
            </w:r>
            <w:r w:rsidR="004103CC" w:rsidRPr="00C033B1">
              <w:t>4,440</w:t>
            </w:r>
          </w:p>
          <w:p w14:paraId="38B194A8" w14:textId="77777777" w:rsidR="009648B2" w:rsidRPr="00C033B1" w:rsidRDefault="009648B2" w:rsidP="00D961F9">
            <w:pPr>
              <w:pStyle w:val="Tablea"/>
            </w:pPr>
            <w:r w:rsidRPr="00C033B1">
              <w:t>(b) in any other case—$</w:t>
            </w:r>
            <w:r w:rsidR="004103CC" w:rsidRPr="00C033B1">
              <w:t>2,055</w:t>
            </w:r>
          </w:p>
        </w:tc>
      </w:tr>
      <w:tr w:rsidR="009648B2" w:rsidRPr="00C033B1" w14:paraId="552394D2" w14:textId="77777777" w:rsidTr="00775E26">
        <w:trPr>
          <w:cantSplit/>
        </w:trPr>
        <w:tc>
          <w:tcPr>
            <w:tcW w:w="411" w:type="pct"/>
            <w:shd w:val="clear" w:color="auto" w:fill="auto"/>
          </w:tcPr>
          <w:p w14:paraId="277C7436" w14:textId="77777777" w:rsidR="009648B2" w:rsidRPr="00C033B1" w:rsidRDefault="009648B2" w:rsidP="00B22585">
            <w:pPr>
              <w:pStyle w:val="Tabletext"/>
              <w:ind w:left="-14" w:right="-26"/>
            </w:pPr>
            <w:r w:rsidRPr="00C033B1">
              <w:lastRenderedPageBreak/>
              <w:t>107</w:t>
            </w:r>
          </w:p>
        </w:tc>
        <w:tc>
          <w:tcPr>
            <w:tcW w:w="2646" w:type="pct"/>
            <w:shd w:val="clear" w:color="auto" w:fill="auto"/>
          </w:tcPr>
          <w:p w14:paraId="6C82FA1B" w14:textId="77777777" w:rsidR="009648B2" w:rsidRPr="00C033B1" w:rsidRDefault="009648B2" w:rsidP="00B22585">
            <w:pPr>
              <w:pStyle w:val="Tabletext"/>
            </w:pPr>
            <w:r w:rsidRPr="00C033B1">
              <w:t xml:space="preserve">Filing of a notice of appeal commencing an appeal from a judgment of a court if no fee has been paid under </w:t>
            </w:r>
            <w:r w:rsidR="005833F4" w:rsidRPr="00C033B1">
              <w:t>item 1</w:t>
            </w:r>
            <w:r w:rsidRPr="00C033B1">
              <w:t>06</w:t>
            </w:r>
          </w:p>
        </w:tc>
        <w:tc>
          <w:tcPr>
            <w:tcW w:w="1943" w:type="pct"/>
            <w:shd w:val="clear" w:color="auto" w:fill="auto"/>
          </w:tcPr>
          <w:p w14:paraId="77C1CA60" w14:textId="77777777" w:rsidR="009648B2" w:rsidRPr="00C033B1" w:rsidRDefault="009648B2" w:rsidP="00B22585">
            <w:pPr>
              <w:pStyle w:val="Tablea"/>
            </w:pPr>
            <w:r w:rsidRPr="00C033B1">
              <w:t xml:space="preserve">(a) for a corporation—an amount equal to the sum of the fees mentioned in </w:t>
            </w:r>
            <w:r w:rsidR="007D3911" w:rsidRPr="00C033B1">
              <w:t>items 1</w:t>
            </w:r>
            <w:r w:rsidRPr="00C033B1">
              <w:t>06 and 109 for a corporation</w:t>
            </w:r>
          </w:p>
          <w:p w14:paraId="607DCCB8" w14:textId="77777777" w:rsidR="009648B2" w:rsidRPr="00C033B1" w:rsidRDefault="009648B2" w:rsidP="00B22585">
            <w:pPr>
              <w:pStyle w:val="Tablea"/>
            </w:pPr>
            <w:r w:rsidRPr="00C033B1">
              <w:t xml:space="preserve">(b) in any other case—an amount equal to the sum of the fees mentioned in </w:t>
            </w:r>
            <w:r w:rsidR="007D3911" w:rsidRPr="00C033B1">
              <w:t>items 1</w:t>
            </w:r>
            <w:r w:rsidRPr="00C033B1">
              <w:t>06 and 109 for a person other than a corporation</w:t>
            </w:r>
          </w:p>
        </w:tc>
      </w:tr>
      <w:tr w:rsidR="009648B2" w:rsidRPr="00C033B1" w14:paraId="6E4A59DB" w14:textId="77777777" w:rsidTr="00775E26">
        <w:tc>
          <w:tcPr>
            <w:tcW w:w="411" w:type="pct"/>
            <w:shd w:val="clear" w:color="auto" w:fill="auto"/>
          </w:tcPr>
          <w:p w14:paraId="51111E4B" w14:textId="77777777" w:rsidR="009648B2" w:rsidRPr="00C033B1" w:rsidRDefault="009648B2" w:rsidP="00B22585">
            <w:pPr>
              <w:pStyle w:val="Tabletext"/>
              <w:ind w:left="-14" w:right="-26"/>
            </w:pPr>
            <w:r w:rsidRPr="00C033B1">
              <w:t>108</w:t>
            </w:r>
          </w:p>
        </w:tc>
        <w:tc>
          <w:tcPr>
            <w:tcW w:w="2646" w:type="pct"/>
            <w:shd w:val="clear" w:color="auto" w:fill="auto"/>
          </w:tcPr>
          <w:p w14:paraId="18C41391" w14:textId="77777777" w:rsidR="009648B2" w:rsidRPr="00C033B1" w:rsidRDefault="009648B2" w:rsidP="00B22585">
            <w:pPr>
              <w:pStyle w:val="Tabletext"/>
            </w:pPr>
            <w:r w:rsidRPr="00C033B1">
              <w:t>Filing of a notice of appeal commencing an appeal from a decision of the Administrative Appeals Tribunal</w:t>
            </w:r>
          </w:p>
        </w:tc>
        <w:tc>
          <w:tcPr>
            <w:tcW w:w="1943" w:type="pct"/>
            <w:shd w:val="clear" w:color="auto" w:fill="auto"/>
          </w:tcPr>
          <w:p w14:paraId="352F5FDE" w14:textId="77777777" w:rsidR="009648B2" w:rsidRPr="00C033B1" w:rsidRDefault="009648B2" w:rsidP="00D961F9">
            <w:pPr>
              <w:pStyle w:val="Tablea"/>
            </w:pPr>
            <w:r w:rsidRPr="00C033B1">
              <w:t>(a) for a corporation—$</w:t>
            </w:r>
            <w:r w:rsidR="004103CC" w:rsidRPr="00C033B1">
              <w:t>11,110</w:t>
            </w:r>
          </w:p>
          <w:p w14:paraId="757D9858" w14:textId="77777777" w:rsidR="009648B2" w:rsidRPr="00C033B1" w:rsidRDefault="009648B2" w:rsidP="00D961F9">
            <w:pPr>
              <w:pStyle w:val="Tablea"/>
            </w:pPr>
            <w:r w:rsidRPr="00C033B1">
              <w:t>(b) in any other case—$</w:t>
            </w:r>
            <w:r w:rsidR="004103CC" w:rsidRPr="00C033B1">
              <w:t>5,145</w:t>
            </w:r>
          </w:p>
        </w:tc>
      </w:tr>
      <w:tr w:rsidR="009648B2" w:rsidRPr="00C033B1" w14:paraId="15A71AD1" w14:textId="77777777" w:rsidTr="00775E26">
        <w:tc>
          <w:tcPr>
            <w:tcW w:w="411" w:type="pct"/>
            <w:shd w:val="clear" w:color="auto" w:fill="auto"/>
          </w:tcPr>
          <w:p w14:paraId="35662A5C" w14:textId="77777777" w:rsidR="009648B2" w:rsidRPr="00C033B1" w:rsidRDefault="009648B2" w:rsidP="00B22585">
            <w:pPr>
              <w:pStyle w:val="Tabletext"/>
              <w:ind w:left="-14" w:right="-26"/>
            </w:pPr>
            <w:r w:rsidRPr="00C033B1">
              <w:t>109</w:t>
            </w:r>
          </w:p>
        </w:tc>
        <w:tc>
          <w:tcPr>
            <w:tcW w:w="2646" w:type="pct"/>
            <w:shd w:val="clear" w:color="auto" w:fill="auto"/>
          </w:tcPr>
          <w:p w14:paraId="2B73D261" w14:textId="77777777" w:rsidR="009648B2" w:rsidRPr="00C033B1" w:rsidRDefault="009648B2" w:rsidP="00B22585">
            <w:pPr>
              <w:pStyle w:val="Tabletext"/>
            </w:pPr>
            <w:r w:rsidRPr="00C033B1">
              <w:t xml:space="preserve">Filing of a notice of appeal in a proceeding in relation to which a fee has been paid under </w:t>
            </w:r>
            <w:r w:rsidR="005833F4" w:rsidRPr="00C033B1">
              <w:t>item 1</w:t>
            </w:r>
            <w:r w:rsidRPr="00C033B1">
              <w:t>06</w:t>
            </w:r>
          </w:p>
        </w:tc>
        <w:tc>
          <w:tcPr>
            <w:tcW w:w="1943" w:type="pct"/>
            <w:shd w:val="clear" w:color="auto" w:fill="auto"/>
          </w:tcPr>
          <w:p w14:paraId="155AAD9B" w14:textId="77777777" w:rsidR="009648B2" w:rsidRPr="00C033B1" w:rsidRDefault="009648B2" w:rsidP="00D961F9">
            <w:pPr>
              <w:pStyle w:val="Tablea"/>
            </w:pPr>
            <w:r w:rsidRPr="00C033B1">
              <w:t>(a) for a corporation—$</w:t>
            </w:r>
            <w:r w:rsidR="004103CC" w:rsidRPr="00C033B1">
              <w:t>6,675</w:t>
            </w:r>
          </w:p>
          <w:p w14:paraId="52C2C908" w14:textId="77777777" w:rsidR="009648B2" w:rsidRPr="00C033B1" w:rsidRDefault="009648B2" w:rsidP="00D961F9">
            <w:pPr>
              <w:pStyle w:val="Tablea"/>
            </w:pPr>
            <w:r w:rsidRPr="00C033B1">
              <w:t>(b) in any other case—$</w:t>
            </w:r>
            <w:r w:rsidR="004103CC" w:rsidRPr="00C033B1">
              <w:t>3,080</w:t>
            </w:r>
          </w:p>
        </w:tc>
      </w:tr>
      <w:tr w:rsidR="009648B2" w:rsidRPr="00C033B1" w14:paraId="61374682" w14:textId="77777777" w:rsidTr="00775E26">
        <w:tc>
          <w:tcPr>
            <w:tcW w:w="411" w:type="pct"/>
            <w:shd w:val="clear" w:color="auto" w:fill="auto"/>
          </w:tcPr>
          <w:p w14:paraId="46BC6E69" w14:textId="77777777" w:rsidR="009648B2" w:rsidRPr="00C033B1" w:rsidRDefault="009648B2" w:rsidP="00B22585">
            <w:pPr>
              <w:pStyle w:val="Tabletext"/>
              <w:ind w:left="-14" w:right="-26"/>
            </w:pPr>
            <w:r w:rsidRPr="00C033B1">
              <w:t>110</w:t>
            </w:r>
          </w:p>
        </w:tc>
        <w:tc>
          <w:tcPr>
            <w:tcW w:w="2646" w:type="pct"/>
            <w:shd w:val="clear" w:color="auto" w:fill="auto"/>
          </w:tcPr>
          <w:p w14:paraId="45E48B9C" w14:textId="77777777" w:rsidR="009648B2" w:rsidRPr="00C033B1" w:rsidRDefault="009648B2" w:rsidP="00B22585">
            <w:pPr>
              <w:pStyle w:val="Tabletext"/>
            </w:pPr>
            <w:r w:rsidRPr="00C033B1">
              <w:t xml:space="preserve">Filing of an application to review a decision of </w:t>
            </w:r>
            <w:r w:rsidR="00942C6E" w:rsidRPr="00C033B1">
              <w:t>a</w:t>
            </w:r>
            <w:r w:rsidRPr="00C033B1">
              <w:t xml:space="preserve"> relevant Registrar of the </w:t>
            </w:r>
            <w:r w:rsidR="00EE7B21" w:rsidRPr="00C033B1">
              <w:t>c</w:t>
            </w:r>
            <w:r w:rsidRPr="00C033B1">
              <w:t xml:space="preserve">ourt under </w:t>
            </w:r>
            <w:r w:rsidR="005833F4" w:rsidRPr="00C033B1">
              <w:t>sub</w:t>
            </w:r>
            <w:r w:rsidR="007D3911" w:rsidRPr="00C033B1">
              <w:t>section 3</w:t>
            </w:r>
            <w:r w:rsidRPr="00C033B1">
              <w:t>5A(5) of the Federal Court Act</w:t>
            </w:r>
          </w:p>
        </w:tc>
        <w:tc>
          <w:tcPr>
            <w:tcW w:w="1943" w:type="pct"/>
            <w:shd w:val="clear" w:color="auto" w:fill="auto"/>
          </w:tcPr>
          <w:p w14:paraId="6BCCB4DD" w14:textId="77777777" w:rsidR="009648B2" w:rsidRPr="00C033B1" w:rsidRDefault="009648B2" w:rsidP="00D961F9">
            <w:pPr>
              <w:pStyle w:val="Tablea"/>
            </w:pPr>
            <w:r w:rsidRPr="00C033B1">
              <w:t>(a) for a corporation—$</w:t>
            </w:r>
            <w:r w:rsidR="004103CC" w:rsidRPr="00C033B1">
              <w:t>1,810</w:t>
            </w:r>
          </w:p>
          <w:p w14:paraId="27437048" w14:textId="77777777" w:rsidR="009648B2" w:rsidRPr="00C033B1" w:rsidRDefault="009648B2" w:rsidP="00D961F9">
            <w:pPr>
              <w:pStyle w:val="Tablea"/>
            </w:pPr>
            <w:r w:rsidRPr="00C033B1">
              <w:t>(b) in any other case—$</w:t>
            </w:r>
            <w:r w:rsidR="004103CC" w:rsidRPr="00C033B1">
              <w:t>745</w:t>
            </w:r>
          </w:p>
        </w:tc>
      </w:tr>
      <w:tr w:rsidR="009648B2" w:rsidRPr="00C033B1" w14:paraId="75E5EBFB" w14:textId="77777777" w:rsidTr="00775E26">
        <w:tc>
          <w:tcPr>
            <w:tcW w:w="411" w:type="pct"/>
            <w:shd w:val="clear" w:color="auto" w:fill="auto"/>
          </w:tcPr>
          <w:p w14:paraId="2098C697" w14:textId="77777777" w:rsidR="009648B2" w:rsidRPr="00C033B1" w:rsidRDefault="009648B2" w:rsidP="00B22585">
            <w:pPr>
              <w:pStyle w:val="Tabletext"/>
              <w:ind w:left="-14" w:right="-26"/>
            </w:pPr>
            <w:r w:rsidRPr="00C033B1">
              <w:t>111</w:t>
            </w:r>
          </w:p>
        </w:tc>
        <w:tc>
          <w:tcPr>
            <w:tcW w:w="2646" w:type="pct"/>
            <w:shd w:val="clear" w:color="auto" w:fill="auto"/>
          </w:tcPr>
          <w:p w14:paraId="20074EC6" w14:textId="77777777" w:rsidR="009648B2" w:rsidRPr="00C033B1" w:rsidRDefault="009648B2" w:rsidP="00B22585">
            <w:pPr>
              <w:pStyle w:val="Tabletext"/>
            </w:pPr>
            <w:r w:rsidRPr="00C033B1">
              <w:t>Filing of:</w:t>
            </w:r>
          </w:p>
          <w:p w14:paraId="5365B315" w14:textId="77777777" w:rsidR="009648B2" w:rsidRPr="00C033B1" w:rsidRDefault="009648B2" w:rsidP="00B22585">
            <w:pPr>
              <w:pStyle w:val="Tablea"/>
            </w:pPr>
            <w:r w:rsidRPr="00C033B1">
              <w:t>(a) an interlocutory application, other than an interlocutory application mentioned in another item; or</w:t>
            </w:r>
          </w:p>
          <w:p w14:paraId="7F940C75" w14:textId="77777777" w:rsidR="009648B2" w:rsidRPr="00C033B1" w:rsidRDefault="009648B2" w:rsidP="00B22585">
            <w:pPr>
              <w:pStyle w:val="Tablea"/>
            </w:pPr>
            <w:r w:rsidRPr="00C033B1">
              <w:t xml:space="preserve">(b) an application under the </w:t>
            </w:r>
            <w:r w:rsidRPr="00C033B1">
              <w:rPr>
                <w:i/>
              </w:rPr>
              <w:t>Trans</w:t>
            </w:r>
            <w:r w:rsidR="00C033B1">
              <w:rPr>
                <w:i/>
              </w:rPr>
              <w:noBreakHyphen/>
            </w:r>
            <w:r w:rsidRPr="00C033B1">
              <w:rPr>
                <w:i/>
              </w:rPr>
              <w:t>Tasman Proceedings Act 2010</w:t>
            </w:r>
            <w:r w:rsidRPr="00C033B1">
              <w:t xml:space="preserve">, other than an application mentioned in </w:t>
            </w:r>
            <w:r w:rsidR="005833F4" w:rsidRPr="00C033B1">
              <w:t>item 1</w:t>
            </w:r>
            <w:r w:rsidRPr="00C033B1">
              <w:t>15C</w:t>
            </w:r>
          </w:p>
        </w:tc>
        <w:tc>
          <w:tcPr>
            <w:tcW w:w="1943" w:type="pct"/>
            <w:shd w:val="clear" w:color="auto" w:fill="auto"/>
          </w:tcPr>
          <w:p w14:paraId="6DAEF0EB" w14:textId="77777777" w:rsidR="009648B2" w:rsidRPr="00C033B1" w:rsidRDefault="009648B2" w:rsidP="00D961F9">
            <w:pPr>
              <w:pStyle w:val="Tablea"/>
            </w:pPr>
            <w:r w:rsidRPr="00C033B1">
              <w:t>(a) for a corporation—$</w:t>
            </w:r>
            <w:r w:rsidR="004103CC" w:rsidRPr="00C033B1">
              <w:t>1,360</w:t>
            </w:r>
          </w:p>
          <w:p w14:paraId="6B5D507E" w14:textId="77777777" w:rsidR="009648B2" w:rsidRPr="00C033B1" w:rsidRDefault="009648B2" w:rsidP="00D961F9">
            <w:pPr>
              <w:pStyle w:val="Tablea"/>
            </w:pPr>
            <w:r w:rsidRPr="00C033B1">
              <w:t>(b) in any other case—$</w:t>
            </w:r>
            <w:r w:rsidR="004103CC" w:rsidRPr="00C033B1">
              <w:t>550</w:t>
            </w:r>
          </w:p>
        </w:tc>
      </w:tr>
      <w:tr w:rsidR="009648B2" w:rsidRPr="00C033B1" w14:paraId="510E2620" w14:textId="77777777" w:rsidTr="00775E26">
        <w:tc>
          <w:tcPr>
            <w:tcW w:w="411" w:type="pct"/>
            <w:shd w:val="clear" w:color="auto" w:fill="auto"/>
          </w:tcPr>
          <w:p w14:paraId="109ADFEB" w14:textId="77777777" w:rsidR="009648B2" w:rsidRPr="00C033B1" w:rsidRDefault="009648B2" w:rsidP="00B22585">
            <w:pPr>
              <w:pStyle w:val="Tabletext"/>
              <w:ind w:left="-14" w:right="-26"/>
            </w:pPr>
            <w:r w:rsidRPr="00C033B1">
              <w:t>112</w:t>
            </w:r>
          </w:p>
        </w:tc>
        <w:tc>
          <w:tcPr>
            <w:tcW w:w="2646" w:type="pct"/>
            <w:shd w:val="clear" w:color="auto" w:fill="auto"/>
          </w:tcPr>
          <w:p w14:paraId="208CE4DC" w14:textId="77777777" w:rsidR="009648B2" w:rsidRPr="00C033B1" w:rsidRDefault="009648B2" w:rsidP="00B22585">
            <w:pPr>
              <w:pStyle w:val="Tabletext"/>
            </w:pPr>
            <w:r w:rsidRPr="00C033B1">
              <w:t xml:space="preserve">Filing of a document by which a proceeding under the </w:t>
            </w:r>
            <w:r w:rsidRPr="00C033B1">
              <w:rPr>
                <w:i/>
              </w:rPr>
              <w:t>Bankruptcy Act 1966</w:t>
            </w:r>
            <w:r w:rsidRPr="00C033B1">
              <w:t xml:space="preserve"> is commenced</w:t>
            </w:r>
          </w:p>
        </w:tc>
        <w:tc>
          <w:tcPr>
            <w:tcW w:w="1943" w:type="pct"/>
            <w:shd w:val="clear" w:color="auto" w:fill="auto"/>
          </w:tcPr>
          <w:p w14:paraId="58347F06" w14:textId="77777777" w:rsidR="009648B2" w:rsidRPr="00C033B1" w:rsidRDefault="009648B2" w:rsidP="00D961F9">
            <w:pPr>
              <w:pStyle w:val="Tablea"/>
            </w:pPr>
            <w:r w:rsidRPr="00C033B1">
              <w:t>(a) for a publicly listed company—$</w:t>
            </w:r>
            <w:r w:rsidR="004103CC" w:rsidRPr="00C033B1">
              <w:t>6,195</w:t>
            </w:r>
          </w:p>
          <w:p w14:paraId="70F9DE5F" w14:textId="77777777" w:rsidR="009648B2" w:rsidRPr="00C033B1" w:rsidRDefault="009648B2" w:rsidP="00D961F9">
            <w:pPr>
              <w:pStyle w:val="Tablea"/>
            </w:pPr>
            <w:r w:rsidRPr="00C033B1">
              <w:t>(b) for a corporation—$</w:t>
            </w:r>
            <w:r w:rsidR="004103CC" w:rsidRPr="00C033B1">
              <w:t>4,135</w:t>
            </w:r>
          </w:p>
          <w:p w14:paraId="3CD4D082" w14:textId="77777777" w:rsidR="004103CC" w:rsidRPr="00C033B1" w:rsidRDefault="009648B2" w:rsidP="00D961F9">
            <w:pPr>
              <w:pStyle w:val="Tablea"/>
            </w:pPr>
            <w:r w:rsidRPr="00C033B1">
              <w:t>(c) for a public authority—$</w:t>
            </w:r>
            <w:r w:rsidR="004103CC" w:rsidRPr="00C033B1">
              <w:t>4,135</w:t>
            </w:r>
          </w:p>
          <w:p w14:paraId="4B4FD794" w14:textId="77777777" w:rsidR="009648B2" w:rsidRPr="00C033B1" w:rsidRDefault="009648B2" w:rsidP="00D961F9">
            <w:pPr>
              <w:pStyle w:val="Tablea"/>
            </w:pPr>
            <w:r w:rsidRPr="00C033B1">
              <w:t>(d) in any other case—$</w:t>
            </w:r>
            <w:r w:rsidR="004103CC" w:rsidRPr="00C033B1">
              <w:t>1,725</w:t>
            </w:r>
          </w:p>
        </w:tc>
      </w:tr>
      <w:tr w:rsidR="009648B2" w:rsidRPr="00C033B1" w14:paraId="2D3CE1DB" w14:textId="77777777" w:rsidTr="00775E26">
        <w:tc>
          <w:tcPr>
            <w:tcW w:w="411" w:type="pct"/>
            <w:shd w:val="clear" w:color="auto" w:fill="auto"/>
          </w:tcPr>
          <w:p w14:paraId="26D97FE7" w14:textId="77777777" w:rsidR="009648B2" w:rsidRPr="00C033B1" w:rsidRDefault="009648B2" w:rsidP="00B22585">
            <w:pPr>
              <w:pStyle w:val="Tabletext"/>
              <w:ind w:left="-14" w:right="-26"/>
            </w:pPr>
            <w:r w:rsidRPr="00C033B1">
              <w:t>113</w:t>
            </w:r>
          </w:p>
        </w:tc>
        <w:tc>
          <w:tcPr>
            <w:tcW w:w="2646" w:type="pct"/>
            <w:shd w:val="clear" w:color="auto" w:fill="auto"/>
          </w:tcPr>
          <w:p w14:paraId="010C9870" w14:textId="77777777" w:rsidR="009648B2" w:rsidRPr="00C033B1" w:rsidRDefault="009648B2" w:rsidP="00B22585">
            <w:pPr>
              <w:pStyle w:val="Tabletext"/>
            </w:pPr>
            <w:r w:rsidRPr="00C033B1">
              <w:t>Filing of an application for an order for substituted service of a bankruptcy notice</w:t>
            </w:r>
          </w:p>
        </w:tc>
        <w:tc>
          <w:tcPr>
            <w:tcW w:w="1943" w:type="pct"/>
            <w:shd w:val="clear" w:color="auto" w:fill="auto"/>
          </w:tcPr>
          <w:p w14:paraId="5B40BA28" w14:textId="77777777" w:rsidR="009648B2" w:rsidRPr="00C033B1" w:rsidRDefault="009648B2" w:rsidP="00D961F9">
            <w:pPr>
              <w:pStyle w:val="Tablea"/>
            </w:pPr>
            <w:r w:rsidRPr="00C033B1">
              <w:t>(a) for a publicly listed company—$</w:t>
            </w:r>
            <w:r w:rsidR="004103CC" w:rsidRPr="00C033B1">
              <w:t>1,375</w:t>
            </w:r>
          </w:p>
          <w:p w14:paraId="5D327695" w14:textId="77777777" w:rsidR="009648B2" w:rsidRPr="00C033B1" w:rsidRDefault="009648B2" w:rsidP="00D961F9">
            <w:pPr>
              <w:pStyle w:val="Tablea"/>
            </w:pPr>
            <w:r w:rsidRPr="00C033B1">
              <w:t>(b) for a corporation—$</w:t>
            </w:r>
            <w:r w:rsidR="004103CC" w:rsidRPr="00C033B1">
              <w:t>915</w:t>
            </w:r>
          </w:p>
          <w:p w14:paraId="73FC2691" w14:textId="77777777" w:rsidR="009648B2" w:rsidRPr="00C033B1" w:rsidRDefault="009648B2" w:rsidP="00D961F9">
            <w:pPr>
              <w:pStyle w:val="Tablea"/>
            </w:pPr>
            <w:r w:rsidRPr="00C033B1">
              <w:t>(c) for a public authority—$</w:t>
            </w:r>
            <w:r w:rsidR="004103CC" w:rsidRPr="00C033B1">
              <w:t>915</w:t>
            </w:r>
          </w:p>
          <w:p w14:paraId="2B606CDB" w14:textId="77777777" w:rsidR="009648B2" w:rsidRPr="00C033B1" w:rsidRDefault="009648B2" w:rsidP="00D961F9">
            <w:pPr>
              <w:pStyle w:val="Tablea"/>
            </w:pPr>
            <w:r w:rsidRPr="00C033B1">
              <w:t>(d) in any other case—$</w:t>
            </w:r>
            <w:r w:rsidR="004103CC" w:rsidRPr="00C033B1">
              <w:t>390</w:t>
            </w:r>
          </w:p>
        </w:tc>
      </w:tr>
      <w:tr w:rsidR="009648B2" w:rsidRPr="00C033B1" w14:paraId="3871BF5C" w14:textId="77777777" w:rsidTr="00775E26">
        <w:tc>
          <w:tcPr>
            <w:tcW w:w="411" w:type="pct"/>
            <w:shd w:val="clear" w:color="auto" w:fill="auto"/>
          </w:tcPr>
          <w:p w14:paraId="13B14F4D" w14:textId="77777777" w:rsidR="009648B2" w:rsidRPr="00C033B1" w:rsidRDefault="009648B2" w:rsidP="00B22585">
            <w:pPr>
              <w:pStyle w:val="Tabletext"/>
              <w:ind w:left="-14" w:right="-26"/>
            </w:pPr>
            <w:r w:rsidRPr="00C033B1">
              <w:t>114</w:t>
            </w:r>
          </w:p>
        </w:tc>
        <w:tc>
          <w:tcPr>
            <w:tcW w:w="2646" w:type="pct"/>
            <w:shd w:val="clear" w:color="auto" w:fill="auto"/>
          </w:tcPr>
          <w:p w14:paraId="143BEE0E" w14:textId="77777777" w:rsidR="009648B2" w:rsidRPr="00C033B1" w:rsidRDefault="009648B2" w:rsidP="00B22585">
            <w:pPr>
              <w:pStyle w:val="Tabletext"/>
            </w:pPr>
            <w:r w:rsidRPr="00C033B1">
              <w:t>Filing of a cross</w:t>
            </w:r>
            <w:r w:rsidR="00C033B1">
              <w:noBreakHyphen/>
            </w:r>
            <w:r w:rsidRPr="00C033B1">
              <w:t>claim</w:t>
            </w:r>
          </w:p>
        </w:tc>
        <w:tc>
          <w:tcPr>
            <w:tcW w:w="1943" w:type="pct"/>
            <w:shd w:val="clear" w:color="auto" w:fill="auto"/>
          </w:tcPr>
          <w:p w14:paraId="5A284196" w14:textId="77777777" w:rsidR="009648B2" w:rsidRPr="00C033B1" w:rsidRDefault="009648B2" w:rsidP="00D961F9">
            <w:pPr>
              <w:pStyle w:val="Tablea"/>
            </w:pPr>
            <w:r w:rsidRPr="00C033B1">
              <w:t>(a) for a corporation—$</w:t>
            </w:r>
            <w:r w:rsidR="004103CC" w:rsidRPr="00C033B1">
              <w:t>4,450</w:t>
            </w:r>
          </w:p>
          <w:p w14:paraId="556901AA" w14:textId="77777777" w:rsidR="009648B2" w:rsidRPr="00C033B1" w:rsidRDefault="009648B2" w:rsidP="00D961F9">
            <w:pPr>
              <w:pStyle w:val="Tablea"/>
            </w:pPr>
            <w:r w:rsidRPr="00C033B1">
              <w:t>(b) in any other case—$</w:t>
            </w:r>
            <w:r w:rsidR="004103CC" w:rsidRPr="00C033B1">
              <w:t>1,530</w:t>
            </w:r>
          </w:p>
        </w:tc>
      </w:tr>
      <w:tr w:rsidR="009648B2" w:rsidRPr="00C033B1" w14:paraId="67202137" w14:textId="77777777" w:rsidTr="00775E26">
        <w:trPr>
          <w:cantSplit/>
        </w:trPr>
        <w:tc>
          <w:tcPr>
            <w:tcW w:w="411" w:type="pct"/>
            <w:shd w:val="clear" w:color="auto" w:fill="auto"/>
          </w:tcPr>
          <w:p w14:paraId="7EC6F5C6" w14:textId="77777777" w:rsidR="009648B2" w:rsidRPr="00C033B1" w:rsidRDefault="009648B2" w:rsidP="00B22585">
            <w:pPr>
              <w:pStyle w:val="Tabletext"/>
              <w:ind w:left="-14" w:right="-26"/>
            </w:pPr>
            <w:r w:rsidRPr="00C033B1">
              <w:lastRenderedPageBreak/>
              <w:t>115</w:t>
            </w:r>
          </w:p>
        </w:tc>
        <w:tc>
          <w:tcPr>
            <w:tcW w:w="2646" w:type="pct"/>
            <w:shd w:val="clear" w:color="auto" w:fill="auto"/>
          </w:tcPr>
          <w:p w14:paraId="31CFA677" w14:textId="77777777" w:rsidR="003B2F3F" w:rsidRPr="00C033B1" w:rsidRDefault="003B2F3F" w:rsidP="003B2F3F">
            <w:pPr>
              <w:pStyle w:val="Tabletext"/>
            </w:pPr>
            <w:r w:rsidRPr="00C033B1">
              <w:t xml:space="preserve">Filing of an urgent application without notice, by a person (the </w:t>
            </w:r>
            <w:r w:rsidRPr="00C033B1">
              <w:rPr>
                <w:b/>
                <w:i/>
              </w:rPr>
              <w:t>prospective applicant</w:t>
            </w:r>
            <w:r w:rsidRPr="00C033B1">
              <w:t>) who intends to commence a proceeding, for any of the following:</w:t>
            </w:r>
          </w:p>
          <w:p w14:paraId="0631EEB0" w14:textId="77777777" w:rsidR="003B2F3F" w:rsidRPr="00C033B1" w:rsidRDefault="003B2F3F" w:rsidP="003B2F3F">
            <w:pPr>
              <w:pStyle w:val="Tablea"/>
            </w:pPr>
            <w:r w:rsidRPr="00C033B1">
              <w:t>(a) if the proceeding relates to property—an order:</w:t>
            </w:r>
          </w:p>
          <w:p w14:paraId="449E860B" w14:textId="77777777" w:rsidR="003B2F3F" w:rsidRPr="00C033B1" w:rsidRDefault="003B2F3F" w:rsidP="003B2F3F">
            <w:pPr>
              <w:pStyle w:val="Tablei"/>
            </w:pPr>
            <w:r w:rsidRPr="00C033B1">
              <w:t>(i) for the detention, custody, preservation or inspection of property; or</w:t>
            </w:r>
          </w:p>
          <w:p w14:paraId="10891F01" w14:textId="77777777" w:rsidR="003B2F3F" w:rsidRPr="00C033B1" w:rsidRDefault="003B2F3F" w:rsidP="003B2F3F">
            <w:pPr>
              <w:pStyle w:val="Tablei"/>
            </w:pPr>
            <w:r w:rsidRPr="00C033B1">
              <w:t>(ii) to authorise a person to enter land, or do an act or thing, to give effect to the order;</w:t>
            </w:r>
          </w:p>
          <w:p w14:paraId="77771604" w14:textId="77777777" w:rsidR="002E4ADD" w:rsidRPr="00C033B1" w:rsidRDefault="003B2F3F" w:rsidP="003B2F3F">
            <w:pPr>
              <w:pStyle w:val="Tablea"/>
            </w:pPr>
            <w:r w:rsidRPr="00C033B1">
              <w:t>(b) if the proceeding relates to the right of the prospective applicant to an amount in a fund—an order that the amount in the fund be paid into the Federal Court or otherwise secured</w:t>
            </w:r>
          </w:p>
        </w:tc>
        <w:tc>
          <w:tcPr>
            <w:tcW w:w="1943" w:type="pct"/>
            <w:shd w:val="clear" w:color="auto" w:fill="auto"/>
          </w:tcPr>
          <w:p w14:paraId="2E94A18C" w14:textId="77777777" w:rsidR="009648B2" w:rsidRPr="00C033B1" w:rsidRDefault="009648B2" w:rsidP="00D961F9">
            <w:pPr>
              <w:pStyle w:val="Tablea"/>
            </w:pPr>
            <w:r w:rsidRPr="00C033B1">
              <w:t>(a) for a corporation—$</w:t>
            </w:r>
            <w:r w:rsidR="00BE6BFE" w:rsidRPr="00C033B1">
              <w:t>7,790</w:t>
            </w:r>
          </w:p>
          <w:p w14:paraId="170648B6" w14:textId="77777777" w:rsidR="009648B2" w:rsidRPr="00C033B1" w:rsidRDefault="009648B2" w:rsidP="00D961F9">
            <w:pPr>
              <w:pStyle w:val="Tablea"/>
            </w:pPr>
            <w:r w:rsidRPr="00C033B1">
              <w:t>(b) in any other case—$</w:t>
            </w:r>
            <w:r w:rsidR="00BE6BFE" w:rsidRPr="00C033B1">
              <w:t>2,825</w:t>
            </w:r>
          </w:p>
        </w:tc>
      </w:tr>
      <w:tr w:rsidR="009648B2" w:rsidRPr="00C033B1" w14:paraId="66A27642" w14:textId="77777777" w:rsidTr="00775E26">
        <w:tc>
          <w:tcPr>
            <w:tcW w:w="411" w:type="pct"/>
            <w:shd w:val="clear" w:color="auto" w:fill="auto"/>
          </w:tcPr>
          <w:p w14:paraId="56A73689" w14:textId="77777777" w:rsidR="009648B2" w:rsidRPr="00C033B1" w:rsidRDefault="009648B2" w:rsidP="00B22585">
            <w:pPr>
              <w:pStyle w:val="Tabletext"/>
              <w:ind w:left="-14" w:right="-26"/>
            </w:pPr>
            <w:r w:rsidRPr="00C033B1">
              <w:t>115A</w:t>
            </w:r>
          </w:p>
        </w:tc>
        <w:tc>
          <w:tcPr>
            <w:tcW w:w="2646" w:type="pct"/>
            <w:shd w:val="clear" w:color="auto" w:fill="auto"/>
          </w:tcPr>
          <w:p w14:paraId="67E413C3" w14:textId="77777777" w:rsidR="003B2F3F" w:rsidRPr="00C033B1" w:rsidRDefault="003B2F3F" w:rsidP="003B2F3F">
            <w:pPr>
              <w:pStyle w:val="Tabletext"/>
            </w:pPr>
            <w:r w:rsidRPr="00C033B1">
              <w:t>Filing of an application</w:t>
            </w:r>
            <w:r w:rsidR="000F6247" w:rsidRPr="00C033B1">
              <w:t xml:space="preserve"> (</w:t>
            </w:r>
            <w:r w:rsidRPr="00C033B1">
              <w:t>including an interlocutory application</w:t>
            </w:r>
            <w:r w:rsidR="000F6247" w:rsidRPr="00C033B1">
              <w:t>)</w:t>
            </w:r>
            <w:r w:rsidRPr="00C033B1">
              <w:t xml:space="preserve"> for an order:</w:t>
            </w:r>
          </w:p>
          <w:p w14:paraId="33D7128E" w14:textId="77777777" w:rsidR="003B2F3F" w:rsidRPr="00C033B1" w:rsidRDefault="003B2F3F" w:rsidP="003B2F3F">
            <w:pPr>
              <w:pStyle w:val="Tablea"/>
            </w:pPr>
            <w:r w:rsidRPr="00C033B1">
              <w:t>(a) restraining a person from removing, disposing of, dealing with, or diminishing the value of, assets; or</w:t>
            </w:r>
          </w:p>
          <w:p w14:paraId="5CEFAEF2" w14:textId="77777777" w:rsidR="002E4ADD" w:rsidRPr="00C033B1" w:rsidRDefault="003B2F3F" w:rsidP="003B2F3F">
            <w:pPr>
              <w:pStyle w:val="Tablea"/>
            </w:pPr>
            <w:r w:rsidRPr="00C033B1">
              <w:t>(b) for the purpose of preventing the frustration or inhibition of the Court’s process by seeking to meet a danger that a judgment or prospective judgment of the Court will be wholly or partly unsatisfied</w:t>
            </w:r>
          </w:p>
        </w:tc>
        <w:tc>
          <w:tcPr>
            <w:tcW w:w="1943" w:type="pct"/>
            <w:shd w:val="clear" w:color="auto" w:fill="auto"/>
          </w:tcPr>
          <w:p w14:paraId="72176030" w14:textId="77777777" w:rsidR="009648B2" w:rsidRPr="00C033B1" w:rsidRDefault="009648B2" w:rsidP="00D961F9">
            <w:pPr>
              <w:pStyle w:val="Tablea"/>
            </w:pPr>
            <w:r w:rsidRPr="00C033B1">
              <w:t>(a) for a corporation—$</w:t>
            </w:r>
            <w:r w:rsidR="00BE6BFE" w:rsidRPr="00C033B1">
              <w:t>7,790</w:t>
            </w:r>
          </w:p>
          <w:p w14:paraId="05D20F52" w14:textId="77777777" w:rsidR="009648B2" w:rsidRPr="00C033B1" w:rsidRDefault="009648B2" w:rsidP="00D961F9">
            <w:pPr>
              <w:pStyle w:val="Tablea"/>
            </w:pPr>
            <w:r w:rsidRPr="00C033B1">
              <w:t>(b) in any other case—$</w:t>
            </w:r>
            <w:r w:rsidR="00BE6BFE" w:rsidRPr="00C033B1">
              <w:t>2,825</w:t>
            </w:r>
          </w:p>
        </w:tc>
      </w:tr>
      <w:tr w:rsidR="009648B2" w:rsidRPr="00C033B1" w14:paraId="601488AF" w14:textId="77777777" w:rsidTr="00775E26">
        <w:tc>
          <w:tcPr>
            <w:tcW w:w="411" w:type="pct"/>
            <w:shd w:val="clear" w:color="auto" w:fill="auto"/>
          </w:tcPr>
          <w:p w14:paraId="019FA808" w14:textId="77777777" w:rsidR="009648B2" w:rsidRPr="00C033B1" w:rsidRDefault="009648B2" w:rsidP="00B22585">
            <w:pPr>
              <w:pStyle w:val="Tabletext"/>
              <w:ind w:left="-14" w:right="-26"/>
            </w:pPr>
            <w:r w:rsidRPr="00C033B1">
              <w:t>115B</w:t>
            </w:r>
          </w:p>
        </w:tc>
        <w:tc>
          <w:tcPr>
            <w:tcW w:w="2646" w:type="pct"/>
            <w:shd w:val="clear" w:color="auto" w:fill="auto"/>
          </w:tcPr>
          <w:p w14:paraId="64FDFD84" w14:textId="77777777" w:rsidR="002E4ADD" w:rsidRPr="00C033B1" w:rsidRDefault="000F6247" w:rsidP="00FE1E45">
            <w:pPr>
              <w:pStyle w:val="Tabletext"/>
            </w:pPr>
            <w:r w:rsidRPr="00C033B1">
              <w:t>Filing of an application (including an interlocutory application)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1943" w:type="pct"/>
            <w:shd w:val="clear" w:color="auto" w:fill="auto"/>
          </w:tcPr>
          <w:p w14:paraId="7EF39D26" w14:textId="77777777" w:rsidR="009648B2" w:rsidRPr="00C033B1" w:rsidRDefault="009648B2" w:rsidP="00D961F9">
            <w:pPr>
              <w:pStyle w:val="Tablea"/>
            </w:pPr>
            <w:r w:rsidRPr="00C033B1">
              <w:t>(a) for a corporation—$</w:t>
            </w:r>
            <w:r w:rsidR="00BE6BFE" w:rsidRPr="00C033B1">
              <w:t>7,790</w:t>
            </w:r>
          </w:p>
          <w:p w14:paraId="62E0AB32" w14:textId="77777777" w:rsidR="009648B2" w:rsidRPr="00C033B1" w:rsidRDefault="009648B2" w:rsidP="00D961F9">
            <w:pPr>
              <w:pStyle w:val="Tablea"/>
            </w:pPr>
            <w:r w:rsidRPr="00C033B1">
              <w:t>(b) in any other case—$</w:t>
            </w:r>
            <w:r w:rsidR="00BE6BFE" w:rsidRPr="00C033B1">
              <w:t>2,825</w:t>
            </w:r>
          </w:p>
        </w:tc>
      </w:tr>
      <w:tr w:rsidR="009648B2" w:rsidRPr="00C033B1" w14:paraId="61D16898" w14:textId="77777777" w:rsidTr="00775E26">
        <w:tc>
          <w:tcPr>
            <w:tcW w:w="411" w:type="pct"/>
            <w:shd w:val="clear" w:color="auto" w:fill="auto"/>
          </w:tcPr>
          <w:p w14:paraId="0ECC9484" w14:textId="77777777" w:rsidR="009648B2" w:rsidRPr="00C033B1" w:rsidRDefault="009648B2" w:rsidP="00B22585">
            <w:pPr>
              <w:pStyle w:val="Tabletext"/>
              <w:ind w:left="-14" w:right="-26"/>
            </w:pPr>
            <w:r w:rsidRPr="00C033B1">
              <w:t>115C</w:t>
            </w:r>
          </w:p>
        </w:tc>
        <w:tc>
          <w:tcPr>
            <w:tcW w:w="2646" w:type="pct"/>
            <w:shd w:val="clear" w:color="auto" w:fill="auto"/>
          </w:tcPr>
          <w:p w14:paraId="596A57DB" w14:textId="77777777" w:rsidR="009648B2" w:rsidRPr="00C033B1" w:rsidRDefault="009648B2" w:rsidP="00B22585">
            <w:pPr>
              <w:pStyle w:val="Tabletext"/>
            </w:pPr>
            <w:r w:rsidRPr="00C033B1">
              <w:t xml:space="preserve">Filing of an application to register a New Zealand judgment under the </w:t>
            </w:r>
            <w:r w:rsidRPr="00C033B1">
              <w:rPr>
                <w:i/>
              </w:rPr>
              <w:t>Trans</w:t>
            </w:r>
            <w:r w:rsidR="00C033B1">
              <w:rPr>
                <w:i/>
              </w:rPr>
              <w:noBreakHyphen/>
            </w:r>
            <w:r w:rsidRPr="00C033B1">
              <w:rPr>
                <w:i/>
              </w:rPr>
              <w:t>Tasman Proceedings Act 2010</w:t>
            </w:r>
          </w:p>
        </w:tc>
        <w:tc>
          <w:tcPr>
            <w:tcW w:w="1943" w:type="pct"/>
            <w:shd w:val="clear" w:color="auto" w:fill="auto"/>
          </w:tcPr>
          <w:p w14:paraId="5FB94679" w14:textId="77777777" w:rsidR="009648B2" w:rsidRPr="00C033B1" w:rsidRDefault="009648B2" w:rsidP="00D961F9">
            <w:pPr>
              <w:pStyle w:val="Tabletext"/>
            </w:pPr>
            <w:r w:rsidRPr="00C033B1">
              <w:t>$</w:t>
            </w:r>
            <w:r w:rsidR="00BE6BFE" w:rsidRPr="00C033B1">
              <w:t>135</w:t>
            </w:r>
          </w:p>
        </w:tc>
      </w:tr>
      <w:tr w:rsidR="009648B2" w:rsidRPr="00C033B1" w14:paraId="6430885C" w14:textId="77777777" w:rsidTr="00775E26">
        <w:tc>
          <w:tcPr>
            <w:tcW w:w="411" w:type="pct"/>
            <w:shd w:val="clear" w:color="auto" w:fill="auto"/>
          </w:tcPr>
          <w:p w14:paraId="39A68ADA" w14:textId="77777777" w:rsidR="009648B2" w:rsidRPr="00C033B1" w:rsidRDefault="009648B2" w:rsidP="00B22585">
            <w:pPr>
              <w:pStyle w:val="Tabletext"/>
              <w:ind w:left="-14" w:right="-26"/>
            </w:pPr>
            <w:r w:rsidRPr="00C033B1">
              <w:t>116</w:t>
            </w:r>
          </w:p>
        </w:tc>
        <w:tc>
          <w:tcPr>
            <w:tcW w:w="2646" w:type="pct"/>
            <w:shd w:val="clear" w:color="auto" w:fill="auto"/>
          </w:tcPr>
          <w:p w14:paraId="45299BCC" w14:textId="77777777" w:rsidR="009648B2" w:rsidRPr="00C033B1" w:rsidRDefault="009648B2" w:rsidP="00B22585">
            <w:pPr>
              <w:pStyle w:val="Tabletext"/>
            </w:pPr>
            <w:r w:rsidRPr="00C033B1">
              <w:t>Setting down for hearing a proceeding (including an application, appeal, cross</w:t>
            </w:r>
            <w:r w:rsidR="00C033B1">
              <w:noBreakHyphen/>
            </w:r>
            <w:r w:rsidRPr="00C033B1">
              <w:t>claim or cross</w:t>
            </w:r>
            <w:r w:rsidR="00C033B1">
              <w:noBreakHyphen/>
            </w:r>
            <w:r w:rsidRPr="00C033B1">
              <w:t>appeal) or an issue in question in a proceeding</w:t>
            </w:r>
          </w:p>
        </w:tc>
        <w:tc>
          <w:tcPr>
            <w:tcW w:w="1943" w:type="pct"/>
            <w:shd w:val="clear" w:color="auto" w:fill="auto"/>
          </w:tcPr>
          <w:p w14:paraId="684AA957" w14:textId="77777777" w:rsidR="009648B2" w:rsidRPr="00C033B1" w:rsidRDefault="009648B2" w:rsidP="00D961F9">
            <w:pPr>
              <w:pStyle w:val="Tablea"/>
            </w:pPr>
            <w:r w:rsidRPr="00C033B1">
              <w:t>(a) for a corporation—$</w:t>
            </w:r>
            <w:r w:rsidR="00BE6BFE" w:rsidRPr="00C033B1">
              <w:t>7,440</w:t>
            </w:r>
          </w:p>
          <w:p w14:paraId="134F4C58" w14:textId="77777777" w:rsidR="009648B2" w:rsidRPr="00C033B1" w:rsidRDefault="009648B2" w:rsidP="00D961F9">
            <w:pPr>
              <w:pStyle w:val="Tablea"/>
            </w:pPr>
            <w:r w:rsidRPr="00C033B1">
              <w:t>(b) in any other case—$</w:t>
            </w:r>
            <w:r w:rsidR="00BE6BFE" w:rsidRPr="00C033B1">
              <w:t>3,055</w:t>
            </w:r>
          </w:p>
        </w:tc>
      </w:tr>
      <w:tr w:rsidR="009648B2" w:rsidRPr="00C033B1" w14:paraId="74DEC368" w14:textId="77777777" w:rsidTr="00775E26">
        <w:tc>
          <w:tcPr>
            <w:tcW w:w="411" w:type="pct"/>
            <w:shd w:val="clear" w:color="auto" w:fill="auto"/>
          </w:tcPr>
          <w:p w14:paraId="34EC1AB2" w14:textId="77777777" w:rsidR="009648B2" w:rsidRPr="00C033B1" w:rsidRDefault="009648B2" w:rsidP="00B22585">
            <w:pPr>
              <w:pStyle w:val="Tabletext"/>
              <w:ind w:left="-14" w:right="-26"/>
            </w:pPr>
            <w:r w:rsidRPr="00C033B1">
              <w:t>117</w:t>
            </w:r>
          </w:p>
        </w:tc>
        <w:tc>
          <w:tcPr>
            <w:tcW w:w="2646" w:type="pct"/>
            <w:shd w:val="clear" w:color="auto" w:fill="auto"/>
          </w:tcPr>
          <w:p w14:paraId="60C9005E" w14:textId="77777777" w:rsidR="009648B2" w:rsidRPr="00C033B1" w:rsidRDefault="009648B2" w:rsidP="00B22585">
            <w:pPr>
              <w:pStyle w:val="Tabletext"/>
            </w:pPr>
            <w:r w:rsidRPr="00C033B1">
              <w:t>For the hearing of an application (including a cross</w:t>
            </w:r>
            <w:r w:rsidR="00C033B1">
              <w:noBreakHyphen/>
            </w:r>
            <w:r w:rsidRPr="00C033B1">
              <w:t xml:space="preserve">claim) under </w:t>
            </w:r>
            <w:r w:rsidR="005833F4" w:rsidRPr="00C033B1">
              <w:t>sub</w:t>
            </w:r>
            <w:r w:rsidR="007D3911" w:rsidRPr="00C033B1">
              <w:t>section 3</w:t>
            </w:r>
            <w:r w:rsidRPr="00C033B1">
              <w:t>5A(5) of the Federal Court Act—for each day or part of a day</w:t>
            </w:r>
          </w:p>
        </w:tc>
        <w:tc>
          <w:tcPr>
            <w:tcW w:w="1943" w:type="pct"/>
            <w:shd w:val="clear" w:color="auto" w:fill="auto"/>
          </w:tcPr>
          <w:p w14:paraId="1A2010F5" w14:textId="77777777" w:rsidR="009648B2" w:rsidRPr="00C033B1" w:rsidRDefault="009648B2" w:rsidP="00D961F9">
            <w:pPr>
              <w:pStyle w:val="Tablea"/>
            </w:pPr>
            <w:r w:rsidRPr="00C033B1">
              <w:t>(a) for a corporation—$</w:t>
            </w:r>
            <w:r w:rsidR="00BE6BFE" w:rsidRPr="00C033B1">
              <w:t>2,970</w:t>
            </w:r>
          </w:p>
          <w:p w14:paraId="5B3755AD" w14:textId="77777777" w:rsidR="009648B2" w:rsidRPr="00C033B1" w:rsidRDefault="009648B2" w:rsidP="00D961F9">
            <w:pPr>
              <w:pStyle w:val="Tablea"/>
            </w:pPr>
            <w:r w:rsidRPr="00C033B1">
              <w:t>(b) in any other case—$</w:t>
            </w:r>
            <w:r w:rsidR="00BE6BFE" w:rsidRPr="00C033B1">
              <w:t>1,215</w:t>
            </w:r>
          </w:p>
        </w:tc>
      </w:tr>
      <w:tr w:rsidR="009648B2" w:rsidRPr="00C033B1" w14:paraId="2D1539F3" w14:textId="77777777" w:rsidTr="00775E26">
        <w:tc>
          <w:tcPr>
            <w:tcW w:w="411" w:type="pct"/>
            <w:shd w:val="clear" w:color="auto" w:fill="auto"/>
          </w:tcPr>
          <w:p w14:paraId="20FB6CC3" w14:textId="77777777" w:rsidR="009648B2" w:rsidRPr="00C033B1" w:rsidRDefault="009648B2" w:rsidP="00B22585">
            <w:pPr>
              <w:pStyle w:val="Tabletext"/>
              <w:ind w:left="-14" w:right="-26"/>
            </w:pPr>
            <w:r w:rsidRPr="00C033B1">
              <w:t>118</w:t>
            </w:r>
          </w:p>
        </w:tc>
        <w:tc>
          <w:tcPr>
            <w:tcW w:w="2646" w:type="pct"/>
            <w:shd w:val="clear" w:color="auto" w:fill="auto"/>
          </w:tcPr>
          <w:p w14:paraId="6888319B" w14:textId="77777777" w:rsidR="009648B2" w:rsidRPr="00C033B1" w:rsidRDefault="009648B2" w:rsidP="00B22585">
            <w:pPr>
              <w:pStyle w:val="Tabletext"/>
            </w:pPr>
            <w:r w:rsidRPr="00C033B1">
              <w:t>For the hearing of an application</w:t>
            </w:r>
            <w:r w:rsidR="009F06DE" w:rsidRPr="00C033B1">
              <w:t xml:space="preserve"> (</w:t>
            </w:r>
            <w:r w:rsidRPr="00C033B1">
              <w:t>including a cross</w:t>
            </w:r>
            <w:r w:rsidR="00C033B1">
              <w:noBreakHyphen/>
            </w:r>
            <w:r w:rsidRPr="00C033B1">
              <w:t>claim</w:t>
            </w:r>
            <w:r w:rsidR="00CE1000" w:rsidRPr="00C033B1">
              <w:t>)</w:t>
            </w:r>
            <w:r w:rsidR="00491D5A" w:rsidRPr="00C033B1">
              <w:t>,</w:t>
            </w:r>
            <w:r w:rsidRPr="00C033B1">
              <w:t xml:space="preserve"> other than:</w:t>
            </w:r>
          </w:p>
          <w:p w14:paraId="4BE3ED10" w14:textId="77777777" w:rsidR="009648B2" w:rsidRPr="00C033B1" w:rsidRDefault="009648B2" w:rsidP="00B22585">
            <w:pPr>
              <w:pStyle w:val="Tablea"/>
            </w:pPr>
            <w:r w:rsidRPr="00C033B1">
              <w:t xml:space="preserve">(a) an application mentioned in </w:t>
            </w:r>
            <w:r w:rsidR="005833F4" w:rsidRPr="00C033B1">
              <w:t>item 1</w:t>
            </w:r>
            <w:r w:rsidRPr="00C033B1">
              <w:t>17; or</w:t>
            </w:r>
          </w:p>
          <w:p w14:paraId="020A4BEB" w14:textId="77777777" w:rsidR="009648B2" w:rsidRPr="00C033B1" w:rsidRDefault="009648B2" w:rsidP="00B22585">
            <w:pPr>
              <w:pStyle w:val="Tablea"/>
            </w:pPr>
            <w:r w:rsidRPr="00C033B1">
              <w:t>(b) an issue or question in such an application; or</w:t>
            </w:r>
          </w:p>
          <w:p w14:paraId="600F2653" w14:textId="77777777" w:rsidR="009648B2" w:rsidRPr="00C033B1" w:rsidRDefault="009648B2" w:rsidP="00B22585">
            <w:pPr>
              <w:pStyle w:val="Tablea"/>
            </w:pPr>
            <w:r w:rsidRPr="00C033B1">
              <w:t>(c) an appeal (including a cross</w:t>
            </w:r>
            <w:r w:rsidR="00C033B1">
              <w:noBreakHyphen/>
            </w:r>
            <w:r w:rsidRPr="00C033B1">
              <w:t>appeal);</w:t>
            </w:r>
          </w:p>
          <w:p w14:paraId="403E2196" w14:textId="77777777" w:rsidR="009648B2" w:rsidRPr="00C033B1" w:rsidRDefault="009648B2" w:rsidP="00B22585">
            <w:pPr>
              <w:pStyle w:val="Tabletext"/>
            </w:pPr>
            <w:r w:rsidRPr="00C033B1">
              <w:t>for the second, third and fourth days, or part of those days</w:t>
            </w:r>
          </w:p>
        </w:tc>
        <w:tc>
          <w:tcPr>
            <w:tcW w:w="1943" w:type="pct"/>
            <w:shd w:val="clear" w:color="auto" w:fill="auto"/>
          </w:tcPr>
          <w:p w14:paraId="2A9B4365" w14:textId="77777777" w:rsidR="009648B2" w:rsidRPr="00C033B1" w:rsidRDefault="009648B2" w:rsidP="00D961F9">
            <w:pPr>
              <w:pStyle w:val="Tablea"/>
            </w:pPr>
            <w:r w:rsidRPr="00C033B1">
              <w:t>(a) for a corporation—$</w:t>
            </w:r>
            <w:r w:rsidR="00BE6BFE" w:rsidRPr="00C033B1">
              <w:t>2,970</w:t>
            </w:r>
          </w:p>
          <w:p w14:paraId="2175539C" w14:textId="77777777" w:rsidR="009648B2" w:rsidRPr="00C033B1" w:rsidRDefault="009648B2" w:rsidP="00D961F9">
            <w:pPr>
              <w:pStyle w:val="Tablea"/>
            </w:pPr>
            <w:r w:rsidRPr="00C033B1">
              <w:t>(b) in any other case—$</w:t>
            </w:r>
            <w:r w:rsidR="00BE6BFE" w:rsidRPr="00C033B1">
              <w:t>1,215</w:t>
            </w:r>
          </w:p>
        </w:tc>
      </w:tr>
      <w:tr w:rsidR="009648B2" w:rsidRPr="00C033B1" w14:paraId="6BFFFE9F" w14:textId="77777777" w:rsidTr="00775E26">
        <w:tc>
          <w:tcPr>
            <w:tcW w:w="411" w:type="pct"/>
            <w:shd w:val="clear" w:color="auto" w:fill="auto"/>
          </w:tcPr>
          <w:p w14:paraId="225CF48C" w14:textId="77777777" w:rsidR="009648B2" w:rsidRPr="00C033B1" w:rsidRDefault="009648B2" w:rsidP="00B22585">
            <w:pPr>
              <w:pStyle w:val="Tabletext"/>
              <w:ind w:left="-14" w:right="-26"/>
            </w:pPr>
            <w:r w:rsidRPr="00C033B1">
              <w:t>119</w:t>
            </w:r>
          </w:p>
        </w:tc>
        <w:tc>
          <w:tcPr>
            <w:tcW w:w="2646" w:type="pct"/>
            <w:shd w:val="clear" w:color="auto" w:fill="auto"/>
          </w:tcPr>
          <w:p w14:paraId="631E6D75" w14:textId="77777777" w:rsidR="009648B2" w:rsidRPr="00C033B1" w:rsidRDefault="009648B2" w:rsidP="00B22585">
            <w:pPr>
              <w:pStyle w:val="Tabletext"/>
            </w:pPr>
            <w:r w:rsidRPr="00C033B1">
              <w:t>For the hearing of an application (including a cross</w:t>
            </w:r>
            <w:r w:rsidR="00C033B1">
              <w:noBreakHyphen/>
            </w:r>
            <w:r w:rsidRPr="00C033B1">
              <w:t>claim)</w:t>
            </w:r>
            <w:r w:rsidR="00CE1000" w:rsidRPr="00C033B1">
              <w:t>,</w:t>
            </w:r>
            <w:r w:rsidRPr="00C033B1">
              <w:t xml:space="preserve"> other than:</w:t>
            </w:r>
          </w:p>
          <w:p w14:paraId="215A101A" w14:textId="77777777" w:rsidR="009648B2" w:rsidRPr="00C033B1" w:rsidRDefault="009648B2" w:rsidP="00B22585">
            <w:pPr>
              <w:pStyle w:val="Tablea"/>
            </w:pPr>
            <w:r w:rsidRPr="00C033B1">
              <w:lastRenderedPageBreak/>
              <w:t xml:space="preserve">(a) an application mentioned in </w:t>
            </w:r>
            <w:r w:rsidR="005833F4" w:rsidRPr="00C033B1">
              <w:t>item 1</w:t>
            </w:r>
            <w:r w:rsidRPr="00C033B1">
              <w:t>17; or</w:t>
            </w:r>
          </w:p>
          <w:p w14:paraId="17286CD2" w14:textId="77777777" w:rsidR="009648B2" w:rsidRPr="00C033B1" w:rsidRDefault="009648B2" w:rsidP="00B22585">
            <w:pPr>
              <w:pStyle w:val="Tablea"/>
            </w:pPr>
            <w:r w:rsidRPr="00C033B1">
              <w:t>(b) an issue or question in such an application; or</w:t>
            </w:r>
          </w:p>
          <w:p w14:paraId="04E370AF" w14:textId="77777777" w:rsidR="009648B2" w:rsidRPr="00C033B1" w:rsidRDefault="009648B2" w:rsidP="00B22585">
            <w:pPr>
              <w:pStyle w:val="Tablea"/>
            </w:pPr>
            <w:r w:rsidRPr="00C033B1">
              <w:t>(c) an appeal (including a cross</w:t>
            </w:r>
            <w:r w:rsidR="00C033B1">
              <w:noBreakHyphen/>
            </w:r>
            <w:r w:rsidRPr="00C033B1">
              <w:t>appeal);</w:t>
            </w:r>
          </w:p>
          <w:p w14:paraId="2466AC7D" w14:textId="77777777" w:rsidR="009648B2" w:rsidRPr="00C033B1" w:rsidRDefault="009648B2" w:rsidP="00B22585">
            <w:pPr>
              <w:pStyle w:val="Tabletext"/>
            </w:pPr>
            <w:r w:rsidRPr="00C033B1">
              <w:t>for the fifth, sixth, seventh, eighth and ninth days, or part of those days</w:t>
            </w:r>
          </w:p>
        </w:tc>
        <w:tc>
          <w:tcPr>
            <w:tcW w:w="1943" w:type="pct"/>
            <w:shd w:val="clear" w:color="auto" w:fill="auto"/>
          </w:tcPr>
          <w:p w14:paraId="11F3F2C2" w14:textId="77777777" w:rsidR="009648B2" w:rsidRPr="00C033B1" w:rsidRDefault="009648B2" w:rsidP="00D961F9">
            <w:pPr>
              <w:pStyle w:val="Tablea"/>
            </w:pPr>
            <w:r w:rsidRPr="00C033B1">
              <w:lastRenderedPageBreak/>
              <w:t>(a) for a corporation—$</w:t>
            </w:r>
            <w:r w:rsidR="00BE6BFE" w:rsidRPr="00C033B1">
              <w:t>5,360</w:t>
            </w:r>
          </w:p>
          <w:p w14:paraId="56B4AA8E" w14:textId="77777777" w:rsidR="009648B2" w:rsidRPr="00C033B1" w:rsidRDefault="009648B2" w:rsidP="00D961F9">
            <w:pPr>
              <w:pStyle w:val="Tablea"/>
            </w:pPr>
            <w:r w:rsidRPr="00C033B1">
              <w:lastRenderedPageBreak/>
              <w:t>(b) in any other case—$</w:t>
            </w:r>
            <w:r w:rsidR="00BE6BFE" w:rsidRPr="00C033B1">
              <w:t>2,030</w:t>
            </w:r>
          </w:p>
        </w:tc>
      </w:tr>
      <w:tr w:rsidR="009648B2" w:rsidRPr="00C033B1" w14:paraId="1FDB56CE" w14:textId="77777777" w:rsidTr="00775E26">
        <w:tc>
          <w:tcPr>
            <w:tcW w:w="411" w:type="pct"/>
            <w:shd w:val="clear" w:color="auto" w:fill="auto"/>
          </w:tcPr>
          <w:p w14:paraId="56D80F53" w14:textId="77777777" w:rsidR="009648B2" w:rsidRPr="00C033B1" w:rsidRDefault="009648B2" w:rsidP="00B22585">
            <w:pPr>
              <w:pStyle w:val="Tabletext"/>
              <w:ind w:left="-14" w:right="-26"/>
            </w:pPr>
            <w:r w:rsidRPr="00C033B1">
              <w:lastRenderedPageBreak/>
              <w:t>120</w:t>
            </w:r>
          </w:p>
        </w:tc>
        <w:tc>
          <w:tcPr>
            <w:tcW w:w="2646" w:type="pct"/>
            <w:shd w:val="clear" w:color="auto" w:fill="auto"/>
          </w:tcPr>
          <w:p w14:paraId="39D0BCD8" w14:textId="77777777" w:rsidR="009648B2" w:rsidRPr="00C033B1" w:rsidRDefault="009648B2" w:rsidP="00B22585">
            <w:pPr>
              <w:pStyle w:val="Tabletext"/>
            </w:pPr>
            <w:r w:rsidRPr="00C033B1">
              <w:t>For the hearing of an application (including a cross</w:t>
            </w:r>
            <w:r w:rsidR="00C033B1">
              <w:noBreakHyphen/>
            </w:r>
            <w:r w:rsidRPr="00C033B1">
              <w:t>claim)</w:t>
            </w:r>
            <w:r w:rsidR="00CE1000" w:rsidRPr="00C033B1">
              <w:t>,</w:t>
            </w:r>
            <w:r w:rsidRPr="00C033B1">
              <w:t xml:space="preserve"> other than:</w:t>
            </w:r>
          </w:p>
          <w:p w14:paraId="17E96E35" w14:textId="77777777" w:rsidR="009648B2" w:rsidRPr="00C033B1" w:rsidRDefault="009648B2" w:rsidP="00B22585">
            <w:pPr>
              <w:pStyle w:val="Tablea"/>
            </w:pPr>
            <w:r w:rsidRPr="00C033B1">
              <w:t xml:space="preserve">(a) an application mentioned in </w:t>
            </w:r>
            <w:r w:rsidR="005833F4" w:rsidRPr="00C033B1">
              <w:t>item 1</w:t>
            </w:r>
            <w:r w:rsidRPr="00C033B1">
              <w:t>17; or</w:t>
            </w:r>
          </w:p>
          <w:p w14:paraId="7135A285" w14:textId="77777777" w:rsidR="009648B2" w:rsidRPr="00C033B1" w:rsidRDefault="009648B2" w:rsidP="00B22585">
            <w:pPr>
              <w:pStyle w:val="Tablea"/>
            </w:pPr>
            <w:r w:rsidRPr="00C033B1">
              <w:t>(b) an issue or question in such an application; or</w:t>
            </w:r>
          </w:p>
          <w:p w14:paraId="31A8BC28" w14:textId="77777777" w:rsidR="009648B2" w:rsidRPr="00C033B1" w:rsidRDefault="009648B2" w:rsidP="00B22585">
            <w:pPr>
              <w:pStyle w:val="Tablea"/>
            </w:pPr>
            <w:r w:rsidRPr="00C033B1">
              <w:t>(c) an appeal (including a cross</w:t>
            </w:r>
            <w:r w:rsidR="00C033B1">
              <w:noBreakHyphen/>
            </w:r>
            <w:r w:rsidRPr="00C033B1">
              <w:t>appeal);</w:t>
            </w:r>
          </w:p>
          <w:p w14:paraId="31471D7A" w14:textId="77777777" w:rsidR="009648B2" w:rsidRPr="00C033B1" w:rsidRDefault="009648B2" w:rsidP="00B22585">
            <w:pPr>
              <w:pStyle w:val="Tabletext"/>
            </w:pPr>
            <w:r w:rsidRPr="00C033B1">
              <w:t>for the tenth, 11th, 12th, 13th and 14th days, or part of those days</w:t>
            </w:r>
          </w:p>
        </w:tc>
        <w:tc>
          <w:tcPr>
            <w:tcW w:w="1943" w:type="pct"/>
            <w:shd w:val="clear" w:color="auto" w:fill="auto"/>
          </w:tcPr>
          <w:p w14:paraId="1042AE16" w14:textId="77777777" w:rsidR="009648B2" w:rsidRPr="00C033B1" w:rsidRDefault="009648B2" w:rsidP="00D961F9">
            <w:pPr>
              <w:pStyle w:val="Tablea"/>
            </w:pPr>
            <w:r w:rsidRPr="00C033B1">
              <w:t>(a) for a corporation—$</w:t>
            </w:r>
            <w:r w:rsidR="00BE6BFE" w:rsidRPr="00C033B1">
              <w:t>10,560</w:t>
            </w:r>
          </w:p>
          <w:p w14:paraId="691D3085" w14:textId="77777777" w:rsidR="009648B2" w:rsidRPr="00C033B1" w:rsidRDefault="009648B2" w:rsidP="00D961F9">
            <w:pPr>
              <w:pStyle w:val="Tablea"/>
            </w:pPr>
            <w:r w:rsidRPr="00C033B1">
              <w:t>(b) in any other case—$</w:t>
            </w:r>
            <w:r w:rsidR="00BE6BFE" w:rsidRPr="00C033B1">
              <w:t>4,085</w:t>
            </w:r>
          </w:p>
        </w:tc>
      </w:tr>
      <w:tr w:rsidR="009648B2" w:rsidRPr="00C033B1" w14:paraId="1F622EA7" w14:textId="77777777" w:rsidTr="00775E26">
        <w:tc>
          <w:tcPr>
            <w:tcW w:w="411" w:type="pct"/>
            <w:shd w:val="clear" w:color="auto" w:fill="auto"/>
          </w:tcPr>
          <w:p w14:paraId="3C9DD34F" w14:textId="77777777" w:rsidR="009648B2" w:rsidRPr="00C033B1" w:rsidRDefault="009648B2" w:rsidP="00B22585">
            <w:pPr>
              <w:pStyle w:val="Tabletext"/>
              <w:ind w:left="-14" w:right="-26"/>
            </w:pPr>
            <w:r w:rsidRPr="00C033B1">
              <w:t>121</w:t>
            </w:r>
          </w:p>
        </w:tc>
        <w:tc>
          <w:tcPr>
            <w:tcW w:w="2646" w:type="pct"/>
            <w:shd w:val="clear" w:color="auto" w:fill="auto"/>
          </w:tcPr>
          <w:p w14:paraId="0DC05991" w14:textId="77777777" w:rsidR="009648B2" w:rsidRPr="00C033B1" w:rsidRDefault="009648B2" w:rsidP="00B22585">
            <w:pPr>
              <w:pStyle w:val="Tabletext"/>
            </w:pPr>
            <w:r w:rsidRPr="00C033B1">
              <w:t>For the hearing of an application (including a cross</w:t>
            </w:r>
            <w:r w:rsidR="00C033B1">
              <w:noBreakHyphen/>
            </w:r>
            <w:r w:rsidRPr="00C033B1">
              <w:t>claim)</w:t>
            </w:r>
            <w:r w:rsidR="00CE1000" w:rsidRPr="00C033B1">
              <w:t>,</w:t>
            </w:r>
            <w:r w:rsidRPr="00C033B1">
              <w:t xml:space="preserve"> other than:</w:t>
            </w:r>
          </w:p>
          <w:p w14:paraId="2738B751" w14:textId="77777777" w:rsidR="009648B2" w:rsidRPr="00C033B1" w:rsidRDefault="009648B2" w:rsidP="00B22585">
            <w:pPr>
              <w:pStyle w:val="Tablea"/>
            </w:pPr>
            <w:r w:rsidRPr="00C033B1">
              <w:t xml:space="preserve">(a) an application mentioned in </w:t>
            </w:r>
            <w:r w:rsidR="005833F4" w:rsidRPr="00C033B1">
              <w:t>item 1</w:t>
            </w:r>
            <w:r w:rsidRPr="00C033B1">
              <w:t>17; or</w:t>
            </w:r>
          </w:p>
          <w:p w14:paraId="45DD5546" w14:textId="77777777" w:rsidR="009648B2" w:rsidRPr="00C033B1" w:rsidRDefault="009648B2" w:rsidP="00B22585">
            <w:pPr>
              <w:pStyle w:val="Tablea"/>
            </w:pPr>
            <w:r w:rsidRPr="00C033B1">
              <w:t>(b) an issue or question in such an application; or</w:t>
            </w:r>
          </w:p>
          <w:p w14:paraId="571D36C5" w14:textId="77777777" w:rsidR="009648B2" w:rsidRPr="00C033B1" w:rsidRDefault="009648B2" w:rsidP="00B22585">
            <w:pPr>
              <w:pStyle w:val="Tablea"/>
            </w:pPr>
            <w:r w:rsidRPr="00C033B1">
              <w:t>(c) an appeal (including a cross</w:t>
            </w:r>
            <w:r w:rsidR="00C033B1">
              <w:noBreakHyphen/>
            </w:r>
            <w:r w:rsidRPr="00C033B1">
              <w:t>appeal);</w:t>
            </w:r>
          </w:p>
          <w:p w14:paraId="16CB0354" w14:textId="77777777" w:rsidR="009648B2" w:rsidRPr="00C033B1" w:rsidRDefault="009648B2" w:rsidP="00B22585">
            <w:pPr>
              <w:pStyle w:val="Tabletext"/>
            </w:pPr>
            <w:r w:rsidRPr="00C033B1">
              <w:t>for the 15th and subsequent days, or part of the 15th and subsequent days</w:t>
            </w:r>
          </w:p>
        </w:tc>
        <w:tc>
          <w:tcPr>
            <w:tcW w:w="1943" w:type="pct"/>
            <w:shd w:val="clear" w:color="auto" w:fill="auto"/>
          </w:tcPr>
          <w:p w14:paraId="054B663E" w14:textId="77777777" w:rsidR="009648B2" w:rsidRPr="00C033B1" w:rsidRDefault="009648B2" w:rsidP="00D961F9">
            <w:pPr>
              <w:pStyle w:val="Tablea"/>
            </w:pPr>
            <w:r w:rsidRPr="00C033B1">
              <w:t>(a) for a corporation—$</w:t>
            </w:r>
            <w:r w:rsidR="00BE6BFE" w:rsidRPr="00C033B1">
              <w:t>15,835</w:t>
            </w:r>
          </w:p>
          <w:p w14:paraId="389DF8E5" w14:textId="77777777" w:rsidR="009648B2" w:rsidRPr="00C033B1" w:rsidRDefault="009648B2" w:rsidP="00D961F9">
            <w:pPr>
              <w:pStyle w:val="Tablea"/>
            </w:pPr>
            <w:r w:rsidRPr="00C033B1">
              <w:t>(b) in any other case—$</w:t>
            </w:r>
            <w:r w:rsidR="001D495B" w:rsidRPr="00C033B1">
              <w:t>6,125</w:t>
            </w:r>
          </w:p>
        </w:tc>
      </w:tr>
      <w:tr w:rsidR="009648B2" w:rsidRPr="00C033B1" w14:paraId="4B0769FA" w14:textId="77777777" w:rsidTr="00775E26">
        <w:tc>
          <w:tcPr>
            <w:tcW w:w="411" w:type="pct"/>
            <w:shd w:val="clear" w:color="auto" w:fill="auto"/>
          </w:tcPr>
          <w:p w14:paraId="14A47EC2" w14:textId="77777777" w:rsidR="009648B2" w:rsidRPr="00C033B1" w:rsidRDefault="009648B2" w:rsidP="00B22585">
            <w:pPr>
              <w:pStyle w:val="Tabletext"/>
              <w:ind w:left="-14" w:right="-26"/>
            </w:pPr>
            <w:r w:rsidRPr="00C033B1">
              <w:t>121A</w:t>
            </w:r>
          </w:p>
        </w:tc>
        <w:tc>
          <w:tcPr>
            <w:tcW w:w="2646" w:type="pct"/>
            <w:shd w:val="clear" w:color="auto" w:fill="auto"/>
          </w:tcPr>
          <w:p w14:paraId="059F93E6" w14:textId="77777777" w:rsidR="009648B2" w:rsidRPr="00C033B1" w:rsidRDefault="009648B2" w:rsidP="00B22585">
            <w:pPr>
              <w:pStyle w:val="Tabletext"/>
            </w:pPr>
            <w:r w:rsidRPr="00C033B1">
              <w:t xml:space="preserve">For the hearing for an examination by a relevant Registrar of the Federal Court under </w:t>
            </w:r>
            <w:r w:rsidR="007D3911" w:rsidRPr="00C033B1">
              <w:t>section 5</w:t>
            </w:r>
            <w:r w:rsidRPr="00C033B1">
              <w:t xml:space="preserve">0 or 81 of the </w:t>
            </w:r>
            <w:r w:rsidRPr="00C033B1">
              <w:rPr>
                <w:i/>
              </w:rPr>
              <w:t>Bankruptcy Act 1966</w:t>
            </w:r>
            <w:r w:rsidRPr="00C033B1">
              <w:t>—for each day or part of a day</w:t>
            </w:r>
          </w:p>
        </w:tc>
        <w:tc>
          <w:tcPr>
            <w:tcW w:w="1943" w:type="pct"/>
            <w:shd w:val="clear" w:color="auto" w:fill="auto"/>
          </w:tcPr>
          <w:p w14:paraId="55F9939A" w14:textId="77777777" w:rsidR="009648B2" w:rsidRPr="00C033B1" w:rsidRDefault="009648B2" w:rsidP="00D961F9">
            <w:pPr>
              <w:pStyle w:val="Tablea"/>
            </w:pPr>
            <w:r w:rsidRPr="00C033B1">
              <w:t>(a) for a publicly listed company—$</w:t>
            </w:r>
            <w:r w:rsidR="001D495B" w:rsidRPr="00C033B1">
              <w:t>4,465</w:t>
            </w:r>
          </w:p>
          <w:p w14:paraId="62A06BDC" w14:textId="77777777" w:rsidR="009648B2" w:rsidRPr="00C033B1" w:rsidRDefault="009648B2" w:rsidP="00D961F9">
            <w:pPr>
              <w:pStyle w:val="Tablea"/>
            </w:pPr>
            <w:r w:rsidRPr="00C033B1">
              <w:t>(b) for a corporation—$</w:t>
            </w:r>
            <w:r w:rsidR="001D495B" w:rsidRPr="00C033B1">
              <w:t>2,970</w:t>
            </w:r>
          </w:p>
          <w:p w14:paraId="3F56CCDC" w14:textId="77777777" w:rsidR="001D495B" w:rsidRPr="00C033B1" w:rsidRDefault="009648B2" w:rsidP="00D961F9">
            <w:pPr>
              <w:pStyle w:val="Tablea"/>
            </w:pPr>
            <w:r w:rsidRPr="00C033B1">
              <w:t>(c) for a public authority—$</w:t>
            </w:r>
            <w:r w:rsidR="001D495B" w:rsidRPr="00C033B1">
              <w:t>2,970</w:t>
            </w:r>
          </w:p>
          <w:p w14:paraId="7FFDEA03" w14:textId="77777777" w:rsidR="009648B2" w:rsidRPr="00C033B1" w:rsidRDefault="009648B2" w:rsidP="00D961F9">
            <w:pPr>
              <w:pStyle w:val="Tablea"/>
            </w:pPr>
            <w:r w:rsidRPr="00C033B1">
              <w:t>(d) in any other case—$</w:t>
            </w:r>
            <w:r w:rsidR="001D495B" w:rsidRPr="00C033B1">
              <w:t>1,215</w:t>
            </w:r>
          </w:p>
        </w:tc>
      </w:tr>
      <w:tr w:rsidR="009648B2" w:rsidRPr="00C033B1" w14:paraId="399BFC59" w14:textId="77777777" w:rsidTr="00775E26">
        <w:tc>
          <w:tcPr>
            <w:tcW w:w="411" w:type="pct"/>
            <w:shd w:val="clear" w:color="auto" w:fill="auto"/>
          </w:tcPr>
          <w:p w14:paraId="76798371" w14:textId="77777777" w:rsidR="009648B2" w:rsidRPr="00C033B1" w:rsidRDefault="009648B2" w:rsidP="00B22585">
            <w:pPr>
              <w:pStyle w:val="Tabletext"/>
              <w:ind w:left="-14" w:right="-26"/>
            </w:pPr>
            <w:r w:rsidRPr="00C033B1">
              <w:t>122</w:t>
            </w:r>
          </w:p>
        </w:tc>
        <w:tc>
          <w:tcPr>
            <w:tcW w:w="2646" w:type="pct"/>
            <w:shd w:val="clear" w:color="auto" w:fill="auto"/>
          </w:tcPr>
          <w:p w14:paraId="2EB48E46" w14:textId="77777777" w:rsidR="009648B2" w:rsidRPr="00C033B1" w:rsidRDefault="009648B2" w:rsidP="00B22585">
            <w:pPr>
              <w:pStyle w:val="Tabletext"/>
            </w:pPr>
            <w:r w:rsidRPr="00C033B1">
              <w:t xml:space="preserve">For the hearing for an examination by a relevant Registrar of the </w:t>
            </w:r>
            <w:r w:rsidR="00FE1E45" w:rsidRPr="00C033B1">
              <w:t>Federal Court</w:t>
            </w:r>
            <w:r w:rsidRPr="00C033B1">
              <w:t xml:space="preserve"> under </w:t>
            </w:r>
            <w:r w:rsidR="00B154CF" w:rsidRPr="00C033B1">
              <w:t>Division 1</w:t>
            </w:r>
            <w:r w:rsidRPr="00C033B1">
              <w:t xml:space="preserve"> of Part 5.9 of the </w:t>
            </w:r>
            <w:r w:rsidRPr="00C033B1">
              <w:rPr>
                <w:i/>
              </w:rPr>
              <w:t>Corporations Act 2001</w:t>
            </w:r>
            <w:r w:rsidRPr="00C033B1">
              <w:t>—for each day or part of a day</w:t>
            </w:r>
          </w:p>
        </w:tc>
        <w:tc>
          <w:tcPr>
            <w:tcW w:w="1943" w:type="pct"/>
            <w:shd w:val="clear" w:color="auto" w:fill="auto"/>
          </w:tcPr>
          <w:p w14:paraId="5FC2CF98" w14:textId="77777777" w:rsidR="009648B2" w:rsidRPr="00C033B1" w:rsidRDefault="009648B2" w:rsidP="00D961F9">
            <w:pPr>
              <w:pStyle w:val="Tablea"/>
            </w:pPr>
            <w:r w:rsidRPr="00C033B1">
              <w:t>(a) for a corporation—$</w:t>
            </w:r>
            <w:r w:rsidR="001D495B" w:rsidRPr="00C033B1">
              <w:t>2,970</w:t>
            </w:r>
          </w:p>
          <w:p w14:paraId="4FA2F4F3" w14:textId="77777777" w:rsidR="009648B2" w:rsidRPr="00C033B1" w:rsidRDefault="009648B2" w:rsidP="00D961F9">
            <w:pPr>
              <w:pStyle w:val="Tablea"/>
            </w:pPr>
            <w:r w:rsidRPr="00C033B1">
              <w:t>(b) in any other case—$</w:t>
            </w:r>
            <w:r w:rsidR="001D495B" w:rsidRPr="00C033B1">
              <w:t>1,215</w:t>
            </w:r>
          </w:p>
        </w:tc>
      </w:tr>
      <w:tr w:rsidR="009648B2" w:rsidRPr="00C033B1" w14:paraId="6F667197" w14:textId="77777777" w:rsidTr="00775E26">
        <w:tc>
          <w:tcPr>
            <w:tcW w:w="411" w:type="pct"/>
            <w:shd w:val="clear" w:color="auto" w:fill="auto"/>
          </w:tcPr>
          <w:p w14:paraId="302CB5A7" w14:textId="77777777" w:rsidR="009648B2" w:rsidRPr="00C033B1" w:rsidRDefault="009648B2" w:rsidP="00B22585">
            <w:pPr>
              <w:pStyle w:val="Tabletext"/>
              <w:ind w:left="-14" w:right="-26"/>
            </w:pPr>
            <w:r w:rsidRPr="00C033B1">
              <w:t>123</w:t>
            </w:r>
          </w:p>
        </w:tc>
        <w:tc>
          <w:tcPr>
            <w:tcW w:w="2646" w:type="pct"/>
            <w:shd w:val="clear" w:color="auto" w:fill="auto"/>
          </w:tcPr>
          <w:p w14:paraId="3E41A0E8" w14:textId="77777777" w:rsidR="009648B2" w:rsidRPr="00C033B1" w:rsidRDefault="009648B2" w:rsidP="00B22585">
            <w:pPr>
              <w:pStyle w:val="Tabletext"/>
            </w:pPr>
            <w:r w:rsidRPr="00C033B1">
              <w:t>On request, production of file of the Federal Court and the making of a copy or copies of a document or documents in the file (regardless of the number of documents to which the request relates)</w:t>
            </w:r>
          </w:p>
        </w:tc>
        <w:tc>
          <w:tcPr>
            <w:tcW w:w="1943" w:type="pct"/>
            <w:shd w:val="clear" w:color="auto" w:fill="auto"/>
          </w:tcPr>
          <w:p w14:paraId="76C6CAEE" w14:textId="77777777" w:rsidR="009648B2" w:rsidRPr="00C033B1" w:rsidRDefault="009648B2" w:rsidP="00B22585">
            <w:pPr>
              <w:pStyle w:val="Tablea"/>
            </w:pPr>
            <w:r w:rsidRPr="00C033B1">
              <w:t>(a) for</w:t>
            </w:r>
            <w:r w:rsidR="00FE1E45" w:rsidRPr="00C033B1">
              <w:t xml:space="preserve"> each</w:t>
            </w:r>
            <w:r w:rsidRPr="00C033B1">
              <w:t xml:space="preserve"> production of the file—$5</w:t>
            </w:r>
            <w:r w:rsidR="001D495B" w:rsidRPr="00C033B1">
              <w:t>5</w:t>
            </w:r>
          </w:p>
          <w:p w14:paraId="436406D2" w14:textId="77777777" w:rsidR="009648B2" w:rsidRPr="00C033B1" w:rsidRDefault="009648B2" w:rsidP="00B22585">
            <w:pPr>
              <w:pStyle w:val="Tablea"/>
            </w:pPr>
            <w:r w:rsidRPr="00C033B1">
              <w:t>(b) for each page included in a copy made in accordance with the request—$1</w:t>
            </w:r>
          </w:p>
        </w:tc>
      </w:tr>
      <w:tr w:rsidR="009648B2" w:rsidRPr="00C033B1" w14:paraId="6C5BBD80" w14:textId="77777777" w:rsidTr="00775E26">
        <w:trPr>
          <w:cantSplit/>
        </w:trPr>
        <w:tc>
          <w:tcPr>
            <w:tcW w:w="411" w:type="pct"/>
            <w:shd w:val="clear" w:color="auto" w:fill="auto"/>
          </w:tcPr>
          <w:p w14:paraId="48209CC0" w14:textId="77777777" w:rsidR="009648B2" w:rsidRPr="00C033B1" w:rsidRDefault="009648B2" w:rsidP="00B22585">
            <w:pPr>
              <w:pStyle w:val="Tabletext"/>
              <w:ind w:left="-14" w:right="-26"/>
            </w:pPr>
            <w:r w:rsidRPr="00C033B1">
              <w:t>124</w:t>
            </w:r>
          </w:p>
        </w:tc>
        <w:tc>
          <w:tcPr>
            <w:tcW w:w="2646" w:type="pct"/>
            <w:shd w:val="clear" w:color="auto" w:fill="auto"/>
          </w:tcPr>
          <w:p w14:paraId="262A44FF" w14:textId="77777777" w:rsidR="009648B2" w:rsidRPr="00C033B1" w:rsidRDefault="009648B2" w:rsidP="00B22585">
            <w:pPr>
              <w:pStyle w:val="Tabletext"/>
            </w:pPr>
            <w:r w:rsidRPr="00C033B1">
              <w:t xml:space="preserve">For each service or execution, or attempted service or execution, of process of the Federal Court by an </w:t>
            </w:r>
            <w:r w:rsidR="007E4C26" w:rsidRPr="00C033B1">
              <w:t>officer</w:t>
            </w:r>
            <w:r w:rsidR="00E034C2" w:rsidRPr="00C033B1">
              <w:t xml:space="preserve"> of the </w:t>
            </w:r>
            <w:r w:rsidR="00FE1E45" w:rsidRPr="00C033B1">
              <w:t>Federal Court</w:t>
            </w:r>
          </w:p>
        </w:tc>
        <w:tc>
          <w:tcPr>
            <w:tcW w:w="1943" w:type="pct"/>
            <w:shd w:val="clear" w:color="auto" w:fill="auto"/>
          </w:tcPr>
          <w:p w14:paraId="3EA5BCE9" w14:textId="77777777" w:rsidR="009648B2" w:rsidRPr="00C033B1" w:rsidRDefault="009648B2" w:rsidP="00B22585">
            <w:pPr>
              <w:pStyle w:val="Tabletext"/>
            </w:pPr>
            <w:r w:rsidRPr="00C033B1">
              <w:t>An amount equal to:</w:t>
            </w:r>
          </w:p>
          <w:p w14:paraId="774CFB0D" w14:textId="77777777" w:rsidR="009648B2" w:rsidRPr="00C033B1" w:rsidRDefault="009648B2" w:rsidP="00B22585">
            <w:pPr>
              <w:pStyle w:val="Tablea"/>
            </w:pPr>
            <w:r w:rsidRPr="00C033B1">
              <w:t>(a) the amount of any expenses reasonably incurred by the officer in the service or execution, or attempted service or execution, of the process; and</w:t>
            </w:r>
          </w:p>
          <w:p w14:paraId="5F481BB4" w14:textId="77777777" w:rsidR="009648B2" w:rsidRPr="00C033B1" w:rsidRDefault="009648B2" w:rsidP="00B22585">
            <w:pPr>
              <w:pStyle w:val="Tablea"/>
            </w:pPr>
            <w:r w:rsidRPr="00C033B1">
              <w:t>(b) a charge worked out at the hourly rate of salary payable to the officer for the time involved in the service or execution, or attempted service or execution</w:t>
            </w:r>
          </w:p>
        </w:tc>
      </w:tr>
      <w:tr w:rsidR="009648B2" w:rsidRPr="00C033B1" w14:paraId="2B888BF7" w14:textId="77777777" w:rsidTr="00775E26">
        <w:tc>
          <w:tcPr>
            <w:tcW w:w="411" w:type="pct"/>
            <w:shd w:val="clear" w:color="auto" w:fill="auto"/>
          </w:tcPr>
          <w:p w14:paraId="1681D409" w14:textId="77777777" w:rsidR="009648B2" w:rsidRPr="00C033B1" w:rsidRDefault="009648B2" w:rsidP="00B22585">
            <w:pPr>
              <w:pStyle w:val="Tabletext"/>
              <w:ind w:left="-14" w:right="-26"/>
            </w:pPr>
            <w:r w:rsidRPr="00C033B1">
              <w:t>125</w:t>
            </w:r>
          </w:p>
        </w:tc>
        <w:tc>
          <w:tcPr>
            <w:tcW w:w="2646" w:type="pct"/>
            <w:shd w:val="clear" w:color="auto" w:fill="auto"/>
          </w:tcPr>
          <w:p w14:paraId="0DB00C8D" w14:textId="77777777" w:rsidR="009648B2" w:rsidRPr="00C033B1" w:rsidRDefault="009648B2" w:rsidP="00B22585">
            <w:pPr>
              <w:pStyle w:val="Tabletext"/>
            </w:pPr>
            <w:r w:rsidRPr="00C033B1">
              <w:t xml:space="preserve">For the seizure and sale of goods by an </w:t>
            </w:r>
            <w:r w:rsidR="007E4C26" w:rsidRPr="00C033B1">
              <w:t>officer</w:t>
            </w:r>
            <w:r w:rsidRPr="00C033B1">
              <w:t xml:space="preserve"> </w:t>
            </w:r>
            <w:r w:rsidR="00E034C2" w:rsidRPr="00C033B1">
              <w:t xml:space="preserve">of the Federal Court </w:t>
            </w:r>
            <w:r w:rsidRPr="00C033B1">
              <w:t xml:space="preserve">in the execution of process of the court </w:t>
            </w:r>
            <w:r w:rsidRPr="00C033B1">
              <w:lastRenderedPageBreak/>
              <w:t xml:space="preserve">(except in relation to a proceeding under the </w:t>
            </w:r>
            <w:r w:rsidRPr="00C033B1">
              <w:rPr>
                <w:i/>
              </w:rPr>
              <w:t>Admiralty Act 1988</w:t>
            </w:r>
            <w:r w:rsidRPr="00C033B1">
              <w:t>)</w:t>
            </w:r>
          </w:p>
        </w:tc>
        <w:tc>
          <w:tcPr>
            <w:tcW w:w="1943" w:type="pct"/>
            <w:shd w:val="clear" w:color="auto" w:fill="auto"/>
          </w:tcPr>
          <w:p w14:paraId="35DE484D" w14:textId="77777777" w:rsidR="009648B2" w:rsidRPr="00C033B1" w:rsidRDefault="009648B2" w:rsidP="00D961F9">
            <w:pPr>
              <w:pStyle w:val="Tabletext"/>
            </w:pPr>
            <w:r w:rsidRPr="00C033B1">
              <w:lastRenderedPageBreak/>
              <w:t>$</w:t>
            </w:r>
            <w:r w:rsidR="001D495B" w:rsidRPr="00C033B1">
              <w:t>1,330</w:t>
            </w:r>
          </w:p>
        </w:tc>
      </w:tr>
      <w:tr w:rsidR="009648B2" w:rsidRPr="00C033B1" w14:paraId="599EAA61" w14:textId="77777777" w:rsidTr="00775E26">
        <w:tc>
          <w:tcPr>
            <w:tcW w:w="411" w:type="pct"/>
            <w:shd w:val="clear" w:color="auto" w:fill="auto"/>
          </w:tcPr>
          <w:p w14:paraId="306E3BFA" w14:textId="77777777" w:rsidR="009648B2" w:rsidRPr="00C033B1" w:rsidRDefault="009648B2" w:rsidP="00B22585">
            <w:pPr>
              <w:pStyle w:val="Tabletext"/>
              <w:ind w:left="-14" w:right="-26"/>
            </w:pPr>
            <w:r w:rsidRPr="00C033B1">
              <w:t>126</w:t>
            </w:r>
          </w:p>
        </w:tc>
        <w:tc>
          <w:tcPr>
            <w:tcW w:w="2646" w:type="pct"/>
            <w:shd w:val="clear" w:color="auto" w:fill="auto"/>
          </w:tcPr>
          <w:p w14:paraId="0FFFB6F9" w14:textId="77777777" w:rsidR="009648B2" w:rsidRPr="00C033B1" w:rsidRDefault="009648B2" w:rsidP="00B22585">
            <w:pPr>
              <w:pStyle w:val="Tabletext"/>
            </w:pPr>
            <w:r w:rsidRPr="00C033B1">
              <w:t>For issuing a subpoena</w:t>
            </w:r>
          </w:p>
        </w:tc>
        <w:tc>
          <w:tcPr>
            <w:tcW w:w="1943" w:type="pct"/>
            <w:shd w:val="clear" w:color="auto" w:fill="auto"/>
          </w:tcPr>
          <w:p w14:paraId="601B1711" w14:textId="77777777" w:rsidR="009648B2" w:rsidRPr="00C033B1" w:rsidRDefault="009648B2" w:rsidP="00D961F9">
            <w:pPr>
              <w:pStyle w:val="Tablea"/>
            </w:pPr>
            <w:r w:rsidRPr="00C033B1">
              <w:t>(a) for a corporation—$</w:t>
            </w:r>
            <w:r w:rsidR="00E80285" w:rsidRPr="00C033B1">
              <w:t>265</w:t>
            </w:r>
          </w:p>
          <w:p w14:paraId="0A50D240" w14:textId="77777777" w:rsidR="009648B2" w:rsidRPr="00C033B1" w:rsidRDefault="009648B2" w:rsidP="00D961F9">
            <w:pPr>
              <w:pStyle w:val="Tablea"/>
            </w:pPr>
            <w:r w:rsidRPr="00C033B1">
              <w:t>(b) in any other case—$</w:t>
            </w:r>
            <w:r w:rsidR="00A771A8" w:rsidRPr="00C033B1">
              <w:t>130</w:t>
            </w:r>
          </w:p>
        </w:tc>
      </w:tr>
      <w:tr w:rsidR="009648B2" w:rsidRPr="00C033B1" w14:paraId="09478966" w14:textId="77777777" w:rsidTr="00775E26">
        <w:tc>
          <w:tcPr>
            <w:tcW w:w="411" w:type="pct"/>
            <w:shd w:val="clear" w:color="auto" w:fill="auto"/>
          </w:tcPr>
          <w:p w14:paraId="36FB2FDE" w14:textId="77777777" w:rsidR="009648B2" w:rsidRPr="00C033B1" w:rsidRDefault="009648B2" w:rsidP="00B22585">
            <w:pPr>
              <w:pStyle w:val="Tabletext"/>
              <w:ind w:left="-14" w:right="-26"/>
            </w:pPr>
            <w:r w:rsidRPr="00C033B1">
              <w:t>127</w:t>
            </w:r>
          </w:p>
        </w:tc>
        <w:tc>
          <w:tcPr>
            <w:tcW w:w="2646" w:type="pct"/>
            <w:shd w:val="clear" w:color="auto" w:fill="auto"/>
          </w:tcPr>
          <w:p w14:paraId="5D682F50" w14:textId="77777777" w:rsidR="009648B2" w:rsidRPr="00C033B1" w:rsidRDefault="009648B2" w:rsidP="00B22585">
            <w:pPr>
              <w:pStyle w:val="Tabletext"/>
            </w:pPr>
            <w:r w:rsidRPr="00C033B1">
              <w:t xml:space="preserve">For issuing a summons to a person, under </w:t>
            </w:r>
            <w:r w:rsidR="007D3911" w:rsidRPr="00C033B1">
              <w:t>section 5</w:t>
            </w:r>
            <w:r w:rsidRPr="00C033B1">
              <w:t xml:space="preserve">0 or 81 of the </w:t>
            </w:r>
            <w:r w:rsidRPr="00C033B1">
              <w:rPr>
                <w:i/>
              </w:rPr>
              <w:t>Bankruptcy Act 1966</w:t>
            </w:r>
            <w:r w:rsidRPr="00C033B1">
              <w:t>, to attend an examination about a debtor’s examinable affairs</w:t>
            </w:r>
          </w:p>
        </w:tc>
        <w:tc>
          <w:tcPr>
            <w:tcW w:w="1943" w:type="pct"/>
            <w:shd w:val="clear" w:color="auto" w:fill="auto"/>
          </w:tcPr>
          <w:p w14:paraId="00EBFDD6" w14:textId="77777777" w:rsidR="009648B2" w:rsidRPr="00C033B1" w:rsidRDefault="009648B2" w:rsidP="00D961F9">
            <w:pPr>
              <w:pStyle w:val="Tablea"/>
            </w:pPr>
            <w:r w:rsidRPr="00C033B1">
              <w:t>(a) for a publicly listed company—$</w:t>
            </w:r>
            <w:r w:rsidR="00A771A8" w:rsidRPr="00C033B1">
              <w:t>855</w:t>
            </w:r>
          </w:p>
          <w:p w14:paraId="7875B230" w14:textId="77777777" w:rsidR="009648B2" w:rsidRPr="00C033B1" w:rsidRDefault="009648B2" w:rsidP="00D961F9">
            <w:pPr>
              <w:pStyle w:val="Tablea"/>
            </w:pPr>
            <w:r w:rsidRPr="00C033B1">
              <w:t>(b) for a corporation—$</w:t>
            </w:r>
            <w:r w:rsidR="00A771A8" w:rsidRPr="00C033B1">
              <w:t>555</w:t>
            </w:r>
          </w:p>
          <w:p w14:paraId="5641C529" w14:textId="77777777" w:rsidR="009648B2" w:rsidRPr="00C033B1" w:rsidRDefault="009648B2" w:rsidP="00D961F9">
            <w:pPr>
              <w:pStyle w:val="Tablea"/>
            </w:pPr>
            <w:r w:rsidRPr="00C033B1">
              <w:t>(c) for a public authority—$</w:t>
            </w:r>
            <w:r w:rsidR="00A771A8" w:rsidRPr="00C033B1">
              <w:t>555</w:t>
            </w:r>
          </w:p>
          <w:p w14:paraId="3435A6AA" w14:textId="77777777" w:rsidR="009648B2" w:rsidRPr="00C033B1" w:rsidRDefault="009648B2" w:rsidP="00D961F9">
            <w:pPr>
              <w:pStyle w:val="Tablea"/>
            </w:pPr>
            <w:r w:rsidRPr="00C033B1">
              <w:t>(d) in any other case—$</w:t>
            </w:r>
            <w:r w:rsidR="00A771A8" w:rsidRPr="00C033B1">
              <w:t>285</w:t>
            </w:r>
          </w:p>
        </w:tc>
      </w:tr>
      <w:tr w:rsidR="009648B2" w:rsidRPr="00C033B1" w14:paraId="00840F80" w14:textId="77777777" w:rsidTr="00775E26">
        <w:tc>
          <w:tcPr>
            <w:tcW w:w="411" w:type="pct"/>
            <w:tcBorders>
              <w:bottom w:val="single" w:sz="4" w:space="0" w:color="auto"/>
            </w:tcBorders>
            <w:shd w:val="clear" w:color="auto" w:fill="auto"/>
          </w:tcPr>
          <w:p w14:paraId="186EC607" w14:textId="77777777" w:rsidR="009648B2" w:rsidRPr="00C033B1" w:rsidRDefault="009648B2" w:rsidP="00B22585">
            <w:pPr>
              <w:pStyle w:val="Tabletext"/>
              <w:ind w:left="-14" w:right="-26"/>
            </w:pPr>
            <w:r w:rsidRPr="00C033B1">
              <w:t>128</w:t>
            </w:r>
          </w:p>
        </w:tc>
        <w:tc>
          <w:tcPr>
            <w:tcW w:w="2646" w:type="pct"/>
            <w:tcBorders>
              <w:bottom w:val="single" w:sz="4" w:space="0" w:color="auto"/>
            </w:tcBorders>
            <w:shd w:val="clear" w:color="auto" w:fill="auto"/>
          </w:tcPr>
          <w:p w14:paraId="6CAFC851" w14:textId="77777777" w:rsidR="009648B2" w:rsidRPr="00C033B1" w:rsidRDefault="009648B2" w:rsidP="00B22585">
            <w:pPr>
              <w:pStyle w:val="Tabletext"/>
            </w:pPr>
            <w:r w:rsidRPr="00C033B1">
              <w:t>For taxation of a bill of costs in which the amount claimed in the bill is $10,000 or less</w:t>
            </w:r>
          </w:p>
        </w:tc>
        <w:tc>
          <w:tcPr>
            <w:tcW w:w="1943" w:type="pct"/>
            <w:tcBorders>
              <w:bottom w:val="single" w:sz="4" w:space="0" w:color="auto"/>
            </w:tcBorders>
            <w:shd w:val="clear" w:color="auto" w:fill="auto"/>
          </w:tcPr>
          <w:p w14:paraId="2EA4BA19" w14:textId="77777777" w:rsidR="009648B2" w:rsidRPr="00C033B1" w:rsidRDefault="009648B2" w:rsidP="00D961F9">
            <w:pPr>
              <w:pStyle w:val="Tabletext"/>
            </w:pPr>
            <w:r w:rsidRPr="00C033B1">
              <w:t>$</w:t>
            </w:r>
            <w:r w:rsidR="00A771A8" w:rsidRPr="00C033B1">
              <w:t>1,455</w:t>
            </w:r>
          </w:p>
        </w:tc>
      </w:tr>
      <w:tr w:rsidR="009648B2" w:rsidRPr="00C033B1" w14:paraId="34C43088" w14:textId="77777777" w:rsidTr="00775E26">
        <w:tc>
          <w:tcPr>
            <w:tcW w:w="411" w:type="pct"/>
            <w:tcBorders>
              <w:bottom w:val="single" w:sz="4" w:space="0" w:color="auto"/>
            </w:tcBorders>
            <w:shd w:val="clear" w:color="auto" w:fill="auto"/>
          </w:tcPr>
          <w:p w14:paraId="655360BD" w14:textId="77777777" w:rsidR="009648B2" w:rsidRPr="00C033B1" w:rsidRDefault="009648B2" w:rsidP="00B22585">
            <w:pPr>
              <w:pStyle w:val="Tabletext"/>
              <w:ind w:left="-14" w:right="-26"/>
            </w:pPr>
            <w:r w:rsidRPr="00C033B1">
              <w:t>129</w:t>
            </w:r>
          </w:p>
        </w:tc>
        <w:tc>
          <w:tcPr>
            <w:tcW w:w="2646" w:type="pct"/>
            <w:tcBorders>
              <w:bottom w:val="single" w:sz="4" w:space="0" w:color="auto"/>
            </w:tcBorders>
            <w:shd w:val="clear" w:color="auto" w:fill="auto"/>
          </w:tcPr>
          <w:p w14:paraId="4AB31830" w14:textId="77777777" w:rsidR="009648B2" w:rsidRPr="00C033B1" w:rsidRDefault="009648B2" w:rsidP="00B22585">
            <w:pPr>
              <w:pStyle w:val="Tabletext"/>
            </w:pPr>
            <w:r w:rsidRPr="00C033B1">
              <w:t>For taxation of a bill of costs in which the amount claimed in the bill is more than $10,000 and no more than $100,000</w:t>
            </w:r>
          </w:p>
        </w:tc>
        <w:tc>
          <w:tcPr>
            <w:tcW w:w="1943" w:type="pct"/>
            <w:tcBorders>
              <w:bottom w:val="single" w:sz="4" w:space="0" w:color="auto"/>
            </w:tcBorders>
            <w:shd w:val="clear" w:color="auto" w:fill="auto"/>
          </w:tcPr>
          <w:p w14:paraId="53B3D376" w14:textId="77777777" w:rsidR="009648B2" w:rsidRPr="00C033B1" w:rsidRDefault="009648B2" w:rsidP="00D961F9">
            <w:pPr>
              <w:pStyle w:val="Tabletext"/>
            </w:pPr>
            <w:r w:rsidRPr="00C033B1">
              <w:t>$</w:t>
            </w:r>
            <w:r w:rsidR="00A771A8" w:rsidRPr="00C033B1">
              <w:t>4,965</w:t>
            </w:r>
          </w:p>
        </w:tc>
      </w:tr>
      <w:tr w:rsidR="009648B2" w:rsidRPr="00C033B1" w14:paraId="35BA559A" w14:textId="77777777" w:rsidTr="00775E26">
        <w:tc>
          <w:tcPr>
            <w:tcW w:w="411" w:type="pct"/>
            <w:tcBorders>
              <w:bottom w:val="single" w:sz="4" w:space="0" w:color="auto"/>
            </w:tcBorders>
            <w:shd w:val="clear" w:color="auto" w:fill="auto"/>
          </w:tcPr>
          <w:p w14:paraId="6586A300" w14:textId="77777777" w:rsidR="009648B2" w:rsidRPr="00C033B1" w:rsidRDefault="009648B2" w:rsidP="00B22585">
            <w:pPr>
              <w:pStyle w:val="Tabletext"/>
              <w:ind w:left="-14" w:right="-26"/>
            </w:pPr>
            <w:r w:rsidRPr="00C033B1">
              <w:t>130</w:t>
            </w:r>
          </w:p>
        </w:tc>
        <w:tc>
          <w:tcPr>
            <w:tcW w:w="2646" w:type="pct"/>
            <w:tcBorders>
              <w:bottom w:val="single" w:sz="4" w:space="0" w:color="auto"/>
            </w:tcBorders>
            <w:shd w:val="clear" w:color="auto" w:fill="auto"/>
          </w:tcPr>
          <w:p w14:paraId="79282FC8" w14:textId="77777777" w:rsidR="009648B2" w:rsidRPr="00C033B1" w:rsidRDefault="009648B2" w:rsidP="00B22585">
            <w:pPr>
              <w:pStyle w:val="Tabletext"/>
            </w:pPr>
            <w:r w:rsidRPr="00C033B1">
              <w:t>For taxation of a bill of costs in which the amount claimed in the bill is more than $100,000 and no more than $500,000</w:t>
            </w:r>
          </w:p>
        </w:tc>
        <w:tc>
          <w:tcPr>
            <w:tcW w:w="1943" w:type="pct"/>
            <w:tcBorders>
              <w:bottom w:val="single" w:sz="4" w:space="0" w:color="auto"/>
            </w:tcBorders>
            <w:shd w:val="clear" w:color="auto" w:fill="auto"/>
          </w:tcPr>
          <w:p w14:paraId="15BE045E" w14:textId="77777777" w:rsidR="009648B2" w:rsidRPr="00C033B1" w:rsidRDefault="009648B2" w:rsidP="00D961F9">
            <w:pPr>
              <w:pStyle w:val="Tabletext"/>
            </w:pPr>
            <w:r w:rsidRPr="00C033B1">
              <w:t>$</w:t>
            </w:r>
            <w:r w:rsidR="00A771A8" w:rsidRPr="00C033B1">
              <w:t>5,675</w:t>
            </w:r>
          </w:p>
        </w:tc>
      </w:tr>
      <w:tr w:rsidR="009648B2" w:rsidRPr="00C033B1" w14:paraId="39393467" w14:textId="77777777" w:rsidTr="00775E26">
        <w:tc>
          <w:tcPr>
            <w:tcW w:w="411" w:type="pct"/>
            <w:tcBorders>
              <w:bottom w:val="single" w:sz="4" w:space="0" w:color="auto"/>
            </w:tcBorders>
            <w:shd w:val="clear" w:color="auto" w:fill="auto"/>
          </w:tcPr>
          <w:p w14:paraId="4872CB6A" w14:textId="77777777" w:rsidR="009648B2" w:rsidRPr="00C033B1" w:rsidRDefault="009648B2" w:rsidP="00B22585">
            <w:pPr>
              <w:pStyle w:val="Tabletext"/>
              <w:ind w:left="-14" w:right="-26"/>
            </w:pPr>
            <w:r w:rsidRPr="00C033B1">
              <w:t>131</w:t>
            </w:r>
          </w:p>
        </w:tc>
        <w:tc>
          <w:tcPr>
            <w:tcW w:w="2646" w:type="pct"/>
            <w:tcBorders>
              <w:bottom w:val="single" w:sz="4" w:space="0" w:color="auto"/>
            </w:tcBorders>
            <w:shd w:val="clear" w:color="auto" w:fill="auto"/>
          </w:tcPr>
          <w:p w14:paraId="76F26C82" w14:textId="77777777" w:rsidR="009648B2" w:rsidRPr="00C033B1" w:rsidRDefault="009648B2" w:rsidP="00B22585">
            <w:pPr>
              <w:pStyle w:val="Tabletext"/>
            </w:pPr>
            <w:r w:rsidRPr="00C033B1">
              <w:t>For taxation of a bill of costs in which the amount claimed in the bill is more than $500,000</w:t>
            </w:r>
          </w:p>
        </w:tc>
        <w:tc>
          <w:tcPr>
            <w:tcW w:w="1943" w:type="pct"/>
            <w:tcBorders>
              <w:bottom w:val="single" w:sz="4" w:space="0" w:color="auto"/>
            </w:tcBorders>
            <w:shd w:val="clear" w:color="auto" w:fill="auto"/>
          </w:tcPr>
          <w:p w14:paraId="4D39B09C" w14:textId="77777777" w:rsidR="009648B2" w:rsidRPr="00C033B1" w:rsidRDefault="009648B2" w:rsidP="00D961F9">
            <w:pPr>
              <w:pStyle w:val="Tabletext"/>
            </w:pPr>
            <w:r w:rsidRPr="00C033B1">
              <w:t>$</w:t>
            </w:r>
            <w:r w:rsidR="00A771A8" w:rsidRPr="00C033B1">
              <w:t>6,385</w:t>
            </w:r>
          </w:p>
        </w:tc>
      </w:tr>
      <w:tr w:rsidR="009648B2" w:rsidRPr="00C033B1" w14:paraId="4F450402" w14:textId="77777777" w:rsidTr="00775E26">
        <w:tc>
          <w:tcPr>
            <w:tcW w:w="411" w:type="pct"/>
            <w:tcBorders>
              <w:bottom w:val="single" w:sz="12" w:space="0" w:color="auto"/>
            </w:tcBorders>
            <w:shd w:val="clear" w:color="auto" w:fill="auto"/>
          </w:tcPr>
          <w:p w14:paraId="629C2430" w14:textId="77777777" w:rsidR="009648B2" w:rsidRPr="00C033B1" w:rsidRDefault="009648B2" w:rsidP="00B22585">
            <w:pPr>
              <w:pStyle w:val="Tabletext"/>
              <w:ind w:left="-14" w:right="-26"/>
            </w:pPr>
            <w:r w:rsidRPr="00C033B1">
              <w:t>132</w:t>
            </w:r>
          </w:p>
        </w:tc>
        <w:tc>
          <w:tcPr>
            <w:tcW w:w="2646" w:type="pct"/>
            <w:tcBorders>
              <w:bottom w:val="single" w:sz="12" w:space="0" w:color="auto"/>
            </w:tcBorders>
            <w:shd w:val="clear" w:color="auto" w:fill="auto"/>
          </w:tcPr>
          <w:p w14:paraId="1B253E4D" w14:textId="77777777" w:rsidR="009648B2" w:rsidRPr="00C033B1" w:rsidRDefault="009648B2" w:rsidP="00B22585">
            <w:pPr>
              <w:pStyle w:val="Tabletext"/>
            </w:pPr>
            <w:r w:rsidRPr="00C033B1">
              <w:t>For mediation by an officer of the Federal Court—for each attendance at the mediation</w:t>
            </w:r>
          </w:p>
        </w:tc>
        <w:tc>
          <w:tcPr>
            <w:tcW w:w="1943" w:type="pct"/>
            <w:tcBorders>
              <w:bottom w:val="single" w:sz="12" w:space="0" w:color="auto"/>
            </w:tcBorders>
            <w:shd w:val="clear" w:color="auto" w:fill="auto"/>
          </w:tcPr>
          <w:p w14:paraId="7ED3C2EC" w14:textId="77777777" w:rsidR="009648B2" w:rsidRPr="00C033B1" w:rsidRDefault="009648B2" w:rsidP="00D961F9">
            <w:pPr>
              <w:pStyle w:val="Tablea"/>
            </w:pPr>
            <w:r w:rsidRPr="00C033B1">
              <w:t>(a) for a corporation—$</w:t>
            </w:r>
            <w:r w:rsidR="00A771A8" w:rsidRPr="00C033B1">
              <w:t>2,330</w:t>
            </w:r>
          </w:p>
          <w:p w14:paraId="1CE9C55B" w14:textId="77777777" w:rsidR="009648B2" w:rsidRPr="00C033B1" w:rsidRDefault="009648B2" w:rsidP="00D961F9">
            <w:pPr>
              <w:pStyle w:val="Tablea"/>
            </w:pPr>
            <w:r w:rsidRPr="00C033B1">
              <w:t>(b) in any other case—$</w:t>
            </w:r>
            <w:r w:rsidR="00A771A8" w:rsidRPr="00C033B1">
              <w:t>995</w:t>
            </w:r>
          </w:p>
        </w:tc>
      </w:tr>
    </w:tbl>
    <w:p w14:paraId="25B7934D" w14:textId="77777777" w:rsidR="009648B2" w:rsidRPr="00C033B1" w:rsidRDefault="009648B2" w:rsidP="009648B2">
      <w:pPr>
        <w:pStyle w:val="notemargin"/>
      </w:pPr>
      <w:r w:rsidRPr="00C033B1">
        <w:t>Note:</w:t>
      </w:r>
      <w:r w:rsidRPr="00C033B1">
        <w:tab/>
        <w:t xml:space="preserve">The fees mentioned in this Part (other than the fees mentioned in </w:t>
      </w:r>
      <w:r w:rsidR="007D3911" w:rsidRPr="00C033B1">
        <w:t>items 1</w:t>
      </w:r>
      <w:r w:rsidRPr="00C033B1">
        <w:t xml:space="preserve">02, 103, 104, 107 and 124) are subject to annual increase under </w:t>
      </w:r>
      <w:r w:rsidR="007D3911" w:rsidRPr="00C033B1">
        <w:t>section 2</w:t>
      </w:r>
      <w:r w:rsidRPr="00C033B1">
        <w:t>.20</w:t>
      </w:r>
      <w:r w:rsidR="00E034C2" w:rsidRPr="00C033B1">
        <w:t xml:space="preserve"> of this instrument</w:t>
      </w:r>
      <w:r w:rsidRPr="00C033B1">
        <w:t>.</w:t>
      </w:r>
    </w:p>
    <w:p w14:paraId="0E9AAAE5" w14:textId="77777777" w:rsidR="009648B2" w:rsidRPr="00C033B1" w:rsidRDefault="00B154CF" w:rsidP="00F609B1">
      <w:pPr>
        <w:pStyle w:val="ActHead2"/>
        <w:pageBreakBefore/>
      </w:pPr>
      <w:bookmarkStart w:id="56" w:name="f_Check_Lines_above"/>
      <w:bookmarkStart w:id="57" w:name="_Toc114044010"/>
      <w:bookmarkEnd w:id="56"/>
      <w:r w:rsidRPr="00025E64">
        <w:rPr>
          <w:rStyle w:val="CharPartNo"/>
        </w:rPr>
        <w:lastRenderedPageBreak/>
        <w:t>Part 2</w:t>
      </w:r>
      <w:r w:rsidR="009648B2" w:rsidRPr="00C033B1">
        <w:t>—</w:t>
      </w:r>
      <w:r w:rsidR="009648B2" w:rsidRPr="00025E64">
        <w:rPr>
          <w:rStyle w:val="CharPartText"/>
        </w:rPr>
        <w:t>Fees for proceedings in the Federal Circuit and Family Court of Australia (</w:t>
      </w:r>
      <w:r w:rsidR="007D3911" w:rsidRPr="00025E64">
        <w:rPr>
          <w:rStyle w:val="CharPartText"/>
        </w:rPr>
        <w:t>Division 2</w:t>
      </w:r>
      <w:r w:rsidR="009648B2" w:rsidRPr="00025E64">
        <w:rPr>
          <w:rStyle w:val="CharPartText"/>
        </w:rPr>
        <w:t>)</w:t>
      </w:r>
      <w:bookmarkEnd w:id="57"/>
    </w:p>
    <w:p w14:paraId="5E9AD653" w14:textId="77777777" w:rsidR="009648B2" w:rsidRPr="00025E64" w:rsidRDefault="009648B2" w:rsidP="009648B2">
      <w:pPr>
        <w:pStyle w:val="Header"/>
      </w:pPr>
      <w:r w:rsidRPr="00025E64">
        <w:rPr>
          <w:rStyle w:val="CharDivNo"/>
        </w:rPr>
        <w:t xml:space="preserve"> </w:t>
      </w:r>
      <w:r w:rsidRPr="00025E64">
        <w:rPr>
          <w:rStyle w:val="CharDivText"/>
        </w:rPr>
        <w:t xml:space="preserve"> </w:t>
      </w:r>
    </w:p>
    <w:p w14:paraId="751D24C3" w14:textId="77777777" w:rsidR="009648B2" w:rsidRPr="00C033B1" w:rsidRDefault="009648B2" w:rsidP="009648B2">
      <w:pPr>
        <w:pStyle w:val="subsection"/>
      </w:pPr>
      <w:r w:rsidRPr="00C033B1">
        <w:tab/>
      </w:r>
      <w:r w:rsidRPr="00C033B1">
        <w:tab/>
        <w:t>The following table sets out fees payable in relation to proceedings in the Federal Circuit and Family Court of Australia (</w:t>
      </w:r>
      <w:r w:rsidR="007D3911" w:rsidRPr="00C033B1">
        <w:t>Division 2</w:t>
      </w:r>
      <w:r w:rsidRPr="00C033B1">
        <w:t>).</w:t>
      </w:r>
    </w:p>
    <w:p w14:paraId="7A183B48" w14:textId="77777777" w:rsidR="009648B2" w:rsidRPr="00C033B1" w:rsidRDefault="009648B2" w:rsidP="009648B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7"/>
        <w:gridCol w:w="4485"/>
        <w:gridCol w:w="3297"/>
      </w:tblGrid>
      <w:tr w:rsidR="009648B2" w:rsidRPr="00C033B1" w14:paraId="3ED4E13D" w14:textId="77777777" w:rsidTr="00775E26">
        <w:trPr>
          <w:tblHeader/>
        </w:trPr>
        <w:tc>
          <w:tcPr>
            <w:tcW w:w="5000" w:type="pct"/>
            <w:gridSpan w:val="3"/>
            <w:tcBorders>
              <w:top w:val="single" w:sz="12" w:space="0" w:color="auto"/>
              <w:bottom w:val="single" w:sz="2" w:space="0" w:color="auto"/>
            </w:tcBorders>
            <w:shd w:val="clear" w:color="auto" w:fill="auto"/>
          </w:tcPr>
          <w:p w14:paraId="0EA72F79" w14:textId="77777777" w:rsidR="009648B2" w:rsidRPr="00C033B1" w:rsidRDefault="009648B2" w:rsidP="00B22585">
            <w:pPr>
              <w:pStyle w:val="TableHeading"/>
            </w:pPr>
            <w:r w:rsidRPr="00C033B1">
              <w:t>Fees for proceedings in the Federal Circuit and Family Court of Australia (</w:t>
            </w:r>
            <w:r w:rsidR="007D3911" w:rsidRPr="00C033B1">
              <w:t>Division 2</w:t>
            </w:r>
            <w:r w:rsidRPr="00C033B1">
              <w:t>)</w:t>
            </w:r>
          </w:p>
        </w:tc>
      </w:tr>
      <w:tr w:rsidR="009648B2" w:rsidRPr="00C033B1" w14:paraId="46B9F6E5" w14:textId="77777777" w:rsidTr="00775E26">
        <w:trPr>
          <w:tblHeader/>
        </w:trPr>
        <w:tc>
          <w:tcPr>
            <w:tcW w:w="438" w:type="pct"/>
            <w:tcBorders>
              <w:top w:val="single" w:sz="2" w:space="0" w:color="auto"/>
              <w:bottom w:val="single" w:sz="12" w:space="0" w:color="auto"/>
            </w:tcBorders>
            <w:shd w:val="clear" w:color="auto" w:fill="auto"/>
          </w:tcPr>
          <w:p w14:paraId="07D1C86A" w14:textId="77777777" w:rsidR="009648B2" w:rsidRPr="00C033B1" w:rsidRDefault="009648B2" w:rsidP="00B22585">
            <w:pPr>
              <w:pStyle w:val="TableHeading"/>
            </w:pPr>
            <w:r w:rsidRPr="00C033B1">
              <w:t>Item</w:t>
            </w:r>
          </w:p>
        </w:tc>
        <w:tc>
          <w:tcPr>
            <w:tcW w:w="2629" w:type="pct"/>
            <w:tcBorders>
              <w:top w:val="single" w:sz="2" w:space="0" w:color="auto"/>
              <w:bottom w:val="single" w:sz="12" w:space="0" w:color="auto"/>
            </w:tcBorders>
            <w:shd w:val="clear" w:color="auto" w:fill="auto"/>
          </w:tcPr>
          <w:p w14:paraId="16024987" w14:textId="77777777" w:rsidR="009648B2" w:rsidRPr="00C033B1" w:rsidRDefault="009648B2" w:rsidP="00B22585">
            <w:pPr>
              <w:pStyle w:val="TableHeading"/>
            </w:pPr>
            <w:r w:rsidRPr="00C033B1">
              <w:t>Document or service</w:t>
            </w:r>
          </w:p>
        </w:tc>
        <w:tc>
          <w:tcPr>
            <w:tcW w:w="1933" w:type="pct"/>
            <w:tcBorders>
              <w:top w:val="single" w:sz="2" w:space="0" w:color="auto"/>
              <w:bottom w:val="single" w:sz="12" w:space="0" w:color="auto"/>
            </w:tcBorders>
            <w:shd w:val="clear" w:color="auto" w:fill="auto"/>
          </w:tcPr>
          <w:p w14:paraId="70CB6A4D" w14:textId="77777777" w:rsidR="009648B2" w:rsidRPr="00C033B1" w:rsidRDefault="009648B2" w:rsidP="00B22585">
            <w:pPr>
              <w:pStyle w:val="TableHeading"/>
            </w:pPr>
            <w:r w:rsidRPr="00C033B1">
              <w:t>Fee</w:t>
            </w:r>
          </w:p>
        </w:tc>
      </w:tr>
      <w:tr w:rsidR="009648B2" w:rsidRPr="00C033B1" w14:paraId="1225FA18" w14:textId="77777777" w:rsidTr="00775E26">
        <w:tc>
          <w:tcPr>
            <w:tcW w:w="438" w:type="pct"/>
            <w:shd w:val="clear" w:color="auto" w:fill="auto"/>
          </w:tcPr>
          <w:p w14:paraId="674190D2" w14:textId="77777777" w:rsidR="009648B2" w:rsidRPr="00C033B1" w:rsidRDefault="009648B2" w:rsidP="00B22585">
            <w:pPr>
              <w:pStyle w:val="Tabletext"/>
            </w:pPr>
            <w:r w:rsidRPr="00C033B1">
              <w:t>201</w:t>
            </w:r>
          </w:p>
        </w:tc>
        <w:tc>
          <w:tcPr>
            <w:tcW w:w="2629" w:type="pct"/>
            <w:shd w:val="clear" w:color="auto" w:fill="auto"/>
          </w:tcPr>
          <w:p w14:paraId="595DBC21" w14:textId="77777777" w:rsidR="009648B2" w:rsidRPr="00C033B1" w:rsidRDefault="009648B2" w:rsidP="00B22585">
            <w:pPr>
              <w:pStyle w:val="Tabletext"/>
            </w:pPr>
            <w:r w:rsidRPr="00C033B1">
              <w:t>Filing of a document by which a proceeding in the Federal Circuit and Family Court of Australia (</w:t>
            </w:r>
            <w:r w:rsidR="007D3911" w:rsidRPr="00C033B1">
              <w:t>Division 2</w:t>
            </w:r>
            <w:r w:rsidRPr="00C033B1">
              <w:t>) seeking final orders is commenced, other than:</w:t>
            </w:r>
          </w:p>
          <w:p w14:paraId="7C0710C8" w14:textId="77777777" w:rsidR="009648B2" w:rsidRPr="00C033B1" w:rsidRDefault="009648B2" w:rsidP="00B22585">
            <w:pPr>
              <w:pStyle w:val="Tablea"/>
            </w:pPr>
            <w:r w:rsidRPr="00C033B1">
              <w:t xml:space="preserve">(a) a proceeding mentioned in any of </w:t>
            </w:r>
            <w:r w:rsidR="00D4482F" w:rsidRPr="00C033B1">
              <w:t>items 2</w:t>
            </w:r>
            <w:r w:rsidRPr="00C033B1">
              <w:t>01A, 202, 204 to 206 and 208 to 214; or</w:t>
            </w:r>
          </w:p>
          <w:p w14:paraId="361BBDD8" w14:textId="77777777" w:rsidR="009648B2" w:rsidRPr="00C033B1" w:rsidRDefault="009648B2" w:rsidP="00B22585">
            <w:pPr>
              <w:pStyle w:val="Tablea"/>
            </w:pPr>
            <w:r w:rsidRPr="00C033B1">
              <w:t xml:space="preserve">(b) an application under the </w:t>
            </w:r>
            <w:r w:rsidRPr="00C033B1">
              <w:rPr>
                <w:i/>
              </w:rPr>
              <w:t>Trans</w:t>
            </w:r>
            <w:r w:rsidR="00C033B1">
              <w:rPr>
                <w:i/>
              </w:rPr>
              <w:noBreakHyphen/>
            </w:r>
            <w:r w:rsidRPr="00C033B1">
              <w:rPr>
                <w:i/>
              </w:rPr>
              <w:t>Tasman Proceedings Act 2010</w:t>
            </w:r>
          </w:p>
        </w:tc>
        <w:tc>
          <w:tcPr>
            <w:tcW w:w="1933" w:type="pct"/>
            <w:shd w:val="clear" w:color="auto" w:fill="auto"/>
          </w:tcPr>
          <w:p w14:paraId="614EE49A" w14:textId="77777777" w:rsidR="009648B2" w:rsidRPr="00C033B1" w:rsidRDefault="009648B2" w:rsidP="00D961F9">
            <w:pPr>
              <w:pStyle w:val="Tablea"/>
            </w:pPr>
            <w:r w:rsidRPr="00C033B1">
              <w:t>(a) for a corporation—$</w:t>
            </w:r>
            <w:r w:rsidR="00A771A8" w:rsidRPr="00C033B1">
              <w:t>1,765</w:t>
            </w:r>
          </w:p>
          <w:p w14:paraId="2AA4DFAF" w14:textId="77777777" w:rsidR="009648B2" w:rsidRPr="00C033B1" w:rsidRDefault="009648B2" w:rsidP="00D961F9">
            <w:pPr>
              <w:pStyle w:val="Tablea"/>
            </w:pPr>
            <w:r w:rsidRPr="00C033B1">
              <w:t>(b) in any other case—$</w:t>
            </w:r>
            <w:r w:rsidR="00A771A8" w:rsidRPr="00C033B1">
              <w:t>735</w:t>
            </w:r>
          </w:p>
        </w:tc>
      </w:tr>
      <w:tr w:rsidR="009648B2" w:rsidRPr="00C033B1" w14:paraId="15884ACE" w14:textId="77777777" w:rsidTr="00775E26">
        <w:tblPrEx>
          <w:tblBorders>
            <w:top w:val="none" w:sz="0" w:space="0" w:color="auto"/>
            <w:bottom w:val="none" w:sz="0" w:space="0" w:color="auto"/>
            <w:insideH w:val="none" w:sz="0" w:space="0" w:color="auto"/>
          </w:tblBorders>
          <w:tblLook w:val="04A0" w:firstRow="1" w:lastRow="0" w:firstColumn="1" w:lastColumn="0" w:noHBand="0" w:noVBand="1"/>
        </w:tblPrEx>
        <w:tc>
          <w:tcPr>
            <w:tcW w:w="438" w:type="pct"/>
            <w:shd w:val="clear" w:color="auto" w:fill="auto"/>
            <w:hideMark/>
          </w:tcPr>
          <w:p w14:paraId="55F82310" w14:textId="77777777" w:rsidR="009648B2" w:rsidRPr="00C033B1" w:rsidRDefault="009648B2" w:rsidP="00B22585">
            <w:pPr>
              <w:pStyle w:val="Tabletext"/>
            </w:pPr>
            <w:r w:rsidRPr="00C033B1">
              <w:t>201A</w:t>
            </w:r>
          </w:p>
        </w:tc>
        <w:tc>
          <w:tcPr>
            <w:tcW w:w="2629" w:type="pct"/>
            <w:shd w:val="clear" w:color="auto" w:fill="auto"/>
            <w:hideMark/>
          </w:tcPr>
          <w:p w14:paraId="2B660D6E" w14:textId="77777777" w:rsidR="009648B2" w:rsidRPr="00C033B1" w:rsidRDefault="009648B2" w:rsidP="00B22585">
            <w:pPr>
              <w:pStyle w:val="Tabletext"/>
            </w:pPr>
            <w:r w:rsidRPr="00C033B1">
              <w:t>Filing of a document by which a proceeding is commenced in the Federal Circuit and Family Court of Australia (</w:t>
            </w:r>
            <w:r w:rsidR="007D3911" w:rsidRPr="00C033B1">
              <w:t>Division 2</w:t>
            </w:r>
            <w:r w:rsidRPr="00C033B1">
              <w:t>) seeking final orders in exercise of:</w:t>
            </w:r>
          </w:p>
          <w:p w14:paraId="051E0F07" w14:textId="77777777" w:rsidR="009648B2" w:rsidRPr="00C033B1" w:rsidRDefault="009648B2" w:rsidP="00B22585">
            <w:pPr>
              <w:pStyle w:val="Tablea"/>
            </w:pPr>
            <w:r w:rsidRPr="00C033B1">
              <w:t xml:space="preserve">(a) the Court’s jurisdiction under </w:t>
            </w:r>
            <w:r w:rsidR="00D4482F" w:rsidRPr="00C033B1">
              <w:t>section 4</w:t>
            </w:r>
            <w:r w:rsidRPr="00C033B1">
              <w:t xml:space="preserve">76 of the </w:t>
            </w:r>
            <w:r w:rsidRPr="00C033B1">
              <w:rPr>
                <w:i/>
              </w:rPr>
              <w:t>Migration Act 1958</w:t>
            </w:r>
            <w:r w:rsidRPr="00C033B1">
              <w:t>; or</w:t>
            </w:r>
          </w:p>
          <w:p w14:paraId="6D333FC1" w14:textId="77777777" w:rsidR="009648B2" w:rsidRPr="00C033B1" w:rsidRDefault="009648B2" w:rsidP="00B22585">
            <w:pPr>
              <w:pStyle w:val="Tablea"/>
            </w:pPr>
            <w:r w:rsidRPr="00C033B1">
              <w:t>(b) the Court’s jurisdiction in relation to a non</w:t>
            </w:r>
            <w:r w:rsidR="00C033B1">
              <w:noBreakHyphen/>
            </w:r>
            <w:r w:rsidRPr="00C033B1">
              <w:t xml:space="preserve">privative clause decision (within the meaning of the </w:t>
            </w:r>
            <w:r w:rsidRPr="00C033B1">
              <w:rPr>
                <w:i/>
              </w:rPr>
              <w:t>Migration Act 1958</w:t>
            </w:r>
            <w:r w:rsidRPr="00C033B1">
              <w:t>) under:</w:t>
            </w:r>
          </w:p>
          <w:p w14:paraId="6221C280" w14:textId="77777777" w:rsidR="009648B2" w:rsidRPr="00C033B1" w:rsidRDefault="009648B2" w:rsidP="00B22585">
            <w:pPr>
              <w:pStyle w:val="Tablei"/>
            </w:pPr>
            <w:r w:rsidRPr="00C033B1">
              <w:t xml:space="preserve">(i) </w:t>
            </w:r>
            <w:r w:rsidR="00D4482F" w:rsidRPr="00C033B1">
              <w:t>section 4</w:t>
            </w:r>
            <w:r w:rsidRPr="00C033B1">
              <w:t xml:space="preserve">4AA of the </w:t>
            </w:r>
            <w:r w:rsidRPr="00C033B1">
              <w:rPr>
                <w:i/>
              </w:rPr>
              <w:t>Administrative Appeals Tribunal Act 1975</w:t>
            </w:r>
            <w:r w:rsidRPr="00C033B1">
              <w:t>; or</w:t>
            </w:r>
          </w:p>
          <w:p w14:paraId="442F9E36" w14:textId="77777777" w:rsidR="009648B2" w:rsidRPr="00C033B1" w:rsidRDefault="009648B2" w:rsidP="00B22585">
            <w:pPr>
              <w:pStyle w:val="Tablei"/>
            </w:pPr>
            <w:r w:rsidRPr="00C033B1">
              <w:t xml:space="preserve">(ii) section 8 of the </w:t>
            </w:r>
            <w:r w:rsidRPr="00C033B1">
              <w:rPr>
                <w:i/>
              </w:rPr>
              <w:t>Administrative Decisions (Judicial Review) Act 1977</w:t>
            </w:r>
            <w:r w:rsidRPr="00C033B1">
              <w:t>.</w:t>
            </w:r>
          </w:p>
        </w:tc>
        <w:tc>
          <w:tcPr>
            <w:tcW w:w="1933" w:type="pct"/>
            <w:shd w:val="clear" w:color="auto" w:fill="auto"/>
            <w:hideMark/>
          </w:tcPr>
          <w:p w14:paraId="71D5652A" w14:textId="77777777" w:rsidR="009648B2" w:rsidRPr="00C033B1" w:rsidRDefault="009648B2" w:rsidP="00D961F9">
            <w:pPr>
              <w:pStyle w:val="Tablea"/>
            </w:pPr>
            <w:r w:rsidRPr="00C033B1">
              <w:t>(a) full fee—$</w:t>
            </w:r>
            <w:r w:rsidR="00A771A8" w:rsidRPr="00C033B1">
              <w:t>3,535</w:t>
            </w:r>
          </w:p>
          <w:p w14:paraId="2296FD83" w14:textId="77777777" w:rsidR="009648B2" w:rsidRPr="00C033B1" w:rsidRDefault="009648B2" w:rsidP="00D961F9">
            <w:pPr>
              <w:pStyle w:val="Tablea"/>
            </w:pPr>
            <w:r w:rsidRPr="00C033B1">
              <w:t xml:space="preserve">(b) </w:t>
            </w:r>
            <w:r w:rsidR="00640248" w:rsidRPr="00C033B1">
              <w:t>reduced fee</w:t>
            </w:r>
            <w:r w:rsidRPr="00C033B1">
              <w:t>—$</w:t>
            </w:r>
            <w:r w:rsidR="00A771A8" w:rsidRPr="00C033B1">
              <w:t>1,765</w:t>
            </w:r>
          </w:p>
        </w:tc>
      </w:tr>
      <w:tr w:rsidR="009648B2" w:rsidRPr="00C033B1" w14:paraId="4EF6D64E" w14:textId="77777777" w:rsidTr="00775E26">
        <w:tc>
          <w:tcPr>
            <w:tcW w:w="438" w:type="pct"/>
            <w:shd w:val="clear" w:color="auto" w:fill="auto"/>
          </w:tcPr>
          <w:p w14:paraId="28AA8DDD" w14:textId="77777777" w:rsidR="009648B2" w:rsidRPr="00C033B1" w:rsidRDefault="009648B2" w:rsidP="00B22585">
            <w:pPr>
              <w:pStyle w:val="Tabletext"/>
            </w:pPr>
            <w:r w:rsidRPr="00C033B1">
              <w:t>202</w:t>
            </w:r>
          </w:p>
        </w:tc>
        <w:tc>
          <w:tcPr>
            <w:tcW w:w="2629" w:type="pct"/>
            <w:shd w:val="clear" w:color="auto" w:fill="auto"/>
          </w:tcPr>
          <w:p w14:paraId="321126A3" w14:textId="77777777" w:rsidR="009648B2" w:rsidRPr="00C033B1" w:rsidRDefault="009648B2" w:rsidP="00B22585">
            <w:pPr>
              <w:pStyle w:val="Tabletext"/>
            </w:pPr>
            <w:r w:rsidRPr="00C033B1">
              <w:t xml:space="preserve">Filing of an application under </w:t>
            </w:r>
            <w:r w:rsidR="00D4482F" w:rsidRPr="00C033B1">
              <w:t>section 4</w:t>
            </w:r>
            <w:r w:rsidRPr="00C033B1">
              <w:t xml:space="preserve">6PO or 46PP of the </w:t>
            </w:r>
            <w:r w:rsidRPr="00C033B1">
              <w:rPr>
                <w:i/>
              </w:rPr>
              <w:t>Australian Human Rights Commission Act 1986</w:t>
            </w:r>
          </w:p>
        </w:tc>
        <w:tc>
          <w:tcPr>
            <w:tcW w:w="1933" w:type="pct"/>
            <w:shd w:val="clear" w:color="auto" w:fill="auto"/>
          </w:tcPr>
          <w:p w14:paraId="5703FC67" w14:textId="77777777" w:rsidR="009648B2" w:rsidRPr="00C033B1" w:rsidRDefault="009648B2" w:rsidP="00B22585">
            <w:pPr>
              <w:pStyle w:val="Tabletext"/>
            </w:pPr>
            <w:r w:rsidRPr="00C033B1">
              <w:t>$55</w:t>
            </w:r>
          </w:p>
        </w:tc>
      </w:tr>
      <w:tr w:rsidR="009648B2" w:rsidRPr="00C033B1" w14:paraId="3DB49EB1" w14:textId="77777777" w:rsidTr="00775E26">
        <w:tc>
          <w:tcPr>
            <w:tcW w:w="438" w:type="pct"/>
            <w:shd w:val="clear" w:color="auto" w:fill="auto"/>
          </w:tcPr>
          <w:p w14:paraId="6E8854D6" w14:textId="77777777" w:rsidR="009648B2" w:rsidRPr="00C033B1" w:rsidRDefault="009648B2" w:rsidP="00B22585">
            <w:pPr>
              <w:pStyle w:val="Tabletext"/>
            </w:pPr>
            <w:r w:rsidRPr="00C033B1">
              <w:t>203</w:t>
            </w:r>
          </w:p>
        </w:tc>
        <w:tc>
          <w:tcPr>
            <w:tcW w:w="2629" w:type="pct"/>
            <w:shd w:val="clear" w:color="auto" w:fill="auto"/>
          </w:tcPr>
          <w:p w14:paraId="7F2B8229" w14:textId="77777777" w:rsidR="009648B2" w:rsidRPr="00C033B1" w:rsidRDefault="009648B2" w:rsidP="00B22585">
            <w:pPr>
              <w:pStyle w:val="Tabletext"/>
            </w:pPr>
            <w:r w:rsidRPr="00C033B1">
              <w:t>Filing of a bill of costs</w:t>
            </w:r>
          </w:p>
        </w:tc>
        <w:tc>
          <w:tcPr>
            <w:tcW w:w="1933" w:type="pct"/>
            <w:shd w:val="clear" w:color="auto" w:fill="auto"/>
          </w:tcPr>
          <w:p w14:paraId="432D58CE" w14:textId="77777777" w:rsidR="009648B2" w:rsidRPr="00C033B1" w:rsidRDefault="009648B2" w:rsidP="00B22585">
            <w:pPr>
              <w:pStyle w:val="Tabletext"/>
            </w:pPr>
            <w:r w:rsidRPr="00C033B1">
              <w:t>$2</w:t>
            </w:r>
            <w:r w:rsidR="00A771A8" w:rsidRPr="00C033B1">
              <w:t>8</w:t>
            </w:r>
            <w:r w:rsidRPr="00C033B1">
              <w:t>5</w:t>
            </w:r>
          </w:p>
        </w:tc>
      </w:tr>
      <w:tr w:rsidR="009648B2" w:rsidRPr="00C033B1" w14:paraId="5915F10D" w14:textId="77777777" w:rsidTr="00775E26">
        <w:tc>
          <w:tcPr>
            <w:tcW w:w="438" w:type="pct"/>
            <w:shd w:val="clear" w:color="auto" w:fill="auto"/>
          </w:tcPr>
          <w:p w14:paraId="5538CD8F" w14:textId="77777777" w:rsidR="009648B2" w:rsidRPr="00C033B1" w:rsidRDefault="009648B2" w:rsidP="00B22585">
            <w:pPr>
              <w:pStyle w:val="Tabletext"/>
            </w:pPr>
            <w:r w:rsidRPr="00C033B1">
              <w:t>204</w:t>
            </w:r>
          </w:p>
        </w:tc>
        <w:tc>
          <w:tcPr>
            <w:tcW w:w="2629" w:type="pct"/>
            <w:shd w:val="clear" w:color="auto" w:fill="auto"/>
          </w:tcPr>
          <w:p w14:paraId="7F32B7F1" w14:textId="77777777" w:rsidR="009648B2" w:rsidRPr="00C033B1" w:rsidRDefault="009648B2" w:rsidP="00B22585">
            <w:pPr>
              <w:pStyle w:val="Tabletext"/>
            </w:pPr>
            <w:r w:rsidRPr="00C033B1">
              <w:t>Filing of:</w:t>
            </w:r>
          </w:p>
          <w:p w14:paraId="57C7A650" w14:textId="77777777" w:rsidR="009648B2" w:rsidRPr="00C033B1" w:rsidRDefault="009648B2" w:rsidP="00B22585">
            <w:pPr>
              <w:pStyle w:val="Tablea"/>
            </w:pPr>
            <w:r w:rsidRPr="00C033B1">
              <w:t>(a) a document seeking interlocutory, interim or procedural orders (other than</w:t>
            </w:r>
            <w:r w:rsidR="007E50A8" w:rsidRPr="00C033B1">
              <w:t xml:space="preserve"> in</w:t>
            </w:r>
            <w:r w:rsidRPr="00C033B1">
              <w:t xml:space="preserve"> a proceeding mentioned in </w:t>
            </w:r>
            <w:r w:rsidR="007D3911" w:rsidRPr="00C033B1">
              <w:t>item 2</w:t>
            </w:r>
            <w:r w:rsidRPr="00C033B1">
              <w:t>02); or</w:t>
            </w:r>
          </w:p>
          <w:p w14:paraId="21443E61" w14:textId="77777777" w:rsidR="009648B2" w:rsidRPr="00C033B1" w:rsidRDefault="009648B2" w:rsidP="00B22585">
            <w:pPr>
              <w:pStyle w:val="Tablea"/>
            </w:pPr>
            <w:r w:rsidRPr="00C033B1">
              <w:t xml:space="preserve">(b) an application under the </w:t>
            </w:r>
            <w:r w:rsidRPr="00C033B1">
              <w:rPr>
                <w:i/>
              </w:rPr>
              <w:t>Trans</w:t>
            </w:r>
            <w:r w:rsidR="00C033B1">
              <w:rPr>
                <w:i/>
              </w:rPr>
              <w:noBreakHyphen/>
            </w:r>
            <w:r w:rsidRPr="00C033B1">
              <w:rPr>
                <w:i/>
              </w:rPr>
              <w:t>Tasman Proceedings Act 2010</w:t>
            </w:r>
            <w:r w:rsidR="009F06DE" w:rsidRPr="00C033B1">
              <w:rPr>
                <w:i/>
              </w:rPr>
              <w:t xml:space="preserve"> </w:t>
            </w:r>
            <w:r w:rsidR="009F06DE" w:rsidRPr="00C033B1">
              <w:t>(</w:t>
            </w:r>
            <w:r w:rsidRPr="00C033B1">
              <w:t xml:space="preserve">other than an application mentioned in </w:t>
            </w:r>
            <w:r w:rsidR="007D3911" w:rsidRPr="00C033B1">
              <w:t>item 2</w:t>
            </w:r>
            <w:r w:rsidRPr="00C033B1">
              <w:t>14A</w:t>
            </w:r>
            <w:r w:rsidR="009F06DE" w:rsidRPr="00C033B1">
              <w:t>)</w:t>
            </w:r>
          </w:p>
        </w:tc>
        <w:tc>
          <w:tcPr>
            <w:tcW w:w="1933" w:type="pct"/>
            <w:shd w:val="clear" w:color="auto" w:fill="auto"/>
          </w:tcPr>
          <w:p w14:paraId="5219D79E" w14:textId="77777777" w:rsidR="009648B2" w:rsidRPr="00C033B1" w:rsidRDefault="009648B2" w:rsidP="00D961F9">
            <w:pPr>
              <w:pStyle w:val="Tablea"/>
            </w:pPr>
            <w:r w:rsidRPr="00C033B1">
              <w:t>(a) for a corporation—$</w:t>
            </w:r>
            <w:r w:rsidR="00A771A8" w:rsidRPr="00C033B1">
              <w:t>1,060</w:t>
            </w:r>
          </w:p>
          <w:p w14:paraId="4471B412" w14:textId="77777777" w:rsidR="009648B2" w:rsidRPr="00C033B1" w:rsidRDefault="009648B2" w:rsidP="00D961F9">
            <w:pPr>
              <w:pStyle w:val="Tablea"/>
            </w:pPr>
            <w:r w:rsidRPr="00C033B1">
              <w:t>(b) in any other case—$</w:t>
            </w:r>
            <w:r w:rsidR="00A771A8" w:rsidRPr="00C033B1">
              <w:t>430</w:t>
            </w:r>
          </w:p>
        </w:tc>
      </w:tr>
      <w:tr w:rsidR="009648B2" w:rsidRPr="00C033B1" w14:paraId="01B914F8" w14:textId="77777777" w:rsidTr="00775E26">
        <w:tc>
          <w:tcPr>
            <w:tcW w:w="438" w:type="pct"/>
            <w:shd w:val="clear" w:color="auto" w:fill="auto"/>
          </w:tcPr>
          <w:p w14:paraId="39CD69BF" w14:textId="77777777" w:rsidR="009648B2" w:rsidRPr="00C033B1" w:rsidRDefault="009648B2" w:rsidP="00B22585">
            <w:pPr>
              <w:pStyle w:val="Tabletext"/>
            </w:pPr>
            <w:r w:rsidRPr="00C033B1">
              <w:t>205</w:t>
            </w:r>
          </w:p>
        </w:tc>
        <w:tc>
          <w:tcPr>
            <w:tcW w:w="2629" w:type="pct"/>
            <w:shd w:val="clear" w:color="auto" w:fill="auto"/>
          </w:tcPr>
          <w:p w14:paraId="185E9F0D" w14:textId="77777777" w:rsidR="009648B2" w:rsidRPr="00C033B1" w:rsidRDefault="009648B2" w:rsidP="00B22585">
            <w:pPr>
              <w:pStyle w:val="Tabletext"/>
            </w:pPr>
            <w:r w:rsidRPr="00C033B1">
              <w:t>Filing of an application to review an exercise of power by a delegate of the Federal Circuit and Family Court of Australia (</w:t>
            </w:r>
            <w:r w:rsidR="007D3911" w:rsidRPr="00C033B1">
              <w:t>Division 2</w:t>
            </w:r>
            <w:r w:rsidRPr="00C033B1">
              <w:t xml:space="preserve">) under </w:t>
            </w:r>
            <w:r w:rsidR="007D3911" w:rsidRPr="00C033B1">
              <w:t>subsection 2</w:t>
            </w:r>
            <w:r w:rsidRPr="00C033B1">
              <w:t>56(1) of the Federal Circuit and Family Court Act</w:t>
            </w:r>
          </w:p>
        </w:tc>
        <w:tc>
          <w:tcPr>
            <w:tcW w:w="1933" w:type="pct"/>
            <w:shd w:val="clear" w:color="auto" w:fill="auto"/>
          </w:tcPr>
          <w:p w14:paraId="01088753" w14:textId="77777777" w:rsidR="009648B2" w:rsidRPr="00C033B1" w:rsidRDefault="009648B2" w:rsidP="00D961F9">
            <w:pPr>
              <w:pStyle w:val="Tablea"/>
            </w:pPr>
            <w:r w:rsidRPr="00C033B1">
              <w:t>(a) for a corporation—$</w:t>
            </w:r>
            <w:r w:rsidR="00A771A8" w:rsidRPr="00C033B1">
              <w:t>1,060</w:t>
            </w:r>
          </w:p>
          <w:p w14:paraId="3F3C2736" w14:textId="77777777" w:rsidR="009648B2" w:rsidRPr="00C033B1" w:rsidRDefault="009648B2" w:rsidP="00D961F9">
            <w:pPr>
              <w:pStyle w:val="Tablea"/>
            </w:pPr>
            <w:r w:rsidRPr="00C033B1">
              <w:t>(b) in any other case—$</w:t>
            </w:r>
            <w:r w:rsidR="00A771A8" w:rsidRPr="00C033B1">
              <w:t>430</w:t>
            </w:r>
          </w:p>
        </w:tc>
      </w:tr>
      <w:tr w:rsidR="009648B2" w:rsidRPr="00C033B1" w14:paraId="45912F9B" w14:textId="77777777" w:rsidTr="00775E26">
        <w:tc>
          <w:tcPr>
            <w:tcW w:w="438" w:type="pct"/>
            <w:shd w:val="clear" w:color="auto" w:fill="auto"/>
          </w:tcPr>
          <w:p w14:paraId="34661E93" w14:textId="77777777" w:rsidR="009648B2" w:rsidRPr="00C033B1" w:rsidRDefault="009648B2" w:rsidP="00B22585">
            <w:pPr>
              <w:pStyle w:val="Tabletext"/>
            </w:pPr>
            <w:r w:rsidRPr="00C033B1">
              <w:t>206</w:t>
            </w:r>
          </w:p>
        </w:tc>
        <w:tc>
          <w:tcPr>
            <w:tcW w:w="2629" w:type="pct"/>
            <w:shd w:val="clear" w:color="auto" w:fill="auto"/>
          </w:tcPr>
          <w:p w14:paraId="4CAFB4E3" w14:textId="77777777" w:rsidR="009648B2" w:rsidRPr="00C033B1" w:rsidRDefault="009648B2" w:rsidP="00B22585">
            <w:pPr>
              <w:pStyle w:val="Tabletext"/>
            </w:pPr>
            <w:r w:rsidRPr="00C033B1">
              <w:t xml:space="preserve">Filing of a document by which a proceeding in the Federal Circuit and Family Court of Australia </w:t>
            </w:r>
            <w:r w:rsidRPr="00C033B1">
              <w:lastRenderedPageBreak/>
              <w:t>(</w:t>
            </w:r>
            <w:r w:rsidR="007D3911" w:rsidRPr="00C033B1">
              <w:t>Division 2</w:t>
            </w:r>
            <w:r w:rsidRPr="00C033B1">
              <w:t xml:space="preserve">) under the </w:t>
            </w:r>
            <w:r w:rsidRPr="00C033B1">
              <w:rPr>
                <w:i/>
              </w:rPr>
              <w:t>Bankruptcy Act 1966</w:t>
            </w:r>
            <w:r w:rsidRPr="00C033B1">
              <w:t xml:space="preserve"> is commenced</w:t>
            </w:r>
          </w:p>
        </w:tc>
        <w:tc>
          <w:tcPr>
            <w:tcW w:w="1933" w:type="pct"/>
            <w:shd w:val="clear" w:color="auto" w:fill="auto"/>
          </w:tcPr>
          <w:p w14:paraId="0BBB3DE3" w14:textId="77777777" w:rsidR="009648B2" w:rsidRPr="00C033B1" w:rsidRDefault="009648B2" w:rsidP="00D961F9">
            <w:pPr>
              <w:pStyle w:val="Tablea"/>
            </w:pPr>
            <w:r w:rsidRPr="00C033B1">
              <w:lastRenderedPageBreak/>
              <w:t>(a) for a publicly listed company—$</w:t>
            </w:r>
            <w:r w:rsidR="00A771A8" w:rsidRPr="00C033B1">
              <w:t>6,195</w:t>
            </w:r>
          </w:p>
          <w:p w14:paraId="2941E3A4" w14:textId="77777777" w:rsidR="009648B2" w:rsidRPr="00C033B1" w:rsidRDefault="009648B2" w:rsidP="00D961F9">
            <w:pPr>
              <w:pStyle w:val="Tablea"/>
            </w:pPr>
            <w:r w:rsidRPr="00C033B1">
              <w:lastRenderedPageBreak/>
              <w:t>(b) for a corporation—$</w:t>
            </w:r>
            <w:r w:rsidR="00A771A8" w:rsidRPr="00C033B1">
              <w:t>4,135</w:t>
            </w:r>
          </w:p>
          <w:p w14:paraId="5FC6CA91" w14:textId="77777777" w:rsidR="009648B2" w:rsidRPr="00C033B1" w:rsidRDefault="009648B2" w:rsidP="00D961F9">
            <w:pPr>
              <w:pStyle w:val="Tablea"/>
            </w:pPr>
            <w:r w:rsidRPr="00C033B1">
              <w:t>(c) for a public authority—$</w:t>
            </w:r>
            <w:r w:rsidR="00A771A8" w:rsidRPr="00C033B1">
              <w:t>4,135</w:t>
            </w:r>
          </w:p>
          <w:p w14:paraId="6855FB29" w14:textId="77777777" w:rsidR="009648B2" w:rsidRPr="00C033B1" w:rsidRDefault="009648B2" w:rsidP="00D961F9">
            <w:pPr>
              <w:pStyle w:val="Tablea"/>
            </w:pPr>
            <w:r w:rsidRPr="00C033B1">
              <w:t>(d) in any other case—$</w:t>
            </w:r>
            <w:r w:rsidR="00A771A8" w:rsidRPr="00C033B1">
              <w:t>1,725</w:t>
            </w:r>
          </w:p>
        </w:tc>
      </w:tr>
      <w:tr w:rsidR="009648B2" w:rsidRPr="00C033B1" w14:paraId="22AAB8A5" w14:textId="77777777" w:rsidTr="00775E26">
        <w:tc>
          <w:tcPr>
            <w:tcW w:w="438" w:type="pct"/>
            <w:shd w:val="clear" w:color="auto" w:fill="auto"/>
          </w:tcPr>
          <w:p w14:paraId="6DDC33BC" w14:textId="77777777" w:rsidR="009648B2" w:rsidRPr="00C033B1" w:rsidRDefault="009648B2" w:rsidP="00B22585">
            <w:pPr>
              <w:pStyle w:val="Tabletext"/>
            </w:pPr>
            <w:r w:rsidRPr="00C033B1">
              <w:lastRenderedPageBreak/>
              <w:t>207</w:t>
            </w:r>
          </w:p>
        </w:tc>
        <w:tc>
          <w:tcPr>
            <w:tcW w:w="2629" w:type="pct"/>
            <w:shd w:val="clear" w:color="auto" w:fill="auto"/>
          </w:tcPr>
          <w:p w14:paraId="33B998C0" w14:textId="77777777" w:rsidR="009648B2" w:rsidRPr="00C033B1" w:rsidRDefault="009648B2" w:rsidP="00B22585">
            <w:pPr>
              <w:pStyle w:val="Tabletext"/>
            </w:pPr>
            <w:r w:rsidRPr="00C033B1">
              <w:t>Filing</w:t>
            </w:r>
            <w:r w:rsidR="005832A6" w:rsidRPr="00C033B1">
              <w:t xml:space="preserve"> of a document in a proceeding, by a person </w:t>
            </w:r>
            <w:r w:rsidRPr="00C033B1">
              <w:t>other than the applicant</w:t>
            </w:r>
            <w:r w:rsidR="00715479" w:rsidRPr="00C033B1">
              <w:t xml:space="preserve"> in the proceeding</w:t>
            </w:r>
            <w:r w:rsidRPr="00C033B1">
              <w:t xml:space="preserve">, </w:t>
            </w:r>
            <w:r w:rsidR="005832A6" w:rsidRPr="00C033B1">
              <w:t>by which final orders are sought that are</w:t>
            </w:r>
            <w:r w:rsidRPr="00C033B1">
              <w:t xml:space="preserve"> different from those sought by the applicant (other than in a proceeding mentioned in </w:t>
            </w:r>
            <w:r w:rsidR="007D3911" w:rsidRPr="00C033B1">
              <w:t>item 2</w:t>
            </w:r>
            <w:r w:rsidRPr="00C033B1">
              <w:t>02)</w:t>
            </w:r>
          </w:p>
        </w:tc>
        <w:tc>
          <w:tcPr>
            <w:tcW w:w="1933" w:type="pct"/>
            <w:shd w:val="clear" w:color="auto" w:fill="auto"/>
          </w:tcPr>
          <w:p w14:paraId="7225D57D" w14:textId="77777777" w:rsidR="009648B2" w:rsidRPr="00C033B1" w:rsidRDefault="009648B2" w:rsidP="00D961F9">
            <w:pPr>
              <w:pStyle w:val="Tablea"/>
            </w:pPr>
            <w:r w:rsidRPr="00C033B1">
              <w:t>(a) for a corporation—$</w:t>
            </w:r>
            <w:r w:rsidR="00A771A8" w:rsidRPr="00C033B1">
              <w:t>1,765</w:t>
            </w:r>
          </w:p>
          <w:p w14:paraId="307C1126" w14:textId="77777777" w:rsidR="009648B2" w:rsidRPr="00C033B1" w:rsidRDefault="009648B2" w:rsidP="00D961F9">
            <w:pPr>
              <w:pStyle w:val="Tablea"/>
            </w:pPr>
            <w:r w:rsidRPr="00C033B1">
              <w:t>(b) in any other case—$</w:t>
            </w:r>
            <w:r w:rsidR="00A771A8" w:rsidRPr="00C033B1">
              <w:t>725</w:t>
            </w:r>
          </w:p>
        </w:tc>
      </w:tr>
      <w:tr w:rsidR="009648B2" w:rsidRPr="00C033B1" w14:paraId="2071FDAF" w14:textId="77777777" w:rsidTr="00775E26">
        <w:tc>
          <w:tcPr>
            <w:tcW w:w="438" w:type="pct"/>
            <w:shd w:val="clear" w:color="auto" w:fill="auto"/>
          </w:tcPr>
          <w:p w14:paraId="0A7A639E" w14:textId="77777777" w:rsidR="009648B2" w:rsidRPr="00C033B1" w:rsidRDefault="009648B2" w:rsidP="00B22585">
            <w:pPr>
              <w:pStyle w:val="Tabletext"/>
            </w:pPr>
            <w:r w:rsidRPr="00C033B1">
              <w:t>208</w:t>
            </w:r>
          </w:p>
        </w:tc>
        <w:tc>
          <w:tcPr>
            <w:tcW w:w="2629" w:type="pct"/>
            <w:shd w:val="clear" w:color="auto" w:fill="auto"/>
          </w:tcPr>
          <w:p w14:paraId="144C576D" w14:textId="77777777" w:rsidR="009648B2" w:rsidRPr="00C033B1" w:rsidRDefault="009648B2" w:rsidP="00B22585">
            <w:pPr>
              <w:pStyle w:val="Tabletext"/>
            </w:pPr>
            <w:r w:rsidRPr="00C033B1">
              <w:t>Filing of an application for an order for substituted service of a bankruptcy notice</w:t>
            </w:r>
          </w:p>
        </w:tc>
        <w:tc>
          <w:tcPr>
            <w:tcW w:w="1933" w:type="pct"/>
            <w:shd w:val="clear" w:color="auto" w:fill="auto"/>
          </w:tcPr>
          <w:p w14:paraId="4FC2BED2" w14:textId="77777777" w:rsidR="009648B2" w:rsidRPr="00C033B1" w:rsidRDefault="009648B2" w:rsidP="00D961F9">
            <w:pPr>
              <w:pStyle w:val="Tablea"/>
            </w:pPr>
            <w:r w:rsidRPr="00C033B1">
              <w:t>(a) for a publicly listed company—$</w:t>
            </w:r>
            <w:r w:rsidR="00A771A8" w:rsidRPr="00C033B1">
              <w:t>695</w:t>
            </w:r>
          </w:p>
          <w:p w14:paraId="7D1F7067" w14:textId="77777777" w:rsidR="009648B2" w:rsidRPr="00C033B1" w:rsidRDefault="009648B2" w:rsidP="00D961F9">
            <w:pPr>
              <w:pStyle w:val="Tablea"/>
            </w:pPr>
            <w:r w:rsidRPr="00C033B1">
              <w:t>(b) for a corporation—$</w:t>
            </w:r>
            <w:r w:rsidR="00A771A8" w:rsidRPr="00C033B1">
              <w:t>460</w:t>
            </w:r>
          </w:p>
          <w:p w14:paraId="3A2811C2" w14:textId="77777777" w:rsidR="00A771A8" w:rsidRPr="00C033B1" w:rsidRDefault="009648B2" w:rsidP="00D961F9">
            <w:pPr>
              <w:pStyle w:val="Tablea"/>
            </w:pPr>
            <w:r w:rsidRPr="00C033B1">
              <w:t>(c) for a public authority—$</w:t>
            </w:r>
            <w:r w:rsidR="00A771A8" w:rsidRPr="00C033B1">
              <w:t>460</w:t>
            </w:r>
          </w:p>
          <w:p w14:paraId="2E3E2083" w14:textId="77777777" w:rsidR="009648B2" w:rsidRPr="00C033B1" w:rsidRDefault="009648B2" w:rsidP="00D961F9">
            <w:pPr>
              <w:pStyle w:val="Tablea"/>
            </w:pPr>
            <w:r w:rsidRPr="00C033B1">
              <w:t>(d) in any other case—$</w:t>
            </w:r>
            <w:r w:rsidR="00A771A8" w:rsidRPr="00C033B1">
              <w:t>180</w:t>
            </w:r>
          </w:p>
        </w:tc>
      </w:tr>
      <w:tr w:rsidR="009648B2" w:rsidRPr="00C033B1" w14:paraId="163918AC" w14:textId="77777777" w:rsidTr="00775E26">
        <w:trPr>
          <w:cantSplit/>
        </w:trPr>
        <w:tc>
          <w:tcPr>
            <w:tcW w:w="438" w:type="pct"/>
            <w:shd w:val="clear" w:color="auto" w:fill="auto"/>
          </w:tcPr>
          <w:p w14:paraId="501DEFF9" w14:textId="77777777" w:rsidR="009648B2" w:rsidRPr="00C033B1" w:rsidRDefault="009648B2" w:rsidP="00B22585">
            <w:pPr>
              <w:pStyle w:val="Tabletext"/>
            </w:pPr>
            <w:r w:rsidRPr="00C033B1">
              <w:t>209</w:t>
            </w:r>
          </w:p>
        </w:tc>
        <w:tc>
          <w:tcPr>
            <w:tcW w:w="2629" w:type="pct"/>
            <w:shd w:val="clear" w:color="auto" w:fill="auto"/>
          </w:tcPr>
          <w:p w14:paraId="278C15A6" w14:textId="77777777" w:rsidR="009648B2"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in either of the following circumstances:</w:t>
            </w:r>
          </w:p>
          <w:p w14:paraId="44275440" w14:textId="77777777" w:rsidR="009648B2" w:rsidRPr="00C033B1" w:rsidRDefault="009648B2" w:rsidP="00B22585">
            <w:pPr>
              <w:pStyle w:val="Tablea"/>
            </w:pPr>
            <w:r w:rsidRPr="00C033B1">
              <w:t>(a) the applicant has been dismissed from employment in alleged contravention of Part 3</w:t>
            </w:r>
            <w:r w:rsidR="00C033B1">
              <w:noBreakHyphen/>
            </w:r>
            <w:r w:rsidRPr="00C033B1">
              <w:t>1 of that Act;</w:t>
            </w:r>
          </w:p>
          <w:p w14:paraId="33D7F803" w14:textId="77777777" w:rsidR="009648B2" w:rsidRPr="00C033B1" w:rsidRDefault="009648B2" w:rsidP="00B22585">
            <w:pPr>
              <w:pStyle w:val="Tablea"/>
            </w:pPr>
            <w:r w:rsidRPr="00C033B1">
              <w:t xml:space="preserve">(b) the applicant alleges a breach of </w:t>
            </w:r>
            <w:r w:rsidR="007D3911" w:rsidRPr="00C033B1">
              <w:t>section 3</w:t>
            </w:r>
            <w:r w:rsidRPr="00C033B1">
              <w:t>51 of that Act</w:t>
            </w:r>
          </w:p>
        </w:tc>
        <w:tc>
          <w:tcPr>
            <w:tcW w:w="1933" w:type="pct"/>
            <w:shd w:val="clear" w:color="auto" w:fill="auto"/>
          </w:tcPr>
          <w:p w14:paraId="7F525FFB" w14:textId="77777777" w:rsidR="009648B2" w:rsidRPr="00C033B1" w:rsidRDefault="009648B2" w:rsidP="00B22585">
            <w:pPr>
              <w:pStyle w:val="Tabletext"/>
            </w:pPr>
            <w:r w:rsidRPr="00C033B1">
              <w:t xml:space="preserve">The fee prescribed under </w:t>
            </w:r>
            <w:r w:rsidR="005833F4" w:rsidRPr="00C033B1">
              <w:t>sub</w:t>
            </w:r>
            <w:r w:rsidR="007D3911" w:rsidRPr="00C033B1">
              <w:t>section 3</w:t>
            </w:r>
            <w:r w:rsidRPr="00C033B1">
              <w:t xml:space="preserve">95(2) of the </w:t>
            </w:r>
            <w:r w:rsidRPr="00C033B1">
              <w:rPr>
                <w:i/>
              </w:rPr>
              <w:t>Fair Work Act 2009</w:t>
            </w:r>
          </w:p>
        </w:tc>
      </w:tr>
      <w:tr w:rsidR="009648B2" w:rsidRPr="00C033B1" w14:paraId="1C28ED85" w14:textId="77777777" w:rsidTr="00775E26">
        <w:tc>
          <w:tcPr>
            <w:tcW w:w="438" w:type="pct"/>
            <w:shd w:val="clear" w:color="auto" w:fill="auto"/>
          </w:tcPr>
          <w:p w14:paraId="277434F6" w14:textId="77777777" w:rsidR="009648B2" w:rsidRPr="00C033B1" w:rsidRDefault="009648B2" w:rsidP="00B22585">
            <w:pPr>
              <w:pStyle w:val="Tabletext"/>
            </w:pPr>
            <w:r w:rsidRPr="00C033B1">
              <w:t>210</w:t>
            </w:r>
          </w:p>
        </w:tc>
        <w:tc>
          <w:tcPr>
            <w:tcW w:w="2629" w:type="pct"/>
            <w:shd w:val="clear" w:color="auto" w:fill="auto"/>
          </w:tcPr>
          <w:p w14:paraId="302076DE" w14:textId="77777777" w:rsidR="009648B2"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if the applicant has been dismissed from employment in alleged contravention of section 772 of that Act</w:t>
            </w:r>
          </w:p>
        </w:tc>
        <w:tc>
          <w:tcPr>
            <w:tcW w:w="1933" w:type="pct"/>
            <w:shd w:val="clear" w:color="auto" w:fill="auto"/>
          </w:tcPr>
          <w:p w14:paraId="687CF0A6" w14:textId="77777777" w:rsidR="009648B2" w:rsidRPr="00C033B1" w:rsidRDefault="009648B2" w:rsidP="00B22585">
            <w:pPr>
              <w:pStyle w:val="Tabletext"/>
            </w:pPr>
            <w:r w:rsidRPr="00C033B1">
              <w:t xml:space="preserve">The fee prescribed under </w:t>
            </w:r>
            <w:r w:rsidR="005833F4" w:rsidRPr="00C033B1">
              <w:t>sub</w:t>
            </w:r>
            <w:r w:rsidR="007D3911" w:rsidRPr="00C033B1">
              <w:t>section 3</w:t>
            </w:r>
            <w:r w:rsidRPr="00C033B1">
              <w:t xml:space="preserve">95(2) of the </w:t>
            </w:r>
            <w:r w:rsidRPr="00C033B1">
              <w:rPr>
                <w:i/>
              </w:rPr>
              <w:t>Fair Work Act 2009</w:t>
            </w:r>
          </w:p>
        </w:tc>
      </w:tr>
      <w:tr w:rsidR="009648B2" w:rsidRPr="00C033B1" w14:paraId="5C3526B3" w14:textId="77777777" w:rsidTr="00775E26">
        <w:tc>
          <w:tcPr>
            <w:tcW w:w="438" w:type="pct"/>
            <w:shd w:val="clear" w:color="auto" w:fill="auto"/>
          </w:tcPr>
          <w:p w14:paraId="692CB94B" w14:textId="77777777" w:rsidR="009648B2" w:rsidRPr="00C033B1" w:rsidRDefault="009648B2" w:rsidP="00B22585">
            <w:pPr>
              <w:pStyle w:val="Tabletext"/>
            </w:pPr>
            <w:r w:rsidRPr="00C033B1">
              <w:t>211</w:t>
            </w:r>
          </w:p>
        </w:tc>
        <w:tc>
          <w:tcPr>
            <w:tcW w:w="2629" w:type="pct"/>
            <w:shd w:val="clear" w:color="auto" w:fill="auto"/>
          </w:tcPr>
          <w:p w14:paraId="73CD5200" w14:textId="77777777" w:rsidR="00CD4022"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if</w:t>
            </w:r>
            <w:r w:rsidR="00CD4022" w:rsidRPr="00C033B1">
              <w:t>:</w:t>
            </w:r>
          </w:p>
          <w:p w14:paraId="26CFCF73" w14:textId="77777777" w:rsidR="00110DA0" w:rsidRPr="00C033B1" w:rsidRDefault="00243925" w:rsidP="00CD4022">
            <w:pPr>
              <w:pStyle w:val="Tablea"/>
            </w:pPr>
            <w:r w:rsidRPr="00C033B1">
              <w:t xml:space="preserve">(a) </w:t>
            </w:r>
            <w:r w:rsidR="009648B2" w:rsidRPr="00C033B1">
              <w:t xml:space="preserve">the applicant indicates that the applicant wants the small claims procedure under </w:t>
            </w:r>
            <w:r w:rsidR="007D3911" w:rsidRPr="00C033B1">
              <w:t>section 5</w:t>
            </w:r>
            <w:r w:rsidR="009648B2" w:rsidRPr="00C033B1">
              <w:t>48 of that Act to apply</w:t>
            </w:r>
            <w:r w:rsidR="00110DA0" w:rsidRPr="00C033B1">
              <w:t>;</w:t>
            </w:r>
            <w:r w:rsidR="009648B2" w:rsidRPr="00C033B1">
              <w:t xml:space="preserve"> and</w:t>
            </w:r>
          </w:p>
          <w:p w14:paraId="0D563597" w14:textId="77777777" w:rsidR="009648B2" w:rsidRPr="00C033B1" w:rsidRDefault="00110DA0" w:rsidP="00CD4022">
            <w:pPr>
              <w:pStyle w:val="Tablea"/>
            </w:pPr>
            <w:r w:rsidRPr="00C033B1">
              <w:t xml:space="preserve">(b) </w:t>
            </w:r>
            <w:r w:rsidR="009648B2" w:rsidRPr="00C033B1">
              <w:t>the claim is less than $10,000</w:t>
            </w:r>
          </w:p>
        </w:tc>
        <w:tc>
          <w:tcPr>
            <w:tcW w:w="1933" w:type="pct"/>
            <w:shd w:val="clear" w:color="auto" w:fill="auto"/>
          </w:tcPr>
          <w:p w14:paraId="3F5287EB" w14:textId="77777777" w:rsidR="009648B2" w:rsidRPr="00C033B1" w:rsidRDefault="009648B2" w:rsidP="00B22585">
            <w:pPr>
              <w:pStyle w:val="Tabletext"/>
            </w:pPr>
            <w:r w:rsidRPr="00C033B1">
              <w:t>$2</w:t>
            </w:r>
            <w:r w:rsidR="00A771A8" w:rsidRPr="00C033B1">
              <w:t>6</w:t>
            </w:r>
            <w:r w:rsidRPr="00C033B1">
              <w:t>5</w:t>
            </w:r>
          </w:p>
        </w:tc>
      </w:tr>
      <w:tr w:rsidR="009648B2" w:rsidRPr="00C033B1" w14:paraId="56A20F58" w14:textId="77777777" w:rsidTr="00775E26">
        <w:tc>
          <w:tcPr>
            <w:tcW w:w="438" w:type="pct"/>
            <w:shd w:val="clear" w:color="auto" w:fill="auto"/>
          </w:tcPr>
          <w:p w14:paraId="7E1A832E" w14:textId="77777777" w:rsidR="009648B2" w:rsidRPr="00C033B1" w:rsidRDefault="009648B2" w:rsidP="00B22585">
            <w:pPr>
              <w:pStyle w:val="Tabletext"/>
            </w:pPr>
            <w:r w:rsidRPr="00C033B1">
              <w:t>212</w:t>
            </w:r>
          </w:p>
        </w:tc>
        <w:tc>
          <w:tcPr>
            <w:tcW w:w="2629" w:type="pct"/>
            <w:shd w:val="clear" w:color="auto" w:fill="auto"/>
          </w:tcPr>
          <w:p w14:paraId="5A2779F7" w14:textId="77777777" w:rsidR="00110DA0"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if</w:t>
            </w:r>
            <w:r w:rsidR="00110DA0" w:rsidRPr="00C033B1">
              <w:t>:</w:t>
            </w:r>
          </w:p>
          <w:p w14:paraId="377ED51E" w14:textId="77777777" w:rsidR="00110DA0" w:rsidRPr="00C033B1" w:rsidRDefault="00110DA0" w:rsidP="00110DA0">
            <w:pPr>
              <w:pStyle w:val="Tablea"/>
            </w:pPr>
            <w:r w:rsidRPr="00C033B1">
              <w:t xml:space="preserve">(a) </w:t>
            </w:r>
            <w:r w:rsidR="009648B2" w:rsidRPr="00C033B1">
              <w:t xml:space="preserve">the applicant indicates that the applicant wants the small claims procedure under </w:t>
            </w:r>
            <w:r w:rsidR="007D3911" w:rsidRPr="00C033B1">
              <w:t>section 5</w:t>
            </w:r>
            <w:r w:rsidR="009648B2" w:rsidRPr="00C033B1">
              <w:t>48 of that Act to apply</w:t>
            </w:r>
            <w:r w:rsidRPr="00C033B1">
              <w:t>;</w:t>
            </w:r>
            <w:r w:rsidR="009648B2" w:rsidRPr="00C033B1">
              <w:t xml:space="preserve"> and</w:t>
            </w:r>
          </w:p>
          <w:p w14:paraId="17C2B851" w14:textId="77777777" w:rsidR="009648B2" w:rsidRPr="00C033B1" w:rsidRDefault="00110DA0" w:rsidP="00110DA0">
            <w:pPr>
              <w:pStyle w:val="Tablea"/>
            </w:pPr>
            <w:r w:rsidRPr="00C033B1">
              <w:t xml:space="preserve">(b) </w:t>
            </w:r>
            <w:r w:rsidR="009648B2" w:rsidRPr="00C033B1">
              <w:t>the claim is between $10,000 and $20,000</w:t>
            </w:r>
          </w:p>
        </w:tc>
        <w:tc>
          <w:tcPr>
            <w:tcW w:w="1933" w:type="pct"/>
            <w:shd w:val="clear" w:color="auto" w:fill="auto"/>
          </w:tcPr>
          <w:p w14:paraId="2425BBCB" w14:textId="77777777" w:rsidR="009648B2" w:rsidRPr="00C033B1" w:rsidRDefault="009648B2" w:rsidP="00B22585">
            <w:pPr>
              <w:pStyle w:val="Tabletext"/>
            </w:pPr>
            <w:r w:rsidRPr="00C033B1">
              <w:t>$</w:t>
            </w:r>
            <w:r w:rsidR="00A771A8" w:rsidRPr="00C033B1">
              <w:t>425</w:t>
            </w:r>
          </w:p>
        </w:tc>
      </w:tr>
      <w:tr w:rsidR="009648B2" w:rsidRPr="00C033B1" w14:paraId="5308FE21" w14:textId="77777777" w:rsidTr="00775E26">
        <w:tc>
          <w:tcPr>
            <w:tcW w:w="438" w:type="pct"/>
            <w:shd w:val="clear" w:color="auto" w:fill="auto"/>
          </w:tcPr>
          <w:p w14:paraId="22339071" w14:textId="77777777" w:rsidR="009648B2" w:rsidRPr="00C033B1" w:rsidRDefault="009648B2" w:rsidP="00B22585">
            <w:pPr>
              <w:pStyle w:val="Tabletext"/>
            </w:pPr>
            <w:r w:rsidRPr="00C033B1">
              <w:t>212A</w:t>
            </w:r>
          </w:p>
        </w:tc>
        <w:tc>
          <w:tcPr>
            <w:tcW w:w="2629" w:type="pct"/>
            <w:shd w:val="clear" w:color="auto" w:fill="auto"/>
          </w:tcPr>
          <w:p w14:paraId="2F3900FD" w14:textId="77777777" w:rsidR="00640024" w:rsidRPr="00C033B1" w:rsidRDefault="009648B2" w:rsidP="00B22585">
            <w:pPr>
              <w:pStyle w:val="Tabletext"/>
            </w:pPr>
            <w:r w:rsidRPr="00C033B1">
              <w:t xml:space="preserve">Filing of an application under </w:t>
            </w:r>
            <w:r w:rsidR="007D3911" w:rsidRPr="00C033B1">
              <w:t>section 5</w:t>
            </w:r>
            <w:r w:rsidRPr="00C033B1">
              <w:t xml:space="preserve">39 of the </w:t>
            </w:r>
            <w:r w:rsidRPr="00C033B1">
              <w:rPr>
                <w:i/>
              </w:rPr>
              <w:t>Fair Work Act 2009</w:t>
            </w:r>
            <w:r w:rsidRPr="00C033B1">
              <w:t xml:space="preserve"> </w:t>
            </w:r>
            <w:r w:rsidR="00E41D6E" w:rsidRPr="00C033B1">
              <w:t xml:space="preserve">(other than in a proceeding mentioned in </w:t>
            </w:r>
            <w:r w:rsidR="007D3911" w:rsidRPr="00C033B1">
              <w:t>item 2</w:t>
            </w:r>
            <w:r w:rsidR="00E41D6E" w:rsidRPr="00C033B1">
              <w:t xml:space="preserve">12) </w:t>
            </w:r>
            <w:r w:rsidRPr="00C033B1">
              <w:t>if</w:t>
            </w:r>
            <w:r w:rsidR="00640024" w:rsidRPr="00C033B1">
              <w:t>:</w:t>
            </w:r>
          </w:p>
          <w:p w14:paraId="38E7BDC1" w14:textId="77777777" w:rsidR="00CD4022" w:rsidRPr="00C033B1" w:rsidRDefault="00640024" w:rsidP="00640024">
            <w:pPr>
              <w:pStyle w:val="Tablea"/>
            </w:pPr>
            <w:r w:rsidRPr="00C033B1">
              <w:t xml:space="preserve">(a) </w:t>
            </w:r>
            <w:r w:rsidR="009648B2" w:rsidRPr="00C033B1">
              <w:t xml:space="preserve">the applicant indicates that the applicant wants the small claims procedure under </w:t>
            </w:r>
            <w:r w:rsidR="007D3911" w:rsidRPr="00C033B1">
              <w:t>section 5</w:t>
            </w:r>
            <w:r w:rsidR="009648B2" w:rsidRPr="00C033B1">
              <w:t>48 of that Act to apply</w:t>
            </w:r>
            <w:r w:rsidR="00CD4022" w:rsidRPr="00C033B1">
              <w:t>;</w:t>
            </w:r>
            <w:r w:rsidR="009648B2" w:rsidRPr="00C033B1">
              <w:t xml:space="preserve"> and</w:t>
            </w:r>
          </w:p>
          <w:p w14:paraId="2D6778C5" w14:textId="77777777" w:rsidR="009648B2" w:rsidRPr="00C033B1" w:rsidRDefault="00CD4022" w:rsidP="00E41D6E">
            <w:pPr>
              <w:pStyle w:val="Tablea"/>
            </w:pPr>
            <w:r w:rsidRPr="00C033B1">
              <w:t xml:space="preserve">(b) </w:t>
            </w:r>
            <w:r w:rsidR="009648B2" w:rsidRPr="00C033B1">
              <w:t>the proceedings relate to one or more of the matters mentioned in paragraph 548(1B)(a) of that Act</w:t>
            </w:r>
          </w:p>
        </w:tc>
        <w:tc>
          <w:tcPr>
            <w:tcW w:w="1933" w:type="pct"/>
            <w:shd w:val="clear" w:color="auto" w:fill="auto"/>
          </w:tcPr>
          <w:p w14:paraId="7590E75E" w14:textId="77777777" w:rsidR="009648B2" w:rsidRPr="00C033B1" w:rsidRDefault="009648B2" w:rsidP="00B22585">
            <w:pPr>
              <w:pStyle w:val="Tabletext"/>
            </w:pPr>
            <w:r w:rsidRPr="00C033B1">
              <w:t>$2</w:t>
            </w:r>
            <w:r w:rsidR="00A771A8" w:rsidRPr="00C033B1">
              <w:t>6</w:t>
            </w:r>
            <w:r w:rsidRPr="00C033B1">
              <w:t>5</w:t>
            </w:r>
          </w:p>
        </w:tc>
      </w:tr>
      <w:tr w:rsidR="009648B2" w:rsidRPr="00C033B1" w14:paraId="46596D49" w14:textId="77777777" w:rsidTr="00775E26">
        <w:tc>
          <w:tcPr>
            <w:tcW w:w="438" w:type="pct"/>
            <w:shd w:val="clear" w:color="auto" w:fill="auto"/>
          </w:tcPr>
          <w:p w14:paraId="1B0A10EE" w14:textId="77777777" w:rsidR="009648B2" w:rsidRPr="00C033B1" w:rsidRDefault="009648B2" w:rsidP="00B22585">
            <w:pPr>
              <w:pStyle w:val="Tabletext"/>
            </w:pPr>
            <w:r w:rsidRPr="00C033B1">
              <w:lastRenderedPageBreak/>
              <w:t>213</w:t>
            </w:r>
          </w:p>
        </w:tc>
        <w:tc>
          <w:tcPr>
            <w:tcW w:w="2629" w:type="pct"/>
            <w:shd w:val="clear" w:color="auto" w:fill="auto"/>
          </w:tcPr>
          <w:p w14:paraId="6C38453D" w14:textId="77777777" w:rsidR="00110DA0" w:rsidRPr="00C033B1" w:rsidRDefault="009648B2" w:rsidP="00B22585">
            <w:pPr>
              <w:pStyle w:val="Tabletext"/>
            </w:pPr>
            <w:r w:rsidRPr="00C033B1">
              <w:t xml:space="preserve">Filing of an application under the </w:t>
            </w:r>
            <w:r w:rsidRPr="00C033B1">
              <w:rPr>
                <w:i/>
              </w:rPr>
              <w:t>National Consumer Credit Protection Act 2009</w:t>
            </w:r>
            <w:r w:rsidRPr="00C033B1">
              <w:t xml:space="preserve"> if</w:t>
            </w:r>
            <w:r w:rsidR="00110DA0" w:rsidRPr="00C033B1">
              <w:t>:</w:t>
            </w:r>
          </w:p>
          <w:p w14:paraId="45C519A4" w14:textId="77777777" w:rsidR="00110DA0" w:rsidRPr="00C033B1" w:rsidRDefault="00110DA0" w:rsidP="00110DA0">
            <w:pPr>
              <w:pStyle w:val="Tablea"/>
            </w:pPr>
            <w:r w:rsidRPr="00C033B1">
              <w:t xml:space="preserve">(a) </w:t>
            </w:r>
            <w:r w:rsidR="009648B2" w:rsidRPr="00C033B1">
              <w:t>the applicant indicates that the applicant wants the small claims procedure under section 199 of that Act to apply</w:t>
            </w:r>
            <w:r w:rsidRPr="00C033B1">
              <w:t>;</w:t>
            </w:r>
            <w:r w:rsidR="009648B2" w:rsidRPr="00C033B1">
              <w:t xml:space="preserve"> and</w:t>
            </w:r>
          </w:p>
          <w:p w14:paraId="35757262" w14:textId="77777777" w:rsidR="009648B2" w:rsidRPr="00C033B1" w:rsidRDefault="00110DA0" w:rsidP="00110DA0">
            <w:pPr>
              <w:pStyle w:val="Tablea"/>
            </w:pPr>
            <w:r w:rsidRPr="00C033B1">
              <w:t xml:space="preserve">(b) </w:t>
            </w:r>
            <w:r w:rsidR="009648B2" w:rsidRPr="00C033B1">
              <w:t>the claim is less than $10,000</w:t>
            </w:r>
          </w:p>
        </w:tc>
        <w:tc>
          <w:tcPr>
            <w:tcW w:w="1933" w:type="pct"/>
            <w:shd w:val="clear" w:color="auto" w:fill="auto"/>
          </w:tcPr>
          <w:p w14:paraId="75B1F037" w14:textId="77777777" w:rsidR="009648B2" w:rsidRPr="00C033B1" w:rsidRDefault="009648B2" w:rsidP="00B22585">
            <w:pPr>
              <w:pStyle w:val="Tabletext"/>
            </w:pPr>
            <w:r w:rsidRPr="00C033B1">
              <w:t>$2</w:t>
            </w:r>
            <w:r w:rsidR="00A771A8" w:rsidRPr="00C033B1">
              <w:t>6</w:t>
            </w:r>
            <w:r w:rsidRPr="00C033B1">
              <w:t>5</w:t>
            </w:r>
          </w:p>
        </w:tc>
      </w:tr>
      <w:tr w:rsidR="009648B2" w:rsidRPr="00C033B1" w14:paraId="7085DC4B" w14:textId="77777777" w:rsidTr="00775E26">
        <w:tc>
          <w:tcPr>
            <w:tcW w:w="438" w:type="pct"/>
            <w:shd w:val="clear" w:color="auto" w:fill="auto"/>
          </w:tcPr>
          <w:p w14:paraId="6FC2545F" w14:textId="77777777" w:rsidR="009648B2" w:rsidRPr="00C033B1" w:rsidRDefault="009648B2" w:rsidP="00B22585">
            <w:pPr>
              <w:pStyle w:val="Tabletext"/>
            </w:pPr>
            <w:r w:rsidRPr="00C033B1">
              <w:t>214</w:t>
            </w:r>
          </w:p>
        </w:tc>
        <w:tc>
          <w:tcPr>
            <w:tcW w:w="2629" w:type="pct"/>
            <w:shd w:val="clear" w:color="auto" w:fill="auto"/>
          </w:tcPr>
          <w:p w14:paraId="0D2BABF6" w14:textId="77777777" w:rsidR="00110DA0" w:rsidRPr="00C033B1" w:rsidRDefault="009648B2" w:rsidP="00B22585">
            <w:pPr>
              <w:pStyle w:val="Tabletext"/>
            </w:pPr>
            <w:r w:rsidRPr="00C033B1">
              <w:t xml:space="preserve">Filing of an application under the </w:t>
            </w:r>
            <w:r w:rsidRPr="00C033B1">
              <w:rPr>
                <w:i/>
              </w:rPr>
              <w:t>National Consumer Credit Protection Act 2009</w:t>
            </w:r>
            <w:r w:rsidRPr="00C033B1">
              <w:t xml:space="preserve"> if</w:t>
            </w:r>
            <w:r w:rsidR="00110DA0" w:rsidRPr="00C033B1">
              <w:t>:</w:t>
            </w:r>
          </w:p>
          <w:p w14:paraId="5F70C220" w14:textId="77777777" w:rsidR="00110DA0" w:rsidRPr="00C033B1" w:rsidRDefault="00110DA0" w:rsidP="00110DA0">
            <w:pPr>
              <w:pStyle w:val="Tablea"/>
            </w:pPr>
            <w:r w:rsidRPr="00C033B1">
              <w:t xml:space="preserve">(a) </w:t>
            </w:r>
            <w:r w:rsidR="009648B2" w:rsidRPr="00C033B1">
              <w:t>the applicant indicates that the applicant wants the small claims procedure under section 199 of that Act to apply</w:t>
            </w:r>
            <w:r w:rsidRPr="00C033B1">
              <w:t>;</w:t>
            </w:r>
            <w:r w:rsidR="009648B2" w:rsidRPr="00C033B1">
              <w:t xml:space="preserve"> and</w:t>
            </w:r>
          </w:p>
          <w:p w14:paraId="03D42397" w14:textId="77777777" w:rsidR="009648B2" w:rsidRPr="00C033B1" w:rsidRDefault="00110DA0" w:rsidP="00110DA0">
            <w:pPr>
              <w:pStyle w:val="Tablea"/>
            </w:pPr>
            <w:r w:rsidRPr="00C033B1">
              <w:t xml:space="preserve">(b) </w:t>
            </w:r>
            <w:r w:rsidR="009648B2" w:rsidRPr="00C033B1">
              <w:t>the claim is between $10,000 and $20,000</w:t>
            </w:r>
          </w:p>
        </w:tc>
        <w:tc>
          <w:tcPr>
            <w:tcW w:w="1933" w:type="pct"/>
            <w:shd w:val="clear" w:color="auto" w:fill="auto"/>
          </w:tcPr>
          <w:p w14:paraId="7C6602C9" w14:textId="77777777" w:rsidR="009648B2" w:rsidRPr="00C033B1" w:rsidRDefault="009648B2" w:rsidP="00A771A8">
            <w:pPr>
              <w:pStyle w:val="Tabletext"/>
            </w:pPr>
            <w:r w:rsidRPr="00C033B1">
              <w:t>$</w:t>
            </w:r>
            <w:r w:rsidR="00A771A8" w:rsidRPr="00C033B1">
              <w:t>425</w:t>
            </w:r>
          </w:p>
        </w:tc>
      </w:tr>
      <w:tr w:rsidR="009648B2" w:rsidRPr="00C033B1" w14:paraId="71A97D40" w14:textId="77777777" w:rsidTr="00775E26">
        <w:tc>
          <w:tcPr>
            <w:tcW w:w="438" w:type="pct"/>
            <w:shd w:val="clear" w:color="auto" w:fill="auto"/>
          </w:tcPr>
          <w:p w14:paraId="5A610C13" w14:textId="77777777" w:rsidR="009648B2" w:rsidRPr="00C033B1" w:rsidRDefault="009648B2" w:rsidP="00B22585">
            <w:pPr>
              <w:pStyle w:val="Tabletext"/>
            </w:pPr>
            <w:r w:rsidRPr="00C033B1">
              <w:t>214A</w:t>
            </w:r>
          </w:p>
        </w:tc>
        <w:tc>
          <w:tcPr>
            <w:tcW w:w="2629" w:type="pct"/>
            <w:shd w:val="clear" w:color="auto" w:fill="auto"/>
          </w:tcPr>
          <w:p w14:paraId="58192538" w14:textId="77777777" w:rsidR="009648B2" w:rsidRPr="00C033B1" w:rsidRDefault="009648B2" w:rsidP="00B22585">
            <w:pPr>
              <w:pStyle w:val="Tabletext"/>
            </w:pPr>
            <w:r w:rsidRPr="00C033B1">
              <w:t xml:space="preserve">Filing of an application to register a New Zealand judgment under the </w:t>
            </w:r>
            <w:r w:rsidRPr="00C033B1">
              <w:rPr>
                <w:i/>
              </w:rPr>
              <w:t>Trans</w:t>
            </w:r>
            <w:r w:rsidR="00C033B1">
              <w:rPr>
                <w:i/>
              </w:rPr>
              <w:noBreakHyphen/>
            </w:r>
            <w:r w:rsidRPr="00C033B1">
              <w:rPr>
                <w:i/>
              </w:rPr>
              <w:t>Tasman Proceedings Act 2010</w:t>
            </w:r>
          </w:p>
        </w:tc>
        <w:tc>
          <w:tcPr>
            <w:tcW w:w="1933" w:type="pct"/>
            <w:shd w:val="clear" w:color="auto" w:fill="auto"/>
          </w:tcPr>
          <w:p w14:paraId="57B5B9E5" w14:textId="77777777" w:rsidR="009648B2" w:rsidRPr="00C033B1" w:rsidRDefault="009648B2" w:rsidP="00B22585">
            <w:pPr>
              <w:pStyle w:val="Tabletext"/>
            </w:pPr>
            <w:r w:rsidRPr="00C033B1">
              <w:t>$1</w:t>
            </w:r>
            <w:r w:rsidR="00A771A8" w:rsidRPr="00C033B1">
              <w:t>3</w:t>
            </w:r>
            <w:r w:rsidRPr="00C033B1">
              <w:t>5</w:t>
            </w:r>
          </w:p>
        </w:tc>
      </w:tr>
      <w:tr w:rsidR="009648B2" w:rsidRPr="00C033B1" w14:paraId="12EF69BE" w14:textId="77777777" w:rsidTr="00775E26">
        <w:tc>
          <w:tcPr>
            <w:tcW w:w="438" w:type="pct"/>
            <w:shd w:val="clear" w:color="auto" w:fill="auto"/>
          </w:tcPr>
          <w:p w14:paraId="0E36F225" w14:textId="77777777" w:rsidR="009648B2" w:rsidRPr="00C033B1" w:rsidRDefault="009648B2" w:rsidP="00B22585">
            <w:pPr>
              <w:pStyle w:val="Tabletext"/>
            </w:pPr>
            <w:r w:rsidRPr="00C033B1">
              <w:t>215</w:t>
            </w:r>
          </w:p>
        </w:tc>
        <w:tc>
          <w:tcPr>
            <w:tcW w:w="2629" w:type="pct"/>
            <w:shd w:val="clear" w:color="auto" w:fill="auto"/>
          </w:tcPr>
          <w:p w14:paraId="6CF42C83" w14:textId="77777777" w:rsidR="009648B2" w:rsidRPr="00C033B1" w:rsidRDefault="009648B2" w:rsidP="00B22585">
            <w:pPr>
              <w:pStyle w:val="Tabletext"/>
            </w:pPr>
            <w:r w:rsidRPr="00C033B1">
              <w:t xml:space="preserve">Setting down for hearing for final orders of a proceeding or an issue in question in a proceeding (other than a proceeding under the </w:t>
            </w:r>
            <w:r w:rsidRPr="00C033B1">
              <w:rPr>
                <w:i/>
              </w:rPr>
              <w:t>Bankruptcy Act 1966</w:t>
            </w:r>
            <w:r w:rsidRPr="00C033B1">
              <w:t xml:space="preserve"> or a proceeding mentioned in </w:t>
            </w:r>
            <w:r w:rsidR="007D3911" w:rsidRPr="00C033B1">
              <w:t>item 2</w:t>
            </w:r>
            <w:r w:rsidRPr="00C033B1">
              <w:t>02)</w:t>
            </w:r>
          </w:p>
        </w:tc>
        <w:tc>
          <w:tcPr>
            <w:tcW w:w="1933" w:type="pct"/>
            <w:shd w:val="clear" w:color="auto" w:fill="auto"/>
          </w:tcPr>
          <w:p w14:paraId="6E5C8AD5" w14:textId="77777777" w:rsidR="009648B2" w:rsidRPr="00C033B1" w:rsidRDefault="009648B2" w:rsidP="00D961F9">
            <w:pPr>
              <w:pStyle w:val="Tablea"/>
            </w:pPr>
            <w:r w:rsidRPr="00C033B1">
              <w:t>(a) for a corporation—$</w:t>
            </w:r>
            <w:r w:rsidR="00A771A8" w:rsidRPr="00C033B1">
              <w:t>2,110</w:t>
            </w:r>
          </w:p>
          <w:p w14:paraId="6F470749" w14:textId="77777777" w:rsidR="009648B2" w:rsidRPr="00C033B1" w:rsidRDefault="009648B2" w:rsidP="00D961F9">
            <w:pPr>
              <w:pStyle w:val="Tablea"/>
            </w:pPr>
            <w:r w:rsidRPr="00C033B1">
              <w:t>(b) in any other case—$</w:t>
            </w:r>
            <w:r w:rsidR="00A771A8" w:rsidRPr="00C033B1">
              <w:t>875</w:t>
            </w:r>
          </w:p>
        </w:tc>
      </w:tr>
      <w:tr w:rsidR="009648B2" w:rsidRPr="00C033B1" w14:paraId="7B6D7918" w14:textId="77777777" w:rsidTr="00775E26">
        <w:tc>
          <w:tcPr>
            <w:tcW w:w="438" w:type="pct"/>
            <w:shd w:val="clear" w:color="auto" w:fill="auto"/>
          </w:tcPr>
          <w:p w14:paraId="05B858FF" w14:textId="77777777" w:rsidR="009648B2" w:rsidRPr="00C033B1" w:rsidRDefault="009648B2" w:rsidP="00B22585">
            <w:pPr>
              <w:pStyle w:val="Tabletext"/>
            </w:pPr>
            <w:r w:rsidRPr="00C033B1">
              <w:t>216</w:t>
            </w:r>
          </w:p>
        </w:tc>
        <w:tc>
          <w:tcPr>
            <w:tcW w:w="2629" w:type="pct"/>
            <w:shd w:val="clear" w:color="auto" w:fill="auto"/>
          </w:tcPr>
          <w:p w14:paraId="0C3AE03E" w14:textId="77777777" w:rsidR="009648B2" w:rsidRPr="00C033B1" w:rsidRDefault="009648B2" w:rsidP="00B22585">
            <w:pPr>
              <w:pStyle w:val="Tabletext"/>
            </w:pPr>
            <w:r w:rsidRPr="00C033B1">
              <w:t xml:space="preserve">For hearing for final orders of a proceeding or an issue in question in a proceeding (other than a proceeding under the </w:t>
            </w:r>
            <w:r w:rsidRPr="00C033B1">
              <w:rPr>
                <w:i/>
              </w:rPr>
              <w:t>Bankruptcy Act 1966</w:t>
            </w:r>
            <w:r w:rsidRPr="00C033B1">
              <w:t xml:space="preserve"> or a proceeding mentioned in </w:t>
            </w:r>
            <w:r w:rsidR="007D3911" w:rsidRPr="00C033B1">
              <w:t>item 2</w:t>
            </w:r>
            <w:r w:rsidRPr="00C033B1">
              <w:t>02)—for each hearing day or part of a hearing day (other than the first hearing day)</w:t>
            </w:r>
          </w:p>
        </w:tc>
        <w:tc>
          <w:tcPr>
            <w:tcW w:w="1933" w:type="pct"/>
            <w:shd w:val="clear" w:color="auto" w:fill="auto"/>
          </w:tcPr>
          <w:p w14:paraId="49B96771" w14:textId="77777777" w:rsidR="009648B2" w:rsidRPr="00C033B1" w:rsidRDefault="009648B2" w:rsidP="00D961F9">
            <w:pPr>
              <w:pStyle w:val="Tablea"/>
            </w:pPr>
            <w:r w:rsidRPr="00C033B1">
              <w:t>(a) for a corporation—$</w:t>
            </w:r>
            <w:r w:rsidR="00D14707" w:rsidRPr="00C033B1">
              <w:t>2,110</w:t>
            </w:r>
          </w:p>
          <w:p w14:paraId="68C22760" w14:textId="77777777" w:rsidR="009648B2" w:rsidRPr="00C033B1" w:rsidRDefault="009648B2" w:rsidP="00D961F9">
            <w:pPr>
              <w:pStyle w:val="Tablea"/>
            </w:pPr>
            <w:r w:rsidRPr="00C033B1">
              <w:t>(b) in any other case—$</w:t>
            </w:r>
            <w:r w:rsidR="00D14707" w:rsidRPr="00C033B1">
              <w:t>875</w:t>
            </w:r>
          </w:p>
        </w:tc>
      </w:tr>
      <w:tr w:rsidR="009648B2" w:rsidRPr="00C033B1" w14:paraId="7E6C6463" w14:textId="77777777" w:rsidTr="00775E26">
        <w:tc>
          <w:tcPr>
            <w:tcW w:w="438" w:type="pct"/>
            <w:shd w:val="clear" w:color="auto" w:fill="auto"/>
          </w:tcPr>
          <w:p w14:paraId="31CB8B26" w14:textId="77777777" w:rsidR="009648B2" w:rsidRPr="00C033B1" w:rsidRDefault="009648B2" w:rsidP="00B22585">
            <w:pPr>
              <w:pStyle w:val="Tabletext"/>
            </w:pPr>
            <w:r w:rsidRPr="00C033B1">
              <w:t>217</w:t>
            </w:r>
          </w:p>
        </w:tc>
        <w:tc>
          <w:tcPr>
            <w:tcW w:w="2629" w:type="pct"/>
            <w:shd w:val="clear" w:color="auto" w:fill="auto"/>
          </w:tcPr>
          <w:p w14:paraId="68A60D57" w14:textId="77777777" w:rsidR="009648B2" w:rsidRPr="00C033B1" w:rsidRDefault="009648B2" w:rsidP="00B22585">
            <w:pPr>
              <w:pStyle w:val="Tabletext"/>
            </w:pPr>
            <w:r w:rsidRPr="00C033B1">
              <w:t>For the hearing for an examination by a relevant Registrar of the Federal Circuit and Family Court of Australia (</w:t>
            </w:r>
            <w:r w:rsidR="007D3911" w:rsidRPr="00C033B1">
              <w:t>Division 2</w:t>
            </w:r>
            <w:r w:rsidRPr="00C033B1">
              <w:t xml:space="preserve">) under </w:t>
            </w:r>
            <w:r w:rsidR="007D3911" w:rsidRPr="00C033B1">
              <w:t>section 5</w:t>
            </w:r>
            <w:r w:rsidRPr="00C033B1">
              <w:t xml:space="preserve">0 or 81 of the </w:t>
            </w:r>
            <w:r w:rsidRPr="00C033B1">
              <w:rPr>
                <w:i/>
              </w:rPr>
              <w:t>Bankruptcy Act 1966</w:t>
            </w:r>
            <w:r w:rsidRPr="00C033B1">
              <w:t>—for each day or part of a day</w:t>
            </w:r>
          </w:p>
        </w:tc>
        <w:tc>
          <w:tcPr>
            <w:tcW w:w="1933" w:type="pct"/>
            <w:shd w:val="clear" w:color="auto" w:fill="auto"/>
          </w:tcPr>
          <w:p w14:paraId="455AA8F5" w14:textId="77777777" w:rsidR="009648B2" w:rsidRPr="00C033B1" w:rsidRDefault="009648B2" w:rsidP="00D961F9">
            <w:pPr>
              <w:pStyle w:val="Tablea"/>
            </w:pPr>
            <w:r w:rsidRPr="00C033B1">
              <w:t>(a) for a publicly listed company—$</w:t>
            </w:r>
            <w:r w:rsidR="00D14707" w:rsidRPr="00C033B1">
              <w:t>3,190</w:t>
            </w:r>
          </w:p>
          <w:p w14:paraId="42109D7D" w14:textId="77777777" w:rsidR="009648B2" w:rsidRPr="00C033B1" w:rsidRDefault="009648B2" w:rsidP="00D961F9">
            <w:pPr>
              <w:pStyle w:val="Tablea"/>
            </w:pPr>
            <w:r w:rsidRPr="00C033B1">
              <w:t>(b) for a corporation—$</w:t>
            </w:r>
            <w:r w:rsidR="00D14707" w:rsidRPr="00C033B1">
              <w:t>2,110</w:t>
            </w:r>
          </w:p>
          <w:p w14:paraId="1276A020" w14:textId="77777777" w:rsidR="00D14707" w:rsidRPr="00C033B1" w:rsidRDefault="009648B2" w:rsidP="00D961F9">
            <w:pPr>
              <w:pStyle w:val="Tablea"/>
            </w:pPr>
            <w:r w:rsidRPr="00C033B1">
              <w:t>(c) for a public authority—$</w:t>
            </w:r>
            <w:r w:rsidR="00D14707" w:rsidRPr="00C033B1">
              <w:t>2,110</w:t>
            </w:r>
          </w:p>
          <w:p w14:paraId="6BE9ABB0" w14:textId="77777777" w:rsidR="009648B2" w:rsidRPr="00C033B1" w:rsidRDefault="009648B2" w:rsidP="00D961F9">
            <w:pPr>
              <w:pStyle w:val="Tablea"/>
            </w:pPr>
            <w:r w:rsidRPr="00C033B1">
              <w:t>(d) in any other case—$</w:t>
            </w:r>
            <w:r w:rsidR="00D14707" w:rsidRPr="00C033B1">
              <w:t>875</w:t>
            </w:r>
          </w:p>
        </w:tc>
      </w:tr>
      <w:tr w:rsidR="009648B2" w:rsidRPr="00C033B1" w14:paraId="3D9C8A6A" w14:textId="77777777" w:rsidTr="00775E26">
        <w:tc>
          <w:tcPr>
            <w:tcW w:w="438" w:type="pct"/>
            <w:shd w:val="clear" w:color="auto" w:fill="auto"/>
          </w:tcPr>
          <w:p w14:paraId="1F542812" w14:textId="77777777" w:rsidR="009648B2" w:rsidRPr="00C033B1" w:rsidRDefault="009648B2" w:rsidP="00B22585">
            <w:pPr>
              <w:pStyle w:val="Tabletext"/>
            </w:pPr>
            <w:r w:rsidRPr="00C033B1">
              <w:t>218</w:t>
            </w:r>
          </w:p>
        </w:tc>
        <w:tc>
          <w:tcPr>
            <w:tcW w:w="2629" w:type="pct"/>
            <w:shd w:val="clear" w:color="auto" w:fill="auto"/>
          </w:tcPr>
          <w:p w14:paraId="7A9208FC" w14:textId="77777777" w:rsidR="009648B2" w:rsidRPr="00C033B1" w:rsidRDefault="009648B2" w:rsidP="00B22585">
            <w:pPr>
              <w:pStyle w:val="Tabletext"/>
            </w:pPr>
            <w:r w:rsidRPr="00C033B1">
              <w:t>For the hearing of an application</w:t>
            </w:r>
            <w:r w:rsidR="00042FF0" w:rsidRPr="00C033B1">
              <w:t xml:space="preserve"> </w:t>
            </w:r>
            <w:r w:rsidRPr="00C033B1">
              <w:t>(including a cross</w:t>
            </w:r>
            <w:r w:rsidR="00C033B1">
              <w:noBreakHyphen/>
            </w:r>
            <w:r w:rsidRPr="00C033B1">
              <w:t xml:space="preserve">claim) under </w:t>
            </w:r>
            <w:r w:rsidR="007D3911" w:rsidRPr="00C033B1">
              <w:t>subsection 2</w:t>
            </w:r>
            <w:r w:rsidRPr="00C033B1">
              <w:t>56(2) of the Federal Circuit and Family Court Act—for each day or part of a day</w:t>
            </w:r>
          </w:p>
        </w:tc>
        <w:tc>
          <w:tcPr>
            <w:tcW w:w="1933" w:type="pct"/>
            <w:shd w:val="clear" w:color="auto" w:fill="auto"/>
          </w:tcPr>
          <w:p w14:paraId="4F6FB291" w14:textId="77777777" w:rsidR="009648B2" w:rsidRPr="00C033B1" w:rsidRDefault="009648B2" w:rsidP="00D961F9">
            <w:pPr>
              <w:pStyle w:val="Tablea"/>
            </w:pPr>
            <w:r w:rsidRPr="00C033B1">
              <w:t>(a) for a corporation—$</w:t>
            </w:r>
            <w:r w:rsidR="00D14707" w:rsidRPr="00C033B1">
              <w:t>2,110</w:t>
            </w:r>
          </w:p>
          <w:p w14:paraId="0B224ACE" w14:textId="77777777" w:rsidR="009648B2" w:rsidRPr="00C033B1" w:rsidRDefault="009648B2" w:rsidP="00D961F9">
            <w:pPr>
              <w:pStyle w:val="Tablea"/>
            </w:pPr>
            <w:r w:rsidRPr="00C033B1">
              <w:t>(b) in any other case—$</w:t>
            </w:r>
            <w:r w:rsidR="00D14707" w:rsidRPr="00C033B1">
              <w:t>875</w:t>
            </w:r>
          </w:p>
        </w:tc>
      </w:tr>
      <w:tr w:rsidR="009648B2" w:rsidRPr="00C033B1" w14:paraId="18D57C78" w14:textId="77777777" w:rsidTr="00775E26">
        <w:tc>
          <w:tcPr>
            <w:tcW w:w="438" w:type="pct"/>
            <w:shd w:val="clear" w:color="auto" w:fill="auto"/>
          </w:tcPr>
          <w:p w14:paraId="3976EC95" w14:textId="77777777" w:rsidR="009648B2" w:rsidRPr="00C033B1" w:rsidRDefault="009648B2" w:rsidP="00B22585">
            <w:pPr>
              <w:pStyle w:val="Tabletext"/>
            </w:pPr>
            <w:r w:rsidRPr="00C033B1">
              <w:t>219</w:t>
            </w:r>
          </w:p>
        </w:tc>
        <w:tc>
          <w:tcPr>
            <w:tcW w:w="2629" w:type="pct"/>
            <w:shd w:val="clear" w:color="auto" w:fill="auto"/>
          </w:tcPr>
          <w:p w14:paraId="225EF56F" w14:textId="77777777" w:rsidR="009648B2" w:rsidRPr="00C033B1" w:rsidRDefault="009648B2" w:rsidP="00B22585">
            <w:pPr>
              <w:pStyle w:val="Tabletext"/>
            </w:pPr>
            <w:r w:rsidRPr="00C033B1">
              <w:t>On request, production of a file of the Federal Circuit and Family Court of Australia (</w:t>
            </w:r>
            <w:r w:rsidR="007D3911" w:rsidRPr="00C033B1">
              <w:t>Division 2</w:t>
            </w:r>
            <w:r w:rsidRPr="00C033B1">
              <w:t>) and the making of a copy or copies of a document or documents in the file (regardless of the number of documents to which the request relates)</w:t>
            </w:r>
          </w:p>
        </w:tc>
        <w:tc>
          <w:tcPr>
            <w:tcW w:w="1933" w:type="pct"/>
            <w:shd w:val="clear" w:color="auto" w:fill="auto"/>
          </w:tcPr>
          <w:p w14:paraId="2FFA6CFB" w14:textId="77777777" w:rsidR="009648B2" w:rsidRPr="00C033B1" w:rsidRDefault="009648B2" w:rsidP="00B22585">
            <w:pPr>
              <w:pStyle w:val="Tablea"/>
            </w:pPr>
            <w:r w:rsidRPr="00C033B1">
              <w:t xml:space="preserve">(a) for </w:t>
            </w:r>
            <w:r w:rsidR="009355A0" w:rsidRPr="00C033B1">
              <w:t>each</w:t>
            </w:r>
            <w:r w:rsidRPr="00C033B1">
              <w:t xml:space="preserve"> production of the file—$5</w:t>
            </w:r>
            <w:r w:rsidR="00D14707" w:rsidRPr="00C033B1">
              <w:t>5</w:t>
            </w:r>
          </w:p>
          <w:p w14:paraId="3533A1DD" w14:textId="77777777" w:rsidR="009648B2" w:rsidRPr="00C033B1" w:rsidRDefault="009648B2" w:rsidP="00B22585">
            <w:pPr>
              <w:pStyle w:val="Tablea"/>
            </w:pPr>
            <w:r w:rsidRPr="00C033B1">
              <w:t>(b) for each page included in a copy made in accordance with the request—$1</w:t>
            </w:r>
          </w:p>
        </w:tc>
      </w:tr>
      <w:tr w:rsidR="009648B2" w:rsidRPr="00C033B1" w14:paraId="7F670781" w14:textId="77777777" w:rsidTr="00775E26">
        <w:tc>
          <w:tcPr>
            <w:tcW w:w="438" w:type="pct"/>
            <w:shd w:val="clear" w:color="auto" w:fill="auto"/>
          </w:tcPr>
          <w:p w14:paraId="5114D19F" w14:textId="77777777" w:rsidR="009648B2" w:rsidRPr="00C033B1" w:rsidRDefault="009648B2" w:rsidP="00B22585">
            <w:pPr>
              <w:pStyle w:val="Tabletext"/>
            </w:pPr>
            <w:r w:rsidRPr="00C033B1">
              <w:t>220</w:t>
            </w:r>
          </w:p>
        </w:tc>
        <w:tc>
          <w:tcPr>
            <w:tcW w:w="2629" w:type="pct"/>
            <w:shd w:val="clear" w:color="auto" w:fill="auto"/>
          </w:tcPr>
          <w:p w14:paraId="26BAAC49" w14:textId="77777777" w:rsidR="009648B2" w:rsidRPr="00C033B1" w:rsidRDefault="009648B2" w:rsidP="00B22585">
            <w:pPr>
              <w:pStyle w:val="Tabletext"/>
            </w:pPr>
            <w:r w:rsidRPr="00C033B1">
              <w:t>Each service or execution, or attempted service or execution, of the process of the Federal Circuit and Family Court of Australia (</w:t>
            </w:r>
            <w:r w:rsidR="007D3911" w:rsidRPr="00C033B1">
              <w:t>Division 2</w:t>
            </w:r>
            <w:r w:rsidRPr="00C033B1">
              <w:t xml:space="preserve">) by an officer of the court (other than in a proceeding mentioned in </w:t>
            </w:r>
            <w:r w:rsidR="007D3911" w:rsidRPr="00C033B1">
              <w:t>item 2</w:t>
            </w:r>
            <w:r w:rsidRPr="00C033B1">
              <w:t>02)</w:t>
            </w:r>
          </w:p>
        </w:tc>
        <w:tc>
          <w:tcPr>
            <w:tcW w:w="1933" w:type="pct"/>
            <w:shd w:val="clear" w:color="auto" w:fill="auto"/>
          </w:tcPr>
          <w:p w14:paraId="62703918" w14:textId="77777777" w:rsidR="009648B2" w:rsidRPr="00C033B1" w:rsidRDefault="009648B2" w:rsidP="00B22585">
            <w:pPr>
              <w:pStyle w:val="Tabletext"/>
            </w:pPr>
            <w:r w:rsidRPr="00C033B1">
              <w:t>An amount equal to:</w:t>
            </w:r>
          </w:p>
          <w:p w14:paraId="064B3FFD" w14:textId="77777777" w:rsidR="009648B2" w:rsidRPr="00C033B1" w:rsidRDefault="009648B2" w:rsidP="00B22585">
            <w:pPr>
              <w:pStyle w:val="Tablea"/>
            </w:pPr>
            <w:r w:rsidRPr="00C033B1">
              <w:t>(a) the amount of any expenses reasonably incurred by the officer in the service or execution, or attempted service or execution, of the process; and</w:t>
            </w:r>
          </w:p>
          <w:p w14:paraId="0FE28077" w14:textId="77777777" w:rsidR="009648B2" w:rsidRPr="00C033B1" w:rsidRDefault="009648B2" w:rsidP="00B22585">
            <w:pPr>
              <w:pStyle w:val="Tablea"/>
            </w:pPr>
            <w:r w:rsidRPr="00C033B1">
              <w:t>(b) a charge worked out at the hourly rate of salary payable to the officer for the time involved in the service or execution, or attempted service or execution</w:t>
            </w:r>
          </w:p>
        </w:tc>
      </w:tr>
      <w:tr w:rsidR="009648B2" w:rsidRPr="00C033B1" w14:paraId="73929B58" w14:textId="77777777" w:rsidTr="00775E26">
        <w:tc>
          <w:tcPr>
            <w:tcW w:w="438" w:type="pct"/>
            <w:shd w:val="clear" w:color="auto" w:fill="auto"/>
          </w:tcPr>
          <w:p w14:paraId="2E97DB7F" w14:textId="77777777" w:rsidR="009648B2" w:rsidRPr="00C033B1" w:rsidRDefault="009648B2" w:rsidP="00B22585">
            <w:pPr>
              <w:pStyle w:val="Tabletext"/>
            </w:pPr>
            <w:r w:rsidRPr="00C033B1">
              <w:t>221</w:t>
            </w:r>
          </w:p>
        </w:tc>
        <w:tc>
          <w:tcPr>
            <w:tcW w:w="2629" w:type="pct"/>
            <w:shd w:val="clear" w:color="auto" w:fill="auto"/>
          </w:tcPr>
          <w:p w14:paraId="12CC65E4" w14:textId="77777777" w:rsidR="009648B2" w:rsidRPr="00C033B1" w:rsidRDefault="009648B2" w:rsidP="00B22585">
            <w:pPr>
              <w:pStyle w:val="Tabletext"/>
            </w:pPr>
            <w:r w:rsidRPr="00C033B1">
              <w:t>Seizure and sale of goods by an officer of the Federal Circuit and Family Court of Australia (</w:t>
            </w:r>
            <w:r w:rsidR="007D3911" w:rsidRPr="00C033B1">
              <w:t>Division 2</w:t>
            </w:r>
            <w:r w:rsidRPr="00C033B1">
              <w:t xml:space="preserve">) in the execution of the process of the court (other than in relation to a proceeding under the </w:t>
            </w:r>
            <w:r w:rsidRPr="00C033B1">
              <w:rPr>
                <w:i/>
              </w:rPr>
              <w:t>Admiralty Act 1988</w:t>
            </w:r>
            <w:r w:rsidRPr="00C033B1">
              <w:t xml:space="preserve"> or a proceeding mentioned in </w:t>
            </w:r>
            <w:r w:rsidR="007D3911" w:rsidRPr="00C033B1">
              <w:t>item 2</w:t>
            </w:r>
            <w:r w:rsidRPr="00C033B1">
              <w:t>02)</w:t>
            </w:r>
          </w:p>
        </w:tc>
        <w:tc>
          <w:tcPr>
            <w:tcW w:w="1933" w:type="pct"/>
            <w:shd w:val="clear" w:color="auto" w:fill="auto"/>
          </w:tcPr>
          <w:p w14:paraId="466D8BA2" w14:textId="77777777" w:rsidR="009648B2" w:rsidRPr="00C033B1" w:rsidRDefault="009648B2" w:rsidP="00B22585">
            <w:pPr>
              <w:pStyle w:val="Tabletext"/>
            </w:pPr>
            <w:r w:rsidRPr="00C033B1">
              <w:t>$6</w:t>
            </w:r>
            <w:r w:rsidR="00D14707" w:rsidRPr="00C033B1">
              <w:t>75</w:t>
            </w:r>
          </w:p>
        </w:tc>
      </w:tr>
      <w:tr w:rsidR="009648B2" w:rsidRPr="00C033B1" w14:paraId="1D885F0A" w14:textId="77777777" w:rsidTr="00775E26">
        <w:tc>
          <w:tcPr>
            <w:tcW w:w="438" w:type="pct"/>
            <w:shd w:val="clear" w:color="auto" w:fill="auto"/>
          </w:tcPr>
          <w:p w14:paraId="5A5E6279" w14:textId="77777777" w:rsidR="009648B2" w:rsidRPr="00C033B1" w:rsidRDefault="009648B2" w:rsidP="00B22585">
            <w:pPr>
              <w:pStyle w:val="Tabletext"/>
            </w:pPr>
            <w:r w:rsidRPr="00C033B1">
              <w:t>222</w:t>
            </w:r>
          </w:p>
        </w:tc>
        <w:tc>
          <w:tcPr>
            <w:tcW w:w="2629" w:type="pct"/>
            <w:shd w:val="clear" w:color="auto" w:fill="auto"/>
          </w:tcPr>
          <w:p w14:paraId="71F49E2F" w14:textId="77777777" w:rsidR="009648B2" w:rsidRPr="00C033B1" w:rsidRDefault="009648B2" w:rsidP="00B22585">
            <w:pPr>
              <w:pStyle w:val="Tabletext"/>
            </w:pPr>
            <w:r w:rsidRPr="00C033B1">
              <w:t>For issuing a subpoena</w:t>
            </w:r>
          </w:p>
        </w:tc>
        <w:tc>
          <w:tcPr>
            <w:tcW w:w="1933" w:type="pct"/>
            <w:shd w:val="clear" w:color="auto" w:fill="auto"/>
          </w:tcPr>
          <w:p w14:paraId="5065764C" w14:textId="77777777" w:rsidR="009648B2" w:rsidRPr="00C033B1" w:rsidRDefault="009648B2" w:rsidP="00B22585">
            <w:pPr>
              <w:pStyle w:val="Tablea"/>
            </w:pPr>
            <w:r w:rsidRPr="00C033B1">
              <w:t>(a) for a corporation—$1</w:t>
            </w:r>
            <w:r w:rsidR="00D14707" w:rsidRPr="00C033B1">
              <w:t>70</w:t>
            </w:r>
          </w:p>
          <w:p w14:paraId="5F7819F3" w14:textId="77777777" w:rsidR="009648B2" w:rsidRPr="00C033B1" w:rsidRDefault="009648B2" w:rsidP="00B22585">
            <w:pPr>
              <w:pStyle w:val="Tablea"/>
            </w:pPr>
            <w:r w:rsidRPr="00C033B1">
              <w:t>(b) in any other case—$8</w:t>
            </w:r>
            <w:r w:rsidR="00D14707" w:rsidRPr="00C033B1">
              <w:t>5</w:t>
            </w:r>
          </w:p>
        </w:tc>
      </w:tr>
      <w:tr w:rsidR="009648B2" w:rsidRPr="00C033B1" w14:paraId="60761BCA" w14:textId="77777777" w:rsidTr="00775E26">
        <w:tc>
          <w:tcPr>
            <w:tcW w:w="438" w:type="pct"/>
            <w:tcBorders>
              <w:bottom w:val="single" w:sz="4" w:space="0" w:color="auto"/>
            </w:tcBorders>
            <w:shd w:val="clear" w:color="auto" w:fill="auto"/>
          </w:tcPr>
          <w:p w14:paraId="13B2BB5B" w14:textId="77777777" w:rsidR="009648B2" w:rsidRPr="00C033B1" w:rsidRDefault="009648B2" w:rsidP="00B22585">
            <w:pPr>
              <w:pStyle w:val="Tabletext"/>
            </w:pPr>
            <w:r w:rsidRPr="00C033B1">
              <w:t>223</w:t>
            </w:r>
          </w:p>
        </w:tc>
        <w:tc>
          <w:tcPr>
            <w:tcW w:w="2629" w:type="pct"/>
            <w:tcBorders>
              <w:bottom w:val="single" w:sz="4" w:space="0" w:color="auto"/>
            </w:tcBorders>
            <w:shd w:val="clear" w:color="auto" w:fill="auto"/>
          </w:tcPr>
          <w:p w14:paraId="4ACA58CA" w14:textId="77777777" w:rsidR="009648B2" w:rsidRPr="00C033B1" w:rsidRDefault="009648B2" w:rsidP="00B22585">
            <w:pPr>
              <w:pStyle w:val="Tabletext"/>
            </w:pPr>
            <w:r w:rsidRPr="00C033B1">
              <w:t xml:space="preserve">For issuing a summons to a person, under </w:t>
            </w:r>
            <w:r w:rsidR="007D3911" w:rsidRPr="00C033B1">
              <w:t>section 5</w:t>
            </w:r>
            <w:r w:rsidRPr="00C033B1">
              <w:t xml:space="preserve">0 or 81 of the </w:t>
            </w:r>
            <w:r w:rsidRPr="00C033B1">
              <w:rPr>
                <w:i/>
              </w:rPr>
              <w:t>Bankruptcy Act 1966</w:t>
            </w:r>
            <w:r w:rsidRPr="00C033B1">
              <w:t>, to attend an examination about a debtor’s examinable affairs</w:t>
            </w:r>
          </w:p>
        </w:tc>
        <w:tc>
          <w:tcPr>
            <w:tcW w:w="1933" w:type="pct"/>
            <w:tcBorders>
              <w:bottom w:val="single" w:sz="4" w:space="0" w:color="auto"/>
            </w:tcBorders>
            <w:shd w:val="clear" w:color="auto" w:fill="auto"/>
          </w:tcPr>
          <w:p w14:paraId="4FBD2934" w14:textId="77777777" w:rsidR="009648B2" w:rsidRPr="00C033B1" w:rsidRDefault="009648B2" w:rsidP="00B22585">
            <w:pPr>
              <w:pStyle w:val="Tablea"/>
            </w:pPr>
            <w:r w:rsidRPr="00C033B1">
              <w:t>(a) for a publicly listed company—$</w:t>
            </w:r>
            <w:r w:rsidR="00D14707" w:rsidRPr="00C033B1">
              <w:t>855</w:t>
            </w:r>
          </w:p>
          <w:p w14:paraId="26E29858" w14:textId="77777777" w:rsidR="009648B2" w:rsidRPr="00C033B1" w:rsidRDefault="009648B2" w:rsidP="00B22585">
            <w:pPr>
              <w:pStyle w:val="Tablea"/>
            </w:pPr>
            <w:r w:rsidRPr="00C033B1">
              <w:t>(b) for a corporation—$5</w:t>
            </w:r>
            <w:r w:rsidR="00D14707" w:rsidRPr="00C033B1">
              <w:t>55</w:t>
            </w:r>
          </w:p>
          <w:p w14:paraId="5DFB2363" w14:textId="77777777" w:rsidR="009648B2" w:rsidRPr="00C033B1" w:rsidRDefault="009648B2" w:rsidP="00B22585">
            <w:pPr>
              <w:pStyle w:val="Tablea"/>
            </w:pPr>
            <w:r w:rsidRPr="00C033B1">
              <w:t>(c) for a public authority—$5</w:t>
            </w:r>
            <w:r w:rsidR="00D14707" w:rsidRPr="00C033B1">
              <w:t>55</w:t>
            </w:r>
          </w:p>
          <w:p w14:paraId="06896862" w14:textId="77777777" w:rsidR="009648B2" w:rsidRPr="00C033B1" w:rsidRDefault="009648B2" w:rsidP="00B22585">
            <w:pPr>
              <w:pStyle w:val="Tablea"/>
            </w:pPr>
            <w:r w:rsidRPr="00C033B1">
              <w:t>(d) in any other case—$2</w:t>
            </w:r>
            <w:r w:rsidR="00D14707" w:rsidRPr="00C033B1">
              <w:t>8</w:t>
            </w:r>
            <w:r w:rsidRPr="00C033B1">
              <w:t>5</w:t>
            </w:r>
          </w:p>
        </w:tc>
      </w:tr>
      <w:tr w:rsidR="009648B2" w:rsidRPr="00C033B1" w14:paraId="7076E6C0" w14:textId="77777777" w:rsidTr="00775E26">
        <w:tc>
          <w:tcPr>
            <w:tcW w:w="438" w:type="pct"/>
            <w:tcBorders>
              <w:bottom w:val="single" w:sz="12" w:space="0" w:color="auto"/>
            </w:tcBorders>
            <w:shd w:val="clear" w:color="auto" w:fill="auto"/>
          </w:tcPr>
          <w:p w14:paraId="2E150A52" w14:textId="77777777" w:rsidR="009648B2" w:rsidRPr="00C033B1" w:rsidRDefault="009648B2" w:rsidP="00B22585">
            <w:pPr>
              <w:pStyle w:val="Tabletext"/>
            </w:pPr>
            <w:r w:rsidRPr="00C033B1">
              <w:t>224</w:t>
            </w:r>
          </w:p>
        </w:tc>
        <w:tc>
          <w:tcPr>
            <w:tcW w:w="2629" w:type="pct"/>
            <w:tcBorders>
              <w:bottom w:val="single" w:sz="12" w:space="0" w:color="auto"/>
            </w:tcBorders>
            <w:shd w:val="clear" w:color="auto" w:fill="auto"/>
          </w:tcPr>
          <w:p w14:paraId="7839C1E1" w14:textId="77777777" w:rsidR="009648B2" w:rsidRPr="00C033B1" w:rsidRDefault="009648B2" w:rsidP="00B22585">
            <w:pPr>
              <w:pStyle w:val="Tabletext"/>
            </w:pPr>
            <w:r w:rsidRPr="00C033B1">
              <w:t>Mediation by an officer of the Federal Circuit and Family Court of Australia (</w:t>
            </w:r>
            <w:r w:rsidR="007D3911" w:rsidRPr="00C033B1">
              <w:t>Division 2</w:t>
            </w:r>
            <w:r w:rsidRPr="00C033B1">
              <w:t xml:space="preserve">) (other than in a proceeding mentioned in </w:t>
            </w:r>
            <w:r w:rsidR="007D3911" w:rsidRPr="00C033B1">
              <w:t>item 2</w:t>
            </w:r>
            <w:r w:rsidRPr="00C033B1">
              <w:t>02)—for each attendance at the mediation</w:t>
            </w:r>
          </w:p>
        </w:tc>
        <w:tc>
          <w:tcPr>
            <w:tcW w:w="1933" w:type="pct"/>
            <w:tcBorders>
              <w:bottom w:val="single" w:sz="12" w:space="0" w:color="auto"/>
            </w:tcBorders>
            <w:shd w:val="clear" w:color="auto" w:fill="auto"/>
          </w:tcPr>
          <w:p w14:paraId="5ACFC9A0" w14:textId="77777777" w:rsidR="009648B2" w:rsidRPr="00C033B1" w:rsidRDefault="009648B2" w:rsidP="00B22585">
            <w:pPr>
              <w:pStyle w:val="Tabletext"/>
            </w:pPr>
            <w:r w:rsidRPr="00C033B1">
              <w:t>$5</w:t>
            </w:r>
            <w:r w:rsidR="00D14707" w:rsidRPr="00C033B1">
              <w:t>8</w:t>
            </w:r>
            <w:r w:rsidRPr="00C033B1">
              <w:t>5</w:t>
            </w:r>
          </w:p>
        </w:tc>
      </w:tr>
    </w:tbl>
    <w:p w14:paraId="1C7F359C" w14:textId="77777777" w:rsidR="009648B2" w:rsidRPr="00C033B1" w:rsidRDefault="009648B2" w:rsidP="009648B2">
      <w:pPr>
        <w:pStyle w:val="notemargin"/>
      </w:pPr>
      <w:r w:rsidRPr="00C033B1">
        <w:t>Note:</w:t>
      </w:r>
      <w:r w:rsidRPr="00C033B1">
        <w:tab/>
        <w:t xml:space="preserve">The fees mentioned in this </w:t>
      </w:r>
      <w:r w:rsidR="005344A5" w:rsidRPr="00C033B1">
        <w:t>Part</w:t>
      </w:r>
      <w:r w:rsidRPr="00C033B1">
        <w:t xml:space="preserve"> (other than the fees mentioned in </w:t>
      </w:r>
      <w:r w:rsidR="00D4482F" w:rsidRPr="00C033B1">
        <w:t>items 2</w:t>
      </w:r>
      <w:r w:rsidRPr="00C033B1">
        <w:t xml:space="preserve">02, 209, 210 and 220) are subject to annual increase under </w:t>
      </w:r>
      <w:r w:rsidR="007D3911" w:rsidRPr="00C033B1">
        <w:t>section 2</w:t>
      </w:r>
      <w:r w:rsidRPr="00C033B1">
        <w:t>.20</w:t>
      </w:r>
      <w:r w:rsidR="00B85C14" w:rsidRPr="00C033B1">
        <w:t xml:space="preserve"> of this instrument</w:t>
      </w:r>
      <w:r w:rsidRPr="00C033B1">
        <w:t>.</w:t>
      </w:r>
    </w:p>
    <w:p w14:paraId="57385DD7" w14:textId="77777777" w:rsidR="00773B88" w:rsidRPr="00C033B1" w:rsidRDefault="0096715E" w:rsidP="005344A5">
      <w:pPr>
        <w:pStyle w:val="ActHead1"/>
        <w:pageBreakBefore/>
      </w:pPr>
      <w:bookmarkStart w:id="58" w:name="_Toc114044011"/>
      <w:r w:rsidRPr="00025E64">
        <w:rPr>
          <w:rStyle w:val="CharChapNo"/>
        </w:rPr>
        <w:t>Schedule 2</w:t>
      </w:r>
      <w:r w:rsidR="009648B2" w:rsidRPr="00C033B1">
        <w:t>—</w:t>
      </w:r>
      <w:r w:rsidR="008B4409" w:rsidRPr="00025E64">
        <w:rPr>
          <w:rStyle w:val="CharChapText"/>
        </w:rPr>
        <w:t>R</w:t>
      </w:r>
      <w:r w:rsidR="009648B2" w:rsidRPr="00025E64">
        <w:rPr>
          <w:rStyle w:val="CharChapText"/>
        </w:rPr>
        <w:t>emuneration and allowances</w:t>
      </w:r>
      <w:bookmarkEnd w:id="58"/>
    </w:p>
    <w:p w14:paraId="2874D57A" w14:textId="77777777" w:rsidR="009648B2" w:rsidRPr="00C033B1" w:rsidRDefault="00773B88" w:rsidP="00773B88">
      <w:pPr>
        <w:pStyle w:val="notemargin"/>
      </w:pPr>
      <w:r w:rsidRPr="00C033B1">
        <w:t>Note:</w:t>
      </w:r>
      <w:r w:rsidRPr="00C033B1">
        <w:tab/>
        <w:t xml:space="preserve">See </w:t>
      </w:r>
      <w:r w:rsidR="007D3911" w:rsidRPr="00C033B1">
        <w:t>section 3</w:t>
      </w:r>
      <w:r w:rsidR="009648B2" w:rsidRPr="00C033B1">
        <w:t>.02</w:t>
      </w:r>
      <w:r w:rsidRPr="00C033B1">
        <w:t>.</w:t>
      </w:r>
    </w:p>
    <w:p w14:paraId="252E7107" w14:textId="77777777" w:rsidR="00773B88" w:rsidRPr="00025E64" w:rsidRDefault="00773B88" w:rsidP="00773B88">
      <w:pPr>
        <w:pStyle w:val="Header"/>
      </w:pPr>
      <w:r w:rsidRPr="00025E64">
        <w:rPr>
          <w:rStyle w:val="CharPartNo"/>
        </w:rPr>
        <w:t xml:space="preserve"> </w:t>
      </w:r>
      <w:r w:rsidRPr="00025E64">
        <w:rPr>
          <w:rStyle w:val="CharPartText"/>
        </w:rPr>
        <w:t xml:space="preserve"> </w:t>
      </w:r>
    </w:p>
    <w:p w14:paraId="01B2ECDE" w14:textId="77777777" w:rsidR="00773B88" w:rsidRPr="00C033B1" w:rsidRDefault="00773B88" w:rsidP="00773B88">
      <w:pPr>
        <w:pStyle w:val="subsection"/>
      </w:pPr>
      <w:r w:rsidRPr="00C033B1">
        <w:tab/>
      </w:r>
      <w:r w:rsidRPr="00C033B1">
        <w:tab/>
        <w:t xml:space="preserve">The following table sets out </w:t>
      </w:r>
      <w:r w:rsidR="0075698B" w:rsidRPr="00C033B1">
        <w:t>amounts of remuneration and allowances that are</w:t>
      </w:r>
      <w:r w:rsidRPr="00C033B1">
        <w:t xml:space="preserve"> payable </w:t>
      </w:r>
      <w:r w:rsidR="0075698B" w:rsidRPr="00C033B1">
        <w:t xml:space="preserve">to persons who are jurors, or potential jurors, </w:t>
      </w:r>
      <w:r w:rsidRPr="00C033B1">
        <w:t xml:space="preserve">in proceedings </w:t>
      </w:r>
      <w:r w:rsidR="0075698B" w:rsidRPr="00C033B1">
        <w:t>before</w:t>
      </w:r>
      <w:r w:rsidRPr="00C033B1">
        <w:t xml:space="preserve"> the Federal </w:t>
      </w:r>
      <w:r w:rsidR="0075698B" w:rsidRPr="00C033B1">
        <w:t>Court</w:t>
      </w:r>
      <w:r w:rsidRPr="00C033B1">
        <w:t>.</w:t>
      </w:r>
    </w:p>
    <w:p w14:paraId="4835B386" w14:textId="77777777" w:rsidR="00F644AD" w:rsidRPr="00C033B1" w:rsidRDefault="00F644AD" w:rsidP="00F644AD">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91"/>
        <w:gridCol w:w="3923"/>
        <w:gridCol w:w="3915"/>
      </w:tblGrid>
      <w:tr w:rsidR="00F644AD" w:rsidRPr="00C033B1" w14:paraId="3FA761E0" w14:textId="77777777" w:rsidTr="005833F4">
        <w:trPr>
          <w:tblHeader/>
        </w:trPr>
        <w:tc>
          <w:tcPr>
            <w:tcW w:w="5000" w:type="pct"/>
            <w:gridSpan w:val="3"/>
            <w:tcBorders>
              <w:top w:val="single" w:sz="12" w:space="0" w:color="auto"/>
              <w:bottom w:val="single" w:sz="12" w:space="0" w:color="auto"/>
            </w:tcBorders>
            <w:shd w:val="clear" w:color="auto" w:fill="auto"/>
          </w:tcPr>
          <w:p w14:paraId="4F350255" w14:textId="77777777" w:rsidR="00F644AD" w:rsidRPr="00C033B1" w:rsidRDefault="00F644AD" w:rsidP="005833F4">
            <w:pPr>
              <w:pStyle w:val="TableHeading"/>
            </w:pPr>
            <w:r w:rsidRPr="00C033B1">
              <w:t>Remuneration and allowances for jurors and potential jurors</w:t>
            </w:r>
          </w:p>
        </w:tc>
      </w:tr>
      <w:tr w:rsidR="00F644AD" w:rsidRPr="00C033B1" w14:paraId="0A47E46C" w14:textId="77777777" w:rsidTr="005833F4">
        <w:trPr>
          <w:tblHeader/>
        </w:trPr>
        <w:tc>
          <w:tcPr>
            <w:tcW w:w="405" w:type="pct"/>
            <w:tcBorders>
              <w:top w:val="single" w:sz="12" w:space="0" w:color="auto"/>
              <w:bottom w:val="single" w:sz="12" w:space="0" w:color="auto"/>
            </w:tcBorders>
            <w:shd w:val="clear" w:color="auto" w:fill="auto"/>
          </w:tcPr>
          <w:p w14:paraId="1362B6E7" w14:textId="77777777" w:rsidR="00F644AD" w:rsidRPr="00C033B1" w:rsidRDefault="00F644AD" w:rsidP="005833F4">
            <w:pPr>
              <w:pStyle w:val="TableHeading"/>
              <w:rPr>
                <w:rFonts w:ascii="Arial" w:hAnsi="Arial" w:cs="Arial"/>
              </w:rPr>
            </w:pPr>
            <w:r w:rsidRPr="00C033B1">
              <w:t>Item</w:t>
            </w:r>
          </w:p>
        </w:tc>
        <w:tc>
          <w:tcPr>
            <w:tcW w:w="2300" w:type="pct"/>
            <w:tcBorders>
              <w:top w:val="single" w:sz="12" w:space="0" w:color="auto"/>
              <w:bottom w:val="single" w:sz="12" w:space="0" w:color="auto"/>
            </w:tcBorders>
            <w:shd w:val="clear" w:color="auto" w:fill="auto"/>
          </w:tcPr>
          <w:p w14:paraId="4D0F7E4E" w14:textId="77777777" w:rsidR="00F644AD" w:rsidRPr="00C033B1" w:rsidRDefault="00F644AD" w:rsidP="005833F4">
            <w:pPr>
              <w:pStyle w:val="TableHeading"/>
              <w:rPr>
                <w:rFonts w:ascii="Arial" w:hAnsi="Arial" w:cs="Arial"/>
              </w:rPr>
            </w:pPr>
            <w:r w:rsidRPr="00C033B1">
              <w:t>Matter for which payment is made</w:t>
            </w:r>
          </w:p>
        </w:tc>
        <w:tc>
          <w:tcPr>
            <w:tcW w:w="2295" w:type="pct"/>
            <w:tcBorders>
              <w:top w:val="single" w:sz="12" w:space="0" w:color="auto"/>
              <w:bottom w:val="single" w:sz="12" w:space="0" w:color="auto"/>
            </w:tcBorders>
            <w:shd w:val="clear" w:color="auto" w:fill="auto"/>
          </w:tcPr>
          <w:p w14:paraId="666D4DA0" w14:textId="77777777" w:rsidR="00F644AD" w:rsidRPr="00C033B1" w:rsidRDefault="00F644AD" w:rsidP="005833F4">
            <w:pPr>
              <w:pStyle w:val="TableHeading"/>
            </w:pPr>
            <w:r w:rsidRPr="00C033B1">
              <w:t>Amount payable</w:t>
            </w:r>
          </w:p>
        </w:tc>
      </w:tr>
      <w:tr w:rsidR="00F644AD" w:rsidRPr="00C033B1" w14:paraId="45716ED9" w14:textId="77777777" w:rsidTr="005833F4">
        <w:tc>
          <w:tcPr>
            <w:tcW w:w="405" w:type="pct"/>
            <w:tcBorders>
              <w:top w:val="single" w:sz="12" w:space="0" w:color="auto"/>
              <w:bottom w:val="nil"/>
            </w:tcBorders>
            <w:shd w:val="clear" w:color="auto" w:fill="auto"/>
          </w:tcPr>
          <w:p w14:paraId="0312A8ED" w14:textId="77777777" w:rsidR="00F644AD" w:rsidRPr="00C033B1" w:rsidRDefault="00F644AD" w:rsidP="005833F4">
            <w:pPr>
              <w:pStyle w:val="Tabletext"/>
            </w:pPr>
            <w:r w:rsidRPr="00C033B1">
              <w:t>1</w:t>
            </w:r>
          </w:p>
        </w:tc>
        <w:tc>
          <w:tcPr>
            <w:tcW w:w="2300" w:type="pct"/>
            <w:tcBorders>
              <w:top w:val="single" w:sz="12" w:space="0" w:color="auto"/>
              <w:bottom w:val="nil"/>
            </w:tcBorders>
            <w:shd w:val="clear" w:color="auto" w:fill="auto"/>
          </w:tcPr>
          <w:p w14:paraId="7DE74D95" w14:textId="77777777" w:rsidR="00F644AD" w:rsidRPr="00C033B1" w:rsidRDefault="00F644AD" w:rsidP="005833F4">
            <w:pPr>
              <w:pStyle w:val="Tabletext"/>
            </w:pPr>
            <w:r w:rsidRPr="00C033B1">
              <w:t>Attendance on the first day of a trial:</w:t>
            </w:r>
          </w:p>
        </w:tc>
        <w:tc>
          <w:tcPr>
            <w:tcW w:w="2295" w:type="pct"/>
            <w:tcBorders>
              <w:top w:val="single" w:sz="12" w:space="0" w:color="auto"/>
              <w:bottom w:val="nil"/>
            </w:tcBorders>
            <w:shd w:val="clear" w:color="auto" w:fill="auto"/>
          </w:tcPr>
          <w:p w14:paraId="2D9843E5" w14:textId="77777777" w:rsidR="00F644AD" w:rsidRPr="00C033B1" w:rsidRDefault="00F644AD" w:rsidP="005833F4">
            <w:pPr>
              <w:pStyle w:val="Tabletext"/>
            </w:pPr>
          </w:p>
        </w:tc>
      </w:tr>
      <w:tr w:rsidR="00F644AD" w:rsidRPr="00C033B1" w14:paraId="617950C4" w14:textId="77777777" w:rsidTr="005833F4">
        <w:tc>
          <w:tcPr>
            <w:tcW w:w="405" w:type="pct"/>
            <w:tcBorders>
              <w:top w:val="nil"/>
              <w:bottom w:val="nil"/>
            </w:tcBorders>
            <w:shd w:val="clear" w:color="auto" w:fill="auto"/>
          </w:tcPr>
          <w:p w14:paraId="2BB65FB0" w14:textId="77777777" w:rsidR="00F644AD" w:rsidRPr="00C033B1" w:rsidRDefault="00F644AD" w:rsidP="005833F4">
            <w:pPr>
              <w:pStyle w:val="Tabletext"/>
            </w:pPr>
          </w:p>
        </w:tc>
        <w:tc>
          <w:tcPr>
            <w:tcW w:w="2300" w:type="pct"/>
            <w:tcBorders>
              <w:top w:val="nil"/>
              <w:bottom w:val="nil"/>
            </w:tcBorders>
            <w:shd w:val="clear" w:color="auto" w:fill="auto"/>
          </w:tcPr>
          <w:p w14:paraId="0E81A926" w14:textId="77777777" w:rsidR="00F644AD" w:rsidRPr="00C033B1" w:rsidRDefault="00F644AD" w:rsidP="005833F4">
            <w:pPr>
              <w:pStyle w:val="Tablea"/>
            </w:pPr>
            <w:r w:rsidRPr="00C033B1">
              <w:t>(a) for 4 hours or less; or</w:t>
            </w:r>
          </w:p>
        </w:tc>
        <w:tc>
          <w:tcPr>
            <w:tcW w:w="2295" w:type="pct"/>
            <w:tcBorders>
              <w:top w:val="nil"/>
              <w:bottom w:val="nil"/>
            </w:tcBorders>
            <w:shd w:val="clear" w:color="auto" w:fill="auto"/>
          </w:tcPr>
          <w:p w14:paraId="1F42D1DA" w14:textId="77777777" w:rsidR="00F644AD" w:rsidRPr="00C033B1" w:rsidRDefault="00F644AD" w:rsidP="005833F4">
            <w:pPr>
              <w:pStyle w:val="Tabletext"/>
            </w:pPr>
            <w:r w:rsidRPr="00C033B1">
              <w:t xml:space="preserve">Half the amount mentioned in </w:t>
            </w:r>
            <w:r w:rsidR="007D3911" w:rsidRPr="00C033B1">
              <w:t>item 2</w:t>
            </w:r>
          </w:p>
        </w:tc>
      </w:tr>
      <w:tr w:rsidR="00F644AD" w:rsidRPr="00C033B1" w14:paraId="30067F36" w14:textId="77777777" w:rsidTr="005833F4">
        <w:tc>
          <w:tcPr>
            <w:tcW w:w="405" w:type="pct"/>
            <w:tcBorders>
              <w:top w:val="nil"/>
              <w:bottom w:val="single" w:sz="4" w:space="0" w:color="auto"/>
            </w:tcBorders>
            <w:shd w:val="clear" w:color="auto" w:fill="auto"/>
          </w:tcPr>
          <w:p w14:paraId="061C4E5E" w14:textId="77777777" w:rsidR="00F644AD" w:rsidRPr="00C033B1" w:rsidRDefault="00F644AD" w:rsidP="005833F4">
            <w:pPr>
              <w:pStyle w:val="Tabletext"/>
            </w:pPr>
          </w:p>
        </w:tc>
        <w:tc>
          <w:tcPr>
            <w:tcW w:w="2300" w:type="pct"/>
            <w:tcBorders>
              <w:top w:val="nil"/>
              <w:bottom w:val="single" w:sz="4" w:space="0" w:color="auto"/>
            </w:tcBorders>
            <w:shd w:val="clear" w:color="auto" w:fill="auto"/>
          </w:tcPr>
          <w:p w14:paraId="06F7137D" w14:textId="77777777" w:rsidR="00F644AD" w:rsidRPr="00C033B1" w:rsidRDefault="00F644AD" w:rsidP="005833F4">
            <w:pPr>
              <w:pStyle w:val="Tablea"/>
            </w:pPr>
            <w:r w:rsidRPr="00C033B1">
              <w:t>(b) for more than 4 hours</w:t>
            </w:r>
          </w:p>
        </w:tc>
        <w:tc>
          <w:tcPr>
            <w:tcW w:w="2295" w:type="pct"/>
            <w:tcBorders>
              <w:top w:val="nil"/>
              <w:bottom w:val="single" w:sz="4" w:space="0" w:color="auto"/>
            </w:tcBorders>
            <w:shd w:val="clear" w:color="auto" w:fill="auto"/>
          </w:tcPr>
          <w:p w14:paraId="4FB363BF" w14:textId="77777777" w:rsidR="00F644AD" w:rsidRPr="00C033B1" w:rsidRDefault="00F644AD" w:rsidP="005833F4">
            <w:pPr>
              <w:pStyle w:val="Tabletext"/>
            </w:pPr>
            <w:r w:rsidRPr="00C033B1">
              <w:t xml:space="preserve">The amount mentioned in </w:t>
            </w:r>
            <w:r w:rsidR="007D3911" w:rsidRPr="00C033B1">
              <w:t>item 2</w:t>
            </w:r>
          </w:p>
        </w:tc>
      </w:tr>
      <w:tr w:rsidR="00F644AD" w:rsidRPr="00C033B1" w14:paraId="2EA585DA" w14:textId="77777777" w:rsidTr="005833F4">
        <w:tc>
          <w:tcPr>
            <w:tcW w:w="405" w:type="pct"/>
            <w:tcBorders>
              <w:top w:val="single" w:sz="4" w:space="0" w:color="auto"/>
            </w:tcBorders>
            <w:shd w:val="clear" w:color="auto" w:fill="auto"/>
          </w:tcPr>
          <w:p w14:paraId="044B18E2" w14:textId="77777777" w:rsidR="00F644AD" w:rsidRPr="00C033B1" w:rsidRDefault="00F644AD" w:rsidP="005833F4">
            <w:pPr>
              <w:pStyle w:val="Tabletext"/>
            </w:pPr>
            <w:r w:rsidRPr="00C033B1">
              <w:t>2</w:t>
            </w:r>
          </w:p>
        </w:tc>
        <w:tc>
          <w:tcPr>
            <w:tcW w:w="2300" w:type="pct"/>
            <w:tcBorders>
              <w:top w:val="single" w:sz="4" w:space="0" w:color="auto"/>
            </w:tcBorders>
            <w:shd w:val="clear" w:color="auto" w:fill="auto"/>
          </w:tcPr>
          <w:p w14:paraId="5006368B" w14:textId="77777777" w:rsidR="00F644AD" w:rsidRPr="00C033B1" w:rsidRDefault="00F644AD" w:rsidP="005833F4">
            <w:pPr>
              <w:pStyle w:val="Tabletext"/>
            </w:pPr>
            <w:r w:rsidRPr="00C033B1">
              <w:t>Attendance on each day of a trial for days 2, 3, 4 and 5</w:t>
            </w:r>
          </w:p>
        </w:tc>
        <w:tc>
          <w:tcPr>
            <w:tcW w:w="2295" w:type="pct"/>
            <w:tcBorders>
              <w:top w:val="single" w:sz="4" w:space="0" w:color="auto"/>
            </w:tcBorders>
            <w:shd w:val="clear" w:color="auto" w:fill="auto"/>
          </w:tcPr>
          <w:p w14:paraId="1967654A" w14:textId="77777777" w:rsidR="00F644AD" w:rsidRPr="00C033B1" w:rsidRDefault="00F644AD" w:rsidP="005833F4">
            <w:pPr>
              <w:pStyle w:val="Tabletext"/>
            </w:pPr>
            <w:r w:rsidRPr="00C033B1">
              <w:t>$125</w:t>
            </w:r>
          </w:p>
        </w:tc>
      </w:tr>
      <w:tr w:rsidR="00F644AD" w:rsidRPr="00C033B1" w14:paraId="2385D078" w14:textId="77777777" w:rsidTr="005833F4">
        <w:tc>
          <w:tcPr>
            <w:tcW w:w="405" w:type="pct"/>
            <w:shd w:val="clear" w:color="auto" w:fill="auto"/>
          </w:tcPr>
          <w:p w14:paraId="1F0CB7FE" w14:textId="77777777" w:rsidR="00F644AD" w:rsidRPr="00C033B1" w:rsidRDefault="00F644AD" w:rsidP="005833F4">
            <w:pPr>
              <w:pStyle w:val="Tabletext"/>
            </w:pPr>
            <w:r w:rsidRPr="00C033B1">
              <w:t>3</w:t>
            </w:r>
          </w:p>
        </w:tc>
        <w:tc>
          <w:tcPr>
            <w:tcW w:w="2300" w:type="pct"/>
            <w:shd w:val="clear" w:color="auto" w:fill="auto"/>
          </w:tcPr>
          <w:p w14:paraId="45FB3CCD" w14:textId="77777777" w:rsidR="00F644AD" w:rsidRPr="00C033B1" w:rsidRDefault="00F644AD" w:rsidP="005833F4">
            <w:pPr>
              <w:pStyle w:val="Tabletext"/>
            </w:pPr>
            <w:r w:rsidRPr="00C033B1">
              <w:t>Attendance on each day of a trial for days 6, 7, 8, 9 and 10</w:t>
            </w:r>
          </w:p>
        </w:tc>
        <w:tc>
          <w:tcPr>
            <w:tcW w:w="2295" w:type="pct"/>
            <w:shd w:val="clear" w:color="auto" w:fill="auto"/>
          </w:tcPr>
          <w:p w14:paraId="525860C9" w14:textId="77777777" w:rsidR="00F644AD" w:rsidRPr="00C033B1" w:rsidRDefault="00F644AD" w:rsidP="005833F4">
            <w:pPr>
              <w:pStyle w:val="Tabletext"/>
            </w:pPr>
            <w:r w:rsidRPr="00C033B1">
              <w:t>$137</w:t>
            </w:r>
          </w:p>
        </w:tc>
      </w:tr>
      <w:tr w:rsidR="00F644AD" w:rsidRPr="00C033B1" w14:paraId="3DFCA4FB" w14:textId="77777777" w:rsidTr="005833F4">
        <w:tc>
          <w:tcPr>
            <w:tcW w:w="405" w:type="pct"/>
            <w:tcBorders>
              <w:bottom w:val="single" w:sz="4" w:space="0" w:color="auto"/>
            </w:tcBorders>
            <w:shd w:val="clear" w:color="auto" w:fill="auto"/>
          </w:tcPr>
          <w:p w14:paraId="5F9B5014" w14:textId="77777777" w:rsidR="00F644AD" w:rsidRPr="00C033B1" w:rsidRDefault="00F644AD" w:rsidP="005833F4">
            <w:pPr>
              <w:pStyle w:val="Tabletext"/>
            </w:pPr>
            <w:r w:rsidRPr="00C033B1">
              <w:t>4</w:t>
            </w:r>
          </w:p>
        </w:tc>
        <w:tc>
          <w:tcPr>
            <w:tcW w:w="2300" w:type="pct"/>
            <w:tcBorders>
              <w:bottom w:val="single" w:sz="4" w:space="0" w:color="auto"/>
            </w:tcBorders>
            <w:shd w:val="clear" w:color="auto" w:fill="auto"/>
          </w:tcPr>
          <w:p w14:paraId="645BE9DA" w14:textId="77777777" w:rsidR="00F644AD" w:rsidRPr="00C033B1" w:rsidRDefault="00F644AD" w:rsidP="005833F4">
            <w:pPr>
              <w:pStyle w:val="Tabletext"/>
            </w:pPr>
            <w:r w:rsidRPr="00C033B1">
              <w:t>Attendance on each day of a trial after day 10</w:t>
            </w:r>
          </w:p>
        </w:tc>
        <w:tc>
          <w:tcPr>
            <w:tcW w:w="2295" w:type="pct"/>
            <w:tcBorders>
              <w:bottom w:val="single" w:sz="4" w:space="0" w:color="auto"/>
            </w:tcBorders>
            <w:shd w:val="clear" w:color="auto" w:fill="auto"/>
          </w:tcPr>
          <w:p w14:paraId="35274130" w14:textId="77777777" w:rsidR="00F644AD" w:rsidRPr="00C033B1" w:rsidRDefault="00F644AD" w:rsidP="005833F4">
            <w:pPr>
              <w:pStyle w:val="Tabletext"/>
            </w:pPr>
            <w:r w:rsidRPr="00C033B1">
              <w:t>$151</w:t>
            </w:r>
          </w:p>
        </w:tc>
      </w:tr>
      <w:tr w:rsidR="00F644AD" w:rsidRPr="00C033B1" w14:paraId="14093D6E" w14:textId="77777777" w:rsidTr="005833F4">
        <w:tc>
          <w:tcPr>
            <w:tcW w:w="405" w:type="pct"/>
            <w:tcBorders>
              <w:bottom w:val="nil"/>
            </w:tcBorders>
            <w:shd w:val="clear" w:color="auto" w:fill="auto"/>
          </w:tcPr>
          <w:p w14:paraId="20520328" w14:textId="77777777" w:rsidR="00F644AD" w:rsidRPr="00C033B1" w:rsidRDefault="00F644AD" w:rsidP="005833F4">
            <w:pPr>
              <w:pStyle w:val="Tabletext"/>
            </w:pPr>
            <w:r w:rsidRPr="00C033B1">
              <w:t>5</w:t>
            </w:r>
          </w:p>
        </w:tc>
        <w:tc>
          <w:tcPr>
            <w:tcW w:w="2300" w:type="pct"/>
            <w:tcBorders>
              <w:bottom w:val="nil"/>
            </w:tcBorders>
            <w:shd w:val="clear" w:color="auto" w:fill="auto"/>
          </w:tcPr>
          <w:p w14:paraId="054FE46F" w14:textId="77777777" w:rsidR="00F644AD" w:rsidRPr="00C033B1" w:rsidRDefault="00F644AD" w:rsidP="005833F4">
            <w:pPr>
              <w:pStyle w:val="Tabletext"/>
            </w:pPr>
            <w:r w:rsidRPr="00C033B1">
              <w:t>Attendance on the last day of a trial, if required to serve for more than 8 hours (excluding adjournments for meals):</w:t>
            </w:r>
          </w:p>
        </w:tc>
        <w:tc>
          <w:tcPr>
            <w:tcW w:w="2295" w:type="pct"/>
            <w:tcBorders>
              <w:bottom w:val="nil"/>
            </w:tcBorders>
            <w:shd w:val="clear" w:color="auto" w:fill="auto"/>
          </w:tcPr>
          <w:p w14:paraId="64FB3410" w14:textId="77777777" w:rsidR="00F644AD" w:rsidRPr="00C033B1" w:rsidRDefault="00F644AD" w:rsidP="005833F4">
            <w:pPr>
              <w:pStyle w:val="Tabletext"/>
            </w:pPr>
          </w:p>
        </w:tc>
      </w:tr>
      <w:tr w:rsidR="00F644AD" w:rsidRPr="00C033B1" w14:paraId="01A401FA" w14:textId="77777777" w:rsidTr="005833F4">
        <w:tc>
          <w:tcPr>
            <w:tcW w:w="405" w:type="pct"/>
            <w:tcBorders>
              <w:top w:val="nil"/>
              <w:bottom w:val="nil"/>
            </w:tcBorders>
            <w:shd w:val="clear" w:color="auto" w:fill="auto"/>
          </w:tcPr>
          <w:p w14:paraId="418662DA" w14:textId="77777777" w:rsidR="00F644AD" w:rsidRPr="00C033B1" w:rsidRDefault="00F644AD" w:rsidP="005833F4">
            <w:pPr>
              <w:pStyle w:val="Tabletext"/>
            </w:pPr>
          </w:p>
        </w:tc>
        <w:tc>
          <w:tcPr>
            <w:tcW w:w="2300" w:type="pct"/>
            <w:tcBorders>
              <w:top w:val="nil"/>
              <w:bottom w:val="nil"/>
            </w:tcBorders>
            <w:shd w:val="clear" w:color="auto" w:fill="auto"/>
          </w:tcPr>
          <w:p w14:paraId="5B8B2062" w14:textId="77777777" w:rsidR="00F644AD" w:rsidRPr="00C033B1" w:rsidRDefault="00F644AD" w:rsidP="005833F4">
            <w:pPr>
              <w:pStyle w:val="Tablea"/>
            </w:pPr>
            <w:r w:rsidRPr="00C033B1">
              <w:t>(a) for an additional period of up to 4 hours; or</w:t>
            </w:r>
          </w:p>
        </w:tc>
        <w:tc>
          <w:tcPr>
            <w:tcW w:w="2295" w:type="pct"/>
            <w:tcBorders>
              <w:top w:val="nil"/>
              <w:bottom w:val="nil"/>
            </w:tcBorders>
            <w:shd w:val="clear" w:color="auto" w:fill="auto"/>
          </w:tcPr>
          <w:p w14:paraId="03662B9E" w14:textId="77777777" w:rsidR="00F644AD" w:rsidRPr="00C033B1" w:rsidRDefault="00F644AD" w:rsidP="005833F4">
            <w:pPr>
              <w:pStyle w:val="Tabletext"/>
            </w:pPr>
            <w:r w:rsidRPr="00C033B1">
              <w:t>The amount mentioned for the day in another item plus half the amount mentioned for that day</w:t>
            </w:r>
          </w:p>
        </w:tc>
      </w:tr>
      <w:tr w:rsidR="00F644AD" w:rsidRPr="00C033B1" w14:paraId="1A7C1F0E" w14:textId="77777777" w:rsidTr="005833F4">
        <w:tc>
          <w:tcPr>
            <w:tcW w:w="405" w:type="pct"/>
            <w:tcBorders>
              <w:top w:val="nil"/>
              <w:bottom w:val="single" w:sz="12" w:space="0" w:color="auto"/>
            </w:tcBorders>
            <w:shd w:val="clear" w:color="auto" w:fill="auto"/>
          </w:tcPr>
          <w:p w14:paraId="0BEC826E" w14:textId="77777777" w:rsidR="00F644AD" w:rsidRPr="00C033B1" w:rsidRDefault="00F644AD" w:rsidP="005833F4">
            <w:pPr>
              <w:pStyle w:val="Tabletext"/>
            </w:pPr>
          </w:p>
        </w:tc>
        <w:tc>
          <w:tcPr>
            <w:tcW w:w="2300" w:type="pct"/>
            <w:tcBorders>
              <w:top w:val="nil"/>
              <w:bottom w:val="single" w:sz="12" w:space="0" w:color="auto"/>
            </w:tcBorders>
            <w:shd w:val="clear" w:color="auto" w:fill="auto"/>
          </w:tcPr>
          <w:p w14:paraId="0B5468B1" w14:textId="77777777" w:rsidR="00F644AD" w:rsidRPr="00C033B1" w:rsidRDefault="00F644AD" w:rsidP="005833F4">
            <w:pPr>
              <w:pStyle w:val="Tablea"/>
            </w:pPr>
            <w:r w:rsidRPr="00C033B1">
              <w:t>(b) for an additional period of more than 4 hours</w:t>
            </w:r>
          </w:p>
        </w:tc>
        <w:tc>
          <w:tcPr>
            <w:tcW w:w="2295" w:type="pct"/>
            <w:tcBorders>
              <w:top w:val="nil"/>
              <w:bottom w:val="single" w:sz="12" w:space="0" w:color="auto"/>
            </w:tcBorders>
            <w:shd w:val="clear" w:color="auto" w:fill="auto"/>
          </w:tcPr>
          <w:p w14:paraId="40410C28" w14:textId="77777777" w:rsidR="00F644AD" w:rsidRPr="00C033B1" w:rsidRDefault="00F644AD" w:rsidP="005833F4">
            <w:pPr>
              <w:pStyle w:val="Tabletext"/>
            </w:pPr>
            <w:r w:rsidRPr="00C033B1">
              <w:t>Double the amount mentioned for the day in another item</w:t>
            </w:r>
          </w:p>
        </w:tc>
      </w:tr>
    </w:tbl>
    <w:p w14:paraId="26C02704" w14:textId="77777777" w:rsidR="00F644AD" w:rsidRPr="00C033B1" w:rsidRDefault="00F644AD" w:rsidP="00F644AD">
      <w:pPr>
        <w:pStyle w:val="Tabletext"/>
      </w:pPr>
    </w:p>
    <w:p w14:paraId="34A59082" w14:textId="77777777" w:rsidR="00F644AD" w:rsidRPr="00C033B1" w:rsidRDefault="00F644AD" w:rsidP="00D524CB"/>
    <w:p w14:paraId="4EA58CB7" w14:textId="77777777" w:rsidR="00670EA1" w:rsidRPr="00C033B1" w:rsidRDefault="00670EA1" w:rsidP="00715914">
      <w:pPr>
        <w:sectPr w:rsidR="00670EA1" w:rsidRPr="00C033B1" w:rsidSect="00AB3172">
          <w:headerReference w:type="even" r:id="rId30"/>
          <w:headerReference w:type="default" r:id="rId31"/>
          <w:footerReference w:type="even" r:id="rId32"/>
          <w:footerReference w:type="default" r:id="rId33"/>
          <w:headerReference w:type="first" r:id="rId34"/>
          <w:pgSz w:w="11907" w:h="16839"/>
          <w:pgMar w:top="2233" w:right="1797" w:bottom="1440" w:left="1797" w:header="720" w:footer="709" w:gutter="0"/>
          <w:cols w:space="708"/>
          <w:docGrid w:linePitch="360"/>
        </w:sectPr>
      </w:pPr>
      <w:bookmarkStart w:id="59" w:name="f_Check_Lines_below"/>
      <w:bookmarkEnd w:id="59"/>
    </w:p>
    <w:p w14:paraId="401418E1" w14:textId="77777777" w:rsidR="00775E26" w:rsidRPr="00C033B1" w:rsidRDefault="005833F4" w:rsidP="007819D8">
      <w:pPr>
        <w:pStyle w:val="ActHead6"/>
        <w:pageBreakBefore/>
      </w:pPr>
      <w:bookmarkStart w:id="60" w:name="_Toc114044012"/>
      <w:r w:rsidRPr="00025E64">
        <w:rPr>
          <w:rStyle w:val="CharAmSchNo"/>
        </w:rPr>
        <w:t>Schedule 3</w:t>
      </w:r>
      <w:r w:rsidR="00775E26" w:rsidRPr="00C033B1">
        <w:t>—</w:t>
      </w:r>
      <w:r w:rsidR="00775E26" w:rsidRPr="00025E64">
        <w:rPr>
          <w:rStyle w:val="CharAmSchText"/>
        </w:rPr>
        <w:t>Repeals</w:t>
      </w:r>
      <w:bookmarkEnd w:id="60"/>
    </w:p>
    <w:p w14:paraId="5E0B45C1" w14:textId="77777777" w:rsidR="0002778F" w:rsidRPr="00025E64" w:rsidRDefault="0002778F" w:rsidP="0002778F">
      <w:pPr>
        <w:pStyle w:val="Header"/>
      </w:pPr>
      <w:r w:rsidRPr="00025E64">
        <w:rPr>
          <w:rStyle w:val="CharAmPartNo"/>
        </w:rPr>
        <w:t xml:space="preserve"> </w:t>
      </w:r>
      <w:r w:rsidRPr="00025E64">
        <w:rPr>
          <w:rStyle w:val="CharAmPartText"/>
        </w:rPr>
        <w:t xml:space="preserve"> </w:t>
      </w:r>
    </w:p>
    <w:p w14:paraId="717FEB08" w14:textId="77777777" w:rsidR="00775E26" w:rsidRPr="00C033B1" w:rsidRDefault="00775E26" w:rsidP="00775E26">
      <w:pPr>
        <w:pStyle w:val="ActHead9"/>
      </w:pPr>
      <w:bookmarkStart w:id="61" w:name="_Toc114044013"/>
      <w:r w:rsidRPr="00C033B1">
        <w:t xml:space="preserve">Federal Court and Federal Circuit and Family Court </w:t>
      </w:r>
      <w:r w:rsidR="00C033B1" w:rsidRPr="00C033B1">
        <w:t>Regulations 2</w:t>
      </w:r>
      <w:r w:rsidRPr="00C033B1">
        <w:t>012</w:t>
      </w:r>
      <w:bookmarkEnd w:id="61"/>
    </w:p>
    <w:p w14:paraId="53687DA7" w14:textId="77777777" w:rsidR="00775E26" w:rsidRPr="00C033B1" w:rsidRDefault="00775E26" w:rsidP="00775E26">
      <w:pPr>
        <w:pStyle w:val="ItemHead"/>
      </w:pPr>
      <w:r w:rsidRPr="00C033B1">
        <w:t>1  The whole of the instrument</w:t>
      </w:r>
    </w:p>
    <w:p w14:paraId="6AA9514C" w14:textId="77777777" w:rsidR="00775E26" w:rsidRPr="00C033B1" w:rsidRDefault="00775E26" w:rsidP="00775E26">
      <w:pPr>
        <w:pStyle w:val="Item"/>
      </w:pPr>
      <w:r w:rsidRPr="00C033B1">
        <w:t>Repeal the instrument.</w:t>
      </w:r>
    </w:p>
    <w:p w14:paraId="7CA0C472" w14:textId="77777777" w:rsidR="00775E26" w:rsidRPr="00C033B1" w:rsidRDefault="00775E26">
      <w:pPr>
        <w:pStyle w:val="Header"/>
      </w:pPr>
    </w:p>
    <w:p w14:paraId="3E9D4293" w14:textId="77777777" w:rsidR="00775E26" w:rsidRPr="00C033B1" w:rsidRDefault="00775E26">
      <w:pPr>
        <w:sectPr w:rsidR="00775E26" w:rsidRPr="00C033B1" w:rsidSect="00AB3172">
          <w:headerReference w:type="even" r:id="rId35"/>
          <w:headerReference w:type="default" r:id="rId36"/>
          <w:footerReference w:type="even" r:id="rId37"/>
          <w:footerReference w:type="default" r:id="rId38"/>
          <w:headerReference w:type="first" r:id="rId39"/>
          <w:footerReference w:type="first" r:id="rId40"/>
          <w:pgSz w:w="11907" w:h="16839" w:code="9"/>
          <w:pgMar w:top="2233" w:right="1797" w:bottom="1440" w:left="1797" w:header="720" w:footer="709" w:gutter="0"/>
          <w:cols w:space="720"/>
          <w:docGrid w:linePitch="299"/>
        </w:sectPr>
      </w:pPr>
    </w:p>
    <w:p w14:paraId="320FD04E" w14:textId="77777777" w:rsidR="00775E26" w:rsidRPr="00C033B1" w:rsidRDefault="00775E26"/>
    <w:sectPr w:rsidR="00775E26" w:rsidRPr="00C033B1" w:rsidSect="00AB3172">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159C" w14:textId="77777777" w:rsidR="009A4F5F" w:rsidRDefault="009A4F5F" w:rsidP="00715914">
      <w:pPr>
        <w:spacing w:line="240" w:lineRule="auto"/>
      </w:pPr>
      <w:r>
        <w:separator/>
      </w:r>
    </w:p>
  </w:endnote>
  <w:endnote w:type="continuationSeparator" w:id="0">
    <w:p w14:paraId="608D0484" w14:textId="77777777" w:rsidR="009A4F5F" w:rsidRDefault="009A4F5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7530" w14:textId="77777777" w:rsidR="00025E64" w:rsidRPr="00AB3172" w:rsidRDefault="00AB3172" w:rsidP="00AB3172">
    <w:pPr>
      <w:pStyle w:val="Footer"/>
      <w:rPr>
        <w:i/>
        <w:sz w:val="18"/>
      </w:rPr>
    </w:pPr>
    <w:r w:rsidRPr="00AB3172">
      <w:rPr>
        <w:i/>
        <w:sz w:val="18"/>
      </w:rPr>
      <w:t>OPC65978 -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DB65" w14:textId="77777777" w:rsidR="00253F0A" w:rsidRPr="00E33C1C" w:rsidRDefault="00253F0A" w:rsidP="00775E2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253F0A" w14:paraId="79CE707B" w14:textId="77777777" w:rsidTr="000A6F11">
      <w:tc>
        <w:tcPr>
          <w:tcW w:w="816" w:type="pct"/>
          <w:tcBorders>
            <w:top w:val="nil"/>
            <w:left w:val="nil"/>
            <w:bottom w:val="nil"/>
            <w:right w:val="nil"/>
          </w:tcBorders>
        </w:tcPr>
        <w:p w14:paraId="55FCA754" w14:textId="77777777" w:rsidR="00253F0A" w:rsidRDefault="00253F0A" w:rsidP="00B22585">
          <w:pPr>
            <w:spacing w:line="0" w:lineRule="atLeast"/>
            <w:rPr>
              <w:sz w:val="18"/>
            </w:rPr>
          </w:pPr>
        </w:p>
      </w:tc>
      <w:tc>
        <w:tcPr>
          <w:tcW w:w="3765" w:type="pct"/>
          <w:tcBorders>
            <w:top w:val="nil"/>
            <w:left w:val="nil"/>
            <w:bottom w:val="nil"/>
            <w:right w:val="nil"/>
          </w:tcBorders>
        </w:tcPr>
        <w:p w14:paraId="58AC2219" w14:textId="0FEF6F75" w:rsidR="00253F0A" w:rsidRDefault="00253F0A" w:rsidP="00B22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9" w:type="pct"/>
          <w:tcBorders>
            <w:top w:val="nil"/>
            <w:left w:val="nil"/>
            <w:bottom w:val="nil"/>
            <w:right w:val="nil"/>
          </w:tcBorders>
        </w:tcPr>
        <w:p w14:paraId="5EA4F817" w14:textId="77777777" w:rsidR="00253F0A" w:rsidRDefault="00253F0A" w:rsidP="00B22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BE0E9F" w14:textId="77777777" w:rsidR="00253F0A" w:rsidRPr="00AB3172" w:rsidRDefault="00AB3172" w:rsidP="00AB3172">
    <w:pPr>
      <w:rPr>
        <w:rFonts w:cs="Times New Roman"/>
        <w:i/>
        <w:sz w:val="18"/>
      </w:rPr>
    </w:pPr>
    <w:r w:rsidRPr="00AB3172">
      <w:rPr>
        <w:rFonts w:cs="Times New Roman"/>
        <w:i/>
        <w:sz w:val="18"/>
      </w:rPr>
      <w:t>OPC65978 -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FAD9" w14:textId="77777777" w:rsidR="00253F0A" w:rsidRPr="00D90ABA" w:rsidRDefault="00253F0A" w:rsidP="00775E2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53F0A" w14:paraId="47E5162B" w14:textId="77777777" w:rsidTr="00775E26">
      <w:tc>
        <w:tcPr>
          <w:tcW w:w="365" w:type="pct"/>
        </w:tcPr>
        <w:p w14:paraId="1DFD15C6" w14:textId="77777777" w:rsidR="00253F0A" w:rsidRDefault="00253F0A" w:rsidP="004F5C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391696" w14:textId="3C41BA8F" w:rsidR="00253F0A" w:rsidRDefault="00253F0A" w:rsidP="004F5C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947" w:type="pct"/>
        </w:tcPr>
        <w:p w14:paraId="5624412C" w14:textId="77777777" w:rsidR="00253F0A" w:rsidRDefault="00253F0A" w:rsidP="004F5CE5">
          <w:pPr>
            <w:spacing w:line="0" w:lineRule="atLeast"/>
            <w:jc w:val="right"/>
            <w:rPr>
              <w:sz w:val="18"/>
            </w:rPr>
          </w:pPr>
        </w:p>
      </w:tc>
    </w:tr>
  </w:tbl>
  <w:p w14:paraId="3A9039A7" w14:textId="77777777" w:rsidR="00253F0A" w:rsidRPr="00AB3172" w:rsidRDefault="00AB3172" w:rsidP="00AB3172">
    <w:pPr>
      <w:rPr>
        <w:rFonts w:cs="Times New Roman"/>
        <w:i/>
        <w:sz w:val="18"/>
      </w:rPr>
    </w:pPr>
    <w:r w:rsidRPr="00AB3172">
      <w:rPr>
        <w:rFonts w:cs="Times New Roman"/>
        <w:i/>
        <w:sz w:val="18"/>
      </w:rPr>
      <w:t>OPC65978 -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1198" w14:textId="77777777" w:rsidR="00253F0A" w:rsidRPr="00D90ABA" w:rsidRDefault="00253F0A" w:rsidP="00775E2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253F0A" w14:paraId="5FCDB42E" w14:textId="77777777" w:rsidTr="00775E26">
      <w:tc>
        <w:tcPr>
          <w:tcW w:w="942" w:type="pct"/>
        </w:tcPr>
        <w:p w14:paraId="10BEC020" w14:textId="77777777" w:rsidR="00253F0A" w:rsidRDefault="00253F0A" w:rsidP="004F5CE5">
          <w:pPr>
            <w:spacing w:line="0" w:lineRule="atLeast"/>
            <w:rPr>
              <w:sz w:val="18"/>
            </w:rPr>
          </w:pPr>
        </w:p>
      </w:tc>
      <w:tc>
        <w:tcPr>
          <w:tcW w:w="3671" w:type="pct"/>
        </w:tcPr>
        <w:p w14:paraId="00DD3F2E" w14:textId="2849D53D" w:rsidR="00253F0A" w:rsidRDefault="00253F0A" w:rsidP="004F5C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387" w:type="pct"/>
        </w:tcPr>
        <w:p w14:paraId="42CD79FD" w14:textId="77777777" w:rsidR="00253F0A" w:rsidRDefault="00253F0A" w:rsidP="004F5C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18622C6" w14:textId="77777777" w:rsidR="00253F0A" w:rsidRPr="00AB3172" w:rsidRDefault="00AB3172" w:rsidP="00AB3172">
    <w:pPr>
      <w:rPr>
        <w:rFonts w:cs="Times New Roman"/>
        <w:i/>
        <w:sz w:val="18"/>
      </w:rPr>
    </w:pPr>
    <w:r w:rsidRPr="00AB3172">
      <w:rPr>
        <w:rFonts w:cs="Times New Roman"/>
        <w:i/>
        <w:sz w:val="18"/>
      </w:rPr>
      <w:t>OPC65978 -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2ED0" w14:textId="77777777" w:rsidR="00253F0A" w:rsidRPr="00E33C1C" w:rsidRDefault="00253F0A" w:rsidP="00775E26">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253F0A" w14:paraId="5E0A38D9" w14:textId="77777777" w:rsidTr="000A6F11">
      <w:tc>
        <w:tcPr>
          <w:tcW w:w="817" w:type="pct"/>
          <w:tcBorders>
            <w:top w:val="nil"/>
            <w:left w:val="nil"/>
            <w:bottom w:val="nil"/>
            <w:right w:val="nil"/>
          </w:tcBorders>
        </w:tcPr>
        <w:p w14:paraId="1D3E968A" w14:textId="77777777" w:rsidR="00253F0A" w:rsidRDefault="00253F0A" w:rsidP="00775E26">
          <w:pPr>
            <w:spacing w:line="0" w:lineRule="atLeast"/>
            <w:rPr>
              <w:sz w:val="18"/>
            </w:rPr>
          </w:pPr>
        </w:p>
      </w:tc>
      <w:tc>
        <w:tcPr>
          <w:tcW w:w="3765" w:type="pct"/>
          <w:tcBorders>
            <w:top w:val="nil"/>
            <w:left w:val="nil"/>
            <w:bottom w:val="nil"/>
            <w:right w:val="nil"/>
          </w:tcBorders>
        </w:tcPr>
        <w:p w14:paraId="0521EFB9" w14:textId="42C10E26" w:rsidR="00253F0A" w:rsidRDefault="00253F0A" w:rsidP="00775E2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8" w:type="pct"/>
          <w:tcBorders>
            <w:top w:val="nil"/>
            <w:left w:val="nil"/>
            <w:bottom w:val="nil"/>
            <w:right w:val="nil"/>
          </w:tcBorders>
        </w:tcPr>
        <w:p w14:paraId="01F6398B" w14:textId="77777777" w:rsidR="00253F0A" w:rsidRDefault="00253F0A" w:rsidP="00775E2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933D53E" w14:textId="77777777" w:rsidR="00253F0A" w:rsidRPr="00ED79B6" w:rsidRDefault="00253F0A" w:rsidP="00775E26">
    <w:pPr>
      <w:rPr>
        <w:i/>
        <w:sz w:val="18"/>
      </w:rPr>
    </w:pPr>
  </w:p>
  <w:p w14:paraId="64889864" w14:textId="77777777" w:rsidR="00253F0A" w:rsidRPr="00AB3172" w:rsidRDefault="00AB3172" w:rsidP="00AB3172">
    <w:pPr>
      <w:pStyle w:val="Footer"/>
      <w:rPr>
        <w:i/>
        <w:sz w:val="18"/>
      </w:rPr>
    </w:pPr>
    <w:r w:rsidRPr="00AB3172">
      <w:rPr>
        <w:i/>
        <w:sz w:val="18"/>
      </w:rPr>
      <w:t>OPC65978 -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B811" w14:textId="77777777" w:rsidR="00253F0A" w:rsidRPr="00E33C1C" w:rsidRDefault="00253F0A" w:rsidP="00775E26">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253F0A" w14:paraId="7EB15353" w14:textId="77777777" w:rsidTr="000A6F11">
      <w:tc>
        <w:tcPr>
          <w:tcW w:w="418" w:type="pct"/>
          <w:tcBorders>
            <w:top w:val="nil"/>
            <w:left w:val="nil"/>
            <w:bottom w:val="nil"/>
            <w:right w:val="nil"/>
          </w:tcBorders>
        </w:tcPr>
        <w:p w14:paraId="134959CC" w14:textId="77777777" w:rsidR="00253F0A" w:rsidRDefault="00253F0A" w:rsidP="00B225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0006A933" w14:textId="689031FC" w:rsidR="00253F0A" w:rsidRDefault="00253F0A" w:rsidP="00B22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817" w:type="pct"/>
          <w:tcBorders>
            <w:top w:val="nil"/>
            <w:left w:val="nil"/>
            <w:bottom w:val="nil"/>
            <w:right w:val="nil"/>
          </w:tcBorders>
        </w:tcPr>
        <w:p w14:paraId="1A95C4F3" w14:textId="77777777" w:rsidR="00253F0A" w:rsidRDefault="00253F0A" w:rsidP="00B22585">
          <w:pPr>
            <w:spacing w:line="0" w:lineRule="atLeast"/>
            <w:jc w:val="right"/>
            <w:rPr>
              <w:sz w:val="18"/>
            </w:rPr>
          </w:pPr>
        </w:p>
      </w:tc>
    </w:tr>
  </w:tbl>
  <w:p w14:paraId="73D695B9" w14:textId="77777777" w:rsidR="00253F0A" w:rsidRPr="00AB3172" w:rsidRDefault="00AB3172" w:rsidP="00AB3172">
    <w:pPr>
      <w:rPr>
        <w:rFonts w:cs="Times New Roman"/>
        <w:i/>
        <w:sz w:val="18"/>
      </w:rPr>
    </w:pPr>
    <w:r w:rsidRPr="00AB3172">
      <w:rPr>
        <w:rFonts w:cs="Times New Roman"/>
        <w:i/>
        <w:sz w:val="18"/>
      </w:rPr>
      <w:t>OPC65978 -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1B0E" w14:textId="77777777" w:rsidR="00253F0A" w:rsidRPr="00E33C1C" w:rsidRDefault="00253F0A" w:rsidP="00775E26">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253F0A" w14:paraId="4D59393A" w14:textId="77777777" w:rsidTr="000A6F11">
      <w:tc>
        <w:tcPr>
          <w:tcW w:w="817" w:type="pct"/>
          <w:tcBorders>
            <w:top w:val="nil"/>
            <w:left w:val="nil"/>
            <w:bottom w:val="nil"/>
            <w:right w:val="nil"/>
          </w:tcBorders>
        </w:tcPr>
        <w:p w14:paraId="5CE09125" w14:textId="77777777" w:rsidR="00253F0A" w:rsidRDefault="00253F0A" w:rsidP="00B22585">
          <w:pPr>
            <w:spacing w:line="0" w:lineRule="atLeast"/>
            <w:rPr>
              <w:sz w:val="18"/>
            </w:rPr>
          </w:pPr>
        </w:p>
      </w:tc>
      <w:tc>
        <w:tcPr>
          <w:tcW w:w="3765" w:type="pct"/>
          <w:tcBorders>
            <w:top w:val="nil"/>
            <w:left w:val="nil"/>
            <w:bottom w:val="nil"/>
            <w:right w:val="nil"/>
          </w:tcBorders>
        </w:tcPr>
        <w:p w14:paraId="2E2D26F6" w14:textId="202F7B99" w:rsidR="00253F0A" w:rsidRDefault="00253F0A" w:rsidP="00B22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8" w:type="pct"/>
          <w:tcBorders>
            <w:top w:val="nil"/>
            <w:left w:val="nil"/>
            <w:bottom w:val="nil"/>
            <w:right w:val="nil"/>
          </w:tcBorders>
        </w:tcPr>
        <w:p w14:paraId="153C8223" w14:textId="77777777" w:rsidR="00253F0A" w:rsidRDefault="00253F0A" w:rsidP="00B22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2F54EF8" w14:textId="77777777" w:rsidR="00253F0A" w:rsidRPr="00AB3172" w:rsidRDefault="00AB3172" w:rsidP="00AB3172">
    <w:pPr>
      <w:rPr>
        <w:rFonts w:cs="Times New Roman"/>
        <w:i/>
        <w:sz w:val="18"/>
      </w:rPr>
    </w:pPr>
    <w:r w:rsidRPr="00AB3172">
      <w:rPr>
        <w:rFonts w:cs="Times New Roman"/>
        <w:i/>
        <w:sz w:val="18"/>
      </w:rPr>
      <w:t>OPC65978 - 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BE22" w14:textId="77777777" w:rsidR="00253F0A" w:rsidRPr="00E33C1C" w:rsidRDefault="00253F0A"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253F0A" w14:paraId="407C6A37" w14:textId="77777777" w:rsidTr="000A6F11">
      <w:tc>
        <w:tcPr>
          <w:tcW w:w="817" w:type="pct"/>
          <w:tcBorders>
            <w:top w:val="nil"/>
            <w:left w:val="nil"/>
            <w:bottom w:val="nil"/>
            <w:right w:val="nil"/>
          </w:tcBorders>
        </w:tcPr>
        <w:p w14:paraId="5A51D3D9" w14:textId="77777777" w:rsidR="00253F0A" w:rsidRDefault="00253F0A" w:rsidP="00B22585">
          <w:pPr>
            <w:spacing w:line="0" w:lineRule="atLeast"/>
            <w:rPr>
              <w:sz w:val="18"/>
            </w:rPr>
          </w:pPr>
        </w:p>
      </w:tc>
      <w:tc>
        <w:tcPr>
          <w:tcW w:w="3765" w:type="pct"/>
          <w:tcBorders>
            <w:top w:val="nil"/>
            <w:left w:val="nil"/>
            <w:bottom w:val="nil"/>
            <w:right w:val="nil"/>
          </w:tcBorders>
        </w:tcPr>
        <w:p w14:paraId="10392033" w14:textId="5D4CEF75" w:rsidR="00253F0A" w:rsidRDefault="00253F0A" w:rsidP="00B22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8" w:type="pct"/>
          <w:tcBorders>
            <w:top w:val="nil"/>
            <w:left w:val="nil"/>
            <w:bottom w:val="nil"/>
            <w:right w:val="nil"/>
          </w:tcBorders>
        </w:tcPr>
        <w:p w14:paraId="7A94FB5F" w14:textId="77777777" w:rsidR="00253F0A" w:rsidRDefault="00253F0A" w:rsidP="00B22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0039FD1" w14:textId="77777777" w:rsidR="00253F0A" w:rsidRPr="00AB3172" w:rsidRDefault="00AB3172" w:rsidP="00AB3172">
    <w:pPr>
      <w:rPr>
        <w:rFonts w:cs="Times New Roman"/>
        <w:i/>
        <w:sz w:val="18"/>
      </w:rPr>
    </w:pPr>
    <w:r w:rsidRPr="00AB3172">
      <w:rPr>
        <w:rFonts w:cs="Times New Roman"/>
        <w:i/>
        <w:sz w:val="18"/>
      </w:rPr>
      <w:t>OPC65978 -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9E06" w14:textId="77777777" w:rsidR="00253F0A" w:rsidRDefault="00253F0A" w:rsidP="00775E26">
    <w:pPr>
      <w:pStyle w:val="Footer"/>
      <w:spacing w:before="120"/>
    </w:pPr>
  </w:p>
  <w:p w14:paraId="5A1D3C59" w14:textId="77777777" w:rsidR="00253F0A" w:rsidRPr="00AB3172" w:rsidRDefault="00AB3172" w:rsidP="00AB3172">
    <w:pPr>
      <w:pStyle w:val="Footer"/>
      <w:rPr>
        <w:i/>
        <w:sz w:val="18"/>
      </w:rPr>
    </w:pPr>
    <w:r w:rsidRPr="00AB3172">
      <w:rPr>
        <w:i/>
        <w:sz w:val="18"/>
      </w:rPr>
      <w:t>OPC65978 -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FE4" w14:textId="77777777" w:rsidR="007819D8" w:rsidRPr="00E33C1C" w:rsidRDefault="007819D8" w:rsidP="007819D8">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7819D8" w14:paraId="6E96140F" w14:textId="77777777" w:rsidTr="004F6EDA">
      <w:tc>
        <w:tcPr>
          <w:tcW w:w="817" w:type="pct"/>
          <w:tcBorders>
            <w:top w:val="nil"/>
            <w:left w:val="nil"/>
            <w:bottom w:val="nil"/>
            <w:right w:val="nil"/>
          </w:tcBorders>
        </w:tcPr>
        <w:p w14:paraId="15B9757F" w14:textId="77777777" w:rsidR="007819D8" w:rsidRDefault="007819D8" w:rsidP="007819D8">
          <w:pPr>
            <w:spacing w:line="0" w:lineRule="atLeast"/>
            <w:rPr>
              <w:sz w:val="18"/>
            </w:rPr>
          </w:pPr>
        </w:p>
      </w:tc>
      <w:tc>
        <w:tcPr>
          <w:tcW w:w="3765" w:type="pct"/>
          <w:tcBorders>
            <w:top w:val="nil"/>
            <w:left w:val="nil"/>
            <w:bottom w:val="nil"/>
            <w:right w:val="nil"/>
          </w:tcBorders>
        </w:tcPr>
        <w:p w14:paraId="06DD508C" w14:textId="0CD75488" w:rsidR="007819D8" w:rsidRDefault="007819D8" w:rsidP="007819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8" w:type="pct"/>
          <w:tcBorders>
            <w:top w:val="nil"/>
            <w:left w:val="nil"/>
            <w:bottom w:val="nil"/>
            <w:right w:val="nil"/>
          </w:tcBorders>
        </w:tcPr>
        <w:p w14:paraId="7367C24E" w14:textId="77777777" w:rsidR="007819D8" w:rsidRDefault="007819D8" w:rsidP="007819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E8C68AE" w14:textId="77777777" w:rsidR="007819D8" w:rsidRPr="00ED79B6" w:rsidRDefault="007819D8" w:rsidP="007819D8">
    <w:pPr>
      <w:rPr>
        <w:i/>
        <w:sz w:val="18"/>
      </w:rPr>
    </w:pPr>
  </w:p>
  <w:p w14:paraId="3B989DF9" w14:textId="77777777" w:rsidR="00253F0A" w:rsidRPr="00AB3172" w:rsidRDefault="00AB3172" w:rsidP="00AB3172">
    <w:pPr>
      <w:pStyle w:val="Footer"/>
      <w:rPr>
        <w:i/>
        <w:sz w:val="18"/>
      </w:rPr>
    </w:pPr>
    <w:r w:rsidRPr="00AB3172">
      <w:rPr>
        <w:i/>
        <w:sz w:val="18"/>
      </w:rPr>
      <w:t>OPC65978 -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16F1" w14:textId="77777777" w:rsidR="007819D8" w:rsidRPr="00E33C1C" w:rsidRDefault="007819D8" w:rsidP="007819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19D8" w14:paraId="665E1E8D" w14:textId="77777777" w:rsidTr="00911F17">
      <w:tc>
        <w:tcPr>
          <w:tcW w:w="709" w:type="dxa"/>
          <w:tcBorders>
            <w:top w:val="nil"/>
            <w:left w:val="nil"/>
            <w:bottom w:val="nil"/>
            <w:right w:val="nil"/>
          </w:tcBorders>
        </w:tcPr>
        <w:p w14:paraId="29F9FE3C" w14:textId="77777777" w:rsidR="007819D8" w:rsidRDefault="007819D8" w:rsidP="006971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69AFFBD" w14:textId="1BA14C5C" w:rsidR="007819D8" w:rsidRDefault="007819D8"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1384" w:type="dxa"/>
          <w:tcBorders>
            <w:top w:val="nil"/>
            <w:left w:val="nil"/>
            <w:bottom w:val="nil"/>
            <w:right w:val="nil"/>
          </w:tcBorders>
        </w:tcPr>
        <w:p w14:paraId="3351DB7D" w14:textId="77777777" w:rsidR="007819D8" w:rsidRDefault="007819D8" w:rsidP="00697104">
          <w:pPr>
            <w:spacing w:line="0" w:lineRule="atLeast"/>
            <w:jc w:val="right"/>
            <w:rPr>
              <w:sz w:val="18"/>
            </w:rPr>
          </w:pPr>
        </w:p>
      </w:tc>
    </w:tr>
  </w:tbl>
  <w:p w14:paraId="43C706C0" w14:textId="77777777" w:rsidR="007819D8" w:rsidRPr="00AB3172" w:rsidRDefault="00AB3172" w:rsidP="00AB3172">
    <w:pPr>
      <w:rPr>
        <w:rFonts w:cs="Times New Roman"/>
        <w:i/>
        <w:sz w:val="18"/>
      </w:rPr>
    </w:pPr>
    <w:r w:rsidRPr="00AB3172">
      <w:rPr>
        <w:rFonts w:cs="Times New Roman"/>
        <w:i/>
        <w:sz w:val="18"/>
      </w:rPr>
      <w:t>OPC65978 -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2171" w14:textId="77777777" w:rsidR="007819D8" w:rsidRPr="00E33C1C" w:rsidRDefault="007819D8" w:rsidP="007819D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19D8" w14:paraId="64319080" w14:textId="77777777" w:rsidTr="00697104">
      <w:tc>
        <w:tcPr>
          <w:tcW w:w="1383" w:type="dxa"/>
          <w:tcBorders>
            <w:top w:val="nil"/>
            <w:left w:val="nil"/>
            <w:bottom w:val="nil"/>
            <w:right w:val="nil"/>
          </w:tcBorders>
        </w:tcPr>
        <w:p w14:paraId="4405B6E7" w14:textId="77777777" w:rsidR="007819D8" w:rsidRDefault="007819D8" w:rsidP="00697104">
          <w:pPr>
            <w:spacing w:line="0" w:lineRule="atLeast"/>
            <w:rPr>
              <w:sz w:val="18"/>
            </w:rPr>
          </w:pPr>
        </w:p>
      </w:tc>
      <w:tc>
        <w:tcPr>
          <w:tcW w:w="6380" w:type="dxa"/>
          <w:tcBorders>
            <w:top w:val="nil"/>
            <w:left w:val="nil"/>
            <w:bottom w:val="nil"/>
            <w:right w:val="nil"/>
          </w:tcBorders>
        </w:tcPr>
        <w:p w14:paraId="2A46A75E" w14:textId="5E333300" w:rsidR="007819D8" w:rsidRDefault="007819D8"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709" w:type="dxa"/>
          <w:tcBorders>
            <w:top w:val="nil"/>
            <w:left w:val="nil"/>
            <w:bottom w:val="nil"/>
            <w:right w:val="nil"/>
          </w:tcBorders>
        </w:tcPr>
        <w:p w14:paraId="738F86C1" w14:textId="77777777" w:rsidR="007819D8" w:rsidRDefault="007819D8" w:rsidP="006971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C81580A" w14:textId="77777777" w:rsidR="007819D8" w:rsidRPr="00AB3172" w:rsidRDefault="00AB3172" w:rsidP="00AB3172">
    <w:pPr>
      <w:rPr>
        <w:rFonts w:cs="Times New Roman"/>
        <w:i/>
        <w:sz w:val="18"/>
      </w:rPr>
    </w:pPr>
    <w:r w:rsidRPr="00AB3172">
      <w:rPr>
        <w:rFonts w:cs="Times New Roman"/>
        <w:i/>
        <w:sz w:val="18"/>
      </w:rPr>
      <w:t>OPC65978 -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5363" w14:textId="77777777" w:rsidR="007819D8" w:rsidRPr="00FF448D" w:rsidRDefault="007819D8" w:rsidP="007819D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19D8" w14:paraId="5264EFF2" w14:textId="77777777" w:rsidTr="00911F17">
      <w:tc>
        <w:tcPr>
          <w:tcW w:w="709" w:type="dxa"/>
          <w:tcBorders>
            <w:top w:val="nil"/>
            <w:left w:val="nil"/>
            <w:bottom w:val="nil"/>
            <w:right w:val="nil"/>
          </w:tcBorders>
        </w:tcPr>
        <w:p w14:paraId="711CAE57" w14:textId="77777777" w:rsidR="007819D8" w:rsidRDefault="007819D8"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4593457" w14:textId="7372016F" w:rsidR="007819D8" w:rsidRDefault="007819D8"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1384" w:type="dxa"/>
          <w:tcBorders>
            <w:top w:val="nil"/>
            <w:left w:val="nil"/>
            <w:bottom w:val="nil"/>
            <w:right w:val="nil"/>
          </w:tcBorders>
        </w:tcPr>
        <w:p w14:paraId="1D39EDCF" w14:textId="77777777" w:rsidR="007819D8" w:rsidRDefault="007819D8" w:rsidP="004A1E86">
          <w:pPr>
            <w:spacing w:line="0" w:lineRule="atLeast"/>
            <w:jc w:val="right"/>
            <w:rPr>
              <w:sz w:val="18"/>
            </w:rPr>
          </w:pPr>
        </w:p>
      </w:tc>
    </w:tr>
  </w:tbl>
  <w:p w14:paraId="0555F747" w14:textId="77777777" w:rsidR="007819D8" w:rsidRPr="00AB3172" w:rsidRDefault="00AB3172" w:rsidP="00AB3172">
    <w:pPr>
      <w:rPr>
        <w:rFonts w:cs="Times New Roman"/>
        <w:i/>
        <w:sz w:val="18"/>
      </w:rPr>
    </w:pPr>
    <w:r w:rsidRPr="00AB3172">
      <w:rPr>
        <w:rFonts w:cs="Times New Roman"/>
        <w:i/>
        <w:sz w:val="18"/>
      </w:rPr>
      <w:t>OPC65978 -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0DE5" w14:textId="77777777" w:rsidR="007819D8" w:rsidRPr="00D1021D" w:rsidRDefault="007819D8" w:rsidP="007819D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19D8" w14:paraId="3926A888" w14:textId="77777777" w:rsidTr="004A1E86">
      <w:tc>
        <w:tcPr>
          <w:tcW w:w="1384" w:type="dxa"/>
          <w:tcBorders>
            <w:top w:val="nil"/>
            <w:left w:val="nil"/>
            <w:bottom w:val="nil"/>
            <w:right w:val="nil"/>
          </w:tcBorders>
        </w:tcPr>
        <w:p w14:paraId="2EF3F903" w14:textId="77777777" w:rsidR="007819D8" w:rsidRDefault="007819D8" w:rsidP="004A1E86">
          <w:pPr>
            <w:spacing w:line="0" w:lineRule="atLeast"/>
            <w:rPr>
              <w:sz w:val="18"/>
            </w:rPr>
          </w:pPr>
        </w:p>
      </w:tc>
      <w:tc>
        <w:tcPr>
          <w:tcW w:w="6379" w:type="dxa"/>
          <w:tcBorders>
            <w:top w:val="nil"/>
            <w:left w:val="nil"/>
            <w:bottom w:val="nil"/>
            <w:right w:val="nil"/>
          </w:tcBorders>
        </w:tcPr>
        <w:p w14:paraId="60A4B45D" w14:textId="675393A4" w:rsidR="007819D8" w:rsidRDefault="007819D8"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709" w:type="dxa"/>
          <w:tcBorders>
            <w:top w:val="nil"/>
            <w:left w:val="nil"/>
            <w:bottom w:val="nil"/>
            <w:right w:val="nil"/>
          </w:tcBorders>
        </w:tcPr>
        <w:p w14:paraId="29A8508B" w14:textId="77777777" w:rsidR="007819D8" w:rsidRDefault="007819D8"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B1C408D" w14:textId="77777777" w:rsidR="007819D8" w:rsidRPr="00AB3172" w:rsidRDefault="00AB3172" w:rsidP="00AB3172">
    <w:pPr>
      <w:rPr>
        <w:rFonts w:cs="Times New Roman"/>
        <w:i/>
        <w:sz w:val="18"/>
      </w:rPr>
    </w:pPr>
    <w:r w:rsidRPr="00AB3172">
      <w:rPr>
        <w:rFonts w:cs="Times New Roman"/>
        <w:i/>
        <w:sz w:val="18"/>
      </w:rPr>
      <w:t>OPC65978 -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44DA" w14:textId="77777777" w:rsidR="007819D8" w:rsidRPr="00E33C1C" w:rsidRDefault="007819D8" w:rsidP="007819D8">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7819D8" w14:paraId="6864E652" w14:textId="77777777" w:rsidTr="004F6EDA">
      <w:tc>
        <w:tcPr>
          <w:tcW w:w="817" w:type="pct"/>
          <w:tcBorders>
            <w:top w:val="nil"/>
            <w:left w:val="nil"/>
            <w:bottom w:val="nil"/>
            <w:right w:val="nil"/>
          </w:tcBorders>
        </w:tcPr>
        <w:p w14:paraId="3D5911B3" w14:textId="77777777" w:rsidR="007819D8" w:rsidRDefault="007819D8" w:rsidP="007819D8">
          <w:pPr>
            <w:spacing w:line="0" w:lineRule="atLeast"/>
            <w:rPr>
              <w:sz w:val="18"/>
            </w:rPr>
          </w:pPr>
        </w:p>
      </w:tc>
      <w:tc>
        <w:tcPr>
          <w:tcW w:w="3765" w:type="pct"/>
          <w:tcBorders>
            <w:top w:val="nil"/>
            <w:left w:val="nil"/>
            <w:bottom w:val="nil"/>
            <w:right w:val="nil"/>
          </w:tcBorders>
        </w:tcPr>
        <w:p w14:paraId="1D08C3D7" w14:textId="0C16645A" w:rsidR="007819D8" w:rsidRDefault="007819D8" w:rsidP="007819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418" w:type="pct"/>
          <w:tcBorders>
            <w:top w:val="nil"/>
            <w:left w:val="nil"/>
            <w:bottom w:val="nil"/>
            <w:right w:val="nil"/>
          </w:tcBorders>
        </w:tcPr>
        <w:p w14:paraId="744DD157" w14:textId="77777777" w:rsidR="007819D8" w:rsidRDefault="007819D8" w:rsidP="007819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1E4D167" w14:textId="77777777" w:rsidR="007819D8" w:rsidRPr="00ED79B6" w:rsidRDefault="007819D8" w:rsidP="007819D8">
    <w:pPr>
      <w:rPr>
        <w:i/>
        <w:sz w:val="18"/>
      </w:rPr>
    </w:pPr>
  </w:p>
  <w:p w14:paraId="42420853" w14:textId="77777777" w:rsidR="007819D8" w:rsidRPr="00AB3172" w:rsidRDefault="00AB3172" w:rsidP="00AB3172">
    <w:pPr>
      <w:pStyle w:val="Footer"/>
      <w:rPr>
        <w:i/>
        <w:sz w:val="18"/>
      </w:rPr>
    </w:pPr>
    <w:r w:rsidRPr="00AB3172">
      <w:rPr>
        <w:i/>
        <w:sz w:val="18"/>
      </w:rPr>
      <w:t>OPC65978 -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BEFC" w14:textId="77777777" w:rsidR="00253F0A" w:rsidRPr="00E33C1C" w:rsidRDefault="00253F0A" w:rsidP="00775E2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253F0A" w14:paraId="42322FED" w14:textId="77777777" w:rsidTr="00775E26">
      <w:tc>
        <w:tcPr>
          <w:tcW w:w="418" w:type="pct"/>
          <w:tcBorders>
            <w:top w:val="nil"/>
            <w:left w:val="nil"/>
            <w:bottom w:val="nil"/>
            <w:right w:val="nil"/>
          </w:tcBorders>
        </w:tcPr>
        <w:p w14:paraId="7EC08436" w14:textId="77777777" w:rsidR="00253F0A" w:rsidRDefault="00253F0A" w:rsidP="00B225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3A9D1470" w14:textId="2663BA35" w:rsidR="00253F0A" w:rsidRDefault="00253F0A" w:rsidP="00B22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3CC8">
            <w:rPr>
              <w:i/>
              <w:sz w:val="18"/>
            </w:rPr>
            <w:t>Federal Court and Federal Circuit and Family Court Regulations 2022</w:t>
          </w:r>
          <w:r w:rsidRPr="007A1328">
            <w:rPr>
              <w:i/>
              <w:sz w:val="18"/>
            </w:rPr>
            <w:fldChar w:fldCharType="end"/>
          </w:r>
        </w:p>
      </w:tc>
      <w:tc>
        <w:tcPr>
          <w:tcW w:w="817" w:type="pct"/>
          <w:tcBorders>
            <w:top w:val="nil"/>
            <w:left w:val="nil"/>
            <w:bottom w:val="nil"/>
            <w:right w:val="nil"/>
          </w:tcBorders>
        </w:tcPr>
        <w:p w14:paraId="3725DA3D" w14:textId="77777777" w:rsidR="00253F0A" w:rsidRDefault="00253F0A" w:rsidP="00B22585">
          <w:pPr>
            <w:spacing w:line="0" w:lineRule="atLeast"/>
            <w:jc w:val="right"/>
            <w:rPr>
              <w:sz w:val="18"/>
            </w:rPr>
          </w:pPr>
        </w:p>
      </w:tc>
    </w:tr>
  </w:tbl>
  <w:p w14:paraId="1A6561CE" w14:textId="77777777" w:rsidR="00253F0A" w:rsidRPr="00AB3172" w:rsidRDefault="00AB3172" w:rsidP="00AB3172">
    <w:pPr>
      <w:rPr>
        <w:rFonts w:cs="Times New Roman"/>
        <w:i/>
        <w:sz w:val="18"/>
      </w:rPr>
    </w:pPr>
    <w:r w:rsidRPr="00AB3172">
      <w:rPr>
        <w:rFonts w:cs="Times New Roman"/>
        <w:i/>
        <w:sz w:val="18"/>
      </w:rPr>
      <w:t>OPC65978 -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973C" w14:textId="77777777" w:rsidR="009A4F5F" w:rsidRDefault="009A4F5F" w:rsidP="00715914">
      <w:pPr>
        <w:spacing w:line="240" w:lineRule="auto"/>
      </w:pPr>
      <w:r>
        <w:separator/>
      </w:r>
    </w:p>
  </w:footnote>
  <w:footnote w:type="continuationSeparator" w:id="0">
    <w:p w14:paraId="0919BA38" w14:textId="77777777" w:rsidR="009A4F5F" w:rsidRDefault="009A4F5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C491" w14:textId="77777777" w:rsidR="00253F0A" w:rsidRPr="005F1388" w:rsidRDefault="00253F0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68B8" w14:textId="3A627C24" w:rsidR="00253F0A" w:rsidRDefault="00253F0A" w:rsidP="00B2258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F3E1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F3E12">
      <w:rPr>
        <w:noProof/>
        <w:sz w:val="20"/>
      </w:rPr>
      <w:t>Fees</w:t>
    </w:r>
    <w:r>
      <w:rPr>
        <w:sz w:val="20"/>
      </w:rPr>
      <w:fldChar w:fldCharType="end"/>
    </w:r>
  </w:p>
  <w:p w14:paraId="49F846F7" w14:textId="7E6AD689" w:rsidR="00253F0A" w:rsidRDefault="00253F0A" w:rsidP="00B2258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F3E1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F3E12">
      <w:rPr>
        <w:noProof/>
        <w:sz w:val="20"/>
      </w:rPr>
      <w:t>Fees for proceedings in the Federal Circuit and Family Court of Australia (Division 2)</w:t>
    </w:r>
    <w:r>
      <w:rPr>
        <w:sz w:val="20"/>
      </w:rPr>
      <w:fldChar w:fldCharType="end"/>
    </w:r>
  </w:p>
  <w:p w14:paraId="54C74FC4" w14:textId="4C329516" w:rsidR="00253F0A" w:rsidRPr="007A1328" w:rsidRDefault="00253F0A" w:rsidP="00B2258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4BEA77" w14:textId="77777777" w:rsidR="00253F0A" w:rsidRPr="007A1328" w:rsidRDefault="00253F0A" w:rsidP="00B22585">
    <w:pPr>
      <w:rPr>
        <w:b/>
        <w:sz w:val="24"/>
      </w:rPr>
    </w:pPr>
  </w:p>
  <w:p w14:paraId="646ED662" w14:textId="77777777" w:rsidR="00253F0A" w:rsidRPr="007A1328" w:rsidRDefault="00253F0A" w:rsidP="00775E26">
    <w:pPr>
      <w:pBdr>
        <w:bottom w:val="single" w:sz="6" w:space="1" w:color="auto"/>
      </w:pBdr>
      <w:spacing w:after="120"/>
      <w:rPr>
        <w:sz w:val="24"/>
      </w:rPr>
    </w:pPr>
    <w:r>
      <w:rPr>
        <w:sz w:val="24"/>
      </w:rPr>
      <w:t xml:space="preserve"> </w:t>
    </w:r>
  </w:p>
  <w:p w14:paraId="0B2350E3" w14:textId="77777777" w:rsidR="00253F0A" w:rsidRDefault="00253F0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2FD1" w14:textId="00C7936A" w:rsidR="00253F0A" w:rsidRPr="007A1328" w:rsidRDefault="00253F0A" w:rsidP="00B225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F3E12">
      <w:rPr>
        <w:noProof/>
        <w:sz w:val="20"/>
      </w:rPr>
      <w:t>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F3E12">
      <w:rPr>
        <w:b/>
        <w:noProof/>
        <w:sz w:val="20"/>
      </w:rPr>
      <w:t>Schedule 1</w:t>
    </w:r>
    <w:r>
      <w:rPr>
        <w:b/>
        <w:sz w:val="20"/>
      </w:rPr>
      <w:fldChar w:fldCharType="end"/>
    </w:r>
  </w:p>
  <w:p w14:paraId="6B60625A" w14:textId="7BAED366" w:rsidR="00253F0A" w:rsidRPr="007A1328" w:rsidRDefault="00253F0A" w:rsidP="00B22585">
    <w:pPr>
      <w:jc w:val="right"/>
      <w:rPr>
        <w:sz w:val="20"/>
      </w:rPr>
    </w:pPr>
    <w:r w:rsidRPr="007A1328">
      <w:rPr>
        <w:sz w:val="20"/>
      </w:rPr>
      <w:fldChar w:fldCharType="begin"/>
    </w:r>
    <w:r w:rsidRPr="007A1328">
      <w:rPr>
        <w:sz w:val="20"/>
      </w:rPr>
      <w:instrText xml:space="preserve"> STYLEREF CharPartText </w:instrText>
    </w:r>
    <w:r w:rsidR="00BF3E12">
      <w:rPr>
        <w:sz w:val="20"/>
      </w:rPr>
      <w:fldChar w:fldCharType="separate"/>
    </w:r>
    <w:r w:rsidR="00BF3E12">
      <w:rPr>
        <w:noProof/>
        <w:sz w:val="20"/>
      </w:rPr>
      <w:t>Fees for proceedings in the Federal Circuit and Family Court of Australia (Division 2)</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F3E12">
      <w:rPr>
        <w:b/>
        <w:sz w:val="20"/>
      </w:rPr>
      <w:fldChar w:fldCharType="separate"/>
    </w:r>
    <w:r w:rsidR="00BF3E12">
      <w:rPr>
        <w:b/>
        <w:noProof/>
        <w:sz w:val="20"/>
      </w:rPr>
      <w:t>Part 2</w:t>
    </w:r>
    <w:r>
      <w:rPr>
        <w:b/>
        <w:sz w:val="20"/>
      </w:rPr>
      <w:fldChar w:fldCharType="end"/>
    </w:r>
  </w:p>
  <w:p w14:paraId="6BAA1971" w14:textId="230EA7DF" w:rsidR="00253F0A" w:rsidRPr="007A1328" w:rsidRDefault="00253F0A" w:rsidP="00B2258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9F02E7" w14:textId="77777777" w:rsidR="00253F0A" w:rsidRPr="007A1328" w:rsidRDefault="00253F0A" w:rsidP="00B22585">
    <w:pPr>
      <w:jc w:val="right"/>
      <w:rPr>
        <w:b/>
        <w:sz w:val="24"/>
      </w:rPr>
    </w:pPr>
  </w:p>
  <w:p w14:paraId="2A3F45B1" w14:textId="77777777" w:rsidR="00253F0A" w:rsidRPr="007A1328" w:rsidRDefault="00253F0A" w:rsidP="00775E2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61A5" w14:textId="77777777" w:rsidR="00253F0A" w:rsidRPr="00ED79B6" w:rsidRDefault="00253F0A" w:rsidP="00715914">
    <w:pPr>
      <w:pStyle w:val="Header"/>
      <w:tabs>
        <w:tab w:val="clear" w:pos="4150"/>
        <w:tab w:val="clear" w:pos="8307"/>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5665" w14:textId="098D709F" w:rsidR="00253F0A" w:rsidRDefault="00253F0A">
    <w:pPr>
      <w:rPr>
        <w:sz w:val="20"/>
      </w:rPr>
    </w:pPr>
    <w:r>
      <w:rPr>
        <w:b/>
        <w:sz w:val="20"/>
      </w:rPr>
      <w:fldChar w:fldCharType="begin"/>
    </w:r>
    <w:r>
      <w:rPr>
        <w:b/>
        <w:sz w:val="20"/>
      </w:rPr>
      <w:instrText xml:space="preserve"> STYLEREF CharAmSchNo </w:instrText>
    </w:r>
    <w:r>
      <w:rPr>
        <w:b/>
        <w:sz w:val="20"/>
      </w:rPr>
      <w:fldChar w:fldCharType="separate"/>
    </w:r>
    <w:r w:rsidR="00153CC8">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53CC8">
      <w:rPr>
        <w:noProof/>
        <w:sz w:val="20"/>
      </w:rPr>
      <w:t>Repeals</w:t>
    </w:r>
    <w:r>
      <w:rPr>
        <w:sz w:val="20"/>
      </w:rPr>
      <w:fldChar w:fldCharType="end"/>
    </w:r>
  </w:p>
  <w:p w14:paraId="123C4925" w14:textId="479BFCB2" w:rsidR="00253F0A" w:rsidRDefault="00253F0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DCECBDC" w14:textId="77777777" w:rsidR="00253F0A" w:rsidRDefault="00253F0A" w:rsidP="00775E26">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B7CB" w14:textId="6B4914A5" w:rsidR="00253F0A" w:rsidRDefault="00253F0A">
    <w:pPr>
      <w:jc w:val="right"/>
      <w:rPr>
        <w:sz w:val="20"/>
      </w:rPr>
    </w:pPr>
    <w:r>
      <w:rPr>
        <w:sz w:val="20"/>
      </w:rPr>
      <w:fldChar w:fldCharType="begin"/>
    </w:r>
    <w:r>
      <w:rPr>
        <w:sz w:val="20"/>
      </w:rPr>
      <w:instrText xml:space="preserve"> STYLEREF CharAmSchText </w:instrText>
    </w:r>
    <w:r>
      <w:rPr>
        <w:sz w:val="20"/>
      </w:rPr>
      <w:fldChar w:fldCharType="separate"/>
    </w:r>
    <w:r w:rsidR="00153CC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53CC8">
      <w:rPr>
        <w:b/>
        <w:noProof/>
        <w:sz w:val="20"/>
      </w:rPr>
      <w:t>Schedule 3</w:t>
    </w:r>
    <w:r>
      <w:rPr>
        <w:b/>
        <w:sz w:val="20"/>
      </w:rPr>
      <w:fldChar w:fldCharType="end"/>
    </w:r>
  </w:p>
  <w:p w14:paraId="2090DCC3" w14:textId="72C375D0" w:rsidR="00253F0A" w:rsidRDefault="00253F0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071DB89" w14:textId="77777777" w:rsidR="00253F0A" w:rsidRDefault="00253F0A" w:rsidP="00775E26">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0454" w14:textId="77777777" w:rsidR="00253F0A" w:rsidRDefault="00253F0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FC1F" w14:textId="19D48271" w:rsidR="00253F0A" w:rsidRDefault="00253F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53CC8">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53CC8">
      <w:rPr>
        <w:noProof/>
        <w:sz w:val="20"/>
      </w:rPr>
      <w:t>Remuneration and allowances</w:t>
    </w:r>
    <w:r>
      <w:rPr>
        <w:sz w:val="20"/>
      </w:rPr>
      <w:fldChar w:fldCharType="end"/>
    </w:r>
  </w:p>
  <w:p w14:paraId="026711EC" w14:textId="4EE0A44D" w:rsidR="00253F0A" w:rsidRDefault="00253F0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7274A59" w14:textId="1BA56890" w:rsidR="00253F0A" w:rsidRPr="007A1328" w:rsidRDefault="00253F0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95C1A57" w14:textId="77777777" w:rsidR="00253F0A" w:rsidRPr="007A1328" w:rsidRDefault="00253F0A" w:rsidP="00715914">
    <w:pPr>
      <w:rPr>
        <w:b/>
        <w:sz w:val="24"/>
      </w:rPr>
    </w:pPr>
  </w:p>
  <w:p w14:paraId="6D6B5C8F" w14:textId="2601A53E" w:rsidR="00253F0A" w:rsidRPr="007A1328" w:rsidRDefault="00253F0A" w:rsidP="00775E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53CC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53CC8">
      <w:rPr>
        <w:noProof/>
        <w:sz w:val="24"/>
      </w:rPr>
      <w:t>5.05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1911" w14:textId="72238A3F" w:rsidR="00253F0A" w:rsidRPr="007A1328" w:rsidRDefault="00253F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53CC8">
      <w:rPr>
        <w:noProof/>
        <w:sz w:val="20"/>
      </w:rPr>
      <w:t>Remuneration and allowances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53CC8">
      <w:rPr>
        <w:b/>
        <w:noProof/>
        <w:sz w:val="20"/>
      </w:rPr>
      <w:t>Schedule 2</w:t>
    </w:r>
    <w:r>
      <w:rPr>
        <w:b/>
        <w:sz w:val="20"/>
      </w:rPr>
      <w:fldChar w:fldCharType="end"/>
    </w:r>
  </w:p>
  <w:p w14:paraId="525199F6" w14:textId="38C15AEA" w:rsidR="00253F0A" w:rsidRPr="007A1328" w:rsidRDefault="00253F0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F8C44B7" w14:textId="08C1662A" w:rsidR="00253F0A" w:rsidRPr="007A1328" w:rsidRDefault="00253F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34EBDB" w14:textId="77777777" w:rsidR="00253F0A" w:rsidRPr="007A1328" w:rsidRDefault="00253F0A" w:rsidP="00715914">
    <w:pPr>
      <w:jc w:val="right"/>
      <w:rPr>
        <w:b/>
        <w:sz w:val="24"/>
      </w:rPr>
    </w:pPr>
  </w:p>
  <w:p w14:paraId="0049266D" w14:textId="0E76393F" w:rsidR="00253F0A" w:rsidRPr="007A1328" w:rsidRDefault="00253F0A" w:rsidP="00775E2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53CC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53CC8">
      <w:rPr>
        <w:noProof/>
        <w:sz w:val="24"/>
      </w:rPr>
      <w:t>5.05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E3E9" w14:textId="77777777" w:rsidR="00253F0A" w:rsidRPr="007A1328" w:rsidRDefault="00253F0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F80E" w14:textId="77777777" w:rsidR="00253F0A" w:rsidRPr="005F1388" w:rsidRDefault="00253F0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B37" w14:textId="77777777" w:rsidR="00253F0A" w:rsidRPr="005F1388" w:rsidRDefault="00253F0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E6C3" w14:textId="77777777" w:rsidR="007819D8" w:rsidRPr="007819D8" w:rsidRDefault="007819D8"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3BAA" w14:textId="77777777" w:rsidR="007819D8" w:rsidRPr="007819D8" w:rsidRDefault="007819D8"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7C9E" w14:textId="77777777" w:rsidR="007819D8" w:rsidRPr="007819D8" w:rsidRDefault="007819D8"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113F" w14:textId="1264BFA5" w:rsidR="007819D8" w:rsidRPr="00D1021D" w:rsidRDefault="007819D8">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7E8395EB" w14:textId="61D5FFA4" w:rsidR="007819D8" w:rsidRPr="00D1021D" w:rsidRDefault="007819D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BF3E12">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BF3E12">
      <w:rPr>
        <w:noProof/>
        <w:sz w:val="20"/>
      </w:rPr>
      <w:t>Application, saving and transitional provisions</w:t>
    </w:r>
    <w:r w:rsidRPr="00D1021D">
      <w:rPr>
        <w:sz w:val="20"/>
      </w:rPr>
      <w:fldChar w:fldCharType="end"/>
    </w:r>
  </w:p>
  <w:p w14:paraId="191B5847" w14:textId="7AA0C156" w:rsidR="007819D8" w:rsidRPr="00D1021D" w:rsidRDefault="007819D8">
    <w:pPr>
      <w:rPr>
        <w:sz w:val="20"/>
      </w:rPr>
    </w:pPr>
    <w:r w:rsidRPr="00D1021D">
      <w:rPr>
        <w:b/>
        <w:sz w:val="20"/>
      </w:rPr>
      <w:fldChar w:fldCharType="begin"/>
    </w:r>
    <w:r w:rsidRPr="00D1021D">
      <w:rPr>
        <w:b/>
        <w:sz w:val="20"/>
      </w:rPr>
      <w:instrText xml:space="preserve"> STYLEREF CharDivNo </w:instrText>
    </w:r>
    <w:r w:rsidR="00BF3E12">
      <w:rPr>
        <w:b/>
        <w:sz w:val="20"/>
      </w:rPr>
      <w:fldChar w:fldCharType="separate"/>
    </w:r>
    <w:r w:rsidR="00BF3E12">
      <w:rPr>
        <w:b/>
        <w:noProof/>
        <w:sz w:val="20"/>
      </w:rPr>
      <w:t>Division 5.1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BF3E12">
      <w:rPr>
        <w:sz w:val="20"/>
      </w:rPr>
      <w:fldChar w:fldCharType="separate"/>
    </w:r>
    <w:r w:rsidR="00BF3E12">
      <w:rPr>
        <w:noProof/>
        <w:sz w:val="20"/>
      </w:rPr>
      <w:t>Application, saving and transitional provisions in relation to the commencement of this instrument</w:t>
    </w:r>
    <w:r w:rsidRPr="00D1021D">
      <w:rPr>
        <w:sz w:val="20"/>
      </w:rPr>
      <w:fldChar w:fldCharType="end"/>
    </w:r>
  </w:p>
  <w:p w14:paraId="491651AB" w14:textId="77777777" w:rsidR="007819D8" w:rsidRPr="00D1021D" w:rsidRDefault="007819D8">
    <w:pPr>
      <w:rPr>
        <w:b/>
      </w:rPr>
    </w:pPr>
  </w:p>
  <w:p w14:paraId="7847D799" w14:textId="41BADDD9" w:rsidR="007819D8" w:rsidRPr="007819D8" w:rsidRDefault="005F4123" w:rsidP="007819D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53CC8">
      <w:rPr>
        <w:sz w:val="24"/>
      </w:rPr>
      <w:t>Section</w:t>
    </w:r>
    <w:r>
      <w:rPr>
        <w:sz w:val="24"/>
      </w:rPr>
      <w:fldChar w:fldCharType="end"/>
    </w:r>
    <w:r w:rsidR="007819D8" w:rsidRPr="007819D8">
      <w:rPr>
        <w:sz w:val="24"/>
      </w:rPr>
      <w:t xml:space="preserve"> </w:t>
    </w:r>
    <w:r w:rsidR="007819D8" w:rsidRPr="007819D8">
      <w:rPr>
        <w:sz w:val="24"/>
      </w:rPr>
      <w:fldChar w:fldCharType="begin"/>
    </w:r>
    <w:r w:rsidR="007819D8" w:rsidRPr="007819D8">
      <w:rPr>
        <w:sz w:val="24"/>
      </w:rPr>
      <w:instrText xml:space="preserve"> STYLEREF CharSectno </w:instrText>
    </w:r>
    <w:r w:rsidR="007819D8" w:rsidRPr="007819D8">
      <w:rPr>
        <w:sz w:val="24"/>
      </w:rPr>
      <w:fldChar w:fldCharType="separate"/>
    </w:r>
    <w:r w:rsidR="00BF3E12">
      <w:rPr>
        <w:noProof/>
        <w:sz w:val="24"/>
      </w:rPr>
      <w:t>5.01</w:t>
    </w:r>
    <w:r w:rsidR="007819D8" w:rsidRPr="007819D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B683" w14:textId="6EA9E92E" w:rsidR="007819D8" w:rsidRPr="00D1021D" w:rsidRDefault="007819D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1CAD94C9" w14:textId="358A6E4A" w:rsidR="007819D8" w:rsidRPr="00D1021D" w:rsidRDefault="007819D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BF3E12">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BF3E12">
      <w:rPr>
        <w:b/>
        <w:noProof/>
        <w:sz w:val="20"/>
      </w:rPr>
      <w:t>Part 5</w:t>
    </w:r>
    <w:r w:rsidRPr="00D1021D">
      <w:rPr>
        <w:b/>
        <w:sz w:val="20"/>
      </w:rPr>
      <w:fldChar w:fldCharType="end"/>
    </w:r>
  </w:p>
  <w:p w14:paraId="4A31AAA7" w14:textId="00E5A17E" w:rsidR="007819D8" w:rsidRPr="00D1021D" w:rsidRDefault="007819D8">
    <w:pPr>
      <w:jc w:val="right"/>
      <w:rPr>
        <w:sz w:val="20"/>
      </w:rPr>
    </w:pPr>
    <w:r w:rsidRPr="00D1021D">
      <w:rPr>
        <w:sz w:val="20"/>
      </w:rPr>
      <w:fldChar w:fldCharType="begin"/>
    </w:r>
    <w:r w:rsidRPr="00D1021D">
      <w:rPr>
        <w:sz w:val="20"/>
      </w:rPr>
      <w:instrText xml:space="preserve"> STYLEREF CharDivText </w:instrText>
    </w:r>
    <w:r w:rsidR="00BF3E12">
      <w:rPr>
        <w:sz w:val="20"/>
      </w:rPr>
      <w:fldChar w:fldCharType="separate"/>
    </w:r>
    <w:r w:rsidR="00BF3E12">
      <w:rPr>
        <w:noProof/>
        <w:sz w:val="20"/>
      </w:rPr>
      <w:t>Application, saving and transitional provisions in relation to the commencement of this instrument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BF3E12">
      <w:rPr>
        <w:b/>
        <w:sz w:val="20"/>
      </w:rPr>
      <w:fldChar w:fldCharType="separate"/>
    </w:r>
    <w:r w:rsidR="00BF3E12">
      <w:rPr>
        <w:b/>
        <w:noProof/>
        <w:sz w:val="20"/>
      </w:rPr>
      <w:t>Division 5.1</w:t>
    </w:r>
    <w:r w:rsidRPr="00D1021D">
      <w:rPr>
        <w:b/>
        <w:sz w:val="20"/>
      </w:rPr>
      <w:fldChar w:fldCharType="end"/>
    </w:r>
  </w:p>
  <w:p w14:paraId="6E6C9504" w14:textId="77777777" w:rsidR="007819D8" w:rsidRPr="00D1021D" w:rsidRDefault="007819D8">
    <w:pPr>
      <w:jc w:val="right"/>
      <w:rPr>
        <w:b/>
      </w:rPr>
    </w:pPr>
  </w:p>
  <w:p w14:paraId="569DBE2D" w14:textId="028ADF45" w:rsidR="007819D8" w:rsidRPr="007819D8" w:rsidRDefault="005F4123" w:rsidP="007819D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53CC8">
      <w:rPr>
        <w:sz w:val="24"/>
      </w:rPr>
      <w:t>Section</w:t>
    </w:r>
    <w:r>
      <w:rPr>
        <w:sz w:val="24"/>
      </w:rPr>
      <w:fldChar w:fldCharType="end"/>
    </w:r>
    <w:r w:rsidR="007819D8" w:rsidRPr="007819D8">
      <w:rPr>
        <w:sz w:val="24"/>
      </w:rPr>
      <w:t xml:space="preserve"> </w:t>
    </w:r>
    <w:r w:rsidR="007819D8" w:rsidRPr="007819D8">
      <w:rPr>
        <w:sz w:val="24"/>
      </w:rPr>
      <w:fldChar w:fldCharType="begin"/>
    </w:r>
    <w:r w:rsidR="007819D8" w:rsidRPr="007819D8">
      <w:rPr>
        <w:sz w:val="24"/>
      </w:rPr>
      <w:instrText xml:space="preserve"> STYLEREF CharSectno </w:instrText>
    </w:r>
    <w:r w:rsidR="007819D8" w:rsidRPr="007819D8">
      <w:rPr>
        <w:sz w:val="24"/>
      </w:rPr>
      <w:fldChar w:fldCharType="separate"/>
    </w:r>
    <w:r w:rsidR="00BF3E12">
      <w:rPr>
        <w:noProof/>
        <w:sz w:val="24"/>
      </w:rPr>
      <w:t>5.05</w:t>
    </w:r>
    <w:r w:rsidR="007819D8" w:rsidRPr="007819D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F846" w14:textId="77777777" w:rsidR="007819D8" w:rsidRPr="007819D8" w:rsidRDefault="007819D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3"/>
  </w:num>
  <w:num w:numId="14">
    <w:abstractNumId w:val="16"/>
  </w:num>
  <w:num w:numId="15">
    <w:abstractNumId w:val="14"/>
  </w:num>
  <w:num w:numId="16">
    <w:abstractNumId w:val="11"/>
  </w:num>
  <w:num w:numId="17">
    <w:abstractNumId w:val="19"/>
  </w:num>
  <w:num w:numId="18">
    <w:abstractNumId w:val="18"/>
  </w:num>
  <w:num w:numId="19">
    <w:abstractNumId w:val="17"/>
  </w:num>
  <w:num w:numId="20">
    <w:abstractNumId w:val="21"/>
  </w:num>
  <w:num w:numId="21">
    <w:abstractNumId w:val="15"/>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71C"/>
    <w:rsid w:val="00003CE0"/>
    <w:rsid w:val="00004470"/>
    <w:rsid w:val="000048F0"/>
    <w:rsid w:val="00005E93"/>
    <w:rsid w:val="00006D41"/>
    <w:rsid w:val="000136AF"/>
    <w:rsid w:val="00020600"/>
    <w:rsid w:val="0002121B"/>
    <w:rsid w:val="00025E64"/>
    <w:rsid w:val="0002778F"/>
    <w:rsid w:val="00037238"/>
    <w:rsid w:val="00041EF8"/>
    <w:rsid w:val="00042C66"/>
    <w:rsid w:val="00042FF0"/>
    <w:rsid w:val="000437C1"/>
    <w:rsid w:val="0005365D"/>
    <w:rsid w:val="000571F5"/>
    <w:rsid w:val="000614BF"/>
    <w:rsid w:val="00065B45"/>
    <w:rsid w:val="00067764"/>
    <w:rsid w:val="00075C30"/>
    <w:rsid w:val="00075DA6"/>
    <w:rsid w:val="00077ACB"/>
    <w:rsid w:val="00080E8E"/>
    <w:rsid w:val="00083422"/>
    <w:rsid w:val="0008519A"/>
    <w:rsid w:val="000A1CF8"/>
    <w:rsid w:val="000A469D"/>
    <w:rsid w:val="000A6F11"/>
    <w:rsid w:val="000B58FA"/>
    <w:rsid w:val="000B66ED"/>
    <w:rsid w:val="000B7E30"/>
    <w:rsid w:val="000D05EF"/>
    <w:rsid w:val="000D6E0E"/>
    <w:rsid w:val="000E2261"/>
    <w:rsid w:val="000E6EB3"/>
    <w:rsid w:val="000F21C1"/>
    <w:rsid w:val="000F6247"/>
    <w:rsid w:val="00102EE3"/>
    <w:rsid w:val="001030BE"/>
    <w:rsid w:val="0010745C"/>
    <w:rsid w:val="00107F4A"/>
    <w:rsid w:val="00110A3D"/>
    <w:rsid w:val="00110DA0"/>
    <w:rsid w:val="00112EB2"/>
    <w:rsid w:val="00113E5F"/>
    <w:rsid w:val="00131299"/>
    <w:rsid w:val="00132CEB"/>
    <w:rsid w:val="00133FC8"/>
    <w:rsid w:val="00142B62"/>
    <w:rsid w:val="00142FC6"/>
    <w:rsid w:val="001448B7"/>
    <w:rsid w:val="0014539C"/>
    <w:rsid w:val="00153893"/>
    <w:rsid w:val="00153CC8"/>
    <w:rsid w:val="00157B8B"/>
    <w:rsid w:val="00165FD6"/>
    <w:rsid w:val="00166B38"/>
    <w:rsid w:val="00166C2F"/>
    <w:rsid w:val="001721AC"/>
    <w:rsid w:val="00174127"/>
    <w:rsid w:val="00176C63"/>
    <w:rsid w:val="001775BB"/>
    <w:rsid w:val="001809D7"/>
    <w:rsid w:val="00183077"/>
    <w:rsid w:val="00184984"/>
    <w:rsid w:val="001939E1"/>
    <w:rsid w:val="00194C3E"/>
    <w:rsid w:val="00195382"/>
    <w:rsid w:val="001A32AB"/>
    <w:rsid w:val="001A514A"/>
    <w:rsid w:val="001B19E7"/>
    <w:rsid w:val="001C61C5"/>
    <w:rsid w:val="001C69C4"/>
    <w:rsid w:val="001D37EF"/>
    <w:rsid w:val="001D495B"/>
    <w:rsid w:val="001E2B3D"/>
    <w:rsid w:val="001E3590"/>
    <w:rsid w:val="001E3C23"/>
    <w:rsid w:val="001E7407"/>
    <w:rsid w:val="001F247C"/>
    <w:rsid w:val="001F31A6"/>
    <w:rsid w:val="001F5D5E"/>
    <w:rsid w:val="001F6219"/>
    <w:rsid w:val="001F6CD4"/>
    <w:rsid w:val="00204849"/>
    <w:rsid w:val="00205C11"/>
    <w:rsid w:val="00206C4D"/>
    <w:rsid w:val="0021053C"/>
    <w:rsid w:val="002145EE"/>
    <w:rsid w:val="002150FD"/>
    <w:rsid w:val="00215AF1"/>
    <w:rsid w:val="002160CB"/>
    <w:rsid w:val="00226562"/>
    <w:rsid w:val="0023142C"/>
    <w:rsid w:val="002321E8"/>
    <w:rsid w:val="002328D1"/>
    <w:rsid w:val="002345B6"/>
    <w:rsid w:val="00236EEC"/>
    <w:rsid w:val="0024010F"/>
    <w:rsid w:val="00240749"/>
    <w:rsid w:val="00242A4B"/>
    <w:rsid w:val="00243018"/>
    <w:rsid w:val="00243925"/>
    <w:rsid w:val="00243DF1"/>
    <w:rsid w:val="002448C0"/>
    <w:rsid w:val="002532D4"/>
    <w:rsid w:val="00253F0A"/>
    <w:rsid w:val="002564A4"/>
    <w:rsid w:val="0026736C"/>
    <w:rsid w:val="00271776"/>
    <w:rsid w:val="00271B3C"/>
    <w:rsid w:val="00274FF9"/>
    <w:rsid w:val="00281308"/>
    <w:rsid w:val="002828F8"/>
    <w:rsid w:val="00284719"/>
    <w:rsid w:val="00286E6B"/>
    <w:rsid w:val="0029007F"/>
    <w:rsid w:val="00297ECB"/>
    <w:rsid w:val="002A4821"/>
    <w:rsid w:val="002A7BCF"/>
    <w:rsid w:val="002B7168"/>
    <w:rsid w:val="002B7D96"/>
    <w:rsid w:val="002C34CF"/>
    <w:rsid w:val="002C4A40"/>
    <w:rsid w:val="002C4C53"/>
    <w:rsid w:val="002C71C4"/>
    <w:rsid w:val="002D043A"/>
    <w:rsid w:val="002D48A2"/>
    <w:rsid w:val="002D6224"/>
    <w:rsid w:val="002E3815"/>
    <w:rsid w:val="002E3F4B"/>
    <w:rsid w:val="002E4ADD"/>
    <w:rsid w:val="002F0018"/>
    <w:rsid w:val="002F41E9"/>
    <w:rsid w:val="00300E9F"/>
    <w:rsid w:val="00304F8B"/>
    <w:rsid w:val="00307B49"/>
    <w:rsid w:val="003104E8"/>
    <w:rsid w:val="0031355C"/>
    <w:rsid w:val="00326D32"/>
    <w:rsid w:val="003272FD"/>
    <w:rsid w:val="0033073A"/>
    <w:rsid w:val="00334A5B"/>
    <w:rsid w:val="003354D2"/>
    <w:rsid w:val="00335BC6"/>
    <w:rsid w:val="003415D3"/>
    <w:rsid w:val="00341A90"/>
    <w:rsid w:val="00344701"/>
    <w:rsid w:val="00352B0F"/>
    <w:rsid w:val="00356690"/>
    <w:rsid w:val="00360459"/>
    <w:rsid w:val="00360E65"/>
    <w:rsid w:val="003653AD"/>
    <w:rsid w:val="00376BDA"/>
    <w:rsid w:val="00380E1D"/>
    <w:rsid w:val="00390F43"/>
    <w:rsid w:val="003A4B85"/>
    <w:rsid w:val="003A5088"/>
    <w:rsid w:val="003B2F3F"/>
    <w:rsid w:val="003B77A7"/>
    <w:rsid w:val="003C4071"/>
    <w:rsid w:val="003C6231"/>
    <w:rsid w:val="003C7AB6"/>
    <w:rsid w:val="003D0BFE"/>
    <w:rsid w:val="003D5700"/>
    <w:rsid w:val="003E11F5"/>
    <w:rsid w:val="003E341B"/>
    <w:rsid w:val="003E5828"/>
    <w:rsid w:val="003E79F0"/>
    <w:rsid w:val="004044D7"/>
    <w:rsid w:val="004044F3"/>
    <w:rsid w:val="004103CC"/>
    <w:rsid w:val="004116CD"/>
    <w:rsid w:val="004143F8"/>
    <w:rsid w:val="004144EC"/>
    <w:rsid w:val="00415F4B"/>
    <w:rsid w:val="00417EB9"/>
    <w:rsid w:val="00420770"/>
    <w:rsid w:val="00421AD4"/>
    <w:rsid w:val="004241D9"/>
    <w:rsid w:val="00424CA9"/>
    <w:rsid w:val="00425941"/>
    <w:rsid w:val="00426E67"/>
    <w:rsid w:val="00427977"/>
    <w:rsid w:val="00431E37"/>
    <w:rsid w:val="00431E9B"/>
    <w:rsid w:val="00435701"/>
    <w:rsid w:val="004379E3"/>
    <w:rsid w:val="00437E5C"/>
    <w:rsid w:val="0044015E"/>
    <w:rsid w:val="004404FD"/>
    <w:rsid w:val="0044291A"/>
    <w:rsid w:val="00444ABD"/>
    <w:rsid w:val="004507C2"/>
    <w:rsid w:val="00460C9F"/>
    <w:rsid w:val="00461C81"/>
    <w:rsid w:val="00462C70"/>
    <w:rsid w:val="00463CD1"/>
    <w:rsid w:val="00467661"/>
    <w:rsid w:val="004700B7"/>
    <w:rsid w:val="004705B7"/>
    <w:rsid w:val="00472DBE"/>
    <w:rsid w:val="00474A19"/>
    <w:rsid w:val="00480492"/>
    <w:rsid w:val="00491D5A"/>
    <w:rsid w:val="00496A89"/>
    <w:rsid w:val="00496F97"/>
    <w:rsid w:val="004A5A8F"/>
    <w:rsid w:val="004C13BA"/>
    <w:rsid w:val="004C1A4B"/>
    <w:rsid w:val="004C6AE8"/>
    <w:rsid w:val="004D3593"/>
    <w:rsid w:val="004E063A"/>
    <w:rsid w:val="004E61FD"/>
    <w:rsid w:val="004E7BEC"/>
    <w:rsid w:val="004F3853"/>
    <w:rsid w:val="004F495D"/>
    <w:rsid w:val="004F53FA"/>
    <w:rsid w:val="004F5CE5"/>
    <w:rsid w:val="00500264"/>
    <w:rsid w:val="0050060F"/>
    <w:rsid w:val="00501514"/>
    <w:rsid w:val="00505D3D"/>
    <w:rsid w:val="00506AF6"/>
    <w:rsid w:val="00516B8D"/>
    <w:rsid w:val="00525B46"/>
    <w:rsid w:val="005344A5"/>
    <w:rsid w:val="00537DAF"/>
    <w:rsid w:val="00537FBC"/>
    <w:rsid w:val="00541400"/>
    <w:rsid w:val="005541EE"/>
    <w:rsid w:val="00554954"/>
    <w:rsid w:val="0055685D"/>
    <w:rsid w:val="005574D1"/>
    <w:rsid w:val="0058315C"/>
    <w:rsid w:val="005832A6"/>
    <w:rsid w:val="005833F4"/>
    <w:rsid w:val="00584811"/>
    <w:rsid w:val="00585784"/>
    <w:rsid w:val="00586897"/>
    <w:rsid w:val="00593AA6"/>
    <w:rsid w:val="00594161"/>
    <w:rsid w:val="00594749"/>
    <w:rsid w:val="00596CFB"/>
    <w:rsid w:val="005B0BCC"/>
    <w:rsid w:val="005B3BA7"/>
    <w:rsid w:val="005B3F85"/>
    <w:rsid w:val="005B4067"/>
    <w:rsid w:val="005B6993"/>
    <w:rsid w:val="005C06D0"/>
    <w:rsid w:val="005C0CD2"/>
    <w:rsid w:val="005C3F41"/>
    <w:rsid w:val="005C4C04"/>
    <w:rsid w:val="005D2D09"/>
    <w:rsid w:val="005D2D9C"/>
    <w:rsid w:val="005D5C91"/>
    <w:rsid w:val="005F4123"/>
    <w:rsid w:val="00600219"/>
    <w:rsid w:val="00603DC4"/>
    <w:rsid w:val="006113C5"/>
    <w:rsid w:val="00614DC8"/>
    <w:rsid w:val="00620076"/>
    <w:rsid w:val="00622718"/>
    <w:rsid w:val="00625533"/>
    <w:rsid w:val="00625ED0"/>
    <w:rsid w:val="00630AC1"/>
    <w:rsid w:val="00632BEA"/>
    <w:rsid w:val="00632C32"/>
    <w:rsid w:val="00640024"/>
    <w:rsid w:val="00640248"/>
    <w:rsid w:val="00646702"/>
    <w:rsid w:val="0065042E"/>
    <w:rsid w:val="006623F9"/>
    <w:rsid w:val="00662EC8"/>
    <w:rsid w:val="00663020"/>
    <w:rsid w:val="00670EA1"/>
    <w:rsid w:val="006737E4"/>
    <w:rsid w:val="00677CC2"/>
    <w:rsid w:val="006850C2"/>
    <w:rsid w:val="006905DE"/>
    <w:rsid w:val="0069207B"/>
    <w:rsid w:val="006944A8"/>
    <w:rsid w:val="006A0310"/>
    <w:rsid w:val="006B5789"/>
    <w:rsid w:val="006C30C5"/>
    <w:rsid w:val="006C7F8C"/>
    <w:rsid w:val="006D0E9A"/>
    <w:rsid w:val="006D43F4"/>
    <w:rsid w:val="006D7C73"/>
    <w:rsid w:val="006E6246"/>
    <w:rsid w:val="006F318F"/>
    <w:rsid w:val="006F4067"/>
    <w:rsid w:val="006F4226"/>
    <w:rsid w:val="006F6600"/>
    <w:rsid w:val="006F70B2"/>
    <w:rsid w:val="006F77E9"/>
    <w:rsid w:val="0070017E"/>
    <w:rsid w:val="00700B2C"/>
    <w:rsid w:val="00703CB1"/>
    <w:rsid w:val="00704B10"/>
    <w:rsid w:val="007050A2"/>
    <w:rsid w:val="00713084"/>
    <w:rsid w:val="00714F20"/>
    <w:rsid w:val="00715479"/>
    <w:rsid w:val="0071590F"/>
    <w:rsid w:val="00715914"/>
    <w:rsid w:val="00731E00"/>
    <w:rsid w:val="0073377A"/>
    <w:rsid w:val="00740A43"/>
    <w:rsid w:val="00742A78"/>
    <w:rsid w:val="00743134"/>
    <w:rsid w:val="007440B7"/>
    <w:rsid w:val="007500C8"/>
    <w:rsid w:val="00750DD1"/>
    <w:rsid w:val="0075218F"/>
    <w:rsid w:val="00756272"/>
    <w:rsid w:val="0075698B"/>
    <w:rsid w:val="00763EB3"/>
    <w:rsid w:val="00765185"/>
    <w:rsid w:val="0076681A"/>
    <w:rsid w:val="0077011C"/>
    <w:rsid w:val="007715C9"/>
    <w:rsid w:val="00771613"/>
    <w:rsid w:val="007737A7"/>
    <w:rsid w:val="00773B88"/>
    <w:rsid w:val="00774EDD"/>
    <w:rsid w:val="007757EC"/>
    <w:rsid w:val="00775E26"/>
    <w:rsid w:val="007819D8"/>
    <w:rsid w:val="00782682"/>
    <w:rsid w:val="00783E89"/>
    <w:rsid w:val="007906E9"/>
    <w:rsid w:val="00792737"/>
    <w:rsid w:val="00793915"/>
    <w:rsid w:val="007A023E"/>
    <w:rsid w:val="007A4731"/>
    <w:rsid w:val="007B1F33"/>
    <w:rsid w:val="007B6F8F"/>
    <w:rsid w:val="007B787F"/>
    <w:rsid w:val="007C2253"/>
    <w:rsid w:val="007C30CF"/>
    <w:rsid w:val="007C6E3A"/>
    <w:rsid w:val="007D3911"/>
    <w:rsid w:val="007D47FB"/>
    <w:rsid w:val="007D5A63"/>
    <w:rsid w:val="007D7B81"/>
    <w:rsid w:val="007D7D52"/>
    <w:rsid w:val="007E163D"/>
    <w:rsid w:val="007E4C26"/>
    <w:rsid w:val="007E50A8"/>
    <w:rsid w:val="007E667A"/>
    <w:rsid w:val="007E7652"/>
    <w:rsid w:val="007F28C9"/>
    <w:rsid w:val="007F3973"/>
    <w:rsid w:val="007F39E0"/>
    <w:rsid w:val="007F4DC3"/>
    <w:rsid w:val="00803587"/>
    <w:rsid w:val="00807626"/>
    <w:rsid w:val="008117E9"/>
    <w:rsid w:val="00812BC5"/>
    <w:rsid w:val="00816867"/>
    <w:rsid w:val="00824498"/>
    <w:rsid w:val="008539AF"/>
    <w:rsid w:val="00854C33"/>
    <w:rsid w:val="008569D4"/>
    <w:rsid w:val="00856A31"/>
    <w:rsid w:val="00864B24"/>
    <w:rsid w:val="00867B37"/>
    <w:rsid w:val="008754D0"/>
    <w:rsid w:val="008777EA"/>
    <w:rsid w:val="008813DA"/>
    <w:rsid w:val="00884161"/>
    <w:rsid w:val="008855C9"/>
    <w:rsid w:val="00886456"/>
    <w:rsid w:val="008879F5"/>
    <w:rsid w:val="00894903"/>
    <w:rsid w:val="008A46E1"/>
    <w:rsid w:val="008A4F43"/>
    <w:rsid w:val="008A5141"/>
    <w:rsid w:val="008A5764"/>
    <w:rsid w:val="008B2706"/>
    <w:rsid w:val="008B4409"/>
    <w:rsid w:val="008C22CB"/>
    <w:rsid w:val="008C7889"/>
    <w:rsid w:val="008D0EE0"/>
    <w:rsid w:val="008D3DB3"/>
    <w:rsid w:val="008D4E8C"/>
    <w:rsid w:val="008E6067"/>
    <w:rsid w:val="008F319D"/>
    <w:rsid w:val="008F54E7"/>
    <w:rsid w:val="00902BCF"/>
    <w:rsid w:val="00903422"/>
    <w:rsid w:val="00904557"/>
    <w:rsid w:val="009067C7"/>
    <w:rsid w:val="00911F17"/>
    <w:rsid w:val="009127AA"/>
    <w:rsid w:val="00915DF9"/>
    <w:rsid w:val="009173F0"/>
    <w:rsid w:val="00922C4B"/>
    <w:rsid w:val="009254C3"/>
    <w:rsid w:val="00927718"/>
    <w:rsid w:val="00932377"/>
    <w:rsid w:val="009355A0"/>
    <w:rsid w:val="00942628"/>
    <w:rsid w:val="00942C6E"/>
    <w:rsid w:val="00947D5A"/>
    <w:rsid w:val="009532A5"/>
    <w:rsid w:val="00954BC9"/>
    <w:rsid w:val="009616C4"/>
    <w:rsid w:val="00963862"/>
    <w:rsid w:val="009648B2"/>
    <w:rsid w:val="0096715E"/>
    <w:rsid w:val="009673CF"/>
    <w:rsid w:val="009754C9"/>
    <w:rsid w:val="00982242"/>
    <w:rsid w:val="009845D4"/>
    <w:rsid w:val="009868E9"/>
    <w:rsid w:val="00986D2E"/>
    <w:rsid w:val="0099319A"/>
    <w:rsid w:val="00993813"/>
    <w:rsid w:val="009A4F5F"/>
    <w:rsid w:val="009A5496"/>
    <w:rsid w:val="009A6376"/>
    <w:rsid w:val="009B5AB3"/>
    <w:rsid w:val="009B66A0"/>
    <w:rsid w:val="009D0FD9"/>
    <w:rsid w:val="009D4599"/>
    <w:rsid w:val="009D5F26"/>
    <w:rsid w:val="009E1604"/>
    <w:rsid w:val="009E5CD8"/>
    <w:rsid w:val="009E5CFC"/>
    <w:rsid w:val="009E6CCE"/>
    <w:rsid w:val="009E77F6"/>
    <w:rsid w:val="009F06DE"/>
    <w:rsid w:val="009F324A"/>
    <w:rsid w:val="00A02E71"/>
    <w:rsid w:val="00A03494"/>
    <w:rsid w:val="00A063DB"/>
    <w:rsid w:val="00A0700B"/>
    <w:rsid w:val="00A079CB"/>
    <w:rsid w:val="00A11540"/>
    <w:rsid w:val="00A12128"/>
    <w:rsid w:val="00A1309B"/>
    <w:rsid w:val="00A2071C"/>
    <w:rsid w:val="00A22C98"/>
    <w:rsid w:val="00A231E2"/>
    <w:rsid w:val="00A270E5"/>
    <w:rsid w:val="00A303DD"/>
    <w:rsid w:val="00A444E3"/>
    <w:rsid w:val="00A63231"/>
    <w:rsid w:val="00A64912"/>
    <w:rsid w:val="00A70A74"/>
    <w:rsid w:val="00A7225B"/>
    <w:rsid w:val="00A74EFF"/>
    <w:rsid w:val="00A771A8"/>
    <w:rsid w:val="00A828FC"/>
    <w:rsid w:val="00A84DA2"/>
    <w:rsid w:val="00A85C99"/>
    <w:rsid w:val="00A966E9"/>
    <w:rsid w:val="00AB3172"/>
    <w:rsid w:val="00AD21EC"/>
    <w:rsid w:val="00AD5641"/>
    <w:rsid w:val="00AD7889"/>
    <w:rsid w:val="00AE1F70"/>
    <w:rsid w:val="00AE3652"/>
    <w:rsid w:val="00AE4E4D"/>
    <w:rsid w:val="00AE5433"/>
    <w:rsid w:val="00AE5DED"/>
    <w:rsid w:val="00AE70B6"/>
    <w:rsid w:val="00AF021B"/>
    <w:rsid w:val="00AF06CF"/>
    <w:rsid w:val="00AF0EEE"/>
    <w:rsid w:val="00AF7BC5"/>
    <w:rsid w:val="00B05CF4"/>
    <w:rsid w:val="00B07422"/>
    <w:rsid w:val="00B07CDB"/>
    <w:rsid w:val="00B12307"/>
    <w:rsid w:val="00B154CF"/>
    <w:rsid w:val="00B16A31"/>
    <w:rsid w:val="00B17DFD"/>
    <w:rsid w:val="00B20ED6"/>
    <w:rsid w:val="00B22585"/>
    <w:rsid w:val="00B308FE"/>
    <w:rsid w:val="00B309BD"/>
    <w:rsid w:val="00B33709"/>
    <w:rsid w:val="00B33B3C"/>
    <w:rsid w:val="00B42F79"/>
    <w:rsid w:val="00B432D3"/>
    <w:rsid w:val="00B50ADC"/>
    <w:rsid w:val="00B566B1"/>
    <w:rsid w:val="00B622B1"/>
    <w:rsid w:val="00B6359A"/>
    <w:rsid w:val="00B63834"/>
    <w:rsid w:val="00B6539F"/>
    <w:rsid w:val="00B65F8A"/>
    <w:rsid w:val="00B72734"/>
    <w:rsid w:val="00B7310C"/>
    <w:rsid w:val="00B80199"/>
    <w:rsid w:val="00B83204"/>
    <w:rsid w:val="00B85C14"/>
    <w:rsid w:val="00B91F19"/>
    <w:rsid w:val="00BA0C87"/>
    <w:rsid w:val="00BA220B"/>
    <w:rsid w:val="00BA3A57"/>
    <w:rsid w:val="00BA691F"/>
    <w:rsid w:val="00BB2ABF"/>
    <w:rsid w:val="00BB4E1A"/>
    <w:rsid w:val="00BC015E"/>
    <w:rsid w:val="00BC16C1"/>
    <w:rsid w:val="00BC3833"/>
    <w:rsid w:val="00BC4864"/>
    <w:rsid w:val="00BC6453"/>
    <w:rsid w:val="00BC76AC"/>
    <w:rsid w:val="00BD0ECB"/>
    <w:rsid w:val="00BD3C76"/>
    <w:rsid w:val="00BD76B3"/>
    <w:rsid w:val="00BE0225"/>
    <w:rsid w:val="00BE0F9B"/>
    <w:rsid w:val="00BE2155"/>
    <w:rsid w:val="00BE2213"/>
    <w:rsid w:val="00BE441F"/>
    <w:rsid w:val="00BE6BFE"/>
    <w:rsid w:val="00BE719A"/>
    <w:rsid w:val="00BE720A"/>
    <w:rsid w:val="00BF0D73"/>
    <w:rsid w:val="00BF2465"/>
    <w:rsid w:val="00BF3E12"/>
    <w:rsid w:val="00BF4A95"/>
    <w:rsid w:val="00BF5B89"/>
    <w:rsid w:val="00C010FE"/>
    <w:rsid w:val="00C033B1"/>
    <w:rsid w:val="00C13B52"/>
    <w:rsid w:val="00C17067"/>
    <w:rsid w:val="00C17E37"/>
    <w:rsid w:val="00C229AD"/>
    <w:rsid w:val="00C22B30"/>
    <w:rsid w:val="00C23875"/>
    <w:rsid w:val="00C254EF"/>
    <w:rsid w:val="00C25E7F"/>
    <w:rsid w:val="00C2746F"/>
    <w:rsid w:val="00C277D3"/>
    <w:rsid w:val="00C304CB"/>
    <w:rsid w:val="00C324A0"/>
    <w:rsid w:val="00C3300F"/>
    <w:rsid w:val="00C331D7"/>
    <w:rsid w:val="00C339F9"/>
    <w:rsid w:val="00C35591"/>
    <w:rsid w:val="00C42BF8"/>
    <w:rsid w:val="00C4787C"/>
    <w:rsid w:val="00C50043"/>
    <w:rsid w:val="00C57770"/>
    <w:rsid w:val="00C72C10"/>
    <w:rsid w:val="00C72F57"/>
    <w:rsid w:val="00C741EF"/>
    <w:rsid w:val="00C7573B"/>
    <w:rsid w:val="00C846E3"/>
    <w:rsid w:val="00C85F04"/>
    <w:rsid w:val="00C92806"/>
    <w:rsid w:val="00C934E9"/>
    <w:rsid w:val="00C93C03"/>
    <w:rsid w:val="00CA2BA1"/>
    <w:rsid w:val="00CA71E2"/>
    <w:rsid w:val="00CB12C1"/>
    <w:rsid w:val="00CB2C8E"/>
    <w:rsid w:val="00CB602E"/>
    <w:rsid w:val="00CC5DF4"/>
    <w:rsid w:val="00CD4022"/>
    <w:rsid w:val="00CE051D"/>
    <w:rsid w:val="00CE1000"/>
    <w:rsid w:val="00CE1335"/>
    <w:rsid w:val="00CE493D"/>
    <w:rsid w:val="00CF07FA"/>
    <w:rsid w:val="00CF0BB2"/>
    <w:rsid w:val="00CF3EE8"/>
    <w:rsid w:val="00D050E6"/>
    <w:rsid w:val="00D057AF"/>
    <w:rsid w:val="00D06E75"/>
    <w:rsid w:val="00D10F0E"/>
    <w:rsid w:val="00D13052"/>
    <w:rsid w:val="00D13441"/>
    <w:rsid w:val="00D1447C"/>
    <w:rsid w:val="00D14707"/>
    <w:rsid w:val="00D150E7"/>
    <w:rsid w:val="00D16B05"/>
    <w:rsid w:val="00D3266B"/>
    <w:rsid w:val="00D32F65"/>
    <w:rsid w:val="00D34C25"/>
    <w:rsid w:val="00D36D92"/>
    <w:rsid w:val="00D40379"/>
    <w:rsid w:val="00D4482F"/>
    <w:rsid w:val="00D5172F"/>
    <w:rsid w:val="00D524CB"/>
    <w:rsid w:val="00D52DC2"/>
    <w:rsid w:val="00D53BCC"/>
    <w:rsid w:val="00D608C2"/>
    <w:rsid w:val="00D64B4A"/>
    <w:rsid w:val="00D67E8A"/>
    <w:rsid w:val="00D70DFB"/>
    <w:rsid w:val="00D73B01"/>
    <w:rsid w:val="00D7419F"/>
    <w:rsid w:val="00D766DF"/>
    <w:rsid w:val="00D841DD"/>
    <w:rsid w:val="00D84AE2"/>
    <w:rsid w:val="00D92FCB"/>
    <w:rsid w:val="00D94167"/>
    <w:rsid w:val="00D961F9"/>
    <w:rsid w:val="00D96675"/>
    <w:rsid w:val="00DA186E"/>
    <w:rsid w:val="00DA1DF9"/>
    <w:rsid w:val="00DA4116"/>
    <w:rsid w:val="00DB251C"/>
    <w:rsid w:val="00DB29D4"/>
    <w:rsid w:val="00DB2D17"/>
    <w:rsid w:val="00DB4630"/>
    <w:rsid w:val="00DC4F88"/>
    <w:rsid w:val="00DD78C0"/>
    <w:rsid w:val="00DD7A8F"/>
    <w:rsid w:val="00DE063E"/>
    <w:rsid w:val="00DE10D3"/>
    <w:rsid w:val="00DE6333"/>
    <w:rsid w:val="00DF1610"/>
    <w:rsid w:val="00DF35C3"/>
    <w:rsid w:val="00E00C1D"/>
    <w:rsid w:val="00E034C2"/>
    <w:rsid w:val="00E05704"/>
    <w:rsid w:val="00E11E44"/>
    <w:rsid w:val="00E12989"/>
    <w:rsid w:val="00E2088D"/>
    <w:rsid w:val="00E20E44"/>
    <w:rsid w:val="00E27C5D"/>
    <w:rsid w:val="00E27FEA"/>
    <w:rsid w:val="00E3270E"/>
    <w:rsid w:val="00E338EF"/>
    <w:rsid w:val="00E41D6E"/>
    <w:rsid w:val="00E41D95"/>
    <w:rsid w:val="00E53E8E"/>
    <w:rsid w:val="00E544BB"/>
    <w:rsid w:val="00E60BB0"/>
    <w:rsid w:val="00E6127E"/>
    <w:rsid w:val="00E64632"/>
    <w:rsid w:val="00E64C1E"/>
    <w:rsid w:val="00E662CB"/>
    <w:rsid w:val="00E70410"/>
    <w:rsid w:val="00E74279"/>
    <w:rsid w:val="00E74DC7"/>
    <w:rsid w:val="00E76806"/>
    <w:rsid w:val="00E77427"/>
    <w:rsid w:val="00E80285"/>
    <w:rsid w:val="00E8075A"/>
    <w:rsid w:val="00E91EB5"/>
    <w:rsid w:val="00E92403"/>
    <w:rsid w:val="00E93207"/>
    <w:rsid w:val="00E94D5E"/>
    <w:rsid w:val="00E961AA"/>
    <w:rsid w:val="00EA043F"/>
    <w:rsid w:val="00EA7100"/>
    <w:rsid w:val="00EA7F9F"/>
    <w:rsid w:val="00EB1274"/>
    <w:rsid w:val="00EB6AD0"/>
    <w:rsid w:val="00EC0784"/>
    <w:rsid w:val="00EC2D67"/>
    <w:rsid w:val="00EC37B4"/>
    <w:rsid w:val="00ED2BB6"/>
    <w:rsid w:val="00ED34E1"/>
    <w:rsid w:val="00ED3B8D"/>
    <w:rsid w:val="00ED659C"/>
    <w:rsid w:val="00EE7B21"/>
    <w:rsid w:val="00EF1A8F"/>
    <w:rsid w:val="00EF1E1A"/>
    <w:rsid w:val="00EF2E3A"/>
    <w:rsid w:val="00EF316E"/>
    <w:rsid w:val="00F02749"/>
    <w:rsid w:val="00F050D0"/>
    <w:rsid w:val="00F0514C"/>
    <w:rsid w:val="00F072A7"/>
    <w:rsid w:val="00F078DC"/>
    <w:rsid w:val="00F1307F"/>
    <w:rsid w:val="00F235A5"/>
    <w:rsid w:val="00F26EA1"/>
    <w:rsid w:val="00F32BA8"/>
    <w:rsid w:val="00F332CD"/>
    <w:rsid w:val="00F34853"/>
    <w:rsid w:val="00F349F1"/>
    <w:rsid w:val="00F352AD"/>
    <w:rsid w:val="00F35C40"/>
    <w:rsid w:val="00F37307"/>
    <w:rsid w:val="00F4350D"/>
    <w:rsid w:val="00F50782"/>
    <w:rsid w:val="00F50C3C"/>
    <w:rsid w:val="00F567F7"/>
    <w:rsid w:val="00F609B1"/>
    <w:rsid w:val="00F62036"/>
    <w:rsid w:val="00F6377A"/>
    <w:rsid w:val="00F644AD"/>
    <w:rsid w:val="00F65B52"/>
    <w:rsid w:val="00F66D53"/>
    <w:rsid w:val="00F67BCA"/>
    <w:rsid w:val="00F73BD6"/>
    <w:rsid w:val="00F82222"/>
    <w:rsid w:val="00F83989"/>
    <w:rsid w:val="00F83A46"/>
    <w:rsid w:val="00F85099"/>
    <w:rsid w:val="00F9379C"/>
    <w:rsid w:val="00F9632C"/>
    <w:rsid w:val="00F96893"/>
    <w:rsid w:val="00FA1E52"/>
    <w:rsid w:val="00FA4F8E"/>
    <w:rsid w:val="00FA53BC"/>
    <w:rsid w:val="00FA5A00"/>
    <w:rsid w:val="00FB1409"/>
    <w:rsid w:val="00FB7B73"/>
    <w:rsid w:val="00FC2E93"/>
    <w:rsid w:val="00FD30A4"/>
    <w:rsid w:val="00FD30B0"/>
    <w:rsid w:val="00FD380C"/>
    <w:rsid w:val="00FE1058"/>
    <w:rsid w:val="00FE1E45"/>
    <w:rsid w:val="00FE4688"/>
    <w:rsid w:val="00FE4FA5"/>
    <w:rsid w:val="00FE55DA"/>
    <w:rsid w:val="00FF2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033B1"/>
    <w:pPr>
      <w:spacing w:line="260" w:lineRule="atLeast"/>
    </w:pPr>
    <w:rPr>
      <w:sz w:val="22"/>
    </w:rPr>
  </w:style>
  <w:style w:type="paragraph" w:styleId="Heading1">
    <w:name w:val="heading 1"/>
    <w:basedOn w:val="Normal"/>
    <w:next w:val="Normal"/>
    <w:link w:val="Heading1Char"/>
    <w:uiPriority w:val="9"/>
    <w:qFormat/>
    <w:rsid w:val="00C033B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3B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33B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33B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033B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033B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033B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033B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033B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033B1"/>
  </w:style>
  <w:style w:type="paragraph" w:customStyle="1" w:styleId="OPCParaBase">
    <w:name w:val="OPCParaBase"/>
    <w:qFormat/>
    <w:rsid w:val="00C033B1"/>
    <w:pPr>
      <w:spacing w:line="260" w:lineRule="atLeast"/>
    </w:pPr>
    <w:rPr>
      <w:rFonts w:eastAsia="Times New Roman" w:cs="Times New Roman"/>
      <w:sz w:val="22"/>
      <w:lang w:eastAsia="en-AU"/>
    </w:rPr>
  </w:style>
  <w:style w:type="paragraph" w:customStyle="1" w:styleId="ShortT">
    <w:name w:val="ShortT"/>
    <w:basedOn w:val="OPCParaBase"/>
    <w:next w:val="Normal"/>
    <w:qFormat/>
    <w:rsid w:val="00C033B1"/>
    <w:pPr>
      <w:spacing w:line="240" w:lineRule="auto"/>
    </w:pPr>
    <w:rPr>
      <w:b/>
      <w:sz w:val="40"/>
    </w:rPr>
  </w:style>
  <w:style w:type="paragraph" w:customStyle="1" w:styleId="ActHead1">
    <w:name w:val="ActHead 1"/>
    <w:aliases w:val="c"/>
    <w:basedOn w:val="OPCParaBase"/>
    <w:next w:val="Normal"/>
    <w:qFormat/>
    <w:rsid w:val="00C033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033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033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033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033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033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033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033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033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033B1"/>
  </w:style>
  <w:style w:type="paragraph" w:customStyle="1" w:styleId="Blocks">
    <w:name w:val="Blocks"/>
    <w:aliases w:val="bb"/>
    <w:basedOn w:val="OPCParaBase"/>
    <w:qFormat/>
    <w:rsid w:val="00C033B1"/>
    <w:pPr>
      <w:spacing w:line="240" w:lineRule="auto"/>
    </w:pPr>
    <w:rPr>
      <w:sz w:val="24"/>
    </w:rPr>
  </w:style>
  <w:style w:type="paragraph" w:customStyle="1" w:styleId="BoxText">
    <w:name w:val="BoxText"/>
    <w:aliases w:val="bt"/>
    <w:basedOn w:val="OPCParaBase"/>
    <w:qFormat/>
    <w:rsid w:val="00C033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033B1"/>
    <w:rPr>
      <w:b/>
    </w:rPr>
  </w:style>
  <w:style w:type="paragraph" w:customStyle="1" w:styleId="BoxHeadItalic">
    <w:name w:val="BoxHeadItalic"/>
    <w:aliases w:val="bhi"/>
    <w:basedOn w:val="BoxText"/>
    <w:next w:val="BoxStep"/>
    <w:qFormat/>
    <w:rsid w:val="00C033B1"/>
    <w:rPr>
      <w:i/>
    </w:rPr>
  </w:style>
  <w:style w:type="paragraph" w:customStyle="1" w:styleId="BoxList">
    <w:name w:val="BoxList"/>
    <w:aliases w:val="bl"/>
    <w:basedOn w:val="BoxText"/>
    <w:qFormat/>
    <w:rsid w:val="00C033B1"/>
    <w:pPr>
      <w:ind w:left="1559" w:hanging="425"/>
    </w:pPr>
  </w:style>
  <w:style w:type="paragraph" w:customStyle="1" w:styleId="BoxNote">
    <w:name w:val="BoxNote"/>
    <w:aliases w:val="bn"/>
    <w:basedOn w:val="BoxText"/>
    <w:qFormat/>
    <w:rsid w:val="00C033B1"/>
    <w:pPr>
      <w:tabs>
        <w:tab w:val="left" w:pos="1985"/>
      </w:tabs>
      <w:spacing w:before="122" w:line="198" w:lineRule="exact"/>
      <w:ind w:left="2948" w:hanging="1814"/>
    </w:pPr>
    <w:rPr>
      <w:sz w:val="18"/>
    </w:rPr>
  </w:style>
  <w:style w:type="paragraph" w:customStyle="1" w:styleId="BoxPara">
    <w:name w:val="BoxPara"/>
    <w:aliases w:val="bp"/>
    <w:basedOn w:val="BoxText"/>
    <w:qFormat/>
    <w:rsid w:val="00C033B1"/>
    <w:pPr>
      <w:tabs>
        <w:tab w:val="right" w:pos="2268"/>
      </w:tabs>
      <w:ind w:left="2552" w:hanging="1418"/>
    </w:pPr>
  </w:style>
  <w:style w:type="paragraph" w:customStyle="1" w:styleId="BoxStep">
    <w:name w:val="BoxStep"/>
    <w:aliases w:val="bs"/>
    <w:basedOn w:val="BoxText"/>
    <w:qFormat/>
    <w:rsid w:val="00C033B1"/>
    <w:pPr>
      <w:ind w:left="1985" w:hanging="851"/>
    </w:pPr>
  </w:style>
  <w:style w:type="character" w:customStyle="1" w:styleId="CharAmPartNo">
    <w:name w:val="CharAmPartNo"/>
    <w:basedOn w:val="OPCCharBase"/>
    <w:qFormat/>
    <w:rsid w:val="00C033B1"/>
  </w:style>
  <w:style w:type="character" w:customStyle="1" w:styleId="CharAmPartText">
    <w:name w:val="CharAmPartText"/>
    <w:basedOn w:val="OPCCharBase"/>
    <w:qFormat/>
    <w:rsid w:val="00C033B1"/>
  </w:style>
  <w:style w:type="character" w:customStyle="1" w:styleId="CharAmSchNo">
    <w:name w:val="CharAmSchNo"/>
    <w:basedOn w:val="OPCCharBase"/>
    <w:qFormat/>
    <w:rsid w:val="00C033B1"/>
  </w:style>
  <w:style w:type="character" w:customStyle="1" w:styleId="CharAmSchText">
    <w:name w:val="CharAmSchText"/>
    <w:basedOn w:val="OPCCharBase"/>
    <w:qFormat/>
    <w:rsid w:val="00C033B1"/>
  </w:style>
  <w:style w:type="character" w:customStyle="1" w:styleId="CharBoldItalic">
    <w:name w:val="CharBoldItalic"/>
    <w:basedOn w:val="OPCCharBase"/>
    <w:uiPriority w:val="1"/>
    <w:qFormat/>
    <w:rsid w:val="00C033B1"/>
    <w:rPr>
      <w:b/>
      <w:i/>
    </w:rPr>
  </w:style>
  <w:style w:type="character" w:customStyle="1" w:styleId="CharChapNo">
    <w:name w:val="CharChapNo"/>
    <w:basedOn w:val="OPCCharBase"/>
    <w:uiPriority w:val="1"/>
    <w:qFormat/>
    <w:rsid w:val="00C033B1"/>
  </w:style>
  <w:style w:type="character" w:customStyle="1" w:styleId="CharChapText">
    <w:name w:val="CharChapText"/>
    <w:basedOn w:val="OPCCharBase"/>
    <w:uiPriority w:val="1"/>
    <w:qFormat/>
    <w:rsid w:val="00C033B1"/>
  </w:style>
  <w:style w:type="character" w:customStyle="1" w:styleId="CharDivNo">
    <w:name w:val="CharDivNo"/>
    <w:basedOn w:val="OPCCharBase"/>
    <w:uiPriority w:val="1"/>
    <w:qFormat/>
    <w:rsid w:val="00C033B1"/>
  </w:style>
  <w:style w:type="character" w:customStyle="1" w:styleId="CharDivText">
    <w:name w:val="CharDivText"/>
    <w:basedOn w:val="OPCCharBase"/>
    <w:uiPriority w:val="1"/>
    <w:qFormat/>
    <w:rsid w:val="00C033B1"/>
  </w:style>
  <w:style w:type="character" w:customStyle="1" w:styleId="CharItalic">
    <w:name w:val="CharItalic"/>
    <w:basedOn w:val="OPCCharBase"/>
    <w:uiPriority w:val="1"/>
    <w:qFormat/>
    <w:rsid w:val="00C033B1"/>
    <w:rPr>
      <w:i/>
    </w:rPr>
  </w:style>
  <w:style w:type="character" w:customStyle="1" w:styleId="CharPartNo">
    <w:name w:val="CharPartNo"/>
    <w:basedOn w:val="OPCCharBase"/>
    <w:uiPriority w:val="1"/>
    <w:qFormat/>
    <w:rsid w:val="00C033B1"/>
  </w:style>
  <w:style w:type="character" w:customStyle="1" w:styleId="CharPartText">
    <w:name w:val="CharPartText"/>
    <w:basedOn w:val="OPCCharBase"/>
    <w:uiPriority w:val="1"/>
    <w:qFormat/>
    <w:rsid w:val="00C033B1"/>
  </w:style>
  <w:style w:type="character" w:customStyle="1" w:styleId="CharSectno">
    <w:name w:val="CharSectno"/>
    <w:basedOn w:val="OPCCharBase"/>
    <w:qFormat/>
    <w:rsid w:val="00C033B1"/>
  </w:style>
  <w:style w:type="character" w:customStyle="1" w:styleId="CharSubdNo">
    <w:name w:val="CharSubdNo"/>
    <w:basedOn w:val="OPCCharBase"/>
    <w:uiPriority w:val="1"/>
    <w:qFormat/>
    <w:rsid w:val="00C033B1"/>
  </w:style>
  <w:style w:type="character" w:customStyle="1" w:styleId="CharSubdText">
    <w:name w:val="CharSubdText"/>
    <w:basedOn w:val="OPCCharBase"/>
    <w:uiPriority w:val="1"/>
    <w:qFormat/>
    <w:rsid w:val="00C033B1"/>
  </w:style>
  <w:style w:type="paragraph" w:customStyle="1" w:styleId="CTA--">
    <w:name w:val="CTA --"/>
    <w:basedOn w:val="OPCParaBase"/>
    <w:next w:val="Normal"/>
    <w:rsid w:val="00C033B1"/>
    <w:pPr>
      <w:spacing w:before="60" w:line="240" w:lineRule="atLeast"/>
      <w:ind w:left="142" w:hanging="142"/>
    </w:pPr>
    <w:rPr>
      <w:sz w:val="20"/>
    </w:rPr>
  </w:style>
  <w:style w:type="paragraph" w:customStyle="1" w:styleId="CTA-">
    <w:name w:val="CTA -"/>
    <w:basedOn w:val="OPCParaBase"/>
    <w:rsid w:val="00C033B1"/>
    <w:pPr>
      <w:spacing w:before="60" w:line="240" w:lineRule="atLeast"/>
      <w:ind w:left="85" w:hanging="85"/>
    </w:pPr>
    <w:rPr>
      <w:sz w:val="20"/>
    </w:rPr>
  </w:style>
  <w:style w:type="paragraph" w:customStyle="1" w:styleId="CTA---">
    <w:name w:val="CTA ---"/>
    <w:basedOn w:val="OPCParaBase"/>
    <w:next w:val="Normal"/>
    <w:rsid w:val="00C033B1"/>
    <w:pPr>
      <w:spacing w:before="60" w:line="240" w:lineRule="atLeast"/>
      <w:ind w:left="198" w:hanging="198"/>
    </w:pPr>
    <w:rPr>
      <w:sz w:val="20"/>
    </w:rPr>
  </w:style>
  <w:style w:type="paragraph" w:customStyle="1" w:styleId="CTA----">
    <w:name w:val="CTA ----"/>
    <w:basedOn w:val="OPCParaBase"/>
    <w:next w:val="Normal"/>
    <w:rsid w:val="00C033B1"/>
    <w:pPr>
      <w:spacing w:before="60" w:line="240" w:lineRule="atLeast"/>
      <w:ind w:left="255" w:hanging="255"/>
    </w:pPr>
    <w:rPr>
      <w:sz w:val="20"/>
    </w:rPr>
  </w:style>
  <w:style w:type="paragraph" w:customStyle="1" w:styleId="CTA1a">
    <w:name w:val="CTA 1(a)"/>
    <w:basedOn w:val="OPCParaBase"/>
    <w:rsid w:val="00C033B1"/>
    <w:pPr>
      <w:tabs>
        <w:tab w:val="right" w:pos="414"/>
      </w:tabs>
      <w:spacing w:before="40" w:line="240" w:lineRule="atLeast"/>
      <w:ind w:left="675" w:hanging="675"/>
    </w:pPr>
    <w:rPr>
      <w:sz w:val="20"/>
    </w:rPr>
  </w:style>
  <w:style w:type="paragraph" w:customStyle="1" w:styleId="CTA1ai">
    <w:name w:val="CTA 1(a)(i)"/>
    <w:basedOn w:val="OPCParaBase"/>
    <w:rsid w:val="00C033B1"/>
    <w:pPr>
      <w:tabs>
        <w:tab w:val="right" w:pos="1004"/>
      </w:tabs>
      <w:spacing w:before="40" w:line="240" w:lineRule="atLeast"/>
      <w:ind w:left="1253" w:hanging="1253"/>
    </w:pPr>
    <w:rPr>
      <w:sz w:val="20"/>
    </w:rPr>
  </w:style>
  <w:style w:type="paragraph" w:customStyle="1" w:styleId="CTA2a">
    <w:name w:val="CTA 2(a)"/>
    <w:basedOn w:val="OPCParaBase"/>
    <w:rsid w:val="00C033B1"/>
    <w:pPr>
      <w:tabs>
        <w:tab w:val="right" w:pos="482"/>
      </w:tabs>
      <w:spacing w:before="40" w:line="240" w:lineRule="atLeast"/>
      <w:ind w:left="748" w:hanging="748"/>
    </w:pPr>
    <w:rPr>
      <w:sz w:val="20"/>
    </w:rPr>
  </w:style>
  <w:style w:type="paragraph" w:customStyle="1" w:styleId="CTA2ai">
    <w:name w:val="CTA 2(a)(i)"/>
    <w:basedOn w:val="OPCParaBase"/>
    <w:rsid w:val="00C033B1"/>
    <w:pPr>
      <w:tabs>
        <w:tab w:val="right" w:pos="1089"/>
      </w:tabs>
      <w:spacing w:before="40" w:line="240" w:lineRule="atLeast"/>
      <w:ind w:left="1327" w:hanging="1327"/>
    </w:pPr>
    <w:rPr>
      <w:sz w:val="20"/>
    </w:rPr>
  </w:style>
  <w:style w:type="paragraph" w:customStyle="1" w:styleId="CTA3a">
    <w:name w:val="CTA 3(a)"/>
    <w:basedOn w:val="OPCParaBase"/>
    <w:rsid w:val="00C033B1"/>
    <w:pPr>
      <w:tabs>
        <w:tab w:val="right" w:pos="556"/>
      </w:tabs>
      <w:spacing w:before="40" w:line="240" w:lineRule="atLeast"/>
      <w:ind w:left="805" w:hanging="805"/>
    </w:pPr>
    <w:rPr>
      <w:sz w:val="20"/>
    </w:rPr>
  </w:style>
  <w:style w:type="paragraph" w:customStyle="1" w:styleId="CTA3ai">
    <w:name w:val="CTA 3(a)(i)"/>
    <w:basedOn w:val="OPCParaBase"/>
    <w:rsid w:val="00C033B1"/>
    <w:pPr>
      <w:tabs>
        <w:tab w:val="right" w:pos="1140"/>
      </w:tabs>
      <w:spacing w:before="40" w:line="240" w:lineRule="atLeast"/>
      <w:ind w:left="1361" w:hanging="1361"/>
    </w:pPr>
    <w:rPr>
      <w:sz w:val="20"/>
    </w:rPr>
  </w:style>
  <w:style w:type="paragraph" w:customStyle="1" w:styleId="CTA4a">
    <w:name w:val="CTA 4(a)"/>
    <w:basedOn w:val="OPCParaBase"/>
    <w:rsid w:val="00C033B1"/>
    <w:pPr>
      <w:tabs>
        <w:tab w:val="right" w:pos="624"/>
      </w:tabs>
      <w:spacing w:before="40" w:line="240" w:lineRule="atLeast"/>
      <w:ind w:left="873" w:hanging="873"/>
    </w:pPr>
    <w:rPr>
      <w:sz w:val="20"/>
    </w:rPr>
  </w:style>
  <w:style w:type="paragraph" w:customStyle="1" w:styleId="CTA4ai">
    <w:name w:val="CTA 4(a)(i)"/>
    <w:basedOn w:val="OPCParaBase"/>
    <w:rsid w:val="00C033B1"/>
    <w:pPr>
      <w:tabs>
        <w:tab w:val="right" w:pos="1213"/>
      </w:tabs>
      <w:spacing w:before="40" w:line="240" w:lineRule="atLeast"/>
      <w:ind w:left="1452" w:hanging="1452"/>
    </w:pPr>
    <w:rPr>
      <w:sz w:val="20"/>
    </w:rPr>
  </w:style>
  <w:style w:type="paragraph" w:customStyle="1" w:styleId="CTACAPS">
    <w:name w:val="CTA CAPS"/>
    <w:basedOn w:val="OPCParaBase"/>
    <w:rsid w:val="00C033B1"/>
    <w:pPr>
      <w:spacing w:before="60" w:line="240" w:lineRule="atLeast"/>
    </w:pPr>
    <w:rPr>
      <w:sz w:val="20"/>
    </w:rPr>
  </w:style>
  <w:style w:type="paragraph" w:customStyle="1" w:styleId="CTAright">
    <w:name w:val="CTA right"/>
    <w:basedOn w:val="OPCParaBase"/>
    <w:rsid w:val="00C033B1"/>
    <w:pPr>
      <w:spacing w:before="60" w:line="240" w:lineRule="auto"/>
      <w:jc w:val="right"/>
    </w:pPr>
    <w:rPr>
      <w:sz w:val="20"/>
    </w:rPr>
  </w:style>
  <w:style w:type="paragraph" w:customStyle="1" w:styleId="subsection">
    <w:name w:val="subsection"/>
    <w:aliases w:val="ss,Subsection"/>
    <w:basedOn w:val="OPCParaBase"/>
    <w:link w:val="subsectionChar"/>
    <w:rsid w:val="00C033B1"/>
    <w:pPr>
      <w:tabs>
        <w:tab w:val="right" w:pos="1021"/>
      </w:tabs>
      <w:spacing w:before="180" w:line="240" w:lineRule="auto"/>
      <w:ind w:left="1134" w:hanging="1134"/>
    </w:pPr>
  </w:style>
  <w:style w:type="paragraph" w:customStyle="1" w:styleId="Definition">
    <w:name w:val="Definition"/>
    <w:aliases w:val="dd"/>
    <w:basedOn w:val="OPCParaBase"/>
    <w:rsid w:val="00C033B1"/>
    <w:pPr>
      <w:spacing w:before="180" w:line="240" w:lineRule="auto"/>
      <w:ind w:left="1134"/>
    </w:pPr>
  </w:style>
  <w:style w:type="paragraph" w:customStyle="1" w:styleId="EndNotespara">
    <w:name w:val="EndNotes(para)"/>
    <w:aliases w:val="eta"/>
    <w:basedOn w:val="OPCParaBase"/>
    <w:next w:val="EndNotessubpara"/>
    <w:rsid w:val="00C033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033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033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033B1"/>
    <w:pPr>
      <w:tabs>
        <w:tab w:val="right" w:pos="1412"/>
      </w:tabs>
      <w:spacing w:before="60" w:line="240" w:lineRule="auto"/>
      <w:ind w:left="1525" w:hanging="1525"/>
    </w:pPr>
    <w:rPr>
      <w:sz w:val="20"/>
    </w:rPr>
  </w:style>
  <w:style w:type="paragraph" w:customStyle="1" w:styleId="Formula">
    <w:name w:val="Formula"/>
    <w:basedOn w:val="OPCParaBase"/>
    <w:rsid w:val="00C033B1"/>
    <w:pPr>
      <w:spacing w:line="240" w:lineRule="auto"/>
      <w:ind w:left="1134"/>
    </w:pPr>
    <w:rPr>
      <w:sz w:val="20"/>
    </w:rPr>
  </w:style>
  <w:style w:type="paragraph" w:styleId="Header">
    <w:name w:val="header"/>
    <w:basedOn w:val="OPCParaBase"/>
    <w:link w:val="HeaderChar"/>
    <w:unhideWhenUsed/>
    <w:rsid w:val="00C033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033B1"/>
    <w:rPr>
      <w:rFonts w:eastAsia="Times New Roman" w:cs="Times New Roman"/>
      <w:sz w:val="16"/>
      <w:lang w:eastAsia="en-AU"/>
    </w:rPr>
  </w:style>
  <w:style w:type="paragraph" w:customStyle="1" w:styleId="House">
    <w:name w:val="House"/>
    <w:basedOn w:val="OPCParaBase"/>
    <w:rsid w:val="00C033B1"/>
    <w:pPr>
      <w:spacing w:line="240" w:lineRule="auto"/>
    </w:pPr>
    <w:rPr>
      <w:sz w:val="28"/>
    </w:rPr>
  </w:style>
  <w:style w:type="paragraph" w:customStyle="1" w:styleId="Item">
    <w:name w:val="Item"/>
    <w:aliases w:val="i"/>
    <w:basedOn w:val="OPCParaBase"/>
    <w:next w:val="ItemHead"/>
    <w:rsid w:val="00C033B1"/>
    <w:pPr>
      <w:keepLines/>
      <w:spacing w:before="80" w:line="240" w:lineRule="auto"/>
      <w:ind w:left="709"/>
    </w:pPr>
  </w:style>
  <w:style w:type="paragraph" w:customStyle="1" w:styleId="ItemHead">
    <w:name w:val="ItemHead"/>
    <w:aliases w:val="ih"/>
    <w:basedOn w:val="OPCParaBase"/>
    <w:next w:val="Item"/>
    <w:link w:val="ItemHeadChar"/>
    <w:rsid w:val="00C033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033B1"/>
    <w:pPr>
      <w:spacing w:line="240" w:lineRule="auto"/>
    </w:pPr>
    <w:rPr>
      <w:b/>
      <w:sz w:val="32"/>
    </w:rPr>
  </w:style>
  <w:style w:type="paragraph" w:customStyle="1" w:styleId="notedraft">
    <w:name w:val="note(draft)"/>
    <w:aliases w:val="nd"/>
    <w:basedOn w:val="OPCParaBase"/>
    <w:rsid w:val="00C033B1"/>
    <w:pPr>
      <w:spacing w:before="240" w:line="240" w:lineRule="auto"/>
      <w:ind w:left="284" w:hanging="284"/>
    </w:pPr>
    <w:rPr>
      <w:i/>
      <w:sz w:val="24"/>
    </w:rPr>
  </w:style>
  <w:style w:type="paragraph" w:customStyle="1" w:styleId="notemargin">
    <w:name w:val="note(margin)"/>
    <w:aliases w:val="nm"/>
    <w:basedOn w:val="OPCParaBase"/>
    <w:rsid w:val="00C033B1"/>
    <w:pPr>
      <w:tabs>
        <w:tab w:val="left" w:pos="709"/>
      </w:tabs>
      <w:spacing w:before="122" w:line="198" w:lineRule="exact"/>
      <w:ind w:left="709" w:hanging="709"/>
    </w:pPr>
    <w:rPr>
      <w:sz w:val="18"/>
    </w:rPr>
  </w:style>
  <w:style w:type="paragraph" w:customStyle="1" w:styleId="noteToPara">
    <w:name w:val="noteToPara"/>
    <w:aliases w:val="ntp"/>
    <w:basedOn w:val="OPCParaBase"/>
    <w:rsid w:val="00C033B1"/>
    <w:pPr>
      <w:spacing w:before="122" w:line="198" w:lineRule="exact"/>
      <w:ind w:left="2353" w:hanging="709"/>
    </w:pPr>
    <w:rPr>
      <w:sz w:val="18"/>
    </w:rPr>
  </w:style>
  <w:style w:type="paragraph" w:customStyle="1" w:styleId="noteParlAmend">
    <w:name w:val="note(ParlAmend)"/>
    <w:aliases w:val="npp"/>
    <w:basedOn w:val="OPCParaBase"/>
    <w:next w:val="ParlAmend"/>
    <w:rsid w:val="00C033B1"/>
    <w:pPr>
      <w:spacing w:line="240" w:lineRule="auto"/>
      <w:jc w:val="right"/>
    </w:pPr>
    <w:rPr>
      <w:rFonts w:ascii="Arial" w:hAnsi="Arial"/>
      <w:b/>
      <w:i/>
    </w:rPr>
  </w:style>
  <w:style w:type="paragraph" w:customStyle="1" w:styleId="Page1">
    <w:name w:val="Page1"/>
    <w:basedOn w:val="OPCParaBase"/>
    <w:rsid w:val="00C033B1"/>
    <w:pPr>
      <w:spacing w:before="5600" w:line="240" w:lineRule="auto"/>
    </w:pPr>
    <w:rPr>
      <w:b/>
      <w:sz w:val="32"/>
    </w:rPr>
  </w:style>
  <w:style w:type="paragraph" w:customStyle="1" w:styleId="PageBreak">
    <w:name w:val="PageBreak"/>
    <w:aliases w:val="pb"/>
    <w:basedOn w:val="OPCParaBase"/>
    <w:rsid w:val="00C033B1"/>
    <w:pPr>
      <w:spacing w:line="240" w:lineRule="auto"/>
    </w:pPr>
    <w:rPr>
      <w:sz w:val="20"/>
    </w:rPr>
  </w:style>
  <w:style w:type="paragraph" w:customStyle="1" w:styleId="paragraphsub">
    <w:name w:val="paragraph(sub)"/>
    <w:aliases w:val="aa"/>
    <w:basedOn w:val="OPCParaBase"/>
    <w:rsid w:val="00C033B1"/>
    <w:pPr>
      <w:tabs>
        <w:tab w:val="right" w:pos="1985"/>
      </w:tabs>
      <w:spacing w:before="40" w:line="240" w:lineRule="auto"/>
      <w:ind w:left="2098" w:hanging="2098"/>
    </w:pPr>
  </w:style>
  <w:style w:type="paragraph" w:customStyle="1" w:styleId="paragraphsub-sub">
    <w:name w:val="paragraph(sub-sub)"/>
    <w:aliases w:val="aaa"/>
    <w:basedOn w:val="OPCParaBase"/>
    <w:rsid w:val="00C033B1"/>
    <w:pPr>
      <w:tabs>
        <w:tab w:val="right" w:pos="2722"/>
      </w:tabs>
      <w:spacing w:before="40" w:line="240" w:lineRule="auto"/>
      <w:ind w:left="2835" w:hanging="2835"/>
    </w:pPr>
  </w:style>
  <w:style w:type="paragraph" w:customStyle="1" w:styleId="paragraph">
    <w:name w:val="paragraph"/>
    <w:aliases w:val="a"/>
    <w:basedOn w:val="OPCParaBase"/>
    <w:link w:val="paragraphChar"/>
    <w:rsid w:val="00C033B1"/>
    <w:pPr>
      <w:tabs>
        <w:tab w:val="right" w:pos="1531"/>
      </w:tabs>
      <w:spacing w:before="40" w:line="240" w:lineRule="auto"/>
      <w:ind w:left="1644" w:hanging="1644"/>
    </w:pPr>
  </w:style>
  <w:style w:type="paragraph" w:customStyle="1" w:styleId="ParlAmend">
    <w:name w:val="ParlAmend"/>
    <w:aliases w:val="pp"/>
    <w:basedOn w:val="OPCParaBase"/>
    <w:rsid w:val="00C033B1"/>
    <w:pPr>
      <w:spacing w:before="240" w:line="240" w:lineRule="atLeast"/>
      <w:ind w:hanging="567"/>
    </w:pPr>
    <w:rPr>
      <w:sz w:val="24"/>
    </w:rPr>
  </w:style>
  <w:style w:type="paragraph" w:customStyle="1" w:styleId="Penalty">
    <w:name w:val="Penalty"/>
    <w:basedOn w:val="OPCParaBase"/>
    <w:rsid w:val="00C033B1"/>
    <w:pPr>
      <w:tabs>
        <w:tab w:val="left" w:pos="2977"/>
      </w:tabs>
      <w:spacing w:before="180" w:line="240" w:lineRule="auto"/>
      <w:ind w:left="1985" w:hanging="851"/>
    </w:pPr>
  </w:style>
  <w:style w:type="paragraph" w:customStyle="1" w:styleId="Portfolio">
    <w:name w:val="Portfolio"/>
    <w:basedOn w:val="OPCParaBase"/>
    <w:rsid w:val="00C033B1"/>
    <w:pPr>
      <w:spacing w:line="240" w:lineRule="auto"/>
    </w:pPr>
    <w:rPr>
      <w:i/>
      <w:sz w:val="20"/>
    </w:rPr>
  </w:style>
  <w:style w:type="paragraph" w:customStyle="1" w:styleId="Preamble">
    <w:name w:val="Preamble"/>
    <w:basedOn w:val="OPCParaBase"/>
    <w:next w:val="Normal"/>
    <w:rsid w:val="00C033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033B1"/>
    <w:pPr>
      <w:spacing w:line="240" w:lineRule="auto"/>
    </w:pPr>
    <w:rPr>
      <w:i/>
      <w:sz w:val="20"/>
    </w:rPr>
  </w:style>
  <w:style w:type="paragraph" w:customStyle="1" w:styleId="Session">
    <w:name w:val="Session"/>
    <w:basedOn w:val="OPCParaBase"/>
    <w:rsid w:val="00C033B1"/>
    <w:pPr>
      <w:spacing w:line="240" w:lineRule="auto"/>
    </w:pPr>
    <w:rPr>
      <w:sz w:val="28"/>
    </w:rPr>
  </w:style>
  <w:style w:type="paragraph" w:customStyle="1" w:styleId="Sponsor">
    <w:name w:val="Sponsor"/>
    <w:basedOn w:val="OPCParaBase"/>
    <w:rsid w:val="00C033B1"/>
    <w:pPr>
      <w:spacing w:line="240" w:lineRule="auto"/>
    </w:pPr>
    <w:rPr>
      <w:i/>
    </w:rPr>
  </w:style>
  <w:style w:type="paragraph" w:customStyle="1" w:styleId="Subitem">
    <w:name w:val="Subitem"/>
    <w:aliases w:val="iss"/>
    <w:basedOn w:val="OPCParaBase"/>
    <w:rsid w:val="00C033B1"/>
    <w:pPr>
      <w:spacing w:before="180" w:line="240" w:lineRule="auto"/>
      <w:ind w:left="709" w:hanging="709"/>
    </w:pPr>
  </w:style>
  <w:style w:type="paragraph" w:customStyle="1" w:styleId="SubitemHead">
    <w:name w:val="SubitemHead"/>
    <w:aliases w:val="issh"/>
    <w:basedOn w:val="OPCParaBase"/>
    <w:rsid w:val="00C033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033B1"/>
    <w:pPr>
      <w:spacing w:before="40" w:line="240" w:lineRule="auto"/>
      <w:ind w:left="1134"/>
    </w:pPr>
  </w:style>
  <w:style w:type="paragraph" w:customStyle="1" w:styleId="SubsectionHead">
    <w:name w:val="SubsectionHead"/>
    <w:aliases w:val="ssh"/>
    <w:basedOn w:val="OPCParaBase"/>
    <w:next w:val="subsection"/>
    <w:rsid w:val="00C033B1"/>
    <w:pPr>
      <w:keepNext/>
      <w:keepLines/>
      <w:spacing w:before="240" w:line="240" w:lineRule="auto"/>
      <w:ind w:left="1134"/>
    </w:pPr>
    <w:rPr>
      <w:i/>
    </w:rPr>
  </w:style>
  <w:style w:type="paragraph" w:customStyle="1" w:styleId="Tablea">
    <w:name w:val="Table(a)"/>
    <w:aliases w:val="ta"/>
    <w:basedOn w:val="OPCParaBase"/>
    <w:rsid w:val="00C033B1"/>
    <w:pPr>
      <w:spacing w:before="60" w:line="240" w:lineRule="auto"/>
      <w:ind w:left="284" w:hanging="284"/>
    </w:pPr>
    <w:rPr>
      <w:sz w:val="20"/>
    </w:rPr>
  </w:style>
  <w:style w:type="paragraph" w:customStyle="1" w:styleId="TableAA">
    <w:name w:val="Table(AA)"/>
    <w:aliases w:val="taaa"/>
    <w:basedOn w:val="OPCParaBase"/>
    <w:rsid w:val="00C033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033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033B1"/>
    <w:pPr>
      <w:spacing w:before="60" w:line="240" w:lineRule="atLeast"/>
    </w:pPr>
    <w:rPr>
      <w:sz w:val="20"/>
    </w:rPr>
  </w:style>
  <w:style w:type="paragraph" w:customStyle="1" w:styleId="TLPBoxTextnote">
    <w:name w:val="TLPBoxText(note"/>
    <w:aliases w:val="right)"/>
    <w:basedOn w:val="OPCParaBase"/>
    <w:rsid w:val="00C033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033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033B1"/>
    <w:pPr>
      <w:spacing w:before="122" w:line="198" w:lineRule="exact"/>
      <w:ind w:left="1985" w:hanging="851"/>
      <w:jc w:val="right"/>
    </w:pPr>
    <w:rPr>
      <w:sz w:val="18"/>
    </w:rPr>
  </w:style>
  <w:style w:type="paragraph" w:customStyle="1" w:styleId="TLPTableBullet">
    <w:name w:val="TLPTableBullet"/>
    <w:aliases w:val="ttb"/>
    <w:basedOn w:val="OPCParaBase"/>
    <w:rsid w:val="00C033B1"/>
    <w:pPr>
      <w:spacing w:line="240" w:lineRule="exact"/>
      <w:ind w:left="284" w:hanging="284"/>
    </w:pPr>
    <w:rPr>
      <w:sz w:val="20"/>
    </w:rPr>
  </w:style>
  <w:style w:type="paragraph" w:styleId="TOC1">
    <w:name w:val="toc 1"/>
    <w:basedOn w:val="Normal"/>
    <w:next w:val="Normal"/>
    <w:uiPriority w:val="39"/>
    <w:unhideWhenUsed/>
    <w:rsid w:val="00C033B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033B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033B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033B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033B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033B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033B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033B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033B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033B1"/>
    <w:pPr>
      <w:keepLines/>
      <w:spacing w:before="240" w:after="120" w:line="240" w:lineRule="auto"/>
      <w:ind w:left="794"/>
    </w:pPr>
    <w:rPr>
      <w:b/>
      <w:kern w:val="28"/>
      <w:sz w:val="20"/>
    </w:rPr>
  </w:style>
  <w:style w:type="paragraph" w:customStyle="1" w:styleId="TofSectsHeading">
    <w:name w:val="TofSects(Heading)"/>
    <w:basedOn w:val="OPCParaBase"/>
    <w:rsid w:val="00C033B1"/>
    <w:pPr>
      <w:spacing w:before="240" w:after="120" w:line="240" w:lineRule="auto"/>
    </w:pPr>
    <w:rPr>
      <w:b/>
      <w:sz w:val="24"/>
    </w:rPr>
  </w:style>
  <w:style w:type="paragraph" w:customStyle="1" w:styleId="TofSectsSection">
    <w:name w:val="TofSects(Section)"/>
    <w:basedOn w:val="OPCParaBase"/>
    <w:rsid w:val="00C033B1"/>
    <w:pPr>
      <w:keepLines/>
      <w:spacing w:before="40" w:line="240" w:lineRule="auto"/>
      <w:ind w:left="1588" w:hanging="794"/>
    </w:pPr>
    <w:rPr>
      <w:kern w:val="28"/>
      <w:sz w:val="18"/>
    </w:rPr>
  </w:style>
  <w:style w:type="paragraph" w:customStyle="1" w:styleId="TofSectsSubdiv">
    <w:name w:val="TofSects(Subdiv)"/>
    <w:basedOn w:val="OPCParaBase"/>
    <w:rsid w:val="00C033B1"/>
    <w:pPr>
      <w:keepLines/>
      <w:spacing w:before="80" w:line="240" w:lineRule="auto"/>
      <w:ind w:left="1588" w:hanging="794"/>
    </w:pPr>
    <w:rPr>
      <w:kern w:val="28"/>
    </w:rPr>
  </w:style>
  <w:style w:type="paragraph" w:customStyle="1" w:styleId="WRStyle">
    <w:name w:val="WR Style"/>
    <w:aliases w:val="WR"/>
    <w:basedOn w:val="OPCParaBase"/>
    <w:rsid w:val="00C033B1"/>
    <w:pPr>
      <w:spacing w:before="240" w:line="240" w:lineRule="auto"/>
      <w:ind w:left="284" w:hanging="284"/>
    </w:pPr>
    <w:rPr>
      <w:b/>
      <w:i/>
      <w:kern w:val="28"/>
      <w:sz w:val="24"/>
    </w:rPr>
  </w:style>
  <w:style w:type="paragraph" w:customStyle="1" w:styleId="notepara">
    <w:name w:val="note(para)"/>
    <w:aliases w:val="na"/>
    <w:basedOn w:val="OPCParaBase"/>
    <w:rsid w:val="00C033B1"/>
    <w:pPr>
      <w:spacing w:before="40" w:line="198" w:lineRule="exact"/>
      <w:ind w:left="2354" w:hanging="369"/>
    </w:pPr>
    <w:rPr>
      <w:sz w:val="18"/>
    </w:rPr>
  </w:style>
  <w:style w:type="paragraph" w:styleId="Footer">
    <w:name w:val="footer"/>
    <w:link w:val="FooterChar"/>
    <w:rsid w:val="00C033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033B1"/>
    <w:rPr>
      <w:rFonts w:eastAsia="Times New Roman" w:cs="Times New Roman"/>
      <w:sz w:val="22"/>
      <w:szCs w:val="24"/>
      <w:lang w:eastAsia="en-AU"/>
    </w:rPr>
  </w:style>
  <w:style w:type="character" w:styleId="LineNumber">
    <w:name w:val="line number"/>
    <w:basedOn w:val="OPCCharBase"/>
    <w:uiPriority w:val="99"/>
    <w:unhideWhenUsed/>
    <w:rsid w:val="00C033B1"/>
    <w:rPr>
      <w:sz w:val="16"/>
    </w:rPr>
  </w:style>
  <w:style w:type="table" w:customStyle="1" w:styleId="CFlag">
    <w:name w:val="CFlag"/>
    <w:basedOn w:val="TableNormal"/>
    <w:uiPriority w:val="99"/>
    <w:rsid w:val="00C033B1"/>
    <w:rPr>
      <w:rFonts w:eastAsia="Times New Roman" w:cs="Times New Roman"/>
      <w:lang w:eastAsia="en-AU"/>
    </w:rPr>
    <w:tblPr/>
  </w:style>
  <w:style w:type="paragraph" w:styleId="BalloonText">
    <w:name w:val="Balloon Text"/>
    <w:basedOn w:val="Normal"/>
    <w:link w:val="BalloonTextChar"/>
    <w:uiPriority w:val="99"/>
    <w:unhideWhenUsed/>
    <w:rsid w:val="00C03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033B1"/>
    <w:rPr>
      <w:rFonts w:ascii="Tahoma" w:hAnsi="Tahoma" w:cs="Tahoma"/>
      <w:sz w:val="16"/>
      <w:szCs w:val="16"/>
    </w:rPr>
  </w:style>
  <w:style w:type="table" w:styleId="TableGrid">
    <w:name w:val="Table Grid"/>
    <w:basedOn w:val="TableNormal"/>
    <w:uiPriority w:val="59"/>
    <w:rsid w:val="00C03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033B1"/>
    <w:rPr>
      <w:b/>
      <w:sz w:val="28"/>
      <w:szCs w:val="32"/>
    </w:rPr>
  </w:style>
  <w:style w:type="paragraph" w:customStyle="1" w:styleId="LegislationMadeUnder">
    <w:name w:val="LegislationMadeUnder"/>
    <w:basedOn w:val="OPCParaBase"/>
    <w:next w:val="Normal"/>
    <w:rsid w:val="00C033B1"/>
    <w:rPr>
      <w:i/>
      <w:sz w:val="32"/>
      <w:szCs w:val="32"/>
    </w:rPr>
  </w:style>
  <w:style w:type="paragraph" w:customStyle="1" w:styleId="SignCoverPageEnd">
    <w:name w:val="SignCoverPageEnd"/>
    <w:basedOn w:val="OPCParaBase"/>
    <w:next w:val="Normal"/>
    <w:rsid w:val="00C033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033B1"/>
    <w:pPr>
      <w:pBdr>
        <w:top w:val="single" w:sz="4" w:space="1" w:color="auto"/>
      </w:pBdr>
      <w:spacing w:before="360"/>
      <w:ind w:right="397"/>
      <w:jc w:val="both"/>
    </w:pPr>
  </w:style>
  <w:style w:type="paragraph" w:customStyle="1" w:styleId="NotesHeading1">
    <w:name w:val="NotesHeading 1"/>
    <w:basedOn w:val="OPCParaBase"/>
    <w:next w:val="Normal"/>
    <w:rsid w:val="00C033B1"/>
    <w:rPr>
      <w:b/>
      <w:sz w:val="28"/>
      <w:szCs w:val="28"/>
    </w:rPr>
  </w:style>
  <w:style w:type="paragraph" w:customStyle="1" w:styleId="NotesHeading2">
    <w:name w:val="NotesHeading 2"/>
    <w:basedOn w:val="OPCParaBase"/>
    <w:next w:val="Normal"/>
    <w:rsid w:val="00C033B1"/>
    <w:rPr>
      <w:b/>
      <w:sz w:val="28"/>
      <w:szCs w:val="28"/>
    </w:rPr>
  </w:style>
  <w:style w:type="paragraph" w:customStyle="1" w:styleId="CompiledActNo">
    <w:name w:val="CompiledActNo"/>
    <w:basedOn w:val="OPCParaBase"/>
    <w:next w:val="Normal"/>
    <w:rsid w:val="00C033B1"/>
    <w:rPr>
      <w:b/>
      <w:sz w:val="24"/>
      <w:szCs w:val="24"/>
    </w:rPr>
  </w:style>
  <w:style w:type="paragraph" w:customStyle="1" w:styleId="ENotesText">
    <w:name w:val="ENotesText"/>
    <w:aliases w:val="Ent"/>
    <w:basedOn w:val="OPCParaBase"/>
    <w:next w:val="Normal"/>
    <w:rsid w:val="00C033B1"/>
    <w:pPr>
      <w:spacing w:before="120"/>
    </w:pPr>
  </w:style>
  <w:style w:type="paragraph" w:customStyle="1" w:styleId="CompiledMadeUnder">
    <w:name w:val="CompiledMadeUnder"/>
    <w:basedOn w:val="OPCParaBase"/>
    <w:next w:val="Normal"/>
    <w:rsid w:val="00C033B1"/>
    <w:rPr>
      <w:i/>
      <w:sz w:val="24"/>
      <w:szCs w:val="24"/>
    </w:rPr>
  </w:style>
  <w:style w:type="paragraph" w:customStyle="1" w:styleId="Paragraphsub-sub-sub">
    <w:name w:val="Paragraph(sub-sub-sub)"/>
    <w:aliases w:val="aaaa"/>
    <w:basedOn w:val="OPCParaBase"/>
    <w:rsid w:val="00C033B1"/>
    <w:pPr>
      <w:tabs>
        <w:tab w:val="right" w:pos="3402"/>
      </w:tabs>
      <w:spacing w:before="40" w:line="240" w:lineRule="auto"/>
      <w:ind w:left="3402" w:hanging="3402"/>
    </w:pPr>
  </w:style>
  <w:style w:type="paragraph" w:customStyle="1" w:styleId="TableTextEndNotes">
    <w:name w:val="TableTextEndNotes"/>
    <w:aliases w:val="Tten"/>
    <w:basedOn w:val="Normal"/>
    <w:rsid w:val="00C033B1"/>
    <w:pPr>
      <w:spacing w:before="60" w:line="240" w:lineRule="auto"/>
    </w:pPr>
    <w:rPr>
      <w:rFonts w:cs="Arial"/>
      <w:sz w:val="20"/>
      <w:szCs w:val="22"/>
    </w:rPr>
  </w:style>
  <w:style w:type="paragraph" w:customStyle="1" w:styleId="NoteToSubpara">
    <w:name w:val="NoteToSubpara"/>
    <w:aliases w:val="nts"/>
    <w:basedOn w:val="OPCParaBase"/>
    <w:rsid w:val="00C033B1"/>
    <w:pPr>
      <w:spacing w:before="40" w:line="198" w:lineRule="exact"/>
      <w:ind w:left="2835" w:hanging="709"/>
    </w:pPr>
    <w:rPr>
      <w:sz w:val="18"/>
    </w:rPr>
  </w:style>
  <w:style w:type="paragraph" w:customStyle="1" w:styleId="ENoteTableHeading">
    <w:name w:val="ENoteTableHeading"/>
    <w:aliases w:val="enth"/>
    <w:basedOn w:val="OPCParaBase"/>
    <w:rsid w:val="00C033B1"/>
    <w:pPr>
      <w:keepNext/>
      <w:spacing w:before="60" w:line="240" w:lineRule="atLeast"/>
    </w:pPr>
    <w:rPr>
      <w:rFonts w:ascii="Arial" w:hAnsi="Arial"/>
      <w:b/>
      <w:sz w:val="16"/>
    </w:rPr>
  </w:style>
  <w:style w:type="paragraph" w:customStyle="1" w:styleId="ENoteTTi">
    <w:name w:val="ENoteTTi"/>
    <w:aliases w:val="entti"/>
    <w:basedOn w:val="OPCParaBase"/>
    <w:rsid w:val="00C033B1"/>
    <w:pPr>
      <w:keepNext/>
      <w:spacing w:before="60" w:line="240" w:lineRule="atLeast"/>
      <w:ind w:left="170"/>
    </w:pPr>
    <w:rPr>
      <w:sz w:val="16"/>
    </w:rPr>
  </w:style>
  <w:style w:type="paragraph" w:customStyle="1" w:styleId="ENotesHeading1">
    <w:name w:val="ENotesHeading 1"/>
    <w:aliases w:val="Enh1"/>
    <w:basedOn w:val="OPCParaBase"/>
    <w:next w:val="Normal"/>
    <w:rsid w:val="00C033B1"/>
    <w:pPr>
      <w:spacing w:before="120"/>
      <w:outlineLvl w:val="1"/>
    </w:pPr>
    <w:rPr>
      <w:b/>
      <w:sz w:val="28"/>
      <w:szCs w:val="28"/>
    </w:rPr>
  </w:style>
  <w:style w:type="paragraph" w:customStyle="1" w:styleId="ENotesHeading2">
    <w:name w:val="ENotesHeading 2"/>
    <w:aliases w:val="Enh2"/>
    <w:basedOn w:val="OPCParaBase"/>
    <w:next w:val="Normal"/>
    <w:rsid w:val="00C033B1"/>
    <w:pPr>
      <w:spacing w:before="120" w:after="120"/>
      <w:outlineLvl w:val="2"/>
    </w:pPr>
    <w:rPr>
      <w:b/>
      <w:sz w:val="24"/>
      <w:szCs w:val="28"/>
    </w:rPr>
  </w:style>
  <w:style w:type="paragraph" w:customStyle="1" w:styleId="ENoteTTIndentHeading">
    <w:name w:val="ENoteTTIndentHeading"/>
    <w:aliases w:val="enTTHi"/>
    <w:basedOn w:val="OPCParaBase"/>
    <w:rsid w:val="00C033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033B1"/>
    <w:pPr>
      <w:spacing w:before="60" w:line="240" w:lineRule="atLeast"/>
    </w:pPr>
    <w:rPr>
      <w:sz w:val="16"/>
    </w:rPr>
  </w:style>
  <w:style w:type="paragraph" w:customStyle="1" w:styleId="MadeunderText">
    <w:name w:val="MadeunderText"/>
    <w:basedOn w:val="OPCParaBase"/>
    <w:next w:val="Normal"/>
    <w:rsid w:val="00C033B1"/>
    <w:pPr>
      <w:spacing w:before="240"/>
    </w:pPr>
    <w:rPr>
      <w:sz w:val="24"/>
      <w:szCs w:val="24"/>
    </w:rPr>
  </w:style>
  <w:style w:type="paragraph" w:customStyle="1" w:styleId="ENotesHeading3">
    <w:name w:val="ENotesHeading 3"/>
    <w:aliases w:val="Enh3"/>
    <w:basedOn w:val="OPCParaBase"/>
    <w:next w:val="Normal"/>
    <w:rsid w:val="00C033B1"/>
    <w:pPr>
      <w:keepNext/>
      <w:spacing w:before="120" w:line="240" w:lineRule="auto"/>
      <w:outlineLvl w:val="4"/>
    </w:pPr>
    <w:rPr>
      <w:b/>
      <w:szCs w:val="24"/>
    </w:rPr>
  </w:style>
  <w:style w:type="character" w:customStyle="1" w:styleId="CharSubPartTextCASA">
    <w:name w:val="CharSubPartText(CASA)"/>
    <w:basedOn w:val="OPCCharBase"/>
    <w:uiPriority w:val="1"/>
    <w:rsid w:val="00C033B1"/>
  </w:style>
  <w:style w:type="character" w:customStyle="1" w:styleId="CharSubPartNoCASA">
    <w:name w:val="CharSubPartNo(CASA)"/>
    <w:basedOn w:val="OPCCharBase"/>
    <w:uiPriority w:val="1"/>
    <w:rsid w:val="00C033B1"/>
  </w:style>
  <w:style w:type="paragraph" w:customStyle="1" w:styleId="ENoteTTIndentHeadingSub">
    <w:name w:val="ENoteTTIndentHeadingSub"/>
    <w:aliases w:val="enTTHis"/>
    <w:basedOn w:val="OPCParaBase"/>
    <w:rsid w:val="00C033B1"/>
    <w:pPr>
      <w:keepNext/>
      <w:spacing w:before="60" w:line="240" w:lineRule="atLeast"/>
      <w:ind w:left="340"/>
    </w:pPr>
    <w:rPr>
      <w:b/>
      <w:sz w:val="16"/>
    </w:rPr>
  </w:style>
  <w:style w:type="paragraph" w:customStyle="1" w:styleId="ENoteTTiSub">
    <w:name w:val="ENoteTTiSub"/>
    <w:aliases w:val="enttis"/>
    <w:basedOn w:val="OPCParaBase"/>
    <w:rsid w:val="00C033B1"/>
    <w:pPr>
      <w:keepNext/>
      <w:spacing w:before="60" w:line="240" w:lineRule="atLeast"/>
      <w:ind w:left="340"/>
    </w:pPr>
    <w:rPr>
      <w:sz w:val="16"/>
    </w:rPr>
  </w:style>
  <w:style w:type="paragraph" w:customStyle="1" w:styleId="SubDivisionMigration">
    <w:name w:val="SubDivisionMigration"/>
    <w:aliases w:val="sdm"/>
    <w:basedOn w:val="OPCParaBase"/>
    <w:rsid w:val="00C033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033B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033B1"/>
    <w:pPr>
      <w:spacing w:before="122" w:line="240" w:lineRule="auto"/>
      <w:ind w:left="1985" w:hanging="851"/>
    </w:pPr>
    <w:rPr>
      <w:sz w:val="18"/>
    </w:rPr>
  </w:style>
  <w:style w:type="paragraph" w:customStyle="1" w:styleId="FreeForm">
    <w:name w:val="FreeForm"/>
    <w:rsid w:val="00C033B1"/>
    <w:rPr>
      <w:rFonts w:ascii="Arial" w:hAnsi="Arial"/>
      <w:sz w:val="22"/>
    </w:rPr>
  </w:style>
  <w:style w:type="paragraph" w:customStyle="1" w:styleId="SOText">
    <w:name w:val="SO Text"/>
    <w:aliases w:val="sot"/>
    <w:link w:val="SOTextChar"/>
    <w:rsid w:val="00C033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033B1"/>
    <w:rPr>
      <w:sz w:val="22"/>
    </w:rPr>
  </w:style>
  <w:style w:type="paragraph" w:customStyle="1" w:styleId="SOTextNote">
    <w:name w:val="SO TextNote"/>
    <w:aliases w:val="sont"/>
    <w:basedOn w:val="SOText"/>
    <w:qFormat/>
    <w:rsid w:val="00C033B1"/>
    <w:pPr>
      <w:spacing w:before="122" w:line="198" w:lineRule="exact"/>
      <w:ind w:left="1843" w:hanging="709"/>
    </w:pPr>
    <w:rPr>
      <w:sz w:val="18"/>
    </w:rPr>
  </w:style>
  <w:style w:type="paragraph" w:customStyle="1" w:styleId="SOPara">
    <w:name w:val="SO Para"/>
    <w:aliases w:val="soa"/>
    <w:basedOn w:val="SOText"/>
    <w:link w:val="SOParaChar"/>
    <w:qFormat/>
    <w:rsid w:val="00C033B1"/>
    <w:pPr>
      <w:tabs>
        <w:tab w:val="right" w:pos="1786"/>
      </w:tabs>
      <w:spacing w:before="40"/>
      <w:ind w:left="2070" w:hanging="936"/>
    </w:pPr>
  </w:style>
  <w:style w:type="character" w:customStyle="1" w:styleId="SOParaChar">
    <w:name w:val="SO Para Char"/>
    <w:aliases w:val="soa Char"/>
    <w:basedOn w:val="DefaultParagraphFont"/>
    <w:link w:val="SOPara"/>
    <w:rsid w:val="00C033B1"/>
    <w:rPr>
      <w:sz w:val="22"/>
    </w:rPr>
  </w:style>
  <w:style w:type="paragraph" w:customStyle="1" w:styleId="FileName">
    <w:name w:val="FileName"/>
    <w:basedOn w:val="Normal"/>
    <w:rsid w:val="00C033B1"/>
  </w:style>
  <w:style w:type="paragraph" w:customStyle="1" w:styleId="TableHeading">
    <w:name w:val="TableHeading"/>
    <w:aliases w:val="th"/>
    <w:basedOn w:val="OPCParaBase"/>
    <w:next w:val="Tabletext"/>
    <w:rsid w:val="00C033B1"/>
    <w:pPr>
      <w:keepNext/>
      <w:spacing w:before="60" w:line="240" w:lineRule="atLeast"/>
    </w:pPr>
    <w:rPr>
      <w:b/>
      <w:sz w:val="20"/>
    </w:rPr>
  </w:style>
  <w:style w:type="paragraph" w:customStyle="1" w:styleId="SOHeadBold">
    <w:name w:val="SO HeadBold"/>
    <w:aliases w:val="sohb"/>
    <w:basedOn w:val="SOText"/>
    <w:next w:val="SOText"/>
    <w:link w:val="SOHeadBoldChar"/>
    <w:qFormat/>
    <w:rsid w:val="00C033B1"/>
    <w:rPr>
      <w:b/>
    </w:rPr>
  </w:style>
  <w:style w:type="character" w:customStyle="1" w:styleId="SOHeadBoldChar">
    <w:name w:val="SO HeadBold Char"/>
    <w:aliases w:val="sohb Char"/>
    <w:basedOn w:val="DefaultParagraphFont"/>
    <w:link w:val="SOHeadBold"/>
    <w:rsid w:val="00C033B1"/>
    <w:rPr>
      <w:b/>
      <w:sz w:val="22"/>
    </w:rPr>
  </w:style>
  <w:style w:type="paragraph" w:customStyle="1" w:styleId="SOHeadItalic">
    <w:name w:val="SO HeadItalic"/>
    <w:aliases w:val="sohi"/>
    <w:basedOn w:val="SOText"/>
    <w:next w:val="SOText"/>
    <w:link w:val="SOHeadItalicChar"/>
    <w:qFormat/>
    <w:rsid w:val="00C033B1"/>
    <w:rPr>
      <w:i/>
    </w:rPr>
  </w:style>
  <w:style w:type="character" w:customStyle="1" w:styleId="SOHeadItalicChar">
    <w:name w:val="SO HeadItalic Char"/>
    <w:aliases w:val="sohi Char"/>
    <w:basedOn w:val="DefaultParagraphFont"/>
    <w:link w:val="SOHeadItalic"/>
    <w:rsid w:val="00C033B1"/>
    <w:rPr>
      <w:i/>
      <w:sz w:val="22"/>
    </w:rPr>
  </w:style>
  <w:style w:type="paragraph" w:customStyle="1" w:styleId="SOBullet">
    <w:name w:val="SO Bullet"/>
    <w:aliases w:val="sotb"/>
    <w:basedOn w:val="SOText"/>
    <w:link w:val="SOBulletChar"/>
    <w:qFormat/>
    <w:rsid w:val="00C033B1"/>
    <w:pPr>
      <w:ind w:left="1559" w:hanging="425"/>
    </w:pPr>
  </w:style>
  <w:style w:type="character" w:customStyle="1" w:styleId="SOBulletChar">
    <w:name w:val="SO Bullet Char"/>
    <w:aliases w:val="sotb Char"/>
    <w:basedOn w:val="DefaultParagraphFont"/>
    <w:link w:val="SOBullet"/>
    <w:rsid w:val="00C033B1"/>
    <w:rPr>
      <w:sz w:val="22"/>
    </w:rPr>
  </w:style>
  <w:style w:type="paragraph" w:customStyle="1" w:styleId="SOBulletNote">
    <w:name w:val="SO BulletNote"/>
    <w:aliases w:val="sonb"/>
    <w:basedOn w:val="SOTextNote"/>
    <w:link w:val="SOBulletNoteChar"/>
    <w:qFormat/>
    <w:rsid w:val="00C033B1"/>
    <w:pPr>
      <w:tabs>
        <w:tab w:val="left" w:pos="1560"/>
      </w:tabs>
      <w:ind w:left="2268" w:hanging="1134"/>
    </w:pPr>
  </w:style>
  <w:style w:type="character" w:customStyle="1" w:styleId="SOBulletNoteChar">
    <w:name w:val="SO BulletNote Char"/>
    <w:aliases w:val="sonb Char"/>
    <w:basedOn w:val="DefaultParagraphFont"/>
    <w:link w:val="SOBulletNote"/>
    <w:rsid w:val="00C033B1"/>
    <w:rPr>
      <w:sz w:val="18"/>
    </w:rPr>
  </w:style>
  <w:style w:type="paragraph" w:customStyle="1" w:styleId="SOText2">
    <w:name w:val="SO Text2"/>
    <w:aliases w:val="sot2"/>
    <w:basedOn w:val="Normal"/>
    <w:next w:val="SOText"/>
    <w:link w:val="SOText2Char"/>
    <w:rsid w:val="00C033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033B1"/>
    <w:rPr>
      <w:sz w:val="22"/>
    </w:rPr>
  </w:style>
  <w:style w:type="paragraph" w:customStyle="1" w:styleId="SubPartCASA">
    <w:name w:val="SubPart(CASA)"/>
    <w:aliases w:val="csp"/>
    <w:basedOn w:val="OPCParaBase"/>
    <w:next w:val="ActHead3"/>
    <w:rsid w:val="00C033B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033B1"/>
    <w:rPr>
      <w:rFonts w:eastAsia="Times New Roman" w:cs="Times New Roman"/>
      <w:sz w:val="22"/>
      <w:lang w:eastAsia="en-AU"/>
    </w:rPr>
  </w:style>
  <w:style w:type="character" w:customStyle="1" w:styleId="notetextChar">
    <w:name w:val="note(text) Char"/>
    <w:aliases w:val="n Char"/>
    <w:basedOn w:val="DefaultParagraphFont"/>
    <w:link w:val="notetext"/>
    <w:rsid w:val="00C033B1"/>
    <w:rPr>
      <w:rFonts w:eastAsia="Times New Roman" w:cs="Times New Roman"/>
      <w:sz w:val="18"/>
      <w:lang w:eastAsia="en-AU"/>
    </w:rPr>
  </w:style>
  <w:style w:type="character" w:customStyle="1" w:styleId="Heading1Char">
    <w:name w:val="Heading 1 Char"/>
    <w:basedOn w:val="DefaultParagraphFont"/>
    <w:link w:val="Heading1"/>
    <w:uiPriority w:val="9"/>
    <w:rsid w:val="00C033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33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33B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033B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033B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033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033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033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033B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033B1"/>
    <w:rPr>
      <w:rFonts w:ascii="Arial" w:hAnsi="Arial" w:cs="Arial" w:hint="default"/>
      <w:b/>
      <w:bCs/>
      <w:sz w:val="28"/>
      <w:szCs w:val="28"/>
    </w:rPr>
  </w:style>
  <w:style w:type="paragraph" w:styleId="Index1">
    <w:name w:val="index 1"/>
    <w:basedOn w:val="Normal"/>
    <w:next w:val="Normal"/>
    <w:autoRedefine/>
    <w:rsid w:val="00C033B1"/>
    <w:pPr>
      <w:ind w:left="240" w:hanging="240"/>
    </w:pPr>
  </w:style>
  <w:style w:type="paragraph" w:styleId="Index2">
    <w:name w:val="index 2"/>
    <w:basedOn w:val="Normal"/>
    <w:next w:val="Normal"/>
    <w:autoRedefine/>
    <w:rsid w:val="00C033B1"/>
    <w:pPr>
      <w:ind w:left="480" w:hanging="240"/>
    </w:pPr>
  </w:style>
  <w:style w:type="paragraph" w:styleId="Index3">
    <w:name w:val="index 3"/>
    <w:basedOn w:val="Normal"/>
    <w:next w:val="Normal"/>
    <w:autoRedefine/>
    <w:rsid w:val="00C033B1"/>
    <w:pPr>
      <w:ind w:left="720" w:hanging="240"/>
    </w:pPr>
  </w:style>
  <w:style w:type="paragraph" w:styleId="Index4">
    <w:name w:val="index 4"/>
    <w:basedOn w:val="Normal"/>
    <w:next w:val="Normal"/>
    <w:autoRedefine/>
    <w:rsid w:val="00C033B1"/>
    <w:pPr>
      <w:ind w:left="960" w:hanging="240"/>
    </w:pPr>
  </w:style>
  <w:style w:type="paragraph" w:styleId="Index5">
    <w:name w:val="index 5"/>
    <w:basedOn w:val="Normal"/>
    <w:next w:val="Normal"/>
    <w:autoRedefine/>
    <w:rsid w:val="00C033B1"/>
    <w:pPr>
      <w:ind w:left="1200" w:hanging="240"/>
    </w:pPr>
  </w:style>
  <w:style w:type="paragraph" w:styleId="Index6">
    <w:name w:val="index 6"/>
    <w:basedOn w:val="Normal"/>
    <w:next w:val="Normal"/>
    <w:autoRedefine/>
    <w:rsid w:val="00C033B1"/>
    <w:pPr>
      <w:ind w:left="1440" w:hanging="240"/>
    </w:pPr>
  </w:style>
  <w:style w:type="paragraph" w:styleId="Index7">
    <w:name w:val="index 7"/>
    <w:basedOn w:val="Normal"/>
    <w:next w:val="Normal"/>
    <w:autoRedefine/>
    <w:rsid w:val="00C033B1"/>
    <w:pPr>
      <w:ind w:left="1680" w:hanging="240"/>
    </w:pPr>
  </w:style>
  <w:style w:type="paragraph" w:styleId="Index8">
    <w:name w:val="index 8"/>
    <w:basedOn w:val="Normal"/>
    <w:next w:val="Normal"/>
    <w:autoRedefine/>
    <w:rsid w:val="00C033B1"/>
    <w:pPr>
      <w:ind w:left="1920" w:hanging="240"/>
    </w:pPr>
  </w:style>
  <w:style w:type="paragraph" w:styleId="Index9">
    <w:name w:val="index 9"/>
    <w:basedOn w:val="Normal"/>
    <w:next w:val="Normal"/>
    <w:autoRedefine/>
    <w:rsid w:val="00C033B1"/>
    <w:pPr>
      <w:ind w:left="2160" w:hanging="240"/>
    </w:pPr>
  </w:style>
  <w:style w:type="paragraph" w:styleId="NormalIndent">
    <w:name w:val="Normal Indent"/>
    <w:basedOn w:val="Normal"/>
    <w:rsid w:val="00C033B1"/>
    <w:pPr>
      <w:ind w:left="720"/>
    </w:pPr>
  </w:style>
  <w:style w:type="paragraph" w:styleId="FootnoteText">
    <w:name w:val="footnote text"/>
    <w:basedOn w:val="Normal"/>
    <w:link w:val="FootnoteTextChar"/>
    <w:rsid w:val="00C033B1"/>
    <w:rPr>
      <w:sz w:val="20"/>
    </w:rPr>
  </w:style>
  <w:style w:type="character" w:customStyle="1" w:styleId="FootnoteTextChar">
    <w:name w:val="Footnote Text Char"/>
    <w:basedOn w:val="DefaultParagraphFont"/>
    <w:link w:val="FootnoteText"/>
    <w:rsid w:val="00C033B1"/>
  </w:style>
  <w:style w:type="paragraph" w:styleId="CommentText">
    <w:name w:val="annotation text"/>
    <w:basedOn w:val="Normal"/>
    <w:link w:val="CommentTextChar"/>
    <w:rsid w:val="00C033B1"/>
    <w:rPr>
      <w:sz w:val="20"/>
    </w:rPr>
  </w:style>
  <w:style w:type="character" w:customStyle="1" w:styleId="CommentTextChar">
    <w:name w:val="Comment Text Char"/>
    <w:basedOn w:val="DefaultParagraphFont"/>
    <w:link w:val="CommentText"/>
    <w:rsid w:val="00C033B1"/>
  </w:style>
  <w:style w:type="paragraph" w:styleId="IndexHeading">
    <w:name w:val="index heading"/>
    <w:basedOn w:val="Normal"/>
    <w:next w:val="Index1"/>
    <w:rsid w:val="00C033B1"/>
    <w:rPr>
      <w:rFonts w:ascii="Arial" w:hAnsi="Arial" w:cs="Arial"/>
      <w:b/>
      <w:bCs/>
    </w:rPr>
  </w:style>
  <w:style w:type="paragraph" w:styleId="Caption">
    <w:name w:val="caption"/>
    <w:basedOn w:val="Normal"/>
    <w:next w:val="Normal"/>
    <w:qFormat/>
    <w:rsid w:val="00C033B1"/>
    <w:pPr>
      <w:spacing w:before="120" w:after="120"/>
    </w:pPr>
    <w:rPr>
      <w:b/>
      <w:bCs/>
      <w:sz w:val="20"/>
    </w:rPr>
  </w:style>
  <w:style w:type="paragraph" w:styleId="TableofFigures">
    <w:name w:val="table of figures"/>
    <w:basedOn w:val="Normal"/>
    <w:next w:val="Normal"/>
    <w:rsid w:val="00C033B1"/>
    <w:pPr>
      <w:ind w:left="480" w:hanging="480"/>
    </w:pPr>
  </w:style>
  <w:style w:type="paragraph" w:styleId="EnvelopeAddress">
    <w:name w:val="envelope address"/>
    <w:basedOn w:val="Normal"/>
    <w:rsid w:val="00C033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33B1"/>
    <w:rPr>
      <w:rFonts w:ascii="Arial" w:hAnsi="Arial" w:cs="Arial"/>
      <w:sz w:val="20"/>
    </w:rPr>
  </w:style>
  <w:style w:type="character" w:styleId="FootnoteReference">
    <w:name w:val="footnote reference"/>
    <w:basedOn w:val="DefaultParagraphFont"/>
    <w:rsid w:val="00C033B1"/>
    <w:rPr>
      <w:rFonts w:ascii="Times New Roman" w:hAnsi="Times New Roman"/>
      <w:sz w:val="20"/>
      <w:vertAlign w:val="superscript"/>
    </w:rPr>
  </w:style>
  <w:style w:type="character" w:styleId="CommentReference">
    <w:name w:val="annotation reference"/>
    <w:basedOn w:val="DefaultParagraphFont"/>
    <w:rsid w:val="00C033B1"/>
    <w:rPr>
      <w:sz w:val="16"/>
      <w:szCs w:val="16"/>
    </w:rPr>
  </w:style>
  <w:style w:type="character" w:styleId="PageNumber">
    <w:name w:val="page number"/>
    <w:basedOn w:val="DefaultParagraphFont"/>
    <w:rsid w:val="00C033B1"/>
  </w:style>
  <w:style w:type="character" w:styleId="EndnoteReference">
    <w:name w:val="endnote reference"/>
    <w:basedOn w:val="DefaultParagraphFont"/>
    <w:rsid w:val="00C033B1"/>
    <w:rPr>
      <w:vertAlign w:val="superscript"/>
    </w:rPr>
  </w:style>
  <w:style w:type="paragraph" w:styleId="EndnoteText">
    <w:name w:val="endnote text"/>
    <w:basedOn w:val="Normal"/>
    <w:link w:val="EndnoteTextChar"/>
    <w:rsid w:val="00C033B1"/>
    <w:rPr>
      <w:sz w:val="20"/>
    </w:rPr>
  </w:style>
  <w:style w:type="character" w:customStyle="1" w:styleId="EndnoteTextChar">
    <w:name w:val="Endnote Text Char"/>
    <w:basedOn w:val="DefaultParagraphFont"/>
    <w:link w:val="EndnoteText"/>
    <w:rsid w:val="00C033B1"/>
  </w:style>
  <w:style w:type="paragraph" w:styleId="TableofAuthorities">
    <w:name w:val="table of authorities"/>
    <w:basedOn w:val="Normal"/>
    <w:next w:val="Normal"/>
    <w:rsid w:val="00C033B1"/>
    <w:pPr>
      <w:ind w:left="240" w:hanging="240"/>
    </w:pPr>
  </w:style>
  <w:style w:type="paragraph" w:styleId="MacroText">
    <w:name w:val="macro"/>
    <w:link w:val="MacroTextChar"/>
    <w:rsid w:val="00C033B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033B1"/>
    <w:rPr>
      <w:rFonts w:ascii="Courier New" w:eastAsia="Times New Roman" w:hAnsi="Courier New" w:cs="Courier New"/>
      <w:lang w:eastAsia="en-AU"/>
    </w:rPr>
  </w:style>
  <w:style w:type="paragraph" w:styleId="TOAHeading">
    <w:name w:val="toa heading"/>
    <w:basedOn w:val="Normal"/>
    <w:next w:val="Normal"/>
    <w:rsid w:val="00C033B1"/>
    <w:pPr>
      <w:spacing w:before="120"/>
    </w:pPr>
    <w:rPr>
      <w:rFonts w:ascii="Arial" w:hAnsi="Arial" w:cs="Arial"/>
      <w:b/>
      <w:bCs/>
    </w:rPr>
  </w:style>
  <w:style w:type="paragraph" w:styleId="List">
    <w:name w:val="List"/>
    <w:basedOn w:val="Normal"/>
    <w:rsid w:val="00C033B1"/>
    <w:pPr>
      <w:ind w:left="283" w:hanging="283"/>
    </w:pPr>
  </w:style>
  <w:style w:type="paragraph" w:styleId="ListBullet">
    <w:name w:val="List Bullet"/>
    <w:basedOn w:val="Normal"/>
    <w:autoRedefine/>
    <w:rsid w:val="00C033B1"/>
    <w:pPr>
      <w:tabs>
        <w:tab w:val="num" w:pos="360"/>
      </w:tabs>
      <w:ind w:left="360" w:hanging="360"/>
    </w:pPr>
  </w:style>
  <w:style w:type="paragraph" w:styleId="ListNumber">
    <w:name w:val="List Number"/>
    <w:basedOn w:val="Normal"/>
    <w:rsid w:val="00C033B1"/>
    <w:pPr>
      <w:tabs>
        <w:tab w:val="num" w:pos="360"/>
      </w:tabs>
      <w:ind w:left="360" w:hanging="360"/>
    </w:pPr>
  </w:style>
  <w:style w:type="paragraph" w:styleId="List2">
    <w:name w:val="List 2"/>
    <w:basedOn w:val="Normal"/>
    <w:rsid w:val="00C033B1"/>
    <w:pPr>
      <w:ind w:left="566" w:hanging="283"/>
    </w:pPr>
  </w:style>
  <w:style w:type="paragraph" w:styleId="List3">
    <w:name w:val="List 3"/>
    <w:basedOn w:val="Normal"/>
    <w:rsid w:val="00C033B1"/>
    <w:pPr>
      <w:ind w:left="849" w:hanging="283"/>
    </w:pPr>
  </w:style>
  <w:style w:type="paragraph" w:styleId="List4">
    <w:name w:val="List 4"/>
    <w:basedOn w:val="Normal"/>
    <w:rsid w:val="00C033B1"/>
    <w:pPr>
      <w:ind w:left="1132" w:hanging="283"/>
    </w:pPr>
  </w:style>
  <w:style w:type="paragraph" w:styleId="List5">
    <w:name w:val="List 5"/>
    <w:basedOn w:val="Normal"/>
    <w:rsid w:val="00C033B1"/>
    <w:pPr>
      <w:ind w:left="1415" w:hanging="283"/>
    </w:pPr>
  </w:style>
  <w:style w:type="paragraph" w:styleId="ListBullet2">
    <w:name w:val="List Bullet 2"/>
    <w:basedOn w:val="Normal"/>
    <w:autoRedefine/>
    <w:rsid w:val="00C033B1"/>
    <w:pPr>
      <w:tabs>
        <w:tab w:val="num" w:pos="360"/>
      </w:tabs>
    </w:pPr>
  </w:style>
  <w:style w:type="paragraph" w:styleId="ListBullet3">
    <w:name w:val="List Bullet 3"/>
    <w:basedOn w:val="Normal"/>
    <w:autoRedefine/>
    <w:rsid w:val="00C033B1"/>
    <w:pPr>
      <w:tabs>
        <w:tab w:val="num" w:pos="926"/>
      </w:tabs>
      <w:ind w:left="926" w:hanging="360"/>
    </w:pPr>
  </w:style>
  <w:style w:type="paragraph" w:styleId="ListBullet4">
    <w:name w:val="List Bullet 4"/>
    <w:basedOn w:val="Normal"/>
    <w:autoRedefine/>
    <w:rsid w:val="00C033B1"/>
    <w:pPr>
      <w:tabs>
        <w:tab w:val="num" w:pos="1209"/>
      </w:tabs>
      <w:ind w:left="1209" w:hanging="360"/>
    </w:pPr>
  </w:style>
  <w:style w:type="paragraph" w:styleId="ListBullet5">
    <w:name w:val="List Bullet 5"/>
    <w:basedOn w:val="Normal"/>
    <w:autoRedefine/>
    <w:rsid w:val="00C033B1"/>
    <w:pPr>
      <w:tabs>
        <w:tab w:val="num" w:pos="1492"/>
      </w:tabs>
      <w:ind w:left="1492" w:hanging="360"/>
    </w:pPr>
  </w:style>
  <w:style w:type="paragraph" w:styleId="ListNumber2">
    <w:name w:val="List Number 2"/>
    <w:basedOn w:val="Normal"/>
    <w:rsid w:val="00C033B1"/>
    <w:pPr>
      <w:tabs>
        <w:tab w:val="num" w:pos="643"/>
      </w:tabs>
      <w:ind w:left="643" w:hanging="360"/>
    </w:pPr>
  </w:style>
  <w:style w:type="paragraph" w:styleId="ListNumber3">
    <w:name w:val="List Number 3"/>
    <w:basedOn w:val="Normal"/>
    <w:rsid w:val="00C033B1"/>
    <w:pPr>
      <w:tabs>
        <w:tab w:val="num" w:pos="926"/>
      </w:tabs>
      <w:ind w:left="926" w:hanging="360"/>
    </w:pPr>
  </w:style>
  <w:style w:type="paragraph" w:styleId="ListNumber4">
    <w:name w:val="List Number 4"/>
    <w:basedOn w:val="Normal"/>
    <w:rsid w:val="00C033B1"/>
    <w:pPr>
      <w:tabs>
        <w:tab w:val="num" w:pos="1209"/>
      </w:tabs>
      <w:ind w:left="1209" w:hanging="360"/>
    </w:pPr>
  </w:style>
  <w:style w:type="paragraph" w:styleId="ListNumber5">
    <w:name w:val="List Number 5"/>
    <w:basedOn w:val="Normal"/>
    <w:rsid w:val="00C033B1"/>
    <w:pPr>
      <w:tabs>
        <w:tab w:val="num" w:pos="1492"/>
      </w:tabs>
      <w:ind w:left="1492" w:hanging="360"/>
    </w:pPr>
  </w:style>
  <w:style w:type="paragraph" w:styleId="Title">
    <w:name w:val="Title"/>
    <w:basedOn w:val="Normal"/>
    <w:link w:val="TitleChar"/>
    <w:qFormat/>
    <w:rsid w:val="00C033B1"/>
    <w:pPr>
      <w:spacing w:before="240" w:after="60"/>
    </w:pPr>
    <w:rPr>
      <w:rFonts w:ascii="Arial" w:hAnsi="Arial" w:cs="Arial"/>
      <w:b/>
      <w:bCs/>
      <w:sz w:val="40"/>
      <w:szCs w:val="40"/>
    </w:rPr>
  </w:style>
  <w:style w:type="character" w:customStyle="1" w:styleId="TitleChar">
    <w:name w:val="Title Char"/>
    <w:basedOn w:val="DefaultParagraphFont"/>
    <w:link w:val="Title"/>
    <w:rsid w:val="00C033B1"/>
    <w:rPr>
      <w:rFonts w:ascii="Arial" w:hAnsi="Arial" w:cs="Arial"/>
      <w:b/>
      <w:bCs/>
      <w:sz w:val="40"/>
      <w:szCs w:val="40"/>
    </w:rPr>
  </w:style>
  <w:style w:type="paragraph" w:styleId="Closing">
    <w:name w:val="Closing"/>
    <w:basedOn w:val="Normal"/>
    <w:link w:val="ClosingChar"/>
    <w:rsid w:val="00C033B1"/>
    <w:pPr>
      <w:ind w:left="4252"/>
    </w:pPr>
  </w:style>
  <w:style w:type="character" w:customStyle="1" w:styleId="ClosingChar">
    <w:name w:val="Closing Char"/>
    <w:basedOn w:val="DefaultParagraphFont"/>
    <w:link w:val="Closing"/>
    <w:rsid w:val="00C033B1"/>
    <w:rPr>
      <w:sz w:val="22"/>
    </w:rPr>
  </w:style>
  <w:style w:type="paragraph" w:styleId="Signature">
    <w:name w:val="Signature"/>
    <w:basedOn w:val="Normal"/>
    <w:link w:val="SignatureChar"/>
    <w:rsid w:val="00C033B1"/>
    <w:pPr>
      <w:ind w:left="4252"/>
    </w:pPr>
  </w:style>
  <w:style w:type="character" w:customStyle="1" w:styleId="SignatureChar">
    <w:name w:val="Signature Char"/>
    <w:basedOn w:val="DefaultParagraphFont"/>
    <w:link w:val="Signature"/>
    <w:rsid w:val="00C033B1"/>
    <w:rPr>
      <w:sz w:val="22"/>
    </w:rPr>
  </w:style>
  <w:style w:type="paragraph" w:styleId="BodyText">
    <w:name w:val="Body Text"/>
    <w:basedOn w:val="Normal"/>
    <w:link w:val="BodyTextChar"/>
    <w:rsid w:val="00C033B1"/>
    <w:pPr>
      <w:spacing w:after="120"/>
    </w:pPr>
  </w:style>
  <w:style w:type="character" w:customStyle="1" w:styleId="BodyTextChar">
    <w:name w:val="Body Text Char"/>
    <w:basedOn w:val="DefaultParagraphFont"/>
    <w:link w:val="BodyText"/>
    <w:rsid w:val="00C033B1"/>
    <w:rPr>
      <w:sz w:val="22"/>
    </w:rPr>
  </w:style>
  <w:style w:type="paragraph" w:styleId="BodyTextIndent">
    <w:name w:val="Body Text Indent"/>
    <w:basedOn w:val="Normal"/>
    <w:link w:val="BodyTextIndentChar"/>
    <w:rsid w:val="00C033B1"/>
    <w:pPr>
      <w:spacing w:after="120"/>
      <w:ind w:left="283"/>
    </w:pPr>
  </w:style>
  <w:style w:type="character" w:customStyle="1" w:styleId="BodyTextIndentChar">
    <w:name w:val="Body Text Indent Char"/>
    <w:basedOn w:val="DefaultParagraphFont"/>
    <w:link w:val="BodyTextIndent"/>
    <w:rsid w:val="00C033B1"/>
    <w:rPr>
      <w:sz w:val="22"/>
    </w:rPr>
  </w:style>
  <w:style w:type="paragraph" w:styleId="ListContinue">
    <w:name w:val="List Continue"/>
    <w:basedOn w:val="Normal"/>
    <w:rsid w:val="00C033B1"/>
    <w:pPr>
      <w:spacing w:after="120"/>
      <w:ind w:left="283"/>
    </w:pPr>
  </w:style>
  <w:style w:type="paragraph" w:styleId="ListContinue2">
    <w:name w:val="List Continue 2"/>
    <w:basedOn w:val="Normal"/>
    <w:rsid w:val="00C033B1"/>
    <w:pPr>
      <w:spacing w:after="120"/>
      <w:ind w:left="566"/>
    </w:pPr>
  </w:style>
  <w:style w:type="paragraph" w:styleId="ListContinue3">
    <w:name w:val="List Continue 3"/>
    <w:basedOn w:val="Normal"/>
    <w:rsid w:val="00C033B1"/>
    <w:pPr>
      <w:spacing w:after="120"/>
      <w:ind w:left="849"/>
    </w:pPr>
  </w:style>
  <w:style w:type="paragraph" w:styleId="ListContinue4">
    <w:name w:val="List Continue 4"/>
    <w:basedOn w:val="Normal"/>
    <w:rsid w:val="00C033B1"/>
    <w:pPr>
      <w:spacing w:after="120"/>
      <w:ind w:left="1132"/>
    </w:pPr>
  </w:style>
  <w:style w:type="paragraph" w:styleId="ListContinue5">
    <w:name w:val="List Continue 5"/>
    <w:basedOn w:val="Normal"/>
    <w:rsid w:val="00C033B1"/>
    <w:pPr>
      <w:spacing w:after="120"/>
      <w:ind w:left="1415"/>
    </w:pPr>
  </w:style>
  <w:style w:type="paragraph" w:styleId="MessageHeader">
    <w:name w:val="Message Header"/>
    <w:basedOn w:val="Normal"/>
    <w:link w:val="MessageHeaderChar"/>
    <w:rsid w:val="00C033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033B1"/>
    <w:rPr>
      <w:rFonts w:ascii="Arial" w:hAnsi="Arial" w:cs="Arial"/>
      <w:sz w:val="22"/>
      <w:shd w:val="pct20" w:color="auto" w:fill="auto"/>
    </w:rPr>
  </w:style>
  <w:style w:type="paragraph" w:styleId="Subtitle">
    <w:name w:val="Subtitle"/>
    <w:basedOn w:val="Normal"/>
    <w:link w:val="SubtitleChar"/>
    <w:qFormat/>
    <w:rsid w:val="00C033B1"/>
    <w:pPr>
      <w:spacing w:after="60"/>
      <w:jc w:val="center"/>
      <w:outlineLvl w:val="1"/>
    </w:pPr>
    <w:rPr>
      <w:rFonts w:ascii="Arial" w:hAnsi="Arial" w:cs="Arial"/>
    </w:rPr>
  </w:style>
  <w:style w:type="character" w:customStyle="1" w:styleId="SubtitleChar">
    <w:name w:val="Subtitle Char"/>
    <w:basedOn w:val="DefaultParagraphFont"/>
    <w:link w:val="Subtitle"/>
    <w:rsid w:val="00C033B1"/>
    <w:rPr>
      <w:rFonts w:ascii="Arial" w:hAnsi="Arial" w:cs="Arial"/>
      <w:sz w:val="22"/>
    </w:rPr>
  </w:style>
  <w:style w:type="paragraph" w:styleId="Salutation">
    <w:name w:val="Salutation"/>
    <w:basedOn w:val="Normal"/>
    <w:next w:val="Normal"/>
    <w:link w:val="SalutationChar"/>
    <w:rsid w:val="00C033B1"/>
  </w:style>
  <w:style w:type="character" w:customStyle="1" w:styleId="SalutationChar">
    <w:name w:val="Salutation Char"/>
    <w:basedOn w:val="DefaultParagraphFont"/>
    <w:link w:val="Salutation"/>
    <w:rsid w:val="00C033B1"/>
    <w:rPr>
      <w:sz w:val="22"/>
    </w:rPr>
  </w:style>
  <w:style w:type="paragraph" w:styleId="Date">
    <w:name w:val="Date"/>
    <w:basedOn w:val="Normal"/>
    <w:next w:val="Normal"/>
    <w:link w:val="DateChar"/>
    <w:rsid w:val="00C033B1"/>
  </w:style>
  <w:style w:type="character" w:customStyle="1" w:styleId="DateChar">
    <w:name w:val="Date Char"/>
    <w:basedOn w:val="DefaultParagraphFont"/>
    <w:link w:val="Date"/>
    <w:rsid w:val="00C033B1"/>
    <w:rPr>
      <w:sz w:val="22"/>
    </w:rPr>
  </w:style>
  <w:style w:type="paragraph" w:styleId="BodyTextFirstIndent">
    <w:name w:val="Body Text First Indent"/>
    <w:basedOn w:val="BodyText"/>
    <w:link w:val="BodyTextFirstIndentChar"/>
    <w:rsid w:val="00C033B1"/>
    <w:pPr>
      <w:ind w:firstLine="210"/>
    </w:pPr>
  </w:style>
  <w:style w:type="character" w:customStyle="1" w:styleId="BodyTextFirstIndentChar">
    <w:name w:val="Body Text First Indent Char"/>
    <w:basedOn w:val="BodyTextChar"/>
    <w:link w:val="BodyTextFirstIndent"/>
    <w:rsid w:val="00C033B1"/>
    <w:rPr>
      <w:sz w:val="22"/>
    </w:rPr>
  </w:style>
  <w:style w:type="paragraph" w:styleId="BodyTextFirstIndent2">
    <w:name w:val="Body Text First Indent 2"/>
    <w:basedOn w:val="BodyTextIndent"/>
    <w:link w:val="BodyTextFirstIndent2Char"/>
    <w:rsid w:val="00C033B1"/>
    <w:pPr>
      <w:ind w:firstLine="210"/>
    </w:pPr>
  </w:style>
  <w:style w:type="character" w:customStyle="1" w:styleId="BodyTextFirstIndent2Char">
    <w:name w:val="Body Text First Indent 2 Char"/>
    <w:basedOn w:val="BodyTextIndentChar"/>
    <w:link w:val="BodyTextFirstIndent2"/>
    <w:rsid w:val="00C033B1"/>
    <w:rPr>
      <w:sz w:val="22"/>
    </w:rPr>
  </w:style>
  <w:style w:type="paragraph" w:styleId="BodyText2">
    <w:name w:val="Body Text 2"/>
    <w:basedOn w:val="Normal"/>
    <w:link w:val="BodyText2Char"/>
    <w:rsid w:val="00C033B1"/>
    <w:pPr>
      <w:spacing w:after="120" w:line="480" w:lineRule="auto"/>
    </w:pPr>
  </w:style>
  <w:style w:type="character" w:customStyle="1" w:styleId="BodyText2Char">
    <w:name w:val="Body Text 2 Char"/>
    <w:basedOn w:val="DefaultParagraphFont"/>
    <w:link w:val="BodyText2"/>
    <w:rsid w:val="00C033B1"/>
    <w:rPr>
      <w:sz w:val="22"/>
    </w:rPr>
  </w:style>
  <w:style w:type="paragraph" w:styleId="BodyText3">
    <w:name w:val="Body Text 3"/>
    <w:basedOn w:val="Normal"/>
    <w:link w:val="BodyText3Char"/>
    <w:rsid w:val="00C033B1"/>
    <w:pPr>
      <w:spacing w:after="120"/>
    </w:pPr>
    <w:rPr>
      <w:sz w:val="16"/>
      <w:szCs w:val="16"/>
    </w:rPr>
  </w:style>
  <w:style w:type="character" w:customStyle="1" w:styleId="BodyText3Char">
    <w:name w:val="Body Text 3 Char"/>
    <w:basedOn w:val="DefaultParagraphFont"/>
    <w:link w:val="BodyText3"/>
    <w:rsid w:val="00C033B1"/>
    <w:rPr>
      <w:sz w:val="16"/>
      <w:szCs w:val="16"/>
    </w:rPr>
  </w:style>
  <w:style w:type="paragraph" w:styleId="BodyTextIndent2">
    <w:name w:val="Body Text Indent 2"/>
    <w:basedOn w:val="Normal"/>
    <w:link w:val="BodyTextIndent2Char"/>
    <w:rsid w:val="00C033B1"/>
    <w:pPr>
      <w:spacing w:after="120" w:line="480" w:lineRule="auto"/>
      <w:ind w:left="283"/>
    </w:pPr>
  </w:style>
  <w:style w:type="character" w:customStyle="1" w:styleId="BodyTextIndent2Char">
    <w:name w:val="Body Text Indent 2 Char"/>
    <w:basedOn w:val="DefaultParagraphFont"/>
    <w:link w:val="BodyTextIndent2"/>
    <w:rsid w:val="00C033B1"/>
    <w:rPr>
      <w:sz w:val="22"/>
    </w:rPr>
  </w:style>
  <w:style w:type="paragraph" w:styleId="BodyTextIndent3">
    <w:name w:val="Body Text Indent 3"/>
    <w:basedOn w:val="Normal"/>
    <w:link w:val="BodyTextIndent3Char"/>
    <w:rsid w:val="00C033B1"/>
    <w:pPr>
      <w:spacing w:after="120"/>
      <w:ind w:left="283"/>
    </w:pPr>
    <w:rPr>
      <w:sz w:val="16"/>
      <w:szCs w:val="16"/>
    </w:rPr>
  </w:style>
  <w:style w:type="character" w:customStyle="1" w:styleId="BodyTextIndent3Char">
    <w:name w:val="Body Text Indent 3 Char"/>
    <w:basedOn w:val="DefaultParagraphFont"/>
    <w:link w:val="BodyTextIndent3"/>
    <w:rsid w:val="00C033B1"/>
    <w:rPr>
      <w:sz w:val="16"/>
      <w:szCs w:val="16"/>
    </w:rPr>
  </w:style>
  <w:style w:type="paragraph" w:styleId="BlockText">
    <w:name w:val="Block Text"/>
    <w:basedOn w:val="Normal"/>
    <w:rsid w:val="00C033B1"/>
    <w:pPr>
      <w:spacing w:after="120"/>
      <w:ind w:left="1440" w:right="1440"/>
    </w:pPr>
  </w:style>
  <w:style w:type="character" w:styleId="Hyperlink">
    <w:name w:val="Hyperlink"/>
    <w:basedOn w:val="DefaultParagraphFont"/>
    <w:rsid w:val="00C033B1"/>
    <w:rPr>
      <w:color w:val="0000FF"/>
      <w:u w:val="single"/>
    </w:rPr>
  </w:style>
  <w:style w:type="character" w:styleId="FollowedHyperlink">
    <w:name w:val="FollowedHyperlink"/>
    <w:basedOn w:val="DefaultParagraphFont"/>
    <w:rsid w:val="00C033B1"/>
    <w:rPr>
      <w:color w:val="800080"/>
      <w:u w:val="single"/>
    </w:rPr>
  </w:style>
  <w:style w:type="character" w:styleId="Strong">
    <w:name w:val="Strong"/>
    <w:basedOn w:val="DefaultParagraphFont"/>
    <w:qFormat/>
    <w:rsid w:val="00C033B1"/>
    <w:rPr>
      <w:b/>
      <w:bCs/>
    </w:rPr>
  </w:style>
  <w:style w:type="character" w:styleId="Emphasis">
    <w:name w:val="Emphasis"/>
    <w:basedOn w:val="DefaultParagraphFont"/>
    <w:qFormat/>
    <w:rsid w:val="00C033B1"/>
    <w:rPr>
      <w:i/>
      <w:iCs/>
    </w:rPr>
  </w:style>
  <w:style w:type="paragraph" w:styleId="DocumentMap">
    <w:name w:val="Document Map"/>
    <w:basedOn w:val="Normal"/>
    <w:link w:val="DocumentMapChar"/>
    <w:rsid w:val="00C033B1"/>
    <w:pPr>
      <w:shd w:val="clear" w:color="auto" w:fill="000080"/>
    </w:pPr>
    <w:rPr>
      <w:rFonts w:ascii="Tahoma" w:hAnsi="Tahoma" w:cs="Tahoma"/>
    </w:rPr>
  </w:style>
  <w:style w:type="character" w:customStyle="1" w:styleId="DocumentMapChar">
    <w:name w:val="Document Map Char"/>
    <w:basedOn w:val="DefaultParagraphFont"/>
    <w:link w:val="DocumentMap"/>
    <w:rsid w:val="00C033B1"/>
    <w:rPr>
      <w:rFonts w:ascii="Tahoma" w:hAnsi="Tahoma" w:cs="Tahoma"/>
      <w:sz w:val="22"/>
      <w:shd w:val="clear" w:color="auto" w:fill="000080"/>
    </w:rPr>
  </w:style>
  <w:style w:type="paragraph" w:styleId="PlainText">
    <w:name w:val="Plain Text"/>
    <w:basedOn w:val="Normal"/>
    <w:link w:val="PlainTextChar"/>
    <w:rsid w:val="00C033B1"/>
    <w:rPr>
      <w:rFonts w:ascii="Courier New" w:hAnsi="Courier New" w:cs="Courier New"/>
      <w:sz w:val="20"/>
    </w:rPr>
  </w:style>
  <w:style w:type="character" w:customStyle="1" w:styleId="PlainTextChar">
    <w:name w:val="Plain Text Char"/>
    <w:basedOn w:val="DefaultParagraphFont"/>
    <w:link w:val="PlainText"/>
    <w:rsid w:val="00C033B1"/>
    <w:rPr>
      <w:rFonts w:ascii="Courier New" w:hAnsi="Courier New" w:cs="Courier New"/>
    </w:rPr>
  </w:style>
  <w:style w:type="paragraph" w:styleId="E-mailSignature">
    <w:name w:val="E-mail Signature"/>
    <w:basedOn w:val="Normal"/>
    <w:link w:val="E-mailSignatureChar"/>
    <w:rsid w:val="00C033B1"/>
  </w:style>
  <w:style w:type="character" w:customStyle="1" w:styleId="E-mailSignatureChar">
    <w:name w:val="E-mail Signature Char"/>
    <w:basedOn w:val="DefaultParagraphFont"/>
    <w:link w:val="E-mailSignature"/>
    <w:rsid w:val="00C033B1"/>
    <w:rPr>
      <w:sz w:val="22"/>
    </w:rPr>
  </w:style>
  <w:style w:type="paragraph" w:styleId="NormalWeb">
    <w:name w:val="Normal (Web)"/>
    <w:basedOn w:val="Normal"/>
    <w:rsid w:val="00C033B1"/>
  </w:style>
  <w:style w:type="character" w:styleId="HTMLAcronym">
    <w:name w:val="HTML Acronym"/>
    <w:basedOn w:val="DefaultParagraphFont"/>
    <w:rsid w:val="00C033B1"/>
  </w:style>
  <w:style w:type="paragraph" w:styleId="HTMLAddress">
    <w:name w:val="HTML Address"/>
    <w:basedOn w:val="Normal"/>
    <w:link w:val="HTMLAddressChar"/>
    <w:rsid w:val="00C033B1"/>
    <w:rPr>
      <w:i/>
      <w:iCs/>
    </w:rPr>
  </w:style>
  <w:style w:type="character" w:customStyle="1" w:styleId="HTMLAddressChar">
    <w:name w:val="HTML Address Char"/>
    <w:basedOn w:val="DefaultParagraphFont"/>
    <w:link w:val="HTMLAddress"/>
    <w:rsid w:val="00C033B1"/>
    <w:rPr>
      <w:i/>
      <w:iCs/>
      <w:sz w:val="22"/>
    </w:rPr>
  </w:style>
  <w:style w:type="character" w:styleId="HTMLCite">
    <w:name w:val="HTML Cite"/>
    <w:basedOn w:val="DefaultParagraphFont"/>
    <w:rsid w:val="00C033B1"/>
    <w:rPr>
      <w:i/>
      <w:iCs/>
    </w:rPr>
  </w:style>
  <w:style w:type="character" w:styleId="HTMLCode">
    <w:name w:val="HTML Code"/>
    <w:basedOn w:val="DefaultParagraphFont"/>
    <w:rsid w:val="00C033B1"/>
    <w:rPr>
      <w:rFonts w:ascii="Courier New" w:hAnsi="Courier New" w:cs="Courier New"/>
      <w:sz w:val="20"/>
      <w:szCs w:val="20"/>
    </w:rPr>
  </w:style>
  <w:style w:type="character" w:styleId="HTMLDefinition">
    <w:name w:val="HTML Definition"/>
    <w:basedOn w:val="DefaultParagraphFont"/>
    <w:rsid w:val="00C033B1"/>
    <w:rPr>
      <w:i/>
      <w:iCs/>
    </w:rPr>
  </w:style>
  <w:style w:type="character" w:styleId="HTMLKeyboard">
    <w:name w:val="HTML Keyboard"/>
    <w:basedOn w:val="DefaultParagraphFont"/>
    <w:rsid w:val="00C033B1"/>
    <w:rPr>
      <w:rFonts w:ascii="Courier New" w:hAnsi="Courier New" w:cs="Courier New"/>
      <w:sz w:val="20"/>
      <w:szCs w:val="20"/>
    </w:rPr>
  </w:style>
  <w:style w:type="paragraph" w:styleId="HTMLPreformatted">
    <w:name w:val="HTML Preformatted"/>
    <w:basedOn w:val="Normal"/>
    <w:link w:val="HTMLPreformattedChar"/>
    <w:rsid w:val="00C033B1"/>
    <w:rPr>
      <w:rFonts w:ascii="Courier New" w:hAnsi="Courier New" w:cs="Courier New"/>
      <w:sz w:val="20"/>
    </w:rPr>
  </w:style>
  <w:style w:type="character" w:customStyle="1" w:styleId="HTMLPreformattedChar">
    <w:name w:val="HTML Preformatted Char"/>
    <w:basedOn w:val="DefaultParagraphFont"/>
    <w:link w:val="HTMLPreformatted"/>
    <w:rsid w:val="00C033B1"/>
    <w:rPr>
      <w:rFonts w:ascii="Courier New" w:hAnsi="Courier New" w:cs="Courier New"/>
    </w:rPr>
  </w:style>
  <w:style w:type="character" w:styleId="HTMLSample">
    <w:name w:val="HTML Sample"/>
    <w:basedOn w:val="DefaultParagraphFont"/>
    <w:rsid w:val="00C033B1"/>
    <w:rPr>
      <w:rFonts w:ascii="Courier New" w:hAnsi="Courier New" w:cs="Courier New"/>
    </w:rPr>
  </w:style>
  <w:style w:type="character" w:styleId="HTMLTypewriter">
    <w:name w:val="HTML Typewriter"/>
    <w:basedOn w:val="DefaultParagraphFont"/>
    <w:rsid w:val="00C033B1"/>
    <w:rPr>
      <w:rFonts w:ascii="Courier New" w:hAnsi="Courier New" w:cs="Courier New"/>
      <w:sz w:val="20"/>
      <w:szCs w:val="20"/>
    </w:rPr>
  </w:style>
  <w:style w:type="character" w:styleId="HTMLVariable">
    <w:name w:val="HTML Variable"/>
    <w:basedOn w:val="DefaultParagraphFont"/>
    <w:rsid w:val="00C033B1"/>
    <w:rPr>
      <w:i/>
      <w:iCs/>
    </w:rPr>
  </w:style>
  <w:style w:type="paragraph" w:styleId="CommentSubject">
    <w:name w:val="annotation subject"/>
    <w:basedOn w:val="CommentText"/>
    <w:next w:val="CommentText"/>
    <w:link w:val="CommentSubjectChar"/>
    <w:rsid w:val="00C033B1"/>
    <w:rPr>
      <w:b/>
      <w:bCs/>
    </w:rPr>
  </w:style>
  <w:style w:type="character" w:customStyle="1" w:styleId="CommentSubjectChar">
    <w:name w:val="Comment Subject Char"/>
    <w:basedOn w:val="CommentTextChar"/>
    <w:link w:val="CommentSubject"/>
    <w:rsid w:val="00C033B1"/>
    <w:rPr>
      <w:b/>
      <w:bCs/>
    </w:rPr>
  </w:style>
  <w:style w:type="numbering" w:styleId="1ai">
    <w:name w:val="Outline List 1"/>
    <w:basedOn w:val="NoList"/>
    <w:rsid w:val="00C033B1"/>
    <w:pPr>
      <w:numPr>
        <w:numId w:val="14"/>
      </w:numPr>
    </w:pPr>
  </w:style>
  <w:style w:type="numbering" w:styleId="111111">
    <w:name w:val="Outline List 2"/>
    <w:basedOn w:val="NoList"/>
    <w:rsid w:val="00C033B1"/>
    <w:pPr>
      <w:numPr>
        <w:numId w:val="15"/>
      </w:numPr>
    </w:pPr>
  </w:style>
  <w:style w:type="numbering" w:styleId="ArticleSection">
    <w:name w:val="Outline List 3"/>
    <w:basedOn w:val="NoList"/>
    <w:rsid w:val="00C033B1"/>
    <w:pPr>
      <w:numPr>
        <w:numId w:val="17"/>
      </w:numPr>
    </w:pPr>
  </w:style>
  <w:style w:type="table" w:styleId="TableSimple1">
    <w:name w:val="Table Simple 1"/>
    <w:basedOn w:val="TableNormal"/>
    <w:rsid w:val="00C033B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033B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033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033B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033B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033B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033B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033B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033B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033B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033B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033B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033B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033B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033B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033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033B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033B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033B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033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033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033B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033B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033B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033B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033B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033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033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033B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033B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033B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033B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033B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33B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033B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033B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033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033B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33B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033B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033B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033B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033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033B1"/>
    <w:rPr>
      <w:rFonts w:eastAsia="Times New Roman" w:cs="Times New Roman"/>
      <w:b/>
      <w:kern w:val="28"/>
      <w:sz w:val="24"/>
      <w:lang w:eastAsia="en-AU"/>
    </w:rPr>
  </w:style>
  <w:style w:type="paragraph" w:customStyle="1" w:styleId="ETAsubitem">
    <w:name w:val="ETA(subitem)"/>
    <w:basedOn w:val="OPCParaBase"/>
    <w:rsid w:val="00C033B1"/>
    <w:pPr>
      <w:tabs>
        <w:tab w:val="right" w:pos="340"/>
      </w:tabs>
      <w:spacing w:before="60" w:line="240" w:lineRule="auto"/>
      <w:ind w:left="454" w:hanging="454"/>
    </w:pPr>
    <w:rPr>
      <w:sz w:val="20"/>
    </w:rPr>
  </w:style>
  <w:style w:type="paragraph" w:customStyle="1" w:styleId="ETApara">
    <w:name w:val="ETA(para)"/>
    <w:basedOn w:val="OPCParaBase"/>
    <w:rsid w:val="00C033B1"/>
    <w:pPr>
      <w:tabs>
        <w:tab w:val="right" w:pos="754"/>
      </w:tabs>
      <w:spacing w:before="60" w:line="240" w:lineRule="auto"/>
      <w:ind w:left="828" w:hanging="828"/>
    </w:pPr>
    <w:rPr>
      <w:sz w:val="20"/>
    </w:rPr>
  </w:style>
  <w:style w:type="paragraph" w:customStyle="1" w:styleId="ETAsubpara">
    <w:name w:val="ETA(subpara)"/>
    <w:basedOn w:val="OPCParaBase"/>
    <w:rsid w:val="00C033B1"/>
    <w:pPr>
      <w:tabs>
        <w:tab w:val="right" w:pos="1083"/>
      </w:tabs>
      <w:spacing w:before="60" w:line="240" w:lineRule="auto"/>
      <w:ind w:left="1191" w:hanging="1191"/>
    </w:pPr>
    <w:rPr>
      <w:sz w:val="20"/>
    </w:rPr>
  </w:style>
  <w:style w:type="paragraph" w:customStyle="1" w:styleId="ETAsub-subpara">
    <w:name w:val="ETA(sub-subpara)"/>
    <w:basedOn w:val="OPCParaBase"/>
    <w:rsid w:val="00C033B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033B1"/>
  </w:style>
  <w:style w:type="numbering" w:customStyle="1" w:styleId="OPCBodyList">
    <w:name w:val="OPCBodyList"/>
    <w:uiPriority w:val="99"/>
    <w:rsid w:val="009648B2"/>
    <w:pPr>
      <w:numPr>
        <w:numId w:val="21"/>
      </w:numPr>
    </w:pPr>
  </w:style>
  <w:style w:type="paragraph" w:styleId="Revision">
    <w:name w:val="Revision"/>
    <w:hidden/>
    <w:uiPriority w:val="99"/>
    <w:semiHidden/>
    <w:rsid w:val="009648B2"/>
    <w:rPr>
      <w:rFonts w:eastAsia="Calibri" w:cs="Times New Roman"/>
      <w:sz w:val="22"/>
    </w:rPr>
  </w:style>
  <w:style w:type="character" w:customStyle="1" w:styleId="ItemHeadChar">
    <w:name w:val="ItemHead Char"/>
    <w:aliases w:val="ih Char"/>
    <w:link w:val="ItemHead"/>
    <w:rsid w:val="009648B2"/>
    <w:rPr>
      <w:rFonts w:ascii="Arial" w:eastAsia="Times New Roman" w:hAnsi="Arial" w:cs="Times New Roman"/>
      <w:b/>
      <w:kern w:val="28"/>
      <w:sz w:val="24"/>
      <w:lang w:eastAsia="en-AU"/>
    </w:rPr>
  </w:style>
  <w:style w:type="character" w:customStyle="1" w:styleId="paragraphChar">
    <w:name w:val="paragraph Char"/>
    <w:aliases w:val="a Char"/>
    <w:link w:val="paragraph"/>
    <w:rsid w:val="009648B2"/>
    <w:rPr>
      <w:rFonts w:eastAsia="Times New Roman" w:cs="Times New Roman"/>
      <w:sz w:val="22"/>
      <w:lang w:eastAsia="en-AU"/>
    </w:rPr>
  </w:style>
  <w:style w:type="character" w:customStyle="1" w:styleId="ActHead2Char">
    <w:name w:val="ActHead 2 Char"/>
    <w:aliases w:val="p Char"/>
    <w:link w:val="ActHead2"/>
    <w:rsid w:val="009648B2"/>
    <w:rPr>
      <w:rFonts w:eastAsia="Times New Roman" w:cs="Times New Roman"/>
      <w:b/>
      <w:kern w:val="28"/>
      <w:sz w:val="32"/>
      <w:lang w:eastAsia="en-AU"/>
    </w:rPr>
  </w:style>
  <w:style w:type="paragraph" w:customStyle="1" w:styleId="Body">
    <w:name w:val="Body"/>
    <w:aliases w:val="b"/>
    <w:basedOn w:val="OPCParaBase"/>
    <w:rsid w:val="009648B2"/>
    <w:pPr>
      <w:spacing w:before="240" w:line="240" w:lineRule="auto"/>
    </w:pPr>
    <w:rPr>
      <w:sz w:val="24"/>
    </w:rPr>
  </w:style>
  <w:style w:type="paragraph" w:customStyle="1" w:styleId="BodyNum">
    <w:name w:val="BodyNum"/>
    <w:aliases w:val="b1"/>
    <w:basedOn w:val="OPCParaBase"/>
    <w:rsid w:val="009648B2"/>
    <w:pPr>
      <w:numPr>
        <w:numId w:val="21"/>
      </w:numPr>
      <w:spacing w:before="240" w:line="240" w:lineRule="auto"/>
    </w:pPr>
    <w:rPr>
      <w:sz w:val="24"/>
    </w:rPr>
  </w:style>
  <w:style w:type="paragraph" w:customStyle="1" w:styleId="BodyPara">
    <w:name w:val="BodyPara"/>
    <w:aliases w:val="ba"/>
    <w:basedOn w:val="OPCParaBase"/>
    <w:rsid w:val="009648B2"/>
    <w:pPr>
      <w:numPr>
        <w:ilvl w:val="1"/>
        <w:numId w:val="21"/>
      </w:numPr>
      <w:spacing w:before="240" w:line="240" w:lineRule="auto"/>
    </w:pPr>
    <w:rPr>
      <w:sz w:val="24"/>
    </w:rPr>
  </w:style>
  <w:style w:type="paragraph" w:customStyle="1" w:styleId="BodyParaBullet">
    <w:name w:val="BodyParaBullet"/>
    <w:aliases w:val="bpb"/>
    <w:basedOn w:val="OPCParaBase"/>
    <w:rsid w:val="009648B2"/>
    <w:pPr>
      <w:numPr>
        <w:ilvl w:val="2"/>
        <w:numId w:val="21"/>
      </w:numPr>
      <w:tabs>
        <w:tab w:val="left" w:pos="2160"/>
      </w:tabs>
      <w:spacing w:before="240" w:line="240" w:lineRule="auto"/>
    </w:pPr>
    <w:rPr>
      <w:sz w:val="24"/>
    </w:rPr>
  </w:style>
  <w:style w:type="paragraph" w:customStyle="1" w:styleId="BodySubPara">
    <w:name w:val="BodySubPara"/>
    <w:aliases w:val="bi"/>
    <w:basedOn w:val="OPCParaBase"/>
    <w:rsid w:val="009648B2"/>
    <w:pPr>
      <w:numPr>
        <w:ilvl w:val="3"/>
        <w:numId w:val="21"/>
      </w:numPr>
      <w:spacing w:before="240" w:line="240" w:lineRule="auto"/>
    </w:pPr>
    <w:rPr>
      <w:sz w:val="24"/>
    </w:rPr>
  </w:style>
  <w:style w:type="paragraph" w:customStyle="1" w:styleId="Head1">
    <w:name w:val="Head 1"/>
    <w:aliases w:val="1"/>
    <w:basedOn w:val="OPCParaBase"/>
    <w:next w:val="BodyNum"/>
    <w:rsid w:val="009648B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648B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648B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648B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648B2"/>
    <w:pPr>
      <w:keepNext/>
      <w:spacing w:before="240" w:after="60" w:line="240" w:lineRule="auto"/>
      <w:outlineLvl w:val="4"/>
    </w:pPr>
    <w:rPr>
      <w:rFonts w:ascii="Arial" w:hAnsi="Arial"/>
      <w:b/>
      <w:i/>
      <w:kern w:val="28"/>
    </w:rPr>
  </w:style>
  <w:style w:type="paragraph" w:customStyle="1" w:styleId="2ndRd">
    <w:name w:val="2ndRd"/>
    <w:basedOn w:val="OPCParaBase"/>
    <w:rsid w:val="009648B2"/>
    <w:pPr>
      <w:spacing w:line="240" w:lineRule="auto"/>
    </w:pPr>
    <w:rPr>
      <w:sz w:val="20"/>
    </w:rPr>
  </w:style>
  <w:style w:type="paragraph" w:customStyle="1" w:styleId="ActNoP1">
    <w:name w:val="ActNoP1"/>
    <w:basedOn w:val="OPCParaBase"/>
    <w:rsid w:val="009648B2"/>
    <w:pPr>
      <w:spacing w:before="800" w:line="240" w:lineRule="auto"/>
    </w:pPr>
    <w:rPr>
      <w:b/>
      <w:sz w:val="28"/>
    </w:rPr>
  </w:style>
  <w:style w:type="paragraph" w:customStyle="1" w:styleId="AssentBk">
    <w:name w:val="AssentBk"/>
    <w:basedOn w:val="OPCParaBase"/>
    <w:rsid w:val="009648B2"/>
    <w:pPr>
      <w:spacing w:line="240" w:lineRule="auto"/>
    </w:pPr>
    <w:rPr>
      <w:sz w:val="20"/>
    </w:rPr>
  </w:style>
  <w:style w:type="paragraph" w:customStyle="1" w:styleId="AssentDt">
    <w:name w:val="AssentDt"/>
    <w:basedOn w:val="OPCParaBase"/>
    <w:rsid w:val="009648B2"/>
    <w:pPr>
      <w:spacing w:line="240" w:lineRule="auto"/>
    </w:pPr>
    <w:rPr>
      <w:sz w:val="20"/>
    </w:rPr>
  </w:style>
  <w:style w:type="paragraph" w:customStyle="1" w:styleId="p1LinesAfter">
    <w:name w:val="p1LinesAfter"/>
    <w:basedOn w:val="OPCParaBase"/>
    <w:rsid w:val="009648B2"/>
    <w:pPr>
      <w:pBdr>
        <w:top w:val="single" w:sz="12" w:space="0" w:color="auto"/>
      </w:pBdr>
      <w:spacing w:line="240" w:lineRule="auto"/>
    </w:pPr>
    <w:rPr>
      <w:b/>
      <w:sz w:val="28"/>
    </w:rPr>
  </w:style>
  <w:style w:type="paragraph" w:customStyle="1" w:styleId="p1LinesBef">
    <w:name w:val="p1LinesBef"/>
    <w:basedOn w:val="OPCParaBase"/>
    <w:rsid w:val="009648B2"/>
    <w:pPr>
      <w:pBdr>
        <w:bottom w:val="single" w:sz="6" w:space="0" w:color="auto"/>
      </w:pBdr>
      <w:spacing w:before="400" w:line="240" w:lineRule="auto"/>
    </w:pPr>
    <w:rPr>
      <w:b/>
      <w:sz w:val="28"/>
    </w:rPr>
  </w:style>
  <w:style w:type="paragraph" w:customStyle="1" w:styleId="UpdateDate">
    <w:name w:val="UpdateDate"/>
    <w:basedOn w:val="OPCParaBase"/>
    <w:rsid w:val="009648B2"/>
    <w:pPr>
      <w:spacing w:before="240"/>
    </w:pPr>
    <w:rPr>
      <w:sz w:val="24"/>
    </w:rPr>
  </w:style>
  <w:style w:type="paragraph" w:customStyle="1" w:styleId="Autotext">
    <w:name w:val="Autotext"/>
    <w:basedOn w:val="OPCParaBase"/>
    <w:rsid w:val="009648B2"/>
    <w:pPr>
      <w:spacing w:line="240" w:lineRule="auto"/>
      <w:outlineLvl w:val="0"/>
    </w:pPr>
    <w:rPr>
      <w:color w:val="FF0000"/>
      <w:position w:val="6"/>
      <w:sz w:val="16"/>
    </w:rPr>
  </w:style>
  <w:style w:type="paragraph" w:customStyle="1" w:styleId="ClerkBlock">
    <w:name w:val="ClerkBlock"/>
    <w:basedOn w:val="OPCParaBase"/>
    <w:rsid w:val="009648B2"/>
    <w:pPr>
      <w:spacing w:line="200" w:lineRule="atLeast"/>
      <w:ind w:right="3827"/>
    </w:pPr>
    <w:rPr>
      <w:sz w:val="20"/>
    </w:rPr>
  </w:style>
  <w:style w:type="paragraph" w:customStyle="1" w:styleId="ScalePlusRef">
    <w:name w:val="ScalePlusRef"/>
    <w:basedOn w:val="OPCParaBase"/>
    <w:rsid w:val="009648B2"/>
    <w:pPr>
      <w:spacing w:line="240" w:lineRule="auto"/>
    </w:pPr>
    <w:rPr>
      <w:sz w:val="18"/>
    </w:rPr>
  </w:style>
  <w:style w:type="paragraph" w:customStyle="1" w:styleId="MessageNotice">
    <w:name w:val="MessageNotice"/>
    <w:aliases w:val="mn"/>
    <w:basedOn w:val="OPCParaBase"/>
    <w:rsid w:val="009648B2"/>
    <w:pPr>
      <w:tabs>
        <w:tab w:val="left" w:pos="0"/>
      </w:tabs>
      <w:suppressAutoHyphens/>
      <w:jc w:val="both"/>
    </w:pPr>
    <w:rPr>
      <w:spacing w:val="-3"/>
      <w:sz w:val="28"/>
    </w:rPr>
  </w:style>
  <w:style w:type="paragraph" w:customStyle="1" w:styleId="Page1Pam">
    <w:name w:val="Page1Pam"/>
    <w:basedOn w:val="OPCParaBase"/>
    <w:next w:val="ShortT"/>
    <w:rsid w:val="009648B2"/>
    <w:pPr>
      <w:spacing w:before="16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oleObject" Target="embeddings/oleObject1.bin"/><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image" Target="media/image2.wmf"/><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FFEA-A047-455E-958D-8C7113C7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41</Pages>
  <Words>13376</Words>
  <Characters>60866</Characters>
  <Application>Microsoft Office Word</Application>
  <DocSecurity>0</DocSecurity>
  <PresentationFormat/>
  <Lines>1739</Lines>
  <Paragraphs>1400</Paragraphs>
  <ScaleCrop>false</ScaleCrop>
  <HeadingPairs>
    <vt:vector size="2" baseType="variant">
      <vt:variant>
        <vt:lpstr>Title</vt:lpstr>
      </vt:variant>
      <vt:variant>
        <vt:i4>1</vt:i4>
      </vt:variant>
    </vt:vector>
  </HeadingPairs>
  <TitlesOfParts>
    <vt:vector size="1" baseType="lpstr">
      <vt:lpstr>Federal Court and Federal Circuit and Family Court Regulations 2022</vt:lpstr>
    </vt:vector>
  </TitlesOfParts>
  <Manager/>
  <Company/>
  <LinksUpToDate>false</LinksUpToDate>
  <CharactersWithSpaces>72842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2022-07-15T01:23:00Z</cp:lastPrinted>
  <dcterms:created xsi:type="dcterms:W3CDTF">2022-09-29T00:41:00Z</dcterms:created>
  <dcterms:modified xsi:type="dcterms:W3CDTF">2023-01-04T02:43:00Z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and Federal Circuit and Family Court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OPC65978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