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D7452" w14:textId="77777777" w:rsidR="00715914" w:rsidRPr="0082124C" w:rsidRDefault="00DA186E" w:rsidP="00B05CF4">
      <w:pPr>
        <w:rPr>
          <w:sz w:val="28"/>
        </w:rPr>
      </w:pPr>
      <w:r w:rsidRPr="0082124C">
        <w:rPr>
          <w:noProof/>
          <w:lang w:eastAsia="en-AU"/>
        </w:rPr>
        <w:drawing>
          <wp:inline distT="0" distB="0" distL="0" distR="0" wp14:anchorId="0AAD97AA" wp14:editId="409FFC18">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75141E1D" w14:textId="77777777" w:rsidR="00715914" w:rsidRPr="0082124C" w:rsidRDefault="00715914" w:rsidP="00715914">
      <w:pPr>
        <w:rPr>
          <w:sz w:val="19"/>
        </w:rPr>
      </w:pPr>
    </w:p>
    <w:p w14:paraId="1FD444CF" w14:textId="77777777" w:rsidR="00715914" w:rsidRPr="0082124C" w:rsidRDefault="00F7350D" w:rsidP="00715914">
      <w:pPr>
        <w:pStyle w:val="ShortT"/>
      </w:pPr>
      <w:r w:rsidRPr="0082124C">
        <w:t xml:space="preserve">High Court of Australia (Fees) </w:t>
      </w:r>
      <w:r w:rsidR="0082124C" w:rsidRPr="0082124C">
        <w:t>Regulations 2</w:t>
      </w:r>
      <w:r w:rsidRPr="0082124C">
        <w:t>022</w:t>
      </w:r>
    </w:p>
    <w:p w14:paraId="2D607FDC" w14:textId="77777777" w:rsidR="0075163E" w:rsidRPr="0082124C" w:rsidRDefault="0075163E" w:rsidP="00E26099">
      <w:pPr>
        <w:pStyle w:val="SignCoverPageStart"/>
        <w:spacing w:before="240"/>
        <w:rPr>
          <w:szCs w:val="22"/>
        </w:rPr>
      </w:pPr>
      <w:r w:rsidRPr="0082124C">
        <w:rPr>
          <w:szCs w:val="22"/>
        </w:rPr>
        <w:t>I, General the Honourable David Hurley AC DSC (Retd), Governor</w:t>
      </w:r>
      <w:r w:rsidR="0082124C">
        <w:rPr>
          <w:szCs w:val="22"/>
        </w:rPr>
        <w:noBreakHyphen/>
      </w:r>
      <w:r w:rsidRPr="0082124C">
        <w:rPr>
          <w:szCs w:val="22"/>
        </w:rPr>
        <w:t>General of the Commonwealth of Australia, acting with the advice of the Federal Executive Council, make the following regulations.</w:t>
      </w:r>
    </w:p>
    <w:p w14:paraId="6A15D969" w14:textId="64ADE5A6" w:rsidR="0075163E" w:rsidRPr="0082124C" w:rsidRDefault="0075163E" w:rsidP="00E26099">
      <w:pPr>
        <w:keepNext/>
        <w:spacing w:before="720" w:line="240" w:lineRule="atLeast"/>
        <w:ind w:right="397"/>
        <w:jc w:val="both"/>
        <w:rPr>
          <w:szCs w:val="22"/>
        </w:rPr>
      </w:pPr>
      <w:r w:rsidRPr="0082124C">
        <w:rPr>
          <w:szCs w:val="22"/>
        </w:rPr>
        <w:t xml:space="preserve">Dated </w:t>
      </w:r>
      <w:r w:rsidRPr="0082124C">
        <w:rPr>
          <w:szCs w:val="22"/>
        </w:rPr>
        <w:tab/>
      </w:r>
      <w:bookmarkStart w:id="0" w:name="_GoBack"/>
      <w:bookmarkEnd w:id="0"/>
      <w:r w:rsidR="00653F31">
        <w:rPr>
          <w:szCs w:val="22"/>
        </w:rPr>
        <w:t xml:space="preserve">15 December </w:t>
      </w:r>
      <w:r w:rsidRPr="0082124C">
        <w:rPr>
          <w:szCs w:val="22"/>
        </w:rPr>
        <w:fldChar w:fldCharType="begin"/>
      </w:r>
      <w:r w:rsidRPr="0082124C">
        <w:rPr>
          <w:szCs w:val="22"/>
        </w:rPr>
        <w:instrText xml:space="preserve"> DOCPROPERTY  DateMade </w:instrText>
      </w:r>
      <w:r w:rsidRPr="0082124C">
        <w:rPr>
          <w:szCs w:val="22"/>
        </w:rPr>
        <w:fldChar w:fldCharType="separate"/>
      </w:r>
      <w:r w:rsidR="006F3C83">
        <w:rPr>
          <w:szCs w:val="22"/>
        </w:rPr>
        <w:t>2022</w:t>
      </w:r>
      <w:r w:rsidRPr="0082124C">
        <w:rPr>
          <w:szCs w:val="22"/>
        </w:rPr>
        <w:fldChar w:fldCharType="end"/>
      </w:r>
    </w:p>
    <w:p w14:paraId="63427DB7" w14:textId="77777777" w:rsidR="0075163E" w:rsidRPr="0082124C" w:rsidRDefault="0075163E" w:rsidP="00E26099">
      <w:pPr>
        <w:keepNext/>
        <w:tabs>
          <w:tab w:val="left" w:pos="3402"/>
        </w:tabs>
        <w:spacing w:before="1080" w:line="300" w:lineRule="atLeast"/>
        <w:ind w:left="397" w:right="397"/>
        <w:jc w:val="right"/>
        <w:rPr>
          <w:szCs w:val="22"/>
        </w:rPr>
      </w:pPr>
      <w:r w:rsidRPr="0082124C">
        <w:rPr>
          <w:szCs w:val="22"/>
        </w:rPr>
        <w:t>David Hurley</w:t>
      </w:r>
    </w:p>
    <w:p w14:paraId="08DDB6E4" w14:textId="77777777" w:rsidR="0075163E" w:rsidRPr="0082124C" w:rsidRDefault="0075163E" w:rsidP="00E26099">
      <w:pPr>
        <w:keepNext/>
        <w:tabs>
          <w:tab w:val="left" w:pos="3402"/>
        </w:tabs>
        <w:spacing w:line="300" w:lineRule="atLeast"/>
        <w:ind w:left="397" w:right="397"/>
        <w:jc w:val="right"/>
        <w:rPr>
          <w:szCs w:val="22"/>
        </w:rPr>
      </w:pPr>
      <w:r w:rsidRPr="0082124C">
        <w:rPr>
          <w:szCs w:val="22"/>
        </w:rPr>
        <w:t>Governor</w:t>
      </w:r>
      <w:r w:rsidR="0082124C">
        <w:rPr>
          <w:szCs w:val="22"/>
        </w:rPr>
        <w:noBreakHyphen/>
      </w:r>
      <w:r w:rsidRPr="0082124C">
        <w:rPr>
          <w:szCs w:val="22"/>
        </w:rPr>
        <w:t>General</w:t>
      </w:r>
    </w:p>
    <w:p w14:paraId="3CBE0166" w14:textId="77777777" w:rsidR="0075163E" w:rsidRPr="0082124C" w:rsidRDefault="0075163E" w:rsidP="00E26099">
      <w:pPr>
        <w:keepNext/>
        <w:tabs>
          <w:tab w:val="left" w:pos="3402"/>
        </w:tabs>
        <w:spacing w:before="840" w:after="1080" w:line="300" w:lineRule="atLeast"/>
        <w:ind w:right="397"/>
        <w:rPr>
          <w:szCs w:val="22"/>
        </w:rPr>
      </w:pPr>
      <w:r w:rsidRPr="0082124C">
        <w:rPr>
          <w:szCs w:val="22"/>
        </w:rPr>
        <w:t>By His Excellency’s Command</w:t>
      </w:r>
    </w:p>
    <w:p w14:paraId="60488536" w14:textId="77777777" w:rsidR="0075163E" w:rsidRPr="0082124C" w:rsidRDefault="0075163E" w:rsidP="00E26099">
      <w:pPr>
        <w:keepNext/>
        <w:tabs>
          <w:tab w:val="left" w:pos="3402"/>
        </w:tabs>
        <w:spacing w:before="480" w:line="300" w:lineRule="atLeast"/>
        <w:ind w:right="397"/>
        <w:rPr>
          <w:szCs w:val="22"/>
        </w:rPr>
      </w:pPr>
      <w:r w:rsidRPr="0082124C">
        <w:rPr>
          <w:szCs w:val="22"/>
        </w:rPr>
        <w:t xml:space="preserve">Mark Dreyfus </w:t>
      </w:r>
      <w:r w:rsidR="0086223C" w:rsidRPr="0082124C">
        <w:rPr>
          <w:szCs w:val="22"/>
        </w:rPr>
        <w:t>K</w:t>
      </w:r>
      <w:r w:rsidRPr="0082124C">
        <w:rPr>
          <w:szCs w:val="22"/>
        </w:rPr>
        <w:t>C</w:t>
      </w:r>
    </w:p>
    <w:p w14:paraId="592B5CAE" w14:textId="77777777" w:rsidR="0075163E" w:rsidRPr="0082124C" w:rsidRDefault="0075163E" w:rsidP="00E26099">
      <w:pPr>
        <w:pStyle w:val="SignCoverPageEnd"/>
        <w:rPr>
          <w:szCs w:val="22"/>
        </w:rPr>
      </w:pPr>
      <w:r w:rsidRPr="0082124C">
        <w:rPr>
          <w:szCs w:val="22"/>
        </w:rPr>
        <w:t>Attorney</w:t>
      </w:r>
      <w:r w:rsidR="0082124C">
        <w:rPr>
          <w:szCs w:val="22"/>
        </w:rPr>
        <w:noBreakHyphen/>
      </w:r>
      <w:r w:rsidRPr="0082124C">
        <w:rPr>
          <w:szCs w:val="22"/>
        </w:rPr>
        <w:t>General</w:t>
      </w:r>
    </w:p>
    <w:p w14:paraId="6F8F66E9" w14:textId="77777777" w:rsidR="0075163E" w:rsidRPr="0082124C" w:rsidRDefault="0075163E" w:rsidP="00E26099"/>
    <w:p w14:paraId="6B6BE178" w14:textId="77777777" w:rsidR="0075163E" w:rsidRPr="0082124C" w:rsidRDefault="0075163E" w:rsidP="00E26099"/>
    <w:p w14:paraId="24B596EE" w14:textId="77777777" w:rsidR="0075163E" w:rsidRPr="0082124C" w:rsidRDefault="0075163E" w:rsidP="00E26099"/>
    <w:p w14:paraId="656BF64F" w14:textId="77777777" w:rsidR="00715914" w:rsidRPr="003F450F" w:rsidRDefault="00715914" w:rsidP="00715914">
      <w:pPr>
        <w:pStyle w:val="Header"/>
        <w:tabs>
          <w:tab w:val="clear" w:pos="4150"/>
          <w:tab w:val="clear" w:pos="8307"/>
        </w:tabs>
      </w:pPr>
      <w:r w:rsidRPr="003F450F">
        <w:rPr>
          <w:rStyle w:val="CharChapNo"/>
        </w:rPr>
        <w:t xml:space="preserve"> </w:t>
      </w:r>
      <w:r w:rsidRPr="003F450F">
        <w:rPr>
          <w:rStyle w:val="CharChapText"/>
        </w:rPr>
        <w:t xml:space="preserve"> </w:t>
      </w:r>
    </w:p>
    <w:p w14:paraId="79D52A55" w14:textId="77777777" w:rsidR="00715914" w:rsidRPr="003F450F" w:rsidRDefault="00715914" w:rsidP="00715914">
      <w:pPr>
        <w:pStyle w:val="Header"/>
        <w:tabs>
          <w:tab w:val="clear" w:pos="4150"/>
          <w:tab w:val="clear" w:pos="8307"/>
        </w:tabs>
      </w:pPr>
      <w:r w:rsidRPr="003F450F">
        <w:rPr>
          <w:rStyle w:val="CharPartNo"/>
        </w:rPr>
        <w:t xml:space="preserve"> </w:t>
      </w:r>
      <w:r w:rsidRPr="003F450F">
        <w:rPr>
          <w:rStyle w:val="CharPartText"/>
        </w:rPr>
        <w:t xml:space="preserve"> </w:t>
      </w:r>
    </w:p>
    <w:p w14:paraId="01C605D4" w14:textId="77777777" w:rsidR="00715914" w:rsidRPr="003F450F" w:rsidRDefault="00715914" w:rsidP="00715914">
      <w:pPr>
        <w:pStyle w:val="Header"/>
        <w:tabs>
          <w:tab w:val="clear" w:pos="4150"/>
          <w:tab w:val="clear" w:pos="8307"/>
        </w:tabs>
      </w:pPr>
      <w:r w:rsidRPr="003F450F">
        <w:rPr>
          <w:rStyle w:val="CharDivNo"/>
        </w:rPr>
        <w:t xml:space="preserve"> </w:t>
      </w:r>
      <w:r w:rsidRPr="003F450F">
        <w:rPr>
          <w:rStyle w:val="CharDivText"/>
        </w:rPr>
        <w:t xml:space="preserve"> </w:t>
      </w:r>
    </w:p>
    <w:p w14:paraId="24DA4EBD" w14:textId="77777777" w:rsidR="00715914" w:rsidRPr="0082124C" w:rsidRDefault="00715914" w:rsidP="00715914">
      <w:pPr>
        <w:sectPr w:rsidR="00715914" w:rsidRPr="0082124C" w:rsidSect="000E2DB5">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660B6F65" w14:textId="77777777" w:rsidR="00F67BCA" w:rsidRPr="0082124C" w:rsidRDefault="00715914" w:rsidP="00715914">
      <w:pPr>
        <w:outlineLvl w:val="0"/>
        <w:rPr>
          <w:sz w:val="36"/>
        </w:rPr>
      </w:pPr>
      <w:r w:rsidRPr="0082124C">
        <w:rPr>
          <w:sz w:val="36"/>
        </w:rPr>
        <w:lastRenderedPageBreak/>
        <w:t>Contents</w:t>
      </w:r>
    </w:p>
    <w:p w14:paraId="5FBD5227" w14:textId="2299A00C" w:rsidR="00041FE8" w:rsidRPr="0082124C" w:rsidRDefault="00041FE8">
      <w:pPr>
        <w:pStyle w:val="TOC2"/>
        <w:rPr>
          <w:rFonts w:asciiTheme="minorHAnsi" w:eastAsiaTheme="minorEastAsia" w:hAnsiTheme="minorHAnsi" w:cstheme="minorBidi"/>
          <w:b w:val="0"/>
          <w:noProof/>
          <w:kern w:val="0"/>
          <w:sz w:val="22"/>
          <w:szCs w:val="22"/>
        </w:rPr>
      </w:pPr>
      <w:r w:rsidRPr="0082124C">
        <w:fldChar w:fldCharType="begin"/>
      </w:r>
      <w:r w:rsidRPr="0082124C">
        <w:instrText xml:space="preserve"> TOC \o "1-9" </w:instrText>
      </w:r>
      <w:r w:rsidRPr="0082124C">
        <w:fldChar w:fldCharType="separate"/>
      </w:r>
      <w:r w:rsidRPr="0082124C">
        <w:rPr>
          <w:noProof/>
        </w:rPr>
        <w:t>Part 1—Preliminary</w:t>
      </w:r>
      <w:r w:rsidRPr="0082124C">
        <w:rPr>
          <w:b w:val="0"/>
          <w:noProof/>
          <w:sz w:val="18"/>
        </w:rPr>
        <w:tab/>
      </w:r>
      <w:r w:rsidRPr="0082124C">
        <w:rPr>
          <w:b w:val="0"/>
          <w:noProof/>
          <w:sz w:val="18"/>
        </w:rPr>
        <w:fldChar w:fldCharType="begin"/>
      </w:r>
      <w:r w:rsidRPr="0082124C">
        <w:rPr>
          <w:b w:val="0"/>
          <w:noProof/>
          <w:sz w:val="18"/>
        </w:rPr>
        <w:instrText xml:space="preserve"> PAGEREF _Toc113458334 \h </w:instrText>
      </w:r>
      <w:r w:rsidRPr="0082124C">
        <w:rPr>
          <w:b w:val="0"/>
          <w:noProof/>
          <w:sz w:val="18"/>
        </w:rPr>
      </w:r>
      <w:r w:rsidRPr="0082124C">
        <w:rPr>
          <w:b w:val="0"/>
          <w:noProof/>
          <w:sz w:val="18"/>
        </w:rPr>
        <w:fldChar w:fldCharType="separate"/>
      </w:r>
      <w:r w:rsidR="006F3C83">
        <w:rPr>
          <w:b w:val="0"/>
          <w:noProof/>
          <w:sz w:val="18"/>
        </w:rPr>
        <w:t>1</w:t>
      </w:r>
      <w:r w:rsidRPr="0082124C">
        <w:rPr>
          <w:b w:val="0"/>
          <w:noProof/>
          <w:sz w:val="18"/>
        </w:rPr>
        <w:fldChar w:fldCharType="end"/>
      </w:r>
    </w:p>
    <w:p w14:paraId="7D05818C" w14:textId="0E1D6E7E" w:rsidR="00041FE8" w:rsidRPr="0082124C" w:rsidRDefault="00041FE8">
      <w:pPr>
        <w:pStyle w:val="TOC5"/>
        <w:rPr>
          <w:rFonts w:asciiTheme="minorHAnsi" w:eastAsiaTheme="minorEastAsia" w:hAnsiTheme="minorHAnsi" w:cstheme="minorBidi"/>
          <w:noProof/>
          <w:kern w:val="0"/>
          <w:sz w:val="22"/>
          <w:szCs w:val="22"/>
        </w:rPr>
      </w:pPr>
      <w:r w:rsidRPr="0082124C">
        <w:rPr>
          <w:noProof/>
        </w:rPr>
        <w:t>1</w:t>
      </w:r>
      <w:r w:rsidRPr="0082124C">
        <w:rPr>
          <w:noProof/>
        </w:rPr>
        <w:tab/>
        <w:t>Name</w:t>
      </w:r>
      <w:r w:rsidRPr="0082124C">
        <w:rPr>
          <w:noProof/>
        </w:rPr>
        <w:tab/>
      </w:r>
      <w:r w:rsidRPr="0082124C">
        <w:rPr>
          <w:noProof/>
        </w:rPr>
        <w:fldChar w:fldCharType="begin"/>
      </w:r>
      <w:r w:rsidRPr="0082124C">
        <w:rPr>
          <w:noProof/>
        </w:rPr>
        <w:instrText xml:space="preserve"> PAGEREF _Toc113458335 \h </w:instrText>
      </w:r>
      <w:r w:rsidRPr="0082124C">
        <w:rPr>
          <w:noProof/>
        </w:rPr>
      </w:r>
      <w:r w:rsidRPr="0082124C">
        <w:rPr>
          <w:noProof/>
        </w:rPr>
        <w:fldChar w:fldCharType="separate"/>
      </w:r>
      <w:r w:rsidR="006F3C83">
        <w:rPr>
          <w:noProof/>
        </w:rPr>
        <w:t>1</w:t>
      </w:r>
      <w:r w:rsidRPr="0082124C">
        <w:rPr>
          <w:noProof/>
        </w:rPr>
        <w:fldChar w:fldCharType="end"/>
      </w:r>
    </w:p>
    <w:p w14:paraId="5747E0D4" w14:textId="07AB602B" w:rsidR="00041FE8" w:rsidRPr="0082124C" w:rsidRDefault="00041FE8">
      <w:pPr>
        <w:pStyle w:val="TOC5"/>
        <w:rPr>
          <w:rFonts w:asciiTheme="minorHAnsi" w:eastAsiaTheme="minorEastAsia" w:hAnsiTheme="minorHAnsi" w:cstheme="minorBidi"/>
          <w:noProof/>
          <w:kern w:val="0"/>
          <w:sz w:val="22"/>
          <w:szCs w:val="22"/>
        </w:rPr>
      </w:pPr>
      <w:r w:rsidRPr="0082124C">
        <w:rPr>
          <w:noProof/>
        </w:rPr>
        <w:t>2</w:t>
      </w:r>
      <w:r w:rsidRPr="0082124C">
        <w:rPr>
          <w:noProof/>
        </w:rPr>
        <w:tab/>
        <w:t>Commencement</w:t>
      </w:r>
      <w:r w:rsidRPr="0082124C">
        <w:rPr>
          <w:noProof/>
        </w:rPr>
        <w:tab/>
      </w:r>
      <w:r w:rsidRPr="0082124C">
        <w:rPr>
          <w:noProof/>
        </w:rPr>
        <w:fldChar w:fldCharType="begin"/>
      </w:r>
      <w:r w:rsidRPr="0082124C">
        <w:rPr>
          <w:noProof/>
        </w:rPr>
        <w:instrText xml:space="preserve"> PAGEREF _Toc113458336 \h </w:instrText>
      </w:r>
      <w:r w:rsidRPr="0082124C">
        <w:rPr>
          <w:noProof/>
        </w:rPr>
      </w:r>
      <w:r w:rsidRPr="0082124C">
        <w:rPr>
          <w:noProof/>
        </w:rPr>
        <w:fldChar w:fldCharType="separate"/>
      </w:r>
      <w:r w:rsidR="006F3C83">
        <w:rPr>
          <w:noProof/>
        </w:rPr>
        <w:t>1</w:t>
      </w:r>
      <w:r w:rsidRPr="0082124C">
        <w:rPr>
          <w:noProof/>
        </w:rPr>
        <w:fldChar w:fldCharType="end"/>
      </w:r>
    </w:p>
    <w:p w14:paraId="7B89005A" w14:textId="7150C003" w:rsidR="00041FE8" w:rsidRPr="0082124C" w:rsidRDefault="00041FE8">
      <w:pPr>
        <w:pStyle w:val="TOC5"/>
        <w:rPr>
          <w:rFonts w:asciiTheme="minorHAnsi" w:eastAsiaTheme="minorEastAsia" w:hAnsiTheme="minorHAnsi" w:cstheme="minorBidi"/>
          <w:noProof/>
          <w:kern w:val="0"/>
          <w:sz w:val="22"/>
          <w:szCs w:val="22"/>
        </w:rPr>
      </w:pPr>
      <w:r w:rsidRPr="0082124C">
        <w:rPr>
          <w:noProof/>
        </w:rPr>
        <w:t>3</w:t>
      </w:r>
      <w:r w:rsidRPr="0082124C">
        <w:rPr>
          <w:noProof/>
        </w:rPr>
        <w:tab/>
        <w:t>Authority</w:t>
      </w:r>
      <w:r w:rsidRPr="0082124C">
        <w:rPr>
          <w:noProof/>
        </w:rPr>
        <w:tab/>
      </w:r>
      <w:r w:rsidRPr="0082124C">
        <w:rPr>
          <w:noProof/>
        </w:rPr>
        <w:fldChar w:fldCharType="begin"/>
      </w:r>
      <w:r w:rsidRPr="0082124C">
        <w:rPr>
          <w:noProof/>
        </w:rPr>
        <w:instrText xml:space="preserve"> PAGEREF _Toc113458337 \h </w:instrText>
      </w:r>
      <w:r w:rsidRPr="0082124C">
        <w:rPr>
          <w:noProof/>
        </w:rPr>
      </w:r>
      <w:r w:rsidRPr="0082124C">
        <w:rPr>
          <w:noProof/>
        </w:rPr>
        <w:fldChar w:fldCharType="separate"/>
      </w:r>
      <w:r w:rsidR="006F3C83">
        <w:rPr>
          <w:noProof/>
        </w:rPr>
        <w:t>1</w:t>
      </w:r>
      <w:r w:rsidRPr="0082124C">
        <w:rPr>
          <w:noProof/>
        </w:rPr>
        <w:fldChar w:fldCharType="end"/>
      </w:r>
    </w:p>
    <w:p w14:paraId="51DF66A5" w14:textId="44EB8DB7" w:rsidR="00041FE8" w:rsidRPr="0082124C" w:rsidRDefault="00041FE8">
      <w:pPr>
        <w:pStyle w:val="TOC5"/>
        <w:rPr>
          <w:rFonts w:asciiTheme="minorHAnsi" w:eastAsiaTheme="minorEastAsia" w:hAnsiTheme="minorHAnsi" w:cstheme="minorBidi"/>
          <w:noProof/>
          <w:kern w:val="0"/>
          <w:sz w:val="22"/>
          <w:szCs w:val="22"/>
        </w:rPr>
      </w:pPr>
      <w:r w:rsidRPr="0082124C">
        <w:rPr>
          <w:noProof/>
        </w:rPr>
        <w:t>3A</w:t>
      </w:r>
      <w:r w:rsidRPr="0082124C">
        <w:rPr>
          <w:noProof/>
        </w:rPr>
        <w:tab/>
        <w:t>Schedule 2</w:t>
      </w:r>
      <w:r w:rsidRPr="0082124C">
        <w:rPr>
          <w:noProof/>
        </w:rPr>
        <w:tab/>
      </w:r>
      <w:r w:rsidRPr="0082124C">
        <w:rPr>
          <w:noProof/>
        </w:rPr>
        <w:fldChar w:fldCharType="begin"/>
      </w:r>
      <w:r w:rsidRPr="0082124C">
        <w:rPr>
          <w:noProof/>
        </w:rPr>
        <w:instrText xml:space="preserve"> PAGEREF _Toc113458338 \h </w:instrText>
      </w:r>
      <w:r w:rsidRPr="0082124C">
        <w:rPr>
          <w:noProof/>
        </w:rPr>
      </w:r>
      <w:r w:rsidRPr="0082124C">
        <w:rPr>
          <w:noProof/>
        </w:rPr>
        <w:fldChar w:fldCharType="separate"/>
      </w:r>
      <w:r w:rsidR="006F3C83">
        <w:rPr>
          <w:noProof/>
        </w:rPr>
        <w:t>1</w:t>
      </w:r>
      <w:r w:rsidRPr="0082124C">
        <w:rPr>
          <w:noProof/>
        </w:rPr>
        <w:fldChar w:fldCharType="end"/>
      </w:r>
    </w:p>
    <w:p w14:paraId="02719BCA" w14:textId="2BDB4AEF" w:rsidR="00041FE8" w:rsidRPr="0082124C" w:rsidRDefault="00041FE8">
      <w:pPr>
        <w:pStyle w:val="TOC5"/>
        <w:rPr>
          <w:rFonts w:asciiTheme="minorHAnsi" w:eastAsiaTheme="minorEastAsia" w:hAnsiTheme="minorHAnsi" w:cstheme="minorBidi"/>
          <w:noProof/>
          <w:kern w:val="0"/>
          <w:sz w:val="22"/>
          <w:szCs w:val="22"/>
        </w:rPr>
      </w:pPr>
      <w:r w:rsidRPr="0082124C">
        <w:rPr>
          <w:noProof/>
        </w:rPr>
        <w:t>3B</w:t>
      </w:r>
      <w:r w:rsidRPr="0082124C">
        <w:rPr>
          <w:noProof/>
        </w:rPr>
        <w:tab/>
        <w:t>Definitions</w:t>
      </w:r>
      <w:r w:rsidRPr="0082124C">
        <w:rPr>
          <w:noProof/>
        </w:rPr>
        <w:tab/>
      </w:r>
      <w:r w:rsidRPr="0082124C">
        <w:rPr>
          <w:noProof/>
        </w:rPr>
        <w:fldChar w:fldCharType="begin"/>
      </w:r>
      <w:r w:rsidRPr="0082124C">
        <w:rPr>
          <w:noProof/>
        </w:rPr>
        <w:instrText xml:space="preserve"> PAGEREF _Toc113458339 \h </w:instrText>
      </w:r>
      <w:r w:rsidRPr="0082124C">
        <w:rPr>
          <w:noProof/>
        </w:rPr>
      </w:r>
      <w:r w:rsidRPr="0082124C">
        <w:rPr>
          <w:noProof/>
        </w:rPr>
        <w:fldChar w:fldCharType="separate"/>
      </w:r>
      <w:r w:rsidR="006F3C83">
        <w:rPr>
          <w:noProof/>
        </w:rPr>
        <w:t>1</w:t>
      </w:r>
      <w:r w:rsidRPr="0082124C">
        <w:rPr>
          <w:noProof/>
        </w:rPr>
        <w:fldChar w:fldCharType="end"/>
      </w:r>
    </w:p>
    <w:p w14:paraId="5B7251AC" w14:textId="3E8916D2" w:rsidR="00041FE8" w:rsidRPr="0082124C" w:rsidRDefault="00041FE8">
      <w:pPr>
        <w:pStyle w:val="TOC5"/>
        <w:rPr>
          <w:rFonts w:asciiTheme="minorHAnsi" w:eastAsiaTheme="minorEastAsia" w:hAnsiTheme="minorHAnsi" w:cstheme="minorBidi"/>
          <w:noProof/>
          <w:kern w:val="0"/>
          <w:sz w:val="22"/>
          <w:szCs w:val="22"/>
        </w:rPr>
      </w:pPr>
      <w:r w:rsidRPr="0082124C">
        <w:rPr>
          <w:noProof/>
        </w:rPr>
        <w:t>4</w:t>
      </w:r>
      <w:r w:rsidRPr="0082124C">
        <w:rPr>
          <w:noProof/>
        </w:rPr>
        <w:tab/>
        <w:t xml:space="preserve">Meaning of </w:t>
      </w:r>
      <w:r w:rsidRPr="0082124C">
        <w:rPr>
          <w:i/>
          <w:noProof/>
        </w:rPr>
        <w:t>corporation</w:t>
      </w:r>
      <w:r w:rsidRPr="0082124C">
        <w:rPr>
          <w:noProof/>
        </w:rPr>
        <w:tab/>
      </w:r>
      <w:r w:rsidRPr="0082124C">
        <w:rPr>
          <w:noProof/>
        </w:rPr>
        <w:fldChar w:fldCharType="begin"/>
      </w:r>
      <w:r w:rsidRPr="0082124C">
        <w:rPr>
          <w:noProof/>
        </w:rPr>
        <w:instrText xml:space="preserve"> PAGEREF _Toc113458340 \h </w:instrText>
      </w:r>
      <w:r w:rsidRPr="0082124C">
        <w:rPr>
          <w:noProof/>
        </w:rPr>
      </w:r>
      <w:r w:rsidRPr="0082124C">
        <w:rPr>
          <w:noProof/>
        </w:rPr>
        <w:fldChar w:fldCharType="separate"/>
      </w:r>
      <w:r w:rsidR="006F3C83">
        <w:rPr>
          <w:noProof/>
        </w:rPr>
        <w:t>2</w:t>
      </w:r>
      <w:r w:rsidRPr="0082124C">
        <w:rPr>
          <w:noProof/>
        </w:rPr>
        <w:fldChar w:fldCharType="end"/>
      </w:r>
    </w:p>
    <w:p w14:paraId="4BB423A7" w14:textId="45E782CB" w:rsidR="00041FE8" w:rsidRPr="0082124C" w:rsidRDefault="00041FE8">
      <w:pPr>
        <w:pStyle w:val="TOC2"/>
        <w:rPr>
          <w:rFonts w:asciiTheme="minorHAnsi" w:eastAsiaTheme="minorEastAsia" w:hAnsiTheme="minorHAnsi" w:cstheme="minorBidi"/>
          <w:b w:val="0"/>
          <w:noProof/>
          <w:kern w:val="0"/>
          <w:sz w:val="22"/>
          <w:szCs w:val="22"/>
        </w:rPr>
      </w:pPr>
      <w:r w:rsidRPr="0082124C">
        <w:rPr>
          <w:noProof/>
        </w:rPr>
        <w:t>Part 2—Fees</w:t>
      </w:r>
      <w:r w:rsidRPr="0082124C">
        <w:rPr>
          <w:b w:val="0"/>
          <w:noProof/>
          <w:sz w:val="18"/>
        </w:rPr>
        <w:tab/>
      </w:r>
      <w:r w:rsidRPr="0082124C">
        <w:rPr>
          <w:b w:val="0"/>
          <w:noProof/>
          <w:sz w:val="18"/>
        </w:rPr>
        <w:fldChar w:fldCharType="begin"/>
      </w:r>
      <w:r w:rsidRPr="0082124C">
        <w:rPr>
          <w:b w:val="0"/>
          <w:noProof/>
          <w:sz w:val="18"/>
        </w:rPr>
        <w:instrText xml:space="preserve"> PAGEREF _Toc113458341 \h </w:instrText>
      </w:r>
      <w:r w:rsidRPr="0082124C">
        <w:rPr>
          <w:b w:val="0"/>
          <w:noProof/>
          <w:sz w:val="18"/>
        </w:rPr>
      </w:r>
      <w:r w:rsidRPr="0082124C">
        <w:rPr>
          <w:b w:val="0"/>
          <w:noProof/>
          <w:sz w:val="18"/>
        </w:rPr>
        <w:fldChar w:fldCharType="separate"/>
      </w:r>
      <w:r w:rsidR="006F3C83">
        <w:rPr>
          <w:b w:val="0"/>
          <w:noProof/>
          <w:sz w:val="18"/>
        </w:rPr>
        <w:t>4</w:t>
      </w:r>
      <w:r w:rsidRPr="0082124C">
        <w:rPr>
          <w:b w:val="0"/>
          <w:noProof/>
          <w:sz w:val="18"/>
        </w:rPr>
        <w:fldChar w:fldCharType="end"/>
      </w:r>
    </w:p>
    <w:p w14:paraId="58C8AB49" w14:textId="2F4BEC86" w:rsidR="00041FE8" w:rsidRPr="0082124C" w:rsidRDefault="00041FE8">
      <w:pPr>
        <w:pStyle w:val="TOC3"/>
        <w:rPr>
          <w:rFonts w:asciiTheme="minorHAnsi" w:eastAsiaTheme="minorEastAsia" w:hAnsiTheme="minorHAnsi" w:cstheme="minorBidi"/>
          <w:b w:val="0"/>
          <w:noProof/>
          <w:kern w:val="0"/>
          <w:szCs w:val="22"/>
        </w:rPr>
      </w:pPr>
      <w:r w:rsidRPr="0082124C">
        <w:rPr>
          <w:noProof/>
        </w:rPr>
        <w:t>Division 2.1—General</w:t>
      </w:r>
      <w:r w:rsidRPr="0082124C">
        <w:rPr>
          <w:b w:val="0"/>
          <w:noProof/>
          <w:sz w:val="18"/>
        </w:rPr>
        <w:tab/>
      </w:r>
      <w:r w:rsidRPr="0082124C">
        <w:rPr>
          <w:b w:val="0"/>
          <w:noProof/>
          <w:sz w:val="18"/>
        </w:rPr>
        <w:fldChar w:fldCharType="begin"/>
      </w:r>
      <w:r w:rsidRPr="0082124C">
        <w:rPr>
          <w:b w:val="0"/>
          <w:noProof/>
          <w:sz w:val="18"/>
        </w:rPr>
        <w:instrText xml:space="preserve"> PAGEREF _Toc113458342 \h </w:instrText>
      </w:r>
      <w:r w:rsidRPr="0082124C">
        <w:rPr>
          <w:b w:val="0"/>
          <w:noProof/>
          <w:sz w:val="18"/>
        </w:rPr>
      </w:r>
      <w:r w:rsidRPr="0082124C">
        <w:rPr>
          <w:b w:val="0"/>
          <w:noProof/>
          <w:sz w:val="18"/>
        </w:rPr>
        <w:fldChar w:fldCharType="separate"/>
      </w:r>
      <w:r w:rsidR="006F3C83">
        <w:rPr>
          <w:b w:val="0"/>
          <w:noProof/>
          <w:sz w:val="18"/>
        </w:rPr>
        <w:t>4</w:t>
      </w:r>
      <w:r w:rsidRPr="0082124C">
        <w:rPr>
          <w:b w:val="0"/>
          <w:noProof/>
          <w:sz w:val="18"/>
        </w:rPr>
        <w:fldChar w:fldCharType="end"/>
      </w:r>
    </w:p>
    <w:p w14:paraId="256005C2" w14:textId="19A8CB81" w:rsidR="00041FE8" w:rsidRPr="0082124C" w:rsidRDefault="00041FE8">
      <w:pPr>
        <w:pStyle w:val="TOC5"/>
        <w:rPr>
          <w:rFonts w:asciiTheme="minorHAnsi" w:eastAsiaTheme="minorEastAsia" w:hAnsiTheme="minorHAnsi" w:cstheme="minorBidi"/>
          <w:noProof/>
          <w:kern w:val="0"/>
          <w:sz w:val="22"/>
          <w:szCs w:val="22"/>
        </w:rPr>
      </w:pPr>
      <w:r w:rsidRPr="0082124C">
        <w:rPr>
          <w:noProof/>
        </w:rPr>
        <w:t>6</w:t>
      </w:r>
      <w:r w:rsidRPr="0082124C">
        <w:rPr>
          <w:noProof/>
        </w:rPr>
        <w:tab/>
        <w:t>Purpose of Part</w:t>
      </w:r>
      <w:r w:rsidRPr="0082124C">
        <w:rPr>
          <w:noProof/>
        </w:rPr>
        <w:tab/>
      </w:r>
      <w:r w:rsidRPr="0082124C">
        <w:rPr>
          <w:noProof/>
        </w:rPr>
        <w:fldChar w:fldCharType="begin"/>
      </w:r>
      <w:r w:rsidRPr="0082124C">
        <w:rPr>
          <w:noProof/>
        </w:rPr>
        <w:instrText xml:space="preserve"> PAGEREF _Toc113458343 \h </w:instrText>
      </w:r>
      <w:r w:rsidRPr="0082124C">
        <w:rPr>
          <w:noProof/>
        </w:rPr>
      </w:r>
      <w:r w:rsidRPr="0082124C">
        <w:rPr>
          <w:noProof/>
        </w:rPr>
        <w:fldChar w:fldCharType="separate"/>
      </w:r>
      <w:r w:rsidR="006F3C83">
        <w:rPr>
          <w:noProof/>
        </w:rPr>
        <w:t>4</w:t>
      </w:r>
      <w:r w:rsidRPr="0082124C">
        <w:rPr>
          <w:noProof/>
        </w:rPr>
        <w:fldChar w:fldCharType="end"/>
      </w:r>
    </w:p>
    <w:p w14:paraId="6FC9AF14" w14:textId="7207E71B" w:rsidR="00041FE8" w:rsidRPr="0082124C" w:rsidRDefault="00041FE8">
      <w:pPr>
        <w:pStyle w:val="TOC5"/>
        <w:rPr>
          <w:rFonts w:asciiTheme="minorHAnsi" w:eastAsiaTheme="minorEastAsia" w:hAnsiTheme="minorHAnsi" w:cstheme="minorBidi"/>
          <w:noProof/>
          <w:kern w:val="0"/>
          <w:sz w:val="22"/>
          <w:szCs w:val="22"/>
        </w:rPr>
      </w:pPr>
      <w:r w:rsidRPr="0082124C">
        <w:rPr>
          <w:noProof/>
        </w:rPr>
        <w:t>7</w:t>
      </w:r>
      <w:r w:rsidRPr="0082124C">
        <w:rPr>
          <w:noProof/>
        </w:rPr>
        <w:tab/>
        <w:t>Fees</w:t>
      </w:r>
      <w:r w:rsidRPr="0082124C">
        <w:rPr>
          <w:noProof/>
        </w:rPr>
        <w:tab/>
      </w:r>
      <w:r w:rsidRPr="0082124C">
        <w:rPr>
          <w:noProof/>
        </w:rPr>
        <w:fldChar w:fldCharType="begin"/>
      </w:r>
      <w:r w:rsidRPr="0082124C">
        <w:rPr>
          <w:noProof/>
        </w:rPr>
        <w:instrText xml:space="preserve"> PAGEREF _Toc113458344 \h </w:instrText>
      </w:r>
      <w:r w:rsidRPr="0082124C">
        <w:rPr>
          <w:noProof/>
        </w:rPr>
      </w:r>
      <w:r w:rsidRPr="0082124C">
        <w:rPr>
          <w:noProof/>
        </w:rPr>
        <w:fldChar w:fldCharType="separate"/>
      </w:r>
      <w:r w:rsidR="006F3C83">
        <w:rPr>
          <w:noProof/>
        </w:rPr>
        <w:t>4</w:t>
      </w:r>
      <w:r w:rsidRPr="0082124C">
        <w:rPr>
          <w:noProof/>
        </w:rPr>
        <w:fldChar w:fldCharType="end"/>
      </w:r>
    </w:p>
    <w:p w14:paraId="274E76AC" w14:textId="2F5B791D" w:rsidR="00041FE8" w:rsidRPr="0082124C" w:rsidRDefault="00041FE8">
      <w:pPr>
        <w:pStyle w:val="TOC3"/>
        <w:rPr>
          <w:rFonts w:asciiTheme="minorHAnsi" w:eastAsiaTheme="minorEastAsia" w:hAnsiTheme="minorHAnsi" w:cstheme="minorBidi"/>
          <w:b w:val="0"/>
          <w:noProof/>
          <w:kern w:val="0"/>
          <w:szCs w:val="22"/>
        </w:rPr>
      </w:pPr>
      <w:r w:rsidRPr="0082124C">
        <w:rPr>
          <w:noProof/>
        </w:rPr>
        <w:t>Division 2.2—Liability to pay fees</w:t>
      </w:r>
      <w:r w:rsidRPr="0082124C">
        <w:rPr>
          <w:b w:val="0"/>
          <w:noProof/>
          <w:sz w:val="18"/>
        </w:rPr>
        <w:tab/>
      </w:r>
      <w:r w:rsidRPr="0082124C">
        <w:rPr>
          <w:b w:val="0"/>
          <w:noProof/>
          <w:sz w:val="18"/>
        </w:rPr>
        <w:fldChar w:fldCharType="begin"/>
      </w:r>
      <w:r w:rsidRPr="0082124C">
        <w:rPr>
          <w:b w:val="0"/>
          <w:noProof/>
          <w:sz w:val="18"/>
        </w:rPr>
        <w:instrText xml:space="preserve"> PAGEREF _Toc113458345 \h </w:instrText>
      </w:r>
      <w:r w:rsidRPr="0082124C">
        <w:rPr>
          <w:b w:val="0"/>
          <w:noProof/>
          <w:sz w:val="18"/>
        </w:rPr>
      </w:r>
      <w:r w:rsidRPr="0082124C">
        <w:rPr>
          <w:b w:val="0"/>
          <w:noProof/>
          <w:sz w:val="18"/>
        </w:rPr>
        <w:fldChar w:fldCharType="separate"/>
      </w:r>
      <w:r w:rsidR="006F3C83">
        <w:rPr>
          <w:b w:val="0"/>
          <w:noProof/>
          <w:sz w:val="18"/>
        </w:rPr>
        <w:t>5</w:t>
      </w:r>
      <w:r w:rsidRPr="0082124C">
        <w:rPr>
          <w:b w:val="0"/>
          <w:noProof/>
          <w:sz w:val="18"/>
        </w:rPr>
        <w:fldChar w:fldCharType="end"/>
      </w:r>
    </w:p>
    <w:p w14:paraId="082B6740" w14:textId="79891B17" w:rsidR="00041FE8" w:rsidRPr="0082124C" w:rsidRDefault="00041FE8">
      <w:pPr>
        <w:pStyle w:val="TOC5"/>
        <w:rPr>
          <w:rFonts w:asciiTheme="minorHAnsi" w:eastAsiaTheme="minorEastAsia" w:hAnsiTheme="minorHAnsi" w:cstheme="minorBidi"/>
          <w:noProof/>
          <w:kern w:val="0"/>
          <w:sz w:val="22"/>
          <w:szCs w:val="22"/>
        </w:rPr>
      </w:pPr>
      <w:r w:rsidRPr="0082124C">
        <w:rPr>
          <w:noProof/>
        </w:rPr>
        <w:t>8</w:t>
      </w:r>
      <w:r w:rsidRPr="0082124C">
        <w:rPr>
          <w:noProof/>
        </w:rPr>
        <w:tab/>
        <w:t>Persons liable to pay fees</w:t>
      </w:r>
      <w:r w:rsidRPr="0082124C">
        <w:rPr>
          <w:noProof/>
        </w:rPr>
        <w:tab/>
      </w:r>
      <w:r w:rsidRPr="0082124C">
        <w:rPr>
          <w:noProof/>
        </w:rPr>
        <w:fldChar w:fldCharType="begin"/>
      </w:r>
      <w:r w:rsidRPr="0082124C">
        <w:rPr>
          <w:noProof/>
        </w:rPr>
        <w:instrText xml:space="preserve"> PAGEREF _Toc113458346 \h </w:instrText>
      </w:r>
      <w:r w:rsidRPr="0082124C">
        <w:rPr>
          <w:noProof/>
        </w:rPr>
      </w:r>
      <w:r w:rsidRPr="0082124C">
        <w:rPr>
          <w:noProof/>
        </w:rPr>
        <w:fldChar w:fldCharType="separate"/>
      </w:r>
      <w:r w:rsidR="006F3C83">
        <w:rPr>
          <w:noProof/>
        </w:rPr>
        <w:t>5</w:t>
      </w:r>
      <w:r w:rsidRPr="0082124C">
        <w:rPr>
          <w:noProof/>
        </w:rPr>
        <w:fldChar w:fldCharType="end"/>
      </w:r>
    </w:p>
    <w:p w14:paraId="0424AFA9" w14:textId="2ADC454A" w:rsidR="00041FE8" w:rsidRPr="0082124C" w:rsidRDefault="00041FE8">
      <w:pPr>
        <w:pStyle w:val="TOC3"/>
        <w:rPr>
          <w:rFonts w:asciiTheme="minorHAnsi" w:eastAsiaTheme="minorEastAsia" w:hAnsiTheme="minorHAnsi" w:cstheme="minorBidi"/>
          <w:b w:val="0"/>
          <w:noProof/>
          <w:kern w:val="0"/>
          <w:szCs w:val="22"/>
        </w:rPr>
      </w:pPr>
      <w:r w:rsidRPr="0082124C">
        <w:rPr>
          <w:noProof/>
        </w:rPr>
        <w:t>Division 2.3—When fees are not payable</w:t>
      </w:r>
      <w:r w:rsidRPr="0082124C">
        <w:rPr>
          <w:b w:val="0"/>
          <w:noProof/>
          <w:sz w:val="18"/>
        </w:rPr>
        <w:tab/>
      </w:r>
      <w:r w:rsidRPr="0082124C">
        <w:rPr>
          <w:b w:val="0"/>
          <w:noProof/>
          <w:sz w:val="18"/>
        </w:rPr>
        <w:fldChar w:fldCharType="begin"/>
      </w:r>
      <w:r w:rsidRPr="0082124C">
        <w:rPr>
          <w:b w:val="0"/>
          <w:noProof/>
          <w:sz w:val="18"/>
        </w:rPr>
        <w:instrText xml:space="preserve"> PAGEREF _Toc113458347 \h </w:instrText>
      </w:r>
      <w:r w:rsidRPr="0082124C">
        <w:rPr>
          <w:b w:val="0"/>
          <w:noProof/>
          <w:sz w:val="18"/>
        </w:rPr>
      </w:r>
      <w:r w:rsidRPr="0082124C">
        <w:rPr>
          <w:b w:val="0"/>
          <w:noProof/>
          <w:sz w:val="18"/>
        </w:rPr>
        <w:fldChar w:fldCharType="separate"/>
      </w:r>
      <w:r w:rsidR="006F3C83">
        <w:rPr>
          <w:b w:val="0"/>
          <w:noProof/>
          <w:sz w:val="18"/>
        </w:rPr>
        <w:t>6</w:t>
      </w:r>
      <w:r w:rsidRPr="0082124C">
        <w:rPr>
          <w:b w:val="0"/>
          <w:noProof/>
          <w:sz w:val="18"/>
        </w:rPr>
        <w:fldChar w:fldCharType="end"/>
      </w:r>
    </w:p>
    <w:p w14:paraId="0E739CB9" w14:textId="3CAF3DCF" w:rsidR="00041FE8" w:rsidRPr="0082124C" w:rsidRDefault="00041FE8">
      <w:pPr>
        <w:pStyle w:val="TOC5"/>
        <w:rPr>
          <w:rFonts w:asciiTheme="minorHAnsi" w:eastAsiaTheme="minorEastAsia" w:hAnsiTheme="minorHAnsi" w:cstheme="minorBidi"/>
          <w:noProof/>
          <w:kern w:val="0"/>
          <w:sz w:val="22"/>
          <w:szCs w:val="22"/>
        </w:rPr>
      </w:pPr>
      <w:r w:rsidRPr="0082124C">
        <w:rPr>
          <w:noProof/>
        </w:rPr>
        <w:t>10</w:t>
      </w:r>
      <w:r w:rsidRPr="0082124C">
        <w:rPr>
          <w:noProof/>
        </w:rPr>
        <w:tab/>
        <w:t>When fees are not payable</w:t>
      </w:r>
      <w:r w:rsidRPr="0082124C">
        <w:rPr>
          <w:noProof/>
        </w:rPr>
        <w:tab/>
      </w:r>
      <w:r w:rsidRPr="0082124C">
        <w:rPr>
          <w:noProof/>
        </w:rPr>
        <w:fldChar w:fldCharType="begin"/>
      </w:r>
      <w:r w:rsidRPr="0082124C">
        <w:rPr>
          <w:noProof/>
        </w:rPr>
        <w:instrText xml:space="preserve"> PAGEREF _Toc113458348 \h </w:instrText>
      </w:r>
      <w:r w:rsidRPr="0082124C">
        <w:rPr>
          <w:noProof/>
        </w:rPr>
      </w:r>
      <w:r w:rsidRPr="0082124C">
        <w:rPr>
          <w:noProof/>
        </w:rPr>
        <w:fldChar w:fldCharType="separate"/>
      </w:r>
      <w:r w:rsidR="006F3C83">
        <w:rPr>
          <w:noProof/>
        </w:rPr>
        <w:t>6</w:t>
      </w:r>
      <w:r w:rsidRPr="0082124C">
        <w:rPr>
          <w:noProof/>
        </w:rPr>
        <w:fldChar w:fldCharType="end"/>
      </w:r>
    </w:p>
    <w:p w14:paraId="04500CC6" w14:textId="047927AA" w:rsidR="00041FE8" w:rsidRPr="0082124C" w:rsidRDefault="00041FE8">
      <w:pPr>
        <w:pStyle w:val="TOC3"/>
        <w:rPr>
          <w:rFonts w:asciiTheme="minorHAnsi" w:eastAsiaTheme="minorEastAsia" w:hAnsiTheme="minorHAnsi" w:cstheme="minorBidi"/>
          <w:b w:val="0"/>
          <w:noProof/>
          <w:kern w:val="0"/>
          <w:szCs w:val="22"/>
        </w:rPr>
      </w:pPr>
      <w:r w:rsidRPr="0082124C">
        <w:rPr>
          <w:noProof/>
        </w:rPr>
        <w:t>Division 2.4—Exemptions and financial hardship fees</w:t>
      </w:r>
      <w:r w:rsidRPr="0082124C">
        <w:rPr>
          <w:b w:val="0"/>
          <w:noProof/>
          <w:sz w:val="18"/>
        </w:rPr>
        <w:tab/>
      </w:r>
      <w:r w:rsidRPr="0082124C">
        <w:rPr>
          <w:b w:val="0"/>
          <w:noProof/>
          <w:sz w:val="18"/>
        </w:rPr>
        <w:fldChar w:fldCharType="begin"/>
      </w:r>
      <w:r w:rsidRPr="0082124C">
        <w:rPr>
          <w:b w:val="0"/>
          <w:noProof/>
          <w:sz w:val="18"/>
        </w:rPr>
        <w:instrText xml:space="preserve"> PAGEREF _Toc113458349 \h </w:instrText>
      </w:r>
      <w:r w:rsidRPr="0082124C">
        <w:rPr>
          <w:b w:val="0"/>
          <w:noProof/>
          <w:sz w:val="18"/>
        </w:rPr>
      </w:r>
      <w:r w:rsidRPr="0082124C">
        <w:rPr>
          <w:b w:val="0"/>
          <w:noProof/>
          <w:sz w:val="18"/>
        </w:rPr>
        <w:fldChar w:fldCharType="separate"/>
      </w:r>
      <w:r w:rsidR="006F3C83">
        <w:rPr>
          <w:b w:val="0"/>
          <w:noProof/>
          <w:sz w:val="18"/>
        </w:rPr>
        <w:t>7</w:t>
      </w:r>
      <w:r w:rsidRPr="0082124C">
        <w:rPr>
          <w:b w:val="0"/>
          <w:noProof/>
          <w:sz w:val="18"/>
        </w:rPr>
        <w:fldChar w:fldCharType="end"/>
      </w:r>
    </w:p>
    <w:p w14:paraId="0E06B7D0" w14:textId="300B6D4A" w:rsidR="00041FE8" w:rsidRPr="0082124C" w:rsidRDefault="00041FE8">
      <w:pPr>
        <w:pStyle w:val="TOC5"/>
        <w:rPr>
          <w:rFonts w:asciiTheme="minorHAnsi" w:eastAsiaTheme="minorEastAsia" w:hAnsiTheme="minorHAnsi" w:cstheme="minorBidi"/>
          <w:noProof/>
          <w:kern w:val="0"/>
          <w:sz w:val="22"/>
          <w:szCs w:val="22"/>
        </w:rPr>
      </w:pPr>
      <w:r w:rsidRPr="0082124C">
        <w:rPr>
          <w:noProof/>
        </w:rPr>
        <w:t>11</w:t>
      </w:r>
      <w:r w:rsidRPr="0082124C">
        <w:rPr>
          <w:noProof/>
        </w:rPr>
        <w:tab/>
        <w:t>Persons exempt from paying fees</w:t>
      </w:r>
      <w:r w:rsidRPr="0082124C">
        <w:rPr>
          <w:noProof/>
        </w:rPr>
        <w:tab/>
      </w:r>
      <w:r w:rsidRPr="0082124C">
        <w:rPr>
          <w:noProof/>
        </w:rPr>
        <w:fldChar w:fldCharType="begin"/>
      </w:r>
      <w:r w:rsidRPr="0082124C">
        <w:rPr>
          <w:noProof/>
        </w:rPr>
        <w:instrText xml:space="preserve"> PAGEREF _Toc113458350 \h </w:instrText>
      </w:r>
      <w:r w:rsidRPr="0082124C">
        <w:rPr>
          <w:noProof/>
        </w:rPr>
      </w:r>
      <w:r w:rsidRPr="0082124C">
        <w:rPr>
          <w:noProof/>
        </w:rPr>
        <w:fldChar w:fldCharType="separate"/>
      </w:r>
      <w:r w:rsidR="006F3C83">
        <w:rPr>
          <w:noProof/>
        </w:rPr>
        <w:t>7</w:t>
      </w:r>
      <w:r w:rsidRPr="0082124C">
        <w:rPr>
          <w:noProof/>
        </w:rPr>
        <w:fldChar w:fldCharType="end"/>
      </w:r>
    </w:p>
    <w:p w14:paraId="32C65CA9" w14:textId="7AE6BBA5" w:rsidR="00041FE8" w:rsidRPr="0082124C" w:rsidRDefault="00041FE8">
      <w:pPr>
        <w:pStyle w:val="TOC5"/>
        <w:rPr>
          <w:rFonts w:asciiTheme="minorHAnsi" w:eastAsiaTheme="minorEastAsia" w:hAnsiTheme="minorHAnsi" w:cstheme="minorBidi"/>
          <w:noProof/>
          <w:kern w:val="0"/>
          <w:sz w:val="22"/>
          <w:szCs w:val="22"/>
        </w:rPr>
      </w:pPr>
      <w:r w:rsidRPr="0082124C">
        <w:rPr>
          <w:noProof/>
        </w:rPr>
        <w:t>12</w:t>
      </w:r>
      <w:r w:rsidRPr="0082124C">
        <w:rPr>
          <w:noProof/>
        </w:rPr>
        <w:tab/>
        <w:t>Financial hardship fees</w:t>
      </w:r>
      <w:r w:rsidRPr="0082124C">
        <w:rPr>
          <w:noProof/>
        </w:rPr>
        <w:tab/>
      </w:r>
      <w:r w:rsidRPr="0082124C">
        <w:rPr>
          <w:noProof/>
        </w:rPr>
        <w:fldChar w:fldCharType="begin"/>
      </w:r>
      <w:r w:rsidRPr="0082124C">
        <w:rPr>
          <w:noProof/>
        </w:rPr>
        <w:instrText xml:space="preserve"> PAGEREF _Toc113458351 \h </w:instrText>
      </w:r>
      <w:r w:rsidRPr="0082124C">
        <w:rPr>
          <w:noProof/>
        </w:rPr>
      </w:r>
      <w:r w:rsidRPr="0082124C">
        <w:rPr>
          <w:noProof/>
        </w:rPr>
        <w:fldChar w:fldCharType="separate"/>
      </w:r>
      <w:r w:rsidR="006F3C83">
        <w:rPr>
          <w:noProof/>
        </w:rPr>
        <w:t>7</w:t>
      </w:r>
      <w:r w:rsidRPr="0082124C">
        <w:rPr>
          <w:noProof/>
        </w:rPr>
        <w:fldChar w:fldCharType="end"/>
      </w:r>
    </w:p>
    <w:p w14:paraId="7EDD9EC6" w14:textId="6C3EF1E9" w:rsidR="00041FE8" w:rsidRPr="0082124C" w:rsidRDefault="00041FE8">
      <w:pPr>
        <w:pStyle w:val="TOC3"/>
        <w:rPr>
          <w:rFonts w:asciiTheme="minorHAnsi" w:eastAsiaTheme="minorEastAsia" w:hAnsiTheme="minorHAnsi" w:cstheme="minorBidi"/>
          <w:b w:val="0"/>
          <w:noProof/>
          <w:kern w:val="0"/>
          <w:szCs w:val="22"/>
        </w:rPr>
      </w:pPr>
      <w:r w:rsidRPr="0082124C">
        <w:rPr>
          <w:noProof/>
        </w:rPr>
        <w:t>Division 2.5—Payment of fees</w:t>
      </w:r>
      <w:r w:rsidRPr="0082124C">
        <w:rPr>
          <w:b w:val="0"/>
          <w:noProof/>
          <w:sz w:val="18"/>
        </w:rPr>
        <w:tab/>
      </w:r>
      <w:r w:rsidRPr="0082124C">
        <w:rPr>
          <w:b w:val="0"/>
          <w:noProof/>
          <w:sz w:val="18"/>
        </w:rPr>
        <w:fldChar w:fldCharType="begin"/>
      </w:r>
      <w:r w:rsidRPr="0082124C">
        <w:rPr>
          <w:b w:val="0"/>
          <w:noProof/>
          <w:sz w:val="18"/>
        </w:rPr>
        <w:instrText xml:space="preserve"> PAGEREF _Toc113458352 \h </w:instrText>
      </w:r>
      <w:r w:rsidRPr="0082124C">
        <w:rPr>
          <w:b w:val="0"/>
          <w:noProof/>
          <w:sz w:val="18"/>
        </w:rPr>
      </w:r>
      <w:r w:rsidRPr="0082124C">
        <w:rPr>
          <w:b w:val="0"/>
          <w:noProof/>
          <w:sz w:val="18"/>
        </w:rPr>
        <w:fldChar w:fldCharType="separate"/>
      </w:r>
      <w:r w:rsidR="006F3C83">
        <w:rPr>
          <w:b w:val="0"/>
          <w:noProof/>
          <w:sz w:val="18"/>
        </w:rPr>
        <w:t>9</w:t>
      </w:r>
      <w:r w:rsidRPr="0082124C">
        <w:rPr>
          <w:b w:val="0"/>
          <w:noProof/>
          <w:sz w:val="18"/>
        </w:rPr>
        <w:fldChar w:fldCharType="end"/>
      </w:r>
    </w:p>
    <w:p w14:paraId="17211AE7" w14:textId="58EC681B" w:rsidR="00041FE8" w:rsidRPr="0082124C" w:rsidRDefault="00041FE8">
      <w:pPr>
        <w:pStyle w:val="TOC5"/>
        <w:rPr>
          <w:rFonts w:asciiTheme="minorHAnsi" w:eastAsiaTheme="minorEastAsia" w:hAnsiTheme="minorHAnsi" w:cstheme="minorBidi"/>
          <w:noProof/>
          <w:kern w:val="0"/>
          <w:sz w:val="22"/>
          <w:szCs w:val="22"/>
        </w:rPr>
      </w:pPr>
      <w:r w:rsidRPr="0082124C">
        <w:rPr>
          <w:noProof/>
        </w:rPr>
        <w:t>12A</w:t>
      </w:r>
      <w:r w:rsidRPr="0082124C">
        <w:rPr>
          <w:noProof/>
        </w:rPr>
        <w:tab/>
        <w:t>When fees must be paid</w:t>
      </w:r>
      <w:r w:rsidRPr="0082124C">
        <w:rPr>
          <w:noProof/>
        </w:rPr>
        <w:tab/>
      </w:r>
      <w:r w:rsidRPr="0082124C">
        <w:rPr>
          <w:noProof/>
        </w:rPr>
        <w:fldChar w:fldCharType="begin"/>
      </w:r>
      <w:r w:rsidRPr="0082124C">
        <w:rPr>
          <w:noProof/>
        </w:rPr>
        <w:instrText xml:space="preserve"> PAGEREF _Toc113458353 \h </w:instrText>
      </w:r>
      <w:r w:rsidRPr="0082124C">
        <w:rPr>
          <w:noProof/>
        </w:rPr>
      </w:r>
      <w:r w:rsidRPr="0082124C">
        <w:rPr>
          <w:noProof/>
        </w:rPr>
        <w:fldChar w:fldCharType="separate"/>
      </w:r>
      <w:r w:rsidR="006F3C83">
        <w:rPr>
          <w:noProof/>
        </w:rPr>
        <w:t>9</w:t>
      </w:r>
      <w:r w:rsidRPr="0082124C">
        <w:rPr>
          <w:noProof/>
        </w:rPr>
        <w:fldChar w:fldCharType="end"/>
      </w:r>
    </w:p>
    <w:p w14:paraId="6C11C4E4" w14:textId="68E27A7A" w:rsidR="00041FE8" w:rsidRPr="0082124C" w:rsidRDefault="00041FE8">
      <w:pPr>
        <w:pStyle w:val="TOC5"/>
        <w:rPr>
          <w:rFonts w:asciiTheme="minorHAnsi" w:eastAsiaTheme="minorEastAsia" w:hAnsiTheme="minorHAnsi" w:cstheme="minorBidi"/>
          <w:noProof/>
          <w:kern w:val="0"/>
          <w:sz w:val="22"/>
          <w:szCs w:val="22"/>
        </w:rPr>
      </w:pPr>
      <w:r w:rsidRPr="0082124C">
        <w:rPr>
          <w:noProof/>
        </w:rPr>
        <w:t>13</w:t>
      </w:r>
      <w:r w:rsidRPr="0082124C">
        <w:rPr>
          <w:noProof/>
        </w:rPr>
        <w:tab/>
        <w:t>Deferral of payment of fees</w:t>
      </w:r>
      <w:r w:rsidRPr="0082124C">
        <w:rPr>
          <w:noProof/>
        </w:rPr>
        <w:tab/>
      </w:r>
      <w:r w:rsidRPr="0082124C">
        <w:rPr>
          <w:noProof/>
        </w:rPr>
        <w:fldChar w:fldCharType="begin"/>
      </w:r>
      <w:r w:rsidRPr="0082124C">
        <w:rPr>
          <w:noProof/>
        </w:rPr>
        <w:instrText xml:space="preserve"> PAGEREF _Toc113458354 \h </w:instrText>
      </w:r>
      <w:r w:rsidRPr="0082124C">
        <w:rPr>
          <w:noProof/>
        </w:rPr>
      </w:r>
      <w:r w:rsidRPr="0082124C">
        <w:rPr>
          <w:noProof/>
        </w:rPr>
        <w:fldChar w:fldCharType="separate"/>
      </w:r>
      <w:r w:rsidR="006F3C83">
        <w:rPr>
          <w:noProof/>
        </w:rPr>
        <w:t>9</w:t>
      </w:r>
      <w:r w:rsidRPr="0082124C">
        <w:rPr>
          <w:noProof/>
        </w:rPr>
        <w:fldChar w:fldCharType="end"/>
      </w:r>
    </w:p>
    <w:p w14:paraId="00BB48C8" w14:textId="2C5FDA44" w:rsidR="00041FE8" w:rsidRPr="0082124C" w:rsidRDefault="00041FE8">
      <w:pPr>
        <w:pStyle w:val="TOC5"/>
        <w:rPr>
          <w:rFonts w:asciiTheme="minorHAnsi" w:eastAsiaTheme="minorEastAsia" w:hAnsiTheme="minorHAnsi" w:cstheme="minorBidi"/>
          <w:noProof/>
          <w:kern w:val="0"/>
          <w:sz w:val="22"/>
          <w:szCs w:val="22"/>
        </w:rPr>
      </w:pPr>
      <w:r w:rsidRPr="0082124C">
        <w:rPr>
          <w:noProof/>
        </w:rPr>
        <w:t>14</w:t>
      </w:r>
      <w:r w:rsidRPr="0082124C">
        <w:rPr>
          <w:noProof/>
        </w:rPr>
        <w:tab/>
        <w:t>What happens if fees are not paid</w:t>
      </w:r>
      <w:r w:rsidRPr="0082124C">
        <w:rPr>
          <w:noProof/>
        </w:rPr>
        <w:tab/>
      </w:r>
      <w:r w:rsidRPr="0082124C">
        <w:rPr>
          <w:noProof/>
        </w:rPr>
        <w:fldChar w:fldCharType="begin"/>
      </w:r>
      <w:r w:rsidRPr="0082124C">
        <w:rPr>
          <w:noProof/>
        </w:rPr>
        <w:instrText xml:space="preserve"> PAGEREF _Toc113458355 \h </w:instrText>
      </w:r>
      <w:r w:rsidRPr="0082124C">
        <w:rPr>
          <w:noProof/>
        </w:rPr>
      </w:r>
      <w:r w:rsidRPr="0082124C">
        <w:rPr>
          <w:noProof/>
        </w:rPr>
        <w:fldChar w:fldCharType="separate"/>
      </w:r>
      <w:r w:rsidR="006F3C83">
        <w:rPr>
          <w:noProof/>
        </w:rPr>
        <w:t>10</w:t>
      </w:r>
      <w:r w:rsidRPr="0082124C">
        <w:rPr>
          <w:noProof/>
        </w:rPr>
        <w:fldChar w:fldCharType="end"/>
      </w:r>
    </w:p>
    <w:p w14:paraId="2BE3CE24" w14:textId="1FAC0C9C" w:rsidR="00041FE8" w:rsidRPr="0082124C" w:rsidRDefault="00041FE8">
      <w:pPr>
        <w:pStyle w:val="TOC3"/>
        <w:rPr>
          <w:rFonts w:asciiTheme="minorHAnsi" w:eastAsiaTheme="minorEastAsia" w:hAnsiTheme="minorHAnsi" w:cstheme="minorBidi"/>
          <w:b w:val="0"/>
          <w:noProof/>
          <w:kern w:val="0"/>
          <w:szCs w:val="22"/>
        </w:rPr>
      </w:pPr>
      <w:r w:rsidRPr="0082124C">
        <w:rPr>
          <w:noProof/>
        </w:rPr>
        <w:t>Division 2.6—Miscellaneous</w:t>
      </w:r>
      <w:r w:rsidRPr="0082124C">
        <w:rPr>
          <w:b w:val="0"/>
          <w:noProof/>
          <w:sz w:val="18"/>
        </w:rPr>
        <w:tab/>
      </w:r>
      <w:r w:rsidRPr="0082124C">
        <w:rPr>
          <w:b w:val="0"/>
          <w:noProof/>
          <w:sz w:val="18"/>
        </w:rPr>
        <w:fldChar w:fldCharType="begin"/>
      </w:r>
      <w:r w:rsidRPr="0082124C">
        <w:rPr>
          <w:b w:val="0"/>
          <w:noProof/>
          <w:sz w:val="18"/>
        </w:rPr>
        <w:instrText xml:space="preserve"> PAGEREF _Toc113458356 \h </w:instrText>
      </w:r>
      <w:r w:rsidRPr="0082124C">
        <w:rPr>
          <w:b w:val="0"/>
          <w:noProof/>
          <w:sz w:val="18"/>
        </w:rPr>
      </w:r>
      <w:r w:rsidRPr="0082124C">
        <w:rPr>
          <w:b w:val="0"/>
          <w:noProof/>
          <w:sz w:val="18"/>
        </w:rPr>
        <w:fldChar w:fldCharType="separate"/>
      </w:r>
      <w:r w:rsidR="006F3C83">
        <w:rPr>
          <w:b w:val="0"/>
          <w:noProof/>
          <w:sz w:val="18"/>
        </w:rPr>
        <w:t>11</w:t>
      </w:r>
      <w:r w:rsidRPr="0082124C">
        <w:rPr>
          <w:b w:val="0"/>
          <w:noProof/>
          <w:sz w:val="18"/>
        </w:rPr>
        <w:fldChar w:fldCharType="end"/>
      </w:r>
    </w:p>
    <w:p w14:paraId="5D67F85F" w14:textId="2B395AE8" w:rsidR="00041FE8" w:rsidRPr="0082124C" w:rsidRDefault="00041FE8">
      <w:pPr>
        <w:pStyle w:val="TOC5"/>
        <w:rPr>
          <w:rFonts w:asciiTheme="minorHAnsi" w:eastAsiaTheme="minorEastAsia" w:hAnsiTheme="minorHAnsi" w:cstheme="minorBidi"/>
          <w:noProof/>
          <w:kern w:val="0"/>
          <w:sz w:val="22"/>
          <w:szCs w:val="22"/>
        </w:rPr>
      </w:pPr>
      <w:r w:rsidRPr="0082124C">
        <w:rPr>
          <w:noProof/>
        </w:rPr>
        <w:t>15</w:t>
      </w:r>
      <w:r w:rsidRPr="0082124C">
        <w:rPr>
          <w:noProof/>
        </w:rPr>
        <w:tab/>
        <w:t>Refund of fees</w:t>
      </w:r>
      <w:r w:rsidRPr="0082124C">
        <w:rPr>
          <w:noProof/>
        </w:rPr>
        <w:tab/>
      </w:r>
      <w:r w:rsidRPr="0082124C">
        <w:rPr>
          <w:noProof/>
        </w:rPr>
        <w:fldChar w:fldCharType="begin"/>
      </w:r>
      <w:r w:rsidRPr="0082124C">
        <w:rPr>
          <w:noProof/>
        </w:rPr>
        <w:instrText xml:space="preserve"> PAGEREF _Toc113458357 \h </w:instrText>
      </w:r>
      <w:r w:rsidRPr="0082124C">
        <w:rPr>
          <w:noProof/>
        </w:rPr>
      </w:r>
      <w:r w:rsidRPr="0082124C">
        <w:rPr>
          <w:noProof/>
        </w:rPr>
        <w:fldChar w:fldCharType="separate"/>
      </w:r>
      <w:r w:rsidR="006F3C83">
        <w:rPr>
          <w:noProof/>
        </w:rPr>
        <w:t>11</w:t>
      </w:r>
      <w:r w:rsidRPr="0082124C">
        <w:rPr>
          <w:noProof/>
        </w:rPr>
        <w:fldChar w:fldCharType="end"/>
      </w:r>
    </w:p>
    <w:p w14:paraId="78B029D0" w14:textId="77DEA2DD" w:rsidR="00041FE8" w:rsidRPr="0082124C" w:rsidRDefault="00041FE8">
      <w:pPr>
        <w:pStyle w:val="TOC5"/>
        <w:rPr>
          <w:rFonts w:asciiTheme="minorHAnsi" w:eastAsiaTheme="minorEastAsia" w:hAnsiTheme="minorHAnsi" w:cstheme="minorBidi"/>
          <w:noProof/>
          <w:kern w:val="0"/>
          <w:sz w:val="22"/>
          <w:szCs w:val="22"/>
        </w:rPr>
      </w:pPr>
      <w:r w:rsidRPr="0082124C">
        <w:rPr>
          <w:noProof/>
        </w:rPr>
        <w:t>16</w:t>
      </w:r>
      <w:r w:rsidRPr="0082124C">
        <w:rPr>
          <w:noProof/>
        </w:rPr>
        <w:tab/>
        <w:t>Annual increase in fees</w:t>
      </w:r>
      <w:r w:rsidRPr="0082124C">
        <w:rPr>
          <w:noProof/>
        </w:rPr>
        <w:tab/>
      </w:r>
      <w:r w:rsidRPr="0082124C">
        <w:rPr>
          <w:noProof/>
        </w:rPr>
        <w:fldChar w:fldCharType="begin"/>
      </w:r>
      <w:r w:rsidRPr="0082124C">
        <w:rPr>
          <w:noProof/>
        </w:rPr>
        <w:instrText xml:space="preserve"> PAGEREF _Toc113458358 \h </w:instrText>
      </w:r>
      <w:r w:rsidRPr="0082124C">
        <w:rPr>
          <w:noProof/>
        </w:rPr>
      </w:r>
      <w:r w:rsidRPr="0082124C">
        <w:rPr>
          <w:noProof/>
        </w:rPr>
        <w:fldChar w:fldCharType="separate"/>
      </w:r>
      <w:r w:rsidR="006F3C83">
        <w:rPr>
          <w:noProof/>
        </w:rPr>
        <w:t>11</w:t>
      </w:r>
      <w:r w:rsidRPr="0082124C">
        <w:rPr>
          <w:noProof/>
        </w:rPr>
        <w:fldChar w:fldCharType="end"/>
      </w:r>
    </w:p>
    <w:p w14:paraId="19411C3B" w14:textId="2DD5587C" w:rsidR="00041FE8" w:rsidRPr="0082124C" w:rsidRDefault="00041FE8">
      <w:pPr>
        <w:pStyle w:val="TOC5"/>
        <w:rPr>
          <w:rFonts w:asciiTheme="minorHAnsi" w:eastAsiaTheme="minorEastAsia" w:hAnsiTheme="minorHAnsi" w:cstheme="minorBidi"/>
          <w:noProof/>
          <w:kern w:val="0"/>
          <w:sz w:val="22"/>
          <w:szCs w:val="22"/>
        </w:rPr>
      </w:pPr>
      <w:r w:rsidRPr="0082124C">
        <w:rPr>
          <w:noProof/>
        </w:rPr>
        <w:t>17</w:t>
      </w:r>
      <w:r w:rsidRPr="0082124C">
        <w:rPr>
          <w:noProof/>
        </w:rPr>
        <w:tab/>
        <w:t>Notice of decision and AAT review</w:t>
      </w:r>
      <w:r w:rsidRPr="0082124C">
        <w:rPr>
          <w:noProof/>
        </w:rPr>
        <w:tab/>
      </w:r>
      <w:r w:rsidRPr="0082124C">
        <w:rPr>
          <w:noProof/>
        </w:rPr>
        <w:fldChar w:fldCharType="begin"/>
      </w:r>
      <w:r w:rsidRPr="0082124C">
        <w:rPr>
          <w:noProof/>
        </w:rPr>
        <w:instrText xml:space="preserve"> PAGEREF _Toc113458359 \h </w:instrText>
      </w:r>
      <w:r w:rsidRPr="0082124C">
        <w:rPr>
          <w:noProof/>
        </w:rPr>
      </w:r>
      <w:r w:rsidRPr="0082124C">
        <w:rPr>
          <w:noProof/>
        </w:rPr>
        <w:fldChar w:fldCharType="separate"/>
      </w:r>
      <w:r w:rsidR="006F3C83">
        <w:rPr>
          <w:noProof/>
        </w:rPr>
        <w:t>12</w:t>
      </w:r>
      <w:r w:rsidRPr="0082124C">
        <w:rPr>
          <w:noProof/>
        </w:rPr>
        <w:fldChar w:fldCharType="end"/>
      </w:r>
    </w:p>
    <w:p w14:paraId="71E4CD16" w14:textId="4459DBCE" w:rsidR="00041FE8" w:rsidRPr="0082124C" w:rsidRDefault="00041FE8">
      <w:pPr>
        <w:pStyle w:val="TOC5"/>
        <w:rPr>
          <w:rFonts w:asciiTheme="minorHAnsi" w:eastAsiaTheme="minorEastAsia" w:hAnsiTheme="minorHAnsi" w:cstheme="minorBidi"/>
          <w:noProof/>
          <w:kern w:val="0"/>
          <w:sz w:val="22"/>
          <w:szCs w:val="22"/>
        </w:rPr>
      </w:pPr>
      <w:r w:rsidRPr="0082124C">
        <w:rPr>
          <w:noProof/>
        </w:rPr>
        <w:t>18</w:t>
      </w:r>
      <w:r w:rsidRPr="0082124C">
        <w:rPr>
          <w:noProof/>
        </w:rPr>
        <w:tab/>
        <w:t>Debt due to Commonwealth</w:t>
      </w:r>
      <w:r w:rsidRPr="0082124C">
        <w:rPr>
          <w:noProof/>
        </w:rPr>
        <w:tab/>
      </w:r>
      <w:r w:rsidRPr="0082124C">
        <w:rPr>
          <w:noProof/>
        </w:rPr>
        <w:fldChar w:fldCharType="begin"/>
      </w:r>
      <w:r w:rsidRPr="0082124C">
        <w:rPr>
          <w:noProof/>
        </w:rPr>
        <w:instrText xml:space="preserve"> PAGEREF _Toc113458360 \h </w:instrText>
      </w:r>
      <w:r w:rsidRPr="0082124C">
        <w:rPr>
          <w:noProof/>
        </w:rPr>
      </w:r>
      <w:r w:rsidRPr="0082124C">
        <w:rPr>
          <w:noProof/>
        </w:rPr>
        <w:fldChar w:fldCharType="separate"/>
      </w:r>
      <w:r w:rsidR="006F3C83">
        <w:rPr>
          <w:noProof/>
        </w:rPr>
        <w:t>13</w:t>
      </w:r>
      <w:r w:rsidRPr="0082124C">
        <w:rPr>
          <w:noProof/>
        </w:rPr>
        <w:fldChar w:fldCharType="end"/>
      </w:r>
    </w:p>
    <w:p w14:paraId="719CB409" w14:textId="5B8F20CC" w:rsidR="00041FE8" w:rsidRPr="0082124C" w:rsidRDefault="00041FE8">
      <w:pPr>
        <w:pStyle w:val="TOC2"/>
        <w:rPr>
          <w:rFonts w:asciiTheme="minorHAnsi" w:eastAsiaTheme="minorEastAsia" w:hAnsiTheme="minorHAnsi" w:cstheme="minorBidi"/>
          <w:b w:val="0"/>
          <w:noProof/>
          <w:kern w:val="0"/>
          <w:sz w:val="22"/>
          <w:szCs w:val="22"/>
        </w:rPr>
      </w:pPr>
      <w:r w:rsidRPr="0082124C">
        <w:rPr>
          <w:noProof/>
        </w:rPr>
        <w:t>Part 3—Application, saving and transitional provisions</w:t>
      </w:r>
      <w:r w:rsidRPr="0082124C">
        <w:rPr>
          <w:b w:val="0"/>
          <w:noProof/>
          <w:sz w:val="18"/>
        </w:rPr>
        <w:tab/>
      </w:r>
      <w:r w:rsidRPr="0082124C">
        <w:rPr>
          <w:b w:val="0"/>
          <w:noProof/>
          <w:sz w:val="18"/>
        </w:rPr>
        <w:fldChar w:fldCharType="begin"/>
      </w:r>
      <w:r w:rsidRPr="0082124C">
        <w:rPr>
          <w:b w:val="0"/>
          <w:noProof/>
          <w:sz w:val="18"/>
        </w:rPr>
        <w:instrText xml:space="preserve"> PAGEREF _Toc113458361 \h </w:instrText>
      </w:r>
      <w:r w:rsidRPr="0082124C">
        <w:rPr>
          <w:b w:val="0"/>
          <w:noProof/>
          <w:sz w:val="18"/>
        </w:rPr>
      </w:r>
      <w:r w:rsidRPr="0082124C">
        <w:rPr>
          <w:b w:val="0"/>
          <w:noProof/>
          <w:sz w:val="18"/>
        </w:rPr>
        <w:fldChar w:fldCharType="separate"/>
      </w:r>
      <w:r w:rsidR="006F3C83">
        <w:rPr>
          <w:b w:val="0"/>
          <w:noProof/>
          <w:sz w:val="18"/>
        </w:rPr>
        <w:t>14</w:t>
      </w:r>
      <w:r w:rsidRPr="0082124C">
        <w:rPr>
          <w:b w:val="0"/>
          <w:noProof/>
          <w:sz w:val="18"/>
        </w:rPr>
        <w:fldChar w:fldCharType="end"/>
      </w:r>
    </w:p>
    <w:p w14:paraId="23B39E9A" w14:textId="5BB6657B" w:rsidR="00041FE8" w:rsidRPr="0082124C" w:rsidRDefault="00041FE8">
      <w:pPr>
        <w:pStyle w:val="TOC3"/>
        <w:rPr>
          <w:rFonts w:asciiTheme="minorHAnsi" w:eastAsiaTheme="minorEastAsia" w:hAnsiTheme="minorHAnsi" w:cstheme="minorBidi"/>
          <w:b w:val="0"/>
          <w:noProof/>
          <w:kern w:val="0"/>
          <w:szCs w:val="22"/>
        </w:rPr>
      </w:pPr>
      <w:r w:rsidRPr="0082124C">
        <w:rPr>
          <w:noProof/>
        </w:rPr>
        <w:t>Division 3.1—Application, saving and transitional provisions in relation to the commencement of this instrument</w:t>
      </w:r>
      <w:r w:rsidRPr="0082124C">
        <w:rPr>
          <w:b w:val="0"/>
          <w:noProof/>
          <w:sz w:val="18"/>
        </w:rPr>
        <w:tab/>
      </w:r>
      <w:r w:rsidRPr="0082124C">
        <w:rPr>
          <w:b w:val="0"/>
          <w:noProof/>
          <w:sz w:val="18"/>
        </w:rPr>
        <w:fldChar w:fldCharType="begin"/>
      </w:r>
      <w:r w:rsidRPr="0082124C">
        <w:rPr>
          <w:b w:val="0"/>
          <w:noProof/>
          <w:sz w:val="18"/>
        </w:rPr>
        <w:instrText xml:space="preserve"> PAGEREF _Toc113458362 \h </w:instrText>
      </w:r>
      <w:r w:rsidRPr="0082124C">
        <w:rPr>
          <w:b w:val="0"/>
          <w:noProof/>
          <w:sz w:val="18"/>
        </w:rPr>
      </w:r>
      <w:r w:rsidRPr="0082124C">
        <w:rPr>
          <w:b w:val="0"/>
          <w:noProof/>
          <w:sz w:val="18"/>
        </w:rPr>
        <w:fldChar w:fldCharType="separate"/>
      </w:r>
      <w:r w:rsidR="006F3C83">
        <w:rPr>
          <w:b w:val="0"/>
          <w:noProof/>
          <w:sz w:val="18"/>
        </w:rPr>
        <w:t>14</w:t>
      </w:r>
      <w:r w:rsidRPr="0082124C">
        <w:rPr>
          <w:b w:val="0"/>
          <w:noProof/>
          <w:sz w:val="18"/>
        </w:rPr>
        <w:fldChar w:fldCharType="end"/>
      </w:r>
    </w:p>
    <w:p w14:paraId="3CD851FD" w14:textId="20DA5102" w:rsidR="00041FE8" w:rsidRPr="0082124C" w:rsidRDefault="00041FE8">
      <w:pPr>
        <w:pStyle w:val="TOC5"/>
        <w:rPr>
          <w:rFonts w:asciiTheme="minorHAnsi" w:eastAsiaTheme="minorEastAsia" w:hAnsiTheme="minorHAnsi" w:cstheme="minorBidi"/>
          <w:noProof/>
          <w:kern w:val="0"/>
          <w:sz w:val="22"/>
          <w:szCs w:val="22"/>
        </w:rPr>
      </w:pPr>
      <w:r w:rsidRPr="0082124C">
        <w:rPr>
          <w:noProof/>
        </w:rPr>
        <w:t>19</w:t>
      </w:r>
      <w:r w:rsidRPr="0082124C">
        <w:rPr>
          <w:noProof/>
        </w:rPr>
        <w:tab/>
        <w:t>Definitions</w:t>
      </w:r>
      <w:r w:rsidRPr="0082124C">
        <w:rPr>
          <w:noProof/>
        </w:rPr>
        <w:tab/>
      </w:r>
      <w:r w:rsidRPr="0082124C">
        <w:rPr>
          <w:noProof/>
        </w:rPr>
        <w:fldChar w:fldCharType="begin"/>
      </w:r>
      <w:r w:rsidRPr="0082124C">
        <w:rPr>
          <w:noProof/>
        </w:rPr>
        <w:instrText xml:space="preserve"> PAGEREF _Toc113458363 \h </w:instrText>
      </w:r>
      <w:r w:rsidRPr="0082124C">
        <w:rPr>
          <w:noProof/>
        </w:rPr>
      </w:r>
      <w:r w:rsidRPr="0082124C">
        <w:rPr>
          <w:noProof/>
        </w:rPr>
        <w:fldChar w:fldCharType="separate"/>
      </w:r>
      <w:r w:rsidR="006F3C83">
        <w:rPr>
          <w:noProof/>
        </w:rPr>
        <w:t>14</w:t>
      </w:r>
      <w:r w:rsidRPr="0082124C">
        <w:rPr>
          <w:noProof/>
        </w:rPr>
        <w:fldChar w:fldCharType="end"/>
      </w:r>
    </w:p>
    <w:p w14:paraId="51CE1ACB" w14:textId="474E9B2E" w:rsidR="00041FE8" w:rsidRPr="0082124C" w:rsidRDefault="00041FE8">
      <w:pPr>
        <w:pStyle w:val="TOC5"/>
        <w:rPr>
          <w:rFonts w:asciiTheme="minorHAnsi" w:eastAsiaTheme="minorEastAsia" w:hAnsiTheme="minorHAnsi" w:cstheme="minorBidi"/>
          <w:noProof/>
          <w:kern w:val="0"/>
          <w:sz w:val="22"/>
          <w:szCs w:val="22"/>
        </w:rPr>
      </w:pPr>
      <w:r w:rsidRPr="0082124C">
        <w:rPr>
          <w:noProof/>
        </w:rPr>
        <w:t>20</w:t>
      </w:r>
      <w:r w:rsidRPr="0082124C">
        <w:rPr>
          <w:noProof/>
        </w:rPr>
        <w:tab/>
        <w:t>Application provision</w:t>
      </w:r>
      <w:r w:rsidRPr="0082124C">
        <w:rPr>
          <w:noProof/>
        </w:rPr>
        <w:tab/>
      </w:r>
      <w:r w:rsidRPr="0082124C">
        <w:rPr>
          <w:noProof/>
        </w:rPr>
        <w:fldChar w:fldCharType="begin"/>
      </w:r>
      <w:r w:rsidRPr="0082124C">
        <w:rPr>
          <w:noProof/>
        </w:rPr>
        <w:instrText xml:space="preserve"> PAGEREF _Toc113458364 \h </w:instrText>
      </w:r>
      <w:r w:rsidRPr="0082124C">
        <w:rPr>
          <w:noProof/>
        </w:rPr>
      </w:r>
      <w:r w:rsidRPr="0082124C">
        <w:rPr>
          <w:noProof/>
        </w:rPr>
        <w:fldChar w:fldCharType="separate"/>
      </w:r>
      <w:r w:rsidR="006F3C83">
        <w:rPr>
          <w:noProof/>
        </w:rPr>
        <w:t>14</w:t>
      </w:r>
      <w:r w:rsidRPr="0082124C">
        <w:rPr>
          <w:noProof/>
        </w:rPr>
        <w:fldChar w:fldCharType="end"/>
      </w:r>
    </w:p>
    <w:p w14:paraId="6AE6CD50" w14:textId="0A1BA6BA" w:rsidR="00041FE8" w:rsidRPr="0082124C" w:rsidRDefault="00041FE8">
      <w:pPr>
        <w:pStyle w:val="TOC5"/>
        <w:rPr>
          <w:rFonts w:asciiTheme="minorHAnsi" w:eastAsiaTheme="minorEastAsia" w:hAnsiTheme="minorHAnsi" w:cstheme="minorBidi"/>
          <w:noProof/>
          <w:kern w:val="0"/>
          <w:sz w:val="22"/>
          <w:szCs w:val="22"/>
        </w:rPr>
      </w:pPr>
      <w:r w:rsidRPr="0082124C">
        <w:rPr>
          <w:noProof/>
        </w:rPr>
        <w:t>21</w:t>
      </w:r>
      <w:r w:rsidRPr="0082124C">
        <w:rPr>
          <w:noProof/>
        </w:rPr>
        <w:tab/>
        <w:t>Saving provision</w:t>
      </w:r>
      <w:r w:rsidRPr="0082124C">
        <w:rPr>
          <w:noProof/>
        </w:rPr>
        <w:tab/>
      </w:r>
      <w:r w:rsidRPr="0082124C">
        <w:rPr>
          <w:noProof/>
        </w:rPr>
        <w:fldChar w:fldCharType="begin"/>
      </w:r>
      <w:r w:rsidRPr="0082124C">
        <w:rPr>
          <w:noProof/>
        </w:rPr>
        <w:instrText xml:space="preserve"> PAGEREF _Toc113458365 \h </w:instrText>
      </w:r>
      <w:r w:rsidRPr="0082124C">
        <w:rPr>
          <w:noProof/>
        </w:rPr>
      </w:r>
      <w:r w:rsidRPr="0082124C">
        <w:rPr>
          <w:noProof/>
        </w:rPr>
        <w:fldChar w:fldCharType="separate"/>
      </w:r>
      <w:r w:rsidR="006F3C83">
        <w:rPr>
          <w:noProof/>
        </w:rPr>
        <w:t>14</w:t>
      </w:r>
      <w:r w:rsidRPr="0082124C">
        <w:rPr>
          <w:noProof/>
        </w:rPr>
        <w:fldChar w:fldCharType="end"/>
      </w:r>
    </w:p>
    <w:p w14:paraId="335F61A9" w14:textId="301B2F77" w:rsidR="00041FE8" w:rsidRPr="0082124C" w:rsidRDefault="00041FE8">
      <w:pPr>
        <w:pStyle w:val="TOC5"/>
        <w:rPr>
          <w:rFonts w:asciiTheme="minorHAnsi" w:eastAsiaTheme="minorEastAsia" w:hAnsiTheme="minorHAnsi" w:cstheme="minorBidi"/>
          <w:noProof/>
          <w:kern w:val="0"/>
          <w:sz w:val="22"/>
          <w:szCs w:val="22"/>
        </w:rPr>
      </w:pPr>
      <w:r w:rsidRPr="0082124C">
        <w:rPr>
          <w:noProof/>
        </w:rPr>
        <w:t>22</w:t>
      </w:r>
      <w:r w:rsidRPr="0082124C">
        <w:rPr>
          <w:noProof/>
        </w:rPr>
        <w:tab/>
        <w:t>Things done under the old regulations</w:t>
      </w:r>
      <w:r w:rsidRPr="0082124C">
        <w:rPr>
          <w:noProof/>
        </w:rPr>
        <w:tab/>
      </w:r>
      <w:r w:rsidRPr="0082124C">
        <w:rPr>
          <w:noProof/>
        </w:rPr>
        <w:fldChar w:fldCharType="begin"/>
      </w:r>
      <w:r w:rsidRPr="0082124C">
        <w:rPr>
          <w:noProof/>
        </w:rPr>
        <w:instrText xml:space="preserve"> PAGEREF _Toc113458366 \h </w:instrText>
      </w:r>
      <w:r w:rsidRPr="0082124C">
        <w:rPr>
          <w:noProof/>
        </w:rPr>
      </w:r>
      <w:r w:rsidRPr="0082124C">
        <w:rPr>
          <w:noProof/>
        </w:rPr>
        <w:fldChar w:fldCharType="separate"/>
      </w:r>
      <w:r w:rsidR="006F3C83">
        <w:rPr>
          <w:noProof/>
        </w:rPr>
        <w:t>14</w:t>
      </w:r>
      <w:r w:rsidRPr="0082124C">
        <w:rPr>
          <w:noProof/>
        </w:rPr>
        <w:fldChar w:fldCharType="end"/>
      </w:r>
    </w:p>
    <w:p w14:paraId="6D3263F0" w14:textId="6B0080CC" w:rsidR="00041FE8" w:rsidRPr="0082124C" w:rsidRDefault="00041FE8">
      <w:pPr>
        <w:pStyle w:val="TOC5"/>
        <w:rPr>
          <w:rFonts w:asciiTheme="minorHAnsi" w:eastAsiaTheme="minorEastAsia" w:hAnsiTheme="minorHAnsi" w:cstheme="minorBidi"/>
          <w:noProof/>
          <w:kern w:val="0"/>
          <w:sz w:val="22"/>
          <w:szCs w:val="22"/>
        </w:rPr>
      </w:pPr>
      <w:r w:rsidRPr="0082124C">
        <w:rPr>
          <w:noProof/>
        </w:rPr>
        <w:t>23</w:t>
      </w:r>
      <w:r w:rsidRPr="0082124C">
        <w:rPr>
          <w:noProof/>
        </w:rPr>
        <w:tab/>
        <w:t>Conduct, event or circumstances occurring before commencement</w:t>
      </w:r>
      <w:r w:rsidRPr="0082124C">
        <w:rPr>
          <w:noProof/>
        </w:rPr>
        <w:tab/>
      </w:r>
      <w:r w:rsidRPr="0082124C">
        <w:rPr>
          <w:noProof/>
        </w:rPr>
        <w:fldChar w:fldCharType="begin"/>
      </w:r>
      <w:r w:rsidRPr="0082124C">
        <w:rPr>
          <w:noProof/>
        </w:rPr>
        <w:instrText xml:space="preserve"> PAGEREF _Toc113458367 \h </w:instrText>
      </w:r>
      <w:r w:rsidRPr="0082124C">
        <w:rPr>
          <w:noProof/>
        </w:rPr>
      </w:r>
      <w:r w:rsidRPr="0082124C">
        <w:rPr>
          <w:noProof/>
        </w:rPr>
        <w:fldChar w:fldCharType="separate"/>
      </w:r>
      <w:r w:rsidR="006F3C83">
        <w:rPr>
          <w:noProof/>
        </w:rPr>
        <w:t>15</w:t>
      </w:r>
      <w:r w:rsidRPr="0082124C">
        <w:rPr>
          <w:noProof/>
        </w:rPr>
        <w:fldChar w:fldCharType="end"/>
      </w:r>
    </w:p>
    <w:p w14:paraId="4130DC55" w14:textId="4E86D1F9" w:rsidR="00041FE8" w:rsidRPr="0082124C" w:rsidRDefault="00041FE8">
      <w:pPr>
        <w:pStyle w:val="TOC1"/>
        <w:rPr>
          <w:rFonts w:asciiTheme="minorHAnsi" w:eastAsiaTheme="minorEastAsia" w:hAnsiTheme="minorHAnsi" w:cstheme="minorBidi"/>
          <w:b w:val="0"/>
          <w:noProof/>
          <w:kern w:val="0"/>
          <w:sz w:val="22"/>
          <w:szCs w:val="22"/>
        </w:rPr>
      </w:pPr>
      <w:r w:rsidRPr="0082124C">
        <w:rPr>
          <w:noProof/>
        </w:rPr>
        <w:t>Schedule 1—Fees</w:t>
      </w:r>
      <w:r w:rsidRPr="0082124C">
        <w:rPr>
          <w:b w:val="0"/>
          <w:noProof/>
          <w:sz w:val="18"/>
        </w:rPr>
        <w:tab/>
      </w:r>
      <w:r w:rsidRPr="0082124C">
        <w:rPr>
          <w:b w:val="0"/>
          <w:noProof/>
          <w:sz w:val="18"/>
        </w:rPr>
        <w:fldChar w:fldCharType="begin"/>
      </w:r>
      <w:r w:rsidRPr="0082124C">
        <w:rPr>
          <w:b w:val="0"/>
          <w:noProof/>
          <w:sz w:val="18"/>
        </w:rPr>
        <w:instrText xml:space="preserve"> PAGEREF _Toc113458368 \h </w:instrText>
      </w:r>
      <w:r w:rsidRPr="0082124C">
        <w:rPr>
          <w:b w:val="0"/>
          <w:noProof/>
          <w:sz w:val="18"/>
        </w:rPr>
      </w:r>
      <w:r w:rsidRPr="0082124C">
        <w:rPr>
          <w:b w:val="0"/>
          <w:noProof/>
          <w:sz w:val="18"/>
        </w:rPr>
        <w:fldChar w:fldCharType="separate"/>
      </w:r>
      <w:r w:rsidR="006F3C83">
        <w:rPr>
          <w:b w:val="0"/>
          <w:noProof/>
          <w:sz w:val="18"/>
        </w:rPr>
        <w:t>16</w:t>
      </w:r>
      <w:r w:rsidRPr="0082124C">
        <w:rPr>
          <w:b w:val="0"/>
          <w:noProof/>
          <w:sz w:val="18"/>
        </w:rPr>
        <w:fldChar w:fldCharType="end"/>
      </w:r>
    </w:p>
    <w:p w14:paraId="0A818352" w14:textId="0BB2076F" w:rsidR="00041FE8" w:rsidRPr="0082124C" w:rsidRDefault="00041FE8">
      <w:pPr>
        <w:pStyle w:val="TOC2"/>
        <w:rPr>
          <w:rFonts w:asciiTheme="minorHAnsi" w:eastAsiaTheme="minorEastAsia" w:hAnsiTheme="minorHAnsi" w:cstheme="minorBidi"/>
          <w:b w:val="0"/>
          <w:noProof/>
          <w:kern w:val="0"/>
          <w:sz w:val="22"/>
          <w:szCs w:val="22"/>
        </w:rPr>
      </w:pPr>
      <w:r w:rsidRPr="0082124C">
        <w:rPr>
          <w:noProof/>
        </w:rPr>
        <w:t>Part 1—Filing fees and hearing fees</w:t>
      </w:r>
      <w:r w:rsidRPr="0082124C">
        <w:rPr>
          <w:b w:val="0"/>
          <w:noProof/>
          <w:sz w:val="18"/>
        </w:rPr>
        <w:tab/>
      </w:r>
      <w:r w:rsidRPr="0082124C">
        <w:rPr>
          <w:b w:val="0"/>
          <w:noProof/>
          <w:sz w:val="18"/>
        </w:rPr>
        <w:fldChar w:fldCharType="begin"/>
      </w:r>
      <w:r w:rsidRPr="0082124C">
        <w:rPr>
          <w:b w:val="0"/>
          <w:noProof/>
          <w:sz w:val="18"/>
        </w:rPr>
        <w:instrText xml:space="preserve"> PAGEREF _Toc113458369 \h </w:instrText>
      </w:r>
      <w:r w:rsidRPr="0082124C">
        <w:rPr>
          <w:b w:val="0"/>
          <w:noProof/>
          <w:sz w:val="18"/>
        </w:rPr>
      </w:r>
      <w:r w:rsidRPr="0082124C">
        <w:rPr>
          <w:b w:val="0"/>
          <w:noProof/>
          <w:sz w:val="18"/>
        </w:rPr>
        <w:fldChar w:fldCharType="separate"/>
      </w:r>
      <w:r w:rsidR="006F3C83">
        <w:rPr>
          <w:b w:val="0"/>
          <w:noProof/>
          <w:sz w:val="18"/>
        </w:rPr>
        <w:t>16</w:t>
      </w:r>
      <w:r w:rsidRPr="0082124C">
        <w:rPr>
          <w:b w:val="0"/>
          <w:noProof/>
          <w:sz w:val="18"/>
        </w:rPr>
        <w:fldChar w:fldCharType="end"/>
      </w:r>
    </w:p>
    <w:p w14:paraId="25979D7C" w14:textId="27A2FBCB" w:rsidR="00041FE8" w:rsidRPr="0082124C" w:rsidRDefault="00041FE8">
      <w:pPr>
        <w:pStyle w:val="TOC2"/>
        <w:rPr>
          <w:rFonts w:asciiTheme="minorHAnsi" w:eastAsiaTheme="minorEastAsia" w:hAnsiTheme="minorHAnsi" w:cstheme="minorBidi"/>
          <w:b w:val="0"/>
          <w:noProof/>
          <w:kern w:val="0"/>
          <w:sz w:val="22"/>
          <w:szCs w:val="22"/>
        </w:rPr>
      </w:pPr>
      <w:r w:rsidRPr="0082124C">
        <w:rPr>
          <w:noProof/>
        </w:rPr>
        <w:t>Part 2—Fees for obtaining a document or service</w:t>
      </w:r>
      <w:r w:rsidRPr="0082124C">
        <w:rPr>
          <w:b w:val="0"/>
          <w:noProof/>
          <w:sz w:val="18"/>
        </w:rPr>
        <w:tab/>
      </w:r>
      <w:r w:rsidRPr="0082124C">
        <w:rPr>
          <w:b w:val="0"/>
          <w:noProof/>
          <w:sz w:val="18"/>
        </w:rPr>
        <w:fldChar w:fldCharType="begin"/>
      </w:r>
      <w:r w:rsidRPr="0082124C">
        <w:rPr>
          <w:b w:val="0"/>
          <w:noProof/>
          <w:sz w:val="18"/>
        </w:rPr>
        <w:instrText xml:space="preserve"> PAGEREF _Toc113458370 \h </w:instrText>
      </w:r>
      <w:r w:rsidRPr="0082124C">
        <w:rPr>
          <w:b w:val="0"/>
          <w:noProof/>
          <w:sz w:val="18"/>
        </w:rPr>
      </w:r>
      <w:r w:rsidRPr="0082124C">
        <w:rPr>
          <w:b w:val="0"/>
          <w:noProof/>
          <w:sz w:val="18"/>
        </w:rPr>
        <w:fldChar w:fldCharType="separate"/>
      </w:r>
      <w:r w:rsidR="006F3C83">
        <w:rPr>
          <w:b w:val="0"/>
          <w:noProof/>
          <w:sz w:val="18"/>
        </w:rPr>
        <w:t>18</w:t>
      </w:r>
      <w:r w:rsidRPr="0082124C">
        <w:rPr>
          <w:b w:val="0"/>
          <w:noProof/>
          <w:sz w:val="18"/>
        </w:rPr>
        <w:fldChar w:fldCharType="end"/>
      </w:r>
    </w:p>
    <w:p w14:paraId="44815678" w14:textId="17FE8E1D" w:rsidR="00041FE8" w:rsidRPr="0082124C" w:rsidRDefault="00041FE8">
      <w:pPr>
        <w:pStyle w:val="TOC6"/>
        <w:rPr>
          <w:rFonts w:asciiTheme="minorHAnsi" w:eastAsiaTheme="minorEastAsia" w:hAnsiTheme="minorHAnsi" w:cstheme="minorBidi"/>
          <w:b w:val="0"/>
          <w:noProof/>
          <w:kern w:val="0"/>
          <w:sz w:val="22"/>
          <w:szCs w:val="22"/>
        </w:rPr>
      </w:pPr>
      <w:r w:rsidRPr="0082124C">
        <w:rPr>
          <w:noProof/>
        </w:rPr>
        <w:t>Schedule 2—Repeals</w:t>
      </w:r>
      <w:r w:rsidRPr="0082124C">
        <w:rPr>
          <w:b w:val="0"/>
          <w:noProof/>
          <w:sz w:val="18"/>
        </w:rPr>
        <w:tab/>
      </w:r>
      <w:r w:rsidRPr="0082124C">
        <w:rPr>
          <w:b w:val="0"/>
          <w:noProof/>
          <w:sz w:val="18"/>
        </w:rPr>
        <w:fldChar w:fldCharType="begin"/>
      </w:r>
      <w:r w:rsidRPr="0082124C">
        <w:rPr>
          <w:b w:val="0"/>
          <w:noProof/>
          <w:sz w:val="18"/>
        </w:rPr>
        <w:instrText xml:space="preserve"> PAGEREF _Toc113458371 \h </w:instrText>
      </w:r>
      <w:r w:rsidRPr="0082124C">
        <w:rPr>
          <w:b w:val="0"/>
          <w:noProof/>
          <w:sz w:val="18"/>
        </w:rPr>
      </w:r>
      <w:r w:rsidRPr="0082124C">
        <w:rPr>
          <w:b w:val="0"/>
          <w:noProof/>
          <w:sz w:val="18"/>
        </w:rPr>
        <w:fldChar w:fldCharType="separate"/>
      </w:r>
      <w:r w:rsidR="006F3C83">
        <w:rPr>
          <w:b w:val="0"/>
          <w:noProof/>
          <w:sz w:val="18"/>
        </w:rPr>
        <w:t>19</w:t>
      </w:r>
      <w:r w:rsidRPr="0082124C">
        <w:rPr>
          <w:b w:val="0"/>
          <w:noProof/>
          <w:sz w:val="18"/>
        </w:rPr>
        <w:fldChar w:fldCharType="end"/>
      </w:r>
    </w:p>
    <w:p w14:paraId="30DF0AD1" w14:textId="3246A168" w:rsidR="00041FE8" w:rsidRPr="0082124C" w:rsidRDefault="00041FE8">
      <w:pPr>
        <w:pStyle w:val="TOC9"/>
        <w:rPr>
          <w:rFonts w:asciiTheme="minorHAnsi" w:eastAsiaTheme="minorEastAsia" w:hAnsiTheme="minorHAnsi" w:cstheme="minorBidi"/>
          <w:i w:val="0"/>
          <w:noProof/>
          <w:kern w:val="0"/>
          <w:sz w:val="22"/>
          <w:szCs w:val="22"/>
        </w:rPr>
      </w:pPr>
      <w:r w:rsidRPr="0082124C">
        <w:rPr>
          <w:noProof/>
        </w:rPr>
        <w:t>High Court of Australia (Fees) Regulation 2012</w:t>
      </w:r>
      <w:r w:rsidRPr="0082124C">
        <w:rPr>
          <w:i w:val="0"/>
          <w:noProof/>
          <w:sz w:val="18"/>
        </w:rPr>
        <w:tab/>
      </w:r>
      <w:r w:rsidRPr="0082124C">
        <w:rPr>
          <w:i w:val="0"/>
          <w:noProof/>
          <w:sz w:val="18"/>
        </w:rPr>
        <w:fldChar w:fldCharType="begin"/>
      </w:r>
      <w:r w:rsidRPr="0082124C">
        <w:rPr>
          <w:i w:val="0"/>
          <w:noProof/>
          <w:sz w:val="18"/>
        </w:rPr>
        <w:instrText xml:space="preserve"> PAGEREF _Toc113458372 \h </w:instrText>
      </w:r>
      <w:r w:rsidRPr="0082124C">
        <w:rPr>
          <w:i w:val="0"/>
          <w:noProof/>
          <w:sz w:val="18"/>
        </w:rPr>
      </w:r>
      <w:r w:rsidRPr="0082124C">
        <w:rPr>
          <w:i w:val="0"/>
          <w:noProof/>
          <w:sz w:val="18"/>
        </w:rPr>
        <w:fldChar w:fldCharType="separate"/>
      </w:r>
      <w:r w:rsidR="006F3C83">
        <w:rPr>
          <w:i w:val="0"/>
          <w:noProof/>
          <w:sz w:val="18"/>
        </w:rPr>
        <w:t>19</w:t>
      </w:r>
      <w:r w:rsidRPr="0082124C">
        <w:rPr>
          <w:i w:val="0"/>
          <w:noProof/>
          <w:sz w:val="18"/>
        </w:rPr>
        <w:fldChar w:fldCharType="end"/>
      </w:r>
    </w:p>
    <w:p w14:paraId="77AEC9DE" w14:textId="77777777" w:rsidR="00670EA1" w:rsidRPr="0082124C" w:rsidRDefault="00041FE8" w:rsidP="00715914">
      <w:r w:rsidRPr="0082124C">
        <w:fldChar w:fldCharType="end"/>
      </w:r>
    </w:p>
    <w:p w14:paraId="0783309B" w14:textId="77777777" w:rsidR="00670EA1" w:rsidRPr="0082124C" w:rsidRDefault="00670EA1" w:rsidP="00715914">
      <w:pPr>
        <w:sectPr w:rsidR="00670EA1" w:rsidRPr="0082124C" w:rsidSect="000E2DB5">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4EEC4D99" w14:textId="77777777" w:rsidR="00715914" w:rsidRPr="0082124C" w:rsidRDefault="00932F8E" w:rsidP="00715914">
      <w:pPr>
        <w:pStyle w:val="ActHead2"/>
      </w:pPr>
      <w:bookmarkStart w:id="1" w:name="_Toc113458334"/>
      <w:r w:rsidRPr="003F450F">
        <w:rPr>
          <w:rStyle w:val="CharPartNo"/>
        </w:rPr>
        <w:lastRenderedPageBreak/>
        <w:t>Part 1</w:t>
      </w:r>
      <w:r w:rsidR="00715914" w:rsidRPr="0082124C">
        <w:t>—</w:t>
      </w:r>
      <w:r w:rsidR="00715914" w:rsidRPr="003F450F">
        <w:rPr>
          <w:rStyle w:val="CharPartText"/>
        </w:rPr>
        <w:t>Preliminary</w:t>
      </w:r>
      <w:bookmarkEnd w:id="1"/>
    </w:p>
    <w:p w14:paraId="5A69D5A0" w14:textId="77777777" w:rsidR="00715914" w:rsidRPr="003F450F" w:rsidRDefault="00715914" w:rsidP="00715914">
      <w:pPr>
        <w:pStyle w:val="Header"/>
      </w:pPr>
      <w:r w:rsidRPr="003F450F">
        <w:rPr>
          <w:rStyle w:val="CharDivNo"/>
        </w:rPr>
        <w:t xml:space="preserve"> </w:t>
      </w:r>
      <w:r w:rsidRPr="003F450F">
        <w:rPr>
          <w:rStyle w:val="CharDivText"/>
        </w:rPr>
        <w:t xml:space="preserve"> </w:t>
      </w:r>
    </w:p>
    <w:p w14:paraId="29353C4F" w14:textId="77777777" w:rsidR="00715914" w:rsidRPr="0082124C" w:rsidRDefault="00715914" w:rsidP="00715914">
      <w:pPr>
        <w:pStyle w:val="ActHead5"/>
      </w:pPr>
      <w:bookmarkStart w:id="2" w:name="_Toc113458335"/>
      <w:proofErr w:type="gramStart"/>
      <w:r w:rsidRPr="003F450F">
        <w:rPr>
          <w:rStyle w:val="CharSectno"/>
        </w:rPr>
        <w:t>1</w:t>
      </w:r>
      <w:r w:rsidRPr="0082124C">
        <w:t xml:space="preserve">  </w:t>
      </w:r>
      <w:r w:rsidR="00CE493D" w:rsidRPr="0082124C">
        <w:t>Name</w:t>
      </w:r>
      <w:bookmarkEnd w:id="2"/>
      <w:proofErr w:type="gramEnd"/>
    </w:p>
    <w:p w14:paraId="7A576CBA" w14:textId="77777777" w:rsidR="00715914" w:rsidRPr="0082124C" w:rsidRDefault="00715914" w:rsidP="00715914">
      <w:pPr>
        <w:pStyle w:val="subsection"/>
      </w:pPr>
      <w:r w:rsidRPr="0082124C">
        <w:tab/>
      </w:r>
      <w:r w:rsidRPr="0082124C">
        <w:tab/>
      </w:r>
      <w:r w:rsidR="00F7350D" w:rsidRPr="0082124C">
        <w:t>This instrument is</w:t>
      </w:r>
      <w:r w:rsidR="00CE493D" w:rsidRPr="0082124C">
        <w:t xml:space="preserve"> the </w:t>
      </w:r>
      <w:r w:rsidR="002258AC">
        <w:rPr>
          <w:i/>
          <w:noProof/>
        </w:rPr>
        <w:t>High Court of Australia (Fees) Regulations 2022</w:t>
      </w:r>
      <w:r w:rsidRPr="0082124C">
        <w:t>.</w:t>
      </w:r>
    </w:p>
    <w:p w14:paraId="06F30719" w14:textId="77777777" w:rsidR="00715914" w:rsidRPr="0082124C" w:rsidRDefault="00715914" w:rsidP="00715914">
      <w:pPr>
        <w:pStyle w:val="ActHead5"/>
      </w:pPr>
      <w:bookmarkStart w:id="3" w:name="_Toc113458336"/>
      <w:proofErr w:type="gramStart"/>
      <w:r w:rsidRPr="003F450F">
        <w:rPr>
          <w:rStyle w:val="CharSectno"/>
        </w:rPr>
        <w:t>2</w:t>
      </w:r>
      <w:r w:rsidRPr="0082124C">
        <w:t xml:space="preserve">  Commencement</w:t>
      </w:r>
      <w:bookmarkEnd w:id="3"/>
      <w:proofErr w:type="gramEnd"/>
    </w:p>
    <w:p w14:paraId="3463F05F" w14:textId="77777777" w:rsidR="00AE3652" w:rsidRPr="0082124C" w:rsidRDefault="00807626" w:rsidP="00AE3652">
      <w:pPr>
        <w:pStyle w:val="subsection"/>
      </w:pPr>
      <w:r w:rsidRPr="0082124C">
        <w:tab/>
      </w:r>
      <w:r w:rsidR="00AE3652" w:rsidRPr="0082124C">
        <w:t>(1)</w:t>
      </w:r>
      <w:r w:rsidR="00AE3652" w:rsidRPr="0082124C">
        <w:tab/>
        <w:t xml:space="preserve">Each provision of </w:t>
      </w:r>
      <w:r w:rsidR="00F7350D" w:rsidRPr="0082124C">
        <w:t>this instrument</w:t>
      </w:r>
      <w:r w:rsidR="00AE3652" w:rsidRPr="0082124C">
        <w:t xml:space="preserve"> specified in column 1 of the table commences, or is taken to have commenced, in accordance with column 2 of the table. Any other statement in column 2 has effect according to its terms.</w:t>
      </w:r>
    </w:p>
    <w:p w14:paraId="79093F61" w14:textId="77777777" w:rsidR="00AE3652" w:rsidRPr="0082124C" w:rsidRDefault="00AE3652" w:rsidP="00AE3652">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AE3652" w:rsidRPr="0082124C" w14:paraId="669EC3C7" w14:textId="77777777" w:rsidTr="00B63429">
        <w:trPr>
          <w:tblHeader/>
        </w:trPr>
        <w:tc>
          <w:tcPr>
            <w:tcW w:w="5000" w:type="pct"/>
            <w:gridSpan w:val="3"/>
            <w:tcBorders>
              <w:top w:val="single" w:sz="12" w:space="0" w:color="auto"/>
              <w:bottom w:val="single" w:sz="6" w:space="0" w:color="auto"/>
            </w:tcBorders>
            <w:shd w:val="clear" w:color="auto" w:fill="auto"/>
            <w:hideMark/>
          </w:tcPr>
          <w:p w14:paraId="72D16864" w14:textId="77777777" w:rsidR="00AE3652" w:rsidRPr="0082124C" w:rsidRDefault="00AE3652" w:rsidP="00685E3D">
            <w:pPr>
              <w:pStyle w:val="TableHeading"/>
            </w:pPr>
            <w:r w:rsidRPr="0082124C">
              <w:t>Commencement information</w:t>
            </w:r>
          </w:p>
        </w:tc>
      </w:tr>
      <w:tr w:rsidR="00AE3652" w:rsidRPr="0082124C" w14:paraId="1F09603F" w14:textId="77777777" w:rsidTr="00B63429">
        <w:trPr>
          <w:tblHeader/>
        </w:trPr>
        <w:tc>
          <w:tcPr>
            <w:tcW w:w="1272" w:type="pct"/>
            <w:tcBorders>
              <w:top w:val="single" w:sz="6" w:space="0" w:color="auto"/>
              <w:bottom w:val="single" w:sz="6" w:space="0" w:color="auto"/>
            </w:tcBorders>
            <w:shd w:val="clear" w:color="auto" w:fill="auto"/>
            <w:hideMark/>
          </w:tcPr>
          <w:p w14:paraId="73C9A872" w14:textId="77777777" w:rsidR="00AE3652" w:rsidRPr="0082124C" w:rsidRDefault="00AE3652" w:rsidP="00685E3D">
            <w:pPr>
              <w:pStyle w:val="TableHeading"/>
            </w:pPr>
            <w:r w:rsidRPr="0082124C">
              <w:t>Column 1</w:t>
            </w:r>
          </w:p>
        </w:tc>
        <w:tc>
          <w:tcPr>
            <w:tcW w:w="2627" w:type="pct"/>
            <w:tcBorders>
              <w:top w:val="single" w:sz="6" w:space="0" w:color="auto"/>
              <w:bottom w:val="single" w:sz="6" w:space="0" w:color="auto"/>
            </w:tcBorders>
            <w:shd w:val="clear" w:color="auto" w:fill="auto"/>
            <w:hideMark/>
          </w:tcPr>
          <w:p w14:paraId="1A50009F" w14:textId="77777777" w:rsidR="00AE3652" w:rsidRPr="0082124C" w:rsidRDefault="00AE3652" w:rsidP="00685E3D">
            <w:pPr>
              <w:pStyle w:val="TableHeading"/>
            </w:pPr>
            <w:r w:rsidRPr="0082124C">
              <w:t>Column 2</w:t>
            </w:r>
          </w:p>
        </w:tc>
        <w:tc>
          <w:tcPr>
            <w:tcW w:w="1102" w:type="pct"/>
            <w:tcBorders>
              <w:top w:val="single" w:sz="6" w:space="0" w:color="auto"/>
              <w:bottom w:val="single" w:sz="6" w:space="0" w:color="auto"/>
            </w:tcBorders>
            <w:shd w:val="clear" w:color="auto" w:fill="auto"/>
            <w:hideMark/>
          </w:tcPr>
          <w:p w14:paraId="0A349A1F" w14:textId="77777777" w:rsidR="00AE3652" w:rsidRPr="0082124C" w:rsidRDefault="00AE3652" w:rsidP="00685E3D">
            <w:pPr>
              <w:pStyle w:val="TableHeading"/>
            </w:pPr>
            <w:r w:rsidRPr="0082124C">
              <w:t>Column 3</w:t>
            </w:r>
          </w:p>
        </w:tc>
      </w:tr>
      <w:tr w:rsidR="00AE3652" w:rsidRPr="0082124C" w14:paraId="106DD0E7" w14:textId="77777777" w:rsidTr="00B63429">
        <w:trPr>
          <w:tblHeader/>
        </w:trPr>
        <w:tc>
          <w:tcPr>
            <w:tcW w:w="1272" w:type="pct"/>
            <w:tcBorders>
              <w:top w:val="single" w:sz="6" w:space="0" w:color="auto"/>
              <w:bottom w:val="single" w:sz="12" w:space="0" w:color="auto"/>
            </w:tcBorders>
            <w:shd w:val="clear" w:color="auto" w:fill="auto"/>
            <w:hideMark/>
          </w:tcPr>
          <w:p w14:paraId="45BE0137" w14:textId="77777777" w:rsidR="00AE3652" w:rsidRPr="0082124C" w:rsidRDefault="00AE3652" w:rsidP="00685E3D">
            <w:pPr>
              <w:pStyle w:val="TableHeading"/>
            </w:pPr>
            <w:r w:rsidRPr="0082124C">
              <w:t>Provisions</w:t>
            </w:r>
          </w:p>
        </w:tc>
        <w:tc>
          <w:tcPr>
            <w:tcW w:w="2627" w:type="pct"/>
            <w:tcBorders>
              <w:top w:val="single" w:sz="6" w:space="0" w:color="auto"/>
              <w:bottom w:val="single" w:sz="12" w:space="0" w:color="auto"/>
            </w:tcBorders>
            <w:shd w:val="clear" w:color="auto" w:fill="auto"/>
            <w:hideMark/>
          </w:tcPr>
          <w:p w14:paraId="25417AE4" w14:textId="77777777" w:rsidR="00AE3652" w:rsidRPr="0082124C" w:rsidRDefault="00AE3652" w:rsidP="00685E3D">
            <w:pPr>
              <w:pStyle w:val="TableHeading"/>
            </w:pPr>
            <w:r w:rsidRPr="0082124C">
              <w:t>Commencement</w:t>
            </w:r>
          </w:p>
        </w:tc>
        <w:tc>
          <w:tcPr>
            <w:tcW w:w="1102" w:type="pct"/>
            <w:tcBorders>
              <w:top w:val="single" w:sz="6" w:space="0" w:color="auto"/>
              <w:bottom w:val="single" w:sz="12" w:space="0" w:color="auto"/>
            </w:tcBorders>
            <w:shd w:val="clear" w:color="auto" w:fill="auto"/>
            <w:hideMark/>
          </w:tcPr>
          <w:p w14:paraId="5C14437C" w14:textId="77777777" w:rsidR="00AE3652" w:rsidRPr="0082124C" w:rsidRDefault="00AE3652" w:rsidP="00685E3D">
            <w:pPr>
              <w:pStyle w:val="TableHeading"/>
            </w:pPr>
            <w:r w:rsidRPr="0082124C">
              <w:t>Date/Details</w:t>
            </w:r>
          </w:p>
        </w:tc>
      </w:tr>
      <w:tr w:rsidR="00AE3652" w:rsidRPr="0082124C" w14:paraId="78CCDD43" w14:textId="77777777" w:rsidTr="00B63429">
        <w:tc>
          <w:tcPr>
            <w:tcW w:w="1272" w:type="pct"/>
            <w:tcBorders>
              <w:top w:val="single" w:sz="12" w:space="0" w:color="auto"/>
              <w:bottom w:val="single" w:sz="12" w:space="0" w:color="auto"/>
            </w:tcBorders>
            <w:shd w:val="clear" w:color="auto" w:fill="auto"/>
            <w:hideMark/>
          </w:tcPr>
          <w:p w14:paraId="5FF3F420" w14:textId="77777777" w:rsidR="00AE3652" w:rsidRPr="0082124C" w:rsidRDefault="00AE3652" w:rsidP="00685E3D">
            <w:pPr>
              <w:pStyle w:val="Tabletext"/>
            </w:pPr>
            <w:r w:rsidRPr="0082124C">
              <w:t xml:space="preserve">1.  The whole of </w:t>
            </w:r>
            <w:r w:rsidR="00F7350D" w:rsidRPr="0082124C">
              <w:t>this instrument</w:t>
            </w:r>
          </w:p>
        </w:tc>
        <w:tc>
          <w:tcPr>
            <w:tcW w:w="2627" w:type="pct"/>
            <w:tcBorders>
              <w:top w:val="single" w:sz="12" w:space="0" w:color="auto"/>
              <w:bottom w:val="single" w:sz="12" w:space="0" w:color="auto"/>
            </w:tcBorders>
            <w:shd w:val="clear" w:color="auto" w:fill="auto"/>
            <w:hideMark/>
          </w:tcPr>
          <w:p w14:paraId="2CE95109" w14:textId="77777777" w:rsidR="00AE3652" w:rsidRPr="0082124C" w:rsidRDefault="00EB7633" w:rsidP="00685E3D">
            <w:pPr>
              <w:pStyle w:val="Tabletext"/>
            </w:pPr>
            <w:r w:rsidRPr="0082124C">
              <w:t>1 April</w:t>
            </w:r>
            <w:r w:rsidR="00A00C6F" w:rsidRPr="0082124C">
              <w:t xml:space="preserve"> 2023.</w:t>
            </w:r>
          </w:p>
        </w:tc>
        <w:tc>
          <w:tcPr>
            <w:tcW w:w="1102" w:type="pct"/>
            <w:tcBorders>
              <w:top w:val="single" w:sz="12" w:space="0" w:color="auto"/>
              <w:bottom w:val="single" w:sz="12" w:space="0" w:color="auto"/>
            </w:tcBorders>
            <w:shd w:val="clear" w:color="auto" w:fill="auto"/>
          </w:tcPr>
          <w:p w14:paraId="0DD67ED8" w14:textId="77777777" w:rsidR="00AE3652" w:rsidRPr="0082124C" w:rsidRDefault="00EB7633" w:rsidP="00685E3D">
            <w:pPr>
              <w:pStyle w:val="Tabletext"/>
            </w:pPr>
            <w:r w:rsidRPr="0082124C">
              <w:t>1 April</w:t>
            </w:r>
            <w:r w:rsidR="00A00C6F" w:rsidRPr="0082124C">
              <w:t xml:space="preserve"> 2023</w:t>
            </w:r>
          </w:p>
        </w:tc>
      </w:tr>
    </w:tbl>
    <w:p w14:paraId="66514767" w14:textId="77777777" w:rsidR="00AE3652" w:rsidRPr="0082124C" w:rsidRDefault="00AE3652" w:rsidP="00AE3652">
      <w:pPr>
        <w:pStyle w:val="notetext"/>
      </w:pPr>
      <w:r w:rsidRPr="0082124C">
        <w:rPr>
          <w:snapToGrid w:val="0"/>
          <w:lang w:eastAsia="en-US"/>
        </w:rPr>
        <w:t>Note:</w:t>
      </w:r>
      <w:r w:rsidRPr="0082124C">
        <w:rPr>
          <w:snapToGrid w:val="0"/>
          <w:lang w:eastAsia="en-US"/>
        </w:rPr>
        <w:tab/>
        <w:t xml:space="preserve">This table relates only to the provisions of </w:t>
      </w:r>
      <w:r w:rsidR="00F7350D" w:rsidRPr="0082124C">
        <w:rPr>
          <w:snapToGrid w:val="0"/>
          <w:lang w:eastAsia="en-US"/>
        </w:rPr>
        <w:t>this instrument</w:t>
      </w:r>
      <w:r w:rsidRPr="0082124C">
        <w:t xml:space="preserve"> </w:t>
      </w:r>
      <w:r w:rsidRPr="0082124C">
        <w:rPr>
          <w:snapToGrid w:val="0"/>
          <w:lang w:eastAsia="en-US"/>
        </w:rPr>
        <w:t xml:space="preserve">as originally made. It will not be amended to deal with any later amendments of </w:t>
      </w:r>
      <w:r w:rsidR="00F7350D" w:rsidRPr="0082124C">
        <w:rPr>
          <w:snapToGrid w:val="0"/>
          <w:lang w:eastAsia="en-US"/>
        </w:rPr>
        <w:t>this instrument</w:t>
      </w:r>
      <w:r w:rsidRPr="0082124C">
        <w:rPr>
          <w:snapToGrid w:val="0"/>
          <w:lang w:eastAsia="en-US"/>
        </w:rPr>
        <w:t>.</w:t>
      </w:r>
    </w:p>
    <w:p w14:paraId="572D2231" w14:textId="77777777" w:rsidR="00807626" w:rsidRPr="0082124C" w:rsidRDefault="00AE3652" w:rsidP="00AE3652">
      <w:pPr>
        <w:pStyle w:val="subsection"/>
      </w:pPr>
      <w:r w:rsidRPr="0082124C">
        <w:tab/>
        <w:t>(2)</w:t>
      </w:r>
      <w:r w:rsidRPr="0082124C">
        <w:tab/>
        <w:t xml:space="preserve">Any information in column 3 of the table is not part of </w:t>
      </w:r>
      <w:r w:rsidR="00F7350D" w:rsidRPr="0082124C">
        <w:t>this instrument</w:t>
      </w:r>
      <w:r w:rsidRPr="0082124C">
        <w:t xml:space="preserve">. Information may be inserted in this column, or information in it may be edited, in any published version of </w:t>
      </w:r>
      <w:r w:rsidR="00F7350D" w:rsidRPr="0082124C">
        <w:t>this instrument</w:t>
      </w:r>
      <w:r w:rsidRPr="0082124C">
        <w:t>.</w:t>
      </w:r>
    </w:p>
    <w:p w14:paraId="7985A197" w14:textId="77777777" w:rsidR="007500C8" w:rsidRPr="0082124C" w:rsidRDefault="007500C8" w:rsidP="007500C8">
      <w:pPr>
        <w:pStyle w:val="ActHead5"/>
      </w:pPr>
      <w:bookmarkStart w:id="4" w:name="_Toc113458337"/>
      <w:proofErr w:type="gramStart"/>
      <w:r w:rsidRPr="003F450F">
        <w:rPr>
          <w:rStyle w:val="CharSectno"/>
        </w:rPr>
        <w:t>3</w:t>
      </w:r>
      <w:r w:rsidRPr="0082124C">
        <w:t xml:space="preserve">  Authority</w:t>
      </w:r>
      <w:bookmarkEnd w:id="4"/>
      <w:proofErr w:type="gramEnd"/>
    </w:p>
    <w:p w14:paraId="16951E5C" w14:textId="77777777" w:rsidR="00157B8B" w:rsidRPr="0082124C" w:rsidRDefault="007500C8" w:rsidP="007E667A">
      <w:pPr>
        <w:pStyle w:val="subsection"/>
      </w:pPr>
      <w:r w:rsidRPr="0082124C">
        <w:tab/>
      </w:r>
      <w:r w:rsidRPr="0082124C">
        <w:tab/>
      </w:r>
      <w:r w:rsidR="00F7350D" w:rsidRPr="0082124C">
        <w:t>This instrument is</w:t>
      </w:r>
      <w:r w:rsidRPr="0082124C">
        <w:t xml:space="preserve"> made under the </w:t>
      </w:r>
      <w:r w:rsidR="00685E3D" w:rsidRPr="0082124C">
        <w:rPr>
          <w:i/>
        </w:rPr>
        <w:t>Judiciary Act 1903</w:t>
      </w:r>
      <w:r w:rsidR="00F4350D" w:rsidRPr="0082124C">
        <w:t>.</w:t>
      </w:r>
    </w:p>
    <w:p w14:paraId="71BA76AD" w14:textId="77777777" w:rsidR="002C42FA" w:rsidRPr="0082124C" w:rsidRDefault="002C42FA" w:rsidP="002C42FA">
      <w:pPr>
        <w:pStyle w:val="ActHead5"/>
      </w:pPr>
      <w:bookmarkStart w:id="5" w:name="_Toc113458338"/>
      <w:r w:rsidRPr="003F450F">
        <w:rPr>
          <w:rStyle w:val="CharSectno"/>
        </w:rPr>
        <w:t>3</w:t>
      </w:r>
      <w:proofErr w:type="gramStart"/>
      <w:r w:rsidR="006E7F74" w:rsidRPr="003F450F">
        <w:rPr>
          <w:rStyle w:val="CharSectno"/>
        </w:rPr>
        <w:t>A</w:t>
      </w:r>
      <w:r w:rsidRPr="0082124C">
        <w:t xml:space="preserve">  </w:t>
      </w:r>
      <w:r w:rsidR="00EB7633" w:rsidRPr="0082124C">
        <w:t>Schedule</w:t>
      </w:r>
      <w:proofErr w:type="gramEnd"/>
      <w:r w:rsidR="00EB7633" w:rsidRPr="0082124C">
        <w:t> 2</w:t>
      </w:r>
      <w:bookmarkEnd w:id="5"/>
    </w:p>
    <w:p w14:paraId="1967C116" w14:textId="77777777" w:rsidR="002C42FA" w:rsidRPr="0082124C" w:rsidRDefault="002C42FA" w:rsidP="00B63429">
      <w:pPr>
        <w:pStyle w:val="subsection"/>
      </w:pPr>
      <w:r w:rsidRPr="0082124C">
        <w:tab/>
      </w:r>
      <w:r w:rsidRPr="0082124C">
        <w:tab/>
        <w:t xml:space="preserve">Each instrument that is specified in </w:t>
      </w:r>
      <w:r w:rsidR="00EB7633" w:rsidRPr="0082124C">
        <w:t>Schedule 2</w:t>
      </w:r>
      <w:r w:rsidRPr="0082124C">
        <w:t xml:space="preserve"> to this instrument is amended or repealed as set out in </w:t>
      </w:r>
      <w:r w:rsidR="00F62750" w:rsidRPr="00F62750">
        <w:t xml:space="preserve">the applicable items in </w:t>
      </w:r>
      <w:r w:rsidR="00B56FA2" w:rsidRPr="0082124C">
        <w:t>that</w:t>
      </w:r>
      <w:r w:rsidRPr="0082124C">
        <w:t xml:space="preserve"> Schedule, and any other item in </w:t>
      </w:r>
      <w:r w:rsidR="00B56FA2" w:rsidRPr="0082124C">
        <w:t>that</w:t>
      </w:r>
      <w:r w:rsidRPr="0082124C">
        <w:t xml:space="preserve"> Schedule has effect according to its terms.</w:t>
      </w:r>
    </w:p>
    <w:p w14:paraId="3C6734BF" w14:textId="77777777" w:rsidR="00693CDD" w:rsidRPr="0082124C" w:rsidRDefault="00693CDD" w:rsidP="00693CDD">
      <w:pPr>
        <w:pStyle w:val="ActHead5"/>
      </w:pPr>
      <w:bookmarkStart w:id="6" w:name="_Toc113458339"/>
      <w:r w:rsidRPr="003F450F">
        <w:rPr>
          <w:rStyle w:val="CharSectno"/>
        </w:rPr>
        <w:t>3</w:t>
      </w:r>
      <w:proofErr w:type="gramStart"/>
      <w:r w:rsidR="006E7F74" w:rsidRPr="003F450F">
        <w:rPr>
          <w:rStyle w:val="CharSectno"/>
        </w:rPr>
        <w:t>B</w:t>
      </w:r>
      <w:r w:rsidRPr="0082124C">
        <w:t xml:space="preserve">  Definitions</w:t>
      </w:r>
      <w:bookmarkEnd w:id="6"/>
      <w:proofErr w:type="gramEnd"/>
    </w:p>
    <w:p w14:paraId="5E5F4F5D" w14:textId="77777777" w:rsidR="00693CDD" w:rsidRPr="0082124C" w:rsidRDefault="00693CDD" w:rsidP="00693CDD">
      <w:pPr>
        <w:pStyle w:val="subsection"/>
      </w:pPr>
      <w:r w:rsidRPr="0082124C">
        <w:tab/>
        <w:t>(1)</w:t>
      </w:r>
      <w:r w:rsidRPr="0082124C">
        <w:tab/>
        <w:t xml:space="preserve">In this </w:t>
      </w:r>
      <w:r w:rsidR="00685E3D" w:rsidRPr="0082124C">
        <w:t>instrument</w:t>
      </w:r>
      <w:r w:rsidRPr="0082124C">
        <w:t>:</w:t>
      </w:r>
    </w:p>
    <w:p w14:paraId="097483AC" w14:textId="77777777" w:rsidR="00693CDD" w:rsidRPr="0082124C" w:rsidRDefault="00693CDD" w:rsidP="00693CDD">
      <w:pPr>
        <w:pStyle w:val="Definition"/>
      </w:pPr>
      <w:r w:rsidRPr="0082124C">
        <w:rPr>
          <w:b/>
          <w:i/>
        </w:rPr>
        <w:t xml:space="preserve">Act </w:t>
      </w:r>
      <w:r w:rsidRPr="0082124C">
        <w:t xml:space="preserve">means the </w:t>
      </w:r>
      <w:r w:rsidRPr="0082124C">
        <w:rPr>
          <w:i/>
        </w:rPr>
        <w:t>Judiciary Act 1903</w:t>
      </w:r>
      <w:r w:rsidRPr="0082124C">
        <w:t>.</w:t>
      </w:r>
    </w:p>
    <w:p w14:paraId="55EC0BA4" w14:textId="77777777" w:rsidR="00693CDD" w:rsidRPr="0082124C" w:rsidRDefault="00693CDD" w:rsidP="00693CDD">
      <w:pPr>
        <w:pStyle w:val="Definition"/>
      </w:pPr>
      <w:r w:rsidRPr="0082124C">
        <w:rPr>
          <w:b/>
          <w:i/>
        </w:rPr>
        <w:t>corporation</w:t>
      </w:r>
      <w:r w:rsidRPr="0082124C">
        <w:t>: see section 4.</w:t>
      </w:r>
    </w:p>
    <w:p w14:paraId="5B876838" w14:textId="77777777" w:rsidR="00BC3CE7" w:rsidRPr="0082124C" w:rsidRDefault="00BC3CE7" w:rsidP="00693CDD">
      <w:pPr>
        <w:pStyle w:val="Definition"/>
      </w:pPr>
      <w:r w:rsidRPr="0082124C">
        <w:rPr>
          <w:b/>
          <w:i/>
        </w:rPr>
        <w:t>Court</w:t>
      </w:r>
      <w:r w:rsidRPr="0082124C">
        <w:t xml:space="preserve"> means the High Court of Australia.</w:t>
      </w:r>
    </w:p>
    <w:p w14:paraId="74B61DC8" w14:textId="77777777" w:rsidR="007B4E77" w:rsidRPr="0082124C" w:rsidRDefault="007B4E77" w:rsidP="007B4E77">
      <w:pPr>
        <w:pStyle w:val="Definition"/>
      </w:pPr>
      <w:r w:rsidRPr="0082124C">
        <w:rPr>
          <w:b/>
          <w:i/>
        </w:rPr>
        <w:t>CPI number</w:t>
      </w:r>
      <w:r w:rsidR="00BC1698" w:rsidRPr="0082124C">
        <w:t>, for a quarter,</w:t>
      </w:r>
      <w:r w:rsidRPr="0082124C">
        <w:t xml:space="preserve"> means the All Groups Consumer Price Index number (being the weighted average of the 8 Australian capital cities) published by the Australian Statistician</w:t>
      </w:r>
      <w:r w:rsidR="00BC1698" w:rsidRPr="0082124C">
        <w:t xml:space="preserve"> for th</w:t>
      </w:r>
      <w:r w:rsidR="00283C14" w:rsidRPr="0082124C">
        <w:t>at</w:t>
      </w:r>
      <w:r w:rsidR="00BC1698" w:rsidRPr="0082124C">
        <w:t xml:space="preserve"> quarter</w:t>
      </w:r>
      <w:r w:rsidRPr="0082124C">
        <w:t>.</w:t>
      </w:r>
    </w:p>
    <w:p w14:paraId="09A18203" w14:textId="77777777" w:rsidR="00693CDD" w:rsidRPr="0082124C" w:rsidRDefault="00693CDD" w:rsidP="00693CDD">
      <w:pPr>
        <w:pStyle w:val="Definition"/>
      </w:pPr>
      <w:r w:rsidRPr="0082124C">
        <w:rPr>
          <w:b/>
          <w:i/>
        </w:rPr>
        <w:t xml:space="preserve">filing fee </w:t>
      </w:r>
      <w:r w:rsidRPr="0082124C">
        <w:t xml:space="preserve">means a fee mentioned in any of </w:t>
      </w:r>
      <w:r w:rsidR="007F41AC" w:rsidRPr="0082124C">
        <w:t>items 1</w:t>
      </w:r>
      <w:r w:rsidRPr="0082124C">
        <w:t>01 to 107 of</w:t>
      </w:r>
      <w:r w:rsidR="00530B20" w:rsidRPr="0082124C">
        <w:t xml:space="preserve"> </w:t>
      </w:r>
      <w:r w:rsidR="007F41AC" w:rsidRPr="0082124C">
        <w:t>Schedule 1</w:t>
      </w:r>
      <w:r w:rsidRPr="0082124C">
        <w:t>.</w:t>
      </w:r>
    </w:p>
    <w:p w14:paraId="1405666A" w14:textId="77777777" w:rsidR="00693CDD" w:rsidRPr="0082124C" w:rsidRDefault="00693CDD" w:rsidP="00693CDD">
      <w:pPr>
        <w:pStyle w:val="Definition"/>
      </w:pPr>
      <w:r w:rsidRPr="0082124C">
        <w:rPr>
          <w:b/>
          <w:i/>
        </w:rPr>
        <w:lastRenderedPageBreak/>
        <w:t xml:space="preserve">half day </w:t>
      </w:r>
      <w:r w:rsidRPr="0082124C">
        <w:t>means a period of up to 3 hours in a scheduled hearing day.</w:t>
      </w:r>
    </w:p>
    <w:p w14:paraId="2E36A243" w14:textId="77777777" w:rsidR="00693CDD" w:rsidRPr="0082124C" w:rsidRDefault="00693CDD" w:rsidP="00693CDD">
      <w:pPr>
        <w:pStyle w:val="Definition"/>
      </w:pPr>
      <w:r w:rsidRPr="0082124C">
        <w:rPr>
          <w:b/>
          <w:i/>
        </w:rPr>
        <w:t xml:space="preserve">hearing fee </w:t>
      </w:r>
      <w:r w:rsidRPr="0082124C">
        <w:t xml:space="preserve">means a fee mentioned in any of </w:t>
      </w:r>
      <w:r w:rsidR="007F41AC" w:rsidRPr="0082124C">
        <w:t>items 1</w:t>
      </w:r>
      <w:r w:rsidRPr="0082124C">
        <w:t xml:space="preserve">08 to 111 of </w:t>
      </w:r>
      <w:r w:rsidR="007F41AC" w:rsidRPr="0082124C">
        <w:t>Schedule 1</w:t>
      </w:r>
      <w:r w:rsidRPr="0082124C">
        <w:t>.</w:t>
      </w:r>
    </w:p>
    <w:p w14:paraId="00FBAF33" w14:textId="77777777" w:rsidR="00693CDD" w:rsidRPr="0082124C" w:rsidRDefault="00693CDD" w:rsidP="00693CDD">
      <w:pPr>
        <w:pStyle w:val="Definition"/>
      </w:pPr>
      <w:r w:rsidRPr="0082124C">
        <w:rPr>
          <w:b/>
          <w:i/>
        </w:rPr>
        <w:t>liable person</w:t>
      </w:r>
      <w:r w:rsidRPr="0082124C">
        <w:t xml:space="preserve">, in relation to a fee, means the person who is required to pay the fee under </w:t>
      </w:r>
      <w:r w:rsidR="00564701" w:rsidRPr="0082124C">
        <w:t>Division 2</w:t>
      </w:r>
      <w:r w:rsidRPr="0082124C">
        <w:t>.2.</w:t>
      </w:r>
    </w:p>
    <w:p w14:paraId="527CD63F" w14:textId="77777777" w:rsidR="007B4E77" w:rsidRPr="0082124C" w:rsidRDefault="007B4E77" w:rsidP="007B4E77">
      <w:pPr>
        <w:pStyle w:val="Definition"/>
      </w:pPr>
      <w:r w:rsidRPr="0082124C">
        <w:rPr>
          <w:b/>
          <w:i/>
        </w:rPr>
        <w:t xml:space="preserve">March quarter </w:t>
      </w:r>
      <w:r w:rsidRPr="0082124C">
        <w:t>means a period of 3 months ending at the end of March.</w:t>
      </w:r>
    </w:p>
    <w:p w14:paraId="1A341ADD" w14:textId="77777777" w:rsidR="00693CDD" w:rsidRPr="0082124C" w:rsidRDefault="00693CDD" w:rsidP="00693CDD">
      <w:pPr>
        <w:pStyle w:val="Definition"/>
      </w:pPr>
      <w:r w:rsidRPr="0082124C">
        <w:rPr>
          <w:b/>
          <w:i/>
        </w:rPr>
        <w:t xml:space="preserve">proceeding </w:t>
      </w:r>
      <w:r w:rsidRPr="0082124C">
        <w:t>includes an application to commence a proceeding.</w:t>
      </w:r>
    </w:p>
    <w:p w14:paraId="5BF74568" w14:textId="77777777" w:rsidR="00693CDD" w:rsidRPr="0082124C" w:rsidRDefault="00693CDD" w:rsidP="00693CDD">
      <w:pPr>
        <w:pStyle w:val="Definition"/>
      </w:pPr>
      <w:r w:rsidRPr="0082124C">
        <w:rPr>
          <w:b/>
          <w:i/>
        </w:rPr>
        <w:t xml:space="preserve">publicly listed company </w:t>
      </w:r>
      <w:r w:rsidRPr="0082124C">
        <w:t>means a company that is listed on a stock exchange or financial market in any country.</w:t>
      </w:r>
    </w:p>
    <w:p w14:paraId="382E9EAB" w14:textId="77777777" w:rsidR="00693CDD" w:rsidRPr="0082124C" w:rsidRDefault="00693CDD" w:rsidP="00693CDD">
      <w:pPr>
        <w:pStyle w:val="Definition"/>
      </w:pPr>
      <w:r w:rsidRPr="0082124C">
        <w:rPr>
          <w:b/>
          <w:i/>
        </w:rPr>
        <w:t xml:space="preserve">Registrar </w:t>
      </w:r>
      <w:r w:rsidRPr="0082124C">
        <w:t>means the following:</w:t>
      </w:r>
    </w:p>
    <w:p w14:paraId="6F89D192" w14:textId="77777777" w:rsidR="00693CDD" w:rsidRPr="0082124C" w:rsidRDefault="00693CDD" w:rsidP="00693CDD">
      <w:pPr>
        <w:pStyle w:val="paragraph"/>
      </w:pPr>
      <w:r w:rsidRPr="0082124C">
        <w:tab/>
        <w:t>(a)</w:t>
      </w:r>
      <w:r w:rsidRPr="0082124C">
        <w:tab/>
        <w:t xml:space="preserve">the Chief Executive and Principal Registrar of the Court appointed under </w:t>
      </w:r>
      <w:r w:rsidR="003D1A86" w:rsidRPr="0082124C">
        <w:t>section 1</w:t>
      </w:r>
      <w:r w:rsidR="007C5304" w:rsidRPr="0082124C">
        <w:t>8</w:t>
      </w:r>
      <w:r w:rsidRPr="0082124C">
        <w:t xml:space="preserve"> of the </w:t>
      </w:r>
      <w:r w:rsidRPr="0082124C">
        <w:rPr>
          <w:i/>
        </w:rPr>
        <w:t>High Court of Australia Act 1979</w:t>
      </w:r>
      <w:r w:rsidRPr="0082124C">
        <w:t>;</w:t>
      </w:r>
    </w:p>
    <w:p w14:paraId="1539CADF" w14:textId="77777777" w:rsidR="00693CDD" w:rsidRPr="0082124C" w:rsidRDefault="00693CDD" w:rsidP="00693CDD">
      <w:pPr>
        <w:pStyle w:val="paragraph"/>
      </w:pPr>
      <w:r w:rsidRPr="0082124C">
        <w:tab/>
        <w:t>(b)</w:t>
      </w:r>
      <w:r w:rsidRPr="0082124C">
        <w:tab/>
        <w:t>the Senior Registrar of the Court, or the Deputy Registrar of the Court, appointed under sub</w:t>
      </w:r>
      <w:r w:rsidR="003D1A86" w:rsidRPr="0082124C">
        <w:t>section 2</w:t>
      </w:r>
      <w:r w:rsidRPr="0082124C">
        <w:t>6(1) of that Act;</w:t>
      </w:r>
    </w:p>
    <w:p w14:paraId="6528982A" w14:textId="77777777" w:rsidR="00693CDD" w:rsidRPr="0082124C" w:rsidRDefault="00693CDD" w:rsidP="00693CDD">
      <w:pPr>
        <w:pStyle w:val="paragraph"/>
      </w:pPr>
      <w:r w:rsidRPr="0082124C">
        <w:tab/>
        <w:t>(c)</w:t>
      </w:r>
      <w:r w:rsidRPr="0082124C">
        <w:tab/>
        <w:t xml:space="preserve">a person appointed to act in a position mentioned in </w:t>
      </w:r>
      <w:r w:rsidR="00F579A2" w:rsidRPr="0082124C">
        <w:t>paragraph (</w:t>
      </w:r>
      <w:r w:rsidRPr="0082124C">
        <w:t>a) or (b).</w:t>
      </w:r>
    </w:p>
    <w:p w14:paraId="61626437" w14:textId="77777777" w:rsidR="007B4E77" w:rsidRPr="0082124C" w:rsidRDefault="007B4E77" w:rsidP="007B4E77">
      <w:pPr>
        <w:pStyle w:val="Definition"/>
      </w:pPr>
      <w:r w:rsidRPr="0082124C">
        <w:rPr>
          <w:b/>
          <w:i/>
        </w:rPr>
        <w:t>relevant period</w:t>
      </w:r>
      <w:r w:rsidRPr="0082124C">
        <w:t xml:space="preserve"> means a financial year starting on or after 1 July 2022.</w:t>
      </w:r>
    </w:p>
    <w:p w14:paraId="16AB6D79" w14:textId="77777777" w:rsidR="00693CDD" w:rsidRPr="0082124C" w:rsidRDefault="00693CDD" w:rsidP="00693CDD">
      <w:pPr>
        <w:pStyle w:val="Definition"/>
      </w:pPr>
      <w:r w:rsidRPr="0082124C">
        <w:rPr>
          <w:b/>
          <w:i/>
        </w:rPr>
        <w:t xml:space="preserve">Rules </w:t>
      </w:r>
      <w:r w:rsidRPr="0082124C">
        <w:t>means the Rules of Court made under section 86 of the Act.</w:t>
      </w:r>
    </w:p>
    <w:p w14:paraId="4993661E" w14:textId="77777777" w:rsidR="00693CDD" w:rsidRPr="0082124C" w:rsidRDefault="00693CDD" w:rsidP="00693CDD">
      <w:pPr>
        <w:pStyle w:val="subsection"/>
      </w:pPr>
      <w:r w:rsidRPr="0082124C">
        <w:tab/>
        <w:t>(2)</w:t>
      </w:r>
      <w:r w:rsidRPr="0082124C">
        <w:tab/>
        <w:t xml:space="preserve">A term or expression used in this </w:t>
      </w:r>
      <w:r w:rsidR="00685E3D" w:rsidRPr="0082124C">
        <w:t>instrument</w:t>
      </w:r>
      <w:r w:rsidRPr="0082124C">
        <w:t xml:space="preserve"> and in the Rules has the same meaning in this </w:t>
      </w:r>
      <w:r w:rsidR="00685E3D" w:rsidRPr="0082124C">
        <w:t>instrument</w:t>
      </w:r>
      <w:r w:rsidRPr="0082124C">
        <w:t xml:space="preserve"> as it has in the Rules.</w:t>
      </w:r>
    </w:p>
    <w:p w14:paraId="36C1585A" w14:textId="77777777" w:rsidR="00693CDD" w:rsidRPr="0082124C" w:rsidRDefault="00693CDD" w:rsidP="00693CDD">
      <w:pPr>
        <w:pStyle w:val="ActHead5"/>
      </w:pPr>
      <w:bookmarkStart w:id="7" w:name="_Toc113458340"/>
      <w:proofErr w:type="gramStart"/>
      <w:r w:rsidRPr="003F450F">
        <w:rPr>
          <w:rStyle w:val="CharSectno"/>
        </w:rPr>
        <w:t>4</w:t>
      </w:r>
      <w:r w:rsidRPr="0082124C">
        <w:t xml:space="preserve">  </w:t>
      </w:r>
      <w:r w:rsidR="006223DE" w:rsidRPr="0082124C">
        <w:t>Meaning</w:t>
      </w:r>
      <w:proofErr w:type="gramEnd"/>
      <w:r w:rsidRPr="0082124C">
        <w:t xml:space="preserve"> of </w:t>
      </w:r>
      <w:r w:rsidRPr="0082124C">
        <w:rPr>
          <w:i/>
        </w:rPr>
        <w:t>corporation</w:t>
      </w:r>
      <w:bookmarkEnd w:id="7"/>
    </w:p>
    <w:p w14:paraId="32674B2A" w14:textId="77777777" w:rsidR="00693CDD" w:rsidRPr="0082124C" w:rsidRDefault="00693CDD" w:rsidP="00693CDD">
      <w:pPr>
        <w:pStyle w:val="subsection"/>
      </w:pPr>
      <w:r w:rsidRPr="0082124C">
        <w:tab/>
        <w:t>(1)</w:t>
      </w:r>
      <w:r w:rsidRPr="0082124C">
        <w:tab/>
        <w:t xml:space="preserve">In this </w:t>
      </w:r>
      <w:r w:rsidR="00643004" w:rsidRPr="0082124C">
        <w:t>instrument</w:t>
      </w:r>
      <w:r w:rsidRPr="0082124C">
        <w:t xml:space="preserve">, </w:t>
      </w:r>
      <w:r w:rsidRPr="0082124C">
        <w:rPr>
          <w:b/>
          <w:i/>
        </w:rPr>
        <w:t xml:space="preserve">corporation </w:t>
      </w:r>
      <w:r w:rsidRPr="0082124C">
        <w:t>includes the following:</w:t>
      </w:r>
    </w:p>
    <w:p w14:paraId="3FBB5543" w14:textId="77777777" w:rsidR="00693CDD" w:rsidRPr="0082124C" w:rsidRDefault="00693CDD" w:rsidP="00693CDD">
      <w:pPr>
        <w:pStyle w:val="paragraph"/>
      </w:pPr>
      <w:r w:rsidRPr="0082124C">
        <w:tab/>
        <w:t>(a)</w:t>
      </w:r>
      <w:r w:rsidRPr="0082124C">
        <w:tab/>
        <w:t>a company;</w:t>
      </w:r>
    </w:p>
    <w:p w14:paraId="10C2BE5D" w14:textId="77777777" w:rsidR="00693CDD" w:rsidRPr="0082124C" w:rsidRDefault="00693CDD" w:rsidP="00693CDD">
      <w:pPr>
        <w:pStyle w:val="paragraph"/>
      </w:pPr>
      <w:r w:rsidRPr="0082124C">
        <w:tab/>
        <w:t>(b)</w:t>
      </w:r>
      <w:r w:rsidRPr="0082124C">
        <w:tab/>
        <w:t>a body corporate;</w:t>
      </w:r>
    </w:p>
    <w:p w14:paraId="1A0DB327" w14:textId="77777777" w:rsidR="00693CDD" w:rsidRPr="0082124C" w:rsidRDefault="00693CDD" w:rsidP="00693CDD">
      <w:pPr>
        <w:pStyle w:val="paragraph"/>
      </w:pPr>
      <w:r w:rsidRPr="0082124C">
        <w:tab/>
        <w:t>(c)</w:t>
      </w:r>
      <w:r w:rsidRPr="0082124C">
        <w:tab/>
        <w:t>an unincorporated body that, under the law of the place where the body is formed, may:</w:t>
      </w:r>
    </w:p>
    <w:p w14:paraId="1A9EAFF1" w14:textId="77777777" w:rsidR="00693CDD" w:rsidRPr="0082124C" w:rsidRDefault="00693CDD" w:rsidP="00693CDD">
      <w:pPr>
        <w:pStyle w:val="paragraphsub"/>
      </w:pPr>
      <w:r w:rsidRPr="0082124C">
        <w:tab/>
        <w:t>(</w:t>
      </w:r>
      <w:proofErr w:type="spellStart"/>
      <w:r w:rsidRPr="0082124C">
        <w:t>i</w:t>
      </w:r>
      <w:proofErr w:type="spellEnd"/>
      <w:r w:rsidRPr="0082124C">
        <w:t>)</w:t>
      </w:r>
      <w:r w:rsidRPr="0082124C">
        <w:tab/>
        <w:t>sue or be sued; or</w:t>
      </w:r>
    </w:p>
    <w:p w14:paraId="54D0830C" w14:textId="77777777" w:rsidR="00693CDD" w:rsidRPr="0082124C" w:rsidRDefault="00693CDD" w:rsidP="00693CDD">
      <w:pPr>
        <w:pStyle w:val="paragraphsub"/>
      </w:pPr>
      <w:r w:rsidRPr="0082124C">
        <w:tab/>
        <w:t>(ii)</w:t>
      </w:r>
      <w:r w:rsidRPr="0082124C">
        <w:tab/>
        <w:t>hold property in the name of the secretary of the body or an office holder of the body appointed for that purpose;</w:t>
      </w:r>
    </w:p>
    <w:p w14:paraId="5E403CAC" w14:textId="77777777" w:rsidR="00693CDD" w:rsidRPr="0082124C" w:rsidRDefault="00693CDD" w:rsidP="00693CDD">
      <w:pPr>
        <w:pStyle w:val="paragraph"/>
      </w:pPr>
      <w:r w:rsidRPr="0082124C">
        <w:tab/>
        <w:t>(d)</w:t>
      </w:r>
      <w:r w:rsidRPr="0082124C">
        <w:tab/>
        <w:t>a public authority;</w:t>
      </w:r>
    </w:p>
    <w:p w14:paraId="6164801A" w14:textId="77777777" w:rsidR="00693CDD" w:rsidRPr="0082124C" w:rsidRDefault="00693CDD" w:rsidP="00693CDD">
      <w:pPr>
        <w:pStyle w:val="paragraph"/>
      </w:pPr>
      <w:r w:rsidRPr="0082124C">
        <w:tab/>
        <w:t>(e)</w:t>
      </w:r>
      <w:r w:rsidRPr="0082124C">
        <w:tab/>
        <w:t xml:space="preserve">a corporation registered under the </w:t>
      </w:r>
      <w:r w:rsidRPr="0082124C">
        <w:rPr>
          <w:i/>
        </w:rPr>
        <w:t>Corporations (Aboriginal and Torres Strait Islander) Act 2006</w:t>
      </w:r>
      <w:r w:rsidRPr="0082124C">
        <w:t>;</w:t>
      </w:r>
    </w:p>
    <w:p w14:paraId="67935BAE" w14:textId="77777777" w:rsidR="00693CDD" w:rsidRPr="0082124C" w:rsidRDefault="00693CDD" w:rsidP="00693CDD">
      <w:pPr>
        <w:pStyle w:val="paragraph"/>
      </w:pPr>
      <w:r w:rsidRPr="0082124C">
        <w:tab/>
        <w:t>(f)</w:t>
      </w:r>
      <w:r w:rsidRPr="0082124C">
        <w:tab/>
        <w:t>a trade union.</w:t>
      </w:r>
    </w:p>
    <w:p w14:paraId="1B31142E" w14:textId="77777777" w:rsidR="00693CDD" w:rsidRPr="0082124C" w:rsidRDefault="00693CDD" w:rsidP="00693CDD">
      <w:pPr>
        <w:pStyle w:val="subsection"/>
      </w:pPr>
      <w:r w:rsidRPr="0082124C">
        <w:tab/>
        <w:t>(2)</w:t>
      </w:r>
      <w:r w:rsidRPr="0082124C">
        <w:tab/>
        <w:t xml:space="preserve">However, </w:t>
      </w:r>
      <w:r w:rsidRPr="0082124C">
        <w:rPr>
          <w:b/>
          <w:i/>
        </w:rPr>
        <w:t xml:space="preserve">corporation </w:t>
      </w:r>
      <w:r w:rsidRPr="0082124C">
        <w:t>does not include the following:</w:t>
      </w:r>
    </w:p>
    <w:p w14:paraId="44DFE6C0" w14:textId="77777777" w:rsidR="00693CDD" w:rsidRPr="0082124C" w:rsidRDefault="00693CDD" w:rsidP="00693CDD">
      <w:pPr>
        <w:pStyle w:val="paragraph"/>
      </w:pPr>
      <w:r w:rsidRPr="0082124C">
        <w:tab/>
        <w:t>(a)</w:t>
      </w:r>
      <w:r w:rsidRPr="0082124C">
        <w:tab/>
        <w:t>a corporation sole that is not a public authority;</w:t>
      </w:r>
    </w:p>
    <w:p w14:paraId="5CA43CDF" w14:textId="77777777" w:rsidR="00693CDD" w:rsidRPr="0082124C" w:rsidRDefault="00693CDD" w:rsidP="00693CDD">
      <w:pPr>
        <w:pStyle w:val="paragraph"/>
      </w:pPr>
      <w:r w:rsidRPr="0082124C">
        <w:tab/>
        <w:t>(b)</w:t>
      </w:r>
      <w:r w:rsidRPr="0082124C">
        <w:tab/>
        <w:t>a small business;</w:t>
      </w:r>
    </w:p>
    <w:p w14:paraId="23C03126" w14:textId="77777777" w:rsidR="00693CDD" w:rsidRPr="0082124C" w:rsidRDefault="00693CDD" w:rsidP="00693CDD">
      <w:pPr>
        <w:pStyle w:val="paragraph"/>
      </w:pPr>
      <w:r w:rsidRPr="0082124C">
        <w:tab/>
        <w:t>(c)</w:t>
      </w:r>
      <w:r w:rsidRPr="0082124C">
        <w:tab/>
        <w:t>an unincorporated not</w:t>
      </w:r>
      <w:r w:rsidR="0082124C">
        <w:noBreakHyphen/>
      </w:r>
      <w:r w:rsidRPr="0082124C">
        <w:t>for</w:t>
      </w:r>
      <w:r w:rsidR="0082124C">
        <w:noBreakHyphen/>
      </w:r>
      <w:r w:rsidRPr="0082124C">
        <w:t>profit association.</w:t>
      </w:r>
    </w:p>
    <w:p w14:paraId="1F2A3521" w14:textId="77777777" w:rsidR="00BD1A67" w:rsidRPr="0082124C" w:rsidRDefault="009548BC" w:rsidP="00BD1A67">
      <w:pPr>
        <w:pStyle w:val="subsection"/>
      </w:pPr>
      <w:r w:rsidRPr="0082124C">
        <w:tab/>
        <w:t>(</w:t>
      </w:r>
      <w:r w:rsidR="00BD1A67" w:rsidRPr="0082124C">
        <w:t>3</w:t>
      </w:r>
      <w:r w:rsidRPr="0082124C">
        <w:t>)</w:t>
      </w:r>
      <w:r w:rsidRPr="0082124C">
        <w:tab/>
      </w:r>
      <w:r w:rsidR="00BD1A67" w:rsidRPr="0082124C">
        <w:t xml:space="preserve">For </w:t>
      </w:r>
      <w:r w:rsidR="007F41AC" w:rsidRPr="0082124C">
        <w:t>paragraphs (</w:t>
      </w:r>
      <w:r w:rsidR="005D79D9" w:rsidRPr="0082124C">
        <w:t>1)(d) and</w:t>
      </w:r>
      <w:r w:rsidR="00564701" w:rsidRPr="0082124C">
        <w:t> (</w:t>
      </w:r>
      <w:r w:rsidR="00BD1A67" w:rsidRPr="0082124C">
        <w:t xml:space="preserve">2)(a), each of the following is a </w:t>
      </w:r>
      <w:r w:rsidR="00BD1A67" w:rsidRPr="0082124C">
        <w:rPr>
          <w:b/>
          <w:i/>
        </w:rPr>
        <w:t>public authority</w:t>
      </w:r>
      <w:r w:rsidR="00BD1A67" w:rsidRPr="0082124C">
        <w:t>:</w:t>
      </w:r>
    </w:p>
    <w:p w14:paraId="314500EA" w14:textId="77777777" w:rsidR="00BD1A67" w:rsidRPr="0082124C" w:rsidRDefault="00BD1A67" w:rsidP="00BD1A67">
      <w:pPr>
        <w:pStyle w:val="paragraph"/>
      </w:pPr>
      <w:r w:rsidRPr="0082124C">
        <w:tab/>
        <w:t>(a)</w:t>
      </w:r>
      <w:r w:rsidRPr="0082124C">
        <w:tab/>
        <w:t>a body or authority of the Commonwealth or of a State or Territory, including the following:</w:t>
      </w:r>
    </w:p>
    <w:p w14:paraId="3F40E740" w14:textId="77777777" w:rsidR="00BD1A67" w:rsidRPr="0082124C" w:rsidRDefault="00BD1A67" w:rsidP="00BD1A67">
      <w:pPr>
        <w:pStyle w:val="paragraphsub"/>
      </w:pPr>
      <w:r w:rsidRPr="0082124C">
        <w:tab/>
        <w:t>(</w:t>
      </w:r>
      <w:proofErr w:type="spellStart"/>
      <w:r w:rsidRPr="0082124C">
        <w:t>i</w:t>
      </w:r>
      <w:proofErr w:type="spellEnd"/>
      <w:r w:rsidRPr="0082124C">
        <w:t>)</w:t>
      </w:r>
      <w:r w:rsidRPr="0082124C">
        <w:tab/>
        <w:t>a Department of the Commonwealth or of a State or Territory;</w:t>
      </w:r>
    </w:p>
    <w:p w14:paraId="37F45EB6" w14:textId="77777777" w:rsidR="00BD1A67" w:rsidRPr="0082124C" w:rsidRDefault="00BD1A67" w:rsidP="00BD1A67">
      <w:pPr>
        <w:pStyle w:val="paragraphsub"/>
      </w:pPr>
      <w:r w:rsidRPr="0082124C">
        <w:lastRenderedPageBreak/>
        <w:tab/>
        <w:t>(ii)</w:t>
      </w:r>
      <w:r w:rsidRPr="0082124C">
        <w:tab/>
        <w:t xml:space="preserve">a Department of the Parliament established under the </w:t>
      </w:r>
      <w:r w:rsidRPr="0082124C">
        <w:rPr>
          <w:i/>
        </w:rPr>
        <w:t>Parliamentary Service Act 1999</w:t>
      </w:r>
      <w:r w:rsidRPr="0082124C">
        <w:t>, a Department of the Parliament of a State or a Department of the legislature of a Territory;</w:t>
      </w:r>
    </w:p>
    <w:p w14:paraId="34E24B80" w14:textId="77777777" w:rsidR="00BD1A67" w:rsidRPr="0082124C" w:rsidRDefault="00BD1A67" w:rsidP="00BD1A67">
      <w:pPr>
        <w:pStyle w:val="paragraphsub"/>
      </w:pPr>
      <w:r w:rsidRPr="0082124C">
        <w:tab/>
        <w:t>(iii)</w:t>
      </w:r>
      <w:r w:rsidRPr="0082124C">
        <w:tab/>
        <w:t>a</w:t>
      </w:r>
      <w:r w:rsidR="005D79D9" w:rsidRPr="0082124C">
        <w:t>ny other</w:t>
      </w:r>
      <w:r w:rsidRPr="0082124C">
        <w:t xml:space="preserve"> </w:t>
      </w:r>
      <w:r w:rsidR="00270B31" w:rsidRPr="0082124C">
        <w:t>non</w:t>
      </w:r>
      <w:r w:rsidR="0082124C">
        <w:noBreakHyphen/>
      </w:r>
      <w:r w:rsidR="00270B31" w:rsidRPr="0082124C">
        <w:t xml:space="preserve">corporate </w:t>
      </w:r>
      <w:r w:rsidRPr="0082124C">
        <w:t xml:space="preserve">Commonwealth entity within the meaning of the </w:t>
      </w:r>
      <w:r w:rsidRPr="0082124C">
        <w:rPr>
          <w:i/>
        </w:rPr>
        <w:t>Public Governance, Performance and Accountability Act 2013</w:t>
      </w:r>
      <w:r w:rsidRPr="0082124C">
        <w:t>;</w:t>
      </w:r>
    </w:p>
    <w:p w14:paraId="6877501A" w14:textId="77777777" w:rsidR="00BD1A67" w:rsidRPr="0082124C" w:rsidRDefault="00BD1A67" w:rsidP="00BD1A67">
      <w:pPr>
        <w:pStyle w:val="paragraph"/>
      </w:pPr>
      <w:r w:rsidRPr="0082124C">
        <w:tab/>
        <w:t>(b)</w:t>
      </w:r>
      <w:r w:rsidRPr="0082124C">
        <w:tab/>
        <w:t>a person representing a body or authority of the Commonwealth or of a State or Territory;</w:t>
      </w:r>
    </w:p>
    <w:p w14:paraId="4448F725" w14:textId="77777777" w:rsidR="00BD1A67" w:rsidRPr="0082124C" w:rsidRDefault="00BD1A67" w:rsidP="00BD1A67">
      <w:pPr>
        <w:pStyle w:val="paragraph"/>
      </w:pPr>
      <w:r w:rsidRPr="0082124C">
        <w:tab/>
        <w:t>(c)</w:t>
      </w:r>
      <w:r w:rsidRPr="0082124C">
        <w:tab/>
        <w:t>a Minister for the Commonwealth or for a State or Territory;</w:t>
      </w:r>
    </w:p>
    <w:p w14:paraId="3E3E3064" w14:textId="77777777" w:rsidR="00BD1A67" w:rsidRPr="0082124C" w:rsidRDefault="00BD1A67" w:rsidP="00BD1A67">
      <w:pPr>
        <w:pStyle w:val="paragraph"/>
      </w:pPr>
      <w:r w:rsidRPr="0082124C">
        <w:tab/>
        <w:t>(d)</w:t>
      </w:r>
      <w:r w:rsidRPr="0082124C">
        <w:tab/>
        <w:t>a statutory office holder.</w:t>
      </w:r>
    </w:p>
    <w:p w14:paraId="72D34005" w14:textId="77777777" w:rsidR="00BD1A67" w:rsidRPr="0082124C" w:rsidRDefault="00BD1A67" w:rsidP="00BD1A67">
      <w:pPr>
        <w:pStyle w:val="subsection"/>
      </w:pPr>
      <w:r w:rsidRPr="0082124C">
        <w:tab/>
        <w:t>(4)</w:t>
      </w:r>
      <w:r w:rsidRPr="0082124C">
        <w:tab/>
        <w:t xml:space="preserve">For </w:t>
      </w:r>
      <w:r w:rsidR="00F579A2" w:rsidRPr="0082124C">
        <w:t>paragraph (</w:t>
      </w:r>
      <w:r w:rsidRPr="0082124C">
        <w:t xml:space="preserve">2)(b), a </w:t>
      </w:r>
      <w:r w:rsidRPr="0082124C">
        <w:rPr>
          <w:b/>
          <w:i/>
        </w:rPr>
        <w:t xml:space="preserve">small business </w:t>
      </w:r>
      <w:r w:rsidRPr="0082124C">
        <w:t>is a business with:</w:t>
      </w:r>
    </w:p>
    <w:p w14:paraId="2D4BFBE6" w14:textId="77777777" w:rsidR="00BD1A67" w:rsidRPr="0082124C" w:rsidRDefault="00BD1A67" w:rsidP="00BD1A67">
      <w:pPr>
        <w:pStyle w:val="paragraph"/>
      </w:pPr>
      <w:r w:rsidRPr="0082124C">
        <w:tab/>
        <w:t>(a)</w:t>
      </w:r>
      <w:r w:rsidRPr="0082124C">
        <w:tab/>
        <w:t>no more than 19 employees; and</w:t>
      </w:r>
    </w:p>
    <w:p w14:paraId="570B789A" w14:textId="77777777" w:rsidR="00BD1A67" w:rsidRPr="0082124C" w:rsidRDefault="00BD1A67" w:rsidP="00BD1A67">
      <w:pPr>
        <w:pStyle w:val="paragraph"/>
      </w:pPr>
      <w:r w:rsidRPr="0082124C">
        <w:tab/>
        <w:t>(b)</w:t>
      </w:r>
      <w:r w:rsidRPr="0082124C">
        <w:tab/>
        <w:t>a total turnover of less than $2 million each year.</w:t>
      </w:r>
    </w:p>
    <w:p w14:paraId="6E1E81D0" w14:textId="77777777" w:rsidR="00BF1C4D" w:rsidRPr="0082124C" w:rsidRDefault="00BD1A67" w:rsidP="00BD1A67">
      <w:pPr>
        <w:pStyle w:val="subsection"/>
      </w:pPr>
      <w:r w:rsidRPr="0082124C">
        <w:tab/>
        <w:t>(5)</w:t>
      </w:r>
      <w:r w:rsidRPr="0082124C">
        <w:tab/>
      </w:r>
      <w:r w:rsidR="00882CE3" w:rsidRPr="0082124C">
        <w:t xml:space="preserve">For </w:t>
      </w:r>
      <w:r w:rsidR="00F579A2" w:rsidRPr="0082124C">
        <w:t>paragraph (</w:t>
      </w:r>
      <w:r w:rsidR="00882CE3" w:rsidRPr="0082124C">
        <w:t xml:space="preserve">2)(c), a </w:t>
      </w:r>
      <w:r w:rsidR="00BF1C4D" w:rsidRPr="0082124C">
        <w:rPr>
          <w:b/>
          <w:i/>
        </w:rPr>
        <w:t>not</w:t>
      </w:r>
      <w:r w:rsidR="0082124C">
        <w:rPr>
          <w:b/>
          <w:i/>
        </w:rPr>
        <w:noBreakHyphen/>
      </w:r>
      <w:r w:rsidR="00BF1C4D" w:rsidRPr="0082124C">
        <w:rPr>
          <w:b/>
          <w:i/>
        </w:rPr>
        <w:t>for</w:t>
      </w:r>
      <w:r w:rsidR="0082124C">
        <w:rPr>
          <w:b/>
          <w:i/>
        </w:rPr>
        <w:noBreakHyphen/>
      </w:r>
      <w:r w:rsidR="00BF1C4D" w:rsidRPr="0082124C">
        <w:rPr>
          <w:b/>
          <w:i/>
        </w:rPr>
        <w:t xml:space="preserve">profit association </w:t>
      </w:r>
      <w:r w:rsidRPr="0082124C">
        <w:t>is</w:t>
      </w:r>
      <w:r w:rsidR="00BF1C4D" w:rsidRPr="0082124C">
        <w:t xml:space="preserve"> a society, club, institution or body that is not formed for the purpose of trading or securing pecuniary profit from its transactions for its members.</w:t>
      </w:r>
    </w:p>
    <w:p w14:paraId="2366E88C" w14:textId="77777777" w:rsidR="00BD1A67" w:rsidRPr="0082124C" w:rsidRDefault="00BD1A67" w:rsidP="00BD1A67">
      <w:pPr>
        <w:pStyle w:val="subsection"/>
      </w:pPr>
      <w:r w:rsidRPr="0082124C">
        <w:tab/>
        <w:t>(6)</w:t>
      </w:r>
      <w:r w:rsidRPr="0082124C">
        <w:tab/>
        <w:t xml:space="preserve">A corporation is not required to be subject to the </w:t>
      </w:r>
      <w:r w:rsidRPr="0082124C">
        <w:rPr>
          <w:i/>
        </w:rPr>
        <w:t>Corporations Act 2001</w:t>
      </w:r>
      <w:r w:rsidRPr="0082124C">
        <w:t xml:space="preserve"> to be a corporation for the purposes of this instrument.</w:t>
      </w:r>
    </w:p>
    <w:p w14:paraId="3DF4108F" w14:textId="77777777" w:rsidR="00693CDD" w:rsidRPr="0082124C" w:rsidRDefault="00564701" w:rsidP="005D0AC5">
      <w:pPr>
        <w:pStyle w:val="ActHead2"/>
        <w:pageBreakBefore/>
      </w:pPr>
      <w:bookmarkStart w:id="8" w:name="_Toc113458341"/>
      <w:r w:rsidRPr="003F450F">
        <w:rPr>
          <w:rStyle w:val="CharPartNo"/>
        </w:rPr>
        <w:lastRenderedPageBreak/>
        <w:t>Part 2</w:t>
      </w:r>
      <w:r w:rsidR="00693CDD" w:rsidRPr="0082124C">
        <w:t>—</w:t>
      </w:r>
      <w:r w:rsidR="00693CDD" w:rsidRPr="003F450F">
        <w:rPr>
          <w:rStyle w:val="CharPartText"/>
        </w:rPr>
        <w:t>Fees</w:t>
      </w:r>
      <w:bookmarkEnd w:id="8"/>
    </w:p>
    <w:p w14:paraId="572C25A6" w14:textId="77777777" w:rsidR="00693CDD" w:rsidRPr="0082124C" w:rsidRDefault="00564701" w:rsidP="00693CDD">
      <w:pPr>
        <w:pStyle w:val="ActHead3"/>
      </w:pPr>
      <w:bookmarkStart w:id="9" w:name="_Toc113458342"/>
      <w:r w:rsidRPr="003F450F">
        <w:rPr>
          <w:rStyle w:val="CharDivNo"/>
        </w:rPr>
        <w:t>Division 2</w:t>
      </w:r>
      <w:r w:rsidR="00693CDD" w:rsidRPr="003F450F">
        <w:rPr>
          <w:rStyle w:val="CharDivNo"/>
        </w:rPr>
        <w:t>.1</w:t>
      </w:r>
      <w:r w:rsidR="00693CDD" w:rsidRPr="0082124C">
        <w:t>—</w:t>
      </w:r>
      <w:r w:rsidR="00F2662B" w:rsidRPr="003F450F">
        <w:rPr>
          <w:rStyle w:val="CharDivText"/>
        </w:rPr>
        <w:t>G</w:t>
      </w:r>
      <w:r w:rsidR="00693CDD" w:rsidRPr="003F450F">
        <w:rPr>
          <w:rStyle w:val="CharDivText"/>
        </w:rPr>
        <w:t>eneral</w:t>
      </w:r>
      <w:bookmarkEnd w:id="9"/>
    </w:p>
    <w:p w14:paraId="53AD3A21" w14:textId="77777777" w:rsidR="00693CDD" w:rsidRPr="0082124C" w:rsidRDefault="00693CDD" w:rsidP="00693CDD">
      <w:pPr>
        <w:pStyle w:val="ActHead5"/>
      </w:pPr>
      <w:bookmarkStart w:id="10" w:name="_Toc113458343"/>
      <w:proofErr w:type="gramStart"/>
      <w:r w:rsidRPr="003F450F">
        <w:rPr>
          <w:rStyle w:val="CharSectno"/>
        </w:rPr>
        <w:t>6</w:t>
      </w:r>
      <w:r w:rsidRPr="0082124C">
        <w:t xml:space="preserve">  Purpose</w:t>
      </w:r>
      <w:proofErr w:type="gramEnd"/>
      <w:r w:rsidRPr="0082124C">
        <w:t xml:space="preserve"> of Part</w:t>
      </w:r>
      <w:bookmarkEnd w:id="10"/>
    </w:p>
    <w:p w14:paraId="379BE240" w14:textId="77777777" w:rsidR="00693CDD" w:rsidRPr="0082124C" w:rsidRDefault="00693CDD" w:rsidP="00693CDD">
      <w:pPr>
        <w:pStyle w:val="subsection"/>
      </w:pPr>
      <w:r w:rsidRPr="0082124C">
        <w:tab/>
      </w:r>
      <w:r w:rsidRPr="0082124C">
        <w:tab/>
        <w:t xml:space="preserve">For </w:t>
      </w:r>
      <w:r w:rsidR="00337945" w:rsidRPr="0082124C">
        <w:t>the purposes of section</w:t>
      </w:r>
      <w:r w:rsidRPr="0082124C">
        <w:t> 88 of the Act, this Part sets out matters relating to fees.</w:t>
      </w:r>
    </w:p>
    <w:p w14:paraId="7243780E" w14:textId="77777777" w:rsidR="00693CDD" w:rsidRPr="0082124C" w:rsidRDefault="00693CDD" w:rsidP="00693CDD">
      <w:pPr>
        <w:pStyle w:val="ActHead5"/>
      </w:pPr>
      <w:bookmarkStart w:id="11" w:name="_Toc113458344"/>
      <w:proofErr w:type="gramStart"/>
      <w:r w:rsidRPr="003F450F">
        <w:rPr>
          <w:rStyle w:val="CharSectno"/>
        </w:rPr>
        <w:t>7</w:t>
      </w:r>
      <w:r w:rsidRPr="0082124C">
        <w:t xml:space="preserve">  Fees</w:t>
      </w:r>
      <w:bookmarkEnd w:id="11"/>
      <w:proofErr w:type="gramEnd"/>
    </w:p>
    <w:p w14:paraId="2161A3E1" w14:textId="77777777" w:rsidR="00693CDD" w:rsidRPr="0082124C" w:rsidRDefault="00693CDD" w:rsidP="00693CDD">
      <w:pPr>
        <w:pStyle w:val="subsection"/>
      </w:pPr>
      <w:r w:rsidRPr="0082124C">
        <w:tab/>
        <w:t>(1)</w:t>
      </w:r>
      <w:r w:rsidRPr="0082124C">
        <w:tab/>
      </w:r>
      <w:r w:rsidR="007F41AC" w:rsidRPr="0082124C">
        <w:t>Schedule 1</w:t>
      </w:r>
      <w:r w:rsidRPr="0082124C">
        <w:t xml:space="preserve"> sets out the fees payable for the following:</w:t>
      </w:r>
    </w:p>
    <w:p w14:paraId="39D8ACB4" w14:textId="77777777" w:rsidR="00693CDD" w:rsidRPr="0082124C" w:rsidRDefault="00693CDD" w:rsidP="00693CDD">
      <w:pPr>
        <w:pStyle w:val="paragraph"/>
      </w:pPr>
      <w:r w:rsidRPr="0082124C">
        <w:tab/>
        <w:t>(a)</w:t>
      </w:r>
      <w:r w:rsidRPr="0082124C">
        <w:tab/>
        <w:t>the filing of a document;</w:t>
      </w:r>
    </w:p>
    <w:p w14:paraId="4866578C" w14:textId="77777777" w:rsidR="00693CDD" w:rsidRPr="0082124C" w:rsidRDefault="00693CDD" w:rsidP="00693CDD">
      <w:pPr>
        <w:pStyle w:val="paragraph"/>
      </w:pPr>
      <w:r w:rsidRPr="0082124C">
        <w:tab/>
        <w:t>(b)</w:t>
      </w:r>
      <w:r w:rsidRPr="0082124C">
        <w:tab/>
        <w:t>a hearing before the Full Court or a single Justice</w:t>
      </w:r>
      <w:r w:rsidR="002E733B" w:rsidRPr="0082124C">
        <w:t xml:space="preserve"> of the Court</w:t>
      </w:r>
      <w:r w:rsidRPr="0082124C">
        <w:t>;</w:t>
      </w:r>
    </w:p>
    <w:p w14:paraId="19396DC1" w14:textId="77777777" w:rsidR="00693CDD" w:rsidRPr="0082124C" w:rsidRDefault="00693CDD" w:rsidP="00693CDD">
      <w:pPr>
        <w:pStyle w:val="paragraph"/>
      </w:pPr>
      <w:r w:rsidRPr="0082124C">
        <w:tab/>
        <w:t>(c)</w:t>
      </w:r>
      <w:r w:rsidRPr="0082124C">
        <w:tab/>
        <w:t>obtaining a document;</w:t>
      </w:r>
    </w:p>
    <w:p w14:paraId="4B343B10" w14:textId="77777777" w:rsidR="00693CDD" w:rsidRPr="0082124C" w:rsidRDefault="00693CDD" w:rsidP="00693CDD">
      <w:pPr>
        <w:pStyle w:val="paragraph"/>
      </w:pPr>
      <w:r w:rsidRPr="0082124C">
        <w:tab/>
        <w:t>(d)</w:t>
      </w:r>
      <w:r w:rsidRPr="0082124C">
        <w:tab/>
        <w:t>the provision of a service.</w:t>
      </w:r>
    </w:p>
    <w:p w14:paraId="2DCAA643" w14:textId="77777777" w:rsidR="00693CDD" w:rsidRPr="0082124C" w:rsidRDefault="00693CDD" w:rsidP="00693CDD">
      <w:pPr>
        <w:pStyle w:val="notetext"/>
      </w:pPr>
      <w:r w:rsidRPr="0082124C">
        <w:t xml:space="preserve">Note </w:t>
      </w:r>
      <w:r w:rsidR="007C5304" w:rsidRPr="0082124C">
        <w:t>1</w:t>
      </w:r>
      <w:r w:rsidRPr="0082124C">
        <w:t>:</w:t>
      </w:r>
      <w:r w:rsidRPr="0082124C">
        <w:tab/>
        <w:t xml:space="preserve">Fees are subject to increase under </w:t>
      </w:r>
      <w:r w:rsidR="003D1A86" w:rsidRPr="0082124C">
        <w:t>section 1</w:t>
      </w:r>
      <w:r w:rsidRPr="0082124C">
        <w:t>6.</w:t>
      </w:r>
    </w:p>
    <w:p w14:paraId="52591CD3" w14:textId="77777777" w:rsidR="00693CDD" w:rsidRPr="0082124C" w:rsidRDefault="00693CDD" w:rsidP="00693CDD">
      <w:pPr>
        <w:pStyle w:val="notetext"/>
      </w:pPr>
      <w:r w:rsidRPr="0082124C">
        <w:t>Note 2:</w:t>
      </w:r>
      <w:r w:rsidRPr="0082124C">
        <w:tab/>
        <w:t xml:space="preserve">Fees are not payable in some circumstances: see </w:t>
      </w:r>
      <w:r w:rsidR="003D1A86" w:rsidRPr="0082124C">
        <w:t>section 1</w:t>
      </w:r>
      <w:r w:rsidRPr="0082124C">
        <w:t>0.</w:t>
      </w:r>
    </w:p>
    <w:p w14:paraId="3FB3A53E" w14:textId="77777777" w:rsidR="00693CDD" w:rsidRPr="0082124C" w:rsidRDefault="00693CDD" w:rsidP="00693CDD">
      <w:pPr>
        <w:pStyle w:val="subsection"/>
      </w:pPr>
      <w:r w:rsidRPr="0082124C">
        <w:tab/>
        <w:t>(2)</w:t>
      </w:r>
      <w:r w:rsidRPr="0082124C">
        <w:tab/>
        <w:t xml:space="preserve">If the person liable to pay a fee mentioned in an item in </w:t>
      </w:r>
      <w:r w:rsidR="007F41AC" w:rsidRPr="0082124C">
        <w:t>Schedule 1</w:t>
      </w:r>
      <w:r w:rsidRPr="0082124C">
        <w:t xml:space="preserve"> (or, if more than one person is liable, any of those persons) is a corporation, the fee payable is:</w:t>
      </w:r>
    </w:p>
    <w:p w14:paraId="69D70626" w14:textId="77777777" w:rsidR="00693CDD" w:rsidRPr="0082124C" w:rsidRDefault="00693CDD" w:rsidP="00693CDD">
      <w:pPr>
        <w:pStyle w:val="paragraph"/>
      </w:pPr>
      <w:r w:rsidRPr="0082124C">
        <w:tab/>
        <w:t>(a)</w:t>
      </w:r>
      <w:r w:rsidRPr="0082124C">
        <w:tab/>
        <w:t>if the corporation is a publicly listed company—the fee mentioned in the item for a publicly listed company; or</w:t>
      </w:r>
    </w:p>
    <w:p w14:paraId="7913DCB5" w14:textId="77777777" w:rsidR="00693CDD" w:rsidRPr="0082124C" w:rsidRDefault="00693CDD" w:rsidP="00693CDD">
      <w:pPr>
        <w:pStyle w:val="paragraph"/>
      </w:pPr>
      <w:r w:rsidRPr="0082124C">
        <w:tab/>
        <w:t>(b)</w:t>
      </w:r>
      <w:r w:rsidRPr="0082124C">
        <w:tab/>
        <w:t>if the corporation is not a publicly listed company—the fee mentioned in the item for a corporation; or</w:t>
      </w:r>
    </w:p>
    <w:p w14:paraId="0A070418" w14:textId="77777777" w:rsidR="00693CDD" w:rsidRPr="0082124C" w:rsidRDefault="00693CDD" w:rsidP="00693CDD">
      <w:pPr>
        <w:pStyle w:val="paragraph"/>
      </w:pPr>
      <w:r w:rsidRPr="0082124C">
        <w:tab/>
        <w:t>(c)</w:t>
      </w:r>
      <w:r w:rsidRPr="0082124C">
        <w:tab/>
        <w:t>if no fee is mentioned in the item specifically for a corporation or a publicly listed company—the fee mentioned in the item.</w:t>
      </w:r>
    </w:p>
    <w:p w14:paraId="4A34B568" w14:textId="77777777" w:rsidR="00693CDD" w:rsidRPr="0082124C" w:rsidRDefault="00693CDD" w:rsidP="00693CDD">
      <w:pPr>
        <w:pStyle w:val="subsection"/>
      </w:pPr>
      <w:r w:rsidRPr="0082124C">
        <w:tab/>
        <w:t>(3)</w:t>
      </w:r>
      <w:r w:rsidRPr="0082124C">
        <w:tab/>
        <w:t>However, if:</w:t>
      </w:r>
    </w:p>
    <w:p w14:paraId="63202275" w14:textId="77777777" w:rsidR="00693CDD" w:rsidRPr="0082124C" w:rsidRDefault="00693CDD" w:rsidP="00693CDD">
      <w:pPr>
        <w:pStyle w:val="paragraph"/>
      </w:pPr>
      <w:r w:rsidRPr="0082124C">
        <w:tab/>
        <w:t>(a)</w:t>
      </w:r>
      <w:r w:rsidRPr="0082124C">
        <w:tab/>
        <w:t xml:space="preserve">under </w:t>
      </w:r>
      <w:r w:rsidR="00564701" w:rsidRPr="0082124C">
        <w:t>Division 2</w:t>
      </w:r>
      <w:r w:rsidRPr="0082124C">
        <w:t xml:space="preserve">.2, a particular fee mentioned in an item in </w:t>
      </w:r>
      <w:r w:rsidR="007F41AC" w:rsidRPr="0082124C">
        <w:t>Schedule 1</w:t>
      </w:r>
      <w:r w:rsidRPr="0082124C">
        <w:t xml:space="preserve"> is payable by more than one person; and</w:t>
      </w:r>
    </w:p>
    <w:p w14:paraId="62D6CDE0" w14:textId="77777777" w:rsidR="00693CDD" w:rsidRPr="0082124C" w:rsidRDefault="00693CDD" w:rsidP="00693CDD">
      <w:pPr>
        <w:pStyle w:val="paragraph"/>
      </w:pPr>
      <w:r w:rsidRPr="0082124C">
        <w:tab/>
        <w:t>(b)</w:t>
      </w:r>
      <w:r w:rsidRPr="0082124C">
        <w:tab/>
        <w:t xml:space="preserve">the item mentions different fees for a publicly listed company, another corporation and another person (the </w:t>
      </w:r>
      <w:r w:rsidRPr="0082124C">
        <w:rPr>
          <w:b/>
          <w:i/>
        </w:rPr>
        <w:t>different persons</w:t>
      </w:r>
      <w:r w:rsidRPr="0082124C">
        <w:t>); and</w:t>
      </w:r>
    </w:p>
    <w:p w14:paraId="65A4EF60" w14:textId="77777777" w:rsidR="00693CDD" w:rsidRPr="0082124C" w:rsidRDefault="00693CDD" w:rsidP="00693CDD">
      <w:pPr>
        <w:pStyle w:val="paragraph"/>
      </w:pPr>
      <w:r w:rsidRPr="0082124C">
        <w:tab/>
        <w:t>(c)</w:t>
      </w:r>
      <w:r w:rsidRPr="0082124C">
        <w:tab/>
        <w:t xml:space="preserve">at least 2 of the persons mentioned in </w:t>
      </w:r>
      <w:r w:rsidR="00F579A2" w:rsidRPr="0082124C">
        <w:t>paragraph (</w:t>
      </w:r>
      <w:r w:rsidRPr="0082124C">
        <w:t>a) are different persons;</w:t>
      </w:r>
    </w:p>
    <w:p w14:paraId="03803063" w14:textId="77777777" w:rsidR="00693CDD" w:rsidRPr="0082124C" w:rsidRDefault="00693CDD" w:rsidP="00693CDD">
      <w:pPr>
        <w:pStyle w:val="subsection2"/>
      </w:pPr>
      <w:r w:rsidRPr="0082124C">
        <w:t>the only fee that is payable in relation to that particular fee is the highest fee that applies to any of those persons.</w:t>
      </w:r>
    </w:p>
    <w:p w14:paraId="67CCF8C4" w14:textId="77777777" w:rsidR="00693CDD" w:rsidRPr="0082124C" w:rsidRDefault="00564701" w:rsidP="002271D0">
      <w:pPr>
        <w:pStyle w:val="ActHead3"/>
        <w:pageBreakBefore/>
      </w:pPr>
      <w:bookmarkStart w:id="12" w:name="_Toc113458345"/>
      <w:r w:rsidRPr="003F450F">
        <w:rPr>
          <w:rStyle w:val="CharDivNo"/>
        </w:rPr>
        <w:lastRenderedPageBreak/>
        <w:t>Division 2</w:t>
      </w:r>
      <w:r w:rsidR="00693CDD" w:rsidRPr="003F450F">
        <w:rPr>
          <w:rStyle w:val="CharDivNo"/>
        </w:rPr>
        <w:t>.2</w:t>
      </w:r>
      <w:r w:rsidR="00693CDD" w:rsidRPr="0082124C">
        <w:t>—</w:t>
      </w:r>
      <w:r w:rsidR="00693CDD" w:rsidRPr="003F450F">
        <w:rPr>
          <w:rStyle w:val="CharDivText"/>
        </w:rPr>
        <w:t>Liability to pay fee</w:t>
      </w:r>
      <w:r w:rsidR="00523C25" w:rsidRPr="003F450F">
        <w:rPr>
          <w:rStyle w:val="CharDivText"/>
        </w:rPr>
        <w:t>s</w:t>
      </w:r>
      <w:bookmarkEnd w:id="12"/>
    </w:p>
    <w:p w14:paraId="3D7056E3" w14:textId="77777777" w:rsidR="00693CDD" w:rsidRPr="0082124C" w:rsidRDefault="00693CDD" w:rsidP="00693CDD">
      <w:pPr>
        <w:pStyle w:val="ActHead5"/>
      </w:pPr>
      <w:bookmarkStart w:id="13" w:name="_Toc113458346"/>
      <w:proofErr w:type="gramStart"/>
      <w:r w:rsidRPr="003F450F">
        <w:rPr>
          <w:rStyle w:val="CharSectno"/>
        </w:rPr>
        <w:t>8</w:t>
      </w:r>
      <w:r w:rsidRPr="0082124C">
        <w:t xml:space="preserve">  </w:t>
      </w:r>
      <w:r w:rsidR="007F7057" w:rsidRPr="0082124C">
        <w:t>Persons</w:t>
      </w:r>
      <w:proofErr w:type="gramEnd"/>
      <w:r w:rsidR="007F7057" w:rsidRPr="0082124C">
        <w:t xml:space="preserve"> liable to pay fees</w:t>
      </w:r>
      <w:bookmarkEnd w:id="13"/>
    </w:p>
    <w:p w14:paraId="19C21A95" w14:textId="77777777" w:rsidR="00693CDD" w:rsidRPr="0082124C" w:rsidRDefault="00693CDD" w:rsidP="00693CDD">
      <w:pPr>
        <w:pStyle w:val="subsection"/>
      </w:pPr>
      <w:r w:rsidRPr="0082124C">
        <w:tab/>
        <w:t>(1)</w:t>
      </w:r>
      <w:r w:rsidRPr="0082124C">
        <w:tab/>
        <w:t xml:space="preserve">A fee </w:t>
      </w:r>
      <w:r w:rsidR="007F7057" w:rsidRPr="0082124C">
        <w:t xml:space="preserve">in relation to a proceeding in the Court </w:t>
      </w:r>
      <w:r w:rsidRPr="0082124C">
        <w:t>is payable as set out in this section, unless the Court, a Justice of the Court or a Registrar directs otherwise.</w:t>
      </w:r>
    </w:p>
    <w:p w14:paraId="468290FB" w14:textId="77777777" w:rsidR="00B33BAD" w:rsidRPr="0082124C" w:rsidRDefault="00B33BAD" w:rsidP="00B33BAD">
      <w:pPr>
        <w:pStyle w:val="SubsectionHead"/>
      </w:pPr>
      <w:r w:rsidRPr="0082124C">
        <w:t>Filing fee</w:t>
      </w:r>
    </w:p>
    <w:p w14:paraId="1A00D8A2" w14:textId="77777777" w:rsidR="00B33BAD" w:rsidRPr="0082124C" w:rsidRDefault="00693CDD" w:rsidP="00B33BAD">
      <w:pPr>
        <w:pStyle w:val="subsection"/>
      </w:pPr>
      <w:r w:rsidRPr="0082124C">
        <w:tab/>
        <w:t>(2)</w:t>
      </w:r>
      <w:r w:rsidRPr="0082124C">
        <w:tab/>
        <w:t>A filing fee is payable</w:t>
      </w:r>
      <w:r w:rsidR="00B33BAD" w:rsidRPr="0082124C">
        <w:t xml:space="preserve"> </w:t>
      </w:r>
      <w:r w:rsidRPr="0082124C">
        <w:t xml:space="preserve">by the person for whom the </w:t>
      </w:r>
      <w:r w:rsidR="00B33BAD" w:rsidRPr="0082124C">
        <w:t xml:space="preserve">relevant </w:t>
      </w:r>
      <w:r w:rsidRPr="0082124C">
        <w:t>document is filed</w:t>
      </w:r>
      <w:r w:rsidR="00B33BAD" w:rsidRPr="0082124C">
        <w:t>.</w:t>
      </w:r>
    </w:p>
    <w:p w14:paraId="2D838476" w14:textId="77777777" w:rsidR="00B33BAD" w:rsidRPr="0082124C" w:rsidRDefault="00B33BAD" w:rsidP="00B33BAD">
      <w:pPr>
        <w:pStyle w:val="SubsectionHead"/>
      </w:pPr>
      <w:r w:rsidRPr="0082124C">
        <w:t>Hearing fee</w:t>
      </w:r>
    </w:p>
    <w:p w14:paraId="297D72E4" w14:textId="77777777" w:rsidR="002E733B" w:rsidRPr="0082124C" w:rsidRDefault="00B33BAD" w:rsidP="00B33BAD">
      <w:pPr>
        <w:pStyle w:val="subsection"/>
      </w:pPr>
      <w:r w:rsidRPr="0082124C">
        <w:tab/>
        <w:t>(3)</w:t>
      </w:r>
      <w:r w:rsidRPr="0082124C">
        <w:tab/>
        <w:t xml:space="preserve">A hearing fee in relation to a proceeding </w:t>
      </w:r>
      <w:r w:rsidR="002E733B" w:rsidRPr="0082124C">
        <w:t>is payable by</w:t>
      </w:r>
      <w:r w:rsidR="00BA7D0E" w:rsidRPr="0082124C">
        <w:t xml:space="preserve"> the person who commences the proceeding.</w:t>
      </w:r>
    </w:p>
    <w:p w14:paraId="4CAD6E5E" w14:textId="77777777" w:rsidR="00BA7D0E" w:rsidRPr="0082124C" w:rsidRDefault="00BA7D0E" w:rsidP="00B33BAD">
      <w:pPr>
        <w:pStyle w:val="subsection"/>
      </w:pPr>
      <w:r w:rsidRPr="0082124C">
        <w:tab/>
        <w:t>(4)</w:t>
      </w:r>
      <w:r w:rsidRPr="0082124C">
        <w:tab/>
        <w:t xml:space="preserve">A hearing fee </w:t>
      </w:r>
      <w:r w:rsidR="00BA2E1A" w:rsidRPr="0082124C">
        <w:t xml:space="preserve">mentioned in </w:t>
      </w:r>
      <w:r w:rsidR="007F41AC" w:rsidRPr="0082124C">
        <w:t>item 1</w:t>
      </w:r>
      <w:r w:rsidR="00BA2E1A" w:rsidRPr="0082124C">
        <w:t xml:space="preserve">11 of </w:t>
      </w:r>
      <w:r w:rsidR="007F41AC" w:rsidRPr="0082124C">
        <w:t>Schedule 1</w:t>
      </w:r>
      <w:r w:rsidR="00BA2E1A" w:rsidRPr="0082124C">
        <w:t xml:space="preserve"> </w:t>
      </w:r>
      <w:r w:rsidRPr="0082124C">
        <w:t xml:space="preserve">in relation </w:t>
      </w:r>
      <w:r w:rsidR="000476FB" w:rsidRPr="0082124C">
        <w:t xml:space="preserve">to </w:t>
      </w:r>
      <w:r w:rsidR="005D6203" w:rsidRPr="0082124C">
        <w:t xml:space="preserve">a proceeding that is </w:t>
      </w:r>
      <w:r w:rsidRPr="0082124C">
        <w:t xml:space="preserve">an </w:t>
      </w:r>
      <w:r w:rsidR="005D6203" w:rsidRPr="0082124C">
        <w:t>interlocutory</w:t>
      </w:r>
      <w:r w:rsidRPr="0082124C">
        <w:t xml:space="preserve"> proceeding is payable by the person who commences the </w:t>
      </w:r>
      <w:r w:rsidR="005D6203" w:rsidRPr="0082124C">
        <w:t>interlocutory</w:t>
      </w:r>
      <w:r w:rsidRPr="0082124C">
        <w:t xml:space="preserve"> proceeding.</w:t>
      </w:r>
    </w:p>
    <w:p w14:paraId="346FE850" w14:textId="77777777" w:rsidR="00B33BAD" w:rsidRPr="0082124C" w:rsidRDefault="00B33BAD" w:rsidP="00B33BAD">
      <w:pPr>
        <w:pStyle w:val="subsection"/>
      </w:pPr>
      <w:r w:rsidRPr="0082124C">
        <w:tab/>
        <w:t>(</w:t>
      </w:r>
      <w:r w:rsidR="00BA7D0E" w:rsidRPr="0082124C">
        <w:t>5</w:t>
      </w:r>
      <w:r w:rsidRPr="0082124C">
        <w:t>)</w:t>
      </w:r>
      <w:r w:rsidRPr="0082124C">
        <w:tab/>
        <w:t xml:space="preserve">However, the Court, a Justice of the Court or a Registrar may order that another party to the proceeding is liable to pay the hearing fee or part of the hearing fee instead of the person mentioned in </w:t>
      </w:r>
      <w:r w:rsidR="00F579A2" w:rsidRPr="0082124C">
        <w:t>subsection (</w:t>
      </w:r>
      <w:r w:rsidRPr="0082124C">
        <w:t>3)</w:t>
      </w:r>
      <w:r w:rsidR="00BA7D0E" w:rsidRPr="0082124C">
        <w:t xml:space="preserve"> or (4) (as applicable).</w:t>
      </w:r>
    </w:p>
    <w:p w14:paraId="44300893" w14:textId="77777777" w:rsidR="00B33BAD" w:rsidRPr="0082124C" w:rsidRDefault="00B33BAD" w:rsidP="00B33BAD">
      <w:pPr>
        <w:pStyle w:val="SubsectionHead"/>
      </w:pPr>
      <w:r w:rsidRPr="0082124C">
        <w:t>Fees for obtaining a document or service</w:t>
      </w:r>
    </w:p>
    <w:p w14:paraId="01C5BC22" w14:textId="77777777" w:rsidR="00693CDD" w:rsidRPr="0082124C" w:rsidRDefault="00693CDD" w:rsidP="00B33BAD">
      <w:pPr>
        <w:pStyle w:val="subsection"/>
      </w:pPr>
      <w:r w:rsidRPr="0082124C">
        <w:tab/>
        <w:t>(</w:t>
      </w:r>
      <w:r w:rsidR="00BA7D0E" w:rsidRPr="0082124C">
        <w:t>6</w:t>
      </w:r>
      <w:r w:rsidRPr="0082124C">
        <w:t>)</w:t>
      </w:r>
      <w:r w:rsidRPr="0082124C">
        <w:tab/>
        <w:t xml:space="preserve">A fee mentioned in </w:t>
      </w:r>
      <w:r w:rsidR="00564701" w:rsidRPr="0082124C">
        <w:t>Part 2</w:t>
      </w:r>
      <w:r w:rsidRPr="0082124C">
        <w:t xml:space="preserve"> of </w:t>
      </w:r>
      <w:r w:rsidR="007F41AC" w:rsidRPr="0082124C">
        <w:t>Schedule 1</w:t>
      </w:r>
      <w:r w:rsidRPr="0082124C">
        <w:t xml:space="preserve"> is payable:</w:t>
      </w:r>
    </w:p>
    <w:p w14:paraId="19CF17D4" w14:textId="77777777" w:rsidR="00693CDD" w:rsidRPr="0082124C" w:rsidRDefault="00693CDD" w:rsidP="00B33BAD">
      <w:pPr>
        <w:pStyle w:val="paragraph"/>
      </w:pPr>
      <w:r w:rsidRPr="0082124C">
        <w:tab/>
        <w:t>(a)</w:t>
      </w:r>
      <w:r w:rsidRPr="0082124C">
        <w:tab/>
        <w:t>for a fee for obtaining a documen</w:t>
      </w:r>
      <w:r w:rsidR="00B33BAD" w:rsidRPr="0082124C">
        <w:t>t—</w:t>
      </w:r>
      <w:r w:rsidRPr="0082124C">
        <w:t>by the person for whom the document is obtained; and</w:t>
      </w:r>
    </w:p>
    <w:p w14:paraId="38D1F1B1" w14:textId="77777777" w:rsidR="007A33AE" w:rsidRPr="0082124C" w:rsidRDefault="00B33BAD" w:rsidP="00C43BD0">
      <w:pPr>
        <w:pStyle w:val="paragraph"/>
      </w:pPr>
      <w:r w:rsidRPr="0082124C">
        <w:tab/>
        <w:t>(b)</w:t>
      </w:r>
      <w:r w:rsidRPr="0082124C">
        <w:tab/>
        <w:t>in any other case—by the person for whom the service is provided.</w:t>
      </w:r>
    </w:p>
    <w:p w14:paraId="6931DD54" w14:textId="77777777" w:rsidR="00693CDD" w:rsidRPr="0082124C" w:rsidRDefault="00564701" w:rsidP="002271D0">
      <w:pPr>
        <w:pStyle w:val="ActHead3"/>
        <w:pageBreakBefore/>
      </w:pPr>
      <w:bookmarkStart w:id="14" w:name="_Toc113458347"/>
      <w:r w:rsidRPr="003F450F">
        <w:rPr>
          <w:rStyle w:val="CharDivNo"/>
        </w:rPr>
        <w:lastRenderedPageBreak/>
        <w:t>Division 2</w:t>
      </w:r>
      <w:r w:rsidR="00693CDD" w:rsidRPr="003F450F">
        <w:rPr>
          <w:rStyle w:val="CharDivNo"/>
        </w:rPr>
        <w:t>.3</w:t>
      </w:r>
      <w:r w:rsidR="00693CDD" w:rsidRPr="0082124C">
        <w:t>—</w:t>
      </w:r>
      <w:r w:rsidR="00693CDD" w:rsidRPr="003F450F">
        <w:rPr>
          <w:rStyle w:val="CharDivText"/>
        </w:rPr>
        <w:t>When fee</w:t>
      </w:r>
      <w:r w:rsidR="00523C25" w:rsidRPr="003F450F">
        <w:rPr>
          <w:rStyle w:val="CharDivText"/>
        </w:rPr>
        <w:t>s</w:t>
      </w:r>
      <w:r w:rsidR="00693CDD" w:rsidRPr="003F450F">
        <w:rPr>
          <w:rStyle w:val="CharDivText"/>
        </w:rPr>
        <w:t xml:space="preserve"> </w:t>
      </w:r>
      <w:r w:rsidR="00523C25" w:rsidRPr="003F450F">
        <w:rPr>
          <w:rStyle w:val="CharDivText"/>
        </w:rPr>
        <w:t>are</w:t>
      </w:r>
      <w:r w:rsidR="00693CDD" w:rsidRPr="003F450F">
        <w:rPr>
          <w:rStyle w:val="CharDivText"/>
        </w:rPr>
        <w:t xml:space="preserve"> not payable</w:t>
      </w:r>
      <w:bookmarkEnd w:id="14"/>
    </w:p>
    <w:p w14:paraId="3904CB0A" w14:textId="77777777" w:rsidR="00693CDD" w:rsidRPr="0082124C" w:rsidRDefault="00693CDD" w:rsidP="00693CDD">
      <w:pPr>
        <w:pStyle w:val="ActHead5"/>
      </w:pPr>
      <w:bookmarkStart w:id="15" w:name="_Toc113458348"/>
      <w:proofErr w:type="gramStart"/>
      <w:r w:rsidRPr="003F450F">
        <w:rPr>
          <w:rStyle w:val="CharSectno"/>
        </w:rPr>
        <w:t>10</w:t>
      </w:r>
      <w:r w:rsidRPr="0082124C">
        <w:t xml:space="preserve">  When</w:t>
      </w:r>
      <w:proofErr w:type="gramEnd"/>
      <w:r w:rsidRPr="0082124C">
        <w:t xml:space="preserve"> fee</w:t>
      </w:r>
      <w:r w:rsidR="00523C25" w:rsidRPr="0082124C">
        <w:t>s</w:t>
      </w:r>
      <w:r w:rsidRPr="0082124C">
        <w:t xml:space="preserve"> </w:t>
      </w:r>
      <w:r w:rsidR="00523C25" w:rsidRPr="0082124C">
        <w:t>are</w:t>
      </w:r>
      <w:r w:rsidRPr="0082124C">
        <w:t xml:space="preserve"> not payable</w:t>
      </w:r>
      <w:bookmarkEnd w:id="15"/>
    </w:p>
    <w:p w14:paraId="07EE0B37" w14:textId="77777777" w:rsidR="00693CDD" w:rsidRPr="0082124C" w:rsidRDefault="00693CDD" w:rsidP="00693CDD">
      <w:pPr>
        <w:pStyle w:val="subsection"/>
      </w:pPr>
      <w:r w:rsidRPr="0082124C">
        <w:tab/>
        <w:t>(1)</w:t>
      </w:r>
      <w:r w:rsidRPr="0082124C">
        <w:tab/>
        <w:t xml:space="preserve">A fee mentioned in </w:t>
      </w:r>
      <w:r w:rsidR="007F41AC" w:rsidRPr="0082124C">
        <w:t>Schedule 1</w:t>
      </w:r>
      <w:r w:rsidRPr="0082124C">
        <w:t xml:space="preserve"> is not payable by the liable person </w:t>
      </w:r>
      <w:r w:rsidR="003D0DBF" w:rsidRPr="0082124C">
        <w:t xml:space="preserve">for the fee </w:t>
      </w:r>
      <w:r w:rsidRPr="0082124C">
        <w:t>if another person has paid the fee.</w:t>
      </w:r>
    </w:p>
    <w:p w14:paraId="5230E285" w14:textId="77777777" w:rsidR="00693CDD" w:rsidRPr="0082124C" w:rsidRDefault="00693CDD" w:rsidP="00693CDD">
      <w:pPr>
        <w:pStyle w:val="subsection"/>
      </w:pPr>
      <w:r w:rsidRPr="0082124C">
        <w:tab/>
        <w:t>(2)</w:t>
      </w:r>
      <w:r w:rsidRPr="0082124C">
        <w:tab/>
        <w:t xml:space="preserve">A fee mentioned in </w:t>
      </w:r>
      <w:r w:rsidR="007F41AC" w:rsidRPr="0082124C">
        <w:t>Schedule 1</w:t>
      </w:r>
      <w:r w:rsidRPr="0082124C">
        <w:t xml:space="preserve"> is not payable in a proceeding for which an international convention </w:t>
      </w:r>
      <w:r w:rsidR="00CC6E61" w:rsidRPr="0082124C">
        <w:t>that is in force for</w:t>
      </w:r>
      <w:r w:rsidRPr="0082124C">
        <w:t xml:space="preserve"> Australia</w:t>
      </w:r>
      <w:r w:rsidR="00CC6E61" w:rsidRPr="0082124C">
        <w:t xml:space="preserve"> </w:t>
      </w:r>
      <w:r w:rsidRPr="0082124C">
        <w:t>provides that no fee is to be payable.</w:t>
      </w:r>
    </w:p>
    <w:p w14:paraId="386EE23B" w14:textId="77777777" w:rsidR="00693CDD" w:rsidRPr="0082124C" w:rsidRDefault="00693CDD" w:rsidP="00693CDD">
      <w:pPr>
        <w:pStyle w:val="subsection"/>
      </w:pPr>
      <w:r w:rsidRPr="0082124C">
        <w:tab/>
        <w:t>(3)</w:t>
      </w:r>
      <w:r w:rsidRPr="0082124C">
        <w:tab/>
      </w:r>
      <w:r w:rsidR="00665329" w:rsidRPr="0082124C">
        <w:t>A</w:t>
      </w:r>
      <w:r w:rsidRPr="0082124C">
        <w:t xml:space="preserve"> fee mentioned in any of </w:t>
      </w:r>
      <w:r w:rsidR="007F41AC" w:rsidRPr="0082124C">
        <w:t>items 1</w:t>
      </w:r>
      <w:r w:rsidRPr="0082124C">
        <w:t xml:space="preserve">08 to 110 of </w:t>
      </w:r>
      <w:r w:rsidR="007F41AC" w:rsidRPr="0082124C">
        <w:t>Schedule 1</w:t>
      </w:r>
      <w:r w:rsidRPr="0082124C">
        <w:t xml:space="preserve"> is not payable in relation to an interlocutory proceeding.</w:t>
      </w:r>
    </w:p>
    <w:p w14:paraId="10E9CA14" w14:textId="77777777" w:rsidR="00693CDD" w:rsidRPr="0082124C" w:rsidRDefault="00693CDD" w:rsidP="00693CDD">
      <w:pPr>
        <w:pStyle w:val="subsection"/>
      </w:pPr>
      <w:r w:rsidRPr="0082124C">
        <w:tab/>
        <w:t>(4)</w:t>
      </w:r>
      <w:r w:rsidRPr="0082124C">
        <w:tab/>
        <w:t>A hearing fee is not payable in relation to a hearing if the sole purpose of the hearing is the delivery of a reserved judgment.</w:t>
      </w:r>
    </w:p>
    <w:p w14:paraId="73FA102B" w14:textId="77777777" w:rsidR="00693CDD" w:rsidRPr="0082124C" w:rsidRDefault="00564701" w:rsidP="002271D0">
      <w:pPr>
        <w:pStyle w:val="ActHead3"/>
        <w:pageBreakBefore/>
      </w:pPr>
      <w:bookmarkStart w:id="16" w:name="_Toc113458349"/>
      <w:r w:rsidRPr="003F450F">
        <w:rPr>
          <w:rStyle w:val="CharDivNo"/>
        </w:rPr>
        <w:lastRenderedPageBreak/>
        <w:t>Division 2</w:t>
      </w:r>
      <w:r w:rsidR="00693CDD" w:rsidRPr="003F450F">
        <w:rPr>
          <w:rStyle w:val="CharDivNo"/>
        </w:rPr>
        <w:t>.4</w:t>
      </w:r>
      <w:r w:rsidR="00693CDD" w:rsidRPr="0082124C">
        <w:t>—</w:t>
      </w:r>
      <w:r w:rsidR="00693CDD" w:rsidRPr="003F450F">
        <w:rPr>
          <w:rStyle w:val="CharDivText"/>
        </w:rPr>
        <w:t xml:space="preserve">Exemptions </w:t>
      </w:r>
      <w:r w:rsidR="00523C25" w:rsidRPr="003F450F">
        <w:rPr>
          <w:rStyle w:val="CharDivText"/>
        </w:rPr>
        <w:t xml:space="preserve">and </w:t>
      </w:r>
      <w:r w:rsidR="00720D65" w:rsidRPr="003F450F">
        <w:rPr>
          <w:rStyle w:val="CharDivText"/>
        </w:rPr>
        <w:t>financial hardship</w:t>
      </w:r>
      <w:r w:rsidR="00523C25" w:rsidRPr="003F450F">
        <w:rPr>
          <w:rStyle w:val="CharDivText"/>
        </w:rPr>
        <w:t xml:space="preserve"> fees</w:t>
      </w:r>
      <w:bookmarkEnd w:id="16"/>
    </w:p>
    <w:p w14:paraId="5B4B3695" w14:textId="77777777" w:rsidR="00693CDD" w:rsidRPr="0082124C" w:rsidRDefault="00693CDD" w:rsidP="00693CDD">
      <w:pPr>
        <w:pStyle w:val="ActHead5"/>
      </w:pPr>
      <w:bookmarkStart w:id="17" w:name="_Toc113458350"/>
      <w:proofErr w:type="gramStart"/>
      <w:r w:rsidRPr="003F450F">
        <w:rPr>
          <w:rStyle w:val="CharSectno"/>
        </w:rPr>
        <w:t>11</w:t>
      </w:r>
      <w:r w:rsidRPr="0082124C">
        <w:t xml:space="preserve">  Persons</w:t>
      </w:r>
      <w:proofErr w:type="gramEnd"/>
      <w:r w:rsidRPr="0082124C">
        <w:t xml:space="preserve"> exempt from paying fees</w:t>
      </w:r>
      <w:bookmarkEnd w:id="17"/>
    </w:p>
    <w:p w14:paraId="6F79E0CC" w14:textId="77777777" w:rsidR="00693CDD" w:rsidRPr="0082124C" w:rsidRDefault="00693CDD" w:rsidP="00693CDD">
      <w:pPr>
        <w:pStyle w:val="subsection"/>
      </w:pPr>
      <w:r w:rsidRPr="0082124C">
        <w:tab/>
        <w:t>(1)</w:t>
      </w:r>
      <w:r w:rsidRPr="0082124C">
        <w:tab/>
        <w:t>A person is exempt from paying a filing fee or a hearing fee if, at the time the fee is payable, one or more of the following apply:</w:t>
      </w:r>
    </w:p>
    <w:p w14:paraId="31B1D6D0" w14:textId="77777777" w:rsidR="00693CDD" w:rsidRPr="0082124C" w:rsidRDefault="00693CDD" w:rsidP="00693CDD">
      <w:pPr>
        <w:pStyle w:val="paragraph"/>
      </w:pPr>
      <w:r w:rsidRPr="0082124C">
        <w:tab/>
        <w:t>(a)</w:t>
      </w:r>
      <w:r w:rsidRPr="0082124C">
        <w:tab/>
        <w:t xml:space="preserve">the person has been granted legal aid </w:t>
      </w:r>
      <w:r w:rsidR="007F4500" w:rsidRPr="0082124C">
        <w:t xml:space="preserve">for the proceeding for which the fee would otherwise be payable </w:t>
      </w:r>
      <w:r w:rsidRPr="0082124C">
        <w:t>under a legal aid scheme or service:</w:t>
      </w:r>
    </w:p>
    <w:p w14:paraId="0E8AC833" w14:textId="77777777" w:rsidR="00693CDD" w:rsidRPr="0082124C" w:rsidRDefault="00693CDD" w:rsidP="00693CDD">
      <w:pPr>
        <w:pStyle w:val="paragraphsub"/>
      </w:pPr>
      <w:r w:rsidRPr="0082124C">
        <w:tab/>
        <w:t>(</w:t>
      </w:r>
      <w:proofErr w:type="spellStart"/>
      <w:r w:rsidRPr="0082124C">
        <w:t>i</w:t>
      </w:r>
      <w:proofErr w:type="spellEnd"/>
      <w:r w:rsidRPr="0082124C">
        <w:t>)</w:t>
      </w:r>
      <w:r w:rsidRPr="0082124C">
        <w:tab/>
        <w:t>established under a law of the Commonwealth or of a State or Territory; or</w:t>
      </w:r>
    </w:p>
    <w:p w14:paraId="7D2F0FCF" w14:textId="77777777" w:rsidR="00693CDD" w:rsidRPr="0082124C" w:rsidRDefault="00693CDD" w:rsidP="007F4500">
      <w:pPr>
        <w:pStyle w:val="paragraphsub"/>
      </w:pPr>
      <w:r w:rsidRPr="0082124C">
        <w:tab/>
        <w:t>(ii)</w:t>
      </w:r>
      <w:r w:rsidRPr="0082124C">
        <w:tab/>
        <w:t>approved by the Attorney</w:t>
      </w:r>
      <w:r w:rsidR="0082124C">
        <w:noBreakHyphen/>
      </w:r>
      <w:r w:rsidRPr="0082124C">
        <w:t>General;</w:t>
      </w:r>
    </w:p>
    <w:p w14:paraId="117E7CC0" w14:textId="77777777" w:rsidR="00693CDD" w:rsidRPr="0082124C" w:rsidRDefault="00693CDD" w:rsidP="00693CDD">
      <w:pPr>
        <w:pStyle w:val="paragraph"/>
      </w:pPr>
      <w:r w:rsidRPr="0082124C">
        <w:tab/>
        <w:t>(b)</w:t>
      </w:r>
      <w:r w:rsidRPr="0082124C">
        <w:tab/>
        <w:t>the person is the holder of any of the following cards issued by the Commonwealth:</w:t>
      </w:r>
    </w:p>
    <w:p w14:paraId="3C8491AA" w14:textId="77777777" w:rsidR="00693CDD" w:rsidRPr="0082124C" w:rsidRDefault="00693CDD" w:rsidP="00693CDD">
      <w:pPr>
        <w:pStyle w:val="paragraphsub"/>
      </w:pPr>
      <w:r w:rsidRPr="0082124C">
        <w:tab/>
        <w:t>(</w:t>
      </w:r>
      <w:proofErr w:type="spellStart"/>
      <w:r w:rsidRPr="0082124C">
        <w:t>i</w:t>
      </w:r>
      <w:proofErr w:type="spellEnd"/>
      <w:r w:rsidRPr="0082124C">
        <w:t>)</w:t>
      </w:r>
      <w:r w:rsidRPr="0082124C">
        <w:tab/>
        <w:t>a health care card;</w:t>
      </w:r>
    </w:p>
    <w:p w14:paraId="44D4FE46" w14:textId="77777777" w:rsidR="00693CDD" w:rsidRPr="0082124C" w:rsidRDefault="00693CDD" w:rsidP="00693CDD">
      <w:pPr>
        <w:pStyle w:val="paragraphsub"/>
      </w:pPr>
      <w:r w:rsidRPr="0082124C">
        <w:tab/>
        <w:t>(ii)</w:t>
      </w:r>
      <w:r w:rsidRPr="0082124C">
        <w:tab/>
        <w:t>a pensioner concession card;</w:t>
      </w:r>
    </w:p>
    <w:p w14:paraId="3A2BA343" w14:textId="77777777" w:rsidR="00693CDD" w:rsidRPr="0082124C" w:rsidRDefault="00693CDD" w:rsidP="00693CDD">
      <w:pPr>
        <w:pStyle w:val="paragraphsub"/>
      </w:pPr>
      <w:r w:rsidRPr="0082124C">
        <w:tab/>
        <w:t>(iii)</w:t>
      </w:r>
      <w:r w:rsidRPr="0082124C">
        <w:tab/>
        <w:t>a Commonwealth seniors health card;</w:t>
      </w:r>
    </w:p>
    <w:p w14:paraId="37232765" w14:textId="77777777" w:rsidR="00693CDD" w:rsidRPr="0082124C" w:rsidRDefault="00693CDD" w:rsidP="00693CDD">
      <w:pPr>
        <w:pStyle w:val="paragraphsub"/>
      </w:pPr>
      <w:r w:rsidRPr="0082124C">
        <w:tab/>
        <w:t>(iv)</w:t>
      </w:r>
      <w:r w:rsidRPr="0082124C">
        <w:tab/>
        <w:t>any other card that certifies the holder’s entitlement to Commonwealth health concessions;</w:t>
      </w:r>
    </w:p>
    <w:p w14:paraId="5AAB104D" w14:textId="77777777" w:rsidR="00693CDD" w:rsidRPr="0082124C" w:rsidRDefault="00693CDD" w:rsidP="00693CDD">
      <w:pPr>
        <w:pStyle w:val="paragraph"/>
      </w:pPr>
      <w:r w:rsidRPr="0082124C">
        <w:tab/>
        <w:t>(c)</w:t>
      </w:r>
      <w:r w:rsidRPr="0082124C">
        <w:tab/>
        <w:t>the person is serving a sentence of imprisonment or is otherwise detained in a public institution</w:t>
      </w:r>
      <w:r w:rsidR="00BC1698" w:rsidRPr="0082124C">
        <w:t xml:space="preserve">, or is in immigration detention (within the meaning of the </w:t>
      </w:r>
      <w:r w:rsidR="00BC1698" w:rsidRPr="0082124C">
        <w:rPr>
          <w:i/>
        </w:rPr>
        <w:t>Migration Act 1958</w:t>
      </w:r>
      <w:r w:rsidR="00BC1698" w:rsidRPr="0082124C">
        <w:t>)</w:t>
      </w:r>
      <w:r w:rsidRPr="0082124C">
        <w:t>;</w:t>
      </w:r>
    </w:p>
    <w:p w14:paraId="6F9D462B" w14:textId="77777777" w:rsidR="00693CDD" w:rsidRPr="0082124C" w:rsidRDefault="00693CDD" w:rsidP="00693CDD">
      <w:pPr>
        <w:pStyle w:val="paragraph"/>
      </w:pPr>
      <w:r w:rsidRPr="0082124C">
        <w:tab/>
        <w:t>(d)</w:t>
      </w:r>
      <w:r w:rsidRPr="0082124C">
        <w:tab/>
        <w:t>the person is younger than 18;</w:t>
      </w:r>
    </w:p>
    <w:p w14:paraId="7F99C48C" w14:textId="77777777" w:rsidR="00693CDD" w:rsidRPr="0082124C" w:rsidRDefault="00693CDD" w:rsidP="00693CDD">
      <w:pPr>
        <w:pStyle w:val="paragraph"/>
      </w:pPr>
      <w:r w:rsidRPr="0082124C">
        <w:tab/>
        <w:t>(e)</w:t>
      </w:r>
      <w:r w:rsidRPr="0082124C">
        <w:tab/>
        <w:t xml:space="preserve">the person is receiving youth allowance or Austudy payments under the </w:t>
      </w:r>
      <w:r w:rsidRPr="0082124C">
        <w:rPr>
          <w:i/>
        </w:rPr>
        <w:t xml:space="preserve">Social Security Act 1991 </w:t>
      </w:r>
      <w:r w:rsidRPr="0082124C">
        <w:t>or benefits under the ABSTUDY Scheme;</w:t>
      </w:r>
    </w:p>
    <w:p w14:paraId="49162279" w14:textId="77777777" w:rsidR="00693CDD" w:rsidRPr="0082124C" w:rsidRDefault="00693CDD" w:rsidP="00693CDD">
      <w:pPr>
        <w:pStyle w:val="paragraph"/>
      </w:pPr>
      <w:r w:rsidRPr="0082124C">
        <w:tab/>
        <w:t>(f)</w:t>
      </w:r>
      <w:r w:rsidRPr="0082124C">
        <w:tab/>
        <w:t xml:space="preserve">the person has </w:t>
      </w:r>
      <w:r w:rsidR="00765998" w:rsidRPr="0082124C">
        <w:t>received funding</w:t>
      </w:r>
      <w:r w:rsidRPr="0082124C">
        <w:t xml:space="preserve"> </w:t>
      </w:r>
      <w:r w:rsidR="003D0C2F" w:rsidRPr="0082124C">
        <w:t xml:space="preserve">for the proceeding for which the fee would otherwise be payable </w:t>
      </w:r>
      <w:r w:rsidRPr="0082124C">
        <w:t xml:space="preserve">under </w:t>
      </w:r>
      <w:r w:rsidR="00932F8E" w:rsidRPr="0082124C">
        <w:t>Part 1</w:t>
      </w:r>
      <w:r w:rsidRPr="0082124C">
        <w:t xml:space="preserve">1 of the </w:t>
      </w:r>
      <w:r w:rsidRPr="0082124C">
        <w:rPr>
          <w:i/>
        </w:rPr>
        <w:t>Native Title Act 1993</w:t>
      </w:r>
      <w:r w:rsidRPr="0082124C">
        <w:t xml:space="preserve"> </w:t>
      </w:r>
      <w:r w:rsidR="00C04BF1" w:rsidRPr="0082124C">
        <w:t>from</w:t>
      </w:r>
      <w:r w:rsidRPr="0082124C">
        <w:t>:</w:t>
      </w:r>
    </w:p>
    <w:p w14:paraId="71356049" w14:textId="77777777" w:rsidR="00693CDD" w:rsidRPr="0082124C" w:rsidRDefault="00693CDD" w:rsidP="00693CDD">
      <w:pPr>
        <w:pStyle w:val="paragraphsub"/>
      </w:pPr>
      <w:r w:rsidRPr="0082124C">
        <w:tab/>
        <w:t>(</w:t>
      </w:r>
      <w:proofErr w:type="spellStart"/>
      <w:r w:rsidRPr="0082124C">
        <w:t>i</w:t>
      </w:r>
      <w:proofErr w:type="spellEnd"/>
      <w:r w:rsidRPr="0082124C">
        <w:t>)</w:t>
      </w:r>
      <w:r w:rsidRPr="0082124C">
        <w:tab/>
        <w:t xml:space="preserve">a representative body within the meaning </w:t>
      </w:r>
      <w:r w:rsidR="003D0C2F" w:rsidRPr="0082124C">
        <w:t>of</w:t>
      </w:r>
      <w:r w:rsidRPr="0082124C">
        <w:t xml:space="preserve"> </w:t>
      </w:r>
      <w:r w:rsidR="003D1A86" w:rsidRPr="0082124C">
        <w:t>section 2</w:t>
      </w:r>
      <w:r w:rsidRPr="0082124C">
        <w:t>53 of that Act; or</w:t>
      </w:r>
    </w:p>
    <w:p w14:paraId="27BBB2AD" w14:textId="77777777" w:rsidR="00693CDD" w:rsidRPr="0082124C" w:rsidRDefault="00693CDD" w:rsidP="003D0C2F">
      <w:pPr>
        <w:pStyle w:val="paragraphsub"/>
      </w:pPr>
      <w:r w:rsidRPr="0082124C">
        <w:tab/>
        <w:t>(ii)</w:t>
      </w:r>
      <w:r w:rsidRPr="0082124C">
        <w:tab/>
        <w:t xml:space="preserve">a person or body to whom funding has been </w:t>
      </w:r>
      <w:r w:rsidR="0021751B" w:rsidRPr="0082124C">
        <w:t>made available</w:t>
      </w:r>
      <w:r w:rsidRPr="0082124C">
        <w:t xml:space="preserve"> under </w:t>
      </w:r>
      <w:r w:rsidR="003D1A86" w:rsidRPr="0082124C">
        <w:t>section 2</w:t>
      </w:r>
      <w:r w:rsidRPr="0082124C">
        <w:t>03FE of that Act</w:t>
      </w:r>
      <w:r w:rsidR="003D0C2F" w:rsidRPr="0082124C">
        <w:t>.</w:t>
      </w:r>
    </w:p>
    <w:p w14:paraId="66C26EE3" w14:textId="77777777" w:rsidR="00693CDD" w:rsidRPr="0082124C" w:rsidRDefault="00693CDD" w:rsidP="00693CDD">
      <w:pPr>
        <w:pStyle w:val="subsection"/>
      </w:pPr>
      <w:r w:rsidRPr="0082124C">
        <w:tab/>
        <w:t>(2)</w:t>
      </w:r>
      <w:r w:rsidRPr="0082124C">
        <w:tab/>
        <w:t xml:space="preserve">For </w:t>
      </w:r>
      <w:r w:rsidR="00F579A2" w:rsidRPr="0082124C">
        <w:t>paragraph (</w:t>
      </w:r>
      <w:r w:rsidRPr="0082124C">
        <w:t xml:space="preserve">1)(b), the </w:t>
      </w:r>
      <w:r w:rsidRPr="0082124C">
        <w:rPr>
          <w:b/>
          <w:i/>
        </w:rPr>
        <w:t>holder</w:t>
      </w:r>
      <w:r w:rsidRPr="0082124C">
        <w:t xml:space="preserve"> of a card does not include a dependant of the person who is issued the card.</w:t>
      </w:r>
    </w:p>
    <w:p w14:paraId="4C24E4B6" w14:textId="77777777" w:rsidR="00693CDD" w:rsidRPr="0082124C" w:rsidRDefault="00693CDD" w:rsidP="00693CDD">
      <w:pPr>
        <w:pStyle w:val="ActHead5"/>
      </w:pPr>
      <w:bookmarkStart w:id="18" w:name="_Toc113458351"/>
      <w:proofErr w:type="gramStart"/>
      <w:r w:rsidRPr="003F450F">
        <w:rPr>
          <w:rStyle w:val="CharSectno"/>
        </w:rPr>
        <w:t>12</w:t>
      </w:r>
      <w:r w:rsidRPr="0082124C">
        <w:t xml:space="preserve">  Financial</w:t>
      </w:r>
      <w:proofErr w:type="gramEnd"/>
      <w:r w:rsidRPr="0082124C">
        <w:t xml:space="preserve"> hardship fee</w:t>
      </w:r>
      <w:r w:rsidR="006E7F74" w:rsidRPr="0082124C">
        <w:t>s</w:t>
      </w:r>
      <w:bookmarkEnd w:id="18"/>
    </w:p>
    <w:p w14:paraId="3E6709B0" w14:textId="77777777" w:rsidR="00693CDD" w:rsidRPr="0082124C" w:rsidRDefault="00693CDD" w:rsidP="00693CDD">
      <w:pPr>
        <w:pStyle w:val="subsection"/>
      </w:pPr>
      <w:r w:rsidRPr="0082124C">
        <w:tab/>
        <w:t>(1)</w:t>
      </w:r>
      <w:r w:rsidRPr="0082124C">
        <w:tab/>
        <w:t>If:</w:t>
      </w:r>
    </w:p>
    <w:p w14:paraId="11EB6A2D" w14:textId="77777777" w:rsidR="00693CDD" w:rsidRPr="0082124C" w:rsidRDefault="00693CDD" w:rsidP="00693CDD">
      <w:pPr>
        <w:pStyle w:val="paragraph"/>
      </w:pPr>
      <w:r w:rsidRPr="0082124C">
        <w:tab/>
        <w:t>(a)</w:t>
      </w:r>
      <w:r w:rsidRPr="0082124C">
        <w:tab/>
        <w:t xml:space="preserve">a </w:t>
      </w:r>
      <w:r w:rsidR="00245ABC" w:rsidRPr="0082124C">
        <w:t xml:space="preserve">full </w:t>
      </w:r>
      <w:r w:rsidRPr="0082124C">
        <w:t xml:space="preserve">fee mentioned in an item in </w:t>
      </w:r>
      <w:r w:rsidR="007F41AC" w:rsidRPr="0082124C">
        <w:t>Schedule 1</w:t>
      </w:r>
      <w:r w:rsidRPr="0082124C">
        <w:t xml:space="preserve"> is payable by an individual; and</w:t>
      </w:r>
    </w:p>
    <w:p w14:paraId="0F54ED88" w14:textId="77777777" w:rsidR="00693CDD" w:rsidRPr="0082124C" w:rsidRDefault="00693CDD" w:rsidP="00693CDD">
      <w:pPr>
        <w:pStyle w:val="paragraph"/>
      </w:pPr>
      <w:r w:rsidRPr="0082124C">
        <w:tab/>
        <w:t>(b)</w:t>
      </w:r>
      <w:r w:rsidRPr="0082124C">
        <w:tab/>
        <w:t>the item mentions a financial hardship fee; and</w:t>
      </w:r>
    </w:p>
    <w:p w14:paraId="48294230" w14:textId="77777777" w:rsidR="00693CDD" w:rsidRPr="0082124C" w:rsidRDefault="00693CDD" w:rsidP="00693CDD">
      <w:pPr>
        <w:pStyle w:val="paragraph"/>
      </w:pPr>
      <w:r w:rsidRPr="0082124C">
        <w:tab/>
        <w:t>(c)</w:t>
      </w:r>
      <w:r w:rsidRPr="0082124C">
        <w:tab/>
        <w:t xml:space="preserve">in the opinion of a Registrar at the time the </w:t>
      </w:r>
      <w:r w:rsidR="00B84745" w:rsidRPr="0082124C">
        <w:t xml:space="preserve">full </w:t>
      </w:r>
      <w:r w:rsidRPr="0082124C">
        <w:t xml:space="preserve">fee is payable, the payment of the </w:t>
      </w:r>
      <w:r w:rsidR="00245ABC" w:rsidRPr="0082124C">
        <w:t xml:space="preserve">full </w:t>
      </w:r>
      <w:r w:rsidRPr="0082124C">
        <w:t>fee would cause financial hardship to the individual;</w:t>
      </w:r>
    </w:p>
    <w:p w14:paraId="71DD05B9" w14:textId="77777777" w:rsidR="00693CDD" w:rsidRPr="0082124C" w:rsidRDefault="00693CDD" w:rsidP="00693CDD">
      <w:pPr>
        <w:pStyle w:val="subsection2"/>
      </w:pPr>
      <w:r w:rsidRPr="0082124C">
        <w:t xml:space="preserve">the Registrar may determine that the </w:t>
      </w:r>
      <w:r w:rsidR="00DC233F" w:rsidRPr="0082124C">
        <w:t>individual</w:t>
      </w:r>
      <w:r w:rsidRPr="0082124C">
        <w:t xml:space="preserve"> may pay the financial hardship fee mentioned in the item instead of the </w:t>
      </w:r>
      <w:r w:rsidR="00245ABC" w:rsidRPr="0082124C">
        <w:t xml:space="preserve">full </w:t>
      </w:r>
      <w:r w:rsidRPr="0082124C">
        <w:t>fee that would otherwise be payable.</w:t>
      </w:r>
    </w:p>
    <w:p w14:paraId="473185B0" w14:textId="77777777" w:rsidR="00693CDD" w:rsidRPr="0082124C" w:rsidRDefault="00693CDD" w:rsidP="00693CDD">
      <w:pPr>
        <w:pStyle w:val="subsection"/>
      </w:pPr>
      <w:r w:rsidRPr="0082124C">
        <w:tab/>
        <w:t>(2)</w:t>
      </w:r>
      <w:r w:rsidRPr="0082124C">
        <w:tab/>
        <w:t xml:space="preserve">In considering whether payment of </w:t>
      </w:r>
      <w:r w:rsidR="00245ABC" w:rsidRPr="0082124C">
        <w:t>the full</w:t>
      </w:r>
      <w:r w:rsidRPr="0082124C">
        <w:t xml:space="preserve"> fee would cause financial hardship to an individual, the Registrar must consider the individual’s income, day</w:t>
      </w:r>
      <w:r w:rsidR="0082124C">
        <w:noBreakHyphen/>
      </w:r>
      <w:r w:rsidRPr="0082124C">
        <w:t>to</w:t>
      </w:r>
      <w:r w:rsidR="0082124C">
        <w:noBreakHyphen/>
      </w:r>
      <w:r w:rsidRPr="0082124C">
        <w:t>day living expenses, liabilities and assets.</w:t>
      </w:r>
    </w:p>
    <w:p w14:paraId="51E297F7" w14:textId="77777777" w:rsidR="00693CDD" w:rsidRPr="0082124C" w:rsidRDefault="00693CDD" w:rsidP="00693CDD">
      <w:pPr>
        <w:pStyle w:val="notetext"/>
      </w:pPr>
      <w:r w:rsidRPr="0082124C">
        <w:lastRenderedPageBreak/>
        <w:t>Note:</w:t>
      </w:r>
      <w:r w:rsidRPr="0082124C">
        <w:tab/>
        <w:t xml:space="preserve">A decision of the Registrar under this section is reviewable by the AAT: see </w:t>
      </w:r>
      <w:r w:rsidR="003D1A86" w:rsidRPr="0082124C">
        <w:t>section 1</w:t>
      </w:r>
      <w:r w:rsidRPr="0082124C">
        <w:t>7.</w:t>
      </w:r>
    </w:p>
    <w:p w14:paraId="7CECAF33" w14:textId="77777777" w:rsidR="00693CDD" w:rsidRPr="0082124C" w:rsidRDefault="00564701" w:rsidP="002271D0">
      <w:pPr>
        <w:pStyle w:val="ActHead3"/>
        <w:pageBreakBefore/>
      </w:pPr>
      <w:bookmarkStart w:id="19" w:name="_Toc113458352"/>
      <w:r w:rsidRPr="003F450F">
        <w:rPr>
          <w:rStyle w:val="CharDivNo"/>
        </w:rPr>
        <w:lastRenderedPageBreak/>
        <w:t>Division 2</w:t>
      </w:r>
      <w:r w:rsidR="00693CDD" w:rsidRPr="003F450F">
        <w:rPr>
          <w:rStyle w:val="CharDivNo"/>
        </w:rPr>
        <w:t>.5</w:t>
      </w:r>
      <w:r w:rsidR="00693CDD" w:rsidRPr="0082124C">
        <w:t>—</w:t>
      </w:r>
      <w:r w:rsidR="00523C25" w:rsidRPr="003F450F">
        <w:rPr>
          <w:rStyle w:val="CharDivText"/>
        </w:rPr>
        <w:t>P</w:t>
      </w:r>
      <w:r w:rsidR="005D0AC5" w:rsidRPr="003F450F">
        <w:rPr>
          <w:rStyle w:val="CharDivText"/>
        </w:rPr>
        <w:t>ayment</w:t>
      </w:r>
      <w:r w:rsidR="00523C25" w:rsidRPr="003F450F">
        <w:rPr>
          <w:rStyle w:val="CharDivText"/>
        </w:rPr>
        <w:t xml:space="preserve"> </w:t>
      </w:r>
      <w:r w:rsidR="00693CDD" w:rsidRPr="003F450F">
        <w:rPr>
          <w:rStyle w:val="CharDivText"/>
        </w:rPr>
        <w:t>of fees</w:t>
      </w:r>
      <w:bookmarkEnd w:id="19"/>
    </w:p>
    <w:p w14:paraId="1F0A3AE1" w14:textId="77777777" w:rsidR="00C20E73" w:rsidRPr="0082124C" w:rsidRDefault="00C20E73" w:rsidP="00C20E73">
      <w:pPr>
        <w:pStyle w:val="ActHead5"/>
      </w:pPr>
      <w:bookmarkStart w:id="20" w:name="_Toc113458353"/>
      <w:r w:rsidRPr="003F450F">
        <w:rPr>
          <w:rStyle w:val="CharSectno"/>
        </w:rPr>
        <w:t>12</w:t>
      </w:r>
      <w:proofErr w:type="gramStart"/>
      <w:r w:rsidRPr="003F450F">
        <w:rPr>
          <w:rStyle w:val="CharSectno"/>
        </w:rPr>
        <w:t>A</w:t>
      </w:r>
      <w:r w:rsidRPr="0082124C">
        <w:t xml:space="preserve">  When</w:t>
      </w:r>
      <w:proofErr w:type="gramEnd"/>
      <w:r w:rsidRPr="0082124C">
        <w:t xml:space="preserve"> fees must be paid</w:t>
      </w:r>
      <w:bookmarkEnd w:id="20"/>
    </w:p>
    <w:p w14:paraId="66818D3F" w14:textId="77777777" w:rsidR="00C20E73" w:rsidRPr="0082124C" w:rsidRDefault="00C20E73" w:rsidP="00C20E73">
      <w:pPr>
        <w:pStyle w:val="SubsectionHead"/>
      </w:pPr>
      <w:r w:rsidRPr="0082124C">
        <w:t>Filing fee</w:t>
      </w:r>
    </w:p>
    <w:p w14:paraId="13149CFB" w14:textId="77777777" w:rsidR="00C20E73" w:rsidRPr="0082124C" w:rsidRDefault="00C20E73" w:rsidP="00C20E73">
      <w:pPr>
        <w:pStyle w:val="subsection"/>
      </w:pPr>
      <w:r w:rsidRPr="0082124C">
        <w:tab/>
        <w:t>(1)</w:t>
      </w:r>
      <w:r w:rsidRPr="0082124C">
        <w:tab/>
        <w:t>A filing fee must be paid before the relevant document is filed.</w:t>
      </w:r>
    </w:p>
    <w:p w14:paraId="18D6FCA9" w14:textId="77777777" w:rsidR="00C20E73" w:rsidRPr="0082124C" w:rsidRDefault="00C20E73" w:rsidP="00C20E73">
      <w:pPr>
        <w:pStyle w:val="SubsectionHead"/>
      </w:pPr>
      <w:r w:rsidRPr="0082124C">
        <w:t>Hearing fee</w:t>
      </w:r>
    </w:p>
    <w:p w14:paraId="0AA7B112" w14:textId="77777777" w:rsidR="00C20E73" w:rsidRPr="0082124C" w:rsidRDefault="00C20E73" w:rsidP="00C20E73">
      <w:pPr>
        <w:pStyle w:val="subsection"/>
      </w:pPr>
      <w:r w:rsidRPr="0082124C">
        <w:tab/>
        <w:t>(2)</w:t>
      </w:r>
      <w:r w:rsidRPr="0082124C">
        <w:tab/>
        <w:t xml:space="preserve">A hearing fee mentioned in </w:t>
      </w:r>
      <w:r w:rsidR="007F41AC" w:rsidRPr="0082124C">
        <w:t>item 1</w:t>
      </w:r>
      <w:r w:rsidRPr="0082124C">
        <w:t xml:space="preserve">08 or 109 of </w:t>
      </w:r>
      <w:r w:rsidR="007F41AC" w:rsidRPr="0082124C">
        <w:t>Schedule 1</w:t>
      </w:r>
      <w:r w:rsidRPr="0082124C">
        <w:t xml:space="preserve"> must be paid </w:t>
      </w:r>
      <w:r w:rsidR="00BE034E" w:rsidRPr="0082124C">
        <w:t>at the time</w:t>
      </w:r>
      <w:r w:rsidRPr="0082124C">
        <w:t xml:space="preserve"> the document to which the hearing relates is filed.</w:t>
      </w:r>
    </w:p>
    <w:p w14:paraId="5E40B290" w14:textId="77777777" w:rsidR="00C20E73" w:rsidRPr="0082124C" w:rsidRDefault="00C20E73" w:rsidP="00C20E73">
      <w:pPr>
        <w:pStyle w:val="subsection"/>
      </w:pPr>
      <w:r w:rsidRPr="0082124C">
        <w:tab/>
        <w:t>(3)</w:t>
      </w:r>
      <w:r w:rsidRPr="0082124C">
        <w:tab/>
        <w:t xml:space="preserve">A hearing fee mentioned in </w:t>
      </w:r>
      <w:r w:rsidR="007F41AC" w:rsidRPr="0082124C">
        <w:t>item 1</w:t>
      </w:r>
      <w:r w:rsidRPr="0082124C">
        <w:t xml:space="preserve">10 of </w:t>
      </w:r>
      <w:r w:rsidR="007F41AC" w:rsidRPr="0082124C">
        <w:t>Schedule 1</w:t>
      </w:r>
      <w:r w:rsidRPr="0082124C">
        <w:t xml:space="preserve"> must be paid as follows:</w:t>
      </w:r>
    </w:p>
    <w:p w14:paraId="730F32E6" w14:textId="77777777" w:rsidR="00C20E73" w:rsidRPr="0082124C" w:rsidRDefault="00C20E73" w:rsidP="00C20E73">
      <w:pPr>
        <w:pStyle w:val="paragraph"/>
      </w:pPr>
      <w:r w:rsidRPr="0082124C">
        <w:tab/>
        <w:t>(a)</w:t>
      </w:r>
      <w:r w:rsidRPr="0082124C">
        <w:tab/>
        <w:t xml:space="preserve">if the fee is in respect of a hearing day that is the </w:t>
      </w:r>
      <w:r w:rsidR="00564701" w:rsidRPr="0082124C">
        <w:t>second</w:t>
      </w:r>
      <w:r w:rsidRPr="0082124C">
        <w:t xml:space="preserve"> or a subsequent business day after the day when the document to which the hearing relates is filed—no later than </w:t>
      </w:r>
      <w:r w:rsidR="007F41AC" w:rsidRPr="0082124C">
        <w:t>2</w:t>
      </w:r>
      <w:r w:rsidRPr="0082124C">
        <w:t xml:space="preserve"> business days before the hearing day;</w:t>
      </w:r>
    </w:p>
    <w:p w14:paraId="292093AC" w14:textId="77777777" w:rsidR="00C20E73" w:rsidRPr="0082124C" w:rsidRDefault="00C20E73" w:rsidP="00C20E73">
      <w:pPr>
        <w:pStyle w:val="paragraph"/>
      </w:pPr>
      <w:r w:rsidRPr="0082124C">
        <w:tab/>
        <w:t>(b)</w:t>
      </w:r>
      <w:r w:rsidRPr="0082124C">
        <w:tab/>
      </w:r>
      <w:r w:rsidR="00245ABC" w:rsidRPr="0082124C">
        <w:t>in any other case</w:t>
      </w:r>
      <w:r w:rsidRPr="0082124C">
        <w:t>—no later than 9.30 am on the hearing day.</w:t>
      </w:r>
    </w:p>
    <w:p w14:paraId="61CDF989" w14:textId="77777777" w:rsidR="00C20E73" w:rsidRPr="0082124C" w:rsidRDefault="00C20E73" w:rsidP="00C20E73">
      <w:pPr>
        <w:pStyle w:val="subsection"/>
      </w:pPr>
      <w:r w:rsidRPr="0082124C">
        <w:tab/>
        <w:t>(4)</w:t>
      </w:r>
      <w:r w:rsidRPr="0082124C">
        <w:tab/>
        <w:t xml:space="preserve">A hearing fee mentioned in </w:t>
      </w:r>
      <w:r w:rsidR="007F41AC" w:rsidRPr="0082124C">
        <w:t>item 1</w:t>
      </w:r>
      <w:r w:rsidRPr="0082124C">
        <w:t xml:space="preserve">11 of </w:t>
      </w:r>
      <w:r w:rsidR="007F41AC" w:rsidRPr="0082124C">
        <w:t>Schedule 1</w:t>
      </w:r>
      <w:r w:rsidRPr="0082124C">
        <w:t xml:space="preserve"> must be paid as follows:</w:t>
      </w:r>
    </w:p>
    <w:p w14:paraId="35EAE49F" w14:textId="77777777" w:rsidR="00C20E73" w:rsidRPr="0082124C" w:rsidRDefault="00C20E73" w:rsidP="00C20E73">
      <w:pPr>
        <w:pStyle w:val="paragraph"/>
      </w:pPr>
      <w:r w:rsidRPr="0082124C">
        <w:tab/>
        <w:t>(a)</w:t>
      </w:r>
      <w:r w:rsidRPr="0082124C">
        <w:tab/>
        <w:t>if the fee is in respect of a hearing day that is the day, or the first business day after the day, when the document to which the hearing relates is filed—at the time the document is filed;</w:t>
      </w:r>
    </w:p>
    <w:p w14:paraId="0F51782A" w14:textId="77777777" w:rsidR="00C20E73" w:rsidRPr="0082124C" w:rsidRDefault="00C20E73" w:rsidP="00C20E73">
      <w:pPr>
        <w:pStyle w:val="paragraph"/>
      </w:pPr>
      <w:r w:rsidRPr="0082124C">
        <w:tab/>
        <w:t>(b)</w:t>
      </w:r>
      <w:r w:rsidRPr="0082124C">
        <w:tab/>
        <w:t xml:space="preserve">if the fee is in respect of a hearing day that is the </w:t>
      </w:r>
      <w:r w:rsidR="00564701" w:rsidRPr="0082124C">
        <w:t>second</w:t>
      </w:r>
      <w:r w:rsidRPr="0082124C">
        <w:t xml:space="preserve"> or a subsequent business day after the day when the document to which the hearing relates is filed—no later than </w:t>
      </w:r>
      <w:r w:rsidR="007F41AC" w:rsidRPr="0082124C">
        <w:t>2</w:t>
      </w:r>
      <w:r w:rsidRPr="0082124C">
        <w:t xml:space="preserve"> business days before the hearing day;</w:t>
      </w:r>
    </w:p>
    <w:p w14:paraId="437B92EA" w14:textId="77777777" w:rsidR="00C20E73" w:rsidRPr="0082124C" w:rsidRDefault="00C20E73" w:rsidP="00C20E73">
      <w:pPr>
        <w:pStyle w:val="paragraph"/>
      </w:pPr>
      <w:r w:rsidRPr="0082124C">
        <w:tab/>
        <w:t>(c)</w:t>
      </w:r>
      <w:r w:rsidRPr="0082124C">
        <w:tab/>
      </w:r>
      <w:r w:rsidR="00245ABC" w:rsidRPr="0082124C">
        <w:t>in any other case</w:t>
      </w:r>
      <w:r w:rsidRPr="0082124C">
        <w:t>—no later than 9.30 am on the hearing day.</w:t>
      </w:r>
    </w:p>
    <w:p w14:paraId="76BFE290" w14:textId="77777777" w:rsidR="00C20E73" w:rsidRPr="0082124C" w:rsidRDefault="00C20E73" w:rsidP="00C20E73">
      <w:pPr>
        <w:pStyle w:val="SubsectionHead"/>
      </w:pPr>
      <w:r w:rsidRPr="0082124C">
        <w:t>Fees for obtaining a document or service</w:t>
      </w:r>
    </w:p>
    <w:p w14:paraId="3A639A0F" w14:textId="77777777" w:rsidR="00C20E73" w:rsidRPr="0082124C" w:rsidRDefault="00C20E73" w:rsidP="00C20E73">
      <w:pPr>
        <w:pStyle w:val="subsection"/>
      </w:pPr>
      <w:r w:rsidRPr="0082124C">
        <w:tab/>
        <w:t>(5)</w:t>
      </w:r>
      <w:r w:rsidRPr="0082124C">
        <w:tab/>
        <w:t xml:space="preserve">A fee mentioned in </w:t>
      </w:r>
      <w:r w:rsidR="00564701" w:rsidRPr="0082124C">
        <w:t>Part 2</w:t>
      </w:r>
      <w:r w:rsidRPr="0082124C">
        <w:t xml:space="preserve"> of </w:t>
      </w:r>
      <w:r w:rsidR="007F41AC" w:rsidRPr="0082124C">
        <w:t>Schedule 1</w:t>
      </w:r>
      <w:r w:rsidRPr="0082124C">
        <w:t xml:space="preserve"> for obtaining a document must be paid before the document is obtained.</w:t>
      </w:r>
    </w:p>
    <w:p w14:paraId="1A1A1315" w14:textId="77777777" w:rsidR="00C20E73" w:rsidRPr="0082124C" w:rsidRDefault="00C20E73" w:rsidP="00C20E73">
      <w:pPr>
        <w:pStyle w:val="subsection"/>
      </w:pPr>
      <w:r w:rsidRPr="0082124C">
        <w:tab/>
        <w:t>(6)</w:t>
      </w:r>
      <w:r w:rsidRPr="0082124C">
        <w:tab/>
        <w:t xml:space="preserve">A fee mentioned in </w:t>
      </w:r>
      <w:r w:rsidR="00564701" w:rsidRPr="0082124C">
        <w:t>Part 2</w:t>
      </w:r>
      <w:r w:rsidRPr="0082124C">
        <w:t xml:space="preserve"> of </w:t>
      </w:r>
      <w:r w:rsidR="007F41AC" w:rsidRPr="0082124C">
        <w:t>Schedule 1</w:t>
      </w:r>
      <w:r w:rsidRPr="0082124C">
        <w:t xml:space="preserve"> for obtaining a service must be paid before the service is provided.</w:t>
      </w:r>
    </w:p>
    <w:p w14:paraId="755ADA1A" w14:textId="77777777" w:rsidR="00693CDD" w:rsidRPr="0082124C" w:rsidRDefault="00693CDD" w:rsidP="00693CDD">
      <w:pPr>
        <w:pStyle w:val="ActHead5"/>
      </w:pPr>
      <w:bookmarkStart w:id="21" w:name="_Toc113458354"/>
      <w:proofErr w:type="gramStart"/>
      <w:r w:rsidRPr="003F450F">
        <w:rPr>
          <w:rStyle w:val="CharSectno"/>
        </w:rPr>
        <w:t>13</w:t>
      </w:r>
      <w:r w:rsidRPr="0082124C">
        <w:t xml:space="preserve">  Deferral</w:t>
      </w:r>
      <w:proofErr w:type="gramEnd"/>
      <w:r w:rsidRPr="0082124C">
        <w:t xml:space="preserve"> of payment of fee</w:t>
      </w:r>
      <w:r w:rsidR="00DC233F" w:rsidRPr="0082124C">
        <w:t>s</w:t>
      </w:r>
      <w:bookmarkEnd w:id="21"/>
    </w:p>
    <w:p w14:paraId="396E109B" w14:textId="77777777" w:rsidR="00693CDD" w:rsidRPr="0082124C" w:rsidRDefault="00693CDD" w:rsidP="00693CDD">
      <w:pPr>
        <w:pStyle w:val="subsection"/>
      </w:pPr>
      <w:r w:rsidRPr="0082124C">
        <w:tab/>
        <w:t>(1)</w:t>
      </w:r>
      <w:r w:rsidRPr="0082124C">
        <w:tab/>
      </w:r>
      <w:r w:rsidR="007F41AC" w:rsidRPr="0082124C">
        <w:t>Section 1</w:t>
      </w:r>
      <w:r w:rsidR="002A0C21" w:rsidRPr="0082124C">
        <w:t>2</w:t>
      </w:r>
      <w:r w:rsidR="00BE034E" w:rsidRPr="0082124C">
        <w:t>A</w:t>
      </w:r>
      <w:r w:rsidR="002A0C21" w:rsidRPr="0082124C">
        <w:t xml:space="preserve"> does</w:t>
      </w:r>
      <w:r w:rsidRPr="0082124C">
        <w:t xml:space="preserve"> not apply to a fee if a Registrar defers the payment of the fee.</w:t>
      </w:r>
    </w:p>
    <w:p w14:paraId="4E7FD935" w14:textId="77777777" w:rsidR="00693CDD" w:rsidRPr="0082124C" w:rsidRDefault="00693CDD" w:rsidP="00693CDD">
      <w:pPr>
        <w:pStyle w:val="subsection"/>
      </w:pPr>
      <w:r w:rsidRPr="0082124C">
        <w:tab/>
        <w:t>(2)</w:t>
      </w:r>
      <w:r w:rsidRPr="0082124C">
        <w:tab/>
        <w:t xml:space="preserve">The Registrar may defer the payment of a fee under </w:t>
      </w:r>
      <w:r w:rsidR="00F579A2" w:rsidRPr="0082124C">
        <w:t>subsection (</w:t>
      </w:r>
      <w:r w:rsidRPr="0082124C">
        <w:t>1) if:</w:t>
      </w:r>
    </w:p>
    <w:p w14:paraId="19BCAA5C" w14:textId="77777777" w:rsidR="00693CDD" w:rsidRPr="0082124C" w:rsidRDefault="00693CDD" w:rsidP="00693CDD">
      <w:pPr>
        <w:pStyle w:val="paragraph"/>
      </w:pPr>
      <w:r w:rsidRPr="0082124C">
        <w:tab/>
        <w:t>(a)</w:t>
      </w:r>
      <w:r w:rsidRPr="0082124C">
        <w:tab/>
        <w:t>the fee is a filing fee or a hearing fee; and</w:t>
      </w:r>
    </w:p>
    <w:p w14:paraId="75E058AC" w14:textId="77777777" w:rsidR="00693CDD" w:rsidRPr="0082124C" w:rsidRDefault="00693CDD" w:rsidP="00693CDD">
      <w:pPr>
        <w:pStyle w:val="paragraph"/>
      </w:pPr>
      <w:r w:rsidRPr="0082124C">
        <w:tab/>
        <w:t>(b)</w:t>
      </w:r>
      <w:r w:rsidRPr="0082124C">
        <w:tab/>
        <w:t>in the Registrar’s opinion, the need to file the document or hear the proceeding is so urgent that it overrides the requirement to pay the fee when the fee would otherwise be payable.</w:t>
      </w:r>
    </w:p>
    <w:p w14:paraId="3AB6A2BD" w14:textId="77777777" w:rsidR="00693CDD" w:rsidRPr="0082124C" w:rsidRDefault="00693CDD" w:rsidP="00693CDD">
      <w:pPr>
        <w:pStyle w:val="subsection"/>
      </w:pPr>
      <w:r w:rsidRPr="0082124C">
        <w:tab/>
        <w:t>(3)</w:t>
      </w:r>
      <w:r w:rsidRPr="0082124C">
        <w:tab/>
        <w:t>If the payment of a fee is deferred, the fee must be paid:</w:t>
      </w:r>
    </w:p>
    <w:p w14:paraId="0B8E0800" w14:textId="77777777" w:rsidR="00693CDD" w:rsidRPr="0082124C" w:rsidRDefault="00693CDD" w:rsidP="00693CDD">
      <w:pPr>
        <w:pStyle w:val="paragraph"/>
      </w:pPr>
      <w:r w:rsidRPr="0082124C">
        <w:tab/>
        <w:t>(a)</w:t>
      </w:r>
      <w:r w:rsidRPr="0082124C">
        <w:tab/>
        <w:t>within 28 days after the day the payment is deferred; or</w:t>
      </w:r>
    </w:p>
    <w:p w14:paraId="62D5AB95" w14:textId="77777777" w:rsidR="00693CDD" w:rsidRPr="0082124C" w:rsidRDefault="00693CDD" w:rsidP="00693CDD">
      <w:pPr>
        <w:pStyle w:val="paragraph"/>
      </w:pPr>
      <w:r w:rsidRPr="0082124C">
        <w:tab/>
        <w:t>(b)</w:t>
      </w:r>
      <w:r w:rsidRPr="0082124C">
        <w:tab/>
        <w:t>within another period approved, in writing, by the Registrar for the payment of that fee.</w:t>
      </w:r>
    </w:p>
    <w:p w14:paraId="3A246D30" w14:textId="77777777" w:rsidR="00693CDD" w:rsidRPr="0082124C" w:rsidRDefault="00693CDD" w:rsidP="00693CDD">
      <w:pPr>
        <w:pStyle w:val="subsection"/>
      </w:pPr>
      <w:r w:rsidRPr="0082124C">
        <w:lastRenderedPageBreak/>
        <w:tab/>
        <w:t>(4)</w:t>
      </w:r>
      <w:r w:rsidRPr="0082124C">
        <w:tab/>
        <w:t>A fee can be deferred under this section only once.</w:t>
      </w:r>
    </w:p>
    <w:p w14:paraId="227DA028" w14:textId="77777777" w:rsidR="00693CDD" w:rsidRPr="0082124C" w:rsidRDefault="00693CDD" w:rsidP="00693CDD">
      <w:pPr>
        <w:pStyle w:val="ActHead5"/>
      </w:pPr>
      <w:bookmarkStart w:id="22" w:name="_Toc113458355"/>
      <w:proofErr w:type="gramStart"/>
      <w:r w:rsidRPr="003F450F">
        <w:rPr>
          <w:rStyle w:val="CharSectno"/>
        </w:rPr>
        <w:t>14</w:t>
      </w:r>
      <w:r w:rsidRPr="0082124C">
        <w:t xml:space="preserve">  What</w:t>
      </w:r>
      <w:proofErr w:type="gramEnd"/>
      <w:r w:rsidRPr="0082124C">
        <w:t xml:space="preserve"> happens if fee</w:t>
      </w:r>
      <w:r w:rsidR="00523C25" w:rsidRPr="0082124C">
        <w:t>s</w:t>
      </w:r>
      <w:r w:rsidRPr="0082124C">
        <w:t xml:space="preserve"> </w:t>
      </w:r>
      <w:r w:rsidR="00523C25" w:rsidRPr="0082124C">
        <w:t>are</w:t>
      </w:r>
      <w:r w:rsidRPr="0082124C">
        <w:t xml:space="preserve"> not paid</w:t>
      </w:r>
      <w:bookmarkEnd w:id="22"/>
    </w:p>
    <w:p w14:paraId="4875F094" w14:textId="77777777" w:rsidR="00693CDD" w:rsidRPr="0082124C" w:rsidRDefault="00693CDD" w:rsidP="00693CDD">
      <w:pPr>
        <w:pStyle w:val="subsection"/>
      </w:pPr>
      <w:r w:rsidRPr="0082124C">
        <w:tab/>
        <w:t>(1)</w:t>
      </w:r>
      <w:r w:rsidRPr="0082124C">
        <w:tab/>
        <w:t xml:space="preserve">This section applies if the payment of a fee is not deferred under </w:t>
      </w:r>
      <w:r w:rsidR="003D1A86" w:rsidRPr="0082124C">
        <w:t>section 1</w:t>
      </w:r>
      <w:r w:rsidRPr="0082124C">
        <w:t>3.</w:t>
      </w:r>
    </w:p>
    <w:p w14:paraId="6F9B33A2" w14:textId="77777777" w:rsidR="00693CDD" w:rsidRPr="0082124C" w:rsidRDefault="00693CDD" w:rsidP="00693CDD">
      <w:pPr>
        <w:pStyle w:val="subsection"/>
      </w:pPr>
      <w:r w:rsidRPr="0082124C">
        <w:tab/>
        <w:t>(2)</w:t>
      </w:r>
      <w:r w:rsidRPr="0082124C">
        <w:tab/>
        <w:t xml:space="preserve">If a person is required to pay a filing fee or a fee mentioned in </w:t>
      </w:r>
      <w:r w:rsidR="00564701" w:rsidRPr="0082124C">
        <w:t>Part 2</w:t>
      </w:r>
      <w:r w:rsidRPr="0082124C">
        <w:t xml:space="preserve"> of </w:t>
      </w:r>
      <w:r w:rsidR="007F41AC" w:rsidRPr="0082124C">
        <w:t>Schedule 1</w:t>
      </w:r>
      <w:r w:rsidRPr="0082124C">
        <w:t xml:space="preserve"> in relation to a proceeding before the filing or obtaining of a document or the provision of a service, the document must not be filed, and the document or service must not be provided, until the whole fee is paid.</w:t>
      </w:r>
    </w:p>
    <w:p w14:paraId="3018ADD6" w14:textId="77777777" w:rsidR="00693CDD" w:rsidRPr="0082124C" w:rsidRDefault="00693CDD" w:rsidP="00693CDD">
      <w:pPr>
        <w:pStyle w:val="subsection"/>
      </w:pPr>
      <w:r w:rsidRPr="0082124C">
        <w:tab/>
        <w:t>(3)</w:t>
      </w:r>
      <w:r w:rsidRPr="0082124C">
        <w:tab/>
        <w:t>If a hearing fee for a hearing day is not paid in relation to a proceeding:</w:t>
      </w:r>
    </w:p>
    <w:p w14:paraId="3DD1B871" w14:textId="77777777" w:rsidR="00693CDD" w:rsidRPr="0082124C" w:rsidRDefault="00693CDD" w:rsidP="00693CDD">
      <w:pPr>
        <w:pStyle w:val="paragraph"/>
      </w:pPr>
      <w:r w:rsidRPr="0082124C">
        <w:tab/>
        <w:t>(a)</w:t>
      </w:r>
      <w:r w:rsidRPr="0082124C">
        <w:tab/>
        <w:t>the Court or a Justice of the Court may, on application by a party to the proceeding, order that no proceeding, or no proceeding other than a specified proceeding, is to take place except by leave; and</w:t>
      </w:r>
    </w:p>
    <w:p w14:paraId="319DAEC1" w14:textId="77777777" w:rsidR="00693CDD" w:rsidRPr="0082124C" w:rsidRDefault="00693CDD" w:rsidP="00693CDD">
      <w:pPr>
        <w:pStyle w:val="paragraph"/>
      </w:pPr>
      <w:r w:rsidRPr="0082124C">
        <w:tab/>
        <w:t>(b)</w:t>
      </w:r>
      <w:r w:rsidRPr="0082124C">
        <w:tab/>
        <w:t>a person other than the person liable to pay the fee may pay the fee without affecting any power of the Court or a Justice of the Court to make an order for costs for the fee; and</w:t>
      </w:r>
    </w:p>
    <w:p w14:paraId="0945E494" w14:textId="77777777" w:rsidR="00693CDD" w:rsidRPr="0082124C" w:rsidRDefault="00693CDD" w:rsidP="00693CDD">
      <w:pPr>
        <w:pStyle w:val="paragraph"/>
      </w:pPr>
      <w:r w:rsidRPr="0082124C">
        <w:tab/>
        <w:t>(c)</w:t>
      </w:r>
      <w:r w:rsidRPr="0082124C">
        <w:tab/>
        <w:t>the Court or a Justice of the Court may vacate the hearing day.</w:t>
      </w:r>
    </w:p>
    <w:p w14:paraId="595EB9A9" w14:textId="77777777" w:rsidR="00693CDD" w:rsidRPr="0082124C" w:rsidRDefault="00564701" w:rsidP="002271D0">
      <w:pPr>
        <w:pStyle w:val="ActHead3"/>
        <w:pageBreakBefore/>
      </w:pPr>
      <w:bookmarkStart w:id="23" w:name="_Toc113458356"/>
      <w:r w:rsidRPr="003F450F">
        <w:rPr>
          <w:rStyle w:val="CharDivNo"/>
        </w:rPr>
        <w:lastRenderedPageBreak/>
        <w:t>Division 2</w:t>
      </w:r>
      <w:r w:rsidR="00693CDD" w:rsidRPr="003F450F">
        <w:rPr>
          <w:rStyle w:val="CharDivNo"/>
        </w:rPr>
        <w:t>.6</w:t>
      </w:r>
      <w:r w:rsidR="00693CDD" w:rsidRPr="0082124C">
        <w:t>—</w:t>
      </w:r>
      <w:r w:rsidR="00693CDD" w:rsidRPr="003F450F">
        <w:rPr>
          <w:rStyle w:val="CharDivText"/>
        </w:rPr>
        <w:t>Miscellaneous</w:t>
      </w:r>
      <w:bookmarkEnd w:id="23"/>
    </w:p>
    <w:p w14:paraId="22057591" w14:textId="77777777" w:rsidR="00693CDD" w:rsidRPr="0082124C" w:rsidRDefault="00693CDD" w:rsidP="00693CDD">
      <w:pPr>
        <w:pStyle w:val="ActHead5"/>
      </w:pPr>
      <w:bookmarkStart w:id="24" w:name="_Toc113458357"/>
      <w:proofErr w:type="gramStart"/>
      <w:r w:rsidRPr="003F450F">
        <w:rPr>
          <w:rStyle w:val="CharSectno"/>
        </w:rPr>
        <w:t>15</w:t>
      </w:r>
      <w:r w:rsidRPr="0082124C">
        <w:t xml:space="preserve">  Refund</w:t>
      </w:r>
      <w:proofErr w:type="gramEnd"/>
      <w:r w:rsidRPr="0082124C">
        <w:t xml:space="preserve"> of fees</w:t>
      </w:r>
      <w:bookmarkEnd w:id="24"/>
    </w:p>
    <w:p w14:paraId="467C081A" w14:textId="77777777" w:rsidR="00693CDD" w:rsidRPr="0082124C" w:rsidRDefault="00693CDD" w:rsidP="00693CDD">
      <w:pPr>
        <w:pStyle w:val="SubsectionHead"/>
      </w:pPr>
      <w:r w:rsidRPr="0082124C">
        <w:t>General</w:t>
      </w:r>
    </w:p>
    <w:p w14:paraId="1F4FB1C7" w14:textId="77777777" w:rsidR="007B4E77" w:rsidRPr="0082124C" w:rsidRDefault="00693CDD" w:rsidP="007B4E77">
      <w:pPr>
        <w:pStyle w:val="subsection"/>
      </w:pPr>
      <w:r w:rsidRPr="0082124C">
        <w:tab/>
        <w:t>(1)</w:t>
      </w:r>
      <w:r w:rsidRPr="0082124C">
        <w:tab/>
        <w:t xml:space="preserve">A person is entitled to a refund of an amount in relation to the payment of a fee </w:t>
      </w:r>
      <w:r w:rsidR="007B4E77" w:rsidRPr="0082124C">
        <w:t>if the person pays more than the person is required to pay for the fee under this instrument.</w:t>
      </w:r>
    </w:p>
    <w:p w14:paraId="4F63DB16" w14:textId="77777777" w:rsidR="00693CDD" w:rsidRPr="0082124C" w:rsidRDefault="00693CDD" w:rsidP="007B4E77">
      <w:pPr>
        <w:pStyle w:val="subsection"/>
      </w:pPr>
      <w:r w:rsidRPr="0082124C">
        <w:tab/>
        <w:t>(2)</w:t>
      </w:r>
      <w:r w:rsidRPr="0082124C">
        <w:tab/>
        <w:t xml:space="preserve">The amount to be refunded is the difference between the amount paid by the person and the amount </w:t>
      </w:r>
      <w:r w:rsidR="007B4E77" w:rsidRPr="0082124C">
        <w:t>that the person is required to pay for the fee</w:t>
      </w:r>
      <w:r w:rsidR="00F8014C" w:rsidRPr="0082124C">
        <w:t>.</w:t>
      </w:r>
    </w:p>
    <w:p w14:paraId="44D8B2E2" w14:textId="77777777" w:rsidR="00693CDD" w:rsidRPr="0082124C" w:rsidRDefault="00693CDD" w:rsidP="00693CDD">
      <w:pPr>
        <w:pStyle w:val="SubsectionHead"/>
      </w:pPr>
      <w:r w:rsidRPr="0082124C">
        <w:t>Hearing fees</w:t>
      </w:r>
    </w:p>
    <w:p w14:paraId="4853646A" w14:textId="77777777" w:rsidR="00693CDD" w:rsidRPr="0082124C" w:rsidRDefault="00693CDD" w:rsidP="00693CDD">
      <w:pPr>
        <w:pStyle w:val="subsection"/>
      </w:pPr>
      <w:r w:rsidRPr="0082124C">
        <w:tab/>
        <w:t>(3)</w:t>
      </w:r>
      <w:r w:rsidRPr="0082124C">
        <w:tab/>
        <w:t>A person is entitled to the refund of the amount paid by the person as a hearing fee if:</w:t>
      </w:r>
    </w:p>
    <w:p w14:paraId="424007F4" w14:textId="77777777" w:rsidR="00693CDD" w:rsidRPr="0082124C" w:rsidRDefault="00693CDD" w:rsidP="00693CDD">
      <w:pPr>
        <w:pStyle w:val="paragraph"/>
      </w:pPr>
      <w:r w:rsidRPr="0082124C">
        <w:tab/>
        <w:t>(a)</w:t>
      </w:r>
      <w:r w:rsidRPr="0082124C">
        <w:tab/>
        <w:t xml:space="preserve">the person notifies a Registrar, in accordance with </w:t>
      </w:r>
      <w:r w:rsidR="00F579A2" w:rsidRPr="0082124C">
        <w:t>subsection (</w:t>
      </w:r>
      <w:r w:rsidRPr="0082124C">
        <w:t>4), that the hearing will not occur and:</w:t>
      </w:r>
    </w:p>
    <w:p w14:paraId="2D7E067D" w14:textId="77777777" w:rsidR="00693CDD" w:rsidRPr="0082124C" w:rsidRDefault="00693CDD" w:rsidP="00693CDD">
      <w:pPr>
        <w:pStyle w:val="paragraphsub"/>
      </w:pPr>
      <w:r w:rsidRPr="0082124C">
        <w:tab/>
        <w:t>(</w:t>
      </w:r>
      <w:proofErr w:type="spellStart"/>
      <w:r w:rsidRPr="0082124C">
        <w:t>i</w:t>
      </w:r>
      <w:proofErr w:type="spellEnd"/>
      <w:r w:rsidRPr="0082124C">
        <w:t>)</w:t>
      </w:r>
      <w:r w:rsidRPr="0082124C">
        <w:tab/>
        <w:t>the hearing does not occur; or</w:t>
      </w:r>
    </w:p>
    <w:p w14:paraId="56CBC3FF" w14:textId="77777777" w:rsidR="00693CDD" w:rsidRPr="0082124C" w:rsidRDefault="00693CDD" w:rsidP="00693CDD">
      <w:pPr>
        <w:pStyle w:val="paragraphsub"/>
      </w:pPr>
      <w:r w:rsidRPr="0082124C">
        <w:tab/>
        <w:t>(ii)</w:t>
      </w:r>
      <w:r w:rsidRPr="0082124C">
        <w:tab/>
        <w:t>a hearing is conducted only for the purpose of making formal orders; or</w:t>
      </w:r>
    </w:p>
    <w:p w14:paraId="622AFEA0" w14:textId="77777777" w:rsidR="00693CDD" w:rsidRPr="0082124C" w:rsidRDefault="00693CDD" w:rsidP="00693CDD">
      <w:pPr>
        <w:pStyle w:val="paragraph"/>
      </w:pPr>
      <w:r w:rsidRPr="0082124C">
        <w:tab/>
        <w:t>(b)</w:t>
      </w:r>
      <w:r w:rsidRPr="0082124C">
        <w:tab/>
        <w:t>a hearing day has not been fixed and the proceeding to which the hearing relates is discontinued or otherwise determined.</w:t>
      </w:r>
    </w:p>
    <w:p w14:paraId="26773D08" w14:textId="77777777" w:rsidR="00693CDD" w:rsidRPr="0082124C" w:rsidRDefault="00693CDD" w:rsidP="00693CDD">
      <w:pPr>
        <w:pStyle w:val="subsection"/>
      </w:pPr>
      <w:r w:rsidRPr="0082124C">
        <w:tab/>
        <w:t>(4)</w:t>
      </w:r>
      <w:r w:rsidRPr="0082124C">
        <w:tab/>
        <w:t>The person must notify the Registrar in writing:</w:t>
      </w:r>
    </w:p>
    <w:p w14:paraId="476D2DE1" w14:textId="77777777" w:rsidR="00693CDD" w:rsidRPr="0082124C" w:rsidRDefault="00693CDD" w:rsidP="00693CDD">
      <w:pPr>
        <w:pStyle w:val="paragraph"/>
      </w:pPr>
      <w:r w:rsidRPr="0082124C">
        <w:tab/>
        <w:t>(a)</w:t>
      </w:r>
      <w:r w:rsidRPr="0082124C">
        <w:tab/>
        <w:t>if the hearing day was fixed less than 10 business days before the hearing day—at least 2 business days before the hearing day; and</w:t>
      </w:r>
    </w:p>
    <w:p w14:paraId="4285DFA3" w14:textId="77777777" w:rsidR="00693CDD" w:rsidRPr="0082124C" w:rsidRDefault="00693CDD" w:rsidP="00693CDD">
      <w:pPr>
        <w:pStyle w:val="paragraph"/>
      </w:pPr>
      <w:r w:rsidRPr="0082124C">
        <w:tab/>
        <w:t>(b)</w:t>
      </w:r>
      <w:r w:rsidRPr="0082124C">
        <w:tab/>
        <w:t>in any other case—at least 10 business days before the hearing day.</w:t>
      </w:r>
    </w:p>
    <w:p w14:paraId="24E15452" w14:textId="77777777" w:rsidR="00693CDD" w:rsidRPr="0082124C" w:rsidRDefault="00693CDD" w:rsidP="00693CDD">
      <w:pPr>
        <w:pStyle w:val="ActHead5"/>
      </w:pPr>
      <w:bookmarkStart w:id="25" w:name="_Toc113458358"/>
      <w:proofErr w:type="gramStart"/>
      <w:r w:rsidRPr="003F450F">
        <w:rPr>
          <w:rStyle w:val="CharSectno"/>
        </w:rPr>
        <w:t>16</w:t>
      </w:r>
      <w:r w:rsidRPr="0082124C">
        <w:t xml:space="preserve">  Annual</w:t>
      </w:r>
      <w:proofErr w:type="gramEnd"/>
      <w:r w:rsidRPr="0082124C">
        <w:t xml:space="preserve"> increase in fees</w:t>
      </w:r>
      <w:bookmarkEnd w:id="25"/>
    </w:p>
    <w:p w14:paraId="736C9B0A" w14:textId="77777777" w:rsidR="00693CDD" w:rsidRPr="0082124C" w:rsidRDefault="00693CDD" w:rsidP="00693CDD">
      <w:pPr>
        <w:pStyle w:val="subsection"/>
      </w:pPr>
      <w:r w:rsidRPr="0082124C">
        <w:tab/>
        <w:t>(1)</w:t>
      </w:r>
      <w:r w:rsidRPr="0082124C">
        <w:tab/>
        <w:t xml:space="preserve">The amount of each fee mentioned in </w:t>
      </w:r>
      <w:r w:rsidR="007F41AC" w:rsidRPr="0082124C">
        <w:t>Schedule 1</w:t>
      </w:r>
      <w:r w:rsidRPr="0082124C">
        <w:t xml:space="preserve"> is increased on </w:t>
      </w:r>
      <w:r w:rsidR="0053493B" w:rsidRPr="0082124C">
        <w:t>1 July</w:t>
      </w:r>
      <w:r w:rsidRPr="0082124C">
        <w:t xml:space="preserve"> </w:t>
      </w:r>
      <w:r w:rsidR="006B4C9F" w:rsidRPr="0082124C">
        <w:t>2023</w:t>
      </w:r>
      <w:r w:rsidRPr="0082124C">
        <w:t xml:space="preserve">, and on each </w:t>
      </w:r>
      <w:r w:rsidR="0053493B" w:rsidRPr="0082124C">
        <w:t>1 July</w:t>
      </w:r>
      <w:r w:rsidRPr="0082124C">
        <w:t xml:space="preserve"> following that day.</w:t>
      </w:r>
    </w:p>
    <w:p w14:paraId="2884B2E3" w14:textId="77777777" w:rsidR="00693CDD" w:rsidRPr="0082124C" w:rsidRDefault="00693CDD" w:rsidP="00693CDD">
      <w:pPr>
        <w:pStyle w:val="SubsectionHead"/>
      </w:pPr>
      <w:r w:rsidRPr="0082124C">
        <w:t>Fees other than financial hardship fees</w:t>
      </w:r>
    </w:p>
    <w:p w14:paraId="05CF89CE" w14:textId="77777777" w:rsidR="00693CDD" w:rsidRPr="0082124C" w:rsidRDefault="00693CDD" w:rsidP="00693CDD">
      <w:pPr>
        <w:pStyle w:val="subsection"/>
      </w:pPr>
      <w:r w:rsidRPr="0082124C">
        <w:tab/>
        <w:t>(2)</w:t>
      </w:r>
      <w:r w:rsidRPr="0082124C">
        <w:tab/>
        <w:t xml:space="preserve">Subsections (3) and (4) apply to a fee mentioned in </w:t>
      </w:r>
      <w:r w:rsidR="007F41AC" w:rsidRPr="0082124C">
        <w:t>Schedule 1</w:t>
      </w:r>
      <w:r w:rsidRPr="0082124C">
        <w:t xml:space="preserve"> other than a fee described as a financial hardship fee.</w:t>
      </w:r>
    </w:p>
    <w:p w14:paraId="05E6676D" w14:textId="77777777" w:rsidR="00693CDD" w:rsidRPr="0082124C" w:rsidRDefault="00693CDD" w:rsidP="00693CDD">
      <w:pPr>
        <w:pStyle w:val="subsection"/>
      </w:pPr>
      <w:r w:rsidRPr="0082124C">
        <w:tab/>
        <w:t>(3)</w:t>
      </w:r>
      <w:r w:rsidRPr="0082124C">
        <w:tab/>
        <w:t xml:space="preserve">If, in a relevant period, the latest CPI number is greater than the earlier CPI number, the fee is increased, on </w:t>
      </w:r>
      <w:r w:rsidR="0053493B" w:rsidRPr="0082124C">
        <w:t>1 July</w:t>
      </w:r>
      <w:r w:rsidRPr="0082124C">
        <w:t xml:space="preserve"> immediately following the end of the period, in accordance with the formula:</w:t>
      </w:r>
    </w:p>
    <w:p w14:paraId="731A6DED" w14:textId="77777777" w:rsidR="002271D0" w:rsidRPr="0082124C" w:rsidRDefault="0086223C" w:rsidP="002271D0">
      <w:pPr>
        <w:pStyle w:val="subsection2"/>
      </w:pPr>
      <w:r w:rsidRPr="0082124C">
        <w:rPr>
          <w:position w:val="-36"/>
        </w:rPr>
        <w:object w:dxaOrig="2200" w:dyaOrig="920" w14:anchorId="54970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rt formula start fraction fee times latest CPI number over earlier CPI number end fraction end formula." style="width:110.25pt;height:45.75pt" o:ole="">
            <v:imagedata r:id="rId20" o:title=""/>
          </v:shape>
          <o:OLEObject Type="Embed" ProgID="Equation.DSMT4" ShapeID="_x0000_i1025" DrawAspect="Content" ObjectID="_1734344975" r:id="rId21"/>
        </w:object>
      </w:r>
    </w:p>
    <w:p w14:paraId="57F8192E" w14:textId="77777777" w:rsidR="00693CDD" w:rsidRPr="0082124C" w:rsidRDefault="00693CDD" w:rsidP="00693CDD">
      <w:pPr>
        <w:pStyle w:val="subsection2"/>
      </w:pPr>
      <w:r w:rsidRPr="0082124C">
        <w:t>where:</w:t>
      </w:r>
    </w:p>
    <w:p w14:paraId="63EACBC1" w14:textId="77777777" w:rsidR="00693CDD" w:rsidRPr="0082124C" w:rsidRDefault="00693CDD" w:rsidP="00693CDD">
      <w:pPr>
        <w:pStyle w:val="Definition"/>
      </w:pPr>
      <w:r w:rsidRPr="0082124C">
        <w:rPr>
          <w:b/>
          <w:i/>
        </w:rPr>
        <w:t xml:space="preserve">earlier CPI number </w:t>
      </w:r>
      <w:r w:rsidRPr="0082124C">
        <w:t>is the CPI number for the last March quarter before the start of the relevant period.</w:t>
      </w:r>
    </w:p>
    <w:p w14:paraId="4197A758" w14:textId="77777777" w:rsidR="00693CDD" w:rsidRPr="0082124C" w:rsidRDefault="00693CDD" w:rsidP="00693CDD">
      <w:pPr>
        <w:pStyle w:val="Definition"/>
      </w:pPr>
      <w:r w:rsidRPr="0082124C">
        <w:rPr>
          <w:b/>
          <w:i/>
        </w:rPr>
        <w:lastRenderedPageBreak/>
        <w:t xml:space="preserve">fee </w:t>
      </w:r>
      <w:r w:rsidRPr="0082124C">
        <w:t xml:space="preserve">is the </w:t>
      </w:r>
      <w:r w:rsidR="00CC6E61" w:rsidRPr="0082124C">
        <w:t xml:space="preserve">amount of the </w:t>
      </w:r>
      <w:r w:rsidRPr="0082124C">
        <w:t>fee in force at the end of the relevant period.</w:t>
      </w:r>
    </w:p>
    <w:p w14:paraId="71FBBAF3" w14:textId="77777777" w:rsidR="00693CDD" w:rsidRPr="0082124C" w:rsidRDefault="00693CDD" w:rsidP="00693CDD">
      <w:pPr>
        <w:pStyle w:val="Definition"/>
      </w:pPr>
      <w:r w:rsidRPr="0082124C">
        <w:rPr>
          <w:b/>
          <w:i/>
        </w:rPr>
        <w:t xml:space="preserve">latest CPI number </w:t>
      </w:r>
      <w:r w:rsidRPr="0082124C">
        <w:t>is the CPI number for the last March quarter before the end of the relevant period.</w:t>
      </w:r>
    </w:p>
    <w:p w14:paraId="613FF044" w14:textId="77777777" w:rsidR="00693CDD" w:rsidRPr="0082124C" w:rsidRDefault="00693CDD" w:rsidP="00693CDD">
      <w:pPr>
        <w:pStyle w:val="subsection"/>
      </w:pPr>
      <w:r w:rsidRPr="0082124C">
        <w:tab/>
        <w:t>(4)</w:t>
      </w:r>
      <w:r w:rsidRPr="0082124C">
        <w:tab/>
        <w:t xml:space="preserve">The amount of the fee worked out under </w:t>
      </w:r>
      <w:r w:rsidR="00F579A2" w:rsidRPr="0082124C">
        <w:t>subsection (</w:t>
      </w:r>
      <w:r w:rsidRPr="0082124C">
        <w:t>3) is to be rounded to an amount of dollars and cents and then further rounded as follows:</w:t>
      </w:r>
    </w:p>
    <w:p w14:paraId="6CF1416F" w14:textId="77777777" w:rsidR="00693CDD" w:rsidRPr="0082124C" w:rsidRDefault="00693CDD" w:rsidP="00693CDD">
      <w:pPr>
        <w:pStyle w:val="paragraph"/>
      </w:pPr>
      <w:r w:rsidRPr="0082124C">
        <w:tab/>
        <w:t>(a)</w:t>
      </w:r>
      <w:r w:rsidRPr="0082124C">
        <w:tab/>
        <w:t>if the amount is $50 or more—the amount is to be rounded to the nearest amount that is a multiple of $5;</w:t>
      </w:r>
    </w:p>
    <w:p w14:paraId="7E682C44" w14:textId="77777777" w:rsidR="00693CDD" w:rsidRPr="0082124C" w:rsidRDefault="00693CDD" w:rsidP="00693CDD">
      <w:pPr>
        <w:pStyle w:val="paragraph"/>
      </w:pPr>
      <w:r w:rsidRPr="0082124C">
        <w:tab/>
        <w:t>(b)</w:t>
      </w:r>
      <w:r w:rsidRPr="0082124C">
        <w:tab/>
        <w:t>if the amount is less than $50—the amount is to be rounded to the nearest whole dollar;</w:t>
      </w:r>
    </w:p>
    <w:p w14:paraId="7D773119" w14:textId="77777777" w:rsidR="00693CDD" w:rsidRPr="0082124C" w:rsidRDefault="00693CDD" w:rsidP="00693CDD">
      <w:pPr>
        <w:pStyle w:val="paragraph"/>
      </w:pPr>
      <w:r w:rsidRPr="0082124C">
        <w:tab/>
        <w:t>(c)</w:t>
      </w:r>
      <w:r w:rsidRPr="0082124C">
        <w:tab/>
        <w:t>if the amount to be rounded is 50 cents, the amount is to be rounded down.</w:t>
      </w:r>
    </w:p>
    <w:p w14:paraId="60A38AC9" w14:textId="77777777" w:rsidR="00693CDD" w:rsidRPr="0082124C" w:rsidRDefault="00693CDD" w:rsidP="00693CDD">
      <w:pPr>
        <w:pStyle w:val="SubsectionHead"/>
      </w:pPr>
      <w:r w:rsidRPr="0082124C">
        <w:t>Financial hardship fee</w:t>
      </w:r>
      <w:r w:rsidR="000C295C" w:rsidRPr="0082124C">
        <w:t>s</w:t>
      </w:r>
    </w:p>
    <w:p w14:paraId="7D1020D9" w14:textId="77777777" w:rsidR="00693CDD" w:rsidRPr="0082124C" w:rsidRDefault="00693CDD" w:rsidP="00693CDD">
      <w:pPr>
        <w:pStyle w:val="subsection"/>
      </w:pPr>
      <w:r w:rsidRPr="0082124C">
        <w:tab/>
        <w:t>(5)</w:t>
      </w:r>
      <w:r w:rsidRPr="0082124C">
        <w:tab/>
        <w:t>If:</w:t>
      </w:r>
    </w:p>
    <w:p w14:paraId="6EC9313F" w14:textId="77777777" w:rsidR="00693CDD" w:rsidRPr="0082124C" w:rsidRDefault="00693CDD" w:rsidP="00693CDD">
      <w:pPr>
        <w:pStyle w:val="paragraph"/>
      </w:pPr>
      <w:r w:rsidRPr="0082124C">
        <w:tab/>
        <w:t>(a)</w:t>
      </w:r>
      <w:r w:rsidRPr="0082124C">
        <w:tab/>
        <w:t xml:space="preserve">a fee (the </w:t>
      </w:r>
      <w:r w:rsidRPr="0082124C">
        <w:rPr>
          <w:b/>
          <w:i/>
        </w:rPr>
        <w:t>first fee</w:t>
      </w:r>
      <w:r w:rsidRPr="0082124C">
        <w:t xml:space="preserve">) is increased and rounded under </w:t>
      </w:r>
      <w:r w:rsidR="007F41AC" w:rsidRPr="0082124C">
        <w:t>subsections (</w:t>
      </w:r>
      <w:r w:rsidRPr="0082124C">
        <w:t>3) and (4); and</w:t>
      </w:r>
    </w:p>
    <w:p w14:paraId="37732703" w14:textId="77777777" w:rsidR="00693CDD" w:rsidRPr="0082124C" w:rsidRDefault="00693CDD" w:rsidP="00693CDD">
      <w:pPr>
        <w:pStyle w:val="paragraph"/>
      </w:pPr>
      <w:r w:rsidRPr="0082124C">
        <w:tab/>
        <w:t>(b)</w:t>
      </w:r>
      <w:r w:rsidRPr="0082124C">
        <w:tab/>
        <w:t xml:space="preserve">the item in </w:t>
      </w:r>
      <w:r w:rsidR="007F41AC" w:rsidRPr="0082124C">
        <w:t>Schedule 1</w:t>
      </w:r>
      <w:r w:rsidRPr="0082124C">
        <w:t xml:space="preserve"> that mentions the fee also mentions a financial hardship fee;</w:t>
      </w:r>
    </w:p>
    <w:p w14:paraId="57AC71EF" w14:textId="77777777" w:rsidR="00693CDD" w:rsidRPr="0082124C" w:rsidRDefault="00693CDD" w:rsidP="00693CDD">
      <w:pPr>
        <w:pStyle w:val="subsection2"/>
      </w:pPr>
      <w:r w:rsidRPr="0082124C">
        <w:t xml:space="preserve">the financial hardship fee is increased, at the same time as the first fee, in accordance with </w:t>
      </w:r>
      <w:r w:rsidR="00F579A2" w:rsidRPr="0082124C">
        <w:t>subsection (</w:t>
      </w:r>
      <w:r w:rsidRPr="0082124C">
        <w:t>6).</w:t>
      </w:r>
    </w:p>
    <w:p w14:paraId="0D9BC17B" w14:textId="77777777" w:rsidR="00693CDD" w:rsidRPr="0082124C" w:rsidRDefault="00693CDD" w:rsidP="00693CDD">
      <w:pPr>
        <w:pStyle w:val="subsection"/>
      </w:pPr>
      <w:r w:rsidRPr="0082124C">
        <w:tab/>
        <w:t>(6)</w:t>
      </w:r>
      <w:r w:rsidRPr="0082124C">
        <w:tab/>
        <w:t>The increased financial hardship fee is one</w:t>
      </w:r>
      <w:r w:rsidR="0082124C">
        <w:noBreakHyphen/>
      </w:r>
      <w:r w:rsidRPr="0082124C">
        <w:t xml:space="preserve">third of the amount of the first fee (as increased and rounded under </w:t>
      </w:r>
      <w:r w:rsidR="007F41AC" w:rsidRPr="0082124C">
        <w:t>subsections (</w:t>
      </w:r>
      <w:r w:rsidRPr="0082124C">
        <w:t>3) and (4)), rounded down to the nearest multiple of $5.</w:t>
      </w:r>
    </w:p>
    <w:p w14:paraId="2B5A557D" w14:textId="77777777" w:rsidR="00693CDD" w:rsidRPr="0082124C" w:rsidRDefault="00693CDD" w:rsidP="00693CDD">
      <w:pPr>
        <w:pStyle w:val="SubsectionHead"/>
      </w:pPr>
      <w:r w:rsidRPr="0082124C">
        <w:t>Other rules</w:t>
      </w:r>
    </w:p>
    <w:p w14:paraId="438E7307" w14:textId="77777777" w:rsidR="00693CDD" w:rsidRPr="0082124C" w:rsidRDefault="00693CDD" w:rsidP="00693CDD">
      <w:pPr>
        <w:pStyle w:val="subsection"/>
      </w:pPr>
      <w:r w:rsidRPr="0082124C">
        <w:tab/>
        <w:t>(7)</w:t>
      </w:r>
      <w:r w:rsidRPr="0082124C">
        <w:tab/>
        <w:t>If the Australian Statistician publishes for a particular March quarter a CPI number in substitution for a CPI number previously published by the Australian Statistician for that quarter, the publication of the later CPI number is disregarded for this section.</w:t>
      </w:r>
    </w:p>
    <w:p w14:paraId="4ADFAC7C" w14:textId="77777777" w:rsidR="00693CDD" w:rsidRPr="0082124C" w:rsidRDefault="00693CDD" w:rsidP="00693CDD">
      <w:pPr>
        <w:pStyle w:val="subsection"/>
      </w:pPr>
      <w:r w:rsidRPr="0082124C">
        <w:tab/>
        <w:t>(8)</w:t>
      </w:r>
      <w:r w:rsidRPr="0082124C">
        <w:tab/>
        <w:t xml:space="preserve">However, if the Australian Statistician changes the </w:t>
      </w:r>
      <w:r w:rsidR="005D6576" w:rsidRPr="0082124C">
        <w:t>index reference period</w:t>
      </w:r>
      <w:r w:rsidRPr="0082124C">
        <w:t xml:space="preserve"> for the </w:t>
      </w:r>
      <w:r w:rsidR="00BC1698" w:rsidRPr="0082124C">
        <w:t>CPI number</w:t>
      </w:r>
      <w:r w:rsidRPr="0082124C">
        <w:t xml:space="preserve">, then for the application of this section after the change is made, regard must be had only to CPI numbers published in terms of the new </w:t>
      </w:r>
      <w:r w:rsidR="005D6576" w:rsidRPr="0082124C">
        <w:t>index reference period</w:t>
      </w:r>
      <w:r w:rsidRPr="0082124C">
        <w:t>.</w:t>
      </w:r>
    </w:p>
    <w:p w14:paraId="01E8DBD4" w14:textId="77777777" w:rsidR="00693CDD" w:rsidRPr="0082124C" w:rsidRDefault="00693CDD" w:rsidP="00693CDD">
      <w:pPr>
        <w:pStyle w:val="ActHead5"/>
      </w:pPr>
      <w:bookmarkStart w:id="26" w:name="_Toc113458359"/>
      <w:proofErr w:type="gramStart"/>
      <w:r w:rsidRPr="003F450F">
        <w:rPr>
          <w:rStyle w:val="CharSectno"/>
        </w:rPr>
        <w:t>17</w:t>
      </w:r>
      <w:r w:rsidRPr="0082124C">
        <w:t xml:space="preserve">  Notice</w:t>
      </w:r>
      <w:proofErr w:type="gramEnd"/>
      <w:r w:rsidRPr="0082124C">
        <w:t xml:space="preserve"> of decision and AAT review</w:t>
      </w:r>
      <w:bookmarkEnd w:id="26"/>
    </w:p>
    <w:p w14:paraId="5D461221" w14:textId="77777777" w:rsidR="00693CDD" w:rsidRPr="0082124C" w:rsidRDefault="00693CDD" w:rsidP="00693CDD">
      <w:pPr>
        <w:pStyle w:val="subsection"/>
      </w:pPr>
      <w:r w:rsidRPr="0082124C">
        <w:tab/>
        <w:t>(1)</w:t>
      </w:r>
      <w:r w:rsidRPr="0082124C">
        <w:tab/>
        <w:t xml:space="preserve">A Registrar must give a </w:t>
      </w:r>
      <w:r w:rsidR="00F6693E" w:rsidRPr="0082124C">
        <w:t>liable person for</w:t>
      </w:r>
      <w:r w:rsidRPr="0082124C">
        <w:t xml:space="preserve"> a fee a notice in accordance with this section if the Registrar </w:t>
      </w:r>
      <w:proofErr w:type="gramStart"/>
      <w:r w:rsidRPr="0082124C">
        <w:t>makes a decision</w:t>
      </w:r>
      <w:proofErr w:type="gramEnd"/>
      <w:r w:rsidRPr="0082124C">
        <w:t xml:space="preserve"> about the fee under </w:t>
      </w:r>
      <w:r w:rsidR="003D1A86" w:rsidRPr="0082124C">
        <w:t>section 1</w:t>
      </w:r>
      <w:r w:rsidRPr="0082124C">
        <w:t>2.</w:t>
      </w:r>
    </w:p>
    <w:p w14:paraId="64326C15" w14:textId="77777777" w:rsidR="00693CDD" w:rsidRPr="0082124C" w:rsidRDefault="00693CDD" w:rsidP="00693CDD">
      <w:pPr>
        <w:pStyle w:val="subsection"/>
      </w:pPr>
      <w:r w:rsidRPr="0082124C">
        <w:tab/>
        <w:t>(2)</w:t>
      </w:r>
      <w:r w:rsidRPr="0082124C">
        <w:tab/>
        <w:t>The Registrar must give the notice to the liable person within 28 days after making the decision.</w:t>
      </w:r>
    </w:p>
    <w:p w14:paraId="7D694847" w14:textId="77777777" w:rsidR="00693CDD" w:rsidRPr="0082124C" w:rsidRDefault="00693CDD" w:rsidP="00693CDD">
      <w:pPr>
        <w:pStyle w:val="subsection"/>
      </w:pPr>
      <w:r w:rsidRPr="0082124C">
        <w:tab/>
        <w:t>(3)</w:t>
      </w:r>
      <w:r w:rsidRPr="0082124C">
        <w:tab/>
        <w:t>The notice must set out:</w:t>
      </w:r>
    </w:p>
    <w:p w14:paraId="4B06C627" w14:textId="77777777" w:rsidR="00693CDD" w:rsidRPr="0082124C" w:rsidRDefault="00693CDD" w:rsidP="00693CDD">
      <w:pPr>
        <w:pStyle w:val="paragraph"/>
      </w:pPr>
      <w:r w:rsidRPr="0082124C">
        <w:tab/>
        <w:t>(a)</w:t>
      </w:r>
      <w:r w:rsidRPr="0082124C">
        <w:tab/>
        <w:t>the decision; and</w:t>
      </w:r>
    </w:p>
    <w:p w14:paraId="5DEC9178" w14:textId="77777777" w:rsidR="00693CDD" w:rsidRPr="0082124C" w:rsidRDefault="00693CDD" w:rsidP="00693CDD">
      <w:pPr>
        <w:pStyle w:val="paragraph"/>
      </w:pPr>
      <w:r w:rsidRPr="0082124C">
        <w:tab/>
        <w:t>(b)</w:t>
      </w:r>
      <w:r w:rsidRPr="0082124C">
        <w:tab/>
        <w:t xml:space="preserve">if the decision is to not determine that </w:t>
      </w:r>
      <w:r w:rsidR="000C295C" w:rsidRPr="0082124C">
        <w:t>the</w:t>
      </w:r>
      <w:r w:rsidRPr="0082124C">
        <w:t xml:space="preserve"> person may pay a financial hardship fee:</w:t>
      </w:r>
    </w:p>
    <w:p w14:paraId="5795977D" w14:textId="77777777" w:rsidR="00693CDD" w:rsidRPr="0082124C" w:rsidRDefault="00693CDD" w:rsidP="00693CDD">
      <w:pPr>
        <w:pStyle w:val="paragraphsub"/>
      </w:pPr>
      <w:r w:rsidRPr="0082124C">
        <w:lastRenderedPageBreak/>
        <w:tab/>
        <w:t>(</w:t>
      </w:r>
      <w:proofErr w:type="spellStart"/>
      <w:r w:rsidRPr="0082124C">
        <w:t>i</w:t>
      </w:r>
      <w:proofErr w:type="spellEnd"/>
      <w:r w:rsidRPr="0082124C">
        <w:t>)</w:t>
      </w:r>
      <w:r w:rsidRPr="0082124C">
        <w:tab/>
        <w:t>a statement that the liable person may apply to the Administrative Appeals Tribunal for review of the decision; and</w:t>
      </w:r>
    </w:p>
    <w:p w14:paraId="20E169A8" w14:textId="77777777" w:rsidR="00693CDD" w:rsidRPr="0082124C" w:rsidRDefault="00693CDD" w:rsidP="00693CDD">
      <w:pPr>
        <w:pStyle w:val="paragraphsub"/>
      </w:pPr>
      <w:r w:rsidRPr="0082124C">
        <w:tab/>
        <w:t>(ii)</w:t>
      </w:r>
      <w:r w:rsidRPr="0082124C">
        <w:tab/>
        <w:t>reasons for the decision.</w:t>
      </w:r>
    </w:p>
    <w:p w14:paraId="029F244E" w14:textId="77777777" w:rsidR="00693CDD" w:rsidRPr="0082124C" w:rsidRDefault="00693CDD" w:rsidP="00693CDD">
      <w:pPr>
        <w:pStyle w:val="subsection"/>
      </w:pPr>
      <w:r w:rsidRPr="0082124C">
        <w:tab/>
        <w:t>(4)</w:t>
      </w:r>
      <w:r w:rsidRPr="0082124C">
        <w:tab/>
        <w:t>The liable person may apply to the Administrative Appeals Tribunal for review of the decision.</w:t>
      </w:r>
    </w:p>
    <w:p w14:paraId="2E4088BF" w14:textId="77777777" w:rsidR="00693CDD" w:rsidRPr="0082124C" w:rsidRDefault="00693CDD" w:rsidP="00693CDD">
      <w:pPr>
        <w:pStyle w:val="subsection"/>
      </w:pPr>
      <w:r w:rsidRPr="0082124C">
        <w:tab/>
        <w:t>(5)</w:t>
      </w:r>
      <w:r w:rsidRPr="0082124C">
        <w:tab/>
        <w:t xml:space="preserve">Failure to comply with </w:t>
      </w:r>
      <w:r w:rsidR="00F579A2" w:rsidRPr="0082124C">
        <w:t>paragraph (</w:t>
      </w:r>
      <w:r w:rsidRPr="0082124C">
        <w:t>3)(b) does not affect the validity of the decision.</w:t>
      </w:r>
    </w:p>
    <w:p w14:paraId="7CCADB01" w14:textId="77777777" w:rsidR="00693CDD" w:rsidRPr="0082124C" w:rsidRDefault="00693CDD" w:rsidP="00693CDD">
      <w:pPr>
        <w:pStyle w:val="ActHead5"/>
      </w:pPr>
      <w:bookmarkStart w:id="27" w:name="_Toc113458360"/>
      <w:proofErr w:type="gramStart"/>
      <w:r w:rsidRPr="003F450F">
        <w:rPr>
          <w:rStyle w:val="CharSectno"/>
        </w:rPr>
        <w:t>18</w:t>
      </w:r>
      <w:r w:rsidRPr="0082124C">
        <w:t xml:space="preserve">  Debt</w:t>
      </w:r>
      <w:proofErr w:type="gramEnd"/>
      <w:r w:rsidRPr="0082124C">
        <w:t xml:space="preserve"> due to Commonwealth</w:t>
      </w:r>
      <w:bookmarkEnd w:id="27"/>
    </w:p>
    <w:p w14:paraId="0D40C17C" w14:textId="77777777" w:rsidR="00693CDD" w:rsidRPr="0082124C" w:rsidRDefault="00693CDD" w:rsidP="00693CDD">
      <w:pPr>
        <w:pStyle w:val="subsection"/>
      </w:pPr>
      <w:r w:rsidRPr="0082124C">
        <w:tab/>
      </w:r>
      <w:r w:rsidRPr="0082124C">
        <w:tab/>
        <w:t xml:space="preserve">Any fee that is not paid in accordance with this </w:t>
      </w:r>
      <w:r w:rsidR="000C295C" w:rsidRPr="0082124C">
        <w:t>instrument</w:t>
      </w:r>
      <w:r w:rsidRPr="0082124C">
        <w:t xml:space="preserve"> is recoverable by the Commonwealth as a debt due to the Commonwealth.</w:t>
      </w:r>
    </w:p>
    <w:p w14:paraId="084B58F0" w14:textId="77777777" w:rsidR="00693CDD" w:rsidRPr="0082124C" w:rsidRDefault="00564701" w:rsidP="00FC010F">
      <w:pPr>
        <w:pStyle w:val="ActHead2"/>
        <w:pageBreakBefore/>
      </w:pPr>
      <w:bookmarkStart w:id="28" w:name="_Toc113458361"/>
      <w:r w:rsidRPr="003F450F">
        <w:rPr>
          <w:rStyle w:val="CharPartNo"/>
        </w:rPr>
        <w:lastRenderedPageBreak/>
        <w:t>Part 3</w:t>
      </w:r>
      <w:r w:rsidR="00693CDD" w:rsidRPr="0082124C">
        <w:t>—</w:t>
      </w:r>
      <w:bookmarkStart w:id="29" w:name="_Hlk105418716"/>
      <w:r w:rsidR="00643004" w:rsidRPr="003F450F">
        <w:rPr>
          <w:rStyle w:val="CharPartText"/>
        </w:rPr>
        <w:t>Application, saving and transitional provisions</w:t>
      </w:r>
      <w:bookmarkEnd w:id="28"/>
    </w:p>
    <w:p w14:paraId="4D9FAD14" w14:textId="77777777" w:rsidR="00643004" w:rsidRPr="0082124C" w:rsidRDefault="00B63429" w:rsidP="00643004">
      <w:pPr>
        <w:pStyle w:val="ActHead3"/>
      </w:pPr>
      <w:bookmarkStart w:id="30" w:name="_Toc113458362"/>
      <w:r w:rsidRPr="003F450F">
        <w:rPr>
          <w:rStyle w:val="CharDivNo"/>
        </w:rPr>
        <w:t>Division </w:t>
      </w:r>
      <w:r w:rsidR="00B97E04" w:rsidRPr="003F450F">
        <w:rPr>
          <w:rStyle w:val="CharDivNo"/>
        </w:rPr>
        <w:t>3.</w:t>
      </w:r>
      <w:r w:rsidRPr="003F450F">
        <w:rPr>
          <w:rStyle w:val="CharDivNo"/>
        </w:rPr>
        <w:t>1</w:t>
      </w:r>
      <w:r w:rsidR="00643004" w:rsidRPr="0082124C">
        <w:t>—</w:t>
      </w:r>
      <w:r w:rsidR="00643004" w:rsidRPr="003F450F">
        <w:rPr>
          <w:rStyle w:val="CharDivText"/>
        </w:rPr>
        <w:t>Application, saving and transitional provisions in relation to the commencement of this instrument</w:t>
      </w:r>
      <w:bookmarkEnd w:id="30"/>
    </w:p>
    <w:p w14:paraId="01BFB375" w14:textId="77777777" w:rsidR="00D2436F" w:rsidRPr="0082124C" w:rsidRDefault="007F0D50" w:rsidP="007F0D50">
      <w:pPr>
        <w:pStyle w:val="ActHead5"/>
      </w:pPr>
      <w:bookmarkStart w:id="31" w:name="_Toc113458363"/>
      <w:bookmarkEnd w:id="29"/>
      <w:proofErr w:type="gramStart"/>
      <w:r w:rsidRPr="003F450F">
        <w:rPr>
          <w:rStyle w:val="CharSectno"/>
        </w:rPr>
        <w:t>19</w:t>
      </w:r>
      <w:r w:rsidRPr="0082124C">
        <w:t xml:space="preserve">  Definitions</w:t>
      </w:r>
      <w:bookmarkEnd w:id="31"/>
      <w:proofErr w:type="gramEnd"/>
    </w:p>
    <w:p w14:paraId="32544527" w14:textId="77777777" w:rsidR="007F0D50" w:rsidRPr="0082124C" w:rsidRDefault="007F0D50" w:rsidP="007F0D50">
      <w:pPr>
        <w:pStyle w:val="subsection"/>
      </w:pPr>
      <w:r w:rsidRPr="0082124C">
        <w:tab/>
      </w:r>
      <w:r w:rsidRPr="0082124C">
        <w:tab/>
        <w:t>In this Division:</w:t>
      </w:r>
    </w:p>
    <w:p w14:paraId="65EDC51B" w14:textId="77777777" w:rsidR="007F0D50" w:rsidRPr="0082124C" w:rsidRDefault="00DB22CE" w:rsidP="007F0D50">
      <w:pPr>
        <w:pStyle w:val="Definition"/>
      </w:pPr>
      <w:r w:rsidRPr="0082124C">
        <w:rPr>
          <w:b/>
          <w:i/>
        </w:rPr>
        <w:t>old regulations</w:t>
      </w:r>
      <w:r w:rsidR="007F0D50" w:rsidRPr="0082124C">
        <w:t xml:space="preserve"> </w:t>
      </w:r>
      <w:proofErr w:type="gramStart"/>
      <w:r w:rsidR="007F0D50" w:rsidRPr="0082124C">
        <w:t>means</w:t>
      </w:r>
      <w:proofErr w:type="gramEnd"/>
      <w:r w:rsidR="007F0D50" w:rsidRPr="0082124C">
        <w:t xml:space="preserve"> the</w:t>
      </w:r>
      <w:bookmarkStart w:id="32" w:name="OPCSB_BodyPrincipleA4"/>
      <w:r w:rsidR="007F41AC" w:rsidRPr="0082124C">
        <w:t xml:space="preserve"> </w:t>
      </w:r>
      <w:r w:rsidR="007F0D50" w:rsidRPr="0082124C">
        <w:rPr>
          <w:i/>
        </w:rPr>
        <w:t xml:space="preserve">High Court of Australia (Fees) </w:t>
      </w:r>
      <w:r w:rsidR="007F41AC" w:rsidRPr="0082124C">
        <w:rPr>
          <w:i/>
        </w:rPr>
        <w:t>Regulation 2</w:t>
      </w:r>
      <w:r w:rsidR="007F0D50" w:rsidRPr="0082124C">
        <w:rPr>
          <w:i/>
        </w:rPr>
        <w:t>012</w:t>
      </w:r>
      <w:r w:rsidR="007F0D50" w:rsidRPr="0082124C">
        <w:t xml:space="preserve">, as in force immediately before </w:t>
      </w:r>
      <w:r w:rsidR="00EB7633" w:rsidRPr="0082124C">
        <w:t>1 April</w:t>
      </w:r>
      <w:r w:rsidR="009C38DE" w:rsidRPr="0082124C">
        <w:t xml:space="preserve"> 2023</w:t>
      </w:r>
      <w:r w:rsidR="007F0D50" w:rsidRPr="0082124C">
        <w:t>.</w:t>
      </w:r>
    </w:p>
    <w:p w14:paraId="6DAF88C7" w14:textId="77777777" w:rsidR="007162D1" w:rsidRPr="0082124C" w:rsidRDefault="007162D1" w:rsidP="007162D1">
      <w:pPr>
        <w:pStyle w:val="ActHead5"/>
      </w:pPr>
      <w:bookmarkStart w:id="33" w:name="_Toc113458364"/>
      <w:bookmarkStart w:id="34" w:name="_Hlk107396931"/>
      <w:proofErr w:type="gramStart"/>
      <w:r w:rsidRPr="003F450F">
        <w:rPr>
          <w:rStyle w:val="CharSectno"/>
        </w:rPr>
        <w:t>20</w:t>
      </w:r>
      <w:r w:rsidRPr="0082124C">
        <w:t xml:space="preserve">  Application</w:t>
      </w:r>
      <w:proofErr w:type="gramEnd"/>
      <w:r w:rsidRPr="0082124C">
        <w:t xml:space="preserve"> provision</w:t>
      </w:r>
      <w:bookmarkEnd w:id="33"/>
    </w:p>
    <w:p w14:paraId="021F30AF" w14:textId="77777777" w:rsidR="007162D1" w:rsidRPr="0082124C" w:rsidRDefault="007162D1" w:rsidP="007162D1">
      <w:pPr>
        <w:pStyle w:val="subsection"/>
      </w:pPr>
      <w:r w:rsidRPr="0082124C">
        <w:tab/>
      </w:r>
      <w:r w:rsidRPr="0082124C">
        <w:tab/>
        <w:t xml:space="preserve">This instrument applies </w:t>
      </w:r>
      <w:r w:rsidR="001F09E6" w:rsidRPr="0082124C">
        <w:t>in relation to</w:t>
      </w:r>
      <w:r w:rsidRPr="0082124C">
        <w:t xml:space="preserve"> </w:t>
      </w:r>
      <w:r w:rsidR="003B26E4" w:rsidRPr="0082124C">
        <w:t>the liability of a person to pay any of the following fees</w:t>
      </w:r>
      <w:r w:rsidRPr="0082124C">
        <w:t>:</w:t>
      </w:r>
    </w:p>
    <w:p w14:paraId="019B5CC1" w14:textId="77777777" w:rsidR="007162D1" w:rsidRPr="0082124C" w:rsidRDefault="007162D1" w:rsidP="007162D1">
      <w:pPr>
        <w:pStyle w:val="paragraph"/>
      </w:pPr>
      <w:r w:rsidRPr="0082124C">
        <w:tab/>
        <w:t>(a)</w:t>
      </w:r>
      <w:r w:rsidRPr="0082124C">
        <w:tab/>
      </w:r>
      <w:r w:rsidR="003B26E4" w:rsidRPr="0082124C">
        <w:t>a</w:t>
      </w:r>
      <w:r w:rsidRPr="0082124C">
        <w:t xml:space="preserve"> filing </w:t>
      </w:r>
      <w:r w:rsidR="003B26E4" w:rsidRPr="0082124C">
        <w:t xml:space="preserve">fee for filing a document </w:t>
      </w:r>
      <w:r w:rsidRPr="0082124C">
        <w:t xml:space="preserve">on or after </w:t>
      </w:r>
      <w:r w:rsidR="00EB7633" w:rsidRPr="0082124C">
        <w:t>1 April</w:t>
      </w:r>
      <w:r w:rsidRPr="0082124C">
        <w:t xml:space="preserve"> 2023;</w:t>
      </w:r>
    </w:p>
    <w:p w14:paraId="40420DEA" w14:textId="77777777" w:rsidR="003B26E4" w:rsidRPr="0082124C" w:rsidRDefault="003B26E4" w:rsidP="007162D1">
      <w:pPr>
        <w:pStyle w:val="paragraph"/>
      </w:pPr>
      <w:r w:rsidRPr="0082124C">
        <w:tab/>
        <w:t>(b)</w:t>
      </w:r>
      <w:r w:rsidRPr="0082124C">
        <w:tab/>
        <w:t xml:space="preserve">a hearing fee </w:t>
      </w:r>
      <w:r w:rsidR="002B4BF7" w:rsidRPr="0082124C">
        <w:t>in respect of which the document to which the hearing relates is filed</w:t>
      </w:r>
      <w:r w:rsidRPr="0082124C">
        <w:t xml:space="preserve"> on or after </w:t>
      </w:r>
      <w:r w:rsidR="00EB7633" w:rsidRPr="0082124C">
        <w:t>1 April</w:t>
      </w:r>
      <w:r w:rsidRPr="0082124C">
        <w:t xml:space="preserve"> 2023;</w:t>
      </w:r>
    </w:p>
    <w:p w14:paraId="411CA484" w14:textId="77777777" w:rsidR="00F77CA5" w:rsidRPr="0082124C" w:rsidRDefault="00F77CA5" w:rsidP="007162D1">
      <w:pPr>
        <w:pStyle w:val="paragraph"/>
      </w:pPr>
      <w:r w:rsidRPr="0082124C">
        <w:tab/>
        <w:t>(c)</w:t>
      </w:r>
      <w:r w:rsidRPr="0082124C">
        <w:tab/>
        <w:t xml:space="preserve">a fee (other than a fee mentioned in </w:t>
      </w:r>
      <w:r w:rsidR="007F41AC" w:rsidRPr="0082124C">
        <w:t>item 2</w:t>
      </w:r>
      <w:r w:rsidRPr="0082124C">
        <w:t xml:space="preserve">04 of </w:t>
      </w:r>
      <w:r w:rsidR="007F41AC" w:rsidRPr="0082124C">
        <w:t>Schedule 1</w:t>
      </w:r>
      <w:r w:rsidRPr="0082124C">
        <w:t xml:space="preserve">) for obtaining a document on or after </w:t>
      </w:r>
      <w:r w:rsidR="00EB7633" w:rsidRPr="0082124C">
        <w:t>1 April</w:t>
      </w:r>
      <w:r w:rsidRPr="0082124C">
        <w:t xml:space="preserve"> 2023;</w:t>
      </w:r>
    </w:p>
    <w:p w14:paraId="02E032E0" w14:textId="77777777" w:rsidR="00F77CA5" w:rsidRPr="0082124C" w:rsidRDefault="00F77CA5" w:rsidP="007162D1">
      <w:pPr>
        <w:pStyle w:val="paragraph"/>
      </w:pPr>
      <w:r w:rsidRPr="0082124C">
        <w:tab/>
        <w:t>(d)</w:t>
      </w:r>
      <w:r w:rsidRPr="0082124C">
        <w:tab/>
        <w:t xml:space="preserve">a fee mentioned in </w:t>
      </w:r>
      <w:r w:rsidR="007F41AC" w:rsidRPr="0082124C">
        <w:t>item 2</w:t>
      </w:r>
      <w:r w:rsidRPr="0082124C">
        <w:t xml:space="preserve">04 of </w:t>
      </w:r>
      <w:r w:rsidR="007F41AC" w:rsidRPr="0082124C">
        <w:t>Schedule 1</w:t>
      </w:r>
      <w:r w:rsidRPr="0082124C">
        <w:t xml:space="preserve"> for a service requested on or after </w:t>
      </w:r>
      <w:r w:rsidR="00EB7633" w:rsidRPr="0082124C">
        <w:t>1 April</w:t>
      </w:r>
      <w:r w:rsidRPr="0082124C">
        <w:t xml:space="preserve"> 2023;</w:t>
      </w:r>
    </w:p>
    <w:p w14:paraId="6E0C6376" w14:textId="77777777" w:rsidR="001F09E6" w:rsidRPr="0082124C" w:rsidRDefault="007162D1" w:rsidP="00F77CA5">
      <w:pPr>
        <w:pStyle w:val="paragraph"/>
      </w:pPr>
      <w:r w:rsidRPr="0082124C">
        <w:tab/>
        <w:t>(</w:t>
      </w:r>
      <w:r w:rsidR="003C47A3" w:rsidRPr="0082124C">
        <w:t>e</w:t>
      </w:r>
      <w:r w:rsidRPr="0082124C">
        <w:t>)</w:t>
      </w:r>
      <w:r w:rsidRPr="0082124C">
        <w:tab/>
      </w:r>
      <w:r w:rsidR="00F77CA5" w:rsidRPr="0082124C">
        <w:t xml:space="preserve">any other fee under this instrument for a service provided on or after </w:t>
      </w:r>
      <w:r w:rsidR="00EB7633" w:rsidRPr="0082124C">
        <w:t>1 April</w:t>
      </w:r>
      <w:r w:rsidR="00F77CA5" w:rsidRPr="0082124C">
        <w:t xml:space="preserve"> 2023.</w:t>
      </w:r>
    </w:p>
    <w:p w14:paraId="6C508686" w14:textId="77777777" w:rsidR="009D2AE2" w:rsidRPr="0082124C" w:rsidRDefault="009D2AE2" w:rsidP="009D2AE2">
      <w:pPr>
        <w:pStyle w:val="ActHead5"/>
      </w:pPr>
      <w:bookmarkStart w:id="35" w:name="_Toc113458365"/>
      <w:proofErr w:type="gramStart"/>
      <w:r w:rsidRPr="003F450F">
        <w:rPr>
          <w:rStyle w:val="CharSectno"/>
        </w:rPr>
        <w:t>21</w:t>
      </w:r>
      <w:r w:rsidRPr="0082124C">
        <w:t xml:space="preserve">  Saving</w:t>
      </w:r>
      <w:proofErr w:type="gramEnd"/>
      <w:r w:rsidRPr="0082124C">
        <w:t xml:space="preserve"> provision</w:t>
      </w:r>
      <w:bookmarkEnd w:id="35"/>
    </w:p>
    <w:p w14:paraId="6845BFBC" w14:textId="77777777" w:rsidR="009D2AE2" w:rsidRPr="0082124C" w:rsidRDefault="009D2AE2" w:rsidP="009D2AE2">
      <w:pPr>
        <w:pStyle w:val="subsection"/>
      </w:pPr>
      <w:r w:rsidRPr="0082124C">
        <w:tab/>
      </w:r>
      <w:r w:rsidRPr="0082124C">
        <w:tab/>
        <w:t>To avoid doubt, the old regulations continue to apply in relation to the liability of a person to pay a fee incurred under the old regulations before 1 April 2023.</w:t>
      </w:r>
    </w:p>
    <w:p w14:paraId="56D96F47" w14:textId="77777777" w:rsidR="009D2AE2" w:rsidRPr="0082124C" w:rsidRDefault="009D2AE2" w:rsidP="009D2AE2">
      <w:pPr>
        <w:pStyle w:val="notetext"/>
      </w:pPr>
      <w:r w:rsidRPr="0082124C">
        <w:t>Note:</w:t>
      </w:r>
      <w:r w:rsidRPr="0082124C">
        <w:tab/>
        <w:t xml:space="preserve">Section 7 of the </w:t>
      </w:r>
      <w:r w:rsidRPr="0082124C">
        <w:rPr>
          <w:i/>
        </w:rPr>
        <w:t>Acts Interpretation Act 1901</w:t>
      </w:r>
      <w:r w:rsidRPr="0082124C">
        <w:t xml:space="preserve"> preserves the liability despite the repeal of the old regulations by this instrument on 1 April 2023. That section applies in relation to regulations because of </w:t>
      </w:r>
      <w:r w:rsidR="003D1A86" w:rsidRPr="0082124C">
        <w:t>section 1</w:t>
      </w:r>
      <w:r w:rsidRPr="0082124C">
        <w:t xml:space="preserve">3 of the </w:t>
      </w:r>
      <w:r w:rsidRPr="0082124C">
        <w:rPr>
          <w:i/>
        </w:rPr>
        <w:t>Legislation Act 2003</w:t>
      </w:r>
      <w:r w:rsidRPr="0082124C">
        <w:t>.</w:t>
      </w:r>
    </w:p>
    <w:p w14:paraId="6E8EEAC8" w14:textId="77777777" w:rsidR="00E42AE5" w:rsidRPr="0082124C" w:rsidRDefault="00E42AE5" w:rsidP="00E42AE5">
      <w:pPr>
        <w:pStyle w:val="ActHead5"/>
      </w:pPr>
      <w:bookmarkStart w:id="36" w:name="_Toc113458366"/>
      <w:proofErr w:type="gramStart"/>
      <w:r w:rsidRPr="003F450F">
        <w:rPr>
          <w:rStyle w:val="CharSectno"/>
        </w:rPr>
        <w:t>2</w:t>
      </w:r>
      <w:r w:rsidR="009D2AE2" w:rsidRPr="003F450F">
        <w:rPr>
          <w:rStyle w:val="CharSectno"/>
        </w:rPr>
        <w:t>2</w:t>
      </w:r>
      <w:r w:rsidRPr="0082124C">
        <w:t xml:space="preserve">  Things</w:t>
      </w:r>
      <w:proofErr w:type="gramEnd"/>
      <w:r w:rsidRPr="0082124C">
        <w:t xml:space="preserve"> done under the old regulations</w:t>
      </w:r>
      <w:bookmarkEnd w:id="36"/>
    </w:p>
    <w:p w14:paraId="7BD1DB63" w14:textId="77777777" w:rsidR="00E42AE5" w:rsidRPr="0082124C" w:rsidRDefault="00E42AE5" w:rsidP="00E42AE5">
      <w:pPr>
        <w:pStyle w:val="subsection"/>
      </w:pPr>
      <w:r w:rsidRPr="0082124C">
        <w:tab/>
        <w:t>(1)</w:t>
      </w:r>
      <w:r w:rsidRPr="0082124C">
        <w:tab/>
        <w:t>If:</w:t>
      </w:r>
    </w:p>
    <w:p w14:paraId="3CDA51FC" w14:textId="77777777" w:rsidR="00E42AE5" w:rsidRPr="0082124C" w:rsidRDefault="00E42AE5" w:rsidP="00E42AE5">
      <w:pPr>
        <w:pStyle w:val="paragraph"/>
      </w:pPr>
      <w:r w:rsidRPr="0082124C">
        <w:tab/>
        <w:t>(a)</w:t>
      </w:r>
      <w:r w:rsidRPr="0082124C">
        <w:tab/>
        <w:t>a thing was done for a particular purpose under the old regulations; and</w:t>
      </w:r>
    </w:p>
    <w:p w14:paraId="1E88157A" w14:textId="77777777" w:rsidR="00E42AE5" w:rsidRPr="0082124C" w:rsidRDefault="00E42AE5" w:rsidP="00E42AE5">
      <w:pPr>
        <w:pStyle w:val="paragraph"/>
      </w:pPr>
      <w:r w:rsidRPr="0082124C">
        <w:tab/>
        <w:t>(b)</w:t>
      </w:r>
      <w:r w:rsidRPr="0082124C">
        <w:tab/>
        <w:t>the thing could be done for that purpose under this instrument;</w:t>
      </w:r>
    </w:p>
    <w:p w14:paraId="65ACB67F" w14:textId="77777777" w:rsidR="00E42AE5" w:rsidRPr="0082124C" w:rsidRDefault="00E42AE5" w:rsidP="00E42AE5">
      <w:pPr>
        <w:pStyle w:val="subsection2"/>
      </w:pPr>
      <w:r w:rsidRPr="0082124C">
        <w:t>the thing has effect for the purposes of this instrument as if it had been done for that purpose under this instrument.</w:t>
      </w:r>
    </w:p>
    <w:p w14:paraId="2DE2036D" w14:textId="77777777" w:rsidR="00E42AE5" w:rsidRPr="0082124C" w:rsidRDefault="00E42AE5" w:rsidP="00E42AE5">
      <w:pPr>
        <w:pStyle w:val="subsection"/>
      </w:pPr>
      <w:r w:rsidRPr="0082124C">
        <w:tab/>
        <w:t>(2)</w:t>
      </w:r>
      <w:r w:rsidRPr="0082124C">
        <w:tab/>
        <w:t xml:space="preserve">Without limiting </w:t>
      </w:r>
      <w:r w:rsidR="00F579A2" w:rsidRPr="0082124C">
        <w:t>subsection (</w:t>
      </w:r>
      <w:r w:rsidRPr="0082124C">
        <w:t>1), a reference in that subsection to a thing being done includes a reference to a notice or a determination being given or made.</w:t>
      </w:r>
    </w:p>
    <w:p w14:paraId="52AA258B" w14:textId="77777777" w:rsidR="00B2565E" w:rsidRPr="0082124C" w:rsidRDefault="00B2565E" w:rsidP="00B2565E">
      <w:pPr>
        <w:pStyle w:val="ActHead5"/>
      </w:pPr>
      <w:bookmarkStart w:id="37" w:name="_Toc113458367"/>
      <w:proofErr w:type="gramStart"/>
      <w:r w:rsidRPr="003F450F">
        <w:rPr>
          <w:rStyle w:val="CharSectno"/>
        </w:rPr>
        <w:lastRenderedPageBreak/>
        <w:t>2</w:t>
      </w:r>
      <w:r w:rsidR="009D2AE2" w:rsidRPr="003F450F">
        <w:rPr>
          <w:rStyle w:val="CharSectno"/>
        </w:rPr>
        <w:t>3</w:t>
      </w:r>
      <w:r w:rsidR="007F41AC" w:rsidRPr="0082124C">
        <w:t xml:space="preserve">  </w:t>
      </w:r>
      <w:r w:rsidRPr="0082124C">
        <w:t>Conduct</w:t>
      </w:r>
      <w:proofErr w:type="gramEnd"/>
      <w:r w:rsidRPr="0082124C">
        <w:t>, event</w:t>
      </w:r>
      <w:r w:rsidR="000476FB" w:rsidRPr="0082124C">
        <w:t xml:space="preserve"> or</w:t>
      </w:r>
      <w:r w:rsidRPr="0082124C">
        <w:t xml:space="preserve"> circumstances occurring before commencement</w:t>
      </w:r>
      <w:bookmarkEnd w:id="37"/>
    </w:p>
    <w:p w14:paraId="646F2122" w14:textId="77777777" w:rsidR="00B2565E" w:rsidRPr="0082124C" w:rsidRDefault="00B2565E" w:rsidP="00B2565E">
      <w:pPr>
        <w:pStyle w:val="subsection"/>
      </w:pPr>
      <w:r w:rsidRPr="0082124C">
        <w:tab/>
        <w:t>(1)</w:t>
      </w:r>
      <w:r w:rsidRPr="0082124C">
        <w:tab/>
        <w:t xml:space="preserve">To avoid doubt, a function or duty may be performed, or a power exercised, under this instrument in relation to conduct engaged in, an event that occurred, or a circumstance that arose, before </w:t>
      </w:r>
      <w:r w:rsidR="00EB7633" w:rsidRPr="0082124C">
        <w:t>1 April</w:t>
      </w:r>
      <w:r w:rsidR="00FA172E" w:rsidRPr="0082124C">
        <w:t xml:space="preserve"> 2023</w:t>
      </w:r>
      <w:r w:rsidRPr="0082124C">
        <w:t>.</w:t>
      </w:r>
    </w:p>
    <w:p w14:paraId="1656F4D0" w14:textId="77777777" w:rsidR="00B2565E" w:rsidRPr="0082124C" w:rsidRDefault="00B2565E" w:rsidP="00B2565E">
      <w:pPr>
        <w:pStyle w:val="notetext"/>
      </w:pPr>
      <w:r w:rsidRPr="0082124C">
        <w:t>Note:</w:t>
      </w:r>
      <w:r w:rsidRPr="0082124C">
        <w:tab/>
        <w:t>For example:</w:t>
      </w:r>
    </w:p>
    <w:p w14:paraId="20FA92C7" w14:textId="77777777" w:rsidR="00B2565E" w:rsidRPr="0082124C" w:rsidRDefault="00B2565E" w:rsidP="00B2565E">
      <w:pPr>
        <w:pStyle w:val="notepara"/>
      </w:pPr>
      <w:r w:rsidRPr="0082124C">
        <w:t>(a)</w:t>
      </w:r>
      <w:r w:rsidRPr="0082124C">
        <w:tab/>
        <w:t xml:space="preserve">a </w:t>
      </w:r>
      <w:r w:rsidR="00FA172E" w:rsidRPr="0082124C">
        <w:t>fee may be paid</w:t>
      </w:r>
      <w:r w:rsidR="00E42AE5" w:rsidRPr="0082124C">
        <w:t xml:space="preserve"> </w:t>
      </w:r>
      <w:r w:rsidR="009C38DE" w:rsidRPr="0082124C">
        <w:t xml:space="preserve">on or </w:t>
      </w:r>
      <w:r w:rsidR="00E42AE5" w:rsidRPr="0082124C">
        <w:t xml:space="preserve">after </w:t>
      </w:r>
      <w:r w:rsidR="00EB7633" w:rsidRPr="0082124C">
        <w:t>1 April</w:t>
      </w:r>
      <w:r w:rsidR="00E42AE5" w:rsidRPr="0082124C">
        <w:t xml:space="preserve"> 2023</w:t>
      </w:r>
      <w:r w:rsidR="00FA172E" w:rsidRPr="0082124C">
        <w:t xml:space="preserve"> in accordance with </w:t>
      </w:r>
      <w:r w:rsidR="003D1A86" w:rsidRPr="0082124C">
        <w:t>section 1</w:t>
      </w:r>
      <w:r w:rsidR="00FA172E" w:rsidRPr="0082124C">
        <w:t xml:space="preserve">3 of this instrument if the Registrar deferred the payment of the fee before that </w:t>
      </w:r>
      <w:r w:rsidR="00E2026C" w:rsidRPr="0082124C">
        <w:t>day</w:t>
      </w:r>
      <w:r w:rsidRPr="0082124C">
        <w:t>; and</w:t>
      </w:r>
    </w:p>
    <w:p w14:paraId="47DD8D25" w14:textId="77777777" w:rsidR="00B2565E" w:rsidRPr="0082124C" w:rsidRDefault="00B2565E" w:rsidP="00B2565E">
      <w:pPr>
        <w:pStyle w:val="notepara"/>
      </w:pPr>
      <w:r w:rsidRPr="0082124C">
        <w:t>(b)</w:t>
      </w:r>
      <w:r w:rsidRPr="0082124C">
        <w:tab/>
      </w:r>
      <w:r w:rsidR="00FA172E" w:rsidRPr="0082124C">
        <w:t xml:space="preserve">a person may pay a financial hardship fee </w:t>
      </w:r>
      <w:r w:rsidR="00E42AE5" w:rsidRPr="0082124C">
        <w:t xml:space="preserve">in respect of a hearing that is fixed on or after </w:t>
      </w:r>
      <w:r w:rsidR="00EB7633" w:rsidRPr="0082124C">
        <w:t>1 April</w:t>
      </w:r>
      <w:r w:rsidR="00E42AE5" w:rsidRPr="0082124C">
        <w:t xml:space="preserve"> 2023 if the Registrar determines before that day that the person may pay that fee.</w:t>
      </w:r>
    </w:p>
    <w:p w14:paraId="197CAEC4" w14:textId="77777777" w:rsidR="00B2565E" w:rsidRPr="0082124C" w:rsidRDefault="00B2565E" w:rsidP="00B2565E">
      <w:pPr>
        <w:pStyle w:val="subsection"/>
      </w:pPr>
      <w:r w:rsidRPr="0082124C">
        <w:tab/>
        <w:t>(2)</w:t>
      </w:r>
      <w:r w:rsidRPr="0082124C">
        <w:tab/>
        <w:t xml:space="preserve">This section does not limit </w:t>
      </w:r>
      <w:r w:rsidR="003D1A86" w:rsidRPr="0082124C">
        <w:t>section 2</w:t>
      </w:r>
      <w:r w:rsidR="009D2AE2" w:rsidRPr="0082124C">
        <w:t>2</w:t>
      </w:r>
      <w:r w:rsidRPr="0082124C">
        <w:t xml:space="preserve"> of this instrument or</w:t>
      </w:r>
      <w:r w:rsidR="00E42AE5" w:rsidRPr="0082124C">
        <w:t xml:space="preserve"> </w:t>
      </w:r>
      <w:r w:rsidR="007F41AC" w:rsidRPr="0082124C">
        <w:t>section 7</w:t>
      </w:r>
      <w:r w:rsidRPr="0082124C">
        <w:t xml:space="preserve"> of the </w:t>
      </w:r>
      <w:r w:rsidRPr="0082124C">
        <w:rPr>
          <w:i/>
        </w:rPr>
        <w:t>Acts Interpretation Act 1901</w:t>
      </w:r>
      <w:r w:rsidRPr="0082124C">
        <w:t xml:space="preserve"> (as that Act applies in relation to this instrument because of paragraph 13(1)(a) of the </w:t>
      </w:r>
      <w:r w:rsidRPr="0082124C">
        <w:rPr>
          <w:i/>
        </w:rPr>
        <w:t>Legislation Act 2003</w:t>
      </w:r>
      <w:r w:rsidRPr="0082124C">
        <w:t>).</w:t>
      </w:r>
    </w:p>
    <w:p w14:paraId="5F496560" w14:textId="77777777" w:rsidR="009213EC" w:rsidRPr="0082124C" w:rsidRDefault="009213EC" w:rsidP="004A1E86">
      <w:pPr>
        <w:sectPr w:rsidR="009213EC" w:rsidRPr="0082124C" w:rsidSect="000E2DB5">
          <w:headerReference w:type="even" r:id="rId22"/>
          <w:headerReference w:type="default" r:id="rId23"/>
          <w:footerReference w:type="even" r:id="rId24"/>
          <w:footerReference w:type="default" r:id="rId25"/>
          <w:headerReference w:type="first" r:id="rId26"/>
          <w:footerReference w:type="first" r:id="rId27"/>
          <w:pgSz w:w="11907" w:h="16839" w:code="9"/>
          <w:pgMar w:top="1440" w:right="1797" w:bottom="1440" w:left="1797" w:header="720" w:footer="709" w:gutter="0"/>
          <w:pgNumType w:start="1"/>
          <w:cols w:space="720"/>
          <w:docGrid w:linePitch="299"/>
        </w:sectPr>
      </w:pPr>
      <w:bookmarkStart w:id="38" w:name="_Toc113458368"/>
      <w:bookmarkEnd w:id="32"/>
      <w:bookmarkEnd w:id="34"/>
    </w:p>
    <w:p w14:paraId="1DC2FB5A" w14:textId="77777777" w:rsidR="00693CDD" w:rsidRPr="0082124C" w:rsidRDefault="007F41AC" w:rsidP="00572839">
      <w:pPr>
        <w:pStyle w:val="ActHead1"/>
        <w:pageBreakBefore/>
      </w:pPr>
      <w:r w:rsidRPr="003F450F">
        <w:rPr>
          <w:rStyle w:val="CharChapNo"/>
        </w:rPr>
        <w:lastRenderedPageBreak/>
        <w:t>Schedule 1</w:t>
      </w:r>
      <w:r w:rsidR="00693CDD" w:rsidRPr="0082124C">
        <w:t>—</w:t>
      </w:r>
      <w:r w:rsidR="00693CDD" w:rsidRPr="003F450F">
        <w:rPr>
          <w:rStyle w:val="CharChapText"/>
        </w:rPr>
        <w:t>Fees</w:t>
      </w:r>
      <w:bookmarkEnd w:id="38"/>
    </w:p>
    <w:p w14:paraId="5C317F9D" w14:textId="77777777" w:rsidR="00572839" w:rsidRPr="0082124C" w:rsidRDefault="00072232" w:rsidP="0053493B">
      <w:pPr>
        <w:pStyle w:val="notemargin"/>
      </w:pPr>
      <w:r w:rsidRPr="0082124C">
        <w:t>Note:</w:t>
      </w:r>
      <w:r w:rsidRPr="0082124C">
        <w:tab/>
        <w:t xml:space="preserve">See </w:t>
      </w:r>
      <w:r w:rsidR="00693CDD" w:rsidRPr="0082124C">
        <w:t>section 7</w:t>
      </w:r>
      <w:r w:rsidRPr="0082124C">
        <w:t>.</w:t>
      </w:r>
    </w:p>
    <w:p w14:paraId="71F994A8" w14:textId="77777777" w:rsidR="00C54082" w:rsidRPr="0082124C" w:rsidRDefault="00932F8E" w:rsidP="009C38DE">
      <w:pPr>
        <w:pStyle w:val="ActHead2"/>
      </w:pPr>
      <w:bookmarkStart w:id="39" w:name="_Toc113458369"/>
      <w:r w:rsidRPr="003F450F">
        <w:rPr>
          <w:rStyle w:val="CharPartNo"/>
        </w:rPr>
        <w:t>Part 1</w:t>
      </w:r>
      <w:r w:rsidR="00693CDD" w:rsidRPr="0082124C">
        <w:t>—</w:t>
      </w:r>
      <w:r w:rsidR="00693CDD" w:rsidRPr="003F450F">
        <w:rPr>
          <w:rStyle w:val="CharPartText"/>
        </w:rPr>
        <w:t>Filing fees and hearing fees</w:t>
      </w:r>
      <w:bookmarkEnd w:id="39"/>
    </w:p>
    <w:p w14:paraId="0EC8DD15" w14:textId="77777777" w:rsidR="00EB7633" w:rsidRPr="003F450F" w:rsidRDefault="00EB7633" w:rsidP="00EB7633">
      <w:pPr>
        <w:pStyle w:val="Header"/>
      </w:pPr>
      <w:r w:rsidRPr="003F450F">
        <w:rPr>
          <w:rStyle w:val="CharDivNo"/>
        </w:rPr>
        <w:t xml:space="preserve"> </w:t>
      </w:r>
      <w:r w:rsidRPr="003F450F">
        <w:rPr>
          <w:rStyle w:val="CharDivText"/>
        </w:rPr>
        <w:t xml:space="preserve"> </w:t>
      </w:r>
    </w:p>
    <w:p w14:paraId="4AD61F68" w14:textId="77777777" w:rsidR="0053493B" w:rsidRPr="0082124C" w:rsidRDefault="009C38DE" w:rsidP="00C54082">
      <w:pPr>
        <w:pStyle w:val="subsection"/>
      </w:pPr>
      <w:r w:rsidRPr="0082124C">
        <w:tab/>
      </w:r>
      <w:r w:rsidRPr="0082124C">
        <w:tab/>
      </w:r>
      <w:r w:rsidR="00F87E1C" w:rsidRPr="0082124C">
        <w:t>The following</w:t>
      </w:r>
      <w:r w:rsidR="001079C7" w:rsidRPr="0082124C">
        <w:t xml:space="preserve"> table </w:t>
      </w:r>
      <w:r w:rsidR="00F87E1C" w:rsidRPr="0082124C">
        <w:t xml:space="preserve">sets out </w:t>
      </w:r>
      <w:r w:rsidR="00C54082" w:rsidRPr="0082124C">
        <w:t xml:space="preserve">filing </w:t>
      </w:r>
      <w:r w:rsidR="00F87E1C" w:rsidRPr="0082124C">
        <w:t xml:space="preserve">fees </w:t>
      </w:r>
      <w:r w:rsidR="00C54082" w:rsidRPr="0082124C">
        <w:t>and hearing fees payable in relation to proceedings in the Court.</w:t>
      </w:r>
    </w:p>
    <w:p w14:paraId="137FBC24" w14:textId="77777777" w:rsidR="00693CDD" w:rsidRPr="0082124C" w:rsidRDefault="00693CDD" w:rsidP="00693CDD">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698"/>
        <w:gridCol w:w="4723"/>
        <w:gridCol w:w="3108"/>
      </w:tblGrid>
      <w:tr w:rsidR="00070C91" w:rsidRPr="0082124C" w14:paraId="0086B6D5" w14:textId="77777777" w:rsidTr="00070C91">
        <w:trPr>
          <w:trHeight w:val="70"/>
          <w:tblHeader/>
        </w:trPr>
        <w:tc>
          <w:tcPr>
            <w:tcW w:w="5000" w:type="pct"/>
            <w:gridSpan w:val="3"/>
            <w:tcBorders>
              <w:top w:val="single" w:sz="12" w:space="0" w:color="auto"/>
              <w:bottom w:val="single" w:sz="2" w:space="0" w:color="auto"/>
            </w:tcBorders>
            <w:shd w:val="clear" w:color="auto" w:fill="auto"/>
          </w:tcPr>
          <w:p w14:paraId="26615F03" w14:textId="77777777" w:rsidR="00070C91" w:rsidRPr="0082124C" w:rsidRDefault="005D551C" w:rsidP="00685E3D">
            <w:pPr>
              <w:pStyle w:val="TableHeading"/>
            </w:pPr>
            <w:r w:rsidRPr="0082124C">
              <w:t>Fees—f</w:t>
            </w:r>
            <w:r w:rsidR="00070C91" w:rsidRPr="0082124C">
              <w:t>iling fees and hearing fees</w:t>
            </w:r>
          </w:p>
        </w:tc>
      </w:tr>
      <w:tr w:rsidR="00693CDD" w:rsidRPr="0082124C" w14:paraId="660AC99A" w14:textId="77777777" w:rsidTr="00070C91">
        <w:trPr>
          <w:trHeight w:val="70"/>
          <w:tblHeader/>
        </w:trPr>
        <w:tc>
          <w:tcPr>
            <w:tcW w:w="409" w:type="pct"/>
            <w:tcBorders>
              <w:top w:val="single" w:sz="2" w:space="0" w:color="auto"/>
              <w:bottom w:val="single" w:sz="12" w:space="0" w:color="auto"/>
            </w:tcBorders>
            <w:shd w:val="clear" w:color="auto" w:fill="auto"/>
          </w:tcPr>
          <w:p w14:paraId="4B20BA75" w14:textId="77777777" w:rsidR="00693CDD" w:rsidRPr="0082124C" w:rsidRDefault="00693CDD" w:rsidP="00685E3D">
            <w:pPr>
              <w:pStyle w:val="TableHeading"/>
            </w:pPr>
            <w:r w:rsidRPr="0082124C">
              <w:t>Item</w:t>
            </w:r>
          </w:p>
        </w:tc>
        <w:tc>
          <w:tcPr>
            <w:tcW w:w="2769" w:type="pct"/>
            <w:tcBorders>
              <w:top w:val="single" w:sz="2" w:space="0" w:color="auto"/>
              <w:bottom w:val="single" w:sz="12" w:space="0" w:color="auto"/>
            </w:tcBorders>
            <w:shd w:val="clear" w:color="auto" w:fill="auto"/>
          </w:tcPr>
          <w:p w14:paraId="419DF35F" w14:textId="77777777" w:rsidR="00693CDD" w:rsidRPr="0082124C" w:rsidRDefault="00693CDD" w:rsidP="00685E3D">
            <w:pPr>
              <w:pStyle w:val="TableHeading"/>
            </w:pPr>
            <w:r w:rsidRPr="0082124C">
              <w:t>Document or hearing</w:t>
            </w:r>
          </w:p>
        </w:tc>
        <w:tc>
          <w:tcPr>
            <w:tcW w:w="1822" w:type="pct"/>
            <w:tcBorders>
              <w:top w:val="single" w:sz="2" w:space="0" w:color="auto"/>
              <w:bottom w:val="single" w:sz="12" w:space="0" w:color="auto"/>
            </w:tcBorders>
            <w:shd w:val="clear" w:color="auto" w:fill="auto"/>
          </w:tcPr>
          <w:p w14:paraId="638E52C9" w14:textId="77777777" w:rsidR="00693CDD" w:rsidRPr="0082124C" w:rsidRDefault="00693CDD" w:rsidP="00685E3D">
            <w:pPr>
              <w:pStyle w:val="TableHeading"/>
            </w:pPr>
            <w:r w:rsidRPr="0082124C">
              <w:t>Fee</w:t>
            </w:r>
          </w:p>
        </w:tc>
      </w:tr>
      <w:tr w:rsidR="00693CDD" w:rsidRPr="0082124C" w14:paraId="590931C4" w14:textId="77777777" w:rsidTr="00B63429">
        <w:trPr>
          <w:trHeight w:val="70"/>
        </w:trPr>
        <w:tc>
          <w:tcPr>
            <w:tcW w:w="5000" w:type="pct"/>
            <w:gridSpan w:val="3"/>
            <w:tcBorders>
              <w:top w:val="single" w:sz="12" w:space="0" w:color="auto"/>
            </w:tcBorders>
            <w:shd w:val="clear" w:color="auto" w:fill="auto"/>
          </w:tcPr>
          <w:p w14:paraId="46E4F7F4" w14:textId="77777777" w:rsidR="00693CDD" w:rsidRPr="0082124C" w:rsidRDefault="00693CDD" w:rsidP="00685E3D">
            <w:pPr>
              <w:pStyle w:val="TableHeading"/>
            </w:pPr>
            <w:r w:rsidRPr="0082124C">
              <w:rPr>
                <w:i/>
              </w:rPr>
              <w:t>Filing fees</w:t>
            </w:r>
          </w:p>
        </w:tc>
      </w:tr>
      <w:tr w:rsidR="00693CDD" w:rsidRPr="0082124C" w14:paraId="456E19F0" w14:textId="77777777" w:rsidTr="00B63429">
        <w:trPr>
          <w:trHeight w:val="70"/>
        </w:trPr>
        <w:tc>
          <w:tcPr>
            <w:tcW w:w="409" w:type="pct"/>
            <w:shd w:val="clear" w:color="auto" w:fill="auto"/>
          </w:tcPr>
          <w:p w14:paraId="50C71C25" w14:textId="77777777" w:rsidR="00693CDD" w:rsidRPr="0082124C" w:rsidRDefault="00693CDD" w:rsidP="00685E3D">
            <w:pPr>
              <w:pStyle w:val="Tabletext"/>
            </w:pPr>
            <w:r w:rsidRPr="0082124C">
              <w:t>101</w:t>
            </w:r>
          </w:p>
        </w:tc>
        <w:tc>
          <w:tcPr>
            <w:tcW w:w="2769" w:type="pct"/>
            <w:shd w:val="clear" w:color="auto" w:fill="auto"/>
          </w:tcPr>
          <w:p w14:paraId="018F9F85" w14:textId="77777777" w:rsidR="00693CDD" w:rsidRPr="0082124C" w:rsidRDefault="00693CDD" w:rsidP="00685E3D">
            <w:pPr>
              <w:pStyle w:val="Tabletext"/>
            </w:pPr>
            <w:r w:rsidRPr="0082124C">
              <w:t>Application for a constitutional or other writ</w:t>
            </w:r>
          </w:p>
        </w:tc>
        <w:tc>
          <w:tcPr>
            <w:tcW w:w="1822" w:type="pct"/>
            <w:shd w:val="clear" w:color="auto" w:fill="auto"/>
          </w:tcPr>
          <w:p w14:paraId="7DE77041" w14:textId="77777777" w:rsidR="00693CDD" w:rsidRPr="0082124C" w:rsidRDefault="00693CDD" w:rsidP="00BE3709">
            <w:pPr>
              <w:pStyle w:val="Tablea"/>
            </w:pPr>
            <w:r w:rsidRPr="0082124C">
              <w:t>(a) for a publicly listed company—$1</w:t>
            </w:r>
            <w:r w:rsidR="00A7114B" w:rsidRPr="0082124C">
              <w:t>6,545</w:t>
            </w:r>
          </w:p>
          <w:p w14:paraId="32CA5DA2" w14:textId="77777777" w:rsidR="00693CDD" w:rsidRPr="0082124C" w:rsidRDefault="00693CDD" w:rsidP="00BE3709">
            <w:pPr>
              <w:pStyle w:val="Tablea"/>
            </w:pPr>
            <w:r w:rsidRPr="0082124C">
              <w:t>(b) for a corporation—$</w:t>
            </w:r>
            <w:r w:rsidR="00A7114B" w:rsidRPr="0082124C">
              <w:t>11,020</w:t>
            </w:r>
          </w:p>
          <w:p w14:paraId="1876E426" w14:textId="77777777" w:rsidR="00693CDD" w:rsidRPr="0082124C" w:rsidRDefault="00693CDD" w:rsidP="00BE3709">
            <w:pPr>
              <w:pStyle w:val="Tablea"/>
            </w:pPr>
            <w:r w:rsidRPr="0082124C">
              <w:t>(c) in any other case—$</w:t>
            </w:r>
            <w:r w:rsidR="00A7114B" w:rsidRPr="0082124C">
              <w:t>3,655</w:t>
            </w:r>
          </w:p>
          <w:p w14:paraId="241B468B" w14:textId="77777777" w:rsidR="00693CDD" w:rsidRPr="0082124C" w:rsidRDefault="00693CDD" w:rsidP="00BE3709">
            <w:pPr>
              <w:pStyle w:val="Tablea"/>
            </w:pPr>
            <w:r w:rsidRPr="0082124C">
              <w:t>(d) financial hardship fee—$</w:t>
            </w:r>
            <w:r w:rsidR="00A7114B" w:rsidRPr="0082124C">
              <w:t>1,215</w:t>
            </w:r>
          </w:p>
        </w:tc>
      </w:tr>
      <w:tr w:rsidR="00693CDD" w:rsidRPr="0082124C" w14:paraId="15C16CED" w14:textId="77777777" w:rsidTr="00B63429">
        <w:trPr>
          <w:trHeight w:val="70"/>
        </w:trPr>
        <w:tc>
          <w:tcPr>
            <w:tcW w:w="409" w:type="pct"/>
            <w:shd w:val="clear" w:color="auto" w:fill="auto"/>
          </w:tcPr>
          <w:p w14:paraId="2BE5E50E" w14:textId="77777777" w:rsidR="00693CDD" w:rsidRPr="0082124C" w:rsidRDefault="00693CDD" w:rsidP="00685E3D">
            <w:pPr>
              <w:pStyle w:val="Tabletext"/>
            </w:pPr>
            <w:r w:rsidRPr="0082124C">
              <w:t>102</w:t>
            </w:r>
          </w:p>
        </w:tc>
        <w:tc>
          <w:tcPr>
            <w:tcW w:w="2769" w:type="pct"/>
            <w:shd w:val="clear" w:color="auto" w:fill="auto"/>
          </w:tcPr>
          <w:p w14:paraId="2D910DE6" w14:textId="77777777" w:rsidR="00693CDD" w:rsidRPr="0082124C" w:rsidRDefault="00693CDD" w:rsidP="00685E3D">
            <w:pPr>
              <w:pStyle w:val="Tabletext"/>
            </w:pPr>
            <w:r w:rsidRPr="0082124C">
              <w:t>Writ of summons or petition</w:t>
            </w:r>
          </w:p>
        </w:tc>
        <w:tc>
          <w:tcPr>
            <w:tcW w:w="1822" w:type="pct"/>
            <w:shd w:val="clear" w:color="auto" w:fill="auto"/>
          </w:tcPr>
          <w:p w14:paraId="30CEF2CB" w14:textId="77777777" w:rsidR="00693CDD" w:rsidRPr="0082124C" w:rsidRDefault="00693CDD" w:rsidP="00BE3709">
            <w:pPr>
              <w:pStyle w:val="Tablea"/>
            </w:pPr>
            <w:r w:rsidRPr="0082124C">
              <w:t>(a) for a publicly listed company—$</w:t>
            </w:r>
            <w:r w:rsidR="00A7114B" w:rsidRPr="0082124C">
              <w:t>16,545</w:t>
            </w:r>
          </w:p>
          <w:p w14:paraId="0E451F1B" w14:textId="77777777" w:rsidR="00693CDD" w:rsidRPr="0082124C" w:rsidRDefault="00693CDD" w:rsidP="00BE3709">
            <w:pPr>
              <w:pStyle w:val="Tablea"/>
            </w:pPr>
            <w:r w:rsidRPr="0082124C">
              <w:t>(b) for a corporation—$</w:t>
            </w:r>
            <w:r w:rsidR="00A7114B" w:rsidRPr="0082124C">
              <w:t>11,020</w:t>
            </w:r>
          </w:p>
          <w:p w14:paraId="0CC6FB9F" w14:textId="77777777" w:rsidR="00693CDD" w:rsidRPr="0082124C" w:rsidRDefault="00693CDD" w:rsidP="00BE3709">
            <w:pPr>
              <w:pStyle w:val="Tablea"/>
            </w:pPr>
            <w:r w:rsidRPr="0082124C">
              <w:t>(c) in any other case—$</w:t>
            </w:r>
            <w:r w:rsidR="00A7114B" w:rsidRPr="0082124C">
              <w:t>3,655</w:t>
            </w:r>
          </w:p>
          <w:p w14:paraId="48AFA7B3" w14:textId="77777777" w:rsidR="00693CDD" w:rsidRPr="0082124C" w:rsidRDefault="00693CDD" w:rsidP="00BE3709">
            <w:pPr>
              <w:pStyle w:val="Tablea"/>
            </w:pPr>
            <w:r w:rsidRPr="0082124C">
              <w:t>(d) financial hardship fee—$</w:t>
            </w:r>
            <w:r w:rsidR="00A7114B" w:rsidRPr="0082124C">
              <w:t>1,215</w:t>
            </w:r>
          </w:p>
        </w:tc>
      </w:tr>
      <w:tr w:rsidR="00693CDD" w:rsidRPr="0082124C" w14:paraId="2E1EB403" w14:textId="77777777" w:rsidTr="00B63429">
        <w:trPr>
          <w:trHeight w:val="70"/>
        </w:trPr>
        <w:tc>
          <w:tcPr>
            <w:tcW w:w="409" w:type="pct"/>
            <w:shd w:val="clear" w:color="auto" w:fill="auto"/>
          </w:tcPr>
          <w:p w14:paraId="387C6CFB" w14:textId="77777777" w:rsidR="00693CDD" w:rsidRPr="0082124C" w:rsidRDefault="00693CDD" w:rsidP="00685E3D">
            <w:pPr>
              <w:pStyle w:val="Tabletext"/>
            </w:pPr>
            <w:r w:rsidRPr="0082124C">
              <w:t>103</w:t>
            </w:r>
          </w:p>
        </w:tc>
        <w:tc>
          <w:tcPr>
            <w:tcW w:w="2769" w:type="pct"/>
            <w:shd w:val="clear" w:color="auto" w:fill="auto"/>
          </w:tcPr>
          <w:p w14:paraId="186DAB75" w14:textId="77777777" w:rsidR="00693CDD" w:rsidRPr="0082124C" w:rsidRDefault="00693CDD" w:rsidP="00685E3D">
            <w:pPr>
              <w:pStyle w:val="Tabletext"/>
            </w:pPr>
            <w:r w:rsidRPr="0082124C">
              <w:t>Civil leave or civil special leave application</w:t>
            </w:r>
          </w:p>
        </w:tc>
        <w:tc>
          <w:tcPr>
            <w:tcW w:w="1822" w:type="pct"/>
            <w:shd w:val="clear" w:color="auto" w:fill="auto"/>
          </w:tcPr>
          <w:p w14:paraId="42576BEA" w14:textId="77777777" w:rsidR="00693CDD" w:rsidRPr="0082124C" w:rsidRDefault="00693CDD" w:rsidP="00BE3709">
            <w:pPr>
              <w:pStyle w:val="Tablea"/>
            </w:pPr>
            <w:r w:rsidRPr="0082124C">
              <w:t>(a) for a publicly listed company—$</w:t>
            </w:r>
            <w:r w:rsidR="00A7114B" w:rsidRPr="0082124C">
              <w:t>16,545</w:t>
            </w:r>
          </w:p>
          <w:p w14:paraId="2ED3C3A1" w14:textId="77777777" w:rsidR="00693CDD" w:rsidRPr="0082124C" w:rsidRDefault="00693CDD" w:rsidP="00BE3709">
            <w:pPr>
              <w:pStyle w:val="Tablea"/>
            </w:pPr>
            <w:r w:rsidRPr="0082124C">
              <w:t>(b) for a corporation—$</w:t>
            </w:r>
            <w:r w:rsidR="00A7114B" w:rsidRPr="0082124C">
              <w:t>11,020</w:t>
            </w:r>
          </w:p>
          <w:p w14:paraId="0D04C63E" w14:textId="77777777" w:rsidR="00693CDD" w:rsidRPr="0082124C" w:rsidRDefault="00693CDD" w:rsidP="00BE3709">
            <w:pPr>
              <w:pStyle w:val="Tablea"/>
            </w:pPr>
            <w:r w:rsidRPr="0082124C">
              <w:t>(c) in any other case—$</w:t>
            </w:r>
            <w:r w:rsidR="00A7114B" w:rsidRPr="0082124C">
              <w:t>3,655</w:t>
            </w:r>
          </w:p>
          <w:p w14:paraId="0B35E855" w14:textId="77777777" w:rsidR="00693CDD" w:rsidRPr="0082124C" w:rsidRDefault="00693CDD" w:rsidP="00BE3709">
            <w:pPr>
              <w:pStyle w:val="Tablea"/>
            </w:pPr>
            <w:r w:rsidRPr="0082124C">
              <w:t>(d) financial hardship fee—$</w:t>
            </w:r>
            <w:r w:rsidR="00A7114B" w:rsidRPr="0082124C">
              <w:t>1,215</w:t>
            </w:r>
          </w:p>
        </w:tc>
      </w:tr>
      <w:tr w:rsidR="00693CDD" w:rsidRPr="0082124C" w14:paraId="0F24B692" w14:textId="77777777" w:rsidTr="00B63429">
        <w:trPr>
          <w:trHeight w:val="70"/>
        </w:trPr>
        <w:tc>
          <w:tcPr>
            <w:tcW w:w="409" w:type="pct"/>
            <w:shd w:val="clear" w:color="auto" w:fill="auto"/>
          </w:tcPr>
          <w:p w14:paraId="6AEC943B" w14:textId="77777777" w:rsidR="00693CDD" w:rsidRPr="0082124C" w:rsidRDefault="00693CDD" w:rsidP="00685E3D">
            <w:pPr>
              <w:pStyle w:val="Tabletext"/>
            </w:pPr>
            <w:r w:rsidRPr="0082124C">
              <w:t>104</w:t>
            </w:r>
          </w:p>
        </w:tc>
        <w:tc>
          <w:tcPr>
            <w:tcW w:w="2769" w:type="pct"/>
            <w:shd w:val="clear" w:color="auto" w:fill="auto"/>
          </w:tcPr>
          <w:p w14:paraId="10FF7DAB" w14:textId="77777777" w:rsidR="00693CDD" w:rsidRPr="0082124C" w:rsidRDefault="00693CDD" w:rsidP="00685E3D">
            <w:pPr>
              <w:pStyle w:val="Tabletext"/>
            </w:pPr>
            <w:r w:rsidRPr="0082124C">
              <w:t>Criminal special leave application</w:t>
            </w:r>
          </w:p>
        </w:tc>
        <w:tc>
          <w:tcPr>
            <w:tcW w:w="1822" w:type="pct"/>
            <w:shd w:val="clear" w:color="auto" w:fill="auto"/>
          </w:tcPr>
          <w:p w14:paraId="3484C1B1" w14:textId="77777777" w:rsidR="00693CDD" w:rsidRPr="0082124C" w:rsidRDefault="00693CDD" w:rsidP="00BE3709">
            <w:pPr>
              <w:pStyle w:val="Tablea"/>
            </w:pPr>
            <w:r w:rsidRPr="0082124C">
              <w:t>(a) general fee—$</w:t>
            </w:r>
            <w:r w:rsidR="00A7114B" w:rsidRPr="0082124C">
              <w:t>150</w:t>
            </w:r>
          </w:p>
          <w:p w14:paraId="64078275" w14:textId="77777777" w:rsidR="00693CDD" w:rsidRPr="0082124C" w:rsidRDefault="00693CDD" w:rsidP="00BE3709">
            <w:pPr>
              <w:pStyle w:val="Tablea"/>
            </w:pPr>
            <w:r w:rsidRPr="0082124C">
              <w:t>(b) financial hardship fee—$</w:t>
            </w:r>
            <w:r w:rsidR="00A7114B" w:rsidRPr="0082124C">
              <w:t>50</w:t>
            </w:r>
          </w:p>
        </w:tc>
      </w:tr>
      <w:tr w:rsidR="00693CDD" w:rsidRPr="0082124C" w14:paraId="479E93B6" w14:textId="77777777" w:rsidTr="00B63429">
        <w:trPr>
          <w:trHeight w:val="70"/>
        </w:trPr>
        <w:tc>
          <w:tcPr>
            <w:tcW w:w="409" w:type="pct"/>
            <w:shd w:val="clear" w:color="auto" w:fill="auto"/>
          </w:tcPr>
          <w:p w14:paraId="0E7CC061" w14:textId="77777777" w:rsidR="00693CDD" w:rsidRPr="0082124C" w:rsidRDefault="00693CDD" w:rsidP="00685E3D">
            <w:pPr>
              <w:pStyle w:val="Tabletext"/>
            </w:pPr>
            <w:r w:rsidRPr="0082124C">
              <w:t>105</w:t>
            </w:r>
          </w:p>
        </w:tc>
        <w:tc>
          <w:tcPr>
            <w:tcW w:w="2769" w:type="pct"/>
            <w:shd w:val="clear" w:color="auto" w:fill="auto"/>
          </w:tcPr>
          <w:p w14:paraId="62ED0BB3" w14:textId="77777777" w:rsidR="00693CDD" w:rsidRPr="0082124C" w:rsidRDefault="00693CDD" w:rsidP="00685E3D">
            <w:pPr>
              <w:pStyle w:val="Tabletext"/>
            </w:pPr>
            <w:r w:rsidRPr="0082124C">
              <w:t>Application initiating a proceeding (including removals under section 40 of the Act, but not including an application mentioned in another item of this Schedule)</w:t>
            </w:r>
          </w:p>
        </w:tc>
        <w:tc>
          <w:tcPr>
            <w:tcW w:w="1822" w:type="pct"/>
            <w:shd w:val="clear" w:color="auto" w:fill="auto"/>
          </w:tcPr>
          <w:p w14:paraId="3AE6B04A" w14:textId="77777777" w:rsidR="00693CDD" w:rsidRPr="0082124C" w:rsidRDefault="00693CDD" w:rsidP="00BE3709">
            <w:pPr>
              <w:pStyle w:val="Tablea"/>
            </w:pPr>
            <w:r w:rsidRPr="0082124C">
              <w:t>(a) for a publicly listed company—$</w:t>
            </w:r>
            <w:r w:rsidR="00A7114B" w:rsidRPr="0082124C">
              <w:t>16,545</w:t>
            </w:r>
          </w:p>
          <w:p w14:paraId="3F05CDB1" w14:textId="77777777" w:rsidR="00693CDD" w:rsidRPr="0082124C" w:rsidRDefault="00693CDD" w:rsidP="00BE3709">
            <w:pPr>
              <w:pStyle w:val="Tablea"/>
            </w:pPr>
            <w:r w:rsidRPr="0082124C">
              <w:t>(b) for a corporation—$</w:t>
            </w:r>
            <w:r w:rsidR="00A7114B" w:rsidRPr="0082124C">
              <w:t>11,020</w:t>
            </w:r>
          </w:p>
          <w:p w14:paraId="5CB0CBBA" w14:textId="77777777" w:rsidR="00693CDD" w:rsidRPr="0082124C" w:rsidRDefault="00693CDD" w:rsidP="00BE3709">
            <w:pPr>
              <w:pStyle w:val="Tablea"/>
            </w:pPr>
            <w:r w:rsidRPr="0082124C">
              <w:t>(c) in any other case—$</w:t>
            </w:r>
            <w:r w:rsidR="00A7114B" w:rsidRPr="0082124C">
              <w:t>3,655</w:t>
            </w:r>
          </w:p>
          <w:p w14:paraId="058482E7" w14:textId="77777777" w:rsidR="00693CDD" w:rsidRPr="0082124C" w:rsidRDefault="00693CDD" w:rsidP="00BE3709">
            <w:pPr>
              <w:pStyle w:val="Tablea"/>
            </w:pPr>
            <w:r w:rsidRPr="0082124C">
              <w:t>(d) financial hardship fee—$</w:t>
            </w:r>
            <w:r w:rsidR="00A7114B" w:rsidRPr="0082124C">
              <w:t>1,215</w:t>
            </w:r>
          </w:p>
        </w:tc>
      </w:tr>
      <w:tr w:rsidR="00693CDD" w:rsidRPr="0082124C" w14:paraId="1241C229" w14:textId="77777777" w:rsidTr="00B63429">
        <w:trPr>
          <w:trHeight w:val="70"/>
        </w:trPr>
        <w:tc>
          <w:tcPr>
            <w:tcW w:w="409" w:type="pct"/>
            <w:shd w:val="clear" w:color="auto" w:fill="auto"/>
          </w:tcPr>
          <w:p w14:paraId="29958503" w14:textId="77777777" w:rsidR="00693CDD" w:rsidRPr="0082124C" w:rsidRDefault="00693CDD" w:rsidP="00685E3D">
            <w:pPr>
              <w:pStyle w:val="Tabletext"/>
            </w:pPr>
            <w:r w:rsidRPr="0082124C">
              <w:t>106</w:t>
            </w:r>
          </w:p>
        </w:tc>
        <w:tc>
          <w:tcPr>
            <w:tcW w:w="2769" w:type="pct"/>
            <w:shd w:val="clear" w:color="auto" w:fill="auto"/>
          </w:tcPr>
          <w:p w14:paraId="681C7A09" w14:textId="77777777" w:rsidR="00693CDD" w:rsidRPr="0082124C" w:rsidRDefault="00693CDD" w:rsidP="00685E3D">
            <w:pPr>
              <w:pStyle w:val="Tabletext"/>
            </w:pPr>
            <w:r w:rsidRPr="0082124C">
              <w:t>Civil notice of appeal</w:t>
            </w:r>
          </w:p>
        </w:tc>
        <w:tc>
          <w:tcPr>
            <w:tcW w:w="1822" w:type="pct"/>
            <w:shd w:val="clear" w:color="auto" w:fill="auto"/>
          </w:tcPr>
          <w:p w14:paraId="2782A315" w14:textId="77777777" w:rsidR="00693CDD" w:rsidRPr="0082124C" w:rsidRDefault="00693CDD" w:rsidP="00BE3709">
            <w:pPr>
              <w:pStyle w:val="Tablea"/>
            </w:pPr>
            <w:r w:rsidRPr="0082124C">
              <w:t>(a) for a publicly listed company—$</w:t>
            </w:r>
            <w:r w:rsidR="00A7114B" w:rsidRPr="0082124C">
              <w:t>16,545</w:t>
            </w:r>
          </w:p>
          <w:p w14:paraId="59B7211D" w14:textId="77777777" w:rsidR="00693CDD" w:rsidRPr="0082124C" w:rsidRDefault="00693CDD" w:rsidP="00BE3709">
            <w:pPr>
              <w:pStyle w:val="Tablea"/>
            </w:pPr>
            <w:r w:rsidRPr="0082124C">
              <w:t>(b) for a corporation—$</w:t>
            </w:r>
            <w:r w:rsidR="00A7114B" w:rsidRPr="0082124C">
              <w:t>11,020</w:t>
            </w:r>
          </w:p>
          <w:p w14:paraId="617E301F" w14:textId="77777777" w:rsidR="00693CDD" w:rsidRPr="0082124C" w:rsidRDefault="00693CDD" w:rsidP="00BE3709">
            <w:pPr>
              <w:pStyle w:val="Tablea"/>
            </w:pPr>
            <w:r w:rsidRPr="0082124C">
              <w:t>(c) in any other case—$</w:t>
            </w:r>
            <w:r w:rsidR="00A7114B" w:rsidRPr="0082124C">
              <w:t>3,655</w:t>
            </w:r>
          </w:p>
          <w:p w14:paraId="41090641" w14:textId="77777777" w:rsidR="00693CDD" w:rsidRPr="0082124C" w:rsidRDefault="00693CDD" w:rsidP="00BE3709">
            <w:pPr>
              <w:pStyle w:val="Tablea"/>
            </w:pPr>
            <w:r w:rsidRPr="0082124C">
              <w:t>(d) financial hardship fee—$</w:t>
            </w:r>
            <w:r w:rsidR="00A7114B" w:rsidRPr="0082124C">
              <w:t>1,215</w:t>
            </w:r>
          </w:p>
        </w:tc>
      </w:tr>
      <w:tr w:rsidR="00693CDD" w:rsidRPr="0082124C" w14:paraId="36CBDB67" w14:textId="77777777" w:rsidTr="00B63429">
        <w:trPr>
          <w:trHeight w:val="70"/>
        </w:trPr>
        <w:tc>
          <w:tcPr>
            <w:tcW w:w="409" w:type="pct"/>
            <w:shd w:val="clear" w:color="auto" w:fill="auto"/>
          </w:tcPr>
          <w:p w14:paraId="7FC24A80" w14:textId="77777777" w:rsidR="00693CDD" w:rsidRPr="0082124C" w:rsidRDefault="00693CDD" w:rsidP="00685E3D">
            <w:pPr>
              <w:pStyle w:val="Tabletext"/>
            </w:pPr>
            <w:r w:rsidRPr="0082124C">
              <w:t>107</w:t>
            </w:r>
          </w:p>
        </w:tc>
        <w:tc>
          <w:tcPr>
            <w:tcW w:w="2769" w:type="pct"/>
            <w:shd w:val="clear" w:color="auto" w:fill="auto"/>
          </w:tcPr>
          <w:p w14:paraId="5BB105C3" w14:textId="77777777" w:rsidR="00693CDD" w:rsidRPr="0082124C" w:rsidRDefault="00693CDD" w:rsidP="00685E3D">
            <w:pPr>
              <w:pStyle w:val="Tabletext"/>
            </w:pPr>
            <w:r w:rsidRPr="0082124C">
              <w:t>Criminal notice of appeal</w:t>
            </w:r>
          </w:p>
        </w:tc>
        <w:tc>
          <w:tcPr>
            <w:tcW w:w="1822" w:type="pct"/>
            <w:shd w:val="clear" w:color="auto" w:fill="auto"/>
          </w:tcPr>
          <w:p w14:paraId="3136EE05" w14:textId="77777777" w:rsidR="00693CDD" w:rsidRPr="0082124C" w:rsidRDefault="00693CDD" w:rsidP="00BE3709">
            <w:pPr>
              <w:pStyle w:val="Tablea"/>
            </w:pPr>
            <w:r w:rsidRPr="0082124C">
              <w:t>(a) general fee—$</w:t>
            </w:r>
            <w:r w:rsidR="00A7114B" w:rsidRPr="0082124C">
              <w:t>875</w:t>
            </w:r>
          </w:p>
          <w:p w14:paraId="23560A0A" w14:textId="77777777" w:rsidR="00693CDD" w:rsidRPr="0082124C" w:rsidRDefault="00693CDD" w:rsidP="00BE3709">
            <w:pPr>
              <w:pStyle w:val="Tablea"/>
            </w:pPr>
            <w:r w:rsidRPr="0082124C">
              <w:t>(b) financial hardship fee—$</w:t>
            </w:r>
            <w:r w:rsidR="00A7114B" w:rsidRPr="0082124C">
              <w:t>290</w:t>
            </w:r>
          </w:p>
        </w:tc>
      </w:tr>
      <w:tr w:rsidR="00693CDD" w:rsidRPr="0082124C" w14:paraId="13334AAD" w14:textId="77777777" w:rsidTr="00B63429">
        <w:trPr>
          <w:trHeight w:val="70"/>
        </w:trPr>
        <w:tc>
          <w:tcPr>
            <w:tcW w:w="5000" w:type="pct"/>
            <w:gridSpan w:val="3"/>
            <w:shd w:val="clear" w:color="auto" w:fill="auto"/>
          </w:tcPr>
          <w:p w14:paraId="45ACD9FB" w14:textId="77777777" w:rsidR="00693CDD" w:rsidRPr="0082124C" w:rsidRDefault="00693CDD" w:rsidP="00685E3D">
            <w:pPr>
              <w:pStyle w:val="TableHeading"/>
            </w:pPr>
            <w:r w:rsidRPr="0082124C">
              <w:rPr>
                <w:i/>
              </w:rPr>
              <w:t>Hearing fees</w:t>
            </w:r>
          </w:p>
        </w:tc>
      </w:tr>
      <w:tr w:rsidR="00693CDD" w:rsidRPr="0082124C" w14:paraId="6A910A51" w14:textId="77777777" w:rsidTr="00B63429">
        <w:trPr>
          <w:trHeight w:val="70"/>
        </w:trPr>
        <w:tc>
          <w:tcPr>
            <w:tcW w:w="409" w:type="pct"/>
            <w:shd w:val="clear" w:color="auto" w:fill="auto"/>
          </w:tcPr>
          <w:p w14:paraId="31C4962E" w14:textId="77777777" w:rsidR="00693CDD" w:rsidRPr="0082124C" w:rsidRDefault="00693CDD" w:rsidP="00685E3D">
            <w:pPr>
              <w:pStyle w:val="Tabletext"/>
            </w:pPr>
            <w:r w:rsidRPr="0082124C">
              <w:t>108</w:t>
            </w:r>
          </w:p>
        </w:tc>
        <w:tc>
          <w:tcPr>
            <w:tcW w:w="2769" w:type="pct"/>
            <w:shd w:val="clear" w:color="auto" w:fill="auto"/>
          </w:tcPr>
          <w:p w14:paraId="5DC2398D" w14:textId="77777777" w:rsidR="00693CDD" w:rsidRPr="0082124C" w:rsidRDefault="00693CDD" w:rsidP="00685E3D">
            <w:pPr>
              <w:pStyle w:val="Tabletext"/>
            </w:pPr>
            <w:r w:rsidRPr="0082124C">
              <w:t>For the hearing before the Full Court of a notice of appeal in relation to a criminal proceeding</w:t>
            </w:r>
          </w:p>
        </w:tc>
        <w:tc>
          <w:tcPr>
            <w:tcW w:w="1822" w:type="pct"/>
            <w:shd w:val="clear" w:color="auto" w:fill="auto"/>
          </w:tcPr>
          <w:p w14:paraId="7F26C410" w14:textId="77777777" w:rsidR="00693CDD" w:rsidRPr="0082124C" w:rsidRDefault="00693CDD" w:rsidP="00BE3709">
            <w:pPr>
              <w:pStyle w:val="Tablea"/>
            </w:pPr>
            <w:r w:rsidRPr="0082124C">
              <w:t>(a) general fee—$</w:t>
            </w:r>
            <w:r w:rsidR="00A7114B" w:rsidRPr="0082124C">
              <w:t>1,465</w:t>
            </w:r>
          </w:p>
          <w:p w14:paraId="0D3CA4F5" w14:textId="77777777" w:rsidR="00693CDD" w:rsidRPr="0082124C" w:rsidRDefault="00693CDD" w:rsidP="00BE3709">
            <w:pPr>
              <w:pStyle w:val="Tablea"/>
            </w:pPr>
            <w:r w:rsidRPr="0082124C">
              <w:t>(b) financial hardship fee—$</w:t>
            </w:r>
            <w:r w:rsidR="00A7114B" w:rsidRPr="0082124C">
              <w:t>485</w:t>
            </w:r>
          </w:p>
        </w:tc>
      </w:tr>
      <w:tr w:rsidR="00693CDD" w:rsidRPr="0082124C" w14:paraId="1A89BC59" w14:textId="77777777" w:rsidTr="00B63429">
        <w:trPr>
          <w:trHeight w:val="70"/>
        </w:trPr>
        <w:tc>
          <w:tcPr>
            <w:tcW w:w="409" w:type="pct"/>
            <w:shd w:val="clear" w:color="auto" w:fill="auto"/>
          </w:tcPr>
          <w:p w14:paraId="5945B1EC" w14:textId="77777777" w:rsidR="00693CDD" w:rsidRPr="0082124C" w:rsidRDefault="00693CDD" w:rsidP="00685E3D">
            <w:pPr>
              <w:pStyle w:val="Tabletext"/>
            </w:pPr>
            <w:r w:rsidRPr="0082124C">
              <w:t>109</w:t>
            </w:r>
          </w:p>
        </w:tc>
        <w:tc>
          <w:tcPr>
            <w:tcW w:w="2769" w:type="pct"/>
            <w:shd w:val="clear" w:color="auto" w:fill="auto"/>
          </w:tcPr>
          <w:p w14:paraId="61C7852C" w14:textId="77777777" w:rsidR="00693CDD" w:rsidRPr="0082124C" w:rsidRDefault="00693CDD" w:rsidP="00685E3D">
            <w:pPr>
              <w:pStyle w:val="Tabletext"/>
            </w:pPr>
            <w:r w:rsidRPr="0082124C">
              <w:t xml:space="preserve">For the hearing in relation to a proceeding before the </w:t>
            </w:r>
            <w:r w:rsidRPr="0082124C">
              <w:lastRenderedPageBreak/>
              <w:t>Full Court, other than an application for leave or special leave to appeal, a criminal appeal or an application for removal under section 40 of the Act—for the first day of the hearing</w:t>
            </w:r>
          </w:p>
        </w:tc>
        <w:tc>
          <w:tcPr>
            <w:tcW w:w="1822" w:type="pct"/>
            <w:shd w:val="clear" w:color="auto" w:fill="auto"/>
          </w:tcPr>
          <w:p w14:paraId="3E4CCC0A" w14:textId="77777777" w:rsidR="00693CDD" w:rsidRPr="0082124C" w:rsidRDefault="00693CDD" w:rsidP="00BE3709">
            <w:pPr>
              <w:pStyle w:val="Tablea"/>
            </w:pPr>
            <w:r w:rsidRPr="0082124C">
              <w:lastRenderedPageBreak/>
              <w:t>(a) for a publicly listed company—</w:t>
            </w:r>
            <w:r w:rsidRPr="0082124C">
              <w:lastRenderedPageBreak/>
              <w:t>$</w:t>
            </w:r>
            <w:r w:rsidR="00A7114B" w:rsidRPr="0082124C">
              <w:t>22,445</w:t>
            </w:r>
          </w:p>
          <w:p w14:paraId="233C7A6B" w14:textId="77777777" w:rsidR="00693CDD" w:rsidRPr="0082124C" w:rsidRDefault="00693CDD" w:rsidP="00BE3709">
            <w:pPr>
              <w:pStyle w:val="Tablea"/>
            </w:pPr>
            <w:r w:rsidRPr="0082124C">
              <w:t>(b) for a corporation—$</w:t>
            </w:r>
            <w:r w:rsidR="00A7114B" w:rsidRPr="0082124C">
              <w:t>14,955</w:t>
            </w:r>
          </w:p>
          <w:p w14:paraId="62312C17" w14:textId="77777777" w:rsidR="00693CDD" w:rsidRPr="0082124C" w:rsidRDefault="00693CDD" w:rsidP="00BE3709">
            <w:pPr>
              <w:pStyle w:val="Tablea"/>
            </w:pPr>
            <w:r w:rsidRPr="0082124C">
              <w:t>(c) in any other case—$</w:t>
            </w:r>
            <w:r w:rsidR="00A7114B" w:rsidRPr="0082124C">
              <w:t>6,140</w:t>
            </w:r>
          </w:p>
          <w:p w14:paraId="13756AAA" w14:textId="77777777" w:rsidR="00693CDD" w:rsidRPr="0082124C" w:rsidRDefault="00693CDD" w:rsidP="00BE3709">
            <w:pPr>
              <w:pStyle w:val="Tablea"/>
            </w:pPr>
            <w:r w:rsidRPr="0082124C">
              <w:t>(d) financial hardship fee—$</w:t>
            </w:r>
            <w:r w:rsidR="00A7114B" w:rsidRPr="0082124C">
              <w:t>2,045</w:t>
            </w:r>
          </w:p>
        </w:tc>
      </w:tr>
      <w:tr w:rsidR="00693CDD" w:rsidRPr="0082124C" w14:paraId="6A931AA6" w14:textId="77777777" w:rsidTr="00B63429">
        <w:trPr>
          <w:trHeight w:val="70"/>
        </w:trPr>
        <w:tc>
          <w:tcPr>
            <w:tcW w:w="409" w:type="pct"/>
            <w:tcBorders>
              <w:bottom w:val="single" w:sz="2" w:space="0" w:color="auto"/>
            </w:tcBorders>
            <w:shd w:val="clear" w:color="auto" w:fill="auto"/>
          </w:tcPr>
          <w:p w14:paraId="310B6BD7" w14:textId="77777777" w:rsidR="00693CDD" w:rsidRPr="0082124C" w:rsidRDefault="00693CDD" w:rsidP="00685E3D">
            <w:pPr>
              <w:pStyle w:val="Tabletext"/>
            </w:pPr>
            <w:r w:rsidRPr="0082124C">
              <w:lastRenderedPageBreak/>
              <w:t>110</w:t>
            </w:r>
          </w:p>
        </w:tc>
        <w:tc>
          <w:tcPr>
            <w:tcW w:w="2769" w:type="pct"/>
            <w:tcBorders>
              <w:bottom w:val="single" w:sz="2" w:space="0" w:color="auto"/>
            </w:tcBorders>
            <w:shd w:val="clear" w:color="auto" w:fill="auto"/>
          </w:tcPr>
          <w:p w14:paraId="1E34D1DA" w14:textId="77777777" w:rsidR="00693CDD" w:rsidRPr="0082124C" w:rsidRDefault="00693CDD" w:rsidP="00685E3D">
            <w:pPr>
              <w:pStyle w:val="Tabletext"/>
            </w:pPr>
            <w:r w:rsidRPr="0082124C">
              <w:t>For the hearing in relation to a proceeding before the Full Court, other than an application for leave or special leave to appeal, a criminal appeal or an application for removal under section 40 of the Act—for each day or part of a day (not including the first day of the hearing)</w:t>
            </w:r>
          </w:p>
        </w:tc>
        <w:tc>
          <w:tcPr>
            <w:tcW w:w="1822" w:type="pct"/>
            <w:tcBorders>
              <w:bottom w:val="single" w:sz="2" w:space="0" w:color="auto"/>
            </w:tcBorders>
            <w:shd w:val="clear" w:color="auto" w:fill="auto"/>
          </w:tcPr>
          <w:p w14:paraId="6B635B41" w14:textId="77777777" w:rsidR="00693CDD" w:rsidRPr="0082124C" w:rsidRDefault="00693CDD" w:rsidP="00BE3709">
            <w:pPr>
              <w:pStyle w:val="Tablea"/>
            </w:pPr>
            <w:r w:rsidRPr="0082124C">
              <w:t>(a) for a publicly listed company—$</w:t>
            </w:r>
            <w:r w:rsidR="00A7114B" w:rsidRPr="0082124C">
              <w:t>7,470</w:t>
            </w:r>
          </w:p>
          <w:p w14:paraId="5DB0BC41" w14:textId="77777777" w:rsidR="00693CDD" w:rsidRPr="0082124C" w:rsidRDefault="00693CDD" w:rsidP="00BE3709">
            <w:pPr>
              <w:pStyle w:val="Tablea"/>
            </w:pPr>
            <w:r w:rsidRPr="0082124C">
              <w:t>(b) for a corporation—$</w:t>
            </w:r>
            <w:r w:rsidR="00A7114B" w:rsidRPr="0082124C">
              <w:t>4,980</w:t>
            </w:r>
          </w:p>
          <w:p w14:paraId="6032FC54" w14:textId="77777777" w:rsidR="00693CDD" w:rsidRPr="0082124C" w:rsidRDefault="00693CDD" w:rsidP="00BE3709">
            <w:pPr>
              <w:pStyle w:val="Tablea"/>
            </w:pPr>
            <w:r w:rsidRPr="0082124C">
              <w:t>(c) in any other case—$</w:t>
            </w:r>
            <w:r w:rsidR="00A7114B" w:rsidRPr="0082124C">
              <w:t>2,040</w:t>
            </w:r>
          </w:p>
          <w:p w14:paraId="1F06FFE1" w14:textId="77777777" w:rsidR="00693CDD" w:rsidRPr="0082124C" w:rsidRDefault="00693CDD" w:rsidP="00BE3709">
            <w:pPr>
              <w:pStyle w:val="Tablea"/>
            </w:pPr>
            <w:r w:rsidRPr="0082124C">
              <w:t>(d) financial hardship fee—$</w:t>
            </w:r>
            <w:r w:rsidR="00A7114B" w:rsidRPr="0082124C">
              <w:t>680</w:t>
            </w:r>
          </w:p>
        </w:tc>
      </w:tr>
      <w:tr w:rsidR="00693CDD" w:rsidRPr="0082124C" w14:paraId="1A87AD4F" w14:textId="77777777" w:rsidTr="00B63429">
        <w:trPr>
          <w:trHeight w:val="70"/>
        </w:trPr>
        <w:tc>
          <w:tcPr>
            <w:tcW w:w="409" w:type="pct"/>
            <w:tcBorders>
              <w:top w:val="single" w:sz="2" w:space="0" w:color="auto"/>
              <w:bottom w:val="single" w:sz="12" w:space="0" w:color="auto"/>
            </w:tcBorders>
            <w:shd w:val="clear" w:color="auto" w:fill="auto"/>
          </w:tcPr>
          <w:p w14:paraId="28725030" w14:textId="77777777" w:rsidR="00693CDD" w:rsidRPr="0082124C" w:rsidRDefault="00693CDD" w:rsidP="00685E3D">
            <w:pPr>
              <w:pStyle w:val="Tabletext"/>
            </w:pPr>
            <w:r w:rsidRPr="0082124C">
              <w:t>111</w:t>
            </w:r>
          </w:p>
        </w:tc>
        <w:tc>
          <w:tcPr>
            <w:tcW w:w="2769" w:type="pct"/>
            <w:tcBorders>
              <w:top w:val="single" w:sz="2" w:space="0" w:color="auto"/>
              <w:bottom w:val="single" w:sz="12" w:space="0" w:color="auto"/>
            </w:tcBorders>
            <w:shd w:val="clear" w:color="auto" w:fill="auto"/>
          </w:tcPr>
          <w:p w14:paraId="447AFAE8" w14:textId="77777777" w:rsidR="00693CDD" w:rsidRPr="0082124C" w:rsidRDefault="00693CDD" w:rsidP="00685E3D">
            <w:pPr>
              <w:pStyle w:val="Tabletext"/>
            </w:pPr>
            <w:r w:rsidRPr="0082124C">
              <w:t>For the hearing before a single Justice of:</w:t>
            </w:r>
          </w:p>
          <w:p w14:paraId="3CF87C56" w14:textId="77777777" w:rsidR="00693CDD" w:rsidRPr="0082124C" w:rsidRDefault="00693CDD" w:rsidP="00685E3D">
            <w:pPr>
              <w:pStyle w:val="Tablea"/>
            </w:pPr>
            <w:r w:rsidRPr="0082124C">
              <w:t>(a) an application for a constitutional or other writ; or</w:t>
            </w:r>
          </w:p>
          <w:p w14:paraId="23C6B1DB" w14:textId="77777777" w:rsidR="00693CDD" w:rsidRPr="0082124C" w:rsidRDefault="00693CDD" w:rsidP="00685E3D">
            <w:pPr>
              <w:pStyle w:val="Tablea"/>
            </w:pPr>
            <w:r w:rsidRPr="0082124C">
              <w:t>(b) a petition; or</w:t>
            </w:r>
          </w:p>
          <w:p w14:paraId="18A1E465" w14:textId="77777777" w:rsidR="00693CDD" w:rsidRPr="0082124C" w:rsidRDefault="00693CDD" w:rsidP="00685E3D">
            <w:pPr>
              <w:pStyle w:val="Tablea"/>
            </w:pPr>
            <w:r w:rsidRPr="0082124C">
              <w:t>(c) a writ of summons; or</w:t>
            </w:r>
          </w:p>
          <w:p w14:paraId="15C3B542" w14:textId="77777777" w:rsidR="00693CDD" w:rsidRPr="0082124C" w:rsidRDefault="00693CDD" w:rsidP="00685E3D">
            <w:pPr>
              <w:pStyle w:val="Tablea"/>
            </w:pPr>
            <w:r w:rsidRPr="0082124C">
              <w:t>(d) a</w:t>
            </w:r>
            <w:r w:rsidR="006769A2" w:rsidRPr="0082124C">
              <w:t xml:space="preserve">n application </w:t>
            </w:r>
            <w:r w:rsidRPr="0082124C">
              <w:t xml:space="preserve">(other than </w:t>
            </w:r>
            <w:r w:rsidR="000809D0" w:rsidRPr="0082124C">
              <w:t>an application</w:t>
            </w:r>
            <w:r w:rsidRPr="0082124C">
              <w:t xml:space="preserve"> for directions);</w:t>
            </w:r>
          </w:p>
          <w:p w14:paraId="100D7228" w14:textId="77777777" w:rsidR="00693CDD" w:rsidRPr="0082124C" w:rsidRDefault="00693CDD" w:rsidP="00685E3D">
            <w:pPr>
              <w:pStyle w:val="Tabletext"/>
            </w:pPr>
            <w:r w:rsidRPr="0082124C">
              <w:t>for each half day or part of a half day</w:t>
            </w:r>
          </w:p>
        </w:tc>
        <w:tc>
          <w:tcPr>
            <w:tcW w:w="1822" w:type="pct"/>
            <w:tcBorders>
              <w:top w:val="single" w:sz="2" w:space="0" w:color="auto"/>
              <w:bottom w:val="single" w:sz="12" w:space="0" w:color="auto"/>
            </w:tcBorders>
            <w:shd w:val="clear" w:color="auto" w:fill="auto"/>
          </w:tcPr>
          <w:p w14:paraId="6EE11F73" w14:textId="77777777" w:rsidR="00693CDD" w:rsidRPr="0082124C" w:rsidRDefault="00693CDD" w:rsidP="00BE3709">
            <w:pPr>
              <w:pStyle w:val="Tablea"/>
            </w:pPr>
            <w:r w:rsidRPr="0082124C">
              <w:t>(a) for a publicly listed company—$</w:t>
            </w:r>
            <w:r w:rsidR="00A7114B" w:rsidRPr="0082124C">
              <w:t>2,495</w:t>
            </w:r>
          </w:p>
          <w:p w14:paraId="4D808473" w14:textId="77777777" w:rsidR="00693CDD" w:rsidRPr="0082124C" w:rsidRDefault="00693CDD" w:rsidP="00BE3709">
            <w:pPr>
              <w:pStyle w:val="Tablea"/>
            </w:pPr>
            <w:r w:rsidRPr="0082124C">
              <w:t>(b) for a corporation—$</w:t>
            </w:r>
            <w:r w:rsidR="00A7114B" w:rsidRPr="0082124C">
              <w:t>1,660</w:t>
            </w:r>
          </w:p>
          <w:p w14:paraId="56660B6A" w14:textId="77777777" w:rsidR="00693CDD" w:rsidRPr="0082124C" w:rsidRDefault="00693CDD" w:rsidP="00BE3709">
            <w:pPr>
              <w:pStyle w:val="Tablea"/>
            </w:pPr>
            <w:r w:rsidRPr="0082124C">
              <w:t>(c) in any other case—$</w:t>
            </w:r>
            <w:r w:rsidR="00A7114B" w:rsidRPr="0082124C">
              <w:t>690</w:t>
            </w:r>
          </w:p>
          <w:p w14:paraId="23D0C0F8" w14:textId="77777777" w:rsidR="00693CDD" w:rsidRPr="0082124C" w:rsidRDefault="00693CDD" w:rsidP="00BE3709">
            <w:pPr>
              <w:pStyle w:val="Tablea"/>
            </w:pPr>
            <w:r w:rsidRPr="0082124C">
              <w:t>(d) financial hardship fee—$</w:t>
            </w:r>
            <w:r w:rsidR="00A7114B" w:rsidRPr="0082124C">
              <w:t>230</w:t>
            </w:r>
          </w:p>
        </w:tc>
      </w:tr>
    </w:tbl>
    <w:p w14:paraId="6210608D" w14:textId="77777777" w:rsidR="00693CDD" w:rsidRPr="0082124C" w:rsidRDefault="00693CDD" w:rsidP="005D551C">
      <w:pPr>
        <w:pStyle w:val="notemargin"/>
      </w:pPr>
      <w:r w:rsidRPr="0082124C">
        <w:t>Note:</w:t>
      </w:r>
      <w:r w:rsidRPr="0082124C">
        <w:tab/>
        <w:t xml:space="preserve">The fees mentioned in this Part are subject to increase under </w:t>
      </w:r>
      <w:r w:rsidR="003D1A86" w:rsidRPr="0082124C">
        <w:t>section 1</w:t>
      </w:r>
      <w:r w:rsidRPr="0082124C">
        <w:t>6.</w:t>
      </w:r>
    </w:p>
    <w:p w14:paraId="2954EB8C" w14:textId="77777777" w:rsidR="0053493B" w:rsidRPr="0082124C" w:rsidRDefault="00564701" w:rsidP="009C38DE">
      <w:pPr>
        <w:pStyle w:val="ActHead2"/>
        <w:pageBreakBefore/>
      </w:pPr>
      <w:bookmarkStart w:id="40" w:name="_Toc113458370"/>
      <w:r w:rsidRPr="003F450F">
        <w:rPr>
          <w:rStyle w:val="CharPartNo"/>
        </w:rPr>
        <w:lastRenderedPageBreak/>
        <w:t>Part 2</w:t>
      </w:r>
      <w:r w:rsidR="00693CDD" w:rsidRPr="0082124C">
        <w:t>—</w:t>
      </w:r>
      <w:r w:rsidR="00693CDD" w:rsidRPr="003F450F">
        <w:rPr>
          <w:rStyle w:val="CharPartText"/>
        </w:rPr>
        <w:t>Fees for obtaining a document or service</w:t>
      </w:r>
      <w:bookmarkEnd w:id="40"/>
    </w:p>
    <w:p w14:paraId="39DD2A09" w14:textId="77777777" w:rsidR="00EB7633" w:rsidRPr="003F450F" w:rsidRDefault="00EB7633" w:rsidP="00EB7633">
      <w:pPr>
        <w:pStyle w:val="Header"/>
      </w:pPr>
      <w:r w:rsidRPr="003F450F">
        <w:rPr>
          <w:rStyle w:val="CharDivNo"/>
        </w:rPr>
        <w:t xml:space="preserve"> </w:t>
      </w:r>
      <w:r w:rsidRPr="003F450F">
        <w:rPr>
          <w:rStyle w:val="CharDivText"/>
        </w:rPr>
        <w:t xml:space="preserve"> </w:t>
      </w:r>
    </w:p>
    <w:p w14:paraId="74A25C61" w14:textId="77777777" w:rsidR="00C54082" w:rsidRPr="0082124C" w:rsidRDefault="009C38DE" w:rsidP="00C54082">
      <w:pPr>
        <w:pStyle w:val="subsection"/>
      </w:pPr>
      <w:r w:rsidRPr="0082124C">
        <w:tab/>
      </w:r>
      <w:r w:rsidRPr="0082124C">
        <w:tab/>
      </w:r>
      <w:r w:rsidR="00C54082" w:rsidRPr="0082124C">
        <w:t>The following table sets out fees payable for obtaining documents or services in relation to proceedings in the Court.</w:t>
      </w:r>
    </w:p>
    <w:p w14:paraId="13BEEF86" w14:textId="77777777" w:rsidR="00693CDD" w:rsidRPr="0082124C" w:rsidRDefault="00693CDD" w:rsidP="00693CDD">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698"/>
        <w:gridCol w:w="6876"/>
        <w:gridCol w:w="955"/>
      </w:tblGrid>
      <w:tr w:rsidR="00070C91" w:rsidRPr="0082124C" w14:paraId="1E8C023D" w14:textId="77777777" w:rsidTr="00070C91">
        <w:trPr>
          <w:tblHeader/>
        </w:trPr>
        <w:tc>
          <w:tcPr>
            <w:tcW w:w="5000" w:type="pct"/>
            <w:gridSpan w:val="3"/>
            <w:tcBorders>
              <w:top w:val="single" w:sz="12" w:space="0" w:color="auto"/>
              <w:bottom w:val="single" w:sz="2" w:space="0" w:color="auto"/>
            </w:tcBorders>
            <w:shd w:val="clear" w:color="auto" w:fill="auto"/>
          </w:tcPr>
          <w:p w14:paraId="1EF7ABF1" w14:textId="77777777" w:rsidR="00070C91" w:rsidRPr="0082124C" w:rsidRDefault="00070C91" w:rsidP="00685E3D">
            <w:pPr>
              <w:pStyle w:val="TableHeading"/>
            </w:pPr>
            <w:r w:rsidRPr="0082124C">
              <w:t>Fees—fees for obtaining a document or service</w:t>
            </w:r>
          </w:p>
        </w:tc>
      </w:tr>
      <w:tr w:rsidR="00693CDD" w:rsidRPr="0082124C" w14:paraId="55328414" w14:textId="77777777" w:rsidTr="00070C91">
        <w:trPr>
          <w:tblHeader/>
        </w:trPr>
        <w:tc>
          <w:tcPr>
            <w:tcW w:w="409" w:type="pct"/>
            <w:tcBorders>
              <w:top w:val="single" w:sz="2" w:space="0" w:color="auto"/>
              <w:bottom w:val="single" w:sz="12" w:space="0" w:color="auto"/>
            </w:tcBorders>
            <w:shd w:val="clear" w:color="auto" w:fill="auto"/>
          </w:tcPr>
          <w:p w14:paraId="7C3E8EC9" w14:textId="77777777" w:rsidR="00693CDD" w:rsidRPr="0082124C" w:rsidRDefault="00693CDD" w:rsidP="00685E3D">
            <w:pPr>
              <w:pStyle w:val="TableHeading"/>
            </w:pPr>
            <w:r w:rsidRPr="0082124C">
              <w:t>Item</w:t>
            </w:r>
          </w:p>
        </w:tc>
        <w:tc>
          <w:tcPr>
            <w:tcW w:w="4031" w:type="pct"/>
            <w:tcBorders>
              <w:top w:val="single" w:sz="2" w:space="0" w:color="auto"/>
              <w:bottom w:val="single" w:sz="12" w:space="0" w:color="auto"/>
            </w:tcBorders>
            <w:shd w:val="clear" w:color="auto" w:fill="auto"/>
          </w:tcPr>
          <w:p w14:paraId="06F8B0CE" w14:textId="77777777" w:rsidR="00693CDD" w:rsidRPr="0082124C" w:rsidRDefault="00693CDD" w:rsidP="00685E3D">
            <w:pPr>
              <w:pStyle w:val="TableHeading"/>
            </w:pPr>
            <w:r w:rsidRPr="0082124C">
              <w:t>Document or service</w:t>
            </w:r>
          </w:p>
        </w:tc>
        <w:tc>
          <w:tcPr>
            <w:tcW w:w="560" w:type="pct"/>
            <w:tcBorders>
              <w:top w:val="single" w:sz="2" w:space="0" w:color="auto"/>
              <w:bottom w:val="single" w:sz="12" w:space="0" w:color="auto"/>
            </w:tcBorders>
            <w:shd w:val="clear" w:color="auto" w:fill="auto"/>
          </w:tcPr>
          <w:p w14:paraId="0DA38503" w14:textId="77777777" w:rsidR="00693CDD" w:rsidRPr="0082124C" w:rsidRDefault="00693CDD" w:rsidP="00685E3D">
            <w:pPr>
              <w:pStyle w:val="TableHeading"/>
            </w:pPr>
            <w:r w:rsidRPr="0082124C">
              <w:t>Fee</w:t>
            </w:r>
          </w:p>
        </w:tc>
      </w:tr>
      <w:tr w:rsidR="00693CDD" w:rsidRPr="0082124C" w14:paraId="222FC1C7" w14:textId="77777777" w:rsidTr="00B63429">
        <w:tc>
          <w:tcPr>
            <w:tcW w:w="409" w:type="pct"/>
            <w:tcBorders>
              <w:top w:val="single" w:sz="12" w:space="0" w:color="auto"/>
            </w:tcBorders>
            <w:shd w:val="clear" w:color="auto" w:fill="auto"/>
          </w:tcPr>
          <w:p w14:paraId="0E01D1C1" w14:textId="77777777" w:rsidR="00693CDD" w:rsidRPr="0082124C" w:rsidRDefault="00693CDD" w:rsidP="00685E3D">
            <w:pPr>
              <w:pStyle w:val="Tabletext"/>
            </w:pPr>
            <w:r w:rsidRPr="0082124C">
              <w:t>201</w:t>
            </w:r>
          </w:p>
        </w:tc>
        <w:tc>
          <w:tcPr>
            <w:tcW w:w="4031" w:type="pct"/>
            <w:tcBorders>
              <w:top w:val="single" w:sz="12" w:space="0" w:color="auto"/>
            </w:tcBorders>
            <w:shd w:val="clear" w:color="auto" w:fill="auto"/>
          </w:tcPr>
          <w:p w14:paraId="76D88E76" w14:textId="77777777" w:rsidR="00693CDD" w:rsidRPr="0082124C" w:rsidRDefault="00693CDD" w:rsidP="00685E3D">
            <w:pPr>
              <w:pStyle w:val="Tabletext"/>
            </w:pPr>
            <w:r w:rsidRPr="0082124C">
              <w:t>Searching or inspecting a document mentioned in rule 4.07.4 of the Rules—for each hour or part of an hour</w:t>
            </w:r>
          </w:p>
        </w:tc>
        <w:tc>
          <w:tcPr>
            <w:tcW w:w="560" w:type="pct"/>
            <w:tcBorders>
              <w:top w:val="single" w:sz="12" w:space="0" w:color="auto"/>
            </w:tcBorders>
            <w:shd w:val="clear" w:color="auto" w:fill="auto"/>
          </w:tcPr>
          <w:p w14:paraId="6CDE2B4B" w14:textId="77777777" w:rsidR="00693CDD" w:rsidRPr="0082124C" w:rsidRDefault="00693CDD" w:rsidP="00685E3D">
            <w:pPr>
              <w:pStyle w:val="Tabletext"/>
            </w:pPr>
            <w:r w:rsidRPr="0082124C">
              <w:t>$2</w:t>
            </w:r>
            <w:r w:rsidR="00A7114B" w:rsidRPr="0082124C">
              <w:t>9</w:t>
            </w:r>
          </w:p>
        </w:tc>
      </w:tr>
      <w:tr w:rsidR="00693CDD" w:rsidRPr="0082124C" w14:paraId="269A5E6D" w14:textId="77777777" w:rsidTr="00B63429">
        <w:tc>
          <w:tcPr>
            <w:tcW w:w="409" w:type="pct"/>
            <w:shd w:val="clear" w:color="auto" w:fill="auto"/>
          </w:tcPr>
          <w:p w14:paraId="1D29A791" w14:textId="77777777" w:rsidR="00693CDD" w:rsidRPr="0082124C" w:rsidRDefault="00693CDD" w:rsidP="00685E3D">
            <w:pPr>
              <w:pStyle w:val="Tabletext"/>
            </w:pPr>
            <w:r w:rsidRPr="0082124C">
              <w:t>202</w:t>
            </w:r>
          </w:p>
        </w:tc>
        <w:tc>
          <w:tcPr>
            <w:tcW w:w="4031" w:type="pct"/>
            <w:shd w:val="clear" w:color="auto" w:fill="auto"/>
          </w:tcPr>
          <w:p w14:paraId="620E28F6" w14:textId="77777777" w:rsidR="00693CDD" w:rsidRPr="0082124C" w:rsidRDefault="00693CDD" w:rsidP="00685E3D">
            <w:pPr>
              <w:pStyle w:val="Tabletext"/>
            </w:pPr>
            <w:r w:rsidRPr="0082124C">
              <w:t>Making a photocopy or office copy of any document—for each page</w:t>
            </w:r>
          </w:p>
        </w:tc>
        <w:tc>
          <w:tcPr>
            <w:tcW w:w="560" w:type="pct"/>
            <w:shd w:val="clear" w:color="auto" w:fill="auto"/>
          </w:tcPr>
          <w:p w14:paraId="5446438D" w14:textId="77777777" w:rsidR="00693CDD" w:rsidRPr="0082124C" w:rsidRDefault="00693CDD" w:rsidP="00685E3D">
            <w:pPr>
              <w:pStyle w:val="Tabletext"/>
            </w:pPr>
            <w:r w:rsidRPr="0082124C">
              <w:t>$4</w:t>
            </w:r>
          </w:p>
        </w:tc>
      </w:tr>
      <w:tr w:rsidR="00693CDD" w:rsidRPr="0082124C" w:rsidDel="001E255A" w14:paraId="4B008DA5" w14:textId="77777777" w:rsidTr="00B63429">
        <w:tc>
          <w:tcPr>
            <w:tcW w:w="409" w:type="pct"/>
            <w:tcBorders>
              <w:top w:val="single" w:sz="2" w:space="0" w:color="auto"/>
              <w:bottom w:val="nil"/>
            </w:tcBorders>
            <w:shd w:val="clear" w:color="auto" w:fill="auto"/>
          </w:tcPr>
          <w:p w14:paraId="0B254C26" w14:textId="77777777" w:rsidR="00693CDD" w:rsidRPr="0082124C" w:rsidDel="001E255A" w:rsidRDefault="00693CDD" w:rsidP="00685E3D">
            <w:pPr>
              <w:pStyle w:val="Tabletext"/>
            </w:pPr>
            <w:r w:rsidRPr="0082124C">
              <w:t>203</w:t>
            </w:r>
          </w:p>
        </w:tc>
        <w:tc>
          <w:tcPr>
            <w:tcW w:w="4031" w:type="pct"/>
            <w:tcBorders>
              <w:top w:val="single" w:sz="2" w:space="0" w:color="auto"/>
              <w:bottom w:val="nil"/>
            </w:tcBorders>
            <w:shd w:val="clear" w:color="auto" w:fill="auto"/>
          </w:tcPr>
          <w:p w14:paraId="30E70B66" w14:textId="77777777" w:rsidR="00693CDD" w:rsidRPr="0082124C" w:rsidDel="001E255A" w:rsidRDefault="00693CDD" w:rsidP="00685E3D">
            <w:pPr>
              <w:pStyle w:val="Tabletext"/>
            </w:pPr>
            <w:r w:rsidRPr="0082124C">
              <w:t>Copy of reasons for judgment:</w:t>
            </w:r>
          </w:p>
        </w:tc>
        <w:tc>
          <w:tcPr>
            <w:tcW w:w="560" w:type="pct"/>
            <w:tcBorders>
              <w:top w:val="single" w:sz="2" w:space="0" w:color="auto"/>
              <w:bottom w:val="nil"/>
            </w:tcBorders>
            <w:shd w:val="clear" w:color="auto" w:fill="auto"/>
          </w:tcPr>
          <w:p w14:paraId="2AAD075F" w14:textId="77777777" w:rsidR="00693CDD" w:rsidRPr="0082124C" w:rsidDel="001E255A" w:rsidRDefault="00693CDD" w:rsidP="00685E3D">
            <w:pPr>
              <w:pStyle w:val="Tabletext"/>
            </w:pPr>
          </w:p>
        </w:tc>
      </w:tr>
      <w:tr w:rsidR="00693CDD" w:rsidRPr="0082124C" w:rsidDel="001E255A" w14:paraId="15CBBCDF" w14:textId="77777777" w:rsidTr="00B63429">
        <w:tc>
          <w:tcPr>
            <w:tcW w:w="409" w:type="pct"/>
            <w:tcBorders>
              <w:top w:val="nil"/>
              <w:bottom w:val="nil"/>
            </w:tcBorders>
            <w:shd w:val="clear" w:color="auto" w:fill="auto"/>
          </w:tcPr>
          <w:p w14:paraId="6F46CD61" w14:textId="77777777" w:rsidR="00693CDD" w:rsidRPr="0082124C" w:rsidDel="001E255A" w:rsidRDefault="00693CDD" w:rsidP="00685E3D">
            <w:pPr>
              <w:pStyle w:val="Tabletext"/>
            </w:pPr>
          </w:p>
        </w:tc>
        <w:tc>
          <w:tcPr>
            <w:tcW w:w="4031" w:type="pct"/>
            <w:tcBorders>
              <w:top w:val="nil"/>
              <w:bottom w:val="nil"/>
            </w:tcBorders>
            <w:shd w:val="clear" w:color="auto" w:fill="auto"/>
          </w:tcPr>
          <w:p w14:paraId="0A41E54C" w14:textId="77777777" w:rsidR="00693CDD" w:rsidRPr="0082124C" w:rsidDel="001E255A" w:rsidRDefault="00693CDD" w:rsidP="00685E3D">
            <w:pPr>
              <w:pStyle w:val="Tablea"/>
            </w:pPr>
            <w:r w:rsidRPr="0082124C">
              <w:t>(a) for each copy issued to a person not a party to the proceedings; and</w:t>
            </w:r>
          </w:p>
        </w:tc>
        <w:tc>
          <w:tcPr>
            <w:tcW w:w="560" w:type="pct"/>
            <w:tcBorders>
              <w:top w:val="nil"/>
              <w:bottom w:val="nil"/>
            </w:tcBorders>
            <w:shd w:val="clear" w:color="auto" w:fill="auto"/>
          </w:tcPr>
          <w:p w14:paraId="1D064D2F" w14:textId="77777777" w:rsidR="00693CDD" w:rsidRPr="0082124C" w:rsidDel="001E255A" w:rsidRDefault="00693CDD" w:rsidP="00685E3D">
            <w:pPr>
              <w:pStyle w:val="Tabletext"/>
            </w:pPr>
            <w:r w:rsidRPr="0082124C">
              <w:t>$4</w:t>
            </w:r>
          </w:p>
        </w:tc>
      </w:tr>
      <w:tr w:rsidR="00693CDD" w:rsidRPr="0082124C" w:rsidDel="001E255A" w14:paraId="293A9F03" w14:textId="77777777" w:rsidTr="00B63429">
        <w:tc>
          <w:tcPr>
            <w:tcW w:w="409" w:type="pct"/>
            <w:tcBorders>
              <w:top w:val="nil"/>
              <w:bottom w:val="nil"/>
            </w:tcBorders>
            <w:shd w:val="clear" w:color="auto" w:fill="auto"/>
          </w:tcPr>
          <w:p w14:paraId="441984B6" w14:textId="77777777" w:rsidR="00693CDD" w:rsidRPr="0082124C" w:rsidDel="001E255A" w:rsidRDefault="00693CDD" w:rsidP="00685E3D">
            <w:pPr>
              <w:pStyle w:val="Tabletext"/>
            </w:pPr>
          </w:p>
        </w:tc>
        <w:tc>
          <w:tcPr>
            <w:tcW w:w="4031" w:type="pct"/>
            <w:tcBorders>
              <w:top w:val="nil"/>
              <w:bottom w:val="nil"/>
            </w:tcBorders>
            <w:shd w:val="clear" w:color="auto" w:fill="auto"/>
          </w:tcPr>
          <w:p w14:paraId="220521D2" w14:textId="77777777" w:rsidR="00693CDD" w:rsidRPr="0082124C" w:rsidDel="001E255A" w:rsidRDefault="00693CDD" w:rsidP="00685E3D">
            <w:pPr>
              <w:pStyle w:val="Tablea"/>
            </w:pPr>
            <w:r w:rsidRPr="0082124C">
              <w:t>(b) for each copy after the first copy issued to a party to the proceeding</w:t>
            </w:r>
            <w:r w:rsidR="009C38DE" w:rsidRPr="0082124C">
              <w:t>s</w:t>
            </w:r>
            <w:r w:rsidRPr="0082124C">
              <w:t>; and</w:t>
            </w:r>
          </w:p>
        </w:tc>
        <w:tc>
          <w:tcPr>
            <w:tcW w:w="560" w:type="pct"/>
            <w:tcBorders>
              <w:top w:val="nil"/>
              <w:bottom w:val="nil"/>
            </w:tcBorders>
            <w:shd w:val="clear" w:color="auto" w:fill="auto"/>
          </w:tcPr>
          <w:p w14:paraId="39EF37C0" w14:textId="77777777" w:rsidR="00693CDD" w:rsidRPr="0082124C" w:rsidDel="001E255A" w:rsidRDefault="00693CDD" w:rsidP="00685E3D">
            <w:pPr>
              <w:pStyle w:val="Tabletext"/>
            </w:pPr>
            <w:r w:rsidRPr="0082124C">
              <w:t>$4</w:t>
            </w:r>
          </w:p>
        </w:tc>
      </w:tr>
      <w:tr w:rsidR="00693CDD" w:rsidRPr="0082124C" w:rsidDel="001E255A" w14:paraId="2AD0E7BF" w14:textId="77777777" w:rsidTr="00B63429">
        <w:tc>
          <w:tcPr>
            <w:tcW w:w="409" w:type="pct"/>
            <w:tcBorders>
              <w:top w:val="nil"/>
              <w:bottom w:val="nil"/>
            </w:tcBorders>
            <w:shd w:val="clear" w:color="auto" w:fill="auto"/>
          </w:tcPr>
          <w:p w14:paraId="48F2FCE6" w14:textId="77777777" w:rsidR="00693CDD" w:rsidRPr="0082124C" w:rsidDel="001E255A" w:rsidRDefault="00693CDD" w:rsidP="00685E3D">
            <w:pPr>
              <w:pStyle w:val="Tabletext"/>
            </w:pPr>
          </w:p>
        </w:tc>
        <w:tc>
          <w:tcPr>
            <w:tcW w:w="4031" w:type="pct"/>
            <w:tcBorders>
              <w:top w:val="nil"/>
              <w:bottom w:val="nil"/>
            </w:tcBorders>
            <w:shd w:val="clear" w:color="auto" w:fill="auto"/>
          </w:tcPr>
          <w:p w14:paraId="2CDCCFFC" w14:textId="77777777" w:rsidR="00693CDD" w:rsidRPr="0082124C" w:rsidDel="001E255A" w:rsidRDefault="00693CDD" w:rsidP="00685E3D">
            <w:pPr>
              <w:pStyle w:val="Tablea"/>
            </w:pPr>
            <w:r w:rsidRPr="0082124C">
              <w:t>(c) in relation to each copy issued:</w:t>
            </w:r>
          </w:p>
        </w:tc>
        <w:tc>
          <w:tcPr>
            <w:tcW w:w="560" w:type="pct"/>
            <w:tcBorders>
              <w:top w:val="nil"/>
              <w:bottom w:val="nil"/>
            </w:tcBorders>
            <w:shd w:val="clear" w:color="auto" w:fill="auto"/>
          </w:tcPr>
          <w:p w14:paraId="2E23B484" w14:textId="77777777" w:rsidR="00693CDD" w:rsidRPr="0082124C" w:rsidDel="001E255A" w:rsidRDefault="00693CDD" w:rsidP="00685E3D">
            <w:pPr>
              <w:pStyle w:val="Tabletext"/>
            </w:pPr>
          </w:p>
        </w:tc>
      </w:tr>
      <w:tr w:rsidR="00693CDD" w:rsidRPr="0082124C" w:rsidDel="001E255A" w14:paraId="733D5B75" w14:textId="77777777" w:rsidTr="00B63429">
        <w:tc>
          <w:tcPr>
            <w:tcW w:w="409" w:type="pct"/>
            <w:tcBorders>
              <w:top w:val="nil"/>
              <w:bottom w:val="nil"/>
            </w:tcBorders>
            <w:shd w:val="clear" w:color="auto" w:fill="auto"/>
          </w:tcPr>
          <w:p w14:paraId="2B576247" w14:textId="77777777" w:rsidR="00693CDD" w:rsidRPr="0082124C" w:rsidDel="001E255A" w:rsidRDefault="00693CDD" w:rsidP="00685E3D">
            <w:pPr>
              <w:pStyle w:val="Tabletext"/>
            </w:pPr>
          </w:p>
        </w:tc>
        <w:tc>
          <w:tcPr>
            <w:tcW w:w="4031" w:type="pct"/>
            <w:tcBorders>
              <w:top w:val="nil"/>
              <w:bottom w:val="nil"/>
            </w:tcBorders>
            <w:shd w:val="clear" w:color="auto" w:fill="auto"/>
          </w:tcPr>
          <w:p w14:paraId="52621A1B" w14:textId="77777777" w:rsidR="00693CDD" w:rsidRPr="0082124C" w:rsidDel="001E255A" w:rsidRDefault="00693CDD" w:rsidP="00685E3D">
            <w:pPr>
              <w:pStyle w:val="Tablei"/>
            </w:pPr>
            <w:r w:rsidRPr="0082124C">
              <w:t>(</w:t>
            </w:r>
            <w:proofErr w:type="spellStart"/>
            <w:r w:rsidRPr="0082124C">
              <w:t>i</w:t>
            </w:r>
            <w:proofErr w:type="spellEnd"/>
            <w:r w:rsidRPr="0082124C">
              <w:t>) for each page in excess of 10 pages; or</w:t>
            </w:r>
          </w:p>
        </w:tc>
        <w:tc>
          <w:tcPr>
            <w:tcW w:w="560" w:type="pct"/>
            <w:tcBorders>
              <w:top w:val="nil"/>
              <w:bottom w:val="nil"/>
            </w:tcBorders>
            <w:shd w:val="clear" w:color="auto" w:fill="auto"/>
          </w:tcPr>
          <w:p w14:paraId="18904F42" w14:textId="77777777" w:rsidR="00693CDD" w:rsidRPr="0082124C" w:rsidDel="001E255A" w:rsidRDefault="00693CDD" w:rsidP="00685E3D">
            <w:pPr>
              <w:pStyle w:val="Tabletext"/>
            </w:pPr>
            <w:r w:rsidRPr="0082124C">
              <w:t>$1</w:t>
            </w:r>
          </w:p>
        </w:tc>
      </w:tr>
      <w:tr w:rsidR="00693CDD" w:rsidRPr="0082124C" w:rsidDel="001E255A" w14:paraId="15B8260E" w14:textId="77777777" w:rsidTr="00B63429">
        <w:tc>
          <w:tcPr>
            <w:tcW w:w="409" w:type="pct"/>
            <w:tcBorders>
              <w:top w:val="nil"/>
            </w:tcBorders>
            <w:shd w:val="clear" w:color="auto" w:fill="auto"/>
          </w:tcPr>
          <w:p w14:paraId="13EA9875" w14:textId="77777777" w:rsidR="00693CDD" w:rsidRPr="0082124C" w:rsidDel="001E255A" w:rsidRDefault="00693CDD" w:rsidP="00685E3D">
            <w:pPr>
              <w:pStyle w:val="Tabletext"/>
            </w:pPr>
          </w:p>
        </w:tc>
        <w:tc>
          <w:tcPr>
            <w:tcW w:w="4031" w:type="pct"/>
            <w:tcBorders>
              <w:top w:val="nil"/>
            </w:tcBorders>
            <w:shd w:val="clear" w:color="auto" w:fill="auto"/>
          </w:tcPr>
          <w:p w14:paraId="29E78B36" w14:textId="77777777" w:rsidR="00693CDD" w:rsidRPr="0082124C" w:rsidDel="001E255A" w:rsidRDefault="00693CDD" w:rsidP="00685E3D">
            <w:pPr>
              <w:pStyle w:val="Tablei"/>
            </w:pPr>
            <w:r w:rsidRPr="0082124C">
              <w:t xml:space="preserve">(ii) </w:t>
            </w:r>
            <w:r w:rsidR="00084D33" w:rsidRPr="0082124C">
              <w:t xml:space="preserve">a </w:t>
            </w:r>
            <w:r w:rsidRPr="0082124C">
              <w:t>maximum per copy</w:t>
            </w:r>
          </w:p>
        </w:tc>
        <w:tc>
          <w:tcPr>
            <w:tcW w:w="560" w:type="pct"/>
            <w:tcBorders>
              <w:top w:val="nil"/>
            </w:tcBorders>
            <w:shd w:val="clear" w:color="auto" w:fill="auto"/>
          </w:tcPr>
          <w:p w14:paraId="32D44DC4" w14:textId="77777777" w:rsidR="00693CDD" w:rsidRPr="0082124C" w:rsidDel="001E255A" w:rsidRDefault="00693CDD" w:rsidP="00685E3D">
            <w:pPr>
              <w:pStyle w:val="Tabletext"/>
            </w:pPr>
            <w:r w:rsidRPr="0082124C">
              <w:t>$6</w:t>
            </w:r>
            <w:r w:rsidR="00BE3709" w:rsidRPr="0082124C">
              <w:t>5</w:t>
            </w:r>
          </w:p>
        </w:tc>
      </w:tr>
      <w:tr w:rsidR="00693CDD" w:rsidRPr="0082124C" w:rsidDel="001E255A" w14:paraId="2230FBA4" w14:textId="77777777" w:rsidTr="00B63429">
        <w:tc>
          <w:tcPr>
            <w:tcW w:w="409" w:type="pct"/>
            <w:shd w:val="clear" w:color="auto" w:fill="auto"/>
          </w:tcPr>
          <w:p w14:paraId="5498B65C" w14:textId="77777777" w:rsidR="00693CDD" w:rsidRPr="0082124C" w:rsidDel="001E255A" w:rsidRDefault="00693CDD" w:rsidP="00BE3709">
            <w:pPr>
              <w:pStyle w:val="Tabletext"/>
            </w:pPr>
            <w:r w:rsidRPr="0082124C">
              <w:t>204</w:t>
            </w:r>
          </w:p>
        </w:tc>
        <w:tc>
          <w:tcPr>
            <w:tcW w:w="4031" w:type="pct"/>
            <w:shd w:val="clear" w:color="auto" w:fill="auto"/>
          </w:tcPr>
          <w:p w14:paraId="0198C802" w14:textId="77777777" w:rsidR="00693CDD" w:rsidRPr="0082124C" w:rsidDel="001E255A" w:rsidRDefault="00693CDD" w:rsidP="00BE3709">
            <w:pPr>
              <w:pStyle w:val="Tabletext"/>
            </w:pPr>
            <w:r w:rsidRPr="0082124C">
              <w:t>Annual subscription for copies of reasons for judgments</w:t>
            </w:r>
          </w:p>
        </w:tc>
        <w:tc>
          <w:tcPr>
            <w:tcW w:w="560" w:type="pct"/>
            <w:shd w:val="clear" w:color="auto" w:fill="auto"/>
          </w:tcPr>
          <w:p w14:paraId="5D3DAD5F" w14:textId="77777777" w:rsidR="00693CDD" w:rsidRPr="0082124C" w:rsidDel="001E255A" w:rsidRDefault="00693CDD" w:rsidP="00BE3709">
            <w:pPr>
              <w:pStyle w:val="Tabletext"/>
            </w:pPr>
            <w:r w:rsidRPr="0082124C">
              <w:t>$</w:t>
            </w:r>
            <w:r w:rsidR="00BE3709" w:rsidRPr="0082124C">
              <w:t>1,175</w:t>
            </w:r>
          </w:p>
        </w:tc>
      </w:tr>
      <w:tr w:rsidR="00693CDD" w:rsidRPr="0082124C" w14:paraId="7A7AD4B6" w14:textId="77777777" w:rsidTr="00B63429">
        <w:tc>
          <w:tcPr>
            <w:tcW w:w="409" w:type="pct"/>
            <w:shd w:val="clear" w:color="auto" w:fill="auto"/>
          </w:tcPr>
          <w:p w14:paraId="4C32979F" w14:textId="77777777" w:rsidR="00693CDD" w:rsidRPr="0082124C" w:rsidRDefault="00693CDD" w:rsidP="00685E3D">
            <w:pPr>
              <w:pStyle w:val="Tabletext"/>
            </w:pPr>
            <w:r w:rsidRPr="0082124C">
              <w:t>205</w:t>
            </w:r>
          </w:p>
        </w:tc>
        <w:tc>
          <w:tcPr>
            <w:tcW w:w="4031" w:type="pct"/>
            <w:shd w:val="clear" w:color="auto" w:fill="auto"/>
          </w:tcPr>
          <w:p w14:paraId="4BEF8ED2" w14:textId="77777777" w:rsidR="00693CDD" w:rsidRPr="0082124C" w:rsidRDefault="00693CDD" w:rsidP="00685E3D">
            <w:pPr>
              <w:pStyle w:val="Tabletext"/>
            </w:pPr>
            <w:r w:rsidRPr="0082124C">
              <w:t>Copy of transcript of proceedings prepared by the Court Reporting Service—for each page</w:t>
            </w:r>
          </w:p>
        </w:tc>
        <w:tc>
          <w:tcPr>
            <w:tcW w:w="560" w:type="pct"/>
            <w:shd w:val="clear" w:color="auto" w:fill="auto"/>
          </w:tcPr>
          <w:p w14:paraId="4046E2E2" w14:textId="77777777" w:rsidR="00693CDD" w:rsidRPr="0082124C" w:rsidRDefault="00693CDD" w:rsidP="00685E3D">
            <w:pPr>
              <w:pStyle w:val="Tabletext"/>
            </w:pPr>
            <w:r w:rsidRPr="0082124C">
              <w:t>$1</w:t>
            </w:r>
            <w:r w:rsidR="00BE3709" w:rsidRPr="0082124C">
              <w:t>7</w:t>
            </w:r>
          </w:p>
        </w:tc>
      </w:tr>
      <w:tr w:rsidR="00693CDD" w:rsidRPr="0082124C" w14:paraId="3B373625" w14:textId="77777777" w:rsidTr="00B63429">
        <w:tc>
          <w:tcPr>
            <w:tcW w:w="409" w:type="pct"/>
            <w:shd w:val="clear" w:color="auto" w:fill="auto"/>
          </w:tcPr>
          <w:p w14:paraId="553F3770" w14:textId="77777777" w:rsidR="00693CDD" w:rsidRPr="0082124C" w:rsidRDefault="00693CDD" w:rsidP="00685E3D">
            <w:pPr>
              <w:pStyle w:val="Tabletext"/>
            </w:pPr>
            <w:r w:rsidRPr="0082124C">
              <w:t>206</w:t>
            </w:r>
          </w:p>
        </w:tc>
        <w:tc>
          <w:tcPr>
            <w:tcW w:w="4031" w:type="pct"/>
            <w:shd w:val="clear" w:color="auto" w:fill="auto"/>
          </w:tcPr>
          <w:p w14:paraId="753E9E1F" w14:textId="77777777" w:rsidR="00693CDD" w:rsidRPr="0082124C" w:rsidRDefault="00693CDD" w:rsidP="00685E3D">
            <w:pPr>
              <w:pStyle w:val="Tabletext"/>
            </w:pPr>
            <w:r w:rsidRPr="0082124C">
              <w:t>Certificate of a Registrar other than a certificate of taxation</w:t>
            </w:r>
          </w:p>
        </w:tc>
        <w:tc>
          <w:tcPr>
            <w:tcW w:w="560" w:type="pct"/>
            <w:shd w:val="clear" w:color="auto" w:fill="auto"/>
          </w:tcPr>
          <w:p w14:paraId="7E4514AD" w14:textId="77777777" w:rsidR="00693CDD" w:rsidRPr="0082124C" w:rsidRDefault="00693CDD" w:rsidP="00685E3D">
            <w:pPr>
              <w:pStyle w:val="Tabletext"/>
            </w:pPr>
            <w:r w:rsidRPr="0082124C">
              <w:t>$9</w:t>
            </w:r>
            <w:r w:rsidR="00BE3709" w:rsidRPr="0082124C">
              <w:t>5</w:t>
            </w:r>
          </w:p>
        </w:tc>
      </w:tr>
      <w:tr w:rsidR="00693CDD" w:rsidRPr="0082124C" w14:paraId="53451A9B" w14:textId="77777777" w:rsidTr="00B63429">
        <w:tc>
          <w:tcPr>
            <w:tcW w:w="409" w:type="pct"/>
            <w:tcBorders>
              <w:bottom w:val="single" w:sz="2" w:space="0" w:color="auto"/>
            </w:tcBorders>
            <w:shd w:val="clear" w:color="auto" w:fill="auto"/>
          </w:tcPr>
          <w:p w14:paraId="502508AD" w14:textId="77777777" w:rsidR="00693CDD" w:rsidRPr="0082124C" w:rsidRDefault="00693CDD" w:rsidP="00685E3D">
            <w:pPr>
              <w:pStyle w:val="Tabletext"/>
            </w:pPr>
            <w:r w:rsidRPr="0082124C">
              <w:t>207</w:t>
            </w:r>
          </w:p>
        </w:tc>
        <w:tc>
          <w:tcPr>
            <w:tcW w:w="4031" w:type="pct"/>
            <w:tcBorders>
              <w:bottom w:val="single" w:sz="2" w:space="0" w:color="auto"/>
            </w:tcBorders>
            <w:shd w:val="clear" w:color="auto" w:fill="auto"/>
          </w:tcPr>
          <w:p w14:paraId="37CAA984" w14:textId="77777777" w:rsidR="00693CDD" w:rsidRPr="0082124C" w:rsidRDefault="00693CDD" w:rsidP="00685E3D">
            <w:pPr>
              <w:pStyle w:val="Tabletext"/>
            </w:pPr>
            <w:r w:rsidRPr="0082124C">
              <w:t>Taxing a bill of costs for every $100, or part of $100</w:t>
            </w:r>
          </w:p>
        </w:tc>
        <w:tc>
          <w:tcPr>
            <w:tcW w:w="560" w:type="pct"/>
            <w:tcBorders>
              <w:bottom w:val="single" w:sz="2" w:space="0" w:color="auto"/>
            </w:tcBorders>
            <w:shd w:val="clear" w:color="auto" w:fill="auto"/>
          </w:tcPr>
          <w:p w14:paraId="74D61088" w14:textId="77777777" w:rsidR="00693CDD" w:rsidRPr="0082124C" w:rsidRDefault="00693CDD" w:rsidP="00685E3D">
            <w:pPr>
              <w:pStyle w:val="Tabletext"/>
            </w:pPr>
            <w:r w:rsidRPr="0082124C">
              <w:t>$2</w:t>
            </w:r>
            <w:r w:rsidR="00BE3709" w:rsidRPr="0082124C">
              <w:t>1</w:t>
            </w:r>
          </w:p>
        </w:tc>
      </w:tr>
      <w:tr w:rsidR="00693CDD" w:rsidRPr="0082124C" w14:paraId="21654CC7" w14:textId="77777777" w:rsidTr="00B63429">
        <w:tc>
          <w:tcPr>
            <w:tcW w:w="409" w:type="pct"/>
            <w:tcBorders>
              <w:top w:val="single" w:sz="2" w:space="0" w:color="auto"/>
              <w:bottom w:val="single" w:sz="12" w:space="0" w:color="auto"/>
            </w:tcBorders>
            <w:shd w:val="clear" w:color="auto" w:fill="auto"/>
          </w:tcPr>
          <w:p w14:paraId="1D1A870D" w14:textId="77777777" w:rsidR="00693CDD" w:rsidRPr="0082124C" w:rsidRDefault="00693CDD" w:rsidP="00685E3D">
            <w:pPr>
              <w:pStyle w:val="Tabletext"/>
            </w:pPr>
            <w:r w:rsidRPr="0082124C">
              <w:t>208</w:t>
            </w:r>
          </w:p>
        </w:tc>
        <w:tc>
          <w:tcPr>
            <w:tcW w:w="4031" w:type="pct"/>
            <w:tcBorders>
              <w:top w:val="single" w:sz="2" w:space="0" w:color="auto"/>
              <w:bottom w:val="single" w:sz="12" w:space="0" w:color="auto"/>
            </w:tcBorders>
            <w:shd w:val="clear" w:color="auto" w:fill="auto"/>
          </w:tcPr>
          <w:p w14:paraId="1DBBAFED" w14:textId="77777777" w:rsidR="00693CDD" w:rsidRPr="0082124C" w:rsidRDefault="00693CDD" w:rsidP="00685E3D">
            <w:pPr>
              <w:pStyle w:val="Tabletext"/>
            </w:pPr>
            <w:r w:rsidRPr="0082124C">
              <w:t>Responding to a request about whether a named person is involved in proceedings before the Court—up to 10 names</w:t>
            </w:r>
          </w:p>
        </w:tc>
        <w:tc>
          <w:tcPr>
            <w:tcW w:w="560" w:type="pct"/>
            <w:tcBorders>
              <w:top w:val="single" w:sz="2" w:space="0" w:color="auto"/>
              <w:bottom w:val="single" w:sz="12" w:space="0" w:color="auto"/>
            </w:tcBorders>
            <w:shd w:val="clear" w:color="auto" w:fill="auto"/>
          </w:tcPr>
          <w:p w14:paraId="4458E566" w14:textId="77777777" w:rsidR="00693CDD" w:rsidRPr="0082124C" w:rsidRDefault="00693CDD" w:rsidP="00685E3D">
            <w:pPr>
              <w:pStyle w:val="Tabletext"/>
            </w:pPr>
            <w:r w:rsidRPr="0082124C">
              <w:t>$2</w:t>
            </w:r>
            <w:r w:rsidR="00BE3709" w:rsidRPr="0082124C">
              <w:t>9</w:t>
            </w:r>
          </w:p>
        </w:tc>
      </w:tr>
    </w:tbl>
    <w:p w14:paraId="463F3626" w14:textId="77777777" w:rsidR="00693CDD" w:rsidRPr="0082124C" w:rsidRDefault="00693CDD" w:rsidP="005D551C">
      <w:pPr>
        <w:pStyle w:val="notemargin"/>
      </w:pPr>
      <w:r w:rsidRPr="0082124C">
        <w:rPr>
          <w:iCs/>
        </w:rPr>
        <w:t>Note:</w:t>
      </w:r>
      <w:r w:rsidRPr="0082124C">
        <w:rPr>
          <w:iCs/>
        </w:rPr>
        <w:tab/>
      </w:r>
      <w:r w:rsidRPr="0082124C">
        <w:t xml:space="preserve">The fees mentioned in this Part are subject to increase under </w:t>
      </w:r>
      <w:r w:rsidR="003D1A86" w:rsidRPr="0082124C">
        <w:t>section 1</w:t>
      </w:r>
      <w:r w:rsidRPr="0082124C">
        <w:t>6.</w:t>
      </w:r>
    </w:p>
    <w:p w14:paraId="020D3111" w14:textId="77777777" w:rsidR="00E95486" w:rsidRPr="0082124C" w:rsidRDefault="00E95486" w:rsidP="00E95486">
      <w:pPr>
        <w:sectPr w:rsidR="00E95486" w:rsidRPr="0082124C" w:rsidSect="000E2DB5">
          <w:headerReference w:type="even" r:id="rId28"/>
          <w:headerReference w:type="default" r:id="rId29"/>
          <w:footerReference w:type="even" r:id="rId30"/>
          <w:footerReference w:type="default" r:id="rId31"/>
          <w:headerReference w:type="first" r:id="rId32"/>
          <w:footerReference w:type="first" r:id="rId33"/>
          <w:pgSz w:w="11907" w:h="16839" w:code="9"/>
          <w:pgMar w:top="2233" w:right="1797" w:bottom="1440" w:left="1797" w:header="720" w:footer="709" w:gutter="0"/>
          <w:cols w:space="708"/>
          <w:docGrid w:linePitch="360"/>
        </w:sectPr>
      </w:pPr>
    </w:p>
    <w:p w14:paraId="4F2003CF" w14:textId="77777777" w:rsidR="00B63429" w:rsidRPr="0082124C" w:rsidRDefault="00EB7633" w:rsidP="0053493B">
      <w:pPr>
        <w:pStyle w:val="ActHead6"/>
        <w:pageBreakBefore/>
      </w:pPr>
      <w:bookmarkStart w:id="41" w:name="_Toc113458371"/>
      <w:r w:rsidRPr="003F450F">
        <w:rPr>
          <w:rStyle w:val="CharAmSchNo"/>
        </w:rPr>
        <w:lastRenderedPageBreak/>
        <w:t>Schedule 2</w:t>
      </w:r>
      <w:r w:rsidR="00B63429" w:rsidRPr="0082124C">
        <w:t>—</w:t>
      </w:r>
      <w:r w:rsidR="00B63429" w:rsidRPr="003F450F">
        <w:rPr>
          <w:rStyle w:val="CharAmSchText"/>
        </w:rPr>
        <w:t>Repeals</w:t>
      </w:r>
      <w:bookmarkEnd w:id="41"/>
    </w:p>
    <w:p w14:paraId="1A3F039B" w14:textId="77777777" w:rsidR="00B63429" w:rsidRPr="003F450F" w:rsidRDefault="00B63429">
      <w:pPr>
        <w:pStyle w:val="Header"/>
      </w:pPr>
      <w:r w:rsidRPr="003F450F">
        <w:rPr>
          <w:rStyle w:val="CharAmPartNo"/>
        </w:rPr>
        <w:t xml:space="preserve"> </w:t>
      </w:r>
      <w:r w:rsidRPr="003F450F">
        <w:rPr>
          <w:rStyle w:val="CharAmPartText"/>
        </w:rPr>
        <w:t xml:space="preserve"> </w:t>
      </w:r>
    </w:p>
    <w:p w14:paraId="7E7A0EE5" w14:textId="77777777" w:rsidR="00B63429" w:rsidRPr="0082124C" w:rsidRDefault="00B63429" w:rsidP="00B63429">
      <w:pPr>
        <w:pStyle w:val="ActHead9"/>
      </w:pPr>
      <w:bookmarkStart w:id="42" w:name="_Toc113458372"/>
      <w:r w:rsidRPr="0082124C">
        <w:t xml:space="preserve">High Court of Australia (Fees) </w:t>
      </w:r>
      <w:r w:rsidR="007F41AC" w:rsidRPr="0082124C">
        <w:t>Regulation 2</w:t>
      </w:r>
      <w:r w:rsidRPr="0082124C">
        <w:t>012</w:t>
      </w:r>
      <w:bookmarkEnd w:id="42"/>
    </w:p>
    <w:p w14:paraId="2B9A733C" w14:textId="77777777" w:rsidR="00B63429" w:rsidRPr="0082124C" w:rsidRDefault="00B63429" w:rsidP="00B63429">
      <w:pPr>
        <w:pStyle w:val="ItemHead"/>
      </w:pPr>
      <w:proofErr w:type="gramStart"/>
      <w:r w:rsidRPr="0082124C">
        <w:t>1  The</w:t>
      </w:r>
      <w:proofErr w:type="gramEnd"/>
      <w:r w:rsidRPr="0082124C">
        <w:t xml:space="preserve"> whole of the instrument</w:t>
      </w:r>
    </w:p>
    <w:p w14:paraId="5F438B01" w14:textId="77777777" w:rsidR="00B63429" w:rsidRPr="0082124C" w:rsidRDefault="00B63429" w:rsidP="003838D9">
      <w:pPr>
        <w:pStyle w:val="Item"/>
      </w:pPr>
      <w:r w:rsidRPr="0082124C">
        <w:t>Repeal the instrument.</w:t>
      </w:r>
    </w:p>
    <w:p w14:paraId="3D3886C5" w14:textId="77777777" w:rsidR="00B63429" w:rsidRPr="0082124C" w:rsidRDefault="00B63429">
      <w:pPr>
        <w:sectPr w:rsidR="00B63429" w:rsidRPr="0082124C" w:rsidSect="000E2DB5">
          <w:headerReference w:type="even" r:id="rId34"/>
          <w:headerReference w:type="default" r:id="rId35"/>
          <w:footerReference w:type="even" r:id="rId36"/>
          <w:footerReference w:type="default" r:id="rId37"/>
          <w:headerReference w:type="first" r:id="rId38"/>
          <w:footerReference w:type="first" r:id="rId39"/>
          <w:pgSz w:w="11907" w:h="16839" w:code="9"/>
          <w:pgMar w:top="2233" w:right="1797" w:bottom="1440" w:left="1797" w:header="720" w:footer="709" w:gutter="0"/>
          <w:cols w:space="720"/>
          <w:docGrid w:linePitch="299"/>
        </w:sectPr>
      </w:pPr>
    </w:p>
    <w:p w14:paraId="3C971280" w14:textId="77777777" w:rsidR="00B63429" w:rsidRPr="0082124C" w:rsidRDefault="00B63429"/>
    <w:sectPr w:rsidR="00B63429" w:rsidRPr="0082124C" w:rsidSect="000E2DB5">
      <w:headerReference w:type="even" r:id="rId40"/>
      <w:headerReference w:type="default" r:id="rId41"/>
      <w:footerReference w:type="even" r:id="rId42"/>
      <w:footerReference w:type="default" r:id="rId43"/>
      <w:headerReference w:type="first" r:id="rId44"/>
      <w:footerReference w:type="first" r:id="rId45"/>
      <w:type w:val="continuous"/>
      <w:pgSz w:w="11907" w:h="16839" w:code="9"/>
      <w:pgMar w:top="2233"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5354B" w14:textId="77777777" w:rsidR="00D300D0" w:rsidRDefault="00D300D0" w:rsidP="00715914">
      <w:pPr>
        <w:spacing w:line="240" w:lineRule="auto"/>
      </w:pPr>
      <w:r>
        <w:separator/>
      </w:r>
    </w:p>
  </w:endnote>
  <w:endnote w:type="continuationSeparator" w:id="0">
    <w:p w14:paraId="7B33D76A" w14:textId="77777777" w:rsidR="00D300D0" w:rsidRDefault="00D300D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0010" w14:textId="77777777" w:rsidR="003F450F" w:rsidRPr="000E2DB5" w:rsidRDefault="000E2DB5" w:rsidP="000E2DB5">
    <w:pPr>
      <w:pStyle w:val="Footer"/>
      <w:rPr>
        <w:i/>
        <w:sz w:val="18"/>
      </w:rPr>
    </w:pPr>
    <w:r w:rsidRPr="000E2DB5">
      <w:rPr>
        <w:i/>
        <w:sz w:val="18"/>
      </w:rPr>
      <w:t>OPC65977 - 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BADD" w14:textId="77777777" w:rsidR="00BC1698" w:rsidRPr="007B3B51" w:rsidRDefault="00BC1698" w:rsidP="00B63429">
    <w:pPr>
      <w:pBdr>
        <w:top w:val="single" w:sz="6" w:space="1" w:color="auto"/>
      </w:pBdr>
      <w:spacing w:before="120"/>
      <w:rPr>
        <w:sz w:val="16"/>
        <w:szCs w:val="16"/>
      </w:rPr>
    </w:pPr>
  </w:p>
  <w:tbl>
    <w:tblPr>
      <w:tblW w:w="5000" w:type="pct"/>
      <w:tblLook w:val="04A0" w:firstRow="1" w:lastRow="0" w:firstColumn="1" w:lastColumn="0" w:noHBand="0" w:noVBand="1"/>
    </w:tblPr>
    <w:tblGrid>
      <w:gridCol w:w="1161"/>
      <w:gridCol w:w="5921"/>
      <w:gridCol w:w="1447"/>
    </w:tblGrid>
    <w:tr w:rsidR="00BC1698" w:rsidRPr="0082124C" w14:paraId="260E7B2B" w14:textId="77777777" w:rsidTr="00B63429">
      <w:tc>
        <w:tcPr>
          <w:tcW w:w="681" w:type="pct"/>
          <w:shd w:val="clear" w:color="auto" w:fill="auto"/>
        </w:tcPr>
        <w:p w14:paraId="351F8315" w14:textId="77777777" w:rsidR="00BC1698" w:rsidRPr="0082124C" w:rsidRDefault="00BC1698" w:rsidP="00685E3D">
          <w:pPr>
            <w:rPr>
              <w:i/>
              <w:sz w:val="18"/>
              <w:szCs w:val="18"/>
            </w:rPr>
          </w:pPr>
        </w:p>
      </w:tc>
      <w:tc>
        <w:tcPr>
          <w:tcW w:w="3471" w:type="pct"/>
          <w:shd w:val="clear" w:color="auto" w:fill="auto"/>
        </w:tcPr>
        <w:p w14:paraId="14F48B75" w14:textId="5D536573" w:rsidR="00BC1698" w:rsidRPr="0082124C" w:rsidRDefault="00BC1698" w:rsidP="00685E3D">
          <w:pPr>
            <w:jc w:val="center"/>
            <w:rPr>
              <w:i/>
              <w:sz w:val="18"/>
              <w:szCs w:val="18"/>
            </w:rPr>
          </w:pPr>
          <w:r w:rsidRPr="0082124C">
            <w:rPr>
              <w:i/>
              <w:sz w:val="18"/>
              <w:szCs w:val="18"/>
            </w:rPr>
            <w:fldChar w:fldCharType="begin"/>
          </w:r>
          <w:r w:rsidRPr="0082124C">
            <w:rPr>
              <w:i/>
              <w:sz w:val="18"/>
              <w:szCs w:val="18"/>
            </w:rPr>
            <w:instrText xml:space="preserve"> STYLEREF "ShortT" </w:instrText>
          </w:r>
          <w:r w:rsidRPr="0082124C">
            <w:rPr>
              <w:i/>
              <w:sz w:val="18"/>
              <w:szCs w:val="18"/>
            </w:rPr>
            <w:fldChar w:fldCharType="separate"/>
          </w:r>
          <w:r w:rsidR="00653F31">
            <w:rPr>
              <w:i/>
              <w:noProof/>
              <w:sz w:val="18"/>
              <w:szCs w:val="18"/>
            </w:rPr>
            <w:t>High Court of Australia (Fees) Regulations 2022</w:t>
          </w:r>
          <w:r w:rsidRPr="0082124C">
            <w:rPr>
              <w:i/>
              <w:sz w:val="18"/>
              <w:szCs w:val="18"/>
            </w:rPr>
            <w:fldChar w:fldCharType="end"/>
          </w:r>
        </w:p>
      </w:tc>
      <w:tc>
        <w:tcPr>
          <w:tcW w:w="848" w:type="pct"/>
          <w:shd w:val="clear" w:color="auto" w:fill="auto"/>
        </w:tcPr>
        <w:p w14:paraId="0496BE48" w14:textId="77777777" w:rsidR="00BC1698" w:rsidRPr="0082124C" w:rsidRDefault="00BC1698" w:rsidP="00685E3D">
          <w:pPr>
            <w:jc w:val="right"/>
            <w:rPr>
              <w:sz w:val="18"/>
              <w:szCs w:val="18"/>
            </w:rPr>
          </w:pPr>
          <w:r w:rsidRPr="0082124C">
            <w:rPr>
              <w:i/>
              <w:sz w:val="18"/>
              <w:szCs w:val="18"/>
            </w:rPr>
            <w:fldChar w:fldCharType="begin"/>
          </w:r>
          <w:r w:rsidRPr="0082124C">
            <w:rPr>
              <w:i/>
              <w:sz w:val="18"/>
              <w:szCs w:val="18"/>
            </w:rPr>
            <w:instrText xml:space="preserve"> PAGE </w:instrText>
          </w:r>
          <w:r w:rsidRPr="0082124C">
            <w:rPr>
              <w:i/>
              <w:sz w:val="18"/>
              <w:szCs w:val="18"/>
            </w:rPr>
            <w:fldChar w:fldCharType="separate"/>
          </w:r>
          <w:r w:rsidRPr="0082124C">
            <w:rPr>
              <w:i/>
              <w:noProof/>
              <w:sz w:val="18"/>
              <w:szCs w:val="18"/>
            </w:rPr>
            <w:t>1</w:t>
          </w:r>
          <w:r w:rsidRPr="0082124C">
            <w:rPr>
              <w:i/>
              <w:sz w:val="18"/>
              <w:szCs w:val="18"/>
            </w:rPr>
            <w:fldChar w:fldCharType="end"/>
          </w:r>
        </w:p>
      </w:tc>
    </w:tr>
  </w:tbl>
  <w:p w14:paraId="1497DE24" w14:textId="77777777" w:rsidR="00BC1698" w:rsidRPr="000E2DB5" w:rsidRDefault="000E2DB5" w:rsidP="000E2DB5">
    <w:pPr>
      <w:pStyle w:val="Footer"/>
      <w:rPr>
        <w:i/>
        <w:sz w:val="18"/>
      </w:rPr>
    </w:pPr>
    <w:r w:rsidRPr="000E2DB5">
      <w:rPr>
        <w:i/>
        <w:sz w:val="18"/>
      </w:rPr>
      <w:t>OPC65977 - A</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418D" w14:textId="77777777" w:rsidR="00BC1698" w:rsidRPr="00E33C1C" w:rsidRDefault="00BC1698" w:rsidP="00685E3D">
    <w:pPr>
      <w:pBdr>
        <w:top w:val="single" w:sz="6" w:space="1" w:color="auto"/>
      </w:pBdr>
      <w:spacing w:line="0" w:lineRule="atLeas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6422"/>
      <w:gridCol w:w="713"/>
    </w:tblGrid>
    <w:tr w:rsidR="00BC1698" w:rsidRPr="00992460" w14:paraId="00CD890F" w14:textId="77777777" w:rsidTr="00B63429">
      <w:tc>
        <w:tcPr>
          <w:tcW w:w="817" w:type="pct"/>
          <w:tcBorders>
            <w:top w:val="nil"/>
            <w:left w:val="nil"/>
            <w:bottom w:val="nil"/>
            <w:right w:val="nil"/>
          </w:tcBorders>
          <w:shd w:val="clear" w:color="auto" w:fill="auto"/>
        </w:tcPr>
        <w:p w14:paraId="5532B19C" w14:textId="77777777" w:rsidR="00BC1698" w:rsidRPr="00992460" w:rsidRDefault="00BC1698" w:rsidP="00685E3D">
          <w:pPr>
            <w:spacing w:line="0" w:lineRule="atLeast"/>
            <w:rPr>
              <w:sz w:val="18"/>
            </w:rPr>
          </w:pPr>
        </w:p>
      </w:tc>
      <w:tc>
        <w:tcPr>
          <w:tcW w:w="3765" w:type="pct"/>
          <w:tcBorders>
            <w:top w:val="nil"/>
            <w:left w:val="nil"/>
            <w:bottom w:val="nil"/>
            <w:right w:val="nil"/>
          </w:tcBorders>
          <w:shd w:val="clear" w:color="auto" w:fill="auto"/>
        </w:tcPr>
        <w:p w14:paraId="14D4A363" w14:textId="32D8D383" w:rsidR="00BC1698" w:rsidRPr="00992460" w:rsidRDefault="00BC1698" w:rsidP="00685E3D">
          <w:pPr>
            <w:spacing w:line="0" w:lineRule="atLeast"/>
            <w:jc w:val="center"/>
            <w:rPr>
              <w:sz w:val="18"/>
            </w:rPr>
          </w:pPr>
          <w:r w:rsidRPr="00992460">
            <w:rPr>
              <w:i/>
              <w:sz w:val="18"/>
            </w:rPr>
            <w:fldChar w:fldCharType="begin"/>
          </w:r>
          <w:r w:rsidRPr="00992460">
            <w:rPr>
              <w:i/>
              <w:sz w:val="18"/>
            </w:rPr>
            <w:instrText xml:space="preserve"> DOCPROPERTY ShortT </w:instrText>
          </w:r>
          <w:r w:rsidRPr="00992460">
            <w:rPr>
              <w:i/>
              <w:sz w:val="18"/>
            </w:rPr>
            <w:fldChar w:fldCharType="separate"/>
          </w:r>
          <w:r w:rsidR="006F3C83">
            <w:rPr>
              <w:i/>
              <w:sz w:val="18"/>
            </w:rPr>
            <w:t>High Court of Australia (Fees) Regulations 2022</w:t>
          </w:r>
          <w:r w:rsidRPr="00992460">
            <w:rPr>
              <w:i/>
              <w:sz w:val="18"/>
            </w:rPr>
            <w:fldChar w:fldCharType="end"/>
          </w:r>
        </w:p>
      </w:tc>
      <w:tc>
        <w:tcPr>
          <w:tcW w:w="418" w:type="pct"/>
          <w:tcBorders>
            <w:top w:val="nil"/>
            <w:left w:val="nil"/>
            <w:bottom w:val="nil"/>
            <w:right w:val="nil"/>
          </w:tcBorders>
          <w:shd w:val="clear" w:color="auto" w:fill="auto"/>
        </w:tcPr>
        <w:p w14:paraId="3C8CCE27" w14:textId="77777777" w:rsidR="00BC1698" w:rsidRPr="00992460" w:rsidRDefault="00BC1698" w:rsidP="00685E3D">
          <w:pPr>
            <w:spacing w:line="0" w:lineRule="atLeast"/>
            <w:jc w:val="right"/>
            <w:rPr>
              <w:sz w:val="18"/>
            </w:rPr>
          </w:pPr>
          <w:r w:rsidRPr="00992460">
            <w:rPr>
              <w:i/>
              <w:sz w:val="18"/>
            </w:rPr>
            <w:fldChar w:fldCharType="begin"/>
          </w:r>
          <w:r w:rsidRPr="00992460">
            <w:rPr>
              <w:i/>
              <w:sz w:val="18"/>
            </w:rPr>
            <w:instrText xml:space="preserve"> PAGE </w:instrText>
          </w:r>
          <w:r w:rsidRPr="00992460">
            <w:rPr>
              <w:i/>
              <w:sz w:val="18"/>
            </w:rPr>
            <w:fldChar w:fldCharType="separate"/>
          </w:r>
          <w:r w:rsidRPr="00992460">
            <w:rPr>
              <w:i/>
              <w:noProof/>
              <w:sz w:val="18"/>
            </w:rPr>
            <w:t>20</w:t>
          </w:r>
          <w:r w:rsidRPr="00992460">
            <w:rPr>
              <w:i/>
              <w:sz w:val="18"/>
            </w:rPr>
            <w:fldChar w:fldCharType="end"/>
          </w:r>
        </w:p>
      </w:tc>
    </w:tr>
  </w:tbl>
  <w:p w14:paraId="680FC496" w14:textId="77777777" w:rsidR="00BC1698" w:rsidRPr="000E2DB5" w:rsidRDefault="000E2DB5" w:rsidP="000E2DB5">
    <w:pPr>
      <w:rPr>
        <w:rFonts w:cs="Times New Roman"/>
        <w:i/>
        <w:sz w:val="18"/>
      </w:rPr>
    </w:pPr>
    <w:r w:rsidRPr="000E2DB5">
      <w:rPr>
        <w:rFonts w:cs="Times New Roman"/>
        <w:i/>
        <w:sz w:val="18"/>
      </w:rPr>
      <w:t>OPC65977 - 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AB19" w14:textId="77777777" w:rsidR="00BC1698" w:rsidRPr="00D90ABA" w:rsidRDefault="00BC1698" w:rsidP="00B63429">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BC1698" w14:paraId="128CC9D0" w14:textId="77777777" w:rsidTr="00B63429">
      <w:tc>
        <w:tcPr>
          <w:tcW w:w="365" w:type="pct"/>
        </w:tcPr>
        <w:p w14:paraId="349D9CCC" w14:textId="77777777" w:rsidR="00BC1698" w:rsidRDefault="00BC1698" w:rsidP="00B6342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1D951939" w14:textId="04740F5C" w:rsidR="00BC1698" w:rsidRDefault="00BC1698" w:rsidP="00B6342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F3C83">
            <w:rPr>
              <w:i/>
              <w:sz w:val="18"/>
            </w:rPr>
            <w:t>High Court of Australia (Fees) Regulations 2022</w:t>
          </w:r>
          <w:r w:rsidRPr="007A1328">
            <w:rPr>
              <w:i/>
              <w:sz w:val="18"/>
            </w:rPr>
            <w:fldChar w:fldCharType="end"/>
          </w:r>
        </w:p>
      </w:tc>
      <w:tc>
        <w:tcPr>
          <w:tcW w:w="947" w:type="pct"/>
        </w:tcPr>
        <w:p w14:paraId="7BF574BF" w14:textId="77777777" w:rsidR="00BC1698" w:rsidRDefault="00BC1698" w:rsidP="00B63429">
          <w:pPr>
            <w:spacing w:line="0" w:lineRule="atLeast"/>
            <w:jc w:val="right"/>
            <w:rPr>
              <w:sz w:val="18"/>
            </w:rPr>
          </w:pPr>
        </w:p>
      </w:tc>
    </w:tr>
  </w:tbl>
  <w:p w14:paraId="3E26DEF2" w14:textId="77777777" w:rsidR="00BC1698" w:rsidRPr="000E2DB5" w:rsidRDefault="000E2DB5" w:rsidP="000E2DB5">
    <w:pPr>
      <w:rPr>
        <w:rFonts w:cs="Times New Roman"/>
        <w:i/>
        <w:sz w:val="18"/>
      </w:rPr>
    </w:pPr>
    <w:r w:rsidRPr="000E2DB5">
      <w:rPr>
        <w:rFonts w:cs="Times New Roman"/>
        <w:i/>
        <w:sz w:val="18"/>
      </w:rPr>
      <w:t>OPC65977 - A</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DA29" w14:textId="77777777" w:rsidR="00BC1698" w:rsidRPr="00D90ABA" w:rsidRDefault="00BC1698" w:rsidP="00B63429">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262"/>
      <w:gridCol w:w="660"/>
    </w:tblGrid>
    <w:tr w:rsidR="00BC1698" w14:paraId="19E2B2ED" w14:textId="77777777" w:rsidTr="00B63429">
      <w:tc>
        <w:tcPr>
          <w:tcW w:w="942" w:type="pct"/>
        </w:tcPr>
        <w:p w14:paraId="7B103214" w14:textId="77777777" w:rsidR="00BC1698" w:rsidRDefault="00BC1698" w:rsidP="00B63429">
          <w:pPr>
            <w:spacing w:line="0" w:lineRule="atLeast"/>
            <w:rPr>
              <w:sz w:val="18"/>
            </w:rPr>
          </w:pPr>
        </w:p>
      </w:tc>
      <w:tc>
        <w:tcPr>
          <w:tcW w:w="3671" w:type="pct"/>
        </w:tcPr>
        <w:p w14:paraId="375E2BA4" w14:textId="3E893D56" w:rsidR="00BC1698" w:rsidRDefault="00BC1698" w:rsidP="00B6342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F3C83">
            <w:rPr>
              <w:i/>
              <w:sz w:val="18"/>
            </w:rPr>
            <w:t>High Court of Australia (Fees) Regulations 2022</w:t>
          </w:r>
          <w:r w:rsidRPr="007A1328">
            <w:rPr>
              <w:i/>
              <w:sz w:val="18"/>
            </w:rPr>
            <w:fldChar w:fldCharType="end"/>
          </w:r>
        </w:p>
      </w:tc>
      <w:tc>
        <w:tcPr>
          <w:tcW w:w="387" w:type="pct"/>
        </w:tcPr>
        <w:p w14:paraId="32BD0E84" w14:textId="77777777" w:rsidR="00BC1698" w:rsidRDefault="00BC1698" w:rsidP="00B6342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bl>
  <w:p w14:paraId="28F6E0D3" w14:textId="77777777" w:rsidR="00BC1698" w:rsidRPr="000E2DB5" w:rsidRDefault="000E2DB5" w:rsidP="000E2DB5">
    <w:pPr>
      <w:rPr>
        <w:rFonts w:cs="Times New Roman"/>
        <w:i/>
        <w:sz w:val="18"/>
      </w:rPr>
    </w:pPr>
    <w:r w:rsidRPr="000E2DB5">
      <w:rPr>
        <w:rFonts w:cs="Times New Roman"/>
        <w:i/>
        <w:sz w:val="18"/>
      </w:rPr>
      <w:t>OPC65977 - A</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C3304" w14:textId="77777777" w:rsidR="00BC1698" w:rsidRPr="00E33C1C" w:rsidRDefault="00BC1698" w:rsidP="00B63429">
    <w:pPr>
      <w:pBdr>
        <w:top w:val="single" w:sz="6" w:space="1" w:color="auto"/>
      </w:pBdr>
      <w:spacing w:line="0" w:lineRule="atLeast"/>
      <w:rPr>
        <w:sz w:val="16"/>
        <w:szCs w:val="16"/>
      </w:rPr>
    </w:pPr>
  </w:p>
  <w:tbl>
    <w:tblPr>
      <w:tblStyle w:val="TableGrid"/>
      <w:tblW w:w="4967" w:type="pct"/>
      <w:tblLook w:val="04A0" w:firstRow="1" w:lastRow="0" w:firstColumn="1" w:lastColumn="0" w:noHBand="0" w:noVBand="1"/>
    </w:tblPr>
    <w:tblGrid>
      <w:gridCol w:w="1384"/>
      <w:gridCol w:w="6379"/>
      <w:gridCol w:w="709"/>
    </w:tblGrid>
    <w:tr w:rsidR="00BC1698" w14:paraId="451CAFE5" w14:textId="77777777" w:rsidTr="003F450F">
      <w:tc>
        <w:tcPr>
          <w:tcW w:w="817" w:type="pct"/>
          <w:tcBorders>
            <w:top w:val="nil"/>
            <w:left w:val="nil"/>
            <w:bottom w:val="nil"/>
            <w:right w:val="nil"/>
          </w:tcBorders>
        </w:tcPr>
        <w:p w14:paraId="687E2107" w14:textId="77777777" w:rsidR="00BC1698" w:rsidRDefault="00BC1698" w:rsidP="00B63429">
          <w:pPr>
            <w:spacing w:line="0" w:lineRule="atLeast"/>
            <w:rPr>
              <w:sz w:val="18"/>
            </w:rPr>
          </w:pPr>
        </w:p>
      </w:tc>
      <w:tc>
        <w:tcPr>
          <w:tcW w:w="3765" w:type="pct"/>
          <w:tcBorders>
            <w:top w:val="nil"/>
            <w:left w:val="nil"/>
            <w:bottom w:val="nil"/>
            <w:right w:val="nil"/>
          </w:tcBorders>
        </w:tcPr>
        <w:p w14:paraId="49C5FE0E" w14:textId="315626ED" w:rsidR="00BC1698" w:rsidRDefault="00BC1698" w:rsidP="00B6342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F3C83">
            <w:rPr>
              <w:i/>
              <w:sz w:val="18"/>
            </w:rPr>
            <w:t>High Court of Australia (Fees) Regulations 2022</w:t>
          </w:r>
          <w:r w:rsidRPr="007A1328">
            <w:rPr>
              <w:i/>
              <w:sz w:val="18"/>
            </w:rPr>
            <w:fldChar w:fldCharType="end"/>
          </w:r>
        </w:p>
      </w:tc>
      <w:tc>
        <w:tcPr>
          <w:tcW w:w="418" w:type="pct"/>
          <w:tcBorders>
            <w:top w:val="nil"/>
            <w:left w:val="nil"/>
            <w:bottom w:val="nil"/>
            <w:right w:val="nil"/>
          </w:tcBorders>
        </w:tcPr>
        <w:p w14:paraId="4BB04A3C" w14:textId="77777777" w:rsidR="00BC1698" w:rsidRDefault="00BC1698" w:rsidP="00B6342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7894C4B2" w14:textId="77777777" w:rsidR="00BC1698" w:rsidRPr="00ED79B6" w:rsidRDefault="00BC1698" w:rsidP="00B63429">
    <w:pPr>
      <w:rPr>
        <w:i/>
        <w:sz w:val="18"/>
      </w:rPr>
    </w:pPr>
  </w:p>
  <w:p w14:paraId="7E4ADF11" w14:textId="77777777" w:rsidR="00BC1698" w:rsidRPr="000E2DB5" w:rsidRDefault="000E2DB5" w:rsidP="000E2DB5">
    <w:pPr>
      <w:pStyle w:val="Footer"/>
      <w:rPr>
        <w:i/>
        <w:sz w:val="18"/>
      </w:rPr>
    </w:pPr>
    <w:r w:rsidRPr="000E2DB5">
      <w:rPr>
        <w:i/>
        <w:sz w:val="18"/>
      </w:rPr>
      <w:t>OPC65977 - A</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8045" w14:textId="77777777" w:rsidR="00BC1698" w:rsidRPr="00E33C1C" w:rsidRDefault="00BC1698" w:rsidP="00B63429">
    <w:pPr>
      <w:pBdr>
        <w:top w:val="single" w:sz="6" w:space="1" w:color="auto"/>
      </w:pBdr>
      <w:spacing w:before="120" w:line="0" w:lineRule="atLeast"/>
      <w:rPr>
        <w:sz w:val="16"/>
        <w:szCs w:val="16"/>
      </w:rPr>
    </w:pPr>
  </w:p>
  <w:tbl>
    <w:tblPr>
      <w:tblStyle w:val="TableGrid"/>
      <w:tblW w:w="4967" w:type="pct"/>
      <w:tblLook w:val="04A0" w:firstRow="1" w:lastRow="0" w:firstColumn="1" w:lastColumn="0" w:noHBand="0" w:noVBand="1"/>
    </w:tblPr>
    <w:tblGrid>
      <w:gridCol w:w="709"/>
      <w:gridCol w:w="6379"/>
      <w:gridCol w:w="1384"/>
    </w:tblGrid>
    <w:tr w:rsidR="00BC1698" w14:paraId="6D801554" w14:textId="77777777" w:rsidTr="003F450F">
      <w:tc>
        <w:tcPr>
          <w:tcW w:w="418" w:type="pct"/>
          <w:tcBorders>
            <w:top w:val="nil"/>
            <w:left w:val="nil"/>
            <w:bottom w:val="nil"/>
            <w:right w:val="nil"/>
          </w:tcBorders>
        </w:tcPr>
        <w:p w14:paraId="2A119B2E" w14:textId="77777777" w:rsidR="00BC1698" w:rsidRDefault="00BC1698" w:rsidP="00685E3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c>
        <w:tcPr>
          <w:tcW w:w="3765" w:type="pct"/>
          <w:tcBorders>
            <w:top w:val="nil"/>
            <w:left w:val="nil"/>
            <w:bottom w:val="nil"/>
            <w:right w:val="nil"/>
          </w:tcBorders>
        </w:tcPr>
        <w:p w14:paraId="007AEB76" w14:textId="6F6BD9E4" w:rsidR="00BC1698" w:rsidRDefault="00BC1698" w:rsidP="00685E3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F3C83">
            <w:rPr>
              <w:i/>
              <w:sz w:val="18"/>
            </w:rPr>
            <w:t>High Court of Australia (Fees) Regulations 2022</w:t>
          </w:r>
          <w:r w:rsidRPr="007A1328">
            <w:rPr>
              <w:i/>
              <w:sz w:val="18"/>
            </w:rPr>
            <w:fldChar w:fldCharType="end"/>
          </w:r>
        </w:p>
      </w:tc>
      <w:tc>
        <w:tcPr>
          <w:tcW w:w="817" w:type="pct"/>
          <w:tcBorders>
            <w:top w:val="nil"/>
            <w:left w:val="nil"/>
            <w:bottom w:val="nil"/>
            <w:right w:val="nil"/>
          </w:tcBorders>
        </w:tcPr>
        <w:p w14:paraId="06A7C6BE" w14:textId="77777777" w:rsidR="00BC1698" w:rsidRDefault="00BC1698" w:rsidP="00685E3D">
          <w:pPr>
            <w:spacing w:line="0" w:lineRule="atLeast"/>
            <w:jc w:val="right"/>
            <w:rPr>
              <w:sz w:val="18"/>
            </w:rPr>
          </w:pPr>
        </w:p>
      </w:tc>
    </w:tr>
  </w:tbl>
  <w:p w14:paraId="65BF2697" w14:textId="77777777" w:rsidR="00BC1698" w:rsidRPr="000E2DB5" w:rsidRDefault="000E2DB5" w:rsidP="000E2DB5">
    <w:pPr>
      <w:rPr>
        <w:rFonts w:cs="Times New Roman"/>
        <w:i/>
        <w:sz w:val="18"/>
      </w:rPr>
    </w:pPr>
    <w:r w:rsidRPr="000E2DB5">
      <w:rPr>
        <w:rFonts w:cs="Times New Roman"/>
        <w:i/>
        <w:sz w:val="18"/>
      </w:rPr>
      <w:t>OPC65977 - A</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FF8A" w14:textId="77777777" w:rsidR="00BC1698" w:rsidRPr="00E33C1C" w:rsidRDefault="00BC1698" w:rsidP="00B63429">
    <w:pPr>
      <w:pBdr>
        <w:top w:val="single" w:sz="6" w:space="1" w:color="auto"/>
      </w:pBdr>
      <w:spacing w:before="120" w:line="0" w:lineRule="atLeast"/>
      <w:rPr>
        <w:sz w:val="16"/>
        <w:szCs w:val="16"/>
      </w:rPr>
    </w:pPr>
  </w:p>
  <w:tbl>
    <w:tblPr>
      <w:tblStyle w:val="TableGrid"/>
      <w:tblW w:w="4967" w:type="pct"/>
      <w:tblLook w:val="04A0" w:firstRow="1" w:lastRow="0" w:firstColumn="1" w:lastColumn="0" w:noHBand="0" w:noVBand="1"/>
    </w:tblPr>
    <w:tblGrid>
      <w:gridCol w:w="1384"/>
      <w:gridCol w:w="6379"/>
      <w:gridCol w:w="709"/>
    </w:tblGrid>
    <w:tr w:rsidR="00BC1698" w14:paraId="7D450221" w14:textId="77777777" w:rsidTr="003F450F">
      <w:tc>
        <w:tcPr>
          <w:tcW w:w="817" w:type="pct"/>
          <w:tcBorders>
            <w:top w:val="nil"/>
            <w:left w:val="nil"/>
            <w:bottom w:val="nil"/>
            <w:right w:val="nil"/>
          </w:tcBorders>
        </w:tcPr>
        <w:p w14:paraId="3A0321FB" w14:textId="77777777" w:rsidR="00BC1698" w:rsidRDefault="00BC1698" w:rsidP="00685E3D">
          <w:pPr>
            <w:spacing w:line="0" w:lineRule="atLeast"/>
            <w:rPr>
              <w:sz w:val="18"/>
            </w:rPr>
          </w:pPr>
        </w:p>
      </w:tc>
      <w:tc>
        <w:tcPr>
          <w:tcW w:w="3765" w:type="pct"/>
          <w:tcBorders>
            <w:top w:val="nil"/>
            <w:left w:val="nil"/>
            <w:bottom w:val="nil"/>
            <w:right w:val="nil"/>
          </w:tcBorders>
        </w:tcPr>
        <w:p w14:paraId="253B73A6" w14:textId="7CB74D2F" w:rsidR="00BC1698" w:rsidRDefault="00BC1698" w:rsidP="00685E3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F3C83">
            <w:rPr>
              <w:i/>
              <w:sz w:val="18"/>
            </w:rPr>
            <w:t>High Court of Australia (Fees) Regulations 2022</w:t>
          </w:r>
          <w:r w:rsidRPr="007A1328">
            <w:rPr>
              <w:i/>
              <w:sz w:val="18"/>
            </w:rPr>
            <w:fldChar w:fldCharType="end"/>
          </w:r>
        </w:p>
      </w:tc>
      <w:tc>
        <w:tcPr>
          <w:tcW w:w="418" w:type="pct"/>
          <w:tcBorders>
            <w:top w:val="nil"/>
            <w:left w:val="nil"/>
            <w:bottom w:val="nil"/>
            <w:right w:val="nil"/>
          </w:tcBorders>
        </w:tcPr>
        <w:p w14:paraId="74D07C7F" w14:textId="77777777" w:rsidR="00BC1698" w:rsidRDefault="00BC1698" w:rsidP="00685E3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5B6F9EB4" w14:textId="77777777" w:rsidR="00BC1698" w:rsidRPr="000E2DB5" w:rsidRDefault="000E2DB5" w:rsidP="000E2DB5">
    <w:pPr>
      <w:rPr>
        <w:rFonts w:cs="Times New Roman"/>
        <w:i/>
        <w:sz w:val="18"/>
      </w:rPr>
    </w:pPr>
    <w:r w:rsidRPr="000E2DB5">
      <w:rPr>
        <w:rFonts w:cs="Times New Roman"/>
        <w:i/>
        <w:sz w:val="18"/>
      </w:rPr>
      <w:t>OPC65977 - A</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7B8F" w14:textId="77777777" w:rsidR="00BC1698" w:rsidRPr="00E33C1C" w:rsidRDefault="00BC1698" w:rsidP="007500C8">
    <w:pPr>
      <w:pBdr>
        <w:top w:val="single" w:sz="6" w:space="1" w:color="auto"/>
      </w:pBdr>
      <w:spacing w:line="0" w:lineRule="atLeast"/>
      <w:rPr>
        <w:sz w:val="16"/>
        <w:szCs w:val="16"/>
      </w:rPr>
    </w:pPr>
  </w:p>
  <w:tbl>
    <w:tblPr>
      <w:tblStyle w:val="TableGrid"/>
      <w:tblW w:w="4967" w:type="pct"/>
      <w:tblLook w:val="04A0" w:firstRow="1" w:lastRow="0" w:firstColumn="1" w:lastColumn="0" w:noHBand="0" w:noVBand="1"/>
    </w:tblPr>
    <w:tblGrid>
      <w:gridCol w:w="1384"/>
      <w:gridCol w:w="6379"/>
      <w:gridCol w:w="709"/>
    </w:tblGrid>
    <w:tr w:rsidR="00BC1698" w14:paraId="24F757EE" w14:textId="77777777" w:rsidTr="003F450F">
      <w:tc>
        <w:tcPr>
          <w:tcW w:w="817" w:type="pct"/>
          <w:tcBorders>
            <w:top w:val="nil"/>
            <w:left w:val="nil"/>
            <w:bottom w:val="nil"/>
            <w:right w:val="nil"/>
          </w:tcBorders>
        </w:tcPr>
        <w:p w14:paraId="1F3D0673" w14:textId="77777777" w:rsidR="00BC1698" w:rsidRDefault="00BC1698" w:rsidP="00685E3D">
          <w:pPr>
            <w:spacing w:line="0" w:lineRule="atLeast"/>
            <w:rPr>
              <w:sz w:val="18"/>
            </w:rPr>
          </w:pPr>
        </w:p>
      </w:tc>
      <w:tc>
        <w:tcPr>
          <w:tcW w:w="3765" w:type="pct"/>
          <w:tcBorders>
            <w:top w:val="nil"/>
            <w:left w:val="nil"/>
            <w:bottom w:val="nil"/>
            <w:right w:val="nil"/>
          </w:tcBorders>
        </w:tcPr>
        <w:p w14:paraId="032D3A08" w14:textId="1F443844" w:rsidR="00BC1698" w:rsidRDefault="00BC1698" w:rsidP="00685E3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F3C83">
            <w:rPr>
              <w:i/>
              <w:sz w:val="18"/>
            </w:rPr>
            <w:t>High Court of Australia (Fees) Regulations 2022</w:t>
          </w:r>
          <w:r w:rsidRPr="007A1328">
            <w:rPr>
              <w:i/>
              <w:sz w:val="18"/>
            </w:rPr>
            <w:fldChar w:fldCharType="end"/>
          </w:r>
        </w:p>
      </w:tc>
      <w:tc>
        <w:tcPr>
          <w:tcW w:w="418" w:type="pct"/>
          <w:tcBorders>
            <w:top w:val="nil"/>
            <w:left w:val="nil"/>
            <w:bottom w:val="nil"/>
            <w:right w:val="nil"/>
          </w:tcBorders>
        </w:tcPr>
        <w:p w14:paraId="7917E69F" w14:textId="77777777" w:rsidR="00BC1698" w:rsidRDefault="00BC1698" w:rsidP="00685E3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3FF4FABC" w14:textId="77777777" w:rsidR="00BC1698" w:rsidRPr="000E2DB5" w:rsidRDefault="000E2DB5" w:rsidP="000E2DB5">
    <w:pPr>
      <w:rPr>
        <w:rFonts w:cs="Times New Roman"/>
        <w:i/>
        <w:sz w:val="18"/>
      </w:rPr>
    </w:pPr>
    <w:r w:rsidRPr="000E2DB5">
      <w:rPr>
        <w:rFonts w:cs="Times New Roman"/>
        <w:i/>
        <w:sz w:val="18"/>
      </w:rPr>
      <w:t>OPC65977 -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8270" w14:textId="77777777" w:rsidR="00BC1698" w:rsidRDefault="00BC1698" w:rsidP="00B63429">
    <w:pPr>
      <w:pStyle w:val="Footer"/>
      <w:spacing w:before="120"/>
    </w:pPr>
  </w:p>
  <w:p w14:paraId="6390D1E3" w14:textId="77777777" w:rsidR="00BC1698" w:rsidRPr="000E2DB5" w:rsidRDefault="000E2DB5" w:rsidP="000E2DB5">
    <w:pPr>
      <w:pStyle w:val="Footer"/>
      <w:rPr>
        <w:i/>
        <w:sz w:val="18"/>
      </w:rPr>
    </w:pPr>
    <w:r w:rsidRPr="000E2DB5">
      <w:rPr>
        <w:i/>
        <w:sz w:val="18"/>
      </w:rPr>
      <w:t>OPC65977 -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33AB" w14:textId="77777777" w:rsidR="00BC1698" w:rsidRPr="000E2DB5" w:rsidRDefault="000E2DB5" w:rsidP="000E2DB5">
    <w:pPr>
      <w:pStyle w:val="Footer"/>
      <w:tabs>
        <w:tab w:val="clear" w:pos="4153"/>
        <w:tab w:val="clear" w:pos="8306"/>
        <w:tab w:val="center" w:pos="4150"/>
        <w:tab w:val="right" w:pos="8307"/>
      </w:tabs>
      <w:spacing w:before="120"/>
      <w:rPr>
        <w:i/>
        <w:sz w:val="18"/>
      </w:rPr>
    </w:pPr>
    <w:r w:rsidRPr="000E2DB5">
      <w:rPr>
        <w:i/>
        <w:sz w:val="18"/>
      </w:rPr>
      <w:t>OPC65977 -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53D0" w14:textId="77777777" w:rsidR="00BC1698" w:rsidRPr="00E33C1C" w:rsidRDefault="00BC1698" w:rsidP="00B63429">
    <w:pPr>
      <w:pBdr>
        <w:top w:val="single" w:sz="6" w:space="1" w:color="auto"/>
      </w:pBdr>
      <w:spacing w:before="120" w:line="0" w:lineRule="atLeast"/>
      <w:rPr>
        <w:sz w:val="16"/>
        <w:szCs w:val="16"/>
      </w:rPr>
    </w:pPr>
  </w:p>
  <w:tbl>
    <w:tblPr>
      <w:tblStyle w:val="TableGrid"/>
      <w:tblW w:w="4967" w:type="pct"/>
      <w:tblLook w:val="04A0" w:firstRow="1" w:lastRow="0" w:firstColumn="1" w:lastColumn="0" w:noHBand="0" w:noVBand="1"/>
    </w:tblPr>
    <w:tblGrid>
      <w:gridCol w:w="709"/>
      <w:gridCol w:w="6379"/>
      <w:gridCol w:w="1384"/>
    </w:tblGrid>
    <w:tr w:rsidR="00BC1698" w14:paraId="5D5E286F" w14:textId="77777777" w:rsidTr="003F450F">
      <w:tc>
        <w:tcPr>
          <w:tcW w:w="418" w:type="pct"/>
          <w:tcBorders>
            <w:top w:val="nil"/>
            <w:left w:val="nil"/>
            <w:bottom w:val="nil"/>
            <w:right w:val="nil"/>
          </w:tcBorders>
        </w:tcPr>
        <w:p w14:paraId="290640A2" w14:textId="77777777" w:rsidR="00BC1698" w:rsidRDefault="00BC1698" w:rsidP="00685E3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3765" w:type="pct"/>
          <w:tcBorders>
            <w:top w:val="nil"/>
            <w:left w:val="nil"/>
            <w:bottom w:val="nil"/>
            <w:right w:val="nil"/>
          </w:tcBorders>
        </w:tcPr>
        <w:p w14:paraId="6FEA5A2B" w14:textId="17162804" w:rsidR="00BC1698" w:rsidRDefault="00BC1698" w:rsidP="00685E3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F3C83">
            <w:rPr>
              <w:i/>
              <w:sz w:val="18"/>
            </w:rPr>
            <w:t>High Court of Australia (Fees) Regulations 2022</w:t>
          </w:r>
          <w:r w:rsidRPr="007A1328">
            <w:rPr>
              <w:i/>
              <w:sz w:val="18"/>
            </w:rPr>
            <w:fldChar w:fldCharType="end"/>
          </w:r>
        </w:p>
      </w:tc>
      <w:tc>
        <w:tcPr>
          <w:tcW w:w="817" w:type="pct"/>
          <w:tcBorders>
            <w:top w:val="nil"/>
            <w:left w:val="nil"/>
            <w:bottom w:val="nil"/>
            <w:right w:val="nil"/>
          </w:tcBorders>
        </w:tcPr>
        <w:p w14:paraId="0C92233A" w14:textId="77777777" w:rsidR="00BC1698" w:rsidRDefault="00BC1698" w:rsidP="00685E3D">
          <w:pPr>
            <w:spacing w:line="0" w:lineRule="atLeast"/>
            <w:jc w:val="right"/>
            <w:rPr>
              <w:sz w:val="18"/>
            </w:rPr>
          </w:pPr>
        </w:p>
      </w:tc>
    </w:tr>
  </w:tbl>
  <w:p w14:paraId="0042054B" w14:textId="77777777" w:rsidR="00BC1698" w:rsidRPr="000E2DB5" w:rsidRDefault="000E2DB5" w:rsidP="000E2DB5">
    <w:pPr>
      <w:rPr>
        <w:rFonts w:cs="Times New Roman"/>
        <w:i/>
        <w:sz w:val="18"/>
      </w:rPr>
    </w:pPr>
    <w:r w:rsidRPr="000E2DB5">
      <w:rPr>
        <w:rFonts w:cs="Times New Roman"/>
        <w:i/>
        <w:sz w:val="18"/>
      </w:rPr>
      <w:t>OPC65977 -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0837" w14:textId="77777777" w:rsidR="00BC1698" w:rsidRPr="00E33C1C" w:rsidRDefault="00BC1698" w:rsidP="00B6342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2"/>
      <w:gridCol w:w="6422"/>
      <w:gridCol w:w="715"/>
    </w:tblGrid>
    <w:tr w:rsidR="00BC1698" w14:paraId="26ED109A" w14:textId="77777777" w:rsidTr="003F450F">
      <w:tc>
        <w:tcPr>
          <w:tcW w:w="816" w:type="pct"/>
          <w:tcBorders>
            <w:top w:val="nil"/>
            <w:left w:val="nil"/>
            <w:bottom w:val="nil"/>
            <w:right w:val="nil"/>
          </w:tcBorders>
        </w:tcPr>
        <w:p w14:paraId="02CEE1DA" w14:textId="77777777" w:rsidR="00BC1698" w:rsidRDefault="00BC1698" w:rsidP="00685E3D">
          <w:pPr>
            <w:spacing w:line="0" w:lineRule="atLeast"/>
            <w:rPr>
              <w:sz w:val="18"/>
            </w:rPr>
          </w:pPr>
        </w:p>
      </w:tc>
      <w:tc>
        <w:tcPr>
          <w:tcW w:w="3765" w:type="pct"/>
          <w:tcBorders>
            <w:top w:val="nil"/>
            <w:left w:val="nil"/>
            <w:bottom w:val="nil"/>
            <w:right w:val="nil"/>
          </w:tcBorders>
        </w:tcPr>
        <w:p w14:paraId="55BB20B1" w14:textId="3EEF40F7" w:rsidR="00BC1698" w:rsidRDefault="00BC1698" w:rsidP="00685E3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F3C83">
            <w:rPr>
              <w:i/>
              <w:sz w:val="18"/>
            </w:rPr>
            <w:t>High Court of Australia (Fees) Regulations 2022</w:t>
          </w:r>
          <w:r w:rsidRPr="007A1328">
            <w:rPr>
              <w:i/>
              <w:sz w:val="18"/>
            </w:rPr>
            <w:fldChar w:fldCharType="end"/>
          </w:r>
        </w:p>
      </w:tc>
      <w:tc>
        <w:tcPr>
          <w:tcW w:w="419" w:type="pct"/>
          <w:tcBorders>
            <w:top w:val="nil"/>
            <w:left w:val="nil"/>
            <w:bottom w:val="nil"/>
            <w:right w:val="nil"/>
          </w:tcBorders>
        </w:tcPr>
        <w:p w14:paraId="06E1FE7F" w14:textId="77777777" w:rsidR="00BC1698" w:rsidRDefault="00BC1698" w:rsidP="00685E3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6FA29BD7" w14:textId="77777777" w:rsidR="00BC1698" w:rsidRPr="000E2DB5" w:rsidRDefault="000E2DB5" w:rsidP="000E2DB5">
    <w:pPr>
      <w:rPr>
        <w:rFonts w:cs="Times New Roman"/>
        <w:i/>
        <w:sz w:val="18"/>
      </w:rPr>
    </w:pPr>
    <w:r w:rsidRPr="000E2DB5">
      <w:rPr>
        <w:rFonts w:cs="Times New Roman"/>
        <w:i/>
        <w:sz w:val="18"/>
      </w:rPr>
      <w:t>OPC65977 -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DCE4C" w14:textId="77777777" w:rsidR="009213EC" w:rsidRPr="00FF448D" w:rsidRDefault="009213EC" w:rsidP="009213E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213EC" w14:paraId="6FB98B11" w14:textId="77777777" w:rsidTr="003F450F">
      <w:tc>
        <w:tcPr>
          <w:tcW w:w="709" w:type="dxa"/>
          <w:tcBorders>
            <w:top w:val="nil"/>
            <w:left w:val="nil"/>
            <w:bottom w:val="nil"/>
            <w:right w:val="nil"/>
          </w:tcBorders>
        </w:tcPr>
        <w:p w14:paraId="1B40010E" w14:textId="77777777" w:rsidR="009213EC" w:rsidRDefault="009213EC" w:rsidP="004A1E8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01754434" w14:textId="01A9A9F4" w:rsidR="009213EC" w:rsidRDefault="009213EC"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F3C83">
            <w:rPr>
              <w:i/>
              <w:sz w:val="18"/>
            </w:rPr>
            <w:t>High Court of Australia (Fees) Regulations 2022</w:t>
          </w:r>
          <w:r w:rsidRPr="007A1328">
            <w:rPr>
              <w:i/>
              <w:sz w:val="18"/>
            </w:rPr>
            <w:fldChar w:fldCharType="end"/>
          </w:r>
        </w:p>
      </w:tc>
      <w:tc>
        <w:tcPr>
          <w:tcW w:w="1384" w:type="dxa"/>
          <w:tcBorders>
            <w:top w:val="nil"/>
            <w:left w:val="nil"/>
            <w:bottom w:val="nil"/>
            <w:right w:val="nil"/>
          </w:tcBorders>
        </w:tcPr>
        <w:p w14:paraId="0AC62D03" w14:textId="77777777" w:rsidR="009213EC" w:rsidRDefault="009213EC" w:rsidP="004A1E86">
          <w:pPr>
            <w:spacing w:line="0" w:lineRule="atLeast"/>
            <w:jc w:val="right"/>
            <w:rPr>
              <w:sz w:val="18"/>
            </w:rPr>
          </w:pPr>
        </w:p>
      </w:tc>
    </w:tr>
  </w:tbl>
  <w:p w14:paraId="3C18F700" w14:textId="77777777" w:rsidR="009213EC" w:rsidRPr="000E2DB5" w:rsidRDefault="000E2DB5" w:rsidP="000E2DB5">
    <w:pPr>
      <w:rPr>
        <w:rFonts w:cs="Times New Roman"/>
        <w:i/>
        <w:sz w:val="18"/>
      </w:rPr>
    </w:pPr>
    <w:r w:rsidRPr="000E2DB5">
      <w:rPr>
        <w:rFonts w:cs="Times New Roman"/>
        <w:i/>
        <w:sz w:val="18"/>
      </w:rPr>
      <w:t>OPC65977 -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676A5" w14:textId="77777777" w:rsidR="009213EC" w:rsidRPr="00D1021D" w:rsidRDefault="009213EC" w:rsidP="009213EC">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9213EC" w14:paraId="1B430DB1" w14:textId="77777777" w:rsidTr="004A1E86">
      <w:tc>
        <w:tcPr>
          <w:tcW w:w="1384" w:type="dxa"/>
          <w:tcBorders>
            <w:top w:val="nil"/>
            <w:left w:val="nil"/>
            <w:bottom w:val="nil"/>
            <w:right w:val="nil"/>
          </w:tcBorders>
        </w:tcPr>
        <w:p w14:paraId="6DB26F3B" w14:textId="77777777" w:rsidR="009213EC" w:rsidRDefault="009213EC" w:rsidP="004A1E86">
          <w:pPr>
            <w:spacing w:line="0" w:lineRule="atLeast"/>
            <w:rPr>
              <w:sz w:val="18"/>
            </w:rPr>
          </w:pPr>
        </w:p>
      </w:tc>
      <w:tc>
        <w:tcPr>
          <w:tcW w:w="6379" w:type="dxa"/>
          <w:tcBorders>
            <w:top w:val="nil"/>
            <w:left w:val="nil"/>
            <w:bottom w:val="nil"/>
            <w:right w:val="nil"/>
          </w:tcBorders>
        </w:tcPr>
        <w:p w14:paraId="71621BB9" w14:textId="722F3F66" w:rsidR="009213EC" w:rsidRDefault="009213EC"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F3C83">
            <w:rPr>
              <w:i/>
              <w:sz w:val="18"/>
            </w:rPr>
            <w:t>High Court of Australia (Fees) Regulations 2022</w:t>
          </w:r>
          <w:r w:rsidRPr="007A1328">
            <w:rPr>
              <w:i/>
              <w:sz w:val="18"/>
            </w:rPr>
            <w:fldChar w:fldCharType="end"/>
          </w:r>
        </w:p>
      </w:tc>
      <w:tc>
        <w:tcPr>
          <w:tcW w:w="709" w:type="dxa"/>
          <w:tcBorders>
            <w:top w:val="nil"/>
            <w:left w:val="nil"/>
            <w:bottom w:val="nil"/>
            <w:right w:val="nil"/>
          </w:tcBorders>
        </w:tcPr>
        <w:p w14:paraId="5BCE7A9F" w14:textId="77777777" w:rsidR="009213EC" w:rsidRDefault="009213EC" w:rsidP="004A1E8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7670F04D" w14:textId="77777777" w:rsidR="009213EC" w:rsidRPr="000E2DB5" w:rsidRDefault="000E2DB5" w:rsidP="000E2DB5">
    <w:pPr>
      <w:rPr>
        <w:rFonts w:cs="Times New Roman"/>
        <w:i/>
        <w:sz w:val="18"/>
      </w:rPr>
    </w:pPr>
    <w:r w:rsidRPr="000E2DB5">
      <w:rPr>
        <w:rFonts w:cs="Times New Roman"/>
        <w:i/>
        <w:sz w:val="18"/>
      </w:rPr>
      <w:t>OPC65977 -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3AE1" w14:textId="77777777" w:rsidR="009213EC" w:rsidRPr="00E33C1C" w:rsidRDefault="009213EC" w:rsidP="009213EC">
    <w:pPr>
      <w:pBdr>
        <w:top w:val="single" w:sz="6" w:space="1" w:color="auto"/>
      </w:pBdr>
      <w:spacing w:before="120" w:line="0" w:lineRule="atLeast"/>
      <w:rPr>
        <w:sz w:val="16"/>
        <w:szCs w:val="16"/>
      </w:rPr>
    </w:pPr>
  </w:p>
  <w:tbl>
    <w:tblPr>
      <w:tblStyle w:val="TableGrid"/>
      <w:tblW w:w="4967" w:type="pct"/>
      <w:tblLook w:val="04A0" w:firstRow="1" w:lastRow="0" w:firstColumn="1" w:lastColumn="0" w:noHBand="0" w:noVBand="1"/>
    </w:tblPr>
    <w:tblGrid>
      <w:gridCol w:w="1384"/>
      <w:gridCol w:w="6379"/>
      <w:gridCol w:w="709"/>
    </w:tblGrid>
    <w:tr w:rsidR="009213EC" w14:paraId="0F357C68" w14:textId="77777777" w:rsidTr="003F450F">
      <w:tc>
        <w:tcPr>
          <w:tcW w:w="817" w:type="pct"/>
          <w:tcBorders>
            <w:top w:val="nil"/>
            <w:left w:val="nil"/>
            <w:bottom w:val="nil"/>
            <w:right w:val="nil"/>
          </w:tcBorders>
        </w:tcPr>
        <w:p w14:paraId="2E968B87" w14:textId="77777777" w:rsidR="009213EC" w:rsidRDefault="009213EC" w:rsidP="009213EC">
          <w:pPr>
            <w:spacing w:line="0" w:lineRule="atLeast"/>
            <w:rPr>
              <w:sz w:val="18"/>
            </w:rPr>
          </w:pPr>
        </w:p>
      </w:tc>
      <w:tc>
        <w:tcPr>
          <w:tcW w:w="3765" w:type="pct"/>
          <w:tcBorders>
            <w:top w:val="nil"/>
            <w:left w:val="nil"/>
            <w:bottom w:val="nil"/>
            <w:right w:val="nil"/>
          </w:tcBorders>
        </w:tcPr>
        <w:p w14:paraId="60737FF3" w14:textId="2DA6F624" w:rsidR="009213EC" w:rsidRDefault="009213EC" w:rsidP="009213E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F3C83">
            <w:rPr>
              <w:i/>
              <w:sz w:val="18"/>
            </w:rPr>
            <w:t>High Court of Australia (Fees) Regulations 2022</w:t>
          </w:r>
          <w:r w:rsidRPr="007A1328">
            <w:rPr>
              <w:i/>
              <w:sz w:val="18"/>
            </w:rPr>
            <w:fldChar w:fldCharType="end"/>
          </w:r>
        </w:p>
      </w:tc>
      <w:tc>
        <w:tcPr>
          <w:tcW w:w="418" w:type="pct"/>
          <w:tcBorders>
            <w:top w:val="nil"/>
            <w:left w:val="nil"/>
            <w:bottom w:val="nil"/>
            <w:right w:val="nil"/>
          </w:tcBorders>
        </w:tcPr>
        <w:p w14:paraId="4A00792C" w14:textId="77777777" w:rsidR="009213EC" w:rsidRDefault="009213EC" w:rsidP="009213E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11F25915" w14:textId="77777777" w:rsidR="009213EC" w:rsidRPr="00ED79B6" w:rsidRDefault="009213EC" w:rsidP="009213EC">
    <w:pPr>
      <w:rPr>
        <w:i/>
        <w:sz w:val="18"/>
      </w:rPr>
    </w:pPr>
  </w:p>
  <w:p w14:paraId="1950300E" w14:textId="77777777" w:rsidR="009213EC" w:rsidRPr="000E2DB5" w:rsidRDefault="000E2DB5" w:rsidP="000E2DB5">
    <w:pPr>
      <w:pStyle w:val="Footer"/>
      <w:rPr>
        <w:i/>
        <w:sz w:val="18"/>
      </w:rPr>
    </w:pPr>
    <w:r w:rsidRPr="000E2DB5">
      <w:rPr>
        <w:i/>
        <w:sz w:val="18"/>
      </w:rPr>
      <w:t>OPC65977 - 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FBD4" w14:textId="77777777" w:rsidR="00BC1698" w:rsidRPr="007B3B51" w:rsidRDefault="00BC1698" w:rsidP="00B63429">
    <w:pPr>
      <w:pBdr>
        <w:top w:val="single" w:sz="6" w:space="1" w:color="auto"/>
      </w:pBdr>
      <w:spacing w:before="120"/>
      <w:rPr>
        <w:sz w:val="16"/>
        <w:szCs w:val="16"/>
      </w:rPr>
    </w:pPr>
  </w:p>
  <w:tbl>
    <w:tblPr>
      <w:tblW w:w="5000" w:type="pct"/>
      <w:tblLook w:val="04A0" w:firstRow="1" w:lastRow="0" w:firstColumn="1" w:lastColumn="0" w:noHBand="0" w:noVBand="1"/>
    </w:tblPr>
    <w:tblGrid>
      <w:gridCol w:w="1161"/>
      <w:gridCol w:w="5921"/>
      <w:gridCol w:w="1447"/>
    </w:tblGrid>
    <w:tr w:rsidR="00BC1698" w:rsidRPr="0082124C" w14:paraId="60B147C8" w14:textId="77777777" w:rsidTr="00B63429">
      <w:tc>
        <w:tcPr>
          <w:tcW w:w="681" w:type="pct"/>
          <w:shd w:val="clear" w:color="auto" w:fill="auto"/>
        </w:tcPr>
        <w:p w14:paraId="5E78FF02" w14:textId="77777777" w:rsidR="00BC1698" w:rsidRPr="0082124C" w:rsidRDefault="00BC1698" w:rsidP="00685E3D">
          <w:pPr>
            <w:rPr>
              <w:sz w:val="18"/>
              <w:szCs w:val="18"/>
            </w:rPr>
          </w:pPr>
          <w:r w:rsidRPr="0082124C">
            <w:rPr>
              <w:i/>
              <w:sz w:val="18"/>
              <w:szCs w:val="18"/>
            </w:rPr>
            <w:fldChar w:fldCharType="begin"/>
          </w:r>
          <w:r w:rsidRPr="0082124C">
            <w:rPr>
              <w:i/>
              <w:sz w:val="18"/>
              <w:szCs w:val="18"/>
            </w:rPr>
            <w:instrText xml:space="preserve"> PAGE </w:instrText>
          </w:r>
          <w:r w:rsidRPr="0082124C">
            <w:rPr>
              <w:i/>
              <w:sz w:val="18"/>
              <w:szCs w:val="18"/>
            </w:rPr>
            <w:fldChar w:fldCharType="separate"/>
          </w:r>
          <w:r w:rsidRPr="0082124C">
            <w:rPr>
              <w:i/>
              <w:noProof/>
              <w:sz w:val="18"/>
              <w:szCs w:val="18"/>
            </w:rPr>
            <w:t>2</w:t>
          </w:r>
          <w:r w:rsidRPr="0082124C">
            <w:rPr>
              <w:i/>
              <w:sz w:val="18"/>
              <w:szCs w:val="18"/>
            </w:rPr>
            <w:fldChar w:fldCharType="end"/>
          </w:r>
        </w:p>
      </w:tc>
      <w:tc>
        <w:tcPr>
          <w:tcW w:w="3471" w:type="pct"/>
          <w:shd w:val="clear" w:color="auto" w:fill="auto"/>
        </w:tcPr>
        <w:p w14:paraId="62DBC777" w14:textId="36C3C284" w:rsidR="00BC1698" w:rsidRPr="0082124C" w:rsidRDefault="00BC1698" w:rsidP="00685E3D">
          <w:pPr>
            <w:jc w:val="center"/>
            <w:rPr>
              <w:i/>
              <w:sz w:val="18"/>
              <w:szCs w:val="18"/>
            </w:rPr>
          </w:pPr>
          <w:r w:rsidRPr="0082124C">
            <w:rPr>
              <w:i/>
              <w:sz w:val="18"/>
              <w:szCs w:val="18"/>
            </w:rPr>
            <w:fldChar w:fldCharType="begin"/>
          </w:r>
          <w:r w:rsidRPr="0082124C">
            <w:rPr>
              <w:i/>
              <w:sz w:val="18"/>
              <w:szCs w:val="18"/>
            </w:rPr>
            <w:instrText xml:space="preserve"> STYLEREF "ShortT" </w:instrText>
          </w:r>
          <w:r w:rsidRPr="0082124C">
            <w:rPr>
              <w:i/>
              <w:sz w:val="18"/>
              <w:szCs w:val="18"/>
            </w:rPr>
            <w:fldChar w:fldCharType="separate"/>
          </w:r>
          <w:r w:rsidR="00653F31">
            <w:rPr>
              <w:i/>
              <w:noProof/>
              <w:sz w:val="18"/>
              <w:szCs w:val="18"/>
            </w:rPr>
            <w:t>High Court of Australia (Fees) Regulations 2022</w:t>
          </w:r>
          <w:r w:rsidRPr="0082124C">
            <w:rPr>
              <w:i/>
              <w:sz w:val="18"/>
              <w:szCs w:val="18"/>
            </w:rPr>
            <w:fldChar w:fldCharType="end"/>
          </w:r>
        </w:p>
      </w:tc>
      <w:tc>
        <w:tcPr>
          <w:tcW w:w="848" w:type="pct"/>
          <w:shd w:val="clear" w:color="auto" w:fill="auto"/>
        </w:tcPr>
        <w:p w14:paraId="248014F9" w14:textId="77777777" w:rsidR="00BC1698" w:rsidRPr="0082124C" w:rsidRDefault="00BC1698" w:rsidP="00685E3D">
          <w:pPr>
            <w:jc w:val="right"/>
            <w:rPr>
              <w:sz w:val="18"/>
              <w:szCs w:val="18"/>
            </w:rPr>
          </w:pPr>
        </w:p>
      </w:tc>
    </w:tr>
  </w:tbl>
  <w:p w14:paraId="0C1BADC2" w14:textId="77777777" w:rsidR="00BC1698" w:rsidRPr="000E2DB5" w:rsidRDefault="000E2DB5" w:rsidP="000E2DB5">
    <w:pPr>
      <w:pStyle w:val="Footer"/>
      <w:rPr>
        <w:i/>
        <w:sz w:val="18"/>
      </w:rPr>
    </w:pPr>
    <w:r w:rsidRPr="000E2DB5">
      <w:rPr>
        <w:i/>
        <w:sz w:val="18"/>
      </w:rPr>
      <w:t>OPC65977 -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2BE37" w14:textId="77777777" w:rsidR="00D300D0" w:rsidRDefault="00D300D0" w:rsidP="00715914">
      <w:pPr>
        <w:spacing w:line="240" w:lineRule="auto"/>
      </w:pPr>
      <w:r>
        <w:separator/>
      </w:r>
    </w:p>
  </w:footnote>
  <w:footnote w:type="continuationSeparator" w:id="0">
    <w:p w14:paraId="5C97AB9D" w14:textId="77777777" w:rsidR="00D300D0" w:rsidRDefault="00D300D0"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EC6A" w14:textId="77777777" w:rsidR="00BC1698" w:rsidRPr="005F1388" w:rsidRDefault="00BC1698" w:rsidP="00715914">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E703C" w14:textId="5FE6BC59" w:rsidR="00BC1698" w:rsidRDefault="00BC1698" w:rsidP="00685E3D">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653F31">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653F31">
      <w:rPr>
        <w:noProof/>
        <w:sz w:val="20"/>
      </w:rPr>
      <w:t>Fees</w:t>
    </w:r>
    <w:r>
      <w:rPr>
        <w:sz w:val="20"/>
      </w:rPr>
      <w:fldChar w:fldCharType="end"/>
    </w:r>
  </w:p>
  <w:p w14:paraId="12C45F67" w14:textId="7E26634C" w:rsidR="00BC1698" w:rsidRDefault="00BC1698" w:rsidP="00685E3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53F31">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53F31">
      <w:rPr>
        <w:noProof/>
        <w:sz w:val="20"/>
      </w:rPr>
      <w:t>Fees for obtaining a document or service</w:t>
    </w:r>
    <w:r>
      <w:rPr>
        <w:sz w:val="20"/>
      </w:rPr>
      <w:fldChar w:fldCharType="end"/>
    </w:r>
  </w:p>
  <w:p w14:paraId="128CAF56" w14:textId="6E64F874" w:rsidR="00BC1698" w:rsidRPr="007A1328" w:rsidRDefault="00BC1698" w:rsidP="00685E3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A2F4392" w14:textId="77777777" w:rsidR="00BC1698" w:rsidRPr="007A1328" w:rsidRDefault="00BC1698" w:rsidP="00685E3D">
    <w:pPr>
      <w:rPr>
        <w:b/>
        <w:sz w:val="24"/>
      </w:rPr>
    </w:pPr>
  </w:p>
  <w:p w14:paraId="423FFCE6" w14:textId="77777777" w:rsidR="00BC1698" w:rsidRPr="007A1328" w:rsidRDefault="00BC1698" w:rsidP="00B63429">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E226" w14:textId="20B10D1D" w:rsidR="00BC1698" w:rsidRPr="007A1328" w:rsidRDefault="00BC1698" w:rsidP="00685E3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653F31">
      <w:rPr>
        <w:noProof/>
        <w:sz w:val="20"/>
      </w:rPr>
      <w:t>Fees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653F31">
      <w:rPr>
        <w:b/>
        <w:noProof/>
        <w:sz w:val="20"/>
      </w:rPr>
      <w:t>Schedule 1</w:t>
    </w:r>
    <w:r>
      <w:rPr>
        <w:b/>
        <w:sz w:val="20"/>
      </w:rPr>
      <w:fldChar w:fldCharType="end"/>
    </w:r>
  </w:p>
  <w:p w14:paraId="5C60A438" w14:textId="6BAC4EB4" w:rsidR="00BC1698" w:rsidRPr="007A1328" w:rsidRDefault="00BC1698" w:rsidP="00685E3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53F31">
      <w:rPr>
        <w:noProof/>
        <w:sz w:val="20"/>
      </w:rPr>
      <w:t>Filing fees and hearing fees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53F31">
      <w:rPr>
        <w:b/>
        <w:noProof/>
        <w:sz w:val="20"/>
      </w:rPr>
      <w:t>Part 1</w:t>
    </w:r>
    <w:r>
      <w:rPr>
        <w:b/>
        <w:sz w:val="20"/>
      </w:rPr>
      <w:fldChar w:fldCharType="end"/>
    </w:r>
  </w:p>
  <w:p w14:paraId="0288DF13" w14:textId="614F61CE" w:rsidR="00BC1698" w:rsidRPr="007A1328" w:rsidRDefault="00BC1698" w:rsidP="00685E3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7E29080" w14:textId="77777777" w:rsidR="00BC1698" w:rsidRPr="007A1328" w:rsidRDefault="00BC1698" w:rsidP="00685E3D">
    <w:pPr>
      <w:jc w:val="right"/>
      <w:rPr>
        <w:b/>
        <w:sz w:val="24"/>
      </w:rPr>
    </w:pPr>
  </w:p>
  <w:p w14:paraId="29CE6BF9" w14:textId="77777777" w:rsidR="00BC1698" w:rsidRPr="007A1328" w:rsidRDefault="00BC1698" w:rsidP="00B63429">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2F6DB" w14:textId="77777777" w:rsidR="00BC1698" w:rsidRPr="007A1328" w:rsidRDefault="00BC1698" w:rsidP="00685E3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4E1F1" w14:textId="0F17B4E5" w:rsidR="00BC1698" w:rsidRDefault="00BC1698">
    <w:pPr>
      <w:rPr>
        <w:sz w:val="20"/>
      </w:rPr>
    </w:pPr>
    <w:r>
      <w:rPr>
        <w:b/>
        <w:sz w:val="20"/>
      </w:rPr>
      <w:fldChar w:fldCharType="begin"/>
    </w:r>
    <w:r>
      <w:rPr>
        <w:b/>
        <w:sz w:val="20"/>
      </w:rPr>
      <w:instrText xml:space="preserve"> STYLEREF CharAmSchNo </w:instrText>
    </w:r>
    <w:r>
      <w:rPr>
        <w:b/>
        <w:sz w:val="20"/>
      </w:rPr>
      <w:fldChar w:fldCharType="separate"/>
    </w:r>
    <w:r w:rsidR="006F3C83">
      <w:rPr>
        <w:b/>
        <w:noProof/>
        <w:sz w:val="20"/>
      </w:rPr>
      <w:t>Schedule 2</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6F3C83">
      <w:rPr>
        <w:noProof/>
        <w:sz w:val="20"/>
      </w:rPr>
      <w:t>Repeals</w:t>
    </w:r>
    <w:r>
      <w:rPr>
        <w:sz w:val="20"/>
      </w:rPr>
      <w:fldChar w:fldCharType="end"/>
    </w:r>
  </w:p>
  <w:p w14:paraId="099CB9B7" w14:textId="71642094" w:rsidR="00BC1698" w:rsidRDefault="00BC1698">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5C8D48D1" w14:textId="77777777" w:rsidR="00BC1698" w:rsidRDefault="00BC1698" w:rsidP="00B63429">
    <w:pPr>
      <w:pBdr>
        <w:bottom w:val="single" w:sz="6" w:space="1" w:color="auto"/>
      </w:pBdr>
      <w:spacing w:after="12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1FF3" w14:textId="13F58526" w:rsidR="00BC1698" w:rsidRDefault="00BC1698">
    <w:pPr>
      <w:jc w:val="right"/>
      <w:rPr>
        <w:sz w:val="20"/>
      </w:rPr>
    </w:pPr>
    <w:r>
      <w:rPr>
        <w:sz w:val="20"/>
      </w:rPr>
      <w:fldChar w:fldCharType="begin"/>
    </w:r>
    <w:r>
      <w:rPr>
        <w:sz w:val="20"/>
      </w:rPr>
      <w:instrText xml:space="preserve"> STYLEREF CharAmSchText </w:instrText>
    </w:r>
    <w:r>
      <w:rPr>
        <w:sz w:val="20"/>
      </w:rPr>
      <w:fldChar w:fldCharType="separate"/>
    </w:r>
    <w:r w:rsidR="00653F31">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653F31">
      <w:rPr>
        <w:b/>
        <w:noProof/>
        <w:sz w:val="20"/>
      </w:rPr>
      <w:t>Schedule 2</w:t>
    </w:r>
    <w:r>
      <w:rPr>
        <w:b/>
        <w:sz w:val="20"/>
      </w:rPr>
      <w:fldChar w:fldCharType="end"/>
    </w:r>
  </w:p>
  <w:p w14:paraId="7AF38B89" w14:textId="7BCE8623" w:rsidR="00BC1698" w:rsidRDefault="00BC1698">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6C3CF3F0" w14:textId="77777777" w:rsidR="00BC1698" w:rsidRDefault="00BC1698" w:rsidP="00B63429">
    <w:pPr>
      <w:pBdr>
        <w:bottom w:val="single" w:sz="6" w:space="1" w:color="auto"/>
      </w:pBdr>
      <w:spacing w:after="12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0D63" w14:textId="77777777" w:rsidR="00BC1698" w:rsidRDefault="00BC1698"/>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DF3C0" w14:textId="7A6C6EC5" w:rsidR="00BC1698" w:rsidRDefault="00BC1698"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6F3C83">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6F3C83">
      <w:rPr>
        <w:noProof/>
        <w:sz w:val="20"/>
      </w:rPr>
      <w:t>Fees</w:t>
    </w:r>
    <w:r>
      <w:rPr>
        <w:sz w:val="20"/>
      </w:rPr>
      <w:fldChar w:fldCharType="end"/>
    </w:r>
  </w:p>
  <w:p w14:paraId="2B6CD4D5" w14:textId="74D6E336" w:rsidR="00BC1698" w:rsidRDefault="00BC1698"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F3C83">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F3C83">
      <w:rPr>
        <w:noProof/>
        <w:sz w:val="20"/>
      </w:rPr>
      <w:t>Fees for obtaining a document or service</w:t>
    </w:r>
    <w:r>
      <w:rPr>
        <w:sz w:val="20"/>
      </w:rPr>
      <w:fldChar w:fldCharType="end"/>
    </w:r>
  </w:p>
  <w:p w14:paraId="092DBF2E" w14:textId="61CF9985" w:rsidR="00BC1698" w:rsidRPr="007A1328" w:rsidRDefault="00BC1698"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B0C0C59" w14:textId="77777777" w:rsidR="00BC1698" w:rsidRPr="007A1328" w:rsidRDefault="00BC1698" w:rsidP="00715914">
    <w:pPr>
      <w:rPr>
        <w:b/>
        <w:sz w:val="24"/>
      </w:rPr>
    </w:pPr>
  </w:p>
  <w:p w14:paraId="5842747E" w14:textId="0BA468ED" w:rsidR="00BC1698" w:rsidRPr="007A1328" w:rsidRDefault="00BC1698" w:rsidP="00B63429">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6F3C83">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F3C83">
      <w:rPr>
        <w:noProof/>
        <w:sz w:val="24"/>
      </w:rPr>
      <w:t>23</w:t>
    </w:r>
    <w:r w:rsidRPr="007A1328">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A61F9" w14:textId="17B34D62" w:rsidR="00BC1698" w:rsidRPr="007A1328" w:rsidRDefault="00BC1698"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6F3C83">
      <w:rPr>
        <w:noProof/>
        <w:sz w:val="20"/>
      </w:rPr>
      <w:t>Fees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6F3C83">
      <w:rPr>
        <w:b/>
        <w:noProof/>
        <w:sz w:val="20"/>
      </w:rPr>
      <w:t>Schedule 1</w:t>
    </w:r>
    <w:r>
      <w:rPr>
        <w:b/>
        <w:sz w:val="20"/>
      </w:rPr>
      <w:fldChar w:fldCharType="end"/>
    </w:r>
  </w:p>
  <w:p w14:paraId="130D5863" w14:textId="4BCA453A" w:rsidR="00BC1698" w:rsidRPr="007A1328" w:rsidRDefault="00BC1698"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F3C83">
      <w:rPr>
        <w:noProof/>
        <w:sz w:val="20"/>
      </w:rPr>
      <w:t>Fees for obtaining a document or service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F3C83">
      <w:rPr>
        <w:b/>
        <w:noProof/>
        <w:sz w:val="20"/>
      </w:rPr>
      <w:t>Part 2</w:t>
    </w:r>
    <w:r>
      <w:rPr>
        <w:b/>
        <w:sz w:val="20"/>
      </w:rPr>
      <w:fldChar w:fldCharType="end"/>
    </w:r>
  </w:p>
  <w:p w14:paraId="02049A05" w14:textId="2643497E" w:rsidR="00BC1698" w:rsidRPr="007A1328" w:rsidRDefault="00BC1698"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595734F" w14:textId="77777777" w:rsidR="00BC1698" w:rsidRPr="007A1328" w:rsidRDefault="00BC1698" w:rsidP="00715914">
    <w:pPr>
      <w:jc w:val="right"/>
      <w:rPr>
        <w:b/>
        <w:sz w:val="24"/>
      </w:rPr>
    </w:pPr>
  </w:p>
  <w:p w14:paraId="517547BC" w14:textId="43A23178" w:rsidR="00BC1698" w:rsidRPr="007A1328" w:rsidRDefault="00BC1698" w:rsidP="00B6342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6F3C83">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F3C83">
      <w:rPr>
        <w:noProof/>
        <w:sz w:val="24"/>
      </w:rPr>
      <w:t>23</w:t>
    </w:r>
    <w:r w:rsidRPr="007A1328">
      <w:rPr>
        <w:sz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57E5" w14:textId="77777777" w:rsidR="00BC1698" w:rsidRPr="007A1328" w:rsidRDefault="00BC1698"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7B7E" w14:textId="77777777" w:rsidR="00BC1698" w:rsidRPr="005F1388" w:rsidRDefault="00BC1698"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A165" w14:textId="77777777" w:rsidR="00BC1698" w:rsidRPr="005F1388" w:rsidRDefault="00BC1698"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7F47" w14:textId="77777777" w:rsidR="00BC1698" w:rsidRPr="00ED79B6" w:rsidRDefault="00BC1698"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20BA" w14:textId="77777777" w:rsidR="00BC1698" w:rsidRPr="00ED79B6" w:rsidRDefault="00BC1698"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944C" w14:textId="77777777" w:rsidR="00BC1698" w:rsidRPr="00ED79B6" w:rsidRDefault="00BC1698"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6E87" w14:textId="2F73E5D0" w:rsidR="009213EC" w:rsidRPr="00D1021D" w:rsidRDefault="009213EC">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14:paraId="285B2FAC" w14:textId="1F88F5CA" w:rsidR="009213EC" w:rsidRPr="00D1021D" w:rsidRDefault="009213EC">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653F31">
      <w:rPr>
        <w:b/>
        <w:noProof/>
        <w:sz w:val="20"/>
      </w:rPr>
      <w:t>Part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653F31">
      <w:rPr>
        <w:noProof/>
        <w:sz w:val="20"/>
      </w:rPr>
      <w:t>Application, saving and transitional provisions</w:t>
    </w:r>
    <w:r w:rsidRPr="00D1021D">
      <w:rPr>
        <w:sz w:val="20"/>
      </w:rPr>
      <w:fldChar w:fldCharType="end"/>
    </w:r>
  </w:p>
  <w:p w14:paraId="4D40B246" w14:textId="56FBC43C" w:rsidR="009213EC" w:rsidRPr="00D1021D" w:rsidRDefault="009213EC">
    <w:pPr>
      <w:rPr>
        <w:sz w:val="20"/>
      </w:rPr>
    </w:pPr>
    <w:r w:rsidRPr="00D1021D">
      <w:rPr>
        <w:b/>
        <w:sz w:val="20"/>
      </w:rPr>
      <w:fldChar w:fldCharType="begin"/>
    </w:r>
    <w:r w:rsidRPr="00D1021D">
      <w:rPr>
        <w:b/>
        <w:sz w:val="20"/>
      </w:rPr>
      <w:instrText xml:space="preserve"> STYLEREF CharDivNo </w:instrText>
    </w:r>
    <w:r w:rsidR="00653F31">
      <w:rPr>
        <w:b/>
        <w:sz w:val="20"/>
      </w:rPr>
      <w:fldChar w:fldCharType="separate"/>
    </w:r>
    <w:r w:rsidR="00653F31">
      <w:rPr>
        <w:b/>
        <w:noProof/>
        <w:sz w:val="20"/>
      </w:rPr>
      <w:t>Division 3.1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00653F31">
      <w:rPr>
        <w:sz w:val="20"/>
      </w:rPr>
      <w:fldChar w:fldCharType="separate"/>
    </w:r>
    <w:r w:rsidR="00653F31">
      <w:rPr>
        <w:noProof/>
        <w:sz w:val="20"/>
      </w:rPr>
      <w:t>Application, saving and transitional provisions in relation to the commencement of this instrument</w:t>
    </w:r>
    <w:r w:rsidRPr="00D1021D">
      <w:rPr>
        <w:sz w:val="20"/>
      </w:rPr>
      <w:fldChar w:fldCharType="end"/>
    </w:r>
  </w:p>
  <w:p w14:paraId="46040AA2" w14:textId="77777777" w:rsidR="009213EC" w:rsidRPr="00D1021D" w:rsidRDefault="009213EC">
    <w:pPr>
      <w:rPr>
        <w:b/>
      </w:rPr>
    </w:pPr>
  </w:p>
  <w:p w14:paraId="2418D593" w14:textId="16624945" w:rsidR="009213EC" w:rsidRPr="009213EC" w:rsidRDefault="007875AC" w:rsidP="009213EC">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6F3C83">
      <w:rPr>
        <w:sz w:val="24"/>
      </w:rPr>
      <w:t>Section</w:t>
    </w:r>
    <w:r>
      <w:rPr>
        <w:sz w:val="24"/>
      </w:rPr>
      <w:fldChar w:fldCharType="end"/>
    </w:r>
    <w:r w:rsidR="009213EC" w:rsidRPr="009213EC">
      <w:rPr>
        <w:sz w:val="24"/>
      </w:rPr>
      <w:t xml:space="preserve"> </w:t>
    </w:r>
    <w:r w:rsidR="009213EC" w:rsidRPr="009213EC">
      <w:rPr>
        <w:sz w:val="24"/>
      </w:rPr>
      <w:fldChar w:fldCharType="begin"/>
    </w:r>
    <w:r w:rsidR="009213EC" w:rsidRPr="009213EC">
      <w:rPr>
        <w:sz w:val="24"/>
      </w:rPr>
      <w:instrText xml:space="preserve"> STYLEREF CharSectno </w:instrText>
    </w:r>
    <w:r w:rsidR="009213EC" w:rsidRPr="009213EC">
      <w:rPr>
        <w:sz w:val="24"/>
      </w:rPr>
      <w:fldChar w:fldCharType="separate"/>
    </w:r>
    <w:r w:rsidR="00653F31">
      <w:rPr>
        <w:noProof/>
        <w:sz w:val="24"/>
      </w:rPr>
      <w:t>19</w:t>
    </w:r>
    <w:r w:rsidR="009213EC" w:rsidRPr="009213EC">
      <w:rPr>
        <w:noProof/>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534B" w14:textId="4DC30D87" w:rsidR="009213EC" w:rsidRPr="00D1021D" w:rsidRDefault="009213EC">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14:paraId="65C54427" w14:textId="34A41ABB" w:rsidR="009213EC" w:rsidRPr="00D1021D" w:rsidRDefault="009213EC">
    <w:pPr>
      <w:jc w:val="right"/>
      <w:rPr>
        <w:b/>
        <w:sz w:val="20"/>
      </w:rPr>
    </w:pPr>
    <w:r w:rsidRPr="00D1021D">
      <w:rPr>
        <w:sz w:val="20"/>
      </w:rPr>
      <w:fldChar w:fldCharType="begin"/>
    </w:r>
    <w:r w:rsidRPr="00D1021D">
      <w:rPr>
        <w:sz w:val="20"/>
      </w:rPr>
      <w:instrText xml:space="preserve"> STYLEREF CharPartText </w:instrText>
    </w:r>
    <w:r w:rsidR="00653F31">
      <w:rPr>
        <w:sz w:val="20"/>
      </w:rPr>
      <w:fldChar w:fldCharType="separate"/>
    </w:r>
    <w:r w:rsidR="00653F31">
      <w:rPr>
        <w:noProof/>
        <w:sz w:val="20"/>
      </w:rPr>
      <w:t>Fees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00653F31">
      <w:rPr>
        <w:b/>
        <w:sz w:val="20"/>
      </w:rPr>
      <w:fldChar w:fldCharType="separate"/>
    </w:r>
    <w:r w:rsidR="00653F31">
      <w:rPr>
        <w:b/>
        <w:noProof/>
        <w:sz w:val="20"/>
      </w:rPr>
      <w:t>Part 2</w:t>
    </w:r>
    <w:r w:rsidRPr="00D1021D">
      <w:rPr>
        <w:b/>
        <w:sz w:val="20"/>
      </w:rPr>
      <w:fldChar w:fldCharType="end"/>
    </w:r>
  </w:p>
  <w:p w14:paraId="5BD47930" w14:textId="54D5DE54" w:rsidR="009213EC" w:rsidRPr="00D1021D" w:rsidRDefault="009213EC">
    <w:pPr>
      <w:jc w:val="right"/>
      <w:rPr>
        <w:sz w:val="20"/>
      </w:rPr>
    </w:pPr>
    <w:r w:rsidRPr="00D1021D">
      <w:rPr>
        <w:sz w:val="20"/>
      </w:rPr>
      <w:fldChar w:fldCharType="begin"/>
    </w:r>
    <w:r w:rsidRPr="00D1021D">
      <w:rPr>
        <w:sz w:val="20"/>
      </w:rPr>
      <w:instrText xml:space="preserve"> STYLEREF CharDivText </w:instrText>
    </w:r>
    <w:r w:rsidR="00653F31">
      <w:rPr>
        <w:sz w:val="20"/>
      </w:rPr>
      <w:fldChar w:fldCharType="separate"/>
    </w:r>
    <w:r w:rsidR="00653F31">
      <w:rPr>
        <w:noProof/>
        <w:sz w:val="20"/>
      </w:rPr>
      <w:t>Miscellaneous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00653F31">
      <w:rPr>
        <w:b/>
        <w:sz w:val="20"/>
      </w:rPr>
      <w:fldChar w:fldCharType="separate"/>
    </w:r>
    <w:r w:rsidR="00653F31">
      <w:rPr>
        <w:b/>
        <w:noProof/>
        <w:sz w:val="20"/>
      </w:rPr>
      <w:t>Division 2.6</w:t>
    </w:r>
    <w:r w:rsidRPr="00D1021D">
      <w:rPr>
        <w:b/>
        <w:sz w:val="20"/>
      </w:rPr>
      <w:fldChar w:fldCharType="end"/>
    </w:r>
  </w:p>
  <w:p w14:paraId="013A0B4C" w14:textId="77777777" w:rsidR="009213EC" w:rsidRPr="00D1021D" w:rsidRDefault="009213EC">
    <w:pPr>
      <w:jc w:val="right"/>
      <w:rPr>
        <w:b/>
      </w:rPr>
    </w:pPr>
  </w:p>
  <w:p w14:paraId="2AD00275" w14:textId="5D9B494A" w:rsidR="009213EC" w:rsidRPr="009213EC" w:rsidRDefault="007875AC" w:rsidP="009213EC">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6F3C83">
      <w:rPr>
        <w:sz w:val="24"/>
      </w:rPr>
      <w:t>Section</w:t>
    </w:r>
    <w:r>
      <w:rPr>
        <w:sz w:val="24"/>
      </w:rPr>
      <w:fldChar w:fldCharType="end"/>
    </w:r>
    <w:r w:rsidR="009213EC" w:rsidRPr="009213EC">
      <w:rPr>
        <w:sz w:val="24"/>
      </w:rPr>
      <w:t xml:space="preserve"> </w:t>
    </w:r>
    <w:r w:rsidR="009213EC" w:rsidRPr="009213EC">
      <w:rPr>
        <w:sz w:val="24"/>
      </w:rPr>
      <w:fldChar w:fldCharType="begin"/>
    </w:r>
    <w:r w:rsidR="009213EC" w:rsidRPr="009213EC">
      <w:rPr>
        <w:sz w:val="24"/>
      </w:rPr>
      <w:instrText xml:space="preserve"> STYLEREF CharSectno </w:instrText>
    </w:r>
    <w:r w:rsidR="009213EC" w:rsidRPr="009213EC">
      <w:rPr>
        <w:sz w:val="24"/>
      </w:rPr>
      <w:fldChar w:fldCharType="separate"/>
    </w:r>
    <w:r w:rsidR="00653F31">
      <w:rPr>
        <w:noProof/>
        <w:sz w:val="24"/>
      </w:rPr>
      <w:t>18</w:t>
    </w:r>
    <w:r w:rsidR="009213EC" w:rsidRPr="009213EC">
      <w:rPr>
        <w:noProof/>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6FCF" w14:textId="77777777" w:rsidR="009213EC" w:rsidRPr="009213EC" w:rsidRDefault="009213EC">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350D"/>
    <w:rsid w:val="00004470"/>
    <w:rsid w:val="000136AF"/>
    <w:rsid w:val="000158BD"/>
    <w:rsid w:val="00023D34"/>
    <w:rsid w:val="000330B1"/>
    <w:rsid w:val="00041FE8"/>
    <w:rsid w:val="000437C1"/>
    <w:rsid w:val="000476FB"/>
    <w:rsid w:val="00050A5F"/>
    <w:rsid w:val="0005365D"/>
    <w:rsid w:val="000614BF"/>
    <w:rsid w:val="00070C91"/>
    <w:rsid w:val="00072232"/>
    <w:rsid w:val="000734C5"/>
    <w:rsid w:val="000809D0"/>
    <w:rsid w:val="00081EE2"/>
    <w:rsid w:val="00084D33"/>
    <w:rsid w:val="000A2869"/>
    <w:rsid w:val="000B58FA"/>
    <w:rsid w:val="000B7E30"/>
    <w:rsid w:val="000B7E32"/>
    <w:rsid w:val="000C295C"/>
    <w:rsid w:val="000D05EF"/>
    <w:rsid w:val="000E2261"/>
    <w:rsid w:val="000E2DB5"/>
    <w:rsid w:val="000F21C1"/>
    <w:rsid w:val="0010745C"/>
    <w:rsid w:val="001079C7"/>
    <w:rsid w:val="00125FB5"/>
    <w:rsid w:val="00132CEB"/>
    <w:rsid w:val="00140E14"/>
    <w:rsid w:val="00142B62"/>
    <w:rsid w:val="00142FC6"/>
    <w:rsid w:val="0014539C"/>
    <w:rsid w:val="00153143"/>
    <w:rsid w:val="00153893"/>
    <w:rsid w:val="00157B8B"/>
    <w:rsid w:val="00166C2F"/>
    <w:rsid w:val="001721AC"/>
    <w:rsid w:val="001809D7"/>
    <w:rsid w:val="001939E1"/>
    <w:rsid w:val="00194C3E"/>
    <w:rsid w:val="00195382"/>
    <w:rsid w:val="001C61C5"/>
    <w:rsid w:val="001C69C4"/>
    <w:rsid w:val="001D25B9"/>
    <w:rsid w:val="001D37EF"/>
    <w:rsid w:val="001E3590"/>
    <w:rsid w:val="001E7407"/>
    <w:rsid w:val="001F09E6"/>
    <w:rsid w:val="001F1134"/>
    <w:rsid w:val="001F3470"/>
    <w:rsid w:val="001F51E7"/>
    <w:rsid w:val="001F5D5E"/>
    <w:rsid w:val="001F6219"/>
    <w:rsid w:val="001F6CD4"/>
    <w:rsid w:val="00206C4D"/>
    <w:rsid w:val="0021053C"/>
    <w:rsid w:val="002150FD"/>
    <w:rsid w:val="00215AF1"/>
    <w:rsid w:val="0021751B"/>
    <w:rsid w:val="00222EFA"/>
    <w:rsid w:val="002258AC"/>
    <w:rsid w:val="00226562"/>
    <w:rsid w:val="002271D0"/>
    <w:rsid w:val="0023093D"/>
    <w:rsid w:val="00231296"/>
    <w:rsid w:val="002321E8"/>
    <w:rsid w:val="00236EEC"/>
    <w:rsid w:val="0024010F"/>
    <w:rsid w:val="00240749"/>
    <w:rsid w:val="00243018"/>
    <w:rsid w:val="00245ABC"/>
    <w:rsid w:val="0025392E"/>
    <w:rsid w:val="00254AD9"/>
    <w:rsid w:val="002564A4"/>
    <w:rsid w:val="002633A5"/>
    <w:rsid w:val="00264FFF"/>
    <w:rsid w:val="0026736C"/>
    <w:rsid w:val="00270B31"/>
    <w:rsid w:val="00281308"/>
    <w:rsid w:val="00283C14"/>
    <w:rsid w:val="00284719"/>
    <w:rsid w:val="00297ECB"/>
    <w:rsid w:val="002A0C21"/>
    <w:rsid w:val="002A7BCF"/>
    <w:rsid w:val="002B4BF7"/>
    <w:rsid w:val="002C08EF"/>
    <w:rsid w:val="002C144B"/>
    <w:rsid w:val="002C3573"/>
    <w:rsid w:val="002C42FA"/>
    <w:rsid w:val="002C4A40"/>
    <w:rsid w:val="002D043A"/>
    <w:rsid w:val="002D6224"/>
    <w:rsid w:val="002E3F4B"/>
    <w:rsid w:val="002E733B"/>
    <w:rsid w:val="002E7506"/>
    <w:rsid w:val="00304F8B"/>
    <w:rsid w:val="00305573"/>
    <w:rsid w:val="00307C85"/>
    <w:rsid w:val="003354D2"/>
    <w:rsid w:val="00335BC6"/>
    <w:rsid w:val="00337945"/>
    <w:rsid w:val="0034153C"/>
    <w:rsid w:val="003415D3"/>
    <w:rsid w:val="00342245"/>
    <w:rsid w:val="00344701"/>
    <w:rsid w:val="00352B0F"/>
    <w:rsid w:val="00356690"/>
    <w:rsid w:val="00360459"/>
    <w:rsid w:val="003838D9"/>
    <w:rsid w:val="003B26E4"/>
    <w:rsid w:val="003B77A7"/>
    <w:rsid w:val="003C47A3"/>
    <w:rsid w:val="003C6231"/>
    <w:rsid w:val="003D0BFE"/>
    <w:rsid w:val="003D0C2F"/>
    <w:rsid w:val="003D0DBF"/>
    <w:rsid w:val="003D1467"/>
    <w:rsid w:val="003D1A86"/>
    <w:rsid w:val="003D5700"/>
    <w:rsid w:val="003D5EFE"/>
    <w:rsid w:val="003E341B"/>
    <w:rsid w:val="003E6664"/>
    <w:rsid w:val="003F450F"/>
    <w:rsid w:val="004116CD"/>
    <w:rsid w:val="0041222B"/>
    <w:rsid w:val="004144EC"/>
    <w:rsid w:val="00417A29"/>
    <w:rsid w:val="00417EB9"/>
    <w:rsid w:val="00424CA9"/>
    <w:rsid w:val="00431E9B"/>
    <w:rsid w:val="004379E3"/>
    <w:rsid w:val="00437E5C"/>
    <w:rsid w:val="0044015E"/>
    <w:rsid w:val="0044291A"/>
    <w:rsid w:val="00444ABD"/>
    <w:rsid w:val="00452BE3"/>
    <w:rsid w:val="00461C81"/>
    <w:rsid w:val="004645F1"/>
    <w:rsid w:val="00467661"/>
    <w:rsid w:val="004705B7"/>
    <w:rsid w:val="00472CA6"/>
    <w:rsid w:val="00472DBE"/>
    <w:rsid w:val="00474A19"/>
    <w:rsid w:val="004908EB"/>
    <w:rsid w:val="0049155A"/>
    <w:rsid w:val="00496F97"/>
    <w:rsid w:val="004A1958"/>
    <w:rsid w:val="004B6D05"/>
    <w:rsid w:val="004C6AE8"/>
    <w:rsid w:val="004D3593"/>
    <w:rsid w:val="004E063A"/>
    <w:rsid w:val="004E7BEC"/>
    <w:rsid w:val="004F449D"/>
    <w:rsid w:val="004F53FA"/>
    <w:rsid w:val="00505D3D"/>
    <w:rsid w:val="00506AF6"/>
    <w:rsid w:val="00516B8D"/>
    <w:rsid w:val="00523C25"/>
    <w:rsid w:val="00530B20"/>
    <w:rsid w:val="0053493B"/>
    <w:rsid w:val="00537FBC"/>
    <w:rsid w:val="00547561"/>
    <w:rsid w:val="00554723"/>
    <w:rsid w:val="00554954"/>
    <w:rsid w:val="00557205"/>
    <w:rsid w:val="005574D1"/>
    <w:rsid w:val="00564701"/>
    <w:rsid w:val="00572839"/>
    <w:rsid w:val="00574C81"/>
    <w:rsid w:val="00584811"/>
    <w:rsid w:val="00585784"/>
    <w:rsid w:val="00590739"/>
    <w:rsid w:val="00593AA6"/>
    <w:rsid w:val="00594161"/>
    <w:rsid w:val="00594749"/>
    <w:rsid w:val="005A3B94"/>
    <w:rsid w:val="005B22B2"/>
    <w:rsid w:val="005B4067"/>
    <w:rsid w:val="005C3F41"/>
    <w:rsid w:val="005D0357"/>
    <w:rsid w:val="005D0AC5"/>
    <w:rsid w:val="005D2D09"/>
    <w:rsid w:val="005D551C"/>
    <w:rsid w:val="005D6203"/>
    <w:rsid w:val="005D6576"/>
    <w:rsid w:val="005D79D9"/>
    <w:rsid w:val="005E125E"/>
    <w:rsid w:val="00600219"/>
    <w:rsid w:val="00603DC4"/>
    <w:rsid w:val="00615E91"/>
    <w:rsid w:val="00620076"/>
    <w:rsid w:val="006223DE"/>
    <w:rsid w:val="006335F7"/>
    <w:rsid w:val="00643004"/>
    <w:rsid w:val="00644117"/>
    <w:rsid w:val="00653F31"/>
    <w:rsid w:val="006642FE"/>
    <w:rsid w:val="00665329"/>
    <w:rsid w:val="00665670"/>
    <w:rsid w:val="00670EA1"/>
    <w:rsid w:val="006769A2"/>
    <w:rsid w:val="00677CC2"/>
    <w:rsid w:val="00685E3D"/>
    <w:rsid w:val="006905DE"/>
    <w:rsid w:val="0069207B"/>
    <w:rsid w:val="00693CDD"/>
    <w:rsid w:val="006944A8"/>
    <w:rsid w:val="00695BF6"/>
    <w:rsid w:val="006B03A8"/>
    <w:rsid w:val="006B22FF"/>
    <w:rsid w:val="006B3935"/>
    <w:rsid w:val="006B45E2"/>
    <w:rsid w:val="006B4C9F"/>
    <w:rsid w:val="006B5789"/>
    <w:rsid w:val="006C30C5"/>
    <w:rsid w:val="006C7F8C"/>
    <w:rsid w:val="006D43F4"/>
    <w:rsid w:val="006E6246"/>
    <w:rsid w:val="006E7F74"/>
    <w:rsid w:val="006F318F"/>
    <w:rsid w:val="006F3C83"/>
    <w:rsid w:val="006F4226"/>
    <w:rsid w:val="0070017E"/>
    <w:rsid w:val="00700B2C"/>
    <w:rsid w:val="007050A2"/>
    <w:rsid w:val="00713084"/>
    <w:rsid w:val="00714F20"/>
    <w:rsid w:val="0071590F"/>
    <w:rsid w:val="00715914"/>
    <w:rsid w:val="007162D1"/>
    <w:rsid w:val="00720D65"/>
    <w:rsid w:val="00731E00"/>
    <w:rsid w:val="007364C0"/>
    <w:rsid w:val="007440B7"/>
    <w:rsid w:val="007500C8"/>
    <w:rsid w:val="0075163E"/>
    <w:rsid w:val="00756272"/>
    <w:rsid w:val="00765998"/>
    <w:rsid w:val="0076681A"/>
    <w:rsid w:val="007715C9"/>
    <w:rsid w:val="00771613"/>
    <w:rsid w:val="00774C88"/>
    <w:rsid w:val="00774EDD"/>
    <w:rsid w:val="007757EC"/>
    <w:rsid w:val="00783E89"/>
    <w:rsid w:val="00785DEA"/>
    <w:rsid w:val="007875AC"/>
    <w:rsid w:val="00793915"/>
    <w:rsid w:val="007A0DBB"/>
    <w:rsid w:val="007A33AE"/>
    <w:rsid w:val="007B344C"/>
    <w:rsid w:val="007B4E77"/>
    <w:rsid w:val="007B74E6"/>
    <w:rsid w:val="007C2253"/>
    <w:rsid w:val="007C5304"/>
    <w:rsid w:val="007C5B6F"/>
    <w:rsid w:val="007D5A63"/>
    <w:rsid w:val="007D5D85"/>
    <w:rsid w:val="007D7B81"/>
    <w:rsid w:val="007E163D"/>
    <w:rsid w:val="007E667A"/>
    <w:rsid w:val="007F0D50"/>
    <w:rsid w:val="007F28C9"/>
    <w:rsid w:val="007F41AC"/>
    <w:rsid w:val="007F4457"/>
    <w:rsid w:val="007F4500"/>
    <w:rsid w:val="007F50FC"/>
    <w:rsid w:val="007F7057"/>
    <w:rsid w:val="00803587"/>
    <w:rsid w:val="00807626"/>
    <w:rsid w:val="008117E9"/>
    <w:rsid w:val="0082124C"/>
    <w:rsid w:val="00824498"/>
    <w:rsid w:val="0083228A"/>
    <w:rsid w:val="0084192C"/>
    <w:rsid w:val="00845F77"/>
    <w:rsid w:val="00856A31"/>
    <w:rsid w:val="0086049D"/>
    <w:rsid w:val="0086223C"/>
    <w:rsid w:val="00864B24"/>
    <w:rsid w:val="00867B37"/>
    <w:rsid w:val="008754D0"/>
    <w:rsid w:val="00882CE3"/>
    <w:rsid w:val="008855C9"/>
    <w:rsid w:val="00886456"/>
    <w:rsid w:val="00886AC1"/>
    <w:rsid w:val="008A01B7"/>
    <w:rsid w:val="008A46E1"/>
    <w:rsid w:val="008A4F43"/>
    <w:rsid w:val="008B2706"/>
    <w:rsid w:val="008B5303"/>
    <w:rsid w:val="008B7033"/>
    <w:rsid w:val="008D0EE0"/>
    <w:rsid w:val="008D60E9"/>
    <w:rsid w:val="008E6067"/>
    <w:rsid w:val="008F319D"/>
    <w:rsid w:val="008F54E7"/>
    <w:rsid w:val="00900E1C"/>
    <w:rsid w:val="00903422"/>
    <w:rsid w:val="00914068"/>
    <w:rsid w:val="00915DF9"/>
    <w:rsid w:val="009213EC"/>
    <w:rsid w:val="00923CD5"/>
    <w:rsid w:val="00924D97"/>
    <w:rsid w:val="009254C3"/>
    <w:rsid w:val="00930A8E"/>
    <w:rsid w:val="00932377"/>
    <w:rsid w:val="00932F8E"/>
    <w:rsid w:val="00940FE7"/>
    <w:rsid w:val="00947D5A"/>
    <w:rsid w:val="009532A5"/>
    <w:rsid w:val="0095388E"/>
    <w:rsid w:val="009548BC"/>
    <w:rsid w:val="009619F4"/>
    <w:rsid w:val="00961E69"/>
    <w:rsid w:val="00982242"/>
    <w:rsid w:val="009868E9"/>
    <w:rsid w:val="00987FDA"/>
    <w:rsid w:val="009A03CD"/>
    <w:rsid w:val="009A426B"/>
    <w:rsid w:val="009A4DA9"/>
    <w:rsid w:val="009B1C61"/>
    <w:rsid w:val="009B5AB3"/>
    <w:rsid w:val="009C2B8E"/>
    <w:rsid w:val="009C38DE"/>
    <w:rsid w:val="009C738D"/>
    <w:rsid w:val="009D2AE2"/>
    <w:rsid w:val="009E1604"/>
    <w:rsid w:val="009E5CFC"/>
    <w:rsid w:val="009E7502"/>
    <w:rsid w:val="009F1F9C"/>
    <w:rsid w:val="009F2CC7"/>
    <w:rsid w:val="00A00C6F"/>
    <w:rsid w:val="00A079CB"/>
    <w:rsid w:val="00A12128"/>
    <w:rsid w:val="00A22C98"/>
    <w:rsid w:val="00A231E2"/>
    <w:rsid w:val="00A62B14"/>
    <w:rsid w:val="00A638F2"/>
    <w:rsid w:val="00A64912"/>
    <w:rsid w:val="00A70A74"/>
    <w:rsid w:val="00A7114B"/>
    <w:rsid w:val="00A741D3"/>
    <w:rsid w:val="00AA35CB"/>
    <w:rsid w:val="00AA6E59"/>
    <w:rsid w:val="00AB5FB4"/>
    <w:rsid w:val="00AD162A"/>
    <w:rsid w:val="00AD5641"/>
    <w:rsid w:val="00AD7889"/>
    <w:rsid w:val="00AE3652"/>
    <w:rsid w:val="00AF021B"/>
    <w:rsid w:val="00AF06CF"/>
    <w:rsid w:val="00AF0B68"/>
    <w:rsid w:val="00AF50FE"/>
    <w:rsid w:val="00B05669"/>
    <w:rsid w:val="00B05CF4"/>
    <w:rsid w:val="00B07CDB"/>
    <w:rsid w:val="00B16A31"/>
    <w:rsid w:val="00B17DFD"/>
    <w:rsid w:val="00B24FA1"/>
    <w:rsid w:val="00B2565E"/>
    <w:rsid w:val="00B25F4B"/>
    <w:rsid w:val="00B308FE"/>
    <w:rsid w:val="00B33709"/>
    <w:rsid w:val="00B33B3C"/>
    <w:rsid w:val="00B33BAD"/>
    <w:rsid w:val="00B36B7F"/>
    <w:rsid w:val="00B50ADC"/>
    <w:rsid w:val="00B566B1"/>
    <w:rsid w:val="00B56FA2"/>
    <w:rsid w:val="00B63429"/>
    <w:rsid w:val="00B63834"/>
    <w:rsid w:val="00B65F8A"/>
    <w:rsid w:val="00B72734"/>
    <w:rsid w:val="00B75266"/>
    <w:rsid w:val="00B80199"/>
    <w:rsid w:val="00B81DFA"/>
    <w:rsid w:val="00B83204"/>
    <w:rsid w:val="00B84745"/>
    <w:rsid w:val="00B95CDF"/>
    <w:rsid w:val="00B97E04"/>
    <w:rsid w:val="00BA0C87"/>
    <w:rsid w:val="00BA220B"/>
    <w:rsid w:val="00BA2E1A"/>
    <w:rsid w:val="00BA3A57"/>
    <w:rsid w:val="00BA691F"/>
    <w:rsid w:val="00BA7D0E"/>
    <w:rsid w:val="00BB4E1A"/>
    <w:rsid w:val="00BC015E"/>
    <w:rsid w:val="00BC1698"/>
    <w:rsid w:val="00BC3CE7"/>
    <w:rsid w:val="00BC76AC"/>
    <w:rsid w:val="00BD0ECB"/>
    <w:rsid w:val="00BD1A67"/>
    <w:rsid w:val="00BD69A5"/>
    <w:rsid w:val="00BE034E"/>
    <w:rsid w:val="00BE0E0C"/>
    <w:rsid w:val="00BE2155"/>
    <w:rsid w:val="00BE2213"/>
    <w:rsid w:val="00BE3709"/>
    <w:rsid w:val="00BE719A"/>
    <w:rsid w:val="00BE720A"/>
    <w:rsid w:val="00BF0D73"/>
    <w:rsid w:val="00BF1C4D"/>
    <w:rsid w:val="00BF2465"/>
    <w:rsid w:val="00BF2B9F"/>
    <w:rsid w:val="00C04BF1"/>
    <w:rsid w:val="00C20E73"/>
    <w:rsid w:val="00C25E7F"/>
    <w:rsid w:val="00C2746F"/>
    <w:rsid w:val="00C324A0"/>
    <w:rsid w:val="00C3300F"/>
    <w:rsid w:val="00C42BF8"/>
    <w:rsid w:val="00C432AE"/>
    <w:rsid w:val="00C43BD0"/>
    <w:rsid w:val="00C50043"/>
    <w:rsid w:val="00C54082"/>
    <w:rsid w:val="00C72495"/>
    <w:rsid w:val="00C7573B"/>
    <w:rsid w:val="00C75EDF"/>
    <w:rsid w:val="00C93C03"/>
    <w:rsid w:val="00CA2192"/>
    <w:rsid w:val="00CB2C8E"/>
    <w:rsid w:val="00CB602E"/>
    <w:rsid w:val="00CC2360"/>
    <w:rsid w:val="00CC6E61"/>
    <w:rsid w:val="00CD0299"/>
    <w:rsid w:val="00CE051D"/>
    <w:rsid w:val="00CE1335"/>
    <w:rsid w:val="00CE493D"/>
    <w:rsid w:val="00CF07FA"/>
    <w:rsid w:val="00CF0BB2"/>
    <w:rsid w:val="00CF3EE8"/>
    <w:rsid w:val="00CF7665"/>
    <w:rsid w:val="00D01C10"/>
    <w:rsid w:val="00D050E6"/>
    <w:rsid w:val="00D13441"/>
    <w:rsid w:val="00D150E7"/>
    <w:rsid w:val="00D15F3F"/>
    <w:rsid w:val="00D16D6D"/>
    <w:rsid w:val="00D228C8"/>
    <w:rsid w:val="00D2436F"/>
    <w:rsid w:val="00D251EB"/>
    <w:rsid w:val="00D257D0"/>
    <w:rsid w:val="00D300D0"/>
    <w:rsid w:val="00D32F65"/>
    <w:rsid w:val="00D34BC2"/>
    <w:rsid w:val="00D364FA"/>
    <w:rsid w:val="00D52DC2"/>
    <w:rsid w:val="00D53BCC"/>
    <w:rsid w:val="00D67E8A"/>
    <w:rsid w:val="00D70DFB"/>
    <w:rsid w:val="00D766DF"/>
    <w:rsid w:val="00D860FC"/>
    <w:rsid w:val="00D87425"/>
    <w:rsid w:val="00DA186E"/>
    <w:rsid w:val="00DA4116"/>
    <w:rsid w:val="00DB22CE"/>
    <w:rsid w:val="00DB251C"/>
    <w:rsid w:val="00DB4630"/>
    <w:rsid w:val="00DC233F"/>
    <w:rsid w:val="00DC4F88"/>
    <w:rsid w:val="00DD1A79"/>
    <w:rsid w:val="00DD5370"/>
    <w:rsid w:val="00DD7DB5"/>
    <w:rsid w:val="00DE753E"/>
    <w:rsid w:val="00DF10AB"/>
    <w:rsid w:val="00DF6A8B"/>
    <w:rsid w:val="00E05704"/>
    <w:rsid w:val="00E11E44"/>
    <w:rsid w:val="00E14693"/>
    <w:rsid w:val="00E2026C"/>
    <w:rsid w:val="00E26099"/>
    <w:rsid w:val="00E26154"/>
    <w:rsid w:val="00E273FB"/>
    <w:rsid w:val="00E27CBE"/>
    <w:rsid w:val="00E3270E"/>
    <w:rsid w:val="00E338EF"/>
    <w:rsid w:val="00E42AE5"/>
    <w:rsid w:val="00E46FE1"/>
    <w:rsid w:val="00E50087"/>
    <w:rsid w:val="00E544BB"/>
    <w:rsid w:val="00E662CB"/>
    <w:rsid w:val="00E74DC7"/>
    <w:rsid w:val="00E76806"/>
    <w:rsid w:val="00E8075A"/>
    <w:rsid w:val="00E86C3A"/>
    <w:rsid w:val="00E903A4"/>
    <w:rsid w:val="00E94D5E"/>
    <w:rsid w:val="00E95486"/>
    <w:rsid w:val="00E95BD5"/>
    <w:rsid w:val="00EA7100"/>
    <w:rsid w:val="00EA7F9F"/>
    <w:rsid w:val="00EB1274"/>
    <w:rsid w:val="00EB4D1D"/>
    <w:rsid w:val="00EB6AD0"/>
    <w:rsid w:val="00EB7633"/>
    <w:rsid w:val="00ED2BB6"/>
    <w:rsid w:val="00ED34E1"/>
    <w:rsid w:val="00ED3B8D"/>
    <w:rsid w:val="00ED659C"/>
    <w:rsid w:val="00EF2E3A"/>
    <w:rsid w:val="00F072A7"/>
    <w:rsid w:val="00F078DC"/>
    <w:rsid w:val="00F24E8A"/>
    <w:rsid w:val="00F2662B"/>
    <w:rsid w:val="00F32BA8"/>
    <w:rsid w:val="00F349F1"/>
    <w:rsid w:val="00F34C64"/>
    <w:rsid w:val="00F4350D"/>
    <w:rsid w:val="00F44BDC"/>
    <w:rsid w:val="00F515FE"/>
    <w:rsid w:val="00F53427"/>
    <w:rsid w:val="00F567F7"/>
    <w:rsid w:val="00F579A2"/>
    <w:rsid w:val="00F62036"/>
    <w:rsid w:val="00F62750"/>
    <w:rsid w:val="00F63911"/>
    <w:rsid w:val="00F65B52"/>
    <w:rsid w:val="00F6693E"/>
    <w:rsid w:val="00F67BCA"/>
    <w:rsid w:val="00F7350D"/>
    <w:rsid w:val="00F73BD6"/>
    <w:rsid w:val="00F77CA5"/>
    <w:rsid w:val="00F8014C"/>
    <w:rsid w:val="00F83989"/>
    <w:rsid w:val="00F85099"/>
    <w:rsid w:val="00F87C96"/>
    <w:rsid w:val="00F87E1C"/>
    <w:rsid w:val="00F9379C"/>
    <w:rsid w:val="00F9632C"/>
    <w:rsid w:val="00F973AD"/>
    <w:rsid w:val="00FA172E"/>
    <w:rsid w:val="00FA1E52"/>
    <w:rsid w:val="00FB1409"/>
    <w:rsid w:val="00FC010F"/>
    <w:rsid w:val="00FC565D"/>
    <w:rsid w:val="00FC6C62"/>
    <w:rsid w:val="00FE4688"/>
    <w:rsid w:val="00FF4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6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2124C"/>
    <w:pPr>
      <w:spacing w:line="260" w:lineRule="atLeast"/>
    </w:pPr>
    <w:rPr>
      <w:sz w:val="22"/>
    </w:rPr>
  </w:style>
  <w:style w:type="paragraph" w:styleId="Heading1">
    <w:name w:val="heading 1"/>
    <w:basedOn w:val="Normal"/>
    <w:next w:val="Normal"/>
    <w:link w:val="Heading1Char"/>
    <w:uiPriority w:val="9"/>
    <w:qFormat/>
    <w:rsid w:val="0082124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124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124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124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2124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2124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2124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2124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82124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2124C"/>
  </w:style>
  <w:style w:type="paragraph" w:customStyle="1" w:styleId="OPCParaBase">
    <w:name w:val="OPCParaBase"/>
    <w:qFormat/>
    <w:rsid w:val="0082124C"/>
    <w:pPr>
      <w:spacing w:line="260" w:lineRule="atLeast"/>
    </w:pPr>
    <w:rPr>
      <w:rFonts w:eastAsia="Times New Roman" w:cs="Times New Roman"/>
      <w:sz w:val="22"/>
      <w:lang w:eastAsia="en-AU"/>
    </w:rPr>
  </w:style>
  <w:style w:type="paragraph" w:customStyle="1" w:styleId="ShortT">
    <w:name w:val="ShortT"/>
    <w:basedOn w:val="OPCParaBase"/>
    <w:next w:val="Normal"/>
    <w:qFormat/>
    <w:rsid w:val="0082124C"/>
    <w:pPr>
      <w:spacing w:line="240" w:lineRule="auto"/>
    </w:pPr>
    <w:rPr>
      <w:b/>
      <w:sz w:val="40"/>
    </w:rPr>
  </w:style>
  <w:style w:type="paragraph" w:customStyle="1" w:styleId="ActHead1">
    <w:name w:val="ActHead 1"/>
    <w:aliases w:val="c"/>
    <w:basedOn w:val="OPCParaBase"/>
    <w:next w:val="Normal"/>
    <w:qFormat/>
    <w:rsid w:val="0082124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2124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2124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2124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2124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2124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2124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2124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2124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2124C"/>
  </w:style>
  <w:style w:type="paragraph" w:customStyle="1" w:styleId="Blocks">
    <w:name w:val="Blocks"/>
    <w:aliases w:val="bb"/>
    <w:basedOn w:val="OPCParaBase"/>
    <w:qFormat/>
    <w:rsid w:val="0082124C"/>
    <w:pPr>
      <w:spacing w:line="240" w:lineRule="auto"/>
    </w:pPr>
    <w:rPr>
      <w:sz w:val="24"/>
    </w:rPr>
  </w:style>
  <w:style w:type="paragraph" w:customStyle="1" w:styleId="BoxText">
    <w:name w:val="BoxText"/>
    <w:aliases w:val="bt"/>
    <w:basedOn w:val="OPCParaBase"/>
    <w:qFormat/>
    <w:rsid w:val="0082124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2124C"/>
    <w:rPr>
      <w:b/>
    </w:rPr>
  </w:style>
  <w:style w:type="paragraph" w:customStyle="1" w:styleId="BoxHeadItalic">
    <w:name w:val="BoxHeadItalic"/>
    <w:aliases w:val="bhi"/>
    <w:basedOn w:val="BoxText"/>
    <w:next w:val="BoxStep"/>
    <w:qFormat/>
    <w:rsid w:val="0082124C"/>
    <w:rPr>
      <w:i/>
    </w:rPr>
  </w:style>
  <w:style w:type="paragraph" w:customStyle="1" w:styleId="BoxList">
    <w:name w:val="BoxList"/>
    <w:aliases w:val="bl"/>
    <w:basedOn w:val="BoxText"/>
    <w:qFormat/>
    <w:rsid w:val="0082124C"/>
    <w:pPr>
      <w:ind w:left="1559" w:hanging="425"/>
    </w:pPr>
  </w:style>
  <w:style w:type="paragraph" w:customStyle="1" w:styleId="BoxNote">
    <w:name w:val="BoxNote"/>
    <w:aliases w:val="bn"/>
    <w:basedOn w:val="BoxText"/>
    <w:qFormat/>
    <w:rsid w:val="0082124C"/>
    <w:pPr>
      <w:tabs>
        <w:tab w:val="left" w:pos="1985"/>
      </w:tabs>
      <w:spacing w:before="122" w:line="198" w:lineRule="exact"/>
      <w:ind w:left="2948" w:hanging="1814"/>
    </w:pPr>
    <w:rPr>
      <w:sz w:val="18"/>
    </w:rPr>
  </w:style>
  <w:style w:type="paragraph" w:customStyle="1" w:styleId="BoxPara">
    <w:name w:val="BoxPara"/>
    <w:aliases w:val="bp"/>
    <w:basedOn w:val="BoxText"/>
    <w:qFormat/>
    <w:rsid w:val="0082124C"/>
    <w:pPr>
      <w:tabs>
        <w:tab w:val="right" w:pos="2268"/>
      </w:tabs>
      <w:ind w:left="2552" w:hanging="1418"/>
    </w:pPr>
  </w:style>
  <w:style w:type="paragraph" w:customStyle="1" w:styleId="BoxStep">
    <w:name w:val="BoxStep"/>
    <w:aliases w:val="bs"/>
    <w:basedOn w:val="BoxText"/>
    <w:qFormat/>
    <w:rsid w:val="0082124C"/>
    <w:pPr>
      <w:ind w:left="1985" w:hanging="851"/>
    </w:pPr>
  </w:style>
  <w:style w:type="character" w:customStyle="1" w:styleId="CharAmPartNo">
    <w:name w:val="CharAmPartNo"/>
    <w:basedOn w:val="OPCCharBase"/>
    <w:qFormat/>
    <w:rsid w:val="0082124C"/>
  </w:style>
  <w:style w:type="character" w:customStyle="1" w:styleId="CharAmPartText">
    <w:name w:val="CharAmPartText"/>
    <w:basedOn w:val="OPCCharBase"/>
    <w:qFormat/>
    <w:rsid w:val="0082124C"/>
  </w:style>
  <w:style w:type="character" w:customStyle="1" w:styleId="CharAmSchNo">
    <w:name w:val="CharAmSchNo"/>
    <w:basedOn w:val="OPCCharBase"/>
    <w:qFormat/>
    <w:rsid w:val="0082124C"/>
  </w:style>
  <w:style w:type="character" w:customStyle="1" w:styleId="CharAmSchText">
    <w:name w:val="CharAmSchText"/>
    <w:basedOn w:val="OPCCharBase"/>
    <w:qFormat/>
    <w:rsid w:val="0082124C"/>
  </w:style>
  <w:style w:type="character" w:customStyle="1" w:styleId="CharBoldItalic">
    <w:name w:val="CharBoldItalic"/>
    <w:basedOn w:val="OPCCharBase"/>
    <w:uiPriority w:val="1"/>
    <w:qFormat/>
    <w:rsid w:val="0082124C"/>
    <w:rPr>
      <w:b/>
      <w:i/>
    </w:rPr>
  </w:style>
  <w:style w:type="character" w:customStyle="1" w:styleId="CharChapNo">
    <w:name w:val="CharChapNo"/>
    <w:basedOn w:val="OPCCharBase"/>
    <w:uiPriority w:val="1"/>
    <w:qFormat/>
    <w:rsid w:val="0082124C"/>
  </w:style>
  <w:style w:type="character" w:customStyle="1" w:styleId="CharChapText">
    <w:name w:val="CharChapText"/>
    <w:basedOn w:val="OPCCharBase"/>
    <w:uiPriority w:val="1"/>
    <w:qFormat/>
    <w:rsid w:val="0082124C"/>
  </w:style>
  <w:style w:type="character" w:customStyle="1" w:styleId="CharDivNo">
    <w:name w:val="CharDivNo"/>
    <w:basedOn w:val="OPCCharBase"/>
    <w:uiPriority w:val="1"/>
    <w:qFormat/>
    <w:rsid w:val="0082124C"/>
  </w:style>
  <w:style w:type="character" w:customStyle="1" w:styleId="CharDivText">
    <w:name w:val="CharDivText"/>
    <w:basedOn w:val="OPCCharBase"/>
    <w:uiPriority w:val="1"/>
    <w:qFormat/>
    <w:rsid w:val="0082124C"/>
  </w:style>
  <w:style w:type="character" w:customStyle="1" w:styleId="CharItalic">
    <w:name w:val="CharItalic"/>
    <w:basedOn w:val="OPCCharBase"/>
    <w:uiPriority w:val="1"/>
    <w:qFormat/>
    <w:rsid w:val="0082124C"/>
    <w:rPr>
      <w:i/>
    </w:rPr>
  </w:style>
  <w:style w:type="character" w:customStyle="1" w:styleId="CharPartNo">
    <w:name w:val="CharPartNo"/>
    <w:basedOn w:val="OPCCharBase"/>
    <w:uiPriority w:val="1"/>
    <w:qFormat/>
    <w:rsid w:val="0082124C"/>
  </w:style>
  <w:style w:type="character" w:customStyle="1" w:styleId="CharPartText">
    <w:name w:val="CharPartText"/>
    <w:basedOn w:val="OPCCharBase"/>
    <w:uiPriority w:val="1"/>
    <w:qFormat/>
    <w:rsid w:val="0082124C"/>
  </w:style>
  <w:style w:type="character" w:customStyle="1" w:styleId="CharSectno">
    <w:name w:val="CharSectno"/>
    <w:basedOn w:val="OPCCharBase"/>
    <w:qFormat/>
    <w:rsid w:val="0082124C"/>
  </w:style>
  <w:style w:type="character" w:customStyle="1" w:styleId="CharSubdNo">
    <w:name w:val="CharSubdNo"/>
    <w:basedOn w:val="OPCCharBase"/>
    <w:uiPriority w:val="1"/>
    <w:qFormat/>
    <w:rsid w:val="0082124C"/>
  </w:style>
  <w:style w:type="character" w:customStyle="1" w:styleId="CharSubdText">
    <w:name w:val="CharSubdText"/>
    <w:basedOn w:val="OPCCharBase"/>
    <w:uiPriority w:val="1"/>
    <w:qFormat/>
    <w:rsid w:val="0082124C"/>
  </w:style>
  <w:style w:type="paragraph" w:customStyle="1" w:styleId="CTA--">
    <w:name w:val="CTA --"/>
    <w:basedOn w:val="OPCParaBase"/>
    <w:next w:val="Normal"/>
    <w:rsid w:val="0082124C"/>
    <w:pPr>
      <w:spacing w:before="60" w:line="240" w:lineRule="atLeast"/>
      <w:ind w:left="142" w:hanging="142"/>
    </w:pPr>
    <w:rPr>
      <w:sz w:val="20"/>
    </w:rPr>
  </w:style>
  <w:style w:type="paragraph" w:customStyle="1" w:styleId="CTA-">
    <w:name w:val="CTA -"/>
    <w:basedOn w:val="OPCParaBase"/>
    <w:rsid w:val="0082124C"/>
    <w:pPr>
      <w:spacing w:before="60" w:line="240" w:lineRule="atLeast"/>
      <w:ind w:left="85" w:hanging="85"/>
    </w:pPr>
    <w:rPr>
      <w:sz w:val="20"/>
    </w:rPr>
  </w:style>
  <w:style w:type="paragraph" w:customStyle="1" w:styleId="CTA---">
    <w:name w:val="CTA ---"/>
    <w:basedOn w:val="OPCParaBase"/>
    <w:next w:val="Normal"/>
    <w:rsid w:val="0082124C"/>
    <w:pPr>
      <w:spacing w:before="60" w:line="240" w:lineRule="atLeast"/>
      <w:ind w:left="198" w:hanging="198"/>
    </w:pPr>
    <w:rPr>
      <w:sz w:val="20"/>
    </w:rPr>
  </w:style>
  <w:style w:type="paragraph" w:customStyle="1" w:styleId="CTA----">
    <w:name w:val="CTA ----"/>
    <w:basedOn w:val="OPCParaBase"/>
    <w:next w:val="Normal"/>
    <w:rsid w:val="0082124C"/>
    <w:pPr>
      <w:spacing w:before="60" w:line="240" w:lineRule="atLeast"/>
      <w:ind w:left="255" w:hanging="255"/>
    </w:pPr>
    <w:rPr>
      <w:sz w:val="20"/>
    </w:rPr>
  </w:style>
  <w:style w:type="paragraph" w:customStyle="1" w:styleId="CTA1a">
    <w:name w:val="CTA 1(a)"/>
    <w:basedOn w:val="OPCParaBase"/>
    <w:rsid w:val="0082124C"/>
    <w:pPr>
      <w:tabs>
        <w:tab w:val="right" w:pos="414"/>
      </w:tabs>
      <w:spacing w:before="40" w:line="240" w:lineRule="atLeast"/>
      <w:ind w:left="675" w:hanging="675"/>
    </w:pPr>
    <w:rPr>
      <w:sz w:val="20"/>
    </w:rPr>
  </w:style>
  <w:style w:type="paragraph" w:customStyle="1" w:styleId="CTA1ai">
    <w:name w:val="CTA 1(a)(i)"/>
    <w:basedOn w:val="OPCParaBase"/>
    <w:rsid w:val="0082124C"/>
    <w:pPr>
      <w:tabs>
        <w:tab w:val="right" w:pos="1004"/>
      </w:tabs>
      <w:spacing w:before="40" w:line="240" w:lineRule="atLeast"/>
      <w:ind w:left="1253" w:hanging="1253"/>
    </w:pPr>
    <w:rPr>
      <w:sz w:val="20"/>
    </w:rPr>
  </w:style>
  <w:style w:type="paragraph" w:customStyle="1" w:styleId="CTA2a">
    <w:name w:val="CTA 2(a)"/>
    <w:basedOn w:val="OPCParaBase"/>
    <w:rsid w:val="0082124C"/>
    <w:pPr>
      <w:tabs>
        <w:tab w:val="right" w:pos="482"/>
      </w:tabs>
      <w:spacing w:before="40" w:line="240" w:lineRule="atLeast"/>
      <w:ind w:left="748" w:hanging="748"/>
    </w:pPr>
    <w:rPr>
      <w:sz w:val="20"/>
    </w:rPr>
  </w:style>
  <w:style w:type="paragraph" w:customStyle="1" w:styleId="CTA2ai">
    <w:name w:val="CTA 2(a)(i)"/>
    <w:basedOn w:val="OPCParaBase"/>
    <w:rsid w:val="0082124C"/>
    <w:pPr>
      <w:tabs>
        <w:tab w:val="right" w:pos="1089"/>
      </w:tabs>
      <w:spacing w:before="40" w:line="240" w:lineRule="atLeast"/>
      <w:ind w:left="1327" w:hanging="1327"/>
    </w:pPr>
    <w:rPr>
      <w:sz w:val="20"/>
    </w:rPr>
  </w:style>
  <w:style w:type="paragraph" w:customStyle="1" w:styleId="CTA3a">
    <w:name w:val="CTA 3(a)"/>
    <w:basedOn w:val="OPCParaBase"/>
    <w:rsid w:val="0082124C"/>
    <w:pPr>
      <w:tabs>
        <w:tab w:val="right" w:pos="556"/>
      </w:tabs>
      <w:spacing w:before="40" w:line="240" w:lineRule="atLeast"/>
      <w:ind w:left="805" w:hanging="805"/>
    </w:pPr>
    <w:rPr>
      <w:sz w:val="20"/>
    </w:rPr>
  </w:style>
  <w:style w:type="paragraph" w:customStyle="1" w:styleId="CTA3ai">
    <w:name w:val="CTA 3(a)(i)"/>
    <w:basedOn w:val="OPCParaBase"/>
    <w:rsid w:val="0082124C"/>
    <w:pPr>
      <w:tabs>
        <w:tab w:val="right" w:pos="1140"/>
      </w:tabs>
      <w:spacing w:before="40" w:line="240" w:lineRule="atLeast"/>
      <w:ind w:left="1361" w:hanging="1361"/>
    </w:pPr>
    <w:rPr>
      <w:sz w:val="20"/>
    </w:rPr>
  </w:style>
  <w:style w:type="paragraph" w:customStyle="1" w:styleId="CTA4a">
    <w:name w:val="CTA 4(a)"/>
    <w:basedOn w:val="OPCParaBase"/>
    <w:rsid w:val="0082124C"/>
    <w:pPr>
      <w:tabs>
        <w:tab w:val="right" w:pos="624"/>
      </w:tabs>
      <w:spacing w:before="40" w:line="240" w:lineRule="atLeast"/>
      <w:ind w:left="873" w:hanging="873"/>
    </w:pPr>
    <w:rPr>
      <w:sz w:val="20"/>
    </w:rPr>
  </w:style>
  <w:style w:type="paragraph" w:customStyle="1" w:styleId="CTA4ai">
    <w:name w:val="CTA 4(a)(i)"/>
    <w:basedOn w:val="OPCParaBase"/>
    <w:rsid w:val="0082124C"/>
    <w:pPr>
      <w:tabs>
        <w:tab w:val="right" w:pos="1213"/>
      </w:tabs>
      <w:spacing w:before="40" w:line="240" w:lineRule="atLeast"/>
      <w:ind w:left="1452" w:hanging="1452"/>
    </w:pPr>
    <w:rPr>
      <w:sz w:val="20"/>
    </w:rPr>
  </w:style>
  <w:style w:type="paragraph" w:customStyle="1" w:styleId="CTACAPS">
    <w:name w:val="CTA CAPS"/>
    <w:basedOn w:val="OPCParaBase"/>
    <w:rsid w:val="0082124C"/>
    <w:pPr>
      <w:spacing w:before="60" w:line="240" w:lineRule="atLeast"/>
    </w:pPr>
    <w:rPr>
      <w:sz w:val="20"/>
    </w:rPr>
  </w:style>
  <w:style w:type="paragraph" w:customStyle="1" w:styleId="CTAright">
    <w:name w:val="CTA right"/>
    <w:basedOn w:val="OPCParaBase"/>
    <w:rsid w:val="0082124C"/>
    <w:pPr>
      <w:spacing w:before="60" w:line="240" w:lineRule="auto"/>
      <w:jc w:val="right"/>
    </w:pPr>
    <w:rPr>
      <w:sz w:val="20"/>
    </w:rPr>
  </w:style>
  <w:style w:type="paragraph" w:customStyle="1" w:styleId="subsection">
    <w:name w:val="subsection"/>
    <w:aliases w:val="ss,Subsection"/>
    <w:basedOn w:val="OPCParaBase"/>
    <w:link w:val="subsectionChar"/>
    <w:rsid w:val="0082124C"/>
    <w:pPr>
      <w:tabs>
        <w:tab w:val="right" w:pos="1021"/>
      </w:tabs>
      <w:spacing w:before="180" w:line="240" w:lineRule="auto"/>
      <w:ind w:left="1134" w:hanging="1134"/>
    </w:pPr>
  </w:style>
  <w:style w:type="paragraph" w:customStyle="1" w:styleId="Definition">
    <w:name w:val="Definition"/>
    <w:aliases w:val="dd"/>
    <w:basedOn w:val="OPCParaBase"/>
    <w:rsid w:val="0082124C"/>
    <w:pPr>
      <w:spacing w:before="180" w:line="240" w:lineRule="auto"/>
      <w:ind w:left="1134"/>
    </w:pPr>
  </w:style>
  <w:style w:type="paragraph" w:customStyle="1" w:styleId="EndNotespara">
    <w:name w:val="EndNotes(para)"/>
    <w:aliases w:val="eta"/>
    <w:basedOn w:val="OPCParaBase"/>
    <w:next w:val="EndNotessubpara"/>
    <w:rsid w:val="0082124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2124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2124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2124C"/>
    <w:pPr>
      <w:tabs>
        <w:tab w:val="right" w:pos="1412"/>
      </w:tabs>
      <w:spacing w:before="60" w:line="240" w:lineRule="auto"/>
      <w:ind w:left="1525" w:hanging="1525"/>
    </w:pPr>
    <w:rPr>
      <w:sz w:val="20"/>
    </w:rPr>
  </w:style>
  <w:style w:type="paragraph" w:customStyle="1" w:styleId="Formula">
    <w:name w:val="Formula"/>
    <w:basedOn w:val="OPCParaBase"/>
    <w:rsid w:val="0082124C"/>
    <w:pPr>
      <w:spacing w:line="240" w:lineRule="auto"/>
      <w:ind w:left="1134"/>
    </w:pPr>
    <w:rPr>
      <w:sz w:val="20"/>
    </w:rPr>
  </w:style>
  <w:style w:type="paragraph" w:styleId="Header">
    <w:name w:val="header"/>
    <w:basedOn w:val="OPCParaBase"/>
    <w:link w:val="HeaderChar"/>
    <w:unhideWhenUsed/>
    <w:rsid w:val="0082124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2124C"/>
    <w:rPr>
      <w:rFonts w:eastAsia="Times New Roman" w:cs="Times New Roman"/>
      <w:sz w:val="16"/>
      <w:lang w:eastAsia="en-AU"/>
    </w:rPr>
  </w:style>
  <w:style w:type="paragraph" w:customStyle="1" w:styleId="House">
    <w:name w:val="House"/>
    <w:basedOn w:val="OPCParaBase"/>
    <w:rsid w:val="0082124C"/>
    <w:pPr>
      <w:spacing w:line="240" w:lineRule="auto"/>
    </w:pPr>
    <w:rPr>
      <w:sz w:val="28"/>
    </w:rPr>
  </w:style>
  <w:style w:type="paragraph" w:customStyle="1" w:styleId="Item">
    <w:name w:val="Item"/>
    <w:aliases w:val="i"/>
    <w:basedOn w:val="OPCParaBase"/>
    <w:next w:val="ItemHead"/>
    <w:rsid w:val="0082124C"/>
    <w:pPr>
      <w:keepLines/>
      <w:spacing w:before="80" w:line="240" w:lineRule="auto"/>
      <w:ind w:left="709"/>
    </w:pPr>
  </w:style>
  <w:style w:type="paragraph" w:customStyle="1" w:styleId="ItemHead">
    <w:name w:val="ItemHead"/>
    <w:aliases w:val="ih"/>
    <w:basedOn w:val="OPCParaBase"/>
    <w:next w:val="Item"/>
    <w:rsid w:val="0082124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2124C"/>
    <w:pPr>
      <w:spacing w:line="240" w:lineRule="auto"/>
    </w:pPr>
    <w:rPr>
      <w:b/>
      <w:sz w:val="32"/>
    </w:rPr>
  </w:style>
  <w:style w:type="paragraph" w:customStyle="1" w:styleId="notedraft">
    <w:name w:val="note(draft)"/>
    <w:aliases w:val="nd"/>
    <w:basedOn w:val="OPCParaBase"/>
    <w:rsid w:val="0082124C"/>
    <w:pPr>
      <w:spacing w:before="240" w:line="240" w:lineRule="auto"/>
      <w:ind w:left="284" w:hanging="284"/>
    </w:pPr>
    <w:rPr>
      <w:i/>
      <w:sz w:val="24"/>
    </w:rPr>
  </w:style>
  <w:style w:type="paragraph" w:customStyle="1" w:styleId="notemargin">
    <w:name w:val="note(margin)"/>
    <w:aliases w:val="nm"/>
    <w:basedOn w:val="OPCParaBase"/>
    <w:rsid w:val="0082124C"/>
    <w:pPr>
      <w:tabs>
        <w:tab w:val="left" w:pos="709"/>
      </w:tabs>
      <w:spacing w:before="122" w:line="198" w:lineRule="exact"/>
      <w:ind w:left="709" w:hanging="709"/>
    </w:pPr>
    <w:rPr>
      <w:sz w:val="18"/>
    </w:rPr>
  </w:style>
  <w:style w:type="paragraph" w:customStyle="1" w:styleId="noteToPara">
    <w:name w:val="noteToPara"/>
    <w:aliases w:val="ntp"/>
    <w:basedOn w:val="OPCParaBase"/>
    <w:rsid w:val="0082124C"/>
    <w:pPr>
      <w:spacing w:before="122" w:line="198" w:lineRule="exact"/>
      <w:ind w:left="2353" w:hanging="709"/>
    </w:pPr>
    <w:rPr>
      <w:sz w:val="18"/>
    </w:rPr>
  </w:style>
  <w:style w:type="paragraph" w:customStyle="1" w:styleId="noteParlAmend">
    <w:name w:val="note(ParlAmend)"/>
    <w:aliases w:val="npp"/>
    <w:basedOn w:val="OPCParaBase"/>
    <w:next w:val="ParlAmend"/>
    <w:rsid w:val="0082124C"/>
    <w:pPr>
      <w:spacing w:line="240" w:lineRule="auto"/>
      <w:jc w:val="right"/>
    </w:pPr>
    <w:rPr>
      <w:rFonts w:ascii="Arial" w:hAnsi="Arial"/>
      <w:b/>
      <w:i/>
    </w:rPr>
  </w:style>
  <w:style w:type="paragraph" w:customStyle="1" w:styleId="Page1">
    <w:name w:val="Page1"/>
    <w:basedOn w:val="OPCParaBase"/>
    <w:rsid w:val="0082124C"/>
    <w:pPr>
      <w:spacing w:before="5600" w:line="240" w:lineRule="auto"/>
    </w:pPr>
    <w:rPr>
      <w:b/>
      <w:sz w:val="32"/>
    </w:rPr>
  </w:style>
  <w:style w:type="paragraph" w:customStyle="1" w:styleId="PageBreak">
    <w:name w:val="PageBreak"/>
    <w:aliases w:val="pb"/>
    <w:basedOn w:val="OPCParaBase"/>
    <w:rsid w:val="0082124C"/>
    <w:pPr>
      <w:spacing w:line="240" w:lineRule="auto"/>
    </w:pPr>
    <w:rPr>
      <w:sz w:val="20"/>
    </w:rPr>
  </w:style>
  <w:style w:type="paragraph" w:customStyle="1" w:styleId="paragraphsub">
    <w:name w:val="paragraph(sub)"/>
    <w:aliases w:val="aa"/>
    <w:basedOn w:val="OPCParaBase"/>
    <w:rsid w:val="0082124C"/>
    <w:pPr>
      <w:tabs>
        <w:tab w:val="right" w:pos="1985"/>
      </w:tabs>
      <w:spacing w:before="40" w:line="240" w:lineRule="auto"/>
      <w:ind w:left="2098" w:hanging="2098"/>
    </w:pPr>
  </w:style>
  <w:style w:type="paragraph" w:customStyle="1" w:styleId="paragraphsub-sub">
    <w:name w:val="paragraph(sub-sub)"/>
    <w:aliases w:val="aaa"/>
    <w:basedOn w:val="OPCParaBase"/>
    <w:rsid w:val="0082124C"/>
    <w:pPr>
      <w:tabs>
        <w:tab w:val="right" w:pos="2722"/>
      </w:tabs>
      <w:spacing w:before="40" w:line="240" w:lineRule="auto"/>
      <w:ind w:left="2835" w:hanging="2835"/>
    </w:pPr>
  </w:style>
  <w:style w:type="paragraph" w:customStyle="1" w:styleId="paragraph">
    <w:name w:val="paragraph"/>
    <w:aliases w:val="a"/>
    <w:basedOn w:val="OPCParaBase"/>
    <w:rsid w:val="0082124C"/>
    <w:pPr>
      <w:tabs>
        <w:tab w:val="right" w:pos="1531"/>
      </w:tabs>
      <w:spacing w:before="40" w:line="240" w:lineRule="auto"/>
      <w:ind w:left="1644" w:hanging="1644"/>
    </w:pPr>
  </w:style>
  <w:style w:type="paragraph" w:customStyle="1" w:styleId="ParlAmend">
    <w:name w:val="ParlAmend"/>
    <w:aliases w:val="pp"/>
    <w:basedOn w:val="OPCParaBase"/>
    <w:rsid w:val="0082124C"/>
    <w:pPr>
      <w:spacing w:before="240" w:line="240" w:lineRule="atLeast"/>
      <w:ind w:hanging="567"/>
    </w:pPr>
    <w:rPr>
      <w:sz w:val="24"/>
    </w:rPr>
  </w:style>
  <w:style w:type="paragraph" w:customStyle="1" w:styleId="Penalty">
    <w:name w:val="Penalty"/>
    <w:basedOn w:val="OPCParaBase"/>
    <w:rsid w:val="0082124C"/>
    <w:pPr>
      <w:tabs>
        <w:tab w:val="left" w:pos="2977"/>
      </w:tabs>
      <w:spacing w:before="180" w:line="240" w:lineRule="auto"/>
      <w:ind w:left="1985" w:hanging="851"/>
    </w:pPr>
  </w:style>
  <w:style w:type="paragraph" w:customStyle="1" w:styleId="Portfolio">
    <w:name w:val="Portfolio"/>
    <w:basedOn w:val="OPCParaBase"/>
    <w:rsid w:val="0082124C"/>
    <w:pPr>
      <w:spacing w:line="240" w:lineRule="auto"/>
    </w:pPr>
    <w:rPr>
      <w:i/>
      <w:sz w:val="20"/>
    </w:rPr>
  </w:style>
  <w:style w:type="paragraph" w:customStyle="1" w:styleId="Preamble">
    <w:name w:val="Preamble"/>
    <w:basedOn w:val="OPCParaBase"/>
    <w:next w:val="Normal"/>
    <w:rsid w:val="0082124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2124C"/>
    <w:pPr>
      <w:spacing w:line="240" w:lineRule="auto"/>
    </w:pPr>
    <w:rPr>
      <w:i/>
      <w:sz w:val="20"/>
    </w:rPr>
  </w:style>
  <w:style w:type="paragraph" w:customStyle="1" w:styleId="Session">
    <w:name w:val="Session"/>
    <w:basedOn w:val="OPCParaBase"/>
    <w:rsid w:val="0082124C"/>
    <w:pPr>
      <w:spacing w:line="240" w:lineRule="auto"/>
    </w:pPr>
    <w:rPr>
      <w:sz w:val="28"/>
    </w:rPr>
  </w:style>
  <w:style w:type="paragraph" w:customStyle="1" w:styleId="Sponsor">
    <w:name w:val="Sponsor"/>
    <w:basedOn w:val="OPCParaBase"/>
    <w:rsid w:val="0082124C"/>
    <w:pPr>
      <w:spacing w:line="240" w:lineRule="auto"/>
    </w:pPr>
    <w:rPr>
      <w:i/>
    </w:rPr>
  </w:style>
  <w:style w:type="paragraph" w:customStyle="1" w:styleId="Subitem">
    <w:name w:val="Subitem"/>
    <w:aliases w:val="iss"/>
    <w:basedOn w:val="OPCParaBase"/>
    <w:rsid w:val="0082124C"/>
    <w:pPr>
      <w:spacing w:before="180" w:line="240" w:lineRule="auto"/>
      <w:ind w:left="709" w:hanging="709"/>
    </w:pPr>
  </w:style>
  <w:style w:type="paragraph" w:customStyle="1" w:styleId="SubitemHead">
    <w:name w:val="SubitemHead"/>
    <w:aliases w:val="issh"/>
    <w:basedOn w:val="OPCParaBase"/>
    <w:rsid w:val="0082124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2124C"/>
    <w:pPr>
      <w:spacing w:before="40" w:line="240" w:lineRule="auto"/>
      <w:ind w:left="1134"/>
    </w:pPr>
  </w:style>
  <w:style w:type="paragraph" w:customStyle="1" w:styleId="SubsectionHead">
    <w:name w:val="SubsectionHead"/>
    <w:aliases w:val="ssh"/>
    <w:basedOn w:val="OPCParaBase"/>
    <w:next w:val="subsection"/>
    <w:rsid w:val="0082124C"/>
    <w:pPr>
      <w:keepNext/>
      <w:keepLines/>
      <w:spacing w:before="240" w:line="240" w:lineRule="auto"/>
      <w:ind w:left="1134"/>
    </w:pPr>
    <w:rPr>
      <w:i/>
    </w:rPr>
  </w:style>
  <w:style w:type="paragraph" w:customStyle="1" w:styleId="Tablea">
    <w:name w:val="Table(a)"/>
    <w:aliases w:val="ta"/>
    <w:basedOn w:val="OPCParaBase"/>
    <w:rsid w:val="0082124C"/>
    <w:pPr>
      <w:spacing w:before="60" w:line="240" w:lineRule="auto"/>
      <w:ind w:left="284" w:hanging="284"/>
    </w:pPr>
    <w:rPr>
      <w:sz w:val="20"/>
    </w:rPr>
  </w:style>
  <w:style w:type="paragraph" w:customStyle="1" w:styleId="TableAA">
    <w:name w:val="Table(AA)"/>
    <w:aliases w:val="taaa"/>
    <w:basedOn w:val="OPCParaBase"/>
    <w:rsid w:val="0082124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2124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2124C"/>
    <w:pPr>
      <w:spacing w:before="60" w:line="240" w:lineRule="atLeast"/>
    </w:pPr>
    <w:rPr>
      <w:sz w:val="20"/>
    </w:rPr>
  </w:style>
  <w:style w:type="paragraph" w:customStyle="1" w:styleId="TLPBoxTextnote">
    <w:name w:val="TLPBoxText(note"/>
    <w:aliases w:val="right)"/>
    <w:basedOn w:val="OPCParaBase"/>
    <w:rsid w:val="0082124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2124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2124C"/>
    <w:pPr>
      <w:spacing w:before="122" w:line="198" w:lineRule="exact"/>
      <w:ind w:left="1985" w:hanging="851"/>
      <w:jc w:val="right"/>
    </w:pPr>
    <w:rPr>
      <w:sz w:val="18"/>
    </w:rPr>
  </w:style>
  <w:style w:type="paragraph" w:customStyle="1" w:styleId="TLPTableBullet">
    <w:name w:val="TLPTableBullet"/>
    <w:aliases w:val="ttb"/>
    <w:basedOn w:val="OPCParaBase"/>
    <w:rsid w:val="0082124C"/>
    <w:pPr>
      <w:spacing w:line="240" w:lineRule="exact"/>
      <w:ind w:left="284" w:hanging="284"/>
    </w:pPr>
    <w:rPr>
      <w:sz w:val="20"/>
    </w:rPr>
  </w:style>
  <w:style w:type="paragraph" w:styleId="TOC1">
    <w:name w:val="toc 1"/>
    <w:basedOn w:val="Normal"/>
    <w:next w:val="Normal"/>
    <w:uiPriority w:val="39"/>
    <w:unhideWhenUsed/>
    <w:rsid w:val="0082124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82124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82124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82124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82124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82124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82124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82124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82124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82124C"/>
    <w:pPr>
      <w:keepLines/>
      <w:spacing w:before="240" w:after="120" w:line="240" w:lineRule="auto"/>
      <w:ind w:left="794"/>
    </w:pPr>
    <w:rPr>
      <w:b/>
      <w:kern w:val="28"/>
      <w:sz w:val="20"/>
    </w:rPr>
  </w:style>
  <w:style w:type="paragraph" w:customStyle="1" w:styleId="TofSectsHeading">
    <w:name w:val="TofSects(Heading)"/>
    <w:basedOn w:val="OPCParaBase"/>
    <w:rsid w:val="0082124C"/>
    <w:pPr>
      <w:spacing w:before="240" w:after="120" w:line="240" w:lineRule="auto"/>
    </w:pPr>
    <w:rPr>
      <w:b/>
      <w:sz w:val="24"/>
    </w:rPr>
  </w:style>
  <w:style w:type="paragraph" w:customStyle="1" w:styleId="TofSectsSection">
    <w:name w:val="TofSects(Section)"/>
    <w:basedOn w:val="OPCParaBase"/>
    <w:rsid w:val="0082124C"/>
    <w:pPr>
      <w:keepLines/>
      <w:spacing w:before="40" w:line="240" w:lineRule="auto"/>
      <w:ind w:left="1588" w:hanging="794"/>
    </w:pPr>
    <w:rPr>
      <w:kern w:val="28"/>
      <w:sz w:val="18"/>
    </w:rPr>
  </w:style>
  <w:style w:type="paragraph" w:customStyle="1" w:styleId="TofSectsSubdiv">
    <w:name w:val="TofSects(Subdiv)"/>
    <w:basedOn w:val="OPCParaBase"/>
    <w:rsid w:val="0082124C"/>
    <w:pPr>
      <w:keepLines/>
      <w:spacing w:before="80" w:line="240" w:lineRule="auto"/>
      <w:ind w:left="1588" w:hanging="794"/>
    </w:pPr>
    <w:rPr>
      <w:kern w:val="28"/>
    </w:rPr>
  </w:style>
  <w:style w:type="paragraph" w:customStyle="1" w:styleId="WRStyle">
    <w:name w:val="WR Style"/>
    <w:aliases w:val="WR"/>
    <w:basedOn w:val="OPCParaBase"/>
    <w:rsid w:val="0082124C"/>
    <w:pPr>
      <w:spacing w:before="240" w:line="240" w:lineRule="auto"/>
      <w:ind w:left="284" w:hanging="284"/>
    </w:pPr>
    <w:rPr>
      <w:b/>
      <w:i/>
      <w:kern w:val="28"/>
      <w:sz w:val="24"/>
    </w:rPr>
  </w:style>
  <w:style w:type="paragraph" w:customStyle="1" w:styleId="notepara">
    <w:name w:val="note(para)"/>
    <w:aliases w:val="na"/>
    <w:basedOn w:val="OPCParaBase"/>
    <w:rsid w:val="0082124C"/>
    <w:pPr>
      <w:spacing w:before="40" w:line="198" w:lineRule="exact"/>
      <w:ind w:left="2354" w:hanging="369"/>
    </w:pPr>
    <w:rPr>
      <w:sz w:val="18"/>
    </w:rPr>
  </w:style>
  <w:style w:type="paragraph" w:styleId="Footer">
    <w:name w:val="footer"/>
    <w:link w:val="FooterChar"/>
    <w:rsid w:val="0082124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2124C"/>
    <w:rPr>
      <w:rFonts w:eastAsia="Times New Roman" w:cs="Times New Roman"/>
      <w:sz w:val="22"/>
      <w:szCs w:val="24"/>
      <w:lang w:eastAsia="en-AU"/>
    </w:rPr>
  </w:style>
  <w:style w:type="character" w:styleId="LineNumber">
    <w:name w:val="line number"/>
    <w:basedOn w:val="OPCCharBase"/>
    <w:uiPriority w:val="99"/>
    <w:unhideWhenUsed/>
    <w:rsid w:val="0082124C"/>
    <w:rPr>
      <w:sz w:val="16"/>
    </w:rPr>
  </w:style>
  <w:style w:type="table" w:customStyle="1" w:styleId="CFlag">
    <w:name w:val="CFlag"/>
    <w:basedOn w:val="TableNormal"/>
    <w:uiPriority w:val="99"/>
    <w:rsid w:val="0082124C"/>
    <w:rPr>
      <w:rFonts w:eastAsia="Times New Roman" w:cs="Times New Roman"/>
      <w:lang w:eastAsia="en-AU"/>
    </w:rPr>
    <w:tblPr/>
  </w:style>
  <w:style w:type="paragraph" w:styleId="BalloonText">
    <w:name w:val="Balloon Text"/>
    <w:basedOn w:val="Normal"/>
    <w:link w:val="BalloonTextChar"/>
    <w:uiPriority w:val="99"/>
    <w:unhideWhenUsed/>
    <w:rsid w:val="008212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2124C"/>
    <w:rPr>
      <w:rFonts w:ascii="Tahoma" w:hAnsi="Tahoma" w:cs="Tahoma"/>
      <w:sz w:val="16"/>
      <w:szCs w:val="16"/>
    </w:rPr>
  </w:style>
  <w:style w:type="table" w:styleId="TableGrid">
    <w:name w:val="Table Grid"/>
    <w:basedOn w:val="TableNormal"/>
    <w:uiPriority w:val="59"/>
    <w:rsid w:val="0082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82124C"/>
    <w:rPr>
      <w:b/>
      <w:sz w:val="28"/>
      <w:szCs w:val="32"/>
    </w:rPr>
  </w:style>
  <w:style w:type="paragraph" w:customStyle="1" w:styleId="LegislationMadeUnder">
    <w:name w:val="LegislationMadeUnder"/>
    <w:basedOn w:val="OPCParaBase"/>
    <w:next w:val="Normal"/>
    <w:rsid w:val="0082124C"/>
    <w:rPr>
      <w:i/>
      <w:sz w:val="32"/>
      <w:szCs w:val="32"/>
    </w:rPr>
  </w:style>
  <w:style w:type="paragraph" w:customStyle="1" w:styleId="SignCoverPageEnd">
    <w:name w:val="SignCoverPageEnd"/>
    <w:basedOn w:val="OPCParaBase"/>
    <w:next w:val="Normal"/>
    <w:rsid w:val="0082124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2124C"/>
    <w:pPr>
      <w:pBdr>
        <w:top w:val="single" w:sz="4" w:space="1" w:color="auto"/>
      </w:pBdr>
      <w:spacing w:before="360"/>
      <w:ind w:right="397"/>
      <w:jc w:val="both"/>
    </w:pPr>
  </w:style>
  <w:style w:type="paragraph" w:customStyle="1" w:styleId="NotesHeading1">
    <w:name w:val="NotesHeading 1"/>
    <w:basedOn w:val="OPCParaBase"/>
    <w:next w:val="Normal"/>
    <w:rsid w:val="0082124C"/>
    <w:rPr>
      <w:b/>
      <w:sz w:val="28"/>
      <w:szCs w:val="28"/>
    </w:rPr>
  </w:style>
  <w:style w:type="paragraph" w:customStyle="1" w:styleId="NotesHeading2">
    <w:name w:val="NotesHeading 2"/>
    <w:basedOn w:val="OPCParaBase"/>
    <w:next w:val="Normal"/>
    <w:rsid w:val="0082124C"/>
    <w:rPr>
      <w:b/>
      <w:sz w:val="28"/>
      <w:szCs w:val="28"/>
    </w:rPr>
  </w:style>
  <w:style w:type="paragraph" w:customStyle="1" w:styleId="CompiledActNo">
    <w:name w:val="CompiledActNo"/>
    <w:basedOn w:val="OPCParaBase"/>
    <w:next w:val="Normal"/>
    <w:rsid w:val="0082124C"/>
    <w:rPr>
      <w:b/>
      <w:sz w:val="24"/>
      <w:szCs w:val="24"/>
    </w:rPr>
  </w:style>
  <w:style w:type="paragraph" w:customStyle="1" w:styleId="ENotesText">
    <w:name w:val="ENotesText"/>
    <w:aliases w:val="Ent"/>
    <w:basedOn w:val="OPCParaBase"/>
    <w:next w:val="Normal"/>
    <w:rsid w:val="0082124C"/>
    <w:pPr>
      <w:spacing w:before="120"/>
    </w:pPr>
  </w:style>
  <w:style w:type="paragraph" w:customStyle="1" w:styleId="CompiledMadeUnder">
    <w:name w:val="CompiledMadeUnder"/>
    <w:basedOn w:val="OPCParaBase"/>
    <w:next w:val="Normal"/>
    <w:rsid w:val="0082124C"/>
    <w:rPr>
      <w:i/>
      <w:sz w:val="24"/>
      <w:szCs w:val="24"/>
    </w:rPr>
  </w:style>
  <w:style w:type="paragraph" w:customStyle="1" w:styleId="Paragraphsub-sub-sub">
    <w:name w:val="Paragraph(sub-sub-sub)"/>
    <w:aliases w:val="aaaa"/>
    <w:basedOn w:val="OPCParaBase"/>
    <w:rsid w:val="0082124C"/>
    <w:pPr>
      <w:tabs>
        <w:tab w:val="right" w:pos="3402"/>
      </w:tabs>
      <w:spacing w:before="40" w:line="240" w:lineRule="auto"/>
      <w:ind w:left="3402" w:hanging="3402"/>
    </w:pPr>
  </w:style>
  <w:style w:type="paragraph" w:customStyle="1" w:styleId="TableTextEndNotes">
    <w:name w:val="TableTextEndNotes"/>
    <w:aliases w:val="Tten"/>
    <w:basedOn w:val="Normal"/>
    <w:rsid w:val="0082124C"/>
    <w:pPr>
      <w:spacing w:before="60" w:line="240" w:lineRule="auto"/>
    </w:pPr>
    <w:rPr>
      <w:rFonts w:cs="Arial"/>
      <w:sz w:val="20"/>
      <w:szCs w:val="22"/>
    </w:rPr>
  </w:style>
  <w:style w:type="paragraph" w:customStyle="1" w:styleId="NoteToSubpara">
    <w:name w:val="NoteToSubpara"/>
    <w:aliases w:val="nts"/>
    <w:basedOn w:val="OPCParaBase"/>
    <w:rsid w:val="0082124C"/>
    <w:pPr>
      <w:spacing w:before="40" w:line="198" w:lineRule="exact"/>
      <w:ind w:left="2835" w:hanging="709"/>
    </w:pPr>
    <w:rPr>
      <w:sz w:val="18"/>
    </w:rPr>
  </w:style>
  <w:style w:type="paragraph" w:customStyle="1" w:styleId="ENoteTableHeading">
    <w:name w:val="ENoteTableHeading"/>
    <w:aliases w:val="enth"/>
    <w:basedOn w:val="OPCParaBase"/>
    <w:rsid w:val="0082124C"/>
    <w:pPr>
      <w:keepNext/>
      <w:spacing w:before="60" w:line="240" w:lineRule="atLeast"/>
    </w:pPr>
    <w:rPr>
      <w:rFonts w:ascii="Arial" w:hAnsi="Arial"/>
      <w:b/>
      <w:sz w:val="16"/>
    </w:rPr>
  </w:style>
  <w:style w:type="paragraph" w:customStyle="1" w:styleId="ENoteTTi">
    <w:name w:val="ENoteTTi"/>
    <w:aliases w:val="entti"/>
    <w:basedOn w:val="OPCParaBase"/>
    <w:rsid w:val="0082124C"/>
    <w:pPr>
      <w:keepNext/>
      <w:spacing w:before="60" w:line="240" w:lineRule="atLeast"/>
      <w:ind w:left="170"/>
    </w:pPr>
    <w:rPr>
      <w:sz w:val="16"/>
    </w:rPr>
  </w:style>
  <w:style w:type="paragraph" w:customStyle="1" w:styleId="ENotesHeading1">
    <w:name w:val="ENotesHeading 1"/>
    <w:aliases w:val="Enh1"/>
    <w:basedOn w:val="OPCParaBase"/>
    <w:next w:val="Normal"/>
    <w:rsid w:val="0082124C"/>
    <w:pPr>
      <w:spacing w:before="120"/>
      <w:outlineLvl w:val="1"/>
    </w:pPr>
    <w:rPr>
      <w:b/>
      <w:sz w:val="28"/>
      <w:szCs w:val="28"/>
    </w:rPr>
  </w:style>
  <w:style w:type="paragraph" w:customStyle="1" w:styleId="ENotesHeading2">
    <w:name w:val="ENotesHeading 2"/>
    <w:aliases w:val="Enh2"/>
    <w:basedOn w:val="OPCParaBase"/>
    <w:next w:val="Normal"/>
    <w:rsid w:val="0082124C"/>
    <w:pPr>
      <w:spacing w:before="120" w:after="120"/>
      <w:outlineLvl w:val="2"/>
    </w:pPr>
    <w:rPr>
      <w:b/>
      <w:sz w:val="24"/>
      <w:szCs w:val="28"/>
    </w:rPr>
  </w:style>
  <w:style w:type="paragraph" w:customStyle="1" w:styleId="ENoteTTIndentHeading">
    <w:name w:val="ENoteTTIndentHeading"/>
    <w:aliases w:val="enTTHi"/>
    <w:basedOn w:val="OPCParaBase"/>
    <w:rsid w:val="0082124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2124C"/>
    <w:pPr>
      <w:spacing w:before="60" w:line="240" w:lineRule="atLeast"/>
    </w:pPr>
    <w:rPr>
      <w:sz w:val="16"/>
    </w:rPr>
  </w:style>
  <w:style w:type="paragraph" w:customStyle="1" w:styleId="MadeunderText">
    <w:name w:val="MadeunderText"/>
    <w:basedOn w:val="OPCParaBase"/>
    <w:next w:val="Normal"/>
    <w:rsid w:val="0082124C"/>
    <w:pPr>
      <w:spacing w:before="240"/>
    </w:pPr>
    <w:rPr>
      <w:sz w:val="24"/>
      <w:szCs w:val="24"/>
    </w:rPr>
  </w:style>
  <w:style w:type="paragraph" w:customStyle="1" w:styleId="ENotesHeading3">
    <w:name w:val="ENotesHeading 3"/>
    <w:aliases w:val="Enh3"/>
    <w:basedOn w:val="OPCParaBase"/>
    <w:next w:val="Normal"/>
    <w:rsid w:val="0082124C"/>
    <w:pPr>
      <w:keepNext/>
      <w:spacing w:before="120" w:line="240" w:lineRule="auto"/>
      <w:outlineLvl w:val="4"/>
    </w:pPr>
    <w:rPr>
      <w:b/>
      <w:szCs w:val="24"/>
    </w:rPr>
  </w:style>
  <w:style w:type="character" w:customStyle="1" w:styleId="CharSubPartTextCASA">
    <w:name w:val="CharSubPartText(CASA)"/>
    <w:basedOn w:val="OPCCharBase"/>
    <w:uiPriority w:val="1"/>
    <w:rsid w:val="0082124C"/>
  </w:style>
  <w:style w:type="character" w:customStyle="1" w:styleId="CharSubPartNoCASA">
    <w:name w:val="CharSubPartNo(CASA)"/>
    <w:basedOn w:val="OPCCharBase"/>
    <w:uiPriority w:val="1"/>
    <w:rsid w:val="0082124C"/>
  </w:style>
  <w:style w:type="paragraph" w:customStyle="1" w:styleId="ENoteTTIndentHeadingSub">
    <w:name w:val="ENoteTTIndentHeadingSub"/>
    <w:aliases w:val="enTTHis"/>
    <w:basedOn w:val="OPCParaBase"/>
    <w:rsid w:val="0082124C"/>
    <w:pPr>
      <w:keepNext/>
      <w:spacing w:before="60" w:line="240" w:lineRule="atLeast"/>
      <w:ind w:left="340"/>
    </w:pPr>
    <w:rPr>
      <w:b/>
      <w:sz w:val="16"/>
    </w:rPr>
  </w:style>
  <w:style w:type="paragraph" w:customStyle="1" w:styleId="ENoteTTiSub">
    <w:name w:val="ENoteTTiSub"/>
    <w:aliases w:val="enttis"/>
    <w:basedOn w:val="OPCParaBase"/>
    <w:rsid w:val="0082124C"/>
    <w:pPr>
      <w:keepNext/>
      <w:spacing w:before="60" w:line="240" w:lineRule="atLeast"/>
      <w:ind w:left="340"/>
    </w:pPr>
    <w:rPr>
      <w:sz w:val="16"/>
    </w:rPr>
  </w:style>
  <w:style w:type="paragraph" w:customStyle="1" w:styleId="SubDivisionMigration">
    <w:name w:val="SubDivisionMigration"/>
    <w:aliases w:val="sdm"/>
    <w:basedOn w:val="OPCParaBase"/>
    <w:rsid w:val="0082124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2124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2124C"/>
    <w:pPr>
      <w:spacing w:before="122" w:line="240" w:lineRule="auto"/>
      <w:ind w:left="1985" w:hanging="851"/>
    </w:pPr>
    <w:rPr>
      <w:sz w:val="18"/>
    </w:rPr>
  </w:style>
  <w:style w:type="paragraph" w:customStyle="1" w:styleId="FreeForm">
    <w:name w:val="FreeForm"/>
    <w:rsid w:val="0082124C"/>
    <w:rPr>
      <w:rFonts w:ascii="Arial" w:hAnsi="Arial"/>
      <w:sz w:val="22"/>
    </w:rPr>
  </w:style>
  <w:style w:type="paragraph" w:customStyle="1" w:styleId="SOText">
    <w:name w:val="SO Text"/>
    <w:aliases w:val="sot"/>
    <w:link w:val="SOTextChar"/>
    <w:rsid w:val="0082124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2124C"/>
    <w:rPr>
      <w:sz w:val="22"/>
    </w:rPr>
  </w:style>
  <w:style w:type="paragraph" w:customStyle="1" w:styleId="SOTextNote">
    <w:name w:val="SO TextNote"/>
    <w:aliases w:val="sont"/>
    <w:basedOn w:val="SOText"/>
    <w:qFormat/>
    <w:rsid w:val="0082124C"/>
    <w:pPr>
      <w:spacing w:before="122" w:line="198" w:lineRule="exact"/>
      <w:ind w:left="1843" w:hanging="709"/>
    </w:pPr>
    <w:rPr>
      <w:sz w:val="18"/>
    </w:rPr>
  </w:style>
  <w:style w:type="paragraph" w:customStyle="1" w:styleId="SOPara">
    <w:name w:val="SO Para"/>
    <w:aliases w:val="soa"/>
    <w:basedOn w:val="SOText"/>
    <w:link w:val="SOParaChar"/>
    <w:qFormat/>
    <w:rsid w:val="0082124C"/>
    <w:pPr>
      <w:tabs>
        <w:tab w:val="right" w:pos="1786"/>
      </w:tabs>
      <w:spacing w:before="40"/>
      <w:ind w:left="2070" w:hanging="936"/>
    </w:pPr>
  </w:style>
  <w:style w:type="character" w:customStyle="1" w:styleId="SOParaChar">
    <w:name w:val="SO Para Char"/>
    <w:aliases w:val="soa Char"/>
    <w:basedOn w:val="DefaultParagraphFont"/>
    <w:link w:val="SOPara"/>
    <w:rsid w:val="0082124C"/>
    <w:rPr>
      <w:sz w:val="22"/>
    </w:rPr>
  </w:style>
  <w:style w:type="paragraph" w:customStyle="1" w:styleId="FileName">
    <w:name w:val="FileName"/>
    <w:basedOn w:val="Normal"/>
    <w:rsid w:val="0082124C"/>
  </w:style>
  <w:style w:type="paragraph" w:customStyle="1" w:styleId="TableHeading">
    <w:name w:val="TableHeading"/>
    <w:aliases w:val="th"/>
    <w:basedOn w:val="OPCParaBase"/>
    <w:next w:val="Tabletext"/>
    <w:rsid w:val="0082124C"/>
    <w:pPr>
      <w:keepNext/>
      <w:spacing w:before="60" w:line="240" w:lineRule="atLeast"/>
    </w:pPr>
    <w:rPr>
      <w:b/>
      <w:sz w:val="20"/>
    </w:rPr>
  </w:style>
  <w:style w:type="paragraph" w:customStyle="1" w:styleId="SOHeadBold">
    <w:name w:val="SO HeadBold"/>
    <w:aliases w:val="sohb"/>
    <w:basedOn w:val="SOText"/>
    <w:next w:val="SOText"/>
    <w:link w:val="SOHeadBoldChar"/>
    <w:qFormat/>
    <w:rsid w:val="0082124C"/>
    <w:rPr>
      <w:b/>
    </w:rPr>
  </w:style>
  <w:style w:type="character" w:customStyle="1" w:styleId="SOHeadBoldChar">
    <w:name w:val="SO HeadBold Char"/>
    <w:aliases w:val="sohb Char"/>
    <w:basedOn w:val="DefaultParagraphFont"/>
    <w:link w:val="SOHeadBold"/>
    <w:rsid w:val="0082124C"/>
    <w:rPr>
      <w:b/>
      <w:sz w:val="22"/>
    </w:rPr>
  </w:style>
  <w:style w:type="paragraph" w:customStyle="1" w:styleId="SOHeadItalic">
    <w:name w:val="SO HeadItalic"/>
    <w:aliases w:val="sohi"/>
    <w:basedOn w:val="SOText"/>
    <w:next w:val="SOText"/>
    <w:link w:val="SOHeadItalicChar"/>
    <w:qFormat/>
    <w:rsid w:val="0082124C"/>
    <w:rPr>
      <w:i/>
    </w:rPr>
  </w:style>
  <w:style w:type="character" w:customStyle="1" w:styleId="SOHeadItalicChar">
    <w:name w:val="SO HeadItalic Char"/>
    <w:aliases w:val="sohi Char"/>
    <w:basedOn w:val="DefaultParagraphFont"/>
    <w:link w:val="SOHeadItalic"/>
    <w:rsid w:val="0082124C"/>
    <w:rPr>
      <w:i/>
      <w:sz w:val="22"/>
    </w:rPr>
  </w:style>
  <w:style w:type="paragraph" w:customStyle="1" w:styleId="SOBullet">
    <w:name w:val="SO Bullet"/>
    <w:aliases w:val="sotb"/>
    <w:basedOn w:val="SOText"/>
    <w:link w:val="SOBulletChar"/>
    <w:qFormat/>
    <w:rsid w:val="0082124C"/>
    <w:pPr>
      <w:ind w:left="1559" w:hanging="425"/>
    </w:pPr>
  </w:style>
  <w:style w:type="character" w:customStyle="1" w:styleId="SOBulletChar">
    <w:name w:val="SO Bullet Char"/>
    <w:aliases w:val="sotb Char"/>
    <w:basedOn w:val="DefaultParagraphFont"/>
    <w:link w:val="SOBullet"/>
    <w:rsid w:val="0082124C"/>
    <w:rPr>
      <w:sz w:val="22"/>
    </w:rPr>
  </w:style>
  <w:style w:type="paragraph" w:customStyle="1" w:styleId="SOBulletNote">
    <w:name w:val="SO BulletNote"/>
    <w:aliases w:val="sonb"/>
    <w:basedOn w:val="SOTextNote"/>
    <w:link w:val="SOBulletNoteChar"/>
    <w:qFormat/>
    <w:rsid w:val="0082124C"/>
    <w:pPr>
      <w:tabs>
        <w:tab w:val="left" w:pos="1560"/>
      </w:tabs>
      <w:ind w:left="2268" w:hanging="1134"/>
    </w:pPr>
  </w:style>
  <w:style w:type="character" w:customStyle="1" w:styleId="SOBulletNoteChar">
    <w:name w:val="SO BulletNote Char"/>
    <w:aliases w:val="sonb Char"/>
    <w:basedOn w:val="DefaultParagraphFont"/>
    <w:link w:val="SOBulletNote"/>
    <w:rsid w:val="0082124C"/>
    <w:rPr>
      <w:sz w:val="18"/>
    </w:rPr>
  </w:style>
  <w:style w:type="paragraph" w:customStyle="1" w:styleId="SOText2">
    <w:name w:val="SO Text2"/>
    <w:aliases w:val="sot2"/>
    <w:basedOn w:val="Normal"/>
    <w:next w:val="SOText"/>
    <w:link w:val="SOText2Char"/>
    <w:rsid w:val="0082124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2124C"/>
    <w:rPr>
      <w:sz w:val="22"/>
    </w:rPr>
  </w:style>
  <w:style w:type="paragraph" w:customStyle="1" w:styleId="SubPartCASA">
    <w:name w:val="SubPart(CASA)"/>
    <w:aliases w:val="csp"/>
    <w:basedOn w:val="OPCParaBase"/>
    <w:next w:val="ActHead3"/>
    <w:rsid w:val="0082124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82124C"/>
    <w:rPr>
      <w:rFonts w:eastAsia="Times New Roman" w:cs="Times New Roman"/>
      <w:sz w:val="22"/>
      <w:lang w:eastAsia="en-AU"/>
    </w:rPr>
  </w:style>
  <w:style w:type="character" w:customStyle="1" w:styleId="notetextChar">
    <w:name w:val="note(text) Char"/>
    <w:aliases w:val="n Char"/>
    <w:basedOn w:val="DefaultParagraphFont"/>
    <w:link w:val="notetext"/>
    <w:rsid w:val="0082124C"/>
    <w:rPr>
      <w:rFonts w:eastAsia="Times New Roman" w:cs="Times New Roman"/>
      <w:sz w:val="18"/>
      <w:lang w:eastAsia="en-AU"/>
    </w:rPr>
  </w:style>
  <w:style w:type="character" w:customStyle="1" w:styleId="Heading1Char">
    <w:name w:val="Heading 1 Char"/>
    <w:basedOn w:val="DefaultParagraphFont"/>
    <w:link w:val="Heading1"/>
    <w:uiPriority w:val="9"/>
    <w:rsid w:val="008212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12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124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82124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2124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82124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82124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82124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82124C"/>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82124C"/>
    <w:rPr>
      <w:rFonts w:ascii="Arial" w:hAnsi="Arial" w:cs="Arial" w:hint="default"/>
      <w:b/>
      <w:bCs/>
      <w:sz w:val="28"/>
      <w:szCs w:val="28"/>
    </w:rPr>
  </w:style>
  <w:style w:type="paragraph" w:styleId="Index1">
    <w:name w:val="index 1"/>
    <w:basedOn w:val="Normal"/>
    <w:next w:val="Normal"/>
    <w:autoRedefine/>
    <w:rsid w:val="0082124C"/>
    <w:pPr>
      <w:ind w:left="240" w:hanging="240"/>
    </w:pPr>
  </w:style>
  <w:style w:type="paragraph" w:styleId="Index2">
    <w:name w:val="index 2"/>
    <w:basedOn w:val="Normal"/>
    <w:next w:val="Normal"/>
    <w:autoRedefine/>
    <w:rsid w:val="0082124C"/>
    <w:pPr>
      <w:ind w:left="480" w:hanging="240"/>
    </w:pPr>
  </w:style>
  <w:style w:type="paragraph" w:styleId="Index3">
    <w:name w:val="index 3"/>
    <w:basedOn w:val="Normal"/>
    <w:next w:val="Normal"/>
    <w:autoRedefine/>
    <w:rsid w:val="0082124C"/>
    <w:pPr>
      <w:ind w:left="720" w:hanging="240"/>
    </w:pPr>
  </w:style>
  <w:style w:type="paragraph" w:styleId="Index4">
    <w:name w:val="index 4"/>
    <w:basedOn w:val="Normal"/>
    <w:next w:val="Normal"/>
    <w:autoRedefine/>
    <w:rsid w:val="0082124C"/>
    <w:pPr>
      <w:ind w:left="960" w:hanging="240"/>
    </w:pPr>
  </w:style>
  <w:style w:type="paragraph" w:styleId="Index5">
    <w:name w:val="index 5"/>
    <w:basedOn w:val="Normal"/>
    <w:next w:val="Normal"/>
    <w:autoRedefine/>
    <w:rsid w:val="0082124C"/>
    <w:pPr>
      <w:ind w:left="1200" w:hanging="240"/>
    </w:pPr>
  </w:style>
  <w:style w:type="paragraph" w:styleId="Index6">
    <w:name w:val="index 6"/>
    <w:basedOn w:val="Normal"/>
    <w:next w:val="Normal"/>
    <w:autoRedefine/>
    <w:rsid w:val="0082124C"/>
    <w:pPr>
      <w:ind w:left="1440" w:hanging="240"/>
    </w:pPr>
  </w:style>
  <w:style w:type="paragraph" w:styleId="Index7">
    <w:name w:val="index 7"/>
    <w:basedOn w:val="Normal"/>
    <w:next w:val="Normal"/>
    <w:autoRedefine/>
    <w:rsid w:val="0082124C"/>
    <w:pPr>
      <w:ind w:left="1680" w:hanging="240"/>
    </w:pPr>
  </w:style>
  <w:style w:type="paragraph" w:styleId="Index8">
    <w:name w:val="index 8"/>
    <w:basedOn w:val="Normal"/>
    <w:next w:val="Normal"/>
    <w:autoRedefine/>
    <w:rsid w:val="0082124C"/>
    <w:pPr>
      <w:ind w:left="1920" w:hanging="240"/>
    </w:pPr>
  </w:style>
  <w:style w:type="paragraph" w:styleId="Index9">
    <w:name w:val="index 9"/>
    <w:basedOn w:val="Normal"/>
    <w:next w:val="Normal"/>
    <w:autoRedefine/>
    <w:rsid w:val="0082124C"/>
    <w:pPr>
      <w:ind w:left="2160" w:hanging="240"/>
    </w:pPr>
  </w:style>
  <w:style w:type="paragraph" w:styleId="NormalIndent">
    <w:name w:val="Normal Indent"/>
    <w:basedOn w:val="Normal"/>
    <w:rsid w:val="0082124C"/>
    <w:pPr>
      <w:ind w:left="720"/>
    </w:pPr>
  </w:style>
  <w:style w:type="paragraph" w:styleId="FootnoteText">
    <w:name w:val="footnote text"/>
    <w:basedOn w:val="Normal"/>
    <w:link w:val="FootnoteTextChar"/>
    <w:rsid w:val="0082124C"/>
    <w:rPr>
      <w:sz w:val="20"/>
    </w:rPr>
  </w:style>
  <w:style w:type="character" w:customStyle="1" w:styleId="FootnoteTextChar">
    <w:name w:val="Footnote Text Char"/>
    <w:basedOn w:val="DefaultParagraphFont"/>
    <w:link w:val="FootnoteText"/>
    <w:rsid w:val="0082124C"/>
  </w:style>
  <w:style w:type="paragraph" w:styleId="CommentText">
    <w:name w:val="annotation text"/>
    <w:basedOn w:val="Normal"/>
    <w:link w:val="CommentTextChar"/>
    <w:rsid w:val="0082124C"/>
    <w:rPr>
      <w:sz w:val="20"/>
    </w:rPr>
  </w:style>
  <w:style w:type="character" w:customStyle="1" w:styleId="CommentTextChar">
    <w:name w:val="Comment Text Char"/>
    <w:basedOn w:val="DefaultParagraphFont"/>
    <w:link w:val="CommentText"/>
    <w:rsid w:val="0082124C"/>
  </w:style>
  <w:style w:type="paragraph" w:styleId="IndexHeading">
    <w:name w:val="index heading"/>
    <w:basedOn w:val="Normal"/>
    <w:next w:val="Index1"/>
    <w:rsid w:val="0082124C"/>
    <w:rPr>
      <w:rFonts w:ascii="Arial" w:hAnsi="Arial" w:cs="Arial"/>
      <w:b/>
      <w:bCs/>
    </w:rPr>
  </w:style>
  <w:style w:type="paragraph" w:styleId="Caption">
    <w:name w:val="caption"/>
    <w:basedOn w:val="Normal"/>
    <w:next w:val="Normal"/>
    <w:qFormat/>
    <w:rsid w:val="0082124C"/>
    <w:pPr>
      <w:spacing w:before="120" w:after="120"/>
    </w:pPr>
    <w:rPr>
      <w:b/>
      <w:bCs/>
      <w:sz w:val="20"/>
    </w:rPr>
  </w:style>
  <w:style w:type="paragraph" w:styleId="TableofFigures">
    <w:name w:val="table of figures"/>
    <w:basedOn w:val="Normal"/>
    <w:next w:val="Normal"/>
    <w:rsid w:val="0082124C"/>
    <w:pPr>
      <w:ind w:left="480" w:hanging="480"/>
    </w:pPr>
  </w:style>
  <w:style w:type="paragraph" w:styleId="EnvelopeAddress">
    <w:name w:val="envelope address"/>
    <w:basedOn w:val="Normal"/>
    <w:rsid w:val="0082124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2124C"/>
    <w:rPr>
      <w:rFonts w:ascii="Arial" w:hAnsi="Arial" w:cs="Arial"/>
      <w:sz w:val="20"/>
    </w:rPr>
  </w:style>
  <w:style w:type="character" w:styleId="FootnoteReference">
    <w:name w:val="footnote reference"/>
    <w:basedOn w:val="DefaultParagraphFont"/>
    <w:rsid w:val="0082124C"/>
    <w:rPr>
      <w:rFonts w:ascii="Times New Roman" w:hAnsi="Times New Roman"/>
      <w:sz w:val="20"/>
      <w:vertAlign w:val="superscript"/>
    </w:rPr>
  </w:style>
  <w:style w:type="character" w:styleId="CommentReference">
    <w:name w:val="annotation reference"/>
    <w:basedOn w:val="DefaultParagraphFont"/>
    <w:rsid w:val="0082124C"/>
    <w:rPr>
      <w:sz w:val="16"/>
      <w:szCs w:val="16"/>
    </w:rPr>
  </w:style>
  <w:style w:type="character" w:styleId="PageNumber">
    <w:name w:val="page number"/>
    <w:basedOn w:val="DefaultParagraphFont"/>
    <w:rsid w:val="0082124C"/>
  </w:style>
  <w:style w:type="character" w:styleId="EndnoteReference">
    <w:name w:val="endnote reference"/>
    <w:basedOn w:val="DefaultParagraphFont"/>
    <w:rsid w:val="0082124C"/>
    <w:rPr>
      <w:vertAlign w:val="superscript"/>
    </w:rPr>
  </w:style>
  <w:style w:type="paragraph" w:styleId="EndnoteText">
    <w:name w:val="endnote text"/>
    <w:basedOn w:val="Normal"/>
    <w:link w:val="EndnoteTextChar"/>
    <w:rsid w:val="0082124C"/>
    <w:rPr>
      <w:sz w:val="20"/>
    </w:rPr>
  </w:style>
  <w:style w:type="character" w:customStyle="1" w:styleId="EndnoteTextChar">
    <w:name w:val="Endnote Text Char"/>
    <w:basedOn w:val="DefaultParagraphFont"/>
    <w:link w:val="EndnoteText"/>
    <w:rsid w:val="0082124C"/>
  </w:style>
  <w:style w:type="paragraph" w:styleId="TableofAuthorities">
    <w:name w:val="table of authorities"/>
    <w:basedOn w:val="Normal"/>
    <w:next w:val="Normal"/>
    <w:rsid w:val="0082124C"/>
    <w:pPr>
      <w:ind w:left="240" w:hanging="240"/>
    </w:pPr>
  </w:style>
  <w:style w:type="paragraph" w:styleId="MacroText">
    <w:name w:val="macro"/>
    <w:link w:val="MacroTextChar"/>
    <w:rsid w:val="008212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82124C"/>
    <w:rPr>
      <w:rFonts w:ascii="Courier New" w:eastAsia="Times New Roman" w:hAnsi="Courier New" w:cs="Courier New"/>
      <w:lang w:eastAsia="en-AU"/>
    </w:rPr>
  </w:style>
  <w:style w:type="paragraph" w:styleId="TOAHeading">
    <w:name w:val="toa heading"/>
    <w:basedOn w:val="Normal"/>
    <w:next w:val="Normal"/>
    <w:rsid w:val="0082124C"/>
    <w:pPr>
      <w:spacing w:before="120"/>
    </w:pPr>
    <w:rPr>
      <w:rFonts w:ascii="Arial" w:hAnsi="Arial" w:cs="Arial"/>
      <w:b/>
      <w:bCs/>
    </w:rPr>
  </w:style>
  <w:style w:type="paragraph" w:styleId="List">
    <w:name w:val="List"/>
    <w:basedOn w:val="Normal"/>
    <w:rsid w:val="0082124C"/>
    <w:pPr>
      <w:ind w:left="283" w:hanging="283"/>
    </w:pPr>
  </w:style>
  <w:style w:type="paragraph" w:styleId="ListBullet">
    <w:name w:val="List Bullet"/>
    <w:basedOn w:val="Normal"/>
    <w:autoRedefine/>
    <w:rsid w:val="0082124C"/>
    <w:pPr>
      <w:tabs>
        <w:tab w:val="num" w:pos="360"/>
      </w:tabs>
      <w:ind w:left="360" w:hanging="360"/>
    </w:pPr>
  </w:style>
  <w:style w:type="paragraph" w:styleId="ListNumber">
    <w:name w:val="List Number"/>
    <w:basedOn w:val="Normal"/>
    <w:rsid w:val="0082124C"/>
    <w:pPr>
      <w:tabs>
        <w:tab w:val="num" w:pos="360"/>
      </w:tabs>
      <w:ind w:left="360" w:hanging="360"/>
    </w:pPr>
  </w:style>
  <w:style w:type="paragraph" w:styleId="List2">
    <w:name w:val="List 2"/>
    <w:basedOn w:val="Normal"/>
    <w:rsid w:val="0082124C"/>
    <w:pPr>
      <w:ind w:left="566" w:hanging="283"/>
    </w:pPr>
  </w:style>
  <w:style w:type="paragraph" w:styleId="List3">
    <w:name w:val="List 3"/>
    <w:basedOn w:val="Normal"/>
    <w:rsid w:val="0082124C"/>
    <w:pPr>
      <w:ind w:left="849" w:hanging="283"/>
    </w:pPr>
  </w:style>
  <w:style w:type="paragraph" w:styleId="List4">
    <w:name w:val="List 4"/>
    <w:basedOn w:val="Normal"/>
    <w:rsid w:val="0082124C"/>
    <w:pPr>
      <w:ind w:left="1132" w:hanging="283"/>
    </w:pPr>
  </w:style>
  <w:style w:type="paragraph" w:styleId="List5">
    <w:name w:val="List 5"/>
    <w:basedOn w:val="Normal"/>
    <w:rsid w:val="0082124C"/>
    <w:pPr>
      <w:ind w:left="1415" w:hanging="283"/>
    </w:pPr>
  </w:style>
  <w:style w:type="paragraph" w:styleId="ListBullet2">
    <w:name w:val="List Bullet 2"/>
    <w:basedOn w:val="Normal"/>
    <w:autoRedefine/>
    <w:rsid w:val="0082124C"/>
    <w:pPr>
      <w:tabs>
        <w:tab w:val="num" w:pos="360"/>
      </w:tabs>
    </w:pPr>
  </w:style>
  <w:style w:type="paragraph" w:styleId="ListBullet3">
    <w:name w:val="List Bullet 3"/>
    <w:basedOn w:val="Normal"/>
    <w:autoRedefine/>
    <w:rsid w:val="0082124C"/>
    <w:pPr>
      <w:tabs>
        <w:tab w:val="num" w:pos="926"/>
      </w:tabs>
      <w:ind w:left="926" w:hanging="360"/>
    </w:pPr>
  </w:style>
  <w:style w:type="paragraph" w:styleId="ListBullet4">
    <w:name w:val="List Bullet 4"/>
    <w:basedOn w:val="Normal"/>
    <w:autoRedefine/>
    <w:rsid w:val="0082124C"/>
    <w:pPr>
      <w:tabs>
        <w:tab w:val="num" w:pos="1209"/>
      </w:tabs>
      <w:ind w:left="1209" w:hanging="360"/>
    </w:pPr>
  </w:style>
  <w:style w:type="paragraph" w:styleId="ListBullet5">
    <w:name w:val="List Bullet 5"/>
    <w:basedOn w:val="Normal"/>
    <w:autoRedefine/>
    <w:rsid w:val="0082124C"/>
    <w:pPr>
      <w:tabs>
        <w:tab w:val="num" w:pos="1492"/>
      </w:tabs>
      <w:ind w:left="1492" w:hanging="360"/>
    </w:pPr>
  </w:style>
  <w:style w:type="paragraph" w:styleId="ListNumber2">
    <w:name w:val="List Number 2"/>
    <w:basedOn w:val="Normal"/>
    <w:rsid w:val="0082124C"/>
    <w:pPr>
      <w:tabs>
        <w:tab w:val="num" w:pos="643"/>
      </w:tabs>
      <w:ind w:left="643" w:hanging="360"/>
    </w:pPr>
  </w:style>
  <w:style w:type="paragraph" w:styleId="ListNumber3">
    <w:name w:val="List Number 3"/>
    <w:basedOn w:val="Normal"/>
    <w:rsid w:val="0082124C"/>
    <w:pPr>
      <w:tabs>
        <w:tab w:val="num" w:pos="926"/>
      </w:tabs>
      <w:ind w:left="926" w:hanging="360"/>
    </w:pPr>
  </w:style>
  <w:style w:type="paragraph" w:styleId="ListNumber4">
    <w:name w:val="List Number 4"/>
    <w:basedOn w:val="Normal"/>
    <w:rsid w:val="0082124C"/>
    <w:pPr>
      <w:tabs>
        <w:tab w:val="num" w:pos="1209"/>
      </w:tabs>
      <w:ind w:left="1209" w:hanging="360"/>
    </w:pPr>
  </w:style>
  <w:style w:type="paragraph" w:styleId="ListNumber5">
    <w:name w:val="List Number 5"/>
    <w:basedOn w:val="Normal"/>
    <w:rsid w:val="0082124C"/>
    <w:pPr>
      <w:tabs>
        <w:tab w:val="num" w:pos="1492"/>
      </w:tabs>
      <w:ind w:left="1492" w:hanging="360"/>
    </w:pPr>
  </w:style>
  <w:style w:type="paragraph" w:styleId="Title">
    <w:name w:val="Title"/>
    <w:basedOn w:val="Normal"/>
    <w:link w:val="TitleChar"/>
    <w:qFormat/>
    <w:rsid w:val="0082124C"/>
    <w:pPr>
      <w:spacing w:before="240" w:after="60"/>
    </w:pPr>
    <w:rPr>
      <w:rFonts w:ascii="Arial" w:hAnsi="Arial" w:cs="Arial"/>
      <w:b/>
      <w:bCs/>
      <w:sz w:val="40"/>
      <w:szCs w:val="40"/>
    </w:rPr>
  </w:style>
  <w:style w:type="character" w:customStyle="1" w:styleId="TitleChar">
    <w:name w:val="Title Char"/>
    <w:basedOn w:val="DefaultParagraphFont"/>
    <w:link w:val="Title"/>
    <w:rsid w:val="0082124C"/>
    <w:rPr>
      <w:rFonts w:ascii="Arial" w:hAnsi="Arial" w:cs="Arial"/>
      <w:b/>
      <w:bCs/>
      <w:sz w:val="40"/>
      <w:szCs w:val="40"/>
    </w:rPr>
  </w:style>
  <w:style w:type="paragraph" w:styleId="Closing">
    <w:name w:val="Closing"/>
    <w:basedOn w:val="Normal"/>
    <w:link w:val="ClosingChar"/>
    <w:rsid w:val="0082124C"/>
    <w:pPr>
      <w:ind w:left="4252"/>
    </w:pPr>
  </w:style>
  <w:style w:type="character" w:customStyle="1" w:styleId="ClosingChar">
    <w:name w:val="Closing Char"/>
    <w:basedOn w:val="DefaultParagraphFont"/>
    <w:link w:val="Closing"/>
    <w:rsid w:val="0082124C"/>
    <w:rPr>
      <w:sz w:val="22"/>
    </w:rPr>
  </w:style>
  <w:style w:type="paragraph" w:styleId="Signature">
    <w:name w:val="Signature"/>
    <w:basedOn w:val="Normal"/>
    <w:link w:val="SignatureChar"/>
    <w:rsid w:val="0082124C"/>
    <w:pPr>
      <w:ind w:left="4252"/>
    </w:pPr>
  </w:style>
  <w:style w:type="character" w:customStyle="1" w:styleId="SignatureChar">
    <w:name w:val="Signature Char"/>
    <w:basedOn w:val="DefaultParagraphFont"/>
    <w:link w:val="Signature"/>
    <w:rsid w:val="0082124C"/>
    <w:rPr>
      <w:sz w:val="22"/>
    </w:rPr>
  </w:style>
  <w:style w:type="paragraph" w:styleId="BodyText">
    <w:name w:val="Body Text"/>
    <w:basedOn w:val="Normal"/>
    <w:link w:val="BodyTextChar"/>
    <w:rsid w:val="0082124C"/>
    <w:pPr>
      <w:spacing w:after="120"/>
    </w:pPr>
  </w:style>
  <w:style w:type="character" w:customStyle="1" w:styleId="BodyTextChar">
    <w:name w:val="Body Text Char"/>
    <w:basedOn w:val="DefaultParagraphFont"/>
    <w:link w:val="BodyText"/>
    <w:rsid w:val="0082124C"/>
    <w:rPr>
      <w:sz w:val="22"/>
    </w:rPr>
  </w:style>
  <w:style w:type="paragraph" w:styleId="BodyTextIndent">
    <w:name w:val="Body Text Indent"/>
    <w:basedOn w:val="Normal"/>
    <w:link w:val="BodyTextIndentChar"/>
    <w:rsid w:val="0082124C"/>
    <w:pPr>
      <w:spacing w:after="120"/>
      <w:ind w:left="283"/>
    </w:pPr>
  </w:style>
  <w:style w:type="character" w:customStyle="1" w:styleId="BodyTextIndentChar">
    <w:name w:val="Body Text Indent Char"/>
    <w:basedOn w:val="DefaultParagraphFont"/>
    <w:link w:val="BodyTextIndent"/>
    <w:rsid w:val="0082124C"/>
    <w:rPr>
      <w:sz w:val="22"/>
    </w:rPr>
  </w:style>
  <w:style w:type="paragraph" w:styleId="ListContinue">
    <w:name w:val="List Continue"/>
    <w:basedOn w:val="Normal"/>
    <w:rsid w:val="0082124C"/>
    <w:pPr>
      <w:spacing w:after="120"/>
      <w:ind w:left="283"/>
    </w:pPr>
  </w:style>
  <w:style w:type="paragraph" w:styleId="ListContinue2">
    <w:name w:val="List Continue 2"/>
    <w:basedOn w:val="Normal"/>
    <w:rsid w:val="0082124C"/>
    <w:pPr>
      <w:spacing w:after="120"/>
      <w:ind w:left="566"/>
    </w:pPr>
  </w:style>
  <w:style w:type="paragraph" w:styleId="ListContinue3">
    <w:name w:val="List Continue 3"/>
    <w:basedOn w:val="Normal"/>
    <w:rsid w:val="0082124C"/>
    <w:pPr>
      <w:spacing w:after="120"/>
      <w:ind w:left="849"/>
    </w:pPr>
  </w:style>
  <w:style w:type="paragraph" w:styleId="ListContinue4">
    <w:name w:val="List Continue 4"/>
    <w:basedOn w:val="Normal"/>
    <w:rsid w:val="0082124C"/>
    <w:pPr>
      <w:spacing w:after="120"/>
      <w:ind w:left="1132"/>
    </w:pPr>
  </w:style>
  <w:style w:type="paragraph" w:styleId="ListContinue5">
    <w:name w:val="List Continue 5"/>
    <w:basedOn w:val="Normal"/>
    <w:rsid w:val="0082124C"/>
    <w:pPr>
      <w:spacing w:after="120"/>
      <w:ind w:left="1415"/>
    </w:pPr>
  </w:style>
  <w:style w:type="paragraph" w:styleId="MessageHeader">
    <w:name w:val="Message Header"/>
    <w:basedOn w:val="Normal"/>
    <w:link w:val="MessageHeaderChar"/>
    <w:rsid w:val="008212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82124C"/>
    <w:rPr>
      <w:rFonts w:ascii="Arial" w:hAnsi="Arial" w:cs="Arial"/>
      <w:sz w:val="22"/>
      <w:shd w:val="pct20" w:color="auto" w:fill="auto"/>
    </w:rPr>
  </w:style>
  <w:style w:type="paragraph" w:styleId="Subtitle">
    <w:name w:val="Subtitle"/>
    <w:basedOn w:val="Normal"/>
    <w:link w:val="SubtitleChar"/>
    <w:qFormat/>
    <w:rsid w:val="0082124C"/>
    <w:pPr>
      <w:spacing w:after="60"/>
      <w:jc w:val="center"/>
      <w:outlineLvl w:val="1"/>
    </w:pPr>
    <w:rPr>
      <w:rFonts w:ascii="Arial" w:hAnsi="Arial" w:cs="Arial"/>
    </w:rPr>
  </w:style>
  <w:style w:type="character" w:customStyle="1" w:styleId="SubtitleChar">
    <w:name w:val="Subtitle Char"/>
    <w:basedOn w:val="DefaultParagraphFont"/>
    <w:link w:val="Subtitle"/>
    <w:rsid w:val="0082124C"/>
    <w:rPr>
      <w:rFonts w:ascii="Arial" w:hAnsi="Arial" w:cs="Arial"/>
      <w:sz w:val="22"/>
    </w:rPr>
  </w:style>
  <w:style w:type="paragraph" w:styleId="Salutation">
    <w:name w:val="Salutation"/>
    <w:basedOn w:val="Normal"/>
    <w:next w:val="Normal"/>
    <w:link w:val="SalutationChar"/>
    <w:rsid w:val="0082124C"/>
  </w:style>
  <w:style w:type="character" w:customStyle="1" w:styleId="SalutationChar">
    <w:name w:val="Salutation Char"/>
    <w:basedOn w:val="DefaultParagraphFont"/>
    <w:link w:val="Salutation"/>
    <w:rsid w:val="0082124C"/>
    <w:rPr>
      <w:sz w:val="22"/>
    </w:rPr>
  </w:style>
  <w:style w:type="paragraph" w:styleId="Date">
    <w:name w:val="Date"/>
    <w:basedOn w:val="Normal"/>
    <w:next w:val="Normal"/>
    <w:link w:val="DateChar"/>
    <w:rsid w:val="0082124C"/>
  </w:style>
  <w:style w:type="character" w:customStyle="1" w:styleId="DateChar">
    <w:name w:val="Date Char"/>
    <w:basedOn w:val="DefaultParagraphFont"/>
    <w:link w:val="Date"/>
    <w:rsid w:val="0082124C"/>
    <w:rPr>
      <w:sz w:val="22"/>
    </w:rPr>
  </w:style>
  <w:style w:type="paragraph" w:styleId="BodyTextFirstIndent">
    <w:name w:val="Body Text First Indent"/>
    <w:basedOn w:val="BodyText"/>
    <w:link w:val="BodyTextFirstIndentChar"/>
    <w:rsid w:val="0082124C"/>
    <w:pPr>
      <w:ind w:firstLine="210"/>
    </w:pPr>
  </w:style>
  <w:style w:type="character" w:customStyle="1" w:styleId="BodyTextFirstIndentChar">
    <w:name w:val="Body Text First Indent Char"/>
    <w:basedOn w:val="BodyTextChar"/>
    <w:link w:val="BodyTextFirstIndent"/>
    <w:rsid w:val="0082124C"/>
    <w:rPr>
      <w:sz w:val="22"/>
    </w:rPr>
  </w:style>
  <w:style w:type="paragraph" w:styleId="BodyTextFirstIndent2">
    <w:name w:val="Body Text First Indent 2"/>
    <w:basedOn w:val="BodyTextIndent"/>
    <w:link w:val="BodyTextFirstIndent2Char"/>
    <w:rsid w:val="0082124C"/>
    <w:pPr>
      <w:ind w:firstLine="210"/>
    </w:pPr>
  </w:style>
  <w:style w:type="character" w:customStyle="1" w:styleId="BodyTextFirstIndent2Char">
    <w:name w:val="Body Text First Indent 2 Char"/>
    <w:basedOn w:val="BodyTextIndentChar"/>
    <w:link w:val="BodyTextFirstIndent2"/>
    <w:rsid w:val="0082124C"/>
    <w:rPr>
      <w:sz w:val="22"/>
    </w:rPr>
  </w:style>
  <w:style w:type="paragraph" w:styleId="BodyText2">
    <w:name w:val="Body Text 2"/>
    <w:basedOn w:val="Normal"/>
    <w:link w:val="BodyText2Char"/>
    <w:rsid w:val="0082124C"/>
    <w:pPr>
      <w:spacing w:after="120" w:line="480" w:lineRule="auto"/>
    </w:pPr>
  </w:style>
  <w:style w:type="character" w:customStyle="1" w:styleId="BodyText2Char">
    <w:name w:val="Body Text 2 Char"/>
    <w:basedOn w:val="DefaultParagraphFont"/>
    <w:link w:val="BodyText2"/>
    <w:rsid w:val="0082124C"/>
    <w:rPr>
      <w:sz w:val="22"/>
    </w:rPr>
  </w:style>
  <w:style w:type="paragraph" w:styleId="BodyText3">
    <w:name w:val="Body Text 3"/>
    <w:basedOn w:val="Normal"/>
    <w:link w:val="BodyText3Char"/>
    <w:rsid w:val="0082124C"/>
    <w:pPr>
      <w:spacing w:after="120"/>
    </w:pPr>
    <w:rPr>
      <w:sz w:val="16"/>
      <w:szCs w:val="16"/>
    </w:rPr>
  </w:style>
  <w:style w:type="character" w:customStyle="1" w:styleId="BodyText3Char">
    <w:name w:val="Body Text 3 Char"/>
    <w:basedOn w:val="DefaultParagraphFont"/>
    <w:link w:val="BodyText3"/>
    <w:rsid w:val="0082124C"/>
    <w:rPr>
      <w:sz w:val="16"/>
      <w:szCs w:val="16"/>
    </w:rPr>
  </w:style>
  <w:style w:type="paragraph" w:styleId="BodyTextIndent2">
    <w:name w:val="Body Text Indent 2"/>
    <w:basedOn w:val="Normal"/>
    <w:link w:val="BodyTextIndent2Char"/>
    <w:rsid w:val="0082124C"/>
    <w:pPr>
      <w:spacing w:after="120" w:line="480" w:lineRule="auto"/>
      <w:ind w:left="283"/>
    </w:pPr>
  </w:style>
  <w:style w:type="character" w:customStyle="1" w:styleId="BodyTextIndent2Char">
    <w:name w:val="Body Text Indent 2 Char"/>
    <w:basedOn w:val="DefaultParagraphFont"/>
    <w:link w:val="BodyTextIndent2"/>
    <w:rsid w:val="0082124C"/>
    <w:rPr>
      <w:sz w:val="22"/>
    </w:rPr>
  </w:style>
  <w:style w:type="paragraph" w:styleId="BodyTextIndent3">
    <w:name w:val="Body Text Indent 3"/>
    <w:basedOn w:val="Normal"/>
    <w:link w:val="BodyTextIndent3Char"/>
    <w:rsid w:val="0082124C"/>
    <w:pPr>
      <w:spacing w:after="120"/>
      <w:ind w:left="283"/>
    </w:pPr>
    <w:rPr>
      <w:sz w:val="16"/>
      <w:szCs w:val="16"/>
    </w:rPr>
  </w:style>
  <w:style w:type="character" w:customStyle="1" w:styleId="BodyTextIndent3Char">
    <w:name w:val="Body Text Indent 3 Char"/>
    <w:basedOn w:val="DefaultParagraphFont"/>
    <w:link w:val="BodyTextIndent3"/>
    <w:rsid w:val="0082124C"/>
    <w:rPr>
      <w:sz w:val="16"/>
      <w:szCs w:val="16"/>
    </w:rPr>
  </w:style>
  <w:style w:type="paragraph" w:styleId="BlockText">
    <w:name w:val="Block Text"/>
    <w:basedOn w:val="Normal"/>
    <w:rsid w:val="0082124C"/>
    <w:pPr>
      <w:spacing w:after="120"/>
      <w:ind w:left="1440" w:right="1440"/>
    </w:pPr>
  </w:style>
  <w:style w:type="character" w:styleId="Hyperlink">
    <w:name w:val="Hyperlink"/>
    <w:basedOn w:val="DefaultParagraphFont"/>
    <w:rsid w:val="0082124C"/>
    <w:rPr>
      <w:color w:val="0000FF"/>
      <w:u w:val="single"/>
    </w:rPr>
  </w:style>
  <w:style w:type="character" w:styleId="FollowedHyperlink">
    <w:name w:val="FollowedHyperlink"/>
    <w:basedOn w:val="DefaultParagraphFont"/>
    <w:rsid w:val="0082124C"/>
    <w:rPr>
      <w:color w:val="800080"/>
      <w:u w:val="single"/>
    </w:rPr>
  </w:style>
  <w:style w:type="character" w:styleId="Strong">
    <w:name w:val="Strong"/>
    <w:basedOn w:val="DefaultParagraphFont"/>
    <w:qFormat/>
    <w:rsid w:val="0082124C"/>
    <w:rPr>
      <w:b/>
      <w:bCs/>
    </w:rPr>
  </w:style>
  <w:style w:type="character" w:styleId="Emphasis">
    <w:name w:val="Emphasis"/>
    <w:basedOn w:val="DefaultParagraphFont"/>
    <w:qFormat/>
    <w:rsid w:val="0082124C"/>
    <w:rPr>
      <w:i/>
      <w:iCs/>
    </w:rPr>
  </w:style>
  <w:style w:type="paragraph" w:styleId="DocumentMap">
    <w:name w:val="Document Map"/>
    <w:basedOn w:val="Normal"/>
    <w:link w:val="DocumentMapChar"/>
    <w:rsid w:val="0082124C"/>
    <w:pPr>
      <w:shd w:val="clear" w:color="auto" w:fill="000080"/>
    </w:pPr>
    <w:rPr>
      <w:rFonts w:ascii="Tahoma" w:hAnsi="Tahoma" w:cs="Tahoma"/>
    </w:rPr>
  </w:style>
  <w:style w:type="character" w:customStyle="1" w:styleId="DocumentMapChar">
    <w:name w:val="Document Map Char"/>
    <w:basedOn w:val="DefaultParagraphFont"/>
    <w:link w:val="DocumentMap"/>
    <w:rsid w:val="0082124C"/>
    <w:rPr>
      <w:rFonts w:ascii="Tahoma" w:hAnsi="Tahoma" w:cs="Tahoma"/>
      <w:sz w:val="22"/>
      <w:shd w:val="clear" w:color="auto" w:fill="000080"/>
    </w:rPr>
  </w:style>
  <w:style w:type="paragraph" w:styleId="PlainText">
    <w:name w:val="Plain Text"/>
    <w:basedOn w:val="Normal"/>
    <w:link w:val="PlainTextChar"/>
    <w:rsid w:val="0082124C"/>
    <w:rPr>
      <w:rFonts w:ascii="Courier New" w:hAnsi="Courier New" w:cs="Courier New"/>
      <w:sz w:val="20"/>
    </w:rPr>
  </w:style>
  <w:style w:type="character" w:customStyle="1" w:styleId="PlainTextChar">
    <w:name w:val="Plain Text Char"/>
    <w:basedOn w:val="DefaultParagraphFont"/>
    <w:link w:val="PlainText"/>
    <w:rsid w:val="0082124C"/>
    <w:rPr>
      <w:rFonts w:ascii="Courier New" w:hAnsi="Courier New" w:cs="Courier New"/>
    </w:rPr>
  </w:style>
  <w:style w:type="paragraph" w:styleId="E-mailSignature">
    <w:name w:val="E-mail Signature"/>
    <w:basedOn w:val="Normal"/>
    <w:link w:val="E-mailSignatureChar"/>
    <w:rsid w:val="0082124C"/>
  </w:style>
  <w:style w:type="character" w:customStyle="1" w:styleId="E-mailSignatureChar">
    <w:name w:val="E-mail Signature Char"/>
    <w:basedOn w:val="DefaultParagraphFont"/>
    <w:link w:val="E-mailSignature"/>
    <w:rsid w:val="0082124C"/>
    <w:rPr>
      <w:sz w:val="22"/>
    </w:rPr>
  </w:style>
  <w:style w:type="paragraph" w:styleId="NormalWeb">
    <w:name w:val="Normal (Web)"/>
    <w:basedOn w:val="Normal"/>
    <w:rsid w:val="0082124C"/>
  </w:style>
  <w:style w:type="character" w:styleId="HTMLAcronym">
    <w:name w:val="HTML Acronym"/>
    <w:basedOn w:val="DefaultParagraphFont"/>
    <w:rsid w:val="0082124C"/>
  </w:style>
  <w:style w:type="paragraph" w:styleId="HTMLAddress">
    <w:name w:val="HTML Address"/>
    <w:basedOn w:val="Normal"/>
    <w:link w:val="HTMLAddressChar"/>
    <w:rsid w:val="0082124C"/>
    <w:rPr>
      <w:i/>
      <w:iCs/>
    </w:rPr>
  </w:style>
  <w:style w:type="character" w:customStyle="1" w:styleId="HTMLAddressChar">
    <w:name w:val="HTML Address Char"/>
    <w:basedOn w:val="DefaultParagraphFont"/>
    <w:link w:val="HTMLAddress"/>
    <w:rsid w:val="0082124C"/>
    <w:rPr>
      <w:i/>
      <w:iCs/>
      <w:sz w:val="22"/>
    </w:rPr>
  </w:style>
  <w:style w:type="character" w:styleId="HTMLCite">
    <w:name w:val="HTML Cite"/>
    <w:basedOn w:val="DefaultParagraphFont"/>
    <w:rsid w:val="0082124C"/>
    <w:rPr>
      <w:i/>
      <w:iCs/>
    </w:rPr>
  </w:style>
  <w:style w:type="character" w:styleId="HTMLCode">
    <w:name w:val="HTML Code"/>
    <w:basedOn w:val="DefaultParagraphFont"/>
    <w:rsid w:val="0082124C"/>
    <w:rPr>
      <w:rFonts w:ascii="Courier New" w:hAnsi="Courier New" w:cs="Courier New"/>
      <w:sz w:val="20"/>
      <w:szCs w:val="20"/>
    </w:rPr>
  </w:style>
  <w:style w:type="character" w:styleId="HTMLDefinition">
    <w:name w:val="HTML Definition"/>
    <w:basedOn w:val="DefaultParagraphFont"/>
    <w:rsid w:val="0082124C"/>
    <w:rPr>
      <w:i/>
      <w:iCs/>
    </w:rPr>
  </w:style>
  <w:style w:type="character" w:styleId="HTMLKeyboard">
    <w:name w:val="HTML Keyboard"/>
    <w:basedOn w:val="DefaultParagraphFont"/>
    <w:rsid w:val="0082124C"/>
    <w:rPr>
      <w:rFonts w:ascii="Courier New" w:hAnsi="Courier New" w:cs="Courier New"/>
      <w:sz w:val="20"/>
      <w:szCs w:val="20"/>
    </w:rPr>
  </w:style>
  <w:style w:type="paragraph" w:styleId="HTMLPreformatted">
    <w:name w:val="HTML Preformatted"/>
    <w:basedOn w:val="Normal"/>
    <w:link w:val="HTMLPreformattedChar"/>
    <w:rsid w:val="0082124C"/>
    <w:rPr>
      <w:rFonts w:ascii="Courier New" w:hAnsi="Courier New" w:cs="Courier New"/>
      <w:sz w:val="20"/>
    </w:rPr>
  </w:style>
  <w:style w:type="character" w:customStyle="1" w:styleId="HTMLPreformattedChar">
    <w:name w:val="HTML Preformatted Char"/>
    <w:basedOn w:val="DefaultParagraphFont"/>
    <w:link w:val="HTMLPreformatted"/>
    <w:rsid w:val="0082124C"/>
    <w:rPr>
      <w:rFonts w:ascii="Courier New" w:hAnsi="Courier New" w:cs="Courier New"/>
    </w:rPr>
  </w:style>
  <w:style w:type="character" w:styleId="HTMLSample">
    <w:name w:val="HTML Sample"/>
    <w:basedOn w:val="DefaultParagraphFont"/>
    <w:rsid w:val="0082124C"/>
    <w:rPr>
      <w:rFonts w:ascii="Courier New" w:hAnsi="Courier New" w:cs="Courier New"/>
    </w:rPr>
  </w:style>
  <w:style w:type="character" w:styleId="HTMLTypewriter">
    <w:name w:val="HTML Typewriter"/>
    <w:basedOn w:val="DefaultParagraphFont"/>
    <w:rsid w:val="0082124C"/>
    <w:rPr>
      <w:rFonts w:ascii="Courier New" w:hAnsi="Courier New" w:cs="Courier New"/>
      <w:sz w:val="20"/>
      <w:szCs w:val="20"/>
    </w:rPr>
  </w:style>
  <w:style w:type="character" w:styleId="HTMLVariable">
    <w:name w:val="HTML Variable"/>
    <w:basedOn w:val="DefaultParagraphFont"/>
    <w:rsid w:val="0082124C"/>
    <w:rPr>
      <w:i/>
      <w:iCs/>
    </w:rPr>
  </w:style>
  <w:style w:type="paragraph" w:styleId="CommentSubject">
    <w:name w:val="annotation subject"/>
    <w:basedOn w:val="CommentText"/>
    <w:next w:val="CommentText"/>
    <w:link w:val="CommentSubjectChar"/>
    <w:rsid w:val="0082124C"/>
    <w:rPr>
      <w:b/>
      <w:bCs/>
    </w:rPr>
  </w:style>
  <w:style w:type="character" w:customStyle="1" w:styleId="CommentSubjectChar">
    <w:name w:val="Comment Subject Char"/>
    <w:basedOn w:val="CommentTextChar"/>
    <w:link w:val="CommentSubject"/>
    <w:rsid w:val="0082124C"/>
    <w:rPr>
      <w:b/>
      <w:bCs/>
    </w:rPr>
  </w:style>
  <w:style w:type="numbering" w:styleId="1ai">
    <w:name w:val="Outline List 1"/>
    <w:basedOn w:val="NoList"/>
    <w:rsid w:val="0082124C"/>
    <w:pPr>
      <w:numPr>
        <w:numId w:val="14"/>
      </w:numPr>
    </w:pPr>
  </w:style>
  <w:style w:type="numbering" w:styleId="111111">
    <w:name w:val="Outline List 2"/>
    <w:basedOn w:val="NoList"/>
    <w:rsid w:val="0082124C"/>
    <w:pPr>
      <w:numPr>
        <w:numId w:val="15"/>
      </w:numPr>
    </w:pPr>
  </w:style>
  <w:style w:type="numbering" w:styleId="ArticleSection">
    <w:name w:val="Outline List 3"/>
    <w:basedOn w:val="NoList"/>
    <w:rsid w:val="0082124C"/>
    <w:pPr>
      <w:numPr>
        <w:numId w:val="17"/>
      </w:numPr>
    </w:pPr>
  </w:style>
  <w:style w:type="table" w:styleId="TableSimple1">
    <w:name w:val="Table Simple 1"/>
    <w:basedOn w:val="TableNormal"/>
    <w:rsid w:val="0082124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2124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2124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2124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2124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2124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2124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2124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2124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2124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2124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2124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2124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2124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2124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2124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2124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2124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2124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2124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2124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2124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2124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2124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2124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2124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2124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2124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2124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2124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2124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82124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2124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2124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82124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2124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82124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2124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2124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82124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2124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2124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82124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82124C"/>
    <w:rPr>
      <w:rFonts w:eastAsia="Times New Roman" w:cs="Times New Roman"/>
      <w:b/>
      <w:kern w:val="28"/>
      <w:sz w:val="24"/>
      <w:lang w:eastAsia="en-AU"/>
    </w:rPr>
  </w:style>
  <w:style w:type="paragraph" w:customStyle="1" w:styleId="ETAsubitem">
    <w:name w:val="ETA(subitem)"/>
    <w:basedOn w:val="OPCParaBase"/>
    <w:rsid w:val="0082124C"/>
    <w:pPr>
      <w:tabs>
        <w:tab w:val="right" w:pos="340"/>
      </w:tabs>
      <w:spacing w:before="60" w:line="240" w:lineRule="auto"/>
      <w:ind w:left="454" w:hanging="454"/>
    </w:pPr>
    <w:rPr>
      <w:sz w:val="20"/>
    </w:rPr>
  </w:style>
  <w:style w:type="paragraph" w:customStyle="1" w:styleId="ETApara">
    <w:name w:val="ETA(para)"/>
    <w:basedOn w:val="OPCParaBase"/>
    <w:rsid w:val="0082124C"/>
    <w:pPr>
      <w:tabs>
        <w:tab w:val="right" w:pos="754"/>
      </w:tabs>
      <w:spacing w:before="60" w:line="240" w:lineRule="auto"/>
      <w:ind w:left="828" w:hanging="828"/>
    </w:pPr>
    <w:rPr>
      <w:sz w:val="20"/>
    </w:rPr>
  </w:style>
  <w:style w:type="paragraph" w:customStyle="1" w:styleId="ETAsubpara">
    <w:name w:val="ETA(subpara)"/>
    <w:basedOn w:val="OPCParaBase"/>
    <w:rsid w:val="0082124C"/>
    <w:pPr>
      <w:tabs>
        <w:tab w:val="right" w:pos="1083"/>
      </w:tabs>
      <w:spacing w:before="60" w:line="240" w:lineRule="auto"/>
      <w:ind w:left="1191" w:hanging="1191"/>
    </w:pPr>
    <w:rPr>
      <w:sz w:val="20"/>
    </w:rPr>
  </w:style>
  <w:style w:type="paragraph" w:customStyle="1" w:styleId="ETAsub-subpara">
    <w:name w:val="ETA(sub-subpara)"/>
    <w:basedOn w:val="OPCParaBase"/>
    <w:rsid w:val="0082124C"/>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821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oleObject" Target="embeddings/oleObject1.bin"/><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ntTable" Target="fontTable.xml"/><Relationship Id="rId20" Type="http://schemas.openxmlformats.org/officeDocument/2006/relationships/image" Target="media/image2.wmf"/><Relationship Id="rId41"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9CCF-FCCC-4DF1-845A-CBE1850F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Template>
  <TotalTime>0</TotalTime>
  <Pages>23</Pages>
  <Words>4986</Words>
  <Characters>22688</Characters>
  <Application>Microsoft Office Word</Application>
  <DocSecurity>0</DocSecurity>
  <PresentationFormat/>
  <Lines>648</Lines>
  <Paragraphs>522</Paragraphs>
  <ScaleCrop>false</ScaleCrop>
  <HeadingPairs>
    <vt:vector size="2" baseType="variant">
      <vt:variant>
        <vt:lpstr>Title</vt:lpstr>
      </vt:variant>
      <vt:variant>
        <vt:i4>1</vt:i4>
      </vt:variant>
    </vt:vector>
  </HeadingPairs>
  <TitlesOfParts>
    <vt:vector size="1" baseType="lpstr">
      <vt:lpstr>High Court of Australia (Fees) Regulations 2022</vt:lpstr>
    </vt:vector>
  </TitlesOfParts>
  <Manager/>
  <Company/>
  <LinksUpToDate>false</LinksUpToDate>
  <CharactersWithSpaces>27152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2022-06-29T00:36:00Z</cp:lastPrinted>
  <dcterms:created xsi:type="dcterms:W3CDTF">2022-09-26T11:35:00Z</dcterms:created>
  <dcterms:modified xsi:type="dcterms:W3CDTF">2023-01-04T02:42:00Z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High Court of Australia (Fees) Regulations 2022</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2022</vt:lpwstr>
  </property>
  <property fmtid="{D5CDD505-2E9C-101B-9397-08002B2CF9AE}" pid="10" name="Authority">
    <vt:lpwstr>Unk</vt:lpwstr>
  </property>
  <property fmtid="{D5CDD505-2E9C-101B-9397-08002B2CF9AE}" pid="11" name="ID">
    <vt:lpwstr>OPC65977</vt:lpwstr>
  </property>
  <property fmtid="{D5CDD505-2E9C-101B-9397-08002B2CF9AE}" pid="12" name="DLM">
    <vt:lpwstr> </vt:lpwstr>
  </property>
  <property fmtid="{D5CDD505-2E9C-101B-9397-08002B2CF9AE}" pid="13" name="Classification">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ies>
</file>