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30C702" w14:textId="77777777" w:rsidR="00A03E61" w:rsidRPr="001930B7" w:rsidRDefault="00055956" w:rsidP="00D44DC1">
      <w:pPr>
        <w:spacing w:before="78" w:line="360" w:lineRule="auto"/>
        <w:ind w:right="18"/>
        <w:jc w:val="center"/>
        <w:rPr>
          <w:b/>
          <w:sz w:val="24"/>
        </w:rPr>
      </w:pPr>
      <w:bookmarkStart w:id="0" w:name="_GoBack"/>
      <w:bookmarkEnd w:id="0"/>
      <w:r w:rsidRPr="001930B7">
        <w:rPr>
          <w:b/>
          <w:sz w:val="24"/>
          <w:u w:val="single"/>
        </w:rPr>
        <w:t>EXPLANATORY</w:t>
      </w:r>
      <w:r w:rsidRPr="001930B7">
        <w:rPr>
          <w:b/>
          <w:spacing w:val="-13"/>
          <w:sz w:val="24"/>
          <w:u w:val="single"/>
        </w:rPr>
        <w:t xml:space="preserve"> </w:t>
      </w:r>
      <w:r w:rsidRPr="001930B7">
        <w:rPr>
          <w:b/>
          <w:sz w:val="24"/>
          <w:u w:val="single"/>
        </w:rPr>
        <w:t>STATEMENT</w:t>
      </w:r>
    </w:p>
    <w:p w14:paraId="2F4F4582" w14:textId="77777777" w:rsidR="00A03E61" w:rsidRPr="001930B7" w:rsidRDefault="00A03E61" w:rsidP="00D44DC1">
      <w:pPr>
        <w:pStyle w:val="BodyText"/>
        <w:spacing w:before="8" w:line="360" w:lineRule="auto"/>
        <w:rPr>
          <w:b/>
          <w:sz w:val="16"/>
        </w:rPr>
      </w:pPr>
    </w:p>
    <w:p w14:paraId="0F2A6565" w14:textId="77777777" w:rsidR="00A03E61" w:rsidRPr="001930B7" w:rsidRDefault="00055956" w:rsidP="00D44DC1">
      <w:pPr>
        <w:pStyle w:val="BodyText"/>
        <w:spacing w:before="90" w:line="360" w:lineRule="auto"/>
        <w:ind w:right="16"/>
        <w:jc w:val="center"/>
      </w:pPr>
      <w:r w:rsidRPr="001930B7">
        <w:rPr>
          <w:u w:val="single"/>
        </w:rPr>
        <w:t>Issued</w:t>
      </w:r>
      <w:r w:rsidRPr="001930B7">
        <w:rPr>
          <w:spacing w:val="-1"/>
          <w:u w:val="single"/>
        </w:rPr>
        <w:t xml:space="preserve"> </w:t>
      </w:r>
      <w:r w:rsidRPr="001930B7">
        <w:rPr>
          <w:u w:val="single"/>
        </w:rPr>
        <w:t>by</w:t>
      </w:r>
      <w:r w:rsidRPr="001930B7">
        <w:rPr>
          <w:spacing w:val="-5"/>
          <w:u w:val="single"/>
        </w:rPr>
        <w:t xml:space="preserve"> </w:t>
      </w:r>
      <w:r w:rsidRPr="001930B7">
        <w:rPr>
          <w:u w:val="single"/>
        </w:rPr>
        <w:t>the Authority</w:t>
      </w:r>
      <w:r w:rsidRPr="001930B7">
        <w:rPr>
          <w:spacing w:val="-5"/>
          <w:u w:val="single"/>
        </w:rPr>
        <w:t xml:space="preserve"> </w:t>
      </w:r>
      <w:r w:rsidRPr="001930B7">
        <w:rPr>
          <w:u w:val="single"/>
        </w:rPr>
        <w:t>of the</w:t>
      </w:r>
      <w:r w:rsidRPr="001930B7">
        <w:rPr>
          <w:spacing w:val="-2"/>
          <w:u w:val="single"/>
        </w:rPr>
        <w:t xml:space="preserve"> </w:t>
      </w:r>
      <w:r w:rsidRPr="001930B7">
        <w:rPr>
          <w:u w:val="single"/>
        </w:rPr>
        <w:t>Minister</w:t>
      </w:r>
      <w:r w:rsidRPr="001930B7">
        <w:rPr>
          <w:spacing w:val="-1"/>
          <w:u w:val="single"/>
        </w:rPr>
        <w:t xml:space="preserve"> </w:t>
      </w:r>
      <w:r w:rsidRPr="001930B7">
        <w:rPr>
          <w:u w:val="single"/>
        </w:rPr>
        <w:t>for</w:t>
      </w:r>
      <w:r w:rsidRPr="001930B7">
        <w:rPr>
          <w:spacing w:val="-2"/>
          <w:u w:val="single"/>
        </w:rPr>
        <w:t xml:space="preserve"> </w:t>
      </w:r>
      <w:r w:rsidR="00E55A93" w:rsidRPr="001930B7">
        <w:rPr>
          <w:spacing w:val="-2"/>
          <w:u w:val="single"/>
        </w:rPr>
        <w:t xml:space="preserve">Climate Change and </w:t>
      </w:r>
      <w:r w:rsidR="00280678" w:rsidRPr="001930B7">
        <w:rPr>
          <w:spacing w:val="-2"/>
          <w:u w:val="single"/>
        </w:rPr>
        <w:t>Energy</w:t>
      </w:r>
    </w:p>
    <w:p w14:paraId="68808D02" w14:textId="77777777" w:rsidR="00A03E61" w:rsidRPr="001930B7" w:rsidRDefault="00055956" w:rsidP="00D44DC1">
      <w:pPr>
        <w:spacing w:before="120" w:line="360" w:lineRule="auto"/>
        <w:ind w:right="18"/>
        <w:jc w:val="center"/>
        <w:rPr>
          <w:i/>
          <w:sz w:val="24"/>
        </w:rPr>
      </w:pPr>
      <w:bookmarkStart w:id="1" w:name="Carbon_Credits_(Carbon_Farming_Initiativ"/>
      <w:bookmarkEnd w:id="1"/>
      <w:r w:rsidRPr="001930B7">
        <w:rPr>
          <w:i/>
          <w:sz w:val="24"/>
        </w:rPr>
        <w:t>Carbon</w:t>
      </w:r>
      <w:r w:rsidRPr="001930B7">
        <w:rPr>
          <w:i/>
          <w:spacing w:val="-1"/>
          <w:sz w:val="24"/>
        </w:rPr>
        <w:t xml:space="preserve"> </w:t>
      </w:r>
      <w:r w:rsidRPr="001930B7">
        <w:rPr>
          <w:i/>
          <w:sz w:val="24"/>
        </w:rPr>
        <w:t>Credits</w:t>
      </w:r>
      <w:r w:rsidRPr="001930B7">
        <w:rPr>
          <w:i/>
          <w:spacing w:val="-2"/>
          <w:sz w:val="24"/>
        </w:rPr>
        <w:t xml:space="preserve"> </w:t>
      </w:r>
      <w:r w:rsidRPr="001930B7">
        <w:rPr>
          <w:i/>
          <w:sz w:val="24"/>
        </w:rPr>
        <w:t>(Carbon</w:t>
      </w:r>
      <w:r w:rsidRPr="001930B7">
        <w:rPr>
          <w:i/>
          <w:spacing w:val="-1"/>
          <w:sz w:val="24"/>
        </w:rPr>
        <w:t xml:space="preserve"> </w:t>
      </w:r>
      <w:r w:rsidRPr="001930B7">
        <w:rPr>
          <w:i/>
          <w:sz w:val="24"/>
        </w:rPr>
        <w:t>Farming</w:t>
      </w:r>
      <w:r w:rsidRPr="001930B7">
        <w:rPr>
          <w:i/>
          <w:spacing w:val="-1"/>
          <w:sz w:val="24"/>
        </w:rPr>
        <w:t xml:space="preserve"> </w:t>
      </w:r>
      <w:r w:rsidRPr="001930B7">
        <w:rPr>
          <w:i/>
          <w:sz w:val="24"/>
        </w:rPr>
        <w:t>Initiative)</w:t>
      </w:r>
      <w:r w:rsidRPr="001930B7">
        <w:rPr>
          <w:i/>
          <w:spacing w:val="-5"/>
          <w:sz w:val="24"/>
        </w:rPr>
        <w:t xml:space="preserve"> </w:t>
      </w:r>
      <w:r w:rsidRPr="001930B7">
        <w:rPr>
          <w:i/>
          <w:sz w:val="24"/>
        </w:rPr>
        <w:t>Act 2011</w:t>
      </w:r>
    </w:p>
    <w:p w14:paraId="26AE8435" w14:textId="77777777" w:rsidR="00A03E61" w:rsidRPr="001930B7" w:rsidRDefault="00AE7FCF" w:rsidP="00D44DC1">
      <w:pPr>
        <w:pStyle w:val="BodyText"/>
        <w:spacing w:line="360" w:lineRule="auto"/>
        <w:jc w:val="center"/>
        <w:rPr>
          <w:i/>
          <w:szCs w:val="22"/>
        </w:rPr>
      </w:pPr>
      <w:r w:rsidRPr="001930B7">
        <w:rPr>
          <w:i/>
          <w:szCs w:val="22"/>
        </w:rPr>
        <w:t>Carbon Credits (Carbon Farming Initiative—</w:t>
      </w:r>
      <w:r w:rsidR="00722745" w:rsidRPr="001930B7">
        <w:rPr>
          <w:i/>
          <w:szCs w:val="22"/>
        </w:rPr>
        <w:t>Industrial Electricity and Fuel Efficiency</w:t>
      </w:r>
      <w:r w:rsidR="00D23CB4" w:rsidRPr="001930B7">
        <w:rPr>
          <w:i/>
          <w:szCs w:val="22"/>
        </w:rPr>
        <w:t>—</w:t>
      </w:r>
      <w:r w:rsidRPr="001930B7">
        <w:rPr>
          <w:i/>
          <w:szCs w:val="22"/>
        </w:rPr>
        <w:t>Revocation) Instrument 202</w:t>
      </w:r>
      <w:r w:rsidR="00D23CB4" w:rsidRPr="001930B7">
        <w:rPr>
          <w:i/>
          <w:szCs w:val="22"/>
        </w:rPr>
        <w:t>2</w:t>
      </w:r>
    </w:p>
    <w:p w14:paraId="1012B01C" w14:textId="77777777" w:rsidR="00C25877" w:rsidRPr="001930B7" w:rsidRDefault="00C25877" w:rsidP="00860E42">
      <w:pPr>
        <w:pStyle w:val="BodyText"/>
        <w:spacing w:line="360" w:lineRule="auto"/>
        <w:rPr>
          <w:b/>
          <w:bCs/>
          <w:iCs/>
          <w:sz w:val="26"/>
        </w:rPr>
      </w:pPr>
      <w:r w:rsidRPr="001930B7">
        <w:rPr>
          <w:b/>
          <w:bCs/>
          <w:iCs/>
          <w:szCs w:val="22"/>
        </w:rPr>
        <w:t>Purpose</w:t>
      </w:r>
    </w:p>
    <w:p w14:paraId="37FAE742" w14:textId="77777777" w:rsidR="00A03E61" w:rsidRPr="001930B7" w:rsidRDefault="00055956" w:rsidP="00860E42">
      <w:pPr>
        <w:spacing w:before="115" w:line="360" w:lineRule="auto"/>
        <w:ind w:right="383"/>
        <w:rPr>
          <w:sz w:val="24"/>
          <w:szCs w:val="24"/>
        </w:rPr>
      </w:pPr>
      <w:r w:rsidRPr="001930B7">
        <w:rPr>
          <w:sz w:val="24"/>
          <w:szCs w:val="24"/>
        </w:rPr>
        <w:t xml:space="preserve">The </w:t>
      </w:r>
      <w:r w:rsidR="00AE7FCF" w:rsidRPr="001930B7">
        <w:rPr>
          <w:i/>
          <w:sz w:val="24"/>
          <w:szCs w:val="24"/>
        </w:rPr>
        <w:t>Carbon Credits (Carbon Farming Initiative—</w:t>
      </w:r>
      <w:r w:rsidR="00622164" w:rsidRPr="001930B7">
        <w:rPr>
          <w:i/>
          <w:sz w:val="24"/>
          <w:szCs w:val="24"/>
        </w:rPr>
        <w:t>Industrial Electricity and Fuel Efficiency</w:t>
      </w:r>
      <w:r w:rsidR="00AE7FCF" w:rsidRPr="001930B7">
        <w:rPr>
          <w:i/>
          <w:sz w:val="24"/>
          <w:szCs w:val="24"/>
        </w:rPr>
        <w:t>—Revocation) Instrument 202</w:t>
      </w:r>
      <w:r w:rsidR="006B142F" w:rsidRPr="001930B7">
        <w:rPr>
          <w:i/>
          <w:sz w:val="24"/>
          <w:szCs w:val="24"/>
        </w:rPr>
        <w:t>2</w:t>
      </w:r>
      <w:r w:rsidR="00AE7FCF" w:rsidRPr="001930B7">
        <w:rPr>
          <w:i/>
          <w:sz w:val="24"/>
          <w:szCs w:val="24"/>
        </w:rPr>
        <w:t xml:space="preserve"> </w:t>
      </w:r>
      <w:r w:rsidRPr="001930B7">
        <w:rPr>
          <w:sz w:val="24"/>
          <w:szCs w:val="24"/>
        </w:rPr>
        <w:t xml:space="preserve">(the </w:t>
      </w:r>
      <w:r w:rsidRPr="001930B7">
        <w:rPr>
          <w:b/>
          <w:sz w:val="24"/>
          <w:szCs w:val="24"/>
        </w:rPr>
        <w:t>Revocation Instrument</w:t>
      </w:r>
      <w:r w:rsidRPr="001930B7">
        <w:rPr>
          <w:sz w:val="24"/>
          <w:szCs w:val="24"/>
        </w:rPr>
        <w:t xml:space="preserve">) revokes the </w:t>
      </w:r>
      <w:r w:rsidR="00AE7FCF" w:rsidRPr="001930B7">
        <w:rPr>
          <w:i/>
          <w:sz w:val="24"/>
          <w:szCs w:val="24"/>
        </w:rPr>
        <w:t>Carbon Credits (Carbon Farming Initiative—</w:t>
      </w:r>
      <w:r w:rsidR="00622164" w:rsidRPr="001930B7">
        <w:rPr>
          <w:i/>
          <w:sz w:val="24"/>
          <w:szCs w:val="24"/>
        </w:rPr>
        <w:t>Industrial Electricity and Fuel Efficienc</w:t>
      </w:r>
      <w:r w:rsidR="00A920C3" w:rsidRPr="001930B7">
        <w:rPr>
          <w:i/>
          <w:sz w:val="24"/>
          <w:szCs w:val="24"/>
        </w:rPr>
        <w:t>y</w:t>
      </w:r>
      <w:r w:rsidR="00AE7FCF" w:rsidRPr="001930B7">
        <w:rPr>
          <w:i/>
          <w:sz w:val="24"/>
          <w:szCs w:val="24"/>
        </w:rPr>
        <w:t>) Methodology Determination 201</w:t>
      </w:r>
      <w:r w:rsidR="006B142F" w:rsidRPr="001930B7">
        <w:rPr>
          <w:i/>
          <w:sz w:val="24"/>
          <w:szCs w:val="24"/>
        </w:rPr>
        <w:t>5</w:t>
      </w:r>
      <w:r w:rsidR="00AE7FCF" w:rsidRPr="001930B7">
        <w:rPr>
          <w:i/>
          <w:sz w:val="24"/>
          <w:szCs w:val="24"/>
        </w:rPr>
        <w:t xml:space="preserve"> </w:t>
      </w:r>
      <w:r w:rsidRPr="001930B7">
        <w:rPr>
          <w:sz w:val="24"/>
          <w:szCs w:val="24"/>
        </w:rPr>
        <w:t xml:space="preserve">(the </w:t>
      </w:r>
      <w:r w:rsidRPr="001930B7">
        <w:rPr>
          <w:b/>
          <w:sz w:val="24"/>
          <w:szCs w:val="24"/>
        </w:rPr>
        <w:t>201</w:t>
      </w:r>
      <w:r w:rsidR="008E1E8B" w:rsidRPr="001930B7">
        <w:rPr>
          <w:b/>
          <w:sz w:val="24"/>
          <w:szCs w:val="24"/>
        </w:rPr>
        <w:t>5</w:t>
      </w:r>
      <w:r w:rsidRPr="001930B7">
        <w:rPr>
          <w:b/>
          <w:sz w:val="24"/>
          <w:szCs w:val="24"/>
        </w:rPr>
        <w:t xml:space="preserve"> </w:t>
      </w:r>
      <w:r w:rsidR="005A0210" w:rsidRPr="001930B7">
        <w:rPr>
          <w:b/>
          <w:sz w:val="24"/>
          <w:szCs w:val="24"/>
        </w:rPr>
        <w:t>IEFE</w:t>
      </w:r>
      <w:r w:rsidR="008E1E8B" w:rsidRPr="001930B7">
        <w:rPr>
          <w:b/>
          <w:sz w:val="24"/>
          <w:szCs w:val="24"/>
        </w:rPr>
        <w:t xml:space="preserve"> </w:t>
      </w:r>
      <w:r w:rsidRPr="001930B7">
        <w:rPr>
          <w:b/>
          <w:sz w:val="24"/>
          <w:szCs w:val="24"/>
        </w:rPr>
        <w:t>determination</w:t>
      </w:r>
      <w:r w:rsidRPr="001930B7">
        <w:rPr>
          <w:sz w:val="24"/>
          <w:szCs w:val="24"/>
        </w:rPr>
        <w:t xml:space="preserve">) made under the </w:t>
      </w:r>
      <w:r w:rsidRPr="001930B7">
        <w:rPr>
          <w:i/>
          <w:sz w:val="24"/>
          <w:szCs w:val="24"/>
        </w:rPr>
        <w:t>Carbon</w:t>
      </w:r>
      <w:r w:rsidRPr="001930B7">
        <w:rPr>
          <w:i/>
          <w:spacing w:val="1"/>
          <w:sz w:val="24"/>
          <w:szCs w:val="24"/>
        </w:rPr>
        <w:t xml:space="preserve"> </w:t>
      </w:r>
      <w:r w:rsidRPr="001930B7">
        <w:rPr>
          <w:i/>
          <w:sz w:val="24"/>
          <w:szCs w:val="24"/>
        </w:rPr>
        <w:t>Credits</w:t>
      </w:r>
      <w:r w:rsidRPr="001930B7">
        <w:rPr>
          <w:i/>
          <w:spacing w:val="-2"/>
          <w:sz w:val="24"/>
          <w:szCs w:val="24"/>
        </w:rPr>
        <w:t xml:space="preserve"> </w:t>
      </w:r>
      <w:r w:rsidRPr="001930B7">
        <w:rPr>
          <w:i/>
          <w:sz w:val="24"/>
          <w:szCs w:val="24"/>
        </w:rPr>
        <w:t>(Carbon Farming Initiative)</w:t>
      </w:r>
      <w:r w:rsidRPr="001930B7">
        <w:rPr>
          <w:i/>
          <w:spacing w:val="-4"/>
          <w:sz w:val="24"/>
          <w:szCs w:val="24"/>
        </w:rPr>
        <w:t xml:space="preserve"> </w:t>
      </w:r>
      <w:r w:rsidRPr="001930B7">
        <w:rPr>
          <w:i/>
          <w:sz w:val="24"/>
          <w:szCs w:val="24"/>
        </w:rPr>
        <w:t>Act 2011</w:t>
      </w:r>
      <w:r w:rsidRPr="001930B7">
        <w:rPr>
          <w:i/>
          <w:spacing w:val="2"/>
          <w:sz w:val="24"/>
          <w:szCs w:val="24"/>
        </w:rPr>
        <w:t xml:space="preserve"> </w:t>
      </w:r>
      <w:r w:rsidRPr="001930B7">
        <w:rPr>
          <w:sz w:val="24"/>
          <w:szCs w:val="24"/>
        </w:rPr>
        <w:t>(the</w:t>
      </w:r>
      <w:r w:rsidRPr="001930B7">
        <w:rPr>
          <w:spacing w:val="-1"/>
          <w:sz w:val="24"/>
          <w:szCs w:val="24"/>
        </w:rPr>
        <w:t xml:space="preserve"> </w:t>
      </w:r>
      <w:r w:rsidRPr="001930B7">
        <w:rPr>
          <w:b/>
          <w:bCs/>
          <w:sz w:val="24"/>
          <w:szCs w:val="24"/>
        </w:rPr>
        <w:t>Act</w:t>
      </w:r>
      <w:r w:rsidRPr="001930B7">
        <w:rPr>
          <w:sz w:val="24"/>
          <w:szCs w:val="24"/>
        </w:rPr>
        <w:t>).</w:t>
      </w:r>
    </w:p>
    <w:p w14:paraId="2F869496" w14:textId="632FB081" w:rsidR="00FA5CDD" w:rsidRPr="001930B7" w:rsidRDefault="00055956" w:rsidP="00862F8D">
      <w:pPr>
        <w:spacing w:before="120" w:line="360" w:lineRule="auto"/>
        <w:ind w:right="284"/>
        <w:rPr>
          <w:sz w:val="24"/>
          <w:szCs w:val="24"/>
        </w:rPr>
      </w:pPr>
      <w:r w:rsidRPr="001930B7">
        <w:rPr>
          <w:sz w:val="24"/>
          <w:szCs w:val="24"/>
        </w:rPr>
        <w:t xml:space="preserve">The </w:t>
      </w:r>
      <w:r w:rsidR="008E1E8B" w:rsidRPr="001930B7">
        <w:rPr>
          <w:sz w:val="24"/>
          <w:szCs w:val="24"/>
        </w:rPr>
        <w:t xml:space="preserve">2015 </w:t>
      </w:r>
      <w:r w:rsidR="005A0210" w:rsidRPr="001930B7">
        <w:rPr>
          <w:sz w:val="24"/>
          <w:szCs w:val="24"/>
        </w:rPr>
        <w:t xml:space="preserve">IEFE determination </w:t>
      </w:r>
      <w:r w:rsidR="005C645E" w:rsidRPr="001930B7">
        <w:rPr>
          <w:sz w:val="24"/>
          <w:szCs w:val="24"/>
        </w:rPr>
        <w:t>is</w:t>
      </w:r>
      <w:r w:rsidRPr="001930B7">
        <w:rPr>
          <w:sz w:val="24"/>
          <w:szCs w:val="24"/>
        </w:rPr>
        <w:t xml:space="preserve"> </w:t>
      </w:r>
      <w:r w:rsidR="00F24552" w:rsidRPr="001930B7">
        <w:rPr>
          <w:sz w:val="24"/>
          <w:szCs w:val="24"/>
        </w:rPr>
        <w:t>revoked because</w:t>
      </w:r>
      <w:r w:rsidR="000A5796" w:rsidRPr="001930B7">
        <w:rPr>
          <w:sz w:val="24"/>
          <w:szCs w:val="24"/>
        </w:rPr>
        <w:t xml:space="preserve"> </w:t>
      </w:r>
      <w:r w:rsidR="00C82954" w:rsidRPr="001930B7">
        <w:rPr>
          <w:sz w:val="24"/>
          <w:szCs w:val="24"/>
        </w:rPr>
        <w:t xml:space="preserve">it has been substantially replaced by </w:t>
      </w:r>
      <w:r w:rsidR="009A435C" w:rsidRPr="001930B7">
        <w:rPr>
          <w:sz w:val="24"/>
          <w:szCs w:val="24"/>
        </w:rPr>
        <w:t>the</w:t>
      </w:r>
      <w:r w:rsidR="00D51C5A" w:rsidRPr="001930B7">
        <w:rPr>
          <w:rFonts w:eastAsiaTheme="minorEastAsia"/>
          <w:color w:val="000000"/>
          <w:sz w:val="24"/>
          <w:szCs w:val="24"/>
          <w:lang w:val="en-AU" w:eastAsia="en-GB"/>
        </w:rPr>
        <w:t> </w:t>
      </w:r>
      <w:r w:rsidR="00D51C5A" w:rsidRPr="001930B7">
        <w:rPr>
          <w:rFonts w:eastAsiaTheme="minorEastAsia"/>
          <w:i/>
          <w:iCs/>
          <w:color w:val="000000"/>
          <w:sz w:val="24"/>
          <w:szCs w:val="24"/>
          <w:lang w:val="en-AU" w:eastAsia="en-GB"/>
        </w:rPr>
        <w:t>Carbon Credits (Carbon Farming Initiative—Industrial and Commercial Emissions Reduction) Methodology Determination 2021 </w:t>
      </w:r>
      <w:r w:rsidR="00D51C5A" w:rsidRPr="001930B7">
        <w:rPr>
          <w:rFonts w:eastAsiaTheme="minorEastAsia"/>
          <w:color w:val="000000"/>
          <w:sz w:val="24"/>
          <w:szCs w:val="24"/>
          <w:lang w:val="en-AU" w:eastAsia="en-GB"/>
        </w:rPr>
        <w:t xml:space="preserve">(the </w:t>
      </w:r>
      <w:r w:rsidR="009A435C" w:rsidRPr="001930B7">
        <w:rPr>
          <w:rFonts w:eastAsiaTheme="minorEastAsia"/>
          <w:b/>
          <w:bCs/>
          <w:color w:val="000000"/>
          <w:sz w:val="24"/>
          <w:szCs w:val="24"/>
          <w:lang w:val="en-AU" w:eastAsia="en-GB"/>
        </w:rPr>
        <w:t xml:space="preserve">2021 </w:t>
      </w:r>
      <w:r w:rsidR="00696363" w:rsidRPr="001930B7">
        <w:rPr>
          <w:rFonts w:eastAsiaTheme="minorEastAsia"/>
          <w:b/>
          <w:bCs/>
          <w:color w:val="000000"/>
          <w:sz w:val="24"/>
          <w:szCs w:val="24"/>
          <w:lang w:val="en-AU" w:eastAsia="en-GB"/>
        </w:rPr>
        <w:t xml:space="preserve">ICER </w:t>
      </w:r>
      <w:r w:rsidR="00862F8D" w:rsidRPr="001930B7">
        <w:rPr>
          <w:rFonts w:eastAsiaTheme="minorEastAsia"/>
          <w:b/>
          <w:bCs/>
          <w:color w:val="000000"/>
          <w:sz w:val="24"/>
          <w:szCs w:val="24"/>
          <w:lang w:val="en-AU" w:eastAsia="en-GB"/>
        </w:rPr>
        <w:t>d</w:t>
      </w:r>
      <w:r w:rsidR="00D51C5A" w:rsidRPr="001930B7">
        <w:rPr>
          <w:rFonts w:eastAsiaTheme="minorEastAsia"/>
          <w:b/>
          <w:bCs/>
          <w:color w:val="000000"/>
          <w:sz w:val="24"/>
          <w:szCs w:val="24"/>
          <w:lang w:val="en-AU" w:eastAsia="en-GB"/>
        </w:rPr>
        <w:t>etermination</w:t>
      </w:r>
      <w:r w:rsidR="00FB478E" w:rsidRPr="001930B7">
        <w:rPr>
          <w:rFonts w:eastAsiaTheme="minorEastAsia"/>
          <w:color w:val="000000"/>
          <w:sz w:val="24"/>
          <w:szCs w:val="24"/>
          <w:lang w:val="en-AU" w:eastAsia="en-GB"/>
        </w:rPr>
        <w:t>)</w:t>
      </w:r>
      <w:r w:rsidR="00361642" w:rsidRPr="001930B7">
        <w:rPr>
          <w:rFonts w:eastAsiaTheme="minorEastAsia"/>
          <w:color w:val="000000"/>
          <w:sz w:val="24"/>
          <w:szCs w:val="24"/>
          <w:lang w:val="en-AU" w:eastAsia="en-GB"/>
        </w:rPr>
        <w:t>.</w:t>
      </w:r>
    </w:p>
    <w:p w14:paraId="58FF0E84" w14:textId="37932273" w:rsidR="00FA5CDD" w:rsidRPr="001930B7" w:rsidRDefault="00FA5CDD" w:rsidP="00384C31">
      <w:pPr>
        <w:pStyle w:val="BodyText"/>
        <w:tabs>
          <w:tab w:val="left" w:pos="3786"/>
        </w:tabs>
        <w:spacing w:before="115" w:line="360" w:lineRule="auto"/>
        <w:ind w:right="152"/>
        <w:rPr>
          <w:b/>
          <w:bCs/>
        </w:rPr>
      </w:pPr>
      <w:r w:rsidRPr="001930B7">
        <w:rPr>
          <w:b/>
          <w:bCs/>
        </w:rPr>
        <w:t xml:space="preserve">Legislative </w:t>
      </w:r>
      <w:r w:rsidR="0011724D" w:rsidRPr="001930B7">
        <w:rPr>
          <w:b/>
          <w:bCs/>
        </w:rPr>
        <w:t>Authority</w:t>
      </w:r>
      <w:r w:rsidR="005D195B" w:rsidRPr="001930B7">
        <w:rPr>
          <w:b/>
          <w:bCs/>
        </w:rPr>
        <w:tab/>
      </w:r>
    </w:p>
    <w:p w14:paraId="4BDCB77E" w14:textId="7588C13A" w:rsidR="00A03E61" w:rsidRPr="001930B7" w:rsidRDefault="00055956" w:rsidP="00860E42">
      <w:pPr>
        <w:pStyle w:val="BodyText"/>
        <w:spacing w:before="115" w:line="360" w:lineRule="auto"/>
        <w:ind w:right="152"/>
      </w:pPr>
      <w:r w:rsidRPr="001930B7">
        <w:t xml:space="preserve">The </w:t>
      </w:r>
      <w:r w:rsidR="00283823" w:rsidRPr="001930B7">
        <w:t xml:space="preserve">2015 </w:t>
      </w:r>
      <w:r w:rsidR="005A0210" w:rsidRPr="001930B7">
        <w:t xml:space="preserve">IEFE </w:t>
      </w:r>
      <w:r w:rsidRPr="001930B7">
        <w:t xml:space="preserve">determination was made under subsection 106(1) of the Act. </w:t>
      </w:r>
      <w:r w:rsidR="00F3303F" w:rsidRPr="001930B7">
        <w:t>It</w:t>
      </w:r>
      <w:r w:rsidR="005C645E" w:rsidRPr="001930B7">
        <w:t xml:space="preserve"> is</w:t>
      </w:r>
      <w:r w:rsidRPr="001930B7">
        <w:t xml:space="preserve"> revoked under subsection 123(1) of the Act</w:t>
      </w:r>
      <w:r w:rsidR="0011724D" w:rsidRPr="001930B7">
        <w:t>, which provides for the revocation of methodology determinations.</w:t>
      </w:r>
    </w:p>
    <w:p w14:paraId="6D7838EF" w14:textId="1A69C6EF" w:rsidR="00FA5CDD" w:rsidRPr="001930B7" w:rsidRDefault="00FA5CDD" w:rsidP="00860E42">
      <w:pPr>
        <w:pStyle w:val="BodyText"/>
        <w:spacing w:before="115" w:line="360" w:lineRule="auto"/>
        <w:ind w:right="152"/>
        <w:rPr>
          <w:b/>
          <w:bCs/>
        </w:rPr>
      </w:pPr>
      <w:r w:rsidRPr="001930B7">
        <w:rPr>
          <w:b/>
          <w:bCs/>
        </w:rPr>
        <w:t xml:space="preserve">Background to </w:t>
      </w:r>
      <w:r w:rsidR="00333EF3" w:rsidRPr="001930B7">
        <w:rPr>
          <w:b/>
          <w:bCs/>
        </w:rPr>
        <w:t xml:space="preserve">Australia’s carbon </w:t>
      </w:r>
      <w:r w:rsidR="00B7290B" w:rsidRPr="001930B7">
        <w:rPr>
          <w:b/>
          <w:bCs/>
        </w:rPr>
        <w:t xml:space="preserve">abatement </w:t>
      </w:r>
      <w:r w:rsidR="00333EF3" w:rsidRPr="001930B7">
        <w:rPr>
          <w:b/>
          <w:bCs/>
        </w:rPr>
        <w:t>crediting scheme</w:t>
      </w:r>
    </w:p>
    <w:p w14:paraId="382D12B3" w14:textId="77777777" w:rsidR="00A03E61" w:rsidRPr="001930B7" w:rsidRDefault="00055956" w:rsidP="00860E42">
      <w:pPr>
        <w:pStyle w:val="BodyText"/>
        <w:spacing w:before="115" w:line="360" w:lineRule="auto"/>
        <w:ind w:right="652"/>
      </w:pPr>
      <w:r w:rsidRPr="001930B7">
        <w:t>The Act enables the crediting of greenhouse gas abatement from emissions reduction</w:t>
      </w:r>
      <w:r w:rsidRPr="001930B7">
        <w:rPr>
          <w:spacing w:val="1"/>
        </w:rPr>
        <w:t xml:space="preserve"> </w:t>
      </w:r>
      <w:r w:rsidRPr="001930B7">
        <w:t xml:space="preserve">activities across the economy. </w:t>
      </w:r>
      <w:r w:rsidR="009D78D3" w:rsidRPr="001930B7">
        <w:t xml:space="preserve">Greenhouse gas abatement is achieved either by reducing or avoiding emissions or by removing carbon </w:t>
      </w:r>
      <w:r w:rsidR="00816685" w:rsidRPr="001930B7">
        <w:t xml:space="preserve">dioxide </w:t>
      </w:r>
      <w:r w:rsidR="009D78D3" w:rsidRPr="001930B7">
        <w:t xml:space="preserve">from the atmosphere and storing </w:t>
      </w:r>
      <w:r w:rsidR="00B054CC" w:rsidRPr="001930B7">
        <w:t xml:space="preserve">carbon </w:t>
      </w:r>
      <w:r w:rsidR="009D78D3" w:rsidRPr="001930B7">
        <w:t>in soil, biomass</w:t>
      </w:r>
      <w:r w:rsidR="00236CF3" w:rsidRPr="001930B7">
        <w:t>,</w:t>
      </w:r>
      <w:r w:rsidR="009D78D3" w:rsidRPr="001930B7">
        <w:t xml:space="preserve"> or organic matter.</w:t>
      </w:r>
    </w:p>
    <w:p w14:paraId="343329D4" w14:textId="54998097" w:rsidR="00A03E61" w:rsidRPr="001930B7" w:rsidRDefault="00055956" w:rsidP="00860E42">
      <w:pPr>
        <w:pStyle w:val="BodyText"/>
        <w:spacing w:before="120" w:line="360" w:lineRule="auto"/>
        <w:ind w:right="164"/>
      </w:pPr>
      <w:r w:rsidRPr="001930B7">
        <w:t xml:space="preserve">In 2014, the Australian Parliament passed the </w:t>
      </w:r>
      <w:r w:rsidR="005A7E3D" w:rsidRPr="001930B7">
        <w:rPr>
          <w:i/>
          <w:iCs/>
        </w:rPr>
        <w:t xml:space="preserve">Carbon Farming Initiative </w:t>
      </w:r>
      <w:r w:rsidRPr="001930B7">
        <w:rPr>
          <w:i/>
          <w:iCs/>
        </w:rPr>
        <w:t>Amendment Act</w:t>
      </w:r>
      <w:r w:rsidR="00D831E5" w:rsidRPr="001930B7">
        <w:rPr>
          <w:i/>
          <w:iCs/>
        </w:rPr>
        <w:t xml:space="preserve"> 2014</w:t>
      </w:r>
      <w:r w:rsidRPr="001930B7">
        <w:t>, which establishe</w:t>
      </w:r>
      <w:r w:rsidR="005A7E3D" w:rsidRPr="001930B7">
        <w:t>d</w:t>
      </w:r>
      <w:r w:rsidRPr="001930B7">
        <w:t xml:space="preserve"> </w:t>
      </w:r>
      <w:r w:rsidR="001416B3" w:rsidRPr="001930B7">
        <w:t>Australia’s carbon</w:t>
      </w:r>
      <w:r w:rsidR="00B7290B" w:rsidRPr="001930B7">
        <w:t xml:space="preserve"> abatement</w:t>
      </w:r>
      <w:r w:rsidR="001416B3" w:rsidRPr="001930B7">
        <w:t xml:space="preserve"> crediting scheme, </w:t>
      </w:r>
      <w:r w:rsidR="004B6595" w:rsidRPr="001930B7">
        <w:t xml:space="preserve">the </w:t>
      </w:r>
      <w:r w:rsidR="00D84673" w:rsidRPr="001930B7">
        <w:t>Emissions Redu</w:t>
      </w:r>
      <w:r w:rsidR="004E2032" w:rsidRPr="001930B7">
        <w:t>c</w:t>
      </w:r>
      <w:r w:rsidR="00D84673" w:rsidRPr="001930B7">
        <w:t>tion Fund</w:t>
      </w:r>
      <w:r w:rsidR="005A7E3D" w:rsidRPr="001930B7">
        <w:t xml:space="preserve">. Further information on the </w:t>
      </w:r>
      <w:r w:rsidR="00AD0A5E" w:rsidRPr="001930B7">
        <w:t xml:space="preserve">Fund </w:t>
      </w:r>
      <w:r w:rsidR="005A7E3D" w:rsidRPr="001930B7">
        <w:t>is available at:</w:t>
      </w:r>
      <w:r w:rsidR="00364CB9" w:rsidRPr="001930B7">
        <w:rPr>
          <w:rFonts w:eastAsiaTheme="minorEastAsia"/>
          <w:lang w:val="en-AU" w:eastAsia="en-GB"/>
        </w:rPr>
        <w:t xml:space="preserve"> </w:t>
      </w:r>
      <w:hyperlink r:id="rId11" w:history="1">
        <w:r w:rsidR="00364CB9" w:rsidRPr="001930B7">
          <w:rPr>
            <w:rStyle w:val="Hyperlink"/>
            <w:rFonts w:eastAsiaTheme="minorEastAsia"/>
            <w:lang w:val="en-AU" w:eastAsia="en-GB"/>
          </w:rPr>
          <w:t>https://www.dcceew.gov.au/</w:t>
        </w:r>
      </w:hyperlink>
      <w:r w:rsidR="000176DF" w:rsidRPr="001930B7">
        <w:t xml:space="preserve"> </w:t>
      </w:r>
      <w:r w:rsidR="005A7E3D" w:rsidRPr="001930B7">
        <w:t xml:space="preserve">or </w:t>
      </w:r>
      <w:hyperlink r:id="rId12" w:history="1">
        <w:r w:rsidR="0051528E" w:rsidRPr="001930B7">
          <w:rPr>
            <w:rStyle w:val="Hyperlink"/>
          </w:rPr>
          <w:t>www.cleanenergyregulator.gov.au/</w:t>
        </w:r>
      </w:hyperlink>
      <w:r w:rsidR="005A7E3D" w:rsidRPr="001930B7">
        <w:t>.</w:t>
      </w:r>
    </w:p>
    <w:p w14:paraId="29D88AD3" w14:textId="77777777" w:rsidR="005A7E3D" w:rsidRPr="001930B7" w:rsidRDefault="005A7E3D" w:rsidP="00860E42">
      <w:pPr>
        <w:pStyle w:val="BodyText"/>
        <w:spacing w:before="120" w:line="360" w:lineRule="auto"/>
        <w:ind w:right="572"/>
      </w:pPr>
      <w:r w:rsidRPr="001930B7">
        <w:t>Emissions reduction activities are undertaken as offsets projects. The process involved in</w:t>
      </w:r>
      <w:r w:rsidRPr="001930B7">
        <w:rPr>
          <w:spacing w:val="-57"/>
        </w:rPr>
        <w:t xml:space="preserve"> </w:t>
      </w:r>
      <w:r w:rsidRPr="001930B7">
        <w:t>establishing an offsets project is set out in Part 3 of the Act. An offsets project must be</w:t>
      </w:r>
      <w:r w:rsidRPr="001930B7">
        <w:rPr>
          <w:spacing w:val="1"/>
        </w:rPr>
        <w:t xml:space="preserve"> </w:t>
      </w:r>
      <w:r w:rsidRPr="001930B7">
        <w:t>covered</w:t>
      </w:r>
      <w:r w:rsidRPr="001930B7">
        <w:rPr>
          <w:spacing w:val="-1"/>
        </w:rPr>
        <w:t xml:space="preserve"> </w:t>
      </w:r>
      <w:r w:rsidRPr="001930B7">
        <w:t>by,</w:t>
      </w:r>
      <w:r w:rsidRPr="001930B7">
        <w:rPr>
          <w:spacing w:val="2"/>
        </w:rPr>
        <w:t xml:space="preserve"> </w:t>
      </w:r>
      <w:r w:rsidRPr="001930B7">
        <w:t>and</w:t>
      </w:r>
      <w:r w:rsidRPr="001930B7">
        <w:rPr>
          <w:spacing w:val="-1"/>
        </w:rPr>
        <w:t xml:space="preserve"> </w:t>
      </w:r>
      <w:r w:rsidRPr="001930B7">
        <w:t>undertaken in</w:t>
      </w:r>
      <w:r w:rsidRPr="001930B7">
        <w:rPr>
          <w:spacing w:val="-1"/>
        </w:rPr>
        <w:t xml:space="preserve"> </w:t>
      </w:r>
      <w:r w:rsidRPr="001930B7">
        <w:t>accordance</w:t>
      </w:r>
      <w:r w:rsidRPr="001930B7">
        <w:rPr>
          <w:spacing w:val="-1"/>
        </w:rPr>
        <w:t xml:space="preserve"> </w:t>
      </w:r>
      <w:r w:rsidRPr="001930B7">
        <w:t>with,</w:t>
      </w:r>
      <w:r w:rsidRPr="001930B7">
        <w:rPr>
          <w:spacing w:val="-1"/>
        </w:rPr>
        <w:t xml:space="preserve"> </w:t>
      </w:r>
      <w:r w:rsidRPr="001930B7">
        <w:t>a methodology</w:t>
      </w:r>
      <w:r w:rsidRPr="001930B7">
        <w:rPr>
          <w:spacing w:val="-5"/>
        </w:rPr>
        <w:t xml:space="preserve"> </w:t>
      </w:r>
      <w:r w:rsidRPr="001930B7">
        <w:t>determination.</w:t>
      </w:r>
    </w:p>
    <w:p w14:paraId="73528E33" w14:textId="77777777" w:rsidR="005A7E3D" w:rsidRPr="001930B7" w:rsidRDefault="005A7E3D" w:rsidP="00860E42">
      <w:pPr>
        <w:pStyle w:val="BodyText"/>
        <w:spacing w:before="121" w:line="360" w:lineRule="auto"/>
        <w:ind w:right="879"/>
      </w:pPr>
      <w:r w:rsidRPr="001930B7">
        <w:rPr>
          <w:bCs/>
        </w:rPr>
        <w:t>Subsection 106(1) of the</w:t>
      </w:r>
      <w:r w:rsidRPr="001930B7">
        <w:rPr>
          <w:bCs/>
          <w:i/>
        </w:rPr>
        <w:t xml:space="preserve"> </w:t>
      </w:r>
      <w:r w:rsidRPr="001930B7">
        <w:rPr>
          <w:bCs/>
        </w:rPr>
        <w:t>Act empowers the Minister to make</w:t>
      </w:r>
      <w:r w:rsidRPr="001930B7">
        <w:t xml:space="preserve"> a methodology determination by legislative instrument. The purpose of a methodology determination </w:t>
      </w:r>
      <w:r w:rsidRPr="001930B7">
        <w:lastRenderedPageBreak/>
        <w:t xml:space="preserve">is to establish procedures for </w:t>
      </w:r>
      <w:r w:rsidR="001A599F" w:rsidRPr="001930B7">
        <w:t>estimating abatement</w:t>
      </w:r>
      <w:r w:rsidRPr="001930B7">
        <w:t xml:space="preserve"> (</w:t>
      </w:r>
      <w:r w:rsidR="00D831E5" w:rsidRPr="001930B7">
        <w:t xml:space="preserve">through </w:t>
      </w:r>
      <w:r w:rsidRPr="001930B7">
        <w:t>emissions avoidance or sequestration) from eligible projects and rules for monitoring, record</w:t>
      </w:r>
      <w:r w:rsidR="004C2020" w:rsidRPr="001930B7">
        <w:t>-</w:t>
      </w:r>
      <w:r w:rsidRPr="001930B7">
        <w:t xml:space="preserve">keeping and reporting. </w:t>
      </w:r>
      <w:r w:rsidR="00862F8D" w:rsidRPr="001930B7">
        <w:t>M</w:t>
      </w:r>
      <w:r w:rsidR="00D831E5" w:rsidRPr="001930B7">
        <w:t xml:space="preserve">ethodology determinations </w:t>
      </w:r>
      <w:r w:rsidRPr="001930B7">
        <w:t>ensure that emissions</w:t>
      </w:r>
      <w:r w:rsidRPr="001930B7">
        <w:rPr>
          <w:spacing w:val="1"/>
        </w:rPr>
        <w:t xml:space="preserve"> </w:t>
      </w:r>
      <w:r w:rsidRPr="001930B7">
        <w:t>reductions</w:t>
      </w:r>
      <w:r w:rsidRPr="001930B7">
        <w:rPr>
          <w:spacing w:val="-1"/>
        </w:rPr>
        <w:t xml:space="preserve"> </w:t>
      </w:r>
      <w:r w:rsidRPr="001930B7">
        <w:t>are genuine—that they</w:t>
      </w:r>
      <w:r w:rsidRPr="001930B7">
        <w:rPr>
          <w:spacing w:val="-4"/>
        </w:rPr>
        <w:t xml:space="preserve"> </w:t>
      </w:r>
      <w:r w:rsidRPr="001930B7">
        <w:t>are</w:t>
      </w:r>
      <w:r w:rsidRPr="001930B7">
        <w:rPr>
          <w:spacing w:val="-2"/>
        </w:rPr>
        <w:t xml:space="preserve"> </w:t>
      </w:r>
      <w:r w:rsidRPr="001930B7">
        <w:t>both</w:t>
      </w:r>
      <w:r w:rsidRPr="001930B7">
        <w:rPr>
          <w:spacing w:val="-1"/>
        </w:rPr>
        <w:t xml:space="preserve"> </w:t>
      </w:r>
      <w:r w:rsidRPr="001930B7">
        <w:t>real and</w:t>
      </w:r>
      <w:r w:rsidRPr="001930B7">
        <w:rPr>
          <w:spacing w:val="-1"/>
        </w:rPr>
        <w:t xml:space="preserve"> </w:t>
      </w:r>
      <w:r w:rsidRPr="001930B7">
        <w:t>additional to</w:t>
      </w:r>
      <w:r w:rsidRPr="001930B7">
        <w:rPr>
          <w:spacing w:val="-1"/>
        </w:rPr>
        <w:t xml:space="preserve"> </w:t>
      </w:r>
      <w:r w:rsidRPr="001930B7">
        <w:t>business</w:t>
      </w:r>
      <w:r w:rsidRPr="001930B7">
        <w:rPr>
          <w:spacing w:val="-1"/>
        </w:rPr>
        <w:t xml:space="preserve"> </w:t>
      </w:r>
      <w:r w:rsidRPr="001930B7">
        <w:t>as</w:t>
      </w:r>
      <w:r w:rsidRPr="001930B7">
        <w:rPr>
          <w:spacing w:val="-1"/>
        </w:rPr>
        <w:t xml:space="preserve"> </w:t>
      </w:r>
      <w:r w:rsidRPr="001930B7">
        <w:t>usual.</w:t>
      </w:r>
    </w:p>
    <w:p w14:paraId="41263AA8" w14:textId="4E5CD57C" w:rsidR="00A03E61" w:rsidRPr="001930B7" w:rsidRDefault="00055956" w:rsidP="00860E42">
      <w:pPr>
        <w:pStyle w:val="BodyText"/>
        <w:spacing w:before="120" w:line="360" w:lineRule="auto"/>
        <w:ind w:right="164"/>
      </w:pPr>
      <w:r w:rsidRPr="001930B7">
        <w:t xml:space="preserve">In deciding to revoke </w:t>
      </w:r>
      <w:r w:rsidR="00D831E5" w:rsidRPr="001930B7">
        <w:t xml:space="preserve">the </w:t>
      </w:r>
      <w:r w:rsidR="00203A3E" w:rsidRPr="001930B7">
        <w:t xml:space="preserve">2015 </w:t>
      </w:r>
      <w:r w:rsidR="005A0210" w:rsidRPr="001930B7">
        <w:t>IEFE</w:t>
      </w:r>
      <w:r w:rsidR="00D831E5" w:rsidRPr="001930B7">
        <w:t xml:space="preserve"> </w:t>
      </w:r>
      <w:r w:rsidRPr="001930B7">
        <w:t>determination</w:t>
      </w:r>
      <w:r w:rsidR="00D831E5" w:rsidRPr="001930B7">
        <w:t>,</w:t>
      </w:r>
      <w:r w:rsidRPr="001930B7">
        <w:t xml:space="preserve"> </w:t>
      </w:r>
      <w:r w:rsidR="00080DE9" w:rsidRPr="001930B7">
        <w:t xml:space="preserve">in accordance with paragraph 123(3)(b) of the Act, </w:t>
      </w:r>
      <w:r w:rsidRPr="001930B7">
        <w:t>the Minister has had regard to the advice</w:t>
      </w:r>
      <w:r w:rsidRPr="001930B7">
        <w:rPr>
          <w:spacing w:val="1"/>
        </w:rPr>
        <w:t xml:space="preserve"> </w:t>
      </w:r>
      <w:r w:rsidRPr="001930B7">
        <w:t>of the Emissions Reduction Assurance Committee (</w:t>
      </w:r>
      <w:r w:rsidR="00E2287B" w:rsidRPr="001930B7">
        <w:t xml:space="preserve">the </w:t>
      </w:r>
      <w:r w:rsidRPr="001930B7">
        <w:rPr>
          <w:b/>
          <w:bCs/>
        </w:rPr>
        <w:t>ERAC</w:t>
      </w:r>
      <w:r w:rsidRPr="001930B7">
        <w:t>), an independent expert panel</w:t>
      </w:r>
      <w:r w:rsidRPr="001930B7">
        <w:rPr>
          <w:spacing w:val="1"/>
        </w:rPr>
        <w:t xml:space="preserve"> </w:t>
      </w:r>
      <w:r w:rsidRPr="001930B7">
        <w:t xml:space="preserve">established to advise the Minister on making, varying or revoking </w:t>
      </w:r>
      <w:r w:rsidR="001A599F" w:rsidRPr="001930B7">
        <w:t>methodology determinations</w:t>
      </w:r>
      <w:r w:rsidRPr="001930B7">
        <w:t>.</w:t>
      </w:r>
      <w:r w:rsidR="00077F29">
        <w:t xml:space="preserve"> </w:t>
      </w:r>
      <w:r w:rsidR="001175E8" w:rsidRPr="001930B7">
        <w:t xml:space="preserve">In accordance with </w:t>
      </w:r>
      <w:r w:rsidR="00F2067B" w:rsidRPr="001930B7">
        <w:t xml:space="preserve">paragraph </w:t>
      </w:r>
      <w:r w:rsidR="001175E8" w:rsidRPr="001930B7">
        <w:t>123(3)(a) of the Act, t</w:t>
      </w:r>
      <w:r w:rsidR="00080DE9" w:rsidRPr="001930B7">
        <w:t>he Minister has also had regard to whether the 2015 IEFE determination complies with the offset</w:t>
      </w:r>
      <w:r w:rsidR="002F4196" w:rsidRPr="001930B7">
        <w:t>s</w:t>
      </w:r>
      <w:r w:rsidR="00080DE9" w:rsidRPr="001930B7">
        <w:t xml:space="preserve"> integrity standards </w:t>
      </w:r>
      <w:r w:rsidR="005C165E" w:rsidRPr="001930B7">
        <w:t>set out</w:t>
      </w:r>
      <w:r w:rsidR="00080DE9" w:rsidRPr="001930B7">
        <w:t xml:space="preserve"> in section 133 of the Act.</w:t>
      </w:r>
      <w:r w:rsidR="006F4215" w:rsidRPr="006F4215">
        <w:t xml:space="preserve"> </w:t>
      </w:r>
      <w:r w:rsidR="006F4215">
        <w:t>The ERAC advised the Minister that the IEFE method should be revoked to avoid duplication with the ICER method and</w:t>
      </w:r>
      <w:r w:rsidR="006F4215" w:rsidRPr="00336F34">
        <w:t xml:space="preserve"> </w:t>
      </w:r>
      <w:r w:rsidR="006F4215">
        <w:t xml:space="preserve">because there is a risk that lighting upgrade projects under the IEFE method may not be additional. This risk reflects </w:t>
      </w:r>
      <w:r w:rsidR="006F4215">
        <w:rPr>
          <w:szCs w:val="22"/>
          <w:lang w:eastAsia="en-AU"/>
        </w:rPr>
        <w:t xml:space="preserve">that the </w:t>
      </w:r>
      <w:r w:rsidR="006F4215">
        <w:rPr>
          <w:i/>
          <w:iCs/>
          <w:szCs w:val="22"/>
          <w:lang w:eastAsia="en-AU"/>
        </w:rPr>
        <w:t>Carbon Credits (Carbon Farming Initiative—Commercial and Public Lighting) Methodology Determination 2015</w:t>
      </w:r>
      <w:r w:rsidR="006F4215">
        <w:rPr>
          <w:szCs w:val="22"/>
          <w:lang w:eastAsia="en-AU"/>
        </w:rPr>
        <w:t xml:space="preserve"> was revoked in April 2022 pursuant to findings that lighting upgrades to highly energy efficient products are increasingly likely to occur in the ordinary course of events.</w:t>
      </w:r>
      <w:r w:rsidR="006F4215" w:rsidRPr="001930B7">
        <w:t xml:space="preserve"> </w:t>
      </w:r>
      <w:r w:rsidR="00080DE9" w:rsidRPr="001930B7">
        <w:t xml:space="preserve"> </w:t>
      </w:r>
    </w:p>
    <w:p w14:paraId="72A509E2" w14:textId="77777777" w:rsidR="00251711" w:rsidRPr="001930B7" w:rsidRDefault="005A7E3D" w:rsidP="00860E42">
      <w:pPr>
        <w:pStyle w:val="BodyText"/>
        <w:spacing w:before="120" w:line="360" w:lineRule="auto"/>
        <w:ind w:right="164"/>
        <w:rPr>
          <w:b/>
        </w:rPr>
      </w:pPr>
      <w:r w:rsidRPr="001930B7">
        <w:rPr>
          <w:b/>
        </w:rPr>
        <w:t xml:space="preserve">Background to the </w:t>
      </w:r>
      <w:r w:rsidR="00AE4239" w:rsidRPr="001930B7">
        <w:rPr>
          <w:b/>
        </w:rPr>
        <w:t>determination</w:t>
      </w:r>
      <w:r w:rsidR="001C1DD9" w:rsidRPr="001930B7">
        <w:rPr>
          <w:b/>
        </w:rPr>
        <w:t>s</w:t>
      </w:r>
    </w:p>
    <w:p w14:paraId="40790E8D" w14:textId="77777777" w:rsidR="006E52A6" w:rsidRPr="001930B7" w:rsidRDefault="00777F98" w:rsidP="00FC46B8">
      <w:pPr>
        <w:widowControl/>
        <w:autoSpaceDE/>
        <w:autoSpaceDN/>
        <w:spacing w:before="115" w:after="200" w:line="360" w:lineRule="auto"/>
        <w:divId w:val="1781293382"/>
        <w:rPr>
          <w:rFonts w:eastAsiaTheme="minorEastAsia"/>
          <w:color w:val="000000"/>
          <w:sz w:val="24"/>
          <w:szCs w:val="24"/>
          <w:lang w:val="en-AU" w:eastAsia="en-GB"/>
        </w:rPr>
      </w:pPr>
      <w:r w:rsidRPr="001930B7">
        <w:rPr>
          <w:rFonts w:eastAsiaTheme="minorEastAsia"/>
          <w:color w:val="000000"/>
          <w:sz w:val="24"/>
          <w:szCs w:val="24"/>
          <w:lang w:val="en-AU" w:eastAsia="en-GB"/>
        </w:rPr>
        <w:t>Industrial and commercial operations can generate: direct (scope 1) greenhouse gas emissions from on-site fuel combustion in equipment such as boilers, furnaces, and generators; indirect (scope 2) greenhouse gas emissions from electricity consumption in electrically powered equipment such as motors and heating elements; and industrial process emissions (scope 1 and scope 2) generated in processes such as chemical and cement manufacturing. A broad range of opportunities exist to reduce these emissions.</w:t>
      </w:r>
    </w:p>
    <w:p w14:paraId="7F2FFCFA" w14:textId="77777777" w:rsidR="006E52A6" w:rsidRPr="001930B7" w:rsidRDefault="00B305D3" w:rsidP="00FC46B8">
      <w:pPr>
        <w:widowControl/>
        <w:autoSpaceDE/>
        <w:autoSpaceDN/>
        <w:spacing w:after="200" w:line="360" w:lineRule="auto"/>
        <w:divId w:val="1781293382"/>
        <w:rPr>
          <w:rFonts w:eastAsiaTheme="minorEastAsia"/>
          <w:color w:val="000000"/>
          <w:sz w:val="24"/>
          <w:szCs w:val="24"/>
          <w:lang w:val="en-AU" w:eastAsia="en-GB"/>
        </w:rPr>
      </w:pPr>
      <w:r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When it was made, </w:t>
      </w:r>
      <w:r w:rsidR="006A70EE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the </w:t>
      </w:r>
      <w:r w:rsidR="00E42A67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>2015</w:t>
      </w:r>
      <w:r w:rsidR="006E52A6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 </w:t>
      </w:r>
      <w:r w:rsidR="006A70EE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IEFE </w:t>
      </w:r>
      <w:r w:rsidR="00A90B67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determination </w:t>
      </w:r>
      <w:r w:rsidR="006E52A6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>provide</w:t>
      </w:r>
      <w:r w:rsidR="00A90B67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>d</w:t>
      </w:r>
      <w:r w:rsidR="006E52A6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 </w:t>
      </w:r>
      <w:r w:rsidR="338B53DA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>an</w:t>
      </w:r>
      <w:r w:rsidR="006E52A6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 activity-neutral framework within which proponents </w:t>
      </w:r>
      <w:r w:rsidR="00034A2D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could </w:t>
      </w:r>
      <w:r w:rsidR="006E52A6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>develop project-appropriate approaches to calculating abatement from industrial energy (i.e. electricity and fuel) efficiency activities. Th</w:t>
      </w:r>
      <w:r w:rsidR="00FB23F5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>at</w:t>
      </w:r>
      <w:r w:rsidR="006E52A6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 approach provide</w:t>
      </w:r>
      <w:r w:rsidR="0075712A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>d</w:t>
      </w:r>
      <w:r w:rsidR="006E52A6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 flexibility for project proponents to determine what activities </w:t>
      </w:r>
      <w:r w:rsidR="006A0830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>were</w:t>
      </w:r>
      <w:r w:rsidR="006E52A6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 most appropriate for each site</w:t>
      </w:r>
      <w:r w:rsidR="00CA71AC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 included in the project</w:t>
      </w:r>
      <w:r w:rsidR="006E52A6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>.</w:t>
      </w:r>
    </w:p>
    <w:p w14:paraId="6F090724" w14:textId="30D9227A" w:rsidR="001601E9" w:rsidRPr="001930B7" w:rsidRDefault="001601E9" w:rsidP="38C5898A">
      <w:pPr>
        <w:widowControl/>
        <w:autoSpaceDE/>
        <w:autoSpaceDN/>
        <w:spacing w:after="200" w:line="360" w:lineRule="auto"/>
        <w:divId w:val="1781293382"/>
        <w:rPr>
          <w:rFonts w:ascii="Calibri" w:eastAsiaTheme="minorEastAsia" w:hAnsi="Calibri"/>
          <w:color w:val="000000"/>
          <w:lang w:val="en-AU" w:eastAsia="en-GB"/>
        </w:rPr>
      </w:pPr>
      <w:r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The 2021 ICER determination </w:t>
      </w:r>
      <w:r w:rsidR="002541A4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>was made in response to stakeholder feedback on the 2015 IEFE determination</w:t>
      </w:r>
      <w:r w:rsidR="009B35FB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>.</w:t>
      </w:r>
      <w:r w:rsidR="002541A4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 </w:t>
      </w:r>
      <w:r w:rsidR="009B35FB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The </w:t>
      </w:r>
      <w:r w:rsidR="00915BE3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2021 ICER </w:t>
      </w:r>
      <w:r w:rsidR="009B35FB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>determination</w:t>
      </w:r>
      <w:r w:rsidR="002541A4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 </w:t>
      </w:r>
      <w:r w:rsidR="009B35FB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>enables</w:t>
      </w:r>
      <w:r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 project proponents to generate Australian carbon credit units from activities that reduce the energy</w:t>
      </w:r>
      <w:r w:rsidR="00956992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 emissions</w:t>
      </w:r>
      <w:r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 and industrial process emissions produced by existing equipment. </w:t>
      </w:r>
    </w:p>
    <w:p w14:paraId="4863E7E3" w14:textId="18D37BCA" w:rsidR="003558D5" w:rsidRPr="001930B7" w:rsidRDefault="002541A4" w:rsidP="2E895A15">
      <w:pPr>
        <w:widowControl/>
        <w:autoSpaceDE/>
        <w:autoSpaceDN/>
        <w:spacing w:after="200" w:line="360" w:lineRule="auto"/>
        <w:divId w:val="1781293382"/>
        <w:rPr>
          <w:rFonts w:eastAsiaTheme="minorEastAsia"/>
          <w:color w:val="000000" w:themeColor="text1"/>
          <w:sz w:val="24"/>
          <w:szCs w:val="24"/>
          <w:lang w:val="en-AU" w:eastAsia="en-GB"/>
        </w:rPr>
      </w:pPr>
      <w:r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Building </w:t>
      </w:r>
      <w:r w:rsidR="00DB00DC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>on</w:t>
      </w:r>
      <w:r w:rsidR="00777F98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 </w:t>
      </w:r>
      <w:r w:rsidR="4BF89063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>the</w:t>
      </w:r>
      <w:r w:rsidR="00777F98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 </w:t>
      </w:r>
      <w:r w:rsidR="00E931D0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2015 </w:t>
      </w:r>
      <w:r w:rsidR="00777F98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IEFE </w:t>
      </w:r>
      <w:r w:rsidR="00E931D0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>determination</w:t>
      </w:r>
      <w:r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>,</w:t>
      </w:r>
      <w:r w:rsidR="00777F98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 </w:t>
      </w:r>
      <w:r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the 2021 ICER determination </w:t>
      </w:r>
      <w:r w:rsidR="00202D9E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included </w:t>
      </w:r>
      <w:r w:rsidR="00777F98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>a number of enhancements</w:t>
      </w:r>
      <w:r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>,</w:t>
      </w:r>
      <w:r w:rsidR="00777F98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 </w:t>
      </w:r>
      <w:r w:rsidR="6E7761E2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>including</w:t>
      </w:r>
      <w:r w:rsidR="003558D5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>:</w:t>
      </w:r>
    </w:p>
    <w:p w14:paraId="3BC3DA63" w14:textId="0440A564" w:rsidR="00222FB2" w:rsidRPr="001930B7" w:rsidRDefault="00777F98" w:rsidP="003558D5">
      <w:pPr>
        <w:pStyle w:val="ListParagraph"/>
        <w:widowControl/>
        <w:numPr>
          <w:ilvl w:val="0"/>
          <w:numId w:val="9"/>
        </w:numPr>
        <w:autoSpaceDE/>
        <w:autoSpaceDN/>
        <w:spacing w:after="200" w:line="360" w:lineRule="auto"/>
        <w:divId w:val="1781293382"/>
        <w:rPr>
          <w:rFonts w:ascii="Calibri" w:eastAsiaTheme="minorEastAsia" w:hAnsi="Calibri"/>
          <w:color w:val="000000"/>
          <w:lang w:val="en-AU" w:eastAsia="en-GB"/>
        </w:rPr>
      </w:pPr>
      <w:r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lastRenderedPageBreak/>
        <w:t>introducing new abatement opportunities</w:t>
      </w:r>
      <w:r w:rsidR="00BA1A41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 by crediting activities that reduce industrial process emissions</w:t>
      </w:r>
      <w:r w:rsidR="00FB121E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 such as</w:t>
      </w:r>
      <w:r w:rsidR="003C53EA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 </w:t>
      </w:r>
      <w:r w:rsidR="00177993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emissions from </w:t>
      </w:r>
      <w:r w:rsidR="003C53EA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>chemical</w:t>
      </w:r>
      <w:r w:rsidR="00FB121E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 and cement</w:t>
      </w:r>
      <w:r w:rsidR="003C53EA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 manufacturing</w:t>
      </w:r>
      <w:r w:rsidR="00866839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>,</w:t>
      </w:r>
    </w:p>
    <w:p w14:paraId="639DE985" w14:textId="77777777" w:rsidR="00BA1A41" w:rsidRPr="001930B7" w:rsidRDefault="00777F98" w:rsidP="003558D5">
      <w:pPr>
        <w:pStyle w:val="ListParagraph"/>
        <w:widowControl/>
        <w:numPr>
          <w:ilvl w:val="0"/>
          <w:numId w:val="9"/>
        </w:numPr>
        <w:autoSpaceDE/>
        <w:autoSpaceDN/>
        <w:spacing w:after="200" w:line="360" w:lineRule="auto"/>
        <w:divId w:val="1781293382"/>
        <w:rPr>
          <w:rFonts w:ascii="Calibri" w:eastAsiaTheme="minorEastAsia" w:hAnsi="Calibri"/>
          <w:color w:val="000000"/>
          <w:lang w:val="en-AU" w:eastAsia="en-GB"/>
        </w:rPr>
      </w:pPr>
      <w:r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improving method usability by providing project proponents </w:t>
      </w:r>
      <w:r w:rsidR="6E7761E2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with </w:t>
      </w:r>
      <w:r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>greater flexibility when conducting projects and calculating abatement</w:t>
      </w:r>
      <w:r w:rsidR="00BA1A41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, </w:t>
      </w:r>
    </w:p>
    <w:p w14:paraId="3C148030" w14:textId="3700D1EC" w:rsidR="4D5293BD" w:rsidRPr="001930B7" w:rsidRDefault="00DE3664" w:rsidP="4D5293BD">
      <w:pPr>
        <w:pStyle w:val="ListParagraph"/>
        <w:widowControl/>
        <w:numPr>
          <w:ilvl w:val="0"/>
          <w:numId w:val="9"/>
        </w:numPr>
        <w:spacing w:after="200" w:line="360" w:lineRule="auto"/>
        <w:rPr>
          <w:rFonts w:eastAsiaTheme="minorEastAsia"/>
          <w:color w:val="000000" w:themeColor="text1"/>
          <w:lang w:val="en-AU" w:eastAsia="en-GB"/>
        </w:rPr>
      </w:pPr>
      <w:r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adding </w:t>
      </w:r>
      <w:r w:rsidR="4D5293BD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>the</w:t>
      </w:r>
      <w:r w:rsidR="00A53382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 </w:t>
      </w:r>
      <w:r w:rsidR="00577C87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>requirement</w:t>
      </w:r>
      <w:r w:rsidR="00A53382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 </w:t>
      </w:r>
      <w:r w:rsidR="00786A7D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for project proponents </w:t>
      </w:r>
      <w:r w:rsidR="00A53382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>to provide a</w:t>
      </w:r>
      <w:r w:rsidR="4D5293BD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 statement of</w:t>
      </w:r>
      <w:r w:rsidR="003F4C76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 activity</w:t>
      </w:r>
      <w:r w:rsidR="4D5293BD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 intent and </w:t>
      </w:r>
      <w:r w:rsidR="00D6020E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amending </w:t>
      </w:r>
      <w:r w:rsidR="00A53382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the </w:t>
      </w:r>
      <w:r w:rsidR="4D5293BD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>calculation of scope 2 emissions from electricity consumption to better align with the offsets integrity standards.</w:t>
      </w:r>
    </w:p>
    <w:p w14:paraId="7986885A" w14:textId="3F1598DD" w:rsidR="00116986" w:rsidRPr="001930B7" w:rsidRDefault="00116986" w:rsidP="00333EF3">
      <w:pPr>
        <w:widowControl/>
        <w:autoSpaceDE/>
        <w:autoSpaceDN/>
        <w:spacing w:after="200" w:line="360" w:lineRule="auto"/>
        <w:rPr>
          <w:rFonts w:eastAsiaTheme="minorEastAsia"/>
          <w:color w:val="000000" w:themeColor="text1"/>
          <w:lang w:val="en-AU" w:eastAsia="en-GB"/>
        </w:rPr>
      </w:pPr>
      <w:r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Accordingly, it is no longer appropriate for new projects to be </w:t>
      </w:r>
      <w:r w:rsidR="00384FA5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>covered by</w:t>
      </w:r>
      <w:r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 the 2015 IEFE determination.</w:t>
      </w:r>
    </w:p>
    <w:p w14:paraId="3929D982" w14:textId="5D73C90B" w:rsidR="00662B9A" w:rsidRPr="001930B7" w:rsidRDefault="00662B9A" w:rsidP="00860E42">
      <w:pPr>
        <w:pStyle w:val="BodyText"/>
        <w:spacing w:before="115" w:line="360" w:lineRule="auto"/>
        <w:ind w:right="152"/>
        <w:rPr>
          <w:b/>
          <w:bCs/>
        </w:rPr>
      </w:pPr>
      <w:r w:rsidRPr="001930B7">
        <w:rPr>
          <w:b/>
          <w:bCs/>
        </w:rPr>
        <w:t>Impact on Existing Projects</w:t>
      </w:r>
    </w:p>
    <w:p w14:paraId="158A30F6" w14:textId="77777777" w:rsidR="00BB2E83" w:rsidRPr="001930B7" w:rsidRDefault="00BB2E83" w:rsidP="00860E42">
      <w:pPr>
        <w:pStyle w:val="BodyText"/>
        <w:spacing w:before="115" w:line="360" w:lineRule="auto"/>
        <w:ind w:right="206"/>
        <w:rPr>
          <w:spacing w:val="1"/>
        </w:rPr>
      </w:pPr>
      <w:r w:rsidRPr="001930B7">
        <w:rPr>
          <w:spacing w:val="1"/>
        </w:rPr>
        <w:t xml:space="preserve">The impact on </w:t>
      </w:r>
      <w:r w:rsidR="002C0836" w:rsidRPr="001930B7">
        <w:rPr>
          <w:spacing w:val="1"/>
        </w:rPr>
        <w:t xml:space="preserve">an </w:t>
      </w:r>
      <w:r w:rsidRPr="001930B7">
        <w:rPr>
          <w:spacing w:val="1"/>
        </w:rPr>
        <w:t xml:space="preserve">existing </w:t>
      </w:r>
      <w:r w:rsidR="00032981" w:rsidRPr="001930B7">
        <w:rPr>
          <w:spacing w:val="1"/>
        </w:rPr>
        <w:t xml:space="preserve">eligible </w:t>
      </w:r>
      <w:r w:rsidR="00DD53BA" w:rsidRPr="001930B7">
        <w:rPr>
          <w:spacing w:val="1"/>
        </w:rPr>
        <w:t>offsets</w:t>
      </w:r>
      <w:r w:rsidRPr="001930B7">
        <w:rPr>
          <w:spacing w:val="1"/>
        </w:rPr>
        <w:t xml:space="preserve"> project </w:t>
      </w:r>
      <w:r w:rsidR="002C0836" w:rsidRPr="001930B7">
        <w:rPr>
          <w:spacing w:val="1"/>
        </w:rPr>
        <w:t xml:space="preserve">that has been </w:t>
      </w:r>
      <w:r w:rsidR="009A5B0A" w:rsidRPr="001930B7">
        <w:rPr>
          <w:spacing w:val="1"/>
        </w:rPr>
        <w:t xml:space="preserve">registered </w:t>
      </w:r>
      <w:r w:rsidRPr="001930B7">
        <w:rPr>
          <w:spacing w:val="1"/>
        </w:rPr>
        <w:t xml:space="preserve">under the 2015 IEFE determination </w:t>
      </w:r>
      <w:r w:rsidR="00303092" w:rsidRPr="001930B7">
        <w:rPr>
          <w:spacing w:val="1"/>
        </w:rPr>
        <w:t xml:space="preserve">(an </w:t>
      </w:r>
      <w:r w:rsidR="00303092" w:rsidRPr="001930B7">
        <w:rPr>
          <w:b/>
          <w:bCs/>
          <w:spacing w:val="1"/>
        </w:rPr>
        <w:t>existing project</w:t>
      </w:r>
      <w:r w:rsidR="00303092" w:rsidRPr="001930B7">
        <w:rPr>
          <w:spacing w:val="1"/>
        </w:rPr>
        <w:t>)</w:t>
      </w:r>
      <w:r w:rsidR="00303092" w:rsidRPr="001930B7">
        <w:rPr>
          <w:b/>
          <w:bCs/>
          <w:spacing w:val="1"/>
        </w:rPr>
        <w:t xml:space="preserve"> </w:t>
      </w:r>
      <w:r w:rsidR="00CE535A" w:rsidRPr="001930B7">
        <w:rPr>
          <w:spacing w:val="1"/>
        </w:rPr>
        <w:t xml:space="preserve">will </w:t>
      </w:r>
      <w:r w:rsidRPr="001930B7">
        <w:rPr>
          <w:spacing w:val="1"/>
        </w:rPr>
        <w:t>depend on whether the crediting period for that project</w:t>
      </w:r>
      <w:r w:rsidR="00DD53BA" w:rsidRPr="001930B7">
        <w:rPr>
          <w:spacing w:val="1"/>
        </w:rPr>
        <w:t xml:space="preserve"> </w:t>
      </w:r>
      <w:r w:rsidR="001E45CD" w:rsidRPr="001930B7">
        <w:rPr>
          <w:spacing w:val="1"/>
        </w:rPr>
        <w:t xml:space="preserve">has </w:t>
      </w:r>
      <w:r w:rsidR="00AE4F1C" w:rsidRPr="001930B7">
        <w:rPr>
          <w:spacing w:val="1"/>
        </w:rPr>
        <w:t xml:space="preserve">commenced at the time </w:t>
      </w:r>
      <w:r w:rsidR="001469FF" w:rsidRPr="001930B7">
        <w:rPr>
          <w:spacing w:val="1"/>
        </w:rPr>
        <w:t xml:space="preserve">that determination is revoked by the </w:t>
      </w:r>
      <w:r w:rsidR="00DE16D8" w:rsidRPr="001930B7">
        <w:rPr>
          <w:spacing w:val="1"/>
        </w:rPr>
        <w:t>Revocation Instrument</w:t>
      </w:r>
      <w:r w:rsidR="00AE4F1C" w:rsidRPr="001930B7">
        <w:rPr>
          <w:spacing w:val="1"/>
        </w:rPr>
        <w:t>.</w:t>
      </w:r>
    </w:p>
    <w:p w14:paraId="718513F2" w14:textId="24618DEF" w:rsidR="00A03E61" w:rsidRPr="001930B7" w:rsidRDefault="00303092" w:rsidP="00860E42">
      <w:pPr>
        <w:pStyle w:val="BodyText"/>
        <w:spacing w:before="115" w:line="360" w:lineRule="auto"/>
        <w:ind w:right="206"/>
      </w:pPr>
      <w:r w:rsidRPr="001930B7">
        <w:t>An existing project</w:t>
      </w:r>
      <w:r w:rsidR="00D01B3E" w:rsidRPr="001930B7">
        <w:t xml:space="preserve"> </w:t>
      </w:r>
      <w:r w:rsidR="00055956" w:rsidRPr="001930B7">
        <w:t>whos</w:t>
      </w:r>
      <w:r w:rsidR="005D53A7" w:rsidRPr="001930B7">
        <w:t xml:space="preserve">e </w:t>
      </w:r>
      <w:r w:rsidR="00055956" w:rsidRPr="001930B7" w:rsidDel="00273561">
        <w:t>c</w:t>
      </w:r>
      <w:r w:rsidR="00055956" w:rsidRPr="001930B7">
        <w:t xml:space="preserve">rediting period </w:t>
      </w:r>
      <w:r w:rsidR="00AE4F1C" w:rsidRPr="001930B7">
        <w:t>began</w:t>
      </w:r>
      <w:r w:rsidR="00055956" w:rsidRPr="001930B7">
        <w:t xml:space="preserve"> </w:t>
      </w:r>
      <w:r w:rsidR="00C637F4" w:rsidRPr="001930B7">
        <w:t xml:space="preserve">before </w:t>
      </w:r>
      <w:r w:rsidR="00AC1EAF" w:rsidRPr="001930B7">
        <w:t xml:space="preserve">the </w:t>
      </w:r>
      <w:r w:rsidR="00C637F4" w:rsidRPr="001930B7">
        <w:t>revocation</w:t>
      </w:r>
      <w:r w:rsidR="00A36645" w:rsidRPr="001930B7">
        <w:rPr>
          <w:rFonts w:eastAsiaTheme="minorEastAsia"/>
          <w:color w:val="000000"/>
          <w:lang w:val="en-AU" w:eastAsia="en-GB"/>
        </w:rPr>
        <w:t xml:space="preserve"> of the 2015 IEFE determination</w:t>
      </w:r>
      <w:r w:rsidR="00B04863" w:rsidRPr="001930B7">
        <w:t xml:space="preserve"> </w:t>
      </w:r>
      <w:r w:rsidR="00055956" w:rsidRPr="001930B7">
        <w:t xml:space="preserve">can continue to </w:t>
      </w:r>
      <w:r w:rsidR="00C70E22" w:rsidRPr="001930B7">
        <w:t xml:space="preserve">be covered by </w:t>
      </w:r>
      <w:r w:rsidR="00243DEF" w:rsidRPr="001930B7">
        <w:t xml:space="preserve">the 2015 IEFE </w:t>
      </w:r>
      <w:r w:rsidR="00055956" w:rsidRPr="001930B7">
        <w:t xml:space="preserve">determination in the form </w:t>
      </w:r>
      <w:r w:rsidR="006352BB" w:rsidRPr="001930B7">
        <w:t>that applied to the project immediately before the revocation</w:t>
      </w:r>
      <w:r w:rsidR="009230AE" w:rsidRPr="001930B7">
        <w:rPr>
          <w:spacing w:val="1"/>
        </w:rPr>
        <w:t xml:space="preserve">, pursuant to </w:t>
      </w:r>
      <w:r w:rsidR="00055956" w:rsidRPr="001930B7">
        <w:t>section 127 of</w:t>
      </w:r>
      <w:r w:rsidR="00055956" w:rsidRPr="001930B7">
        <w:rPr>
          <w:spacing w:val="-1"/>
        </w:rPr>
        <w:t xml:space="preserve"> </w:t>
      </w:r>
      <w:r w:rsidR="00055956" w:rsidRPr="001930B7">
        <w:t>the</w:t>
      </w:r>
      <w:r w:rsidR="00055956" w:rsidRPr="001930B7">
        <w:rPr>
          <w:spacing w:val="-1"/>
        </w:rPr>
        <w:t xml:space="preserve"> </w:t>
      </w:r>
      <w:r w:rsidR="00055956" w:rsidRPr="001930B7">
        <w:t>Act.</w:t>
      </w:r>
      <w:r w:rsidR="00273561" w:rsidRPr="001930B7">
        <w:t xml:space="preserve"> </w:t>
      </w:r>
      <w:r w:rsidR="00E44544" w:rsidRPr="001930B7">
        <w:t>However</w:t>
      </w:r>
      <w:r w:rsidR="00F92A0D" w:rsidRPr="001930B7">
        <w:t>,</w:t>
      </w:r>
      <w:r w:rsidR="00E44544" w:rsidRPr="001930B7">
        <w:t xml:space="preserve"> </w:t>
      </w:r>
      <w:r w:rsidR="00C42729" w:rsidRPr="001930B7">
        <w:t>pursuant to section 128 of the Act</w:t>
      </w:r>
      <w:r w:rsidR="00211CBF" w:rsidRPr="001930B7">
        <w:t>,</w:t>
      </w:r>
      <w:r w:rsidR="00C42729" w:rsidRPr="001930B7">
        <w:t xml:space="preserve"> </w:t>
      </w:r>
      <w:r w:rsidR="00E74982" w:rsidRPr="001930B7">
        <w:t xml:space="preserve">the </w:t>
      </w:r>
      <w:r w:rsidR="00E44544" w:rsidRPr="001930B7">
        <w:t xml:space="preserve">project proponent </w:t>
      </w:r>
      <w:r w:rsidR="00E74982" w:rsidRPr="001930B7">
        <w:t xml:space="preserve">of such an existing project </w:t>
      </w:r>
      <w:r w:rsidR="00E44544" w:rsidRPr="001930B7">
        <w:t xml:space="preserve">may </w:t>
      </w:r>
      <w:r w:rsidR="00E87B3D" w:rsidRPr="001930B7">
        <w:t>request</w:t>
      </w:r>
      <w:r w:rsidR="00C70E22" w:rsidRPr="001930B7">
        <w:t xml:space="preserve"> that the Clean Energy Regulator (the </w:t>
      </w:r>
      <w:r w:rsidR="00C70E22" w:rsidRPr="001930B7">
        <w:rPr>
          <w:b/>
        </w:rPr>
        <w:t>Regulator</w:t>
      </w:r>
      <w:r w:rsidR="00C70E22" w:rsidRPr="001930B7">
        <w:t>) approves the application of</w:t>
      </w:r>
      <w:r w:rsidR="00184567" w:rsidRPr="001930B7">
        <w:t xml:space="preserve"> the </w:t>
      </w:r>
      <w:r w:rsidR="004A6D3D" w:rsidRPr="001930B7">
        <w:t xml:space="preserve">2021 ICER </w:t>
      </w:r>
      <w:r w:rsidR="00EA6A6F" w:rsidRPr="001930B7">
        <w:t>d</w:t>
      </w:r>
      <w:r w:rsidR="004A6D3D" w:rsidRPr="001930B7">
        <w:t>etermination</w:t>
      </w:r>
      <w:r w:rsidR="00C70E22" w:rsidRPr="001930B7">
        <w:t xml:space="preserve"> to </w:t>
      </w:r>
      <w:r w:rsidR="00C42729" w:rsidRPr="001930B7">
        <w:t>the existing</w:t>
      </w:r>
      <w:r w:rsidR="00C70E22" w:rsidRPr="001930B7">
        <w:t xml:space="preserve"> project</w:t>
      </w:r>
      <w:r w:rsidR="004A6D3D" w:rsidRPr="001930B7">
        <w:t xml:space="preserve">, </w:t>
      </w:r>
      <w:r w:rsidR="00DC6973" w:rsidRPr="001930B7">
        <w:t>subject to meeting its eligibility requirements.</w:t>
      </w:r>
      <w:r w:rsidR="004A6D3D" w:rsidRPr="001930B7">
        <w:t xml:space="preserve"> </w:t>
      </w:r>
      <w:r w:rsidR="000D3C93" w:rsidRPr="001930B7">
        <w:t xml:space="preserve">If </w:t>
      </w:r>
      <w:r w:rsidR="006001BC" w:rsidRPr="001930B7">
        <w:t xml:space="preserve">the request is </w:t>
      </w:r>
      <w:r w:rsidR="000D3C93" w:rsidRPr="001930B7">
        <w:t xml:space="preserve">approved by the </w:t>
      </w:r>
      <w:r w:rsidR="00C11FCB" w:rsidRPr="001930B7">
        <w:t xml:space="preserve">Regulator pursuant to section 130 of the Act, </w:t>
      </w:r>
      <w:r w:rsidR="00211CBF" w:rsidRPr="001930B7">
        <w:t>the</w:t>
      </w:r>
      <w:r w:rsidR="00375551" w:rsidRPr="001930B7">
        <w:t xml:space="preserve"> project is referred to as a</w:t>
      </w:r>
      <w:r w:rsidR="002F13CB" w:rsidRPr="001930B7">
        <w:t xml:space="preserve"> “transferring IEFE project” in the 2021 ICER determination.</w:t>
      </w:r>
    </w:p>
    <w:p w14:paraId="5A2D28A9" w14:textId="0BD2F451" w:rsidR="00AF63D2" w:rsidRPr="001930B7" w:rsidRDefault="00BD0D54" w:rsidP="00D46254">
      <w:pPr>
        <w:widowControl/>
        <w:autoSpaceDE/>
        <w:autoSpaceDN/>
        <w:spacing w:before="120" w:line="360" w:lineRule="auto"/>
        <w:rPr>
          <w:rFonts w:ascii="Calibri" w:eastAsiaTheme="minorEastAsia" w:hAnsi="Calibri"/>
          <w:color w:val="000000"/>
          <w:lang w:val="en-AU" w:eastAsia="en-GB"/>
        </w:rPr>
      </w:pPr>
      <w:r w:rsidRPr="001930B7">
        <w:rPr>
          <w:rFonts w:eastAsiaTheme="minorEastAsia"/>
          <w:color w:val="000000"/>
          <w:sz w:val="24"/>
          <w:szCs w:val="24"/>
          <w:lang w:val="en-AU" w:eastAsia="en-GB"/>
        </w:rPr>
        <w:t>An e</w:t>
      </w:r>
      <w:r w:rsidR="005E035F" w:rsidRPr="001930B7">
        <w:rPr>
          <w:rFonts w:eastAsiaTheme="minorEastAsia"/>
          <w:color w:val="000000"/>
          <w:sz w:val="24"/>
          <w:szCs w:val="24"/>
          <w:lang w:val="en-AU" w:eastAsia="en-GB"/>
        </w:rPr>
        <w:t xml:space="preserve">xisting </w:t>
      </w:r>
      <w:r w:rsidR="004A6D3D" w:rsidRPr="001930B7">
        <w:rPr>
          <w:rFonts w:eastAsiaTheme="minorEastAsia"/>
          <w:color w:val="000000"/>
          <w:sz w:val="24"/>
          <w:szCs w:val="24"/>
          <w:lang w:val="en-AU" w:eastAsia="en-GB"/>
        </w:rPr>
        <w:t>p</w:t>
      </w:r>
      <w:r w:rsidR="00AF63D2" w:rsidRPr="001930B7">
        <w:rPr>
          <w:rFonts w:eastAsiaTheme="minorEastAsia"/>
          <w:color w:val="000000"/>
          <w:sz w:val="24"/>
          <w:szCs w:val="24"/>
          <w:lang w:val="en-AU" w:eastAsia="en-GB"/>
        </w:rPr>
        <w:t xml:space="preserve">roject whose crediting period </w:t>
      </w:r>
      <w:r w:rsidRPr="001930B7">
        <w:rPr>
          <w:rFonts w:eastAsiaTheme="minorEastAsia"/>
          <w:color w:val="000000"/>
          <w:sz w:val="24"/>
          <w:szCs w:val="24"/>
          <w:lang w:val="en-AU" w:eastAsia="en-GB"/>
        </w:rPr>
        <w:t xml:space="preserve">has </w:t>
      </w:r>
      <w:r w:rsidR="00AF63D2" w:rsidRPr="001930B7">
        <w:rPr>
          <w:rFonts w:eastAsiaTheme="minorEastAsia"/>
          <w:color w:val="000000"/>
          <w:sz w:val="24"/>
          <w:szCs w:val="24"/>
          <w:lang w:val="en-AU" w:eastAsia="en-GB"/>
        </w:rPr>
        <w:t xml:space="preserve">not commenced </w:t>
      </w:r>
      <w:r w:rsidR="008E4F1B" w:rsidRPr="001930B7">
        <w:rPr>
          <w:rFonts w:eastAsiaTheme="minorEastAsia"/>
          <w:color w:val="000000"/>
          <w:sz w:val="24"/>
          <w:szCs w:val="24"/>
          <w:lang w:val="en-AU" w:eastAsia="en-GB"/>
        </w:rPr>
        <w:t xml:space="preserve">when </w:t>
      </w:r>
      <w:r w:rsidR="00354759" w:rsidRPr="001930B7">
        <w:rPr>
          <w:rFonts w:eastAsiaTheme="minorEastAsia"/>
          <w:color w:val="000000"/>
          <w:sz w:val="24"/>
          <w:szCs w:val="24"/>
          <w:lang w:val="en-AU" w:eastAsia="en-GB"/>
        </w:rPr>
        <w:t xml:space="preserve">revocation </w:t>
      </w:r>
      <w:r w:rsidR="00FE17F7" w:rsidRPr="001930B7">
        <w:rPr>
          <w:rFonts w:eastAsiaTheme="minorEastAsia"/>
          <w:color w:val="000000"/>
          <w:sz w:val="24"/>
          <w:szCs w:val="24"/>
          <w:lang w:val="en-AU" w:eastAsia="en-GB"/>
        </w:rPr>
        <w:t xml:space="preserve">of the 2015 IEFE determination </w:t>
      </w:r>
      <w:r w:rsidR="008E4F1B" w:rsidRPr="001930B7">
        <w:rPr>
          <w:rFonts w:eastAsiaTheme="minorEastAsia"/>
          <w:color w:val="000000"/>
          <w:sz w:val="24"/>
          <w:szCs w:val="24"/>
          <w:lang w:val="en-AU" w:eastAsia="en-GB"/>
        </w:rPr>
        <w:t xml:space="preserve">occurs </w:t>
      </w:r>
      <w:r w:rsidR="00DC1F50" w:rsidRPr="001930B7">
        <w:rPr>
          <w:rFonts w:eastAsiaTheme="minorEastAsia"/>
          <w:color w:val="000000"/>
          <w:sz w:val="24"/>
          <w:szCs w:val="24"/>
          <w:lang w:val="en-AU" w:eastAsia="en-GB"/>
        </w:rPr>
        <w:t xml:space="preserve">cannot </w:t>
      </w:r>
      <w:r w:rsidR="00384FA5" w:rsidRPr="001930B7">
        <w:rPr>
          <w:rFonts w:eastAsiaTheme="minorEastAsia"/>
          <w:color w:val="000000"/>
          <w:sz w:val="24"/>
          <w:szCs w:val="24"/>
          <w:lang w:val="en-AU" w:eastAsia="en-GB"/>
        </w:rPr>
        <w:t>be covered by</w:t>
      </w:r>
      <w:r w:rsidR="0094212A" w:rsidRPr="001930B7">
        <w:rPr>
          <w:rFonts w:eastAsiaTheme="minorEastAsia"/>
          <w:color w:val="000000"/>
          <w:sz w:val="24"/>
          <w:szCs w:val="24"/>
          <w:lang w:val="en-AU" w:eastAsia="en-GB"/>
        </w:rPr>
        <w:t xml:space="preserve"> the revoked</w:t>
      </w:r>
      <w:r w:rsidR="00A63341" w:rsidRPr="001930B7">
        <w:rPr>
          <w:rFonts w:eastAsiaTheme="minorEastAsia"/>
          <w:color w:val="000000"/>
          <w:sz w:val="24"/>
          <w:szCs w:val="24"/>
          <w:lang w:val="en-AU" w:eastAsia="en-GB"/>
        </w:rPr>
        <w:t xml:space="preserve"> </w:t>
      </w:r>
      <w:r w:rsidR="0094212A" w:rsidRPr="001930B7">
        <w:rPr>
          <w:rFonts w:eastAsiaTheme="minorEastAsia"/>
          <w:color w:val="000000"/>
          <w:sz w:val="24"/>
          <w:szCs w:val="24"/>
          <w:lang w:val="en-AU" w:eastAsia="en-GB"/>
        </w:rPr>
        <w:t xml:space="preserve">determination. </w:t>
      </w:r>
      <w:r w:rsidR="00FC17D3" w:rsidRPr="001930B7">
        <w:rPr>
          <w:rFonts w:eastAsiaTheme="minorEastAsia"/>
          <w:color w:val="000000"/>
          <w:sz w:val="24"/>
          <w:szCs w:val="24"/>
          <w:lang w:val="en-AU" w:eastAsia="en-GB"/>
        </w:rPr>
        <w:t xml:space="preserve">The </w:t>
      </w:r>
      <w:r w:rsidR="00330B39" w:rsidRPr="001930B7">
        <w:rPr>
          <w:rFonts w:eastAsiaTheme="minorEastAsia"/>
          <w:color w:val="000000"/>
          <w:sz w:val="24"/>
          <w:szCs w:val="24"/>
          <w:lang w:val="en-AU" w:eastAsia="en-GB"/>
        </w:rPr>
        <w:t>p</w:t>
      </w:r>
      <w:r w:rsidR="0094212A" w:rsidRPr="001930B7">
        <w:rPr>
          <w:rFonts w:eastAsiaTheme="minorEastAsia"/>
          <w:color w:val="000000"/>
          <w:sz w:val="24"/>
          <w:szCs w:val="24"/>
          <w:lang w:val="en-AU" w:eastAsia="en-GB"/>
        </w:rPr>
        <w:t>roject proponent</w:t>
      </w:r>
      <w:r w:rsidR="00330B39" w:rsidRPr="001930B7">
        <w:rPr>
          <w:rFonts w:eastAsiaTheme="minorEastAsia"/>
          <w:color w:val="000000"/>
          <w:sz w:val="24"/>
          <w:szCs w:val="24"/>
          <w:lang w:val="en-AU" w:eastAsia="en-GB"/>
        </w:rPr>
        <w:t xml:space="preserve"> </w:t>
      </w:r>
      <w:r w:rsidR="00F37361" w:rsidRPr="001930B7">
        <w:rPr>
          <w:rFonts w:eastAsiaTheme="minorEastAsia"/>
          <w:color w:val="000000"/>
          <w:sz w:val="24"/>
          <w:szCs w:val="24"/>
          <w:lang w:val="en-AU" w:eastAsia="en-GB"/>
        </w:rPr>
        <w:t>of such an existing project</w:t>
      </w:r>
      <w:r w:rsidR="0094212A" w:rsidRPr="001930B7">
        <w:rPr>
          <w:rFonts w:eastAsiaTheme="minorEastAsia"/>
          <w:color w:val="000000"/>
          <w:sz w:val="24"/>
          <w:szCs w:val="24"/>
          <w:lang w:val="en-AU" w:eastAsia="en-GB"/>
        </w:rPr>
        <w:t xml:space="preserve"> may </w:t>
      </w:r>
      <w:r w:rsidR="00AF63D2" w:rsidRPr="001930B7">
        <w:rPr>
          <w:rFonts w:eastAsiaTheme="minorEastAsia"/>
          <w:color w:val="000000"/>
          <w:sz w:val="24"/>
          <w:szCs w:val="24"/>
          <w:lang w:val="en-AU" w:eastAsia="en-GB"/>
        </w:rPr>
        <w:t xml:space="preserve">reapply </w:t>
      </w:r>
      <w:r w:rsidR="00DC71F5" w:rsidRPr="001930B7">
        <w:rPr>
          <w:rFonts w:eastAsiaTheme="minorEastAsia"/>
          <w:color w:val="000000"/>
          <w:sz w:val="24"/>
          <w:szCs w:val="24"/>
          <w:lang w:val="en-AU" w:eastAsia="en-GB"/>
        </w:rPr>
        <w:t xml:space="preserve">to </w:t>
      </w:r>
      <w:r w:rsidR="00330B39" w:rsidRPr="001930B7">
        <w:rPr>
          <w:rFonts w:eastAsiaTheme="minorEastAsia"/>
          <w:color w:val="000000"/>
          <w:sz w:val="24"/>
          <w:szCs w:val="24"/>
          <w:lang w:val="en-AU" w:eastAsia="en-GB"/>
        </w:rPr>
        <w:t xml:space="preserve">have </w:t>
      </w:r>
      <w:r w:rsidR="00F37361" w:rsidRPr="001930B7">
        <w:rPr>
          <w:rFonts w:eastAsiaTheme="minorEastAsia"/>
          <w:color w:val="000000"/>
          <w:sz w:val="24"/>
          <w:szCs w:val="24"/>
          <w:lang w:val="en-AU" w:eastAsia="en-GB"/>
        </w:rPr>
        <w:t>the</w:t>
      </w:r>
      <w:r w:rsidR="00CA61BC" w:rsidRPr="001930B7">
        <w:rPr>
          <w:rFonts w:eastAsiaTheme="minorEastAsia"/>
          <w:color w:val="000000"/>
          <w:sz w:val="24"/>
          <w:szCs w:val="24"/>
          <w:lang w:val="en-AU" w:eastAsia="en-GB"/>
        </w:rPr>
        <w:t>ir</w:t>
      </w:r>
      <w:r w:rsidR="00F37361" w:rsidRPr="001930B7">
        <w:rPr>
          <w:rFonts w:eastAsiaTheme="minorEastAsia"/>
          <w:color w:val="000000"/>
          <w:sz w:val="24"/>
          <w:szCs w:val="24"/>
          <w:lang w:val="en-AU" w:eastAsia="en-GB"/>
        </w:rPr>
        <w:t xml:space="preserve"> project </w:t>
      </w:r>
      <w:r w:rsidR="0053595D" w:rsidRPr="001930B7">
        <w:rPr>
          <w:rFonts w:eastAsiaTheme="minorEastAsia"/>
          <w:color w:val="000000"/>
          <w:sz w:val="24"/>
          <w:szCs w:val="24"/>
          <w:lang w:val="en-AU" w:eastAsia="en-GB"/>
        </w:rPr>
        <w:t xml:space="preserve">registered </w:t>
      </w:r>
      <w:r w:rsidR="00F37361" w:rsidRPr="001930B7">
        <w:rPr>
          <w:rFonts w:eastAsiaTheme="minorEastAsia"/>
          <w:color w:val="000000"/>
          <w:sz w:val="24"/>
          <w:szCs w:val="24"/>
          <w:lang w:val="en-AU" w:eastAsia="en-GB"/>
        </w:rPr>
        <w:t xml:space="preserve">as </w:t>
      </w:r>
      <w:r w:rsidR="002A2B3A" w:rsidRPr="001930B7">
        <w:rPr>
          <w:rFonts w:eastAsiaTheme="minorEastAsia"/>
          <w:color w:val="000000"/>
          <w:sz w:val="24"/>
          <w:szCs w:val="24"/>
          <w:lang w:val="en-AU" w:eastAsia="en-GB"/>
        </w:rPr>
        <w:t xml:space="preserve">an </w:t>
      </w:r>
      <w:r w:rsidR="00DC71F5" w:rsidRPr="001930B7">
        <w:rPr>
          <w:rFonts w:eastAsiaTheme="minorEastAsia"/>
          <w:color w:val="000000"/>
          <w:sz w:val="24"/>
          <w:szCs w:val="24"/>
          <w:lang w:val="en-AU" w:eastAsia="en-GB"/>
        </w:rPr>
        <w:t xml:space="preserve">eligible </w:t>
      </w:r>
      <w:r w:rsidR="008760AC" w:rsidRPr="001930B7">
        <w:rPr>
          <w:rFonts w:eastAsiaTheme="minorEastAsia"/>
          <w:color w:val="000000"/>
          <w:sz w:val="24"/>
          <w:szCs w:val="24"/>
          <w:lang w:val="en-AU" w:eastAsia="en-GB"/>
        </w:rPr>
        <w:t xml:space="preserve">offsets </w:t>
      </w:r>
      <w:r w:rsidR="00AF63D2" w:rsidRPr="001930B7">
        <w:rPr>
          <w:rFonts w:eastAsiaTheme="minorEastAsia"/>
          <w:color w:val="000000"/>
          <w:sz w:val="24"/>
          <w:szCs w:val="24"/>
          <w:lang w:val="en-AU" w:eastAsia="en-GB"/>
        </w:rPr>
        <w:t xml:space="preserve">project </w:t>
      </w:r>
      <w:r w:rsidR="000B4F82" w:rsidRPr="001930B7">
        <w:rPr>
          <w:rFonts w:eastAsiaTheme="minorEastAsia"/>
          <w:color w:val="000000"/>
          <w:sz w:val="24"/>
          <w:szCs w:val="24"/>
          <w:lang w:val="en-AU" w:eastAsia="en-GB"/>
        </w:rPr>
        <w:t xml:space="preserve">covered by </w:t>
      </w:r>
      <w:r w:rsidR="00AF63D2" w:rsidRPr="001930B7">
        <w:rPr>
          <w:rFonts w:eastAsiaTheme="minorEastAsia"/>
          <w:color w:val="000000"/>
          <w:sz w:val="24"/>
          <w:szCs w:val="24"/>
          <w:lang w:val="en-AU" w:eastAsia="en-GB"/>
        </w:rPr>
        <w:t xml:space="preserve">the 2021 ICER </w:t>
      </w:r>
      <w:r w:rsidR="00DC71F5" w:rsidRPr="001930B7">
        <w:rPr>
          <w:rFonts w:eastAsiaTheme="minorEastAsia"/>
          <w:color w:val="000000"/>
          <w:sz w:val="24"/>
          <w:szCs w:val="24"/>
          <w:lang w:val="en-AU" w:eastAsia="en-GB"/>
        </w:rPr>
        <w:t>d</w:t>
      </w:r>
      <w:r w:rsidR="00AF63D2" w:rsidRPr="001930B7">
        <w:rPr>
          <w:rFonts w:eastAsiaTheme="minorEastAsia"/>
          <w:color w:val="000000"/>
          <w:sz w:val="24"/>
          <w:szCs w:val="24"/>
          <w:lang w:val="en-AU" w:eastAsia="en-GB"/>
        </w:rPr>
        <w:t>etermination.</w:t>
      </w:r>
    </w:p>
    <w:p w14:paraId="117DC366" w14:textId="3761B6BE" w:rsidR="00273561" w:rsidRPr="001930B7" w:rsidRDefault="00055956" w:rsidP="00AF63D2">
      <w:pPr>
        <w:pStyle w:val="BodyText"/>
        <w:spacing w:before="115" w:line="360" w:lineRule="auto"/>
        <w:ind w:right="206"/>
      </w:pPr>
      <w:r w:rsidRPr="001930B7">
        <w:t>New offsets projects will not be able to</w:t>
      </w:r>
      <w:r w:rsidR="00C166EE" w:rsidRPr="001930B7">
        <w:t xml:space="preserve"> be</w:t>
      </w:r>
      <w:r w:rsidRPr="001930B7">
        <w:t xml:space="preserve"> </w:t>
      </w:r>
      <w:r w:rsidR="0053595D" w:rsidRPr="001930B7">
        <w:t xml:space="preserve">registered </w:t>
      </w:r>
      <w:r w:rsidR="000B4F82" w:rsidRPr="001930B7">
        <w:t xml:space="preserve">as eligible offsets projects covered by </w:t>
      </w:r>
      <w:r w:rsidRPr="001930B7">
        <w:t xml:space="preserve">the </w:t>
      </w:r>
      <w:r w:rsidR="00AF63D2" w:rsidRPr="001930B7">
        <w:t xml:space="preserve">revoked </w:t>
      </w:r>
      <w:r w:rsidR="009230AE" w:rsidRPr="001930B7">
        <w:t xml:space="preserve">2015 </w:t>
      </w:r>
      <w:r w:rsidR="00E82E3F" w:rsidRPr="001930B7">
        <w:t>IEFE determination</w:t>
      </w:r>
      <w:r w:rsidRPr="001930B7">
        <w:t xml:space="preserve">. </w:t>
      </w:r>
    </w:p>
    <w:p w14:paraId="42367821" w14:textId="77777777" w:rsidR="00C60836" w:rsidRDefault="00C60836" w:rsidP="00860E42">
      <w:pPr>
        <w:pStyle w:val="BodyText"/>
        <w:spacing w:before="115" w:line="360" w:lineRule="auto"/>
        <w:ind w:right="152"/>
        <w:rPr>
          <w:b/>
          <w:bCs/>
        </w:rPr>
      </w:pPr>
    </w:p>
    <w:p w14:paraId="51609F55" w14:textId="77777777" w:rsidR="00C60836" w:rsidRDefault="00C60836" w:rsidP="00860E42">
      <w:pPr>
        <w:pStyle w:val="BodyText"/>
        <w:spacing w:before="115" w:line="360" w:lineRule="auto"/>
        <w:ind w:right="152"/>
        <w:rPr>
          <w:b/>
          <w:bCs/>
        </w:rPr>
      </w:pPr>
    </w:p>
    <w:p w14:paraId="1B569540" w14:textId="77777777" w:rsidR="00C60836" w:rsidRDefault="00C60836" w:rsidP="00860E42">
      <w:pPr>
        <w:pStyle w:val="BodyText"/>
        <w:spacing w:before="115" w:line="360" w:lineRule="auto"/>
        <w:ind w:right="152"/>
        <w:rPr>
          <w:b/>
          <w:bCs/>
        </w:rPr>
      </w:pPr>
    </w:p>
    <w:p w14:paraId="51C629E3" w14:textId="77777777" w:rsidR="00C60836" w:rsidRDefault="00C60836" w:rsidP="00860E42">
      <w:pPr>
        <w:pStyle w:val="BodyText"/>
        <w:spacing w:before="115" w:line="360" w:lineRule="auto"/>
        <w:ind w:right="152"/>
        <w:rPr>
          <w:b/>
          <w:bCs/>
        </w:rPr>
      </w:pPr>
    </w:p>
    <w:p w14:paraId="20BDD807" w14:textId="63A87CBC" w:rsidR="00662B9A" w:rsidRPr="001930B7" w:rsidRDefault="00662B9A" w:rsidP="00860E42">
      <w:pPr>
        <w:pStyle w:val="BodyText"/>
        <w:spacing w:before="115" w:line="360" w:lineRule="auto"/>
        <w:ind w:right="152"/>
        <w:rPr>
          <w:b/>
          <w:bCs/>
        </w:rPr>
      </w:pPr>
      <w:r w:rsidRPr="001930B7">
        <w:rPr>
          <w:b/>
          <w:bCs/>
        </w:rPr>
        <w:lastRenderedPageBreak/>
        <w:t>Consultation</w:t>
      </w:r>
    </w:p>
    <w:p w14:paraId="2E155252" w14:textId="230F47EC" w:rsidR="004863DA" w:rsidRPr="001930B7" w:rsidRDefault="004863DA" w:rsidP="2E895A15">
      <w:pPr>
        <w:widowControl/>
        <w:autoSpaceDE/>
        <w:autoSpaceDN/>
        <w:spacing w:before="115" w:after="200" w:line="360" w:lineRule="auto"/>
        <w:divId w:val="1277907016"/>
        <w:rPr>
          <w:rFonts w:ascii="Calibri" w:eastAsiaTheme="minorEastAsia" w:hAnsi="Calibri"/>
          <w:color w:val="000000"/>
          <w:lang w:val="en-AU" w:eastAsia="en-GB"/>
        </w:rPr>
      </w:pPr>
      <w:r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>The</w:t>
      </w:r>
      <w:r w:rsidR="00F216E2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 </w:t>
      </w:r>
      <w:r w:rsidR="00B153C3" w:rsidRPr="001930B7">
        <w:rPr>
          <w:sz w:val="24"/>
          <w:szCs w:val="24"/>
        </w:rPr>
        <w:t>2021 I</w:t>
      </w:r>
      <w:r w:rsidR="00404604" w:rsidRPr="001930B7">
        <w:rPr>
          <w:sz w:val="24"/>
          <w:szCs w:val="24"/>
        </w:rPr>
        <w:t>CER</w:t>
      </w:r>
      <w:r w:rsidR="00B153C3" w:rsidRPr="001930B7">
        <w:rPr>
          <w:sz w:val="24"/>
          <w:szCs w:val="24"/>
        </w:rPr>
        <w:t xml:space="preserve"> </w:t>
      </w:r>
      <w:r w:rsidR="00107578" w:rsidRPr="001930B7">
        <w:rPr>
          <w:sz w:val="24"/>
          <w:szCs w:val="24"/>
        </w:rPr>
        <w:t>d</w:t>
      </w:r>
      <w:r w:rsidR="00B153C3" w:rsidRPr="001930B7">
        <w:rPr>
          <w:sz w:val="24"/>
          <w:szCs w:val="24"/>
        </w:rPr>
        <w:t xml:space="preserve">etermination </w:t>
      </w:r>
      <w:r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was developed by the </w:t>
      </w:r>
      <w:r w:rsidR="00E10EBE" w:rsidRPr="001930B7">
        <w:rPr>
          <w:rFonts w:eastAsiaTheme="minorEastAsia"/>
          <w:bCs/>
          <w:color w:val="000000" w:themeColor="text1"/>
          <w:sz w:val="24"/>
          <w:szCs w:val="24"/>
          <w:lang w:val="en-AU" w:eastAsia="en-GB"/>
        </w:rPr>
        <w:t>Regulator</w:t>
      </w:r>
      <w:r w:rsidR="00E10EBE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 </w:t>
      </w:r>
      <w:r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building on </w:t>
      </w:r>
      <w:r w:rsidR="00FD5E4B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feedback from </w:t>
      </w:r>
      <w:r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prior </w:t>
      </w:r>
      <w:r w:rsidR="00FD5E4B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reviews of the 2015 IEFE determination. </w:t>
      </w:r>
      <w:r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Across 2019 and 2020, </w:t>
      </w:r>
      <w:r w:rsidR="00FD5E4B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the former </w:t>
      </w:r>
      <w:r w:rsidR="002A5D6F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Department of the Environment and Energy and the former </w:t>
      </w:r>
      <w:r w:rsidR="00FD5E4B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>Department of Industry, Science, Energy and Resources</w:t>
      </w:r>
      <w:r w:rsidR="00FF64F4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 </w:t>
      </w:r>
      <w:r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consulted on proposed changes to the </w:t>
      </w:r>
      <w:r w:rsidR="009D0E88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2015 </w:t>
      </w:r>
      <w:r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>IEFE</w:t>
      </w:r>
      <w:r w:rsidR="00A84238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 determination</w:t>
      </w:r>
      <w:r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 through a technical working group of experts from the industrial, commercial and energy efficiency sectors. The technical working group reviewed several versions of a draft </w:t>
      </w:r>
      <w:r w:rsidR="00E770D0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variation to the </w:t>
      </w:r>
      <w:r w:rsidR="00E75BA8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2015 </w:t>
      </w:r>
      <w:r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IEFE </w:t>
      </w:r>
      <w:r w:rsidR="00E770D0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>determination</w:t>
      </w:r>
      <w:r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>.</w:t>
      </w:r>
      <w:r w:rsidR="00FD5E4B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 A crediting period extension review of the 2015 IEFE determination </w:t>
      </w:r>
      <w:r w:rsidR="005B5981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was also </w:t>
      </w:r>
      <w:r w:rsidR="00FD5E4B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>completed by the ERAC in June 2021</w:t>
      </w:r>
      <w:r w:rsidR="00885BF2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, </w:t>
      </w:r>
      <w:r w:rsidR="003F0982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>as required</w:t>
      </w:r>
      <w:r w:rsidR="00FD5E4B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 under section 255A of the Act</w:t>
      </w:r>
      <w:r w:rsidR="0056750E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>.</w:t>
      </w:r>
    </w:p>
    <w:p w14:paraId="0303DC19" w14:textId="69D3433D" w:rsidR="00C429A6" w:rsidRPr="001930B7" w:rsidRDefault="2317B0B3" w:rsidP="009953DD">
      <w:pPr>
        <w:widowControl/>
        <w:autoSpaceDE/>
        <w:autoSpaceDN/>
        <w:spacing w:after="200" w:line="360" w:lineRule="auto"/>
        <w:divId w:val="1277907016"/>
        <w:rPr>
          <w:rFonts w:eastAsiaTheme="minorEastAsia"/>
          <w:color w:val="000000" w:themeColor="text1"/>
          <w:sz w:val="24"/>
          <w:szCs w:val="24"/>
          <w:lang w:val="en-AU" w:eastAsia="en-GB"/>
        </w:rPr>
      </w:pPr>
      <w:r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>The draft 2021 ICER determination implement</w:t>
      </w:r>
      <w:r w:rsidR="00956992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>ed</w:t>
      </w:r>
      <w:r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 the feedback from these reviews</w:t>
      </w:r>
      <w:r w:rsidR="163D662A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. </w:t>
      </w:r>
      <w:r w:rsidR="004863DA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The exposure draft of the </w:t>
      </w:r>
      <w:r w:rsidR="00C547D3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2021 ICER </w:t>
      </w:r>
      <w:r w:rsidR="00CE1FE3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>d</w:t>
      </w:r>
      <w:r w:rsidR="004863DA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>etermination</w:t>
      </w:r>
      <w:r w:rsidR="004D321B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, and the proposal to </w:t>
      </w:r>
      <w:r w:rsidR="00022DDB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>revoke</w:t>
      </w:r>
      <w:r w:rsidR="004D321B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 the 2015 IEFE </w:t>
      </w:r>
      <w:r w:rsidR="00D37FC9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>determination,</w:t>
      </w:r>
      <w:r w:rsidR="004863DA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 </w:t>
      </w:r>
      <w:r w:rsidR="00291331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were </w:t>
      </w:r>
      <w:r w:rsidR="004863DA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published on the website </w:t>
      </w:r>
      <w:r w:rsidR="003E4674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of the </w:t>
      </w:r>
      <w:r w:rsidR="005B7A0A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former </w:t>
      </w:r>
      <w:r w:rsidR="003E4674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>Department of Industry, Science, Energy and Resources</w:t>
      </w:r>
      <w:r w:rsidR="00B62E5F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 </w:t>
      </w:r>
      <w:r w:rsidR="004863DA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>for public consultation from 20 July 2021 to 17 August 2021. Twelve submissions were received. Overall, the majority of submissions indicated broad support for the draft</w:t>
      </w:r>
      <w:r w:rsidR="00F46A8C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 2021 ICER</w:t>
      </w:r>
      <w:r w:rsidR="004863DA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 </w:t>
      </w:r>
      <w:r w:rsidR="009953DD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>d</w:t>
      </w:r>
      <w:r w:rsidR="004863DA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>etermination</w:t>
      </w:r>
      <w:r w:rsidR="009C63CE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>.</w:t>
      </w:r>
      <w:r w:rsidR="00FC6B28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 </w:t>
      </w:r>
      <w:r w:rsidR="63088F17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>The</w:t>
      </w:r>
      <w:r w:rsidR="009C63CE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 </w:t>
      </w:r>
      <w:r w:rsidR="007716C0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proposed </w:t>
      </w:r>
      <w:r w:rsidR="00FC6B28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>revocation of the 2015 IEFE determination</w:t>
      </w:r>
      <w:r w:rsidR="000A109F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 </w:t>
      </w:r>
      <w:r w:rsidR="00E61B09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was not objected to if </w:t>
      </w:r>
      <w:r w:rsidR="00437221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projects under </w:t>
      </w:r>
      <w:r w:rsidR="00CF3FCB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>the 2015 IEFE</w:t>
      </w:r>
      <w:r w:rsidR="00437221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 </w:t>
      </w:r>
      <w:r w:rsidR="00B81DF7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>determination</w:t>
      </w:r>
      <w:r w:rsidR="007848C5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 which had commenced </w:t>
      </w:r>
      <w:r w:rsidR="00F641FB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project activities prior to commencement of their crediting period were provided a pathway to </w:t>
      </w:r>
      <w:r w:rsidR="00CB069E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>transition to</w:t>
      </w:r>
      <w:r w:rsidR="00DA74E3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 </w:t>
      </w:r>
      <w:r w:rsidR="006B0F14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>the 2021 ICER determination</w:t>
      </w:r>
      <w:r w:rsidR="004863DA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. </w:t>
      </w:r>
    </w:p>
    <w:p w14:paraId="461F696C" w14:textId="5BE4A009" w:rsidR="004863DA" w:rsidRPr="001930B7" w:rsidRDefault="004863DA" w:rsidP="009953DD">
      <w:pPr>
        <w:widowControl/>
        <w:autoSpaceDE/>
        <w:autoSpaceDN/>
        <w:spacing w:after="200" w:line="360" w:lineRule="auto"/>
        <w:divId w:val="1277907016"/>
        <w:rPr>
          <w:rFonts w:eastAsiaTheme="minorEastAsia"/>
          <w:color w:val="000000"/>
          <w:sz w:val="24"/>
          <w:szCs w:val="24"/>
          <w:lang w:val="en-AU" w:eastAsia="en-GB"/>
        </w:rPr>
      </w:pPr>
      <w:r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In response to </w:t>
      </w:r>
      <w:r w:rsidR="00B86181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>this</w:t>
      </w:r>
      <w:r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 feedback, the draft </w:t>
      </w:r>
      <w:r w:rsidR="00F46A8C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2021 ICER </w:t>
      </w:r>
      <w:r w:rsidR="009953DD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>d</w:t>
      </w:r>
      <w:r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>etermination was amended to</w:t>
      </w:r>
      <w:r w:rsidR="0008781B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 </w:t>
      </w:r>
      <w:r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provide </w:t>
      </w:r>
      <w:r w:rsidR="00DF310C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proponents </w:t>
      </w:r>
      <w:r w:rsidR="00B0705E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>of</w:t>
      </w:r>
      <w:r w:rsidR="00DF310C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 </w:t>
      </w:r>
      <w:r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projects registered under the </w:t>
      </w:r>
      <w:r w:rsidR="00E44FA3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2015 </w:t>
      </w:r>
      <w:r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IEFE </w:t>
      </w:r>
      <w:r w:rsidR="00E44FA3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determination </w:t>
      </w:r>
      <w:r w:rsidR="00DF310C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the option to </w:t>
      </w:r>
      <w:r w:rsidR="00FD1310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apply to have these projects declared as new eligible offsets projects </w:t>
      </w:r>
      <w:r w:rsidR="007B0D6F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>covered by the</w:t>
      </w:r>
      <w:r w:rsidR="00DF310C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 2021 ICER determination </w:t>
      </w:r>
      <w:r w:rsidR="004B4757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where </w:t>
      </w:r>
      <w:r w:rsidR="00307856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project activities had started but </w:t>
      </w:r>
      <w:r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whose crediting period </w:t>
      </w:r>
      <w:r w:rsidR="00D9420D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had </w:t>
      </w:r>
      <w:r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>not commenced</w:t>
      </w:r>
      <w:r w:rsidR="00E4192C" w:rsidRPr="001930B7">
        <w:rPr>
          <w:rFonts w:eastAsiaTheme="minorEastAsia"/>
          <w:color w:val="000000" w:themeColor="text1"/>
          <w:sz w:val="24"/>
          <w:szCs w:val="24"/>
          <w:lang w:val="en-AU" w:eastAsia="en-GB"/>
        </w:rPr>
        <w:t>.</w:t>
      </w:r>
      <w:r w:rsidR="00E4192C" w:rsidRPr="001930B7" w:rsidDel="00E4192C">
        <w:rPr>
          <w:rFonts w:eastAsiaTheme="minorEastAsia"/>
          <w:color w:val="000000" w:themeColor="text1"/>
          <w:sz w:val="24"/>
          <w:szCs w:val="24"/>
          <w:lang w:val="en-AU" w:eastAsia="en-GB"/>
        </w:rPr>
        <w:t xml:space="preserve"> </w:t>
      </w:r>
    </w:p>
    <w:p w14:paraId="3E1C32DF" w14:textId="1166248D" w:rsidR="0042271B" w:rsidRPr="001930B7" w:rsidRDefault="004863DA" w:rsidP="0042271B">
      <w:pPr>
        <w:pStyle w:val="BodyText"/>
        <w:spacing w:before="120" w:line="360" w:lineRule="auto"/>
        <w:ind w:right="164"/>
        <w:divId w:val="1277907016"/>
      </w:pPr>
      <w:r w:rsidRPr="001930B7">
        <w:rPr>
          <w:rFonts w:eastAsiaTheme="minorEastAsia"/>
          <w:color w:val="000000"/>
          <w:lang w:val="en-AU" w:eastAsia="en-GB"/>
        </w:rPr>
        <w:t xml:space="preserve">Details of the non-confidential submissions </w:t>
      </w:r>
      <w:r w:rsidR="00E67D24" w:rsidRPr="001930B7">
        <w:rPr>
          <w:rFonts w:eastAsiaTheme="minorEastAsia"/>
          <w:color w:val="000000"/>
          <w:lang w:val="en-AU" w:eastAsia="en-GB"/>
        </w:rPr>
        <w:t xml:space="preserve">received </w:t>
      </w:r>
      <w:r w:rsidR="00D21EFA" w:rsidRPr="001930B7">
        <w:rPr>
          <w:rFonts w:eastAsiaTheme="minorEastAsia"/>
          <w:color w:val="000000"/>
          <w:lang w:val="en-AU" w:eastAsia="en-GB"/>
        </w:rPr>
        <w:t xml:space="preserve">during </w:t>
      </w:r>
      <w:r w:rsidR="005D5DFE" w:rsidRPr="001930B7">
        <w:rPr>
          <w:rFonts w:eastAsiaTheme="minorEastAsia"/>
          <w:color w:val="000000"/>
          <w:lang w:val="en-AU" w:eastAsia="en-GB"/>
        </w:rPr>
        <w:t>public consultation on</w:t>
      </w:r>
      <w:r w:rsidR="00FB3545" w:rsidRPr="001930B7">
        <w:rPr>
          <w:rFonts w:eastAsiaTheme="minorEastAsia"/>
          <w:color w:val="000000"/>
          <w:lang w:val="en-AU" w:eastAsia="en-GB"/>
        </w:rPr>
        <w:t xml:space="preserve"> </w:t>
      </w:r>
      <w:r w:rsidR="003070A5" w:rsidRPr="001930B7">
        <w:rPr>
          <w:rFonts w:eastAsiaTheme="minorEastAsia"/>
          <w:color w:val="000000"/>
          <w:lang w:val="en-AU" w:eastAsia="en-GB"/>
        </w:rPr>
        <w:t xml:space="preserve">the </w:t>
      </w:r>
      <w:r w:rsidR="00FB3545" w:rsidRPr="001930B7">
        <w:rPr>
          <w:rFonts w:eastAsiaTheme="minorEastAsia"/>
          <w:color w:val="000000" w:themeColor="text1"/>
          <w:lang w:val="en-AU" w:eastAsia="en-GB"/>
        </w:rPr>
        <w:t>exposure draft of the 2021 ICER determination</w:t>
      </w:r>
      <w:r w:rsidR="00FB3545" w:rsidRPr="001930B7">
        <w:rPr>
          <w:rFonts w:eastAsiaTheme="minorEastAsia"/>
          <w:color w:val="000000"/>
          <w:lang w:val="en-AU" w:eastAsia="en-GB"/>
        </w:rPr>
        <w:t xml:space="preserve"> </w:t>
      </w:r>
      <w:r w:rsidRPr="001930B7">
        <w:rPr>
          <w:rFonts w:eastAsiaTheme="minorEastAsia"/>
          <w:color w:val="000000"/>
          <w:lang w:val="en-AU" w:eastAsia="en-GB"/>
        </w:rPr>
        <w:t xml:space="preserve">are </w:t>
      </w:r>
      <w:r w:rsidR="00EA7815" w:rsidRPr="001930B7">
        <w:rPr>
          <w:rFonts w:eastAsiaTheme="minorEastAsia"/>
          <w:color w:val="000000"/>
          <w:lang w:val="en-AU" w:eastAsia="en-GB"/>
        </w:rPr>
        <w:t>available from</w:t>
      </w:r>
      <w:r w:rsidRPr="001930B7">
        <w:rPr>
          <w:rFonts w:eastAsiaTheme="minorEastAsia"/>
          <w:color w:val="000000"/>
          <w:lang w:val="en-AU" w:eastAsia="en-GB"/>
        </w:rPr>
        <w:t xml:space="preserve"> the website</w:t>
      </w:r>
      <w:r w:rsidR="00DA6562" w:rsidRPr="001930B7">
        <w:rPr>
          <w:rFonts w:eastAsiaTheme="minorEastAsia"/>
          <w:color w:val="000000"/>
          <w:lang w:val="en-AU" w:eastAsia="en-GB"/>
        </w:rPr>
        <w:t xml:space="preserve"> of the Department of </w:t>
      </w:r>
      <w:r w:rsidR="00EA7815" w:rsidRPr="001930B7">
        <w:rPr>
          <w:rFonts w:eastAsiaTheme="minorEastAsia"/>
          <w:color w:val="000000"/>
          <w:lang w:val="en-AU" w:eastAsia="en-GB"/>
        </w:rPr>
        <w:t xml:space="preserve">Climate Change, Energy, the Environment and </w:t>
      </w:r>
      <w:r w:rsidR="00613BC3" w:rsidRPr="001930B7">
        <w:rPr>
          <w:rFonts w:eastAsiaTheme="minorEastAsia"/>
          <w:color w:val="000000"/>
          <w:lang w:val="en-AU" w:eastAsia="en-GB"/>
        </w:rPr>
        <w:t>Water</w:t>
      </w:r>
      <w:r w:rsidRPr="001930B7">
        <w:rPr>
          <w:rFonts w:eastAsiaTheme="minorEastAsia"/>
          <w:color w:val="000000"/>
          <w:lang w:val="en-AU" w:eastAsia="en-GB"/>
        </w:rPr>
        <w:t>, </w:t>
      </w:r>
      <w:r w:rsidR="001803FA" w:rsidRPr="001930B7">
        <w:rPr>
          <w:rFonts w:eastAsiaTheme="minorEastAsia"/>
          <w:color w:val="000000"/>
          <w:lang w:val="en-AU" w:eastAsia="en-GB"/>
        </w:rPr>
        <w:t>https://consult.dcceew.gov.au/industrial-and-commercial-emissions-reduction</w:t>
      </w:r>
      <w:r w:rsidR="00C429A6" w:rsidRPr="001930B7">
        <w:rPr>
          <w:rFonts w:eastAsiaTheme="minorEastAsia"/>
          <w:color w:val="000000"/>
          <w:lang w:val="en-AU" w:eastAsia="en-GB"/>
        </w:rPr>
        <w:t>.</w:t>
      </w:r>
      <w:r w:rsidR="00C429A6" w:rsidRPr="001930B7" w:rsidDel="00C429A6">
        <w:rPr>
          <w:rFonts w:eastAsiaTheme="minorEastAsia"/>
          <w:color w:val="0D4A88"/>
          <w:lang w:val="en-AU" w:eastAsia="en-GB"/>
        </w:rPr>
        <w:t xml:space="preserve"> </w:t>
      </w:r>
    </w:p>
    <w:p w14:paraId="5AD86F4D" w14:textId="77777777" w:rsidR="00D72585" w:rsidRPr="001930B7" w:rsidRDefault="00D72585" w:rsidP="00AF63D2">
      <w:pPr>
        <w:pStyle w:val="BodyText"/>
        <w:spacing w:before="115" w:line="360" w:lineRule="auto"/>
        <w:ind w:right="206"/>
      </w:pPr>
      <w:r w:rsidRPr="001930B7">
        <w:t>The Minister is satisfied that appropriate consultation, that is reasonably practicable to undertake, was undertaken</w:t>
      </w:r>
      <w:r w:rsidR="0052491B" w:rsidRPr="001930B7">
        <w:t xml:space="preserve"> on the proposal to revoke the 2015 IEFE determination</w:t>
      </w:r>
      <w:r w:rsidRPr="001930B7">
        <w:t xml:space="preserve"> and that any parties that may be affected by the Revocation Instrument were provided an opportunity to comment.</w:t>
      </w:r>
    </w:p>
    <w:p w14:paraId="3C32B217" w14:textId="77777777" w:rsidR="00FA5CDD" w:rsidRPr="001930B7" w:rsidRDefault="00FA5CDD" w:rsidP="00F1512E">
      <w:pPr>
        <w:pStyle w:val="BodyText"/>
        <w:spacing w:before="115" w:line="360" w:lineRule="auto"/>
        <w:ind w:right="152"/>
        <w:rPr>
          <w:b/>
          <w:bCs/>
        </w:rPr>
      </w:pPr>
      <w:r w:rsidRPr="001930B7">
        <w:rPr>
          <w:b/>
          <w:bCs/>
        </w:rPr>
        <w:t>Determination Details</w:t>
      </w:r>
    </w:p>
    <w:p w14:paraId="7FE70361" w14:textId="77777777" w:rsidR="00A03E61" w:rsidRPr="001930B7" w:rsidRDefault="00055956" w:rsidP="00455231">
      <w:pPr>
        <w:pStyle w:val="BodyText"/>
        <w:spacing w:before="115" w:line="360" w:lineRule="auto"/>
        <w:ind w:right="206"/>
      </w:pPr>
      <w:r w:rsidRPr="001930B7">
        <w:t xml:space="preserve">The Revocation Instrument is a legislative instrument within the meaning of the </w:t>
      </w:r>
      <w:r w:rsidRPr="001930B7">
        <w:rPr>
          <w:i/>
          <w:iCs/>
        </w:rPr>
        <w:t>Legislation Act 2003</w:t>
      </w:r>
      <w:r w:rsidRPr="001930B7">
        <w:t>.</w:t>
      </w:r>
    </w:p>
    <w:p w14:paraId="5C799713" w14:textId="77777777" w:rsidR="00A03E61" w:rsidRPr="001930B7" w:rsidRDefault="00055956" w:rsidP="00455231">
      <w:pPr>
        <w:pStyle w:val="BodyText"/>
        <w:spacing w:before="115" w:line="360" w:lineRule="auto"/>
        <w:ind w:right="206"/>
      </w:pPr>
      <w:r w:rsidRPr="001930B7">
        <w:t xml:space="preserve">The Revocation Instrument commences on </w:t>
      </w:r>
      <w:r w:rsidR="00F95280" w:rsidRPr="001930B7">
        <w:t>the day after it is registered.</w:t>
      </w:r>
    </w:p>
    <w:p w14:paraId="4DB9FE01" w14:textId="7E219D25" w:rsidR="00A03E61" w:rsidRPr="001930B7" w:rsidRDefault="00055956" w:rsidP="00455231">
      <w:pPr>
        <w:pStyle w:val="BodyText"/>
        <w:spacing w:before="115" w:line="360" w:lineRule="auto"/>
        <w:ind w:right="206"/>
      </w:pPr>
      <w:r w:rsidRPr="001930B7">
        <w:t xml:space="preserve">Details of the Revocation Instrument are at </w:t>
      </w:r>
      <w:r w:rsidRPr="001930B7">
        <w:rPr>
          <w:u w:val="single"/>
        </w:rPr>
        <w:t>Attachment A</w:t>
      </w:r>
      <w:r w:rsidRPr="001930B7">
        <w:t>. Numbered sections in this Explanatory Statement align with the relevant sections of the Revocation Instrument.</w:t>
      </w:r>
    </w:p>
    <w:p w14:paraId="7352503D" w14:textId="77777777" w:rsidR="00A03E61" w:rsidRPr="001930B7" w:rsidRDefault="00055956" w:rsidP="00455231">
      <w:pPr>
        <w:pStyle w:val="BodyText"/>
        <w:spacing w:before="115" w:line="360" w:lineRule="auto"/>
        <w:ind w:right="206"/>
      </w:pPr>
      <w:r w:rsidRPr="001930B7">
        <w:t xml:space="preserve">A Statement of Compatibility prepared in accordance with the </w:t>
      </w:r>
      <w:r w:rsidRPr="001930B7">
        <w:rPr>
          <w:i/>
          <w:iCs/>
        </w:rPr>
        <w:t>Human Rights (Parliamentary Scrutiny) Act 2011</w:t>
      </w:r>
      <w:r w:rsidRPr="001930B7">
        <w:t xml:space="preserve"> is at </w:t>
      </w:r>
      <w:r w:rsidRPr="001930B7">
        <w:rPr>
          <w:u w:val="single"/>
        </w:rPr>
        <w:t>Attachment B</w:t>
      </w:r>
      <w:r w:rsidRPr="001930B7">
        <w:t>.</w:t>
      </w:r>
    </w:p>
    <w:p w14:paraId="669140FC" w14:textId="77777777" w:rsidR="00A03E61" w:rsidRDefault="00A03E61" w:rsidP="00455231">
      <w:pPr>
        <w:pStyle w:val="BodyText"/>
        <w:spacing w:before="115" w:line="360" w:lineRule="auto"/>
        <w:ind w:right="206"/>
      </w:pPr>
    </w:p>
    <w:p w14:paraId="35465903" w14:textId="3A41D164" w:rsidR="001930B7" w:rsidRDefault="001930B7" w:rsidP="00455231">
      <w:pPr>
        <w:pStyle w:val="BodyText"/>
        <w:spacing w:before="115" w:line="360" w:lineRule="auto"/>
        <w:ind w:right="206"/>
      </w:pPr>
    </w:p>
    <w:p w14:paraId="0A0AC0B3" w14:textId="598F3E8F" w:rsidR="00C60836" w:rsidRDefault="00C60836" w:rsidP="00455231">
      <w:pPr>
        <w:pStyle w:val="BodyText"/>
        <w:spacing w:before="115" w:line="360" w:lineRule="auto"/>
        <w:ind w:right="206"/>
      </w:pPr>
    </w:p>
    <w:p w14:paraId="675FE23E" w14:textId="64774CBF" w:rsidR="00C60836" w:rsidRDefault="00C60836" w:rsidP="00455231">
      <w:pPr>
        <w:pStyle w:val="BodyText"/>
        <w:spacing w:before="115" w:line="360" w:lineRule="auto"/>
        <w:ind w:right="206"/>
      </w:pPr>
    </w:p>
    <w:p w14:paraId="4FC82EA0" w14:textId="4DB197E6" w:rsidR="00C60836" w:rsidRDefault="00C60836" w:rsidP="00455231">
      <w:pPr>
        <w:pStyle w:val="BodyText"/>
        <w:spacing w:before="115" w:line="360" w:lineRule="auto"/>
        <w:ind w:right="206"/>
      </w:pPr>
    </w:p>
    <w:p w14:paraId="311D4259" w14:textId="4A872A78" w:rsidR="00C60836" w:rsidRDefault="00C60836" w:rsidP="00455231">
      <w:pPr>
        <w:pStyle w:val="BodyText"/>
        <w:spacing w:before="115" w:line="360" w:lineRule="auto"/>
        <w:ind w:right="206"/>
      </w:pPr>
    </w:p>
    <w:p w14:paraId="3E752B24" w14:textId="3004CCFC" w:rsidR="00C60836" w:rsidRDefault="00C60836" w:rsidP="00455231">
      <w:pPr>
        <w:pStyle w:val="BodyText"/>
        <w:spacing w:before="115" w:line="360" w:lineRule="auto"/>
        <w:ind w:right="206"/>
      </w:pPr>
    </w:p>
    <w:p w14:paraId="4338AF45" w14:textId="70A8CE18" w:rsidR="00C60836" w:rsidRDefault="00C60836" w:rsidP="00455231">
      <w:pPr>
        <w:pStyle w:val="BodyText"/>
        <w:spacing w:before="115" w:line="360" w:lineRule="auto"/>
        <w:ind w:right="206"/>
      </w:pPr>
    </w:p>
    <w:p w14:paraId="16F75B5E" w14:textId="2A78E750" w:rsidR="00C60836" w:rsidRDefault="00C60836" w:rsidP="00455231">
      <w:pPr>
        <w:pStyle w:val="BodyText"/>
        <w:spacing w:before="115" w:line="360" w:lineRule="auto"/>
        <w:ind w:right="206"/>
      </w:pPr>
    </w:p>
    <w:p w14:paraId="7B4EAA72" w14:textId="13EDD512" w:rsidR="00C60836" w:rsidRDefault="00C60836" w:rsidP="00455231">
      <w:pPr>
        <w:pStyle w:val="BodyText"/>
        <w:spacing w:before="115" w:line="360" w:lineRule="auto"/>
        <w:ind w:right="206"/>
      </w:pPr>
    </w:p>
    <w:p w14:paraId="2613DE8B" w14:textId="634D4D84" w:rsidR="00C60836" w:rsidRDefault="00C60836" w:rsidP="00455231">
      <w:pPr>
        <w:pStyle w:val="BodyText"/>
        <w:spacing w:before="115" w:line="360" w:lineRule="auto"/>
        <w:ind w:right="206"/>
      </w:pPr>
    </w:p>
    <w:p w14:paraId="27A3A4AF" w14:textId="4BF19E59" w:rsidR="00C60836" w:rsidRDefault="00C60836" w:rsidP="00455231">
      <w:pPr>
        <w:pStyle w:val="BodyText"/>
        <w:spacing w:before="115" w:line="360" w:lineRule="auto"/>
        <w:ind w:right="206"/>
      </w:pPr>
    </w:p>
    <w:p w14:paraId="0F548ED5" w14:textId="39F83455" w:rsidR="00C60836" w:rsidRDefault="00C60836" w:rsidP="00455231">
      <w:pPr>
        <w:pStyle w:val="BodyText"/>
        <w:spacing w:before="115" w:line="360" w:lineRule="auto"/>
        <w:ind w:right="206"/>
      </w:pPr>
    </w:p>
    <w:p w14:paraId="01FC6824" w14:textId="4B33D697" w:rsidR="00C60836" w:rsidRDefault="00C60836" w:rsidP="00455231">
      <w:pPr>
        <w:pStyle w:val="BodyText"/>
        <w:spacing w:before="115" w:line="360" w:lineRule="auto"/>
        <w:ind w:right="206"/>
      </w:pPr>
    </w:p>
    <w:p w14:paraId="1EBC2A76" w14:textId="33B5C5E9" w:rsidR="00C60836" w:rsidRDefault="00C60836" w:rsidP="00455231">
      <w:pPr>
        <w:pStyle w:val="BodyText"/>
        <w:spacing w:before="115" w:line="360" w:lineRule="auto"/>
        <w:ind w:right="206"/>
      </w:pPr>
    </w:p>
    <w:p w14:paraId="5F765BB3" w14:textId="5AA8DCFC" w:rsidR="00C60836" w:rsidRDefault="00C60836" w:rsidP="00455231">
      <w:pPr>
        <w:pStyle w:val="BodyText"/>
        <w:spacing w:before="115" w:line="360" w:lineRule="auto"/>
        <w:ind w:right="206"/>
      </w:pPr>
    </w:p>
    <w:p w14:paraId="1B328C29" w14:textId="7D37C7D9" w:rsidR="00C60836" w:rsidRDefault="00C60836" w:rsidP="00455231">
      <w:pPr>
        <w:pStyle w:val="BodyText"/>
        <w:spacing w:before="115" w:line="360" w:lineRule="auto"/>
        <w:ind w:right="206"/>
      </w:pPr>
    </w:p>
    <w:p w14:paraId="5FFAD08F" w14:textId="341FDA30" w:rsidR="00C60836" w:rsidRDefault="00C60836" w:rsidP="00455231">
      <w:pPr>
        <w:pStyle w:val="BodyText"/>
        <w:spacing w:before="115" w:line="360" w:lineRule="auto"/>
        <w:ind w:right="206"/>
      </w:pPr>
    </w:p>
    <w:p w14:paraId="45022DEB" w14:textId="7FA858F9" w:rsidR="00C60836" w:rsidRDefault="00C60836" w:rsidP="00455231">
      <w:pPr>
        <w:pStyle w:val="BodyText"/>
        <w:spacing w:before="115" w:line="360" w:lineRule="auto"/>
        <w:ind w:right="206"/>
      </w:pPr>
    </w:p>
    <w:p w14:paraId="786A4908" w14:textId="2080AC6C" w:rsidR="00C60836" w:rsidRDefault="00C60836" w:rsidP="00455231">
      <w:pPr>
        <w:pStyle w:val="BodyText"/>
        <w:spacing w:before="115" w:line="360" w:lineRule="auto"/>
        <w:ind w:right="206"/>
      </w:pPr>
    </w:p>
    <w:p w14:paraId="03637019" w14:textId="18D01FCA" w:rsidR="00C60836" w:rsidRDefault="00C60836" w:rsidP="00455231">
      <w:pPr>
        <w:pStyle w:val="BodyText"/>
        <w:spacing w:before="115" w:line="360" w:lineRule="auto"/>
        <w:ind w:right="206"/>
      </w:pPr>
    </w:p>
    <w:p w14:paraId="03603E69" w14:textId="77777777" w:rsidR="00C60836" w:rsidRDefault="00C60836" w:rsidP="00455231">
      <w:pPr>
        <w:pStyle w:val="BodyText"/>
        <w:spacing w:before="115" w:line="360" w:lineRule="auto"/>
        <w:ind w:right="206"/>
      </w:pPr>
    </w:p>
    <w:p w14:paraId="10F0B3A6" w14:textId="77777777" w:rsidR="001930B7" w:rsidRDefault="001930B7" w:rsidP="00455231">
      <w:pPr>
        <w:pStyle w:val="BodyText"/>
        <w:spacing w:before="115" w:line="360" w:lineRule="auto"/>
        <w:ind w:right="206"/>
      </w:pPr>
    </w:p>
    <w:p w14:paraId="37DD393C" w14:textId="66D19291" w:rsidR="001930B7" w:rsidRPr="001930B7" w:rsidRDefault="001930B7" w:rsidP="00455231">
      <w:pPr>
        <w:pStyle w:val="BodyText"/>
        <w:spacing w:before="115" w:line="360" w:lineRule="auto"/>
        <w:ind w:right="206"/>
        <w:sectPr w:rsidR="001930B7" w:rsidRPr="001930B7" w:rsidSect="003A102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10" w:h="16840"/>
          <w:pgMar w:top="993" w:right="1320" w:bottom="851" w:left="1340" w:header="0" w:footer="522" w:gutter="0"/>
          <w:cols w:space="720"/>
          <w:titlePg/>
          <w:docGrid w:linePitch="299"/>
        </w:sectPr>
      </w:pPr>
    </w:p>
    <w:p w14:paraId="196F4699" w14:textId="434143F0" w:rsidR="00350C92" w:rsidRPr="001930B7" w:rsidRDefault="00350C92" w:rsidP="00D44DC1">
      <w:pPr>
        <w:spacing w:line="360" w:lineRule="auto"/>
        <w:rPr>
          <w:sz w:val="24"/>
        </w:rPr>
      </w:pPr>
      <w:bookmarkStart w:id="2" w:name="1_Name"/>
      <w:bookmarkEnd w:id="2"/>
    </w:p>
    <w:p w14:paraId="5CF4289B" w14:textId="77777777" w:rsidR="00466CED" w:rsidRPr="001930B7" w:rsidRDefault="00466CED" w:rsidP="00D44DC1">
      <w:pPr>
        <w:spacing w:line="360" w:lineRule="auto"/>
        <w:jc w:val="right"/>
        <w:rPr>
          <w:sz w:val="24"/>
          <w:u w:val="single"/>
        </w:rPr>
      </w:pPr>
      <w:r w:rsidRPr="001930B7">
        <w:rPr>
          <w:sz w:val="24"/>
          <w:u w:val="single"/>
        </w:rPr>
        <w:t>Attachment A</w:t>
      </w:r>
    </w:p>
    <w:p w14:paraId="1DC6B806" w14:textId="77777777" w:rsidR="00466CED" w:rsidRPr="001930B7" w:rsidRDefault="00466CED" w:rsidP="00D44DC1">
      <w:pPr>
        <w:spacing w:line="360" w:lineRule="auto"/>
        <w:jc w:val="center"/>
        <w:rPr>
          <w:b/>
          <w:bCs/>
          <w:sz w:val="24"/>
        </w:rPr>
      </w:pPr>
      <w:r w:rsidRPr="001930B7">
        <w:rPr>
          <w:b/>
          <w:bCs/>
          <w:sz w:val="24"/>
        </w:rPr>
        <w:t>Details of Instrument</w:t>
      </w:r>
    </w:p>
    <w:p w14:paraId="6B8E7F5D" w14:textId="77777777" w:rsidR="00466CED" w:rsidRPr="001930B7" w:rsidRDefault="007E5C14" w:rsidP="00BA6BF7">
      <w:pPr>
        <w:pStyle w:val="h5section"/>
        <w:shd w:val="clear" w:color="auto" w:fill="FFFFFF"/>
        <w:tabs>
          <w:tab w:val="left" w:pos="426"/>
        </w:tabs>
        <w:spacing w:before="280" w:beforeAutospacing="0" w:after="0" w:afterAutospacing="0" w:line="360" w:lineRule="auto"/>
        <w:rPr>
          <w:b/>
          <w:bCs/>
          <w:color w:val="000000"/>
        </w:rPr>
      </w:pPr>
      <w:r w:rsidRPr="001930B7">
        <w:rPr>
          <w:b/>
          <w:bCs/>
          <w:color w:val="000000"/>
        </w:rPr>
        <w:t>1</w:t>
      </w:r>
      <w:r w:rsidR="00F216E2" w:rsidRPr="001930B7">
        <w:rPr>
          <w:b/>
          <w:bCs/>
          <w:color w:val="000000"/>
        </w:rPr>
        <w:t xml:space="preserve"> </w:t>
      </w:r>
      <w:r w:rsidR="00231E14" w:rsidRPr="001930B7">
        <w:rPr>
          <w:b/>
          <w:bCs/>
          <w:color w:val="000000"/>
        </w:rPr>
        <w:t xml:space="preserve"> </w:t>
      </w:r>
      <w:r w:rsidR="00466CED" w:rsidRPr="001930B7">
        <w:rPr>
          <w:b/>
          <w:bCs/>
          <w:color w:val="000000"/>
        </w:rPr>
        <w:t xml:space="preserve">Name </w:t>
      </w:r>
    </w:p>
    <w:p w14:paraId="54B91409" w14:textId="319EC795" w:rsidR="00466CED" w:rsidRPr="001930B7" w:rsidRDefault="00466CED" w:rsidP="00D44DC1">
      <w:pPr>
        <w:spacing w:before="163" w:line="360" w:lineRule="auto"/>
        <w:ind w:left="426" w:right="124"/>
        <w:rPr>
          <w:sz w:val="24"/>
          <w:szCs w:val="24"/>
        </w:rPr>
      </w:pPr>
      <w:r w:rsidRPr="001930B7">
        <w:rPr>
          <w:sz w:val="24"/>
          <w:szCs w:val="24"/>
        </w:rPr>
        <w:t xml:space="preserve">Section 1 sets out the name of </w:t>
      </w:r>
      <w:r w:rsidR="001B7A8D" w:rsidRPr="001930B7">
        <w:rPr>
          <w:sz w:val="24"/>
          <w:szCs w:val="24"/>
        </w:rPr>
        <w:t xml:space="preserve">the </w:t>
      </w:r>
      <w:r w:rsidRPr="001930B7">
        <w:rPr>
          <w:sz w:val="24"/>
          <w:szCs w:val="24"/>
        </w:rPr>
        <w:t xml:space="preserve">instrument, which is the </w:t>
      </w:r>
      <w:r w:rsidRPr="001930B7">
        <w:rPr>
          <w:i/>
          <w:iCs/>
          <w:sz w:val="24"/>
          <w:szCs w:val="24"/>
        </w:rPr>
        <w:t>Carbon Credits (Carbon Farming Initiative—</w:t>
      </w:r>
      <w:r w:rsidR="00A920C3" w:rsidRPr="001930B7">
        <w:rPr>
          <w:i/>
          <w:sz w:val="24"/>
          <w:szCs w:val="24"/>
        </w:rPr>
        <w:t>Industrial Electricity and Fuel Efficiency</w:t>
      </w:r>
      <w:r w:rsidRPr="001930B7">
        <w:rPr>
          <w:i/>
          <w:iCs/>
          <w:sz w:val="24"/>
          <w:szCs w:val="24"/>
        </w:rPr>
        <w:t>—Revocation) Instrument 202</w:t>
      </w:r>
      <w:r w:rsidR="00D72585" w:rsidRPr="001930B7">
        <w:rPr>
          <w:i/>
          <w:iCs/>
          <w:sz w:val="24"/>
          <w:szCs w:val="24"/>
        </w:rPr>
        <w:t>2</w:t>
      </w:r>
      <w:r w:rsidRPr="001930B7">
        <w:rPr>
          <w:sz w:val="24"/>
          <w:szCs w:val="24"/>
        </w:rPr>
        <w:t>.</w:t>
      </w:r>
    </w:p>
    <w:p w14:paraId="5B4283D8" w14:textId="77777777" w:rsidR="00466CED" w:rsidRPr="001930B7" w:rsidRDefault="007E5C14" w:rsidP="002C1DBC">
      <w:pPr>
        <w:pStyle w:val="h5section"/>
        <w:shd w:val="clear" w:color="auto" w:fill="FFFFFF"/>
        <w:tabs>
          <w:tab w:val="left" w:pos="426"/>
        </w:tabs>
        <w:spacing w:before="280" w:beforeAutospacing="0" w:after="0" w:afterAutospacing="0" w:line="360" w:lineRule="auto"/>
        <w:rPr>
          <w:b/>
          <w:bCs/>
          <w:color w:val="000000"/>
        </w:rPr>
      </w:pPr>
      <w:r w:rsidRPr="001930B7">
        <w:rPr>
          <w:b/>
          <w:bCs/>
          <w:color w:val="000000"/>
        </w:rPr>
        <w:t>2</w:t>
      </w:r>
      <w:r w:rsidR="00F216E2" w:rsidRPr="001930B7">
        <w:rPr>
          <w:b/>
          <w:bCs/>
          <w:color w:val="000000"/>
        </w:rPr>
        <w:t xml:space="preserve"> </w:t>
      </w:r>
      <w:r w:rsidR="00231E14" w:rsidRPr="001930B7">
        <w:rPr>
          <w:b/>
          <w:bCs/>
          <w:color w:val="000000"/>
        </w:rPr>
        <w:t xml:space="preserve"> </w:t>
      </w:r>
      <w:r w:rsidR="00466CED" w:rsidRPr="001930B7">
        <w:rPr>
          <w:b/>
          <w:bCs/>
          <w:color w:val="000000"/>
        </w:rPr>
        <w:t>Commencement</w:t>
      </w:r>
    </w:p>
    <w:p w14:paraId="21C8E8DC" w14:textId="335B6D94" w:rsidR="00466CED" w:rsidRPr="001930B7" w:rsidRDefault="00466CED" w:rsidP="00D44DC1">
      <w:pPr>
        <w:spacing w:before="167" w:line="360" w:lineRule="auto"/>
        <w:ind w:left="426" w:right="766"/>
        <w:rPr>
          <w:sz w:val="24"/>
        </w:rPr>
      </w:pPr>
      <w:r w:rsidRPr="001930B7">
        <w:rPr>
          <w:sz w:val="24"/>
        </w:rPr>
        <w:t xml:space="preserve">Section 2 provides that </w:t>
      </w:r>
      <w:r w:rsidR="001B7A8D" w:rsidRPr="001930B7">
        <w:rPr>
          <w:sz w:val="24"/>
        </w:rPr>
        <w:t xml:space="preserve">the </w:t>
      </w:r>
      <w:r w:rsidRPr="001930B7">
        <w:rPr>
          <w:sz w:val="24"/>
        </w:rPr>
        <w:t xml:space="preserve">instrument </w:t>
      </w:r>
      <w:r w:rsidR="008B4C88" w:rsidRPr="001930B7">
        <w:rPr>
          <w:sz w:val="24"/>
        </w:rPr>
        <w:t xml:space="preserve">commences </w:t>
      </w:r>
      <w:r w:rsidRPr="001930B7">
        <w:rPr>
          <w:sz w:val="24"/>
        </w:rPr>
        <w:t xml:space="preserve">on </w:t>
      </w:r>
      <w:r w:rsidR="00F95280" w:rsidRPr="001930B7">
        <w:rPr>
          <w:sz w:val="24"/>
        </w:rPr>
        <w:t>the day after it is registered</w:t>
      </w:r>
      <w:r w:rsidRPr="001930B7">
        <w:rPr>
          <w:sz w:val="24"/>
        </w:rPr>
        <w:t>.</w:t>
      </w:r>
    </w:p>
    <w:p w14:paraId="339A0F46" w14:textId="77777777" w:rsidR="00466CED" w:rsidRPr="001930B7" w:rsidRDefault="007E5C14" w:rsidP="00BA6BF7">
      <w:pPr>
        <w:pStyle w:val="h5section"/>
        <w:shd w:val="clear" w:color="auto" w:fill="FFFFFF"/>
        <w:tabs>
          <w:tab w:val="left" w:pos="426"/>
        </w:tabs>
        <w:spacing w:before="280" w:beforeAutospacing="0" w:after="0" w:afterAutospacing="0" w:line="360" w:lineRule="auto"/>
        <w:rPr>
          <w:b/>
          <w:bCs/>
          <w:color w:val="000000"/>
        </w:rPr>
      </w:pPr>
      <w:r w:rsidRPr="001930B7">
        <w:rPr>
          <w:b/>
          <w:bCs/>
          <w:color w:val="000000"/>
        </w:rPr>
        <w:t>3</w:t>
      </w:r>
      <w:r w:rsidR="00F216E2" w:rsidRPr="001930B7">
        <w:rPr>
          <w:b/>
          <w:bCs/>
          <w:color w:val="000000"/>
        </w:rPr>
        <w:t xml:space="preserve"> </w:t>
      </w:r>
      <w:r w:rsidR="00EC00BC" w:rsidRPr="001930B7">
        <w:rPr>
          <w:b/>
          <w:bCs/>
          <w:color w:val="000000"/>
        </w:rPr>
        <w:t xml:space="preserve"> </w:t>
      </w:r>
      <w:r w:rsidR="00466CED" w:rsidRPr="001930B7">
        <w:rPr>
          <w:b/>
          <w:bCs/>
          <w:color w:val="000000"/>
        </w:rPr>
        <w:t>Authority</w:t>
      </w:r>
    </w:p>
    <w:p w14:paraId="3848B19E" w14:textId="77777777" w:rsidR="00466CED" w:rsidRPr="001930B7" w:rsidRDefault="00466CED" w:rsidP="00D44DC1">
      <w:pPr>
        <w:spacing w:before="163" w:line="360" w:lineRule="auto"/>
        <w:ind w:left="426" w:right="124"/>
        <w:rPr>
          <w:sz w:val="24"/>
        </w:rPr>
      </w:pPr>
      <w:r w:rsidRPr="001930B7">
        <w:rPr>
          <w:sz w:val="24"/>
        </w:rPr>
        <w:t xml:space="preserve">Section 3 provides that the instrument is made under subsection 123(1) of the </w:t>
      </w:r>
      <w:r w:rsidRPr="001930B7">
        <w:rPr>
          <w:i/>
          <w:iCs/>
          <w:sz w:val="24"/>
        </w:rPr>
        <w:t>Carbon Credits (Carbon Farming Initiative) Act 2011</w:t>
      </w:r>
      <w:r w:rsidRPr="001930B7">
        <w:rPr>
          <w:sz w:val="24"/>
        </w:rPr>
        <w:t>.</w:t>
      </w:r>
    </w:p>
    <w:p w14:paraId="57D2D549" w14:textId="77777777" w:rsidR="00466CED" w:rsidRPr="001930B7" w:rsidRDefault="007E5C14" w:rsidP="002C1DBC">
      <w:pPr>
        <w:pStyle w:val="h5section"/>
        <w:shd w:val="clear" w:color="auto" w:fill="FFFFFF"/>
        <w:tabs>
          <w:tab w:val="left" w:pos="426"/>
        </w:tabs>
        <w:spacing w:before="280" w:beforeAutospacing="0" w:after="0" w:afterAutospacing="0" w:line="360" w:lineRule="auto"/>
        <w:rPr>
          <w:b/>
          <w:bCs/>
          <w:color w:val="000000"/>
        </w:rPr>
      </w:pPr>
      <w:r w:rsidRPr="001930B7">
        <w:rPr>
          <w:b/>
          <w:bCs/>
          <w:color w:val="000000"/>
        </w:rPr>
        <w:t>4</w:t>
      </w:r>
      <w:r w:rsidR="00F216E2" w:rsidRPr="001930B7">
        <w:rPr>
          <w:b/>
          <w:bCs/>
          <w:color w:val="000000"/>
        </w:rPr>
        <w:t xml:space="preserve"> </w:t>
      </w:r>
      <w:r w:rsidR="00EC00BC" w:rsidRPr="001930B7">
        <w:rPr>
          <w:b/>
          <w:bCs/>
          <w:color w:val="000000"/>
        </w:rPr>
        <w:t xml:space="preserve"> </w:t>
      </w:r>
      <w:r w:rsidR="00466CED" w:rsidRPr="001930B7">
        <w:rPr>
          <w:b/>
          <w:bCs/>
          <w:color w:val="000000"/>
        </w:rPr>
        <w:t>Interpretation</w:t>
      </w:r>
    </w:p>
    <w:p w14:paraId="4E4D3805" w14:textId="77777777" w:rsidR="00466CED" w:rsidRPr="001930B7" w:rsidRDefault="00466CED" w:rsidP="00FF16F6">
      <w:pPr>
        <w:spacing w:before="163" w:line="360" w:lineRule="auto"/>
        <w:ind w:left="426" w:right="124"/>
        <w:rPr>
          <w:sz w:val="24"/>
        </w:rPr>
      </w:pPr>
      <w:r w:rsidRPr="001930B7">
        <w:rPr>
          <w:sz w:val="24"/>
        </w:rPr>
        <w:t xml:space="preserve">Section 4 defines the term ‘Act’ as the </w:t>
      </w:r>
      <w:r w:rsidRPr="001930B7">
        <w:rPr>
          <w:i/>
          <w:sz w:val="24"/>
        </w:rPr>
        <w:t>Carbon Credits (Carbon Farming Initiative) Act 2011</w:t>
      </w:r>
      <w:r w:rsidRPr="001930B7">
        <w:rPr>
          <w:sz w:val="24"/>
        </w:rPr>
        <w:t>.</w:t>
      </w:r>
    </w:p>
    <w:p w14:paraId="036B043E" w14:textId="77777777" w:rsidR="00FF16F6" w:rsidRPr="001930B7" w:rsidRDefault="00FF16F6" w:rsidP="00FF16F6">
      <w:pPr>
        <w:pStyle w:val="h5section"/>
        <w:shd w:val="clear" w:color="auto" w:fill="FFFFFF"/>
        <w:tabs>
          <w:tab w:val="left" w:pos="426"/>
        </w:tabs>
        <w:spacing w:before="280" w:beforeAutospacing="0" w:after="0" w:afterAutospacing="0" w:line="360" w:lineRule="auto"/>
        <w:rPr>
          <w:b/>
          <w:bCs/>
          <w:color w:val="000000"/>
        </w:rPr>
      </w:pPr>
      <w:r w:rsidRPr="001930B7">
        <w:rPr>
          <w:b/>
          <w:bCs/>
          <w:color w:val="000000"/>
        </w:rPr>
        <w:t>5  Revocation of methodology determination</w:t>
      </w:r>
    </w:p>
    <w:p w14:paraId="3B8E6BA2" w14:textId="77777777" w:rsidR="00FF16F6" w:rsidRPr="001930B7" w:rsidRDefault="00FF16F6" w:rsidP="00FF16F6">
      <w:pPr>
        <w:spacing w:before="163" w:line="360" w:lineRule="auto"/>
        <w:ind w:left="426" w:right="124"/>
        <w:rPr>
          <w:sz w:val="24"/>
          <w:szCs w:val="24"/>
        </w:rPr>
      </w:pPr>
      <w:r w:rsidRPr="001930B7">
        <w:rPr>
          <w:sz w:val="24"/>
          <w:szCs w:val="24"/>
        </w:rPr>
        <w:t xml:space="preserve">Section 5 revokes the </w:t>
      </w:r>
      <w:r w:rsidRPr="001930B7">
        <w:rPr>
          <w:i/>
          <w:iCs/>
          <w:sz w:val="24"/>
          <w:szCs w:val="24"/>
        </w:rPr>
        <w:t>Carbon Credits (Carbon Farming Initiative—</w:t>
      </w:r>
      <w:r w:rsidRPr="001930B7">
        <w:rPr>
          <w:i/>
          <w:sz w:val="24"/>
          <w:szCs w:val="24"/>
        </w:rPr>
        <w:t>Industrial Electricity and Fuel Efficiency</w:t>
      </w:r>
      <w:r w:rsidRPr="001930B7">
        <w:rPr>
          <w:i/>
          <w:iCs/>
          <w:sz w:val="24"/>
          <w:szCs w:val="24"/>
        </w:rPr>
        <w:t>) Methodology Determination 2015</w:t>
      </w:r>
      <w:r w:rsidRPr="001930B7">
        <w:rPr>
          <w:sz w:val="24"/>
          <w:szCs w:val="24"/>
        </w:rPr>
        <w:t xml:space="preserve"> made under subsection 106(1) of the Act.</w:t>
      </w:r>
    </w:p>
    <w:p w14:paraId="61C3E6AA" w14:textId="77777777" w:rsidR="00463201" w:rsidRPr="001930B7" w:rsidRDefault="00463201" w:rsidP="00463201">
      <w:pPr>
        <w:spacing w:before="167" w:line="360" w:lineRule="auto"/>
        <w:ind w:left="426" w:right="766"/>
        <w:rPr>
          <w:sz w:val="24"/>
        </w:rPr>
        <w:sectPr w:rsidR="00463201" w:rsidRPr="001930B7">
          <w:type w:val="continuous"/>
          <w:pgSz w:w="11910" w:h="16840"/>
          <w:pgMar w:top="1460" w:right="1320" w:bottom="960" w:left="1340" w:header="0" w:footer="772" w:gutter="0"/>
          <w:cols w:space="720"/>
        </w:sectPr>
      </w:pPr>
    </w:p>
    <w:p w14:paraId="3374E62B" w14:textId="77777777" w:rsidR="00A03E61" w:rsidRPr="001930B7" w:rsidRDefault="00055956" w:rsidP="00D44DC1">
      <w:pPr>
        <w:pStyle w:val="BodyText"/>
        <w:spacing w:before="74" w:line="360" w:lineRule="auto"/>
        <w:ind w:right="117"/>
        <w:jc w:val="right"/>
      </w:pPr>
      <w:bookmarkStart w:id="3" w:name="_Hlk86829449"/>
      <w:r w:rsidRPr="001930B7">
        <w:rPr>
          <w:u w:val="single"/>
        </w:rPr>
        <w:t>Attachment</w:t>
      </w:r>
      <w:r w:rsidRPr="001930B7">
        <w:rPr>
          <w:spacing w:val="-3"/>
          <w:u w:val="single"/>
        </w:rPr>
        <w:t xml:space="preserve"> </w:t>
      </w:r>
      <w:r w:rsidRPr="001930B7">
        <w:rPr>
          <w:u w:val="single"/>
        </w:rPr>
        <w:t>B</w:t>
      </w:r>
    </w:p>
    <w:p w14:paraId="26AED45E" w14:textId="77777777" w:rsidR="007C7BA0" w:rsidRPr="001930B7" w:rsidRDefault="007C7BA0" w:rsidP="00D44DC1">
      <w:pPr>
        <w:spacing w:before="115" w:line="360" w:lineRule="auto"/>
        <w:ind w:left="145" w:right="169"/>
        <w:jc w:val="center"/>
        <w:rPr>
          <w:b/>
          <w:bCs/>
          <w:iCs/>
          <w:sz w:val="24"/>
        </w:rPr>
      </w:pPr>
      <w:r w:rsidRPr="001930B7">
        <w:rPr>
          <w:b/>
          <w:bCs/>
          <w:iCs/>
          <w:sz w:val="24"/>
        </w:rPr>
        <w:t>Statement of Compatibility with Human Rights</w:t>
      </w:r>
    </w:p>
    <w:p w14:paraId="1C15DE56" w14:textId="77777777" w:rsidR="00A03E61" w:rsidRPr="001930B7" w:rsidRDefault="00055956" w:rsidP="00D44DC1">
      <w:pPr>
        <w:spacing w:before="115" w:line="360" w:lineRule="auto"/>
        <w:ind w:left="145" w:right="169"/>
        <w:rPr>
          <w:i/>
          <w:sz w:val="24"/>
        </w:rPr>
      </w:pPr>
      <w:r w:rsidRPr="001930B7">
        <w:rPr>
          <w:i/>
          <w:sz w:val="24"/>
        </w:rPr>
        <w:t>Prepared</w:t>
      </w:r>
      <w:r w:rsidRPr="001930B7">
        <w:rPr>
          <w:i/>
          <w:spacing w:val="-1"/>
          <w:sz w:val="24"/>
        </w:rPr>
        <w:t xml:space="preserve"> </w:t>
      </w:r>
      <w:r w:rsidRPr="001930B7">
        <w:rPr>
          <w:i/>
          <w:sz w:val="24"/>
        </w:rPr>
        <w:t>in</w:t>
      </w:r>
      <w:r w:rsidRPr="001930B7">
        <w:rPr>
          <w:i/>
          <w:spacing w:val="-1"/>
          <w:sz w:val="24"/>
        </w:rPr>
        <w:t xml:space="preserve"> </w:t>
      </w:r>
      <w:r w:rsidRPr="001930B7">
        <w:rPr>
          <w:i/>
          <w:sz w:val="24"/>
        </w:rPr>
        <w:t>accordance with</w:t>
      </w:r>
      <w:r w:rsidRPr="001930B7">
        <w:rPr>
          <w:i/>
          <w:spacing w:val="-1"/>
          <w:sz w:val="24"/>
        </w:rPr>
        <w:t xml:space="preserve"> </w:t>
      </w:r>
      <w:r w:rsidRPr="001930B7">
        <w:rPr>
          <w:i/>
          <w:sz w:val="24"/>
        </w:rPr>
        <w:t>Part</w:t>
      </w:r>
      <w:r w:rsidRPr="001930B7">
        <w:rPr>
          <w:i/>
          <w:spacing w:val="-1"/>
          <w:sz w:val="24"/>
        </w:rPr>
        <w:t xml:space="preserve"> </w:t>
      </w:r>
      <w:r w:rsidRPr="001930B7">
        <w:rPr>
          <w:i/>
          <w:sz w:val="24"/>
        </w:rPr>
        <w:t>3</w:t>
      </w:r>
      <w:r w:rsidRPr="001930B7">
        <w:rPr>
          <w:i/>
          <w:spacing w:val="-1"/>
          <w:sz w:val="24"/>
        </w:rPr>
        <w:t xml:space="preserve"> </w:t>
      </w:r>
      <w:r w:rsidRPr="001930B7">
        <w:rPr>
          <w:i/>
          <w:sz w:val="24"/>
        </w:rPr>
        <w:t>of</w:t>
      </w:r>
      <w:r w:rsidRPr="001930B7">
        <w:rPr>
          <w:i/>
          <w:spacing w:val="-1"/>
          <w:sz w:val="24"/>
        </w:rPr>
        <w:t xml:space="preserve"> </w:t>
      </w:r>
      <w:r w:rsidRPr="001930B7">
        <w:rPr>
          <w:i/>
          <w:sz w:val="24"/>
        </w:rPr>
        <w:t>the</w:t>
      </w:r>
      <w:r w:rsidRPr="001930B7">
        <w:rPr>
          <w:i/>
          <w:spacing w:val="-1"/>
          <w:sz w:val="24"/>
        </w:rPr>
        <w:t xml:space="preserve"> </w:t>
      </w:r>
      <w:r w:rsidRPr="001930B7">
        <w:rPr>
          <w:i/>
          <w:sz w:val="24"/>
        </w:rPr>
        <w:t>Human</w:t>
      </w:r>
      <w:r w:rsidRPr="001930B7">
        <w:rPr>
          <w:i/>
          <w:spacing w:val="-1"/>
          <w:sz w:val="24"/>
        </w:rPr>
        <w:t xml:space="preserve"> </w:t>
      </w:r>
      <w:r w:rsidRPr="001930B7">
        <w:rPr>
          <w:i/>
          <w:sz w:val="24"/>
        </w:rPr>
        <w:t>Rights</w:t>
      </w:r>
      <w:r w:rsidRPr="001930B7">
        <w:rPr>
          <w:i/>
          <w:spacing w:val="-2"/>
          <w:sz w:val="24"/>
        </w:rPr>
        <w:t xml:space="preserve"> </w:t>
      </w:r>
      <w:r w:rsidRPr="001930B7">
        <w:rPr>
          <w:i/>
          <w:sz w:val="24"/>
        </w:rPr>
        <w:t>(Parliamentary</w:t>
      </w:r>
      <w:r w:rsidRPr="001930B7">
        <w:rPr>
          <w:i/>
          <w:spacing w:val="-1"/>
          <w:sz w:val="24"/>
        </w:rPr>
        <w:t xml:space="preserve"> </w:t>
      </w:r>
      <w:r w:rsidRPr="001930B7">
        <w:rPr>
          <w:i/>
          <w:sz w:val="24"/>
        </w:rPr>
        <w:t>Scrutiny)</w:t>
      </w:r>
      <w:r w:rsidRPr="001930B7">
        <w:rPr>
          <w:i/>
          <w:spacing w:val="-5"/>
          <w:sz w:val="24"/>
        </w:rPr>
        <w:t xml:space="preserve"> </w:t>
      </w:r>
      <w:r w:rsidRPr="001930B7">
        <w:rPr>
          <w:i/>
          <w:sz w:val="24"/>
        </w:rPr>
        <w:t>Act</w:t>
      </w:r>
      <w:r w:rsidRPr="001930B7">
        <w:rPr>
          <w:i/>
          <w:spacing w:val="-1"/>
          <w:sz w:val="24"/>
        </w:rPr>
        <w:t xml:space="preserve"> </w:t>
      </w:r>
      <w:r w:rsidRPr="001930B7">
        <w:rPr>
          <w:i/>
          <w:sz w:val="24"/>
        </w:rPr>
        <w:t>2011</w:t>
      </w:r>
    </w:p>
    <w:p w14:paraId="0DFF47F6" w14:textId="77777777" w:rsidR="00A03E61" w:rsidRPr="001930B7" w:rsidRDefault="00AE7FCF" w:rsidP="00D44DC1">
      <w:pPr>
        <w:spacing w:before="217" w:line="360" w:lineRule="auto"/>
        <w:ind w:right="20"/>
        <w:jc w:val="center"/>
        <w:rPr>
          <w:i/>
          <w:sz w:val="24"/>
          <w:szCs w:val="24"/>
        </w:rPr>
      </w:pPr>
      <w:r w:rsidRPr="001930B7">
        <w:rPr>
          <w:i/>
          <w:sz w:val="24"/>
          <w:szCs w:val="24"/>
        </w:rPr>
        <w:t>Carbon Credits (Carbon Farming Initiative—</w:t>
      </w:r>
      <w:r w:rsidR="005F0586" w:rsidRPr="001930B7">
        <w:rPr>
          <w:i/>
          <w:sz w:val="24"/>
          <w:szCs w:val="24"/>
        </w:rPr>
        <w:t>Industrial Electricity and Fuel Efficiency</w:t>
      </w:r>
      <w:r w:rsidRPr="001930B7">
        <w:rPr>
          <w:i/>
          <w:sz w:val="24"/>
          <w:szCs w:val="24"/>
        </w:rPr>
        <w:t>—Revocation) Instrument 202</w:t>
      </w:r>
      <w:r w:rsidR="000A5796" w:rsidRPr="001930B7">
        <w:rPr>
          <w:i/>
          <w:sz w:val="24"/>
          <w:szCs w:val="24"/>
        </w:rPr>
        <w:t>2</w:t>
      </w:r>
    </w:p>
    <w:p w14:paraId="15785D1F" w14:textId="77777777" w:rsidR="00A03E61" w:rsidRPr="001930B7" w:rsidRDefault="00055956" w:rsidP="00D44DC1">
      <w:pPr>
        <w:spacing w:before="218" w:line="360" w:lineRule="auto"/>
        <w:ind w:right="345"/>
        <w:rPr>
          <w:sz w:val="24"/>
        </w:rPr>
      </w:pPr>
      <w:r w:rsidRPr="001930B7">
        <w:rPr>
          <w:sz w:val="24"/>
        </w:rPr>
        <w:t>This legislative instrument is compatible with the human rights and freedoms recognised or</w:t>
      </w:r>
      <w:r w:rsidRPr="001930B7">
        <w:rPr>
          <w:spacing w:val="-57"/>
          <w:sz w:val="24"/>
        </w:rPr>
        <w:t xml:space="preserve"> </w:t>
      </w:r>
      <w:r w:rsidRPr="001930B7">
        <w:rPr>
          <w:sz w:val="24"/>
        </w:rPr>
        <w:t xml:space="preserve">declared in the international instruments listed in section 3 of the </w:t>
      </w:r>
      <w:r w:rsidRPr="001930B7">
        <w:rPr>
          <w:i/>
          <w:sz w:val="24"/>
        </w:rPr>
        <w:t>Human Rights</w:t>
      </w:r>
      <w:r w:rsidRPr="001930B7">
        <w:rPr>
          <w:i/>
          <w:spacing w:val="1"/>
          <w:sz w:val="24"/>
        </w:rPr>
        <w:t xml:space="preserve"> </w:t>
      </w:r>
      <w:r w:rsidRPr="001930B7">
        <w:rPr>
          <w:i/>
          <w:sz w:val="24"/>
        </w:rPr>
        <w:t>(Parliamentary</w:t>
      </w:r>
      <w:r w:rsidRPr="001930B7">
        <w:rPr>
          <w:i/>
          <w:spacing w:val="-1"/>
          <w:sz w:val="24"/>
        </w:rPr>
        <w:t xml:space="preserve"> </w:t>
      </w:r>
      <w:r w:rsidRPr="001930B7">
        <w:rPr>
          <w:i/>
          <w:sz w:val="24"/>
        </w:rPr>
        <w:t>Scrutiny) Act 2011</w:t>
      </w:r>
      <w:r w:rsidRPr="001930B7">
        <w:rPr>
          <w:sz w:val="24"/>
        </w:rPr>
        <w:t>.</w:t>
      </w:r>
    </w:p>
    <w:p w14:paraId="45991CF1" w14:textId="77777777" w:rsidR="00786ADD" w:rsidRPr="001930B7" w:rsidRDefault="00786ADD" w:rsidP="00D44DC1">
      <w:pPr>
        <w:spacing w:before="218" w:line="360" w:lineRule="auto"/>
        <w:ind w:right="345"/>
        <w:rPr>
          <w:b/>
          <w:bCs/>
          <w:sz w:val="24"/>
        </w:rPr>
      </w:pPr>
      <w:r w:rsidRPr="001930B7">
        <w:rPr>
          <w:b/>
          <w:bCs/>
          <w:sz w:val="24"/>
        </w:rPr>
        <w:t>Overview of the Legislat</w:t>
      </w:r>
      <w:r w:rsidR="00F4571D" w:rsidRPr="001930B7">
        <w:rPr>
          <w:b/>
          <w:bCs/>
          <w:sz w:val="24"/>
        </w:rPr>
        <w:t>iv</w:t>
      </w:r>
      <w:r w:rsidRPr="001930B7">
        <w:rPr>
          <w:b/>
          <w:bCs/>
          <w:sz w:val="24"/>
        </w:rPr>
        <w:t>e Instrument</w:t>
      </w:r>
    </w:p>
    <w:p w14:paraId="1DF8299C" w14:textId="77777777" w:rsidR="00A03E61" w:rsidRPr="001930B7" w:rsidRDefault="00055956" w:rsidP="00D44DC1">
      <w:pPr>
        <w:spacing w:before="115" w:line="360" w:lineRule="auto"/>
        <w:ind w:right="383"/>
        <w:rPr>
          <w:sz w:val="24"/>
          <w:szCs w:val="24"/>
        </w:rPr>
      </w:pPr>
      <w:r w:rsidRPr="001930B7">
        <w:rPr>
          <w:sz w:val="24"/>
          <w:szCs w:val="24"/>
        </w:rPr>
        <w:t xml:space="preserve">The </w:t>
      </w:r>
      <w:r w:rsidR="00AE7FCF" w:rsidRPr="001930B7">
        <w:rPr>
          <w:i/>
          <w:sz w:val="24"/>
          <w:szCs w:val="24"/>
        </w:rPr>
        <w:t>Carbon Credits (Carbon Farming Initiative—</w:t>
      </w:r>
      <w:r w:rsidR="004A1769" w:rsidRPr="001930B7">
        <w:rPr>
          <w:i/>
          <w:sz w:val="24"/>
          <w:szCs w:val="24"/>
        </w:rPr>
        <w:t>Industrial Electricity and Fuel Efficiency</w:t>
      </w:r>
      <w:r w:rsidR="00AE7FCF" w:rsidRPr="001930B7">
        <w:rPr>
          <w:i/>
          <w:sz w:val="24"/>
          <w:szCs w:val="24"/>
        </w:rPr>
        <w:t>—Revocation) Instrument 202</w:t>
      </w:r>
      <w:r w:rsidR="000A5796" w:rsidRPr="001930B7">
        <w:rPr>
          <w:i/>
          <w:sz w:val="24"/>
          <w:szCs w:val="24"/>
        </w:rPr>
        <w:t>2</w:t>
      </w:r>
      <w:r w:rsidR="00AE7FCF" w:rsidRPr="001930B7">
        <w:rPr>
          <w:i/>
          <w:sz w:val="24"/>
          <w:szCs w:val="24"/>
        </w:rPr>
        <w:t xml:space="preserve"> </w:t>
      </w:r>
      <w:r w:rsidR="0077654C" w:rsidRPr="001930B7">
        <w:rPr>
          <w:sz w:val="24"/>
          <w:szCs w:val="24"/>
        </w:rPr>
        <w:t xml:space="preserve">revokes </w:t>
      </w:r>
      <w:r w:rsidRPr="001930B7">
        <w:rPr>
          <w:sz w:val="24"/>
          <w:szCs w:val="24"/>
        </w:rPr>
        <w:t xml:space="preserve">the </w:t>
      </w:r>
      <w:r w:rsidR="00AE7FCF" w:rsidRPr="001930B7">
        <w:rPr>
          <w:i/>
          <w:sz w:val="24"/>
          <w:szCs w:val="24"/>
        </w:rPr>
        <w:t>Carbon Credits (Carbon Farming Initiative—</w:t>
      </w:r>
      <w:r w:rsidR="004A1769" w:rsidRPr="001930B7">
        <w:rPr>
          <w:i/>
          <w:sz w:val="24"/>
          <w:szCs w:val="24"/>
        </w:rPr>
        <w:t>Industrial Electricity and Fuel Efficiency</w:t>
      </w:r>
      <w:r w:rsidR="00AE7FCF" w:rsidRPr="001930B7">
        <w:rPr>
          <w:i/>
          <w:sz w:val="24"/>
          <w:szCs w:val="24"/>
        </w:rPr>
        <w:t>) Methodology Determination 201</w:t>
      </w:r>
      <w:r w:rsidR="000A5796" w:rsidRPr="001930B7">
        <w:rPr>
          <w:i/>
          <w:sz w:val="24"/>
          <w:szCs w:val="24"/>
        </w:rPr>
        <w:t>5</w:t>
      </w:r>
      <w:r w:rsidR="00AE7FCF" w:rsidRPr="001930B7">
        <w:rPr>
          <w:i/>
          <w:sz w:val="24"/>
          <w:szCs w:val="24"/>
        </w:rPr>
        <w:t xml:space="preserve"> </w:t>
      </w:r>
      <w:r w:rsidR="00C02ED3" w:rsidRPr="001930B7">
        <w:rPr>
          <w:iCs/>
          <w:spacing w:val="-1"/>
          <w:sz w:val="24"/>
          <w:szCs w:val="24"/>
        </w:rPr>
        <w:t>made</w:t>
      </w:r>
      <w:r w:rsidRPr="001930B7">
        <w:rPr>
          <w:spacing w:val="-2"/>
          <w:sz w:val="24"/>
          <w:szCs w:val="24"/>
        </w:rPr>
        <w:t xml:space="preserve"> </w:t>
      </w:r>
      <w:r w:rsidRPr="001930B7">
        <w:rPr>
          <w:sz w:val="24"/>
          <w:szCs w:val="24"/>
        </w:rPr>
        <w:t>under the</w:t>
      </w:r>
      <w:r w:rsidRPr="001930B7">
        <w:rPr>
          <w:spacing w:val="-2"/>
          <w:sz w:val="24"/>
          <w:szCs w:val="24"/>
        </w:rPr>
        <w:t xml:space="preserve"> </w:t>
      </w:r>
      <w:r w:rsidRPr="001930B7">
        <w:rPr>
          <w:i/>
          <w:sz w:val="24"/>
          <w:szCs w:val="24"/>
        </w:rPr>
        <w:t>Carbon Credits</w:t>
      </w:r>
      <w:r w:rsidRPr="001930B7">
        <w:rPr>
          <w:i/>
          <w:spacing w:val="-1"/>
          <w:sz w:val="24"/>
          <w:szCs w:val="24"/>
        </w:rPr>
        <w:t xml:space="preserve"> </w:t>
      </w:r>
      <w:r w:rsidRPr="001930B7">
        <w:rPr>
          <w:i/>
          <w:sz w:val="24"/>
          <w:szCs w:val="24"/>
        </w:rPr>
        <w:t>(Carbon Farming Initiative)</w:t>
      </w:r>
      <w:r w:rsidRPr="001930B7">
        <w:rPr>
          <w:i/>
          <w:spacing w:val="-4"/>
          <w:sz w:val="24"/>
          <w:szCs w:val="24"/>
        </w:rPr>
        <w:t xml:space="preserve"> </w:t>
      </w:r>
      <w:r w:rsidRPr="001930B7">
        <w:rPr>
          <w:i/>
          <w:sz w:val="24"/>
          <w:szCs w:val="24"/>
        </w:rPr>
        <w:t>Act 2011</w:t>
      </w:r>
      <w:r w:rsidRPr="001930B7">
        <w:rPr>
          <w:sz w:val="24"/>
          <w:szCs w:val="24"/>
        </w:rPr>
        <w:t>.</w:t>
      </w:r>
    </w:p>
    <w:p w14:paraId="54611A44" w14:textId="77777777" w:rsidR="00A03E61" w:rsidRPr="001930B7" w:rsidRDefault="00055956" w:rsidP="002C1DBC">
      <w:pPr>
        <w:spacing w:before="120" w:line="360" w:lineRule="auto"/>
        <w:ind w:right="595"/>
        <w:rPr>
          <w:sz w:val="24"/>
          <w:szCs w:val="24"/>
        </w:rPr>
      </w:pPr>
      <w:r w:rsidRPr="001930B7">
        <w:rPr>
          <w:sz w:val="24"/>
          <w:szCs w:val="24"/>
        </w:rPr>
        <w:t xml:space="preserve">The determination being </w:t>
      </w:r>
      <w:r w:rsidR="0077654C" w:rsidRPr="001930B7">
        <w:rPr>
          <w:sz w:val="24"/>
          <w:szCs w:val="24"/>
        </w:rPr>
        <w:t xml:space="preserve">revoked </w:t>
      </w:r>
      <w:r w:rsidR="00F55BB4" w:rsidRPr="001930B7">
        <w:rPr>
          <w:sz w:val="24"/>
          <w:szCs w:val="24"/>
        </w:rPr>
        <w:t>has been substantially replaced by the</w:t>
      </w:r>
      <w:r w:rsidR="00F55BB4" w:rsidRPr="001930B7">
        <w:rPr>
          <w:rFonts w:eastAsiaTheme="minorEastAsia"/>
          <w:color w:val="000000"/>
          <w:sz w:val="24"/>
          <w:szCs w:val="24"/>
          <w:lang w:val="en-AU" w:eastAsia="en-GB"/>
        </w:rPr>
        <w:t> </w:t>
      </w:r>
      <w:r w:rsidR="00F55BB4" w:rsidRPr="001930B7">
        <w:rPr>
          <w:rFonts w:eastAsiaTheme="minorEastAsia"/>
          <w:i/>
          <w:iCs/>
          <w:color w:val="000000"/>
          <w:sz w:val="24"/>
          <w:szCs w:val="24"/>
          <w:lang w:val="en-AU" w:eastAsia="en-GB"/>
        </w:rPr>
        <w:t>Carbon Credits (Carbon Farming Initiative—Industrial and Commercial Emissions Reduction) Methodology Determination 2021.</w:t>
      </w:r>
    </w:p>
    <w:p w14:paraId="2C397F51" w14:textId="77777777" w:rsidR="00786ADD" w:rsidRPr="001930B7" w:rsidRDefault="00786ADD" w:rsidP="00D44DC1">
      <w:pPr>
        <w:spacing w:before="218" w:line="360" w:lineRule="auto"/>
        <w:ind w:right="345"/>
        <w:rPr>
          <w:b/>
          <w:bCs/>
          <w:sz w:val="24"/>
        </w:rPr>
      </w:pPr>
      <w:r w:rsidRPr="001930B7">
        <w:rPr>
          <w:b/>
          <w:bCs/>
          <w:sz w:val="24"/>
        </w:rPr>
        <w:t>Human Rights Implications</w:t>
      </w:r>
    </w:p>
    <w:p w14:paraId="34D60D62" w14:textId="77777777" w:rsidR="00A03E61" w:rsidRPr="001930B7" w:rsidRDefault="00055956" w:rsidP="00D44DC1">
      <w:pPr>
        <w:pStyle w:val="BodyText"/>
        <w:spacing w:before="116" w:line="360" w:lineRule="auto"/>
      </w:pPr>
      <w:r w:rsidRPr="001930B7">
        <w:t>This</w:t>
      </w:r>
      <w:r w:rsidRPr="001930B7">
        <w:rPr>
          <w:spacing w:val="-1"/>
        </w:rPr>
        <w:t xml:space="preserve"> </w:t>
      </w:r>
      <w:r w:rsidRPr="001930B7">
        <w:t>legislative</w:t>
      </w:r>
      <w:r w:rsidRPr="001930B7">
        <w:rPr>
          <w:spacing w:val="-2"/>
        </w:rPr>
        <w:t xml:space="preserve"> </w:t>
      </w:r>
      <w:r w:rsidRPr="001930B7">
        <w:t>instrument does</w:t>
      </w:r>
      <w:r w:rsidRPr="001930B7">
        <w:rPr>
          <w:spacing w:val="-2"/>
        </w:rPr>
        <w:t xml:space="preserve"> </w:t>
      </w:r>
      <w:r w:rsidRPr="001930B7">
        <w:t>not engage</w:t>
      </w:r>
      <w:r w:rsidRPr="001930B7">
        <w:rPr>
          <w:spacing w:val="-2"/>
        </w:rPr>
        <w:t xml:space="preserve"> </w:t>
      </w:r>
      <w:r w:rsidRPr="001930B7">
        <w:t>any</w:t>
      </w:r>
      <w:r w:rsidRPr="001930B7">
        <w:rPr>
          <w:spacing w:val="-6"/>
        </w:rPr>
        <w:t xml:space="preserve"> </w:t>
      </w:r>
      <w:r w:rsidRPr="001930B7">
        <w:t>of the</w:t>
      </w:r>
      <w:r w:rsidRPr="001930B7">
        <w:rPr>
          <w:spacing w:val="-3"/>
        </w:rPr>
        <w:t xml:space="preserve"> </w:t>
      </w:r>
      <w:r w:rsidRPr="001930B7">
        <w:t>applicable rights</w:t>
      </w:r>
      <w:r w:rsidRPr="001930B7">
        <w:rPr>
          <w:spacing w:val="-1"/>
        </w:rPr>
        <w:t xml:space="preserve"> </w:t>
      </w:r>
      <w:r w:rsidRPr="001930B7">
        <w:t>or</w:t>
      </w:r>
      <w:r w:rsidRPr="001930B7">
        <w:rPr>
          <w:spacing w:val="2"/>
        </w:rPr>
        <w:t xml:space="preserve"> </w:t>
      </w:r>
      <w:r w:rsidRPr="001930B7">
        <w:t>freedoms.</w:t>
      </w:r>
    </w:p>
    <w:p w14:paraId="12CC42F8" w14:textId="77777777" w:rsidR="00786ADD" w:rsidRPr="001930B7" w:rsidRDefault="00786ADD" w:rsidP="00D44DC1">
      <w:pPr>
        <w:spacing w:before="218" w:line="360" w:lineRule="auto"/>
        <w:ind w:right="345"/>
        <w:rPr>
          <w:b/>
          <w:bCs/>
          <w:sz w:val="24"/>
        </w:rPr>
      </w:pPr>
      <w:r w:rsidRPr="001930B7">
        <w:rPr>
          <w:b/>
          <w:bCs/>
          <w:sz w:val="24"/>
        </w:rPr>
        <w:t>Conclusion</w:t>
      </w:r>
    </w:p>
    <w:p w14:paraId="4131D9D1" w14:textId="77777777" w:rsidR="00A03E61" w:rsidRPr="001930B7" w:rsidRDefault="00055956" w:rsidP="00D44DC1">
      <w:pPr>
        <w:pStyle w:val="BodyText"/>
        <w:spacing w:before="115" w:line="360" w:lineRule="auto"/>
        <w:ind w:right="464"/>
      </w:pPr>
      <w:r w:rsidRPr="001930B7">
        <w:t>This legislative instrument is compatible with human rights as it does not raise any human</w:t>
      </w:r>
      <w:r w:rsidRPr="001930B7">
        <w:rPr>
          <w:spacing w:val="-57"/>
        </w:rPr>
        <w:t xml:space="preserve"> </w:t>
      </w:r>
      <w:r w:rsidRPr="001930B7">
        <w:t>rights</w:t>
      </w:r>
      <w:r w:rsidRPr="001930B7">
        <w:rPr>
          <w:spacing w:val="-1"/>
        </w:rPr>
        <w:t xml:space="preserve"> </w:t>
      </w:r>
      <w:r w:rsidRPr="001930B7">
        <w:t>issues.</w:t>
      </w:r>
    </w:p>
    <w:p w14:paraId="307E09D5" w14:textId="77777777" w:rsidR="00ED4B47" w:rsidRPr="001930B7" w:rsidRDefault="00ED4B47" w:rsidP="00D44DC1">
      <w:pPr>
        <w:spacing w:line="360" w:lineRule="auto"/>
        <w:rPr>
          <w:b/>
          <w:sz w:val="24"/>
        </w:rPr>
      </w:pPr>
    </w:p>
    <w:p w14:paraId="6E4C0139" w14:textId="77777777" w:rsidR="00CB76B1" w:rsidRPr="001930B7" w:rsidRDefault="00CB76B1" w:rsidP="00F83711">
      <w:pPr>
        <w:spacing w:line="360" w:lineRule="auto"/>
        <w:jc w:val="center"/>
        <w:rPr>
          <w:b/>
          <w:sz w:val="24"/>
        </w:rPr>
      </w:pPr>
      <w:r w:rsidRPr="001930B7">
        <w:rPr>
          <w:b/>
          <w:sz w:val="24"/>
        </w:rPr>
        <w:t xml:space="preserve">The Hon </w:t>
      </w:r>
      <w:r w:rsidR="00ED4B47" w:rsidRPr="001930B7">
        <w:rPr>
          <w:b/>
          <w:sz w:val="24"/>
        </w:rPr>
        <w:t>Chris Bowen</w:t>
      </w:r>
      <w:r w:rsidRPr="001930B7">
        <w:rPr>
          <w:b/>
          <w:sz w:val="24"/>
        </w:rPr>
        <w:t xml:space="preserve"> MP</w:t>
      </w:r>
    </w:p>
    <w:p w14:paraId="74D7E788" w14:textId="77777777" w:rsidR="00ED4B47" w:rsidRDefault="005D235D" w:rsidP="00F83711">
      <w:pPr>
        <w:spacing w:line="360" w:lineRule="auto"/>
        <w:jc w:val="center"/>
        <w:rPr>
          <w:b/>
          <w:sz w:val="24"/>
        </w:rPr>
      </w:pPr>
      <w:r w:rsidRPr="001930B7">
        <w:rPr>
          <w:b/>
          <w:sz w:val="24"/>
        </w:rPr>
        <w:t>Minister for Climate Change and Energy</w:t>
      </w:r>
    </w:p>
    <w:bookmarkEnd w:id="3"/>
    <w:p w14:paraId="19DA481E" w14:textId="77777777" w:rsidR="00A03E61" w:rsidRDefault="00A03E61" w:rsidP="005D235D">
      <w:pPr>
        <w:spacing w:line="360" w:lineRule="auto"/>
        <w:rPr>
          <w:b/>
          <w:sz w:val="24"/>
        </w:rPr>
      </w:pPr>
    </w:p>
    <w:sectPr w:rsidR="00A03E61">
      <w:pgSz w:w="11910" w:h="16840"/>
      <w:pgMar w:top="1340" w:right="1320" w:bottom="960" w:left="1340" w:header="0" w:footer="7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E24B14" w14:textId="77777777" w:rsidR="00944F06" w:rsidRDefault="00944F06">
      <w:r>
        <w:separator/>
      </w:r>
    </w:p>
  </w:endnote>
  <w:endnote w:type="continuationSeparator" w:id="0">
    <w:p w14:paraId="083BFA46" w14:textId="77777777" w:rsidR="00944F06" w:rsidRDefault="00944F06">
      <w:r>
        <w:continuationSeparator/>
      </w:r>
    </w:p>
  </w:endnote>
  <w:endnote w:type="continuationNotice" w:id="1">
    <w:p w14:paraId="28AA4CDA" w14:textId="77777777" w:rsidR="00944F06" w:rsidRDefault="00944F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4EAFF" w14:textId="77777777" w:rsidR="00C60836" w:rsidRDefault="00C608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D72F3F" w14:textId="77777777" w:rsidR="004B1259" w:rsidRDefault="004B1259" w:rsidP="003152E5">
    <w:pPr>
      <w:pStyle w:val="Footer"/>
    </w:pPr>
  </w:p>
  <w:p w14:paraId="743C6D02" w14:textId="77777777" w:rsidR="004B1259" w:rsidRDefault="004B1259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B9143" w14:textId="77777777" w:rsidR="00C60836" w:rsidRDefault="00C608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475443" w14:textId="77777777" w:rsidR="00944F06" w:rsidRDefault="00944F06">
      <w:r>
        <w:separator/>
      </w:r>
    </w:p>
  </w:footnote>
  <w:footnote w:type="continuationSeparator" w:id="0">
    <w:p w14:paraId="5A712BB0" w14:textId="77777777" w:rsidR="00944F06" w:rsidRDefault="00944F06">
      <w:r>
        <w:continuationSeparator/>
      </w:r>
    </w:p>
  </w:footnote>
  <w:footnote w:type="continuationNotice" w:id="1">
    <w:p w14:paraId="71E42028" w14:textId="77777777" w:rsidR="00944F06" w:rsidRDefault="00944F0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24F96" w14:textId="77777777" w:rsidR="00C60836" w:rsidRDefault="00C608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24BFC" w14:textId="77777777" w:rsidR="004B1259" w:rsidRDefault="004B1259">
    <w:pPr>
      <w:pStyle w:val="Header"/>
    </w:pPr>
  </w:p>
  <w:p w14:paraId="4029C9CE" w14:textId="77777777" w:rsidR="004B1259" w:rsidRDefault="004B1259" w:rsidP="00C80CC8">
    <w:pPr>
      <w:pStyle w:val="Header"/>
      <w:ind w:right="-531"/>
      <w:jc w:val="right"/>
      <w:rPr>
        <w:sz w:val="20"/>
        <w:szCs w:val="20"/>
      </w:rPr>
    </w:pPr>
  </w:p>
  <w:p w14:paraId="1E2FB3B6" w14:textId="77777777" w:rsidR="004C4AEE" w:rsidRPr="00407FA0" w:rsidRDefault="004C4AEE" w:rsidP="004C4AEE">
    <w:pPr>
      <w:pStyle w:val="Header"/>
      <w:tabs>
        <w:tab w:val="left" w:pos="8389"/>
      </w:tabs>
      <w:ind w:right="-531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4ED7C3" w14:textId="68AFC71C" w:rsidR="003A102D" w:rsidRDefault="003A102D" w:rsidP="003A102D">
    <w:pPr>
      <w:pStyle w:val="Header"/>
      <w:jc w:val="right"/>
      <w:rPr>
        <w:rFonts w:asciiTheme="minorHAnsi" w:hAnsiTheme="minorHAnsi" w:cstheme="minorHAnsi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3602B"/>
    <w:multiLevelType w:val="hybridMultilevel"/>
    <w:tmpl w:val="056070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F55F4"/>
    <w:multiLevelType w:val="hybridMultilevel"/>
    <w:tmpl w:val="8EC6D6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64E5C"/>
    <w:multiLevelType w:val="hybridMultilevel"/>
    <w:tmpl w:val="ECD2E5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138F7"/>
    <w:multiLevelType w:val="hybridMultilevel"/>
    <w:tmpl w:val="330479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776B6"/>
    <w:multiLevelType w:val="hybridMultilevel"/>
    <w:tmpl w:val="D9C4E6E2"/>
    <w:lvl w:ilvl="0" w:tplc="924E354E">
      <w:start w:val="1"/>
      <w:numFmt w:val="decimal"/>
      <w:lvlText w:val="%1"/>
      <w:lvlJc w:val="left"/>
      <w:pPr>
        <w:ind w:left="819" w:hanging="360"/>
      </w:pPr>
      <w:rPr>
        <w:rFonts w:ascii="Times New Roman" w:eastAsia="Calibri" w:hAnsi="Times New Roman" w:cs="Times New Roman" w:hint="default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1" w:tplc="0C090019" w:tentative="1">
      <w:start w:val="1"/>
      <w:numFmt w:val="lowerLetter"/>
      <w:lvlText w:val="%2."/>
      <w:lvlJc w:val="left"/>
      <w:pPr>
        <w:ind w:left="1539" w:hanging="360"/>
      </w:pPr>
    </w:lvl>
    <w:lvl w:ilvl="2" w:tplc="0C09001B" w:tentative="1">
      <w:start w:val="1"/>
      <w:numFmt w:val="lowerRoman"/>
      <w:lvlText w:val="%3."/>
      <w:lvlJc w:val="right"/>
      <w:pPr>
        <w:ind w:left="2259" w:hanging="180"/>
      </w:pPr>
    </w:lvl>
    <w:lvl w:ilvl="3" w:tplc="0C09000F" w:tentative="1">
      <w:start w:val="1"/>
      <w:numFmt w:val="decimal"/>
      <w:lvlText w:val="%4."/>
      <w:lvlJc w:val="left"/>
      <w:pPr>
        <w:ind w:left="2979" w:hanging="360"/>
      </w:pPr>
    </w:lvl>
    <w:lvl w:ilvl="4" w:tplc="0C090019" w:tentative="1">
      <w:start w:val="1"/>
      <w:numFmt w:val="lowerLetter"/>
      <w:lvlText w:val="%5."/>
      <w:lvlJc w:val="left"/>
      <w:pPr>
        <w:ind w:left="3699" w:hanging="360"/>
      </w:pPr>
    </w:lvl>
    <w:lvl w:ilvl="5" w:tplc="0C09001B" w:tentative="1">
      <w:start w:val="1"/>
      <w:numFmt w:val="lowerRoman"/>
      <w:lvlText w:val="%6."/>
      <w:lvlJc w:val="right"/>
      <w:pPr>
        <w:ind w:left="4419" w:hanging="180"/>
      </w:pPr>
    </w:lvl>
    <w:lvl w:ilvl="6" w:tplc="0C09000F" w:tentative="1">
      <w:start w:val="1"/>
      <w:numFmt w:val="decimal"/>
      <w:lvlText w:val="%7."/>
      <w:lvlJc w:val="left"/>
      <w:pPr>
        <w:ind w:left="5139" w:hanging="360"/>
      </w:pPr>
    </w:lvl>
    <w:lvl w:ilvl="7" w:tplc="0C090019" w:tentative="1">
      <w:start w:val="1"/>
      <w:numFmt w:val="lowerLetter"/>
      <w:lvlText w:val="%8."/>
      <w:lvlJc w:val="left"/>
      <w:pPr>
        <w:ind w:left="5859" w:hanging="360"/>
      </w:pPr>
    </w:lvl>
    <w:lvl w:ilvl="8" w:tplc="0C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 w15:restartNumberingAfterBreak="0">
    <w:nsid w:val="419663C7"/>
    <w:multiLevelType w:val="hybridMultilevel"/>
    <w:tmpl w:val="18FCF3BC"/>
    <w:lvl w:ilvl="0" w:tplc="1A462F72">
      <w:numFmt w:val="bullet"/>
      <w:lvlText w:val=""/>
      <w:lvlJc w:val="left"/>
      <w:pPr>
        <w:ind w:left="820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1B4EBFC">
      <w:numFmt w:val="bullet"/>
      <w:lvlText w:val="•"/>
      <w:lvlJc w:val="left"/>
      <w:pPr>
        <w:ind w:left="1662" w:hanging="428"/>
      </w:pPr>
      <w:rPr>
        <w:rFonts w:hint="default"/>
        <w:lang w:val="en-US" w:eastAsia="en-US" w:bidi="ar-SA"/>
      </w:rPr>
    </w:lvl>
    <w:lvl w:ilvl="2" w:tplc="BECC3884">
      <w:numFmt w:val="bullet"/>
      <w:lvlText w:val="•"/>
      <w:lvlJc w:val="left"/>
      <w:pPr>
        <w:ind w:left="2505" w:hanging="428"/>
      </w:pPr>
      <w:rPr>
        <w:rFonts w:hint="default"/>
        <w:lang w:val="en-US" w:eastAsia="en-US" w:bidi="ar-SA"/>
      </w:rPr>
    </w:lvl>
    <w:lvl w:ilvl="3" w:tplc="B2B2F8F8">
      <w:numFmt w:val="bullet"/>
      <w:lvlText w:val="•"/>
      <w:lvlJc w:val="left"/>
      <w:pPr>
        <w:ind w:left="3347" w:hanging="428"/>
      </w:pPr>
      <w:rPr>
        <w:rFonts w:hint="default"/>
        <w:lang w:val="en-US" w:eastAsia="en-US" w:bidi="ar-SA"/>
      </w:rPr>
    </w:lvl>
    <w:lvl w:ilvl="4" w:tplc="E7869B4C">
      <w:numFmt w:val="bullet"/>
      <w:lvlText w:val="•"/>
      <w:lvlJc w:val="left"/>
      <w:pPr>
        <w:ind w:left="4190" w:hanging="428"/>
      </w:pPr>
      <w:rPr>
        <w:rFonts w:hint="default"/>
        <w:lang w:val="en-US" w:eastAsia="en-US" w:bidi="ar-SA"/>
      </w:rPr>
    </w:lvl>
    <w:lvl w:ilvl="5" w:tplc="23DACDF6">
      <w:numFmt w:val="bullet"/>
      <w:lvlText w:val="•"/>
      <w:lvlJc w:val="left"/>
      <w:pPr>
        <w:ind w:left="5033" w:hanging="428"/>
      </w:pPr>
      <w:rPr>
        <w:rFonts w:hint="default"/>
        <w:lang w:val="en-US" w:eastAsia="en-US" w:bidi="ar-SA"/>
      </w:rPr>
    </w:lvl>
    <w:lvl w:ilvl="6" w:tplc="E27893E8">
      <w:numFmt w:val="bullet"/>
      <w:lvlText w:val="•"/>
      <w:lvlJc w:val="left"/>
      <w:pPr>
        <w:ind w:left="5875" w:hanging="428"/>
      </w:pPr>
      <w:rPr>
        <w:rFonts w:hint="default"/>
        <w:lang w:val="en-US" w:eastAsia="en-US" w:bidi="ar-SA"/>
      </w:rPr>
    </w:lvl>
    <w:lvl w:ilvl="7" w:tplc="D310BA44">
      <w:numFmt w:val="bullet"/>
      <w:lvlText w:val="•"/>
      <w:lvlJc w:val="left"/>
      <w:pPr>
        <w:ind w:left="6718" w:hanging="428"/>
      </w:pPr>
      <w:rPr>
        <w:rFonts w:hint="default"/>
        <w:lang w:val="en-US" w:eastAsia="en-US" w:bidi="ar-SA"/>
      </w:rPr>
    </w:lvl>
    <w:lvl w:ilvl="8" w:tplc="433A6714">
      <w:numFmt w:val="bullet"/>
      <w:lvlText w:val="•"/>
      <w:lvlJc w:val="left"/>
      <w:pPr>
        <w:ind w:left="7561" w:hanging="428"/>
      </w:pPr>
      <w:rPr>
        <w:rFonts w:hint="default"/>
        <w:lang w:val="en-US" w:eastAsia="en-US" w:bidi="ar-SA"/>
      </w:rPr>
    </w:lvl>
  </w:abstractNum>
  <w:abstractNum w:abstractNumId="6" w15:restartNumberingAfterBreak="0">
    <w:nsid w:val="493D7523"/>
    <w:multiLevelType w:val="hybridMultilevel"/>
    <w:tmpl w:val="97F299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70E93"/>
    <w:multiLevelType w:val="hybridMultilevel"/>
    <w:tmpl w:val="9702B9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804A5F"/>
    <w:multiLevelType w:val="hybridMultilevel"/>
    <w:tmpl w:val="CEFC168C"/>
    <w:lvl w:ilvl="0" w:tplc="924E354E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B3038"/>
    <w:multiLevelType w:val="hybridMultilevel"/>
    <w:tmpl w:val="04685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2A0C73"/>
    <w:multiLevelType w:val="hybridMultilevel"/>
    <w:tmpl w:val="84B22F18"/>
    <w:lvl w:ilvl="0" w:tplc="0C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 w15:restartNumberingAfterBreak="0">
    <w:nsid w:val="75E5122E"/>
    <w:multiLevelType w:val="hybridMultilevel"/>
    <w:tmpl w:val="3BC4382E"/>
    <w:lvl w:ilvl="0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AAE3576"/>
    <w:multiLevelType w:val="hybridMultilevel"/>
    <w:tmpl w:val="90B021D8"/>
    <w:lvl w:ilvl="0" w:tplc="924E354E">
      <w:start w:val="1"/>
      <w:numFmt w:val="decimal"/>
      <w:lvlText w:val="%1"/>
      <w:lvlJc w:val="left"/>
      <w:pPr>
        <w:ind w:left="820" w:hanging="720"/>
      </w:pPr>
      <w:rPr>
        <w:rFonts w:ascii="Times New Roman" w:eastAsia="Calibri" w:hAnsi="Times New Roman" w:cs="Times New Roman" w:hint="default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1" w:tplc="6EAADB2E">
      <w:numFmt w:val="bullet"/>
      <w:lvlText w:val="•"/>
      <w:lvlJc w:val="left"/>
      <w:pPr>
        <w:ind w:left="888" w:hanging="720"/>
      </w:pPr>
      <w:rPr>
        <w:rFonts w:hint="default"/>
        <w:lang w:val="en-US" w:eastAsia="en-US" w:bidi="ar-SA"/>
      </w:rPr>
    </w:lvl>
    <w:lvl w:ilvl="2" w:tplc="16B0B078">
      <w:numFmt w:val="bullet"/>
      <w:lvlText w:val="•"/>
      <w:lvlJc w:val="left"/>
      <w:pPr>
        <w:ind w:left="956" w:hanging="720"/>
      </w:pPr>
      <w:rPr>
        <w:rFonts w:hint="default"/>
        <w:lang w:val="en-US" w:eastAsia="en-US" w:bidi="ar-SA"/>
      </w:rPr>
    </w:lvl>
    <w:lvl w:ilvl="3" w:tplc="5B72B404">
      <w:numFmt w:val="bullet"/>
      <w:lvlText w:val="•"/>
      <w:lvlJc w:val="left"/>
      <w:pPr>
        <w:ind w:left="1024" w:hanging="720"/>
      </w:pPr>
      <w:rPr>
        <w:rFonts w:hint="default"/>
        <w:lang w:val="en-US" w:eastAsia="en-US" w:bidi="ar-SA"/>
      </w:rPr>
    </w:lvl>
    <w:lvl w:ilvl="4" w:tplc="A044B9D0">
      <w:numFmt w:val="bullet"/>
      <w:lvlText w:val="•"/>
      <w:lvlJc w:val="left"/>
      <w:pPr>
        <w:ind w:left="1092" w:hanging="720"/>
      </w:pPr>
      <w:rPr>
        <w:rFonts w:hint="default"/>
        <w:lang w:val="en-US" w:eastAsia="en-US" w:bidi="ar-SA"/>
      </w:rPr>
    </w:lvl>
    <w:lvl w:ilvl="5" w:tplc="FF6A2D60">
      <w:numFmt w:val="bullet"/>
      <w:lvlText w:val="•"/>
      <w:lvlJc w:val="left"/>
      <w:pPr>
        <w:ind w:left="1160" w:hanging="720"/>
      </w:pPr>
      <w:rPr>
        <w:rFonts w:hint="default"/>
        <w:lang w:val="en-US" w:eastAsia="en-US" w:bidi="ar-SA"/>
      </w:rPr>
    </w:lvl>
    <w:lvl w:ilvl="6" w:tplc="2E1403B6">
      <w:numFmt w:val="bullet"/>
      <w:lvlText w:val="•"/>
      <w:lvlJc w:val="left"/>
      <w:pPr>
        <w:ind w:left="1229" w:hanging="720"/>
      </w:pPr>
      <w:rPr>
        <w:rFonts w:hint="default"/>
        <w:lang w:val="en-US" w:eastAsia="en-US" w:bidi="ar-SA"/>
      </w:rPr>
    </w:lvl>
    <w:lvl w:ilvl="7" w:tplc="B8485AE0">
      <w:numFmt w:val="bullet"/>
      <w:lvlText w:val="•"/>
      <w:lvlJc w:val="left"/>
      <w:pPr>
        <w:ind w:left="1297" w:hanging="720"/>
      </w:pPr>
      <w:rPr>
        <w:rFonts w:hint="default"/>
        <w:lang w:val="en-US" w:eastAsia="en-US" w:bidi="ar-SA"/>
      </w:rPr>
    </w:lvl>
    <w:lvl w:ilvl="8" w:tplc="B70E2C22">
      <w:numFmt w:val="bullet"/>
      <w:lvlText w:val="•"/>
      <w:lvlJc w:val="left"/>
      <w:pPr>
        <w:ind w:left="1365" w:hanging="720"/>
      </w:pPr>
      <w:rPr>
        <w:rFonts w:hint="default"/>
        <w:lang w:val="en-US" w:eastAsia="en-US" w:bidi="ar-SA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6"/>
  </w:num>
  <w:num w:numId="5">
    <w:abstractNumId w:val="11"/>
  </w:num>
  <w:num w:numId="6">
    <w:abstractNumId w:val="3"/>
  </w:num>
  <w:num w:numId="7">
    <w:abstractNumId w:val="4"/>
  </w:num>
  <w:num w:numId="8">
    <w:abstractNumId w:val="8"/>
  </w:num>
  <w:num w:numId="9">
    <w:abstractNumId w:val="2"/>
  </w:num>
  <w:num w:numId="10">
    <w:abstractNumId w:val="0"/>
  </w:num>
  <w:num w:numId="11">
    <w:abstractNumId w:val="9"/>
  </w:num>
  <w:num w:numId="12">
    <w:abstractNumId w:val="0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61"/>
    <w:rsid w:val="00001215"/>
    <w:rsid w:val="00003E73"/>
    <w:rsid w:val="00004D28"/>
    <w:rsid w:val="00004D96"/>
    <w:rsid w:val="00005936"/>
    <w:rsid w:val="00010599"/>
    <w:rsid w:val="00011252"/>
    <w:rsid w:val="00011AB5"/>
    <w:rsid w:val="000156CD"/>
    <w:rsid w:val="00016844"/>
    <w:rsid w:val="000176DF"/>
    <w:rsid w:val="000211FA"/>
    <w:rsid w:val="00021D91"/>
    <w:rsid w:val="0002298E"/>
    <w:rsid w:val="00022DDB"/>
    <w:rsid w:val="00022E6D"/>
    <w:rsid w:val="00031107"/>
    <w:rsid w:val="00032981"/>
    <w:rsid w:val="00033199"/>
    <w:rsid w:val="0003334E"/>
    <w:rsid w:val="000341A9"/>
    <w:rsid w:val="00034956"/>
    <w:rsid w:val="00034A2D"/>
    <w:rsid w:val="00034B79"/>
    <w:rsid w:val="00036D9C"/>
    <w:rsid w:val="00037278"/>
    <w:rsid w:val="0004041E"/>
    <w:rsid w:val="00041FEE"/>
    <w:rsid w:val="00042078"/>
    <w:rsid w:val="00046180"/>
    <w:rsid w:val="00050391"/>
    <w:rsid w:val="000512F5"/>
    <w:rsid w:val="00051C54"/>
    <w:rsid w:val="000537D3"/>
    <w:rsid w:val="0005432F"/>
    <w:rsid w:val="00055956"/>
    <w:rsid w:val="00056992"/>
    <w:rsid w:val="0005731C"/>
    <w:rsid w:val="00060517"/>
    <w:rsid w:val="00061BFF"/>
    <w:rsid w:val="00063EB3"/>
    <w:rsid w:val="00070B71"/>
    <w:rsid w:val="00070FCD"/>
    <w:rsid w:val="000718A3"/>
    <w:rsid w:val="000729FC"/>
    <w:rsid w:val="000733F5"/>
    <w:rsid w:val="00074355"/>
    <w:rsid w:val="00077F29"/>
    <w:rsid w:val="00080DE9"/>
    <w:rsid w:val="00083D50"/>
    <w:rsid w:val="0008781B"/>
    <w:rsid w:val="000913BD"/>
    <w:rsid w:val="00091E42"/>
    <w:rsid w:val="00092BAD"/>
    <w:rsid w:val="00095EA1"/>
    <w:rsid w:val="000A109F"/>
    <w:rsid w:val="000A4F38"/>
    <w:rsid w:val="000A5611"/>
    <w:rsid w:val="000A5796"/>
    <w:rsid w:val="000A6D80"/>
    <w:rsid w:val="000B03C4"/>
    <w:rsid w:val="000B4F82"/>
    <w:rsid w:val="000B7A70"/>
    <w:rsid w:val="000C025F"/>
    <w:rsid w:val="000C4CE9"/>
    <w:rsid w:val="000C5289"/>
    <w:rsid w:val="000C5F44"/>
    <w:rsid w:val="000C66EA"/>
    <w:rsid w:val="000D25C9"/>
    <w:rsid w:val="000D3C93"/>
    <w:rsid w:val="000E0767"/>
    <w:rsid w:val="000E1F47"/>
    <w:rsid w:val="000E4036"/>
    <w:rsid w:val="000E6485"/>
    <w:rsid w:val="000E71BB"/>
    <w:rsid w:val="000F154D"/>
    <w:rsid w:val="000F5961"/>
    <w:rsid w:val="000F6555"/>
    <w:rsid w:val="00100567"/>
    <w:rsid w:val="001034BF"/>
    <w:rsid w:val="00107578"/>
    <w:rsid w:val="00114459"/>
    <w:rsid w:val="00116986"/>
    <w:rsid w:val="0011724D"/>
    <w:rsid w:val="001175E8"/>
    <w:rsid w:val="00120D0A"/>
    <w:rsid w:val="0013336C"/>
    <w:rsid w:val="00135D92"/>
    <w:rsid w:val="00141620"/>
    <w:rsid w:val="001416B3"/>
    <w:rsid w:val="001430A5"/>
    <w:rsid w:val="0014453C"/>
    <w:rsid w:val="00144C6A"/>
    <w:rsid w:val="00145AAE"/>
    <w:rsid w:val="001465B5"/>
    <w:rsid w:val="001469FF"/>
    <w:rsid w:val="00146A73"/>
    <w:rsid w:val="00147C1F"/>
    <w:rsid w:val="00147E03"/>
    <w:rsid w:val="001513E6"/>
    <w:rsid w:val="00154863"/>
    <w:rsid w:val="00155610"/>
    <w:rsid w:val="001601E9"/>
    <w:rsid w:val="00160C4C"/>
    <w:rsid w:val="001619BB"/>
    <w:rsid w:val="0016253B"/>
    <w:rsid w:val="00163C58"/>
    <w:rsid w:val="00163EB1"/>
    <w:rsid w:val="001670E7"/>
    <w:rsid w:val="00170912"/>
    <w:rsid w:val="001741B4"/>
    <w:rsid w:val="0017626E"/>
    <w:rsid w:val="0017769D"/>
    <w:rsid w:val="00177993"/>
    <w:rsid w:val="001803FA"/>
    <w:rsid w:val="00180BF2"/>
    <w:rsid w:val="00181C76"/>
    <w:rsid w:val="00182D3C"/>
    <w:rsid w:val="00184567"/>
    <w:rsid w:val="00186F97"/>
    <w:rsid w:val="001930B7"/>
    <w:rsid w:val="00194F6A"/>
    <w:rsid w:val="00195CDB"/>
    <w:rsid w:val="001971B0"/>
    <w:rsid w:val="00197ED6"/>
    <w:rsid w:val="001A5639"/>
    <w:rsid w:val="001A599F"/>
    <w:rsid w:val="001A5B0E"/>
    <w:rsid w:val="001A7771"/>
    <w:rsid w:val="001A77C3"/>
    <w:rsid w:val="001B327F"/>
    <w:rsid w:val="001B7A8D"/>
    <w:rsid w:val="001C11B3"/>
    <w:rsid w:val="001C1DD9"/>
    <w:rsid w:val="001C3624"/>
    <w:rsid w:val="001D1650"/>
    <w:rsid w:val="001D4511"/>
    <w:rsid w:val="001E051D"/>
    <w:rsid w:val="001E45CD"/>
    <w:rsid w:val="001E460F"/>
    <w:rsid w:val="001E5D8A"/>
    <w:rsid w:val="001E6FAB"/>
    <w:rsid w:val="001F08BD"/>
    <w:rsid w:val="001F181A"/>
    <w:rsid w:val="001F2DF0"/>
    <w:rsid w:val="002023A8"/>
    <w:rsid w:val="00202D9E"/>
    <w:rsid w:val="00203A3E"/>
    <w:rsid w:val="00211CBF"/>
    <w:rsid w:val="0021256D"/>
    <w:rsid w:val="00214194"/>
    <w:rsid w:val="00214EC2"/>
    <w:rsid w:val="002165FB"/>
    <w:rsid w:val="00216BE8"/>
    <w:rsid w:val="0022144B"/>
    <w:rsid w:val="00222FB2"/>
    <w:rsid w:val="00223E99"/>
    <w:rsid w:val="00224387"/>
    <w:rsid w:val="00231E14"/>
    <w:rsid w:val="00233964"/>
    <w:rsid w:val="00233D1E"/>
    <w:rsid w:val="00236CF3"/>
    <w:rsid w:val="00241A22"/>
    <w:rsid w:val="00243DEF"/>
    <w:rsid w:val="002448C0"/>
    <w:rsid w:val="00244EF3"/>
    <w:rsid w:val="00245162"/>
    <w:rsid w:val="00245CA9"/>
    <w:rsid w:val="00246795"/>
    <w:rsid w:val="00246AA6"/>
    <w:rsid w:val="00246DC7"/>
    <w:rsid w:val="00251711"/>
    <w:rsid w:val="00252624"/>
    <w:rsid w:val="002541A4"/>
    <w:rsid w:val="0026152E"/>
    <w:rsid w:val="00273561"/>
    <w:rsid w:val="00280678"/>
    <w:rsid w:val="00283823"/>
    <w:rsid w:val="002877A1"/>
    <w:rsid w:val="00290C8F"/>
    <w:rsid w:val="00291090"/>
    <w:rsid w:val="00291331"/>
    <w:rsid w:val="0029151A"/>
    <w:rsid w:val="00294E1F"/>
    <w:rsid w:val="0029596B"/>
    <w:rsid w:val="00296363"/>
    <w:rsid w:val="002A0ACF"/>
    <w:rsid w:val="002A1DA2"/>
    <w:rsid w:val="002A2B3A"/>
    <w:rsid w:val="002A320A"/>
    <w:rsid w:val="002A577C"/>
    <w:rsid w:val="002A5D6F"/>
    <w:rsid w:val="002A639A"/>
    <w:rsid w:val="002A6C0E"/>
    <w:rsid w:val="002A7C02"/>
    <w:rsid w:val="002B2658"/>
    <w:rsid w:val="002B3D53"/>
    <w:rsid w:val="002B4F7F"/>
    <w:rsid w:val="002B684D"/>
    <w:rsid w:val="002B7ABE"/>
    <w:rsid w:val="002C0836"/>
    <w:rsid w:val="002C1DBC"/>
    <w:rsid w:val="002C61F2"/>
    <w:rsid w:val="002D08C1"/>
    <w:rsid w:val="002D1117"/>
    <w:rsid w:val="002D1C20"/>
    <w:rsid w:val="002D227C"/>
    <w:rsid w:val="002D54F9"/>
    <w:rsid w:val="002D72F3"/>
    <w:rsid w:val="002E0036"/>
    <w:rsid w:val="002E5B7F"/>
    <w:rsid w:val="002E79FA"/>
    <w:rsid w:val="002F020C"/>
    <w:rsid w:val="002F13CB"/>
    <w:rsid w:val="002F4196"/>
    <w:rsid w:val="002F5872"/>
    <w:rsid w:val="002F5B61"/>
    <w:rsid w:val="00303092"/>
    <w:rsid w:val="00303ABE"/>
    <w:rsid w:val="00303B64"/>
    <w:rsid w:val="003041C6"/>
    <w:rsid w:val="003069F9"/>
    <w:rsid w:val="003070A5"/>
    <w:rsid w:val="00307856"/>
    <w:rsid w:val="0031028B"/>
    <w:rsid w:val="00311283"/>
    <w:rsid w:val="003114AC"/>
    <w:rsid w:val="003152E5"/>
    <w:rsid w:val="00315CE0"/>
    <w:rsid w:val="00316033"/>
    <w:rsid w:val="00317B6E"/>
    <w:rsid w:val="00320E14"/>
    <w:rsid w:val="00324DDC"/>
    <w:rsid w:val="003257F1"/>
    <w:rsid w:val="00330B39"/>
    <w:rsid w:val="003328BE"/>
    <w:rsid w:val="00333EF3"/>
    <w:rsid w:val="00334027"/>
    <w:rsid w:val="00336F34"/>
    <w:rsid w:val="0034123E"/>
    <w:rsid w:val="00341725"/>
    <w:rsid w:val="003417F9"/>
    <w:rsid w:val="003456D3"/>
    <w:rsid w:val="003471FA"/>
    <w:rsid w:val="00350C92"/>
    <w:rsid w:val="00352170"/>
    <w:rsid w:val="00352198"/>
    <w:rsid w:val="00354759"/>
    <w:rsid w:val="003558D5"/>
    <w:rsid w:val="00356A49"/>
    <w:rsid w:val="00357523"/>
    <w:rsid w:val="00361642"/>
    <w:rsid w:val="00364CB9"/>
    <w:rsid w:val="00370169"/>
    <w:rsid w:val="003712A9"/>
    <w:rsid w:val="003726CF"/>
    <w:rsid w:val="003726F4"/>
    <w:rsid w:val="00372E8D"/>
    <w:rsid w:val="00373397"/>
    <w:rsid w:val="00375551"/>
    <w:rsid w:val="00383E61"/>
    <w:rsid w:val="00384C31"/>
    <w:rsid w:val="00384FA5"/>
    <w:rsid w:val="00385C82"/>
    <w:rsid w:val="003937DE"/>
    <w:rsid w:val="00396C06"/>
    <w:rsid w:val="003A013A"/>
    <w:rsid w:val="003A102D"/>
    <w:rsid w:val="003A3AC1"/>
    <w:rsid w:val="003A403F"/>
    <w:rsid w:val="003A4173"/>
    <w:rsid w:val="003A6FF1"/>
    <w:rsid w:val="003A7238"/>
    <w:rsid w:val="003B2458"/>
    <w:rsid w:val="003B26D6"/>
    <w:rsid w:val="003B6852"/>
    <w:rsid w:val="003B7569"/>
    <w:rsid w:val="003C0038"/>
    <w:rsid w:val="003C3407"/>
    <w:rsid w:val="003C53EA"/>
    <w:rsid w:val="003E41D7"/>
    <w:rsid w:val="003E4393"/>
    <w:rsid w:val="003E4674"/>
    <w:rsid w:val="003E503E"/>
    <w:rsid w:val="003E6EA2"/>
    <w:rsid w:val="003F0982"/>
    <w:rsid w:val="003F2EC2"/>
    <w:rsid w:val="003F4C76"/>
    <w:rsid w:val="003F508E"/>
    <w:rsid w:val="003F5C57"/>
    <w:rsid w:val="003F686B"/>
    <w:rsid w:val="004026FD"/>
    <w:rsid w:val="00404022"/>
    <w:rsid w:val="00404604"/>
    <w:rsid w:val="00407FA0"/>
    <w:rsid w:val="004109F2"/>
    <w:rsid w:val="00411E97"/>
    <w:rsid w:val="0042271B"/>
    <w:rsid w:val="00423504"/>
    <w:rsid w:val="004269F5"/>
    <w:rsid w:val="004310B3"/>
    <w:rsid w:val="0043235D"/>
    <w:rsid w:val="00432910"/>
    <w:rsid w:val="00432A7D"/>
    <w:rsid w:val="00434727"/>
    <w:rsid w:val="00436BE2"/>
    <w:rsid w:val="00437221"/>
    <w:rsid w:val="004443FD"/>
    <w:rsid w:val="0045007B"/>
    <w:rsid w:val="004529B5"/>
    <w:rsid w:val="004531A1"/>
    <w:rsid w:val="0045380E"/>
    <w:rsid w:val="00453FA6"/>
    <w:rsid w:val="00455231"/>
    <w:rsid w:val="00456992"/>
    <w:rsid w:val="0045713B"/>
    <w:rsid w:val="00457147"/>
    <w:rsid w:val="00457DA3"/>
    <w:rsid w:val="00461E73"/>
    <w:rsid w:val="00463201"/>
    <w:rsid w:val="00463797"/>
    <w:rsid w:val="004652F5"/>
    <w:rsid w:val="0046559A"/>
    <w:rsid w:val="00466CED"/>
    <w:rsid w:val="00474506"/>
    <w:rsid w:val="00480A25"/>
    <w:rsid w:val="00481347"/>
    <w:rsid w:val="00481698"/>
    <w:rsid w:val="0048243B"/>
    <w:rsid w:val="00482D66"/>
    <w:rsid w:val="00482F3C"/>
    <w:rsid w:val="0048341D"/>
    <w:rsid w:val="004863DA"/>
    <w:rsid w:val="004876B4"/>
    <w:rsid w:val="00487EC4"/>
    <w:rsid w:val="0049181B"/>
    <w:rsid w:val="00492EC5"/>
    <w:rsid w:val="00493917"/>
    <w:rsid w:val="004941FC"/>
    <w:rsid w:val="00496BCB"/>
    <w:rsid w:val="00496F3A"/>
    <w:rsid w:val="004A1769"/>
    <w:rsid w:val="004A1B16"/>
    <w:rsid w:val="004A3FE2"/>
    <w:rsid w:val="004A4219"/>
    <w:rsid w:val="004A52FE"/>
    <w:rsid w:val="004A6D3D"/>
    <w:rsid w:val="004A6EF3"/>
    <w:rsid w:val="004B0A9C"/>
    <w:rsid w:val="004B1259"/>
    <w:rsid w:val="004B1721"/>
    <w:rsid w:val="004B4757"/>
    <w:rsid w:val="004B6595"/>
    <w:rsid w:val="004B6732"/>
    <w:rsid w:val="004C1626"/>
    <w:rsid w:val="004C2020"/>
    <w:rsid w:val="004C40E3"/>
    <w:rsid w:val="004C4AEE"/>
    <w:rsid w:val="004C629B"/>
    <w:rsid w:val="004D1729"/>
    <w:rsid w:val="004D223B"/>
    <w:rsid w:val="004D321B"/>
    <w:rsid w:val="004D3ADA"/>
    <w:rsid w:val="004D40D0"/>
    <w:rsid w:val="004D5855"/>
    <w:rsid w:val="004D719D"/>
    <w:rsid w:val="004D7B7D"/>
    <w:rsid w:val="004E1D4E"/>
    <w:rsid w:val="004E2032"/>
    <w:rsid w:val="004E562E"/>
    <w:rsid w:val="004F31C3"/>
    <w:rsid w:val="004F7E02"/>
    <w:rsid w:val="00506F90"/>
    <w:rsid w:val="005104A7"/>
    <w:rsid w:val="00511D0F"/>
    <w:rsid w:val="00513276"/>
    <w:rsid w:val="0051528E"/>
    <w:rsid w:val="00520CA9"/>
    <w:rsid w:val="005227A6"/>
    <w:rsid w:val="00522886"/>
    <w:rsid w:val="00523275"/>
    <w:rsid w:val="0052491B"/>
    <w:rsid w:val="0053403B"/>
    <w:rsid w:val="005346C5"/>
    <w:rsid w:val="0053595D"/>
    <w:rsid w:val="005471DB"/>
    <w:rsid w:val="0055617C"/>
    <w:rsid w:val="0055628F"/>
    <w:rsid w:val="005579A6"/>
    <w:rsid w:val="00560D6D"/>
    <w:rsid w:val="005611D2"/>
    <w:rsid w:val="00561856"/>
    <w:rsid w:val="00563765"/>
    <w:rsid w:val="0056381E"/>
    <w:rsid w:val="00565A6A"/>
    <w:rsid w:val="0056750E"/>
    <w:rsid w:val="00570A07"/>
    <w:rsid w:val="00571943"/>
    <w:rsid w:val="00577C87"/>
    <w:rsid w:val="00577CDC"/>
    <w:rsid w:val="00580334"/>
    <w:rsid w:val="005813AE"/>
    <w:rsid w:val="00586CE2"/>
    <w:rsid w:val="0058738F"/>
    <w:rsid w:val="00587E8E"/>
    <w:rsid w:val="005A0210"/>
    <w:rsid w:val="005A2E5A"/>
    <w:rsid w:val="005A41DE"/>
    <w:rsid w:val="005A6B93"/>
    <w:rsid w:val="005A7E3D"/>
    <w:rsid w:val="005B3EEE"/>
    <w:rsid w:val="005B5981"/>
    <w:rsid w:val="005B7A0A"/>
    <w:rsid w:val="005C02A7"/>
    <w:rsid w:val="005C1422"/>
    <w:rsid w:val="005C165E"/>
    <w:rsid w:val="005C2293"/>
    <w:rsid w:val="005C3C61"/>
    <w:rsid w:val="005C645E"/>
    <w:rsid w:val="005D195B"/>
    <w:rsid w:val="005D1E07"/>
    <w:rsid w:val="005D235D"/>
    <w:rsid w:val="005D4EF6"/>
    <w:rsid w:val="005D53A7"/>
    <w:rsid w:val="005D5DFE"/>
    <w:rsid w:val="005D6D7C"/>
    <w:rsid w:val="005E035F"/>
    <w:rsid w:val="005E3869"/>
    <w:rsid w:val="005E3E2F"/>
    <w:rsid w:val="005F0586"/>
    <w:rsid w:val="005F0A53"/>
    <w:rsid w:val="005F185F"/>
    <w:rsid w:val="005F251B"/>
    <w:rsid w:val="005F4FE9"/>
    <w:rsid w:val="005F615C"/>
    <w:rsid w:val="005F7268"/>
    <w:rsid w:val="005F7C6C"/>
    <w:rsid w:val="006001BC"/>
    <w:rsid w:val="00602A97"/>
    <w:rsid w:val="00606414"/>
    <w:rsid w:val="006109C4"/>
    <w:rsid w:val="0061220C"/>
    <w:rsid w:val="00613BC3"/>
    <w:rsid w:val="00622164"/>
    <w:rsid w:val="00622CA1"/>
    <w:rsid w:val="006233D8"/>
    <w:rsid w:val="00630A7B"/>
    <w:rsid w:val="00630E20"/>
    <w:rsid w:val="006318EB"/>
    <w:rsid w:val="00633E2A"/>
    <w:rsid w:val="00634382"/>
    <w:rsid w:val="006352BB"/>
    <w:rsid w:val="00635C46"/>
    <w:rsid w:val="006479CA"/>
    <w:rsid w:val="00647B16"/>
    <w:rsid w:val="006501C0"/>
    <w:rsid w:val="006556DB"/>
    <w:rsid w:val="006559F6"/>
    <w:rsid w:val="0065673D"/>
    <w:rsid w:val="006572CB"/>
    <w:rsid w:val="0066035E"/>
    <w:rsid w:val="00661218"/>
    <w:rsid w:val="00662B9A"/>
    <w:rsid w:val="00662D2B"/>
    <w:rsid w:val="00663E8C"/>
    <w:rsid w:val="0066755D"/>
    <w:rsid w:val="00670BEB"/>
    <w:rsid w:val="00672FDA"/>
    <w:rsid w:val="00674884"/>
    <w:rsid w:val="006764CC"/>
    <w:rsid w:val="006779F8"/>
    <w:rsid w:val="00682633"/>
    <w:rsid w:val="00684490"/>
    <w:rsid w:val="00685D0E"/>
    <w:rsid w:val="00691ABD"/>
    <w:rsid w:val="00692590"/>
    <w:rsid w:val="00693F92"/>
    <w:rsid w:val="00696363"/>
    <w:rsid w:val="006A0830"/>
    <w:rsid w:val="006A169C"/>
    <w:rsid w:val="006A1D4F"/>
    <w:rsid w:val="006A4E8B"/>
    <w:rsid w:val="006A654C"/>
    <w:rsid w:val="006A656B"/>
    <w:rsid w:val="006A70EE"/>
    <w:rsid w:val="006B0AE0"/>
    <w:rsid w:val="006B0F14"/>
    <w:rsid w:val="006B142F"/>
    <w:rsid w:val="006B713E"/>
    <w:rsid w:val="006C0693"/>
    <w:rsid w:val="006C08FE"/>
    <w:rsid w:val="006C11D3"/>
    <w:rsid w:val="006C3FAA"/>
    <w:rsid w:val="006E038F"/>
    <w:rsid w:val="006E428D"/>
    <w:rsid w:val="006E52A6"/>
    <w:rsid w:val="006F0E7A"/>
    <w:rsid w:val="006F11F0"/>
    <w:rsid w:val="006F2530"/>
    <w:rsid w:val="006F4215"/>
    <w:rsid w:val="006F5707"/>
    <w:rsid w:val="006F582D"/>
    <w:rsid w:val="007013F5"/>
    <w:rsid w:val="00702AD3"/>
    <w:rsid w:val="007070F2"/>
    <w:rsid w:val="007100B2"/>
    <w:rsid w:val="00712848"/>
    <w:rsid w:val="00714909"/>
    <w:rsid w:val="00716F2A"/>
    <w:rsid w:val="007174CA"/>
    <w:rsid w:val="00717FAA"/>
    <w:rsid w:val="00722745"/>
    <w:rsid w:val="00723087"/>
    <w:rsid w:val="00723F1C"/>
    <w:rsid w:val="00730D2A"/>
    <w:rsid w:val="0073130B"/>
    <w:rsid w:val="00734802"/>
    <w:rsid w:val="0073792C"/>
    <w:rsid w:val="007430A2"/>
    <w:rsid w:val="00751842"/>
    <w:rsid w:val="00756C3A"/>
    <w:rsid w:val="0075712A"/>
    <w:rsid w:val="0076141E"/>
    <w:rsid w:val="0076206B"/>
    <w:rsid w:val="00766432"/>
    <w:rsid w:val="007716C0"/>
    <w:rsid w:val="007737A9"/>
    <w:rsid w:val="0077581E"/>
    <w:rsid w:val="0077654C"/>
    <w:rsid w:val="00776E21"/>
    <w:rsid w:val="00777F98"/>
    <w:rsid w:val="00782B72"/>
    <w:rsid w:val="00782BCA"/>
    <w:rsid w:val="00783D78"/>
    <w:rsid w:val="007848C5"/>
    <w:rsid w:val="00786A7D"/>
    <w:rsid w:val="00786ADD"/>
    <w:rsid w:val="00787B2B"/>
    <w:rsid w:val="00790DF8"/>
    <w:rsid w:val="00792D38"/>
    <w:rsid w:val="007975CC"/>
    <w:rsid w:val="007A063B"/>
    <w:rsid w:val="007A337A"/>
    <w:rsid w:val="007A4567"/>
    <w:rsid w:val="007A536F"/>
    <w:rsid w:val="007A5B4D"/>
    <w:rsid w:val="007A6F2C"/>
    <w:rsid w:val="007B0D6F"/>
    <w:rsid w:val="007B38E5"/>
    <w:rsid w:val="007C0266"/>
    <w:rsid w:val="007C0301"/>
    <w:rsid w:val="007C034E"/>
    <w:rsid w:val="007C7BA0"/>
    <w:rsid w:val="007D0A5F"/>
    <w:rsid w:val="007D1215"/>
    <w:rsid w:val="007D374F"/>
    <w:rsid w:val="007E0AD7"/>
    <w:rsid w:val="007E261F"/>
    <w:rsid w:val="007E526D"/>
    <w:rsid w:val="007E5C14"/>
    <w:rsid w:val="007F3261"/>
    <w:rsid w:val="007F4BAE"/>
    <w:rsid w:val="007F4E8C"/>
    <w:rsid w:val="0080467C"/>
    <w:rsid w:val="008049E0"/>
    <w:rsid w:val="008063A9"/>
    <w:rsid w:val="0080668F"/>
    <w:rsid w:val="00806DCE"/>
    <w:rsid w:val="00807E4B"/>
    <w:rsid w:val="00813163"/>
    <w:rsid w:val="00813C19"/>
    <w:rsid w:val="00816685"/>
    <w:rsid w:val="00821D62"/>
    <w:rsid w:val="00827896"/>
    <w:rsid w:val="00827CAB"/>
    <w:rsid w:val="008303B2"/>
    <w:rsid w:val="008306BB"/>
    <w:rsid w:val="00832F6B"/>
    <w:rsid w:val="00835509"/>
    <w:rsid w:val="00835839"/>
    <w:rsid w:val="00837A3E"/>
    <w:rsid w:val="00840C18"/>
    <w:rsid w:val="0084202D"/>
    <w:rsid w:val="00842C8B"/>
    <w:rsid w:val="008457DD"/>
    <w:rsid w:val="008477BE"/>
    <w:rsid w:val="008503C3"/>
    <w:rsid w:val="0085340E"/>
    <w:rsid w:val="00860E42"/>
    <w:rsid w:val="00862F8D"/>
    <w:rsid w:val="00866839"/>
    <w:rsid w:val="008760AC"/>
    <w:rsid w:val="0088072A"/>
    <w:rsid w:val="0088459C"/>
    <w:rsid w:val="00885BF2"/>
    <w:rsid w:val="00887406"/>
    <w:rsid w:val="008902FA"/>
    <w:rsid w:val="0089766F"/>
    <w:rsid w:val="008A33C4"/>
    <w:rsid w:val="008A71EA"/>
    <w:rsid w:val="008B4B55"/>
    <w:rsid w:val="008B4C88"/>
    <w:rsid w:val="008B51C9"/>
    <w:rsid w:val="008B532F"/>
    <w:rsid w:val="008B559D"/>
    <w:rsid w:val="008B7371"/>
    <w:rsid w:val="008C2F47"/>
    <w:rsid w:val="008C5E1A"/>
    <w:rsid w:val="008C5E4F"/>
    <w:rsid w:val="008D179A"/>
    <w:rsid w:val="008D278A"/>
    <w:rsid w:val="008D47DB"/>
    <w:rsid w:val="008D48EC"/>
    <w:rsid w:val="008D4B07"/>
    <w:rsid w:val="008D5BBA"/>
    <w:rsid w:val="008E1E8B"/>
    <w:rsid w:val="008E4F1B"/>
    <w:rsid w:val="008F093B"/>
    <w:rsid w:val="008F318D"/>
    <w:rsid w:val="008F3977"/>
    <w:rsid w:val="008F7B44"/>
    <w:rsid w:val="00900FD8"/>
    <w:rsid w:val="009071A2"/>
    <w:rsid w:val="0091058C"/>
    <w:rsid w:val="009124F8"/>
    <w:rsid w:val="00915BE3"/>
    <w:rsid w:val="00921405"/>
    <w:rsid w:val="00922FE9"/>
    <w:rsid w:val="009230AE"/>
    <w:rsid w:val="0093043C"/>
    <w:rsid w:val="00931C92"/>
    <w:rsid w:val="00932F80"/>
    <w:rsid w:val="00934455"/>
    <w:rsid w:val="00941536"/>
    <w:rsid w:val="0094199E"/>
    <w:rsid w:val="0094212A"/>
    <w:rsid w:val="00942F13"/>
    <w:rsid w:val="00943C9F"/>
    <w:rsid w:val="00944744"/>
    <w:rsid w:val="00944F06"/>
    <w:rsid w:val="00946FEF"/>
    <w:rsid w:val="009470ED"/>
    <w:rsid w:val="009474FE"/>
    <w:rsid w:val="009502F9"/>
    <w:rsid w:val="009517D6"/>
    <w:rsid w:val="00955514"/>
    <w:rsid w:val="00955757"/>
    <w:rsid w:val="00956992"/>
    <w:rsid w:val="0096115B"/>
    <w:rsid w:val="00961224"/>
    <w:rsid w:val="00963DF1"/>
    <w:rsid w:val="00964F11"/>
    <w:rsid w:val="00964F5A"/>
    <w:rsid w:val="0097038B"/>
    <w:rsid w:val="00972EF6"/>
    <w:rsid w:val="00975904"/>
    <w:rsid w:val="00977189"/>
    <w:rsid w:val="00983943"/>
    <w:rsid w:val="0098479B"/>
    <w:rsid w:val="00984ED0"/>
    <w:rsid w:val="00991C8C"/>
    <w:rsid w:val="00991E93"/>
    <w:rsid w:val="0099298F"/>
    <w:rsid w:val="009953DD"/>
    <w:rsid w:val="00996A36"/>
    <w:rsid w:val="009976C0"/>
    <w:rsid w:val="00997755"/>
    <w:rsid w:val="009A04C7"/>
    <w:rsid w:val="009A0D91"/>
    <w:rsid w:val="009A435C"/>
    <w:rsid w:val="009A5B0A"/>
    <w:rsid w:val="009B35FB"/>
    <w:rsid w:val="009B4576"/>
    <w:rsid w:val="009B6B7D"/>
    <w:rsid w:val="009C57A3"/>
    <w:rsid w:val="009C63CE"/>
    <w:rsid w:val="009C7063"/>
    <w:rsid w:val="009D0E88"/>
    <w:rsid w:val="009D172F"/>
    <w:rsid w:val="009D4BCF"/>
    <w:rsid w:val="009D6819"/>
    <w:rsid w:val="009D6D7E"/>
    <w:rsid w:val="009D7683"/>
    <w:rsid w:val="009D78D3"/>
    <w:rsid w:val="009E20A6"/>
    <w:rsid w:val="009E248B"/>
    <w:rsid w:val="009E3DCF"/>
    <w:rsid w:val="009E5894"/>
    <w:rsid w:val="009F0C83"/>
    <w:rsid w:val="009F2B37"/>
    <w:rsid w:val="009F5CAF"/>
    <w:rsid w:val="00A03E61"/>
    <w:rsid w:val="00A06E6A"/>
    <w:rsid w:val="00A06F19"/>
    <w:rsid w:val="00A15689"/>
    <w:rsid w:val="00A173A1"/>
    <w:rsid w:val="00A17B30"/>
    <w:rsid w:val="00A24031"/>
    <w:rsid w:val="00A2633E"/>
    <w:rsid w:val="00A27540"/>
    <w:rsid w:val="00A30AB7"/>
    <w:rsid w:val="00A36645"/>
    <w:rsid w:val="00A366A4"/>
    <w:rsid w:val="00A3691C"/>
    <w:rsid w:val="00A45A5F"/>
    <w:rsid w:val="00A46F18"/>
    <w:rsid w:val="00A5083D"/>
    <w:rsid w:val="00A50BC7"/>
    <w:rsid w:val="00A51B88"/>
    <w:rsid w:val="00A531DE"/>
    <w:rsid w:val="00A53382"/>
    <w:rsid w:val="00A54785"/>
    <w:rsid w:val="00A5668F"/>
    <w:rsid w:val="00A63341"/>
    <w:rsid w:val="00A64971"/>
    <w:rsid w:val="00A65252"/>
    <w:rsid w:val="00A778D4"/>
    <w:rsid w:val="00A80222"/>
    <w:rsid w:val="00A82D69"/>
    <w:rsid w:val="00A84238"/>
    <w:rsid w:val="00A8745C"/>
    <w:rsid w:val="00A90B67"/>
    <w:rsid w:val="00A911DC"/>
    <w:rsid w:val="00A920C3"/>
    <w:rsid w:val="00A92F80"/>
    <w:rsid w:val="00A959F7"/>
    <w:rsid w:val="00A97BEF"/>
    <w:rsid w:val="00A97CD8"/>
    <w:rsid w:val="00AA12E0"/>
    <w:rsid w:val="00AA2126"/>
    <w:rsid w:val="00AA37F6"/>
    <w:rsid w:val="00AA3D13"/>
    <w:rsid w:val="00AB565D"/>
    <w:rsid w:val="00AC0AF3"/>
    <w:rsid w:val="00AC1EAF"/>
    <w:rsid w:val="00AC27FF"/>
    <w:rsid w:val="00AC4F1F"/>
    <w:rsid w:val="00AC5625"/>
    <w:rsid w:val="00AC5CB2"/>
    <w:rsid w:val="00AD0A5E"/>
    <w:rsid w:val="00AD3D0A"/>
    <w:rsid w:val="00AD59D4"/>
    <w:rsid w:val="00AE190D"/>
    <w:rsid w:val="00AE3DAC"/>
    <w:rsid w:val="00AE4239"/>
    <w:rsid w:val="00AE4A07"/>
    <w:rsid w:val="00AE4F1C"/>
    <w:rsid w:val="00AE53CB"/>
    <w:rsid w:val="00AE693A"/>
    <w:rsid w:val="00AE7892"/>
    <w:rsid w:val="00AE7FCF"/>
    <w:rsid w:val="00AF5072"/>
    <w:rsid w:val="00AF63D2"/>
    <w:rsid w:val="00AF6BCF"/>
    <w:rsid w:val="00AF75C3"/>
    <w:rsid w:val="00B032BC"/>
    <w:rsid w:val="00B04863"/>
    <w:rsid w:val="00B04D35"/>
    <w:rsid w:val="00B054CC"/>
    <w:rsid w:val="00B05583"/>
    <w:rsid w:val="00B0705E"/>
    <w:rsid w:val="00B07D6A"/>
    <w:rsid w:val="00B124AB"/>
    <w:rsid w:val="00B13365"/>
    <w:rsid w:val="00B153C3"/>
    <w:rsid w:val="00B20A1C"/>
    <w:rsid w:val="00B2502C"/>
    <w:rsid w:val="00B305D3"/>
    <w:rsid w:val="00B311E5"/>
    <w:rsid w:val="00B35802"/>
    <w:rsid w:val="00B35957"/>
    <w:rsid w:val="00B4093E"/>
    <w:rsid w:val="00B40C1F"/>
    <w:rsid w:val="00B46253"/>
    <w:rsid w:val="00B46EEE"/>
    <w:rsid w:val="00B523A1"/>
    <w:rsid w:val="00B56D8A"/>
    <w:rsid w:val="00B60043"/>
    <w:rsid w:val="00B612FC"/>
    <w:rsid w:val="00B62E5F"/>
    <w:rsid w:val="00B63F88"/>
    <w:rsid w:val="00B661E8"/>
    <w:rsid w:val="00B71019"/>
    <w:rsid w:val="00B71BE9"/>
    <w:rsid w:val="00B7290B"/>
    <w:rsid w:val="00B740BE"/>
    <w:rsid w:val="00B801C7"/>
    <w:rsid w:val="00B80B78"/>
    <w:rsid w:val="00B81DF7"/>
    <w:rsid w:val="00B832C0"/>
    <w:rsid w:val="00B85E35"/>
    <w:rsid w:val="00B86181"/>
    <w:rsid w:val="00B8657C"/>
    <w:rsid w:val="00B87CAD"/>
    <w:rsid w:val="00B97C60"/>
    <w:rsid w:val="00BA11AF"/>
    <w:rsid w:val="00BA1A41"/>
    <w:rsid w:val="00BA1E7E"/>
    <w:rsid w:val="00BA26B7"/>
    <w:rsid w:val="00BA6BF7"/>
    <w:rsid w:val="00BB2E83"/>
    <w:rsid w:val="00BB4004"/>
    <w:rsid w:val="00BB5188"/>
    <w:rsid w:val="00BB51E5"/>
    <w:rsid w:val="00BB69F2"/>
    <w:rsid w:val="00BB7E2D"/>
    <w:rsid w:val="00BB7F00"/>
    <w:rsid w:val="00BD0D54"/>
    <w:rsid w:val="00BD17D1"/>
    <w:rsid w:val="00BD4FE2"/>
    <w:rsid w:val="00BD581C"/>
    <w:rsid w:val="00BD5A53"/>
    <w:rsid w:val="00BD5AB3"/>
    <w:rsid w:val="00BE03F7"/>
    <w:rsid w:val="00BE0B71"/>
    <w:rsid w:val="00BE17DD"/>
    <w:rsid w:val="00BE31C9"/>
    <w:rsid w:val="00BE71FC"/>
    <w:rsid w:val="00BF187F"/>
    <w:rsid w:val="00BF7329"/>
    <w:rsid w:val="00C00C47"/>
    <w:rsid w:val="00C02ED3"/>
    <w:rsid w:val="00C033A9"/>
    <w:rsid w:val="00C069FD"/>
    <w:rsid w:val="00C078E1"/>
    <w:rsid w:val="00C11662"/>
    <w:rsid w:val="00C11C8D"/>
    <w:rsid w:val="00C11FCB"/>
    <w:rsid w:val="00C13147"/>
    <w:rsid w:val="00C13545"/>
    <w:rsid w:val="00C15FA3"/>
    <w:rsid w:val="00C166EE"/>
    <w:rsid w:val="00C17C8E"/>
    <w:rsid w:val="00C214A5"/>
    <w:rsid w:val="00C214E3"/>
    <w:rsid w:val="00C24C77"/>
    <w:rsid w:val="00C25877"/>
    <w:rsid w:val="00C301C9"/>
    <w:rsid w:val="00C30703"/>
    <w:rsid w:val="00C32677"/>
    <w:rsid w:val="00C32CDC"/>
    <w:rsid w:val="00C33C10"/>
    <w:rsid w:val="00C347E7"/>
    <w:rsid w:val="00C368E3"/>
    <w:rsid w:val="00C36CA9"/>
    <w:rsid w:val="00C37CCB"/>
    <w:rsid w:val="00C37EFB"/>
    <w:rsid w:val="00C42729"/>
    <w:rsid w:val="00C429A6"/>
    <w:rsid w:val="00C444B2"/>
    <w:rsid w:val="00C46E52"/>
    <w:rsid w:val="00C47FAC"/>
    <w:rsid w:val="00C51E7A"/>
    <w:rsid w:val="00C547D3"/>
    <w:rsid w:val="00C56182"/>
    <w:rsid w:val="00C57066"/>
    <w:rsid w:val="00C60836"/>
    <w:rsid w:val="00C637F4"/>
    <w:rsid w:val="00C6687A"/>
    <w:rsid w:val="00C70E22"/>
    <w:rsid w:val="00C71D4B"/>
    <w:rsid w:val="00C80327"/>
    <w:rsid w:val="00C80BBC"/>
    <w:rsid w:val="00C80CC8"/>
    <w:rsid w:val="00C82954"/>
    <w:rsid w:val="00C91607"/>
    <w:rsid w:val="00C946C2"/>
    <w:rsid w:val="00CA08FE"/>
    <w:rsid w:val="00CA20B0"/>
    <w:rsid w:val="00CA2102"/>
    <w:rsid w:val="00CA2DD8"/>
    <w:rsid w:val="00CA2DE5"/>
    <w:rsid w:val="00CA51BF"/>
    <w:rsid w:val="00CA61BC"/>
    <w:rsid w:val="00CA68ED"/>
    <w:rsid w:val="00CA71AC"/>
    <w:rsid w:val="00CB069E"/>
    <w:rsid w:val="00CB14F1"/>
    <w:rsid w:val="00CB6B89"/>
    <w:rsid w:val="00CB76B1"/>
    <w:rsid w:val="00CC2148"/>
    <w:rsid w:val="00CC25E2"/>
    <w:rsid w:val="00CC2A87"/>
    <w:rsid w:val="00CC7076"/>
    <w:rsid w:val="00CD1170"/>
    <w:rsid w:val="00CD6AAE"/>
    <w:rsid w:val="00CD7B10"/>
    <w:rsid w:val="00CE1FE3"/>
    <w:rsid w:val="00CE535A"/>
    <w:rsid w:val="00CE616D"/>
    <w:rsid w:val="00CF0326"/>
    <w:rsid w:val="00CF033F"/>
    <w:rsid w:val="00CF03A5"/>
    <w:rsid w:val="00CF04D1"/>
    <w:rsid w:val="00CF25E6"/>
    <w:rsid w:val="00CF3FCB"/>
    <w:rsid w:val="00D01B3E"/>
    <w:rsid w:val="00D01B4D"/>
    <w:rsid w:val="00D03BDB"/>
    <w:rsid w:val="00D041B1"/>
    <w:rsid w:val="00D053E4"/>
    <w:rsid w:val="00D13FF7"/>
    <w:rsid w:val="00D14827"/>
    <w:rsid w:val="00D16926"/>
    <w:rsid w:val="00D16E73"/>
    <w:rsid w:val="00D21EFA"/>
    <w:rsid w:val="00D23CB4"/>
    <w:rsid w:val="00D24D3B"/>
    <w:rsid w:val="00D308DB"/>
    <w:rsid w:val="00D33C60"/>
    <w:rsid w:val="00D34161"/>
    <w:rsid w:val="00D34C59"/>
    <w:rsid w:val="00D37FC9"/>
    <w:rsid w:val="00D430C9"/>
    <w:rsid w:val="00D43888"/>
    <w:rsid w:val="00D44DC1"/>
    <w:rsid w:val="00D46254"/>
    <w:rsid w:val="00D46C23"/>
    <w:rsid w:val="00D46FB2"/>
    <w:rsid w:val="00D51C5A"/>
    <w:rsid w:val="00D5410F"/>
    <w:rsid w:val="00D55E0A"/>
    <w:rsid w:val="00D56067"/>
    <w:rsid w:val="00D568FD"/>
    <w:rsid w:val="00D576C0"/>
    <w:rsid w:val="00D6020E"/>
    <w:rsid w:val="00D60326"/>
    <w:rsid w:val="00D613DB"/>
    <w:rsid w:val="00D64FF7"/>
    <w:rsid w:val="00D65ABE"/>
    <w:rsid w:val="00D65E2D"/>
    <w:rsid w:val="00D72585"/>
    <w:rsid w:val="00D73EEB"/>
    <w:rsid w:val="00D740AC"/>
    <w:rsid w:val="00D747FA"/>
    <w:rsid w:val="00D75781"/>
    <w:rsid w:val="00D76405"/>
    <w:rsid w:val="00D80DA2"/>
    <w:rsid w:val="00D831E5"/>
    <w:rsid w:val="00D83F67"/>
    <w:rsid w:val="00D84673"/>
    <w:rsid w:val="00D84F76"/>
    <w:rsid w:val="00D856F1"/>
    <w:rsid w:val="00D85C6C"/>
    <w:rsid w:val="00D9420D"/>
    <w:rsid w:val="00D94798"/>
    <w:rsid w:val="00D949E0"/>
    <w:rsid w:val="00D94FF6"/>
    <w:rsid w:val="00DA2E48"/>
    <w:rsid w:val="00DA4415"/>
    <w:rsid w:val="00DA55CF"/>
    <w:rsid w:val="00DA6562"/>
    <w:rsid w:val="00DA6881"/>
    <w:rsid w:val="00DA6B4D"/>
    <w:rsid w:val="00DA74E3"/>
    <w:rsid w:val="00DB00DC"/>
    <w:rsid w:val="00DB503F"/>
    <w:rsid w:val="00DB5497"/>
    <w:rsid w:val="00DC0CAD"/>
    <w:rsid w:val="00DC1E5C"/>
    <w:rsid w:val="00DC1F50"/>
    <w:rsid w:val="00DC5DBA"/>
    <w:rsid w:val="00DC6973"/>
    <w:rsid w:val="00DC71F5"/>
    <w:rsid w:val="00DC74FA"/>
    <w:rsid w:val="00DC7D06"/>
    <w:rsid w:val="00DD53BA"/>
    <w:rsid w:val="00DE14DA"/>
    <w:rsid w:val="00DE16D8"/>
    <w:rsid w:val="00DE3664"/>
    <w:rsid w:val="00DE6C3F"/>
    <w:rsid w:val="00DEEA15"/>
    <w:rsid w:val="00DF2F83"/>
    <w:rsid w:val="00DF310C"/>
    <w:rsid w:val="00DF35C4"/>
    <w:rsid w:val="00DF4616"/>
    <w:rsid w:val="00DF500B"/>
    <w:rsid w:val="00E00A0F"/>
    <w:rsid w:val="00E01662"/>
    <w:rsid w:val="00E1073B"/>
    <w:rsid w:val="00E10EBE"/>
    <w:rsid w:val="00E12D39"/>
    <w:rsid w:val="00E15D9E"/>
    <w:rsid w:val="00E2287B"/>
    <w:rsid w:val="00E23858"/>
    <w:rsid w:val="00E23E8C"/>
    <w:rsid w:val="00E2694D"/>
    <w:rsid w:val="00E30692"/>
    <w:rsid w:val="00E316C9"/>
    <w:rsid w:val="00E327B7"/>
    <w:rsid w:val="00E329E1"/>
    <w:rsid w:val="00E36920"/>
    <w:rsid w:val="00E374CE"/>
    <w:rsid w:val="00E378F7"/>
    <w:rsid w:val="00E37F1A"/>
    <w:rsid w:val="00E37F98"/>
    <w:rsid w:val="00E40E7E"/>
    <w:rsid w:val="00E4125F"/>
    <w:rsid w:val="00E4192C"/>
    <w:rsid w:val="00E42A67"/>
    <w:rsid w:val="00E43D4B"/>
    <w:rsid w:val="00E44544"/>
    <w:rsid w:val="00E44BE9"/>
    <w:rsid w:val="00E44FA3"/>
    <w:rsid w:val="00E479C9"/>
    <w:rsid w:val="00E5013E"/>
    <w:rsid w:val="00E524EC"/>
    <w:rsid w:val="00E5320D"/>
    <w:rsid w:val="00E5414C"/>
    <w:rsid w:val="00E542D5"/>
    <w:rsid w:val="00E557DD"/>
    <w:rsid w:val="00E55A93"/>
    <w:rsid w:val="00E56DC1"/>
    <w:rsid w:val="00E56FAF"/>
    <w:rsid w:val="00E57739"/>
    <w:rsid w:val="00E6074F"/>
    <w:rsid w:val="00E61B09"/>
    <w:rsid w:val="00E62629"/>
    <w:rsid w:val="00E65D52"/>
    <w:rsid w:val="00E67D24"/>
    <w:rsid w:val="00E70455"/>
    <w:rsid w:val="00E7126D"/>
    <w:rsid w:val="00E71A5F"/>
    <w:rsid w:val="00E74982"/>
    <w:rsid w:val="00E75BA8"/>
    <w:rsid w:val="00E76830"/>
    <w:rsid w:val="00E770D0"/>
    <w:rsid w:val="00E81341"/>
    <w:rsid w:val="00E82E3F"/>
    <w:rsid w:val="00E83670"/>
    <w:rsid w:val="00E8499A"/>
    <w:rsid w:val="00E849EF"/>
    <w:rsid w:val="00E854D4"/>
    <w:rsid w:val="00E85744"/>
    <w:rsid w:val="00E86819"/>
    <w:rsid w:val="00E87B3D"/>
    <w:rsid w:val="00E931D0"/>
    <w:rsid w:val="00E941F0"/>
    <w:rsid w:val="00E97651"/>
    <w:rsid w:val="00EA13CB"/>
    <w:rsid w:val="00EA5505"/>
    <w:rsid w:val="00EA6A6F"/>
    <w:rsid w:val="00EA7815"/>
    <w:rsid w:val="00EB1402"/>
    <w:rsid w:val="00EB342F"/>
    <w:rsid w:val="00EB6BBD"/>
    <w:rsid w:val="00EB778A"/>
    <w:rsid w:val="00EC00BC"/>
    <w:rsid w:val="00EC307A"/>
    <w:rsid w:val="00ED0217"/>
    <w:rsid w:val="00ED1B58"/>
    <w:rsid w:val="00ED2284"/>
    <w:rsid w:val="00ED4B47"/>
    <w:rsid w:val="00ED592D"/>
    <w:rsid w:val="00ED7F0E"/>
    <w:rsid w:val="00EE0431"/>
    <w:rsid w:val="00EE5AE4"/>
    <w:rsid w:val="00EE6F0A"/>
    <w:rsid w:val="00EE6F40"/>
    <w:rsid w:val="00EE79C4"/>
    <w:rsid w:val="00EF041E"/>
    <w:rsid w:val="00EF32AA"/>
    <w:rsid w:val="00EF4884"/>
    <w:rsid w:val="00EF51C2"/>
    <w:rsid w:val="00EF556B"/>
    <w:rsid w:val="00F00A34"/>
    <w:rsid w:val="00F03284"/>
    <w:rsid w:val="00F0366E"/>
    <w:rsid w:val="00F05A87"/>
    <w:rsid w:val="00F11000"/>
    <w:rsid w:val="00F13B75"/>
    <w:rsid w:val="00F1512E"/>
    <w:rsid w:val="00F15714"/>
    <w:rsid w:val="00F20539"/>
    <w:rsid w:val="00F2067B"/>
    <w:rsid w:val="00F212D1"/>
    <w:rsid w:val="00F216E2"/>
    <w:rsid w:val="00F22619"/>
    <w:rsid w:val="00F232E5"/>
    <w:rsid w:val="00F24343"/>
    <w:rsid w:val="00F24552"/>
    <w:rsid w:val="00F24671"/>
    <w:rsid w:val="00F25B27"/>
    <w:rsid w:val="00F26ADF"/>
    <w:rsid w:val="00F31E0D"/>
    <w:rsid w:val="00F3303F"/>
    <w:rsid w:val="00F37361"/>
    <w:rsid w:val="00F40D90"/>
    <w:rsid w:val="00F4571D"/>
    <w:rsid w:val="00F46362"/>
    <w:rsid w:val="00F46A8C"/>
    <w:rsid w:val="00F46EB9"/>
    <w:rsid w:val="00F4747A"/>
    <w:rsid w:val="00F50C73"/>
    <w:rsid w:val="00F51719"/>
    <w:rsid w:val="00F55067"/>
    <w:rsid w:val="00F55BB4"/>
    <w:rsid w:val="00F56443"/>
    <w:rsid w:val="00F603CB"/>
    <w:rsid w:val="00F61407"/>
    <w:rsid w:val="00F61591"/>
    <w:rsid w:val="00F62355"/>
    <w:rsid w:val="00F629A2"/>
    <w:rsid w:val="00F641FB"/>
    <w:rsid w:val="00F64CBC"/>
    <w:rsid w:val="00F67CCD"/>
    <w:rsid w:val="00F70D68"/>
    <w:rsid w:val="00F72F94"/>
    <w:rsid w:val="00F774C1"/>
    <w:rsid w:val="00F82787"/>
    <w:rsid w:val="00F83711"/>
    <w:rsid w:val="00F8504B"/>
    <w:rsid w:val="00F85E69"/>
    <w:rsid w:val="00F92A0D"/>
    <w:rsid w:val="00F9333A"/>
    <w:rsid w:val="00F95161"/>
    <w:rsid w:val="00F95280"/>
    <w:rsid w:val="00F95806"/>
    <w:rsid w:val="00FA204B"/>
    <w:rsid w:val="00FA3E10"/>
    <w:rsid w:val="00FA44C7"/>
    <w:rsid w:val="00FA5CDD"/>
    <w:rsid w:val="00FA6B83"/>
    <w:rsid w:val="00FA7E7C"/>
    <w:rsid w:val="00FB121E"/>
    <w:rsid w:val="00FB144E"/>
    <w:rsid w:val="00FB23F5"/>
    <w:rsid w:val="00FB3545"/>
    <w:rsid w:val="00FB478E"/>
    <w:rsid w:val="00FB7207"/>
    <w:rsid w:val="00FC060F"/>
    <w:rsid w:val="00FC17D3"/>
    <w:rsid w:val="00FC46B8"/>
    <w:rsid w:val="00FC5F49"/>
    <w:rsid w:val="00FC6B28"/>
    <w:rsid w:val="00FD1310"/>
    <w:rsid w:val="00FD194B"/>
    <w:rsid w:val="00FD20C3"/>
    <w:rsid w:val="00FD30A3"/>
    <w:rsid w:val="00FD4BA4"/>
    <w:rsid w:val="00FD5E4B"/>
    <w:rsid w:val="00FE165D"/>
    <w:rsid w:val="00FE17F7"/>
    <w:rsid w:val="00FE1AD9"/>
    <w:rsid w:val="00FE4446"/>
    <w:rsid w:val="00FE465C"/>
    <w:rsid w:val="00FE4B20"/>
    <w:rsid w:val="00FE6F08"/>
    <w:rsid w:val="00FF0336"/>
    <w:rsid w:val="00FF16F6"/>
    <w:rsid w:val="00FF2ED7"/>
    <w:rsid w:val="00FF3D04"/>
    <w:rsid w:val="00FF64F4"/>
    <w:rsid w:val="00FF6BC7"/>
    <w:rsid w:val="00FF7620"/>
    <w:rsid w:val="00FF775C"/>
    <w:rsid w:val="01E8D5A5"/>
    <w:rsid w:val="027908B2"/>
    <w:rsid w:val="047F43E5"/>
    <w:rsid w:val="05032025"/>
    <w:rsid w:val="052F2B0E"/>
    <w:rsid w:val="0729CE13"/>
    <w:rsid w:val="085204D8"/>
    <w:rsid w:val="0885DFF3"/>
    <w:rsid w:val="088854C0"/>
    <w:rsid w:val="0893882F"/>
    <w:rsid w:val="08C231DF"/>
    <w:rsid w:val="08F0F3A8"/>
    <w:rsid w:val="09F382E3"/>
    <w:rsid w:val="0ADEB675"/>
    <w:rsid w:val="0B4C1552"/>
    <w:rsid w:val="0C4B2F04"/>
    <w:rsid w:val="0C97351A"/>
    <w:rsid w:val="0F5965E7"/>
    <w:rsid w:val="1001433E"/>
    <w:rsid w:val="11197EB5"/>
    <w:rsid w:val="12F35599"/>
    <w:rsid w:val="1570ECEF"/>
    <w:rsid w:val="157685CA"/>
    <w:rsid w:val="15AD51BF"/>
    <w:rsid w:val="15D718FF"/>
    <w:rsid w:val="163D662A"/>
    <w:rsid w:val="17AC2AC1"/>
    <w:rsid w:val="17EF7701"/>
    <w:rsid w:val="18946D6F"/>
    <w:rsid w:val="194A96C5"/>
    <w:rsid w:val="1952EE1E"/>
    <w:rsid w:val="1A043817"/>
    <w:rsid w:val="1B8377C4"/>
    <w:rsid w:val="1B911D89"/>
    <w:rsid w:val="1C9EC8AC"/>
    <w:rsid w:val="1D0B2AF5"/>
    <w:rsid w:val="1D7882EC"/>
    <w:rsid w:val="1F2D3A03"/>
    <w:rsid w:val="204F29EE"/>
    <w:rsid w:val="209E9729"/>
    <w:rsid w:val="2317B0B3"/>
    <w:rsid w:val="2333B644"/>
    <w:rsid w:val="2402FC13"/>
    <w:rsid w:val="245E5B09"/>
    <w:rsid w:val="250796F5"/>
    <w:rsid w:val="250DCCAB"/>
    <w:rsid w:val="253AEBAC"/>
    <w:rsid w:val="26F50E6E"/>
    <w:rsid w:val="28E70425"/>
    <w:rsid w:val="29B67170"/>
    <w:rsid w:val="29D38034"/>
    <w:rsid w:val="2AC048A0"/>
    <w:rsid w:val="2AD6EA67"/>
    <w:rsid w:val="2B07A4E3"/>
    <w:rsid w:val="2CC124A2"/>
    <w:rsid w:val="2DDF4E63"/>
    <w:rsid w:val="2E59346A"/>
    <w:rsid w:val="2E895A15"/>
    <w:rsid w:val="2FCCE9D5"/>
    <w:rsid w:val="3076182E"/>
    <w:rsid w:val="30A64C57"/>
    <w:rsid w:val="32AB7BEE"/>
    <w:rsid w:val="33535945"/>
    <w:rsid w:val="338B53DA"/>
    <w:rsid w:val="36B893E7"/>
    <w:rsid w:val="36CAE4B6"/>
    <w:rsid w:val="378393C4"/>
    <w:rsid w:val="37D6C383"/>
    <w:rsid w:val="38C5898A"/>
    <w:rsid w:val="392C0481"/>
    <w:rsid w:val="39377DFB"/>
    <w:rsid w:val="39A9C167"/>
    <w:rsid w:val="3A3EA5F8"/>
    <w:rsid w:val="3B017B59"/>
    <w:rsid w:val="3B521011"/>
    <w:rsid w:val="3B590D07"/>
    <w:rsid w:val="3B8A6CFD"/>
    <w:rsid w:val="3BE68376"/>
    <w:rsid w:val="3D6F14EA"/>
    <w:rsid w:val="3DAC4284"/>
    <w:rsid w:val="3E18DD97"/>
    <w:rsid w:val="3E46FAA9"/>
    <w:rsid w:val="4035D5A2"/>
    <w:rsid w:val="40E7DD69"/>
    <w:rsid w:val="41243BC0"/>
    <w:rsid w:val="430F61BB"/>
    <w:rsid w:val="4377B45F"/>
    <w:rsid w:val="4462FFBF"/>
    <w:rsid w:val="4581A775"/>
    <w:rsid w:val="486B2952"/>
    <w:rsid w:val="495D172F"/>
    <w:rsid w:val="4A472475"/>
    <w:rsid w:val="4AA414D1"/>
    <w:rsid w:val="4B310C12"/>
    <w:rsid w:val="4BF89063"/>
    <w:rsid w:val="4C589B7D"/>
    <w:rsid w:val="4C5AE1C1"/>
    <w:rsid w:val="4D5293BD"/>
    <w:rsid w:val="4DEE1439"/>
    <w:rsid w:val="4FD180F8"/>
    <w:rsid w:val="5002A429"/>
    <w:rsid w:val="51AFEA68"/>
    <w:rsid w:val="51B8D0E2"/>
    <w:rsid w:val="52ED49CA"/>
    <w:rsid w:val="54CB9868"/>
    <w:rsid w:val="57BDAAC3"/>
    <w:rsid w:val="595DCC5C"/>
    <w:rsid w:val="599781A7"/>
    <w:rsid w:val="5A406B7A"/>
    <w:rsid w:val="5A6CBDA9"/>
    <w:rsid w:val="5C75725C"/>
    <w:rsid w:val="5C899402"/>
    <w:rsid w:val="5D480746"/>
    <w:rsid w:val="5EB346F5"/>
    <w:rsid w:val="5F1CAF9C"/>
    <w:rsid w:val="62343704"/>
    <w:rsid w:val="62887ABA"/>
    <w:rsid w:val="63088F17"/>
    <w:rsid w:val="6313E202"/>
    <w:rsid w:val="63E1A122"/>
    <w:rsid w:val="64CCFE1C"/>
    <w:rsid w:val="65B94DCB"/>
    <w:rsid w:val="66DFD9C4"/>
    <w:rsid w:val="673EE41F"/>
    <w:rsid w:val="67B515C6"/>
    <w:rsid w:val="68B9B0A8"/>
    <w:rsid w:val="6ABD33B3"/>
    <w:rsid w:val="6AEC92C0"/>
    <w:rsid w:val="6AF99B41"/>
    <w:rsid w:val="6B05E073"/>
    <w:rsid w:val="6BAD889C"/>
    <w:rsid w:val="6BD19D37"/>
    <w:rsid w:val="6CC102A5"/>
    <w:rsid w:val="6CCAC4C6"/>
    <w:rsid w:val="6D5D15C3"/>
    <w:rsid w:val="6E7761E2"/>
    <w:rsid w:val="6F6094A1"/>
    <w:rsid w:val="6FA13F91"/>
    <w:rsid w:val="6FB7FAE4"/>
    <w:rsid w:val="72F67464"/>
    <w:rsid w:val="731AE345"/>
    <w:rsid w:val="732396FF"/>
    <w:rsid w:val="735DADCA"/>
    <w:rsid w:val="73786749"/>
    <w:rsid w:val="73C0C9EA"/>
    <w:rsid w:val="7A65B7AE"/>
    <w:rsid w:val="7B3B5D6C"/>
    <w:rsid w:val="7C197B78"/>
    <w:rsid w:val="7C8A2A07"/>
    <w:rsid w:val="7CD7F576"/>
    <w:rsid w:val="7FC59AAB"/>
    <w:rsid w:val="7FDE8C61"/>
    <w:rsid w:val="7FE0C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8CAA26"/>
  <w15:docId w15:val="{11B0D3B9-B867-40C0-ACD5-9152B3492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20" w:hanging="721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820" w:hanging="72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83D5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3D5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F6B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BC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F6B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BC7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972EF6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831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31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31E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31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31E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740BE"/>
    <w:rPr>
      <w:color w:val="800080" w:themeColor="followedHyperlink"/>
      <w:u w:val="single"/>
    </w:rPr>
  </w:style>
  <w:style w:type="paragraph" w:customStyle="1" w:styleId="h5section">
    <w:name w:val="h5section"/>
    <w:basedOn w:val="Normal"/>
    <w:rsid w:val="007E5C1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AU" w:eastAsia="en-AU"/>
    </w:rPr>
  </w:style>
  <w:style w:type="character" w:customStyle="1" w:styleId="apple-converted-space">
    <w:name w:val="apple-converted-space"/>
    <w:basedOn w:val="DefaultParagraphFont"/>
    <w:rsid w:val="004863DA"/>
  </w:style>
  <w:style w:type="paragraph" w:customStyle="1" w:styleId="eracbullets">
    <w:name w:val="eracbullets"/>
    <w:basedOn w:val="Normal"/>
    <w:rsid w:val="004863DA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en-AU" w:eastAsia="en-GB"/>
    </w:rPr>
  </w:style>
  <w:style w:type="paragraph" w:customStyle="1" w:styleId="cerbullets">
    <w:name w:val="cerbullets"/>
    <w:basedOn w:val="Normal"/>
    <w:rsid w:val="00777F98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en-AU"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176D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0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0DC"/>
    <w:rPr>
      <w:rFonts w:ascii="Segoe UI" w:eastAsia="Times New Roman" w:hAnsi="Segoe UI" w:cs="Segoe UI"/>
      <w:sz w:val="18"/>
      <w:szCs w:val="18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1528E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unhideWhenUsed/>
    <w:rsid w:val="00B71BE9"/>
    <w:rPr>
      <w:color w:val="605E5C"/>
      <w:shd w:val="clear" w:color="auto" w:fill="E1DFDD"/>
    </w:rPr>
  </w:style>
  <w:style w:type="character" w:customStyle="1" w:styleId="Mention">
    <w:name w:val="Mention"/>
    <w:basedOn w:val="DefaultParagraphFont"/>
    <w:uiPriority w:val="99"/>
    <w:unhideWhenUsed/>
    <w:rsid w:val="00B71BE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6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leanenergyregulator.gov.au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cceew.gov.a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45A20253-F5E8-4459-9BB3-F017E346D48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12B1A80745E27347BED8EC1B7BE894E9" ma:contentTypeVersion="" ma:contentTypeDescription="PDMS Document Site Content Type" ma:contentTypeScope="" ma:versionID="187c7d96ab679a76decaca6a08916360">
  <xsd:schema xmlns:xsd="http://www.w3.org/2001/XMLSchema" xmlns:xs="http://www.w3.org/2001/XMLSchema" xmlns:p="http://schemas.microsoft.com/office/2006/metadata/properties" xmlns:ns2="45A20253-F5E8-4459-9BB3-F017E346D48F" targetNamespace="http://schemas.microsoft.com/office/2006/metadata/properties" ma:root="true" ma:fieldsID="585e4d12847106420203d2abd9cae427" ns2:_="">
    <xsd:import namespace="45A20253-F5E8-4459-9BB3-F017E346D48F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20253-F5E8-4459-9BB3-F017E346D48F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087F1-146A-42DE-9E68-9C42C446162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5A20253-F5E8-4459-9BB3-F017E346D48F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C9BE581-08AB-4473-93F6-574142D090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A20253-F5E8-4459-9BB3-F017E346D4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A3B9C1-38C6-4256-963F-8623C1BF67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7A9917-7896-4CAD-9993-132AF311E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1819</Words>
  <Characters>10372</Characters>
  <Application>Microsoft Office Word</Application>
  <DocSecurity>4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12167</CharactersWithSpaces>
  <SharedDoc>false</SharedDoc>
  <HLinks>
    <vt:vector size="18" baseType="variant">
      <vt:variant>
        <vt:i4>2228277</vt:i4>
      </vt:variant>
      <vt:variant>
        <vt:i4>3</vt:i4>
      </vt:variant>
      <vt:variant>
        <vt:i4>0</vt:i4>
      </vt:variant>
      <vt:variant>
        <vt:i4>5</vt:i4>
      </vt:variant>
      <vt:variant>
        <vt:lpwstr>http://www.cleanenergyregulator.gov.au/</vt:lpwstr>
      </vt:variant>
      <vt:variant>
        <vt:lpwstr/>
      </vt:variant>
      <vt:variant>
        <vt:i4>6684728</vt:i4>
      </vt:variant>
      <vt:variant>
        <vt:i4>0</vt:i4>
      </vt:variant>
      <vt:variant>
        <vt:i4>0</vt:i4>
      </vt:variant>
      <vt:variant>
        <vt:i4>5</vt:i4>
      </vt:variant>
      <vt:variant>
        <vt:lpwstr>https://www.dcceew.gov.au/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mailto:Rizwan.Akhund@cer.gov.au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Daniel, Adrian</dc:creator>
  <cp:keywords/>
  <cp:lastModifiedBy>Howe, Chris</cp:lastModifiedBy>
  <cp:revision>2</cp:revision>
  <dcterms:created xsi:type="dcterms:W3CDTF">2023-01-04T00:58:00Z</dcterms:created>
  <dcterms:modified xsi:type="dcterms:W3CDTF">2023-01-04T00:58:00Z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2021-10-11T00:00:00Z</vt:filetime>
  </property>
  <property fmtid="{D5CDD505-2E9C-101B-9397-08002B2CF9AE}" pid="5" name="ContentTypeId">
    <vt:lpwstr>0x010100266966F133664895A6EE3632470D45F50012B1A80745E27347BED8EC1B7BE894E9</vt:lpwstr>
  </property>
  <property fmtid="{D5CDD505-2E9C-101B-9397-08002B2CF9AE}" pid="6" name="CER_FileKeywords">
    <vt:lpwstr/>
  </property>
  <property fmtid="{D5CDD505-2E9C-101B-9397-08002B2CF9AE}" pid="7" name="CER_Client">
    <vt:lpwstr/>
  </property>
  <property fmtid="{D5CDD505-2E9C-101B-9397-08002B2CF9AE}" pid="8" name="CER_State">
    <vt:lpwstr/>
  </property>
  <property fmtid="{D5CDD505-2E9C-101B-9397-08002B2CF9AE}" pid="9" name="_dlc_DocIdItemGuid">
    <vt:lpwstr>4180f935-cf87-4a73-b370-6d59a7e90177</vt:lpwstr>
  </property>
  <property fmtid="{D5CDD505-2E9C-101B-9397-08002B2CF9AE}" pid="10" name="l5266d70aa4c4810ab958a2db2f21068">
    <vt:lpwstr/>
  </property>
  <property fmtid="{D5CDD505-2E9C-101B-9397-08002B2CF9AE}" pid="11" name="EDi_DocumentKeywords">
    <vt:lpwstr/>
  </property>
  <property fmtid="{D5CDD505-2E9C-101B-9397-08002B2CF9AE}" pid="12" name="ERFMethod">
    <vt:lpwstr/>
  </property>
  <property fmtid="{D5CDD505-2E9C-101B-9397-08002B2CF9AE}" pid="13" name="CER_Agency">
    <vt:lpwstr/>
  </property>
  <property fmtid="{D5CDD505-2E9C-101B-9397-08002B2CF9AE}" pid="14" name="_CopySource">
    <vt:lpwstr/>
  </property>
  <property fmtid="{D5CDD505-2E9C-101B-9397-08002B2CF9AE}" pid="15" name="DocHub_Year">
    <vt:lpwstr>1390;#2022|4a777a70-2aa9-481e-a746-cca47d761c8e</vt:lpwstr>
  </property>
  <property fmtid="{D5CDD505-2E9C-101B-9397-08002B2CF9AE}" pid="16" name="DocHub_DocumentType">
    <vt:lpwstr>460;#Explanatory Memorandum|e1baf4eb-cfb1-4562-a99a-5aebab1aca70</vt:lpwstr>
  </property>
  <property fmtid="{D5CDD505-2E9C-101B-9397-08002B2CF9AE}" pid="17" name="DocHub_SecurityClassification">
    <vt:lpwstr>3;#OFFICIAL|6106d03b-a1a0-4e30-9d91-d5e9fb4314f9</vt:lpwstr>
  </property>
  <property fmtid="{D5CDD505-2E9C-101B-9397-08002B2CF9AE}" pid="18" name="DocHub_MethodologyDetermination">
    <vt:lpwstr/>
  </property>
  <property fmtid="{D5CDD505-2E9C-101B-9397-08002B2CF9AE}" pid="19" name="DocHub_EmissionsReductionFundSector">
    <vt:lpwstr>581;#Energy Efficiency|cc0604e1-5353-4b09-b3eb-8f77d8493c02</vt:lpwstr>
  </property>
  <property fmtid="{D5CDD505-2E9C-101B-9397-08002B2CF9AE}" pid="20" name="DocHub_WorkActivity">
    <vt:lpwstr/>
  </property>
  <property fmtid="{D5CDD505-2E9C-101B-9397-08002B2CF9AE}" pid="21" name="DocHub_Keywords">
    <vt:lpwstr/>
  </property>
  <property fmtid="{D5CDD505-2E9C-101B-9397-08002B2CF9AE}" pid="22" name="CER_DLM">
    <vt:lpwstr>OFFICIAL</vt:lpwstr>
  </property>
  <property fmtid="{D5CDD505-2E9C-101B-9397-08002B2CF9AE}" pid="23" name="CER_FileClassification">
    <vt:lpwstr>None</vt:lpwstr>
  </property>
  <property fmtid="{D5CDD505-2E9C-101B-9397-08002B2CF9AE}" pid="24" name="RevIMBCS">
    <vt:lpwstr>314;#61944 - 7 years|ef4acd1e-4fa2-4b0b-a46c-1be8504d8f7b</vt:lpwstr>
  </property>
  <property fmtid="{D5CDD505-2E9C-101B-9397-08002B2CF9AE}" pid="25" name="CER_FileStatus">
    <vt:lpwstr>Open</vt:lpwstr>
  </property>
  <property fmtid="{D5CDD505-2E9C-101B-9397-08002B2CF9AE}" pid="26" name="CER_Scheme">
    <vt:lpwstr/>
  </property>
  <property fmtid="{D5CDD505-2E9C-101B-9397-08002B2CF9AE}" pid="27" name="MediaServiceImageTags">
    <vt:lpwstr/>
  </property>
  <property fmtid="{D5CDD505-2E9C-101B-9397-08002B2CF9AE}" pid="28" name="_docset_NoMedatataSyncRequired">
    <vt:lpwstr>False</vt:lpwstr>
  </property>
</Properties>
</file>