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21" w14:textId="7D06F3FC" w:rsidR="00FA6784" w:rsidRPr="00205432" w:rsidRDefault="00FA6784" w:rsidP="00C571B1">
      <w:pPr>
        <w:pStyle w:val="H3"/>
        <w:jc w:val="center"/>
        <w:rPr>
          <w:sz w:val="24"/>
          <w:szCs w:val="24"/>
        </w:rPr>
      </w:pPr>
      <w:bookmarkStart w:id="0" w:name="_Hlk120693882"/>
      <w:r w:rsidRPr="00205432">
        <w:rPr>
          <w:sz w:val="24"/>
          <w:szCs w:val="24"/>
        </w:rPr>
        <w:t>EXPLANATORY STATEMENT</w:t>
      </w:r>
    </w:p>
    <w:p w14:paraId="2412D122" w14:textId="77777777" w:rsidR="00FA6784" w:rsidRPr="00205432" w:rsidRDefault="00FA6784" w:rsidP="00FA6784">
      <w:pPr>
        <w:jc w:val="center"/>
        <w:rPr>
          <w:i/>
          <w:iCs/>
          <w:sz w:val="20"/>
        </w:rPr>
      </w:pPr>
    </w:p>
    <w:p w14:paraId="07D0F8F6" w14:textId="77777777" w:rsidR="009F7D83" w:rsidRPr="00205432" w:rsidRDefault="009F7D83" w:rsidP="009F7D83">
      <w:pPr>
        <w:jc w:val="center"/>
        <w:rPr>
          <w:i/>
          <w:iCs/>
        </w:rPr>
      </w:pPr>
      <w:r w:rsidRPr="00205432">
        <w:rPr>
          <w:i/>
          <w:iCs/>
        </w:rPr>
        <w:t>Health Insurance Act 1973</w:t>
      </w:r>
    </w:p>
    <w:p w14:paraId="76EBBB1F" w14:textId="77777777" w:rsidR="009F7D83" w:rsidRPr="00205432" w:rsidRDefault="009F7D83" w:rsidP="009F7D83">
      <w:pPr>
        <w:rPr>
          <w:szCs w:val="24"/>
          <w:u w:val="single"/>
        </w:rPr>
      </w:pPr>
    </w:p>
    <w:p w14:paraId="4C769896" w14:textId="77777777" w:rsidR="009F7D83" w:rsidRPr="00205432" w:rsidRDefault="009F7D83" w:rsidP="009F7D8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shd w:val="clear" w:color="auto" w:fill="FFFFFF"/>
        </w:rPr>
      </w:pPr>
      <w:r w:rsidRPr="00205432">
        <w:rPr>
          <w:i/>
          <w:iCs/>
          <w:shd w:val="clear" w:color="auto" w:fill="FFFFFF"/>
        </w:rPr>
        <w:t>Health Insurance (Section 3C General Medical Services – General Practice Attendance for Assessing Patient Suitability for a COVID-19 Vaccine) Amendment (No. 1) Determination 2023</w:t>
      </w:r>
      <w:r w:rsidRPr="00205432">
        <w:rPr>
          <w:shd w:val="clear" w:color="auto" w:fill="FFFFFF"/>
        </w:rPr>
        <w:t>.</w:t>
      </w:r>
    </w:p>
    <w:p w14:paraId="7CC883F0" w14:textId="77777777" w:rsidR="009F7D83" w:rsidRPr="00205432" w:rsidRDefault="009F7D83" w:rsidP="009F7D8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37A7909" w14:textId="77777777" w:rsidR="009F7D83" w:rsidRPr="00205432" w:rsidRDefault="009F7D83" w:rsidP="009F7D8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205432">
        <w:rPr>
          <w:shd w:val="clear" w:color="auto" w:fill="FFFFFF"/>
        </w:rPr>
        <w:t xml:space="preserve">Subsection 3C(1) of the </w:t>
      </w:r>
      <w:r w:rsidRPr="00205432">
        <w:rPr>
          <w:i/>
          <w:shd w:val="clear" w:color="auto" w:fill="FFFFFF"/>
        </w:rPr>
        <w:t>Health Insurance Act 1973</w:t>
      </w:r>
      <w:r w:rsidRPr="00205432">
        <w:rPr>
          <w:shd w:val="clear" w:color="auto" w:fill="FFFFFF"/>
        </w:rPr>
        <w:t xml:space="preserve"> (the Act) provides that the Minister may, by legislative instrument, determine that a health service not specified in an item in the general medical services table (the GMST) shall, in specified circumstances and for specified statutory provisions, be treated as if it were specified in the GMST.   </w:t>
      </w:r>
    </w:p>
    <w:p w14:paraId="7C822901" w14:textId="77777777" w:rsidR="009F7D83" w:rsidRPr="00205432" w:rsidRDefault="009F7D83" w:rsidP="009F7D8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286C0A4B" w14:textId="77777777" w:rsidR="009F7D83" w:rsidRPr="00205432" w:rsidRDefault="009F7D83" w:rsidP="009F7D8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205432">
        <w:rPr>
          <w:shd w:val="clear" w:color="auto" w:fill="FFFFFF"/>
        </w:rPr>
        <w:t>The GMST is set out in the regulations made under subsection 4(1) of the Act. The most recent version of the regulations is the</w:t>
      </w:r>
      <w:r w:rsidRPr="00205432">
        <w:rPr>
          <w:i/>
          <w:iCs/>
          <w:shd w:val="clear" w:color="auto" w:fill="FFFFFF"/>
        </w:rPr>
        <w:t> Health Insurance (General Medical Services Table) Regulations 2021</w:t>
      </w:r>
      <w:r w:rsidRPr="00205432">
        <w:rPr>
          <w:shd w:val="clear" w:color="auto" w:fill="FFFFFF"/>
        </w:rPr>
        <w:t>.</w:t>
      </w:r>
      <w:r w:rsidRPr="00205432">
        <w:t xml:space="preserve"> </w:t>
      </w:r>
    </w:p>
    <w:p w14:paraId="53D3ADB2" w14:textId="77777777" w:rsidR="009F7D83" w:rsidRPr="00205432" w:rsidRDefault="009F7D83" w:rsidP="009F7D8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ABB6651" w14:textId="77777777" w:rsidR="009F7D83" w:rsidRPr="00205432" w:rsidRDefault="009F7D83" w:rsidP="009F7D8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205432">
        <w:t xml:space="preserve">This instrument relies on subsection 33(3) of the </w:t>
      </w:r>
      <w:r w:rsidRPr="00205432">
        <w:rPr>
          <w:i/>
        </w:rPr>
        <w:t>Acts Interpretation Act 1901</w:t>
      </w:r>
      <w:r w:rsidRPr="00205432">
        <w:t xml:space="preserve"> (AIA). Subsection 33(3) of the AIA</w:t>
      </w:r>
      <w:r w:rsidRPr="00205432">
        <w:rPr>
          <w:i/>
        </w:rPr>
        <w:t xml:space="preserve"> </w:t>
      </w:r>
      <w:r w:rsidRPr="00205432">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2513DC5" w14:textId="77777777" w:rsidR="009F7D83" w:rsidRPr="00205432" w:rsidRDefault="009F7D83" w:rsidP="009F7D83">
      <w:pPr>
        <w:autoSpaceDE w:val="0"/>
        <w:autoSpaceDN w:val="0"/>
        <w:adjustRightInd w:val="0"/>
        <w:ind w:right="-483"/>
        <w:rPr>
          <w:szCs w:val="24"/>
        </w:rPr>
      </w:pPr>
    </w:p>
    <w:p w14:paraId="01BB6A4A" w14:textId="77777777" w:rsidR="009F7D83" w:rsidRPr="00205432" w:rsidRDefault="009F7D83" w:rsidP="009F7D83">
      <w:pPr>
        <w:pStyle w:val="Header"/>
        <w:rPr>
          <w:b/>
          <w:bCs/>
          <w:shd w:val="clear" w:color="auto" w:fill="FFFFFF"/>
        </w:rPr>
      </w:pPr>
      <w:r w:rsidRPr="00205432">
        <w:rPr>
          <w:b/>
          <w:bCs/>
          <w:shd w:val="clear" w:color="auto" w:fill="FFFFFF"/>
        </w:rPr>
        <w:t>Purpose</w:t>
      </w:r>
    </w:p>
    <w:p w14:paraId="0DE94373" w14:textId="6B43F4B1" w:rsidR="009F7D83" w:rsidRPr="00205432" w:rsidRDefault="009F7D83" w:rsidP="009F7D83">
      <w:pPr>
        <w:pStyle w:val="Header"/>
        <w:rPr>
          <w:shd w:val="clear" w:color="auto" w:fill="FFFFFF"/>
        </w:rPr>
      </w:pPr>
      <w:bookmarkStart w:id="1" w:name="_Hlk123817427"/>
      <w:r w:rsidRPr="00205432">
        <w:rPr>
          <w:shd w:val="clear" w:color="auto" w:fill="FFFFFF"/>
        </w:rPr>
        <w:t>The Australian Government is committed to offering Australians access to safe and effective COVID-19 vaccines and their administration by medical practitioners.</w:t>
      </w:r>
      <w:r w:rsidRPr="00205432">
        <w:rPr>
          <w:rFonts w:ascii="Segoe UI" w:hAnsi="Segoe UI" w:cs="Segoe UI"/>
          <w:shd w:val="clear" w:color="auto" w:fill="FFFFFF"/>
        </w:rPr>
        <w:t xml:space="preserve"> </w:t>
      </w:r>
      <w:r w:rsidR="00C60978" w:rsidRPr="00205432">
        <w:rPr>
          <w:shd w:val="clear" w:color="auto" w:fill="FFFFFF"/>
        </w:rPr>
        <w:t>T</w:t>
      </w:r>
      <w:r w:rsidRPr="00205432">
        <w:rPr>
          <w:shd w:val="clear" w:color="auto" w:fill="FFFFFF"/>
        </w:rPr>
        <w:t>he</w:t>
      </w:r>
      <w:r w:rsidR="00C60978" w:rsidRPr="00205432">
        <w:rPr>
          <w:shd w:val="clear" w:color="auto" w:fill="FFFFFF"/>
        </w:rPr>
        <w:t xml:space="preserve"> Australian</w:t>
      </w:r>
      <w:r w:rsidRPr="00205432">
        <w:rPr>
          <w:shd w:val="clear" w:color="auto" w:fill="FFFFFF"/>
        </w:rPr>
        <w:t xml:space="preserve"> Government has launched the National COVID-19 Health Management Plan 2023 (the National Plan). The National Plan will ensure Australia’s health system has the capacity and capability to respond to future waves and variants of COVID-19. The National Plan promotes uptake of vaccination and treatments and slowing the spread of transmission.</w:t>
      </w:r>
    </w:p>
    <w:p w14:paraId="48CD3D7B" w14:textId="77777777" w:rsidR="009F7D83" w:rsidRPr="00205432" w:rsidRDefault="009F7D83" w:rsidP="009F7D83">
      <w:pPr>
        <w:pStyle w:val="Header"/>
        <w:rPr>
          <w:shd w:val="clear" w:color="auto" w:fill="FFFFFF"/>
        </w:rPr>
      </w:pPr>
    </w:p>
    <w:p w14:paraId="04BC7E6F" w14:textId="4871EA64" w:rsidR="009F7D83" w:rsidRPr="00205432" w:rsidRDefault="009F7D83" w:rsidP="009F7D83">
      <w:pPr>
        <w:pStyle w:val="Header"/>
        <w:rPr>
          <w:bCs/>
          <w:shd w:val="clear" w:color="auto" w:fill="FFFFFF"/>
        </w:rPr>
      </w:pPr>
      <w:r w:rsidRPr="00205432">
        <w:rPr>
          <w:shd w:val="clear" w:color="auto" w:fill="FFFFFF"/>
        </w:rPr>
        <w:t xml:space="preserve">The purpose of the </w:t>
      </w:r>
      <w:r w:rsidRPr="00205432">
        <w:rPr>
          <w:i/>
          <w:iCs/>
          <w:shd w:val="clear" w:color="auto" w:fill="FFFFFF"/>
        </w:rPr>
        <w:t xml:space="preserve">Health Insurance (Section 3C General Medical Services – General Practice Attendance for Assessing Patient Suitability for a COVID-19 Vaccine) Amendment (No. 1) Determination 2023 </w:t>
      </w:r>
      <w:r w:rsidRPr="00205432">
        <w:rPr>
          <w:shd w:val="clear" w:color="auto" w:fill="FFFFFF"/>
        </w:rPr>
        <w:t>(the Amendment Determination) is</w:t>
      </w:r>
      <w:r w:rsidRPr="00205432">
        <w:rPr>
          <w:bCs/>
          <w:szCs w:val="24"/>
          <w:lang w:eastAsia="en-US"/>
        </w:rPr>
        <w:t xml:space="preserve"> to amend the </w:t>
      </w:r>
      <w:r w:rsidRPr="00205432">
        <w:rPr>
          <w:i/>
          <w:iCs/>
          <w:shd w:val="clear" w:color="auto" w:fill="FFFFFF"/>
        </w:rPr>
        <w:t xml:space="preserve">Health Insurance (Section 3C General Medical Services – General Practice Attendance for Assessing Patient Suitability for a COVID-19 Vaccine) Determination 2021 </w:t>
      </w:r>
      <w:r w:rsidRPr="00205432">
        <w:rPr>
          <w:shd w:val="clear" w:color="auto" w:fill="FFFFFF"/>
        </w:rPr>
        <w:t>(the Principal Determination) to</w:t>
      </w:r>
      <w:r w:rsidRPr="00205432">
        <w:rPr>
          <w:i/>
          <w:iCs/>
          <w:shd w:val="clear" w:color="auto" w:fill="FFFFFF"/>
        </w:rPr>
        <w:t xml:space="preserve"> </w:t>
      </w:r>
      <w:r w:rsidRPr="00205432">
        <w:rPr>
          <w:shd w:val="clear" w:color="auto" w:fill="FFFFFF"/>
        </w:rPr>
        <w:t xml:space="preserve">streamline and simplify the Medicare Benefits Schedule items used to assess a patient’s suitability for a COVID-19 vaccination. These suitability assessments </w:t>
      </w:r>
      <w:r w:rsidRPr="00205432">
        <w:rPr>
          <w:bCs/>
          <w:shd w:val="clear" w:color="auto" w:fill="FFFFFF"/>
        </w:rPr>
        <w:t>allow</w:t>
      </w:r>
      <w:r w:rsidRPr="00205432">
        <w:rPr>
          <w:b/>
          <w:shd w:val="clear" w:color="auto" w:fill="FFFFFF"/>
        </w:rPr>
        <w:t xml:space="preserve"> </w:t>
      </w:r>
      <w:r w:rsidRPr="00205432">
        <w:rPr>
          <w:bCs/>
          <w:shd w:val="clear" w:color="auto" w:fill="FFFFFF"/>
        </w:rPr>
        <w:t>people</w:t>
      </w:r>
      <w:r w:rsidRPr="00205432">
        <w:rPr>
          <w:bCs/>
          <w:shd w:val="clear" w:color="auto" w:fill="FFFFFF"/>
        </w:rPr>
        <w:softHyphen/>
        <w:t xml:space="preserve"> access to medical information to help people gain an assessment of their suitability for administration of COVID-19 vaccines to mitigate against infection and transmission of the disease. The Amendment Determination will benefit people and medical practitioners by simplifying billing arrangements for COVID-19 vaccination suitability assessments as the disease becomes endemic or ‘normal’ within Australian society.</w:t>
      </w:r>
    </w:p>
    <w:p w14:paraId="4E4B150E" w14:textId="77777777" w:rsidR="009F7D83" w:rsidRPr="00205432" w:rsidRDefault="009F7D83" w:rsidP="009F7D83">
      <w:pPr>
        <w:pStyle w:val="Header"/>
        <w:rPr>
          <w:bCs/>
          <w:shd w:val="clear" w:color="auto" w:fill="FFFFFF"/>
        </w:rPr>
      </w:pPr>
    </w:p>
    <w:p w14:paraId="3173A4C9" w14:textId="1D3F1FE8" w:rsidR="009F7D83" w:rsidRPr="00205432" w:rsidRDefault="009F7D83" w:rsidP="009F7D83">
      <w:pPr>
        <w:pStyle w:val="Header"/>
        <w:rPr>
          <w:bCs/>
          <w:shd w:val="clear" w:color="auto" w:fill="FFFFFF"/>
        </w:rPr>
      </w:pPr>
      <w:r w:rsidRPr="00205432">
        <w:rPr>
          <w:bCs/>
          <w:shd w:val="clear" w:color="auto" w:fill="FFFFFF"/>
        </w:rPr>
        <w:lastRenderedPageBreak/>
        <w:t xml:space="preserve">The Amendment Determination repeals the definitions for </w:t>
      </w:r>
      <w:r w:rsidR="00C60978" w:rsidRPr="00205432">
        <w:rPr>
          <w:bCs/>
          <w:shd w:val="clear" w:color="auto" w:fill="FFFFFF"/>
        </w:rPr>
        <w:t xml:space="preserve">a </w:t>
      </w:r>
      <w:r w:rsidRPr="00205432">
        <w:rPr>
          <w:bCs/>
          <w:shd w:val="clear" w:color="auto" w:fill="FFFFFF"/>
        </w:rPr>
        <w:t xml:space="preserve">primary dose and </w:t>
      </w:r>
      <w:r w:rsidR="00C60978" w:rsidRPr="00205432">
        <w:rPr>
          <w:bCs/>
          <w:shd w:val="clear" w:color="auto" w:fill="FFFFFF"/>
        </w:rPr>
        <w:t xml:space="preserve">a </w:t>
      </w:r>
      <w:r w:rsidRPr="00205432">
        <w:rPr>
          <w:bCs/>
          <w:shd w:val="clear" w:color="auto" w:fill="FFFFFF"/>
        </w:rPr>
        <w:t xml:space="preserve">booster dose as the Government moves into a new phase of managing the COVID-19 pandemic to normalise patient’s suitability assessments for COVID-19 vaccinations. </w:t>
      </w:r>
    </w:p>
    <w:p w14:paraId="3C857FAC" w14:textId="77777777" w:rsidR="009F7D83" w:rsidRPr="00205432" w:rsidRDefault="009F7D83" w:rsidP="009F7D83">
      <w:pPr>
        <w:pStyle w:val="Header"/>
        <w:rPr>
          <w:bCs/>
          <w:shd w:val="clear" w:color="auto" w:fill="FFFFFF"/>
        </w:rPr>
      </w:pPr>
    </w:p>
    <w:p w14:paraId="687FBC5A" w14:textId="77777777" w:rsidR="009F7D83" w:rsidRPr="00205432" w:rsidRDefault="009F7D83" w:rsidP="009F7D83">
      <w:pPr>
        <w:pStyle w:val="Header"/>
        <w:rPr>
          <w:shd w:val="clear" w:color="auto" w:fill="FFFFFF"/>
        </w:rPr>
      </w:pPr>
      <w:r w:rsidRPr="00205432">
        <w:rPr>
          <w:bCs/>
          <w:shd w:val="clear" w:color="auto" w:fill="FFFFFF"/>
        </w:rPr>
        <w:t>The Amendment Determination will amend the additional fee in Section 9, associated with a General Practitioner (GP) or Other Medical Practitioner (OMP) attending a residential aged care facility or a person’s place or residence to provide a service listed in the Schedule.</w:t>
      </w:r>
      <w:r w:rsidRPr="00205432">
        <w:rPr>
          <w:shd w:val="clear" w:color="auto" w:fill="FFFFFF"/>
        </w:rPr>
        <w:t xml:space="preserve"> </w:t>
      </w:r>
    </w:p>
    <w:p w14:paraId="0769C4DB" w14:textId="77777777" w:rsidR="009F7D83" w:rsidRPr="00205432" w:rsidRDefault="009F7D83" w:rsidP="009F7D83">
      <w:pPr>
        <w:pStyle w:val="Header"/>
        <w:rPr>
          <w:shd w:val="clear" w:color="auto" w:fill="FFFFFF"/>
        </w:rPr>
      </w:pPr>
    </w:p>
    <w:p w14:paraId="7FB1B835" w14:textId="54992C0F" w:rsidR="009F7D83" w:rsidRPr="00205432" w:rsidRDefault="009F7D83" w:rsidP="009F7D83">
      <w:pPr>
        <w:pStyle w:val="Header"/>
        <w:rPr>
          <w:bCs/>
          <w:shd w:val="clear" w:color="auto" w:fill="FFFFFF"/>
        </w:rPr>
      </w:pPr>
      <w:r w:rsidRPr="00205432">
        <w:rPr>
          <w:shd w:val="clear" w:color="auto" w:fill="FFFFFF"/>
        </w:rPr>
        <w:t xml:space="preserve">The </w:t>
      </w:r>
      <w:bookmarkStart w:id="2" w:name="_Hlk123816360"/>
      <w:r w:rsidRPr="00205432">
        <w:rPr>
          <w:shd w:val="clear" w:color="auto" w:fill="FFFFFF"/>
        </w:rPr>
        <w:t xml:space="preserve">Amendment </w:t>
      </w:r>
      <w:bookmarkEnd w:id="2"/>
      <w:r w:rsidRPr="00205432">
        <w:rPr>
          <w:shd w:val="clear" w:color="auto" w:fill="FFFFFF"/>
        </w:rPr>
        <w:t>Determination</w:t>
      </w:r>
      <w:r w:rsidRPr="00205432">
        <w:rPr>
          <w:bCs/>
          <w:shd w:val="clear" w:color="auto" w:fill="FFFFFF"/>
        </w:rPr>
        <w:t xml:space="preserve"> repeals </w:t>
      </w:r>
      <w:r w:rsidR="00900554" w:rsidRPr="00205432">
        <w:rPr>
          <w:bCs/>
          <w:shd w:val="clear" w:color="auto" w:fill="FFFFFF"/>
        </w:rPr>
        <w:t>nine</w:t>
      </w:r>
      <w:r w:rsidRPr="00205432">
        <w:rPr>
          <w:bCs/>
          <w:shd w:val="clear" w:color="auto" w:fill="FFFFFF"/>
        </w:rPr>
        <w:t xml:space="preserve"> items for assessing a patient’s suitability for a first dose of a COVID-19 vaccine and amends ten items for the purpose of assessing patient suitability to receive a COVID-19 vaccine regardless of the dose that a patient is being assessed to receive. The Amendment Determination repeals the item providing an additional benefit where a service is a booster dose</w:t>
      </w:r>
      <w:r w:rsidR="00C60978" w:rsidRPr="00205432">
        <w:rPr>
          <w:bCs/>
          <w:shd w:val="clear" w:color="auto" w:fill="FFFFFF"/>
        </w:rPr>
        <w:t xml:space="preserve"> and</w:t>
      </w:r>
      <w:r w:rsidRPr="00205432">
        <w:rPr>
          <w:bCs/>
          <w:shd w:val="clear" w:color="auto" w:fill="FFFFFF"/>
        </w:rPr>
        <w:t xml:space="preserve"> the benefits for the amended suitability assessment items have been increased. These services are available to a person ‘eligible for a COVID-19 vaccine’ if the service is ‘bulk-billed’ and any clinically relevant patient history and limited examination and management have been undertaken.</w:t>
      </w:r>
    </w:p>
    <w:bookmarkEnd w:id="1"/>
    <w:p w14:paraId="4BAAED38" w14:textId="603FC634" w:rsidR="009F7D83" w:rsidRPr="00205432" w:rsidRDefault="009F7D83" w:rsidP="00A036AB">
      <w:pPr>
        <w:shd w:val="clear" w:color="auto" w:fill="FFFFFF"/>
        <w:spacing w:before="100" w:beforeAutospacing="1"/>
        <w:rPr>
          <w:rFonts w:ascii="Helvetica Neue" w:hAnsi="Helvetica Neue"/>
          <w:szCs w:val="24"/>
          <w:lang w:val="en-US"/>
        </w:rPr>
      </w:pPr>
      <w:r w:rsidRPr="00205432">
        <w:rPr>
          <w:b/>
        </w:rPr>
        <w:t>Consultation</w:t>
      </w:r>
    </w:p>
    <w:p w14:paraId="0CCC4EA6" w14:textId="5B06023D" w:rsidR="009F7D83" w:rsidRPr="00205432" w:rsidRDefault="009F7D83" w:rsidP="009F7D83">
      <w:pPr>
        <w:rPr>
          <w:bCs/>
          <w:iCs/>
          <w:szCs w:val="24"/>
        </w:rPr>
      </w:pPr>
      <w:r w:rsidRPr="00205432">
        <w:rPr>
          <w:bCs/>
          <w:iCs/>
          <w:szCs w:val="24"/>
        </w:rPr>
        <w:t>The Government launched the National Plan on 12 December 2022.</w:t>
      </w:r>
      <w:r w:rsidR="00B34A39" w:rsidRPr="00205432">
        <w:rPr>
          <w:bCs/>
          <w:iCs/>
          <w:szCs w:val="24"/>
        </w:rPr>
        <w:t xml:space="preserve"> </w:t>
      </w:r>
      <w:r w:rsidRPr="00205432">
        <w:rPr>
          <w:bCs/>
          <w:iCs/>
          <w:szCs w:val="24"/>
        </w:rPr>
        <w:t>The legislative instrument simplifies the items available for COVID-19 vaccine suitability assessment services.</w:t>
      </w:r>
    </w:p>
    <w:p w14:paraId="14F1DFAB" w14:textId="77777777" w:rsidR="009F7D83" w:rsidRPr="00205432" w:rsidRDefault="009F7D83" w:rsidP="009F7D83">
      <w:pPr>
        <w:rPr>
          <w:bCs/>
          <w:iCs/>
          <w:szCs w:val="24"/>
        </w:rPr>
      </w:pPr>
    </w:p>
    <w:p w14:paraId="1E1E60CA" w14:textId="77777777" w:rsidR="009F7D83" w:rsidRPr="00205432" w:rsidRDefault="009F7D83" w:rsidP="009F7D83">
      <w:pPr>
        <w:rPr>
          <w:bCs/>
          <w:iCs/>
          <w:szCs w:val="24"/>
        </w:rPr>
      </w:pPr>
      <w:r w:rsidRPr="00205432">
        <w:rPr>
          <w:shd w:val="clear" w:color="auto" w:fill="FFFFFF"/>
        </w:rPr>
        <w:t>Considering the nature of the instrument and due to the short timeframe in drafting this legislative instrument, it was not reasonably practicable to undertake consultation with representatives of persons affected by the instrument.</w:t>
      </w:r>
    </w:p>
    <w:p w14:paraId="0E73EBAB" w14:textId="77777777" w:rsidR="009F7D83" w:rsidRPr="00205432" w:rsidRDefault="009F7D83" w:rsidP="009F7D83">
      <w:pPr>
        <w:rPr>
          <w:bCs/>
          <w:iCs/>
          <w:szCs w:val="24"/>
        </w:rPr>
      </w:pPr>
    </w:p>
    <w:p w14:paraId="1024C123" w14:textId="4C8DC2A3" w:rsidR="009F7D83" w:rsidRPr="00205432" w:rsidRDefault="009F7D83" w:rsidP="009F7D83">
      <w:pPr>
        <w:shd w:val="clear" w:color="auto" w:fill="FFFFFF"/>
        <w:rPr>
          <w:szCs w:val="24"/>
        </w:rPr>
      </w:pPr>
      <w:r w:rsidRPr="00205432">
        <w:rPr>
          <w:szCs w:val="24"/>
        </w:rPr>
        <w:t xml:space="preserve">Details of the </w:t>
      </w:r>
      <w:r w:rsidR="006E773E" w:rsidRPr="00205432">
        <w:rPr>
          <w:szCs w:val="24"/>
        </w:rPr>
        <w:t xml:space="preserve">Amendment </w:t>
      </w:r>
      <w:r w:rsidRPr="00205432">
        <w:rPr>
          <w:szCs w:val="24"/>
        </w:rPr>
        <w:t xml:space="preserve">Determination are set out in the </w:t>
      </w:r>
      <w:r w:rsidRPr="00205432">
        <w:rPr>
          <w:szCs w:val="24"/>
          <w:u w:val="single"/>
        </w:rPr>
        <w:t>Attachment</w:t>
      </w:r>
      <w:r w:rsidRPr="00205432">
        <w:rPr>
          <w:szCs w:val="24"/>
        </w:rPr>
        <w:t>.</w:t>
      </w:r>
    </w:p>
    <w:p w14:paraId="6D12102A" w14:textId="77777777" w:rsidR="009F7D83" w:rsidRPr="00205432" w:rsidRDefault="009F7D83" w:rsidP="009F7D83">
      <w:pPr>
        <w:shd w:val="clear" w:color="auto" w:fill="FFFFFF"/>
        <w:rPr>
          <w:szCs w:val="24"/>
        </w:rPr>
      </w:pPr>
    </w:p>
    <w:p w14:paraId="6902FACA" w14:textId="312B14B3" w:rsidR="009F7D83" w:rsidRPr="00205432" w:rsidRDefault="009F7D83" w:rsidP="009F7D83">
      <w:pPr>
        <w:shd w:val="clear" w:color="auto" w:fill="FFFFFF"/>
        <w:rPr>
          <w:szCs w:val="24"/>
        </w:rPr>
      </w:pPr>
      <w:r w:rsidRPr="00205432">
        <w:rPr>
          <w:szCs w:val="24"/>
        </w:rPr>
        <w:t xml:space="preserve">The </w:t>
      </w:r>
      <w:r w:rsidR="006E773E" w:rsidRPr="00205432">
        <w:rPr>
          <w:szCs w:val="24"/>
        </w:rPr>
        <w:t xml:space="preserve">Amendment </w:t>
      </w:r>
      <w:r w:rsidRPr="00205432">
        <w:rPr>
          <w:szCs w:val="24"/>
        </w:rPr>
        <w:t xml:space="preserve">Determination commences on 1 February 2023. </w:t>
      </w:r>
    </w:p>
    <w:p w14:paraId="325C0800" w14:textId="77777777" w:rsidR="009F7D83" w:rsidRPr="00205432" w:rsidRDefault="009F7D83" w:rsidP="009F7D83">
      <w:pPr>
        <w:shd w:val="clear" w:color="auto" w:fill="FFFFFF"/>
        <w:rPr>
          <w:szCs w:val="24"/>
        </w:rPr>
      </w:pPr>
    </w:p>
    <w:p w14:paraId="0FABC211" w14:textId="2CA15709" w:rsidR="009F7D83" w:rsidRPr="00205432" w:rsidRDefault="009F7D83" w:rsidP="009F7D83">
      <w:pPr>
        <w:shd w:val="clear" w:color="auto" w:fill="FFFFFF"/>
        <w:rPr>
          <w:szCs w:val="24"/>
        </w:rPr>
      </w:pPr>
      <w:r w:rsidRPr="00205432">
        <w:rPr>
          <w:szCs w:val="24"/>
        </w:rPr>
        <w:t xml:space="preserve">The </w:t>
      </w:r>
      <w:r w:rsidR="006E773E" w:rsidRPr="00205432">
        <w:rPr>
          <w:szCs w:val="24"/>
        </w:rPr>
        <w:t xml:space="preserve">Amendment </w:t>
      </w:r>
      <w:r w:rsidRPr="00205432">
        <w:rPr>
          <w:szCs w:val="24"/>
        </w:rPr>
        <w:t xml:space="preserve">Determination is a legislative instrument for the purposes of the </w:t>
      </w:r>
      <w:r w:rsidRPr="00205432">
        <w:rPr>
          <w:i/>
          <w:szCs w:val="24"/>
        </w:rPr>
        <w:t>Legislation Act 2003</w:t>
      </w:r>
      <w:r w:rsidRPr="00205432">
        <w:rPr>
          <w:szCs w:val="24"/>
        </w:rPr>
        <w:t>.</w:t>
      </w:r>
    </w:p>
    <w:p w14:paraId="4B40C664" w14:textId="77777777" w:rsidR="009F7D83" w:rsidRPr="00205432" w:rsidRDefault="009F7D83" w:rsidP="009F7D83">
      <w:pPr>
        <w:shd w:val="clear" w:color="auto" w:fill="FFFFFF"/>
        <w:rPr>
          <w:szCs w:val="24"/>
        </w:rPr>
      </w:pPr>
    </w:p>
    <w:p w14:paraId="0F07B75C" w14:textId="77777777" w:rsidR="009F7D83" w:rsidRPr="00205432" w:rsidRDefault="009F7D83" w:rsidP="009F7D83">
      <w:pPr>
        <w:ind w:left="6663" w:hanging="3119"/>
        <w:rPr>
          <w:szCs w:val="24"/>
        </w:rPr>
      </w:pPr>
      <w:r w:rsidRPr="00205432">
        <w:rPr>
          <w:szCs w:val="24"/>
        </w:rPr>
        <w:t xml:space="preserve">  </w:t>
      </w:r>
      <w:r w:rsidRPr="00205432">
        <w:rPr>
          <w:szCs w:val="24"/>
          <w:u w:val="single"/>
        </w:rPr>
        <w:t>Authority</w:t>
      </w:r>
      <w:r w:rsidRPr="00205432">
        <w:rPr>
          <w:szCs w:val="24"/>
        </w:rPr>
        <w:t xml:space="preserve">:     Subsection 3C(1) of the </w:t>
      </w:r>
    </w:p>
    <w:p w14:paraId="3611ED69" w14:textId="77777777" w:rsidR="009F7D83" w:rsidRPr="00205432" w:rsidRDefault="009F7D83" w:rsidP="009F7D83">
      <w:pPr>
        <w:tabs>
          <w:tab w:val="left" w:pos="4820"/>
        </w:tabs>
        <w:rPr>
          <w:szCs w:val="24"/>
        </w:rPr>
        <w:sectPr w:rsidR="009F7D83" w:rsidRPr="00205432" w:rsidSect="00235B6C">
          <w:headerReference w:type="default" r:id="rId11"/>
          <w:pgSz w:w="11906" w:h="16838"/>
          <w:pgMar w:top="1440" w:right="1800" w:bottom="1135" w:left="1800" w:header="708" w:footer="708" w:gutter="0"/>
          <w:pgNumType w:start="1"/>
          <w:cols w:space="708"/>
          <w:docGrid w:linePitch="360"/>
        </w:sectPr>
      </w:pPr>
      <w:r w:rsidRPr="00205432">
        <w:rPr>
          <w:i/>
          <w:szCs w:val="24"/>
        </w:rPr>
        <w:tab/>
        <w:t xml:space="preserve">  Health Insurance Act 1973</w:t>
      </w:r>
    </w:p>
    <w:p w14:paraId="68CD9654" w14:textId="77777777" w:rsidR="009F7D83" w:rsidRPr="00205432" w:rsidRDefault="009F7D83" w:rsidP="009F7D83">
      <w:pPr>
        <w:pStyle w:val="BodyText"/>
        <w:jc w:val="right"/>
        <w:rPr>
          <w:szCs w:val="24"/>
        </w:rPr>
      </w:pPr>
      <w:r w:rsidRPr="00205432">
        <w:rPr>
          <w:szCs w:val="24"/>
        </w:rPr>
        <w:lastRenderedPageBreak/>
        <w:t>ATTACHMENT</w:t>
      </w:r>
    </w:p>
    <w:p w14:paraId="320D15C5" w14:textId="77777777" w:rsidR="009F7D83" w:rsidRPr="00205432" w:rsidRDefault="009F7D83" w:rsidP="009F7D83">
      <w:pPr>
        <w:pStyle w:val="BodyText"/>
        <w:rPr>
          <w:szCs w:val="24"/>
          <w:u w:val="single"/>
        </w:rPr>
      </w:pPr>
    </w:p>
    <w:p w14:paraId="3B08E6B5" w14:textId="77777777" w:rsidR="009F7D83" w:rsidRPr="00205432" w:rsidRDefault="009F7D83" w:rsidP="009F7D83">
      <w:pPr>
        <w:pStyle w:val="BodyText"/>
        <w:rPr>
          <w:szCs w:val="24"/>
        </w:rPr>
      </w:pPr>
      <w:r w:rsidRPr="00205432">
        <w:rPr>
          <w:szCs w:val="24"/>
        </w:rPr>
        <w:t xml:space="preserve">Details of the </w:t>
      </w:r>
      <w:r w:rsidRPr="00205432">
        <w:rPr>
          <w:i/>
          <w:iCs/>
          <w:szCs w:val="24"/>
        </w:rPr>
        <w:t>Health Insurance (Section 3C General Medical Services – General Practice Attendance for Assessing Patient Suitability for a COVID-19 Vaccine) Amendment (No. 1) Determination 2023</w:t>
      </w:r>
    </w:p>
    <w:p w14:paraId="5F8773CF" w14:textId="77777777" w:rsidR="009F7D83" w:rsidRPr="00205432" w:rsidRDefault="009F7D83" w:rsidP="009F7D83">
      <w:pPr>
        <w:pStyle w:val="BodyText"/>
        <w:rPr>
          <w:b w:val="0"/>
          <w:i/>
          <w:szCs w:val="24"/>
        </w:rPr>
      </w:pPr>
    </w:p>
    <w:p w14:paraId="6A72C608" w14:textId="77777777" w:rsidR="009F7D83" w:rsidRPr="00205432" w:rsidRDefault="009F7D83" w:rsidP="009F7D83">
      <w:pPr>
        <w:pStyle w:val="BodyText"/>
        <w:rPr>
          <w:b w:val="0"/>
          <w:szCs w:val="24"/>
          <w:u w:val="single"/>
        </w:rPr>
      </w:pPr>
      <w:r w:rsidRPr="00205432">
        <w:rPr>
          <w:b w:val="0"/>
          <w:szCs w:val="24"/>
          <w:u w:val="single"/>
        </w:rPr>
        <w:t>Section 1 – Name</w:t>
      </w:r>
    </w:p>
    <w:p w14:paraId="50240815" w14:textId="77777777" w:rsidR="009F7D83" w:rsidRPr="00205432" w:rsidRDefault="009F7D83" w:rsidP="009F7D83">
      <w:pPr>
        <w:pStyle w:val="BodyText"/>
        <w:rPr>
          <w:b w:val="0"/>
          <w:szCs w:val="24"/>
          <w:u w:val="single"/>
        </w:rPr>
      </w:pPr>
    </w:p>
    <w:p w14:paraId="1156EC0B" w14:textId="77777777" w:rsidR="009F7D83" w:rsidRPr="00205432" w:rsidRDefault="009F7D83" w:rsidP="009F7D83">
      <w:pPr>
        <w:pStyle w:val="BodyText"/>
      </w:pPr>
      <w:r w:rsidRPr="00205432">
        <w:rPr>
          <w:b w:val="0"/>
          <w:szCs w:val="24"/>
        </w:rPr>
        <w:t xml:space="preserve">This section provides for the </w:t>
      </w:r>
      <w:r w:rsidRPr="00205432">
        <w:rPr>
          <w:b w:val="0"/>
          <w:bCs/>
          <w:szCs w:val="24"/>
        </w:rPr>
        <w:t>Amendment</w:t>
      </w:r>
      <w:r w:rsidRPr="00205432">
        <w:rPr>
          <w:szCs w:val="24"/>
        </w:rPr>
        <w:t xml:space="preserve"> </w:t>
      </w:r>
      <w:r w:rsidRPr="00205432">
        <w:rPr>
          <w:b w:val="0"/>
          <w:szCs w:val="24"/>
        </w:rPr>
        <w:t xml:space="preserve">Determination to be referred to as the </w:t>
      </w:r>
      <w:r w:rsidRPr="00205432">
        <w:rPr>
          <w:b w:val="0"/>
          <w:i/>
          <w:iCs/>
          <w:szCs w:val="24"/>
        </w:rPr>
        <w:t>Health Insurance (Section 3C General Medical Services – General Practice Attendance for Assessing Patient Suitability for a COVID-19 Vaccine) Amendment (No. 1) Determination 2023.</w:t>
      </w:r>
    </w:p>
    <w:p w14:paraId="4EAA1060" w14:textId="77777777" w:rsidR="009F7D83" w:rsidRPr="00205432" w:rsidRDefault="009F7D83" w:rsidP="009F7D83"/>
    <w:p w14:paraId="6D431D6C" w14:textId="77777777" w:rsidR="009F7D83" w:rsidRPr="00205432" w:rsidRDefault="009F7D83" w:rsidP="009F7D83">
      <w:pPr>
        <w:pStyle w:val="BodyText"/>
        <w:rPr>
          <w:b w:val="0"/>
          <w:szCs w:val="24"/>
          <w:u w:val="single"/>
        </w:rPr>
      </w:pPr>
      <w:r w:rsidRPr="00205432">
        <w:rPr>
          <w:b w:val="0"/>
          <w:szCs w:val="24"/>
          <w:u w:val="single"/>
        </w:rPr>
        <w:t xml:space="preserve">Section 2 – Commencement </w:t>
      </w:r>
    </w:p>
    <w:p w14:paraId="42CC9D50" w14:textId="77777777" w:rsidR="009F7D83" w:rsidRPr="00205432" w:rsidRDefault="009F7D83" w:rsidP="009F7D83">
      <w:pPr>
        <w:pStyle w:val="BodyText"/>
        <w:rPr>
          <w:b w:val="0"/>
          <w:szCs w:val="24"/>
          <w:u w:val="single"/>
        </w:rPr>
      </w:pPr>
    </w:p>
    <w:p w14:paraId="3EBBE140" w14:textId="77777777" w:rsidR="009F7D83" w:rsidRPr="00205432" w:rsidRDefault="009F7D83" w:rsidP="009F7D83">
      <w:pPr>
        <w:pStyle w:val="BodyText"/>
        <w:rPr>
          <w:b w:val="0"/>
          <w:i/>
          <w:iCs/>
          <w:szCs w:val="24"/>
        </w:rPr>
      </w:pPr>
      <w:r w:rsidRPr="00205432">
        <w:rPr>
          <w:b w:val="0"/>
          <w:szCs w:val="24"/>
        </w:rPr>
        <w:t xml:space="preserve">This section provides for Schedule 1 of the </w:t>
      </w:r>
      <w:r w:rsidRPr="00205432">
        <w:rPr>
          <w:b w:val="0"/>
          <w:bCs/>
          <w:szCs w:val="24"/>
        </w:rPr>
        <w:t>Amendment</w:t>
      </w:r>
      <w:r w:rsidRPr="00205432">
        <w:rPr>
          <w:szCs w:val="24"/>
        </w:rPr>
        <w:t xml:space="preserve"> </w:t>
      </w:r>
      <w:r w:rsidRPr="00205432">
        <w:rPr>
          <w:b w:val="0"/>
          <w:szCs w:val="24"/>
        </w:rPr>
        <w:t xml:space="preserve">Determination to commence on 1 February 2023. </w:t>
      </w:r>
    </w:p>
    <w:p w14:paraId="48BD3043" w14:textId="77777777" w:rsidR="009F7D83" w:rsidRPr="00205432" w:rsidRDefault="009F7D83" w:rsidP="009F7D83">
      <w:pPr>
        <w:pStyle w:val="BodyText"/>
        <w:rPr>
          <w:b w:val="0"/>
          <w:szCs w:val="24"/>
        </w:rPr>
      </w:pPr>
    </w:p>
    <w:p w14:paraId="1CF15648" w14:textId="77777777" w:rsidR="009F7D83" w:rsidRPr="00205432" w:rsidRDefault="009F7D83" w:rsidP="009F7D83">
      <w:pPr>
        <w:pStyle w:val="BodyText"/>
        <w:rPr>
          <w:b w:val="0"/>
          <w:szCs w:val="24"/>
          <w:u w:val="single"/>
        </w:rPr>
      </w:pPr>
      <w:r w:rsidRPr="00205432">
        <w:rPr>
          <w:b w:val="0"/>
          <w:szCs w:val="24"/>
          <w:u w:val="single"/>
        </w:rPr>
        <w:t>Section 3 – Authority</w:t>
      </w:r>
    </w:p>
    <w:p w14:paraId="7187B6C2" w14:textId="77777777" w:rsidR="009F7D83" w:rsidRPr="00205432" w:rsidRDefault="009F7D83" w:rsidP="009F7D83">
      <w:pPr>
        <w:pStyle w:val="BodyText"/>
        <w:rPr>
          <w:b w:val="0"/>
          <w:szCs w:val="24"/>
          <w:u w:val="single"/>
        </w:rPr>
      </w:pPr>
    </w:p>
    <w:p w14:paraId="7E7B2FED" w14:textId="77777777" w:rsidR="009F7D83" w:rsidRPr="00205432" w:rsidRDefault="009F7D83" w:rsidP="009F7D83">
      <w:pPr>
        <w:pStyle w:val="BodyText"/>
        <w:rPr>
          <w:b w:val="0"/>
        </w:rPr>
      </w:pPr>
      <w:r w:rsidRPr="00205432">
        <w:rPr>
          <w:b w:val="0"/>
        </w:rPr>
        <w:t xml:space="preserve">This section provides that the </w:t>
      </w:r>
      <w:r w:rsidRPr="00205432">
        <w:rPr>
          <w:b w:val="0"/>
          <w:bCs/>
        </w:rPr>
        <w:t>Amendment</w:t>
      </w:r>
      <w:r w:rsidRPr="00205432">
        <w:t xml:space="preserve"> </w:t>
      </w:r>
      <w:r w:rsidRPr="00205432">
        <w:rPr>
          <w:b w:val="0"/>
        </w:rPr>
        <w:t xml:space="preserve">Determination is made under subsection 3C(1) of the </w:t>
      </w:r>
      <w:r w:rsidRPr="00205432">
        <w:rPr>
          <w:b w:val="0"/>
          <w:i/>
        </w:rPr>
        <w:t>Health Insurance Act 1973</w:t>
      </w:r>
      <w:r w:rsidRPr="00205432">
        <w:rPr>
          <w:b w:val="0"/>
        </w:rPr>
        <w:t>.</w:t>
      </w:r>
    </w:p>
    <w:p w14:paraId="56EA9640" w14:textId="77777777" w:rsidR="009F7D83" w:rsidRPr="00205432" w:rsidRDefault="009F7D83" w:rsidP="009F7D83">
      <w:pPr>
        <w:pStyle w:val="BodyText"/>
        <w:rPr>
          <w:b w:val="0"/>
        </w:rPr>
      </w:pPr>
    </w:p>
    <w:p w14:paraId="0092F889" w14:textId="77777777" w:rsidR="009F7D83" w:rsidRPr="00205432" w:rsidRDefault="009F7D83" w:rsidP="009F7D83">
      <w:pPr>
        <w:pStyle w:val="BodyText"/>
        <w:rPr>
          <w:b w:val="0"/>
          <w:szCs w:val="24"/>
          <w:u w:val="single"/>
        </w:rPr>
      </w:pPr>
      <w:r w:rsidRPr="00205432">
        <w:rPr>
          <w:b w:val="0"/>
          <w:szCs w:val="24"/>
          <w:u w:val="single"/>
        </w:rPr>
        <w:t>Section 4 – Schedule</w:t>
      </w:r>
    </w:p>
    <w:p w14:paraId="215546BC" w14:textId="77777777" w:rsidR="009F7D83" w:rsidRPr="00205432" w:rsidRDefault="009F7D83" w:rsidP="009F7D83">
      <w:pPr>
        <w:pStyle w:val="BodyText"/>
        <w:rPr>
          <w:b w:val="0"/>
          <w:szCs w:val="24"/>
          <w:u w:val="single"/>
        </w:rPr>
      </w:pPr>
    </w:p>
    <w:p w14:paraId="5F875F28" w14:textId="77777777" w:rsidR="009F7D83" w:rsidRPr="00205432" w:rsidRDefault="009F7D83" w:rsidP="009F7D83">
      <w:pPr>
        <w:pStyle w:val="BodyText"/>
        <w:rPr>
          <w:b w:val="0"/>
          <w:szCs w:val="24"/>
        </w:rPr>
      </w:pPr>
      <w:r w:rsidRPr="00205432">
        <w:rPr>
          <w:b w:val="0"/>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675A6419" w14:textId="77777777" w:rsidR="009F7D83" w:rsidRPr="00205432" w:rsidRDefault="009F7D83" w:rsidP="009F7D83">
      <w:pPr>
        <w:pStyle w:val="BodyText"/>
        <w:rPr>
          <w:b w:val="0"/>
          <w:szCs w:val="24"/>
        </w:rPr>
      </w:pPr>
    </w:p>
    <w:p w14:paraId="11BEFE15" w14:textId="77777777" w:rsidR="009F7D83" w:rsidRPr="00205432" w:rsidRDefault="009F7D83" w:rsidP="009F7D83">
      <w:pPr>
        <w:pStyle w:val="Header"/>
        <w:tabs>
          <w:tab w:val="num" w:pos="1080"/>
        </w:tabs>
        <w:rPr>
          <w:szCs w:val="24"/>
          <w:u w:val="single"/>
        </w:rPr>
      </w:pPr>
      <w:r w:rsidRPr="00205432">
        <w:rPr>
          <w:szCs w:val="24"/>
          <w:u w:val="single"/>
        </w:rPr>
        <w:t>Schedule 1 – Amendments</w:t>
      </w:r>
    </w:p>
    <w:p w14:paraId="67262DCA" w14:textId="77777777" w:rsidR="009F7D83" w:rsidRPr="00205432" w:rsidRDefault="009F7D83" w:rsidP="009F7D83">
      <w:pPr>
        <w:pStyle w:val="Header"/>
        <w:tabs>
          <w:tab w:val="num" w:pos="1080"/>
        </w:tabs>
        <w:rPr>
          <w:szCs w:val="24"/>
        </w:rPr>
      </w:pPr>
    </w:p>
    <w:p w14:paraId="3EB78722" w14:textId="77777777" w:rsidR="009F7D83" w:rsidRPr="00205432" w:rsidRDefault="009F7D83" w:rsidP="009F7D83">
      <w:pPr>
        <w:pStyle w:val="Header"/>
        <w:rPr>
          <w:b/>
          <w:bCs/>
          <w:i/>
          <w:iCs/>
        </w:rPr>
      </w:pPr>
      <w:r w:rsidRPr="00205432">
        <w:rPr>
          <w:b/>
          <w:bCs/>
          <w:i/>
          <w:iCs/>
        </w:rPr>
        <w:t xml:space="preserve">Health Insurance (Section 3C General Medical Services – General Practice Attendance for Assessing Patient Suitability for a COVID-19 Vaccine) Determination 2021 </w:t>
      </w:r>
      <w:r w:rsidRPr="00205432">
        <w:rPr>
          <w:b/>
          <w:bCs/>
        </w:rPr>
        <w:t>(the Principal Determination)</w:t>
      </w:r>
      <w:r w:rsidRPr="00205432">
        <w:rPr>
          <w:b/>
          <w:bCs/>
          <w:i/>
          <w:iCs/>
        </w:rPr>
        <w:t xml:space="preserve"> </w:t>
      </w:r>
    </w:p>
    <w:p w14:paraId="21C7FAA5" w14:textId="77777777" w:rsidR="009F7D83" w:rsidRPr="00205432" w:rsidRDefault="009F7D83" w:rsidP="009F7D83">
      <w:pPr>
        <w:pStyle w:val="Header"/>
        <w:rPr>
          <w:b/>
          <w:bCs/>
          <w:i/>
          <w:iCs/>
        </w:rPr>
      </w:pPr>
    </w:p>
    <w:p w14:paraId="0FE756DF" w14:textId="77777777" w:rsidR="009F7D83" w:rsidRPr="00205432" w:rsidRDefault="009F7D83" w:rsidP="009F7D83">
      <w:pPr>
        <w:pStyle w:val="Header"/>
        <w:rPr>
          <w:iCs/>
        </w:rPr>
      </w:pPr>
      <w:r w:rsidRPr="00205432">
        <w:rPr>
          <w:b/>
          <w:bCs/>
          <w:iCs/>
        </w:rPr>
        <w:t xml:space="preserve">Item 1 and Item 2 </w:t>
      </w:r>
      <w:r w:rsidRPr="00205432">
        <w:rPr>
          <w:iCs/>
        </w:rPr>
        <w:t>amends the Principal Determination to</w:t>
      </w:r>
      <w:r w:rsidRPr="00205432">
        <w:rPr>
          <w:b/>
          <w:bCs/>
          <w:iCs/>
        </w:rPr>
        <w:t xml:space="preserve"> </w:t>
      </w:r>
      <w:r w:rsidRPr="00205432">
        <w:rPr>
          <w:iCs/>
        </w:rPr>
        <w:t xml:space="preserve">repeal the definitions for a primary dose and a booster dose as they are no longer required as the suitability assessment services for assessing a patient’s suitability for a COVID-19 vaccine will be the same services regardless of the number of vaccinations a patient has received.  </w:t>
      </w:r>
    </w:p>
    <w:p w14:paraId="38FC7511" w14:textId="77777777" w:rsidR="009F7D83" w:rsidRPr="00205432" w:rsidRDefault="009F7D83" w:rsidP="009F7D83">
      <w:pPr>
        <w:pStyle w:val="Header"/>
        <w:rPr>
          <w:iCs/>
        </w:rPr>
      </w:pPr>
    </w:p>
    <w:p w14:paraId="4823CEAA" w14:textId="77777777" w:rsidR="009F7D83" w:rsidRPr="00205432" w:rsidRDefault="009F7D83" w:rsidP="009F7D83">
      <w:pPr>
        <w:pStyle w:val="Header"/>
        <w:rPr>
          <w:shd w:val="clear" w:color="auto" w:fill="FFFFFF"/>
        </w:rPr>
      </w:pPr>
      <w:r w:rsidRPr="00205432">
        <w:rPr>
          <w:b/>
          <w:bCs/>
          <w:shd w:val="clear" w:color="auto" w:fill="FFFFFF"/>
        </w:rPr>
        <w:t xml:space="preserve">Item 3 </w:t>
      </w:r>
      <w:r w:rsidRPr="00205432">
        <w:rPr>
          <w:shd w:val="clear" w:color="auto" w:fill="FFFFFF"/>
        </w:rPr>
        <w:t xml:space="preserve">amends Section 9 of the Principal Determination to increase the additional MBS fee to include the amount of $139.00 in addition to the amount listed for the MBS item in the Schedule. The increased fee applies when a GP or OMP attends a residential aged care facility, residential disability facility setting or the person’s place of residence, on each occasion that the GP or OMP attends the facility or residence. </w:t>
      </w:r>
    </w:p>
    <w:p w14:paraId="20BC2028" w14:textId="77777777" w:rsidR="009F7D83" w:rsidRPr="00205432" w:rsidRDefault="009F7D83" w:rsidP="009F7D83">
      <w:pPr>
        <w:pStyle w:val="Header"/>
        <w:rPr>
          <w:shd w:val="clear" w:color="auto" w:fill="FFFFFF"/>
        </w:rPr>
      </w:pPr>
    </w:p>
    <w:p w14:paraId="6C2A748C" w14:textId="77777777" w:rsidR="009F7D83" w:rsidRPr="00205432" w:rsidRDefault="009F7D83" w:rsidP="009F7D83">
      <w:pPr>
        <w:shd w:val="clear" w:color="auto" w:fill="FFFFFF"/>
        <w:rPr>
          <w:szCs w:val="24"/>
        </w:rPr>
      </w:pPr>
      <w:r w:rsidRPr="00205432">
        <w:rPr>
          <w:szCs w:val="24"/>
        </w:rPr>
        <w:t xml:space="preserve">The increased fee only applies to: </w:t>
      </w:r>
    </w:p>
    <w:p w14:paraId="33C60CC8" w14:textId="77777777" w:rsidR="009F7D83" w:rsidRPr="00205432" w:rsidRDefault="009F7D83" w:rsidP="009F7D83">
      <w:pPr>
        <w:pStyle w:val="ListParagraph"/>
        <w:numPr>
          <w:ilvl w:val="0"/>
          <w:numId w:val="42"/>
        </w:numPr>
        <w:shd w:val="clear" w:color="auto" w:fill="FFFFFF"/>
        <w:rPr>
          <w:szCs w:val="24"/>
        </w:rPr>
      </w:pPr>
      <w:r w:rsidRPr="00205432">
        <w:rPr>
          <w:szCs w:val="24"/>
        </w:rPr>
        <w:t xml:space="preserve">a service provided at a residential aged care facility if the patient is a care recipient in the facility or a staff member of the approved provider operating </w:t>
      </w:r>
      <w:r w:rsidRPr="00205432">
        <w:rPr>
          <w:szCs w:val="24"/>
        </w:rPr>
        <w:lastRenderedPageBreak/>
        <w:t>the facility. “Staff member” of the approved provider has the same meaning as in Schedule 1 to the </w:t>
      </w:r>
      <w:r w:rsidRPr="00205432">
        <w:rPr>
          <w:i/>
          <w:iCs/>
          <w:szCs w:val="24"/>
        </w:rPr>
        <w:t>Aged Care Act 1997</w:t>
      </w:r>
      <w:r w:rsidRPr="00205432">
        <w:rPr>
          <w:szCs w:val="24"/>
        </w:rPr>
        <w:t>.</w:t>
      </w:r>
    </w:p>
    <w:p w14:paraId="4FE51A1D" w14:textId="77777777" w:rsidR="009F7D83" w:rsidRPr="00205432" w:rsidRDefault="009F7D83" w:rsidP="009F7D83">
      <w:pPr>
        <w:pStyle w:val="ListParagraph"/>
        <w:numPr>
          <w:ilvl w:val="0"/>
          <w:numId w:val="42"/>
        </w:numPr>
        <w:shd w:val="clear" w:color="auto" w:fill="FFFFFF"/>
      </w:pPr>
      <w:r w:rsidRPr="00205432">
        <w:t>a service provided at a person’s place of residence if the patient is unable to attend the practice location because of the patient’s medical condition, disability, dementia, or frailty.</w:t>
      </w:r>
    </w:p>
    <w:p w14:paraId="2327B2FD" w14:textId="77777777" w:rsidR="009F7D83" w:rsidRPr="00205432" w:rsidRDefault="009F7D83" w:rsidP="009F7D83">
      <w:pPr>
        <w:pStyle w:val="ListParagraph"/>
        <w:numPr>
          <w:ilvl w:val="0"/>
          <w:numId w:val="42"/>
        </w:numPr>
        <w:shd w:val="clear" w:color="auto" w:fill="FFFFFF"/>
        <w:rPr>
          <w:sz w:val="22"/>
          <w:szCs w:val="22"/>
        </w:rPr>
      </w:pPr>
      <w:r w:rsidRPr="00205432">
        <w:rPr>
          <w:szCs w:val="24"/>
        </w:rPr>
        <w:t>a service provided at a residential disability facility setting if the patient is a recipient in the facility or is employed, hired, retained, or contracted (whether directly or through an employment or recruiting agency) to provide care and other care related services in the facility.</w:t>
      </w:r>
    </w:p>
    <w:p w14:paraId="450A4F54" w14:textId="77777777" w:rsidR="009F7D83" w:rsidRPr="00205432" w:rsidRDefault="009F7D83" w:rsidP="009F7D83">
      <w:pPr>
        <w:pStyle w:val="Header"/>
        <w:rPr>
          <w:shd w:val="clear" w:color="auto" w:fill="FFFFFF"/>
        </w:rPr>
      </w:pPr>
    </w:p>
    <w:p w14:paraId="379224EE" w14:textId="77777777" w:rsidR="009F7D83" w:rsidRPr="00205432" w:rsidRDefault="009F7D83" w:rsidP="009F7D83">
      <w:pPr>
        <w:pStyle w:val="Header"/>
        <w:rPr>
          <w:iCs/>
        </w:rPr>
      </w:pPr>
      <w:r w:rsidRPr="00205432">
        <w:rPr>
          <w:b/>
          <w:bCs/>
          <w:iCs/>
        </w:rPr>
        <w:t xml:space="preserve">Item 4 </w:t>
      </w:r>
      <w:r w:rsidRPr="00205432">
        <w:rPr>
          <w:iCs/>
        </w:rPr>
        <w:t xml:space="preserve">repeals items in Subgroups 1, 2 and 7 as they will no longer be required and will amend items in Subgroups 3 and 4 to remove the requirement for the items to be for assessing a patient suitability for a second or subsequent dose of a COVID-19 vaccine. The services listed in Subgroups 5 will be amended to remove the services being repealed from the item descriptors and Subgroup 6 will be reinstated without any amendments to the services.  </w:t>
      </w:r>
    </w:p>
    <w:p w14:paraId="7C9F8903" w14:textId="77777777" w:rsidR="009F7D83" w:rsidRPr="00205432" w:rsidRDefault="009F7D83" w:rsidP="009F7D83">
      <w:pPr>
        <w:pStyle w:val="Header"/>
        <w:rPr>
          <w:iCs/>
        </w:rPr>
      </w:pPr>
    </w:p>
    <w:p w14:paraId="0F582E08" w14:textId="77777777" w:rsidR="009F7D83" w:rsidRPr="00205432" w:rsidRDefault="009F7D83" w:rsidP="009F7D83">
      <w:pPr>
        <w:pStyle w:val="Header"/>
        <w:rPr>
          <w:iCs/>
        </w:rPr>
      </w:pPr>
      <w:r w:rsidRPr="00205432">
        <w:rPr>
          <w:iCs/>
        </w:rPr>
        <w:t>Subgroup 3 lists four items (93644, 93645, 93646 and 93647) for the purpose of assessing a patient’s suitability for a COVID-19 vaccine assessment service. Items 93644 and 93645 are for services performed by, or on behalf of, a general practitioner. Item 93644 is for services performed in metropolitan areas (Modified Monash 1) and 93645 is for services performed in regional and remote areas (Modified Monash 2 to 7). Items 93647 and 93648 are for services performed by, or on behalf of, a medical practitioner (other than a general practitioner). Item 93646 is for services performed in metropolitan areas (Modified Monash 1) and 93647 is for services performed in regional and remote areas (Modified Monash 2 to 7).</w:t>
      </w:r>
    </w:p>
    <w:p w14:paraId="44EA98C9" w14:textId="77777777" w:rsidR="009F7D83" w:rsidRPr="00205432" w:rsidRDefault="009F7D83" w:rsidP="009F7D83">
      <w:pPr>
        <w:pStyle w:val="Header"/>
        <w:rPr>
          <w:iCs/>
        </w:rPr>
      </w:pPr>
    </w:p>
    <w:p w14:paraId="76F4337A" w14:textId="505CBBE4" w:rsidR="009F7D83" w:rsidRPr="00205432" w:rsidRDefault="009F7D83" w:rsidP="009F7D83">
      <w:pPr>
        <w:pStyle w:val="Header"/>
        <w:rPr>
          <w:iCs/>
        </w:rPr>
      </w:pPr>
      <w:r w:rsidRPr="00205432">
        <w:rPr>
          <w:iCs/>
        </w:rPr>
        <w:t xml:space="preserve">Subgroup 4 lists four items (93653, 93654, 93655 and 93656) for the purpose of assessing a patient’s suitability for a COVID-19 vaccine assessment service in after-hours situations. These items must be performed in the after-hours period, as defined in subsection 4(1). Items 93653 and 93654 are for services performed by, or on behalf of, a general practitioner. Item 93653 is for services performed in metropolitan areas (Modified Monash 1) and 93654 is for services performed in regional and remote areas (Modified Monash 2 to 7). Items 93655 and 93656 are for services performed by, or on behalf of, a medical practitioner (other than a general practitioner). Item 93655 is for services </w:t>
      </w:r>
      <w:r w:rsidR="00A21467" w:rsidRPr="00205432">
        <w:rPr>
          <w:iCs/>
        </w:rPr>
        <w:t xml:space="preserve">accessed </w:t>
      </w:r>
      <w:r w:rsidRPr="00205432">
        <w:rPr>
          <w:iCs/>
        </w:rPr>
        <w:t xml:space="preserve">performed in metropolitan areas (Modified Monash 1) and 93656 is for services </w:t>
      </w:r>
      <w:r w:rsidR="00A21467" w:rsidRPr="00205432">
        <w:rPr>
          <w:iCs/>
        </w:rPr>
        <w:t xml:space="preserve">accessed and </w:t>
      </w:r>
      <w:r w:rsidRPr="00205432">
        <w:rPr>
          <w:iCs/>
        </w:rPr>
        <w:t>performed in regional and remote areas (Modified Monash 2 to 7).</w:t>
      </w:r>
    </w:p>
    <w:p w14:paraId="1167D512" w14:textId="77777777" w:rsidR="009F7D83" w:rsidRPr="00205432" w:rsidRDefault="009F7D83" w:rsidP="009F7D83">
      <w:pPr>
        <w:pStyle w:val="Header"/>
        <w:rPr>
          <w:iCs/>
        </w:rPr>
      </w:pPr>
    </w:p>
    <w:p w14:paraId="5765CFDB" w14:textId="77777777" w:rsidR="009F7D83" w:rsidRPr="00205432" w:rsidRDefault="009F7D83" w:rsidP="009F7D83">
      <w:pPr>
        <w:pStyle w:val="Header"/>
        <w:rPr>
          <w:iCs/>
        </w:rPr>
      </w:pPr>
      <w:r w:rsidRPr="00205432">
        <w:rPr>
          <w:iCs/>
        </w:rPr>
        <w:t>Subgroup 5 lists two items (10660 and 10661) for the purpose of assessing a patient’s suitability for a COVID-19 vaccine that requires a more in-depth patient assessment by a medical practitioner for a patient who has received a vaccine suitability assessment service listed in Subgroup 3 or 4).</w:t>
      </w:r>
    </w:p>
    <w:p w14:paraId="77E3E6DD" w14:textId="77777777" w:rsidR="009F7D83" w:rsidRPr="00205432" w:rsidRDefault="009F7D83" w:rsidP="009F7D83">
      <w:pPr>
        <w:pStyle w:val="Header"/>
        <w:rPr>
          <w:iCs/>
        </w:rPr>
      </w:pPr>
    </w:p>
    <w:p w14:paraId="7D1C921C" w14:textId="77777777" w:rsidR="009F7D83" w:rsidRPr="00205432" w:rsidRDefault="009F7D83" w:rsidP="009F7D83">
      <w:pPr>
        <w:pStyle w:val="Header"/>
        <w:tabs>
          <w:tab w:val="num" w:pos="1080"/>
        </w:tabs>
        <w:rPr>
          <w:szCs w:val="24"/>
        </w:rPr>
      </w:pPr>
      <w:r w:rsidRPr="00205432">
        <w:rPr>
          <w:iCs/>
        </w:rPr>
        <w:t xml:space="preserve">Subgroup 6 list two items (93660 and 93661) for the purpose </w:t>
      </w:r>
      <w:r w:rsidRPr="00205432">
        <w:rPr>
          <w:szCs w:val="24"/>
        </w:rPr>
        <w:t>of allowing for a vaccine suitability assessment service to be performed by a relevant health professional on behalf of a medical practitioner outside of general practice consulting rooms, where the medical practitioner is not in attendance at the location where the service is provided.</w:t>
      </w:r>
    </w:p>
    <w:p w14:paraId="4C1E36AE" w14:textId="77777777" w:rsidR="009F7D83" w:rsidRPr="00205432" w:rsidRDefault="009F7D83" w:rsidP="009F7D83">
      <w:pPr>
        <w:spacing w:after="200" w:line="276" w:lineRule="auto"/>
        <w:rPr>
          <w:szCs w:val="24"/>
        </w:rPr>
      </w:pPr>
    </w:p>
    <w:p w14:paraId="3E248A73" w14:textId="77777777" w:rsidR="009F7D83" w:rsidRPr="00205432" w:rsidRDefault="009F7D83" w:rsidP="009F7D83">
      <w:pPr>
        <w:pStyle w:val="Header"/>
        <w:tabs>
          <w:tab w:val="num" w:pos="1080"/>
        </w:tabs>
        <w:jc w:val="center"/>
        <w:rPr>
          <w:b/>
          <w:sz w:val="28"/>
          <w:szCs w:val="28"/>
        </w:rPr>
      </w:pPr>
      <w:r w:rsidRPr="00205432">
        <w:rPr>
          <w:b/>
          <w:sz w:val="28"/>
          <w:szCs w:val="28"/>
        </w:rPr>
        <w:lastRenderedPageBreak/>
        <w:t>Statement of Compatibility with Human Rights</w:t>
      </w:r>
    </w:p>
    <w:p w14:paraId="1AE0446F" w14:textId="77777777" w:rsidR="009F7D83" w:rsidRPr="00205432" w:rsidRDefault="009F7D83" w:rsidP="009F7D83">
      <w:pPr>
        <w:spacing w:before="120" w:after="120"/>
        <w:jc w:val="center"/>
        <w:rPr>
          <w:szCs w:val="24"/>
        </w:rPr>
      </w:pPr>
      <w:r w:rsidRPr="00205432">
        <w:rPr>
          <w:i/>
          <w:szCs w:val="24"/>
        </w:rPr>
        <w:t>Prepared in accordance with Part 3 of the Human Rights (Parliamentary Scrutiny) Act 2011</w:t>
      </w:r>
    </w:p>
    <w:p w14:paraId="28AE03F5" w14:textId="77777777" w:rsidR="009F7D83" w:rsidRPr="00205432" w:rsidRDefault="009F7D83" w:rsidP="009F7D83">
      <w:pPr>
        <w:tabs>
          <w:tab w:val="left" w:pos="1418"/>
        </w:tabs>
        <w:ind w:left="851"/>
        <w:jc w:val="center"/>
        <w:rPr>
          <w:b/>
          <w:i/>
          <w:szCs w:val="24"/>
        </w:rPr>
      </w:pPr>
      <w:r w:rsidRPr="00205432">
        <w:rPr>
          <w:b/>
          <w:i/>
          <w:iCs/>
          <w:szCs w:val="24"/>
        </w:rPr>
        <w:t>Health Insurance (Section 3C General Medical Services – General Practice Attendance for Assessing Patient Suitability for a COVID-19 Vaccine) Amendment (No. 1) Determination 2023</w:t>
      </w:r>
    </w:p>
    <w:p w14:paraId="36DA993C" w14:textId="77777777" w:rsidR="009F7D83" w:rsidRPr="00205432" w:rsidRDefault="009F7D83" w:rsidP="009F7D83">
      <w:pPr>
        <w:tabs>
          <w:tab w:val="left" w:pos="1418"/>
        </w:tabs>
        <w:ind w:left="851"/>
        <w:jc w:val="center"/>
        <w:rPr>
          <w:b/>
          <w:i/>
          <w:szCs w:val="24"/>
        </w:rPr>
      </w:pPr>
    </w:p>
    <w:p w14:paraId="7B35545B" w14:textId="77777777" w:rsidR="009F7D83" w:rsidRPr="00205432" w:rsidRDefault="009F7D83" w:rsidP="009F7D83">
      <w:pPr>
        <w:jc w:val="center"/>
        <w:rPr>
          <w:i/>
          <w:szCs w:val="24"/>
        </w:rPr>
      </w:pPr>
      <w:r w:rsidRPr="00205432">
        <w:rPr>
          <w:szCs w:val="24"/>
        </w:rPr>
        <w:t xml:space="preserve">This </w:t>
      </w:r>
      <w:r w:rsidRPr="00205432">
        <w:rPr>
          <w:bCs/>
          <w:szCs w:val="24"/>
        </w:rPr>
        <w:t>Amendment</w:t>
      </w:r>
      <w:r w:rsidRPr="00205432">
        <w:rPr>
          <w:szCs w:val="24"/>
        </w:rPr>
        <w:t xml:space="preserve"> Determination is compatible with the human rights and freedoms recognised or declared in the international instruments listed in section 3 of the </w:t>
      </w:r>
      <w:r w:rsidRPr="00205432">
        <w:rPr>
          <w:i/>
          <w:szCs w:val="24"/>
        </w:rPr>
        <w:t xml:space="preserve">Human Rights (Parliamentary Scrutiny) </w:t>
      </w:r>
    </w:p>
    <w:p w14:paraId="47F224CA" w14:textId="77777777" w:rsidR="009F7D83" w:rsidRPr="00205432" w:rsidRDefault="009F7D83" w:rsidP="009F7D83">
      <w:pPr>
        <w:jc w:val="center"/>
        <w:rPr>
          <w:szCs w:val="24"/>
        </w:rPr>
      </w:pPr>
      <w:r w:rsidRPr="00205432">
        <w:rPr>
          <w:i/>
          <w:szCs w:val="24"/>
        </w:rPr>
        <w:t>Act 2011</w:t>
      </w:r>
      <w:r w:rsidRPr="00205432">
        <w:rPr>
          <w:szCs w:val="24"/>
        </w:rPr>
        <w:t>.</w:t>
      </w:r>
    </w:p>
    <w:p w14:paraId="2F7A2B6E" w14:textId="77777777" w:rsidR="009F7D83" w:rsidRPr="00205432" w:rsidRDefault="009F7D83" w:rsidP="009F7D83">
      <w:pPr>
        <w:spacing w:before="120" w:after="120"/>
        <w:rPr>
          <w:b/>
          <w:szCs w:val="24"/>
        </w:rPr>
      </w:pPr>
      <w:r w:rsidRPr="00205432">
        <w:rPr>
          <w:b/>
          <w:bCs/>
          <w:shd w:val="clear" w:color="auto" w:fill="FFFFFF"/>
        </w:rPr>
        <w:t>Overview of the Disallowable Legislative Instrument</w:t>
      </w:r>
    </w:p>
    <w:p w14:paraId="53003AFD" w14:textId="77777777" w:rsidR="001148A4" w:rsidRPr="00205432" w:rsidRDefault="001148A4" w:rsidP="001148A4">
      <w:pPr>
        <w:pStyle w:val="Header"/>
        <w:rPr>
          <w:shd w:val="clear" w:color="auto" w:fill="FFFFFF"/>
        </w:rPr>
      </w:pPr>
      <w:r w:rsidRPr="00205432">
        <w:rPr>
          <w:shd w:val="clear" w:color="auto" w:fill="FFFFFF"/>
        </w:rPr>
        <w:t>The Australian Government is committed to offering Australians access to safe and effective COVID-19 vaccines and their administration by medical practitioners.</w:t>
      </w:r>
      <w:r w:rsidRPr="00205432">
        <w:rPr>
          <w:rFonts w:ascii="Segoe UI" w:hAnsi="Segoe UI" w:cs="Segoe UI"/>
          <w:shd w:val="clear" w:color="auto" w:fill="FFFFFF"/>
        </w:rPr>
        <w:t xml:space="preserve"> </w:t>
      </w:r>
      <w:r w:rsidRPr="00205432">
        <w:rPr>
          <w:shd w:val="clear" w:color="auto" w:fill="FFFFFF"/>
        </w:rPr>
        <w:t>The Australian Government has launched the National COVID-19 Health Management Plan 2023 (the National Plan). The National Plan will ensure Australia’s health system has the capacity and capability to respond to future waves and variants of COVID-19. The National Plan promotes uptake of vaccination and treatments and slowing the spread of transmission.</w:t>
      </w:r>
    </w:p>
    <w:p w14:paraId="4AE3DA8B" w14:textId="77777777" w:rsidR="001148A4" w:rsidRPr="00205432" w:rsidRDefault="001148A4" w:rsidP="001148A4">
      <w:pPr>
        <w:pStyle w:val="Header"/>
        <w:rPr>
          <w:shd w:val="clear" w:color="auto" w:fill="FFFFFF"/>
        </w:rPr>
      </w:pPr>
    </w:p>
    <w:p w14:paraId="2243F026" w14:textId="77777777" w:rsidR="001148A4" w:rsidRPr="00205432" w:rsidRDefault="001148A4" w:rsidP="001148A4">
      <w:pPr>
        <w:pStyle w:val="Header"/>
        <w:rPr>
          <w:bCs/>
          <w:shd w:val="clear" w:color="auto" w:fill="FFFFFF"/>
        </w:rPr>
      </w:pPr>
      <w:r w:rsidRPr="00205432">
        <w:rPr>
          <w:shd w:val="clear" w:color="auto" w:fill="FFFFFF"/>
        </w:rPr>
        <w:t xml:space="preserve">The purpose of the </w:t>
      </w:r>
      <w:r w:rsidRPr="00205432">
        <w:rPr>
          <w:i/>
          <w:iCs/>
          <w:shd w:val="clear" w:color="auto" w:fill="FFFFFF"/>
        </w:rPr>
        <w:t xml:space="preserve">Health Insurance (Section 3C General Medical Services – General Practice Attendance for Assessing Patient Suitability for a COVID-19 Vaccine) Amendment (No. 1) Determination 2023 </w:t>
      </w:r>
      <w:r w:rsidRPr="00205432">
        <w:rPr>
          <w:shd w:val="clear" w:color="auto" w:fill="FFFFFF"/>
        </w:rPr>
        <w:t>(the Amendment Determination) is</w:t>
      </w:r>
      <w:r w:rsidRPr="00205432">
        <w:rPr>
          <w:bCs/>
          <w:szCs w:val="24"/>
          <w:lang w:eastAsia="en-US"/>
        </w:rPr>
        <w:t xml:space="preserve"> to amend the </w:t>
      </w:r>
      <w:r w:rsidRPr="00205432">
        <w:rPr>
          <w:i/>
          <w:iCs/>
          <w:shd w:val="clear" w:color="auto" w:fill="FFFFFF"/>
        </w:rPr>
        <w:t xml:space="preserve">Health Insurance (Section 3C General Medical Services – General Practice Attendance for Assessing Patient Suitability for a COVID-19 Vaccine) Determination 2021 </w:t>
      </w:r>
      <w:r w:rsidRPr="00205432">
        <w:rPr>
          <w:shd w:val="clear" w:color="auto" w:fill="FFFFFF"/>
        </w:rPr>
        <w:t>(the Principal Determination) to</w:t>
      </w:r>
      <w:r w:rsidRPr="00205432">
        <w:rPr>
          <w:i/>
          <w:iCs/>
          <w:shd w:val="clear" w:color="auto" w:fill="FFFFFF"/>
        </w:rPr>
        <w:t xml:space="preserve"> </w:t>
      </w:r>
      <w:r w:rsidRPr="00205432">
        <w:rPr>
          <w:shd w:val="clear" w:color="auto" w:fill="FFFFFF"/>
        </w:rPr>
        <w:t xml:space="preserve">streamline and simplify the Medicare Benefits Schedule items used to assess a patient’s suitability for a COVID-19 vaccination. These suitability assessments </w:t>
      </w:r>
      <w:r w:rsidRPr="00205432">
        <w:rPr>
          <w:bCs/>
          <w:shd w:val="clear" w:color="auto" w:fill="FFFFFF"/>
        </w:rPr>
        <w:t>allow</w:t>
      </w:r>
      <w:r w:rsidRPr="00205432">
        <w:rPr>
          <w:b/>
          <w:shd w:val="clear" w:color="auto" w:fill="FFFFFF"/>
        </w:rPr>
        <w:t xml:space="preserve"> </w:t>
      </w:r>
      <w:r w:rsidRPr="00205432">
        <w:rPr>
          <w:bCs/>
          <w:shd w:val="clear" w:color="auto" w:fill="FFFFFF"/>
        </w:rPr>
        <w:t>people</w:t>
      </w:r>
      <w:r w:rsidRPr="00205432">
        <w:rPr>
          <w:bCs/>
          <w:shd w:val="clear" w:color="auto" w:fill="FFFFFF"/>
        </w:rPr>
        <w:softHyphen/>
        <w:t xml:space="preserve"> access to medical information to help people gain an assessment of their suitability for administration of COVID-19 vaccines to mitigate against infection and transmission of the disease. The Amendment Determination will benefit people and medical practitioners by simplifying billing arrangements for COVID-19 vaccination suitability assessments as the disease becomes endemic or ‘normal’ within Australian society.</w:t>
      </w:r>
    </w:p>
    <w:p w14:paraId="236099A1" w14:textId="77777777" w:rsidR="001148A4" w:rsidRPr="00205432" w:rsidRDefault="001148A4" w:rsidP="001148A4">
      <w:pPr>
        <w:pStyle w:val="Header"/>
        <w:rPr>
          <w:bCs/>
          <w:shd w:val="clear" w:color="auto" w:fill="FFFFFF"/>
        </w:rPr>
      </w:pPr>
    </w:p>
    <w:p w14:paraId="4BF27554" w14:textId="77777777" w:rsidR="001148A4" w:rsidRPr="00205432" w:rsidRDefault="001148A4" w:rsidP="001148A4">
      <w:pPr>
        <w:pStyle w:val="Header"/>
        <w:rPr>
          <w:bCs/>
          <w:shd w:val="clear" w:color="auto" w:fill="FFFFFF"/>
        </w:rPr>
      </w:pPr>
      <w:r w:rsidRPr="00205432">
        <w:rPr>
          <w:bCs/>
          <w:shd w:val="clear" w:color="auto" w:fill="FFFFFF"/>
        </w:rPr>
        <w:t xml:space="preserve">The Amendment Determination repeals the definitions for a primary dose and a booster dose as the Government moves into a new phase of managing the COVID-19 pandemic to normalise patient’s suitability assessments for COVID-19 vaccinations. </w:t>
      </w:r>
    </w:p>
    <w:p w14:paraId="2F8BE811" w14:textId="77777777" w:rsidR="001148A4" w:rsidRPr="00205432" w:rsidRDefault="001148A4" w:rsidP="001148A4">
      <w:pPr>
        <w:pStyle w:val="Header"/>
        <w:rPr>
          <w:bCs/>
          <w:shd w:val="clear" w:color="auto" w:fill="FFFFFF"/>
        </w:rPr>
      </w:pPr>
    </w:p>
    <w:p w14:paraId="255291C5" w14:textId="77777777" w:rsidR="001148A4" w:rsidRPr="00205432" w:rsidRDefault="001148A4" w:rsidP="001148A4">
      <w:pPr>
        <w:pStyle w:val="Header"/>
        <w:rPr>
          <w:shd w:val="clear" w:color="auto" w:fill="FFFFFF"/>
        </w:rPr>
      </w:pPr>
      <w:r w:rsidRPr="00205432">
        <w:rPr>
          <w:bCs/>
          <w:shd w:val="clear" w:color="auto" w:fill="FFFFFF"/>
        </w:rPr>
        <w:t>The Amendment Determination will amend the additional fee in Section 9, associated with a General Practitioner (GP) or Other Medical Practitioner (OMP) attending a residential aged care facility or a person’s place or residence to provide a service listed in the Schedule.</w:t>
      </w:r>
      <w:r w:rsidRPr="00205432">
        <w:rPr>
          <w:shd w:val="clear" w:color="auto" w:fill="FFFFFF"/>
        </w:rPr>
        <w:t xml:space="preserve"> </w:t>
      </w:r>
    </w:p>
    <w:p w14:paraId="6BAEF1E1" w14:textId="77777777" w:rsidR="001148A4" w:rsidRPr="00205432" w:rsidRDefault="001148A4" w:rsidP="001148A4">
      <w:pPr>
        <w:pStyle w:val="Header"/>
        <w:rPr>
          <w:shd w:val="clear" w:color="auto" w:fill="FFFFFF"/>
        </w:rPr>
      </w:pPr>
    </w:p>
    <w:p w14:paraId="1A657ABB" w14:textId="3182313C" w:rsidR="00635CD2" w:rsidRPr="00205432" w:rsidRDefault="001148A4" w:rsidP="001148A4">
      <w:pPr>
        <w:pStyle w:val="Header"/>
        <w:rPr>
          <w:bCs/>
          <w:shd w:val="clear" w:color="auto" w:fill="FFFFFF"/>
        </w:rPr>
      </w:pPr>
      <w:r w:rsidRPr="00205432">
        <w:rPr>
          <w:shd w:val="clear" w:color="auto" w:fill="FFFFFF"/>
        </w:rPr>
        <w:t>The Amendment Determination</w:t>
      </w:r>
      <w:r w:rsidRPr="00205432">
        <w:rPr>
          <w:bCs/>
          <w:shd w:val="clear" w:color="auto" w:fill="FFFFFF"/>
        </w:rPr>
        <w:t xml:space="preserve"> repeals nine items for assessing a patient’s suitability for a first dose of a COVID-19 vaccine and amends ten items for the purpose of assessing patient suitability to receive a COVID-19 vaccine regardless of the dose that a patient is being assessed to receive. The Amendment Determination repeals the item providing an additional benefit where a service is a booster dose and the benefits for the amended suitability assessment items have been increased. These services are </w:t>
      </w:r>
      <w:r w:rsidRPr="00205432">
        <w:rPr>
          <w:bCs/>
          <w:shd w:val="clear" w:color="auto" w:fill="FFFFFF"/>
        </w:rPr>
        <w:lastRenderedPageBreak/>
        <w:t>available to a person ‘eligible for a COVID-19 vaccine’ if the service is ‘bulk-billed’ and any clinically relevant patient history and limited examination and management have been undertaken.</w:t>
      </w:r>
    </w:p>
    <w:p w14:paraId="22CDA5A7" w14:textId="77777777" w:rsidR="00635CD2" w:rsidRPr="00205432" w:rsidRDefault="00635CD2" w:rsidP="009F7D83">
      <w:pPr>
        <w:ind w:right="-482"/>
        <w:rPr>
          <w:b/>
          <w:szCs w:val="24"/>
        </w:rPr>
      </w:pPr>
    </w:p>
    <w:p w14:paraId="5C83D4FF" w14:textId="1AD480A6" w:rsidR="009F7D83" w:rsidRPr="00205432" w:rsidRDefault="009F7D83" w:rsidP="009F7D83">
      <w:pPr>
        <w:ind w:right="-482"/>
        <w:rPr>
          <w:b/>
          <w:szCs w:val="24"/>
        </w:rPr>
      </w:pPr>
      <w:r w:rsidRPr="00205432">
        <w:rPr>
          <w:b/>
          <w:szCs w:val="24"/>
        </w:rPr>
        <w:t>Human rights implications</w:t>
      </w:r>
    </w:p>
    <w:p w14:paraId="488F2EB3" w14:textId="77777777" w:rsidR="009F7D83" w:rsidRPr="00205432" w:rsidRDefault="009F7D83" w:rsidP="009F7D83">
      <w:pPr>
        <w:spacing w:before="120" w:after="120"/>
        <w:rPr>
          <w:szCs w:val="24"/>
        </w:rPr>
      </w:pPr>
      <w:r w:rsidRPr="00205432">
        <w:rPr>
          <w:szCs w:val="24"/>
        </w:rPr>
        <w:t xml:space="preserve">This instrument engages Articles 9 and 12 of the International Covenant on Economic Social and Cultural Rights (ICESCR), specifically the rights to health and social security. </w:t>
      </w:r>
    </w:p>
    <w:p w14:paraId="37FF70BB" w14:textId="77777777" w:rsidR="009F7D83" w:rsidRPr="00205432" w:rsidRDefault="009F7D83" w:rsidP="009F7D83">
      <w:pPr>
        <w:spacing w:before="120" w:after="120"/>
        <w:rPr>
          <w:i/>
          <w:szCs w:val="24"/>
        </w:rPr>
      </w:pPr>
      <w:r w:rsidRPr="00205432">
        <w:rPr>
          <w:i/>
          <w:szCs w:val="24"/>
        </w:rPr>
        <w:t>The Right to Health</w:t>
      </w:r>
    </w:p>
    <w:p w14:paraId="5D947865" w14:textId="77777777" w:rsidR="009F7D83" w:rsidRPr="00205432" w:rsidRDefault="009F7D83" w:rsidP="009F7D83">
      <w:pPr>
        <w:spacing w:before="120" w:after="120"/>
        <w:rPr>
          <w:szCs w:val="24"/>
        </w:rPr>
      </w:pPr>
      <w:r w:rsidRPr="0020543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3DB98F4" w14:textId="77777777" w:rsidR="009F7D83" w:rsidRPr="00205432" w:rsidRDefault="009F7D83" w:rsidP="009F7D83">
      <w:pPr>
        <w:spacing w:before="120" w:after="120"/>
        <w:rPr>
          <w:szCs w:val="24"/>
        </w:rPr>
      </w:pPr>
      <w:r w:rsidRPr="00205432">
        <w:rPr>
          <w:szCs w:val="24"/>
        </w:rPr>
        <w:t xml:space="preserve">The Committee reports that the </w:t>
      </w:r>
      <w:r w:rsidRPr="00205432">
        <w:rPr>
          <w:i/>
          <w:szCs w:val="24"/>
        </w:rPr>
        <w:t>‘highest attainable standard of health’</w:t>
      </w:r>
      <w:r w:rsidRPr="00205432">
        <w:rPr>
          <w:szCs w:val="24"/>
        </w:rPr>
        <w:t xml:space="preserve"> considers the country’s available resources. This right may be understood as a right of access to a variety of public health and health care facilities, goods, services, programs, and conditions necessary for the realisation of the highest attainable standard of health. </w:t>
      </w:r>
    </w:p>
    <w:p w14:paraId="3A878F73" w14:textId="77777777" w:rsidR="009F7D83" w:rsidRPr="00205432" w:rsidRDefault="009F7D83" w:rsidP="009F7D83">
      <w:pPr>
        <w:spacing w:before="120" w:after="120"/>
        <w:rPr>
          <w:i/>
          <w:szCs w:val="24"/>
        </w:rPr>
      </w:pPr>
      <w:r w:rsidRPr="00205432">
        <w:rPr>
          <w:i/>
          <w:szCs w:val="24"/>
        </w:rPr>
        <w:t xml:space="preserve">The Right to Social Security </w:t>
      </w:r>
    </w:p>
    <w:p w14:paraId="7D96FB33" w14:textId="77777777" w:rsidR="009F7D83" w:rsidRPr="00205432" w:rsidRDefault="009F7D83" w:rsidP="009F7D83">
      <w:pPr>
        <w:spacing w:before="120" w:after="120"/>
        <w:rPr>
          <w:szCs w:val="24"/>
        </w:rPr>
      </w:pPr>
      <w:r w:rsidRPr="00205432">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to satisfy, as a matter of priority, this minimum obligation.</w:t>
      </w:r>
    </w:p>
    <w:p w14:paraId="242FDE39" w14:textId="77777777" w:rsidR="009F7D83" w:rsidRPr="00205432" w:rsidRDefault="009F7D83" w:rsidP="009F7D83">
      <w:pPr>
        <w:spacing w:before="120" w:after="120"/>
        <w:rPr>
          <w:szCs w:val="24"/>
        </w:rPr>
      </w:pPr>
      <w:r w:rsidRPr="0020543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B6CEC93" w14:textId="77777777" w:rsidR="009F7D83" w:rsidRPr="00205432" w:rsidRDefault="009F7D83" w:rsidP="009F7D83">
      <w:pPr>
        <w:spacing w:before="120" w:after="120"/>
        <w:rPr>
          <w:szCs w:val="24"/>
        </w:rPr>
      </w:pPr>
      <w:r w:rsidRPr="00205432">
        <w:rPr>
          <w:i/>
          <w:iCs/>
          <w:szCs w:val="24"/>
        </w:rPr>
        <w:t>The right of equality and non-discrimination</w:t>
      </w:r>
    </w:p>
    <w:p w14:paraId="7CBCA242" w14:textId="77777777" w:rsidR="009F7D83" w:rsidRPr="00205432" w:rsidRDefault="009F7D83" w:rsidP="009F7D83">
      <w:pPr>
        <w:spacing w:before="120" w:after="120"/>
        <w:rPr>
          <w:szCs w:val="24"/>
        </w:rPr>
      </w:pPr>
      <w:r w:rsidRPr="00205432">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BA9BC87" w14:textId="77777777" w:rsidR="009F7D83" w:rsidRPr="00205432" w:rsidRDefault="009F7D83" w:rsidP="009F7D83">
      <w:pPr>
        <w:keepNext/>
        <w:keepLines/>
        <w:spacing w:before="120" w:after="120"/>
        <w:rPr>
          <w:szCs w:val="24"/>
          <w:u w:val="single"/>
        </w:rPr>
      </w:pPr>
      <w:r w:rsidRPr="00205432">
        <w:rPr>
          <w:szCs w:val="24"/>
          <w:u w:val="single"/>
        </w:rPr>
        <w:lastRenderedPageBreak/>
        <w:t xml:space="preserve">Analysis </w:t>
      </w:r>
    </w:p>
    <w:p w14:paraId="69B27F4D" w14:textId="77777777" w:rsidR="009F7D83" w:rsidRPr="00205432" w:rsidRDefault="009F7D83" w:rsidP="009F7D83">
      <w:pPr>
        <w:keepNext/>
        <w:keepLines/>
        <w:rPr>
          <w:szCs w:val="24"/>
        </w:rPr>
      </w:pPr>
      <w:r w:rsidRPr="00205432">
        <w:rPr>
          <w:szCs w:val="24"/>
        </w:rPr>
        <w:t xml:space="preserve">The Government has launched the National COVID-19 Health Management Plan 2023 (National Plan). The National Plan provides clear guidance to the community and health care providers on how the Australian Government will play its part in managing COVID-19 into the future. </w:t>
      </w:r>
    </w:p>
    <w:p w14:paraId="7FCA9B57" w14:textId="77777777" w:rsidR="009F7D83" w:rsidRPr="00205432" w:rsidRDefault="009F7D83" w:rsidP="009F7D83">
      <w:pPr>
        <w:keepNext/>
        <w:keepLines/>
        <w:rPr>
          <w:szCs w:val="24"/>
        </w:rPr>
      </w:pPr>
    </w:p>
    <w:p w14:paraId="1AB647CD" w14:textId="095607BA" w:rsidR="009F7D83" w:rsidRPr="00205432" w:rsidRDefault="009F7D83" w:rsidP="009F7D83">
      <w:pPr>
        <w:keepNext/>
        <w:keepLines/>
        <w:rPr>
          <w:szCs w:val="24"/>
        </w:rPr>
      </w:pPr>
      <w:r w:rsidRPr="00205432">
        <w:rPr>
          <w:szCs w:val="24"/>
        </w:rPr>
        <w:t xml:space="preserve">The changes in the </w:t>
      </w:r>
      <w:r w:rsidRPr="00205432">
        <w:rPr>
          <w:bCs/>
          <w:szCs w:val="24"/>
        </w:rPr>
        <w:t>Amendment</w:t>
      </w:r>
      <w:r w:rsidRPr="00205432">
        <w:rPr>
          <w:szCs w:val="24"/>
        </w:rPr>
        <w:t xml:space="preserve"> Determination reflect the National Plan and ensure Australia’s health system has the capacity and capability to respond to future waves and variants of COVID-19 and promotes uptake of vaccination and treatments and slowing the spread of transmission.</w:t>
      </w:r>
    </w:p>
    <w:p w14:paraId="5DED4C3A" w14:textId="77777777" w:rsidR="009F7D83" w:rsidRPr="00205432" w:rsidRDefault="009F7D83" w:rsidP="009F7D83">
      <w:pPr>
        <w:keepNext/>
        <w:keepLines/>
        <w:rPr>
          <w:szCs w:val="24"/>
        </w:rPr>
      </w:pPr>
    </w:p>
    <w:p w14:paraId="73923538" w14:textId="42D9E412" w:rsidR="009F7D83" w:rsidRPr="00205432" w:rsidRDefault="009F7D83" w:rsidP="009F7D83">
      <w:pPr>
        <w:keepNext/>
        <w:keepLines/>
        <w:rPr>
          <w:szCs w:val="24"/>
        </w:rPr>
      </w:pPr>
      <w:r w:rsidRPr="00205432">
        <w:rPr>
          <w:szCs w:val="24"/>
        </w:rPr>
        <w:t xml:space="preserve">The changes in the </w:t>
      </w:r>
      <w:r w:rsidRPr="00205432">
        <w:rPr>
          <w:bCs/>
          <w:szCs w:val="24"/>
        </w:rPr>
        <w:t>Amendment</w:t>
      </w:r>
      <w:r w:rsidRPr="00205432">
        <w:rPr>
          <w:szCs w:val="24"/>
        </w:rPr>
        <w:t xml:space="preserve"> Determination maintain the rights to health and social security and the rights of equality and non-discrimination by </w:t>
      </w:r>
      <w:r w:rsidRPr="00205432">
        <w:rPr>
          <w:shd w:val="clear" w:color="auto" w:fill="FFFFFF"/>
        </w:rPr>
        <w:t>ensuring access to publicly subsidised medical services are clinically necessary and cost-effective as intended.</w:t>
      </w:r>
    </w:p>
    <w:p w14:paraId="4B10919D" w14:textId="77777777" w:rsidR="009F7D83" w:rsidRPr="00205432" w:rsidRDefault="009F7D83" w:rsidP="009F7D83">
      <w:pPr>
        <w:spacing w:before="120" w:after="120" w:line="276" w:lineRule="auto"/>
        <w:rPr>
          <w:rFonts w:eastAsia="Calibri"/>
          <w:b/>
          <w:szCs w:val="24"/>
          <w:lang w:eastAsia="en-US"/>
        </w:rPr>
      </w:pPr>
      <w:r w:rsidRPr="00205432">
        <w:rPr>
          <w:rFonts w:eastAsia="Calibri"/>
          <w:b/>
          <w:szCs w:val="24"/>
          <w:lang w:eastAsia="en-US"/>
        </w:rPr>
        <w:t xml:space="preserve">Conclusion </w:t>
      </w:r>
    </w:p>
    <w:p w14:paraId="55AF2001" w14:textId="77777777" w:rsidR="009F7D83" w:rsidRPr="00205432" w:rsidRDefault="009F7D83" w:rsidP="009F7D83">
      <w:pPr>
        <w:rPr>
          <w:szCs w:val="24"/>
        </w:rPr>
      </w:pPr>
      <w:r w:rsidRPr="00205432">
        <w:rPr>
          <w:szCs w:val="24"/>
        </w:rPr>
        <w:t>This instrument is compatible with human rights as it maintains the right to health, the right to social security and the right of equality and non-discrimination.</w:t>
      </w:r>
    </w:p>
    <w:p w14:paraId="3A6BBCC0" w14:textId="77777777" w:rsidR="009F7D83" w:rsidRPr="00205432" w:rsidRDefault="009F7D83" w:rsidP="009F7D83">
      <w:pPr>
        <w:rPr>
          <w:b/>
          <w:bCs/>
        </w:rPr>
      </w:pPr>
    </w:p>
    <w:p w14:paraId="5234EB4A" w14:textId="77777777" w:rsidR="009F7D83" w:rsidRPr="00205432" w:rsidRDefault="009F7D83" w:rsidP="009F7D83">
      <w:pPr>
        <w:jc w:val="center"/>
        <w:rPr>
          <w:b/>
          <w:bCs/>
          <w:szCs w:val="24"/>
        </w:rPr>
      </w:pPr>
    </w:p>
    <w:p w14:paraId="5333520B" w14:textId="77777777" w:rsidR="009F7D83" w:rsidRPr="00205432" w:rsidRDefault="009F7D83" w:rsidP="009F7D83">
      <w:pPr>
        <w:jc w:val="center"/>
        <w:rPr>
          <w:b/>
          <w:bCs/>
          <w:szCs w:val="24"/>
        </w:rPr>
      </w:pPr>
      <w:r w:rsidRPr="00205432">
        <w:rPr>
          <w:b/>
          <w:bCs/>
          <w:szCs w:val="24"/>
        </w:rPr>
        <w:t>Travis Haslam</w:t>
      </w:r>
    </w:p>
    <w:p w14:paraId="72DF59DE" w14:textId="77777777" w:rsidR="009F7D83" w:rsidRPr="00205432" w:rsidRDefault="009F7D83" w:rsidP="009F7D83">
      <w:pPr>
        <w:jc w:val="center"/>
        <w:rPr>
          <w:b/>
          <w:bCs/>
          <w:szCs w:val="24"/>
        </w:rPr>
      </w:pPr>
      <w:r w:rsidRPr="00205432">
        <w:rPr>
          <w:b/>
          <w:bCs/>
          <w:szCs w:val="24"/>
        </w:rPr>
        <w:t>Acting First Assistant Secretary</w:t>
      </w:r>
    </w:p>
    <w:p w14:paraId="7D878CBC" w14:textId="77777777" w:rsidR="009F7D83" w:rsidRPr="00205432" w:rsidRDefault="009F7D83" w:rsidP="009F7D83">
      <w:pPr>
        <w:jc w:val="center"/>
        <w:rPr>
          <w:b/>
          <w:bCs/>
          <w:szCs w:val="24"/>
        </w:rPr>
      </w:pPr>
      <w:r w:rsidRPr="00205432">
        <w:rPr>
          <w:b/>
          <w:bCs/>
          <w:szCs w:val="24"/>
        </w:rPr>
        <w:t>Medical Benefits Division</w:t>
      </w:r>
    </w:p>
    <w:p w14:paraId="542F0880" w14:textId="77777777" w:rsidR="009F7D83" w:rsidRPr="00205432" w:rsidRDefault="009F7D83" w:rsidP="009F7D83">
      <w:pPr>
        <w:jc w:val="center"/>
        <w:rPr>
          <w:b/>
          <w:bCs/>
          <w:szCs w:val="24"/>
        </w:rPr>
      </w:pPr>
      <w:r w:rsidRPr="00205432">
        <w:rPr>
          <w:b/>
          <w:bCs/>
          <w:szCs w:val="24"/>
        </w:rPr>
        <w:t>Health Resourcing Group</w:t>
      </w:r>
    </w:p>
    <w:p w14:paraId="2B65E840" w14:textId="298FFDB6" w:rsidR="009F7D83" w:rsidRPr="00205432" w:rsidRDefault="009F7D83" w:rsidP="009F7D83">
      <w:pPr>
        <w:jc w:val="center"/>
        <w:rPr>
          <w:b/>
          <w:bCs/>
          <w:szCs w:val="24"/>
        </w:rPr>
      </w:pPr>
      <w:r w:rsidRPr="00205432">
        <w:rPr>
          <w:b/>
          <w:bCs/>
          <w:szCs w:val="24"/>
        </w:rPr>
        <w:t xml:space="preserve">Department of Health and </w:t>
      </w:r>
      <w:r w:rsidR="001D4C6F">
        <w:rPr>
          <w:b/>
          <w:bCs/>
          <w:szCs w:val="24"/>
        </w:rPr>
        <w:t>Aged Care</w:t>
      </w:r>
    </w:p>
    <w:bookmarkEnd w:id="0"/>
    <w:p w14:paraId="7F8B993E" w14:textId="77777777" w:rsidR="009F7D83" w:rsidRPr="00205432" w:rsidRDefault="009F7D83" w:rsidP="009F7D83">
      <w:pPr>
        <w:jc w:val="center"/>
        <w:rPr>
          <w:rFonts w:eastAsia="Calibri"/>
          <w:szCs w:val="24"/>
          <w:lang w:eastAsia="en-US"/>
        </w:rPr>
      </w:pPr>
    </w:p>
    <w:sectPr w:rsidR="009F7D83" w:rsidRPr="00205432" w:rsidSect="007812B3">
      <w:headerReference w:type="even" r:id="rId12"/>
      <w:headerReference w:type="default" r:id="rId13"/>
      <w:headerReference w:type="first" r:id="rId14"/>
      <w:pgSz w:w="11906" w:h="16838"/>
      <w:pgMar w:top="1440" w:right="1800" w:bottom="1135"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0EEB5" w14:textId="77777777" w:rsidR="00EE6C99" w:rsidRDefault="00EE6C99">
      <w:r>
        <w:separator/>
      </w:r>
    </w:p>
  </w:endnote>
  <w:endnote w:type="continuationSeparator" w:id="0">
    <w:p w14:paraId="08D5F21A" w14:textId="77777777" w:rsidR="00EE6C99" w:rsidRDefault="00EE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6A59B" w14:textId="77777777" w:rsidR="00EE6C99" w:rsidRDefault="00EE6C99">
      <w:r>
        <w:separator/>
      </w:r>
    </w:p>
  </w:footnote>
  <w:footnote w:type="continuationSeparator" w:id="0">
    <w:p w14:paraId="1BB8BA19" w14:textId="77777777" w:rsidR="00EE6C99" w:rsidRDefault="00EE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88ABF" w14:textId="77777777" w:rsidR="009F7D83" w:rsidRDefault="009F7D83" w:rsidP="00BD6F5F">
    <w:pPr>
      <w:pStyle w:val="Header"/>
      <w:jc w:val="center"/>
    </w:pPr>
    <w:r>
      <w:fldChar w:fldCharType="begin"/>
    </w:r>
    <w:r>
      <w:instrText xml:space="preserve"> PAGE  \* Arabic  \* MERGEFORMAT </w:instrText>
    </w:r>
    <w:r>
      <w:fldChar w:fldCharType="separate"/>
    </w:r>
    <w:r>
      <w:rPr>
        <w:noProof/>
      </w:rPr>
      <w:t>2</w:t>
    </w:r>
    <w:r>
      <w:fldChar w:fldCharType="end"/>
    </w:r>
  </w:p>
  <w:p w14:paraId="3C7F898B" w14:textId="77777777" w:rsidR="009F7D83" w:rsidRDefault="009F7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B2747"/>
    <w:multiLevelType w:val="hybridMultilevel"/>
    <w:tmpl w:val="1E54CCC4"/>
    <w:lvl w:ilvl="0" w:tplc="245A096C">
      <w:start w:val="1"/>
      <w:numFmt w:val="decimal"/>
      <w:lvlText w:val="%1"/>
      <w:lvlJc w:val="left"/>
      <w:pPr>
        <w:ind w:left="720" w:hanging="360"/>
      </w:pPr>
      <w:rPr>
        <w:rFonts w:ascii="Arial" w:hAnsi="Arial" w:cs="Arial" w:hint="default"/>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073391"/>
    <w:multiLevelType w:val="hybridMultilevel"/>
    <w:tmpl w:val="ED3E1AE2"/>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416305"/>
    <w:multiLevelType w:val="hybridMultilevel"/>
    <w:tmpl w:val="E9A29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711956"/>
    <w:multiLevelType w:val="hybridMultilevel"/>
    <w:tmpl w:val="D4265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70B21"/>
    <w:multiLevelType w:val="hybridMultilevel"/>
    <w:tmpl w:val="46744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376353"/>
    <w:multiLevelType w:val="hybridMultilevel"/>
    <w:tmpl w:val="6D7CA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8869C7"/>
    <w:multiLevelType w:val="hybridMultilevel"/>
    <w:tmpl w:val="8F308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C63C53"/>
    <w:multiLevelType w:val="hybridMultilevel"/>
    <w:tmpl w:val="3F7CE5A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4"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8852D6"/>
    <w:multiLevelType w:val="hybridMultilevel"/>
    <w:tmpl w:val="47E2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3"/>
  </w:num>
  <w:num w:numId="4">
    <w:abstractNumId w:val="14"/>
  </w:num>
  <w:num w:numId="5">
    <w:abstractNumId w:val="22"/>
  </w:num>
  <w:num w:numId="6">
    <w:abstractNumId w:val="10"/>
  </w:num>
  <w:num w:numId="7">
    <w:abstractNumId w:val="36"/>
  </w:num>
  <w:num w:numId="8">
    <w:abstractNumId w:val="7"/>
  </w:num>
  <w:num w:numId="9">
    <w:abstractNumId w:val="6"/>
  </w:num>
  <w:num w:numId="10">
    <w:abstractNumId w:val="39"/>
  </w:num>
  <w:num w:numId="11">
    <w:abstractNumId w:val="35"/>
  </w:num>
  <w:num w:numId="12">
    <w:abstractNumId w:val="16"/>
  </w:num>
  <w:num w:numId="13">
    <w:abstractNumId w:val="18"/>
  </w:num>
  <w:num w:numId="14">
    <w:abstractNumId w:val="33"/>
  </w:num>
  <w:num w:numId="15">
    <w:abstractNumId w:val="8"/>
  </w:num>
  <w:num w:numId="16">
    <w:abstractNumId w:val="24"/>
  </w:num>
  <w:num w:numId="17">
    <w:abstractNumId w:val="27"/>
  </w:num>
  <w:num w:numId="18">
    <w:abstractNumId w:val="25"/>
  </w:num>
  <w:num w:numId="19">
    <w:abstractNumId w:val="4"/>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9"/>
  </w:num>
  <w:num w:numId="26">
    <w:abstractNumId w:val="5"/>
  </w:num>
  <w:num w:numId="27">
    <w:abstractNumId w:val="19"/>
  </w:num>
  <w:num w:numId="28">
    <w:abstractNumId w:val="38"/>
  </w:num>
  <w:num w:numId="29">
    <w:abstractNumId w:val="20"/>
  </w:num>
  <w:num w:numId="30">
    <w:abstractNumId w:val="34"/>
  </w:num>
  <w:num w:numId="31">
    <w:abstractNumId w:val="17"/>
  </w:num>
  <w:num w:numId="32">
    <w:abstractNumId w:val="32"/>
  </w:num>
  <w:num w:numId="33">
    <w:abstractNumId w:val="29"/>
  </w:num>
  <w:num w:numId="34">
    <w:abstractNumId w:val="1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0"/>
  </w:num>
  <w:num w:numId="38">
    <w:abstractNumId w:val="21"/>
  </w:num>
  <w:num w:numId="39">
    <w:abstractNumId w:val="28"/>
  </w:num>
  <w:num w:numId="40">
    <w:abstractNumId w:val="2"/>
  </w:num>
  <w:num w:numId="41">
    <w:abstractNumId w:val="13"/>
  </w:num>
  <w:num w:numId="42">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20F"/>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37C67"/>
    <w:rsid w:val="00041849"/>
    <w:rsid w:val="0004426E"/>
    <w:rsid w:val="00044A2A"/>
    <w:rsid w:val="00050623"/>
    <w:rsid w:val="000509BA"/>
    <w:rsid w:val="0005224B"/>
    <w:rsid w:val="00052DF8"/>
    <w:rsid w:val="00054F46"/>
    <w:rsid w:val="0005533C"/>
    <w:rsid w:val="00057EAE"/>
    <w:rsid w:val="00062D3D"/>
    <w:rsid w:val="00063242"/>
    <w:rsid w:val="000640CF"/>
    <w:rsid w:val="000647EB"/>
    <w:rsid w:val="00064BA4"/>
    <w:rsid w:val="00066D9C"/>
    <w:rsid w:val="00067CCC"/>
    <w:rsid w:val="00067F59"/>
    <w:rsid w:val="000710DD"/>
    <w:rsid w:val="0007187A"/>
    <w:rsid w:val="0007236F"/>
    <w:rsid w:val="000727E0"/>
    <w:rsid w:val="00073983"/>
    <w:rsid w:val="00073BC9"/>
    <w:rsid w:val="00075E3A"/>
    <w:rsid w:val="00076C34"/>
    <w:rsid w:val="00076FE3"/>
    <w:rsid w:val="00080116"/>
    <w:rsid w:val="00081188"/>
    <w:rsid w:val="00081C37"/>
    <w:rsid w:val="00082D12"/>
    <w:rsid w:val="000831A6"/>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E7398"/>
    <w:rsid w:val="000F14A0"/>
    <w:rsid w:val="000F1575"/>
    <w:rsid w:val="000F162A"/>
    <w:rsid w:val="000F1714"/>
    <w:rsid w:val="000F249E"/>
    <w:rsid w:val="000F2948"/>
    <w:rsid w:val="000F2AFC"/>
    <w:rsid w:val="000F37A0"/>
    <w:rsid w:val="000F548E"/>
    <w:rsid w:val="000F5E76"/>
    <w:rsid w:val="000F6853"/>
    <w:rsid w:val="001000CE"/>
    <w:rsid w:val="001015AE"/>
    <w:rsid w:val="00101A55"/>
    <w:rsid w:val="001021D6"/>
    <w:rsid w:val="00103DD3"/>
    <w:rsid w:val="00104751"/>
    <w:rsid w:val="0010617D"/>
    <w:rsid w:val="00106763"/>
    <w:rsid w:val="00107F36"/>
    <w:rsid w:val="0011066E"/>
    <w:rsid w:val="00110D12"/>
    <w:rsid w:val="00110EF9"/>
    <w:rsid w:val="00113B2E"/>
    <w:rsid w:val="001148A4"/>
    <w:rsid w:val="00120766"/>
    <w:rsid w:val="00121189"/>
    <w:rsid w:val="00121A66"/>
    <w:rsid w:val="00130ABE"/>
    <w:rsid w:val="00132087"/>
    <w:rsid w:val="00134B27"/>
    <w:rsid w:val="00135D0D"/>
    <w:rsid w:val="001400C4"/>
    <w:rsid w:val="00141323"/>
    <w:rsid w:val="00141E8C"/>
    <w:rsid w:val="00143685"/>
    <w:rsid w:val="00143943"/>
    <w:rsid w:val="001448F2"/>
    <w:rsid w:val="00145918"/>
    <w:rsid w:val="00145D25"/>
    <w:rsid w:val="00145DED"/>
    <w:rsid w:val="001519E4"/>
    <w:rsid w:val="00153D48"/>
    <w:rsid w:val="00154FC4"/>
    <w:rsid w:val="001551FE"/>
    <w:rsid w:val="0015521F"/>
    <w:rsid w:val="001603DB"/>
    <w:rsid w:val="001641C0"/>
    <w:rsid w:val="00164A69"/>
    <w:rsid w:val="0016646C"/>
    <w:rsid w:val="00167DA1"/>
    <w:rsid w:val="0017187F"/>
    <w:rsid w:val="0017222D"/>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6A9"/>
    <w:rsid w:val="001C1B86"/>
    <w:rsid w:val="001C35BC"/>
    <w:rsid w:val="001C51D8"/>
    <w:rsid w:val="001C5FC1"/>
    <w:rsid w:val="001C6713"/>
    <w:rsid w:val="001C724F"/>
    <w:rsid w:val="001D0C04"/>
    <w:rsid w:val="001D0CEB"/>
    <w:rsid w:val="001D4C6F"/>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5432"/>
    <w:rsid w:val="00210EE7"/>
    <w:rsid w:val="00211393"/>
    <w:rsid w:val="00212AD1"/>
    <w:rsid w:val="00213177"/>
    <w:rsid w:val="00215191"/>
    <w:rsid w:val="00216C44"/>
    <w:rsid w:val="00217EBF"/>
    <w:rsid w:val="00220EE3"/>
    <w:rsid w:val="00221C4B"/>
    <w:rsid w:val="002227DF"/>
    <w:rsid w:val="0022342C"/>
    <w:rsid w:val="0022384B"/>
    <w:rsid w:val="00225B50"/>
    <w:rsid w:val="00225D8E"/>
    <w:rsid w:val="00225DDA"/>
    <w:rsid w:val="002264F4"/>
    <w:rsid w:val="002322A8"/>
    <w:rsid w:val="0023311C"/>
    <w:rsid w:val="00233BEB"/>
    <w:rsid w:val="002347AB"/>
    <w:rsid w:val="00235B6C"/>
    <w:rsid w:val="00236DF2"/>
    <w:rsid w:val="0024152E"/>
    <w:rsid w:val="002427DC"/>
    <w:rsid w:val="00242974"/>
    <w:rsid w:val="00244D84"/>
    <w:rsid w:val="00247B3F"/>
    <w:rsid w:val="00250061"/>
    <w:rsid w:val="00250642"/>
    <w:rsid w:val="00251E4A"/>
    <w:rsid w:val="00251F50"/>
    <w:rsid w:val="002538F6"/>
    <w:rsid w:val="00253E30"/>
    <w:rsid w:val="0025493F"/>
    <w:rsid w:val="00257459"/>
    <w:rsid w:val="00257E4D"/>
    <w:rsid w:val="00261101"/>
    <w:rsid w:val="00262865"/>
    <w:rsid w:val="00263279"/>
    <w:rsid w:val="002643FC"/>
    <w:rsid w:val="00274073"/>
    <w:rsid w:val="0027545F"/>
    <w:rsid w:val="0027610D"/>
    <w:rsid w:val="002806A1"/>
    <w:rsid w:val="00281918"/>
    <w:rsid w:val="00282EC8"/>
    <w:rsid w:val="00284483"/>
    <w:rsid w:val="00284749"/>
    <w:rsid w:val="00285256"/>
    <w:rsid w:val="00287AEF"/>
    <w:rsid w:val="00287B08"/>
    <w:rsid w:val="00290B98"/>
    <w:rsid w:val="002944D4"/>
    <w:rsid w:val="00296763"/>
    <w:rsid w:val="0029737E"/>
    <w:rsid w:val="00297AD0"/>
    <w:rsid w:val="002A0CC8"/>
    <w:rsid w:val="002A1E2C"/>
    <w:rsid w:val="002A3243"/>
    <w:rsid w:val="002A3B3D"/>
    <w:rsid w:val="002A5CDF"/>
    <w:rsid w:val="002A68B3"/>
    <w:rsid w:val="002A6C77"/>
    <w:rsid w:val="002B2AC5"/>
    <w:rsid w:val="002B2E78"/>
    <w:rsid w:val="002B408C"/>
    <w:rsid w:val="002B49DE"/>
    <w:rsid w:val="002B4E4D"/>
    <w:rsid w:val="002B53D3"/>
    <w:rsid w:val="002B7177"/>
    <w:rsid w:val="002B7A4F"/>
    <w:rsid w:val="002C1BFE"/>
    <w:rsid w:val="002C4F5B"/>
    <w:rsid w:val="002C54A1"/>
    <w:rsid w:val="002C5DCD"/>
    <w:rsid w:val="002D03AB"/>
    <w:rsid w:val="002D2A4E"/>
    <w:rsid w:val="002D5294"/>
    <w:rsid w:val="002D59E0"/>
    <w:rsid w:val="002D5DFC"/>
    <w:rsid w:val="002D5E92"/>
    <w:rsid w:val="002D6269"/>
    <w:rsid w:val="002D629A"/>
    <w:rsid w:val="002E12C3"/>
    <w:rsid w:val="002E216A"/>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07C3"/>
    <w:rsid w:val="00301D49"/>
    <w:rsid w:val="003025C7"/>
    <w:rsid w:val="00302F5C"/>
    <w:rsid w:val="00303D77"/>
    <w:rsid w:val="00304080"/>
    <w:rsid w:val="0031124D"/>
    <w:rsid w:val="00312ED1"/>
    <w:rsid w:val="00313554"/>
    <w:rsid w:val="00317B55"/>
    <w:rsid w:val="0032155B"/>
    <w:rsid w:val="0032211D"/>
    <w:rsid w:val="003239D0"/>
    <w:rsid w:val="00324908"/>
    <w:rsid w:val="00331752"/>
    <w:rsid w:val="00332AF9"/>
    <w:rsid w:val="003332C9"/>
    <w:rsid w:val="0033493D"/>
    <w:rsid w:val="00337DE1"/>
    <w:rsid w:val="00340BDB"/>
    <w:rsid w:val="00340E39"/>
    <w:rsid w:val="00341145"/>
    <w:rsid w:val="003412CB"/>
    <w:rsid w:val="00346E4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5FDC"/>
    <w:rsid w:val="00386C22"/>
    <w:rsid w:val="003876E6"/>
    <w:rsid w:val="00390F0B"/>
    <w:rsid w:val="0039170C"/>
    <w:rsid w:val="00391AFA"/>
    <w:rsid w:val="003937EF"/>
    <w:rsid w:val="00393E9B"/>
    <w:rsid w:val="00397A97"/>
    <w:rsid w:val="003A280D"/>
    <w:rsid w:val="003A31DB"/>
    <w:rsid w:val="003A5A70"/>
    <w:rsid w:val="003A6230"/>
    <w:rsid w:val="003A6299"/>
    <w:rsid w:val="003B1976"/>
    <w:rsid w:val="003B1D46"/>
    <w:rsid w:val="003B27BA"/>
    <w:rsid w:val="003B366C"/>
    <w:rsid w:val="003B38C1"/>
    <w:rsid w:val="003B5823"/>
    <w:rsid w:val="003B59A9"/>
    <w:rsid w:val="003B6B63"/>
    <w:rsid w:val="003B7C31"/>
    <w:rsid w:val="003C02D4"/>
    <w:rsid w:val="003C08E8"/>
    <w:rsid w:val="003C37E3"/>
    <w:rsid w:val="003C4CBD"/>
    <w:rsid w:val="003C546B"/>
    <w:rsid w:val="003C7719"/>
    <w:rsid w:val="003D0FBD"/>
    <w:rsid w:val="003D2A6D"/>
    <w:rsid w:val="003D57BD"/>
    <w:rsid w:val="003E005B"/>
    <w:rsid w:val="003E04DA"/>
    <w:rsid w:val="003E1249"/>
    <w:rsid w:val="003E3544"/>
    <w:rsid w:val="003E35A8"/>
    <w:rsid w:val="003E4F2D"/>
    <w:rsid w:val="003E57BE"/>
    <w:rsid w:val="003E77CB"/>
    <w:rsid w:val="003F155A"/>
    <w:rsid w:val="003F47FD"/>
    <w:rsid w:val="003F4B52"/>
    <w:rsid w:val="003F5DF6"/>
    <w:rsid w:val="003F73BA"/>
    <w:rsid w:val="003F73F0"/>
    <w:rsid w:val="00401423"/>
    <w:rsid w:val="004026B6"/>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42C1"/>
    <w:rsid w:val="00425F40"/>
    <w:rsid w:val="004265AA"/>
    <w:rsid w:val="00426A8D"/>
    <w:rsid w:val="00430861"/>
    <w:rsid w:val="00432D4D"/>
    <w:rsid w:val="00433DCE"/>
    <w:rsid w:val="004345AB"/>
    <w:rsid w:val="00437B1B"/>
    <w:rsid w:val="004405B8"/>
    <w:rsid w:val="00440D49"/>
    <w:rsid w:val="004417A2"/>
    <w:rsid w:val="00442F9D"/>
    <w:rsid w:val="00444782"/>
    <w:rsid w:val="00444EDF"/>
    <w:rsid w:val="004456A4"/>
    <w:rsid w:val="00445A6D"/>
    <w:rsid w:val="00446A6B"/>
    <w:rsid w:val="00450DE3"/>
    <w:rsid w:val="0045189C"/>
    <w:rsid w:val="00451A88"/>
    <w:rsid w:val="004524A0"/>
    <w:rsid w:val="00456B1D"/>
    <w:rsid w:val="0046022A"/>
    <w:rsid w:val="004636B4"/>
    <w:rsid w:val="004641DC"/>
    <w:rsid w:val="00464AC7"/>
    <w:rsid w:val="00465DC7"/>
    <w:rsid w:val="004669A4"/>
    <w:rsid w:val="00466A5B"/>
    <w:rsid w:val="0046799A"/>
    <w:rsid w:val="0047494B"/>
    <w:rsid w:val="00475A85"/>
    <w:rsid w:val="00476510"/>
    <w:rsid w:val="00476F13"/>
    <w:rsid w:val="004776A7"/>
    <w:rsid w:val="00477C74"/>
    <w:rsid w:val="00480561"/>
    <w:rsid w:val="004806B3"/>
    <w:rsid w:val="00481E5E"/>
    <w:rsid w:val="004828A9"/>
    <w:rsid w:val="004849DE"/>
    <w:rsid w:val="00484A65"/>
    <w:rsid w:val="00484E4F"/>
    <w:rsid w:val="00486070"/>
    <w:rsid w:val="004876DF"/>
    <w:rsid w:val="00490D64"/>
    <w:rsid w:val="00492341"/>
    <w:rsid w:val="00492DBE"/>
    <w:rsid w:val="004944E6"/>
    <w:rsid w:val="004962CC"/>
    <w:rsid w:val="00497EC1"/>
    <w:rsid w:val="004A0313"/>
    <w:rsid w:val="004A0A89"/>
    <w:rsid w:val="004A0BE6"/>
    <w:rsid w:val="004A2249"/>
    <w:rsid w:val="004A26E0"/>
    <w:rsid w:val="004A524A"/>
    <w:rsid w:val="004A56D3"/>
    <w:rsid w:val="004A6B0F"/>
    <w:rsid w:val="004B046A"/>
    <w:rsid w:val="004B1ECE"/>
    <w:rsid w:val="004B38C8"/>
    <w:rsid w:val="004B5740"/>
    <w:rsid w:val="004B5C2E"/>
    <w:rsid w:val="004B7CB9"/>
    <w:rsid w:val="004C10BA"/>
    <w:rsid w:val="004C27EB"/>
    <w:rsid w:val="004C33D9"/>
    <w:rsid w:val="004C357A"/>
    <w:rsid w:val="004C405B"/>
    <w:rsid w:val="004C5B35"/>
    <w:rsid w:val="004C6845"/>
    <w:rsid w:val="004C68D1"/>
    <w:rsid w:val="004C6AE7"/>
    <w:rsid w:val="004C72E8"/>
    <w:rsid w:val="004D04DF"/>
    <w:rsid w:val="004D1BF4"/>
    <w:rsid w:val="004D480B"/>
    <w:rsid w:val="004D7821"/>
    <w:rsid w:val="004E10C5"/>
    <w:rsid w:val="004E22A7"/>
    <w:rsid w:val="004E39E6"/>
    <w:rsid w:val="004E3B2C"/>
    <w:rsid w:val="004E71DC"/>
    <w:rsid w:val="004E7F97"/>
    <w:rsid w:val="004F1563"/>
    <w:rsid w:val="004F20B0"/>
    <w:rsid w:val="004F4BAD"/>
    <w:rsid w:val="004F7682"/>
    <w:rsid w:val="005012BC"/>
    <w:rsid w:val="00501323"/>
    <w:rsid w:val="00502156"/>
    <w:rsid w:val="00502277"/>
    <w:rsid w:val="005042B5"/>
    <w:rsid w:val="00505C67"/>
    <w:rsid w:val="00505F9A"/>
    <w:rsid w:val="005062CC"/>
    <w:rsid w:val="005072FD"/>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2B0"/>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4624"/>
    <w:rsid w:val="00585309"/>
    <w:rsid w:val="005857E8"/>
    <w:rsid w:val="005858CB"/>
    <w:rsid w:val="0058699E"/>
    <w:rsid w:val="00586CE9"/>
    <w:rsid w:val="005874C0"/>
    <w:rsid w:val="00590B04"/>
    <w:rsid w:val="00592F78"/>
    <w:rsid w:val="00594EB6"/>
    <w:rsid w:val="00595ADE"/>
    <w:rsid w:val="00595C3D"/>
    <w:rsid w:val="0059798F"/>
    <w:rsid w:val="00597EC9"/>
    <w:rsid w:val="005A0300"/>
    <w:rsid w:val="005A163F"/>
    <w:rsid w:val="005A3D73"/>
    <w:rsid w:val="005A3D8D"/>
    <w:rsid w:val="005A445D"/>
    <w:rsid w:val="005A5604"/>
    <w:rsid w:val="005B0383"/>
    <w:rsid w:val="005B0D0F"/>
    <w:rsid w:val="005B0EA3"/>
    <w:rsid w:val="005B1B0A"/>
    <w:rsid w:val="005B4383"/>
    <w:rsid w:val="005B5062"/>
    <w:rsid w:val="005B6234"/>
    <w:rsid w:val="005B7596"/>
    <w:rsid w:val="005C4A91"/>
    <w:rsid w:val="005C56EF"/>
    <w:rsid w:val="005C5824"/>
    <w:rsid w:val="005C6118"/>
    <w:rsid w:val="005D3575"/>
    <w:rsid w:val="005D3CED"/>
    <w:rsid w:val="005D538F"/>
    <w:rsid w:val="005D63D9"/>
    <w:rsid w:val="005D68D1"/>
    <w:rsid w:val="005D6AC4"/>
    <w:rsid w:val="005E293A"/>
    <w:rsid w:val="005E44A6"/>
    <w:rsid w:val="005E49E7"/>
    <w:rsid w:val="005E56FE"/>
    <w:rsid w:val="005E62D6"/>
    <w:rsid w:val="005E6A82"/>
    <w:rsid w:val="005E7398"/>
    <w:rsid w:val="005F0338"/>
    <w:rsid w:val="005F04DC"/>
    <w:rsid w:val="005F0F6C"/>
    <w:rsid w:val="005F1A7F"/>
    <w:rsid w:val="005F6678"/>
    <w:rsid w:val="00601165"/>
    <w:rsid w:val="00607971"/>
    <w:rsid w:val="00607D8B"/>
    <w:rsid w:val="00611A4E"/>
    <w:rsid w:val="006122C0"/>
    <w:rsid w:val="0061281D"/>
    <w:rsid w:val="00613C46"/>
    <w:rsid w:val="00614085"/>
    <w:rsid w:val="00616889"/>
    <w:rsid w:val="00617F77"/>
    <w:rsid w:val="00623004"/>
    <w:rsid w:val="006237CC"/>
    <w:rsid w:val="00627C91"/>
    <w:rsid w:val="0063496F"/>
    <w:rsid w:val="00635031"/>
    <w:rsid w:val="00635CD2"/>
    <w:rsid w:val="006369D4"/>
    <w:rsid w:val="00636C51"/>
    <w:rsid w:val="00637318"/>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87771"/>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C7F96"/>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E773E"/>
    <w:rsid w:val="006F2DEF"/>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5596"/>
    <w:rsid w:val="00717B45"/>
    <w:rsid w:val="007202C4"/>
    <w:rsid w:val="0072331C"/>
    <w:rsid w:val="0072495E"/>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3FC3"/>
    <w:rsid w:val="0075532D"/>
    <w:rsid w:val="00756FEA"/>
    <w:rsid w:val="00757618"/>
    <w:rsid w:val="00757D7A"/>
    <w:rsid w:val="007614DB"/>
    <w:rsid w:val="00762606"/>
    <w:rsid w:val="00762B45"/>
    <w:rsid w:val="0076544A"/>
    <w:rsid w:val="00767402"/>
    <w:rsid w:val="0077044D"/>
    <w:rsid w:val="007708B3"/>
    <w:rsid w:val="007710A8"/>
    <w:rsid w:val="007721B6"/>
    <w:rsid w:val="00774454"/>
    <w:rsid w:val="00774ABF"/>
    <w:rsid w:val="00776E17"/>
    <w:rsid w:val="007812B3"/>
    <w:rsid w:val="00782D07"/>
    <w:rsid w:val="007859F8"/>
    <w:rsid w:val="00791384"/>
    <w:rsid w:val="007918F1"/>
    <w:rsid w:val="0079191B"/>
    <w:rsid w:val="00791C27"/>
    <w:rsid w:val="0079239C"/>
    <w:rsid w:val="007934F3"/>
    <w:rsid w:val="00793BF0"/>
    <w:rsid w:val="00795A80"/>
    <w:rsid w:val="00796464"/>
    <w:rsid w:val="00796F15"/>
    <w:rsid w:val="007A0403"/>
    <w:rsid w:val="007A0E41"/>
    <w:rsid w:val="007A12F5"/>
    <w:rsid w:val="007A4089"/>
    <w:rsid w:val="007A51D1"/>
    <w:rsid w:val="007A5936"/>
    <w:rsid w:val="007A5B55"/>
    <w:rsid w:val="007A5F41"/>
    <w:rsid w:val="007A5FEC"/>
    <w:rsid w:val="007B08D1"/>
    <w:rsid w:val="007B161A"/>
    <w:rsid w:val="007B29C6"/>
    <w:rsid w:val="007B311C"/>
    <w:rsid w:val="007B37E0"/>
    <w:rsid w:val="007B4784"/>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743"/>
    <w:rsid w:val="007F0907"/>
    <w:rsid w:val="007F0D24"/>
    <w:rsid w:val="007F10B5"/>
    <w:rsid w:val="007F1C81"/>
    <w:rsid w:val="007F4682"/>
    <w:rsid w:val="007F6ABA"/>
    <w:rsid w:val="0080144C"/>
    <w:rsid w:val="00801B90"/>
    <w:rsid w:val="00802188"/>
    <w:rsid w:val="008029D6"/>
    <w:rsid w:val="00804A3C"/>
    <w:rsid w:val="00804A98"/>
    <w:rsid w:val="00805C3A"/>
    <w:rsid w:val="00806020"/>
    <w:rsid w:val="008061B8"/>
    <w:rsid w:val="008100CF"/>
    <w:rsid w:val="008129B1"/>
    <w:rsid w:val="00817A12"/>
    <w:rsid w:val="0082437E"/>
    <w:rsid w:val="008259FD"/>
    <w:rsid w:val="00825B2C"/>
    <w:rsid w:val="00825D67"/>
    <w:rsid w:val="00826C1C"/>
    <w:rsid w:val="008308D1"/>
    <w:rsid w:val="00832C49"/>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1CC2"/>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0554"/>
    <w:rsid w:val="00901B61"/>
    <w:rsid w:val="00901C4E"/>
    <w:rsid w:val="009023CA"/>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431C"/>
    <w:rsid w:val="00935308"/>
    <w:rsid w:val="009361FD"/>
    <w:rsid w:val="009406D2"/>
    <w:rsid w:val="00940F17"/>
    <w:rsid w:val="009414C5"/>
    <w:rsid w:val="009427F2"/>
    <w:rsid w:val="00944F64"/>
    <w:rsid w:val="00945CE1"/>
    <w:rsid w:val="00945ED0"/>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3FE"/>
    <w:rsid w:val="009A26CA"/>
    <w:rsid w:val="009A6FE7"/>
    <w:rsid w:val="009B1BCA"/>
    <w:rsid w:val="009B1FD2"/>
    <w:rsid w:val="009B3AEB"/>
    <w:rsid w:val="009B7AE2"/>
    <w:rsid w:val="009C1E8B"/>
    <w:rsid w:val="009C3EB5"/>
    <w:rsid w:val="009C42BD"/>
    <w:rsid w:val="009C444B"/>
    <w:rsid w:val="009C4F56"/>
    <w:rsid w:val="009D3773"/>
    <w:rsid w:val="009D499D"/>
    <w:rsid w:val="009D72AA"/>
    <w:rsid w:val="009D7484"/>
    <w:rsid w:val="009E0078"/>
    <w:rsid w:val="009E114D"/>
    <w:rsid w:val="009E14BA"/>
    <w:rsid w:val="009E2AEA"/>
    <w:rsid w:val="009E3183"/>
    <w:rsid w:val="009E36E1"/>
    <w:rsid w:val="009E3783"/>
    <w:rsid w:val="009E3EA3"/>
    <w:rsid w:val="009E3ED4"/>
    <w:rsid w:val="009F0715"/>
    <w:rsid w:val="009F1615"/>
    <w:rsid w:val="009F434A"/>
    <w:rsid w:val="009F4352"/>
    <w:rsid w:val="009F45FE"/>
    <w:rsid w:val="009F4E4E"/>
    <w:rsid w:val="009F6717"/>
    <w:rsid w:val="009F7D83"/>
    <w:rsid w:val="00A01F6A"/>
    <w:rsid w:val="00A0321B"/>
    <w:rsid w:val="00A036AB"/>
    <w:rsid w:val="00A045CA"/>
    <w:rsid w:val="00A04DC3"/>
    <w:rsid w:val="00A0597B"/>
    <w:rsid w:val="00A05DAD"/>
    <w:rsid w:val="00A06FB4"/>
    <w:rsid w:val="00A14878"/>
    <w:rsid w:val="00A1707B"/>
    <w:rsid w:val="00A1739A"/>
    <w:rsid w:val="00A17694"/>
    <w:rsid w:val="00A17F2C"/>
    <w:rsid w:val="00A21467"/>
    <w:rsid w:val="00A232B9"/>
    <w:rsid w:val="00A24F4B"/>
    <w:rsid w:val="00A3139E"/>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2A2A"/>
    <w:rsid w:val="00A73044"/>
    <w:rsid w:val="00A7379C"/>
    <w:rsid w:val="00A73CF1"/>
    <w:rsid w:val="00A75C9A"/>
    <w:rsid w:val="00A77EB0"/>
    <w:rsid w:val="00A835D4"/>
    <w:rsid w:val="00A85156"/>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3D7B"/>
    <w:rsid w:val="00AD46B1"/>
    <w:rsid w:val="00AD7E8E"/>
    <w:rsid w:val="00AE0487"/>
    <w:rsid w:val="00AE0F81"/>
    <w:rsid w:val="00AE330D"/>
    <w:rsid w:val="00AE662F"/>
    <w:rsid w:val="00AE7A51"/>
    <w:rsid w:val="00AF134A"/>
    <w:rsid w:val="00AF3563"/>
    <w:rsid w:val="00AF3BCE"/>
    <w:rsid w:val="00AF421C"/>
    <w:rsid w:val="00AF5C05"/>
    <w:rsid w:val="00AF7622"/>
    <w:rsid w:val="00B00238"/>
    <w:rsid w:val="00B00D9B"/>
    <w:rsid w:val="00B019A9"/>
    <w:rsid w:val="00B03218"/>
    <w:rsid w:val="00B03273"/>
    <w:rsid w:val="00B039EC"/>
    <w:rsid w:val="00B05456"/>
    <w:rsid w:val="00B07EFF"/>
    <w:rsid w:val="00B10984"/>
    <w:rsid w:val="00B109B2"/>
    <w:rsid w:val="00B10D67"/>
    <w:rsid w:val="00B110B5"/>
    <w:rsid w:val="00B14C3A"/>
    <w:rsid w:val="00B15781"/>
    <w:rsid w:val="00B167A2"/>
    <w:rsid w:val="00B174E3"/>
    <w:rsid w:val="00B20415"/>
    <w:rsid w:val="00B2772E"/>
    <w:rsid w:val="00B27A5B"/>
    <w:rsid w:val="00B316E7"/>
    <w:rsid w:val="00B3392B"/>
    <w:rsid w:val="00B3398C"/>
    <w:rsid w:val="00B34A39"/>
    <w:rsid w:val="00B34BDE"/>
    <w:rsid w:val="00B34EF9"/>
    <w:rsid w:val="00B3578F"/>
    <w:rsid w:val="00B35DAD"/>
    <w:rsid w:val="00B36EB3"/>
    <w:rsid w:val="00B40E17"/>
    <w:rsid w:val="00B41AE8"/>
    <w:rsid w:val="00B445D0"/>
    <w:rsid w:val="00B45C4D"/>
    <w:rsid w:val="00B50E59"/>
    <w:rsid w:val="00B52DA2"/>
    <w:rsid w:val="00B53FF2"/>
    <w:rsid w:val="00B54620"/>
    <w:rsid w:val="00B54F42"/>
    <w:rsid w:val="00B554D5"/>
    <w:rsid w:val="00B55CDD"/>
    <w:rsid w:val="00B56E4F"/>
    <w:rsid w:val="00B612B5"/>
    <w:rsid w:val="00B63345"/>
    <w:rsid w:val="00B63A7A"/>
    <w:rsid w:val="00B652B0"/>
    <w:rsid w:val="00B70D13"/>
    <w:rsid w:val="00B7119B"/>
    <w:rsid w:val="00B71CF1"/>
    <w:rsid w:val="00B72847"/>
    <w:rsid w:val="00B7318F"/>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4EA1"/>
    <w:rsid w:val="00B96F16"/>
    <w:rsid w:val="00B97A54"/>
    <w:rsid w:val="00BA0974"/>
    <w:rsid w:val="00BA0ACD"/>
    <w:rsid w:val="00BA1526"/>
    <w:rsid w:val="00BA19D8"/>
    <w:rsid w:val="00BA3ABC"/>
    <w:rsid w:val="00BA3D73"/>
    <w:rsid w:val="00BA5640"/>
    <w:rsid w:val="00BA58AC"/>
    <w:rsid w:val="00BA67DC"/>
    <w:rsid w:val="00BA69CB"/>
    <w:rsid w:val="00BA6E53"/>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BBC"/>
    <w:rsid w:val="00C20DBA"/>
    <w:rsid w:val="00C23920"/>
    <w:rsid w:val="00C31C63"/>
    <w:rsid w:val="00C33771"/>
    <w:rsid w:val="00C3411B"/>
    <w:rsid w:val="00C34230"/>
    <w:rsid w:val="00C3661B"/>
    <w:rsid w:val="00C42112"/>
    <w:rsid w:val="00C435EB"/>
    <w:rsid w:val="00C451F8"/>
    <w:rsid w:val="00C45768"/>
    <w:rsid w:val="00C4692B"/>
    <w:rsid w:val="00C46A0C"/>
    <w:rsid w:val="00C473F7"/>
    <w:rsid w:val="00C501E5"/>
    <w:rsid w:val="00C5100A"/>
    <w:rsid w:val="00C51884"/>
    <w:rsid w:val="00C52F5A"/>
    <w:rsid w:val="00C549BC"/>
    <w:rsid w:val="00C54F71"/>
    <w:rsid w:val="00C56251"/>
    <w:rsid w:val="00C5667B"/>
    <w:rsid w:val="00C56A65"/>
    <w:rsid w:val="00C56FE0"/>
    <w:rsid w:val="00C571B1"/>
    <w:rsid w:val="00C6072B"/>
    <w:rsid w:val="00C6094D"/>
    <w:rsid w:val="00C60978"/>
    <w:rsid w:val="00C62733"/>
    <w:rsid w:val="00C62FDC"/>
    <w:rsid w:val="00C63FDC"/>
    <w:rsid w:val="00C67BC7"/>
    <w:rsid w:val="00C724F5"/>
    <w:rsid w:val="00C73066"/>
    <w:rsid w:val="00C743D2"/>
    <w:rsid w:val="00C77A1F"/>
    <w:rsid w:val="00C80647"/>
    <w:rsid w:val="00C80836"/>
    <w:rsid w:val="00C84DDE"/>
    <w:rsid w:val="00C85162"/>
    <w:rsid w:val="00C87864"/>
    <w:rsid w:val="00C908CB"/>
    <w:rsid w:val="00C90EAC"/>
    <w:rsid w:val="00C917FD"/>
    <w:rsid w:val="00C93D01"/>
    <w:rsid w:val="00C951DF"/>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CF72A6"/>
    <w:rsid w:val="00D01D5A"/>
    <w:rsid w:val="00D03643"/>
    <w:rsid w:val="00D054A5"/>
    <w:rsid w:val="00D05CAA"/>
    <w:rsid w:val="00D05DD5"/>
    <w:rsid w:val="00D06129"/>
    <w:rsid w:val="00D114E6"/>
    <w:rsid w:val="00D1198D"/>
    <w:rsid w:val="00D15F17"/>
    <w:rsid w:val="00D161BE"/>
    <w:rsid w:val="00D162D9"/>
    <w:rsid w:val="00D1796F"/>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0A9"/>
    <w:rsid w:val="00D671E2"/>
    <w:rsid w:val="00D67E0A"/>
    <w:rsid w:val="00D712E9"/>
    <w:rsid w:val="00D7566A"/>
    <w:rsid w:val="00D84279"/>
    <w:rsid w:val="00D85008"/>
    <w:rsid w:val="00D87426"/>
    <w:rsid w:val="00D8754D"/>
    <w:rsid w:val="00D92717"/>
    <w:rsid w:val="00D93E05"/>
    <w:rsid w:val="00D9515D"/>
    <w:rsid w:val="00DA35EC"/>
    <w:rsid w:val="00DA3A08"/>
    <w:rsid w:val="00DA4715"/>
    <w:rsid w:val="00DA62DF"/>
    <w:rsid w:val="00DA7439"/>
    <w:rsid w:val="00DB0DA9"/>
    <w:rsid w:val="00DB108A"/>
    <w:rsid w:val="00DB61FA"/>
    <w:rsid w:val="00DC0B09"/>
    <w:rsid w:val="00DC1776"/>
    <w:rsid w:val="00DC33A5"/>
    <w:rsid w:val="00DC4340"/>
    <w:rsid w:val="00DC7898"/>
    <w:rsid w:val="00DD19F8"/>
    <w:rsid w:val="00DD1C70"/>
    <w:rsid w:val="00DD3239"/>
    <w:rsid w:val="00DD6E8A"/>
    <w:rsid w:val="00DE07E4"/>
    <w:rsid w:val="00DE0877"/>
    <w:rsid w:val="00DE0FF8"/>
    <w:rsid w:val="00DE3EBF"/>
    <w:rsid w:val="00DE5C1D"/>
    <w:rsid w:val="00DE6D39"/>
    <w:rsid w:val="00DE7345"/>
    <w:rsid w:val="00DE76EB"/>
    <w:rsid w:val="00DF51CA"/>
    <w:rsid w:val="00DF5581"/>
    <w:rsid w:val="00DF6EEE"/>
    <w:rsid w:val="00DF7501"/>
    <w:rsid w:val="00DF7936"/>
    <w:rsid w:val="00E004EF"/>
    <w:rsid w:val="00E04B6F"/>
    <w:rsid w:val="00E13281"/>
    <w:rsid w:val="00E13833"/>
    <w:rsid w:val="00E13D0E"/>
    <w:rsid w:val="00E17001"/>
    <w:rsid w:val="00E17406"/>
    <w:rsid w:val="00E20AE5"/>
    <w:rsid w:val="00E20F00"/>
    <w:rsid w:val="00E21297"/>
    <w:rsid w:val="00E22B28"/>
    <w:rsid w:val="00E23A38"/>
    <w:rsid w:val="00E23B6B"/>
    <w:rsid w:val="00E24721"/>
    <w:rsid w:val="00E25139"/>
    <w:rsid w:val="00E265A0"/>
    <w:rsid w:val="00E266DE"/>
    <w:rsid w:val="00E3054F"/>
    <w:rsid w:val="00E311F5"/>
    <w:rsid w:val="00E312DB"/>
    <w:rsid w:val="00E34BF8"/>
    <w:rsid w:val="00E35B1E"/>
    <w:rsid w:val="00E4250F"/>
    <w:rsid w:val="00E44A7E"/>
    <w:rsid w:val="00E46A7E"/>
    <w:rsid w:val="00E46CE8"/>
    <w:rsid w:val="00E51559"/>
    <w:rsid w:val="00E548DB"/>
    <w:rsid w:val="00E552BD"/>
    <w:rsid w:val="00E55649"/>
    <w:rsid w:val="00E56A50"/>
    <w:rsid w:val="00E5798A"/>
    <w:rsid w:val="00E57A3E"/>
    <w:rsid w:val="00E61288"/>
    <w:rsid w:val="00E628D9"/>
    <w:rsid w:val="00E63ADA"/>
    <w:rsid w:val="00E640E0"/>
    <w:rsid w:val="00E645F6"/>
    <w:rsid w:val="00E64C5F"/>
    <w:rsid w:val="00E6580C"/>
    <w:rsid w:val="00E664F4"/>
    <w:rsid w:val="00E70355"/>
    <w:rsid w:val="00E72855"/>
    <w:rsid w:val="00E72E5D"/>
    <w:rsid w:val="00E7377F"/>
    <w:rsid w:val="00E73A38"/>
    <w:rsid w:val="00E74710"/>
    <w:rsid w:val="00E74C1D"/>
    <w:rsid w:val="00E75ACC"/>
    <w:rsid w:val="00E77BDF"/>
    <w:rsid w:val="00E81B2F"/>
    <w:rsid w:val="00E844ED"/>
    <w:rsid w:val="00E84FF1"/>
    <w:rsid w:val="00E85810"/>
    <w:rsid w:val="00E85B0A"/>
    <w:rsid w:val="00E90558"/>
    <w:rsid w:val="00E909CD"/>
    <w:rsid w:val="00E92248"/>
    <w:rsid w:val="00E92BD1"/>
    <w:rsid w:val="00E935A1"/>
    <w:rsid w:val="00E93FB6"/>
    <w:rsid w:val="00E94BB6"/>
    <w:rsid w:val="00EA0C72"/>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6C99"/>
    <w:rsid w:val="00EE7B48"/>
    <w:rsid w:val="00EF0A33"/>
    <w:rsid w:val="00EF0AFA"/>
    <w:rsid w:val="00EF18A4"/>
    <w:rsid w:val="00EF38E5"/>
    <w:rsid w:val="00EF3F20"/>
    <w:rsid w:val="00EF5C33"/>
    <w:rsid w:val="00EF629C"/>
    <w:rsid w:val="00EF6508"/>
    <w:rsid w:val="00EF6AB8"/>
    <w:rsid w:val="00EF7C6E"/>
    <w:rsid w:val="00F012F4"/>
    <w:rsid w:val="00F01632"/>
    <w:rsid w:val="00F019EF"/>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5CC7"/>
    <w:rsid w:val="00F27444"/>
    <w:rsid w:val="00F306DD"/>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47EAC"/>
    <w:rsid w:val="00F52004"/>
    <w:rsid w:val="00F55B7C"/>
    <w:rsid w:val="00F570AB"/>
    <w:rsid w:val="00F571A5"/>
    <w:rsid w:val="00F57A71"/>
    <w:rsid w:val="00F6006F"/>
    <w:rsid w:val="00F607A2"/>
    <w:rsid w:val="00F61C28"/>
    <w:rsid w:val="00F61E69"/>
    <w:rsid w:val="00F633B7"/>
    <w:rsid w:val="00F645F1"/>
    <w:rsid w:val="00F6591A"/>
    <w:rsid w:val="00F70D35"/>
    <w:rsid w:val="00F740C4"/>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4B85"/>
    <w:rsid w:val="00FA5BD2"/>
    <w:rsid w:val="00FA6175"/>
    <w:rsid w:val="00FA6784"/>
    <w:rsid w:val="00FA7E00"/>
    <w:rsid w:val="00FB1780"/>
    <w:rsid w:val="00FB205B"/>
    <w:rsid w:val="00FB35C6"/>
    <w:rsid w:val="00FB4C5A"/>
    <w:rsid w:val="00FB5BFA"/>
    <w:rsid w:val="00FB6F79"/>
    <w:rsid w:val="00FC10F6"/>
    <w:rsid w:val="00FC2DAE"/>
    <w:rsid w:val="00FC33A2"/>
    <w:rsid w:val="00FC7C25"/>
    <w:rsid w:val="00FD1C2E"/>
    <w:rsid w:val="00FD3574"/>
    <w:rsid w:val="00FD602D"/>
    <w:rsid w:val="00FD60D2"/>
    <w:rsid w:val="00FD6697"/>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66480286">
      <w:bodyDiv w:val="1"/>
      <w:marLeft w:val="0"/>
      <w:marRight w:val="0"/>
      <w:marTop w:val="0"/>
      <w:marBottom w:val="0"/>
      <w:divBdr>
        <w:top w:val="none" w:sz="0" w:space="0" w:color="auto"/>
        <w:left w:val="none" w:sz="0" w:space="0" w:color="auto"/>
        <w:bottom w:val="none" w:sz="0" w:space="0" w:color="auto"/>
        <w:right w:val="none" w:sz="0" w:space="0" w:color="auto"/>
      </w:divBdr>
    </w:div>
    <w:div w:id="192159437">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43496374">
      <w:bodyDiv w:val="1"/>
      <w:marLeft w:val="0"/>
      <w:marRight w:val="0"/>
      <w:marTop w:val="0"/>
      <w:marBottom w:val="0"/>
      <w:divBdr>
        <w:top w:val="none" w:sz="0" w:space="0" w:color="auto"/>
        <w:left w:val="none" w:sz="0" w:space="0" w:color="auto"/>
        <w:bottom w:val="none" w:sz="0" w:space="0" w:color="auto"/>
        <w:right w:val="none" w:sz="0" w:space="0" w:color="auto"/>
      </w:divBdr>
    </w:div>
    <w:div w:id="279530350">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89586690">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7514589">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157928">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766438">
      <w:bodyDiv w:val="1"/>
      <w:marLeft w:val="0"/>
      <w:marRight w:val="0"/>
      <w:marTop w:val="0"/>
      <w:marBottom w:val="0"/>
      <w:divBdr>
        <w:top w:val="none" w:sz="0" w:space="0" w:color="auto"/>
        <w:left w:val="none" w:sz="0" w:space="0" w:color="auto"/>
        <w:bottom w:val="none" w:sz="0" w:space="0" w:color="auto"/>
        <w:right w:val="none" w:sz="0" w:space="0" w:color="auto"/>
      </w:divBdr>
    </w:div>
    <w:div w:id="1462962868">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401437">
      <w:bodyDiv w:val="1"/>
      <w:marLeft w:val="0"/>
      <w:marRight w:val="0"/>
      <w:marTop w:val="0"/>
      <w:marBottom w:val="0"/>
      <w:divBdr>
        <w:top w:val="none" w:sz="0" w:space="0" w:color="auto"/>
        <w:left w:val="none" w:sz="0" w:space="0" w:color="auto"/>
        <w:bottom w:val="none" w:sz="0" w:space="0" w:color="auto"/>
        <w:right w:val="none" w:sz="0" w:space="0" w:color="auto"/>
      </w:divBdr>
    </w:div>
    <w:div w:id="1604725513">
      <w:bodyDiv w:val="1"/>
      <w:marLeft w:val="0"/>
      <w:marRight w:val="0"/>
      <w:marTop w:val="0"/>
      <w:marBottom w:val="0"/>
      <w:divBdr>
        <w:top w:val="none" w:sz="0" w:space="0" w:color="auto"/>
        <w:left w:val="none" w:sz="0" w:space="0" w:color="auto"/>
        <w:bottom w:val="none" w:sz="0" w:space="0" w:color="auto"/>
        <w:right w:val="none" w:sz="0" w:space="0" w:color="auto"/>
      </w:divBdr>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8119687">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9</cp:revision>
  <cp:lastPrinted>2019-09-23T06:46:00Z</cp:lastPrinted>
  <dcterms:created xsi:type="dcterms:W3CDTF">2023-01-05T02:32:00Z</dcterms:created>
  <dcterms:modified xsi:type="dcterms:W3CDTF">2023-01-10T22:13:00Z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