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D3B95" w14:textId="77777777" w:rsidR="005022D2" w:rsidRPr="00193354" w:rsidRDefault="005022D2" w:rsidP="00B74827">
      <w:pPr>
        <w:rPr>
          <w:sz w:val="28"/>
        </w:rPr>
      </w:pPr>
      <w:r w:rsidRPr="00193354">
        <w:rPr>
          <w:noProof/>
          <w:lang w:eastAsia="en-AU"/>
        </w:rPr>
        <w:drawing>
          <wp:inline distT="0" distB="0" distL="0" distR="0" wp14:anchorId="0545C44A" wp14:editId="6087EFD2">
            <wp:extent cx="1503328" cy="1105200"/>
            <wp:effectExtent l="0" t="0" r="1905" b="0"/>
            <wp:docPr id="92" name="Picture 9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A93A31E" w14:textId="77777777" w:rsidR="005022D2" w:rsidRPr="00193354" w:rsidRDefault="005022D2" w:rsidP="00B74827">
      <w:pPr>
        <w:rPr>
          <w:sz w:val="19"/>
        </w:rPr>
      </w:pPr>
    </w:p>
    <w:p w14:paraId="5CE568A0" w14:textId="77777777" w:rsidR="005022D2" w:rsidRPr="00193354" w:rsidRDefault="005022D2" w:rsidP="00B74827">
      <w:pPr>
        <w:pStyle w:val="ShortT"/>
      </w:pPr>
      <w:r w:rsidRPr="00193354">
        <w:t xml:space="preserve">Federal Court Legislation Amendment </w:t>
      </w:r>
      <w:r w:rsidR="004554DA" w:rsidRPr="00193354">
        <w:t>Rules 2</w:t>
      </w:r>
      <w:r w:rsidRPr="00193354">
        <w:t>022</w:t>
      </w:r>
    </w:p>
    <w:p w14:paraId="67EB9AD7" w14:textId="77777777" w:rsidR="005022D2" w:rsidRPr="00193354" w:rsidRDefault="005022D2" w:rsidP="00B74827">
      <w:pPr>
        <w:pStyle w:val="SignCoverPageStart"/>
        <w:rPr>
          <w:i/>
          <w:szCs w:val="22"/>
        </w:rPr>
      </w:pPr>
      <w:r w:rsidRPr="00193354">
        <w:rPr>
          <w:szCs w:val="22"/>
        </w:rPr>
        <w:t>We, Judges of the Federal Court of Australia, make the following Rules of Court.</w:t>
      </w:r>
    </w:p>
    <w:p w14:paraId="54A00657" w14:textId="77777777" w:rsidR="005022D2" w:rsidRPr="00193354" w:rsidRDefault="005022D2" w:rsidP="00B74827">
      <w:pPr>
        <w:rPr>
          <w:szCs w:val="22"/>
        </w:rPr>
      </w:pPr>
    </w:p>
    <w:p w14:paraId="1A202873" w14:textId="692EB6A4" w:rsidR="005022D2" w:rsidRPr="00193354" w:rsidRDefault="00B73935" w:rsidP="00B74827">
      <w:pPr>
        <w:keepNext/>
        <w:spacing w:before="300" w:line="240" w:lineRule="atLeast"/>
        <w:ind w:right="397"/>
        <w:jc w:val="both"/>
        <w:rPr>
          <w:szCs w:val="22"/>
        </w:rPr>
      </w:pPr>
      <w:r>
        <w:rPr>
          <w:szCs w:val="22"/>
        </w:rPr>
        <w:t>Dated</w:t>
      </w:r>
      <w:r>
        <w:rPr>
          <w:szCs w:val="22"/>
        </w:rPr>
        <w:tab/>
      </w:r>
      <w:r w:rsidR="0052054F">
        <w:rPr>
          <w:szCs w:val="22"/>
        </w:rPr>
        <w:t xml:space="preserve">16 December </w:t>
      </w:r>
      <w:r w:rsidR="005022D2" w:rsidRPr="00193354">
        <w:rPr>
          <w:szCs w:val="22"/>
        </w:rPr>
        <w:fldChar w:fldCharType="begin"/>
      </w:r>
      <w:r w:rsidR="005022D2" w:rsidRPr="00193354">
        <w:rPr>
          <w:szCs w:val="22"/>
        </w:rPr>
        <w:instrText xml:space="preserve"> DOCPROPERTY  DateMade </w:instrText>
      </w:r>
      <w:r w:rsidR="005022D2" w:rsidRPr="00193354">
        <w:rPr>
          <w:szCs w:val="22"/>
        </w:rPr>
        <w:fldChar w:fldCharType="separate"/>
      </w:r>
      <w:r w:rsidR="00B906DC">
        <w:rPr>
          <w:szCs w:val="22"/>
        </w:rPr>
        <w:t>2022</w:t>
      </w:r>
      <w:r w:rsidR="005022D2" w:rsidRPr="00193354">
        <w:rPr>
          <w:szCs w:val="22"/>
        </w:rPr>
        <w:fldChar w:fldCharType="end"/>
      </w:r>
    </w:p>
    <w:p w14:paraId="5EBC8C62" w14:textId="77777777" w:rsidR="005022D2" w:rsidRPr="00193354" w:rsidRDefault="005022D2" w:rsidP="00B74827">
      <w:pPr>
        <w:tabs>
          <w:tab w:val="left" w:pos="3402"/>
        </w:tabs>
        <w:spacing w:before="120"/>
        <w:ind w:left="397" w:right="397"/>
        <w:jc w:val="right"/>
      </w:pPr>
    </w:p>
    <w:p w14:paraId="026265D2" w14:textId="77777777" w:rsidR="005022D2" w:rsidRPr="00193354" w:rsidRDefault="005022D2" w:rsidP="00B73935">
      <w:pPr>
        <w:tabs>
          <w:tab w:val="left" w:pos="3402"/>
        </w:tabs>
        <w:spacing w:before="120"/>
        <w:ind w:left="397" w:right="397"/>
        <w:jc w:val="right"/>
      </w:pPr>
    </w:p>
    <w:p w14:paraId="7AA80C9B" w14:textId="77777777" w:rsidR="00B73935" w:rsidRPr="00B73935" w:rsidRDefault="00B73935" w:rsidP="00B73935">
      <w:pPr>
        <w:jc w:val="right"/>
        <w:rPr>
          <w:rFonts w:cs="Times New Roman"/>
          <w:caps/>
          <w:szCs w:val="22"/>
        </w:rPr>
      </w:pPr>
      <w:r w:rsidRPr="00B73935">
        <w:rPr>
          <w:rFonts w:cs="Times New Roman"/>
          <w:caps/>
          <w:szCs w:val="22"/>
        </w:rPr>
        <w:t>J L B Allsop CJ</w:t>
      </w:r>
    </w:p>
    <w:p w14:paraId="1BF89670" w14:textId="77777777" w:rsidR="00B73935" w:rsidRPr="00B73935" w:rsidRDefault="00B73935" w:rsidP="00B73935">
      <w:pPr>
        <w:jc w:val="right"/>
        <w:rPr>
          <w:rFonts w:cs="Times New Roman"/>
          <w:caps/>
          <w:szCs w:val="22"/>
        </w:rPr>
      </w:pPr>
      <w:r w:rsidRPr="00B73935">
        <w:rPr>
          <w:rFonts w:cs="Times New Roman"/>
          <w:caps/>
          <w:szCs w:val="22"/>
        </w:rPr>
        <w:t>S C Kenny J</w:t>
      </w:r>
    </w:p>
    <w:p w14:paraId="2AB0118B" w14:textId="77777777" w:rsidR="00B73935" w:rsidRPr="00B73935" w:rsidRDefault="00B73935" w:rsidP="00B73935">
      <w:pPr>
        <w:jc w:val="right"/>
        <w:rPr>
          <w:rFonts w:cs="Times New Roman"/>
          <w:caps/>
          <w:szCs w:val="22"/>
        </w:rPr>
      </w:pPr>
      <w:r w:rsidRPr="00B73935">
        <w:rPr>
          <w:rFonts w:cs="Times New Roman"/>
          <w:caps/>
          <w:szCs w:val="22"/>
        </w:rPr>
        <w:t>S D Rares J</w:t>
      </w:r>
    </w:p>
    <w:p w14:paraId="3F9DC695" w14:textId="77777777" w:rsidR="00B73935" w:rsidRPr="00B73935" w:rsidRDefault="00B73935" w:rsidP="00B73935">
      <w:pPr>
        <w:jc w:val="right"/>
        <w:rPr>
          <w:rFonts w:cs="Times New Roman"/>
          <w:caps/>
          <w:szCs w:val="22"/>
        </w:rPr>
      </w:pPr>
      <w:r w:rsidRPr="00B73935">
        <w:rPr>
          <w:rFonts w:cs="Times New Roman"/>
          <w:caps/>
          <w:szCs w:val="22"/>
        </w:rPr>
        <w:t>B J Collier J</w:t>
      </w:r>
    </w:p>
    <w:p w14:paraId="22D807BD" w14:textId="77777777" w:rsidR="00B73935" w:rsidRPr="00B73935" w:rsidRDefault="00B73935" w:rsidP="00B73935">
      <w:pPr>
        <w:jc w:val="right"/>
        <w:rPr>
          <w:rFonts w:cs="Times New Roman"/>
          <w:caps/>
          <w:szCs w:val="22"/>
        </w:rPr>
      </w:pPr>
      <w:r w:rsidRPr="00B73935">
        <w:rPr>
          <w:rFonts w:cs="Times New Roman"/>
          <w:caps/>
          <w:szCs w:val="22"/>
        </w:rPr>
        <w:t>A J Besanko J</w:t>
      </w:r>
    </w:p>
    <w:p w14:paraId="54ADADAF" w14:textId="77777777" w:rsidR="00B73935" w:rsidRPr="00B73935" w:rsidRDefault="00B73935" w:rsidP="00B73935">
      <w:pPr>
        <w:jc w:val="right"/>
        <w:rPr>
          <w:rFonts w:cs="Times New Roman"/>
          <w:caps/>
          <w:szCs w:val="22"/>
        </w:rPr>
      </w:pPr>
      <w:r w:rsidRPr="00B73935">
        <w:rPr>
          <w:rFonts w:cs="Times New Roman"/>
          <w:caps/>
          <w:szCs w:val="22"/>
        </w:rPr>
        <w:t>J E Middleton J</w:t>
      </w:r>
    </w:p>
    <w:p w14:paraId="25ECEC1E" w14:textId="77777777" w:rsidR="00B73935" w:rsidRPr="00B73935" w:rsidRDefault="00B73935" w:rsidP="00B73935">
      <w:pPr>
        <w:jc w:val="right"/>
        <w:rPr>
          <w:rFonts w:cs="Times New Roman"/>
          <w:caps/>
          <w:szCs w:val="22"/>
        </w:rPr>
      </w:pPr>
      <w:r w:rsidRPr="00B73935">
        <w:rPr>
          <w:rFonts w:cs="Times New Roman"/>
          <w:caps/>
          <w:szCs w:val="22"/>
        </w:rPr>
        <w:t>J A Logan J</w:t>
      </w:r>
    </w:p>
    <w:p w14:paraId="0D2AF0B3" w14:textId="77777777" w:rsidR="00B73935" w:rsidRPr="00B73935" w:rsidRDefault="00B73935" w:rsidP="00B73935">
      <w:pPr>
        <w:jc w:val="right"/>
        <w:rPr>
          <w:rFonts w:cs="Times New Roman"/>
          <w:caps/>
          <w:szCs w:val="22"/>
        </w:rPr>
      </w:pPr>
      <w:r w:rsidRPr="00B73935">
        <w:rPr>
          <w:rFonts w:cs="Times New Roman"/>
          <w:caps/>
          <w:szCs w:val="22"/>
        </w:rPr>
        <w:t>N Perram J</w:t>
      </w:r>
    </w:p>
    <w:p w14:paraId="4360C68A" w14:textId="77777777" w:rsidR="00B73935" w:rsidRPr="00B73935" w:rsidRDefault="00B73935" w:rsidP="00B73935">
      <w:pPr>
        <w:jc w:val="right"/>
        <w:rPr>
          <w:rFonts w:cs="Times New Roman"/>
          <w:caps/>
          <w:szCs w:val="22"/>
        </w:rPr>
      </w:pPr>
      <w:r w:rsidRPr="00B73935">
        <w:rPr>
          <w:rFonts w:cs="Times New Roman"/>
          <w:caps/>
          <w:szCs w:val="22"/>
        </w:rPr>
        <w:t>J V Nicholas J</w:t>
      </w:r>
    </w:p>
    <w:p w14:paraId="72AD68DB" w14:textId="77777777" w:rsidR="00B73935" w:rsidRPr="00B73935" w:rsidRDefault="00B73935" w:rsidP="00B73935">
      <w:pPr>
        <w:jc w:val="right"/>
        <w:rPr>
          <w:rFonts w:cs="Times New Roman"/>
          <w:caps/>
          <w:szCs w:val="22"/>
        </w:rPr>
      </w:pPr>
      <w:r w:rsidRPr="00B73935">
        <w:rPr>
          <w:rFonts w:cs="Times New Roman"/>
          <w:caps/>
          <w:szCs w:val="22"/>
        </w:rPr>
        <w:t>D M Yates J</w:t>
      </w:r>
    </w:p>
    <w:p w14:paraId="019C99C4" w14:textId="77777777" w:rsidR="00B73935" w:rsidRPr="00B73935" w:rsidRDefault="00B73935" w:rsidP="00B73935">
      <w:pPr>
        <w:jc w:val="right"/>
        <w:rPr>
          <w:rFonts w:cs="Times New Roman"/>
          <w:caps/>
          <w:szCs w:val="22"/>
        </w:rPr>
      </w:pPr>
      <w:r w:rsidRPr="00B73935">
        <w:rPr>
          <w:rFonts w:cs="Times New Roman"/>
          <w:caps/>
          <w:szCs w:val="22"/>
        </w:rPr>
        <w:t>M Bromberg J</w:t>
      </w:r>
    </w:p>
    <w:p w14:paraId="6FC39F96" w14:textId="77777777" w:rsidR="00B73935" w:rsidRPr="00B73935" w:rsidRDefault="00B73935" w:rsidP="00B73935">
      <w:pPr>
        <w:jc w:val="right"/>
        <w:rPr>
          <w:rFonts w:cs="Times New Roman"/>
          <w:caps/>
          <w:szCs w:val="22"/>
        </w:rPr>
      </w:pPr>
      <w:r w:rsidRPr="00B73935">
        <w:rPr>
          <w:rFonts w:cs="Times New Roman"/>
          <w:caps/>
          <w:szCs w:val="22"/>
        </w:rPr>
        <w:t>A J Katzmann J</w:t>
      </w:r>
    </w:p>
    <w:p w14:paraId="3ECE1DDA" w14:textId="77777777" w:rsidR="00B73935" w:rsidRPr="00B73935" w:rsidRDefault="00B73935" w:rsidP="00B73935">
      <w:pPr>
        <w:jc w:val="right"/>
        <w:rPr>
          <w:rFonts w:cs="Times New Roman"/>
          <w:caps/>
          <w:szCs w:val="22"/>
        </w:rPr>
      </w:pPr>
      <w:r w:rsidRPr="00B73935">
        <w:rPr>
          <w:rFonts w:cs="Times New Roman"/>
          <w:caps/>
          <w:szCs w:val="22"/>
        </w:rPr>
        <w:t>B M Murphy J</w:t>
      </w:r>
    </w:p>
    <w:p w14:paraId="045C09D8" w14:textId="77777777" w:rsidR="00B73935" w:rsidRPr="00B73935" w:rsidRDefault="00B73935" w:rsidP="00B73935">
      <w:pPr>
        <w:jc w:val="right"/>
        <w:rPr>
          <w:rFonts w:cs="Times New Roman"/>
          <w:caps/>
          <w:szCs w:val="22"/>
        </w:rPr>
      </w:pPr>
      <w:r w:rsidRPr="00B73935">
        <w:rPr>
          <w:rFonts w:cs="Times New Roman"/>
          <w:caps/>
          <w:szCs w:val="22"/>
        </w:rPr>
        <w:t>K Farrell J</w:t>
      </w:r>
    </w:p>
    <w:p w14:paraId="59F2482F" w14:textId="77777777" w:rsidR="00B73935" w:rsidRPr="00B73935" w:rsidRDefault="00B73935" w:rsidP="00B73935">
      <w:pPr>
        <w:jc w:val="right"/>
        <w:rPr>
          <w:rFonts w:cs="Times New Roman"/>
          <w:caps/>
          <w:szCs w:val="22"/>
        </w:rPr>
      </w:pPr>
      <w:r w:rsidRPr="00B73935">
        <w:rPr>
          <w:rFonts w:cs="Times New Roman"/>
          <w:caps/>
          <w:szCs w:val="22"/>
        </w:rPr>
        <w:t>D S Mortimer J</w:t>
      </w:r>
    </w:p>
    <w:p w14:paraId="3EC80D10" w14:textId="77777777" w:rsidR="00B73935" w:rsidRPr="00B73935" w:rsidRDefault="00B73935" w:rsidP="00B73935">
      <w:pPr>
        <w:jc w:val="right"/>
        <w:rPr>
          <w:rFonts w:cs="Times New Roman"/>
          <w:caps/>
          <w:szCs w:val="22"/>
        </w:rPr>
      </w:pPr>
      <w:r w:rsidRPr="00B73935">
        <w:rPr>
          <w:rFonts w:cs="Times New Roman"/>
          <w:caps/>
          <w:szCs w:val="22"/>
        </w:rPr>
        <w:t>D C Rangiah J</w:t>
      </w:r>
    </w:p>
    <w:p w14:paraId="1BA9FE6C" w14:textId="77777777" w:rsidR="00B73935" w:rsidRPr="00B73935" w:rsidRDefault="00B73935" w:rsidP="00B73935">
      <w:pPr>
        <w:jc w:val="right"/>
        <w:rPr>
          <w:rFonts w:cs="Times New Roman"/>
          <w:caps/>
          <w:szCs w:val="22"/>
        </w:rPr>
      </w:pPr>
      <w:r w:rsidRPr="00B73935">
        <w:rPr>
          <w:rFonts w:cs="Times New Roman"/>
          <w:caps/>
          <w:szCs w:val="22"/>
        </w:rPr>
        <w:t>M A Wigney J</w:t>
      </w:r>
    </w:p>
    <w:p w14:paraId="63924661" w14:textId="77777777" w:rsidR="00B73935" w:rsidRPr="00B73935" w:rsidRDefault="00B73935" w:rsidP="00B73935">
      <w:pPr>
        <w:jc w:val="right"/>
        <w:rPr>
          <w:rFonts w:cs="Times New Roman"/>
          <w:caps/>
          <w:szCs w:val="22"/>
        </w:rPr>
      </w:pPr>
      <w:r w:rsidRPr="00B73935">
        <w:rPr>
          <w:rFonts w:cs="Times New Roman"/>
          <w:caps/>
          <w:szCs w:val="22"/>
        </w:rPr>
        <w:t>M A Perry J</w:t>
      </w:r>
    </w:p>
    <w:p w14:paraId="7DA2EC93" w14:textId="77777777" w:rsidR="00B73935" w:rsidRPr="00B73935" w:rsidRDefault="00B73935" w:rsidP="00B73935">
      <w:pPr>
        <w:jc w:val="right"/>
        <w:rPr>
          <w:rFonts w:cs="Times New Roman"/>
          <w:caps/>
          <w:szCs w:val="22"/>
        </w:rPr>
      </w:pPr>
      <w:r w:rsidRPr="00B73935">
        <w:rPr>
          <w:rFonts w:cs="Times New Roman"/>
          <w:caps/>
          <w:szCs w:val="22"/>
        </w:rPr>
        <w:t>J B R Beach J</w:t>
      </w:r>
    </w:p>
    <w:p w14:paraId="6E5AAE79" w14:textId="77777777" w:rsidR="00B73935" w:rsidRPr="00B73935" w:rsidRDefault="00B73935" w:rsidP="00B73935">
      <w:pPr>
        <w:jc w:val="right"/>
        <w:rPr>
          <w:rFonts w:cs="Times New Roman"/>
          <w:caps/>
          <w:szCs w:val="22"/>
        </w:rPr>
      </w:pPr>
      <w:r w:rsidRPr="00B73935">
        <w:rPr>
          <w:rFonts w:cs="Times New Roman"/>
          <w:caps/>
          <w:szCs w:val="22"/>
        </w:rPr>
        <w:t>B S Markovic J</w:t>
      </w:r>
    </w:p>
    <w:p w14:paraId="27E44787" w14:textId="77777777" w:rsidR="00B73935" w:rsidRPr="00B73935" w:rsidRDefault="00B73935" w:rsidP="00B73935">
      <w:pPr>
        <w:jc w:val="right"/>
        <w:rPr>
          <w:rFonts w:cs="Times New Roman"/>
          <w:caps/>
          <w:szCs w:val="22"/>
        </w:rPr>
      </w:pPr>
      <w:r w:rsidRPr="00B73935">
        <w:rPr>
          <w:rFonts w:cs="Times New Roman"/>
          <w:caps/>
          <w:szCs w:val="22"/>
        </w:rPr>
        <w:t>M K Moshinsky J</w:t>
      </w:r>
    </w:p>
    <w:p w14:paraId="7B98CB59" w14:textId="77777777" w:rsidR="00B73935" w:rsidRPr="00B73935" w:rsidRDefault="00B73935" w:rsidP="00B73935">
      <w:pPr>
        <w:jc w:val="right"/>
        <w:rPr>
          <w:rFonts w:cs="Times New Roman"/>
          <w:caps/>
          <w:szCs w:val="22"/>
        </w:rPr>
      </w:pPr>
      <w:r w:rsidRPr="00B73935">
        <w:rPr>
          <w:rFonts w:cs="Times New Roman"/>
          <w:caps/>
          <w:szCs w:val="22"/>
        </w:rPr>
        <w:t>R J Bromwich J</w:t>
      </w:r>
    </w:p>
    <w:p w14:paraId="2FBE1636" w14:textId="77777777" w:rsidR="00B73935" w:rsidRPr="00B73935" w:rsidRDefault="00B73935" w:rsidP="00B73935">
      <w:pPr>
        <w:jc w:val="right"/>
        <w:rPr>
          <w:rFonts w:cs="Times New Roman"/>
          <w:caps/>
          <w:szCs w:val="22"/>
        </w:rPr>
      </w:pPr>
      <w:r w:rsidRPr="00B73935">
        <w:rPr>
          <w:rFonts w:cs="Times New Roman"/>
          <w:caps/>
          <w:szCs w:val="22"/>
        </w:rPr>
        <w:t>N Charlesworth J</w:t>
      </w:r>
    </w:p>
    <w:p w14:paraId="2A66D947" w14:textId="77777777" w:rsidR="00B73935" w:rsidRPr="00B73935" w:rsidRDefault="00B73935" w:rsidP="00B73935">
      <w:pPr>
        <w:jc w:val="right"/>
        <w:rPr>
          <w:rFonts w:cs="Times New Roman"/>
          <w:caps/>
          <w:szCs w:val="22"/>
        </w:rPr>
      </w:pPr>
      <w:r w:rsidRPr="00B73935">
        <w:rPr>
          <w:rFonts w:cs="Times New Roman"/>
          <w:caps/>
          <w:szCs w:val="22"/>
        </w:rPr>
        <w:t>S C G Burley J</w:t>
      </w:r>
    </w:p>
    <w:p w14:paraId="46AA5375" w14:textId="77777777" w:rsidR="00B73935" w:rsidRPr="00B73935" w:rsidRDefault="00B73935" w:rsidP="00B73935">
      <w:pPr>
        <w:jc w:val="right"/>
        <w:rPr>
          <w:rFonts w:cs="Times New Roman"/>
          <w:caps/>
          <w:szCs w:val="22"/>
        </w:rPr>
      </w:pPr>
      <w:r w:rsidRPr="00B73935">
        <w:rPr>
          <w:rFonts w:cs="Times New Roman"/>
          <w:caps/>
          <w:szCs w:val="22"/>
        </w:rPr>
        <w:t>D J O’Callaghan J</w:t>
      </w:r>
    </w:p>
    <w:p w14:paraId="0F50811B" w14:textId="77777777" w:rsidR="00B73935" w:rsidRPr="00B73935" w:rsidRDefault="00B73935" w:rsidP="00B73935">
      <w:pPr>
        <w:jc w:val="right"/>
        <w:rPr>
          <w:rFonts w:cs="Times New Roman"/>
          <w:caps/>
          <w:szCs w:val="22"/>
        </w:rPr>
      </w:pPr>
      <w:r w:rsidRPr="00B73935">
        <w:rPr>
          <w:rFonts w:cs="Times New Roman"/>
          <w:caps/>
          <w:szCs w:val="22"/>
        </w:rPr>
        <w:t>M B J Lee J</w:t>
      </w:r>
    </w:p>
    <w:p w14:paraId="1E7594DE" w14:textId="77777777" w:rsidR="00B73935" w:rsidRPr="00B73935" w:rsidRDefault="00B73935" w:rsidP="00B73935">
      <w:pPr>
        <w:jc w:val="right"/>
        <w:rPr>
          <w:rFonts w:cs="Times New Roman"/>
          <w:caps/>
          <w:szCs w:val="22"/>
        </w:rPr>
      </w:pPr>
      <w:r w:rsidRPr="00B73935">
        <w:rPr>
          <w:rFonts w:cs="Times New Roman"/>
          <w:caps/>
          <w:szCs w:val="22"/>
        </w:rPr>
        <w:t>R M Derrington J</w:t>
      </w:r>
    </w:p>
    <w:p w14:paraId="1FDCDAFF" w14:textId="77777777" w:rsidR="00B73935" w:rsidRPr="00B73935" w:rsidRDefault="00B73935" w:rsidP="00B73935">
      <w:pPr>
        <w:jc w:val="right"/>
        <w:rPr>
          <w:rFonts w:cs="Times New Roman"/>
          <w:caps/>
          <w:szCs w:val="22"/>
        </w:rPr>
      </w:pPr>
      <w:r w:rsidRPr="00B73935">
        <w:rPr>
          <w:rFonts w:cs="Times New Roman"/>
          <w:caps/>
          <w:szCs w:val="22"/>
        </w:rPr>
        <w:t>D G Thomas J</w:t>
      </w:r>
    </w:p>
    <w:p w14:paraId="76CA3403" w14:textId="77777777" w:rsidR="00B73935" w:rsidRPr="00B73935" w:rsidRDefault="00B73935" w:rsidP="00B73935">
      <w:pPr>
        <w:jc w:val="right"/>
        <w:rPr>
          <w:rFonts w:cs="Times New Roman"/>
          <w:caps/>
          <w:szCs w:val="22"/>
        </w:rPr>
      </w:pPr>
      <w:r w:rsidRPr="00B73935">
        <w:rPr>
          <w:rFonts w:cs="Times New Roman"/>
          <w:caps/>
          <w:szCs w:val="22"/>
        </w:rPr>
        <w:t>S C Derrington J</w:t>
      </w:r>
    </w:p>
    <w:p w14:paraId="463A4CF4" w14:textId="77777777" w:rsidR="00B73935" w:rsidRPr="00B73935" w:rsidRDefault="00B73935" w:rsidP="00B73935">
      <w:pPr>
        <w:jc w:val="right"/>
        <w:rPr>
          <w:rFonts w:cs="Times New Roman"/>
          <w:caps/>
          <w:szCs w:val="22"/>
        </w:rPr>
      </w:pPr>
      <w:r w:rsidRPr="00B73935">
        <w:rPr>
          <w:rFonts w:cs="Times New Roman"/>
          <w:caps/>
          <w:szCs w:val="22"/>
        </w:rPr>
        <w:t>K F Banks-Smith J</w:t>
      </w:r>
    </w:p>
    <w:p w14:paraId="45A6FBD7" w14:textId="77777777" w:rsidR="00B73935" w:rsidRPr="00B73935" w:rsidRDefault="00B73935" w:rsidP="00B73935">
      <w:pPr>
        <w:jc w:val="right"/>
        <w:rPr>
          <w:rFonts w:cs="Times New Roman"/>
          <w:caps/>
          <w:szCs w:val="22"/>
        </w:rPr>
      </w:pPr>
      <w:r w:rsidRPr="00B73935">
        <w:rPr>
          <w:rFonts w:cs="Times New Roman"/>
          <w:caps/>
          <w:szCs w:val="22"/>
        </w:rPr>
        <w:t>C G Colvin J</w:t>
      </w:r>
    </w:p>
    <w:p w14:paraId="321840B9" w14:textId="77777777" w:rsidR="00B73935" w:rsidRPr="00B73935" w:rsidRDefault="00B73935" w:rsidP="00B73935">
      <w:pPr>
        <w:jc w:val="right"/>
        <w:rPr>
          <w:rFonts w:cs="Times New Roman"/>
          <w:caps/>
          <w:szCs w:val="22"/>
        </w:rPr>
      </w:pPr>
      <w:r w:rsidRPr="00B73935">
        <w:rPr>
          <w:rFonts w:cs="Times New Roman"/>
          <w:caps/>
          <w:szCs w:val="22"/>
        </w:rPr>
        <w:t>T M Thawley J</w:t>
      </w:r>
    </w:p>
    <w:p w14:paraId="6777B5F9" w14:textId="77777777" w:rsidR="00B73935" w:rsidRPr="00B73935" w:rsidRDefault="00B73935" w:rsidP="00B73935">
      <w:pPr>
        <w:jc w:val="right"/>
        <w:rPr>
          <w:rFonts w:cs="Times New Roman"/>
          <w:caps/>
          <w:szCs w:val="22"/>
        </w:rPr>
      </w:pPr>
      <w:r w:rsidRPr="00B73935">
        <w:rPr>
          <w:rFonts w:cs="Times New Roman"/>
          <w:caps/>
          <w:szCs w:val="22"/>
        </w:rPr>
        <w:t>M F Wheelahan J</w:t>
      </w:r>
    </w:p>
    <w:p w14:paraId="768CF735" w14:textId="77777777" w:rsidR="00B73935" w:rsidRPr="00B73935" w:rsidRDefault="00B73935" w:rsidP="00B73935">
      <w:pPr>
        <w:jc w:val="right"/>
        <w:rPr>
          <w:rFonts w:cs="Times New Roman"/>
          <w:caps/>
          <w:szCs w:val="22"/>
        </w:rPr>
      </w:pPr>
      <w:r w:rsidRPr="00B73935">
        <w:rPr>
          <w:rFonts w:cs="Times New Roman"/>
          <w:caps/>
          <w:szCs w:val="22"/>
        </w:rPr>
        <w:lastRenderedPageBreak/>
        <w:t>A M Stewart J</w:t>
      </w:r>
    </w:p>
    <w:p w14:paraId="18F49FB9" w14:textId="77777777" w:rsidR="00B73935" w:rsidRPr="00B73935" w:rsidRDefault="00B73935" w:rsidP="00B73935">
      <w:pPr>
        <w:jc w:val="right"/>
        <w:rPr>
          <w:rFonts w:cs="Times New Roman"/>
          <w:caps/>
          <w:szCs w:val="22"/>
        </w:rPr>
      </w:pPr>
      <w:r w:rsidRPr="00B73935">
        <w:rPr>
          <w:rFonts w:cs="Times New Roman"/>
          <w:caps/>
          <w:szCs w:val="22"/>
        </w:rPr>
        <w:t>M H O’Bryan J</w:t>
      </w:r>
    </w:p>
    <w:p w14:paraId="7BA02C3C" w14:textId="77777777" w:rsidR="00B73935" w:rsidRPr="00B73935" w:rsidRDefault="00B73935" w:rsidP="00B73935">
      <w:pPr>
        <w:jc w:val="right"/>
        <w:rPr>
          <w:rFonts w:cs="Times New Roman"/>
          <w:caps/>
          <w:szCs w:val="22"/>
        </w:rPr>
      </w:pPr>
      <w:r w:rsidRPr="00B73935">
        <w:rPr>
          <w:rFonts w:cs="Times New Roman"/>
          <w:caps/>
          <w:szCs w:val="22"/>
        </w:rPr>
        <w:t>D J Jackson J</w:t>
      </w:r>
    </w:p>
    <w:p w14:paraId="4ACDE432" w14:textId="77777777" w:rsidR="00B73935" w:rsidRPr="00B73935" w:rsidRDefault="00B73935" w:rsidP="00B73935">
      <w:pPr>
        <w:jc w:val="right"/>
        <w:rPr>
          <w:rFonts w:cs="Times New Roman"/>
          <w:caps/>
          <w:szCs w:val="22"/>
        </w:rPr>
      </w:pPr>
      <w:r w:rsidRPr="00B73935">
        <w:rPr>
          <w:rFonts w:cs="Times New Roman"/>
          <w:caps/>
          <w:szCs w:val="22"/>
        </w:rPr>
        <w:t>J L Snaden J</w:t>
      </w:r>
    </w:p>
    <w:p w14:paraId="57B8294E" w14:textId="77777777" w:rsidR="00B73935" w:rsidRPr="00B73935" w:rsidRDefault="00B73935" w:rsidP="00B73935">
      <w:pPr>
        <w:jc w:val="right"/>
        <w:rPr>
          <w:rFonts w:cs="Times New Roman"/>
          <w:caps/>
          <w:szCs w:val="22"/>
        </w:rPr>
      </w:pPr>
      <w:r w:rsidRPr="00B73935">
        <w:rPr>
          <w:rFonts w:cs="Times New Roman"/>
          <w:caps/>
          <w:szCs w:val="22"/>
        </w:rPr>
        <w:t>S M Anderson J</w:t>
      </w:r>
    </w:p>
    <w:p w14:paraId="4F1578B1" w14:textId="77777777" w:rsidR="00B73935" w:rsidRPr="00B73935" w:rsidRDefault="00B73935" w:rsidP="00B73935">
      <w:pPr>
        <w:jc w:val="right"/>
        <w:rPr>
          <w:rFonts w:cs="Times New Roman"/>
          <w:caps/>
          <w:szCs w:val="22"/>
        </w:rPr>
      </w:pPr>
      <w:r w:rsidRPr="00B73935">
        <w:rPr>
          <w:rFonts w:cs="Times New Roman"/>
          <w:caps/>
          <w:szCs w:val="22"/>
        </w:rPr>
        <w:t>W J Abraham J</w:t>
      </w:r>
    </w:p>
    <w:p w14:paraId="05C3F299" w14:textId="77777777" w:rsidR="00B73935" w:rsidRPr="00B73935" w:rsidRDefault="00B73935" w:rsidP="00B73935">
      <w:pPr>
        <w:jc w:val="right"/>
        <w:rPr>
          <w:rFonts w:cs="Times New Roman"/>
          <w:caps/>
          <w:szCs w:val="22"/>
        </w:rPr>
      </w:pPr>
      <w:r w:rsidRPr="00B73935">
        <w:rPr>
          <w:rFonts w:cs="Times New Roman"/>
          <w:caps/>
          <w:szCs w:val="22"/>
        </w:rPr>
        <w:t>J A Halley J</w:t>
      </w:r>
    </w:p>
    <w:p w14:paraId="493E9852" w14:textId="77777777" w:rsidR="00B73935" w:rsidRPr="00B73935" w:rsidRDefault="00B73935" w:rsidP="00B73935">
      <w:pPr>
        <w:jc w:val="right"/>
        <w:rPr>
          <w:rFonts w:cs="Times New Roman"/>
          <w:caps/>
          <w:szCs w:val="22"/>
        </w:rPr>
      </w:pPr>
      <w:r w:rsidRPr="00B73935">
        <w:rPr>
          <w:rFonts w:cs="Times New Roman"/>
          <w:caps/>
          <w:szCs w:val="22"/>
        </w:rPr>
        <w:t>E A Cheeseman J</w:t>
      </w:r>
    </w:p>
    <w:p w14:paraId="0166593C" w14:textId="77777777" w:rsidR="00B73935" w:rsidRPr="00B73935" w:rsidRDefault="00B73935" w:rsidP="00B73935">
      <w:pPr>
        <w:jc w:val="right"/>
        <w:rPr>
          <w:rFonts w:cs="Times New Roman"/>
          <w:caps/>
          <w:szCs w:val="22"/>
        </w:rPr>
      </w:pPr>
      <w:r w:rsidRPr="00B73935">
        <w:rPr>
          <w:rFonts w:cs="Times New Roman"/>
          <w:caps/>
          <w:szCs w:val="22"/>
        </w:rPr>
        <w:t>H M J Rofe J</w:t>
      </w:r>
    </w:p>
    <w:p w14:paraId="4E7A054C" w14:textId="77777777" w:rsidR="00B73935" w:rsidRPr="00B73935" w:rsidRDefault="00B73935" w:rsidP="00B73935">
      <w:pPr>
        <w:jc w:val="right"/>
        <w:rPr>
          <w:rFonts w:cs="Times New Roman"/>
          <w:caps/>
          <w:szCs w:val="22"/>
        </w:rPr>
      </w:pPr>
      <w:r w:rsidRPr="00B73935">
        <w:rPr>
          <w:rFonts w:cs="Times New Roman"/>
          <w:caps/>
          <w:szCs w:val="22"/>
        </w:rPr>
        <w:t>K E Downes J</w:t>
      </w:r>
    </w:p>
    <w:p w14:paraId="3A2A1EC9" w14:textId="77777777" w:rsidR="00B73935" w:rsidRPr="00B73935" w:rsidRDefault="00B73935" w:rsidP="00B73935">
      <w:pPr>
        <w:jc w:val="right"/>
        <w:rPr>
          <w:rFonts w:cs="Times New Roman"/>
          <w:caps/>
          <w:szCs w:val="22"/>
        </w:rPr>
      </w:pPr>
      <w:r w:rsidRPr="00B73935">
        <w:rPr>
          <w:rFonts w:cs="Times New Roman"/>
          <w:caps/>
          <w:szCs w:val="22"/>
        </w:rPr>
        <w:t>S A Goodman J</w:t>
      </w:r>
    </w:p>
    <w:p w14:paraId="7CEBD2B7" w14:textId="77777777" w:rsidR="00B73935" w:rsidRPr="00B73935" w:rsidRDefault="00B73935" w:rsidP="00B73935">
      <w:pPr>
        <w:jc w:val="right"/>
        <w:rPr>
          <w:rFonts w:cs="Times New Roman"/>
          <w:caps/>
          <w:szCs w:val="22"/>
        </w:rPr>
      </w:pPr>
      <w:r w:rsidRPr="00B73935">
        <w:rPr>
          <w:rFonts w:cs="Times New Roman"/>
          <w:caps/>
          <w:szCs w:val="22"/>
        </w:rPr>
        <w:t>P O’Sullivan J</w:t>
      </w:r>
    </w:p>
    <w:p w14:paraId="7DFFC48B" w14:textId="77777777" w:rsidR="00B73935" w:rsidRPr="00B73935" w:rsidRDefault="00B73935" w:rsidP="00B73935">
      <w:pPr>
        <w:jc w:val="right"/>
        <w:rPr>
          <w:rFonts w:cs="Times New Roman"/>
          <w:caps/>
          <w:szCs w:val="22"/>
        </w:rPr>
      </w:pPr>
      <w:r w:rsidRPr="00B73935">
        <w:rPr>
          <w:rFonts w:cs="Times New Roman"/>
          <w:caps/>
          <w:szCs w:val="22"/>
        </w:rPr>
        <w:t>S B McElwaine J</w:t>
      </w:r>
    </w:p>
    <w:p w14:paraId="5823F152" w14:textId="77777777" w:rsidR="00B73935" w:rsidRPr="00B73935" w:rsidRDefault="00B73935" w:rsidP="00B73935">
      <w:pPr>
        <w:jc w:val="right"/>
        <w:rPr>
          <w:rFonts w:cs="Times New Roman"/>
          <w:caps/>
          <w:szCs w:val="22"/>
        </w:rPr>
      </w:pPr>
      <w:r w:rsidRPr="00B73935">
        <w:rPr>
          <w:rFonts w:cs="Times New Roman"/>
          <w:caps/>
          <w:szCs w:val="22"/>
        </w:rPr>
        <w:t>M J Feutrill J</w:t>
      </w:r>
    </w:p>
    <w:p w14:paraId="75EDB51F" w14:textId="77777777" w:rsidR="00B73935" w:rsidRPr="00B73935" w:rsidRDefault="00B73935" w:rsidP="00B73935">
      <w:pPr>
        <w:jc w:val="right"/>
        <w:rPr>
          <w:rFonts w:cs="Times New Roman"/>
          <w:caps/>
          <w:szCs w:val="22"/>
        </w:rPr>
      </w:pPr>
      <w:r w:rsidRPr="00B73935">
        <w:rPr>
          <w:rFonts w:cs="Times New Roman"/>
          <w:caps/>
          <w:szCs w:val="22"/>
        </w:rPr>
        <w:t>F M R Meagher J</w:t>
      </w:r>
    </w:p>
    <w:p w14:paraId="3B4A5A67" w14:textId="77777777" w:rsidR="00B73935" w:rsidRPr="00B73935" w:rsidRDefault="00B73935" w:rsidP="00B73935">
      <w:pPr>
        <w:jc w:val="right"/>
        <w:rPr>
          <w:rFonts w:cs="Times New Roman"/>
          <w:caps/>
          <w:szCs w:val="22"/>
        </w:rPr>
      </w:pPr>
      <w:r w:rsidRPr="00B73935">
        <w:rPr>
          <w:rFonts w:cs="Times New Roman"/>
          <w:caps/>
          <w:szCs w:val="22"/>
        </w:rPr>
        <w:t>T J F McEvoy J</w:t>
      </w:r>
    </w:p>
    <w:p w14:paraId="2E7AE9E0" w14:textId="77777777" w:rsidR="00B73935" w:rsidRPr="00B73935" w:rsidRDefault="00B73935" w:rsidP="00B73935">
      <w:pPr>
        <w:jc w:val="right"/>
        <w:rPr>
          <w:rFonts w:cs="Times New Roman"/>
          <w:caps/>
          <w:szCs w:val="22"/>
        </w:rPr>
      </w:pPr>
      <w:r w:rsidRPr="00B73935">
        <w:rPr>
          <w:rFonts w:cs="Times New Roman"/>
          <w:caps/>
          <w:szCs w:val="22"/>
        </w:rPr>
        <w:t>L A Hespe J</w:t>
      </w:r>
    </w:p>
    <w:p w14:paraId="3C6B02A7" w14:textId="77777777" w:rsidR="00B73935" w:rsidRPr="00B73935" w:rsidRDefault="00B73935" w:rsidP="00B73935">
      <w:pPr>
        <w:jc w:val="right"/>
        <w:rPr>
          <w:rFonts w:cs="Times New Roman"/>
          <w:caps/>
          <w:szCs w:val="22"/>
        </w:rPr>
      </w:pPr>
      <w:r w:rsidRPr="00B73935">
        <w:rPr>
          <w:rFonts w:cs="Times New Roman"/>
          <w:caps/>
          <w:szCs w:val="22"/>
        </w:rPr>
        <w:t>E Raper J</w:t>
      </w:r>
    </w:p>
    <w:p w14:paraId="6DEA9FF8" w14:textId="77777777" w:rsidR="005022D2" w:rsidRPr="00193354" w:rsidRDefault="005022D2" w:rsidP="00B74827">
      <w:pPr>
        <w:keepNext/>
        <w:tabs>
          <w:tab w:val="left" w:pos="3402"/>
        </w:tabs>
        <w:spacing w:before="720" w:line="300" w:lineRule="atLeast"/>
        <w:ind w:left="397" w:right="397"/>
        <w:jc w:val="right"/>
      </w:pPr>
      <w:r w:rsidRPr="00193354">
        <w:t>Judges of the Federal Court</w:t>
      </w:r>
      <w:r w:rsidRPr="00193354">
        <w:br/>
        <w:t>of Australia</w:t>
      </w:r>
    </w:p>
    <w:p w14:paraId="5D07EA26" w14:textId="1E88ECD9" w:rsidR="005022D2" w:rsidRPr="00193354" w:rsidRDefault="0052054F" w:rsidP="00B74827">
      <w:pPr>
        <w:pStyle w:val="SignCoverPageEnd"/>
        <w:spacing w:before="1080"/>
        <w:rPr>
          <w:b/>
          <w:szCs w:val="24"/>
        </w:rPr>
      </w:pPr>
      <w:r>
        <w:rPr>
          <w:szCs w:val="22"/>
        </w:rPr>
        <w:t>Sia Lagos</w:t>
      </w:r>
      <w:r w:rsidR="005022D2" w:rsidRPr="00193354">
        <w:rPr>
          <w:szCs w:val="22"/>
        </w:rPr>
        <w:br/>
      </w:r>
      <w:r w:rsidR="005022D2" w:rsidRPr="00193354">
        <w:t>Chief Executive Officer and Principal Registrar</w:t>
      </w:r>
    </w:p>
    <w:p w14:paraId="13AE93CA" w14:textId="77777777" w:rsidR="005022D2" w:rsidRPr="00193354" w:rsidRDefault="005022D2" w:rsidP="00B74827"/>
    <w:p w14:paraId="2B687A03" w14:textId="77777777" w:rsidR="005022D2" w:rsidRPr="00D478AB" w:rsidRDefault="005022D2" w:rsidP="00B74827">
      <w:pPr>
        <w:pStyle w:val="Header"/>
        <w:tabs>
          <w:tab w:val="clear" w:pos="4150"/>
          <w:tab w:val="clear" w:pos="8307"/>
        </w:tabs>
      </w:pPr>
      <w:r w:rsidRPr="00D478AB">
        <w:rPr>
          <w:rStyle w:val="CharAmSchNo"/>
        </w:rPr>
        <w:t xml:space="preserve"> </w:t>
      </w:r>
      <w:r w:rsidRPr="00D478AB">
        <w:rPr>
          <w:rStyle w:val="CharAmSchText"/>
        </w:rPr>
        <w:t xml:space="preserve"> </w:t>
      </w:r>
    </w:p>
    <w:p w14:paraId="621D7F75" w14:textId="77777777" w:rsidR="005022D2" w:rsidRPr="00D478AB" w:rsidRDefault="005022D2" w:rsidP="00B74827">
      <w:pPr>
        <w:pStyle w:val="Header"/>
        <w:tabs>
          <w:tab w:val="clear" w:pos="4150"/>
          <w:tab w:val="clear" w:pos="8307"/>
        </w:tabs>
      </w:pPr>
      <w:r w:rsidRPr="00D478AB">
        <w:rPr>
          <w:rStyle w:val="CharAmPartNo"/>
        </w:rPr>
        <w:t xml:space="preserve"> </w:t>
      </w:r>
      <w:r w:rsidRPr="00D478AB">
        <w:rPr>
          <w:rStyle w:val="CharAmPartText"/>
        </w:rPr>
        <w:t xml:space="preserve"> </w:t>
      </w:r>
    </w:p>
    <w:p w14:paraId="20AF9874" w14:textId="77777777" w:rsidR="005022D2" w:rsidRPr="00193354" w:rsidRDefault="005022D2" w:rsidP="00B74827">
      <w:pPr>
        <w:sectPr w:rsidR="005022D2" w:rsidRPr="00193354" w:rsidSect="00B25989">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titlePg/>
          <w:docGrid w:linePitch="360"/>
        </w:sectPr>
      </w:pPr>
    </w:p>
    <w:p w14:paraId="0B7851AB" w14:textId="77777777" w:rsidR="00220A0C" w:rsidRPr="00193354" w:rsidRDefault="0048364F" w:rsidP="0048364F">
      <w:pPr>
        <w:outlineLvl w:val="0"/>
        <w:rPr>
          <w:sz w:val="36"/>
        </w:rPr>
      </w:pPr>
      <w:r w:rsidRPr="00193354">
        <w:rPr>
          <w:sz w:val="36"/>
        </w:rPr>
        <w:lastRenderedPageBreak/>
        <w:t>Contents</w:t>
      </w:r>
    </w:p>
    <w:p w14:paraId="21E1B117" w14:textId="5421C8D6" w:rsidR="0076315B" w:rsidRPr="00193354" w:rsidRDefault="0076315B">
      <w:pPr>
        <w:pStyle w:val="TOC5"/>
        <w:rPr>
          <w:rFonts w:asciiTheme="minorHAnsi" w:eastAsiaTheme="minorEastAsia" w:hAnsiTheme="minorHAnsi" w:cstheme="minorBidi"/>
          <w:noProof/>
          <w:kern w:val="0"/>
          <w:sz w:val="22"/>
          <w:szCs w:val="22"/>
        </w:rPr>
      </w:pPr>
      <w:r w:rsidRPr="00193354">
        <w:fldChar w:fldCharType="begin"/>
      </w:r>
      <w:r w:rsidRPr="00193354">
        <w:instrText xml:space="preserve"> TOC \o "1-9" </w:instrText>
      </w:r>
      <w:r w:rsidRPr="00193354">
        <w:fldChar w:fldCharType="separate"/>
      </w:r>
      <w:r w:rsidRPr="00193354">
        <w:rPr>
          <w:noProof/>
        </w:rPr>
        <w:t>1</w:t>
      </w:r>
      <w:r w:rsidRPr="00193354">
        <w:rPr>
          <w:noProof/>
        </w:rPr>
        <w:tab/>
        <w:t>Name</w:t>
      </w:r>
      <w:r w:rsidRPr="00193354">
        <w:rPr>
          <w:noProof/>
        </w:rPr>
        <w:tab/>
      </w:r>
      <w:r w:rsidRPr="00193354">
        <w:rPr>
          <w:noProof/>
        </w:rPr>
        <w:fldChar w:fldCharType="begin"/>
      </w:r>
      <w:r w:rsidRPr="00193354">
        <w:rPr>
          <w:noProof/>
        </w:rPr>
        <w:instrText xml:space="preserve"> PAGEREF _Toc122448232 \h </w:instrText>
      </w:r>
      <w:r w:rsidRPr="00193354">
        <w:rPr>
          <w:noProof/>
        </w:rPr>
      </w:r>
      <w:r w:rsidRPr="00193354">
        <w:rPr>
          <w:noProof/>
        </w:rPr>
        <w:fldChar w:fldCharType="separate"/>
      </w:r>
      <w:r w:rsidR="00B906DC">
        <w:rPr>
          <w:noProof/>
        </w:rPr>
        <w:t>1</w:t>
      </w:r>
      <w:r w:rsidRPr="00193354">
        <w:rPr>
          <w:noProof/>
        </w:rPr>
        <w:fldChar w:fldCharType="end"/>
      </w:r>
    </w:p>
    <w:p w14:paraId="6A537A06" w14:textId="5C0EB21A" w:rsidR="0076315B" w:rsidRPr="00193354" w:rsidRDefault="0076315B">
      <w:pPr>
        <w:pStyle w:val="TOC5"/>
        <w:rPr>
          <w:rFonts w:asciiTheme="minorHAnsi" w:eastAsiaTheme="minorEastAsia" w:hAnsiTheme="minorHAnsi" w:cstheme="minorBidi"/>
          <w:noProof/>
          <w:kern w:val="0"/>
          <w:sz w:val="22"/>
          <w:szCs w:val="22"/>
        </w:rPr>
      </w:pPr>
      <w:r w:rsidRPr="00193354">
        <w:rPr>
          <w:noProof/>
        </w:rPr>
        <w:t>2</w:t>
      </w:r>
      <w:r w:rsidRPr="00193354">
        <w:rPr>
          <w:noProof/>
        </w:rPr>
        <w:tab/>
        <w:t>Commencement</w:t>
      </w:r>
      <w:r w:rsidRPr="00193354">
        <w:rPr>
          <w:noProof/>
        </w:rPr>
        <w:tab/>
      </w:r>
      <w:r w:rsidRPr="00193354">
        <w:rPr>
          <w:noProof/>
        </w:rPr>
        <w:fldChar w:fldCharType="begin"/>
      </w:r>
      <w:r w:rsidRPr="00193354">
        <w:rPr>
          <w:noProof/>
        </w:rPr>
        <w:instrText xml:space="preserve"> PAGEREF _Toc122448233 \h </w:instrText>
      </w:r>
      <w:r w:rsidRPr="00193354">
        <w:rPr>
          <w:noProof/>
        </w:rPr>
      </w:r>
      <w:r w:rsidRPr="00193354">
        <w:rPr>
          <w:noProof/>
        </w:rPr>
        <w:fldChar w:fldCharType="separate"/>
      </w:r>
      <w:r w:rsidR="00B906DC">
        <w:rPr>
          <w:noProof/>
        </w:rPr>
        <w:t>1</w:t>
      </w:r>
      <w:r w:rsidRPr="00193354">
        <w:rPr>
          <w:noProof/>
        </w:rPr>
        <w:fldChar w:fldCharType="end"/>
      </w:r>
    </w:p>
    <w:p w14:paraId="1F7D1AA3" w14:textId="5DBCAD32" w:rsidR="0076315B" w:rsidRPr="00193354" w:rsidRDefault="0076315B">
      <w:pPr>
        <w:pStyle w:val="TOC5"/>
        <w:rPr>
          <w:rFonts w:asciiTheme="minorHAnsi" w:eastAsiaTheme="minorEastAsia" w:hAnsiTheme="minorHAnsi" w:cstheme="minorBidi"/>
          <w:noProof/>
          <w:kern w:val="0"/>
          <w:sz w:val="22"/>
          <w:szCs w:val="22"/>
        </w:rPr>
      </w:pPr>
      <w:r w:rsidRPr="00193354">
        <w:rPr>
          <w:noProof/>
        </w:rPr>
        <w:t>3</w:t>
      </w:r>
      <w:r w:rsidRPr="00193354">
        <w:rPr>
          <w:noProof/>
        </w:rPr>
        <w:tab/>
        <w:t>Authority</w:t>
      </w:r>
      <w:r w:rsidRPr="00193354">
        <w:rPr>
          <w:noProof/>
        </w:rPr>
        <w:tab/>
      </w:r>
      <w:r w:rsidRPr="00193354">
        <w:rPr>
          <w:noProof/>
        </w:rPr>
        <w:fldChar w:fldCharType="begin"/>
      </w:r>
      <w:r w:rsidRPr="00193354">
        <w:rPr>
          <w:noProof/>
        </w:rPr>
        <w:instrText xml:space="preserve"> PAGEREF _Toc122448234 \h </w:instrText>
      </w:r>
      <w:r w:rsidRPr="00193354">
        <w:rPr>
          <w:noProof/>
        </w:rPr>
      </w:r>
      <w:r w:rsidRPr="00193354">
        <w:rPr>
          <w:noProof/>
        </w:rPr>
        <w:fldChar w:fldCharType="separate"/>
      </w:r>
      <w:r w:rsidR="00B906DC">
        <w:rPr>
          <w:noProof/>
        </w:rPr>
        <w:t>1</w:t>
      </w:r>
      <w:r w:rsidRPr="00193354">
        <w:rPr>
          <w:noProof/>
        </w:rPr>
        <w:fldChar w:fldCharType="end"/>
      </w:r>
    </w:p>
    <w:p w14:paraId="1D73AC9E" w14:textId="70A54AC8" w:rsidR="0076315B" w:rsidRPr="00193354" w:rsidRDefault="0076315B">
      <w:pPr>
        <w:pStyle w:val="TOC5"/>
        <w:rPr>
          <w:rFonts w:asciiTheme="minorHAnsi" w:eastAsiaTheme="minorEastAsia" w:hAnsiTheme="minorHAnsi" w:cstheme="minorBidi"/>
          <w:noProof/>
          <w:kern w:val="0"/>
          <w:sz w:val="22"/>
          <w:szCs w:val="22"/>
        </w:rPr>
      </w:pPr>
      <w:r w:rsidRPr="00193354">
        <w:rPr>
          <w:noProof/>
        </w:rPr>
        <w:t>4</w:t>
      </w:r>
      <w:r w:rsidRPr="00193354">
        <w:rPr>
          <w:noProof/>
        </w:rPr>
        <w:tab/>
        <w:t>Schedules</w:t>
      </w:r>
      <w:r w:rsidRPr="00193354">
        <w:rPr>
          <w:noProof/>
        </w:rPr>
        <w:tab/>
      </w:r>
      <w:r w:rsidRPr="00193354">
        <w:rPr>
          <w:noProof/>
        </w:rPr>
        <w:fldChar w:fldCharType="begin"/>
      </w:r>
      <w:r w:rsidRPr="00193354">
        <w:rPr>
          <w:noProof/>
        </w:rPr>
        <w:instrText xml:space="preserve"> PAGEREF _Toc122448235 \h </w:instrText>
      </w:r>
      <w:r w:rsidRPr="00193354">
        <w:rPr>
          <w:noProof/>
        </w:rPr>
      </w:r>
      <w:r w:rsidRPr="00193354">
        <w:rPr>
          <w:noProof/>
        </w:rPr>
        <w:fldChar w:fldCharType="separate"/>
      </w:r>
      <w:r w:rsidR="00B906DC">
        <w:rPr>
          <w:noProof/>
        </w:rPr>
        <w:t>1</w:t>
      </w:r>
      <w:r w:rsidRPr="00193354">
        <w:rPr>
          <w:noProof/>
        </w:rPr>
        <w:fldChar w:fldCharType="end"/>
      </w:r>
    </w:p>
    <w:p w14:paraId="79B1F539" w14:textId="054E91C9" w:rsidR="0076315B" w:rsidRPr="00193354" w:rsidRDefault="0076315B">
      <w:pPr>
        <w:pStyle w:val="TOC6"/>
        <w:rPr>
          <w:rFonts w:asciiTheme="minorHAnsi" w:eastAsiaTheme="minorEastAsia" w:hAnsiTheme="minorHAnsi" w:cstheme="minorBidi"/>
          <w:b w:val="0"/>
          <w:noProof/>
          <w:kern w:val="0"/>
          <w:sz w:val="22"/>
          <w:szCs w:val="22"/>
        </w:rPr>
      </w:pPr>
      <w:r w:rsidRPr="00193354">
        <w:rPr>
          <w:noProof/>
        </w:rPr>
        <w:t>Schedule 1—Amendment of the Federal Court Rules 2011</w:t>
      </w:r>
      <w:r w:rsidRPr="00193354">
        <w:rPr>
          <w:b w:val="0"/>
          <w:noProof/>
          <w:sz w:val="18"/>
        </w:rPr>
        <w:tab/>
      </w:r>
      <w:r w:rsidRPr="00193354">
        <w:rPr>
          <w:b w:val="0"/>
          <w:noProof/>
          <w:sz w:val="18"/>
        </w:rPr>
        <w:fldChar w:fldCharType="begin"/>
      </w:r>
      <w:r w:rsidRPr="00193354">
        <w:rPr>
          <w:b w:val="0"/>
          <w:noProof/>
          <w:sz w:val="18"/>
        </w:rPr>
        <w:instrText xml:space="preserve"> PAGEREF _Toc122448236 \h </w:instrText>
      </w:r>
      <w:r w:rsidRPr="00193354">
        <w:rPr>
          <w:b w:val="0"/>
          <w:noProof/>
          <w:sz w:val="18"/>
        </w:rPr>
      </w:r>
      <w:r w:rsidRPr="00193354">
        <w:rPr>
          <w:b w:val="0"/>
          <w:noProof/>
          <w:sz w:val="18"/>
        </w:rPr>
        <w:fldChar w:fldCharType="separate"/>
      </w:r>
      <w:r w:rsidR="00B906DC">
        <w:rPr>
          <w:b w:val="0"/>
          <w:noProof/>
          <w:sz w:val="18"/>
        </w:rPr>
        <w:t>2</w:t>
      </w:r>
      <w:r w:rsidRPr="00193354">
        <w:rPr>
          <w:b w:val="0"/>
          <w:noProof/>
          <w:sz w:val="18"/>
        </w:rPr>
        <w:fldChar w:fldCharType="end"/>
      </w:r>
    </w:p>
    <w:p w14:paraId="3B198504" w14:textId="2F941CF0" w:rsidR="0076315B" w:rsidRPr="00193354" w:rsidRDefault="0076315B">
      <w:pPr>
        <w:pStyle w:val="TOC9"/>
        <w:rPr>
          <w:rFonts w:asciiTheme="minorHAnsi" w:eastAsiaTheme="minorEastAsia" w:hAnsiTheme="minorHAnsi" w:cstheme="minorBidi"/>
          <w:i w:val="0"/>
          <w:noProof/>
          <w:kern w:val="0"/>
          <w:sz w:val="22"/>
          <w:szCs w:val="22"/>
        </w:rPr>
      </w:pPr>
      <w:r w:rsidRPr="00193354">
        <w:rPr>
          <w:noProof/>
        </w:rPr>
        <w:t>Federal Court Rules 2011</w:t>
      </w:r>
      <w:r w:rsidRPr="00193354">
        <w:rPr>
          <w:i w:val="0"/>
          <w:noProof/>
          <w:sz w:val="18"/>
        </w:rPr>
        <w:tab/>
      </w:r>
      <w:r w:rsidRPr="00193354">
        <w:rPr>
          <w:i w:val="0"/>
          <w:noProof/>
          <w:sz w:val="18"/>
        </w:rPr>
        <w:fldChar w:fldCharType="begin"/>
      </w:r>
      <w:r w:rsidRPr="00193354">
        <w:rPr>
          <w:i w:val="0"/>
          <w:noProof/>
          <w:sz w:val="18"/>
        </w:rPr>
        <w:instrText xml:space="preserve"> PAGEREF _Toc122448237 \h </w:instrText>
      </w:r>
      <w:r w:rsidRPr="00193354">
        <w:rPr>
          <w:i w:val="0"/>
          <w:noProof/>
          <w:sz w:val="18"/>
        </w:rPr>
      </w:r>
      <w:r w:rsidRPr="00193354">
        <w:rPr>
          <w:i w:val="0"/>
          <w:noProof/>
          <w:sz w:val="18"/>
        </w:rPr>
        <w:fldChar w:fldCharType="separate"/>
      </w:r>
      <w:r w:rsidR="00B906DC">
        <w:rPr>
          <w:i w:val="0"/>
          <w:noProof/>
          <w:sz w:val="18"/>
        </w:rPr>
        <w:t>2</w:t>
      </w:r>
      <w:r w:rsidRPr="00193354">
        <w:rPr>
          <w:i w:val="0"/>
          <w:noProof/>
          <w:sz w:val="18"/>
        </w:rPr>
        <w:fldChar w:fldCharType="end"/>
      </w:r>
    </w:p>
    <w:p w14:paraId="5D10C74A" w14:textId="5352A0E1" w:rsidR="0076315B" w:rsidRPr="00193354" w:rsidRDefault="0076315B">
      <w:pPr>
        <w:pStyle w:val="TOC6"/>
        <w:rPr>
          <w:rFonts w:asciiTheme="minorHAnsi" w:eastAsiaTheme="minorEastAsia" w:hAnsiTheme="minorHAnsi" w:cstheme="minorBidi"/>
          <w:b w:val="0"/>
          <w:noProof/>
          <w:kern w:val="0"/>
          <w:sz w:val="22"/>
          <w:szCs w:val="22"/>
        </w:rPr>
      </w:pPr>
      <w:r w:rsidRPr="00193354">
        <w:rPr>
          <w:noProof/>
        </w:rPr>
        <w:t>Schedule 2—Amendment of the Federal Court (Criminal Proceedings) Rules 2016</w:t>
      </w:r>
      <w:r w:rsidRPr="00193354">
        <w:rPr>
          <w:b w:val="0"/>
          <w:noProof/>
          <w:sz w:val="18"/>
        </w:rPr>
        <w:tab/>
      </w:r>
      <w:r w:rsidRPr="00193354">
        <w:rPr>
          <w:b w:val="0"/>
          <w:noProof/>
          <w:sz w:val="18"/>
        </w:rPr>
        <w:fldChar w:fldCharType="begin"/>
      </w:r>
      <w:r w:rsidRPr="00193354">
        <w:rPr>
          <w:b w:val="0"/>
          <w:noProof/>
          <w:sz w:val="18"/>
        </w:rPr>
        <w:instrText xml:space="preserve"> PAGEREF _Toc122448269 \h </w:instrText>
      </w:r>
      <w:r w:rsidRPr="00193354">
        <w:rPr>
          <w:b w:val="0"/>
          <w:noProof/>
          <w:sz w:val="18"/>
        </w:rPr>
      </w:r>
      <w:r w:rsidRPr="00193354">
        <w:rPr>
          <w:b w:val="0"/>
          <w:noProof/>
          <w:sz w:val="18"/>
        </w:rPr>
        <w:fldChar w:fldCharType="separate"/>
      </w:r>
      <w:r w:rsidR="00B906DC">
        <w:rPr>
          <w:b w:val="0"/>
          <w:noProof/>
          <w:sz w:val="18"/>
        </w:rPr>
        <w:t>19</w:t>
      </w:r>
      <w:r w:rsidRPr="00193354">
        <w:rPr>
          <w:b w:val="0"/>
          <w:noProof/>
          <w:sz w:val="18"/>
        </w:rPr>
        <w:fldChar w:fldCharType="end"/>
      </w:r>
    </w:p>
    <w:p w14:paraId="67BA3DBE" w14:textId="2EFDFEAC" w:rsidR="0076315B" w:rsidRPr="00193354" w:rsidRDefault="0076315B">
      <w:pPr>
        <w:pStyle w:val="TOC9"/>
        <w:rPr>
          <w:rFonts w:asciiTheme="minorHAnsi" w:eastAsiaTheme="minorEastAsia" w:hAnsiTheme="minorHAnsi" w:cstheme="minorBidi"/>
          <w:i w:val="0"/>
          <w:noProof/>
          <w:kern w:val="0"/>
          <w:sz w:val="22"/>
          <w:szCs w:val="22"/>
        </w:rPr>
      </w:pPr>
      <w:r w:rsidRPr="00193354">
        <w:rPr>
          <w:noProof/>
        </w:rPr>
        <w:t>Federal Court (Criminal Proceedings) Rules 2016</w:t>
      </w:r>
      <w:r w:rsidRPr="00193354">
        <w:rPr>
          <w:i w:val="0"/>
          <w:noProof/>
          <w:sz w:val="18"/>
        </w:rPr>
        <w:tab/>
      </w:r>
      <w:r w:rsidRPr="00193354">
        <w:rPr>
          <w:i w:val="0"/>
          <w:noProof/>
          <w:sz w:val="18"/>
        </w:rPr>
        <w:fldChar w:fldCharType="begin"/>
      </w:r>
      <w:r w:rsidRPr="00193354">
        <w:rPr>
          <w:i w:val="0"/>
          <w:noProof/>
          <w:sz w:val="18"/>
        </w:rPr>
        <w:instrText xml:space="preserve"> PAGEREF _Toc122448270 \h </w:instrText>
      </w:r>
      <w:r w:rsidRPr="00193354">
        <w:rPr>
          <w:i w:val="0"/>
          <w:noProof/>
          <w:sz w:val="18"/>
        </w:rPr>
      </w:r>
      <w:r w:rsidRPr="00193354">
        <w:rPr>
          <w:i w:val="0"/>
          <w:noProof/>
          <w:sz w:val="18"/>
        </w:rPr>
        <w:fldChar w:fldCharType="separate"/>
      </w:r>
      <w:r w:rsidR="00B906DC">
        <w:rPr>
          <w:i w:val="0"/>
          <w:noProof/>
          <w:sz w:val="18"/>
        </w:rPr>
        <w:t>19</w:t>
      </w:r>
      <w:r w:rsidRPr="00193354">
        <w:rPr>
          <w:i w:val="0"/>
          <w:noProof/>
          <w:sz w:val="18"/>
        </w:rPr>
        <w:fldChar w:fldCharType="end"/>
      </w:r>
    </w:p>
    <w:p w14:paraId="6EDF9662" w14:textId="209A26E7" w:rsidR="0076315B" w:rsidRPr="00193354" w:rsidRDefault="0076315B">
      <w:pPr>
        <w:pStyle w:val="TOC6"/>
        <w:rPr>
          <w:rFonts w:asciiTheme="minorHAnsi" w:eastAsiaTheme="minorEastAsia" w:hAnsiTheme="minorHAnsi" w:cstheme="minorBidi"/>
          <w:b w:val="0"/>
          <w:noProof/>
          <w:kern w:val="0"/>
          <w:sz w:val="22"/>
          <w:szCs w:val="22"/>
        </w:rPr>
      </w:pPr>
      <w:r w:rsidRPr="00193354">
        <w:rPr>
          <w:noProof/>
        </w:rPr>
        <w:t>Schedule 3—Amendment of the Federal Court (Bankruptcy) Rules 2016</w:t>
      </w:r>
      <w:r w:rsidRPr="00193354">
        <w:rPr>
          <w:b w:val="0"/>
          <w:noProof/>
          <w:sz w:val="18"/>
        </w:rPr>
        <w:tab/>
      </w:r>
      <w:r w:rsidRPr="00193354">
        <w:rPr>
          <w:b w:val="0"/>
          <w:noProof/>
          <w:sz w:val="18"/>
        </w:rPr>
        <w:fldChar w:fldCharType="begin"/>
      </w:r>
      <w:r w:rsidRPr="00193354">
        <w:rPr>
          <w:b w:val="0"/>
          <w:noProof/>
          <w:sz w:val="18"/>
        </w:rPr>
        <w:instrText xml:space="preserve"> PAGEREF _Toc122448275 \h </w:instrText>
      </w:r>
      <w:r w:rsidRPr="00193354">
        <w:rPr>
          <w:b w:val="0"/>
          <w:noProof/>
          <w:sz w:val="18"/>
        </w:rPr>
      </w:r>
      <w:r w:rsidRPr="00193354">
        <w:rPr>
          <w:b w:val="0"/>
          <w:noProof/>
          <w:sz w:val="18"/>
        </w:rPr>
        <w:fldChar w:fldCharType="separate"/>
      </w:r>
      <w:r w:rsidR="00B906DC">
        <w:rPr>
          <w:b w:val="0"/>
          <w:noProof/>
          <w:sz w:val="18"/>
        </w:rPr>
        <w:t>20</w:t>
      </w:r>
      <w:r w:rsidRPr="00193354">
        <w:rPr>
          <w:b w:val="0"/>
          <w:noProof/>
          <w:sz w:val="18"/>
        </w:rPr>
        <w:fldChar w:fldCharType="end"/>
      </w:r>
    </w:p>
    <w:p w14:paraId="1299312E" w14:textId="45B83136" w:rsidR="0076315B" w:rsidRPr="00193354" w:rsidRDefault="0076315B">
      <w:pPr>
        <w:pStyle w:val="TOC9"/>
        <w:rPr>
          <w:rFonts w:asciiTheme="minorHAnsi" w:eastAsiaTheme="minorEastAsia" w:hAnsiTheme="minorHAnsi" w:cstheme="minorBidi"/>
          <w:i w:val="0"/>
          <w:noProof/>
          <w:kern w:val="0"/>
          <w:sz w:val="22"/>
          <w:szCs w:val="22"/>
        </w:rPr>
      </w:pPr>
      <w:r w:rsidRPr="00193354">
        <w:rPr>
          <w:noProof/>
        </w:rPr>
        <w:t>Federal Court (Bankruptcy) Rules 2016</w:t>
      </w:r>
      <w:r w:rsidRPr="00193354">
        <w:rPr>
          <w:i w:val="0"/>
          <w:noProof/>
          <w:sz w:val="18"/>
        </w:rPr>
        <w:tab/>
      </w:r>
      <w:r w:rsidRPr="00193354">
        <w:rPr>
          <w:i w:val="0"/>
          <w:noProof/>
          <w:sz w:val="18"/>
        </w:rPr>
        <w:fldChar w:fldCharType="begin"/>
      </w:r>
      <w:r w:rsidRPr="00193354">
        <w:rPr>
          <w:i w:val="0"/>
          <w:noProof/>
          <w:sz w:val="18"/>
        </w:rPr>
        <w:instrText xml:space="preserve"> PAGEREF _Toc122448276 \h </w:instrText>
      </w:r>
      <w:r w:rsidRPr="00193354">
        <w:rPr>
          <w:i w:val="0"/>
          <w:noProof/>
          <w:sz w:val="18"/>
        </w:rPr>
      </w:r>
      <w:r w:rsidRPr="00193354">
        <w:rPr>
          <w:i w:val="0"/>
          <w:noProof/>
          <w:sz w:val="18"/>
        </w:rPr>
        <w:fldChar w:fldCharType="separate"/>
      </w:r>
      <w:r w:rsidR="00B906DC">
        <w:rPr>
          <w:i w:val="0"/>
          <w:noProof/>
          <w:sz w:val="18"/>
        </w:rPr>
        <w:t>20</w:t>
      </w:r>
      <w:r w:rsidRPr="00193354">
        <w:rPr>
          <w:i w:val="0"/>
          <w:noProof/>
          <w:sz w:val="18"/>
        </w:rPr>
        <w:fldChar w:fldCharType="end"/>
      </w:r>
    </w:p>
    <w:p w14:paraId="1A0063B1" w14:textId="58032C63" w:rsidR="0076315B" w:rsidRPr="00193354" w:rsidRDefault="0076315B">
      <w:pPr>
        <w:pStyle w:val="TOC6"/>
        <w:rPr>
          <w:rFonts w:asciiTheme="minorHAnsi" w:eastAsiaTheme="minorEastAsia" w:hAnsiTheme="minorHAnsi" w:cstheme="minorBidi"/>
          <w:b w:val="0"/>
          <w:noProof/>
          <w:kern w:val="0"/>
          <w:sz w:val="22"/>
          <w:szCs w:val="22"/>
        </w:rPr>
      </w:pPr>
      <w:r w:rsidRPr="00193354">
        <w:rPr>
          <w:noProof/>
        </w:rPr>
        <w:t>Schedule 4—Amendment of the Federal Court (Corporations) Rules 2000</w:t>
      </w:r>
      <w:r w:rsidRPr="00193354">
        <w:rPr>
          <w:b w:val="0"/>
          <w:noProof/>
          <w:sz w:val="18"/>
        </w:rPr>
        <w:tab/>
      </w:r>
      <w:r w:rsidRPr="00193354">
        <w:rPr>
          <w:b w:val="0"/>
          <w:noProof/>
          <w:sz w:val="18"/>
        </w:rPr>
        <w:fldChar w:fldCharType="begin"/>
      </w:r>
      <w:r w:rsidRPr="00193354">
        <w:rPr>
          <w:b w:val="0"/>
          <w:noProof/>
          <w:sz w:val="18"/>
        </w:rPr>
        <w:instrText xml:space="preserve"> PAGEREF _Toc122448277 \h </w:instrText>
      </w:r>
      <w:r w:rsidRPr="00193354">
        <w:rPr>
          <w:b w:val="0"/>
          <w:noProof/>
          <w:sz w:val="18"/>
        </w:rPr>
      </w:r>
      <w:r w:rsidRPr="00193354">
        <w:rPr>
          <w:b w:val="0"/>
          <w:noProof/>
          <w:sz w:val="18"/>
        </w:rPr>
        <w:fldChar w:fldCharType="separate"/>
      </w:r>
      <w:r w:rsidR="00B906DC">
        <w:rPr>
          <w:b w:val="0"/>
          <w:noProof/>
          <w:sz w:val="18"/>
        </w:rPr>
        <w:t>21</w:t>
      </w:r>
      <w:r w:rsidRPr="00193354">
        <w:rPr>
          <w:b w:val="0"/>
          <w:noProof/>
          <w:sz w:val="18"/>
        </w:rPr>
        <w:fldChar w:fldCharType="end"/>
      </w:r>
    </w:p>
    <w:p w14:paraId="1BFD36B3" w14:textId="595B4AE8" w:rsidR="0076315B" w:rsidRPr="00193354" w:rsidRDefault="0076315B">
      <w:pPr>
        <w:pStyle w:val="TOC9"/>
        <w:rPr>
          <w:rFonts w:asciiTheme="minorHAnsi" w:eastAsiaTheme="minorEastAsia" w:hAnsiTheme="minorHAnsi" w:cstheme="minorBidi"/>
          <w:i w:val="0"/>
          <w:noProof/>
          <w:kern w:val="0"/>
          <w:sz w:val="22"/>
          <w:szCs w:val="22"/>
        </w:rPr>
      </w:pPr>
      <w:r w:rsidRPr="00193354">
        <w:rPr>
          <w:noProof/>
        </w:rPr>
        <w:t>Federal Court (Corporations) Rules 2000</w:t>
      </w:r>
      <w:r w:rsidRPr="00193354">
        <w:rPr>
          <w:i w:val="0"/>
          <w:noProof/>
          <w:sz w:val="18"/>
        </w:rPr>
        <w:tab/>
      </w:r>
      <w:r w:rsidRPr="00193354">
        <w:rPr>
          <w:i w:val="0"/>
          <w:noProof/>
          <w:sz w:val="18"/>
        </w:rPr>
        <w:fldChar w:fldCharType="begin"/>
      </w:r>
      <w:r w:rsidRPr="00193354">
        <w:rPr>
          <w:i w:val="0"/>
          <w:noProof/>
          <w:sz w:val="18"/>
        </w:rPr>
        <w:instrText xml:space="preserve"> PAGEREF _Toc122448278 \h </w:instrText>
      </w:r>
      <w:r w:rsidRPr="00193354">
        <w:rPr>
          <w:i w:val="0"/>
          <w:noProof/>
          <w:sz w:val="18"/>
        </w:rPr>
      </w:r>
      <w:r w:rsidRPr="00193354">
        <w:rPr>
          <w:i w:val="0"/>
          <w:noProof/>
          <w:sz w:val="18"/>
        </w:rPr>
        <w:fldChar w:fldCharType="separate"/>
      </w:r>
      <w:r w:rsidR="00B906DC">
        <w:rPr>
          <w:i w:val="0"/>
          <w:noProof/>
          <w:sz w:val="18"/>
        </w:rPr>
        <w:t>21</w:t>
      </w:r>
      <w:r w:rsidRPr="00193354">
        <w:rPr>
          <w:i w:val="0"/>
          <w:noProof/>
          <w:sz w:val="18"/>
        </w:rPr>
        <w:fldChar w:fldCharType="end"/>
      </w:r>
    </w:p>
    <w:p w14:paraId="5C2829BF" w14:textId="77777777" w:rsidR="0048364F" w:rsidRPr="00193354" w:rsidRDefault="0076315B" w:rsidP="0048364F">
      <w:r w:rsidRPr="00193354">
        <w:fldChar w:fldCharType="end"/>
      </w:r>
    </w:p>
    <w:p w14:paraId="0BD6717C" w14:textId="77777777" w:rsidR="0048364F" w:rsidRPr="00193354" w:rsidRDefault="0048364F" w:rsidP="0048364F">
      <w:pPr>
        <w:sectPr w:rsidR="0048364F" w:rsidRPr="00193354" w:rsidSect="00B25989">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3CCC6782" w14:textId="77777777" w:rsidR="0048364F" w:rsidRPr="00193354" w:rsidRDefault="0048364F" w:rsidP="0048364F">
      <w:pPr>
        <w:pStyle w:val="ActHead5"/>
      </w:pPr>
      <w:bookmarkStart w:id="0" w:name="_Toc122448232"/>
      <w:r w:rsidRPr="00D478AB">
        <w:rPr>
          <w:rStyle w:val="CharSectno"/>
        </w:rPr>
        <w:lastRenderedPageBreak/>
        <w:t>1</w:t>
      </w:r>
      <w:r w:rsidRPr="00193354">
        <w:t xml:space="preserve">  </w:t>
      </w:r>
      <w:r w:rsidR="004F676E" w:rsidRPr="00193354">
        <w:t>Name</w:t>
      </w:r>
      <w:bookmarkEnd w:id="0"/>
    </w:p>
    <w:p w14:paraId="08ABA851" w14:textId="77777777" w:rsidR="0048364F" w:rsidRPr="00193354" w:rsidRDefault="0048364F" w:rsidP="0048364F">
      <w:pPr>
        <w:pStyle w:val="subsection"/>
      </w:pPr>
      <w:r w:rsidRPr="00193354">
        <w:tab/>
      </w:r>
      <w:r w:rsidRPr="00193354">
        <w:tab/>
      </w:r>
      <w:r w:rsidR="005022D2" w:rsidRPr="00193354">
        <w:t>These Rules are</w:t>
      </w:r>
      <w:r w:rsidRPr="00193354">
        <w:t xml:space="preserve"> the </w:t>
      </w:r>
      <w:bookmarkStart w:id="1" w:name="_Hlk119408204"/>
      <w:r w:rsidR="004554DA" w:rsidRPr="00193354">
        <w:rPr>
          <w:i/>
          <w:noProof/>
        </w:rPr>
        <w:t>Federal Court Legislation Amendment Rules 2022</w:t>
      </w:r>
      <w:bookmarkEnd w:id="1"/>
      <w:r w:rsidRPr="00193354">
        <w:t>.</w:t>
      </w:r>
    </w:p>
    <w:p w14:paraId="3C64E6D8" w14:textId="77777777" w:rsidR="004F676E" w:rsidRPr="00193354" w:rsidRDefault="0048364F" w:rsidP="005452CC">
      <w:pPr>
        <w:pStyle w:val="ActHead5"/>
      </w:pPr>
      <w:bookmarkStart w:id="2" w:name="_Toc122448233"/>
      <w:r w:rsidRPr="00D478AB">
        <w:rPr>
          <w:rStyle w:val="CharSectno"/>
        </w:rPr>
        <w:t>2</w:t>
      </w:r>
      <w:r w:rsidRPr="00193354">
        <w:t xml:space="preserve">  Commencement</w:t>
      </w:r>
      <w:bookmarkEnd w:id="2"/>
    </w:p>
    <w:p w14:paraId="05F8C7E3" w14:textId="77777777" w:rsidR="005452CC" w:rsidRPr="00193354" w:rsidRDefault="005452CC" w:rsidP="00B74827">
      <w:pPr>
        <w:pStyle w:val="subsection"/>
      </w:pPr>
      <w:r w:rsidRPr="00193354">
        <w:tab/>
        <w:t>(1)</w:t>
      </w:r>
      <w:r w:rsidRPr="00193354">
        <w:tab/>
        <w:t xml:space="preserve">Each provision of </w:t>
      </w:r>
      <w:r w:rsidR="005022D2" w:rsidRPr="00193354">
        <w:t>these Rules</w:t>
      </w:r>
      <w:r w:rsidRPr="00193354">
        <w:t xml:space="preserve"> specified in column 1 of the table commences, or is taken to have commenced, in accordance with column 2 of the table. Any other statement in column 2 has effect according to its terms.</w:t>
      </w:r>
    </w:p>
    <w:p w14:paraId="3418F3A8" w14:textId="77777777" w:rsidR="005452CC" w:rsidRPr="00193354" w:rsidRDefault="005452CC" w:rsidP="00B7482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193354" w14:paraId="3B566767" w14:textId="77777777" w:rsidTr="00AD7252">
        <w:trPr>
          <w:tblHeader/>
        </w:trPr>
        <w:tc>
          <w:tcPr>
            <w:tcW w:w="8364" w:type="dxa"/>
            <w:gridSpan w:val="3"/>
            <w:tcBorders>
              <w:top w:val="single" w:sz="12" w:space="0" w:color="auto"/>
              <w:bottom w:val="single" w:sz="6" w:space="0" w:color="auto"/>
            </w:tcBorders>
            <w:shd w:val="clear" w:color="auto" w:fill="auto"/>
            <w:hideMark/>
          </w:tcPr>
          <w:p w14:paraId="3C48439B" w14:textId="77777777" w:rsidR="005452CC" w:rsidRPr="00193354" w:rsidRDefault="005452CC" w:rsidP="00B74827">
            <w:pPr>
              <w:pStyle w:val="TableHeading"/>
            </w:pPr>
            <w:r w:rsidRPr="00193354">
              <w:t>Commencement information</w:t>
            </w:r>
          </w:p>
        </w:tc>
      </w:tr>
      <w:tr w:rsidR="005452CC" w:rsidRPr="00193354" w14:paraId="1356E225" w14:textId="77777777" w:rsidTr="00AD7252">
        <w:trPr>
          <w:tblHeader/>
        </w:trPr>
        <w:tc>
          <w:tcPr>
            <w:tcW w:w="2127" w:type="dxa"/>
            <w:tcBorders>
              <w:top w:val="single" w:sz="6" w:space="0" w:color="auto"/>
              <w:bottom w:val="single" w:sz="6" w:space="0" w:color="auto"/>
            </w:tcBorders>
            <w:shd w:val="clear" w:color="auto" w:fill="auto"/>
            <w:hideMark/>
          </w:tcPr>
          <w:p w14:paraId="7CC9A8F0" w14:textId="77777777" w:rsidR="005452CC" w:rsidRPr="00193354" w:rsidRDefault="005452CC" w:rsidP="00B74827">
            <w:pPr>
              <w:pStyle w:val="TableHeading"/>
            </w:pPr>
            <w:r w:rsidRPr="00193354">
              <w:t>Column 1</w:t>
            </w:r>
          </w:p>
        </w:tc>
        <w:tc>
          <w:tcPr>
            <w:tcW w:w="4394" w:type="dxa"/>
            <w:tcBorders>
              <w:top w:val="single" w:sz="6" w:space="0" w:color="auto"/>
              <w:bottom w:val="single" w:sz="6" w:space="0" w:color="auto"/>
            </w:tcBorders>
            <w:shd w:val="clear" w:color="auto" w:fill="auto"/>
            <w:hideMark/>
          </w:tcPr>
          <w:p w14:paraId="5F630D2D" w14:textId="77777777" w:rsidR="005452CC" w:rsidRPr="00193354" w:rsidRDefault="005452CC" w:rsidP="00B74827">
            <w:pPr>
              <w:pStyle w:val="TableHeading"/>
            </w:pPr>
            <w:r w:rsidRPr="00193354">
              <w:t>Column 2</w:t>
            </w:r>
          </w:p>
        </w:tc>
        <w:tc>
          <w:tcPr>
            <w:tcW w:w="1843" w:type="dxa"/>
            <w:tcBorders>
              <w:top w:val="single" w:sz="6" w:space="0" w:color="auto"/>
              <w:bottom w:val="single" w:sz="6" w:space="0" w:color="auto"/>
            </w:tcBorders>
            <w:shd w:val="clear" w:color="auto" w:fill="auto"/>
            <w:hideMark/>
          </w:tcPr>
          <w:p w14:paraId="75FD5947" w14:textId="77777777" w:rsidR="005452CC" w:rsidRPr="00193354" w:rsidRDefault="005452CC" w:rsidP="00B74827">
            <w:pPr>
              <w:pStyle w:val="TableHeading"/>
            </w:pPr>
            <w:r w:rsidRPr="00193354">
              <w:t>Column 3</w:t>
            </w:r>
          </w:p>
        </w:tc>
      </w:tr>
      <w:tr w:rsidR="005452CC" w:rsidRPr="00193354" w14:paraId="10DC38BF" w14:textId="77777777" w:rsidTr="00AD7252">
        <w:trPr>
          <w:tblHeader/>
        </w:trPr>
        <w:tc>
          <w:tcPr>
            <w:tcW w:w="2127" w:type="dxa"/>
            <w:tcBorders>
              <w:top w:val="single" w:sz="6" w:space="0" w:color="auto"/>
              <w:bottom w:val="single" w:sz="12" w:space="0" w:color="auto"/>
            </w:tcBorders>
            <w:shd w:val="clear" w:color="auto" w:fill="auto"/>
            <w:hideMark/>
          </w:tcPr>
          <w:p w14:paraId="072E67E8" w14:textId="77777777" w:rsidR="005452CC" w:rsidRPr="00193354" w:rsidRDefault="005452CC" w:rsidP="00B74827">
            <w:pPr>
              <w:pStyle w:val="TableHeading"/>
            </w:pPr>
            <w:r w:rsidRPr="00193354">
              <w:t>Provisions</w:t>
            </w:r>
          </w:p>
        </w:tc>
        <w:tc>
          <w:tcPr>
            <w:tcW w:w="4394" w:type="dxa"/>
            <w:tcBorders>
              <w:top w:val="single" w:sz="6" w:space="0" w:color="auto"/>
              <w:bottom w:val="single" w:sz="12" w:space="0" w:color="auto"/>
            </w:tcBorders>
            <w:shd w:val="clear" w:color="auto" w:fill="auto"/>
            <w:hideMark/>
          </w:tcPr>
          <w:p w14:paraId="1A54E72E" w14:textId="77777777" w:rsidR="005452CC" w:rsidRPr="00193354" w:rsidRDefault="005452CC" w:rsidP="00B74827">
            <w:pPr>
              <w:pStyle w:val="TableHeading"/>
            </w:pPr>
            <w:r w:rsidRPr="00193354">
              <w:t>Commencement</w:t>
            </w:r>
          </w:p>
        </w:tc>
        <w:tc>
          <w:tcPr>
            <w:tcW w:w="1843" w:type="dxa"/>
            <w:tcBorders>
              <w:top w:val="single" w:sz="6" w:space="0" w:color="auto"/>
              <w:bottom w:val="single" w:sz="12" w:space="0" w:color="auto"/>
            </w:tcBorders>
            <w:shd w:val="clear" w:color="auto" w:fill="auto"/>
            <w:hideMark/>
          </w:tcPr>
          <w:p w14:paraId="46359685" w14:textId="77777777" w:rsidR="005452CC" w:rsidRPr="00193354" w:rsidRDefault="005452CC" w:rsidP="00B74827">
            <w:pPr>
              <w:pStyle w:val="TableHeading"/>
            </w:pPr>
            <w:r w:rsidRPr="00193354">
              <w:t>Date/Details</w:t>
            </w:r>
          </w:p>
        </w:tc>
      </w:tr>
      <w:tr w:rsidR="005452CC" w:rsidRPr="00193354" w14:paraId="7AF2D60B" w14:textId="77777777" w:rsidTr="00AD7252">
        <w:tc>
          <w:tcPr>
            <w:tcW w:w="2127" w:type="dxa"/>
            <w:tcBorders>
              <w:top w:val="single" w:sz="12" w:space="0" w:color="auto"/>
              <w:bottom w:val="single" w:sz="12" w:space="0" w:color="auto"/>
            </w:tcBorders>
            <w:shd w:val="clear" w:color="auto" w:fill="auto"/>
            <w:hideMark/>
          </w:tcPr>
          <w:p w14:paraId="6B79B55A" w14:textId="77777777" w:rsidR="005452CC" w:rsidRPr="00193354" w:rsidRDefault="005452CC" w:rsidP="00AD7252">
            <w:pPr>
              <w:pStyle w:val="Tabletext"/>
            </w:pPr>
            <w:r w:rsidRPr="00193354">
              <w:t xml:space="preserve">1.  </w:t>
            </w:r>
            <w:r w:rsidR="00AD7252" w:rsidRPr="00193354">
              <w:t xml:space="preserve">The whole of </w:t>
            </w:r>
            <w:r w:rsidR="005022D2" w:rsidRPr="00193354">
              <w:t>these Rules</w:t>
            </w:r>
          </w:p>
        </w:tc>
        <w:tc>
          <w:tcPr>
            <w:tcW w:w="4394" w:type="dxa"/>
            <w:tcBorders>
              <w:top w:val="single" w:sz="12" w:space="0" w:color="auto"/>
              <w:bottom w:val="single" w:sz="12" w:space="0" w:color="auto"/>
            </w:tcBorders>
            <w:shd w:val="clear" w:color="auto" w:fill="auto"/>
            <w:hideMark/>
          </w:tcPr>
          <w:p w14:paraId="372F1FDA" w14:textId="77777777" w:rsidR="005452CC" w:rsidRPr="00193354" w:rsidRDefault="00096A6B" w:rsidP="005452CC">
            <w:pPr>
              <w:pStyle w:val="Tabletext"/>
            </w:pPr>
            <w:r w:rsidRPr="00193354">
              <w:t>The day after these Rules are registered.</w:t>
            </w:r>
          </w:p>
        </w:tc>
        <w:tc>
          <w:tcPr>
            <w:tcW w:w="1843" w:type="dxa"/>
            <w:tcBorders>
              <w:top w:val="single" w:sz="12" w:space="0" w:color="auto"/>
              <w:bottom w:val="single" w:sz="12" w:space="0" w:color="auto"/>
            </w:tcBorders>
            <w:shd w:val="clear" w:color="auto" w:fill="auto"/>
          </w:tcPr>
          <w:p w14:paraId="25E5C63D" w14:textId="3307ECA7" w:rsidR="005452CC" w:rsidRPr="00193354" w:rsidRDefault="00A80E07">
            <w:pPr>
              <w:pStyle w:val="Tabletext"/>
            </w:pPr>
            <w:r>
              <w:t>13 January</w:t>
            </w:r>
            <w:r w:rsidR="00DD07BB">
              <w:t xml:space="preserve"> 2023</w:t>
            </w:r>
            <w:bookmarkStart w:id="3" w:name="_GoBack"/>
            <w:bookmarkEnd w:id="3"/>
          </w:p>
        </w:tc>
      </w:tr>
    </w:tbl>
    <w:p w14:paraId="510A5390" w14:textId="77777777" w:rsidR="005452CC" w:rsidRPr="00193354" w:rsidRDefault="005452CC" w:rsidP="00B74827">
      <w:pPr>
        <w:pStyle w:val="notetext"/>
      </w:pPr>
      <w:r w:rsidRPr="00193354">
        <w:rPr>
          <w:snapToGrid w:val="0"/>
          <w:lang w:eastAsia="en-US"/>
        </w:rPr>
        <w:t>Note:</w:t>
      </w:r>
      <w:r w:rsidRPr="00193354">
        <w:rPr>
          <w:snapToGrid w:val="0"/>
          <w:lang w:eastAsia="en-US"/>
        </w:rPr>
        <w:tab/>
        <w:t xml:space="preserve">This table relates only to the provisions of </w:t>
      </w:r>
      <w:r w:rsidR="005022D2" w:rsidRPr="00193354">
        <w:rPr>
          <w:snapToGrid w:val="0"/>
          <w:lang w:eastAsia="en-US"/>
        </w:rPr>
        <w:t>these Rules</w:t>
      </w:r>
      <w:r w:rsidRPr="00193354">
        <w:t xml:space="preserve"> </w:t>
      </w:r>
      <w:r w:rsidRPr="00193354">
        <w:rPr>
          <w:snapToGrid w:val="0"/>
          <w:lang w:eastAsia="en-US"/>
        </w:rPr>
        <w:t xml:space="preserve">as originally made. It will not be amended to deal with any later amendments of </w:t>
      </w:r>
      <w:r w:rsidR="005022D2" w:rsidRPr="00193354">
        <w:rPr>
          <w:snapToGrid w:val="0"/>
          <w:lang w:eastAsia="en-US"/>
        </w:rPr>
        <w:t>these Rules</w:t>
      </w:r>
      <w:r w:rsidRPr="00193354">
        <w:rPr>
          <w:snapToGrid w:val="0"/>
          <w:lang w:eastAsia="en-US"/>
        </w:rPr>
        <w:t>.</w:t>
      </w:r>
    </w:p>
    <w:p w14:paraId="1434A6FD" w14:textId="77777777" w:rsidR="005452CC" w:rsidRPr="00193354" w:rsidRDefault="005452CC" w:rsidP="004F676E">
      <w:pPr>
        <w:pStyle w:val="subsection"/>
      </w:pPr>
      <w:r w:rsidRPr="00193354">
        <w:tab/>
        <w:t>(2)</w:t>
      </w:r>
      <w:r w:rsidRPr="00193354">
        <w:tab/>
        <w:t xml:space="preserve">Any information in column 3 of the table is not part of </w:t>
      </w:r>
      <w:r w:rsidR="005022D2" w:rsidRPr="00193354">
        <w:t>these Rules</w:t>
      </w:r>
      <w:r w:rsidRPr="00193354">
        <w:t xml:space="preserve">. Information may be inserted in this column, or information in it may be edited, in any published version of </w:t>
      </w:r>
      <w:r w:rsidR="005022D2" w:rsidRPr="00193354">
        <w:t>these Rules</w:t>
      </w:r>
      <w:r w:rsidRPr="00193354">
        <w:t>.</w:t>
      </w:r>
    </w:p>
    <w:p w14:paraId="42F6EC0F" w14:textId="77777777" w:rsidR="00BF6650" w:rsidRPr="00193354" w:rsidRDefault="00BF6650" w:rsidP="00BF6650">
      <w:pPr>
        <w:pStyle w:val="ActHead5"/>
      </w:pPr>
      <w:bookmarkStart w:id="4" w:name="_Toc122448234"/>
      <w:r w:rsidRPr="00D478AB">
        <w:rPr>
          <w:rStyle w:val="CharSectno"/>
        </w:rPr>
        <w:t>3</w:t>
      </w:r>
      <w:r w:rsidRPr="00193354">
        <w:t xml:space="preserve">  Authority</w:t>
      </w:r>
      <w:bookmarkEnd w:id="4"/>
    </w:p>
    <w:p w14:paraId="15CAE57A" w14:textId="77777777" w:rsidR="00BF6650" w:rsidRPr="00193354" w:rsidRDefault="00BF6650" w:rsidP="00BF6650">
      <w:pPr>
        <w:pStyle w:val="subsection"/>
      </w:pPr>
      <w:r w:rsidRPr="00193354">
        <w:tab/>
      </w:r>
      <w:r w:rsidRPr="00193354">
        <w:tab/>
      </w:r>
      <w:r w:rsidR="005022D2" w:rsidRPr="00193354">
        <w:t>These Rules are</w:t>
      </w:r>
      <w:r w:rsidRPr="00193354">
        <w:t xml:space="preserve"> made under the </w:t>
      </w:r>
      <w:r w:rsidR="000D3288" w:rsidRPr="00193354">
        <w:rPr>
          <w:i/>
        </w:rPr>
        <w:t>Federal Court of Australia Act 1976</w:t>
      </w:r>
      <w:r w:rsidR="00546FA3" w:rsidRPr="00193354">
        <w:t>.</w:t>
      </w:r>
    </w:p>
    <w:p w14:paraId="23D22D9F" w14:textId="77777777" w:rsidR="00557C7A" w:rsidRPr="00193354" w:rsidRDefault="00BF6650" w:rsidP="00557C7A">
      <w:pPr>
        <w:pStyle w:val="ActHead5"/>
      </w:pPr>
      <w:bookmarkStart w:id="5" w:name="_Toc122448235"/>
      <w:r w:rsidRPr="00D478AB">
        <w:rPr>
          <w:rStyle w:val="CharSectno"/>
        </w:rPr>
        <w:t>4</w:t>
      </w:r>
      <w:r w:rsidR="00557C7A" w:rsidRPr="00193354">
        <w:t xml:space="preserve">  </w:t>
      </w:r>
      <w:r w:rsidR="00083F48" w:rsidRPr="00193354">
        <w:t>Schedules</w:t>
      </w:r>
      <w:bookmarkEnd w:id="5"/>
    </w:p>
    <w:p w14:paraId="512CFE5C" w14:textId="77777777" w:rsidR="00557C7A" w:rsidRPr="00193354" w:rsidRDefault="00557C7A" w:rsidP="00557C7A">
      <w:pPr>
        <w:pStyle w:val="subsection"/>
      </w:pPr>
      <w:r w:rsidRPr="00193354">
        <w:tab/>
      </w:r>
      <w:r w:rsidRPr="00193354">
        <w:tab/>
      </w:r>
      <w:r w:rsidR="00083F48" w:rsidRPr="00193354">
        <w:t xml:space="preserve">Each </w:t>
      </w:r>
      <w:r w:rsidR="00160BD7" w:rsidRPr="00193354">
        <w:t>instrument</w:t>
      </w:r>
      <w:r w:rsidR="00083F48" w:rsidRPr="00193354">
        <w:t xml:space="preserve"> that is specified in a Schedule to </w:t>
      </w:r>
      <w:r w:rsidR="005022D2" w:rsidRPr="00193354">
        <w:t>these Rules</w:t>
      </w:r>
      <w:r w:rsidR="00083F48" w:rsidRPr="00193354">
        <w:t xml:space="preserve"> is amended or repealed as set out in the applicable items in the Schedule concerned, and any other item in a Schedule to </w:t>
      </w:r>
      <w:r w:rsidR="005022D2" w:rsidRPr="00193354">
        <w:t>these Rules</w:t>
      </w:r>
      <w:r w:rsidR="00083F48" w:rsidRPr="00193354">
        <w:t xml:space="preserve"> has effect according to its terms.</w:t>
      </w:r>
    </w:p>
    <w:p w14:paraId="4626E1D8" w14:textId="77777777" w:rsidR="007E31DC" w:rsidRPr="00193354" w:rsidRDefault="00DB5DF7" w:rsidP="007E31DC">
      <w:pPr>
        <w:pStyle w:val="ActHead6"/>
        <w:pageBreakBefore/>
      </w:pPr>
      <w:bookmarkStart w:id="6" w:name="_Toc122448236"/>
      <w:r w:rsidRPr="00D478AB">
        <w:rPr>
          <w:rStyle w:val="CharAmSchNo"/>
        </w:rPr>
        <w:lastRenderedPageBreak/>
        <w:t>Schedule 1</w:t>
      </w:r>
      <w:r w:rsidR="0048364F" w:rsidRPr="00193354">
        <w:t>—</w:t>
      </w:r>
      <w:r w:rsidR="00460499" w:rsidRPr="00D478AB">
        <w:rPr>
          <w:rStyle w:val="CharAmSchText"/>
        </w:rPr>
        <w:t>Amendment</w:t>
      </w:r>
      <w:r w:rsidR="00921078" w:rsidRPr="00D478AB">
        <w:rPr>
          <w:rStyle w:val="CharAmSchText"/>
        </w:rPr>
        <w:t xml:space="preserve"> </w:t>
      </w:r>
      <w:r w:rsidR="00FA0E2F" w:rsidRPr="00D478AB">
        <w:rPr>
          <w:rStyle w:val="CharAmSchText"/>
        </w:rPr>
        <w:t xml:space="preserve">of </w:t>
      </w:r>
      <w:r w:rsidR="00921078" w:rsidRPr="00D478AB">
        <w:rPr>
          <w:rStyle w:val="CharAmSchText"/>
        </w:rPr>
        <w:t xml:space="preserve">the Federal Court </w:t>
      </w:r>
      <w:r w:rsidR="004554DA" w:rsidRPr="00D478AB">
        <w:rPr>
          <w:rStyle w:val="CharAmSchText"/>
        </w:rPr>
        <w:t>Rules 2</w:t>
      </w:r>
      <w:r w:rsidR="00921078" w:rsidRPr="00D478AB">
        <w:rPr>
          <w:rStyle w:val="CharAmSchText"/>
        </w:rPr>
        <w:t>011</w:t>
      </w:r>
      <w:bookmarkEnd w:id="6"/>
    </w:p>
    <w:p w14:paraId="5CB2EDD0" w14:textId="77777777" w:rsidR="00FA0E2F" w:rsidRPr="00D478AB" w:rsidRDefault="00FA0E2F" w:rsidP="00FA0E2F">
      <w:pPr>
        <w:pStyle w:val="Header"/>
      </w:pPr>
      <w:r w:rsidRPr="00D478AB">
        <w:rPr>
          <w:rStyle w:val="CharAmPartNo"/>
        </w:rPr>
        <w:t xml:space="preserve"> </w:t>
      </w:r>
      <w:r w:rsidRPr="00D478AB">
        <w:rPr>
          <w:rStyle w:val="CharAmPartText"/>
        </w:rPr>
        <w:t xml:space="preserve"> </w:t>
      </w:r>
    </w:p>
    <w:p w14:paraId="575A364D" w14:textId="77777777" w:rsidR="008F2D72" w:rsidRPr="00193354" w:rsidRDefault="008F2D72" w:rsidP="008F2D72">
      <w:pPr>
        <w:pStyle w:val="ActHead9"/>
      </w:pPr>
      <w:bookmarkStart w:id="7" w:name="_Toc122448237"/>
      <w:r w:rsidRPr="00193354">
        <w:t xml:space="preserve">Federal Court </w:t>
      </w:r>
      <w:r w:rsidR="004554DA" w:rsidRPr="00193354">
        <w:t>Rules 2</w:t>
      </w:r>
      <w:r w:rsidRPr="00193354">
        <w:t>011</w:t>
      </w:r>
      <w:bookmarkEnd w:id="7"/>
    </w:p>
    <w:p w14:paraId="3AE21DD6" w14:textId="77777777" w:rsidR="00633E48" w:rsidRPr="00193354" w:rsidRDefault="00107EC3" w:rsidP="00633E48">
      <w:pPr>
        <w:pStyle w:val="ItemHead"/>
      </w:pPr>
      <w:r w:rsidRPr="00193354">
        <w:t>1</w:t>
      </w:r>
      <w:r w:rsidR="00633E48" w:rsidRPr="00193354">
        <w:t xml:space="preserve">  </w:t>
      </w:r>
      <w:r w:rsidR="00282B96" w:rsidRPr="00193354">
        <w:t>Rule 1</w:t>
      </w:r>
      <w:r w:rsidR="00633E48" w:rsidRPr="00193354">
        <w:t>.04 (note 1)</w:t>
      </w:r>
    </w:p>
    <w:p w14:paraId="0F9F69DF" w14:textId="77777777" w:rsidR="00633E48" w:rsidRPr="00193354" w:rsidRDefault="00CF5958" w:rsidP="00CF5958">
      <w:pPr>
        <w:pStyle w:val="Item"/>
      </w:pPr>
      <w:r w:rsidRPr="00193354">
        <w:t>Omit “</w:t>
      </w:r>
      <w:r w:rsidRPr="00193354">
        <w:rPr>
          <w:i/>
        </w:rPr>
        <w:t>Regulations 1996</w:t>
      </w:r>
      <w:r w:rsidRPr="00193354">
        <w:t>”, substitute “</w:t>
      </w:r>
      <w:r w:rsidR="00D376D2" w:rsidRPr="00193354">
        <w:rPr>
          <w:i/>
        </w:rPr>
        <w:t>Regulations 2</w:t>
      </w:r>
      <w:r w:rsidRPr="00193354">
        <w:rPr>
          <w:i/>
        </w:rPr>
        <w:t>021</w:t>
      </w:r>
      <w:r w:rsidRPr="00193354">
        <w:t>”.</w:t>
      </w:r>
    </w:p>
    <w:p w14:paraId="71AD3C4B" w14:textId="77777777" w:rsidR="0090794B" w:rsidRPr="00193354" w:rsidRDefault="00107EC3" w:rsidP="0090794B">
      <w:pPr>
        <w:pStyle w:val="ItemHead"/>
      </w:pPr>
      <w:r w:rsidRPr="00193354">
        <w:t>2</w:t>
      </w:r>
      <w:r w:rsidR="0090794B" w:rsidRPr="00193354">
        <w:t xml:space="preserve">  </w:t>
      </w:r>
      <w:r w:rsidR="00D376D2" w:rsidRPr="00193354">
        <w:t>Subparagraphs 2</w:t>
      </w:r>
      <w:r w:rsidR="00FF1B82" w:rsidRPr="00193354">
        <w:t>.25(1)(b)(i) and (ii)</w:t>
      </w:r>
    </w:p>
    <w:p w14:paraId="1DEEF080" w14:textId="77777777" w:rsidR="00FF1B82" w:rsidRPr="00193354" w:rsidRDefault="00FF1B82" w:rsidP="00FF1B82">
      <w:pPr>
        <w:pStyle w:val="Item"/>
      </w:pPr>
      <w:r w:rsidRPr="00193354">
        <w:t>Omit “</w:t>
      </w:r>
      <w:r w:rsidR="00333C16" w:rsidRPr="00193354">
        <w:t>being stamped as ‘filed’</w:t>
      </w:r>
      <w:r w:rsidRPr="00193354">
        <w:t>”, substitute “</w:t>
      </w:r>
      <w:r w:rsidR="009C3EF2" w:rsidRPr="00193354">
        <w:t>having the</w:t>
      </w:r>
      <w:r w:rsidRPr="00193354">
        <w:t xml:space="preserve"> seal of the Court</w:t>
      </w:r>
      <w:r w:rsidR="009C3EF2" w:rsidRPr="00193354">
        <w:t xml:space="preserve"> affixed to it</w:t>
      </w:r>
      <w:r w:rsidRPr="00193354">
        <w:t>”.</w:t>
      </w:r>
    </w:p>
    <w:p w14:paraId="728D1DA9" w14:textId="77777777" w:rsidR="00BA4CC7" w:rsidRPr="00193354" w:rsidRDefault="00107EC3" w:rsidP="00BA4CC7">
      <w:pPr>
        <w:pStyle w:val="ItemHead"/>
      </w:pPr>
      <w:r w:rsidRPr="00193354">
        <w:t>3</w:t>
      </w:r>
      <w:r w:rsidR="00BA4CC7" w:rsidRPr="00193354">
        <w:t xml:space="preserve">  At the end of sub</w:t>
      </w:r>
      <w:r w:rsidR="00282B96" w:rsidRPr="00193354">
        <w:t>rule 2</w:t>
      </w:r>
      <w:r w:rsidR="00BA4CC7" w:rsidRPr="00193354">
        <w:t>.25(1)</w:t>
      </w:r>
    </w:p>
    <w:p w14:paraId="2AB7E152" w14:textId="77777777" w:rsidR="00BA4CC7" w:rsidRPr="00193354" w:rsidRDefault="00BA4CC7" w:rsidP="00BA4CC7">
      <w:pPr>
        <w:pStyle w:val="Item"/>
      </w:pPr>
      <w:r w:rsidRPr="00193354">
        <w:t>Add:</w:t>
      </w:r>
    </w:p>
    <w:p w14:paraId="6B4BC341" w14:textId="77777777" w:rsidR="00BA4CC7" w:rsidRPr="00193354" w:rsidRDefault="00BA4CC7" w:rsidP="00BA4CC7">
      <w:pPr>
        <w:pStyle w:val="notetext"/>
      </w:pPr>
      <w:r w:rsidRPr="00193354">
        <w:t>Note:</w:t>
      </w:r>
      <w:r w:rsidRPr="00193354">
        <w:tab/>
        <w:t xml:space="preserve">A document that is accepted for filing is added to the Court file. See the definition of </w:t>
      </w:r>
      <w:r w:rsidRPr="00193354">
        <w:rPr>
          <w:b/>
          <w:i/>
        </w:rPr>
        <w:t>Court file</w:t>
      </w:r>
      <w:r w:rsidRPr="00193354">
        <w:t xml:space="preserve"> in the Dictionary.</w:t>
      </w:r>
    </w:p>
    <w:p w14:paraId="548E84DB" w14:textId="77777777" w:rsidR="002F192D" w:rsidRPr="00193354" w:rsidRDefault="00107EC3" w:rsidP="002F192D">
      <w:pPr>
        <w:pStyle w:val="ItemHead"/>
      </w:pPr>
      <w:r w:rsidRPr="00193354">
        <w:t>4</w:t>
      </w:r>
      <w:r w:rsidR="002F192D" w:rsidRPr="00193354">
        <w:t xml:space="preserve">  Sub</w:t>
      </w:r>
      <w:r w:rsidR="00282B96" w:rsidRPr="00193354">
        <w:t>rule 2</w:t>
      </w:r>
      <w:r w:rsidR="002F192D" w:rsidRPr="00193354">
        <w:t>.32(2)</w:t>
      </w:r>
    </w:p>
    <w:p w14:paraId="7A8BA34A" w14:textId="77777777" w:rsidR="002F192D" w:rsidRPr="00193354" w:rsidRDefault="002F192D" w:rsidP="002F192D">
      <w:pPr>
        <w:pStyle w:val="Item"/>
      </w:pPr>
      <w:r w:rsidRPr="00193354">
        <w:t>After “</w:t>
      </w:r>
      <w:r w:rsidR="00FC1776" w:rsidRPr="00193354">
        <w:t>may</w:t>
      </w:r>
      <w:r w:rsidRPr="00193354">
        <w:t>”, insert “</w:t>
      </w:r>
      <w:r w:rsidR="00FC1776" w:rsidRPr="00193354">
        <w:t xml:space="preserve">, </w:t>
      </w:r>
      <w:r w:rsidRPr="00193354">
        <w:t xml:space="preserve">after </w:t>
      </w:r>
      <w:r w:rsidR="00121998" w:rsidRPr="00193354">
        <w:t>the first directions hearing</w:t>
      </w:r>
      <w:r w:rsidR="00BD0CFA" w:rsidRPr="00193354">
        <w:t xml:space="preserve"> </w:t>
      </w:r>
      <w:r w:rsidR="00FC1776" w:rsidRPr="00193354">
        <w:t>or the hearing (whichever is earlier),</w:t>
      </w:r>
      <w:r w:rsidRPr="00193354">
        <w:t>”.</w:t>
      </w:r>
    </w:p>
    <w:p w14:paraId="5A045700" w14:textId="77777777" w:rsidR="008D3E08" w:rsidRPr="00193354" w:rsidRDefault="00107EC3" w:rsidP="008D3E08">
      <w:pPr>
        <w:pStyle w:val="ItemHead"/>
      </w:pPr>
      <w:r w:rsidRPr="00193354">
        <w:t>5</w:t>
      </w:r>
      <w:r w:rsidR="008D3E08" w:rsidRPr="00193354">
        <w:t xml:space="preserve">  Sub</w:t>
      </w:r>
      <w:r w:rsidR="00282B96" w:rsidRPr="00193354">
        <w:t>rule 2</w:t>
      </w:r>
      <w:r w:rsidR="008D3E08" w:rsidRPr="00193354">
        <w:t>.32(5) (note 1)</w:t>
      </w:r>
    </w:p>
    <w:p w14:paraId="738A846C" w14:textId="77777777" w:rsidR="008D3E08" w:rsidRPr="00193354" w:rsidRDefault="008D3E08" w:rsidP="008D3E08">
      <w:pPr>
        <w:pStyle w:val="Item"/>
      </w:pPr>
      <w:r w:rsidRPr="00193354">
        <w:t>Omit “</w:t>
      </w:r>
      <w:r w:rsidRPr="00193354">
        <w:rPr>
          <w:i/>
        </w:rPr>
        <w:t>Federal Court and Federal Circuit Court Regulation 2012</w:t>
      </w:r>
      <w:r w:rsidRPr="00193354">
        <w:t>”, substitute “</w:t>
      </w:r>
      <w:r w:rsidRPr="00193354">
        <w:rPr>
          <w:i/>
        </w:rPr>
        <w:t>Federal Court and Federal Circuit and Family Court Regulations 2012</w:t>
      </w:r>
      <w:r w:rsidRPr="00193354">
        <w:t>”.</w:t>
      </w:r>
    </w:p>
    <w:p w14:paraId="240712E1" w14:textId="77777777" w:rsidR="005C0472" w:rsidRPr="00193354" w:rsidRDefault="00107EC3" w:rsidP="005C0472">
      <w:pPr>
        <w:pStyle w:val="ItemHead"/>
      </w:pPr>
      <w:r w:rsidRPr="00193354">
        <w:t>6</w:t>
      </w:r>
      <w:r w:rsidR="005C0472" w:rsidRPr="00193354">
        <w:t xml:space="preserve">  Sub</w:t>
      </w:r>
      <w:r w:rsidR="00DB5DF7" w:rsidRPr="00193354">
        <w:t>rule 7</w:t>
      </w:r>
      <w:r w:rsidR="005C0472" w:rsidRPr="00193354">
        <w:t>.11(1) (note 1)</w:t>
      </w:r>
    </w:p>
    <w:p w14:paraId="3E6C0E17" w14:textId="77777777" w:rsidR="005C0472" w:rsidRPr="00193354" w:rsidRDefault="005C0472" w:rsidP="005C0472">
      <w:pPr>
        <w:pStyle w:val="Item"/>
      </w:pPr>
      <w:r w:rsidRPr="00193354">
        <w:t>Omit “, for a person under legal incapacity,”.</w:t>
      </w:r>
    </w:p>
    <w:p w14:paraId="526565B7" w14:textId="77777777" w:rsidR="00E96ECC" w:rsidRPr="00193354" w:rsidRDefault="00107EC3" w:rsidP="00271114">
      <w:pPr>
        <w:pStyle w:val="ItemHead"/>
      </w:pPr>
      <w:r w:rsidRPr="00193354">
        <w:t>7</w:t>
      </w:r>
      <w:r w:rsidR="00E96ECC" w:rsidRPr="00193354">
        <w:t xml:space="preserve">  </w:t>
      </w:r>
      <w:r w:rsidR="00EA02EF" w:rsidRPr="00193354">
        <w:t>Sub</w:t>
      </w:r>
      <w:r w:rsidR="00DB5DF7" w:rsidRPr="00193354">
        <w:t>rule 7</w:t>
      </w:r>
      <w:r w:rsidR="00B015AA" w:rsidRPr="00193354">
        <w:t>.24</w:t>
      </w:r>
      <w:r w:rsidR="00EA02EF" w:rsidRPr="00193354">
        <w:t>(1)</w:t>
      </w:r>
    </w:p>
    <w:p w14:paraId="16FC03C3" w14:textId="77777777" w:rsidR="00B015AA" w:rsidRPr="00193354" w:rsidRDefault="00B015AA" w:rsidP="00B015AA">
      <w:pPr>
        <w:pStyle w:val="Item"/>
      </w:pPr>
      <w:r w:rsidRPr="00193354">
        <w:t xml:space="preserve">Repeal the </w:t>
      </w:r>
      <w:r w:rsidR="00EA02EF" w:rsidRPr="00193354">
        <w:t>sub</w:t>
      </w:r>
      <w:r w:rsidRPr="00193354">
        <w:t>rule, substitute:</w:t>
      </w:r>
    </w:p>
    <w:p w14:paraId="5D2900FE" w14:textId="77777777" w:rsidR="00EA02EF" w:rsidRPr="00193354" w:rsidRDefault="00B015AA" w:rsidP="00B015AA">
      <w:pPr>
        <w:pStyle w:val="subsection"/>
      </w:pPr>
      <w:r w:rsidRPr="00193354">
        <w:tab/>
        <w:t>(1)</w:t>
      </w:r>
      <w:r w:rsidRPr="00193354">
        <w:tab/>
        <w:t xml:space="preserve">A prospective applicant who wants to make an application under </w:t>
      </w:r>
      <w:r w:rsidR="00DB5DF7" w:rsidRPr="00193354">
        <w:t>rule 7</w:t>
      </w:r>
      <w:r w:rsidRPr="00193354">
        <w:t xml:space="preserve">.22 </w:t>
      </w:r>
      <w:r w:rsidR="00EA02EF" w:rsidRPr="00193354">
        <w:t xml:space="preserve">or 7.23 </w:t>
      </w:r>
      <w:r w:rsidRPr="00193354">
        <w:t>must</w:t>
      </w:r>
      <w:r w:rsidR="00EA02EF" w:rsidRPr="00193354">
        <w:t>:</w:t>
      </w:r>
    </w:p>
    <w:p w14:paraId="0917F01C" w14:textId="77777777" w:rsidR="00B015AA" w:rsidRPr="00193354" w:rsidRDefault="00EA02EF" w:rsidP="00EA02EF">
      <w:pPr>
        <w:pStyle w:val="paragraph"/>
      </w:pPr>
      <w:r w:rsidRPr="00193354">
        <w:tab/>
        <w:t>(a)</w:t>
      </w:r>
      <w:r w:rsidRPr="00193354">
        <w:tab/>
        <w:t xml:space="preserve">for an application under </w:t>
      </w:r>
      <w:r w:rsidR="00DB5DF7" w:rsidRPr="00193354">
        <w:t>rule 7</w:t>
      </w:r>
      <w:r w:rsidRPr="00193354">
        <w:t>.22—</w:t>
      </w:r>
      <w:r w:rsidR="00B015AA" w:rsidRPr="00193354">
        <w:t>file an originating application, in accordance with Form 14A</w:t>
      </w:r>
      <w:r w:rsidRPr="00193354">
        <w:t>; or</w:t>
      </w:r>
    </w:p>
    <w:p w14:paraId="766321DC" w14:textId="77777777" w:rsidR="00EA02EF" w:rsidRPr="00193354" w:rsidRDefault="00EA02EF" w:rsidP="00EA02EF">
      <w:pPr>
        <w:pStyle w:val="paragraph"/>
      </w:pPr>
      <w:r w:rsidRPr="00193354">
        <w:tab/>
        <w:t>(b)</w:t>
      </w:r>
      <w:r w:rsidRPr="00193354">
        <w:tab/>
        <w:t xml:space="preserve">for an application under </w:t>
      </w:r>
      <w:r w:rsidR="00DB5DF7" w:rsidRPr="00193354">
        <w:t>rule 7</w:t>
      </w:r>
      <w:r w:rsidRPr="00193354">
        <w:t>.23—file an originating application, in accordance with Form 14.</w:t>
      </w:r>
    </w:p>
    <w:p w14:paraId="5416DDE5" w14:textId="77777777" w:rsidR="00CA1CA6" w:rsidRPr="00193354" w:rsidRDefault="00107EC3" w:rsidP="00CA1CA6">
      <w:pPr>
        <w:pStyle w:val="ItemHead"/>
      </w:pPr>
      <w:r w:rsidRPr="00193354">
        <w:t>8</w:t>
      </w:r>
      <w:r w:rsidR="00CA1CA6" w:rsidRPr="00193354">
        <w:t xml:space="preserve">  </w:t>
      </w:r>
      <w:r w:rsidR="00DC569F" w:rsidRPr="00193354">
        <w:t>Rule 8</w:t>
      </w:r>
      <w:r w:rsidR="00CA1CA6" w:rsidRPr="00193354">
        <w:t>.22 (heading)</w:t>
      </w:r>
    </w:p>
    <w:p w14:paraId="0C4B8677" w14:textId="77777777" w:rsidR="00CA1CA6" w:rsidRPr="00193354" w:rsidRDefault="00CA1CA6" w:rsidP="00CA1CA6">
      <w:pPr>
        <w:pStyle w:val="Item"/>
      </w:pPr>
      <w:r w:rsidRPr="00193354">
        <w:t>After “</w:t>
      </w:r>
      <w:r w:rsidRPr="00193354">
        <w:rPr>
          <w:b/>
        </w:rPr>
        <w:t>amendment</w:t>
      </w:r>
      <w:r w:rsidRPr="00193354">
        <w:t>”, insert “</w:t>
      </w:r>
      <w:r w:rsidRPr="00193354">
        <w:rPr>
          <w:b/>
        </w:rPr>
        <w:t>to substitute a party</w:t>
      </w:r>
      <w:r w:rsidRPr="00193354">
        <w:t>”.</w:t>
      </w:r>
    </w:p>
    <w:p w14:paraId="487248C4" w14:textId="77777777" w:rsidR="00CA1CA6" w:rsidRPr="00193354" w:rsidRDefault="00107EC3" w:rsidP="00CA1CA6">
      <w:pPr>
        <w:pStyle w:val="ItemHead"/>
      </w:pPr>
      <w:r w:rsidRPr="00193354">
        <w:t>9</w:t>
      </w:r>
      <w:r w:rsidR="00CA1CA6" w:rsidRPr="00193354">
        <w:t xml:space="preserve">  At the end of </w:t>
      </w:r>
      <w:r w:rsidR="00DC569F" w:rsidRPr="00193354">
        <w:t>rule 8</w:t>
      </w:r>
      <w:r w:rsidR="00CA1CA6" w:rsidRPr="00193354">
        <w:t>.22</w:t>
      </w:r>
    </w:p>
    <w:p w14:paraId="635E5042" w14:textId="77777777" w:rsidR="00CA1CA6" w:rsidRPr="00193354" w:rsidRDefault="00CA1CA6" w:rsidP="00CA1CA6">
      <w:pPr>
        <w:pStyle w:val="Item"/>
      </w:pPr>
      <w:r w:rsidRPr="00193354">
        <w:t>Add “or as otherwise ordered by the Court”.</w:t>
      </w:r>
    </w:p>
    <w:p w14:paraId="3439D1A3" w14:textId="77777777" w:rsidR="0022273B" w:rsidRPr="00193354" w:rsidRDefault="00107EC3" w:rsidP="0022273B">
      <w:pPr>
        <w:pStyle w:val="ItemHead"/>
      </w:pPr>
      <w:r w:rsidRPr="00193354">
        <w:t>10</w:t>
      </w:r>
      <w:r w:rsidR="0022273B" w:rsidRPr="00193354">
        <w:t xml:space="preserve">  </w:t>
      </w:r>
      <w:r w:rsidR="00D376D2" w:rsidRPr="00193354">
        <w:t>Rule 9</w:t>
      </w:r>
      <w:r w:rsidR="0022273B" w:rsidRPr="00193354">
        <w:t>.02</w:t>
      </w:r>
    </w:p>
    <w:p w14:paraId="292C3601" w14:textId="77777777" w:rsidR="0022273B" w:rsidRPr="00193354" w:rsidRDefault="0022273B" w:rsidP="0022273B">
      <w:pPr>
        <w:pStyle w:val="Item"/>
      </w:pPr>
      <w:r w:rsidRPr="00193354">
        <w:t>Repeal the rule, substitute:</w:t>
      </w:r>
    </w:p>
    <w:p w14:paraId="20208B66" w14:textId="77777777" w:rsidR="0022273B" w:rsidRPr="00193354" w:rsidRDefault="00214353" w:rsidP="0022273B">
      <w:pPr>
        <w:pStyle w:val="ActHead5"/>
      </w:pPr>
      <w:bookmarkStart w:id="8" w:name="_Toc122448238"/>
      <w:r w:rsidRPr="00D478AB">
        <w:rPr>
          <w:rStyle w:val="CharSectno"/>
        </w:rPr>
        <w:lastRenderedPageBreak/>
        <w:t>9.02</w:t>
      </w:r>
      <w:r w:rsidRPr="00193354">
        <w:t xml:space="preserve">  </w:t>
      </w:r>
      <w:r w:rsidR="00BC697A" w:rsidRPr="00193354">
        <w:t>Joinder in proceedings involving common questions etc.</w:t>
      </w:r>
      <w:bookmarkEnd w:id="8"/>
    </w:p>
    <w:p w14:paraId="1B908307" w14:textId="77777777" w:rsidR="00BC697A" w:rsidRPr="00193354" w:rsidRDefault="00BC697A" w:rsidP="00BC697A">
      <w:pPr>
        <w:pStyle w:val="subsection"/>
      </w:pPr>
      <w:r w:rsidRPr="00193354">
        <w:tab/>
        <w:t>(1)</w:t>
      </w:r>
      <w:r w:rsidRPr="00193354">
        <w:tab/>
        <w:t>Two or more persons may be joined (as applicants or respondents) in any proceeding:</w:t>
      </w:r>
    </w:p>
    <w:p w14:paraId="11FF5526" w14:textId="77777777" w:rsidR="00BC697A" w:rsidRPr="00193354" w:rsidRDefault="00BC697A" w:rsidP="00BC697A">
      <w:pPr>
        <w:pStyle w:val="paragraph"/>
      </w:pPr>
      <w:r w:rsidRPr="00193354">
        <w:tab/>
        <w:t>(a)</w:t>
      </w:r>
      <w:r w:rsidRPr="00193354">
        <w:tab/>
        <w:t>if separate proceedings by or against each of them would give rise to a common question of fact or of mixed fact and law; or</w:t>
      </w:r>
    </w:p>
    <w:p w14:paraId="0B724FBA" w14:textId="77777777" w:rsidR="00BC697A" w:rsidRPr="00193354" w:rsidRDefault="00BC697A" w:rsidP="00BC697A">
      <w:pPr>
        <w:pStyle w:val="paragraph"/>
      </w:pPr>
      <w:r w:rsidRPr="00193354">
        <w:tab/>
        <w:t>(b)</w:t>
      </w:r>
      <w:r w:rsidRPr="00193354">
        <w:tab/>
        <w:t xml:space="preserve">if all rights to relief claimed in the originating </w:t>
      </w:r>
      <w:r w:rsidR="00FC1776" w:rsidRPr="00193354">
        <w:t>application</w:t>
      </w:r>
      <w:r w:rsidRPr="00193354">
        <w:t xml:space="preserve"> are in respect of, or arise out of, the same transaction or series of transactions; or</w:t>
      </w:r>
    </w:p>
    <w:p w14:paraId="3B693989" w14:textId="77777777" w:rsidR="00BC697A" w:rsidRPr="00193354" w:rsidRDefault="00BC697A" w:rsidP="00BC697A">
      <w:pPr>
        <w:pStyle w:val="paragraph"/>
      </w:pPr>
      <w:r w:rsidRPr="00193354">
        <w:tab/>
        <w:t>(c)</w:t>
      </w:r>
      <w:r w:rsidRPr="00193354">
        <w:tab/>
        <w:t>by leave of the Court.</w:t>
      </w:r>
    </w:p>
    <w:p w14:paraId="4ED101A1" w14:textId="77777777" w:rsidR="00214353" w:rsidRPr="00193354" w:rsidRDefault="00214353" w:rsidP="00214353">
      <w:pPr>
        <w:pStyle w:val="subsection"/>
      </w:pPr>
      <w:r w:rsidRPr="00193354">
        <w:tab/>
        <w:t>(2)</w:t>
      </w:r>
      <w:r w:rsidRPr="00193354">
        <w:tab/>
        <w:t xml:space="preserve">Leave under </w:t>
      </w:r>
      <w:r w:rsidR="00282B96" w:rsidRPr="00193354">
        <w:t>paragraph (</w:t>
      </w:r>
      <w:r w:rsidR="00BC697A" w:rsidRPr="00193354">
        <w:t xml:space="preserve">1)(c) </w:t>
      </w:r>
      <w:r w:rsidRPr="00193354">
        <w:t xml:space="preserve">may be granted before or after the originating </w:t>
      </w:r>
      <w:r w:rsidR="00FC1776" w:rsidRPr="00193354">
        <w:t>application</w:t>
      </w:r>
      <w:r w:rsidRPr="00193354">
        <w:t xml:space="preserve"> is filed.</w:t>
      </w:r>
    </w:p>
    <w:p w14:paraId="4338548E" w14:textId="77777777" w:rsidR="00214353" w:rsidRPr="00193354" w:rsidRDefault="00214353" w:rsidP="00214353">
      <w:pPr>
        <w:pStyle w:val="subsection"/>
      </w:pPr>
      <w:r w:rsidRPr="00193354">
        <w:tab/>
        <w:t>(3)</w:t>
      </w:r>
      <w:r w:rsidRPr="00193354">
        <w:tab/>
      </w:r>
      <w:r w:rsidR="00CD745F" w:rsidRPr="00193354">
        <w:t>If</w:t>
      </w:r>
      <w:r w:rsidRPr="00193354">
        <w:t xml:space="preserve"> </w:t>
      </w:r>
      <w:r w:rsidR="00D376D2" w:rsidRPr="00193354">
        <w:t>2</w:t>
      </w:r>
      <w:r w:rsidRPr="00193354">
        <w:t xml:space="preserve"> or more persons are joined under subrule (1), the Court may at any stage of the proceedings order that proceedings by or against any party or parties be conducted separately.</w:t>
      </w:r>
    </w:p>
    <w:p w14:paraId="6310A7F9" w14:textId="77777777" w:rsidR="005C0472" w:rsidRPr="00193354" w:rsidRDefault="00107EC3" w:rsidP="00FD4530">
      <w:pPr>
        <w:pStyle w:val="ItemHead"/>
      </w:pPr>
      <w:r w:rsidRPr="00193354">
        <w:t>11</w:t>
      </w:r>
      <w:r w:rsidR="005C0472" w:rsidRPr="00193354">
        <w:t xml:space="preserve">  Sub</w:t>
      </w:r>
      <w:r w:rsidR="00DB5DF7" w:rsidRPr="00193354">
        <w:t>rule 9</w:t>
      </w:r>
      <w:r w:rsidR="005C0472" w:rsidRPr="00193354">
        <w:t>.63(1) (note)</w:t>
      </w:r>
    </w:p>
    <w:p w14:paraId="1108D3E0" w14:textId="77777777" w:rsidR="005C0472" w:rsidRPr="00193354" w:rsidRDefault="005C0472" w:rsidP="005C0472">
      <w:pPr>
        <w:pStyle w:val="Item"/>
      </w:pPr>
      <w:r w:rsidRPr="00193354">
        <w:t>Omit “, in relation to a person under a legal incapacity,”.</w:t>
      </w:r>
    </w:p>
    <w:p w14:paraId="1AB4F8BE" w14:textId="77777777" w:rsidR="002B68F7" w:rsidRPr="00193354" w:rsidRDefault="00107EC3" w:rsidP="00FD4530">
      <w:pPr>
        <w:pStyle w:val="ItemHead"/>
      </w:pPr>
      <w:r w:rsidRPr="00193354">
        <w:t>12</w:t>
      </w:r>
      <w:r w:rsidR="002B68F7" w:rsidRPr="00193354">
        <w:t xml:space="preserve">  </w:t>
      </w:r>
      <w:r w:rsidR="00282B96" w:rsidRPr="00193354">
        <w:t>Paragraph 1</w:t>
      </w:r>
      <w:r w:rsidR="002B68F7" w:rsidRPr="00193354">
        <w:t>0.32(a)</w:t>
      </w:r>
    </w:p>
    <w:p w14:paraId="2BB745A0" w14:textId="77777777" w:rsidR="002B68F7" w:rsidRPr="00193354" w:rsidRDefault="002B68F7" w:rsidP="002B68F7">
      <w:pPr>
        <w:pStyle w:val="Item"/>
      </w:pPr>
      <w:r w:rsidRPr="00193354">
        <w:t>Omit “fourth”, substitute “seventh”.</w:t>
      </w:r>
    </w:p>
    <w:p w14:paraId="30F6D23C" w14:textId="77777777" w:rsidR="00CC43D6" w:rsidRPr="00193354" w:rsidRDefault="00107EC3" w:rsidP="00CC43D6">
      <w:pPr>
        <w:pStyle w:val="ItemHead"/>
      </w:pPr>
      <w:r w:rsidRPr="00193354">
        <w:t>13</w:t>
      </w:r>
      <w:r w:rsidR="00CC43D6" w:rsidRPr="00193354">
        <w:t xml:space="preserve">  </w:t>
      </w:r>
      <w:r w:rsidR="00282B96" w:rsidRPr="00193354">
        <w:t>Division 1</w:t>
      </w:r>
      <w:r w:rsidR="00CC43D6" w:rsidRPr="00193354">
        <w:t>0.4</w:t>
      </w:r>
    </w:p>
    <w:p w14:paraId="07EC09BD" w14:textId="77777777" w:rsidR="00CC43D6" w:rsidRPr="00193354" w:rsidRDefault="00CC43D6" w:rsidP="00CC43D6">
      <w:pPr>
        <w:pStyle w:val="Item"/>
      </w:pPr>
      <w:r w:rsidRPr="00193354">
        <w:t>Repeal the Division, substitute:</w:t>
      </w:r>
    </w:p>
    <w:p w14:paraId="053E4525" w14:textId="77777777" w:rsidR="00CC43D6" w:rsidRPr="00193354" w:rsidRDefault="00282B96" w:rsidP="00CC43D6">
      <w:pPr>
        <w:pStyle w:val="ActHead3"/>
      </w:pPr>
      <w:bookmarkStart w:id="9" w:name="_Toc122448239"/>
      <w:r w:rsidRPr="00D478AB">
        <w:rPr>
          <w:rStyle w:val="CharDivNo"/>
        </w:rPr>
        <w:t>Division 1</w:t>
      </w:r>
      <w:r w:rsidR="00CC43D6" w:rsidRPr="00D478AB">
        <w:rPr>
          <w:rStyle w:val="CharDivNo"/>
        </w:rPr>
        <w:t>0.4</w:t>
      </w:r>
      <w:r w:rsidR="00CC43D6" w:rsidRPr="00193354">
        <w:t>—</w:t>
      </w:r>
      <w:r w:rsidR="00CC43D6" w:rsidRPr="00D478AB">
        <w:rPr>
          <w:rStyle w:val="CharDivText"/>
        </w:rPr>
        <w:t>Service outside Australia</w:t>
      </w:r>
      <w:bookmarkEnd w:id="9"/>
    </w:p>
    <w:p w14:paraId="40EF59BC" w14:textId="77777777" w:rsidR="00CC43D6" w:rsidRPr="00193354" w:rsidRDefault="00CC43D6" w:rsidP="00CC43D6">
      <w:pPr>
        <w:pStyle w:val="notetext"/>
      </w:pPr>
      <w:r w:rsidRPr="00193354">
        <w:t>Note:</w:t>
      </w:r>
      <w:r w:rsidRPr="00193354">
        <w:tab/>
      </w:r>
      <w:r w:rsidRPr="00193354">
        <w:rPr>
          <w:b/>
        </w:rPr>
        <w:t>This Division contains rules that have been harmonised in accordance with the advice of the Council of Chief Justices’ Rules Harmonisation Committee.</w:t>
      </w:r>
    </w:p>
    <w:p w14:paraId="39524B1A" w14:textId="77777777" w:rsidR="00CC43D6" w:rsidRPr="00193354" w:rsidRDefault="00CC43D6" w:rsidP="00CC43D6">
      <w:pPr>
        <w:pStyle w:val="ActHead5"/>
      </w:pPr>
      <w:bookmarkStart w:id="10" w:name="_Toc122448240"/>
      <w:r w:rsidRPr="00D478AB">
        <w:rPr>
          <w:rStyle w:val="CharSectno"/>
        </w:rPr>
        <w:t>10.41</w:t>
      </w:r>
      <w:r w:rsidRPr="00193354">
        <w:t xml:space="preserve">  Division does not apply to service in New Zealand of documents </w:t>
      </w:r>
      <w:r w:rsidR="008D3E08" w:rsidRPr="00193354">
        <w:t>in or for</w:t>
      </w:r>
      <w:r w:rsidRPr="00193354">
        <w:t xml:space="preserve"> certain trans</w:t>
      </w:r>
      <w:r w:rsidR="00193354">
        <w:noBreakHyphen/>
      </w:r>
      <w:r w:rsidRPr="00193354">
        <w:t>Tasman proceedings</w:t>
      </w:r>
      <w:bookmarkEnd w:id="10"/>
    </w:p>
    <w:p w14:paraId="2517FB10" w14:textId="77777777" w:rsidR="00CC43D6" w:rsidRPr="00193354" w:rsidRDefault="00CC43D6" w:rsidP="00CC43D6">
      <w:pPr>
        <w:pStyle w:val="subsection"/>
        <w:rPr>
          <w:i/>
        </w:rPr>
      </w:pPr>
      <w:r w:rsidRPr="00193354">
        <w:tab/>
      </w:r>
      <w:r w:rsidRPr="00193354">
        <w:tab/>
      </w:r>
      <w:r w:rsidR="00AE57AE" w:rsidRPr="00193354">
        <w:t xml:space="preserve">This Division (which contains rules about service outside Australia) does not apply to service in New Zealand of an originating application for a proceeding, or of any other document to be served in or for a proceeding, if an originating application for the proceeding may be served in New Zealand under </w:t>
      </w:r>
      <w:r w:rsidR="00DB5DF7" w:rsidRPr="00193354">
        <w:t>Division 2</w:t>
      </w:r>
      <w:r w:rsidR="00AE57AE" w:rsidRPr="00193354">
        <w:t xml:space="preserve"> of Part 2 of the </w:t>
      </w:r>
      <w:r w:rsidR="00AE57AE" w:rsidRPr="00193354">
        <w:rPr>
          <w:i/>
        </w:rPr>
        <w:t>Trans</w:t>
      </w:r>
      <w:r w:rsidR="00193354">
        <w:rPr>
          <w:i/>
        </w:rPr>
        <w:noBreakHyphen/>
      </w:r>
      <w:r w:rsidR="00AE57AE" w:rsidRPr="00193354">
        <w:rPr>
          <w:i/>
        </w:rPr>
        <w:t>Tasman Proceedings Act 2010</w:t>
      </w:r>
      <w:r w:rsidR="00AE57AE" w:rsidRPr="00193354">
        <w:t>.</w:t>
      </w:r>
    </w:p>
    <w:p w14:paraId="24076DC1" w14:textId="77777777" w:rsidR="00CC43D6" w:rsidRPr="00193354" w:rsidRDefault="00CC43D6" w:rsidP="00CC43D6">
      <w:pPr>
        <w:pStyle w:val="ActHead5"/>
      </w:pPr>
      <w:bookmarkStart w:id="11" w:name="_Toc122448241"/>
      <w:r w:rsidRPr="00D478AB">
        <w:rPr>
          <w:rStyle w:val="CharSectno"/>
        </w:rPr>
        <w:t>10.42</w:t>
      </w:r>
      <w:r w:rsidRPr="00193354">
        <w:t xml:space="preserve">  When an originating application may be served outside Australia without leave</w:t>
      </w:r>
      <w:bookmarkEnd w:id="11"/>
    </w:p>
    <w:p w14:paraId="4C0A4FE4" w14:textId="77777777" w:rsidR="00CC43D6" w:rsidRPr="00193354" w:rsidRDefault="00CC43D6" w:rsidP="00CC43D6">
      <w:pPr>
        <w:pStyle w:val="subsection"/>
      </w:pPr>
      <w:r w:rsidRPr="00193354">
        <w:tab/>
      </w:r>
      <w:r w:rsidRPr="00193354">
        <w:tab/>
        <w:t>An originating application may be served outside Australia without leave in the following cases</w:t>
      </w:r>
      <w:r w:rsidRPr="00193354">
        <w:rPr>
          <w:bCs/>
        </w:rPr>
        <w:t>:</w:t>
      </w:r>
    </w:p>
    <w:p w14:paraId="42A7C24F" w14:textId="77777777" w:rsidR="00CC43D6" w:rsidRPr="00193354" w:rsidRDefault="00CC43D6" w:rsidP="00CC43D6">
      <w:pPr>
        <w:pStyle w:val="paragraph"/>
      </w:pPr>
      <w:r w:rsidRPr="00193354">
        <w:tab/>
        <w:t>(a)</w:t>
      </w:r>
      <w:r w:rsidRPr="00193354">
        <w:tab/>
        <w:t>if the proceeding is founded on a tortious act or omission:</w:t>
      </w:r>
    </w:p>
    <w:p w14:paraId="38D61A6E" w14:textId="77777777" w:rsidR="00CC43D6" w:rsidRPr="00193354" w:rsidRDefault="00CC43D6" w:rsidP="00CC43D6">
      <w:pPr>
        <w:pStyle w:val="paragraphsub"/>
      </w:pPr>
      <w:r w:rsidRPr="00193354">
        <w:tab/>
        <w:t>(i)</w:t>
      </w:r>
      <w:r w:rsidRPr="00193354">
        <w:tab/>
        <w:t>that was done or occurred wholly or partly in Australia; or</w:t>
      </w:r>
    </w:p>
    <w:p w14:paraId="08C0BD9D" w14:textId="77777777" w:rsidR="00CC43D6" w:rsidRPr="00193354" w:rsidRDefault="00CC43D6" w:rsidP="00CC43D6">
      <w:pPr>
        <w:pStyle w:val="paragraphsub"/>
      </w:pPr>
      <w:r w:rsidRPr="00193354">
        <w:tab/>
        <w:t>(ii)</w:t>
      </w:r>
      <w:r w:rsidRPr="00193354">
        <w:tab/>
        <w:t>in respect of which the damage was sustained wholly or partly in Australia;</w:t>
      </w:r>
    </w:p>
    <w:p w14:paraId="6536E6BB" w14:textId="77777777" w:rsidR="00CC43D6" w:rsidRPr="00193354" w:rsidRDefault="00CC43D6" w:rsidP="00CC43D6">
      <w:pPr>
        <w:pStyle w:val="paragraph"/>
      </w:pPr>
      <w:r w:rsidRPr="00193354">
        <w:tab/>
        <w:t>(b)</w:t>
      </w:r>
      <w:r w:rsidRPr="00193354">
        <w:tab/>
        <w:t>if the proceeding is for the enforcement, rescission, dissolution, annulment, cancellation, rectification, interpretation or other treatment of, or for damages or other relief in respect of a breach of, a contract that</w:t>
      </w:r>
      <w:r w:rsidRPr="00193354">
        <w:rPr>
          <w:bCs/>
        </w:rPr>
        <w:t>:</w:t>
      </w:r>
    </w:p>
    <w:p w14:paraId="063E84B4" w14:textId="77777777" w:rsidR="00CC43D6" w:rsidRPr="00193354" w:rsidRDefault="00CC43D6" w:rsidP="00CC43D6">
      <w:pPr>
        <w:pStyle w:val="paragraphsub"/>
      </w:pPr>
      <w:r w:rsidRPr="00193354">
        <w:tab/>
        <w:t>(i)</w:t>
      </w:r>
      <w:r w:rsidRPr="00193354">
        <w:tab/>
        <w:t>was made or entered into in Australia; or</w:t>
      </w:r>
    </w:p>
    <w:p w14:paraId="2775AF08" w14:textId="77777777" w:rsidR="00CC43D6" w:rsidRPr="00193354" w:rsidRDefault="00CC43D6" w:rsidP="00CC43D6">
      <w:pPr>
        <w:pStyle w:val="paragraphsub"/>
      </w:pPr>
      <w:r w:rsidRPr="00193354">
        <w:lastRenderedPageBreak/>
        <w:tab/>
        <w:t>(ii)</w:t>
      </w:r>
      <w:r w:rsidRPr="00193354">
        <w:tab/>
        <w:t>was made by or through an agent trading or residing within Australia; or</w:t>
      </w:r>
    </w:p>
    <w:p w14:paraId="68C87DE0" w14:textId="77777777" w:rsidR="00CC43D6" w:rsidRPr="00193354" w:rsidRDefault="00CC43D6" w:rsidP="00CC43D6">
      <w:pPr>
        <w:pStyle w:val="paragraphsub"/>
      </w:pPr>
      <w:r w:rsidRPr="00193354">
        <w:tab/>
        <w:t>(iii)</w:t>
      </w:r>
      <w:r w:rsidRPr="00193354">
        <w:tab/>
      </w:r>
      <w:r w:rsidR="00485F7D" w:rsidRPr="00193354">
        <w:t>was to be wholly or partly performed in Australia</w:t>
      </w:r>
      <w:r w:rsidRPr="00193354">
        <w:t>; or</w:t>
      </w:r>
    </w:p>
    <w:p w14:paraId="6E91EE83" w14:textId="77777777" w:rsidR="00CC43D6" w:rsidRPr="00193354" w:rsidRDefault="00CC43D6" w:rsidP="00CC43D6">
      <w:pPr>
        <w:pStyle w:val="paragraphsub"/>
      </w:pPr>
      <w:r w:rsidRPr="00193354">
        <w:tab/>
        <w:t>(iv)</w:t>
      </w:r>
      <w:r w:rsidRPr="00193354">
        <w:tab/>
        <w:t>was by its terms or by implication to be governed by a law of the Commonwealth, a State or a Territory, or to be enforceable or cognizable in an Australian court;</w:t>
      </w:r>
    </w:p>
    <w:p w14:paraId="6F780642" w14:textId="77777777" w:rsidR="00CC43D6" w:rsidRPr="00193354" w:rsidRDefault="00CC43D6" w:rsidP="00CC43D6">
      <w:pPr>
        <w:pStyle w:val="paragraph"/>
      </w:pPr>
      <w:r w:rsidRPr="00193354">
        <w:tab/>
        <w:t>(c)</w:t>
      </w:r>
      <w:r w:rsidRPr="00193354">
        <w:tab/>
        <w:t>if the proceeding is for a breach in Australia of any contract, wherever made, whether or not that breach was preceded or accompanied by a breach outside Australia that rendered impossible the performance of that part of the contract that ought to have been performed in Australia;</w:t>
      </w:r>
    </w:p>
    <w:p w14:paraId="6A94F6C1" w14:textId="77777777" w:rsidR="00CC43D6" w:rsidRPr="00193354" w:rsidRDefault="00CC43D6" w:rsidP="00CC43D6">
      <w:pPr>
        <w:pStyle w:val="paragraph"/>
      </w:pPr>
      <w:r w:rsidRPr="00193354">
        <w:tab/>
        <w:t>(d)</w:t>
      </w:r>
      <w:r w:rsidRPr="00193354">
        <w:tab/>
        <w:t>if the proceeding</w:t>
      </w:r>
      <w:r w:rsidRPr="00193354">
        <w:rPr>
          <w:bCs/>
        </w:rPr>
        <w:t>:</w:t>
      </w:r>
    </w:p>
    <w:p w14:paraId="6FCB2FCA" w14:textId="77777777" w:rsidR="00CC43D6" w:rsidRPr="00193354" w:rsidRDefault="00CC43D6" w:rsidP="00CC43D6">
      <w:pPr>
        <w:pStyle w:val="paragraphsub"/>
      </w:pPr>
      <w:r w:rsidRPr="00193354">
        <w:tab/>
        <w:t>(i)</w:t>
      </w:r>
      <w:r w:rsidRPr="00193354">
        <w:tab/>
        <w:t>is for an injunction to compel or restrain the performance of any act in Australia; or</w:t>
      </w:r>
    </w:p>
    <w:p w14:paraId="60F544E1" w14:textId="77777777" w:rsidR="00CC43D6" w:rsidRPr="00193354" w:rsidRDefault="00CC43D6" w:rsidP="00CC43D6">
      <w:pPr>
        <w:pStyle w:val="paragraphsub"/>
      </w:pPr>
      <w:r w:rsidRPr="00193354">
        <w:tab/>
        <w:t>(ii)</w:t>
      </w:r>
      <w:r w:rsidRPr="00193354">
        <w:tab/>
        <w:t xml:space="preserve">is for interim or ancillary relief in respect of any matter or thing in or connected with Australia, where such relief is sought in relation to judicial or arbitral proceedings commenced or to be commenced, or an arbitration agreement made, in or outside Australia (including without limitation interim or ancillary relief in relation to any proceedings under the </w:t>
      </w:r>
      <w:r w:rsidRPr="00193354">
        <w:rPr>
          <w:i/>
        </w:rPr>
        <w:t>International Arbitration Act 1974</w:t>
      </w:r>
      <w:r w:rsidRPr="00193354">
        <w:t xml:space="preserve"> or any proceedings under a law of a State or Territory relating to commercial arbitration in relation to which the Court may exercise jurisdiction); or</w:t>
      </w:r>
    </w:p>
    <w:p w14:paraId="3C60462D" w14:textId="77777777" w:rsidR="00CC43D6" w:rsidRPr="00193354" w:rsidRDefault="00CC43D6" w:rsidP="00CC43D6">
      <w:pPr>
        <w:pStyle w:val="paragraphsub"/>
      </w:pPr>
      <w:r w:rsidRPr="00193354">
        <w:tab/>
        <w:t>(iii)</w:t>
      </w:r>
      <w:r w:rsidRPr="00193354">
        <w:tab/>
        <w:t>without limiting sub</w:t>
      </w:r>
      <w:r w:rsidR="00282B96" w:rsidRPr="00193354">
        <w:t>paragraph (</w:t>
      </w:r>
      <w:r w:rsidRPr="00193354">
        <w:t>ii), is an application for a freezing order or ancillary order under Division 7.4 in respect of any matter or thing in or connected with Australia;</w:t>
      </w:r>
    </w:p>
    <w:p w14:paraId="54710F67" w14:textId="77777777" w:rsidR="00CC43D6" w:rsidRPr="00193354" w:rsidRDefault="00CC43D6" w:rsidP="00CC43D6">
      <w:pPr>
        <w:pStyle w:val="paragraph"/>
      </w:pPr>
      <w:r w:rsidRPr="00193354">
        <w:tab/>
        <w:t>(e)</w:t>
      </w:r>
      <w:r w:rsidRPr="00193354">
        <w:tab/>
        <w:t>if the subject matter of the proceeding is land or other property situated in Australia, or any act, deed, will, instrument, or thing affecting such land or property, or the proceeding is for the perpetuation of testimony relating to such land or property;</w:t>
      </w:r>
    </w:p>
    <w:p w14:paraId="1068C135" w14:textId="77777777" w:rsidR="00CC43D6" w:rsidRPr="00193354" w:rsidRDefault="00CC43D6" w:rsidP="00CC43D6">
      <w:pPr>
        <w:pStyle w:val="paragraph"/>
      </w:pPr>
      <w:r w:rsidRPr="00193354">
        <w:tab/>
        <w:t>(f)</w:t>
      </w:r>
      <w:r w:rsidRPr="00193354">
        <w:tab/>
        <w:t>if the proceeding relates to the carrying out or discharge of the trusts of any written instrument of which the person to be served is a trustee and which ought to be carried out or discharged according to the law of the Commonwealth, a State or a Territory;</w:t>
      </w:r>
    </w:p>
    <w:p w14:paraId="1DC8B91E" w14:textId="77777777" w:rsidR="00CC43D6" w:rsidRPr="00193354" w:rsidRDefault="00CC43D6" w:rsidP="00CC43D6">
      <w:pPr>
        <w:pStyle w:val="paragraph"/>
      </w:pPr>
      <w:r w:rsidRPr="00193354">
        <w:tab/>
        <w:t>(g)</w:t>
      </w:r>
      <w:r w:rsidRPr="00193354">
        <w:tab/>
        <w:t>if any relief is sought against any person domiciled or ordinarily or habitually resident in Australia (whether present in Australia or not);</w:t>
      </w:r>
    </w:p>
    <w:p w14:paraId="3872637B" w14:textId="77777777" w:rsidR="00CC43D6" w:rsidRPr="00193354" w:rsidRDefault="00CC43D6" w:rsidP="00CC43D6">
      <w:pPr>
        <w:pStyle w:val="paragraph"/>
      </w:pPr>
      <w:r w:rsidRPr="00193354">
        <w:tab/>
        <w:t>(h)</w:t>
      </w:r>
      <w:r w:rsidRPr="00193354">
        <w:tab/>
        <w:t>if any person outside Australia is:</w:t>
      </w:r>
    </w:p>
    <w:p w14:paraId="175F2646" w14:textId="77777777" w:rsidR="00CC43D6" w:rsidRPr="00193354" w:rsidRDefault="00CC43D6" w:rsidP="00CC43D6">
      <w:pPr>
        <w:pStyle w:val="paragraphsub"/>
      </w:pPr>
      <w:r w:rsidRPr="00193354">
        <w:tab/>
        <w:t>(i)</w:t>
      </w:r>
      <w:r w:rsidRPr="00193354">
        <w:tab/>
        <w:t>a necessary or proper party to a proceeding properly brought against another person served or to be served (whether within Australia or outside Australia) under any other provision of these Rules; or</w:t>
      </w:r>
    </w:p>
    <w:p w14:paraId="384C14EF" w14:textId="77777777" w:rsidR="00CC43D6" w:rsidRPr="00193354" w:rsidRDefault="00CC43D6" w:rsidP="00CC43D6">
      <w:pPr>
        <w:pStyle w:val="paragraphsub"/>
      </w:pPr>
      <w:r w:rsidRPr="00193354">
        <w:tab/>
        <w:t>(ii)</w:t>
      </w:r>
      <w:r w:rsidRPr="00193354">
        <w:tab/>
        <w:t>a respondent to a proceeding seeking contribution or indemnity in respect of a liability enforceable by a proceeding in the Court;</w:t>
      </w:r>
    </w:p>
    <w:p w14:paraId="59CBF5EE" w14:textId="77777777" w:rsidR="00CC43D6" w:rsidRPr="00193354" w:rsidRDefault="00CC43D6" w:rsidP="00CC43D6">
      <w:pPr>
        <w:pStyle w:val="paragraph"/>
      </w:pPr>
      <w:r w:rsidRPr="00193354">
        <w:tab/>
        <w:t>(i)</w:t>
      </w:r>
      <w:r w:rsidRPr="00193354">
        <w:tab/>
        <w:t>if the proceeding is for:</w:t>
      </w:r>
    </w:p>
    <w:p w14:paraId="00A694E4" w14:textId="77777777" w:rsidR="00CC43D6" w:rsidRPr="00193354" w:rsidRDefault="00CC43D6" w:rsidP="00CC43D6">
      <w:pPr>
        <w:pStyle w:val="paragraphsub"/>
      </w:pPr>
      <w:r w:rsidRPr="00193354">
        <w:tab/>
        <w:t>(i)</w:t>
      </w:r>
      <w:r w:rsidRPr="00193354">
        <w:tab/>
        <w:t>the administration of the estate of any deceased person who died domiciled in Australia; or</w:t>
      </w:r>
    </w:p>
    <w:p w14:paraId="11AA91BF" w14:textId="77777777" w:rsidR="00CC43D6" w:rsidRPr="00193354" w:rsidRDefault="00CC43D6" w:rsidP="00CC43D6">
      <w:pPr>
        <w:pStyle w:val="paragraphsub"/>
      </w:pPr>
      <w:r w:rsidRPr="00193354">
        <w:tab/>
        <w:t>(ii)</w:t>
      </w:r>
      <w:r w:rsidRPr="00193354">
        <w:tab/>
        <w:t>any relief or remedy that might be obtained in any such proceeding;</w:t>
      </w:r>
    </w:p>
    <w:p w14:paraId="57A61897" w14:textId="77777777" w:rsidR="00CC43D6" w:rsidRPr="00193354" w:rsidRDefault="00CC43D6" w:rsidP="00CC43D6">
      <w:pPr>
        <w:pStyle w:val="paragraph"/>
      </w:pPr>
      <w:r w:rsidRPr="00193354">
        <w:tab/>
        <w:t>(j)</w:t>
      </w:r>
      <w:r w:rsidRPr="00193354">
        <w:tab/>
        <w:t>if the proceeding arises under a law of the Commonwealth, a State or a Territory, and:</w:t>
      </w:r>
    </w:p>
    <w:p w14:paraId="1A0A33C9" w14:textId="77777777" w:rsidR="00CC43D6" w:rsidRPr="00193354" w:rsidRDefault="00CC43D6" w:rsidP="00CC43D6">
      <w:pPr>
        <w:pStyle w:val="paragraphsub"/>
      </w:pPr>
      <w:r w:rsidRPr="00193354">
        <w:tab/>
        <w:t>(i)</w:t>
      </w:r>
      <w:r w:rsidRPr="00193354">
        <w:tab/>
        <w:t>any act or omission to which the proceeding relates was done or occurred in Australia; or</w:t>
      </w:r>
    </w:p>
    <w:p w14:paraId="1471566D" w14:textId="77777777" w:rsidR="00CC43D6" w:rsidRPr="00193354" w:rsidRDefault="00CC43D6" w:rsidP="00CC43D6">
      <w:pPr>
        <w:pStyle w:val="paragraphsub"/>
      </w:pPr>
      <w:r w:rsidRPr="00193354">
        <w:tab/>
        <w:t>(ii)</w:t>
      </w:r>
      <w:r w:rsidRPr="00193354">
        <w:tab/>
        <w:t>any loss or damage to which the proceeding relates was sustained in Australia; or</w:t>
      </w:r>
    </w:p>
    <w:p w14:paraId="5B0D541C" w14:textId="77777777" w:rsidR="00CC43D6" w:rsidRPr="00193354" w:rsidRDefault="00CC43D6" w:rsidP="00CC43D6">
      <w:pPr>
        <w:pStyle w:val="paragraphsub"/>
      </w:pPr>
      <w:r w:rsidRPr="00193354">
        <w:lastRenderedPageBreak/>
        <w:tab/>
        <w:t>(iii)</w:t>
      </w:r>
      <w:r w:rsidRPr="00193354">
        <w:tab/>
        <w:t>the law applies expressly or by implication to an act or omission that was done or occurred outside Australia in the circumstances alleged; or</w:t>
      </w:r>
    </w:p>
    <w:p w14:paraId="29609F13" w14:textId="77777777" w:rsidR="00CC43D6" w:rsidRPr="00193354" w:rsidRDefault="00CC43D6" w:rsidP="00CC43D6">
      <w:pPr>
        <w:pStyle w:val="paragraphsub"/>
      </w:pPr>
      <w:r w:rsidRPr="00193354">
        <w:tab/>
        <w:t>(iv)</w:t>
      </w:r>
      <w:r w:rsidRPr="00193354">
        <w:tab/>
        <w:t>the law expressly or by implication confers jurisdiction on the Court over persons outside Australia (in which case any requirements of the law relating to service must be complied with);</w:t>
      </w:r>
    </w:p>
    <w:p w14:paraId="7AC35AC4" w14:textId="77777777" w:rsidR="00CC43D6" w:rsidRPr="00193354" w:rsidRDefault="00CC43D6" w:rsidP="00CC43D6">
      <w:pPr>
        <w:pStyle w:val="paragraph"/>
      </w:pPr>
      <w:r w:rsidRPr="00193354">
        <w:tab/>
        <w:t>(k)</w:t>
      </w:r>
      <w:r w:rsidRPr="00193354">
        <w:tab/>
        <w:t>if the person to be served has submitted to the jurisdiction of the Court;</w:t>
      </w:r>
    </w:p>
    <w:p w14:paraId="337DFA41" w14:textId="77777777" w:rsidR="00CC43D6" w:rsidRPr="00193354" w:rsidRDefault="00CC43D6" w:rsidP="00CC43D6">
      <w:pPr>
        <w:pStyle w:val="paragraph"/>
      </w:pPr>
      <w:r w:rsidRPr="00193354">
        <w:tab/>
        <w:t>(l)</w:t>
      </w:r>
      <w:r w:rsidRPr="00193354">
        <w:tab/>
        <w:t xml:space="preserve">if a </w:t>
      </w:r>
      <w:r w:rsidR="00C36886" w:rsidRPr="00193354">
        <w:t>claim</w:t>
      </w:r>
      <w:r w:rsidRPr="00193354">
        <w:t xml:space="preserve"> is for restitution or for the remedy of </w:t>
      </w:r>
      <w:r w:rsidR="00FC1776" w:rsidRPr="00193354">
        <w:t xml:space="preserve">a </w:t>
      </w:r>
      <w:r w:rsidRPr="00193354">
        <w:t>constructive trust and the alleged liability of the person to be served arises out of an act or omission that was done or occurred wholly or partly in Australia;</w:t>
      </w:r>
    </w:p>
    <w:p w14:paraId="02F65C92" w14:textId="77777777" w:rsidR="00CC43D6" w:rsidRPr="00193354" w:rsidRDefault="00CC43D6" w:rsidP="00CC43D6">
      <w:pPr>
        <w:pStyle w:val="paragraph"/>
      </w:pPr>
      <w:r w:rsidRPr="00193354">
        <w:tab/>
        <w:t>(m)</w:t>
      </w:r>
      <w:r w:rsidRPr="00193354">
        <w:tab/>
        <w:t>if it is sought to recognise or enforce any judgment;</w:t>
      </w:r>
    </w:p>
    <w:p w14:paraId="4049EF0F" w14:textId="77777777" w:rsidR="00CC43D6" w:rsidRPr="00193354" w:rsidRDefault="00CC43D6" w:rsidP="00CC43D6">
      <w:pPr>
        <w:pStyle w:val="paragraph"/>
      </w:pPr>
      <w:r w:rsidRPr="00193354">
        <w:tab/>
        <w:t>(n)</w:t>
      </w:r>
      <w:r w:rsidRPr="00193354">
        <w:tab/>
        <w:t>if the proceeding is founded on a cause of action arising in Australia;</w:t>
      </w:r>
    </w:p>
    <w:p w14:paraId="6F64D7C2" w14:textId="77777777" w:rsidR="00CC43D6" w:rsidRPr="00193354" w:rsidRDefault="00CC43D6" w:rsidP="00CC43D6">
      <w:pPr>
        <w:pStyle w:val="paragraph"/>
      </w:pPr>
      <w:r w:rsidRPr="00193354">
        <w:tab/>
        <w:t>(o)</w:t>
      </w:r>
      <w:r w:rsidRPr="00193354">
        <w:tab/>
        <w:t>if the proceeding affects the person to be served in respect of the person’s membership of a corporation incorporated in Australia, or of a partnership or an association formed or carrying on any part of its affairs in Australia;</w:t>
      </w:r>
    </w:p>
    <w:p w14:paraId="0AB61EFF" w14:textId="77777777" w:rsidR="00CC43D6" w:rsidRPr="00193354" w:rsidRDefault="00CC43D6" w:rsidP="00CC43D6">
      <w:pPr>
        <w:pStyle w:val="paragraph"/>
      </w:pPr>
      <w:r w:rsidRPr="00193354">
        <w:tab/>
        <w:t>(p)</w:t>
      </w:r>
      <w:r w:rsidRPr="00193354">
        <w:tab/>
        <w:t>if the proceeding relates to the construction, effect or enforcement of a law of the Commonwealth, a State or a Territory;</w:t>
      </w:r>
    </w:p>
    <w:p w14:paraId="07CFD74F" w14:textId="77777777" w:rsidR="00CC43D6" w:rsidRPr="00193354" w:rsidRDefault="00CC43D6" w:rsidP="00CC43D6">
      <w:pPr>
        <w:pStyle w:val="paragraph"/>
      </w:pPr>
      <w:r w:rsidRPr="00193354">
        <w:tab/>
        <w:t>(q)</w:t>
      </w:r>
      <w:r w:rsidRPr="00193354">
        <w:tab/>
        <w:t>if the proceeding:</w:t>
      </w:r>
    </w:p>
    <w:p w14:paraId="4B83ADCB" w14:textId="77777777" w:rsidR="00CC43D6" w:rsidRPr="00193354" w:rsidRDefault="00CC43D6" w:rsidP="00CC43D6">
      <w:pPr>
        <w:pStyle w:val="paragraphsub"/>
      </w:pPr>
      <w:r w:rsidRPr="00193354">
        <w:tab/>
        <w:t>(i)</w:t>
      </w:r>
      <w:r w:rsidRPr="00193354">
        <w:tab/>
        <w:t>relates to an arbitration held in Australia or governed by a law of the Commonwealth, a State or a Territory; or</w:t>
      </w:r>
    </w:p>
    <w:p w14:paraId="15AF1226" w14:textId="77777777" w:rsidR="00CC43D6" w:rsidRPr="00193354" w:rsidRDefault="00CC43D6" w:rsidP="00CC43D6">
      <w:pPr>
        <w:pStyle w:val="paragraphsub"/>
      </w:pPr>
      <w:r w:rsidRPr="00193354">
        <w:tab/>
        <w:t>(ii)</w:t>
      </w:r>
      <w:r w:rsidRPr="00193354">
        <w:tab/>
        <w:t>is to enforce in Australia an arbitral award wherever made; or</w:t>
      </w:r>
    </w:p>
    <w:p w14:paraId="785807A1" w14:textId="77777777" w:rsidR="00CC43D6" w:rsidRPr="00193354" w:rsidRDefault="00CC43D6" w:rsidP="00CC43D6">
      <w:pPr>
        <w:pStyle w:val="paragraphsub"/>
      </w:pPr>
      <w:r w:rsidRPr="00193354">
        <w:tab/>
        <w:t>(iii)</w:t>
      </w:r>
      <w:r w:rsidRPr="00193354">
        <w:tab/>
        <w:t>is for orders necessary or convenient for carrying into effect in Australia the whole or any part of an arbitral award wherever made;</w:t>
      </w:r>
    </w:p>
    <w:p w14:paraId="6429A4CC" w14:textId="77777777" w:rsidR="00CC43D6" w:rsidRPr="00193354" w:rsidRDefault="00CC43D6" w:rsidP="00CC43D6">
      <w:pPr>
        <w:pStyle w:val="paragraph"/>
      </w:pPr>
      <w:r w:rsidRPr="00193354">
        <w:tab/>
        <w:t>(r)</w:t>
      </w:r>
      <w:r w:rsidRPr="00193354">
        <w:tab/>
        <w:t>if the proceeding is for relief relating to the custody, guardianship, protection or welfare of a minor present in Australia or who is domiciled or ordinarily or habitually resident in Australia (whether present in Australia or not);</w:t>
      </w:r>
    </w:p>
    <w:p w14:paraId="2CA402F2" w14:textId="77777777" w:rsidR="00CC43D6" w:rsidRPr="00193354" w:rsidRDefault="00CC43D6" w:rsidP="00CC43D6">
      <w:pPr>
        <w:pStyle w:val="paragraph"/>
      </w:pPr>
      <w:r w:rsidRPr="00193354">
        <w:tab/>
        <w:t>(s)</w:t>
      </w:r>
      <w:r w:rsidRPr="00193354">
        <w:tab/>
        <w:t>if the proceeding, so far as it relates to the person to be served, falls partly within one or more of paragraphs (a) to (r) and, as to the residue, within one or more of the others of paragraphs (a) to (r).</w:t>
      </w:r>
    </w:p>
    <w:p w14:paraId="2B11D9C7" w14:textId="77777777" w:rsidR="00CC43D6" w:rsidRPr="00193354" w:rsidRDefault="00CC43D6" w:rsidP="00CC43D6">
      <w:pPr>
        <w:pStyle w:val="notetext"/>
      </w:pPr>
      <w:r w:rsidRPr="00193354">
        <w:t>Note 1:</w:t>
      </w:r>
      <w:r w:rsidRPr="00193354">
        <w:tab/>
        <w:t>An originating application includes certain third party claims and other cross</w:t>
      </w:r>
      <w:r w:rsidR="00193354">
        <w:noBreakHyphen/>
      </w:r>
      <w:r w:rsidRPr="00193354">
        <w:t xml:space="preserve">claims—see the definitions of </w:t>
      </w:r>
      <w:r w:rsidRPr="00193354">
        <w:rPr>
          <w:b/>
          <w:i/>
        </w:rPr>
        <w:t>originating application</w:t>
      </w:r>
      <w:r w:rsidRPr="00193354">
        <w:t xml:space="preserve"> and </w:t>
      </w:r>
      <w:r w:rsidRPr="00193354">
        <w:rPr>
          <w:b/>
          <w:i/>
        </w:rPr>
        <w:t>cross</w:t>
      </w:r>
      <w:r w:rsidR="00193354">
        <w:rPr>
          <w:b/>
          <w:i/>
        </w:rPr>
        <w:noBreakHyphen/>
      </w:r>
      <w:r w:rsidRPr="00193354">
        <w:rPr>
          <w:b/>
          <w:i/>
        </w:rPr>
        <w:t>claim</w:t>
      </w:r>
      <w:r w:rsidRPr="00193354">
        <w:t xml:space="preserve"> in the Dictionary.</w:t>
      </w:r>
    </w:p>
    <w:p w14:paraId="66DC754B" w14:textId="77777777" w:rsidR="00FA2A30" w:rsidRPr="00193354" w:rsidRDefault="00CC43D6" w:rsidP="00CC43D6">
      <w:pPr>
        <w:pStyle w:val="notetext"/>
      </w:pPr>
      <w:r w:rsidRPr="00193354">
        <w:t>Note 2:</w:t>
      </w:r>
      <w:r w:rsidRPr="00193354">
        <w:tab/>
        <w:t xml:space="preserve">If a proceeding is instituted in the Court and an originating application is served outside Australia under this rule but the Court later decides that it is more appropriate that the proceeding be determined by </w:t>
      </w:r>
      <w:r w:rsidR="00485F7D" w:rsidRPr="00193354">
        <w:t>another court</w:t>
      </w:r>
      <w:r w:rsidRPr="00193354">
        <w:t xml:space="preserve">, the Court may transfer the proceeding to that other court under the </w:t>
      </w:r>
      <w:r w:rsidRPr="00193354">
        <w:rPr>
          <w:i/>
        </w:rPr>
        <w:t>Jurisdiction of Courts (Cross</w:t>
      </w:r>
      <w:r w:rsidR="00193354">
        <w:rPr>
          <w:i/>
        </w:rPr>
        <w:noBreakHyphen/>
      </w:r>
      <w:r w:rsidRPr="00193354">
        <w:rPr>
          <w:i/>
        </w:rPr>
        <w:t>vesting) Act 1987</w:t>
      </w:r>
      <w:r w:rsidRPr="00193354">
        <w:t xml:space="preserve"> and may make an order for costs that relate to the conduct of the proceeding before the transfer.</w:t>
      </w:r>
    </w:p>
    <w:p w14:paraId="328C9B75" w14:textId="77777777" w:rsidR="00CC43D6" w:rsidRPr="00193354" w:rsidRDefault="00CC43D6" w:rsidP="00CC43D6">
      <w:pPr>
        <w:pStyle w:val="ActHead5"/>
      </w:pPr>
      <w:bookmarkStart w:id="12" w:name="_Toc122448242"/>
      <w:r w:rsidRPr="00D478AB">
        <w:rPr>
          <w:rStyle w:val="CharSectno"/>
        </w:rPr>
        <w:t>10.43</w:t>
      </w:r>
      <w:r w:rsidRPr="00193354">
        <w:t xml:space="preserve">  When an originating application may be served outside Australia with leave</w:t>
      </w:r>
      <w:bookmarkEnd w:id="12"/>
    </w:p>
    <w:p w14:paraId="5734AFD8" w14:textId="77777777" w:rsidR="00CC43D6" w:rsidRPr="00193354" w:rsidRDefault="00CC43D6" w:rsidP="00CC43D6">
      <w:pPr>
        <w:pStyle w:val="subsection"/>
      </w:pPr>
      <w:r w:rsidRPr="00193354">
        <w:tab/>
        <w:t>(1)</w:t>
      </w:r>
      <w:r w:rsidRPr="00193354">
        <w:tab/>
        <w:t xml:space="preserve">In any proceeding, if service is not allowed under </w:t>
      </w:r>
      <w:r w:rsidR="00282B96" w:rsidRPr="00193354">
        <w:t>rule 1</w:t>
      </w:r>
      <w:r w:rsidRPr="00193354">
        <w:t>0.42, an originating application may be served outside Australia with the leave of the Court.</w:t>
      </w:r>
    </w:p>
    <w:p w14:paraId="1B4AD13B" w14:textId="77777777" w:rsidR="00CC43D6" w:rsidRPr="00193354" w:rsidRDefault="00CC43D6" w:rsidP="00CC43D6">
      <w:pPr>
        <w:pStyle w:val="subsection"/>
      </w:pPr>
      <w:r w:rsidRPr="00193354">
        <w:tab/>
        <w:t>(2)</w:t>
      </w:r>
      <w:r w:rsidRPr="00193354">
        <w:tab/>
        <w:t>An application for leave under this rule must be made on notice to every party other than the party intended to be served.</w:t>
      </w:r>
    </w:p>
    <w:p w14:paraId="20497D28" w14:textId="77777777" w:rsidR="00CC43D6" w:rsidRPr="00193354" w:rsidRDefault="00CC43D6" w:rsidP="00CC43D6">
      <w:pPr>
        <w:pStyle w:val="subsection"/>
      </w:pPr>
      <w:r w:rsidRPr="00193354">
        <w:tab/>
        <w:t>(3)</w:t>
      </w:r>
      <w:r w:rsidRPr="00193354">
        <w:tab/>
        <w:t>An application for leave under this rule must be accompanied by an affidavit stating any facts or matters related to the desirability of the Court assuming jurisdiction, including the place or country in which the person to be served is or possibly may be found, and whether or not the person to be served is an Australian citizen.</w:t>
      </w:r>
    </w:p>
    <w:p w14:paraId="3E532E44" w14:textId="77777777" w:rsidR="00CC43D6" w:rsidRPr="00193354" w:rsidRDefault="00CC43D6" w:rsidP="00CC43D6">
      <w:pPr>
        <w:pStyle w:val="subsection"/>
      </w:pPr>
      <w:r w:rsidRPr="00193354">
        <w:lastRenderedPageBreak/>
        <w:tab/>
        <w:t>(4)</w:t>
      </w:r>
      <w:r w:rsidRPr="00193354">
        <w:tab/>
        <w:t>The Court may give leave if satisfied that:</w:t>
      </w:r>
    </w:p>
    <w:p w14:paraId="1822AC2A" w14:textId="77777777" w:rsidR="00CC43D6" w:rsidRPr="00193354" w:rsidRDefault="00CC43D6" w:rsidP="00CC43D6">
      <w:pPr>
        <w:pStyle w:val="paragraph"/>
      </w:pPr>
      <w:r w:rsidRPr="00193354">
        <w:tab/>
        <w:t>(a)</w:t>
      </w:r>
      <w:r w:rsidRPr="00193354">
        <w:tab/>
        <w:t>the proceeding has a real and substantial connection with Australia; and</w:t>
      </w:r>
    </w:p>
    <w:p w14:paraId="05338959" w14:textId="77777777" w:rsidR="00CC43D6" w:rsidRPr="00193354" w:rsidRDefault="00CC43D6" w:rsidP="00CC43D6">
      <w:pPr>
        <w:pStyle w:val="paragraph"/>
      </w:pPr>
      <w:r w:rsidRPr="00193354">
        <w:tab/>
        <w:t>(b)</w:t>
      </w:r>
      <w:r w:rsidRPr="00193354">
        <w:tab/>
        <w:t>Australia is an appropriate forum for the proceeding; and</w:t>
      </w:r>
    </w:p>
    <w:p w14:paraId="2528D6C1" w14:textId="77777777" w:rsidR="00CC43D6" w:rsidRPr="00193354" w:rsidRDefault="00CC43D6" w:rsidP="00CC43D6">
      <w:pPr>
        <w:pStyle w:val="paragraph"/>
      </w:pPr>
      <w:r w:rsidRPr="00193354">
        <w:tab/>
        <w:t>(c)</w:t>
      </w:r>
      <w:r w:rsidRPr="00193354">
        <w:tab/>
        <w:t>in all the circumstances the Court should exercise jurisdiction.</w:t>
      </w:r>
    </w:p>
    <w:p w14:paraId="2AC35F2A" w14:textId="77777777" w:rsidR="00CC43D6" w:rsidRPr="00193354" w:rsidRDefault="00CC43D6" w:rsidP="00CC43D6">
      <w:pPr>
        <w:pStyle w:val="subsection"/>
      </w:pPr>
      <w:r w:rsidRPr="00193354">
        <w:tab/>
        <w:t>(5)</w:t>
      </w:r>
      <w:r w:rsidRPr="00193354">
        <w:tab/>
        <w:t>A sealed copy of every order made under this rule must be served with the document to which it relates.</w:t>
      </w:r>
    </w:p>
    <w:p w14:paraId="242698D0" w14:textId="77777777" w:rsidR="00CC43D6" w:rsidRPr="00193354" w:rsidRDefault="00CC43D6" w:rsidP="00CC43D6">
      <w:pPr>
        <w:pStyle w:val="ActHead5"/>
      </w:pPr>
      <w:bookmarkStart w:id="13" w:name="_Toc122448243"/>
      <w:r w:rsidRPr="00D478AB">
        <w:rPr>
          <w:rStyle w:val="CharSectno"/>
        </w:rPr>
        <w:t>10.</w:t>
      </w:r>
      <w:r w:rsidR="007A2997" w:rsidRPr="00D478AB">
        <w:rPr>
          <w:rStyle w:val="CharSectno"/>
        </w:rPr>
        <w:t>43A</w:t>
      </w:r>
      <w:r w:rsidRPr="00193354">
        <w:t xml:space="preserve">  Court’s discretion whether to exercise jurisdiction</w:t>
      </w:r>
      <w:bookmarkEnd w:id="13"/>
    </w:p>
    <w:p w14:paraId="77C13322" w14:textId="77777777" w:rsidR="00CC43D6" w:rsidRPr="00193354" w:rsidRDefault="00CC43D6" w:rsidP="00CC43D6">
      <w:pPr>
        <w:pStyle w:val="subsection"/>
      </w:pPr>
      <w:r w:rsidRPr="00193354">
        <w:tab/>
        <w:t>(1)</w:t>
      </w:r>
      <w:r w:rsidRPr="00193354">
        <w:tab/>
        <w:t>On application by a person on whom an originating application has been served outside Australia, the Court may dismiss or stay the proceeding or set aside service of the originating application.</w:t>
      </w:r>
    </w:p>
    <w:p w14:paraId="49D39BCF" w14:textId="77777777" w:rsidR="00CC43D6" w:rsidRPr="00193354" w:rsidRDefault="00CC43D6" w:rsidP="00CC43D6">
      <w:pPr>
        <w:pStyle w:val="subsection"/>
      </w:pPr>
      <w:r w:rsidRPr="00193354">
        <w:tab/>
        <w:t>(2)</w:t>
      </w:r>
      <w:r w:rsidRPr="00193354">
        <w:tab/>
        <w:t>Without limiting subrule (1), the Court may make an order under this rule if satisfied that:</w:t>
      </w:r>
    </w:p>
    <w:p w14:paraId="560D22CC" w14:textId="77777777" w:rsidR="00CC43D6" w:rsidRPr="00193354" w:rsidRDefault="00CC43D6" w:rsidP="00CC43D6">
      <w:pPr>
        <w:pStyle w:val="paragraph"/>
      </w:pPr>
      <w:r w:rsidRPr="00193354">
        <w:tab/>
        <w:t>(a)</w:t>
      </w:r>
      <w:r w:rsidRPr="00193354">
        <w:tab/>
        <w:t>service of the originating application is not authorised by these Rules; or</w:t>
      </w:r>
    </w:p>
    <w:p w14:paraId="50FCDAB4" w14:textId="77777777" w:rsidR="00CC43D6" w:rsidRPr="00193354" w:rsidRDefault="00CC43D6" w:rsidP="00CC43D6">
      <w:pPr>
        <w:pStyle w:val="paragraph"/>
      </w:pPr>
      <w:r w:rsidRPr="00193354">
        <w:tab/>
        <w:t>(b)</w:t>
      </w:r>
      <w:r w:rsidRPr="00193354">
        <w:tab/>
      </w:r>
      <w:r w:rsidR="00FC1776" w:rsidRPr="00193354">
        <w:t>Australia</w:t>
      </w:r>
      <w:r w:rsidRPr="00193354">
        <w:t xml:space="preserve"> is an inappropriate forum for the proceeding; or</w:t>
      </w:r>
    </w:p>
    <w:p w14:paraId="0F5F0921" w14:textId="77777777" w:rsidR="00CC43D6" w:rsidRPr="00193354" w:rsidRDefault="00CC43D6" w:rsidP="00CC43D6">
      <w:pPr>
        <w:pStyle w:val="paragraph"/>
      </w:pPr>
      <w:r w:rsidRPr="00193354">
        <w:tab/>
        <w:t>(c)</w:t>
      </w:r>
      <w:r w:rsidRPr="00193354">
        <w:tab/>
        <w:t>the claim has insufficient prospects of success to warrant putting the person served outside Australia to the time, expense and trouble of defending it.</w:t>
      </w:r>
    </w:p>
    <w:p w14:paraId="4BEDF361" w14:textId="77777777" w:rsidR="00CC43D6" w:rsidRPr="00193354" w:rsidRDefault="00CC43D6" w:rsidP="00CC43D6">
      <w:pPr>
        <w:pStyle w:val="ActHead5"/>
      </w:pPr>
      <w:bookmarkStart w:id="14" w:name="_Toc122448244"/>
      <w:r w:rsidRPr="00D478AB">
        <w:rPr>
          <w:rStyle w:val="CharSectno"/>
        </w:rPr>
        <w:t>10.</w:t>
      </w:r>
      <w:r w:rsidR="007A2997" w:rsidRPr="00D478AB">
        <w:rPr>
          <w:rStyle w:val="CharSectno"/>
        </w:rPr>
        <w:t>43B</w:t>
      </w:r>
      <w:r w:rsidRPr="00193354">
        <w:t xml:space="preserve">  Notice to person served outside Australia</w:t>
      </w:r>
      <w:bookmarkEnd w:id="14"/>
    </w:p>
    <w:p w14:paraId="029EB984" w14:textId="77777777" w:rsidR="00CC43D6" w:rsidRPr="00193354" w:rsidRDefault="00CC43D6" w:rsidP="0076315B">
      <w:pPr>
        <w:pStyle w:val="subsection"/>
      </w:pPr>
      <w:r w:rsidRPr="00193354">
        <w:tab/>
      </w:r>
      <w:r w:rsidRPr="00193354">
        <w:tab/>
        <w:t xml:space="preserve">If a person is to be served outside Australia with an originating application, the person must also be served with a notice, in accordance with </w:t>
      </w:r>
      <w:r w:rsidRPr="00193354">
        <w:rPr>
          <w:lang w:eastAsia="en-US"/>
        </w:rPr>
        <w:t xml:space="preserve">Form </w:t>
      </w:r>
      <w:r w:rsidR="0076315B" w:rsidRPr="00193354">
        <w:rPr>
          <w:lang w:eastAsia="en-US"/>
        </w:rPr>
        <w:t>26A</w:t>
      </w:r>
      <w:r w:rsidRPr="00193354">
        <w:rPr>
          <w:lang w:eastAsia="en-US"/>
        </w:rPr>
        <w:t xml:space="preserve">, </w:t>
      </w:r>
      <w:r w:rsidRPr="00193354">
        <w:t>informing the person of:</w:t>
      </w:r>
    </w:p>
    <w:p w14:paraId="1E3FB84C" w14:textId="77777777" w:rsidR="00CC43D6" w:rsidRPr="00193354" w:rsidRDefault="00CC43D6" w:rsidP="00CC43D6">
      <w:pPr>
        <w:pStyle w:val="paragraph"/>
      </w:pPr>
      <w:r w:rsidRPr="00193354">
        <w:tab/>
        <w:t>(a)</w:t>
      </w:r>
      <w:r w:rsidRPr="00193354">
        <w:tab/>
        <w:t>the scope of the jurisdiction of the Court in respect of proceedings against persons who are served outside Australia; and</w:t>
      </w:r>
    </w:p>
    <w:p w14:paraId="0D8E100F" w14:textId="77777777" w:rsidR="00CC43D6" w:rsidRPr="00193354" w:rsidRDefault="00CC43D6" w:rsidP="00CC43D6">
      <w:pPr>
        <w:pStyle w:val="paragraph"/>
      </w:pPr>
      <w:r w:rsidRPr="00193354">
        <w:tab/>
        <w:t>(b)</w:t>
      </w:r>
      <w:r w:rsidRPr="00193354">
        <w:tab/>
        <w:t>the grounds alleged by the applicant to found jurisdiction; and</w:t>
      </w:r>
    </w:p>
    <w:p w14:paraId="1E0ACEC4" w14:textId="77777777" w:rsidR="00CC43D6" w:rsidRPr="00193354" w:rsidRDefault="00CC43D6" w:rsidP="00CC43D6">
      <w:pPr>
        <w:pStyle w:val="paragraph"/>
      </w:pPr>
      <w:r w:rsidRPr="00193354">
        <w:tab/>
        <w:t>(c)</w:t>
      </w:r>
      <w:r w:rsidRPr="00193354">
        <w:tab/>
        <w:t>the person’s right to challenge service of the originating application or the jurisdiction of the Court or to file a conditional appearance.</w:t>
      </w:r>
    </w:p>
    <w:p w14:paraId="1FAAFB57" w14:textId="77777777" w:rsidR="00CC43D6" w:rsidRPr="00193354" w:rsidRDefault="00CC43D6" w:rsidP="00CC43D6">
      <w:pPr>
        <w:pStyle w:val="ActHead5"/>
      </w:pPr>
      <w:bookmarkStart w:id="15" w:name="_Toc122448245"/>
      <w:r w:rsidRPr="00D478AB">
        <w:rPr>
          <w:rStyle w:val="CharSectno"/>
        </w:rPr>
        <w:t>10.</w:t>
      </w:r>
      <w:r w:rsidR="007A2997" w:rsidRPr="00D478AB">
        <w:rPr>
          <w:rStyle w:val="CharSectno"/>
        </w:rPr>
        <w:t>43C</w:t>
      </w:r>
      <w:r w:rsidRPr="00193354">
        <w:t xml:space="preserve">  Time for filing notice of address for service</w:t>
      </w:r>
      <w:bookmarkEnd w:id="15"/>
    </w:p>
    <w:p w14:paraId="7D78ECAD" w14:textId="77777777" w:rsidR="00CC43D6" w:rsidRPr="00193354" w:rsidRDefault="00CC43D6" w:rsidP="00CC43D6">
      <w:pPr>
        <w:pStyle w:val="subsection"/>
      </w:pPr>
      <w:r w:rsidRPr="00193354">
        <w:tab/>
      </w:r>
      <w:r w:rsidR="00132669" w:rsidRPr="00193354">
        <w:t>(1)</w:t>
      </w:r>
      <w:r w:rsidRPr="00193354">
        <w:tab/>
        <w:t>Unless the Court otherwise orders, a respondent who has been served outside Australia must file a notice of address for service</w:t>
      </w:r>
      <w:r w:rsidR="00485F7D" w:rsidRPr="00193354">
        <w:t xml:space="preserve"> before</w:t>
      </w:r>
      <w:r w:rsidRPr="00193354">
        <w:t xml:space="preserve"> the later of:</w:t>
      </w:r>
    </w:p>
    <w:p w14:paraId="231CB245" w14:textId="77777777" w:rsidR="00CC43D6" w:rsidRPr="00193354" w:rsidRDefault="00CC43D6" w:rsidP="00CC43D6">
      <w:pPr>
        <w:pStyle w:val="paragraph"/>
      </w:pPr>
      <w:r w:rsidRPr="00193354">
        <w:tab/>
        <w:t>(a)</w:t>
      </w:r>
      <w:r w:rsidRPr="00193354">
        <w:tab/>
        <w:t>the return date fixed in the originating application; and</w:t>
      </w:r>
    </w:p>
    <w:p w14:paraId="1EEFB9A4" w14:textId="77777777" w:rsidR="00CC43D6" w:rsidRPr="00193354" w:rsidRDefault="00CC43D6" w:rsidP="00CC43D6">
      <w:pPr>
        <w:pStyle w:val="paragraph"/>
      </w:pPr>
      <w:r w:rsidRPr="00193354">
        <w:tab/>
        <w:t>(b)</w:t>
      </w:r>
      <w:r w:rsidRPr="00193354">
        <w:tab/>
        <w:t xml:space="preserve">the </w:t>
      </w:r>
      <w:r w:rsidR="00485F7D" w:rsidRPr="00193354">
        <w:t>43rd</w:t>
      </w:r>
      <w:r w:rsidRPr="00193354">
        <w:t xml:space="preserve"> day after the day of service.</w:t>
      </w:r>
    </w:p>
    <w:p w14:paraId="6DB1815F" w14:textId="77777777" w:rsidR="00132669" w:rsidRPr="00193354" w:rsidRDefault="00132669" w:rsidP="00132669">
      <w:pPr>
        <w:pStyle w:val="subsection"/>
      </w:pPr>
      <w:r w:rsidRPr="00193354">
        <w:tab/>
        <w:t>(2)</w:t>
      </w:r>
      <w:r w:rsidRPr="00193354">
        <w:tab/>
        <w:t xml:space="preserve">Subrule (1) has effect despite </w:t>
      </w:r>
      <w:r w:rsidR="00282B96" w:rsidRPr="00193354">
        <w:t>rules 5</w:t>
      </w:r>
      <w:r w:rsidRPr="00193354">
        <w:t>.02 and 11.06.</w:t>
      </w:r>
    </w:p>
    <w:p w14:paraId="4DBD0D93" w14:textId="77777777" w:rsidR="00CC43D6" w:rsidRPr="00193354" w:rsidRDefault="00CC43D6" w:rsidP="00CC43D6">
      <w:pPr>
        <w:pStyle w:val="ActHead5"/>
      </w:pPr>
      <w:bookmarkStart w:id="16" w:name="_Toc122448246"/>
      <w:r w:rsidRPr="00D478AB">
        <w:rPr>
          <w:rStyle w:val="CharSectno"/>
        </w:rPr>
        <w:t>10.</w:t>
      </w:r>
      <w:r w:rsidR="007A2997" w:rsidRPr="00D478AB">
        <w:rPr>
          <w:rStyle w:val="CharSectno"/>
        </w:rPr>
        <w:t>43D</w:t>
      </w:r>
      <w:r w:rsidRPr="00193354">
        <w:t xml:space="preserve">  Leave to proceed if notice of address for service not filed</w:t>
      </w:r>
      <w:bookmarkEnd w:id="16"/>
    </w:p>
    <w:p w14:paraId="68BEA82D" w14:textId="77777777" w:rsidR="00CC43D6" w:rsidRPr="00193354" w:rsidRDefault="00CC43D6" w:rsidP="00CC43D6">
      <w:pPr>
        <w:pStyle w:val="subsection"/>
      </w:pPr>
      <w:r w:rsidRPr="00193354">
        <w:tab/>
        <w:t>(1)</w:t>
      </w:r>
      <w:r w:rsidRPr="00193354">
        <w:tab/>
        <w:t xml:space="preserve">If an originating application is served on a person outside Australia and the person does not file a notice of address for service within the time fixed by </w:t>
      </w:r>
      <w:r w:rsidR="00282B96" w:rsidRPr="00193354">
        <w:t>rule 1</w:t>
      </w:r>
      <w:r w:rsidRPr="00193354">
        <w:t>0.</w:t>
      </w:r>
      <w:r w:rsidR="001E3FE6" w:rsidRPr="00193354">
        <w:t>43C</w:t>
      </w:r>
      <w:r w:rsidRPr="00193354">
        <w:t>, the party serving the document may not proceed against the person served except by leave of the Court.</w:t>
      </w:r>
    </w:p>
    <w:p w14:paraId="7546B623" w14:textId="77777777" w:rsidR="00CC43D6" w:rsidRPr="00193354" w:rsidRDefault="00CC43D6" w:rsidP="00CC43D6">
      <w:pPr>
        <w:pStyle w:val="subsection"/>
      </w:pPr>
      <w:r w:rsidRPr="00193354">
        <w:tab/>
        <w:t>(2)</w:t>
      </w:r>
      <w:r w:rsidRPr="00193354">
        <w:tab/>
        <w:t>An application for leave under subrule (1) may be made without notice.</w:t>
      </w:r>
    </w:p>
    <w:p w14:paraId="34C65D38" w14:textId="77777777" w:rsidR="00CC43D6" w:rsidRPr="00193354" w:rsidRDefault="00CC43D6" w:rsidP="00CC43D6">
      <w:pPr>
        <w:pStyle w:val="notetext"/>
      </w:pPr>
      <w:r w:rsidRPr="00193354">
        <w:t>Note:</w:t>
      </w:r>
      <w:r w:rsidRPr="00193354">
        <w:tab/>
      </w:r>
      <w:r w:rsidRPr="00193354">
        <w:rPr>
          <w:b/>
          <w:i/>
        </w:rPr>
        <w:t>Without notice</w:t>
      </w:r>
      <w:r w:rsidRPr="00193354">
        <w:t xml:space="preserve"> is defined in the Dictionary.</w:t>
      </w:r>
    </w:p>
    <w:p w14:paraId="38F2F49A" w14:textId="77777777" w:rsidR="00CC43D6" w:rsidRPr="00193354" w:rsidRDefault="00CC43D6" w:rsidP="00CC43D6">
      <w:pPr>
        <w:pStyle w:val="ActHead5"/>
      </w:pPr>
      <w:bookmarkStart w:id="17" w:name="_Toc122448247"/>
      <w:r w:rsidRPr="00D478AB">
        <w:rPr>
          <w:rStyle w:val="CharSectno"/>
        </w:rPr>
        <w:lastRenderedPageBreak/>
        <w:t>10.</w:t>
      </w:r>
      <w:r w:rsidR="00271114" w:rsidRPr="00D478AB">
        <w:rPr>
          <w:rStyle w:val="CharSectno"/>
        </w:rPr>
        <w:t>44</w:t>
      </w:r>
      <w:r w:rsidRPr="00193354">
        <w:t xml:space="preserve">  Service of other documents outside Australia</w:t>
      </w:r>
      <w:bookmarkEnd w:id="17"/>
    </w:p>
    <w:p w14:paraId="5B9E87D1" w14:textId="77777777" w:rsidR="00CC43D6" w:rsidRPr="00193354" w:rsidRDefault="00CC43D6" w:rsidP="00CC43D6">
      <w:pPr>
        <w:pStyle w:val="subsection"/>
      </w:pPr>
      <w:r w:rsidRPr="00193354">
        <w:tab/>
      </w:r>
      <w:r w:rsidRPr="00193354">
        <w:tab/>
        <w:t>Any document other than an originating application may be served outside Australia with the leave of the Court, which may be given with any directions that the Court considers appropriate.</w:t>
      </w:r>
    </w:p>
    <w:p w14:paraId="6BCD4EE4" w14:textId="77777777" w:rsidR="00271114" w:rsidRPr="00193354" w:rsidRDefault="00271114" w:rsidP="00271114">
      <w:pPr>
        <w:pStyle w:val="ActHead5"/>
      </w:pPr>
      <w:bookmarkStart w:id="18" w:name="_Toc122448248"/>
      <w:r w:rsidRPr="00D478AB">
        <w:rPr>
          <w:rStyle w:val="CharSectno"/>
        </w:rPr>
        <w:t>10.45</w:t>
      </w:r>
      <w:r w:rsidRPr="00193354">
        <w:t xml:space="preserve">  Application of other rules</w:t>
      </w:r>
      <w:bookmarkEnd w:id="18"/>
    </w:p>
    <w:p w14:paraId="3E58653C" w14:textId="77777777" w:rsidR="00271114" w:rsidRPr="00193354" w:rsidRDefault="00271114" w:rsidP="00271114">
      <w:pPr>
        <w:pStyle w:val="subsection"/>
      </w:pPr>
      <w:r w:rsidRPr="00193354">
        <w:tab/>
      </w:r>
      <w:r w:rsidRPr="00193354">
        <w:tab/>
        <w:t>The other provisions of this Part apply to service of a document on a person outside Australia in the same way as the provisions apply to service on a person in Australia, to the extent that the provisions are:</w:t>
      </w:r>
    </w:p>
    <w:p w14:paraId="6030718E" w14:textId="77777777" w:rsidR="00271114" w:rsidRPr="00193354" w:rsidRDefault="00271114" w:rsidP="00271114">
      <w:pPr>
        <w:pStyle w:val="paragraph"/>
      </w:pPr>
      <w:r w:rsidRPr="00193354">
        <w:tab/>
        <w:t>(a)</w:t>
      </w:r>
      <w:r w:rsidRPr="00193354">
        <w:tab/>
        <w:t>relevant and consistent with this Division; and</w:t>
      </w:r>
    </w:p>
    <w:p w14:paraId="3D814EB8" w14:textId="77777777" w:rsidR="00271114" w:rsidRPr="00193354" w:rsidRDefault="00271114" w:rsidP="00271114">
      <w:pPr>
        <w:pStyle w:val="paragraph"/>
      </w:pPr>
      <w:r w:rsidRPr="00193354">
        <w:tab/>
        <w:t>(b)</w:t>
      </w:r>
      <w:r w:rsidRPr="00193354">
        <w:tab/>
        <w:t>consistent with:</w:t>
      </w:r>
    </w:p>
    <w:p w14:paraId="24B5C588" w14:textId="77777777" w:rsidR="00271114" w:rsidRPr="00193354" w:rsidRDefault="00271114" w:rsidP="00271114">
      <w:pPr>
        <w:pStyle w:val="paragraphsub"/>
      </w:pPr>
      <w:r w:rsidRPr="00193354">
        <w:tab/>
        <w:t>(i)</w:t>
      </w:r>
      <w:r w:rsidRPr="00193354">
        <w:tab/>
        <w:t>if a convention applies—the convention; or</w:t>
      </w:r>
    </w:p>
    <w:p w14:paraId="6C67C054" w14:textId="77777777" w:rsidR="00271114" w:rsidRPr="00193354" w:rsidRDefault="00271114" w:rsidP="00271114">
      <w:pPr>
        <w:pStyle w:val="paragraphsub"/>
      </w:pPr>
      <w:r w:rsidRPr="00193354">
        <w:tab/>
        <w:t>(ii)</w:t>
      </w:r>
      <w:r w:rsidRPr="00193354">
        <w:tab/>
        <w:t>if the Hague Convention applies—the Hague Convention; or</w:t>
      </w:r>
    </w:p>
    <w:p w14:paraId="634A531F" w14:textId="77777777" w:rsidR="00271114" w:rsidRPr="00193354" w:rsidRDefault="00271114" w:rsidP="00271114">
      <w:pPr>
        <w:pStyle w:val="paragraphsub"/>
      </w:pPr>
      <w:r w:rsidRPr="00193354">
        <w:tab/>
        <w:t>(iii)</w:t>
      </w:r>
      <w:r w:rsidRPr="00193354">
        <w:tab/>
        <w:t>in any other case—the law of the country in which service is to be effected.</w:t>
      </w:r>
    </w:p>
    <w:p w14:paraId="3563A8CD" w14:textId="77777777" w:rsidR="00CC43D6" w:rsidRPr="00193354" w:rsidRDefault="00CC43D6" w:rsidP="00CC43D6">
      <w:pPr>
        <w:pStyle w:val="ActHead5"/>
      </w:pPr>
      <w:bookmarkStart w:id="19" w:name="_Toc122448249"/>
      <w:r w:rsidRPr="00D478AB">
        <w:rPr>
          <w:rStyle w:val="CharSectno"/>
        </w:rPr>
        <w:t>10.</w:t>
      </w:r>
      <w:r w:rsidR="00271114" w:rsidRPr="00D478AB">
        <w:rPr>
          <w:rStyle w:val="CharSectno"/>
        </w:rPr>
        <w:t>46</w:t>
      </w:r>
      <w:r w:rsidRPr="00193354">
        <w:t xml:space="preserve">  </w:t>
      </w:r>
      <w:r w:rsidR="006C0F2F" w:rsidRPr="00193354">
        <w:t>Method</w:t>
      </w:r>
      <w:r w:rsidRPr="00193354">
        <w:t xml:space="preserve"> of service</w:t>
      </w:r>
      <w:bookmarkEnd w:id="19"/>
    </w:p>
    <w:p w14:paraId="4B4F8076" w14:textId="77777777" w:rsidR="00CC43D6" w:rsidRPr="00193354" w:rsidRDefault="00CC43D6" w:rsidP="00CC43D6">
      <w:pPr>
        <w:pStyle w:val="subsection"/>
      </w:pPr>
      <w:r w:rsidRPr="00193354">
        <w:tab/>
      </w:r>
      <w:r w:rsidRPr="00193354">
        <w:tab/>
        <w:t>A document to be served outside Australia need not be personally served on a person so long as it is served on the person in accordance with the law of the country in which service is effected.</w:t>
      </w:r>
    </w:p>
    <w:p w14:paraId="44000D5A" w14:textId="77777777" w:rsidR="00CC43D6" w:rsidRPr="00193354" w:rsidRDefault="00CC43D6" w:rsidP="00CC43D6">
      <w:pPr>
        <w:pStyle w:val="notetext"/>
      </w:pPr>
      <w:r w:rsidRPr="00193354">
        <w:t>Note:</w:t>
      </w:r>
      <w:r w:rsidRPr="00193354">
        <w:tab/>
        <w:t xml:space="preserve">The law of a foreign country may permit service through the diplomatic channel or service by a private agent—see </w:t>
      </w:r>
      <w:r w:rsidR="00282B96" w:rsidRPr="00193354">
        <w:t>Division 1</w:t>
      </w:r>
      <w:r w:rsidRPr="00193354">
        <w:t>0.5.</w:t>
      </w:r>
    </w:p>
    <w:p w14:paraId="510D1168" w14:textId="77777777" w:rsidR="00CC43D6" w:rsidRPr="00193354" w:rsidRDefault="00CC43D6" w:rsidP="00CC43D6">
      <w:pPr>
        <w:pStyle w:val="ActHead5"/>
      </w:pPr>
      <w:bookmarkStart w:id="20" w:name="_Toc122448250"/>
      <w:r w:rsidRPr="00D478AB">
        <w:rPr>
          <w:rStyle w:val="CharSectno"/>
        </w:rPr>
        <w:t>10.4</w:t>
      </w:r>
      <w:r w:rsidR="00271114" w:rsidRPr="00D478AB">
        <w:rPr>
          <w:rStyle w:val="CharSectno"/>
        </w:rPr>
        <w:t>7</w:t>
      </w:r>
      <w:r w:rsidRPr="00193354">
        <w:t xml:space="preserve">  Proof of service</w:t>
      </w:r>
      <w:bookmarkEnd w:id="20"/>
    </w:p>
    <w:p w14:paraId="7D61A934" w14:textId="77777777" w:rsidR="00CC43D6" w:rsidRPr="00193354" w:rsidRDefault="00CC43D6" w:rsidP="00CC43D6">
      <w:pPr>
        <w:pStyle w:val="subsection"/>
      </w:pPr>
      <w:r w:rsidRPr="00193354">
        <w:tab/>
        <w:t>(1)</w:t>
      </w:r>
      <w:r w:rsidRPr="00193354">
        <w:tab/>
        <w:t>This rule does not apply to a document served in accordance with the Hague Convention.</w:t>
      </w:r>
    </w:p>
    <w:p w14:paraId="26A53BB5" w14:textId="77777777" w:rsidR="00CC43D6" w:rsidRPr="00193354" w:rsidRDefault="00CC43D6" w:rsidP="00CC43D6">
      <w:pPr>
        <w:pStyle w:val="notetext"/>
      </w:pPr>
      <w:r w:rsidRPr="00193354">
        <w:t>Note:</w:t>
      </w:r>
      <w:r w:rsidRPr="00193354">
        <w:tab/>
        <w:t>Rules 10.63 to 10.68 deal with service of local judicial documents in a country, other than Australia, that is a party to the Hague Convention.</w:t>
      </w:r>
    </w:p>
    <w:p w14:paraId="2BF0667F" w14:textId="77777777" w:rsidR="00CC43D6" w:rsidRPr="00193354" w:rsidRDefault="00CC43D6" w:rsidP="00CC43D6">
      <w:pPr>
        <w:pStyle w:val="subsection"/>
      </w:pPr>
      <w:r w:rsidRPr="00193354">
        <w:tab/>
        <w:t>(2)</w:t>
      </w:r>
      <w:r w:rsidRPr="00193354">
        <w:tab/>
        <w:t xml:space="preserve">An official certificate or declaration (whether made on oath or otherwise) is </w:t>
      </w:r>
      <w:r w:rsidRPr="00193354">
        <w:rPr>
          <w:lang w:eastAsia="en-US"/>
        </w:rPr>
        <w:t>sufficient</w:t>
      </w:r>
      <w:r w:rsidRPr="00193354">
        <w:t xml:space="preserve"> proof of the service of a document on a person in a country other than Australia if the certificate or declaration states:</w:t>
      </w:r>
    </w:p>
    <w:p w14:paraId="4098E483" w14:textId="77777777" w:rsidR="00CC43D6" w:rsidRPr="00193354" w:rsidRDefault="00CC43D6" w:rsidP="00CC43D6">
      <w:pPr>
        <w:pStyle w:val="paragraph"/>
      </w:pPr>
      <w:r w:rsidRPr="00193354">
        <w:tab/>
        <w:t>(a)</w:t>
      </w:r>
      <w:r w:rsidRPr="00193354">
        <w:tab/>
        <w:t>that the document has been personally served on the person in that other country; or</w:t>
      </w:r>
    </w:p>
    <w:p w14:paraId="44834F47" w14:textId="77777777" w:rsidR="00CC43D6" w:rsidRPr="00193354" w:rsidRDefault="00CC43D6" w:rsidP="00CC43D6">
      <w:pPr>
        <w:pStyle w:val="paragraph"/>
      </w:pPr>
      <w:r w:rsidRPr="00193354">
        <w:tab/>
        <w:t>(b)</w:t>
      </w:r>
      <w:r w:rsidRPr="00193354">
        <w:tab/>
        <w:t>that the document has been served on the person in accordance with the law of that other country.</w:t>
      </w:r>
    </w:p>
    <w:p w14:paraId="7C8540E3" w14:textId="77777777" w:rsidR="00CC43D6" w:rsidRPr="00193354" w:rsidRDefault="00CC43D6" w:rsidP="00CC43D6">
      <w:pPr>
        <w:pStyle w:val="subsection"/>
      </w:pPr>
      <w:r w:rsidRPr="00193354">
        <w:tab/>
        <w:t>(3)</w:t>
      </w:r>
      <w:r w:rsidRPr="00193354">
        <w:tab/>
        <w:t>If filed, a certificate or declaration mentioned in subrule (2):</w:t>
      </w:r>
    </w:p>
    <w:p w14:paraId="1F174C76" w14:textId="77777777" w:rsidR="00CC43D6" w:rsidRPr="00193354" w:rsidRDefault="00CC43D6" w:rsidP="00CC43D6">
      <w:pPr>
        <w:pStyle w:val="paragraph"/>
      </w:pPr>
      <w:r w:rsidRPr="00193354">
        <w:tab/>
        <w:t>(a)</w:t>
      </w:r>
      <w:r w:rsidRPr="00193354">
        <w:tab/>
        <w:t>is taken to be a record of the service of the document; and</w:t>
      </w:r>
    </w:p>
    <w:p w14:paraId="5BDD186B" w14:textId="77777777" w:rsidR="00CC43D6" w:rsidRPr="00193354" w:rsidRDefault="00CC43D6" w:rsidP="00CC43D6">
      <w:pPr>
        <w:pStyle w:val="paragraph"/>
      </w:pPr>
      <w:r w:rsidRPr="00193354">
        <w:tab/>
        <w:t>(b)</w:t>
      </w:r>
      <w:r w:rsidRPr="00193354">
        <w:tab/>
        <w:t>has effect as if it were an affidavit of service.</w:t>
      </w:r>
    </w:p>
    <w:p w14:paraId="4BFE9AA3" w14:textId="77777777" w:rsidR="00CC43D6" w:rsidRPr="00193354" w:rsidRDefault="00CC43D6" w:rsidP="00CC43D6">
      <w:pPr>
        <w:pStyle w:val="ActHead5"/>
      </w:pPr>
      <w:bookmarkStart w:id="21" w:name="_Toc122448251"/>
      <w:r w:rsidRPr="00D478AB">
        <w:rPr>
          <w:rStyle w:val="CharSectno"/>
        </w:rPr>
        <w:t>10.4</w:t>
      </w:r>
      <w:r w:rsidR="00271114" w:rsidRPr="00D478AB">
        <w:rPr>
          <w:rStyle w:val="CharSectno"/>
        </w:rPr>
        <w:t>8</w:t>
      </w:r>
      <w:r w:rsidRPr="00193354">
        <w:t xml:space="preserve">  Deemed service</w:t>
      </w:r>
      <w:bookmarkEnd w:id="21"/>
    </w:p>
    <w:p w14:paraId="017F29EC" w14:textId="77777777" w:rsidR="00CC43D6" w:rsidRPr="00193354" w:rsidRDefault="00CC43D6" w:rsidP="00CC43D6">
      <w:pPr>
        <w:pStyle w:val="subsection"/>
      </w:pPr>
      <w:r w:rsidRPr="00193354">
        <w:tab/>
      </w:r>
      <w:r w:rsidRPr="00193354">
        <w:tab/>
        <w:t>A party may apply to the Court without notice for an order that a document is taken to have been served on a person on the day mentioned in the order, if:</w:t>
      </w:r>
    </w:p>
    <w:p w14:paraId="0677F9E3" w14:textId="77777777" w:rsidR="00CC43D6" w:rsidRPr="00193354" w:rsidRDefault="00CC43D6" w:rsidP="00CC43D6">
      <w:pPr>
        <w:pStyle w:val="paragraph"/>
      </w:pPr>
      <w:r w:rsidRPr="00193354">
        <w:tab/>
        <w:t>(a)</w:t>
      </w:r>
      <w:r w:rsidRPr="00193354">
        <w:tab/>
        <w:t>it is not practicable to serve the document on the person outside Australia in accordance with a convention, the Hague Convention or the law of the country in which the person resides; and</w:t>
      </w:r>
    </w:p>
    <w:p w14:paraId="43BA20F4" w14:textId="77777777" w:rsidR="00CC43D6" w:rsidRPr="00193354" w:rsidRDefault="00CC43D6" w:rsidP="00CC43D6">
      <w:pPr>
        <w:pStyle w:val="paragraph"/>
      </w:pPr>
      <w:r w:rsidRPr="00193354">
        <w:lastRenderedPageBreak/>
        <w:tab/>
        <w:t>(b)</w:t>
      </w:r>
      <w:r w:rsidRPr="00193354">
        <w:tab/>
        <w:t>the party provides evidence that the document has been brought to the attention of the person.</w:t>
      </w:r>
    </w:p>
    <w:p w14:paraId="568F0B69" w14:textId="77777777" w:rsidR="00CC43D6" w:rsidRPr="00193354" w:rsidRDefault="00CC43D6" w:rsidP="00CC43D6">
      <w:pPr>
        <w:pStyle w:val="notetext"/>
      </w:pPr>
      <w:r w:rsidRPr="00193354">
        <w:t>Note:</w:t>
      </w:r>
      <w:r w:rsidRPr="00193354">
        <w:tab/>
      </w:r>
      <w:r w:rsidRPr="00193354">
        <w:rPr>
          <w:b/>
          <w:i/>
        </w:rPr>
        <w:t>Without notice</w:t>
      </w:r>
      <w:r w:rsidRPr="00193354">
        <w:t xml:space="preserve"> is defined in the Dictionary.</w:t>
      </w:r>
    </w:p>
    <w:p w14:paraId="48B5A2C5" w14:textId="77777777" w:rsidR="00CC43D6" w:rsidRPr="00193354" w:rsidRDefault="00CC43D6" w:rsidP="00CC43D6">
      <w:pPr>
        <w:pStyle w:val="ActHead5"/>
      </w:pPr>
      <w:bookmarkStart w:id="22" w:name="_Toc122448252"/>
      <w:r w:rsidRPr="00D478AB">
        <w:rPr>
          <w:rStyle w:val="CharSectno"/>
        </w:rPr>
        <w:t>10.49</w:t>
      </w:r>
      <w:r w:rsidRPr="00193354">
        <w:t xml:space="preserve">  Substituted service</w:t>
      </w:r>
      <w:bookmarkEnd w:id="22"/>
    </w:p>
    <w:p w14:paraId="7B32416B" w14:textId="77777777" w:rsidR="00CC43D6" w:rsidRPr="00193354" w:rsidRDefault="00CC43D6" w:rsidP="00CC43D6">
      <w:pPr>
        <w:pStyle w:val="subsection"/>
      </w:pPr>
      <w:r w:rsidRPr="00193354">
        <w:tab/>
      </w:r>
      <w:r w:rsidRPr="00193354">
        <w:tab/>
        <w:t>If service on a person outside Australia, in accordance with a convention, the Hague Convention or the law of a foreign country, was not successful, a party may apply to the Court without notice for an order:</w:t>
      </w:r>
    </w:p>
    <w:p w14:paraId="5204AE9D" w14:textId="77777777" w:rsidR="00CC43D6" w:rsidRPr="00193354" w:rsidRDefault="00CC43D6" w:rsidP="00CC43D6">
      <w:pPr>
        <w:pStyle w:val="paragraph"/>
      </w:pPr>
      <w:r w:rsidRPr="00193354">
        <w:tab/>
        <w:t>(a)</w:t>
      </w:r>
      <w:r w:rsidRPr="00193354">
        <w:tab/>
        <w:t>substituting another method of service; or</w:t>
      </w:r>
    </w:p>
    <w:p w14:paraId="18ABA9E9" w14:textId="77777777" w:rsidR="00CC43D6" w:rsidRPr="00193354" w:rsidRDefault="00CC43D6" w:rsidP="00CC43D6">
      <w:pPr>
        <w:pStyle w:val="paragraph"/>
      </w:pPr>
      <w:r w:rsidRPr="00193354">
        <w:tab/>
        <w:t>(b)</w:t>
      </w:r>
      <w:r w:rsidRPr="00193354">
        <w:tab/>
        <w:t>specifying that, instead of being served, certain steps be taken to bring the document to the attention of the person; or</w:t>
      </w:r>
    </w:p>
    <w:p w14:paraId="0CA20034" w14:textId="77777777" w:rsidR="00CC43D6" w:rsidRPr="00193354" w:rsidRDefault="00CC43D6" w:rsidP="00CC43D6">
      <w:pPr>
        <w:pStyle w:val="paragraph"/>
      </w:pPr>
      <w:r w:rsidRPr="00193354">
        <w:tab/>
        <w:t>(c)</w:t>
      </w:r>
      <w:r w:rsidRPr="00193354">
        <w:tab/>
        <w:t>specifying that the document is taken to have been served:</w:t>
      </w:r>
    </w:p>
    <w:p w14:paraId="3DEE72FA" w14:textId="77777777" w:rsidR="00CC43D6" w:rsidRPr="00193354" w:rsidRDefault="00CC43D6" w:rsidP="00CC43D6">
      <w:pPr>
        <w:pStyle w:val="paragraphsub"/>
      </w:pPr>
      <w:r w:rsidRPr="00193354">
        <w:tab/>
        <w:t>(i)</w:t>
      </w:r>
      <w:r w:rsidRPr="00193354">
        <w:tab/>
        <w:t>on the happening of a specified event; or</w:t>
      </w:r>
    </w:p>
    <w:p w14:paraId="7FBDC179" w14:textId="77777777" w:rsidR="00CC43D6" w:rsidRPr="00193354" w:rsidRDefault="00CC43D6" w:rsidP="00CC43D6">
      <w:pPr>
        <w:pStyle w:val="paragraphsub"/>
      </w:pPr>
      <w:r w:rsidRPr="00193354">
        <w:tab/>
        <w:t>(ii)</w:t>
      </w:r>
      <w:r w:rsidRPr="00193354">
        <w:tab/>
        <w:t>at the end of a specified time.</w:t>
      </w:r>
    </w:p>
    <w:p w14:paraId="2DB44B4D" w14:textId="77777777" w:rsidR="00CC43D6" w:rsidRPr="00193354" w:rsidRDefault="00CC43D6" w:rsidP="00CC43D6">
      <w:pPr>
        <w:pStyle w:val="notetext"/>
      </w:pPr>
      <w:r w:rsidRPr="00193354">
        <w:t>Note:</w:t>
      </w:r>
      <w:r w:rsidRPr="00193354">
        <w:tab/>
      </w:r>
      <w:r w:rsidRPr="00193354">
        <w:rPr>
          <w:b/>
          <w:i/>
        </w:rPr>
        <w:t>Without notice</w:t>
      </w:r>
      <w:r w:rsidRPr="00193354">
        <w:t xml:space="preserve"> is defined in the Dictionary.</w:t>
      </w:r>
    </w:p>
    <w:p w14:paraId="78B984B0" w14:textId="77777777" w:rsidR="00CC43D6" w:rsidRPr="00193354" w:rsidRDefault="00282B96" w:rsidP="00CC43D6">
      <w:pPr>
        <w:pStyle w:val="notemargin"/>
        <w:rPr>
          <w:b/>
        </w:rPr>
      </w:pPr>
      <w:r w:rsidRPr="00193354">
        <w:rPr>
          <w:b/>
        </w:rPr>
        <w:t>Rule 1</w:t>
      </w:r>
      <w:r w:rsidR="00CC43D6" w:rsidRPr="00193354">
        <w:rPr>
          <w:b/>
        </w:rPr>
        <w:t>0.50 left blank</w:t>
      </w:r>
    </w:p>
    <w:p w14:paraId="00244B3A" w14:textId="77777777" w:rsidR="00CC43D6" w:rsidRPr="00193354" w:rsidRDefault="00107EC3" w:rsidP="00CC43D6">
      <w:pPr>
        <w:pStyle w:val="ItemHead"/>
      </w:pPr>
      <w:r w:rsidRPr="00193354">
        <w:t>14</w:t>
      </w:r>
      <w:r w:rsidR="00CC43D6" w:rsidRPr="00193354">
        <w:t xml:space="preserve">  </w:t>
      </w:r>
      <w:r w:rsidR="00282B96" w:rsidRPr="00193354">
        <w:t>Rule 1</w:t>
      </w:r>
      <w:r w:rsidR="00CC43D6" w:rsidRPr="00193354">
        <w:t>0.51</w:t>
      </w:r>
    </w:p>
    <w:p w14:paraId="0B66AA25" w14:textId="77777777" w:rsidR="00CC43D6" w:rsidRPr="00193354" w:rsidRDefault="00CC43D6" w:rsidP="00CC43D6">
      <w:pPr>
        <w:pStyle w:val="Item"/>
      </w:pPr>
      <w:r w:rsidRPr="00193354">
        <w:t>Omit “party has been given leave”, substitute “party wants”.</w:t>
      </w:r>
    </w:p>
    <w:p w14:paraId="7C99F826" w14:textId="77777777" w:rsidR="00CC43D6" w:rsidRPr="00193354" w:rsidRDefault="00107EC3" w:rsidP="00CC43D6">
      <w:pPr>
        <w:pStyle w:val="ItemHead"/>
      </w:pPr>
      <w:r w:rsidRPr="00193354">
        <w:t>15</w:t>
      </w:r>
      <w:r w:rsidR="00CC43D6" w:rsidRPr="00193354">
        <w:t xml:space="preserve">  </w:t>
      </w:r>
      <w:r w:rsidR="00282B96" w:rsidRPr="00193354">
        <w:t>Rule 1</w:t>
      </w:r>
      <w:r w:rsidR="00CC43D6" w:rsidRPr="00193354">
        <w:t>0.51 (note)</w:t>
      </w:r>
    </w:p>
    <w:p w14:paraId="39D1C68D" w14:textId="77777777" w:rsidR="00CC43D6" w:rsidRPr="00193354" w:rsidRDefault="00CC43D6" w:rsidP="00CC43D6">
      <w:pPr>
        <w:pStyle w:val="Item"/>
      </w:pPr>
      <w:r w:rsidRPr="00193354">
        <w:t>Repeal the note, substitute:</w:t>
      </w:r>
    </w:p>
    <w:p w14:paraId="3FBAEA69" w14:textId="77777777" w:rsidR="00CC43D6" w:rsidRPr="00193354" w:rsidRDefault="00CC43D6" w:rsidP="00CC43D6">
      <w:pPr>
        <w:pStyle w:val="notetext"/>
      </w:pPr>
      <w:r w:rsidRPr="00193354">
        <w:t>Note:</w:t>
      </w:r>
      <w:r w:rsidRPr="00193354">
        <w:tab/>
        <w:t xml:space="preserve">This rule does not apply if service of a document is to be effected on a person in a country, other than Australia, that is a party to the Hague Convention. Service in a country that is a party to the Hague Convention is dealt with in </w:t>
      </w:r>
      <w:r w:rsidR="00282B96" w:rsidRPr="00193354">
        <w:t>Division 1</w:t>
      </w:r>
      <w:r w:rsidRPr="00193354">
        <w:t>0.6.</w:t>
      </w:r>
    </w:p>
    <w:p w14:paraId="00BF9A29" w14:textId="77777777" w:rsidR="00CC43D6" w:rsidRPr="00193354" w:rsidRDefault="00107EC3" w:rsidP="00CC43D6">
      <w:pPr>
        <w:pStyle w:val="ItemHead"/>
      </w:pPr>
      <w:r w:rsidRPr="00193354">
        <w:t>16</w:t>
      </w:r>
      <w:r w:rsidR="00CC43D6" w:rsidRPr="00193354">
        <w:t xml:space="preserve">  </w:t>
      </w:r>
      <w:r w:rsidR="00282B96" w:rsidRPr="00193354">
        <w:t>Rule 1</w:t>
      </w:r>
      <w:r w:rsidR="00CC43D6" w:rsidRPr="00193354">
        <w:t xml:space="preserve">0.61 (definition of </w:t>
      </w:r>
      <w:r w:rsidR="00CC43D6" w:rsidRPr="00193354">
        <w:rPr>
          <w:i/>
        </w:rPr>
        <w:t>Hague Convention</w:t>
      </w:r>
      <w:r w:rsidR="00CC43D6" w:rsidRPr="00193354">
        <w:t>)</w:t>
      </w:r>
    </w:p>
    <w:p w14:paraId="5189CC78" w14:textId="77777777" w:rsidR="00CC43D6" w:rsidRPr="00193354" w:rsidRDefault="00CC43D6" w:rsidP="00CC43D6">
      <w:pPr>
        <w:pStyle w:val="Item"/>
      </w:pPr>
      <w:r w:rsidRPr="00193354">
        <w:t>Repeal the definition.</w:t>
      </w:r>
    </w:p>
    <w:p w14:paraId="2E75EC91" w14:textId="77777777" w:rsidR="00C93594" w:rsidRPr="00193354" w:rsidRDefault="00107EC3" w:rsidP="00CC43D6">
      <w:pPr>
        <w:pStyle w:val="ItemHead"/>
      </w:pPr>
      <w:r w:rsidRPr="00193354">
        <w:t>17</w:t>
      </w:r>
      <w:r w:rsidR="00C93594" w:rsidRPr="00193354">
        <w:t xml:space="preserve">  </w:t>
      </w:r>
      <w:r w:rsidR="00282B96" w:rsidRPr="00193354">
        <w:t>Paragraph 1</w:t>
      </w:r>
      <w:r w:rsidR="00C93594" w:rsidRPr="00193354">
        <w:t>3.01(1)(d)</w:t>
      </w:r>
    </w:p>
    <w:p w14:paraId="7D0134DD" w14:textId="77777777" w:rsidR="00C93594" w:rsidRPr="00193354" w:rsidRDefault="00C93594" w:rsidP="00C93594">
      <w:pPr>
        <w:pStyle w:val="Item"/>
      </w:pPr>
      <w:r w:rsidRPr="00193354">
        <w:t>Omit “ or confirming service of an originating application outside Australia”.</w:t>
      </w:r>
    </w:p>
    <w:p w14:paraId="3255F959" w14:textId="77777777" w:rsidR="00CC43D6" w:rsidRPr="00193354" w:rsidRDefault="00107EC3" w:rsidP="00CC43D6">
      <w:pPr>
        <w:pStyle w:val="ItemHead"/>
      </w:pPr>
      <w:r w:rsidRPr="00193354">
        <w:t>18</w:t>
      </w:r>
      <w:r w:rsidR="00CC43D6" w:rsidRPr="00193354">
        <w:t xml:space="preserve">  Sub</w:t>
      </w:r>
      <w:r w:rsidR="00282B96" w:rsidRPr="00193354">
        <w:t>rule 1</w:t>
      </w:r>
      <w:r w:rsidR="00CC43D6" w:rsidRPr="00193354">
        <w:t>3.01(1) (note)</w:t>
      </w:r>
    </w:p>
    <w:p w14:paraId="274B96F0" w14:textId="77777777" w:rsidR="001E3FE6" w:rsidRPr="00193354" w:rsidRDefault="001E3FE6" w:rsidP="001E3FE6">
      <w:pPr>
        <w:pStyle w:val="Item"/>
      </w:pPr>
      <w:r w:rsidRPr="00193354">
        <w:t>Repeal the note, substitute:</w:t>
      </w:r>
    </w:p>
    <w:p w14:paraId="19EA333B" w14:textId="77777777" w:rsidR="001E3FE6" w:rsidRPr="00193354" w:rsidRDefault="001E3FE6" w:rsidP="001E3FE6">
      <w:pPr>
        <w:pStyle w:val="notetext"/>
      </w:pPr>
      <w:r w:rsidRPr="00193354">
        <w:t>Note:</w:t>
      </w:r>
      <w:r w:rsidRPr="00193354">
        <w:tab/>
      </w:r>
      <w:r w:rsidR="00282B96" w:rsidRPr="00193354">
        <w:t>Rule 1</w:t>
      </w:r>
      <w:r w:rsidRPr="00193354">
        <w:t xml:space="preserve">0.43 deals with service </w:t>
      </w:r>
      <w:r w:rsidR="0091411B" w:rsidRPr="00193354">
        <w:t>of originating applications outside</w:t>
      </w:r>
      <w:r w:rsidRPr="00193354">
        <w:t xml:space="preserve"> Australia with leave.</w:t>
      </w:r>
    </w:p>
    <w:p w14:paraId="48BC2132" w14:textId="77777777" w:rsidR="008061A4" w:rsidRPr="00193354" w:rsidRDefault="00107EC3" w:rsidP="008061A4">
      <w:pPr>
        <w:pStyle w:val="ItemHead"/>
      </w:pPr>
      <w:r w:rsidRPr="00193354">
        <w:t>19</w:t>
      </w:r>
      <w:r w:rsidR="008061A4" w:rsidRPr="00193354">
        <w:t xml:space="preserve">  </w:t>
      </w:r>
      <w:r w:rsidR="00282B96" w:rsidRPr="00193354">
        <w:t>Rule 1</w:t>
      </w:r>
      <w:r w:rsidR="008061A4" w:rsidRPr="00193354">
        <w:t>6.53</w:t>
      </w:r>
    </w:p>
    <w:p w14:paraId="74524EEE" w14:textId="77777777" w:rsidR="008061A4" w:rsidRPr="00193354" w:rsidRDefault="008061A4" w:rsidP="008061A4">
      <w:pPr>
        <w:pStyle w:val="Item"/>
      </w:pPr>
      <w:r w:rsidRPr="00193354">
        <w:t>Before “Unless”, insert “(1)”.</w:t>
      </w:r>
    </w:p>
    <w:p w14:paraId="14AB0383" w14:textId="77777777" w:rsidR="008061A4" w:rsidRPr="00193354" w:rsidRDefault="00107EC3" w:rsidP="008061A4">
      <w:pPr>
        <w:pStyle w:val="ItemHead"/>
      </w:pPr>
      <w:r w:rsidRPr="00193354">
        <w:t>20</w:t>
      </w:r>
      <w:r w:rsidR="008061A4" w:rsidRPr="00193354">
        <w:t xml:space="preserve">  At the end of </w:t>
      </w:r>
      <w:r w:rsidR="00282B96" w:rsidRPr="00193354">
        <w:t>rule 1</w:t>
      </w:r>
      <w:r w:rsidR="008061A4" w:rsidRPr="00193354">
        <w:t>6.53</w:t>
      </w:r>
    </w:p>
    <w:p w14:paraId="7FB28696" w14:textId="77777777" w:rsidR="008061A4" w:rsidRPr="00193354" w:rsidRDefault="008061A4" w:rsidP="008061A4">
      <w:pPr>
        <w:pStyle w:val="Item"/>
      </w:pPr>
      <w:r w:rsidRPr="00193354">
        <w:t>Add:</w:t>
      </w:r>
    </w:p>
    <w:p w14:paraId="7EE22C10" w14:textId="77777777" w:rsidR="008061A4" w:rsidRPr="00193354" w:rsidRDefault="008061A4" w:rsidP="008061A4">
      <w:pPr>
        <w:pStyle w:val="subsection"/>
      </w:pPr>
      <w:r w:rsidRPr="00193354">
        <w:tab/>
        <w:t>(2)</w:t>
      </w:r>
      <w:r w:rsidRPr="00193354">
        <w:tab/>
        <w:t>A party may apply under subrule (1) for leave to amend a pleading to add or substitute a new claim for relief, or a new foundation in law for a claim for relief that arises out of the same facts or substantially the same facts as those already pleaded to support an existing claim for relief by the party, even if the application is made after the end of any relevant period of limitation applying at the date the proceeding was started.</w:t>
      </w:r>
    </w:p>
    <w:p w14:paraId="45C16084" w14:textId="77777777" w:rsidR="008061A4" w:rsidRPr="00193354" w:rsidRDefault="008061A4" w:rsidP="008061A4">
      <w:pPr>
        <w:pStyle w:val="subsection"/>
      </w:pPr>
      <w:r w:rsidRPr="00193354">
        <w:lastRenderedPageBreak/>
        <w:tab/>
        <w:t>(3)</w:t>
      </w:r>
      <w:r w:rsidRPr="00193354">
        <w:tab/>
        <w:t xml:space="preserve">A party must not apply under subrule (1) for leave to amend a pleading to add or substitute a new claim for relief, or a new foundation in law for a claim for relief, that arises, in whole or in part, out of facts or matters that have occurred or arisen since the start of the proceeding if the application </w:t>
      </w:r>
      <w:r w:rsidR="008714B6" w:rsidRPr="00193354">
        <w:t>would be made</w:t>
      </w:r>
      <w:r w:rsidRPr="00193354">
        <w:t xml:space="preserve"> after the end of any relevant period of limitation applying at the date the proceeding was started.</w:t>
      </w:r>
    </w:p>
    <w:p w14:paraId="26A087CA" w14:textId="77777777" w:rsidR="00E24493" w:rsidRPr="00193354" w:rsidRDefault="00107EC3" w:rsidP="00E24493">
      <w:pPr>
        <w:pStyle w:val="ItemHead"/>
      </w:pPr>
      <w:r w:rsidRPr="00193354">
        <w:t>21</w:t>
      </w:r>
      <w:r w:rsidR="00E24493" w:rsidRPr="00193354">
        <w:t xml:space="preserve">  At the end of </w:t>
      </w:r>
      <w:r w:rsidR="00282B96" w:rsidRPr="00193354">
        <w:t>rule 1</w:t>
      </w:r>
      <w:r w:rsidR="00F12585" w:rsidRPr="00193354">
        <w:t>6.54</w:t>
      </w:r>
    </w:p>
    <w:p w14:paraId="77861012" w14:textId="77777777" w:rsidR="00E24493" w:rsidRPr="00193354" w:rsidRDefault="00E24493" w:rsidP="00E24493">
      <w:pPr>
        <w:pStyle w:val="Item"/>
      </w:pPr>
      <w:r w:rsidRPr="00193354">
        <w:t>Add “or as otherwise ordered by the Court”.</w:t>
      </w:r>
    </w:p>
    <w:p w14:paraId="6D236B83" w14:textId="77777777" w:rsidR="008714B6" w:rsidRPr="00193354" w:rsidRDefault="00107EC3" w:rsidP="002C73EA">
      <w:pPr>
        <w:pStyle w:val="ItemHead"/>
      </w:pPr>
      <w:r w:rsidRPr="00193354">
        <w:t>22</w:t>
      </w:r>
      <w:r w:rsidR="008714B6" w:rsidRPr="00193354">
        <w:t xml:space="preserve">  At the end of </w:t>
      </w:r>
      <w:r w:rsidR="00D376D2" w:rsidRPr="00193354">
        <w:t>Part 2</w:t>
      </w:r>
      <w:r w:rsidR="008714B6" w:rsidRPr="00193354">
        <w:t>3</w:t>
      </w:r>
    </w:p>
    <w:p w14:paraId="02E06CDE" w14:textId="77777777" w:rsidR="008714B6" w:rsidRPr="00193354" w:rsidRDefault="008714B6" w:rsidP="008714B6">
      <w:pPr>
        <w:pStyle w:val="Item"/>
      </w:pPr>
      <w:r w:rsidRPr="00193354">
        <w:t>Add:</w:t>
      </w:r>
    </w:p>
    <w:p w14:paraId="76BD1FE4" w14:textId="77777777" w:rsidR="008D008A" w:rsidRPr="00193354" w:rsidRDefault="004554DA" w:rsidP="008D008A">
      <w:pPr>
        <w:pStyle w:val="notemargin"/>
      </w:pPr>
      <w:r w:rsidRPr="00193354">
        <w:rPr>
          <w:b/>
        </w:rPr>
        <w:t>Rules 2</w:t>
      </w:r>
      <w:r w:rsidR="008D008A" w:rsidRPr="00193354">
        <w:rPr>
          <w:b/>
        </w:rPr>
        <w:t>3.16–23.20 left blank</w:t>
      </w:r>
    </w:p>
    <w:p w14:paraId="507D6437" w14:textId="77777777" w:rsidR="008714B6" w:rsidRPr="00193354" w:rsidRDefault="00DB5DF7" w:rsidP="008714B6">
      <w:pPr>
        <w:pStyle w:val="ActHead3"/>
      </w:pPr>
      <w:bookmarkStart w:id="23" w:name="_Toc122448253"/>
      <w:r w:rsidRPr="00D478AB">
        <w:rPr>
          <w:rStyle w:val="CharDivNo"/>
        </w:rPr>
        <w:t>Division 2</w:t>
      </w:r>
      <w:r w:rsidR="008714B6" w:rsidRPr="00D478AB">
        <w:rPr>
          <w:rStyle w:val="CharDivNo"/>
        </w:rPr>
        <w:t>3.3</w:t>
      </w:r>
      <w:r w:rsidR="008714B6" w:rsidRPr="00193354">
        <w:t>—</w:t>
      </w:r>
      <w:r w:rsidR="00EF284A" w:rsidRPr="00D478AB">
        <w:rPr>
          <w:rStyle w:val="CharDivText"/>
        </w:rPr>
        <w:t>Examinations by a medical expert</w:t>
      </w:r>
      <w:bookmarkEnd w:id="23"/>
    </w:p>
    <w:p w14:paraId="757A8298" w14:textId="77777777" w:rsidR="00FD0388" w:rsidRPr="00193354" w:rsidRDefault="00FD0388" w:rsidP="00FD0388">
      <w:pPr>
        <w:pStyle w:val="ActHead5"/>
      </w:pPr>
      <w:bookmarkStart w:id="24" w:name="_Toc122448254"/>
      <w:r w:rsidRPr="00D478AB">
        <w:rPr>
          <w:rStyle w:val="CharSectno"/>
        </w:rPr>
        <w:t>23.21</w:t>
      </w:r>
      <w:r w:rsidRPr="00193354">
        <w:t xml:space="preserve">  </w:t>
      </w:r>
      <w:r w:rsidR="00EF284A" w:rsidRPr="00193354">
        <w:t>Examinations by a medical expert</w:t>
      </w:r>
      <w:bookmarkEnd w:id="24"/>
    </w:p>
    <w:p w14:paraId="77F101A5" w14:textId="77777777" w:rsidR="00E90B14" w:rsidRPr="00193354" w:rsidRDefault="00E90B14" w:rsidP="00E90B14">
      <w:pPr>
        <w:pStyle w:val="SubsectionHead"/>
      </w:pPr>
      <w:r w:rsidRPr="00193354">
        <w:t>Application of this rule</w:t>
      </w:r>
    </w:p>
    <w:p w14:paraId="73D8FDAA" w14:textId="77777777" w:rsidR="00394FCF" w:rsidRPr="00193354" w:rsidRDefault="00FD0388" w:rsidP="00394FCF">
      <w:pPr>
        <w:pStyle w:val="subsection"/>
      </w:pPr>
      <w:r w:rsidRPr="00193354">
        <w:tab/>
        <w:t>(1)</w:t>
      </w:r>
      <w:r w:rsidRPr="00193354">
        <w:tab/>
        <w:t xml:space="preserve">This rule applies to a proceeding </w:t>
      </w:r>
      <w:bookmarkStart w:id="25" w:name="_Ref101888362"/>
      <w:r w:rsidR="00394FCF" w:rsidRPr="00193354">
        <w:t>if:</w:t>
      </w:r>
    </w:p>
    <w:p w14:paraId="66886428" w14:textId="77777777" w:rsidR="00394FCF" w:rsidRPr="00193354" w:rsidRDefault="00394FCF" w:rsidP="00394FCF">
      <w:pPr>
        <w:pStyle w:val="paragraph"/>
      </w:pPr>
      <w:r w:rsidRPr="00193354">
        <w:tab/>
        <w:t>(a)</w:t>
      </w:r>
      <w:r w:rsidRPr="00193354">
        <w:tab/>
      </w:r>
      <w:r w:rsidR="00FD0388" w:rsidRPr="00193354">
        <w:t xml:space="preserve">a person’s </w:t>
      </w:r>
      <w:r w:rsidR="00FA1AEC" w:rsidRPr="00193354">
        <w:t xml:space="preserve">(the </w:t>
      </w:r>
      <w:r w:rsidR="00FA1AEC" w:rsidRPr="00193354">
        <w:rPr>
          <w:b/>
          <w:i/>
        </w:rPr>
        <w:t>relevant person’s</w:t>
      </w:r>
      <w:r w:rsidR="00FA1AEC" w:rsidRPr="00193354">
        <w:t xml:space="preserve">) </w:t>
      </w:r>
      <w:r w:rsidR="00FD0388" w:rsidRPr="00193354">
        <w:t>physical or mental condition is relevant to a matter in question</w:t>
      </w:r>
      <w:r w:rsidRPr="00193354">
        <w:t xml:space="preserve">; </w:t>
      </w:r>
      <w:r w:rsidR="00FD0388" w:rsidRPr="00193354">
        <w:t>and</w:t>
      </w:r>
      <w:bookmarkEnd w:id="25"/>
    </w:p>
    <w:p w14:paraId="1977470C" w14:textId="77777777" w:rsidR="00FD0388" w:rsidRPr="00193354" w:rsidRDefault="00394FCF" w:rsidP="00DC0FAB">
      <w:pPr>
        <w:pStyle w:val="paragraph"/>
      </w:pPr>
      <w:r w:rsidRPr="00193354">
        <w:tab/>
        <w:t>(b)</w:t>
      </w:r>
      <w:r w:rsidRPr="00193354">
        <w:tab/>
        <w:t xml:space="preserve">the </w:t>
      </w:r>
      <w:r w:rsidR="00FA1AEC" w:rsidRPr="00193354">
        <w:t xml:space="preserve">relevant </w:t>
      </w:r>
      <w:r w:rsidRPr="00193354">
        <w:t>person is</w:t>
      </w:r>
      <w:bookmarkStart w:id="26" w:name="_Ref101888075"/>
      <w:r w:rsidR="00DC0FAB" w:rsidRPr="00193354">
        <w:t xml:space="preserve"> </w:t>
      </w:r>
      <w:r w:rsidR="00FD0388" w:rsidRPr="00193354">
        <w:t>a party</w:t>
      </w:r>
      <w:r w:rsidR="00FA1AEC" w:rsidRPr="00193354">
        <w:t xml:space="preserve"> </w:t>
      </w:r>
      <w:r w:rsidR="00FD0388" w:rsidRPr="00193354">
        <w:t>or a person for whose benefit a party is claiming relief.</w:t>
      </w:r>
      <w:bookmarkEnd w:id="26"/>
    </w:p>
    <w:p w14:paraId="0FED5C26" w14:textId="77777777" w:rsidR="00E90B14" w:rsidRPr="00193354" w:rsidRDefault="00E90B14" w:rsidP="00E90B14">
      <w:pPr>
        <w:pStyle w:val="SubsectionHead"/>
      </w:pPr>
      <w:r w:rsidRPr="00193354">
        <w:t>Party may request medical examination</w:t>
      </w:r>
    </w:p>
    <w:p w14:paraId="1FF4C78B" w14:textId="77777777" w:rsidR="00FD0388" w:rsidRPr="00193354" w:rsidRDefault="00FD0388" w:rsidP="00FD0388">
      <w:pPr>
        <w:pStyle w:val="subsection"/>
      </w:pPr>
      <w:r w:rsidRPr="00193354">
        <w:tab/>
        <w:t>(</w:t>
      </w:r>
      <w:r w:rsidR="00DC0FAB" w:rsidRPr="00193354">
        <w:t>2</w:t>
      </w:r>
      <w:r w:rsidRPr="00193354">
        <w:t>)</w:t>
      </w:r>
      <w:r w:rsidRPr="00193354">
        <w:tab/>
      </w:r>
      <w:r w:rsidR="00A11D93" w:rsidRPr="00193354">
        <w:t>A</w:t>
      </w:r>
      <w:r w:rsidRPr="00193354">
        <w:t xml:space="preserve"> notice </w:t>
      </w:r>
      <w:r w:rsidR="00DC0FAB" w:rsidRPr="00193354">
        <w:t xml:space="preserve">requesting the relevant person to submit to </w:t>
      </w:r>
      <w:r w:rsidR="000A44E6" w:rsidRPr="00193354">
        <w:t xml:space="preserve">an </w:t>
      </w:r>
      <w:r w:rsidR="00DC0FAB" w:rsidRPr="00193354">
        <w:t xml:space="preserve">examination by a specified medical expert at a specified time and place </w:t>
      </w:r>
      <w:r w:rsidR="00A11D93" w:rsidRPr="00193354">
        <w:t xml:space="preserve">may be served on the party </w:t>
      </w:r>
      <w:r w:rsidR="00DC0FAB" w:rsidRPr="00193354">
        <w:t xml:space="preserve">referred to in </w:t>
      </w:r>
      <w:r w:rsidR="00282B96" w:rsidRPr="00193354">
        <w:t>paragraph (</w:t>
      </w:r>
      <w:r w:rsidR="00DC0FAB" w:rsidRPr="00193354">
        <w:t xml:space="preserve">1)(b) </w:t>
      </w:r>
      <w:r w:rsidR="00A11D93" w:rsidRPr="00193354">
        <w:t>by another party</w:t>
      </w:r>
      <w:r w:rsidR="00303559" w:rsidRPr="00193354">
        <w:t xml:space="preserve"> to the proceeding.</w:t>
      </w:r>
    </w:p>
    <w:p w14:paraId="0C97D9A5" w14:textId="77777777" w:rsidR="00E90B14" w:rsidRPr="00193354" w:rsidRDefault="00E90B14" w:rsidP="00FD0388">
      <w:pPr>
        <w:pStyle w:val="subsection"/>
      </w:pPr>
      <w:r w:rsidRPr="00193354">
        <w:tab/>
        <w:t>(3)</w:t>
      </w:r>
      <w:r w:rsidRPr="00193354">
        <w:tab/>
        <w:t>The relevant person may have a medical expert of their choice attend the examination.</w:t>
      </w:r>
    </w:p>
    <w:p w14:paraId="3885409F" w14:textId="77777777" w:rsidR="00FD0388" w:rsidRPr="00193354" w:rsidRDefault="00FD0388" w:rsidP="00FD0388">
      <w:pPr>
        <w:pStyle w:val="subsection"/>
      </w:pPr>
      <w:r w:rsidRPr="00193354">
        <w:tab/>
        <w:t>(</w:t>
      </w:r>
      <w:r w:rsidR="00E90B14" w:rsidRPr="00193354">
        <w:t>4</w:t>
      </w:r>
      <w:r w:rsidRPr="00193354">
        <w:t>)</w:t>
      </w:r>
      <w:r w:rsidRPr="00193354">
        <w:tab/>
      </w:r>
      <w:r w:rsidR="00DC0FAB" w:rsidRPr="00193354">
        <w:t>A party who serves a notice under subrule (2)</w:t>
      </w:r>
      <w:r w:rsidRPr="00193354">
        <w:t xml:space="preserve"> must, on request by the </w:t>
      </w:r>
      <w:r w:rsidR="00FC1776" w:rsidRPr="00193354">
        <w:t>relevant</w:t>
      </w:r>
      <w:r w:rsidR="00DC0FAB" w:rsidRPr="00193354">
        <w:t xml:space="preserve"> </w:t>
      </w:r>
      <w:r w:rsidR="00FC1776" w:rsidRPr="00193354">
        <w:t>person</w:t>
      </w:r>
      <w:r w:rsidRPr="00193354">
        <w:t xml:space="preserve">, pay to the </w:t>
      </w:r>
      <w:r w:rsidR="00FC1776" w:rsidRPr="00193354">
        <w:t>relevant person</w:t>
      </w:r>
      <w:r w:rsidRPr="00193354">
        <w:t xml:space="preserve"> a reasonable sum to meet </w:t>
      </w:r>
      <w:r w:rsidR="00E90B14" w:rsidRPr="00193354">
        <w:t xml:space="preserve">the </w:t>
      </w:r>
      <w:r w:rsidRPr="00193354">
        <w:t xml:space="preserve">travel and other expenses </w:t>
      </w:r>
      <w:r w:rsidR="00E90B14" w:rsidRPr="00193354">
        <w:t>incurred by the</w:t>
      </w:r>
      <w:r w:rsidRPr="00193354">
        <w:t xml:space="preserve"> </w:t>
      </w:r>
      <w:r w:rsidR="00E90B14" w:rsidRPr="00193354">
        <w:t>relevant person</w:t>
      </w:r>
      <w:r w:rsidRPr="00193354">
        <w:t xml:space="preserve"> </w:t>
      </w:r>
      <w:r w:rsidR="00E90B14" w:rsidRPr="00193354">
        <w:t>in connection with the</w:t>
      </w:r>
      <w:r w:rsidRPr="00193354">
        <w:t xml:space="preserve"> examination, including the expenses of having a medical expert chosen by the </w:t>
      </w:r>
      <w:r w:rsidR="00E90B14" w:rsidRPr="00193354">
        <w:t xml:space="preserve">relevant </w:t>
      </w:r>
      <w:r w:rsidRPr="00193354">
        <w:t>person attend the examination</w:t>
      </w:r>
      <w:r w:rsidR="00B65192" w:rsidRPr="00193354">
        <w:t xml:space="preserve"> in accordance with subrule (3).</w:t>
      </w:r>
    </w:p>
    <w:p w14:paraId="6B0CD7A5" w14:textId="77777777" w:rsidR="00C235D8" w:rsidRPr="00193354" w:rsidRDefault="00C235D8" w:rsidP="00C235D8">
      <w:pPr>
        <w:pStyle w:val="subsection"/>
      </w:pPr>
      <w:r w:rsidRPr="00193354">
        <w:tab/>
      </w:r>
      <w:r w:rsidR="00D47416" w:rsidRPr="00193354">
        <w:t>(5)</w:t>
      </w:r>
      <w:r w:rsidRPr="00193354">
        <w:rPr>
          <w:i/>
        </w:rPr>
        <w:tab/>
      </w:r>
      <w:r w:rsidRPr="00193354">
        <w:t>The party who serves a notice under subrule (2) must, as soon as reasonably practicable after the examination:</w:t>
      </w:r>
    </w:p>
    <w:p w14:paraId="66B9C482" w14:textId="77777777" w:rsidR="00C235D8" w:rsidRPr="00193354" w:rsidRDefault="00C235D8" w:rsidP="00C235D8">
      <w:pPr>
        <w:pStyle w:val="paragraph"/>
      </w:pPr>
      <w:r w:rsidRPr="00193354">
        <w:tab/>
        <w:t>(a)</w:t>
      </w:r>
      <w:r w:rsidRPr="00193354">
        <w:tab/>
        <w:t>obtain a medical report</w:t>
      </w:r>
      <w:r w:rsidR="00FC1776" w:rsidRPr="00193354">
        <w:t xml:space="preserve"> from the medical expert referred to in that subrule</w:t>
      </w:r>
      <w:r w:rsidRPr="00193354">
        <w:t>; and</w:t>
      </w:r>
    </w:p>
    <w:p w14:paraId="7FB49AE5" w14:textId="77777777" w:rsidR="00C235D8" w:rsidRPr="00193354" w:rsidRDefault="00C235D8" w:rsidP="00C235D8">
      <w:pPr>
        <w:pStyle w:val="paragraph"/>
      </w:pPr>
      <w:r w:rsidRPr="00193354">
        <w:tab/>
        <w:t>(b)</w:t>
      </w:r>
      <w:r w:rsidRPr="00193354">
        <w:tab/>
        <w:t>serve a copy of that report on the relevant person.</w:t>
      </w:r>
    </w:p>
    <w:p w14:paraId="4EA74411" w14:textId="77777777" w:rsidR="00E90B14" w:rsidRPr="00193354" w:rsidRDefault="00E90B14" w:rsidP="00E90B14">
      <w:pPr>
        <w:pStyle w:val="SubsectionHead"/>
      </w:pPr>
      <w:r w:rsidRPr="00193354">
        <w:t>Court</w:t>
      </w:r>
      <w:r w:rsidR="000A44E6" w:rsidRPr="00193354">
        <w:t xml:space="preserve"> may order</w:t>
      </w:r>
      <w:r w:rsidRPr="00193354">
        <w:t xml:space="preserve"> medical examination</w:t>
      </w:r>
    </w:p>
    <w:p w14:paraId="01EB2A34" w14:textId="77777777" w:rsidR="004551B9" w:rsidRPr="00193354" w:rsidRDefault="00FD0388" w:rsidP="009764EF">
      <w:pPr>
        <w:pStyle w:val="subsection"/>
      </w:pPr>
      <w:r w:rsidRPr="00193354">
        <w:tab/>
        <w:t>(</w:t>
      </w:r>
      <w:r w:rsidR="00D47416" w:rsidRPr="00193354">
        <w:t>6</w:t>
      </w:r>
      <w:r w:rsidRPr="00193354">
        <w:t>)</w:t>
      </w:r>
      <w:r w:rsidRPr="00193354">
        <w:tab/>
        <w:t>The Court may</w:t>
      </w:r>
      <w:r w:rsidR="004551B9" w:rsidRPr="00193354">
        <w:t>:</w:t>
      </w:r>
    </w:p>
    <w:p w14:paraId="35BEC131" w14:textId="77777777" w:rsidR="00FD0388" w:rsidRPr="00193354" w:rsidRDefault="004551B9" w:rsidP="004551B9">
      <w:pPr>
        <w:pStyle w:val="paragraph"/>
      </w:pPr>
      <w:r w:rsidRPr="00193354">
        <w:tab/>
        <w:t>(a)</w:t>
      </w:r>
      <w:r w:rsidRPr="00193354">
        <w:tab/>
        <w:t xml:space="preserve">order </w:t>
      </w:r>
      <w:r w:rsidR="00E90B14" w:rsidRPr="00193354">
        <w:t xml:space="preserve">the relevant person to submit to </w:t>
      </w:r>
      <w:r w:rsidR="00D268A9" w:rsidRPr="00193354">
        <w:t xml:space="preserve">an </w:t>
      </w:r>
      <w:r w:rsidR="00E90B14" w:rsidRPr="00193354">
        <w:t>examination by a medical expert</w:t>
      </w:r>
      <w:r w:rsidR="00092D04" w:rsidRPr="00193354">
        <w:t xml:space="preserve"> (</w:t>
      </w:r>
      <w:r w:rsidR="00FD0388" w:rsidRPr="00193354">
        <w:t xml:space="preserve">including an order that the </w:t>
      </w:r>
      <w:r w:rsidR="00E90B14" w:rsidRPr="00193354">
        <w:t xml:space="preserve">relevant </w:t>
      </w:r>
      <w:r w:rsidR="00FD0388" w:rsidRPr="00193354">
        <w:t xml:space="preserve">person submit to </w:t>
      </w:r>
      <w:r w:rsidR="00E90B14" w:rsidRPr="00193354">
        <w:t>an</w:t>
      </w:r>
      <w:r w:rsidR="00FD0388" w:rsidRPr="00193354">
        <w:t xml:space="preserve"> examination by a specified medical expert at a specified time and place</w:t>
      </w:r>
      <w:r w:rsidR="00092D04" w:rsidRPr="00193354">
        <w:t>); and</w:t>
      </w:r>
    </w:p>
    <w:p w14:paraId="72064666" w14:textId="77777777" w:rsidR="00092D04" w:rsidRPr="00193354" w:rsidRDefault="00092D04" w:rsidP="004551B9">
      <w:pPr>
        <w:pStyle w:val="paragraph"/>
      </w:pPr>
      <w:r w:rsidRPr="00193354">
        <w:lastRenderedPageBreak/>
        <w:tab/>
        <w:t>(b)</w:t>
      </w:r>
      <w:r w:rsidRPr="00193354">
        <w:tab/>
        <w:t xml:space="preserve">make any other </w:t>
      </w:r>
      <w:r w:rsidR="006A4355" w:rsidRPr="00193354">
        <w:t xml:space="preserve">order </w:t>
      </w:r>
      <w:r w:rsidRPr="00193354">
        <w:t xml:space="preserve">the </w:t>
      </w:r>
      <w:r w:rsidR="006A4355" w:rsidRPr="00193354">
        <w:t>C</w:t>
      </w:r>
      <w:r w:rsidRPr="00193354">
        <w:t>ourt considers appropriate in relation to the examination.</w:t>
      </w:r>
    </w:p>
    <w:p w14:paraId="75C7A07A" w14:textId="77777777" w:rsidR="00FD0388" w:rsidRPr="00193354" w:rsidRDefault="00FD0388" w:rsidP="00FD0388">
      <w:pPr>
        <w:pStyle w:val="subsection"/>
      </w:pPr>
      <w:r w:rsidRPr="00193354">
        <w:tab/>
        <w:t>(</w:t>
      </w:r>
      <w:r w:rsidR="00D47416" w:rsidRPr="00193354">
        <w:t>7</w:t>
      </w:r>
      <w:r w:rsidRPr="00193354">
        <w:t>)</w:t>
      </w:r>
      <w:r w:rsidRPr="00193354">
        <w:tab/>
        <w:t xml:space="preserve">If the Court </w:t>
      </w:r>
      <w:r w:rsidR="00E90B14" w:rsidRPr="00193354">
        <w:t>makes an order under subrule (</w:t>
      </w:r>
      <w:r w:rsidR="00D47416" w:rsidRPr="00193354">
        <w:t>6</w:t>
      </w:r>
      <w:r w:rsidR="00E90B14" w:rsidRPr="00193354">
        <w:t>)</w:t>
      </w:r>
      <w:r w:rsidR="00337D00" w:rsidRPr="00193354">
        <w:t xml:space="preserve"> requiring the relevant person to submit to an examination by a medical expert</w:t>
      </w:r>
      <w:r w:rsidR="00E90B14" w:rsidRPr="00193354">
        <w:t xml:space="preserve">, the relevant person </w:t>
      </w:r>
      <w:r w:rsidRPr="00193354">
        <w:t>must do all things reasonably requested, and answer all questions reasonably asked, by the medical expert for the purposes of the examination.</w:t>
      </w:r>
    </w:p>
    <w:p w14:paraId="0664580B" w14:textId="77777777" w:rsidR="00E86D64" w:rsidRPr="00193354" w:rsidRDefault="00E86D64" w:rsidP="00E86D64">
      <w:pPr>
        <w:pStyle w:val="SubsectionHead"/>
      </w:pPr>
      <w:r w:rsidRPr="00193354">
        <w:t>Definitions for this rule</w:t>
      </w:r>
    </w:p>
    <w:p w14:paraId="52924AE1" w14:textId="77777777" w:rsidR="00DC0FAB" w:rsidRPr="00193354" w:rsidRDefault="00DC0FAB" w:rsidP="00DC0FAB">
      <w:pPr>
        <w:pStyle w:val="subsection"/>
      </w:pPr>
      <w:r w:rsidRPr="00193354">
        <w:tab/>
        <w:t>(</w:t>
      </w:r>
      <w:r w:rsidR="00B12E89" w:rsidRPr="00193354">
        <w:t>8</w:t>
      </w:r>
      <w:r w:rsidRPr="00193354">
        <w:t>)</w:t>
      </w:r>
      <w:r w:rsidRPr="00193354">
        <w:tab/>
        <w:t>In this rule:</w:t>
      </w:r>
    </w:p>
    <w:p w14:paraId="514F6C02" w14:textId="77777777" w:rsidR="00354BE7" w:rsidRPr="00193354" w:rsidRDefault="004557C9" w:rsidP="007716F6">
      <w:pPr>
        <w:pStyle w:val="Definition"/>
      </w:pPr>
      <w:r w:rsidRPr="00193354">
        <w:rPr>
          <w:b/>
          <w:i/>
        </w:rPr>
        <w:t>medical expert</w:t>
      </w:r>
      <w:r w:rsidR="00354BE7" w:rsidRPr="00193354">
        <w:t xml:space="preserve"> means a person who, under a law of a State or Territory, is registered or licenced to practice in a health profession</w:t>
      </w:r>
      <w:r w:rsidR="007716F6" w:rsidRPr="00193354">
        <w:t xml:space="preserve"> or allied health profession</w:t>
      </w:r>
      <w:r w:rsidR="00354BE7" w:rsidRPr="00193354">
        <w:t>, including the following:</w:t>
      </w:r>
    </w:p>
    <w:p w14:paraId="6EEF737F" w14:textId="77777777" w:rsidR="00354BE7" w:rsidRPr="00193354" w:rsidRDefault="007716F6" w:rsidP="007716F6">
      <w:pPr>
        <w:pStyle w:val="paragraph"/>
      </w:pPr>
      <w:r w:rsidRPr="00193354">
        <w:tab/>
        <w:t>(a)</w:t>
      </w:r>
      <w:r w:rsidRPr="00193354">
        <w:tab/>
      </w:r>
      <w:r w:rsidR="00354BE7" w:rsidRPr="00193354">
        <w:t>dental;</w:t>
      </w:r>
    </w:p>
    <w:p w14:paraId="732EC91E" w14:textId="77777777" w:rsidR="00354BE7" w:rsidRPr="00193354" w:rsidRDefault="00354BE7" w:rsidP="007716F6">
      <w:pPr>
        <w:pStyle w:val="paragraph"/>
      </w:pPr>
      <w:r w:rsidRPr="00193354">
        <w:tab/>
        <w:t>(b)</w:t>
      </w:r>
      <w:r w:rsidRPr="00193354">
        <w:tab/>
        <w:t>medical;</w:t>
      </w:r>
    </w:p>
    <w:p w14:paraId="64E67902" w14:textId="77777777" w:rsidR="00354BE7" w:rsidRPr="00193354" w:rsidRDefault="00354BE7" w:rsidP="007716F6">
      <w:pPr>
        <w:pStyle w:val="paragraph"/>
      </w:pPr>
      <w:r w:rsidRPr="00193354">
        <w:tab/>
        <w:t>(c)</w:t>
      </w:r>
      <w:r w:rsidRPr="00193354">
        <w:tab/>
        <w:t>occupational therapy;</w:t>
      </w:r>
    </w:p>
    <w:p w14:paraId="78BD3E54" w14:textId="77777777" w:rsidR="00354BE7" w:rsidRPr="00193354" w:rsidRDefault="00354BE7" w:rsidP="007716F6">
      <w:pPr>
        <w:pStyle w:val="paragraph"/>
      </w:pPr>
      <w:r w:rsidRPr="00193354">
        <w:tab/>
        <w:t>(d)</w:t>
      </w:r>
      <w:r w:rsidRPr="00193354">
        <w:tab/>
        <w:t>optometry;</w:t>
      </w:r>
    </w:p>
    <w:p w14:paraId="0F0D1F58" w14:textId="77777777" w:rsidR="00354BE7" w:rsidRPr="00193354" w:rsidRDefault="00354BE7" w:rsidP="007716F6">
      <w:pPr>
        <w:pStyle w:val="paragraph"/>
      </w:pPr>
      <w:r w:rsidRPr="00193354">
        <w:tab/>
        <w:t>(e)</w:t>
      </w:r>
      <w:r w:rsidRPr="00193354">
        <w:tab/>
        <w:t>physiotherapy;</w:t>
      </w:r>
    </w:p>
    <w:p w14:paraId="05782C25" w14:textId="77777777" w:rsidR="00354BE7" w:rsidRPr="00193354" w:rsidRDefault="00354BE7" w:rsidP="007716F6">
      <w:pPr>
        <w:pStyle w:val="paragraph"/>
      </w:pPr>
      <w:r w:rsidRPr="00193354">
        <w:tab/>
        <w:t>(f)</w:t>
      </w:r>
      <w:r w:rsidRPr="00193354">
        <w:tab/>
        <w:t>psychology.</w:t>
      </w:r>
    </w:p>
    <w:p w14:paraId="6E422B41" w14:textId="77777777" w:rsidR="00665B0C" w:rsidRPr="00193354" w:rsidRDefault="00107EC3" w:rsidP="00FC58E0">
      <w:pPr>
        <w:pStyle w:val="ItemHead"/>
      </w:pPr>
      <w:r w:rsidRPr="00193354">
        <w:t>23</w:t>
      </w:r>
      <w:r w:rsidR="00665B0C" w:rsidRPr="00193354">
        <w:t xml:space="preserve">  Sub</w:t>
      </w:r>
      <w:r w:rsidR="00282B96" w:rsidRPr="00193354">
        <w:t>rule 2</w:t>
      </w:r>
      <w:r w:rsidR="00665B0C" w:rsidRPr="00193354">
        <w:t>4.17(1)</w:t>
      </w:r>
    </w:p>
    <w:p w14:paraId="7B825612" w14:textId="77777777" w:rsidR="00665B0C" w:rsidRPr="00193354" w:rsidRDefault="00665B0C" w:rsidP="00665B0C">
      <w:pPr>
        <w:pStyle w:val="Item"/>
      </w:pPr>
      <w:r w:rsidRPr="00193354">
        <w:t>Repeal the subrule, substitute:</w:t>
      </w:r>
    </w:p>
    <w:p w14:paraId="522CDB50" w14:textId="77777777" w:rsidR="00665B0C" w:rsidRPr="00193354" w:rsidRDefault="00665B0C" w:rsidP="00665B0C">
      <w:pPr>
        <w:pStyle w:val="subsection"/>
      </w:pPr>
      <w:r w:rsidRPr="00193354">
        <w:tab/>
        <w:t>(1)</w:t>
      </w:r>
      <w:r w:rsidRPr="00193354">
        <w:tab/>
        <w:t>An addressee need not comply with the requirements of a subpoena if conduct money has not been handed or tendered to the addressee a reasonable time before the date or time specified in the subpoena as the date or time for attendance or for production or for both.</w:t>
      </w:r>
    </w:p>
    <w:p w14:paraId="1DE65FC3" w14:textId="77777777" w:rsidR="00944F4F" w:rsidRPr="00193354" w:rsidRDefault="00107EC3" w:rsidP="00944F4F">
      <w:pPr>
        <w:pStyle w:val="ItemHead"/>
      </w:pPr>
      <w:r w:rsidRPr="00193354">
        <w:t>24</w:t>
      </w:r>
      <w:r w:rsidR="00944F4F" w:rsidRPr="00193354">
        <w:t xml:space="preserve">  After sub</w:t>
      </w:r>
      <w:r w:rsidR="00282B96" w:rsidRPr="00193354">
        <w:t>rule 2</w:t>
      </w:r>
      <w:r w:rsidR="00944F4F" w:rsidRPr="00193354">
        <w:t>4.17(7)</w:t>
      </w:r>
    </w:p>
    <w:p w14:paraId="29F46B32" w14:textId="77777777" w:rsidR="00944F4F" w:rsidRPr="00193354" w:rsidRDefault="00944F4F" w:rsidP="00944F4F">
      <w:pPr>
        <w:pStyle w:val="Item"/>
      </w:pPr>
      <w:r w:rsidRPr="00193354">
        <w:t>Insert:</w:t>
      </w:r>
    </w:p>
    <w:p w14:paraId="20C12F36" w14:textId="77777777" w:rsidR="00944F4F" w:rsidRPr="00193354" w:rsidRDefault="00944F4F" w:rsidP="00DF3E74">
      <w:pPr>
        <w:pStyle w:val="subsection"/>
      </w:pPr>
      <w:r w:rsidRPr="00193354">
        <w:tab/>
        <w:t>(7A)</w:t>
      </w:r>
      <w:r w:rsidRPr="00193354">
        <w:tab/>
        <w:t>If the addressee produces a document in accordance with subrule (4), the addressee must declare whether the document is an original by completing the declaration within the subpoena, or the copy of the subpoena, that accompanies the document produced.</w:t>
      </w:r>
    </w:p>
    <w:p w14:paraId="2E3D007D" w14:textId="77777777" w:rsidR="00B50F16" w:rsidRPr="00193354" w:rsidRDefault="00107EC3" w:rsidP="00B50F16">
      <w:pPr>
        <w:pStyle w:val="ItemHead"/>
      </w:pPr>
      <w:r w:rsidRPr="00193354">
        <w:t>25</w:t>
      </w:r>
      <w:r w:rsidR="00B50F16" w:rsidRPr="00193354">
        <w:t xml:space="preserve">  Sub</w:t>
      </w:r>
      <w:r w:rsidR="00282B96" w:rsidRPr="00193354">
        <w:t>rules 2</w:t>
      </w:r>
      <w:r w:rsidR="00B50F16" w:rsidRPr="00193354">
        <w:t>4.21(3) to (6)</w:t>
      </w:r>
    </w:p>
    <w:p w14:paraId="75487507" w14:textId="77777777" w:rsidR="00B50F16" w:rsidRPr="00193354" w:rsidRDefault="00B50F16" w:rsidP="00B50F16">
      <w:pPr>
        <w:pStyle w:val="Item"/>
      </w:pPr>
      <w:r w:rsidRPr="00193354">
        <w:t>Repeal the subrules, substitute:</w:t>
      </w:r>
    </w:p>
    <w:p w14:paraId="77BE8187" w14:textId="77777777" w:rsidR="0021144F" w:rsidRPr="00193354" w:rsidRDefault="00B50F16" w:rsidP="00B50F16">
      <w:pPr>
        <w:pStyle w:val="subsection"/>
      </w:pPr>
      <w:r w:rsidRPr="00193354">
        <w:tab/>
        <w:t>(</w:t>
      </w:r>
      <w:r w:rsidR="00944F4F" w:rsidRPr="00193354">
        <w:t>3</w:t>
      </w:r>
      <w:r w:rsidRPr="00193354">
        <w:t>)</w:t>
      </w:r>
      <w:r w:rsidRPr="00193354">
        <w:tab/>
        <w:t>A Registrar may, on the expiry of 4 months from the conclusion of the proceeding, cause to be destroyed all the documents produced in the proceeding in compliance with a subpoena that</w:t>
      </w:r>
      <w:r w:rsidR="0021144F" w:rsidRPr="00193354">
        <w:t>:</w:t>
      </w:r>
    </w:p>
    <w:p w14:paraId="627C1F23" w14:textId="77777777" w:rsidR="0021144F" w:rsidRPr="00193354" w:rsidRDefault="0021144F" w:rsidP="0021144F">
      <w:pPr>
        <w:pStyle w:val="paragraph"/>
      </w:pPr>
      <w:r w:rsidRPr="00193354">
        <w:tab/>
        <w:t>(a)</w:t>
      </w:r>
      <w:r w:rsidRPr="00193354">
        <w:tab/>
      </w:r>
      <w:r w:rsidR="0043789A" w:rsidRPr="00193354">
        <w:t>the address</w:t>
      </w:r>
      <w:r w:rsidR="00C703FD" w:rsidRPr="00193354">
        <w:t>ee</w:t>
      </w:r>
      <w:r w:rsidR="0043789A" w:rsidRPr="00193354">
        <w:t xml:space="preserve"> did</w:t>
      </w:r>
      <w:r w:rsidR="00B50F16" w:rsidRPr="00193354">
        <w:t xml:space="preserve"> not </w:t>
      </w:r>
      <w:r w:rsidR="0043789A" w:rsidRPr="00193354">
        <w:t>declare</w:t>
      </w:r>
      <w:r w:rsidRPr="00193354">
        <w:t xml:space="preserve">, in accordance with </w:t>
      </w:r>
      <w:r w:rsidR="0043789A" w:rsidRPr="00193354">
        <w:t>sub</w:t>
      </w:r>
      <w:r w:rsidR="00282B96" w:rsidRPr="00193354">
        <w:t>rule 2</w:t>
      </w:r>
      <w:r w:rsidR="00944F4F" w:rsidRPr="00193354">
        <w:t>4.17</w:t>
      </w:r>
      <w:r w:rsidR="0043789A" w:rsidRPr="00193354">
        <w:t>(</w:t>
      </w:r>
      <w:r w:rsidR="00944F4F" w:rsidRPr="00193354">
        <w:t>7A</w:t>
      </w:r>
      <w:r w:rsidR="0043789A" w:rsidRPr="00193354">
        <w:t>)</w:t>
      </w:r>
      <w:r w:rsidRPr="00193354">
        <w:t>,</w:t>
      </w:r>
      <w:r w:rsidR="00B50F16" w:rsidRPr="00193354">
        <w:t xml:space="preserve"> to be </w:t>
      </w:r>
      <w:r w:rsidR="00E8025A" w:rsidRPr="00193354">
        <w:t xml:space="preserve">original </w:t>
      </w:r>
      <w:r w:rsidR="00B50F16" w:rsidRPr="00193354">
        <w:t>documents</w:t>
      </w:r>
      <w:r w:rsidRPr="00193354">
        <w:t>;</w:t>
      </w:r>
      <w:r w:rsidR="0043789A" w:rsidRPr="00193354">
        <w:t xml:space="preserve"> and</w:t>
      </w:r>
    </w:p>
    <w:p w14:paraId="4EC36EBC" w14:textId="77777777" w:rsidR="00814652" w:rsidRPr="00193354" w:rsidRDefault="0021144F" w:rsidP="00623F39">
      <w:pPr>
        <w:pStyle w:val="paragraph"/>
      </w:pPr>
      <w:r w:rsidRPr="00193354">
        <w:tab/>
        <w:t>(b)</w:t>
      </w:r>
      <w:r w:rsidRPr="00193354">
        <w:tab/>
      </w:r>
      <w:r w:rsidR="00B50F16" w:rsidRPr="00193354">
        <w:t>are no longer required in connection with the proceeding, including on any appeal.</w:t>
      </w:r>
    </w:p>
    <w:p w14:paraId="3A7C0727" w14:textId="77777777" w:rsidR="00D3641A" w:rsidRPr="00193354" w:rsidRDefault="00107EC3" w:rsidP="00D3641A">
      <w:pPr>
        <w:pStyle w:val="ItemHead"/>
      </w:pPr>
      <w:r w:rsidRPr="00193354">
        <w:t>26</w:t>
      </w:r>
      <w:r w:rsidR="00D3641A" w:rsidRPr="00193354">
        <w:t xml:space="preserve">  Divisions 27.1 and 27.2</w:t>
      </w:r>
    </w:p>
    <w:p w14:paraId="432B2960" w14:textId="77777777" w:rsidR="00D3641A" w:rsidRPr="00193354" w:rsidRDefault="00D3641A" w:rsidP="00D3641A">
      <w:pPr>
        <w:pStyle w:val="Item"/>
      </w:pPr>
      <w:r w:rsidRPr="00193354">
        <w:t>Repeal the Divisions, substitute:</w:t>
      </w:r>
    </w:p>
    <w:p w14:paraId="69DF2948" w14:textId="77777777" w:rsidR="00D3641A" w:rsidRPr="00193354" w:rsidRDefault="00DB5DF7" w:rsidP="00D3641A">
      <w:pPr>
        <w:pStyle w:val="ActHead3"/>
      </w:pPr>
      <w:bookmarkStart w:id="27" w:name="_Toc122448255"/>
      <w:r w:rsidRPr="00D478AB">
        <w:rPr>
          <w:rStyle w:val="CharDivNo"/>
        </w:rPr>
        <w:lastRenderedPageBreak/>
        <w:t>Division 2</w:t>
      </w:r>
      <w:r w:rsidR="00D3641A" w:rsidRPr="00D478AB">
        <w:rPr>
          <w:rStyle w:val="CharDivNo"/>
        </w:rPr>
        <w:t>7.1</w:t>
      </w:r>
      <w:r w:rsidR="00D3641A" w:rsidRPr="00193354">
        <w:t>—</w:t>
      </w:r>
      <w:r w:rsidR="00D3641A" w:rsidRPr="00D478AB">
        <w:rPr>
          <w:rStyle w:val="CharDivText"/>
        </w:rPr>
        <w:t>Federal Circuit and Family Court of Australia</w:t>
      </w:r>
      <w:bookmarkEnd w:id="27"/>
    </w:p>
    <w:p w14:paraId="313F8E17" w14:textId="77777777" w:rsidR="00D3641A" w:rsidRPr="00193354" w:rsidRDefault="00D3641A" w:rsidP="00D3641A">
      <w:pPr>
        <w:pStyle w:val="ActHead5"/>
      </w:pPr>
      <w:bookmarkStart w:id="28" w:name="_Toc122448256"/>
      <w:r w:rsidRPr="00D478AB">
        <w:rPr>
          <w:rStyle w:val="CharSectno"/>
        </w:rPr>
        <w:t>27.01</w:t>
      </w:r>
      <w:r w:rsidRPr="00193354">
        <w:t xml:space="preserve">  Transfer to the Federal Circuit and Family Court of Australia</w:t>
      </w:r>
      <w:bookmarkEnd w:id="28"/>
    </w:p>
    <w:p w14:paraId="6E3AE783" w14:textId="77777777" w:rsidR="00D3641A" w:rsidRPr="00193354" w:rsidRDefault="00D3641A" w:rsidP="00D3641A">
      <w:pPr>
        <w:pStyle w:val="subsection"/>
      </w:pPr>
      <w:r w:rsidRPr="00193354">
        <w:tab/>
        <w:t>(1)</w:t>
      </w:r>
      <w:r w:rsidRPr="00193354">
        <w:tab/>
        <w:t>The Court must not make an order under subsection 32AB(1) of the Act on its own initiative transferring a proceeding from the Court to the Federal Circuit and Family Court of Australia unless the parties to the proceeding have been notified of the proposed transfer and have been given an opportunity to be heard in relation to the proposed transfer.</w:t>
      </w:r>
    </w:p>
    <w:p w14:paraId="64D080A7" w14:textId="77777777" w:rsidR="00D3641A" w:rsidRPr="00193354" w:rsidRDefault="00D3641A" w:rsidP="00D3641A">
      <w:pPr>
        <w:pStyle w:val="notetext"/>
      </w:pPr>
      <w:bookmarkStart w:id="29" w:name="_Hlk103006185"/>
      <w:r w:rsidRPr="00193354">
        <w:t>Note:</w:t>
      </w:r>
      <w:r w:rsidRPr="00193354">
        <w:tab/>
        <w:t>Subsection 32AB(1) of the Act provides that the Court may, by order, transfer a proceeding that is pending in the Court to the Federal Circuit and Family Court of Australia. Subsection 32AB(2) of the Act provides that the Court may transfer the proceeding on the application of a party to the proceeding or on its own initiative.</w:t>
      </w:r>
    </w:p>
    <w:bookmarkEnd w:id="29"/>
    <w:p w14:paraId="2DE46E72" w14:textId="77777777" w:rsidR="00D3641A" w:rsidRPr="00193354" w:rsidRDefault="00D3641A" w:rsidP="00D3641A">
      <w:pPr>
        <w:pStyle w:val="subsection"/>
      </w:pPr>
      <w:r w:rsidRPr="00193354">
        <w:tab/>
        <w:t>(2)</w:t>
      </w:r>
      <w:r w:rsidRPr="00193354">
        <w:tab/>
        <w:t>Before the Court makes an order under subsection 32AB(1) of the Act transferring a proceeding from the Court to the Federal Circuit and Family Court of Australia (</w:t>
      </w:r>
      <w:r w:rsidR="00282B96" w:rsidRPr="00193354">
        <w:t>Division 1</w:t>
      </w:r>
      <w:r w:rsidRPr="00193354">
        <w:t>):</w:t>
      </w:r>
    </w:p>
    <w:p w14:paraId="2F6DD4D8" w14:textId="77777777" w:rsidR="00D3641A" w:rsidRPr="00193354" w:rsidRDefault="00D3641A" w:rsidP="00D3641A">
      <w:pPr>
        <w:pStyle w:val="paragraph"/>
      </w:pPr>
      <w:r w:rsidRPr="00193354">
        <w:tab/>
        <w:t>(a)</w:t>
      </w:r>
      <w:r w:rsidRPr="00193354">
        <w:tab/>
        <w:t>the Court must consult the Chief Justice of the Court in relation to the proposed transfer; and</w:t>
      </w:r>
    </w:p>
    <w:p w14:paraId="238B3C9C" w14:textId="77777777" w:rsidR="00D3641A" w:rsidRPr="00193354" w:rsidRDefault="00D3641A" w:rsidP="00D3641A">
      <w:pPr>
        <w:pStyle w:val="paragraph"/>
      </w:pPr>
      <w:r w:rsidRPr="00193354">
        <w:tab/>
        <w:t>(b)</w:t>
      </w:r>
      <w:r w:rsidRPr="00193354">
        <w:tab/>
        <w:t>the Chief Justice of the Court must consult the Chief Justice of the Federal Circuit and Family Court of Australia (</w:t>
      </w:r>
      <w:r w:rsidR="00282B96" w:rsidRPr="00193354">
        <w:t>Division 1</w:t>
      </w:r>
      <w:r w:rsidRPr="00193354">
        <w:t>) in relation to the proposed transfer.</w:t>
      </w:r>
    </w:p>
    <w:p w14:paraId="2FA0F3DB" w14:textId="77777777" w:rsidR="00D3641A" w:rsidRPr="00193354" w:rsidRDefault="00D3641A" w:rsidP="00D3641A">
      <w:pPr>
        <w:pStyle w:val="subsection"/>
      </w:pPr>
      <w:r w:rsidRPr="00193354">
        <w:tab/>
        <w:t>(3)</w:t>
      </w:r>
      <w:r w:rsidRPr="00193354">
        <w:tab/>
        <w:t>Before the Court makes an order under subsection 32AB(1) of the Act transferring a proceeding from the Court to the Federal Circuit and Family Court of Australia (</w:t>
      </w:r>
      <w:r w:rsidR="00DB5DF7" w:rsidRPr="00193354">
        <w:t>Division 2</w:t>
      </w:r>
      <w:r w:rsidRPr="00193354">
        <w:t>):</w:t>
      </w:r>
    </w:p>
    <w:p w14:paraId="4CB7E177" w14:textId="77777777" w:rsidR="00D3641A" w:rsidRPr="00193354" w:rsidRDefault="00D3641A" w:rsidP="00D3641A">
      <w:pPr>
        <w:pStyle w:val="paragraph"/>
      </w:pPr>
      <w:r w:rsidRPr="00193354">
        <w:tab/>
        <w:t>(a)</w:t>
      </w:r>
      <w:r w:rsidRPr="00193354">
        <w:tab/>
        <w:t>the Court must consult the Chief Justice of the Court in relation to the proposed transfer; and</w:t>
      </w:r>
    </w:p>
    <w:p w14:paraId="455161F4" w14:textId="77777777" w:rsidR="00D3641A" w:rsidRPr="00193354" w:rsidRDefault="00D3641A" w:rsidP="00D3641A">
      <w:pPr>
        <w:pStyle w:val="paragraph"/>
      </w:pPr>
      <w:r w:rsidRPr="00193354">
        <w:tab/>
        <w:t>(b)</w:t>
      </w:r>
      <w:r w:rsidRPr="00193354">
        <w:tab/>
        <w:t>the Chief Justice of the Court must consult the Chief Judge of the Federal Circuit and Family Court of Australia (</w:t>
      </w:r>
      <w:r w:rsidR="00DB5DF7" w:rsidRPr="00193354">
        <w:t>Division 2</w:t>
      </w:r>
      <w:r w:rsidRPr="00193354">
        <w:t>) in relation to the proposed transfer.</w:t>
      </w:r>
    </w:p>
    <w:p w14:paraId="5E27B1AB" w14:textId="77777777" w:rsidR="00D3641A" w:rsidRPr="00193354" w:rsidRDefault="00D3641A" w:rsidP="00D3641A">
      <w:pPr>
        <w:pStyle w:val="subsection"/>
      </w:pPr>
      <w:r w:rsidRPr="00193354">
        <w:tab/>
        <w:t>(4)</w:t>
      </w:r>
      <w:r w:rsidRPr="00193354">
        <w:tab/>
        <w:t>A failure to comply with this rule in relation to a proposed transfer of a proceeding under subsection 32AB(1) of the Act does not affect the validity of an order made under that subsection transferring the proceeding.</w:t>
      </w:r>
    </w:p>
    <w:p w14:paraId="33D7D9C5" w14:textId="77777777" w:rsidR="00D3641A" w:rsidRPr="00193354" w:rsidRDefault="00D3641A" w:rsidP="00D3641A">
      <w:pPr>
        <w:pStyle w:val="ActHead5"/>
      </w:pPr>
      <w:bookmarkStart w:id="30" w:name="_Toc122448257"/>
      <w:r w:rsidRPr="00D478AB">
        <w:rPr>
          <w:rStyle w:val="CharSectno"/>
        </w:rPr>
        <w:t>27.02</w:t>
      </w:r>
      <w:r w:rsidRPr="00193354">
        <w:t xml:space="preserve">  Transfer from the Federal Circuit and Family Court of Australia (</w:t>
      </w:r>
      <w:r w:rsidR="00DB5DF7" w:rsidRPr="00193354">
        <w:t>Division 2</w:t>
      </w:r>
      <w:r w:rsidRPr="00193354">
        <w:t>)</w:t>
      </w:r>
      <w:bookmarkEnd w:id="30"/>
    </w:p>
    <w:p w14:paraId="7ACA1C93" w14:textId="77777777" w:rsidR="00D3641A" w:rsidRPr="00193354" w:rsidRDefault="00D3641A" w:rsidP="00D3641A">
      <w:pPr>
        <w:pStyle w:val="subsection"/>
      </w:pPr>
      <w:r w:rsidRPr="00193354">
        <w:tab/>
        <w:t>(1)</w:t>
      </w:r>
      <w:r w:rsidRPr="00193354">
        <w:tab/>
        <w:t>The Court must not make an order under subsection 32AC(1) of the Act on its own initiative transferring a proceeding from the Federal Circuit and Family Court of Australia (</w:t>
      </w:r>
      <w:r w:rsidR="00DB5DF7" w:rsidRPr="00193354">
        <w:t>Division 2</w:t>
      </w:r>
      <w:r w:rsidRPr="00193354">
        <w:t>) to the Court unless the parties to the proceeding have been notified of the proposed transfer and have been given an opportunity to be heard in relation to the proposed transfer.</w:t>
      </w:r>
    </w:p>
    <w:p w14:paraId="36B73494" w14:textId="77777777" w:rsidR="00D3641A" w:rsidRPr="00193354" w:rsidRDefault="00D3641A" w:rsidP="00D3641A">
      <w:pPr>
        <w:pStyle w:val="notetext"/>
      </w:pPr>
      <w:r w:rsidRPr="00193354">
        <w:t>Note:</w:t>
      </w:r>
      <w:r w:rsidRPr="00193354">
        <w:tab/>
        <w:t>Subsection 32AC(1) of the Act provides that the Court may, by order, transfer a proceeding that is pending in the Federal Circuit and Family Court of Australia (</w:t>
      </w:r>
      <w:r w:rsidR="00DB5DF7" w:rsidRPr="00193354">
        <w:t>Division 2</w:t>
      </w:r>
      <w:r w:rsidRPr="00193354">
        <w:t xml:space="preserve">) </w:t>
      </w:r>
      <w:bookmarkStart w:id="31" w:name="_Hlk103006264"/>
      <w:r w:rsidRPr="00193354">
        <w:t xml:space="preserve">and is not a family law or child support proceeding </w:t>
      </w:r>
      <w:bookmarkEnd w:id="31"/>
      <w:r w:rsidRPr="00193354">
        <w:t>to the Court. Subsection 32AC(2) of the Act provides that the Court may transfer the proceeding on the application of a party to the proceeding or on its own initiative.</w:t>
      </w:r>
    </w:p>
    <w:p w14:paraId="2D68F14D" w14:textId="77777777" w:rsidR="00D3641A" w:rsidRPr="00193354" w:rsidRDefault="00D3641A" w:rsidP="00D3641A">
      <w:pPr>
        <w:pStyle w:val="subsection"/>
      </w:pPr>
      <w:r w:rsidRPr="00193354">
        <w:tab/>
        <w:t>(2)</w:t>
      </w:r>
      <w:r w:rsidRPr="00193354">
        <w:tab/>
        <w:t>Before the Court makes an order under subsection 32AC(1) of the Act transferring a proceeding from the Federal Circuit and Family Court of Australia (</w:t>
      </w:r>
      <w:r w:rsidR="00DB5DF7" w:rsidRPr="00193354">
        <w:t>Division 2</w:t>
      </w:r>
      <w:r w:rsidRPr="00193354">
        <w:t>) to the Court:</w:t>
      </w:r>
    </w:p>
    <w:p w14:paraId="2DFDE127" w14:textId="77777777" w:rsidR="00D3641A" w:rsidRPr="00193354" w:rsidRDefault="00D3641A" w:rsidP="00D3641A">
      <w:pPr>
        <w:pStyle w:val="paragraph"/>
      </w:pPr>
      <w:r w:rsidRPr="00193354">
        <w:lastRenderedPageBreak/>
        <w:tab/>
        <w:t>(a)</w:t>
      </w:r>
      <w:r w:rsidRPr="00193354">
        <w:tab/>
        <w:t>the Court must consult the Chief Justice of the Court in relation to the proposed transfer; and</w:t>
      </w:r>
    </w:p>
    <w:p w14:paraId="7FB36843" w14:textId="77777777" w:rsidR="00D3641A" w:rsidRPr="00193354" w:rsidRDefault="00D3641A" w:rsidP="00D3641A">
      <w:pPr>
        <w:pStyle w:val="paragraph"/>
      </w:pPr>
      <w:r w:rsidRPr="00193354">
        <w:tab/>
        <w:t>(b)</w:t>
      </w:r>
      <w:r w:rsidRPr="00193354">
        <w:tab/>
        <w:t>the Chief Justice of the Court must consult the Chief Judge of the Federal Circuit and Family Court of Australia (</w:t>
      </w:r>
      <w:r w:rsidR="00DB5DF7" w:rsidRPr="00193354">
        <w:t>Division 2</w:t>
      </w:r>
      <w:r w:rsidRPr="00193354">
        <w:t>) in relation to the proposed transfer.</w:t>
      </w:r>
    </w:p>
    <w:p w14:paraId="20B3BD0A" w14:textId="77777777" w:rsidR="00D3641A" w:rsidRPr="00193354" w:rsidRDefault="00D3641A" w:rsidP="00D3641A">
      <w:pPr>
        <w:pStyle w:val="subsection"/>
      </w:pPr>
      <w:r w:rsidRPr="00193354">
        <w:tab/>
        <w:t>(3)</w:t>
      </w:r>
      <w:r w:rsidRPr="00193354">
        <w:tab/>
        <w:t>A failure to comply with this rule in relation to a proposed transfer of a proceeding under subsection 32AC(1) of the Act does not affect the validity of an order made under that subsection transferring the proceeding.</w:t>
      </w:r>
    </w:p>
    <w:p w14:paraId="2A67F549" w14:textId="77777777" w:rsidR="00D3641A" w:rsidRPr="00193354" w:rsidRDefault="00D3641A" w:rsidP="00D3641A">
      <w:pPr>
        <w:pStyle w:val="ActHead5"/>
      </w:pPr>
      <w:bookmarkStart w:id="32" w:name="_Toc122448258"/>
      <w:r w:rsidRPr="00D478AB">
        <w:rPr>
          <w:rStyle w:val="CharSectno"/>
        </w:rPr>
        <w:t>27.03</w:t>
      </w:r>
      <w:r w:rsidRPr="00193354">
        <w:t xml:space="preserve">  Order transferring proceeding from the Federal Circuit and Family Court of Australia (</w:t>
      </w:r>
      <w:r w:rsidR="00DB5DF7" w:rsidRPr="00193354">
        <w:t>Division 2</w:t>
      </w:r>
      <w:r w:rsidRPr="00193354">
        <w:t>) to the Court must be filed in the Federal Circuit and Family Court of Australia (</w:t>
      </w:r>
      <w:r w:rsidR="00DB5DF7" w:rsidRPr="00193354">
        <w:t>Division 2</w:t>
      </w:r>
      <w:r w:rsidRPr="00193354">
        <w:t>)</w:t>
      </w:r>
      <w:bookmarkEnd w:id="32"/>
    </w:p>
    <w:p w14:paraId="7139C463" w14:textId="77777777" w:rsidR="00D3641A" w:rsidRPr="00193354" w:rsidRDefault="00D3641A" w:rsidP="00D3641A">
      <w:pPr>
        <w:pStyle w:val="subsection"/>
      </w:pPr>
      <w:r w:rsidRPr="00193354">
        <w:tab/>
        <w:t>(1)</w:t>
      </w:r>
      <w:r w:rsidRPr="00193354">
        <w:tab/>
        <w:t>This rule applies if the Court makes an order:</w:t>
      </w:r>
    </w:p>
    <w:p w14:paraId="5030061F" w14:textId="77777777" w:rsidR="00D3641A" w:rsidRPr="00193354" w:rsidRDefault="00D3641A" w:rsidP="00D3641A">
      <w:pPr>
        <w:pStyle w:val="paragraph"/>
      </w:pPr>
      <w:r w:rsidRPr="00193354">
        <w:tab/>
        <w:t>(a)</w:t>
      </w:r>
      <w:r w:rsidRPr="00193354">
        <w:tab/>
        <w:t>under subsection 32AC(1) of the Act transferring a proceeding from the Federal Circuit and Family Court of Australia (</w:t>
      </w:r>
      <w:r w:rsidR="00DB5DF7" w:rsidRPr="00193354">
        <w:t>Division 2</w:t>
      </w:r>
      <w:r w:rsidRPr="00193354">
        <w:t>) to the Court; or</w:t>
      </w:r>
    </w:p>
    <w:p w14:paraId="5D67AC5A" w14:textId="77777777" w:rsidR="00D3641A" w:rsidRPr="00193354" w:rsidRDefault="00D3641A" w:rsidP="00D3641A">
      <w:pPr>
        <w:pStyle w:val="paragraph"/>
      </w:pPr>
      <w:r w:rsidRPr="00193354">
        <w:tab/>
        <w:t>(b)</w:t>
      </w:r>
      <w:r w:rsidRPr="00193354">
        <w:tab/>
        <w:t xml:space="preserve">under subsection 32AD(1) </w:t>
      </w:r>
      <w:r w:rsidR="008D3E08" w:rsidRPr="00193354">
        <w:t xml:space="preserve">of the Act </w:t>
      </w:r>
      <w:r w:rsidRPr="00193354">
        <w:t>confirming the transfer of a proceeding from the Federal Circuit and Family Court of Australia (</w:t>
      </w:r>
      <w:r w:rsidR="00DB5DF7" w:rsidRPr="00193354">
        <w:t>Division 2</w:t>
      </w:r>
      <w:r w:rsidRPr="00193354">
        <w:t>) to the Court.</w:t>
      </w:r>
    </w:p>
    <w:p w14:paraId="6D4BD168" w14:textId="77777777" w:rsidR="00D3641A" w:rsidRPr="00193354" w:rsidRDefault="00D3641A" w:rsidP="00D3641A">
      <w:pPr>
        <w:pStyle w:val="subsection"/>
      </w:pPr>
      <w:r w:rsidRPr="00193354">
        <w:tab/>
        <w:t>(2)</w:t>
      </w:r>
      <w:r w:rsidRPr="00193354">
        <w:tab/>
        <w:t>If the order was made on the application of a party to the proceeding, the party must file a sealed copy of the order in the Federal Circuit and Family Court of Australia (</w:t>
      </w:r>
      <w:r w:rsidR="00DB5DF7" w:rsidRPr="00193354">
        <w:t>Division 2</w:t>
      </w:r>
      <w:r w:rsidRPr="00193354">
        <w:t>).</w:t>
      </w:r>
    </w:p>
    <w:p w14:paraId="10AD8562" w14:textId="77777777" w:rsidR="00D3641A" w:rsidRPr="00193354" w:rsidRDefault="00D3641A" w:rsidP="00D3641A">
      <w:pPr>
        <w:pStyle w:val="subsection"/>
      </w:pPr>
      <w:r w:rsidRPr="00193354">
        <w:tab/>
        <w:t>(3)</w:t>
      </w:r>
      <w:r w:rsidRPr="00193354">
        <w:tab/>
        <w:t>If the order was made on the Court’s own initiative, the applicant in the proceeding must file a sealed copy of the order in the Federal Circuit and Family Court of Australia (</w:t>
      </w:r>
      <w:r w:rsidR="00DB5DF7" w:rsidRPr="00193354">
        <w:t>Division 2</w:t>
      </w:r>
      <w:r w:rsidRPr="00193354">
        <w:t>).</w:t>
      </w:r>
    </w:p>
    <w:p w14:paraId="6BE2CB27" w14:textId="77777777" w:rsidR="00B6384A" w:rsidRPr="00193354" w:rsidRDefault="00107EC3" w:rsidP="00B6384A">
      <w:pPr>
        <w:pStyle w:val="ItemHead"/>
      </w:pPr>
      <w:r w:rsidRPr="00193354">
        <w:t>27</w:t>
      </w:r>
      <w:r w:rsidR="00B6384A" w:rsidRPr="00193354">
        <w:t xml:space="preserve">  </w:t>
      </w:r>
      <w:r w:rsidR="00DB5DF7" w:rsidRPr="00193354">
        <w:t>Division 2</w:t>
      </w:r>
      <w:r w:rsidR="00B6384A" w:rsidRPr="00193354">
        <w:t>8.5 (after the heading)</w:t>
      </w:r>
    </w:p>
    <w:p w14:paraId="76988D1A" w14:textId="77777777" w:rsidR="00B6384A" w:rsidRPr="00193354" w:rsidRDefault="00B6384A" w:rsidP="00B6384A">
      <w:pPr>
        <w:pStyle w:val="Item"/>
      </w:pPr>
      <w:r w:rsidRPr="00193354">
        <w:t>Insert:</w:t>
      </w:r>
    </w:p>
    <w:p w14:paraId="556A1B0D" w14:textId="77777777" w:rsidR="00B6384A" w:rsidRPr="00193354" w:rsidRDefault="00B6384A" w:rsidP="00B6384A">
      <w:pPr>
        <w:pStyle w:val="notetext"/>
      </w:pPr>
      <w:r w:rsidRPr="00193354">
        <w:t>Note:</w:t>
      </w:r>
      <w:r w:rsidRPr="00193354">
        <w:tab/>
      </w:r>
      <w:r w:rsidRPr="00193354">
        <w:rPr>
          <w:rStyle w:val="Strong"/>
        </w:rPr>
        <w:t>This Division contains rules that have been harmonised in accordance with the advice of the Council of Chief Justices’ Rules Harmonisation Committee.</w:t>
      </w:r>
    </w:p>
    <w:p w14:paraId="629C9E42" w14:textId="77777777" w:rsidR="007216DB" w:rsidRPr="00193354" w:rsidRDefault="00107EC3" w:rsidP="007216DB">
      <w:pPr>
        <w:pStyle w:val="ItemHead"/>
      </w:pPr>
      <w:r w:rsidRPr="00193354">
        <w:t>28</w:t>
      </w:r>
      <w:r w:rsidR="007216DB" w:rsidRPr="00193354">
        <w:t xml:space="preserve">  </w:t>
      </w:r>
      <w:r w:rsidR="00D376D2" w:rsidRPr="00193354">
        <w:t>Rule 2</w:t>
      </w:r>
      <w:r w:rsidR="007216DB" w:rsidRPr="00193354">
        <w:t>8.43 (heading)</w:t>
      </w:r>
    </w:p>
    <w:p w14:paraId="2D703054" w14:textId="77777777" w:rsidR="007216DB" w:rsidRPr="00193354" w:rsidRDefault="007216DB" w:rsidP="007216DB">
      <w:pPr>
        <w:pStyle w:val="Item"/>
      </w:pPr>
      <w:r w:rsidRPr="00193354">
        <w:t>Omit “</w:t>
      </w:r>
      <w:r w:rsidRPr="00193354">
        <w:rPr>
          <w:b/>
        </w:rPr>
        <w:t>arbitration</w:t>
      </w:r>
      <w:r w:rsidRPr="00193354">
        <w:t>”, substitute “</w:t>
      </w:r>
      <w:r w:rsidRPr="00193354">
        <w:rPr>
          <w:b/>
        </w:rPr>
        <w:t>a proceeding</w:t>
      </w:r>
      <w:r w:rsidRPr="00193354">
        <w:t>”.</w:t>
      </w:r>
    </w:p>
    <w:p w14:paraId="43FAE500" w14:textId="77777777" w:rsidR="00036B52" w:rsidRPr="00193354" w:rsidRDefault="00107EC3" w:rsidP="00036B52">
      <w:pPr>
        <w:pStyle w:val="ItemHead"/>
      </w:pPr>
      <w:r w:rsidRPr="00193354">
        <w:t>29</w:t>
      </w:r>
      <w:r w:rsidR="00B6213C" w:rsidRPr="00193354">
        <w:t xml:space="preserve">  After </w:t>
      </w:r>
      <w:r w:rsidR="00282B96" w:rsidRPr="00193354">
        <w:t>rule 2</w:t>
      </w:r>
      <w:r w:rsidR="009A13F6" w:rsidRPr="00193354">
        <w:t>8.44</w:t>
      </w:r>
    </w:p>
    <w:p w14:paraId="0B300CB7" w14:textId="77777777" w:rsidR="009A13F6" w:rsidRPr="00193354" w:rsidRDefault="009A13F6" w:rsidP="009A13F6">
      <w:pPr>
        <w:pStyle w:val="Item"/>
      </w:pPr>
      <w:r w:rsidRPr="00193354">
        <w:t>Insert:</w:t>
      </w:r>
    </w:p>
    <w:p w14:paraId="4D64888B" w14:textId="77777777" w:rsidR="009A13F6" w:rsidRPr="00193354" w:rsidRDefault="009A13F6" w:rsidP="009A13F6">
      <w:pPr>
        <w:pStyle w:val="ActHead5"/>
      </w:pPr>
      <w:bookmarkStart w:id="33" w:name="_Toc122448259"/>
      <w:r w:rsidRPr="00D478AB">
        <w:rPr>
          <w:rStyle w:val="CharSectno"/>
        </w:rPr>
        <w:t>28.44A</w:t>
      </w:r>
      <w:r w:rsidRPr="00193354">
        <w:t xml:space="preserve">  Application for referral to arbitration under </w:t>
      </w:r>
      <w:r w:rsidR="00E939CB" w:rsidRPr="00193354">
        <w:t xml:space="preserve">article 8 of the </w:t>
      </w:r>
      <w:r w:rsidRPr="00193354">
        <w:t>Model Law</w:t>
      </w:r>
      <w:bookmarkEnd w:id="33"/>
    </w:p>
    <w:p w14:paraId="24D721F3" w14:textId="77777777" w:rsidR="007750FE" w:rsidRPr="00193354" w:rsidRDefault="007750FE" w:rsidP="007750FE">
      <w:pPr>
        <w:pStyle w:val="subsection"/>
      </w:pPr>
      <w:r w:rsidRPr="00193354">
        <w:tab/>
      </w:r>
      <w:r w:rsidRPr="00193354">
        <w:tab/>
        <w:t>An application under article 8 of the Model Law to refer parties to arbitration must be accompanied by:</w:t>
      </w:r>
    </w:p>
    <w:p w14:paraId="6C3E3EDE" w14:textId="77777777" w:rsidR="007750FE" w:rsidRPr="00193354" w:rsidRDefault="007750FE" w:rsidP="007750FE">
      <w:pPr>
        <w:pStyle w:val="paragraph"/>
      </w:pPr>
      <w:r w:rsidRPr="00193354">
        <w:tab/>
        <w:t>(a)</w:t>
      </w:r>
      <w:r w:rsidRPr="00193354">
        <w:tab/>
        <w:t>a copy of the arbitration agreement; and</w:t>
      </w:r>
    </w:p>
    <w:p w14:paraId="2AFEB174" w14:textId="77777777" w:rsidR="007750FE" w:rsidRPr="00193354" w:rsidRDefault="007750FE" w:rsidP="007750FE">
      <w:pPr>
        <w:pStyle w:val="paragraph"/>
      </w:pPr>
      <w:r w:rsidRPr="00193354">
        <w:tab/>
        <w:t>(b)</w:t>
      </w:r>
      <w:r w:rsidRPr="00193354">
        <w:tab/>
        <w:t>an affidavit stating the material facts on which the application for relief is based.</w:t>
      </w:r>
    </w:p>
    <w:p w14:paraId="07EA6AB6" w14:textId="77777777" w:rsidR="00F97A9C" w:rsidRPr="00193354" w:rsidRDefault="00107EC3" w:rsidP="00F97A9C">
      <w:pPr>
        <w:pStyle w:val="ItemHead"/>
      </w:pPr>
      <w:r w:rsidRPr="00193354">
        <w:t>30</w:t>
      </w:r>
      <w:r w:rsidR="00F97A9C" w:rsidRPr="00193354">
        <w:t xml:space="preserve">  Sub</w:t>
      </w:r>
      <w:r w:rsidR="00282B96" w:rsidRPr="00193354">
        <w:t>rule 2</w:t>
      </w:r>
      <w:r w:rsidR="00F97A9C" w:rsidRPr="00193354">
        <w:t>8.45(1)</w:t>
      </w:r>
    </w:p>
    <w:p w14:paraId="470C8B1A" w14:textId="77777777" w:rsidR="00F97A9C" w:rsidRPr="00193354" w:rsidRDefault="00F97A9C" w:rsidP="00F97A9C">
      <w:pPr>
        <w:pStyle w:val="Item"/>
      </w:pPr>
      <w:r w:rsidRPr="00193354">
        <w:t>Omit “17J, 27 or 34”, substitute “17J or 27”.</w:t>
      </w:r>
    </w:p>
    <w:p w14:paraId="47414D1F" w14:textId="77777777" w:rsidR="00F97A9C" w:rsidRPr="00193354" w:rsidRDefault="00107EC3" w:rsidP="00F97A9C">
      <w:pPr>
        <w:pStyle w:val="ItemHead"/>
      </w:pPr>
      <w:r w:rsidRPr="00193354">
        <w:lastRenderedPageBreak/>
        <w:t>31</w:t>
      </w:r>
      <w:r w:rsidR="00F97A9C" w:rsidRPr="00193354">
        <w:t xml:space="preserve">  After </w:t>
      </w:r>
      <w:r w:rsidR="00282B96" w:rsidRPr="00193354">
        <w:t>rule 2</w:t>
      </w:r>
      <w:r w:rsidR="00F97A9C" w:rsidRPr="00193354">
        <w:t>8.45</w:t>
      </w:r>
    </w:p>
    <w:p w14:paraId="2F386E96" w14:textId="77777777" w:rsidR="00F97A9C" w:rsidRPr="00193354" w:rsidRDefault="00F97A9C" w:rsidP="00F97A9C">
      <w:pPr>
        <w:pStyle w:val="Item"/>
      </w:pPr>
      <w:r w:rsidRPr="00193354">
        <w:t>Insert:</w:t>
      </w:r>
    </w:p>
    <w:p w14:paraId="22F73F8B" w14:textId="77777777" w:rsidR="00F97A9C" w:rsidRPr="00193354" w:rsidRDefault="00F97A9C" w:rsidP="00F97A9C">
      <w:pPr>
        <w:pStyle w:val="ActHead5"/>
      </w:pPr>
      <w:bookmarkStart w:id="34" w:name="_Toc122448260"/>
      <w:r w:rsidRPr="00D478AB">
        <w:rPr>
          <w:rStyle w:val="CharSectno"/>
        </w:rPr>
        <w:t>28.45A</w:t>
      </w:r>
      <w:r w:rsidRPr="00193354">
        <w:t xml:space="preserve">  Application to set aside award under Model Law</w:t>
      </w:r>
      <w:bookmarkEnd w:id="34"/>
    </w:p>
    <w:p w14:paraId="024D832E" w14:textId="77777777" w:rsidR="00C07CDA" w:rsidRPr="00193354" w:rsidRDefault="00F97A9C" w:rsidP="0076315B">
      <w:pPr>
        <w:pStyle w:val="subsection"/>
      </w:pPr>
      <w:r w:rsidRPr="00193354">
        <w:tab/>
        <w:t>(1)</w:t>
      </w:r>
      <w:r w:rsidRPr="00193354">
        <w:tab/>
        <w:t>An application under article 34 of the Model Law to set aside an award must</w:t>
      </w:r>
      <w:r w:rsidR="002D04A5" w:rsidRPr="00193354">
        <w:t xml:space="preserve"> </w:t>
      </w:r>
      <w:r w:rsidR="00C07CDA" w:rsidRPr="00193354">
        <w:t xml:space="preserve">be made by filing an originating application, in accordance with Form </w:t>
      </w:r>
      <w:r w:rsidR="0076315B" w:rsidRPr="00193354">
        <w:t>53</w:t>
      </w:r>
      <w:r w:rsidR="00C07CDA" w:rsidRPr="00193354">
        <w:t>.</w:t>
      </w:r>
    </w:p>
    <w:p w14:paraId="72AE1A5B" w14:textId="77777777" w:rsidR="00F97A9C" w:rsidRPr="00193354" w:rsidRDefault="00C07CDA" w:rsidP="00F97A9C">
      <w:pPr>
        <w:pStyle w:val="subsection"/>
      </w:pPr>
      <w:r w:rsidRPr="00193354">
        <w:tab/>
        <w:t>(2)</w:t>
      </w:r>
      <w:r w:rsidRPr="00193354">
        <w:tab/>
        <w:t xml:space="preserve">The application must </w:t>
      </w:r>
      <w:r w:rsidR="002D04A5" w:rsidRPr="00193354">
        <w:t>identify:</w:t>
      </w:r>
    </w:p>
    <w:p w14:paraId="1C35FA11" w14:textId="77777777" w:rsidR="002D04A5" w:rsidRPr="00193354" w:rsidRDefault="002D04A5" w:rsidP="002D04A5">
      <w:pPr>
        <w:pStyle w:val="paragraph"/>
      </w:pPr>
      <w:r w:rsidRPr="00193354">
        <w:tab/>
        <w:t>(</w:t>
      </w:r>
      <w:r w:rsidR="00130627" w:rsidRPr="00193354">
        <w:t>a</w:t>
      </w:r>
      <w:r w:rsidRPr="00193354">
        <w:t>)</w:t>
      </w:r>
      <w:r w:rsidRPr="00193354">
        <w:tab/>
        <w:t xml:space="preserve">if the applicant relies on article 34(2)(a) of the Model Law—which </w:t>
      </w:r>
      <w:r w:rsidR="00130627" w:rsidRPr="00193354">
        <w:t>subparagraph of article 34(2)(a) is relied</w:t>
      </w:r>
      <w:r w:rsidRPr="00193354">
        <w:t xml:space="preserve"> upon; and</w:t>
      </w:r>
    </w:p>
    <w:p w14:paraId="5DC72309" w14:textId="77777777" w:rsidR="002D04A5" w:rsidRPr="00193354" w:rsidRDefault="002D04A5" w:rsidP="002D04A5">
      <w:pPr>
        <w:pStyle w:val="paragraph"/>
      </w:pPr>
      <w:r w:rsidRPr="00193354">
        <w:tab/>
        <w:t>(</w:t>
      </w:r>
      <w:r w:rsidR="00130627" w:rsidRPr="00193354">
        <w:t>b</w:t>
      </w:r>
      <w:r w:rsidRPr="00193354">
        <w:t>)</w:t>
      </w:r>
      <w:r w:rsidRPr="00193354">
        <w:tab/>
        <w:t xml:space="preserve">if the applicant relies on article 34(2)(b) of the Model Law—which </w:t>
      </w:r>
      <w:r w:rsidR="00130627" w:rsidRPr="00193354">
        <w:t>subparagraph of article 34(2)(b) is relied upon; and</w:t>
      </w:r>
    </w:p>
    <w:p w14:paraId="3B97E756" w14:textId="77777777" w:rsidR="00130627" w:rsidRPr="00193354" w:rsidRDefault="00130627" w:rsidP="001E2A34">
      <w:pPr>
        <w:pStyle w:val="paragraph"/>
      </w:pPr>
      <w:r w:rsidRPr="00193354">
        <w:tab/>
        <w:t>(c)</w:t>
      </w:r>
      <w:r w:rsidRPr="00193354">
        <w:tab/>
        <w:t>in any case—brief grounds for seeking the order.</w:t>
      </w:r>
    </w:p>
    <w:p w14:paraId="4D92AAA1" w14:textId="77777777" w:rsidR="00944F4F" w:rsidRPr="00193354" w:rsidRDefault="00944F4F" w:rsidP="00944F4F">
      <w:pPr>
        <w:pStyle w:val="subsection"/>
      </w:pPr>
      <w:r w:rsidRPr="00193354">
        <w:tab/>
        <w:t>(</w:t>
      </w:r>
      <w:r w:rsidR="00C07CDA" w:rsidRPr="00193354">
        <w:t>3</w:t>
      </w:r>
      <w:r w:rsidRPr="00193354">
        <w:t>)</w:t>
      </w:r>
      <w:r w:rsidRPr="00193354">
        <w:tab/>
        <w:t>The application must be accompanied by an affidavit identifying:</w:t>
      </w:r>
    </w:p>
    <w:p w14:paraId="0EA8BAE8" w14:textId="77777777" w:rsidR="00944F4F" w:rsidRPr="00193354" w:rsidRDefault="00944F4F" w:rsidP="00944F4F">
      <w:pPr>
        <w:pStyle w:val="paragraph"/>
      </w:pPr>
      <w:r w:rsidRPr="00193354">
        <w:tab/>
        <w:t>(a)</w:t>
      </w:r>
      <w:r w:rsidRPr="00193354">
        <w:tab/>
        <w:t>the detailed grounds for seeking the order; and</w:t>
      </w:r>
    </w:p>
    <w:p w14:paraId="7A1716A4" w14:textId="77777777" w:rsidR="00944F4F" w:rsidRPr="00193354" w:rsidRDefault="00944F4F" w:rsidP="00944F4F">
      <w:pPr>
        <w:pStyle w:val="paragraph"/>
      </w:pPr>
      <w:r w:rsidRPr="00193354">
        <w:tab/>
        <w:t>(b)</w:t>
      </w:r>
      <w:r w:rsidRPr="00193354">
        <w:tab/>
        <w:t>the material facts relied on; and</w:t>
      </w:r>
    </w:p>
    <w:p w14:paraId="62CC92E7" w14:textId="77777777" w:rsidR="00944F4F" w:rsidRPr="00193354" w:rsidRDefault="00944F4F" w:rsidP="00944F4F">
      <w:pPr>
        <w:pStyle w:val="paragraph"/>
      </w:pPr>
      <w:r w:rsidRPr="00193354">
        <w:tab/>
        <w:t>(c)</w:t>
      </w:r>
      <w:r w:rsidRPr="00193354">
        <w:tab/>
        <w:t>the date on which the applicant received the award or, if a request was made under article 33 of the Model Law to the arbitral tribunal to correct the award, the date on which that request was disposed of by the arbitral tribunal.</w:t>
      </w:r>
    </w:p>
    <w:p w14:paraId="5D2C9589" w14:textId="77777777" w:rsidR="00944F4F" w:rsidRPr="00193354" w:rsidRDefault="00944F4F" w:rsidP="00944F4F">
      <w:pPr>
        <w:pStyle w:val="subsection"/>
      </w:pPr>
      <w:r w:rsidRPr="00193354">
        <w:tab/>
        <w:t>(</w:t>
      </w:r>
      <w:r w:rsidR="00C07CDA" w:rsidRPr="00193354">
        <w:t>4</w:t>
      </w:r>
      <w:r w:rsidRPr="00193354">
        <w:t>)</w:t>
      </w:r>
      <w:r w:rsidRPr="00193354">
        <w:tab/>
        <w:t>The affidavit must be accompanied by:</w:t>
      </w:r>
    </w:p>
    <w:p w14:paraId="12719F02" w14:textId="77777777" w:rsidR="00944F4F" w:rsidRPr="00193354" w:rsidRDefault="00944F4F" w:rsidP="00944F4F">
      <w:pPr>
        <w:pStyle w:val="paragraph"/>
      </w:pPr>
      <w:r w:rsidRPr="00193354">
        <w:tab/>
        <w:t>(a)</w:t>
      </w:r>
      <w:r w:rsidRPr="00193354">
        <w:tab/>
        <w:t>a copy of the arbitration agreement; and</w:t>
      </w:r>
    </w:p>
    <w:p w14:paraId="2BEDDB55" w14:textId="77777777" w:rsidR="00944F4F" w:rsidRPr="00193354" w:rsidRDefault="00944F4F" w:rsidP="00944F4F">
      <w:pPr>
        <w:pStyle w:val="paragraph"/>
      </w:pPr>
      <w:r w:rsidRPr="00193354">
        <w:tab/>
        <w:t>(b)</w:t>
      </w:r>
      <w:r w:rsidRPr="00193354">
        <w:tab/>
        <w:t>a copy of the award (including the reasons, if any, of the arbitral tribunal for the award).</w:t>
      </w:r>
    </w:p>
    <w:p w14:paraId="5F0409EB" w14:textId="77777777" w:rsidR="002D04A5" w:rsidRPr="00193354" w:rsidRDefault="002D04A5" w:rsidP="002D04A5">
      <w:pPr>
        <w:pStyle w:val="subsection"/>
      </w:pPr>
      <w:r w:rsidRPr="00193354">
        <w:tab/>
        <w:t>(</w:t>
      </w:r>
      <w:r w:rsidR="00C07CDA" w:rsidRPr="00193354">
        <w:t>5</w:t>
      </w:r>
      <w:r w:rsidRPr="00193354">
        <w:t>)</w:t>
      </w:r>
      <w:r w:rsidRPr="00193354">
        <w:tab/>
      </w:r>
      <w:r w:rsidR="001E2A34" w:rsidRPr="00193354">
        <w:t>A copy of the</w:t>
      </w:r>
      <w:r w:rsidRPr="00193354">
        <w:t xml:space="preserve"> application and affidavit must be served on any person whose interest might be affected by the setting aside of the award.</w:t>
      </w:r>
    </w:p>
    <w:p w14:paraId="38FD657F" w14:textId="77777777" w:rsidR="002D04A5" w:rsidRPr="00193354" w:rsidRDefault="002D04A5" w:rsidP="00814652">
      <w:pPr>
        <w:pStyle w:val="subsection"/>
      </w:pPr>
      <w:r w:rsidRPr="00193354">
        <w:tab/>
        <w:t>(</w:t>
      </w:r>
      <w:r w:rsidR="00C07CDA" w:rsidRPr="00193354">
        <w:t>6</w:t>
      </w:r>
      <w:r w:rsidRPr="00193354">
        <w:t>)</w:t>
      </w:r>
      <w:r w:rsidRPr="00193354">
        <w:tab/>
      </w:r>
      <w:r w:rsidR="001562BC" w:rsidRPr="00193354">
        <w:t>An</w:t>
      </w:r>
      <w:r w:rsidRPr="00193354">
        <w:t xml:space="preserve"> application by a party to the arbitration</w:t>
      </w:r>
      <w:r w:rsidR="008E46B1" w:rsidRPr="00193354">
        <w:t xml:space="preserve"> under </w:t>
      </w:r>
      <w:r w:rsidRPr="00193354">
        <w:t xml:space="preserve">article 34(4) of the Model Law must be made by </w:t>
      </w:r>
      <w:r w:rsidR="00C07CDA" w:rsidRPr="00193354">
        <w:t>interlocutory application</w:t>
      </w:r>
      <w:r w:rsidRPr="00193354">
        <w:t xml:space="preserve"> in </w:t>
      </w:r>
      <w:r w:rsidR="008E46B1" w:rsidRPr="00193354">
        <w:t xml:space="preserve">the </w:t>
      </w:r>
      <w:r w:rsidR="006077C0" w:rsidRPr="00193354">
        <w:t>proceeding</w:t>
      </w:r>
      <w:r w:rsidR="008E46B1" w:rsidRPr="00193354">
        <w:t xml:space="preserve"> </w:t>
      </w:r>
      <w:r w:rsidR="001E2A34" w:rsidRPr="00193354">
        <w:t>started</w:t>
      </w:r>
      <w:r w:rsidR="008E46B1" w:rsidRPr="00193354">
        <w:t xml:space="preserve"> under subrule (1)</w:t>
      </w:r>
      <w:r w:rsidRPr="00193354">
        <w:t>.</w:t>
      </w:r>
    </w:p>
    <w:p w14:paraId="6C2B8CE7" w14:textId="77777777" w:rsidR="00130627" w:rsidRPr="00193354" w:rsidRDefault="00107EC3" w:rsidP="00130627">
      <w:pPr>
        <w:pStyle w:val="ItemHead"/>
      </w:pPr>
      <w:r w:rsidRPr="00193354">
        <w:t>32</w:t>
      </w:r>
      <w:r w:rsidR="00130627" w:rsidRPr="00193354">
        <w:t xml:space="preserve">  At the end of </w:t>
      </w:r>
      <w:r w:rsidR="00282B96" w:rsidRPr="00193354">
        <w:t>rule 2</w:t>
      </w:r>
      <w:r w:rsidR="00130627" w:rsidRPr="00193354">
        <w:t>8.46</w:t>
      </w:r>
    </w:p>
    <w:p w14:paraId="5DC97CF7" w14:textId="77777777" w:rsidR="00130627" w:rsidRPr="00193354" w:rsidRDefault="00130627" w:rsidP="00130627">
      <w:pPr>
        <w:pStyle w:val="Item"/>
      </w:pPr>
      <w:r w:rsidRPr="00193354">
        <w:t>Add:</w:t>
      </w:r>
    </w:p>
    <w:p w14:paraId="15CC0419" w14:textId="77777777" w:rsidR="004C30AF" w:rsidRPr="00193354" w:rsidRDefault="004C30AF" w:rsidP="004C30AF">
      <w:pPr>
        <w:pStyle w:val="subsection"/>
      </w:pPr>
      <w:r w:rsidRPr="00193354">
        <w:tab/>
        <w:t>(6)</w:t>
      </w:r>
      <w:r w:rsidRPr="00193354">
        <w:tab/>
      </w:r>
      <w:r w:rsidR="00C07CDA" w:rsidRPr="00193354">
        <w:t>The addressee</w:t>
      </w:r>
      <w:r w:rsidRPr="00193354">
        <w:t xml:space="preserve"> must comply with the subpoena in accordance with its terms.</w:t>
      </w:r>
    </w:p>
    <w:p w14:paraId="4EC5E9EE" w14:textId="77777777" w:rsidR="004C30AF" w:rsidRPr="00193354" w:rsidRDefault="00107EC3" w:rsidP="004C30AF">
      <w:pPr>
        <w:pStyle w:val="ItemHead"/>
      </w:pPr>
      <w:r w:rsidRPr="00193354">
        <w:t>33</w:t>
      </w:r>
      <w:r w:rsidR="004C30AF" w:rsidRPr="00193354">
        <w:t xml:space="preserve">  After </w:t>
      </w:r>
      <w:r w:rsidR="00282B96" w:rsidRPr="00193354">
        <w:t>rule 2</w:t>
      </w:r>
      <w:r w:rsidR="004C30AF" w:rsidRPr="00193354">
        <w:t>8.48</w:t>
      </w:r>
    </w:p>
    <w:p w14:paraId="19AC27CE" w14:textId="77777777" w:rsidR="004C30AF" w:rsidRPr="00193354" w:rsidRDefault="004C30AF" w:rsidP="004C30AF">
      <w:pPr>
        <w:pStyle w:val="Item"/>
      </w:pPr>
      <w:r w:rsidRPr="00193354">
        <w:t>Insert:</w:t>
      </w:r>
    </w:p>
    <w:p w14:paraId="7C7FC33A" w14:textId="77777777" w:rsidR="004C30AF" w:rsidRPr="00193354" w:rsidRDefault="004C30AF" w:rsidP="004C30AF">
      <w:pPr>
        <w:pStyle w:val="ActHead5"/>
      </w:pPr>
      <w:bookmarkStart w:id="35" w:name="_Toc122448261"/>
      <w:r w:rsidRPr="00D478AB">
        <w:rPr>
          <w:rStyle w:val="CharSectno"/>
        </w:rPr>
        <w:t>28.48A</w:t>
      </w:r>
      <w:r w:rsidRPr="00193354">
        <w:t xml:space="preserve">  Enforcement of Investment Convention</w:t>
      </w:r>
      <w:bookmarkEnd w:id="35"/>
    </w:p>
    <w:p w14:paraId="4C718D84" w14:textId="77777777" w:rsidR="004C30AF" w:rsidRPr="00193354" w:rsidRDefault="004C30AF" w:rsidP="004C30AF">
      <w:pPr>
        <w:pStyle w:val="subsection"/>
      </w:pPr>
      <w:r w:rsidRPr="00193354">
        <w:tab/>
      </w:r>
      <w:r w:rsidRPr="00193354">
        <w:tab/>
        <w:t xml:space="preserve">An application under </w:t>
      </w:r>
      <w:r w:rsidR="00D376D2" w:rsidRPr="00193354">
        <w:t>section 3</w:t>
      </w:r>
      <w:r w:rsidRPr="00193354">
        <w:t>5(</w:t>
      </w:r>
      <w:r w:rsidR="00C07CDA" w:rsidRPr="00193354">
        <w:t>4</w:t>
      </w:r>
      <w:r w:rsidRPr="00193354">
        <w:t>) of the International Arbitration Act for leave to enforce an award to which Part IV of that Act applies must be accompanied by an affidavit stating:</w:t>
      </w:r>
    </w:p>
    <w:p w14:paraId="3B4EEE20" w14:textId="77777777" w:rsidR="004C30AF" w:rsidRPr="00193354" w:rsidRDefault="004C30AF" w:rsidP="004C30AF">
      <w:pPr>
        <w:pStyle w:val="paragraph"/>
      </w:pPr>
      <w:r w:rsidRPr="00193354">
        <w:tab/>
        <w:t>(a)</w:t>
      </w:r>
      <w:r w:rsidRPr="00193354">
        <w:tab/>
        <w:t>the extent to which the award has not been complied with, at the date the application is made; and</w:t>
      </w:r>
    </w:p>
    <w:p w14:paraId="5E120E0D" w14:textId="77777777" w:rsidR="004C30AF" w:rsidRPr="00193354" w:rsidRDefault="004C30AF" w:rsidP="004C30AF">
      <w:pPr>
        <w:pStyle w:val="paragraph"/>
      </w:pPr>
      <w:r w:rsidRPr="00193354">
        <w:tab/>
        <w:t>(b)</w:t>
      </w:r>
      <w:r w:rsidRPr="00193354">
        <w:tab/>
        <w:t>the usual or last</w:t>
      </w:r>
      <w:r w:rsidR="00193354">
        <w:noBreakHyphen/>
      </w:r>
      <w:r w:rsidRPr="00193354">
        <w:t>known place of residence or business of the person against whom it is sought to enforce the award or, if the person is a company, the last</w:t>
      </w:r>
      <w:r w:rsidR="00193354">
        <w:noBreakHyphen/>
      </w:r>
      <w:r w:rsidRPr="00193354">
        <w:t>known registered office of the company.</w:t>
      </w:r>
    </w:p>
    <w:p w14:paraId="75B1ED0C" w14:textId="77777777" w:rsidR="001D0E69" w:rsidRPr="00193354" w:rsidRDefault="00107EC3" w:rsidP="001D0E69">
      <w:pPr>
        <w:pStyle w:val="ItemHead"/>
      </w:pPr>
      <w:r w:rsidRPr="00193354">
        <w:lastRenderedPageBreak/>
        <w:t>34</w:t>
      </w:r>
      <w:r w:rsidR="001D0E69" w:rsidRPr="00193354">
        <w:t xml:space="preserve">  </w:t>
      </w:r>
      <w:r w:rsidR="00D376D2" w:rsidRPr="00193354">
        <w:t>Division 3</w:t>
      </w:r>
      <w:r w:rsidR="001D0E69" w:rsidRPr="00193354">
        <w:t>4.5A</w:t>
      </w:r>
    </w:p>
    <w:p w14:paraId="45DFEDE1" w14:textId="77777777" w:rsidR="001D0E69" w:rsidRPr="00193354" w:rsidRDefault="001D0E69" w:rsidP="001D0E69">
      <w:pPr>
        <w:pStyle w:val="Item"/>
      </w:pPr>
      <w:r w:rsidRPr="00193354">
        <w:t>Repeal the Division.</w:t>
      </w:r>
    </w:p>
    <w:p w14:paraId="3AB5A8C8" w14:textId="77777777" w:rsidR="00D3641A" w:rsidRPr="00193354" w:rsidRDefault="00107EC3" w:rsidP="00C07CDA">
      <w:pPr>
        <w:pStyle w:val="ItemHead"/>
      </w:pPr>
      <w:r w:rsidRPr="00193354">
        <w:t>35</w:t>
      </w:r>
      <w:r w:rsidR="00D3641A" w:rsidRPr="00193354">
        <w:t xml:space="preserve">  Sub</w:t>
      </w:r>
      <w:r w:rsidR="00282B96" w:rsidRPr="00193354">
        <w:t>rule 3</w:t>
      </w:r>
      <w:r w:rsidR="00D3641A" w:rsidRPr="00193354">
        <w:t>5.41(2)</w:t>
      </w:r>
    </w:p>
    <w:p w14:paraId="6618C48A" w14:textId="77777777" w:rsidR="00D3641A" w:rsidRPr="00193354" w:rsidRDefault="00D3641A" w:rsidP="00D3641A">
      <w:pPr>
        <w:pStyle w:val="Item"/>
      </w:pPr>
      <w:r w:rsidRPr="00193354">
        <w:t>Omit “Federal Circuit Court of Australia”, substitute “Federal Circuit and Family Court of Australia (</w:t>
      </w:r>
      <w:r w:rsidR="00DB5DF7" w:rsidRPr="00193354">
        <w:t>Division 2</w:t>
      </w:r>
      <w:r w:rsidRPr="00193354">
        <w:t>)”.</w:t>
      </w:r>
    </w:p>
    <w:p w14:paraId="5F38D1B3" w14:textId="77777777" w:rsidR="00D3641A" w:rsidRPr="00193354" w:rsidRDefault="00107EC3" w:rsidP="00D3641A">
      <w:pPr>
        <w:pStyle w:val="ItemHead"/>
      </w:pPr>
      <w:r w:rsidRPr="00193354">
        <w:t>36</w:t>
      </w:r>
      <w:r w:rsidR="00D3641A" w:rsidRPr="00193354">
        <w:t xml:space="preserve">  Paragraph 36.01(1)(a)</w:t>
      </w:r>
    </w:p>
    <w:p w14:paraId="21D1ABA0" w14:textId="77777777" w:rsidR="00D3641A" w:rsidRPr="00193354" w:rsidRDefault="00D3641A" w:rsidP="00D3641A">
      <w:pPr>
        <w:pStyle w:val="Item"/>
      </w:pPr>
      <w:r w:rsidRPr="00193354">
        <w:t>Omit “Federal Circuit Court of Australia”, substitute “Federal Circuit and Family Court of Australia (</w:t>
      </w:r>
      <w:r w:rsidR="00DB5DF7" w:rsidRPr="00193354">
        <w:t>Division 2</w:t>
      </w:r>
      <w:r w:rsidRPr="00193354">
        <w:t>)”.</w:t>
      </w:r>
    </w:p>
    <w:p w14:paraId="03B1ECAD" w14:textId="77777777" w:rsidR="00D3641A" w:rsidRPr="00193354" w:rsidRDefault="00107EC3" w:rsidP="00D3641A">
      <w:pPr>
        <w:pStyle w:val="ItemHead"/>
      </w:pPr>
      <w:r w:rsidRPr="00193354">
        <w:t>37</w:t>
      </w:r>
      <w:r w:rsidR="00D3641A" w:rsidRPr="00193354">
        <w:t xml:space="preserve">  Sub</w:t>
      </w:r>
      <w:r w:rsidR="00282B96" w:rsidRPr="00193354">
        <w:t>rule 3</w:t>
      </w:r>
      <w:r w:rsidR="00D3641A" w:rsidRPr="00193354">
        <w:t xml:space="preserve">6.01(4) (note 4, </w:t>
      </w:r>
      <w:r w:rsidR="00282B96" w:rsidRPr="00193354">
        <w:t>paragraph (</w:t>
      </w:r>
      <w:r w:rsidR="00D3641A" w:rsidRPr="00193354">
        <w:t>a))</w:t>
      </w:r>
    </w:p>
    <w:p w14:paraId="5BD14A44" w14:textId="77777777" w:rsidR="00D3641A" w:rsidRPr="00193354" w:rsidRDefault="00D3641A" w:rsidP="00D3641A">
      <w:pPr>
        <w:pStyle w:val="Item"/>
      </w:pPr>
      <w:r w:rsidRPr="00193354">
        <w:t>Omit “Federal Circuit Court of Australia”, substitute “Federal Circuit and Family Court of Australia (</w:t>
      </w:r>
      <w:r w:rsidR="00DB5DF7" w:rsidRPr="00193354">
        <w:t>Division 2</w:t>
      </w:r>
      <w:r w:rsidRPr="00193354">
        <w:t>)”.</w:t>
      </w:r>
    </w:p>
    <w:p w14:paraId="071AECFF" w14:textId="77777777" w:rsidR="00D3641A" w:rsidRPr="00193354" w:rsidRDefault="00107EC3" w:rsidP="00D3641A">
      <w:pPr>
        <w:pStyle w:val="ItemHead"/>
      </w:pPr>
      <w:r w:rsidRPr="00193354">
        <w:t>38</w:t>
      </w:r>
      <w:r w:rsidR="00D3641A" w:rsidRPr="00193354">
        <w:t xml:space="preserve">  Paragraph 36.02(c)</w:t>
      </w:r>
    </w:p>
    <w:p w14:paraId="2F02A165" w14:textId="77777777" w:rsidR="00D3641A" w:rsidRPr="00193354" w:rsidRDefault="00D3641A" w:rsidP="00D3641A">
      <w:pPr>
        <w:pStyle w:val="Item"/>
      </w:pPr>
      <w:r w:rsidRPr="00193354">
        <w:t>Omit “Federal Circuit Court of Australia”, substitute “Federal Circuit and Family Court of Australia (</w:t>
      </w:r>
      <w:r w:rsidR="00DB5DF7" w:rsidRPr="00193354">
        <w:t>Division 2</w:t>
      </w:r>
      <w:r w:rsidRPr="00193354">
        <w:t>)”.</w:t>
      </w:r>
    </w:p>
    <w:p w14:paraId="12F6605C" w14:textId="77777777" w:rsidR="00E463EB" w:rsidRPr="00193354" w:rsidRDefault="00107EC3" w:rsidP="00E463EB">
      <w:pPr>
        <w:pStyle w:val="ItemHead"/>
      </w:pPr>
      <w:r w:rsidRPr="00193354">
        <w:t>39</w:t>
      </w:r>
      <w:r w:rsidR="00E463EB" w:rsidRPr="00193354">
        <w:t xml:space="preserve">  </w:t>
      </w:r>
      <w:r w:rsidR="00E8025A" w:rsidRPr="00193354">
        <w:t xml:space="preserve">After </w:t>
      </w:r>
      <w:r w:rsidR="00282B96" w:rsidRPr="00193354">
        <w:t>paragraph 3</w:t>
      </w:r>
      <w:r w:rsidR="00E463EB" w:rsidRPr="00193354">
        <w:t>6.41(1)</w:t>
      </w:r>
      <w:r w:rsidR="00E8025A" w:rsidRPr="00193354">
        <w:t>(e)</w:t>
      </w:r>
    </w:p>
    <w:p w14:paraId="10DB5389" w14:textId="77777777" w:rsidR="00E463EB" w:rsidRPr="00193354" w:rsidRDefault="00E8025A" w:rsidP="00E463EB">
      <w:pPr>
        <w:pStyle w:val="Item"/>
      </w:pPr>
      <w:r w:rsidRPr="00193354">
        <w:t>Insert</w:t>
      </w:r>
      <w:r w:rsidR="00E463EB" w:rsidRPr="00193354">
        <w:t>:</w:t>
      </w:r>
    </w:p>
    <w:p w14:paraId="49206564" w14:textId="77777777" w:rsidR="00E463EB" w:rsidRPr="00193354" w:rsidRDefault="00E463EB" w:rsidP="00E463EB">
      <w:pPr>
        <w:pStyle w:val="paragraph"/>
      </w:pPr>
      <w:r w:rsidRPr="00193354">
        <w:tab/>
        <w:t>(</w:t>
      </w:r>
      <w:r w:rsidR="00E8025A" w:rsidRPr="00193354">
        <w:t>ea</w:t>
      </w:r>
      <w:r w:rsidRPr="00193354">
        <w:t>)</w:t>
      </w:r>
      <w:r w:rsidRPr="00193354">
        <w:tab/>
        <w:t>an application to make or vary an order for costs</w:t>
      </w:r>
      <w:r w:rsidR="00E8025A" w:rsidRPr="00193354">
        <w:t>;</w:t>
      </w:r>
    </w:p>
    <w:p w14:paraId="7ADE9720" w14:textId="77777777" w:rsidR="00E8025A" w:rsidRPr="00193354" w:rsidRDefault="00107EC3" w:rsidP="00E8025A">
      <w:pPr>
        <w:pStyle w:val="ItemHead"/>
      </w:pPr>
      <w:r w:rsidRPr="00193354">
        <w:t>40</w:t>
      </w:r>
      <w:r w:rsidR="00E8025A" w:rsidRPr="00193354">
        <w:t xml:space="preserve">  Sub</w:t>
      </w:r>
      <w:r w:rsidR="00282B96" w:rsidRPr="00193354">
        <w:t>rule 3</w:t>
      </w:r>
      <w:r w:rsidR="00E8025A" w:rsidRPr="00193354">
        <w:t>6.41(2)</w:t>
      </w:r>
    </w:p>
    <w:p w14:paraId="485892BF" w14:textId="77777777" w:rsidR="00E8025A" w:rsidRPr="00193354" w:rsidRDefault="00E8025A" w:rsidP="00E8025A">
      <w:pPr>
        <w:pStyle w:val="Item"/>
      </w:pPr>
      <w:r w:rsidRPr="00193354">
        <w:t>Omit “(e)”, substitute “(ea)”.</w:t>
      </w:r>
    </w:p>
    <w:p w14:paraId="0902876D" w14:textId="77777777" w:rsidR="00013160" w:rsidRPr="00193354" w:rsidRDefault="00107EC3" w:rsidP="00013160">
      <w:pPr>
        <w:pStyle w:val="ItemHead"/>
      </w:pPr>
      <w:r w:rsidRPr="00193354">
        <w:t>41</w:t>
      </w:r>
      <w:r w:rsidR="00013160" w:rsidRPr="00193354">
        <w:t xml:space="preserve">  </w:t>
      </w:r>
      <w:r w:rsidR="00DB5DF7" w:rsidRPr="00193354">
        <w:t>Rule 3</w:t>
      </w:r>
      <w:r w:rsidR="00013160" w:rsidRPr="00193354">
        <w:t>6.43</w:t>
      </w:r>
    </w:p>
    <w:p w14:paraId="41121280" w14:textId="77777777" w:rsidR="00013160" w:rsidRPr="00193354" w:rsidRDefault="00013160" w:rsidP="00013160">
      <w:pPr>
        <w:pStyle w:val="Item"/>
      </w:pPr>
      <w:r w:rsidRPr="00193354">
        <w:t>Omit “respondent”, substitute “party”.</w:t>
      </w:r>
    </w:p>
    <w:p w14:paraId="6D5C914A" w14:textId="77777777" w:rsidR="005871D2" w:rsidRPr="00193354" w:rsidRDefault="00107EC3" w:rsidP="00C5002C">
      <w:pPr>
        <w:pStyle w:val="ItemHead"/>
      </w:pPr>
      <w:r w:rsidRPr="00193354">
        <w:t>42</w:t>
      </w:r>
      <w:r w:rsidR="005871D2" w:rsidRPr="00193354">
        <w:t xml:space="preserve">  </w:t>
      </w:r>
      <w:r w:rsidR="00DB5DF7" w:rsidRPr="00193354">
        <w:t>Rule 3</w:t>
      </w:r>
      <w:r w:rsidR="005871D2" w:rsidRPr="00193354">
        <w:t>9.32</w:t>
      </w:r>
    </w:p>
    <w:p w14:paraId="133EA717" w14:textId="77777777" w:rsidR="00B6384A" w:rsidRPr="00193354" w:rsidRDefault="00B6384A" w:rsidP="00B6384A">
      <w:pPr>
        <w:pStyle w:val="Item"/>
      </w:pPr>
      <w:r w:rsidRPr="00193354">
        <w:t>Repeal the rule, substitute:</w:t>
      </w:r>
    </w:p>
    <w:p w14:paraId="659CE3B6" w14:textId="77777777" w:rsidR="00B6384A" w:rsidRPr="00193354" w:rsidRDefault="00B6384A" w:rsidP="00B6384A">
      <w:pPr>
        <w:pStyle w:val="ActHead5"/>
      </w:pPr>
      <w:bookmarkStart w:id="36" w:name="_Toc122448262"/>
      <w:r w:rsidRPr="00D478AB">
        <w:rPr>
          <w:rStyle w:val="CharSectno"/>
        </w:rPr>
        <w:t>39.32</w:t>
      </w:r>
      <w:r w:rsidRPr="00193354">
        <w:t xml:space="preserve">  Entry of an order</w:t>
      </w:r>
      <w:bookmarkEnd w:id="36"/>
    </w:p>
    <w:p w14:paraId="4ED8AC76" w14:textId="77777777" w:rsidR="00B6384A" w:rsidRPr="00193354" w:rsidRDefault="00B6384A" w:rsidP="00B6384A">
      <w:pPr>
        <w:pStyle w:val="subsection"/>
      </w:pPr>
      <w:r w:rsidRPr="00193354">
        <w:tab/>
        <w:t>(1)</w:t>
      </w:r>
      <w:r w:rsidRPr="00193354">
        <w:tab/>
        <w:t>An order may be entered by being authenticated in accordance with sub</w:t>
      </w:r>
      <w:r w:rsidR="00282B96" w:rsidRPr="00193354">
        <w:t>rule 3</w:t>
      </w:r>
      <w:r w:rsidRPr="00193354">
        <w:t>9.35(1).</w:t>
      </w:r>
    </w:p>
    <w:p w14:paraId="695D018F" w14:textId="77777777" w:rsidR="00B6384A" w:rsidRPr="00193354" w:rsidRDefault="00B6384A" w:rsidP="00B6384A">
      <w:pPr>
        <w:pStyle w:val="subsection"/>
      </w:pPr>
      <w:r w:rsidRPr="00193354">
        <w:tab/>
        <w:t>(2)</w:t>
      </w:r>
      <w:r w:rsidRPr="00193354">
        <w:tab/>
        <w:t>A Registrar may enter an order by authenticating the order in accordance with sub</w:t>
      </w:r>
      <w:r w:rsidR="00282B96" w:rsidRPr="00193354">
        <w:t>rule 3</w:t>
      </w:r>
      <w:r w:rsidRPr="00193354">
        <w:t>9.35(1) if:</w:t>
      </w:r>
    </w:p>
    <w:p w14:paraId="3011AADC" w14:textId="77777777" w:rsidR="00B6384A" w:rsidRPr="00193354" w:rsidRDefault="00B6384A" w:rsidP="00B6384A">
      <w:pPr>
        <w:pStyle w:val="paragraph"/>
      </w:pPr>
      <w:r w:rsidRPr="00193354">
        <w:tab/>
        <w:t>(a)</w:t>
      </w:r>
      <w:r w:rsidRPr="00193354">
        <w:tab/>
        <w:t xml:space="preserve">the order has been settled in accordance with </w:t>
      </w:r>
      <w:r w:rsidR="00282B96" w:rsidRPr="00193354">
        <w:t>rule 3</w:t>
      </w:r>
      <w:r w:rsidRPr="00193354">
        <w:t>9.33; and</w:t>
      </w:r>
    </w:p>
    <w:p w14:paraId="30D48095" w14:textId="77777777" w:rsidR="00B6384A" w:rsidRPr="00193354" w:rsidRDefault="00B6384A" w:rsidP="00B6384A">
      <w:pPr>
        <w:pStyle w:val="paragraph"/>
      </w:pPr>
      <w:r w:rsidRPr="00193354">
        <w:tab/>
        <w:t>(b)</w:t>
      </w:r>
      <w:r w:rsidRPr="00193354">
        <w:tab/>
        <w:t>the Court directs, or a party requests, that the order be entered.</w:t>
      </w:r>
    </w:p>
    <w:p w14:paraId="6355929E" w14:textId="77777777" w:rsidR="00C5002C" w:rsidRPr="00193354" w:rsidRDefault="00C5002C" w:rsidP="00C5002C">
      <w:pPr>
        <w:pStyle w:val="subsection"/>
      </w:pPr>
      <w:r w:rsidRPr="00193354">
        <w:tab/>
        <w:t>(3)</w:t>
      </w:r>
      <w:r w:rsidRPr="00193354">
        <w:tab/>
        <w:t>An order that has been authenticated in accordance with sub</w:t>
      </w:r>
      <w:r w:rsidR="00282B96" w:rsidRPr="00193354">
        <w:t>rule 3</w:t>
      </w:r>
      <w:r w:rsidRPr="00193354">
        <w:t>9.35(1) is taken to be entered on the 14th day after the day it was authenticated, unless the Court otherwise directs.</w:t>
      </w:r>
    </w:p>
    <w:p w14:paraId="64E6A3F8" w14:textId="77777777" w:rsidR="00847291" w:rsidRPr="00193354" w:rsidRDefault="00107EC3" w:rsidP="00847291">
      <w:pPr>
        <w:pStyle w:val="ItemHead"/>
      </w:pPr>
      <w:r w:rsidRPr="00193354">
        <w:t>43</w:t>
      </w:r>
      <w:r w:rsidR="00847291" w:rsidRPr="00193354">
        <w:t xml:space="preserve">  Paragraph 40.43(1)(a)</w:t>
      </w:r>
    </w:p>
    <w:p w14:paraId="7F2D427F" w14:textId="77777777" w:rsidR="00847291" w:rsidRPr="00193354" w:rsidRDefault="00847291" w:rsidP="00847291">
      <w:pPr>
        <w:pStyle w:val="Item"/>
      </w:pPr>
      <w:r w:rsidRPr="00193354">
        <w:t>Omit “Federal Circuit Court”, substitute “Federal Circuit and Family Court of Australia (</w:t>
      </w:r>
      <w:r w:rsidR="00DB5DF7" w:rsidRPr="00193354">
        <w:t>Division 2</w:t>
      </w:r>
      <w:r w:rsidRPr="00193354">
        <w:t>)”.</w:t>
      </w:r>
    </w:p>
    <w:p w14:paraId="065D0770" w14:textId="77777777" w:rsidR="00C5002C" w:rsidRPr="00193354" w:rsidRDefault="00107EC3" w:rsidP="00C5002C">
      <w:pPr>
        <w:pStyle w:val="ItemHead"/>
      </w:pPr>
      <w:r w:rsidRPr="00193354">
        <w:lastRenderedPageBreak/>
        <w:t>44</w:t>
      </w:r>
      <w:r w:rsidR="00C5002C" w:rsidRPr="00193354">
        <w:t xml:space="preserve">  Sub</w:t>
      </w:r>
      <w:r w:rsidR="00282B96" w:rsidRPr="00193354">
        <w:t>rule 4</w:t>
      </w:r>
      <w:r w:rsidR="00C5002C" w:rsidRPr="00193354">
        <w:t>1.05(1)</w:t>
      </w:r>
    </w:p>
    <w:p w14:paraId="39F30C8F" w14:textId="77777777" w:rsidR="00C5002C" w:rsidRPr="00193354" w:rsidRDefault="00C5002C" w:rsidP="00C5002C">
      <w:pPr>
        <w:pStyle w:val="Item"/>
      </w:pPr>
      <w:r w:rsidRPr="00193354">
        <w:t>Repeal the subrule, substitute:</w:t>
      </w:r>
    </w:p>
    <w:p w14:paraId="3C359E9E" w14:textId="77777777" w:rsidR="0036567D" w:rsidRPr="00193354" w:rsidRDefault="00C5002C" w:rsidP="00C5002C">
      <w:pPr>
        <w:pStyle w:val="subsection"/>
      </w:pPr>
      <w:r w:rsidRPr="00193354">
        <w:tab/>
        <w:t>(1)</w:t>
      </w:r>
      <w:r w:rsidRPr="00193354">
        <w:tab/>
        <w:t>This rule applies if</w:t>
      </w:r>
      <w:r w:rsidR="0036567D" w:rsidRPr="00193354">
        <w:t>:</w:t>
      </w:r>
    </w:p>
    <w:p w14:paraId="7012F6FA" w14:textId="77777777" w:rsidR="00C5002C" w:rsidRPr="00193354" w:rsidRDefault="0036567D" w:rsidP="0036567D">
      <w:pPr>
        <w:pStyle w:val="paragraph"/>
      </w:pPr>
      <w:r w:rsidRPr="00193354">
        <w:tab/>
        <w:t>(a)</w:t>
      </w:r>
      <w:r w:rsidRPr="00193354">
        <w:tab/>
      </w:r>
      <w:r w:rsidR="00C5002C" w:rsidRPr="00193354">
        <w:t>the Court has issued a subpoena or made an order that a person attend Court:</w:t>
      </w:r>
    </w:p>
    <w:p w14:paraId="2299BE06" w14:textId="77777777" w:rsidR="00C5002C" w:rsidRPr="00193354" w:rsidRDefault="00C5002C" w:rsidP="0036567D">
      <w:pPr>
        <w:pStyle w:val="paragraphsub"/>
      </w:pPr>
      <w:r w:rsidRPr="00193354">
        <w:tab/>
        <w:t>(</w:t>
      </w:r>
      <w:r w:rsidR="0036567D" w:rsidRPr="00193354">
        <w:t>i</w:t>
      </w:r>
      <w:r w:rsidRPr="00193354">
        <w:t>)</w:t>
      </w:r>
      <w:r w:rsidRPr="00193354">
        <w:tab/>
        <w:t>to give evidence; or</w:t>
      </w:r>
    </w:p>
    <w:p w14:paraId="7F1BA08D" w14:textId="77777777" w:rsidR="00C5002C" w:rsidRPr="00193354" w:rsidRDefault="00C5002C" w:rsidP="0036567D">
      <w:pPr>
        <w:pStyle w:val="paragraphsub"/>
      </w:pPr>
      <w:r w:rsidRPr="00193354">
        <w:tab/>
        <w:t>(</w:t>
      </w:r>
      <w:r w:rsidR="0036567D" w:rsidRPr="00193354">
        <w:t>ii</w:t>
      </w:r>
      <w:r w:rsidRPr="00193354">
        <w:t>)</w:t>
      </w:r>
      <w:r w:rsidRPr="00193354">
        <w:tab/>
        <w:t>to produce any document or thing; or</w:t>
      </w:r>
    </w:p>
    <w:p w14:paraId="61EB4026" w14:textId="77777777" w:rsidR="00C5002C" w:rsidRPr="00193354" w:rsidRDefault="00C5002C" w:rsidP="0036567D">
      <w:pPr>
        <w:pStyle w:val="paragraphsub"/>
      </w:pPr>
      <w:r w:rsidRPr="00193354">
        <w:tab/>
        <w:t>(</w:t>
      </w:r>
      <w:r w:rsidR="0036567D" w:rsidRPr="00193354">
        <w:t>iii</w:t>
      </w:r>
      <w:r w:rsidRPr="00193354">
        <w:t>)</w:t>
      </w:r>
      <w:r w:rsidRPr="00193354">
        <w:tab/>
        <w:t>to answer a charge of contempt; or</w:t>
      </w:r>
    </w:p>
    <w:p w14:paraId="1908E69F" w14:textId="77777777" w:rsidR="00C5002C" w:rsidRPr="00193354" w:rsidRDefault="00C5002C" w:rsidP="0036567D">
      <w:pPr>
        <w:pStyle w:val="paragraphsub"/>
      </w:pPr>
      <w:r w:rsidRPr="00193354">
        <w:tab/>
        <w:t>(</w:t>
      </w:r>
      <w:r w:rsidR="0036567D" w:rsidRPr="00193354">
        <w:t>iv</w:t>
      </w:r>
      <w:r w:rsidRPr="00193354">
        <w:t>)</w:t>
      </w:r>
      <w:r w:rsidRPr="00193354">
        <w:tab/>
        <w:t>for any other reason;</w:t>
      </w:r>
      <w:r w:rsidR="0036567D" w:rsidRPr="00193354">
        <w:t xml:space="preserve"> and</w:t>
      </w:r>
    </w:p>
    <w:p w14:paraId="05841C0F" w14:textId="77777777" w:rsidR="00C5002C" w:rsidRPr="00193354" w:rsidRDefault="00E151BF" w:rsidP="00E151BF">
      <w:pPr>
        <w:pStyle w:val="paragraph"/>
      </w:pPr>
      <w:r w:rsidRPr="00193354">
        <w:tab/>
      </w:r>
      <w:r w:rsidR="0036567D" w:rsidRPr="00193354">
        <w:t>(b)</w:t>
      </w:r>
      <w:r w:rsidR="0036567D" w:rsidRPr="00193354">
        <w:tab/>
      </w:r>
      <w:r w:rsidR="00C5002C" w:rsidRPr="00193354">
        <w:t>the person fails to attend.</w:t>
      </w:r>
    </w:p>
    <w:p w14:paraId="38352B10" w14:textId="77777777" w:rsidR="00C5002C" w:rsidRPr="00193354" w:rsidRDefault="00C5002C" w:rsidP="00C5002C">
      <w:pPr>
        <w:pStyle w:val="subsection"/>
      </w:pPr>
      <w:r w:rsidRPr="00193354">
        <w:tab/>
        <w:t>(1A)</w:t>
      </w:r>
      <w:r w:rsidRPr="00193354">
        <w:tab/>
        <w:t>A party may apply to the Court for the issue of a warrant, in accordance with Form 90:</w:t>
      </w:r>
    </w:p>
    <w:p w14:paraId="6AC1E6D1" w14:textId="77777777" w:rsidR="00C5002C" w:rsidRPr="00193354" w:rsidRDefault="00C5002C" w:rsidP="00C5002C">
      <w:pPr>
        <w:pStyle w:val="paragraph"/>
      </w:pPr>
      <w:r w:rsidRPr="00193354">
        <w:tab/>
        <w:t>(a)</w:t>
      </w:r>
      <w:r w:rsidRPr="00193354">
        <w:tab/>
        <w:t>for the person’s arrest and detention in custody until the person is brought before the Court; and</w:t>
      </w:r>
    </w:p>
    <w:p w14:paraId="2BC0D03F" w14:textId="77777777" w:rsidR="00C5002C" w:rsidRPr="00193354" w:rsidRDefault="00C5002C" w:rsidP="00C5002C">
      <w:pPr>
        <w:pStyle w:val="paragraph"/>
      </w:pPr>
      <w:r w:rsidRPr="00193354">
        <w:tab/>
        <w:t>(b)</w:t>
      </w:r>
      <w:r w:rsidRPr="00193354">
        <w:tab/>
        <w:t>for the production of the person before the Court.</w:t>
      </w:r>
    </w:p>
    <w:p w14:paraId="1F01BF14" w14:textId="77777777" w:rsidR="00C5002C" w:rsidRPr="00193354" w:rsidRDefault="00C5002C" w:rsidP="00C5002C">
      <w:pPr>
        <w:pStyle w:val="subsection"/>
      </w:pPr>
      <w:r w:rsidRPr="00193354">
        <w:tab/>
        <w:t>(1B)</w:t>
      </w:r>
      <w:r w:rsidRPr="00193354">
        <w:tab/>
        <w:t xml:space="preserve">The warrant </w:t>
      </w:r>
      <w:r w:rsidR="00C85399" w:rsidRPr="00193354">
        <w:t>may be issued</w:t>
      </w:r>
      <w:r w:rsidRPr="00193354">
        <w:t xml:space="preserve"> to </w:t>
      </w:r>
      <w:r w:rsidR="00C85399" w:rsidRPr="00193354">
        <w:t xml:space="preserve">one of </w:t>
      </w:r>
      <w:r w:rsidRPr="00193354">
        <w:t>the following persons:</w:t>
      </w:r>
    </w:p>
    <w:p w14:paraId="210C32F7" w14:textId="77777777" w:rsidR="00C5002C" w:rsidRPr="00193354" w:rsidRDefault="00C5002C" w:rsidP="00C5002C">
      <w:pPr>
        <w:pStyle w:val="paragraph"/>
      </w:pPr>
      <w:r w:rsidRPr="00193354">
        <w:tab/>
        <w:t>(a)</w:t>
      </w:r>
      <w:r w:rsidRPr="00193354">
        <w:tab/>
        <w:t>the Sheriff of the Court;</w:t>
      </w:r>
    </w:p>
    <w:p w14:paraId="6C0BF941" w14:textId="77777777" w:rsidR="00C5002C" w:rsidRPr="00193354" w:rsidRDefault="00C5002C" w:rsidP="00C5002C">
      <w:pPr>
        <w:pStyle w:val="paragraph"/>
      </w:pPr>
      <w:r w:rsidRPr="00193354">
        <w:tab/>
        <w:t>(b)</w:t>
      </w:r>
      <w:r w:rsidRPr="00193354">
        <w:tab/>
        <w:t>a Deputy Sheriff of the Court;</w:t>
      </w:r>
    </w:p>
    <w:p w14:paraId="2266366A" w14:textId="77777777" w:rsidR="00C5002C" w:rsidRPr="00193354" w:rsidRDefault="00C5002C" w:rsidP="00C5002C">
      <w:pPr>
        <w:pStyle w:val="paragraph"/>
      </w:pPr>
      <w:r w:rsidRPr="00193354">
        <w:tab/>
        <w:t>(c)</w:t>
      </w:r>
      <w:r w:rsidRPr="00193354">
        <w:tab/>
        <w:t>the Sheriff of a court of a State or Territory;</w:t>
      </w:r>
    </w:p>
    <w:p w14:paraId="46424777" w14:textId="77777777" w:rsidR="00C5002C" w:rsidRPr="00193354" w:rsidRDefault="00C5002C" w:rsidP="00C5002C">
      <w:pPr>
        <w:pStyle w:val="paragraph"/>
      </w:pPr>
      <w:r w:rsidRPr="00193354">
        <w:tab/>
        <w:t>(d)</w:t>
      </w:r>
      <w:r w:rsidRPr="00193354">
        <w:tab/>
        <w:t>a Deputy Sheriff of a court of a State or Territory;</w:t>
      </w:r>
    </w:p>
    <w:p w14:paraId="77BC7A97" w14:textId="77777777" w:rsidR="00C5002C" w:rsidRPr="00193354" w:rsidRDefault="00C5002C" w:rsidP="00C5002C">
      <w:pPr>
        <w:pStyle w:val="paragraph"/>
      </w:pPr>
      <w:r w:rsidRPr="00193354">
        <w:tab/>
        <w:t>(e)</w:t>
      </w:r>
      <w:r w:rsidRPr="00193354">
        <w:tab/>
        <w:t>a police officer.</w:t>
      </w:r>
    </w:p>
    <w:p w14:paraId="14B7F54F" w14:textId="77777777" w:rsidR="00C5002C" w:rsidRPr="00193354" w:rsidRDefault="00107EC3" w:rsidP="00C5002C">
      <w:pPr>
        <w:pStyle w:val="ItemHead"/>
      </w:pPr>
      <w:r w:rsidRPr="00193354">
        <w:t>45</w:t>
      </w:r>
      <w:r w:rsidR="00C5002C" w:rsidRPr="00193354">
        <w:t xml:space="preserve">  Sub</w:t>
      </w:r>
      <w:r w:rsidR="00282B96" w:rsidRPr="00193354">
        <w:t>rule 4</w:t>
      </w:r>
      <w:r w:rsidR="00C5002C" w:rsidRPr="00193354">
        <w:t>1.05(2)</w:t>
      </w:r>
    </w:p>
    <w:p w14:paraId="704A9450" w14:textId="77777777" w:rsidR="00C5002C" w:rsidRPr="00193354" w:rsidRDefault="00C5002C" w:rsidP="00C5002C">
      <w:pPr>
        <w:pStyle w:val="Item"/>
      </w:pPr>
      <w:r w:rsidRPr="00193354">
        <w:t>Omit “Subrule (1)”, substitute “This rule”.</w:t>
      </w:r>
    </w:p>
    <w:p w14:paraId="7828BF3D" w14:textId="77777777" w:rsidR="005871D2" w:rsidRPr="00193354" w:rsidRDefault="00107EC3" w:rsidP="005871D2">
      <w:pPr>
        <w:pStyle w:val="ItemHead"/>
      </w:pPr>
      <w:r w:rsidRPr="00193354">
        <w:t>46</w:t>
      </w:r>
      <w:r w:rsidR="005871D2" w:rsidRPr="00193354">
        <w:t xml:space="preserve">  Sub</w:t>
      </w:r>
      <w:r w:rsidR="00282B96" w:rsidRPr="00193354">
        <w:t>rule 4</w:t>
      </w:r>
      <w:r w:rsidR="005871D2" w:rsidRPr="00193354">
        <w:t>1.05(2)</w:t>
      </w:r>
    </w:p>
    <w:p w14:paraId="4E3D82DE" w14:textId="77777777" w:rsidR="005871D2" w:rsidRPr="00193354" w:rsidRDefault="005871D2" w:rsidP="005871D2">
      <w:pPr>
        <w:pStyle w:val="Item"/>
      </w:pPr>
      <w:r w:rsidRPr="00193354">
        <w:t>Omit “court”, substitute “Court”.</w:t>
      </w:r>
    </w:p>
    <w:p w14:paraId="28D2544B" w14:textId="77777777" w:rsidR="00C5002C" w:rsidRPr="00193354" w:rsidRDefault="00107EC3" w:rsidP="00C5002C">
      <w:pPr>
        <w:pStyle w:val="ItemHead"/>
      </w:pPr>
      <w:r w:rsidRPr="00193354">
        <w:t>47</w:t>
      </w:r>
      <w:r w:rsidR="00C5002C" w:rsidRPr="00193354">
        <w:t xml:space="preserve">  Rule 42.01</w:t>
      </w:r>
    </w:p>
    <w:p w14:paraId="27F88C53" w14:textId="77777777" w:rsidR="00C5002C" w:rsidRPr="00193354" w:rsidRDefault="00C5002C" w:rsidP="00C5002C">
      <w:pPr>
        <w:pStyle w:val="Item"/>
      </w:pPr>
      <w:r w:rsidRPr="00193354">
        <w:t>Repeal the rule, substitute:</w:t>
      </w:r>
    </w:p>
    <w:p w14:paraId="052C2625" w14:textId="77777777" w:rsidR="00C5002C" w:rsidRPr="00193354" w:rsidRDefault="00C5002C" w:rsidP="00C5002C">
      <w:pPr>
        <w:pStyle w:val="ActHead5"/>
      </w:pPr>
      <w:bookmarkStart w:id="37" w:name="_Toc122448263"/>
      <w:r w:rsidRPr="00D478AB">
        <w:rPr>
          <w:rStyle w:val="CharSectno"/>
        </w:rPr>
        <w:t>42.01</w:t>
      </w:r>
      <w:r w:rsidRPr="00193354">
        <w:t xml:space="preserve">  Arrest for contempt</w:t>
      </w:r>
      <w:bookmarkEnd w:id="37"/>
    </w:p>
    <w:p w14:paraId="09C012B1" w14:textId="77777777" w:rsidR="00C5002C" w:rsidRPr="00193354" w:rsidRDefault="00C5002C" w:rsidP="00C5002C">
      <w:pPr>
        <w:pStyle w:val="subsection"/>
      </w:pPr>
      <w:r w:rsidRPr="00193354">
        <w:tab/>
        <w:t>(1)</w:t>
      </w:r>
      <w:r w:rsidRPr="00193354">
        <w:tab/>
        <w:t>If a party alleges that a person is guilty of contempt of court, committed in the face of the Court or in the hearing of the Court, the party may apply to the Court for:</w:t>
      </w:r>
    </w:p>
    <w:p w14:paraId="2899BB16" w14:textId="77777777" w:rsidR="00C5002C" w:rsidRPr="00193354" w:rsidRDefault="00C5002C" w:rsidP="00C5002C">
      <w:pPr>
        <w:pStyle w:val="paragraph"/>
      </w:pPr>
      <w:r w:rsidRPr="00193354">
        <w:tab/>
        <w:t>(a)</w:t>
      </w:r>
      <w:r w:rsidRPr="00193354">
        <w:tab/>
        <w:t>an order directing the person be brought before the Court; or</w:t>
      </w:r>
    </w:p>
    <w:p w14:paraId="2CAB09F8" w14:textId="77777777" w:rsidR="00C85399" w:rsidRPr="00193354" w:rsidRDefault="00C5002C" w:rsidP="00C5002C">
      <w:pPr>
        <w:pStyle w:val="paragraph"/>
      </w:pPr>
      <w:r w:rsidRPr="00193354">
        <w:tab/>
        <w:t>(b)</w:t>
      </w:r>
      <w:r w:rsidRPr="00193354">
        <w:tab/>
        <w:t>the issue of a warrant, in accordance with Form 90</w:t>
      </w:r>
      <w:r w:rsidR="00C85399" w:rsidRPr="00193354">
        <w:t>:</w:t>
      </w:r>
    </w:p>
    <w:p w14:paraId="38AA33CE" w14:textId="77777777" w:rsidR="00C5002C" w:rsidRPr="00193354" w:rsidRDefault="00C85399" w:rsidP="00C85399">
      <w:pPr>
        <w:pStyle w:val="paragraphsub"/>
      </w:pPr>
      <w:r w:rsidRPr="00193354">
        <w:tab/>
        <w:t>(i)</w:t>
      </w:r>
      <w:r w:rsidRPr="00193354">
        <w:tab/>
      </w:r>
      <w:r w:rsidR="00C5002C" w:rsidRPr="00193354">
        <w:t>for the person’s arrest and detention in custody until the person is brought before the Court</w:t>
      </w:r>
      <w:r w:rsidRPr="00193354">
        <w:t>; and</w:t>
      </w:r>
    </w:p>
    <w:p w14:paraId="74922EF7" w14:textId="77777777" w:rsidR="00C85399" w:rsidRPr="00193354" w:rsidRDefault="00C85399" w:rsidP="00C85399">
      <w:pPr>
        <w:pStyle w:val="paragraphsub"/>
      </w:pPr>
      <w:r w:rsidRPr="00193354">
        <w:tab/>
        <w:t>(ii)</w:t>
      </w:r>
      <w:r w:rsidRPr="00193354">
        <w:tab/>
        <w:t>for the production of the person before the Court.</w:t>
      </w:r>
    </w:p>
    <w:p w14:paraId="27209E5C" w14:textId="77777777" w:rsidR="00C5002C" w:rsidRPr="00193354" w:rsidRDefault="00C5002C" w:rsidP="00C5002C">
      <w:pPr>
        <w:pStyle w:val="subsection"/>
      </w:pPr>
      <w:r w:rsidRPr="00193354">
        <w:tab/>
        <w:t>(2)</w:t>
      </w:r>
      <w:r w:rsidRPr="00193354">
        <w:tab/>
        <w:t xml:space="preserve">The warrant </w:t>
      </w:r>
      <w:r w:rsidR="00C85399" w:rsidRPr="00193354">
        <w:t>may</w:t>
      </w:r>
      <w:r w:rsidRPr="00193354">
        <w:t xml:space="preserve"> be issued to </w:t>
      </w:r>
      <w:r w:rsidR="00C85399" w:rsidRPr="00193354">
        <w:t xml:space="preserve">one of </w:t>
      </w:r>
      <w:r w:rsidRPr="00193354">
        <w:t>the following persons:</w:t>
      </w:r>
    </w:p>
    <w:p w14:paraId="2968072A" w14:textId="77777777" w:rsidR="00C5002C" w:rsidRPr="00193354" w:rsidRDefault="00C5002C" w:rsidP="00C5002C">
      <w:pPr>
        <w:pStyle w:val="paragraph"/>
      </w:pPr>
      <w:r w:rsidRPr="00193354">
        <w:tab/>
        <w:t>(a)</w:t>
      </w:r>
      <w:r w:rsidRPr="00193354">
        <w:tab/>
        <w:t>the Sheriff of the Court;</w:t>
      </w:r>
    </w:p>
    <w:p w14:paraId="16E7A4A3" w14:textId="77777777" w:rsidR="00C5002C" w:rsidRPr="00193354" w:rsidRDefault="00C5002C" w:rsidP="00C5002C">
      <w:pPr>
        <w:pStyle w:val="paragraph"/>
      </w:pPr>
      <w:r w:rsidRPr="00193354">
        <w:tab/>
        <w:t>(b)</w:t>
      </w:r>
      <w:r w:rsidRPr="00193354">
        <w:tab/>
        <w:t>a Deputy Sheriff of the Court;</w:t>
      </w:r>
    </w:p>
    <w:p w14:paraId="4FA3B48A" w14:textId="77777777" w:rsidR="00C5002C" w:rsidRPr="00193354" w:rsidRDefault="00C5002C" w:rsidP="00C5002C">
      <w:pPr>
        <w:pStyle w:val="paragraph"/>
      </w:pPr>
      <w:r w:rsidRPr="00193354">
        <w:tab/>
        <w:t>(c)</w:t>
      </w:r>
      <w:r w:rsidRPr="00193354">
        <w:tab/>
        <w:t>the Sheriff of a court of a State or Territory;</w:t>
      </w:r>
    </w:p>
    <w:p w14:paraId="5651FC3B" w14:textId="77777777" w:rsidR="00C5002C" w:rsidRPr="00193354" w:rsidRDefault="00C5002C" w:rsidP="00C5002C">
      <w:pPr>
        <w:pStyle w:val="paragraph"/>
      </w:pPr>
      <w:r w:rsidRPr="00193354">
        <w:tab/>
        <w:t>(d)</w:t>
      </w:r>
      <w:r w:rsidRPr="00193354">
        <w:tab/>
        <w:t>a Deputy Sheriff of a court of a State or Territory;</w:t>
      </w:r>
    </w:p>
    <w:p w14:paraId="22464511" w14:textId="77777777" w:rsidR="00C5002C" w:rsidRPr="00193354" w:rsidRDefault="00C5002C" w:rsidP="00C5002C">
      <w:pPr>
        <w:pStyle w:val="paragraph"/>
      </w:pPr>
      <w:r w:rsidRPr="00193354">
        <w:lastRenderedPageBreak/>
        <w:tab/>
        <w:t>(e)</w:t>
      </w:r>
      <w:r w:rsidRPr="00193354">
        <w:tab/>
        <w:t>a police officer.</w:t>
      </w:r>
    </w:p>
    <w:p w14:paraId="7CD46AA6" w14:textId="77777777" w:rsidR="00FC047A" w:rsidRPr="00193354" w:rsidRDefault="00107EC3" w:rsidP="00FC047A">
      <w:pPr>
        <w:pStyle w:val="ItemHead"/>
      </w:pPr>
      <w:r w:rsidRPr="00193354">
        <w:t>48</w:t>
      </w:r>
      <w:r w:rsidR="00FC047A" w:rsidRPr="00193354">
        <w:t xml:space="preserve">  Sub</w:t>
      </w:r>
      <w:r w:rsidR="00282B96" w:rsidRPr="00193354">
        <w:t>rule 4</w:t>
      </w:r>
      <w:r w:rsidR="00FC047A" w:rsidRPr="00193354">
        <w:t>2.14(1)</w:t>
      </w:r>
    </w:p>
    <w:p w14:paraId="7C0C5B76" w14:textId="77777777" w:rsidR="00FC047A" w:rsidRPr="00193354" w:rsidRDefault="00FC047A" w:rsidP="00FC047A">
      <w:pPr>
        <w:pStyle w:val="Item"/>
      </w:pPr>
      <w:r w:rsidRPr="00193354">
        <w:t>Repeal the subrule, substitute:</w:t>
      </w:r>
    </w:p>
    <w:p w14:paraId="011DB322" w14:textId="77777777" w:rsidR="00FC047A" w:rsidRPr="00193354" w:rsidRDefault="00FC047A" w:rsidP="00FC047A">
      <w:pPr>
        <w:pStyle w:val="subsection"/>
      </w:pPr>
      <w:r w:rsidRPr="00193354">
        <w:tab/>
        <w:t>(1)</w:t>
      </w:r>
      <w:r w:rsidRPr="00193354">
        <w:tab/>
        <w:t>If an application for punishment of a contempt has been filed, or a proceeding has been started for punishment of a contempt, a party making the charge may apply to the Court for:</w:t>
      </w:r>
    </w:p>
    <w:p w14:paraId="6B6DDD2A" w14:textId="77777777" w:rsidR="00FC047A" w:rsidRPr="00193354" w:rsidRDefault="00FC047A" w:rsidP="00FC047A">
      <w:pPr>
        <w:pStyle w:val="paragraph"/>
      </w:pPr>
      <w:r w:rsidRPr="00193354">
        <w:tab/>
        <w:t>(a)</w:t>
      </w:r>
      <w:r w:rsidRPr="00193354">
        <w:tab/>
        <w:t>an order that the person charged give security for the person’s appearance to answer the charge; or</w:t>
      </w:r>
    </w:p>
    <w:p w14:paraId="70CA8ED7" w14:textId="77777777" w:rsidR="00FC047A" w:rsidRPr="00193354" w:rsidRDefault="00FC047A" w:rsidP="006B1822">
      <w:pPr>
        <w:pStyle w:val="paragraph"/>
      </w:pPr>
      <w:r w:rsidRPr="00193354">
        <w:tab/>
        <w:t>(b)</w:t>
      </w:r>
      <w:r w:rsidRPr="00193354">
        <w:tab/>
        <w:t>the issue of a warrant, in accordance with Form 90:</w:t>
      </w:r>
    </w:p>
    <w:p w14:paraId="25D6B9C8" w14:textId="77777777" w:rsidR="00FC047A" w:rsidRPr="00193354" w:rsidRDefault="00FC047A" w:rsidP="00FC047A">
      <w:pPr>
        <w:pStyle w:val="paragraphsub"/>
      </w:pPr>
      <w:r w:rsidRPr="00193354">
        <w:tab/>
        <w:t>(i)</w:t>
      </w:r>
      <w:r w:rsidRPr="00193354">
        <w:tab/>
        <w:t>for the person’s arrest and detention in custody until the person is brought before the Court; and</w:t>
      </w:r>
    </w:p>
    <w:p w14:paraId="39A1E1E2" w14:textId="77777777" w:rsidR="00FC047A" w:rsidRPr="00193354" w:rsidRDefault="00FC047A" w:rsidP="00FC047A">
      <w:pPr>
        <w:pStyle w:val="paragraphsub"/>
      </w:pPr>
      <w:r w:rsidRPr="00193354">
        <w:tab/>
        <w:t>(ii)</w:t>
      </w:r>
      <w:r w:rsidRPr="00193354">
        <w:tab/>
        <w:t>for the production of the person before the Court.</w:t>
      </w:r>
    </w:p>
    <w:p w14:paraId="126365BC" w14:textId="77777777" w:rsidR="00C5002C" w:rsidRPr="00193354" w:rsidRDefault="00107EC3" w:rsidP="00C5002C">
      <w:pPr>
        <w:pStyle w:val="ItemHead"/>
      </w:pPr>
      <w:r w:rsidRPr="00193354">
        <w:t>49</w:t>
      </w:r>
      <w:r w:rsidR="00C5002C" w:rsidRPr="00193354">
        <w:t xml:space="preserve">  At the end of </w:t>
      </w:r>
      <w:r w:rsidR="00282B96" w:rsidRPr="00193354">
        <w:t>rule 4</w:t>
      </w:r>
      <w:r w:rsidR="00C5002C" w:rsidRPr="00193354">
        <w:t>2.14</w:t>
      </w:r>
    </w:p>
    <w:p w14:paraId="0A428D7B" w14:textId="77777777" w:rsidR="00C5002C" w:rsidRPr="00193354" w:rsidRDefault="00C5002C" w:rsidP="00C5002C">
      <w:pPr>
        <w:pStyle w:val="Item"/>
      </w:pPr>
      <w:r w:rsidRPr="00193354">
        <w:t>Add:</w:t>
      </w:r>
    </w:p>
    <w:p w14:paraId="363A534B" w14:textId="77777777" w:rsidR="00C5002C" w:rsidRPr="00193354" w:rsidRDefault="00C5002C" w:rsidP="00C5002C">
      <w:pPr>
        <w:pStyle w:val="subsection"/>
      </w:pPr>
      <w:r w:rsidRPr="00193354">
        <w:tab/>
        <w:t>(4)</w:t>
      </w:r>
      <w:r w:rsidRPr="00193354">
        <w:tab/>
        <w:t xml:space="preserve">A warrant referred to in this </w:t>
      </w:r>
      <w:r w:rsidR="003F1F65" w:rsidRPr="00193354">
        <w:t>rule</w:t>
      </w:r>
      <w:r w:rsidRPr="00193354">
        <w:t xml:space="preserve"> </w:t>
      </w:r>
      <w:r w:rsidR="00C85399" w:rsidRPr="00193354">
        <w:t>may be</w:t>
      </w:r>
      <w:r w:rsidRPr="00193354">
        <w:t xml:space="preserve"> issued to </w:t>
      </w:r>
      <w:r w:rsidR="00C85399" w:rsidRPr="00193354">
        <w:t xml:space="preserve">one of </w:t>
      </w:r>
      <w:r w:rsidRPr="00193354">
        <w:t>the following persons:</w:t>
      </w:r>
    </w:p>
    <w:p w14:paraId="769A3325" w14:textId="77777777" w:rsidR="00C5002C" w:rsidRPr="00193354" w:rsidRDefault="00C5002C" w:rsidP="00C5002C">
      <w:pPr>
        <w:pStyle w:val="paragraph"/>
      </w:pPr>
      <w:r w:rsidRPr="00193354">
        <w:tab/>
        <w:t>(a)</w:t>
      </w:r>
      <w:r w:rsidRPr="00193354">
        <w:tab/>
        <w:t>the Sheriff of the Court;</w:t>
      </w:r>
    </w:p>
    <w:p w14:paraId="14A8F68C" w14:textId="77777777" w:rsidR="00C5002C" w:rsidRPr="00193354" w:rsidRDefault="00C5002C" w:rsidP="00C5002C">
      <w:pPr>
        <w:pStyle w:val="paragraph"/>
      </w:pPr>
      <w:r w:rsidRPr="00193354">
        <w:tab/>
        <w:t>(b)</w:t>
      </w:r>
      <w:r w:rsidRPr="00193354">
        <w:tab/>
        <w:t>a Deputy Sheriff of the Court;</w:t>
      </w:r>
    </w:p>
    <w:p w14:paraId="3107261D" w14:textId="77777777" w:rsidR="00C5002C" w:rsidRPr="00193354" w:rsidRDefault="00C5002C" w:rsidP="00C5002C">
      <w:pPr>
        <w:pStyle w:val="paragraph"/>
      </w:pPr>
      <w:r w:rsidRPr="00193354">
        <w:tab/>
        <w:t>(c)</w:t>
      </w:r>
      <w:r w:rsidRPr="00193354">
        <w:tab/>
        <w:t>the Sheriff of a court of a State or Territory;</w:t>
      </w:r>
    </w:p>
    <w:p w14:paraId="7A4DE46C" w14:textId="77777777" w:rsidR="00C5002C" w:rsidRPr="00193354" w:rsidRDefault="00C5002C" w:rsidP="00C5002C">
      <w:pPr>
        <w:pStyle w:val="paragraph"/>
      </w:pPr>
      <w:r w:rsidRPr="00193354">
        <w:tab/>
        <w:t>(d)</w:t>
      </w:r>
      <w:r w:rsidRPr="00193354">
        <w:tab/>
        <w:t>a Deputy Sheriff of a court of a State or Territory;</w:t>
      </w:r>
    </w:p>
    <w:p w14:paraId="194104CA" w14:textId="77777777" w:rsidR="00C5002C" w:rsidRPr="00193354" w:rsidRDefault="00C5002C" w:rsidP="00C5002C">
      <w:pPr>
        <w:pStyle w:val="paragraph"/>
      </w:pPr>
      <w:r w:rsidRPr="00193354">
        <w:tab/>
        <w:t>(e)</w:t>
      </w:r>
      <w:r w:rsidRPr="00193354">
        <w:tab/>
        <w:t>a police officer.</w:t>
      </w:r>
    </w:p>
    <w:p w14:paraId="6E616F1B" w14:textId="77777777" w:rsidR="0091411B" w:rsidRPr="00193354" w:rsidRDefault="00107EC3" w:rsidP="0091411B">
      <w:pPr>
        <w:pStyle w:val="ItemHead"/>
      </w:pPr>
      <w:r w:rsidRPr="00193354">
        <w:t>50</w:t>
      </w:r>
      <w:r w:rsidR="0091411B" w:rsidRPr="00193354">
        <w:t xml:space="preserve">  In the appropriate position in </w:t>
      </w:r>
      <w:r w:rsidR="00282B96" w:rsidRPr="00193354">
        <w:t>Part 4</w:t>
      </w:r>
      <w:r w:rsidR="0091411B" w:rsidRPr="00193354">
        <w:t>3</w:t>
      </w:r>
    </w:p>
    <w:p w14:paraId="2AF041B7" w14:textId="77777777" w:rsidR="0091411B" w:rsidRPr="00193354" w:rsidRDefault="0091411B" w:rsidP="0091411B">
      <w:pPr>
        <w:pStyle w:val="Item"/>
      </w:pPr>
      <w:r w:rsidRPr="00193354">
        <w:t>Insert:</w:t>
      </w:r>
    </w:p>
    <w:p w14:paraId="5E15DA54" w14:textId="77777777" w:rsidR="000010D0" w:rsidRPr="00193354" w:rsidRDefault="00282B96" w:rsidP="00002714">
      <w:pPr>
        <w:pStyle w:val="ActHead3"/>
      </w:pPr>
      <w:bookmarkStart w:id="38" w:name="_Toc122448264"/>
      <w:r w:rsidRPr="00D478AB">
        <w:rPr>
          <w:rStyle w:val="CharDivNo"/>
        </w:rPr>
        <w:t>Division 4</w:t>
      </w:r>
      <w:r w:rsidR="00002714" w:rsidRPr="00D478AB">
        <w:rPr>
          <w:rStyle w:val="CharDivNo"/>
        </w:rPr>
        <w:t>3.1</w:t>
      </w:r>
      <w:r w:rsidR="000010D0" w:rsidRPr="00193354">
        <w:t>—</w:t>
      </w:r>
      <w:r w:rsidR="000010D0" w:rsidRPr="00D478AB">
        <w:rPr>
          <w:rStyle w:val="CharDivText"/>
        </w:rPr>
        <w:t xml:space="preserve">Transitional provisions relating to the Federal Court Legislation Amendment </w:t>
      </w:r>
      <w:r w:rsidR="004554DA" w:rsidRPr="00D478AB">
        <w:rPr>
          <w:rStyle w:val="CharDivText"/>
        </w:rPr>
        <w:t>Rules 2</w:t>
      </w:r>
      <w:r w:rsidR="000010D0" w:rsidRPr="00D478AB">
        <w:rPr>
          <w:rStyle w:val="CharDivText"/>
        </w:rPr>
        <w:t>022</w:t>
      </w:r>
      <w:bookmarkEnd w:id="38"/>
    </w:p>
    <w:p w14:paraId="0765A1FC" w14:textId="77777777" w:rsidR="004D5EA6" w:rsidRPr="00193354" w:rsidRDefault="004D5EA6" w:rsidP="002306EF">
      <w:pPr>
        <w:pStyle w:val="ActHead5"/>
      </w:pPr>
      <w:bookmarkStart w:id="39" w:name="_Toc122448265"/>
      <w:r w:rsidRPr="00D478AB">
        <w:rPr>
          <w:rStyle w:val="CharSectno"/>
        </w:rPr>
        <w:t>43.01</w:t>
      </w:r>
      <w:r w:rsidRPr="00193354">
        <w:t xml:space="preserve">  Definitions</w:t>
      </w:r>
      <w:bookmarkEnd w:id="39"/>
    </w:p>
    <w:p w14:paraId="6103EF60" w14:textId="77777777" w:rsidR="004D5EA6" w:rsidRPr="00193354" w:rsidRDefault="004D5EA6" w:rsidP="004D5EA6">
      <w:pPr>
        <w:pStyle w:val="subsection"/>
      </w:pPr>
      <w:r w:rsidRPr="00193354">
        <w:tab/>
      </w:r>
      <w:r w:rsidRPr="00193354">
        <w:tab/>
        <w:t>In this Division:</w:t>
      </w:r>
    </w:p>
    <w:p w14:paraId="6F0323DE" w14:textId="77777777" w:rsidR="004D5EA6" w:rsidRPr="00193354" w:rsidRDefault="004D5EA6" w:rsidP="004D5EA6">
      <w:pPr>
        <w:pStyle w:val="Definition"/>
      </w:pPr>
      <w:r w:rsidRPr="00193354">
        <w:rPr>
          <w:b/>
          <w:i/>
        </w:rPr>
        <w:t>amending Rules</w:t>
      </w:r>
      <w:r w:rsidRPr="00193354">
        <w:t xml:space="preserve"> means the </w:t>
      </w:r>
      <w:r w:rsidRPr="00193354">
        <w:rPr>
          <w:i/>
        </w:rPr>
        <w:t xml:space="preserve">Federal Court Legislation Amendment </w:t>
      </w:r>
      <w:r w:rsidR="004554DA" w:rsidRPr="00193354">
        <w:rPr>
          <w:i/>
        </w:rPr>
        <w:t>Rules 2</w:t>
      </w:r>
      <w:r w:rsidRPr="00193354">
        <w:rPr>
          <w:i/>
        </w:rPr>
        <w:t>022</w:t>
      </w:r>
      <w:r w:rsidRPr="00193354">
        <w:t>.</w:t>
      </w:r>
    </w:p>
    <w:p w14:paraId="6683EE5D" w14:textId="77777777" w:rsidR="002306EF" w:rsidRPr="00193354" w:rsidRDefault="002306EF" w:rsidP="002306EF">
      <w:pPr>
        <w:pStyle w:val="ActHead5"/>
      </w:pPr>
      <w:bookmarkStart w:id="40" w:name="_Toc122448266"/>
      <w:r w:rsidRPr="00D478AB">
        <w:rPr>
          <w:rStyle w:val="CharSectno"/>
        </w:rPr>
        <w:t>43.0</w:t>
      </w:r>
      <w:r w:rsidR="004D5EA6" w:rsidRPr="00D478AB">
        <w:rPr>
          <w:rStyle w:val="CharSectno"/>
        </w:rPr>
        <w:t>2</w:t>
      </w:r>
      <w:r w:rsidRPr="00193354">
        <w:t xml:space="preserve">  Application of </w:t>
      </w:r>
      <w:r w:rsidR="00282B96" w:rsidRPr="00193354">
        <w:t>Division 1</w:t>
      </w:r>
      <w:r w:rsidRPr="00193354">
        <w:t>0.4</w:t>
      </w:r>
      <w:bookmarkEnd w:id="40"/>
    </w:p>
    <w:p w14:paraId="6E5C4338" w14:textId="77777777" w:rsidR="002306EF" w:rsidRPr="00193354" w:rsidRDefault="002306EF" w:rsidP="002306EF">
      <w:pPr>
        <w:pStyle w:val="subsection"/>
      </w:pPr>
      <w:r w:rsidRPr="00193354">
        <w:tab/>
      </w:r>
      <w:r w:rsidRPr="00193354">
        <w:tab/>
      </w:r>
      <w:r w:rsidR="00282B96" w:rsidRPr="00193354">
        <w:t>Division 1</w:t>
      </w:r>
      <w:r w:rsidRPr="00193354">
        <w:t>0.4 of these Rules, as substituted by the</w:t>
      </w:r>
      <w:r w:rsidR="00F91742" w:rsidRPr="00193354">
        <w:t xml:space="preserve"> amending Rules</w:t>
      </w:r>
      <w:r w:rsidRPr="00193354">
        <w:t>, applies in relation to originating applications served</w:t>
      </w:r>
      <w:r w:rsidR="00C03F90" w:rsidRPr="00193354">
        <w:t xml:space="preserve"> on or</w:t>
      </w:r>
      <w:r w:rsidRPr="00193354">
        <w:t xml:space="preserve"> after the commencement of </w:t>
      </w:r>
      <w:r w:rsidR="00F91742" w:rsidRPr="00193354">
        <w:t>the amending Rules</w:t>
      </w:r>
      <w:r w:rsidRPr="00193354">
        <w:t>.</w:t>
      </w:r>
    </w:p>
    <w:p w14:paraId="648BA896" w14:textId="77777777" w:rsidR="000010D0" w:rsidRPr="00193354" w:rsidRDefault="000010D0" w:rsidP="000010D0">
      <w:pPr>
        <w:pStyle w:val="ActHead5"/>
      </w:pPr>
      <w:bookmarkStart w:id="41" w:name="_Toc122448267"/>
      <w:r w:rsidRPr="00D478AB">
        <w:rPr>
          <w:rStyle w:val="CharSectno"/>
        </w:rPr>
        <w:t>43.0</w:t>
      </w:r>
      <w:r w:rsidR="004D5EA6" w:rsidRPr="00D478AB">
        <w:rPr>
          <w:rStyle w:val="CharSectno"/>
        </w:rPr>
        <w:t>3</w:t>
      </w:r>
      <w:r w:rsidRPr="00193354">
        <w:t xml:space="preserve">  Application of amendments relating to </w:t>
      </w:r>
      <w:r w:rsidR="004D5EA6" w:rsidRPr="00193354">
        <w:t>subpoenas</w:t>
      </w:r>
      <w:bookmarkEnd w:id="41"/>
    </w:p>
    <w:p w14:paraId="5CCF7C66" w14:textId="77777777" w:rsidR="000010D0" w:rsidRPr="00193354" w:rsidRDefault="000010D0" w:rsidP="000010D0">
      <w:pPr>
        <w:pStyle w:val="subsection"/>
      </w:pPr>
      <w:r w:rsidRPr="00193354">
        <w:tab/>
      </w:r>
      <w:r w:rsidRPr="00193354">
        <w:tab/>
        <w:t>Sub</w:t>
      </w:r>
      <w:r w:rsidR="00282B96" w:rsidRPr="00193354">
        <w:t>rules </w:t>
      </w:r>
      <w:r w:rsidR="004D5EA6" w:rsidRPr="00193354">
        <w:t xml:space="preserve">24.17(1), </w:t>
      </w:r>
      <w:r w:rsidR="00282B96" w:rsidRPr="00193354">
        <w:t>2</w:t>
      </w:r>
      <w:r w:rsidRPr="00193354">
        <w:t xml:space="preserve">4.17(7A) and 24.21(3) of these Rules, as in force immediately after the commencement of the </w:t>
      </w:r>
      <w:r w:rsidR="004D5EA6" w:rsidRPr="00193354">
        <w:t>amending Rules</w:t>
      </w:r>
      <w:r w:rsidRPr="00193354">
        <w:t>, apply in relation to subpoenas issued on or after that commencement.</w:t>
      </w:r>
    </w:p>
    <w:p w14:paraId="1EE44334" w14:textId="77777777" w:rsidR="000010D0" w:rsidRPr="00193354" w:rsidRDefault="000010D0" w:rsidP="001511C2">
      <w:pPr>
        <w:pStyle w:val="ActHead5"/>
      </w:pPr>
      <w:bookmarkStart w:id="42" w:name="_Toc122448268"/>
      <w:r w:rsidRPr="00D478AB">
        <w:rPr>
          <w:rStyle w:val="CharSectno"/>
        </w:rPr>
        <w:lastRenderedPageBreak/>
        <w:t>43.0</w:t>
      </w:r>
      <w:r w:rsidR="004D5EA6" w:rsidRPr="00D478AB">
        <w:rPr>
          <w:rStyle w:val="CharSectno"/>
        </w:rPr>
        <w:t>4</w:t>
      </w:r>
      <w:r w:rsidRPr="00193354">
        <w:t xml:space="preserve">  Expiry of this Division</w:t>
      </w:r>
      <w:bookmarkEnd w:id="42"/>
    </w:p>
    <w:p w14:paraId="35F2D5D1" w14:textId="77777777" w:rsidR="000010D0" w:rsidRPr="00193354" w:rsidRDefault="000010D0" w:rsidP="000010D0">
      <w:pPr>
        <w:pStyle w:val="subsection"/>
      </w:pPr>
      <w:r w:rsidRPr="00193354">
        <w:tab/>
      </w:r>
      <w:r w:rsidRPr="00193354">
        <w:tab/>
        <w:t xml:space="preserve">This Division is repealed at the start of the day after the end of the period of 6 months beginning on the day the </w:t>
      </w:r>
      <w:r w:rsidR="004D5EA6" w:rsidRPr="00193354">
        <w:t>amending Rules</w:t>
      </w:r>
      <w:r w:rsidRPr="00193354">
        <w:t xml:space="preserve"> commence.</w:t>
      </w:r>
    </w:p>
    <w:p w14:paraId="4001880B" w14:textId="77777777" w:rsidR="00C5002C" w:rsidRPr="00193354" w:rsidRDefault="00107EC3" w:rsidP="00C5002C">
      <w:pPr>
        <w:pStyle w:val="ItemHead"/>
      </w:pPr>
      <w:r w:rsidRPr="00193354">
        <w:t>51</w:t>
      </w:r>
      <w:r w:rsidR="00C5002C" w:rsidRPr="00193354">
        <w:t xml:space="preserve">  </w:t>
      </w:r>
      <w:r w:rsidR="00DB5DF7" w:rsidRPr="00193354">
        <w:t>Schedule 1</w:t>
      </w:r>
      <w:r w:rsidR="00C5002C" w:rsidRPr="00193354">
        <w:t xml:space="preserve"> (definition of </w:t>
      </w:r>
      <w:r w:rsidR="00C5002C" w:rsidRPr="00193354">
        <w:rPr>
          <w:i/>
        </w:rPr>
        <w:t>conduct money</w:t>
      </w:r>
      <w:r w:rsidR="00C5002C" w:rsidRPr="00193354">
        <w:t>)</w:t>
      </w:r>
    </w:p>
    <w:p w14:paraId="15CCF507" w14:textId="77777777" w:rsidR="00C5002C" w:rsidRPr="00193354" w:rsidRDefault="00C5002C" w:rsidP="00C5002C">
      <w:pPr>
        <w:pStyle w:val="Item"/>
      </w:pPr>
      <w:r w:rsidRPr="00193354">
        <w:t>Omit “required by subpoena or order to attend Court”, substitute “attending Court for the purposes of complying with a subpoena or order”.</w:t>
      </w:r>
    </w:p>
    <w:p w14:paraId="72E0B7A6" w14:textId="77777777" w:rsidR="00CC43D6" w:rsidRPr="00193354" w:rsidRDefault="00107EC3" w:rsidP="00CC43D6">
      <w:pPr>
        <w:pStyle w:val="ItemHead"/>
      </w:pPr>
      <w:r w:rsidRPr="00193354">
        <w:t>52</w:t>
      </w:r>
      <w:r w:rsidR="00CC43D6" w:rsidRPr="00193354">
        <w:t xml:space="preserve">  </w:t>
      </w:r>
      <w:r w:rsidR="00DB5DF7" w:rsidRPr="00193354">
        <w:t>Schedule 1</w:t>
      </w:r>
    </w:p>
    <w:p w14:paraId="31F25EA8" w14:textId="77777777" w:rsidR="00CC43D6" w:rsidRPr="00193354" w:rsidRDefault="00CC43D6" w:rsidP="00CC43D6">
      <w:pPr>
        <w:pStyle w:val="Item"/>
      </w:pPr>
      <w:r w:rsidRPr="00193354">
        <w:t>Insert:</w:t>
      </w:r>
    </w:p>
    <w:p w14:paraId="3A26168B" w14:textId="77777777" w:rsidR="00CC43D6" w:rsidRPr="00193354" w:rsidRDefault="00CC43D6" w:rsidP="00CC43D6">
      <w:pPr>
        <w:pStyle w:val="Definition"/>
      </w:pPr>
      <w:r w:rsidRPr="00193354">
        <w:rPr>
          <w:b/>
          <w:i/>
        </w:rPr>
        <w:t xml:space="preserve">convention </w:t>
      </w:r>
      <w:r w:rsidRPr="00193354">
        <w:t>means a convention (other than the Hague Convention), agreement, arrangement or treaty about service abroad of judicial documents to which the Crown in right of the Commonwealth or, if applicable, in right of a State, and a foreign country are parties.</w:t>
      </w:r>
    </w:p>
    <w:p w14:paraId="623B9F39" w14:textId="77777777" w:rsidR="00401B6B" w:rsidRPr="00193354" w:rsidRDefault="00401B6B" w:rsidP="00401B6B">
      <w:pPr>
        <w:pStyle w:val="Definition"/>
      </w:pPr>
      <w:r w:rsidRPr="00193354">
        <w:rPr>
          <w:b/>
          <w:i/>
        </w:rPr>
        <w:t>Court file</w:t>
      </w:r>
      <w:r w:rsidRPr="00193354">
        <w:t>: a document is part of the Court file of a particular proceeding if:</w:t>
      </w:r>
    </w:p>
    <w:p w14:paraId="2458278C" w14:textId="77777777" w:rsidR="00401B6B" w:rsidRPr="00193354" w:rsidRDefault="00401B6B" w:rsidP="00401B6B">
      <w:pPr>
        <w:pStyle w:val="paragraph"/>
      </w:pPr>
      <w:r w:rsidRPr="00193354">
        <w:tab/>
        <w:t>(a)</w:t>
      </w:r>
      <w:r w:rsidRPr="00193354">
        <w:tab/>
      </w:r>
      <w:r w:rsidR="00E04045" w:rsidRPr="00193354">
        <w:t>the document</w:t>
      </w:r>
      <w:r w:rsidRPr="00193354">
        <w:t>:</w:t>
      </w:r>
    </w:p>
    <w:p w14:paraId="64F1F787" w14:textId="77777777" w:rsidR="00401B6B" w:rsidRPr="00193354" w:rsidRDefault="00401B6B" w:rsidP="00401B6B">
      <w:pPr>
        <w:pStyle w:val="paragraphsub"/>
      </w:pPr>
      <w:r w:rsidRPr="00193354">
        <w:tab/>
        <w:t>(i)</w:t>
      </w:r>
      <w:r w:rsidRPr="00193354">
        <w:tab/>
        <w:t xml:space="preserve">has been accepted for filing in respect of the proceeding, in accordance with </w:t>
      </w:r>
      <w:r w:rsidR="00282B96" w:rsidRPr="00193354">
        <w:t>rule 2</w:t>
      </w:r>
      <w:r w:rsidRPr="00193354">
        <w:t>.25; or</w:t>
      </w:r>
    </w:p>
    <w:p w14:paraId="31B1F5CC" w14:textId="77777777" w:rsidR="00401B6B" w:rsidRPr="00193354" w:rsidRDefault="00401B6B" w:rsidP="00401B6B">
      <w:pPr>
        <w:pStyle w:val="paragraphsub"/>
      </w:pPr>
      <w:r w:rsidRPr="00193354">
        <w:tab/>
        <w:t>(</w:t>
      </w:r>
      <w:r w:rsidRPr="00193354">
        <w:rPr>
          <w:lang w:eastAsia="en-US"/>
        </w:rPr>
        <w:t>ii</w:t>
      </w:r>
      <w:r w:rsidRPr="00193354">
        <w:t>)</w:t>
      </w:r>
      <w:r w:rsidRPr="00193354">
        <w:tab/>
        <w:t xml:space="preserve">is a redacted copy replaced on the Court file in accordance with </w:t>
      </w:r>
      <w:r w:rsidR="00282B96" w:rsidRPr="00193354">
        <w:t>rule 2</w:t>
      </w:r>
      <w:r w:rsidRPr="00193354">
        <w:t>.29; and</w:t>
      </w:r>
    </w:p>
    <w:p w14:paraId="132F6156" w14:textId="77777777" w:rsidR="00401B6B" w:rsidRPr="00193354" w:rsidRDefault="00401B6B" w:rsidP="00401B6B">
      <w:pPr>
        <w:pStyle w:val="paragraph"/>
      </w:pPr>
      <w:r w:rsidRPr="00193354">
        <w:tab/>
        <w:t>(b)</w:t>
      </w:r>
      <w:r w:rsidRPr="00193354">
        <w:tab/>
        <w:t xml:space="preserve">the document </w:t>
      </w:r>
      <w:r w:rsidR="00BA4CC7" w:rsidRPr="00193354">
        <w:t>has not been the subject of an order</w:t>
      </w:r>
      <w:r w:rsidR="00E04045" w:rsidRPr="00193354">
        <w:t>,</w:t>
      </w:r>
      <w:r w:rsidR="00BA4CC7" w:rsidRPr="00193354">
        <w:t xml:space="preserve"> under </w:t>
      </w:r>
      <w:r w:rsidR="00282B96" w:rsidRPr="00193354">
        <w:t>rule 2</w:t>
      </w:r>
      <w:r w:rsidR="00BA4CC7" w:rsidRPr="00193354">
        <w:t>.28 or 2.29</w:t>
      </w:r>
      <w:r w:rsidR="00E04045" w:rsidRPr="00193354">
        <w:t>,</w:t>
      </w:r>
      <w:r w:rsidR="00BA4CC7" w:rsidRPr="00193354">
        <w:t xml:space="preserve"> that the document be removed from the Court file.</w:t>
      </w:r>
    </w:p>
    <w:p w14:paraId="1BB5EBFF" w14:textId="77777777" w:rsidR="009F5DBF" w:rsidRPr="00193354" w:rsidRDefault="009F5DBF" w:rsidP="009F5DBF">
      <w:pPr>
        <w:pStyle w:val="Definition"/>
      </w:pPr>
      <w:r w:rsidRPr="00193354">
        <w:rPr>
          <w:b/>
          <w:i/>
        </w:rPr>
        <w:t>Hague Convention</w:t>
      </w:r>
      <w:r w:rsidRPr="00193354">
        <w:t xml:space="preserve"> means the Convention on the Service Abroad of Judicial and Extrajudicial Documents in Civil or Commercial Matters, done at The Hague on 15 November 1965.</w:t>
      </w:r>
    </w:p>
    <w:p w14:paraId="2D2B619E" w14:textId="77777777" w:rsidR="009F5DBF" w:rsidRPr="00193354" w:rsidRDefault="009F5DBF" w:rsidP="009F5DBF">
      <w:pPr>
        <w:pStyle w:val="notetext"/>
      </w:pPr>
      <w:r w:rsidRPr="00193354">
        <w:t>Note:</w:t>
      </w:r>
      <w:r w:rsidRPr="00193354">
        <w:tab/>
        <w:t>The Convention is in Australian Treaty Series 2010 No. 23 ([2010] ATS 23) and could in 2022 be viewed in the Australian Treaties Library on the AustLII website (http://www.austlii.edu.au).</w:t>
      </w:r>
    </w:p>
    <w:p w14:paraId="744CA4EA" w14:textId="77777777" w:rsidR="00C5002C" w:rsidRPr="00193354" w:rsidRDefault="00107EC3" w:rsidP="00C5002C">
      <w:pPr>
        <w:pStyle w:val="ItemHead"/>
        <w:rPr>
          <w:b w:val="0"/>
        </w:rPr>
      </w:pPr>
      <w:r w:rsidRPr="00193354">
        <w:t>53</w:t>
      </w:r>
      <w:r w:rsidR="00C5002C" w:rsidRPr="00193354">
        <w:t xml:space="preserve">  </w:t>
      </w:r>
      <w:r w:rsidR="00DB5DF7" w:rsidRPr="00193354">
        <w:t>Schedule 1</w:t>
      </w:r>
      <w:r w:rsidR="00C5002C" w:rsidRPr="00193354">
        <w:t xml:space="preserve"> (definition of </w:t>
      </w:r>
      <w:r w:rsidR="00C5002C" w:rsidRPr="00193354">
        <w:rPr>
          <w:i/>
        </w:rPr>
        <w:t>interested person</w:t>
      </w:r>
      <w:r w:rsidR="005C0472" w:rsidRPr="00193354">
        <w:t>, twice occurring</w:t>
      </w:r>
      <w:r w:rsidR="00C5002C" w:rsidRPr="00193354">
        <w:t>)</w:t>
      </w:r>
    </w:p>
    <w:p w14:paraId="3B5F9FE4" w14:textId="77777777" w:rsidR="005C0472" w:rsidRPr="00193354" w:rsidRDefault="00C5002C" w:rsidP="00C5002C">
      <w:pPr>
        <w:pStyle w:val="Item"/>
      </w:pPr>
      <w:r w:rsidRPr="00193354">
        <w:t>Repeal the definition</w:t>
      </w:r>
      <w:r w:rsidR="005C0472" w:rsidRPr="00193354">
        <w:t>s.</w:t>
      </w:r>
    </w:p>
    <w:p w14:paraId="5E85C378" w14:textId="77777777" w:rsidR="005C0472" w:rsidRPr="00193354" w:rsidRDefault="00107EC3" w:rsidP="005C0472">
      <w:pPr>
        <w:pStyle w:val="ItemHead"/>
      </w:pPr>
      <w:r w:rsidRPr="00193354">
        <w:t>54</w:t>
      </w:r>
      <w:r w:rsidR="005C0472" w:rsidRPr="00193354">
        <w:t xml:space="preserve">  </w:t>
      </w:r>
      <w:r w:rsidR="00DB5DF7" w:rsidRPr="00193354">
        <w:t>Schedule 1</w:t>
      </w:r>
    </w:p>
    <w:p w14:paraId="4CA8C409" w14:textId="77777777" w:rsidR="00C5002C" w:rsidRPr="00193354" w:rsidRDefault="005C0472" w:rsidP="005C0472">
      <w:pPr>
        <w:pStyle w:val="Item"/>
      </w:pPr>
      <w:r w:rsidRPr="00193354">
        <w:t>Insert:</w:t>
      </w:r>
    </w:p>
    <w:p w14:paraId="01756743" w14:textId="77777777" w:rsidR="00C5002C" w:rsidRPr="00193354" w:rsidRDefault="00C5002C" w:rsidP="00C5002C">
      <w:pPr>
        <w:pStyle w:val="Definition"/>
      </w:pPr>
      <w:r w:rsidRPr="00193354">
        <w:rPr>
          <w:b/>
          <w:i/>
        </w:rPr>
        <w:t>interested person</w:t>
      </w:r>
      <w:r w:rsidRPr="00193354">
        <w:t xml:space="preserve"> means:</w:t>
      </w:r>
    </w:p>
    <w:p w14:paraId="10072E97" w14:textId="77777777" w:rsidR="00C5002C" w:rsidRPr="00193354" w:rsidRDefault="00C5002C" w:rsidP="00C5002C">
      <w:pPr>
        <w:pStyle w:val="paragraph"/>
      </w:pPr>
      <w:r w:rsidRPr="00193354">
        <w:tab/>
        <w:t>(a)</w:t>
      </w:r>
      <w:r w:rsidRPr="00193354">
        <w:tab/>
        <w:t>for a minor under a legal incapacity—the person’s parent or guardian; or</w:t>
      </w:r>
    </w:p>
    <w:p w14:paraId="7E9301A3" w14:textId="77777777" w:rsidR="00C5002C" w:rsidRPr="00193354" w:rsidRDefault="00C5002C" w:rsidP="00C5002C">
      <w:pPr>
        <w:pStyle w:val="paragraph"/>
      </w:pPr>
      <w:r w:rsidRPr="00193354">
        <w:tab/>
        <w:t>(b)</w:t>
      </w:r>
      <w:r w:rsidRPr="00193354">
        <w:tab/>
        <w:t>for a mentally disabled person under a legal incapacity—the person’s guardian; or</w:t>
      </w:r>
    </w:p>
    <w:p w14:paraId="68B2CB0D" w14:textId="77777777" w:rsidR="00C5002C" w:rsidRPr="00193354" w:rsidRDefault="00C5002C" w:rsidP="00C5002C">
      <w:pPr>
        <w:pStyle w:val="paragraph"/>
      </w:pPr>
      <w:r w:rsidRPr="00193354">
        <w:tab/>
        <w:t>(c)</w:t>
      </w:r>
      <w:r w:rsidRPr="00193354">
        <w:tab/>
        <w:t>in any other case—a person affected:</w:t>
      </w:r>
    </w:p>
    <w:p w14:paraId="2E24AB7C" w14:textId="77777777" w:rsidR="00C5002C" w:rsidRPr="00193354" w:rsidRDefault="00C5002C" w:rsidP="00C5002C">
      <w:pPr>
        <w:pStyle w:val="paragraphsub"/>
      </w:pPr>
      <w:r w:rsidRPr="00193354">
        <w:tab/>
        <w:t>(i)</w:t>
      </w:r>
      <w:r w:rsidRPr="00193354">
        <w:tab/>
        <w:t>by an order of the Court; or</w:t>
      </w:r>
    </w:p>
    <w:p w14:paraId="4FD36DE4" w14:textId="77777777" w:rsidR="00C5002C" w:rsidRPr="00193354" w:rsidRDefault="00C5002C" w:rsidP="00C5002C">
      <w:pPr>
        <w:pStyle w:val="paragraphsub"/>
      </w:pPr>
      <w:r w:rsidRPr="00193354">
        <w:tab/>
        <w:t>(ii)</w:t>
      </w:r>
      <w:r w:rsidRPr="00193354">
        <w:tab/>
        <w:t>by any act or thing done by another person.</w:t>
      </w:r>
    </w:p>
    <w:p w14:paraId="7D2BA65B" w14:textId="77777777" w:rsidR="00077AF5" w:rsidRPr="00193354" w:rsidRDefault="00107EC3" w:rsidP="00077AF5">
      <w:pPr>
        <w:pStyle w:val="ItemHead"/>
        <w:rPr>
          <w:b w:val="0"/>
        </w:rPr>
      </w:pPr>
      <w:r w:rsidRPr="00193354">
        <w:t>55</w:t>
      </w:r>
      <w:r w:rsidR="00077AF5" w:rsidRPr="00193354">
        <w:t xml:space="preserve">  </w:t>
      </w:r>
      <w:r w:rsidR="00DB5DF7" w:rsidRPr="00193354">
        <w:t>Schedule 1</w:t>
      </w:r>
      <w:r w:rsidR="00077AF5" w:rsidRPr="00193354">
        <w:t xml:space="preserve"> (after </w:t>
      </w:r>
      <w:r w:rsidR="00282B96" w:rsidRPr="00193354">
        <w:t>paragraph (</w:t>
      </w:r>
      <w:r w:rsidR="00077AF5" w:rsidRPr="00193354">
        <w:t xml:space="preserve">c) of the definition of </w:t>
      </w:r>
      <w:r w:rsidR="00077AF5" w:rsidRPr="00193354">
        <w:rPr>
          <w:i/>
        </w:rPr>
        <w:t>pleading</w:t>
      </w:r>
      <w:r w:rsidR="00077AF5" w:rsidRPr="00193354">
        <w:t>)</w:t>
      </w:r>
    </w:p>
    <w:p w14:paraId="0E99EBCB" w14:textId="77777777" w:rsidR="00077AF5" w:rsidRPr="00193354" w:rsidRDefault="00077AF5" w:rsidP="00077AF5">
      <w:pPr>
        <w:pStyle w:val="Item"/>
      </w:pPr>
      <w:r w:rsidRPr="00193354">
        <w:t>Insert:</w:t>
      </w:r>
    </w:p>
    <w:p w14:paraId="41F7929A" w14:textId="77777777" w:rsidR="00077AF5" w:rsidRPr="00193354" w:rsidRDefault="00077AF5" w:rsidP="00077AF5">
      <w:pPr>
        <w:pStyle w:val="paragraph"/>
      </w:pPr>
      <w:r w:rsidRPr="00193354">
        <w:tab/>
        <w:t>(ca)</w:t>
      </w:r>
      <w:r w:rsidRPr="00193354">
        <w:tab/>
        <w:t>a concise statement in response; or</w:t>
      </w:r>
    </w:p>
    <w:p w14:paraId="51BFFF34" w14:textId="77777777" w:rsidR="00077AF5" w:rsidRPr="00193354" w:rsidRDefault="00107EC3" w:rsidP="00077AF5">
      <w:pPr>
        <w:pStyle w:val="ItemHead"/>
      </w:pPr>
      <w:r w:rsidRPr="00193354">
        <w:lastRenderedPageBreak/>
        <w:t>56</w:t>
      </w:r>
      <w:r w:rsidR="00077AF5" w:rsidRPr="00193354">
        <w:t xml:space="preserve">  </w:t>
      </w:r>
      <w:r w:rsidR="00DB5DF7" w:rsidRPr="00193354">
        <w:t>Schedule 1</w:t>
      </w:r>
      <w:r w:rsidR="00077AF5" w:rsidRPr="00193354">
        <w:t xml:space="preserve"> (after </w:t>
      </w:r>
      <w:r w:rsidR="00282B96" w:rsidRPr="00193354">
        <w:t>paragraph (</w:t>
      </w:r>
      <w:r w:rsidR="00077AF5" w:rsidRPr="00193354">
        <w:t xml:space="preserve">d) of the definition of </w:t>
      </w:r>
      <w:r w:rsidR="00077AF5" w:rsidRPr="00193354">
        <w:rPr>
          <w:i/>
        </w:rPr>
        <w:t>pleading</w:t>
      </w:r>
      <w:r w:rsidR="00077AF5" w:rsidRPr="00193354">
        <w:t>)</w:t>
      </w:r>
    </w:p>
    <w:p w14:paraId="4DAE3EE3" w14:textId="77777777" w:rsidR="00077AF5" w:rsidRPr="00193354" w:rsidRDefault="00077AF5" w:rsidP="00077AF5">
      <w:pPr>
        <w:pStyle w:val="Item"/>
      </w:pPr>
      <w:r w:rsidRPr="00193354">
        <w:t>Insert:</w:t>
      </w:r>
    </w:p>
    <w:p w14:paraId="30AF71DE" w14:textId="77777777" w:rsidR="00077AF5" w:rsidRPr="00193354" w:rsidRDefault="00077AF5" w:rsidP="00077AF5">
      <w:pPr>
        <w:pStyle w:val="paragraph"/>
      </w:pPr>
      <w:r w:rsidRPr="00193354">
        <w:tab/>
        <w:t>(da)</w:t>
      </w:r>
      <w:r w:rsidRPr="00193354">
        <w:tab/>
        <w:t>a concise statement in reply; or</w:t>
      </w:r>
    </w:p>
    <w:p w14:paraId="55B01E99" w14:textId="77777777" w:rsidR="00182ECB" w:rsidRPr="00193354" w:rsidRDefault="00107EC3" w:rsidP="00182ECB">
      <w:pPr>
        <w:pStyle w:val="ItemHead"/>
      </w:pPr>
      <w:r w:rsidRPr="00193354">
        <w:t>57</w:t>
      </w:r>
      <w:r w:rsidR="00182ECB" w:rsidRPr="00193354">
        <w:t xml:space="preserve">  Part 3.3 of Schedule 2 (table items 23 and 24, column headed “Description (for information only)”)</w:t>
      </w:r>
    </w:p>
    <w:p w14:paraId="6092C253" w14:textId="77777777" w:rsidR="00182ECB" w:rsidRPr="00193354" w:rsidRDefault="00182ECB" w:rsidP="00182ECB">
      <w:pPr>
        <w:pStyle w:val="Item"/>
      </w:pPr>
      <w:r w:rsidRPr="00193354">
        <w:t>Omit “Federal Circuit Court of Australia”, substitute “Federal Circuit and Family Court of Australia</w:t>
      </w:r>
      <w:r w:rsidR="00980E2B" w:rsidRPr="00193354">
        <w:t xml:space="preserve"> (</w:t>
      </w:r>
      <w:r w:rsidR="00DB5DF7" w:rsidRPr="00193354">
        <w:t>Division 2</w:t>
      </w:r>
      <w:r w:rsidR="00980E2B" w:rsidRPr="00193354">
        <w:t>)</w:t>
      </w:r>
      <w:r w:rsidRPr="00193354">
        <w:t>”.</w:t>
      </w:r>
    </w:p>
    <w:p w14:paraId="7935D5D2" w14:textId="77777777" w:rsidR="002457F1" w:rsidRPr="00193354" w:rsidRDefault="00107EC3" w:rsidP="002457F1">
      <w:pPr>
        <w:pStyle w:val="ItemHead"/>
      </w:pPr>
      <w:r w:rsidRPr="00193354">
        <w:t>58</w:t>
      </w:r>
      <w:r w:rsidR="002457F1" w:rsidRPr="00193354">
        <w:t xml:space="preserve">  </w:t>
      </w:r>
      <w:r w:rsidR="00DB5DF7" w:rsidRPr="00193354">
        <w:t>Item 1</w:t>
      </w:r>
      <w:r w:rsidR="002457F1" w:rsidRPr="00193354">
        <w:t>A of Schedule 3</w:t>
      </w:r>
    </w:p>
    <w:p w14:paraId="2158DA2B" w14:textId="77777777" w:rsidR="002457F1" w:rsidRPr="00193354" w:rsidRDefault="002457F1" w:rsidP="002457F1">
      <w:pPr>
        <w:pStyle w:val="Item"/>
      </w:pPr>
      <w:r w:rsidRPr="00193354">
        <w:t>Repeal the item, substitute:</w:t>
      </w:r>
    </w:p>
    <w:p w14:paraId="68B66747" w14:textId="77777777" w:rsidR="002457F1" w:rsidRPr="00193354" w:rsidRDefault="002457F1" w:rsidP="002457F1">
      <w:pPr>
        <w:pStyle w:val="Specialih"/>
      </w:pPr>
      <w:r w:rsidRPr="00193354">
        <w:t>1A  Application of this Schedule</w:t>
      </w:r>
    </w:p>
    <w:p w14:paraId="38A50FD2" w14:textId="77777777" w:rsidR="002457F1" w:rsidRPr="00193354" w:rsidRDefault="002457F1" w:rsidP="002457F1">
      <w:pPr>
        <w:pStyle w:val="subsection"/>
      </w:pPr>
      <w:r w:rsidRPr="00193354">
        <w:tab/>
        <w:t>1A.1</w:t>
      </w:r>
      <w:r w:rsidRPr="00193354">
        <w:tab/>
        <w:t xml:space="preserve">This Schedule, as amended by the </w:t>
      </w:r>
      <w:r w:rsidRPr="00193354">
        <w:rPr>
          <w:i/>
        </w:rPr>
        <w:t xml:space="preserve">Federal Court Legislation Amendment </w:t>
      </w:r>
      <w:r w:rsidR="004554DA" w:rsidRPr="00193354">
        <w:rPr>
          <w:i/>
        </w:rPr>
        <w:t>Rules 2</w:t>
      </w:r>
      <w:r w:rsidRPr="00193354">
        <w:rPr>
          <w:i/>
        </w:rPr>
        <w:t>022</w:t>
      </w:r>
      <w:r w:rsidRPr="00193354">
        <w:t>, applies to work done or services performed on or after the commencement of those Rules.</w:t>
      </w:r>
    </w:p>
    <w:p w14:paraId="2F5CBCE3" w14:textId="77777777" w:rsidR="002457F1" w:rsidRPr="00193354" w:rsidRDefault="00107EC3" w:rsidP="002457F1">
      <w:pPr>
        <w:pStyle w:val="ItemHead"/>
      </w:pPr>
      <w:r w:rsidRPr="00193354">
        <w:t>59</w:t>
      </w:r>
      <w:r w:rsidR="002457F1" w:rsidRPr="00193354">
        <w:t xml:space="preserve">  Amendments of listed provisions—Schedule 3</w:t>
      </w:r>
    </w:p>
    <w:p w14:paraId="13C722E4" w14:textId="77777777" w:rsidR="002457F1" w:rsidRPr="00193354" w:rsidRDefault="002457F1" w:rsidP="002457F1">
      <w:pPr>
        <w:pStyle w:val="Item"/>
      </w:pPr>
      <w:r w:rsidRPr="00193354">
        <w:t>The provisions of Schedule 3 listed in the following table are amended as set out in the table.</w:t>
      </w:r>
    </w:p>
    <w:p w14:paraId="599230CF" w14:textId="77777777" w:rsidR="002457F1" w:rsidRPr="00193354" w:rsidRDefault="002457F1" w:rsidP="002457F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8"/>
        <w:gridCol w:w="2492"/>
        <w:gridCol w:w="2492"/>
        <w:gridCol w:w="2491"/>
      </w:tblGrid>
      <w:tr w:rsidR="002457F1" w:rsidRPr="00193354" w14:paraId="11E4FB0E" w14:textId="77777777" w:rsidTr="00B855F4">
        <w:trPr>
          <w:tblHeader/>
        </w:trPr>
        <w:tc>
          <w:tcPr>
            <w:tcW w:w="5000" w:type="pct"/>
            <w:gridSpan w:val="4"/>
            <w:tcBorders>
              <w:top w:val="single" w:sz="12" w:space="0" w:color="auto"/>
              <w:bottom w:val="single" w:sz="6" w:space="0" w:color="auto"/>
            </w:tcBorders>
            <w:shd w:val="clear" w:color="auto" w:fill="auto"/>
          </w:tcPr>
          <w:p w14:paraId="586766F0" w14:textId="77777777" w:rsidR="002457F1" w:rsidRPr="00193354" w:rsidRDefault="002457F1" w:rsidP="00B855F4">
            <w:pPr>
              <w:pStyle w:val="TableHeading"/>
            </w:pPr>
            <w:r w:rsidRPr="00193354">
              <w:t>Amendments relating to costs</w:t>
            </w:r>
          </w:p>
        </w:tc>
      </w:tr>
      <w:tr w:rsidR="002457F1" w:rsidRPr="00193354" w14:paraId="25351150" w14:textId="77777777" w:rsidTr="00B855F4">
        <w:trPr>
          <w:tblHeader/>
        </w:trPr>
        <w:tc>
          <w:tcPr>
            <w:tcW w:w="504" w:type="pct"/>
            <w:tcBorders>
              <w:top w:val="single" w:sz="6" w:space="0" w:color="auto"/>
              <w:bottom w:val="single" w:sz="12" w:space="0" w:color="auto"/>
            </w:tcBorders>
            <w:shd w:val="clear" w:color="auto" w:fill="auto"/>
          </w:tcPr>
          <w:p w14:paraId="187FF0DA" w14:textId="77777777" w:rsidR="002457F1" w:rsidRPr="00193354" w:rsidRDefault="002457F1" w:rsidP="00B855F4">
            <w:pPr>
              <w:pStyle w:val="TableHeading"/>
            </w:pPr>
            <w:r w:rsidRPr="00193354">
              <w:t>Item</w:t>
            </w:r>
          </w:p>
        </w:tc>
        <w:tc>
          <w:tcPr>
            <w:tcW w:w="1499" w:type="pct"/>
            <w:tcBorders>
              <w:top w:val="single" w:sz="6" w:space="0" w:color="auto"/>
              <w:bottom w:val="single" w:sz="12" w:space="0" w:color="auto"/>
            </w:tcBorders>
            <w:shd w:val="clear" w:color="auto" w:fill="auto"/>
          </w:tcPr>
          <w:p w14:paraId="7F478779" w14:textId="77777777" w:rsidR="002457F1" w:rsidRPr="00193354" w:rsidRDefault="002457F1" w:rsidP="00B855F4">
            <w:pPr>
              <w:pStyle w:val="TableHeading"/>
            </w:pPr>
            <w:r w:rsidRPr="00193354">
              <w:t>Provision</w:t>
            </w:r>
          </w:p>
        </w:tc>
        <w:tc>
          <w:tcPr>
            <w:tcW w:w="1499" w:type="pct"/>
            <w:tcBorders>
              <w:top w:val="single" w:sz="6" w:space="0" w:color="auto"/>
              <w:bottom w:val="single" w:sz="12" w:space="0" w:color="auto"/>
            </w:tcBorders>
            <w:shd w:val="clear" w:color="auto" w:fill="auto"/>
          </w:tcPr>
          <w:p w14:paraId="76253A92" w14:textId="77777777" w:rsidR="002457F1" w:rsidRPr="00193354" w:rsidRDefault="002457F1" w:rsidP="00B855F4">
            <w:pPr>
              <w:pStyle w:val="TableHeading"/>
              <w:jc w:val="right"/>
            </w:pPr>
            <w:r w:rsidRPr="00193354">
              <w:t>Omit</w:t>
            </w:r>
          </w:p>
        </w:tc>
        <w:tc>
          <w:tcPr>
            <w:tcW w:w="1499" w:type="pct"/>
            <w:tcBorders>
              <w:top w:val="single" w:sz="6" w:space="0" w:color="auto"/>
              <w:bottom w:val="single" w:sz="12" w:space="0" w:color="auto"/>
            </w:tcBorders>
            <w:shd w:val="clear" w:color="auto" w:fill="auto"/>
          </w:tcPr>
          <w:p w14:paraId="0D44D892" w14:textId="77777777" w:rsidR="002457F1" w:rsidRPr="00193354" w:rsidRDefault="002457F1" w:rsidP="00B855F4">
            <w:pPr>
              <w:pStyle w:val="TableHeading"/>
              <w:jc w:val="right"/>
            </w:pPr>
            <w:r w:rsidRPr="00193354">
              <w:t>Substitute</w:t>
            </w:r>
          </w:p>
        </w:tc>
      </w:tr>
      <w:tr w:rsidR="002457F1" w:rsidRPr="00193354" w14:paraId="52389F1C" w14:textId="77777777" w:rsidTr="00B855F4">
        <w:tc>
          <w:tcPr>
            <w:tcW w:w="504" w:type="pct"/>
            <w:tcBorders>
              <w:top w:val="single" w:sz="12" w:space="0" w:color="auto"/>
            </w:tcBorders>
            <w:shd w:val="clear" w:color="auto" w:fill="auto"/>
          </w:tcPr>
          <w:p w14:paraId="7FE5ED58" w14:textId="77777777" w:rsidR="002457F1" w:rsidRPr="00193354" w:rsidRDefault="00503CF1" w:rsidP="00B855F4">
            <w:pPr>
              <w:pStyle w:val="Tabletext"/>
            </w:pPr>
            <w:r w:rsidRPr="00193354">
              <w:t>1</w:t>
            </w:r>
          </w:p>
        </w:tc>
        <w:tc>
          <w:tcPr>
            <w:tcW w:w="1499" w:type="pct"/>
            <w:tcBorders>
              <w:top w:val="single" w:sz="12" w:space="0" w:color="auto"/>
            </w:tcBorders>
            <w:shd w:val="clear" w:color="auto" w:fill="auto"/>
          </w:tcPr>
          <w:p w14:paraId="32CF4D85" w14:textId="77777777" w:rsidR="002457F1" w:rsidRPr="00193354" w:rsidRDefault="00DB5DF7" w:rsidP="00B855F4">
            <w:pPr>
              <w:pStyle w:val="Tabletext"/>
            </w:pPr>
            <w:r w:rsidRPr="00193354">
              <w:t>Item 1</w:t>
            </w:r>
            <w:r w:rsidR="002457F1" w:rsidRPr="00193354">
              <w:t>.1</w:t>
            </w:r>
          </w:p>
        </w:tc>
        <w:tc>
          <w:tcPr>
            <w:tcW w:w="1499" w:type="pct"/>
            <w:tcBorders>
              <w:top w:val="single" w:sz="12" w:space="0" w:color="auto"/>
            </w:tcBorders>
            <w:shd w:val="clear" w:color="auto" w:fill="auto"/>
          </w:tcPr>
          <w:p w14:paraId="55DDA73B" w14:textId="77777777" w:rsidR="002457F1" w:rsidRPr="00193354" w:rsidRDefault="002457F1" w:rsidP="00B855F4">
            <w:pPr>
              <w:pStyle w:val="Tabletext"/>
              <w:jc w:val="right"/>
            </w:pPr>
            <w:r w:rsidRPr="00193354">
              <w:t>$65</w:t>
            </w:r>
          </w:p>
        </w:tc>
        <w:tc>
          <w:tcPr>
            <w:tcW w:w="1499" w:type="pct"/>
            <w:tcBorders>
              <w:top w:val="single" w:sz="12" w:space="0" w:color="auto"/>
            </w:tcBorders>
            <w:shd w:val="clear" w:color="auto" w:fill="auto"/>
          </w:tcPr>
          <w:p w14:paraId="336559F3" w14:textId="77777777" w:rsidR="002457F1" w:rsidRPr="00193354" w:rsidRDefault="002457F1" w:rsidP="00B855F4">
            <w:pPr>
              <w:pStyle w:val="Tabletext"/>
              <w:jc w:val="right"/>
            </w:pPr>
            <w:r w:rsidRPr="00193354">
              <w:t>$</w:t>
            </w:r>
            <w:r w:rsidR="00B0743A" w:rsidRPr="00193354">
              <w:t>72</w:t>
            </w:r>
          </w:p>
        </w:tc>
      </w:tr>
      <w:tr w:rsidR="002457F1" w:rsidRPr="00193354" w14:paraId="5C8CA64B" w14:textId="77777777" w:rsidTr="00B855F4">
        <w:tc>
          <w:tcPr>
            <w:tcW w:w="504" w:type="pct"/>
            <w:shd w:val="clear" w:color="auto" w:fill="auto"/>
          </w:tcPr>
          <w:p w14:paraId="613CDB39" w14:textId="77777777" w:rsidR="002457F1" w:rsidRPr="00193354" w:rsidRDefault="00503CF1" w:rsidP="00B855F4">
            <w:pPr>
              <w:pStyle w:val="Tabletext"/>
            </w:pPr>
            <w:r w:rsidRPr="00193354">
              <w:t>2</w:t>
            </w:r>
          </w:p>
        </w:tc>
        <w:tc>
          <w:tcPr>
            <w:tcW w:w="1499" w:type="pct"/>
            <w:shd w:val="clear" w:color="auto" w:fill="auto"/>
          </w:tcPr>
          <w:p w14:paraId="76B302AE" w14:textId="77777777" w:rsidR="002457F1" w:rsidRPr="00193354" w:rsidRDefault="00DB5DF7" w:rsidP="00B855F4">
            <w:pPr>
              <w:pStyle w:val="Tabletext"/>
            </w:pPr>
            <w:r w:rsidRPr="00193354">
              <w:t>Item 1</w:t>
            </w:r>
            <w:r w:rsidR="002457F1" w:rsidRPr="00193354">
              <w:t>.2</w:t>
            </w:r>
          </w:p>
        </w:tc>
        <w:tc>
          <w:tcPr>
            <w:tcW w:w="1499" w:type="pct"/>
            <w:shd w:val="clear" w:color="auto" w:fill="auto"/>
          </w:tcPr>
          <w:p w14:paraId="4C7AB968" w14:textId="77777777" w:rsidR="002457F1" w:rsidRPr="00193354" w:rsidRDefault="002457F1" w:rsidP="00B855F4">
            <w:pPr>
              <w:pStyle w:val="Tabletext"/>
              <w:jc w:val="right"/>
            </w:pPr>
            <w:r w:rsidRPr="00193354">
              <w:t>$</w:t>
            </w:r>
            <w:r w:rsidR="00B0743A" w:rsidRPr="00193354">
              <w:t>24</w:t>
            </w:r>
          </w:p>
        </w:tc>
        <w:tc>
          <w:tcPr>
            <w:tcW w:w="1499" w:type="pct"/>
            <w:shd w:val="clear" w:color="auto" w:fill="auto"/>
          </w:tcPr>
          <w:p w14:paraId="1B27AFB6" w14:textId="77777777" w:rsidR="002457F1" w:rsidRPr="00193354" w:rsidRDefault="002457F1" w:rsidP="00B855F4">
            <w:pPr>
              <w:pStyle w:val="Tabletext"/>
              <w:jc w:val="right"/>
            </w:pPr>
            <w:r w:rsidRPr="00193354">
              <w:t>$</w:t>
            </w:r>
            <w:r w:rsidR="00B0743A" w:rsidRPr="00193354">
              <w:t>26</w:t>
            </w:r>
          </w:p>
        </w:tc>
      </w:tr>
      <w:tr w:rsidR="00B0743A" w:rsidRPr="00193354" w14:paraId="6B0D62A1" w14:textId="77777777" w:rsidTr="00B855F4">
        <w:tc>
          <w:tcPr>
            <w:tcW w:w="504" w:type="pct"/>
            <w:shd w:val="clear" w:color="auto" w:fill="auto"/>
          </w:tcPr>
          <w:p w14:paraId="1AD46889" w14:textId="77777777" w:rsidR="00B0743A" w:rsidRPr="00193354" w:rsidRDefault="00503CF1" w:rsidP="00B855F4">
            <w:pPr>
              <w:pStyle w:val="Tabletext"/>
            </w:pPr>
            <w:r w:rsidRPr="00193354">
              <w:t>3</w:t>
            </w:r>
          </w:p>
        </w:tc>
        <w:tc>
          <w:tcPr>
            <w:tcW w:w="1499" w:type="pct"/>
            <w:shd w:val="clear" w:color="auto" w:fill="auto"/>
          </w:tcPr>
          <w:p w14:paraId="61BB08B7" w14:textId="77777777" w:rsidR="00B0743A" w:rsidRPr="00193354" w:rsidRDefault="00DB5DF7" w:rsidP="00B855F4">
            <w:pPr>
              <w:pStyle w:val="Tabletext"/>
            </w:pPr>
            <w:r w:rsidRPr="00193354">
              <w:t>Item 1</w:t>
            </w:r>
            <w:r w:rsidR="00B0743A" w:rsidRPr="00193354">
              <w:t>.3</w:t>
            </w:r>
          </w:p>
        </w:tc>
        <w:tc>
          <w:tcPr>
            <w:tcW w:w="1499" w:type="pct"/>
            <w:shd w:val="clear" w:color="auto" w:fill="auto"/>
          </w:tcPr>
          <w:p w14:paraId="5F4A301E" w14:textId="77777777" w:rsidR="00B0743A" w:rsidRPr="00193354" w:rsidRDefault="00B0743A" w:rsidP="00B855F4">
            <w:pPr>
              <w:pStyle w:val="Tabletext"/>
              <w:jc w:val="right"/>
            </w:pPr>
            <w:r w:rsidRPr="00193354">
              <w:t>$11</w:t>
            </w:r>
          </w:p>
        </w:tc>
        <w:tc>
          <w:tcPr>
            <w:tcW w:w="1499" w:type="pct"/>
            <w:shd w:val="clear" w:color="auto" w:fill="auto"/>
          </w:tcPr>
          <w:p w14:paraId="3C24CE5C" w14:textId="77777777" w:rsidR="00B0743A" w:rsidRPr="00193354" w:rsidRDefault="00B0743A" w:rsidP="00B855F4">
            <w:pPr>
              <w:pStyle w:val="Tabletext"/>
              <w:jc w:val="right"/>
            </w:pPr>
            <w:r w:rsidRPr="00193354">
              <w:t>$12</w:t>
            </w:r>
          </w:p>
        </w:tc>
      </w:tr>
      <w:tr w:rsidR="002457F1" w:rsidRPr="00193354" w14:paraId="520FE82D" w14:textId="77777777" w:rsidTr="00B855F4">
        <w:tc>
          <w:tcPr>
            <w:tcW w:w="504" w:type="pct"/>
            <w:shd w:val="clear" w:color="auto" w:fill="auto"/>
          </w:tcPr>
          <w:p w14:paraId="7B8DB811" w14:textId="77777777" w:rsidR="002457F1" w:rsidRPr="00193354" w:rsidRDefault="00503CF1" w:rsidP="00B855F4">
            <w:pPr>
              <w:pStyle w:val="Tabletext"/>
            </w:pPr>
            <w:r w:rsidRPr="00193354">
              <w:t>4</w:t>
            </w:r>
          </w:p>
        </w:tc>
        <w:tc>
          <w:tcPr>
            <w:tcW w:w="1499" w:type="pct"/>
            <w:shd w:val="clear" w:color="auto" w:fill="auto"/>
          </w:tcPr>
          <w:p w14:paraId="06DB4E81" w14:textId="77777777" w:rsidR="002457F1" w:rsidRPr="00193354" w:rsidRDefault="002457F1" w:rsidP="00B855F4">
            <w:pPr>
              <w:pStyle w:val="Tabletext"/>
            </w:pPr>
            <w:r w:rsidRPr="00193354">
              <w:t>Item 2.1</w:t>
            </w:r>
          </w:p>
        </w:tc>
        <w:tc>
          <w:tcPr>
            <w:tcW w:w="1499" w:type="pct"/>
            <w:shd w:val="clear" w:color="auto" w:fill="auto"/>
          </w:tcPr>
          <w:p w14:paraId="265F54C0" w14:textId="77777777" w:rsidR="002457F1" w:rsidRPr="00193354" w:rsidRDefault="002457F1" w:rsidP="00B855F4">
            <w:pPr>
              <w:pStyle w:val="Tabletext"/>
              <w:jc w:val="right"/>
            </w:pPr>
            <w:r w:rsidRPr="00193354">
              <w:t>$</w:t>
            </w:r>
            <w:r w:rsidR="00B0743A" w:rsidRPr="00193354">
              <w:t>59</w:t>
            </w:r>
          </w:p>
        </w:tc>
        <w:tc>
          <w:tcPr>
            <w:tcW w:w="1499" w:type="pct"/>
            <w:shd w:val="clear" w:color="auto" w:fill="auto"/>
          </w:tcPr>
          <w:p w14:paraId="324311D5" w14:textId="77777777" w:rsidR="002457F1" w:rsidRPr="00193354" w:rsidRDefault="002457F1" w:rsidP="00B855F4">
            <w:pPr>
              <w:pStyle w:val="Tabletext"/>
              <w:jc w:val="right"/>
            </w:pPr>
            <w:r w:rsidRPr="00193354">
              <w:t>$</w:t>
            </w:r>
            <w:r w:rsidR="00B0743A" w:rsidRPr="00193354">
              <w:t>65</w:t>
            </w:r>
          </w:p>
        </w:tc>
      </w:tr>
      <w:tr w:rsidR="002457F1" w:rsidRPr="00193354" w14:paraId="00894D77" w14:textId="77777777" w:rsidTr="00B855F4">
        <w:tc>
          <w:tcPr>
            <w:tcW w:w="504" w:type="pct"/>
            <w:shd w:val="clear" w:color="auto" w:fill="auto"/>
          </w:tcPr>
          <w:p w14:paraId="474AF158" w14:textId="77777777" w:rsidR="002457F1" w:rsidRPr="00193354" w:rsidRDefault="00503CF1" w:rsidP="00B855F4">
            <w:pPr>
              <w:pStyle w:val="Tabletext"/>
            </w:pPr>
            <w:r w:rsidRPr="00193354">
              <w:t>5</w:t>
            </w:r>
          </w:p>
        </w:tc>
        <w:tc>
          <w:tcPr>
            <w:tcW w:w="1499" w:type="pct"/>
            <w:shd w:val="clear" w:color="auto" w:fill="auto"/>
          </w:tcPr>
          <w:p w14:paraId="2119A57F" w14:textId="77777777" w:rsidR="002457F1" w:rsidRPr="00193354" w:rsidRDefault="002457F1" w:rsidP="00B855F4">
            <w:pPr>
              <w:pStyle w:val="Tabletext"/>
            </w:pPr>
            <w:r w:rsidRPr="00193354">
              <w:t>Item 2.2</w:t>
            </w:r>
          </w:p>
        </w:tc>
        <w:tc>
          <w:tcPr>
            <w:tcW w:w="1499" w:type="pct"/>
            <w:shd w:val="clear" w:color="auto" w:fill="auto"/>
          </w:tcPr>
          <w:p w14:paraId="6FEEBB85" w14:textId="77777777" w:rsidR="002457F1" w:rsidRPr="00193354" w:rsidRDefault="002457F1" w:rsidP="00B855F4">
            <w:pPr>
              <w:pStyle w:val="Tabletext"/>
              <w:jc w:val="right"/>
            </w:pPr>
            <w:r w:rsidRPr="00193354">
              <w:t>$</w:t>
            </w:r>
            <w:r w:rsidR="00B0743A" w:rsidRPr="00193354">
              <w:t>24</w:t>
            </w:r>
          </w:p>
        </w:tc>
        <w:tc>
          <w:tcPr>
            <w:tcW w:w="1499" w:type="pct"/>
            <w:shd w:val="clear" w:color="auto" w:fill="auto"/>
          </w:tcPr>
          <w:p w14:paraId="349CDAF9" w14:textId="77777777" w:rsidR="002457F1" w:rsidRPr="00193354" w:rsidRDefault="002457F1" w:rsidP="00B855F4">
            <w:pPr>
              <w:pStyle w:val="Tabletext"/>
              <w:jc w:val="right"/>
            </w:pPr>
            <w:r w:rsidRPr="00193354">
              <w:t>$</w:t>
            </w:r>
            <w:r w:rsidR="00B0743A" w:rsidRPr="00193354">
              <w:t>26</w:t>
            </w:r>
          </w:p>
        </w:tc>
      </w:tr>
      <w:tr w:rsidR="002457F1" w:rsidRPr="00193354" w14:paraId="6415862B" w14:textId="77777777" w:rsidTr="00B855F4">
        <w:tc>
          <w:tcPr>
            <w:tcW w:w="504" w:type="pct"/>
            <w:shd w:val="clear" w:color="auto" w:fill="auto"/>
          </w:tcPr>
          <w:p w14:paraId="2E6D7AE4" w14:textId="77777777" w:rsidR="002457F1" w:rsidRPr="00193354" w:rsidRDefault="00503CF1" w:rsidP="00B855F4">
            <w:pPr>
              <w:pStyle w:val="Tabletext"/>
            </w:pPr>
            <w:r w:rsidRPr="00193354">
              <w:t>6</w:t>
            </w:r>
          </w:p>
        </w:tc>
        <w:tc>
          <w:tcPr>
            <w:tcW w:w="1499" w:type="pct"/>
            <w:shd w:val="clear" w:color="auto" w:fill="auto"/>
          </w:tcPr>
          <w:p w14:paraId="39103A32" w14:textId="77777777" w:rsidR="002457F1" w:rsidRPr="00193354" w:rsidRDefault="002457F1" w:rsidP="00B855F4">
            <w:pPr>
              <w:pStyle w:val="Tabletext"/>
            </w:pPr>
            <w:r w:rsidRPr="00193354">
              <w:t>Item 2.3</w:t>
            </w:r>
          </w:p>
        </w:tc>
        <w:tc>
          <w:tcPr>
            <w:tcW w:w="1499" w:type="pct"/>
            <w:shd w:val="clear" w:color="auto" w:fill="auto"/>
          </w:tcPr>
          <w:p w14:paraId="3E956C70" w14:textId="77777777" w:rsidR="002457F1" w:rsidRPr="00193354" w:rsidRDefault="002457F1" w:rsidP="00B855F4">
            <w:pPr>
              <w:pStyle w:val="Tabletext"/>
              <w:jc w:val="right"/>
            </w:pPr>
            <w:r w:rsidRPr="00193354">
              <w:t>$</w:t>
            </w:r>
            <w:r w:rsidR="00B0743A" w:rsidRPr="00193354">
              <w:t>48</w:t>
            </w:r>
          </w:p>
        </w:tc>
        <w:tc>
          <w:tcPr>
            <w:tcW w:w="1499" w:type="pct"/>
            <w:shd w:val="clear" w:color="auto" w:fill="auto"/>
          </w:tcPr>
          <w:p w14:paraId="056DE5CC" w14:textId="77777777" w:rsidR="002457F1" w:rsidRPr="00193354" w:rsidRDefault="002457F1" w:rsidP="00B855F4">
            <w:pPr>
              <w:pStyle w:val="Tabletext"/>
              <w:jc w:val="right"/>
            </w:pPr>
            <w:r w:rsidRPr="00193354">
              <w:t>$</w:t>
            </w:r>
            <w:r w:rsidR="00B0743A" w:rsidRPr="00193354">
              <w:t>53</w:t>
            </w:r>
          </w:p>
        </w:tc>
      </w:tr>
      <w:tr w:rsidR="002457F1" w:rsidRPr="00193354" w14:paraId="4B5B426A" w14:textId="77777777" w:rsidTr="00B855F4">
        <w:tc>
          <w:tcPr>
            <w:tcW w:w="504" w:type="pct"/>
            <w:tcBorders>
              <w:bottom w:val="single" w:sz="4" w:space="0" w:color="auto"/>
            </w:tcBorders>
            <w:shd w:val="clear" w:color="auto" w:fill="auto"/>
          </w:tcPr>
          <w:p w14:paraId="28C90F44" w14:textId="77777777" w:rsidR="002457F1" w:rsidRPr="00193354" w:rsidRDefault="00503CF1" w:rsidP="00B855F4">
            <w:pPr>
              <w:pStyle w:val="Tabletext"/>
            </w:pPr>
            <w:r w:rsidRPr="00193354">
              <w:t>7</w:t>
            </w:r>
          </w:p>
        </w:tc>
        <w:tc>
          <w:tcPr>
            <w:tcW w:w="1499" w:type="pct"/>
            <w:tcBorders>
              <w:bottom w:val="single" w:sz="4" w:space="0" w:color="auto"/>
            </w:tcBorders>
            <w:shd w:val="clear" w:color="auto" w:fill="auto"/>
          </w:tcPr>
          <w:p w14:paraId="445B6FE8" w14:textId="77777777" w:rsidR="002457F1" w:rsidRPr="00193354" w:rsidRDefault="002457F1" w:rsidP="00B855F4">
            <w:pPr>
              <w:pStyle w:val="Tabletext"/>
            </w:pPr>
            <w:r w:rsidRPr="00193354">
              <w:t>Item 3.2</w:t>
            </w:r>
          </w:p>
        </w:tc>
        <w:tc>
          <w:tcPr>
            <w:tcW w:w="1499" w:type="pct"/>
            <w:tcBorders>
              <w:bottom w:val="single" w:sz="4" w:space="0" w:color="auto"/>
            </w:tcBorders>
            <w:shd w:val="clear" w:color="auto" w:fill="auto"/>
          </w:tcPr>
          <w:p w14:paraId="02E0E6B6" w14:textId="77777777" w:rsidR="002457F1" w:rsidRPr="00193354" w:rsidRDefault="002457F1" w:rsidP="00B855F4">
            <w:pPr>
              <w:pStyle w:val="Tabletext"/>
              <w:jc w:val="right"/>
            </w:pPr>
            <w:r w:rsidRPr="00193354">
              <w:t>$</w:t>
            </w:r>
            <w:r w:rsidR="00B0743A" w:rsidRPr="00193354">
              <w:t>18</w:t>
            </w:r>
          </w:p>
        </w:tc>
        <w:tc>
          <w:tcPr>
            <w:tcW w:w="1499" w:type="pct"/>
            <w:tcBorders>
              <w:bottom w:val="single" w:sz="4" w:space="0" w:color="auto"/>
            </w:tcBorders>
            <w:shd w:val="clear" w:color="auto" w:fill="auto"/>
          </w:tcPr>
          <w:p w14:paraId="08FF75EA" w14:textId="77777777" w:rsidR="002457F1" w:rsidRPr="00193354" w:rsidRDefault="002457F1" w:rsidP="00B855F4">
            <w:pPr>
              <w:pStyle w:val="Tabletext"/>
              <w:jc w:val="right"/>
            </w:pPr>
            <w:r w:rsidRPr="00193354">
              <w:t>$</w:t>
            </w:r>
            <w:r w:rsidR="00B0743A" w:rsidRPr="00193354">
              <w:t>20</w:t>
            </w:r>
          </w:p>
        </w:tc>
      </w:tr>
      <w:tr w:rsidR="002457F1" w:rsidRPr="00193354" w14:paraId="669B3A62" w14:textId="77777777" w:rsidTr="00B855F4">
        <w:tc>
          <w:tcPr>
            <w:tcW w:w="504" w:type="pct"/>
            <w:tcBorders>
              <w:bottom w:val="single" w:sz="4" w:space="0" w:color="auto"/>
            </w:tcBorders>
            <w:shd w:val="clear" w:color="auto" w:fill="auto"/>
          </w:tcPr>
          <w:p w14:paraId="070FB405" w14:textId="77777777" w:rsidR="002457F1" w:rsidRPr="00193354" w:rsidRDefault="00503CF1" w:rsidP="00B855F4">
            <w:pPr>
              <w:pStyle w:val="Tabletext"/>
            </w:pPr>
            <w:r w:rsidRPr="00193354">
              <w:t>8</w:t>
            </w:r>
          </w:p>
        </w:tc>
        <w:tc>
          <w:tcPr>
            <w:tcW w:w="1499" w:type="pct"/>
            <w:tcBorders>
              <w:bottom w:val="single" w:sz="4" w:space="0" w:color="auto"/>
            </w:tcBorders>
            <w:shd w:val="clear" w:color="auto" w:fill="auto"/>
          </w:tcPr>
          <w:p w14:paraId="0079CE01" w14:textId="77777777" w:rsidR="002457F1" w:rsidRPr="00193354" w:rsidRDefault="002457F1" w:rsidP="00B855F4">
            <w:pPr>
              <w:pStyle w:val="Tabletext"/>
            </w:pPr>
            <w:r w:rsidRPr="00193354">
              <w:t>Item 3.3</w:t>
            </w:r>
          </w:p>
        </w:tc>
        <w:tc>
          <w:tcPr>
            <w:tcW w:w="1499" w:type="pct"/>
            <w:tcBorders>
              <w:bottom w:val="single" w:sz="4" w:space="0" w:color="auto"/>
            </w:tcBorders>
            <w:shd w:val="clear" w:color="auto" w:fill="auto"/>
          </w:tcPr>
          <w:p w14:paraId="5BE0B9F4" w14:textId="77777777" w:rsidR="002457F1" w:rsidRPr="00193354" w:rsidRDefault="002457F1" w:rsidP="00B855F4">
            <w:pPr>
              <w:pStyle w:val="Tabletext"/>
              <w:jc w:val="right"/>
            </w:pPr>
            <w:r w:rsidRPr="00193354">
              <w:t>$</w:t>
            </w:r>
            <w:r w:rsidR="00B0743A" w:rsidRPr="00193354">
              <w:t>36</w:t>
            </w:r>
          </w:p>
        </w:tc>
        <w:tc>
          <w:tcPr>
            <w:tcW w:w="1499" w:type="pct"/>
            <w:tcBorders>
              <w:bottom w:val="single" w:sz="4" w:space="0" w:color="auto"/>
            </w:tcBorders>
            <w:shd w:val="clear" w:color="auto" w:fill="auto"/>
          </w:tcPr>
          <w:p w14:paraId="574AAB52" w14:textId="77777777" w:rsidR="002457F1" w:rsidRPr="00193354" w:rsidRDefault="002457F1" w:rsidP="00B855F4">
            <w:pPr>
              <w:pStyle w:val="Tabletext"/>
              <w:jc w:val="right"/>
            </w:pPr>
            <w:r w:rsidRPr="00193354">
              <w:t>$</w:t>
            </w:r>
            <w:r w:rsidR="00B0743A" w:rsidRPr="00193354">
              <w:t>40</w:t>
            </w:r>
          </w:p>
        </w:tc>
      </w:tr>
      <w:tr w:rsidR="002457F1" w:rsidRPr="00193354" w14:paraId="5CCD6A1B" w14:textId="77777777" w:rsidTr="00B855F4">
        <w:tc>
          <w:tcPr>
            <w:tcW w:w="504" w:type="pct"/>
            <w:tcBorders>
              <w:bottom w:val="single" w:sz="4" w:space="0" w:color="auto"/>
            </w:tcBorders>
            <w:shd w:val="clear" w:color="auto" w:fill="auto"/>
          </w:tcPr>
          <w:p w14:paraId="6C1BBA62" w14:textId="77777777" w:rsidR="002457F1" w:rsidRPr="00193354" w:rsidRDefault="00503CF1" w:rsidP="00B855F4">
            <w:pPr>
              <w:pStyle w:val="Tabletext"/>
            </w:pPr>
            <w:r w:rsidRPr="00193354">
              <w:t>9</w:t>
            </w:r>
          </w:p>
        </w:tc>
        <w:tc>
          <w:tcPr>
            <w:tcW w:w="1499" w:type="pct"/>
            <w:tcBorders>
              <w:bottom w:val="single" w:sz="4" w:space="0" w:color="auto"/>
            </w:tcBorders>
            <w:shd w:val="clear" w:color="auto" w:fill="auto"/>
          </w:tcPr>
          <w:p w14:paraId="7ECA3A4F" w14:textId="77777777" w:rsidR="002457F1" w:rsidRPr="00193354" w:rsidRDefault="00DB5DF7" w:rsidP="00B855F4">
            <w:pPr>
              <w:pStyle w:val="Tabletext"/>
            </w:pPr>
            <w:r w:rsidRPr="00193354">
              <w:t>Item 1</w:t>
            </w:r>
            <w:r w:rsidR="002457F1" w:rsidRPr="00193354">
              <w:t>0.1</w:t>
            </w:r>
          </w:p>
        </w:tc>
        <w:tc>
          <w:tcPr>
            <w:tcW w:w="1499" w:type="pct"/>
            <w:tcBorders>
              <w:bottom w:val="single" w:sz="4" w:space="0" w:color="auto"/>
            </w:tcBorders>
            <w:shd w:val="clear" w:color="auto" w:fill="auto"/>
          </w:tcPr>
          <w:p w14:paraId="2F2BDA84" w14:textId="77777777" w:rsidR="002457F1" w:rsidRPr="00193354" w:rsidRDefault="002457F1" w:rsidP="00B855F4">
            <w:pPr>
              <w:pStyle w:val="Tabletext"/>
              <w:jc w:val="right"/>
            </w:pPr>
            <w:r w:rsidRPr="00193354">
              <w:t>$</w:t>
            </w:r>
            <w:r w:rsidR="00B0743A" w:rsidRPr="00193354">
              <w:t>119</w:t>
            </w:r>
          </w:p>
        </w:tc>
        <w:tc>
          <w:tcPr>
            <w:tcW w:w="1499" w:type="pct"/>
            <w:tcBorders>
              <w:bottom w:val="single" w:sz="4" w:space="0" w:color="auto"/>
            </w:tcBorders>
            <w:shd w:val="clear" w:color="auto" w:fill="auto"/>
          </w:tcPr>
          <w:p w14:paraId="406AD07F" w14:textId="77777777" w:rsidR="002457F1" w:rsidRPr="00193354" w:rsidRDefault="002457F1" w:rsidP="00B855F4">
            <w:pPr>
              <w:pStyle w:val="Tabletext"/>
              <w:jc w:val="right"/>
            </w:pPr>
            <w:r w:rsidRPr="00193354">
              <w:t>$</w:t>
            </w:r>
            <w:r w:rsidR="00B0743A" w:rsidRPr="00193354">
              <w:t>131</w:t>
            </w:r>
          </w:p>
        </w:tc>
      </w:tr>
      <w:tr w:rsidR="002457F1" w:rsidRPr="00193354" w14:paraId="673CA06C" w14:textId="77777777" w:rsidTr="00B855F4">
        <w:tc>
          <w:tcPr>
            <w:tcW w:w="504" w:type="pct"/>
            <w:shd w:val="clear" w:color="auto" w:fill="auto"/>
          </w:tcPr>
          <w:p w14:paraId="4F6C8312" w14:textId="77777777" w:rsidR="002457F1" w:rsidRPr="00193354" w:rsidRDefault="00503CF1" w:rsidP="00B855F4">
            <w:pPr>
              <w:pStyle w:val="Tabletext"/>
            </w:pPr>
            <w:r w:rsidRPr="00193354">
              <w:t>10</w:t>
            </w:r>
          </w:p>
        </w:tc>
        <w:tc>
          <w:tcPr>
            <w:tcW w:w="1499" w:type="pct"/>
            <w:shd w:val="clear" w:color="auto" w:fill="auto"/>
          </w:tcPr>
          <w:p w14:paraId="10ED2DA5" w14:textId="77777777" w:rsidR="002457F1" w:rsidRPr="00193354" w:rsidRDefault="00DB5DF7" w:rsidP="00B855F4">
            <w:pPr>
              <w:pStyle w:val="Tabletext"/>
            </w:pPr>
            <w:r w:rsidRPr="00193354">
              <w:t>Item 1</w:t>
            </w:r>
            <w:r w:rsidR="002457F1" w:rsidRPr="00193354">
              <w:t>3.1</w:t>
            </w:r>
          </w:p>
        </w:tc>
        <w:tc>
          <w:tcPr>
            <w:tcW w:w="1499" w:type="pct"/>
            <w:shd w:val="clear" w:color="auto" w:fill="auto"/>
          </w:tcPr>
          <w:p w14:paraId="75FCE031" w14:textId="77777777" w:rsidR="002457F1" w:rsidRPr="00193354" w:rsidRDefault="00B0743A" w:rsidP="00B855F4">
            <w:pPr>
              <w:pStyle w:val="Tabletext"/>
              <w:jc w:val="right"/>
            </w:pPr>
            <w:r w:rsidRPr="00193354">
              <w:t>$4,230</w:t>
            </w:r>
          </w:p>
        </w:tc>
        <w:tc>
          <w:tcPr>
            <w:tcW w:w="1499" w:type="pct"/>
            <w:shd w:val="clear" w:color="auto" w:fill="auto"/>
          </w:tcPr>
          <w:p w14:paraId="01319C0F" w14:textId="77777777" w:rsidR="002457F1" w:rsidRPr="00193354" w:rsidRDefault="002457F1" w:rsidP="00B855F4">
            <w:pPr>
              <w:pStyle w:val="Tabletext"/>
              <w:jc w:val="right"/>
            </w:pPr>
            <w:r w:rsidRPr="00193354">
              <w:t>$4,</w:t>
            </w:r>
            <w:r w:rsidR="00B0743A" w:rsidRPr="00193354">
              <w:t>653</w:t>
            </w:r>
          </w:p>
        </w:tc>
      </w:tr>
      <w:tr w:rsidR="002457F1" w:rsidRPr="00193354" w14:paraId="47E32B70" w14:textId="77777777" w:rsidTr="00B855F4">
        <w:tc>
          <w:tcPr>
            <w:tcW w:w="504" w:type="pct"/>
            <w:shd w:val="clear" w:color="auto" w:fill="auto"/>
          </w:tcPr>
          <w:p w14:paraId="1BE33930" w14:textId="77777777" w:rsidR="002457F1" w:rsidRPr="00193354" w:rsidRDefault="00503CF1" w:rsidP="00B855F4">
            <w:pPr>
              <w:pStyle w:val="Tabletext"/>
            </w:pPr>
            <w:r w:rsidRPr="00193354">
              <w:t>11</w:t>
            </w:r>
          </w:p>
        </w:tc>
        <w:tc>
          <w:tcPr>
            <w:tcW w:w="1499" w:type="pct"/>
            <w:shd w:val="clear" w:color="auto" w:fill="auto"/>
          </w:tcPr>
          <w:p w14:paraId="77159F3B" w14:textId="77777777" w:rsidR="002457F1" w:rsidRPr="00193354" w:rsidRDefault="00DB5DF7" w:rsidP="00B855F4">
            <w:pPr>
              <w:pStyle w:val="Tabletext"/>
            </w:pPr>
            <w:r w:rsidRPr="00193354">
              <w:t>Item 1</w:t>
            </w:r>
            <w:r w:rsidR="002457F1" w:rsidRPr="00193354">
              <w:t>4.1</w:t>
            </w:r>
          </w:p>
        </w:tc>
        <w:tc>
          <w:tcPr>
            <w:tcW w:w="1499" w:type="pct"/>
            <w:shd w:val="clear" w:color="auto" w:fill="auto"/>
          </w:tcPr>
          <w:p w14:paraId="138A8E80" w14:textId="77777777" w:rsidR="002457F1" w:rsidRPr="00193354" w:rsidRDefault="002457F1" w:rsidP="00B855F4">
            <w:pPr>
              <w:pStyle w:val="Tabletext"/>
              <w:jc w:val="right"/>
            </w:pPr>
            <w:r w:rsidRPr="00193354">
              <w:t>$2,</w:t>
            </w:r>
            <w:r w:rsidR="00B0743A" w:rsidRPr="00193354">
              <w:t>718</w:t>
            </w:r>
          </w:p>
        </w:tc>
        <w:tc>
          <w:tcPr>
            <w:tcW w:w="1499" w:type="pct"/>
            <w:shd w:val="clear" w:color="auto" w:fill="auto"/>
          </w:tcPr>
          <w:p w14:paraId="458985EA" w14:textId="77777777" w:rsidR="002457F1" w:rsidRPr="00193354" w:rsidRDefault="002457F1" w:rsidP="00B855F4">
            <w:pPr>
              <w:pStyle w:val="Tabletext"/>
              <w:jc w:val="right"/>
            </w:pPr>
            <w:r w:rsidRPr="00193354">
              <w:t>$2,</w:t>
            </w:r>
            <w:r w:rsidR="00B0743A" w:rsidRPr="00193354">
              <w:t>990</w:t>
            </w:r>
          </w:p>
        </w:tc>
      </w:tr>
      <w:tr w:rsidR="002457F1" w:rsidRPr="00193354" w14:paraId="7E3D5051" w14:textId="77777777" w:rsidTr="00B855F4">
        <w:tc>
          <w:tcPr>
            <w:tcW w:w="504" w:type="pct"/>
            <w:shd w:val="clear" w:color="auto" w:fill="auto"/>
          </w:tcPr>
          <w:p w14:paraId="710641D3" w14:textId="77777777" w:rsidR="002457F1" w:rsidRPr="00193354" w:rsidRDefault="00503CF1" w:rsidP="00B855F4">
            <w:pPr>
              <w:pStyle w:val="Tabletext"/>
            </w:pPr>
            <w:r w:rsidRPr="00193354">
              <w:t>12</w:t>
            </w:r>
          </w:p>
        </w:tc>
        <w:tc>
          <w:tcPr>
            <w:tcW w:w="1499" w:type="pct"/>
            <w:shd w:val="clear" w:color="auto" w:fill="auto"/>
          </w:tcPr>
          <w:p w14:paraId="18182933" w14:textId="77777777" w:rsidR="002457F1" w:rsidRPr="00193354" w:rsidRDefault="00DB5DF7" w:rsidP="00B855F4">
            <w:pPr>
              <w:pStyle w:val="Tabletext"/>
            </w:pPr>
            <w:r w:rsidRPr="00193354">
              <w:t>Item 1</w:t>
            </w:r>
            <w:r w:rsidR="002457F1" w:rsidRPr="00193354">
              <w:t>4.2</w:t>
            </w:r>
          </w:p>
        </w:tc>
        <w:tc>
          <w:tcPr>
            <w:tcW w:w="1499" w:type="pct"/>
            <w:shd w:val="clear" w:color="auto" w:fill="auto"/>
          </w:tcPr>
          <w:p w14:paraId="71F15294" w14:textId="77777777" w:rsidR="002457F1" w:rsidRPr="00193354" w:rsidRDefault="002457F1" w:rsidP="00B855F4">
            <w:pPr>
              <w:pStyle w:val="Tabletext"/>
              <w:jc w:val="right"/>
            </w:pPr>
            <w:r w:rsidRPr="00193354">
              <w:t>$2,</w:t>
            </w:r>
            <w:r w:rsidR="00B0743A" w:rsidRPr="00193354">
              <w:t>339</w:t>
            </w:r>
          </w:p>
        </w:tc>
        <w:tc>
          <w:tcPr>
            <w:tcW w:w="1499" w:type="pct"/>
            <w:shd w:val="clear" w:color="auto" w:fill="auto"/>
          </w:tcPr>
          <w:p w14:paraId="51F9FBCA" w14:textId="77777777" w:rsidR="002457F1" w:rsidRPr="00193354" w:rsidRDefault="002457F1" w:rsidP="00B855F4">
            <w:pPr>
              <w:pStyle w:val="Tabletext"/>
              <w:jc w:val="right"/>
            </w:pPr>
            <w:r w:rsidRPr="00193354">
              <w:t>$2,</w:t>
            </w:r>
            <w:r w:rsidR="00B0743A" w:rsidRPr="00193354">
              <w:t>573</w:t>
            </w:r>
          </w:p>
        </w:tc>
      </w:tr>
      <w:tr w:rsidR="00B0743A" w:rsidRPr="00193354" w14:paraId="57152D8F" w14:textId="77777777" w:rsidTr="00B855F4">
        <w:tc>
          <w:tcPr>
            <w:tcW w:w="504" w:type="pct"/>
            <w:shd w:val="clear" w:color="auto" w:fill="auto"/>
          </w:tcPr>
          <w:p w14:paraId="113F2EC3" w14:textId="77777777" w:rsidR="00B0743A" w:rsidRPr="00193354" w:rsidRDefault="00503CF1" w:rsidP="00B855F4">
            <w:pPr>
              <w:pStyle w:val="Tabletext"/>
            </w:pPr>
            <w:r w:rsidRPr="00193354">
              <w:t>13</w:t>
            </w:r>
          </w:p>
        </w:tc>
        <w:tc>
          <w:tcPr>
            <w:tcW w:w="1499" w:type="pct"/>
            <w:shd w:val="clear" w:color="auto" w:fill="auto"/>
          </w:tcPr>
          <w:p w14:paraId="3FF1A1B7" w14:textId="77777777" w:rsidR="00B0743A" w:rsidRPr="00193354" w:rsidRDefault="00DB5DF7" w:rsidP="00B855F4">
            <w:pPr>
              <w:pStyle w:val="Tabletext"/>
            </w:pPr>
            <w:r w:rsidRPr="00193354">
              <w:t>Item 1</w:t>
            </w:r>
            <w:r w:rsidR="00B0743A" w:rsidRPr="00193354">
              <w:t>5.1</w:t>
            </w:r>
          </w:p>
        </w:tc>
        <w:tc>
          <w:tcPr>
            <w:tcW w:w="1499" w:type="pct"/>
            <w:shd w:val="clear" w:color="auto" w:fill="auto"/>
          </w:tcPr>
          <w:p w14:paraId="33D5D022" w14:textId="77777777" w:rsidR="00B0743A" w:rsidRPr="00193354" w:rsidRDefault="00B0743A" w:rsidP="00B855F4">
            <w:pPr>
              <w:pStyle w:val="Tabletext"/>
              <w:jc w:val="right"/>
            </w:pPr>
            <w:r w:rsidRPr="00193354">
              <w:t>$4,592</w:t>
            </w:r>
          </w:p>
        </w:tc>
        <w:tc>
          <w:tcPr>
            <w:tcW w:w="1499" w:type="pct"/>
            <w:shd w:val="clear" w:color="auto" w:fill="auto"/>
          </w:tcPr>
          <w:p w14:paraId="2C9E7C59" w14:textId="77777777" w:rsidR="00B0743A" w:rsidRPr="00193354" w:rsidRDefault="00B0743A" w:rsidP="00B855F4">
            <w:pPr>
              <w:pStyle w:val="Tabletext"/>
              <w:jc w:val="right"/>
            </w:pPr>
            <w:r w:rsidRPr="00193354">
              <w:t>$5,051</w:t>
            </w:r>
          </w:p>
        </w:tc>
      </w:tr>
      <w:tr w:rsidR="00B0743A" w:rsidRPr="00193354" w14:paraId="003802FD" w14:textId="77777777" w:rsidTr="00B855F4">
        <w:tc>
          <w:tcPr>
            <w:tcW w:w="504" w:type="pct"/>
            <w:shd w:val="clear" w:color="auto" w:fill="auto"/>
          </w:tcPr>
          <w:p w14:paraId="6281AEDF" w14:textId="77777777" w:rsidR="00B0743A" w:rsidRPr="00193354" w:rsidRDefault="00503CF1" w:rsidP="00B855F4">
            <w:pPr>
              <w:pStyle w:val="Tabletext"/>
            </w:pPr>
            <w:r w:rsidRPr="00193354">
              <w:t>14</w:t>
            </w:r>
          </w:p>
        </w:tc>
        <w:tc>
          <w:tcPr>
            <w:tcW w:w="1499" w:type="pct"/>
            <w:shd w:val="clear" w:color="auto" w:fill="auto"/>
          </w:tcPr>
          <w:p w14:paraId="241E9EBE" w14:textId="77777777" w:rsidR="00B0743A" w:rsidRPr="00193354" w:rsidRDefault="00DB5DF7" w:rsidP="00B855F4">
            <w:pPr>
              <w:pStyle w:val="Tabletext"/>
            </w:pPr>
            <w:r w:rsidRPr="00193354">
              <w:t>Item 1</w:t>
            </w:r>
            <w:r w:rsidR="00B0743A" w:rsidRPr="00193354">
              <w:t>5.2</w:t>
            </w:r>
          </w:p>
        </w:tc>
        <w:tc>
          <w:tcPr>
            <w:tcW w:w="1499" w:type="pct"/>
            <w:shd w:val="clear" w:color="auto" w:fill="auto"/>
          </w:tcPr>
          <w:p w14:paraId="45BCB0EC" w14:textId="77777777" w:rsidR="00B0743A" w:rsidRPr="00193354" w:rsidRDefault="00B0743A" w:rsidP="00B855F4">
            <w:pPr>
              <w:pStyle w:val="Tabletext"/>
              <w:jc w:val="right"/>
            </w:pPr>
            <w:r w:rsidRPr="00193354">
              <w:t>$7,241</w:t>
            </w:r>
          </w:p>
        </w:tc>
        <w:tc>
          <w:tcPr>
            <w:tcW w:w="1499" w:type="pct"/>
            <w:shd w:val="clear" w:color="auto" w:fill="auto"/>
          </w:tcPr>
          <w:p w14:paraId="72DC15AA" w14:textId="77777777" w:rsidR="00B0743A" w:rsidRPr="00193354" w:rsidRDefault="00B0743A" w:rsidP="00B855F4">
            <w:pPr>
              <w:pStyle w:val="Tabletext"/>
              <w:jc w:val="right"/>
            </w:pPr>
            <w:r w:rsidRPr="00193354">
              <w:t>$7,965</w:t>
            </w:r>
          </w:p>
        </w:tc>
      </w:tr>
      <w:tr w:rsidR="00B0743A" w:rsidRPr="00193354" w14:paraId="49EA3E87" w14:textId="77777777" w:rsidTr="00B855F4">
        <w:tc>
          <w:tcPr>
            <w:tcW w:w="504" w:type="pct"/>
            <w:shd w:val="clear" w:color="auto" w:fill="auto"/>
          </w:tcPr>
          <w:p w14:paraId="7FD74A7F" w14:textId="77777777" w:rsidR="00B0743A" w:rsidRPr="00193354" w:rsidRDefault="00503CF1" w:rsidP="00B855F4">
            <w:pPr>
              <w:pStyle w:val="Tabletext"/>
            </w:pPr>
            <w:r w:rsidRPr="00193354">
              <w:t>15</w:t>
            </w:r>
          </w:p>
        </w:tc>
        <w:tc>
          <w:tcPr>
            <w:tcW w:w="1499" w:type="pct"/>
            <w:shd w:val="clear" w:color="auto" w:fill="auto"/>
          </w:tcPr>
          <w:p w14:paraId="0151D8E3" w14:textId="77777777" w:rsidR="00B0743A" w:rsidRPr="00193354" w:rsidRDefault="00DB5DF7" w:rsidP="00B855F4">
            <w:pPr>
              <w:pStyle w:val="Tabletext"/>
            </w:pPr>
            <w:r w:rsidRPr="00193354">
              <w:t>Item 1</w:t>
            </w:r>
            <w:r w:rsidR="00B0743A" w:rsidRPr="00193354">
              <w:t>5.3</w:t>
            </w:r>
          </w:p>
        </w:tc>
        <w:tc>
          <w:tcPr>
            <w:tcW w:w="1499" w:type="pct"/>
            <w:shd w:val="clear" w:color="auto" w:fill="auto"/>
          </w:tcPr>
          <w:p w14:paraId="3BFA29CC" w14:textId="77777777" w:rsidR="00B0743A" w:rsidRPr="00193354" w:rsidRDefault="00B0743A" w:rsidP="00B855F4">
            <w:pPr>
              <w:pStyle w:val="Tabletext"/>
              <w:jc w:val="right"/>
            </w:pPr>
            <w:r w:rsidRPr="00193354">
              <w:t>$2,180</w:t>
            </w:r>
          </w:p>
        </w:tc>
        <w:tc>
          <w:tcPr>
            <w:tcW w:w="1499" w:type="pct"/>
            <w:shd w:val="clear" w:color="auto" w:fill="auto"/>
          </w:tcPr>
          <w:p w14:paraId="07224CD5" w14:textId="77777777" w:rsidR="00B0743A" w:rsidRPr="00193354" w:rsidRDefault="00B0743A" w:rsidP="00B855F4">
            <w:pPr>
              <w:pStyle w:val="Tabletext"/>
              <w:jc w:val="right"/>
            </w:pPr>
            <w:r w:rsidRPr="00193354">
              <w:t>$2,398</w:t>
            </w:r>
          </w:p>
        </w:tc>
      </w:tr>
      <w:tr w:rsidR="002457F1" w:rsidRPr="00193354" w14:paraId="45DA142B" w14:textId="77777777" w:rsidTr="00B855F4">
        <w:tc>
          <w:tcPr>
            <w:tcW w:w="504" w:type="pct"/>
            <w:tcBorders>
              <w:bottom w:val="single" w:sz="12" w:space="0" w:color="auto"/>
            </w:tcBorders>
            <w:shd w:val="clear" w:color="auto" w:fill="auto"/>
          </w:tcPr>
          <w:p w14:paraId="3A6D8EE5" w14:textId="77777777" w:rsidR="002457F1" w:rsidRPr="00193354" w:rsidRDefault="00503CF1" w:rsidP="00B855F4">
            <w:pPr>
              <w:pStyle w:val="Tabletext"/>
            </w:pPr>
            <w:r w:rsidRPr="00193354">
              <w:t>16</w:t>
            </w:r>
          </w:p>
        </w:tc>
        <w:tc>
          <w:tcPr>
            <w:tcW w:w="1499" w:type="pct"/>
            <w:tcBorders>
              <w:bottom w:val="single" w:sz="12" w:space="0" w:color="auto"/>
            </w:tcBorders>
            <w:shd w:val="clear" w:color="auto" w:fill="auto"/>
          </w:tcPr>
          <w:p w14:paraId="180FB678" w14:textId="77777777" w:rsidR="002457F1" w:rsidRPr="00193354" w:rsidRDefault="00DB5DF7" w:rsidP="00B855F4">
            <w:pPr>
              <w:pStyle w:val="Tabletext"/>
            </w:pPr>
            <w:r w:rsidRPr="00193354">
              <w:t>Item 1</w:t>
            </w:r>
            <w:r w:rsidR="002457F1" w:rsidRPr="00193354">
              <w:t>7.1</w:t>
            </w:r>
          </w:p>
        </w:tc>
        <w:tc>
          <w:tcPr>
            <w:tcW w:w="1499" w:type="pct"/>
            <w:tcBorders>
              <w:bottom w:val="single" w:sz="12" w:space="0" w:color="auto"/>
            </w:tcBorders>
            <w:shd w:val="clear" w:color="auto" w:fill="auto"/>
          </w:tcPr>
          <w:p w14:paraId="2DD7D3D1" w14:textId="77777777" w:rsidR="002457F1" w:rsidRPr="00193354" w:rsidRDefault="002457F1" w:rsidP="00B855F4">
            <w:pPr>
              <w:pStyle w:val="Tabletext"/>
              <w:jc w:val="right"/>
            </w:pPr>
            <w:r w:rsidRPr="00193354">
              <w:t>$</w:t>
            </w:r>
            <w:r w:rsidR="00B0743A" w:rsidRPr="00193354">
              <w:t>590</w:t>
            </w:r>
          </w:p>
        </w:tc>
        <w:tc>
          <w:tcPr>
            <w:tcW w:w="1499" w:type="pct"/>
            <w:tcBorders>
              <w:bottom w:val="single" w:sz="12" w:space="0" w:color="auto"/>
            </w:tcBorders>
            <w:shd w:val="clear" w:color="auto" w:fill="auto"/>
          </w:tcPr>
          <w:p w14:paraId="4BE5B192" w14:textId="77777777" w:rsidR="002457F1" w:rsidRPr="00193354" w:rsidRDefault="002457F1" w:rsidP="00B855F4">
            <w:pPr>
              <w:pStyle w:val="Tabletext"/>
              <w:jc w:val="right"/>
            </w:pPr>
            <w:r w:rsidRPr="00193354">
              <w:t>$</w:t>
            </w:r>
            <w:r w:rsidR="00B0743A" w:rsidRPr="00193354">
              <w:t>649</w:t>
            </w:r>
          </w:p>
        </w:tc>
      </w:tr>
    </w:tbl>
    <w:p w14:paraId="5A447F33" w14:textId="77777777" w:rsidR="00D93211" w:rsidRPr="00193354" w:rsidRDefault="00D93211" w:rsidP="002457F1">
      <w:pPr>
        <w:pStyle w:val="Tabletext"/>
      </w:pPr>
    </w:p>
    <w:p w14:paraId="10D0AF9B" w14:textId="77777777" w:rsidR="00921078" w:rsidRPr="00193354" w:rsidRDefault="00FA0E2F" w:rsidP="00FA0E2F">
      <w:pPr>
        <w:pStyle w:val="ActHead6"/>
        <w:pageBreakBefore/>
      </w:pPr>
      <w:bookmarkStart w:id="43" w:name="_Toc122448269"/>
      <w:r w:rsidRPr="00D478AB">
        <w:rPr>
          <w:rStyle w:val="CharAmSchNo"/>
        </w:rPr>
        <w:lastRenderedPageBreak/>
        <w:t>Schedule</w:t>
      </w:r>
      <w:r w:rsidR="00D376D2" w:rsidRPr="00D478AB">
        <w:rPr>
          <w:rStyle w:val="CharAmSchNo"/>
        </w:rPr>
        <w:t> 2</w:t>
      </w:r>
      <w:r w:rsidR="00921078" w:rsidRPr="00193354">
        <w:t>—</w:t>
      </w:r>
      <w:r w:rsidRPr="00D478AB">
        <w:rPr>
          <w:rStyle w:val="CharAmSchText"/>
        </w:rPr>
        <w:t xml:space="preserve">Amendment of the Federal Court (Criminal Proceedings) </w:t>
      </w:r>
      <w:r w:rsidR="004554DA" w:rsidRPr="00D478AB">
        <w:rPr>
          <w:rStyle w:val="CharAmSchText"/>
        </w:rPr>
        <w:t>Rules 2</w:t>
      </w:r>
      <w:r w:rsidRPr="00D478AB">
        <w:rPr>
          <w:rStyle w:val="CharAmSchText"/>
        </w:rPr>
        <w:t>016</w:t>
      </w:r>
      <w:bookmarkEnd w:id="43"/>
    </w:p>
    <w:p w14:paraId="30ED8C40" w14:textId="77777777" w:rsidR="00FA0E2F" w:rsidRPr="00D478AB" w:rsidRDefault="00FA0E2F" w:rsidP="00FA0E2F">
      <w:pPr>
        <w:pStyle w:val="Header"/>
      </w:pPr>
      <w:r w:rsidRPr="00D478AB">
        <w:rPr>
          <w:rStyle w:val="CharAmPartNo"/>
        </w:rPr>
        <w:t xml:space="preserve"> </w:t>
      </w:r>
      <w:r w:rsidRPr="00D478AB">
        <w:rPr>
          <w:rStyle w:val="CharAmPartText"/>
        </w:rPr>
        <w:t xml:space="preserve"> </w:t>
      </w:r>
    </w:p>
    <w:p w14:paraId="242A3CE8" w14:textId="77777777" w:rsidR="00CC43D6" w:rsidRPr="00193354" w:rsidRDefault="00CC43D6" w:rsidP="00CC43D6">
      <w:pPr>
        <w:pStyle w:val="ActHead9"/>
      </w:pPr>
      <w:bookmarkStart w:id="44" w:name="_Toc122448270"/>
      <w:r w:rsidRPr="00193354">
        <w:t xml:space="preserve">Federal Court (Criminal Proceedings) </w:t>
      </w:r>
      <w:r w:rsidR="004554DA" w:rsidRPr="00193354">
        <w:t>Rules 2</w:t>
      </w:r>
      <w:r w:rsidRPr="00193354">
        <w:t>016</w:t>
      </w:r>
      <w:bookmarkEnd w:id="44"/>
    </w:p>
    <w:p w14:paraId="036F58F7" w14:textId="77777777" w:rsidR="00265C7C" w:rsidRPr="00193354" w:rsidRDefault="006A5796" w:rsidP="00CC43D6">
      <w:pPr>
        <w:pStyle w:val="ItemHead"/>
      </w:pPr>
      <w:r w:rsidRPr="00193354">
        <w:t>1</w:t>
      </w:r>
      <w:r w:rsidR="00265C7C" w:rsidRPr="00193354">
        <w:t xml:space="preserve">  </w:t>
      </w:r>
      <w:r w:rsidR="001C5863" w:rsidRPr="00193354">
        <w:t>Sub</w:t>
      </w:r>
      <w:r w:rsidR="00DC569F" w:rsidRPr="00193354">
        <w:t>rule 8</w:t>
      </w:r>
      <w:r w:rsidR="001C5863" w:rsidRPr="00193354">
        <w:t>.08(1)</w:t>
      </w:r>
    </w:p>
    <w:p w14:paraId="61B4B68C" w14:textId="77777777" w:rsidR="001C5863" w:rsidRPr="00193354" w:rsidRDefault="001C5863" w:rsidP="001C5863">
      <w:pPr>
        <w:pStyle w:val="Item"/>
      </w:pPr>
      <w:r w:rsidRPr="00193354">
        <w:t>Repeal the subrule, substitute:</w:t>
      </w:r>
    </w:p>
    <w:p w14:paraId="6CCC0940" w14:textId="77777777" w:rsidR="001C5863" w:rsidRPr="00193354" w:rsidRDefault="001C5863" w:rsidP="001C5863">
      <w:pPr>
        <w:pStyle w:val="subsection"/>
      </w:pPr>
      <w:r w:rsidRPr="00193354">
        <w:tab/>
        <w:t>(1)</w:t>
      </w:r>
      <w:r w:rsidRPr="00193354">
        <w:tab/>
        <w:t>An addressee need not comply with the requirements of a subpoena if conduct money has not been handed or tendered to the addressee a reasonable time before the date or time specified in the subpoena as the date or time for attendance or for production or for both.</w:t>
      </w:r>
    </w:p>
    <w:p w14:paraId="6A8BC7C5" w14:textId="77777777" w:rsidR="006A5796" w:rsidRPr="00193354" w:rsidRDefault="006A5796" w:rsidP="006A5796">
      <w:pPr>
        <w:pStyle w:val="ItemHead"/>
      </w:pPr>
      <w:r w:rsidRPr="00193354">
        <w:t xml:space="preserve">2  After </w:t>
      </w:r>
      <w:r w:rsidR="00DB5DF7" w:rsidRPr="00193354">
        <w:t>Part 9</w:t>
      </w:r>
    </w:p>
    <w:p w14:paraId="0F7BC396" w14:textId="77777777" w:rsidR="006A5796" w:rsidRPr="00193354" w:rsidRDefault="006A5796" w:rsidP="006A5796">
      <w:pPr>
        <w:pStyle w:val="Item"/>
      </w:pPr>
      <w:r w:rsidRPr="00193354">
        <w:t>Insert:</w:t>
      </w:r>
    </w:p>
    <w:p w14:paraId="1A0AFE01" w14:textId="77777777" w:rsidR="006A5796" w:rsidRPr="00193354" w:rsidRDefault="00DB5DF7" w:rsidP="006A5796">
      <w:pPr>
        <w:pStyle w:val="ActHead2"/>
      </w:pPr>
      <w:bookmarkStart w:id="45" w:name="_Toc122448271"/>
      <w:r w:rsidRPr="00D478AB">
        <w:rPr>
          <w:rStyle w:val="CharPartNo"/>
        </w:rPr>
        <w:t>Part 1</w:t>
      </w:r>
      <w:r w:rsidR="006A5796" w:rsidRPr="00D478AB">
        <w:rPr>
          <w:rStyle w:val="CharPartNo"/>
        </w:rPr>
        <w:t>0</w:t>
      </w:r>
      <w:r w:rsidR="006A5796" w:rsidRPr="00193354">
        <w:t>—</w:t>
      </w:r>
      <w:r w:rsidR="006A5796" w:rsidRPr="00D478AB">
        <w:rPr>
          <w:rStyle w:val="CharPartText"/>
        </w:rPr>
        <w:t>Transitional provisions</w:t>
      </w:r>
      <w:bookmarkEnd w:id="45"/>
    </w:p>
    <w:p w14:paraId="32BF1BCB" w14:textId="77777777" w:rsidR="006A5796" w:rsidRPr="00193354" w:rsidRDefault="006A5796" w:rsidP="00063A2C">
      <w:pPr>
        <w:pStyle w:val="ActHead3"/>
      </w:pPr>
      <w:bookmarkStart w:id="46" w:name="_Toc122448272"/>
      <w:r w:rsidRPr="00D478AB">
        <w:rPr>
          <w:rStyle w:val="CharDivNo"/>
        </w:rPr>
        <w:t>Division 10.1</w:t>
      </w:r>
      <w:r w:rsidRPr="00193354">
        <w:t>—</w:t>
      </w:r>
      <w:r w:rsidRPr="00D478AB">
        <w:rPr>
          <w:rStyle w:val="CharDivText"/>
        </w:rPr>
        <w:t xml:space="preserve">Transitional provisions relating to the Federal Court Legislation Amendment </w:t>
      </w:r>
      <w:r w:rsidR="004554DA" w:rsidRPr="00D478AB">
        <w:rPr>
          <w:rStyle w:val="CharDivText"/>
        </w:rPr>
        <w:t>Rules 2</w:t>
      </w:r>
      <w:r w:rsidRPr="00D478AB">
        <w:rPr>
          <w:rStyle w:val="CharDivText"/>
        </w:rPr>
        <w:t>022</w:t>
      </w:r>
      <w:bookmarkEnd w:id="46"/>
    </w:p>
    <w:p w14:paraId="689A13C2" w14:textId="77777777" w:rsidR="006A5796" w:rsidRPr="00193354" w:rsidRDefault="006A5796" w:rsidP="006A5796">
      <w:pPr>
        <w:pStyle w:val="ActHead5"/>
      </w:pPr>
      <w:bookmarkStart w:id="47" w:name="_Toc122448273"/>
      <w:r w:rsidRPr="00D478AB">
        <w:rPr>
          <w:rStyle w:val="CharSectno"/>
        </w:rPr>
        <w:t>10.01</w:t>
      </w:r>
      <w:r w:rsidRPr="00193354">
        <w:t xml:space="preserve">  Application of amendments relating to subpoenas</w:t>
      </w:r>
      <w:bookmarkEnd w:id="47"/>
    </w:p>
    <w:p w14:paraId="79F4F195" w14:textId="77777777" w:rsidR="006A5796" w:rsidRPr="00193354" w:rsidRDefault="006A5796" w:rsidP="006A5796">
      <w:pPr>
        <w:pStyle w:val="subsection"/>
      </w:pPr>
      <w:r w:rsidRPr="00193354">
        <w:tab/>
      </w:r>
      <w:r w:rsidRPr="00193354">
        <w:tab/>
        <w:t xml:space="preserve">Subrule 8.08(1) of these Rules, as in force immediately after the commencement of the </w:t>
      </w:r>
      <w:r w:rsidRPr="00193354">
        <w:rPr>
          <w:i/>
        </w:rPr>
        <w:t xml:space="preserve">Federal Court Legislation Amendment </w:t>
      </w:r>
      <w:r w:rsidR="004554DA" w:rsidRPr="00193354">
        <w:rPr>
          <w:i/>
        </w:rPr>
        <w:t>Rules 2</w:t>
      </w:r>
      <w:r w:rsidRPr="00193354">
        <w:rPr>
          <w:i/>
        </w:rPr>
        <w:t>022</w:t>
      </w:r>
      <w:r w:rsidRPr="00193354">
        <w:t>, applies in relation to subpoenas issued on or after that commencement.</w:t>
      </w:r>
    </w:p>
    <w:p w14:paraId="44E4E7DA" w14:textId="77777777" w:rsidR="006A5796" w:rsidRPr="00193354" w:rsidRDefault="006A5796" w:rsidP="006A5796">
      <w:pPr>
        <w:pStyle w:val="ActHead5"/>
      </w:pPr>
      <w:bookmarkStart w:id="48" w:name="_Toc122448274"/>
      <w:r w:rsidRPr="00D478AB">
        <w:rPr>
          <w:rStyle w:val="CharSectno"/>
        </w:rPr>
        <w:t>10.02</w:t>
      </w:r>
      <w:r w:rsidRPr="00193354">
        <w:t xml:space="preserve">  Expiry of this Division</w:t>
      </w:r>
      <w:bookmarkEnd w:id="48"/>
    </w:p>
    <w:p w14:paraId="1C9F6074" w14:textId="77777777" w:rsidR="006A5796" w:rsidRPr="00193354" w:rsidRDefault="006A5796" w:rsidP="001C5863">
      <w:pPr>
        <w:pStyle w:val="subsection"/>
      </w:pPr>
      <w:r w:rsidRPr="00193354">
        <w:tab/>
      </w:r>
      <w:r w:rsidRPr="00193354">
        <w:tab/>
        <w:t xml:space="preserve">This Division is repealed at the start of the day after the end of the period of 6 months beginning on the day the </w:t>
      </w:r>
      <w:r w:rsidRPr="00193354">
        <w:rPr>
          <w:i/>
        </w:rPr>
        <w:t xml:space="preserve">Federal Court Legislation Amendment </w:t>
      </w:r>
      <w:r w:rsidR="004554DA" w:rsidRPr="00193354">
        <w:rPr>
          <w:i/>
        </w:rPr>
        <w:t>Rules 2</w:t>
      </w:r>
      <w:r w:rsidRPr="00193354">
        <w:rPr>
          <w:i/>
        </w:rPr>
        <w:t>022</w:t>
      </w:r>
      <w:r w:rsidRPr="00193354">
        <w:t xml:space="preserve"> commence.</w:t>
      </w:r>
    </w:p>
    <w:p w14:paraId="2943F5D8" w14:textId="77777777" w:rsidR="00CC43D6" w:rsidRPr="00193354" w:rsidRDefault="00107EC3" w:rsidP="00CC43D6">
      <w:pPr>
        <w:pStyle w:val="ItemHead"/>
      </w:pPr>
      <w:r w:rsidRPr="00193354">
        <w:t>3</w:t>
      </w:r>
      <w:r w:rsidR="00CC43D6" w:rsidRPr="00193354">
        <w:t xml:space="preserve">  After </w:t>
      </w:r>
      <w:r w:rsidR="00282B96" w:rsidRPr="00193354">
        <w:t>paragraph (</w:t>
      </w:r>
      <w:r w:rsidR="00CC43D6" w:rsidRPr="00193354">
        <w:t xml:space="preserve">1)(b) of </w:t>
      </w:r>
      <w:r w:rsidR="00DB5DF7" w:rsidRPr="00193354">
        <w:t>Schedule 1</w:t>
      </w:r>
    </w:p>
    <w:p w14:paraId="2F3B1FAF" w14:textId="77777777" w:rsidR="00CC43D6" w:rsidRPr="00193354" w:rsidRDefault="00CC43D6" w:rsidP="00CC43D6">
      <w:pPr>
        <w:pStyle w:val="Item"/>
      </w:pPr>
      <w:r w:rsidRPr="00193354">
        <w:t>Insert:</w:t>
      </w:r>
    </w:p>
    <w:p w14:paraId="0A3B499B" w14:textId="77777777" w:rsidR="00CC43D6" w:rsidRPr="00193354" w:rsidRDefault="00CC43D6" w:rsidP="00CC43D6">
      <w:pPr>
        <w:pStyle w:val="paragraph"/>
      </w:pPr>
      <w:r w:rsidRPr="00193354">
        <w:tab/>
        <w:t>(ba)</w:t>
      </w:r>
      <w:r w:rsidRPr="00193354">
        <w:tab/>
      </w:r>
      <w:r w:rsidRPr="00193354">
        <w:rPr>
          <w:b/>
          <w:i/>
        </w:rPr>
        <w:t>convention</w:t>
      </w:r>
      <w:r w:rsidRPr="00193354">
        <w:t>;</w:t>
      </w:r>
    </w:p>
    <w:p w14:paraId="1F83684C" w14:textId="77777777" w:rsidR="00CC43D6" w:rsidRPr="00193354" w:rsidRDefault="00107EC3" w:rsidP="00CC43D6">
      <w:pPr>
        <w:pStyle w:val="ItemHead"/>
      </w:pPr>
      <w:r w:rsidRPr="00193354">
        <w:t>4</w:t>
      </w:r>
      <w:r w:rsidR="00CC43D6" w:rsidRPr="00193354">
        <w:t xml:space="preserve">  Subclause (2) of </w:t>
      </w:r>
      <w:r w:rsidR="00DB5DF7" w:rsidRPr="00193354">
        <w:t>Schedule 1</w:t>
      </w:r>
      <w:r w:rsidR="00CC43D6" w:rsidRPr="00193354">
        <w:t xml:space="preserve"> (definition of </w:t>
      </w:r>
      <w:r w:rsidR="00CC43D6" w:rsidRPr="00193354">
        <w:rPr>
          <w:i/>
        </w:rPr>
        <w:t>convention</w:t>
      </w:r>
      <w:r w:rsidR="00CC43D6" w:rsidRPr="00193354">
        <w:t>)</w:t>
      </w:r>
    </w:p>
    <w:p w14:paraId="0F44ECCD" w14:textId="77777777" w:rsidR="00CC43D6" w:rsidRPr="00193354" w:rsidRDefault="00CC43D6" w:rsidP="00CC43D6">
      <w:pPr>
        <w:pStyle w:val="Item"/>
      </w:pPr>
      <w:r w:rsidRPr="00193354">
        <w:t>Repeal the definition.</w:t>
      </w:r>
    </w:p>
    <w:p w14:paraId="623D28FF" w14:textId="77777777" w:rsidR="007E31DC" w:rsidRPr="00193354" w:rsidRDefault="00D376D2" w:rsidP="007E31DC">
      <w:pPr>
        <w:pStyle w:val="ActHead6"/>
        <w:pageBreakBefore/>
      </w:pPr>
      <w:bookmarkStart w:id="49" w:name="_Toc122448275"/>
      <w:r w:rsidRPr="00D478AB">
        <w:rPr>
          <w:rStyle w:val="CharAmSchNo"/>
        </w:rPr>
        <w:lastRenderedPageBreak/>
        <w:t>Schedule </w:t>
      </w:r>
      <w:r w:rsidR="00FA0E2F" w:rsidRPr="00D478AB">
        <w:rPr>
          <w:rStyle w:val="CharAmSchNo"/>
        </w:rPr>
        <w:t>3</w:t>
      </w:r>
      <w:r w:rsidR="007E31DC" w:rsidRPr="00193354">
        <w:t>—</w:t>
      </w:r>
      <w:r w:rsidR="007E31DC" w:rsidRPr="00D478AB">
        <w:rPr>
          <w:rStyle w:val="CharAmSchText"/>
        </w:rPr>
        <w:t xml:space="preserve">Amendment of the Federal Court (Bankruptcy) </w:t>
      </w:r>
      <w:r w:rsidR="004554DA" w:rsidRPr="00D478AB">
        <w:rPr>
          <w:rStyle w:val="CharAmSchText"/>
        </w:rPr>
        <w:t>Rules 2</w:t>
      </w:r>
      <w:r w:rsidR="007E31DC" w:rsidRPr="00D478AB">
        <w:rPr>
          <w:rStyle w:val="CharAmSchText"/>
        </w:rPr>
        <w:t>016</w:t>
      </w:r>
      <w:bookmarkEnd w:id="49"/>
    </w:p>
    <w:p w14:paraId="5F5AA523" w14:textId="77777777" w:rsidR="007E31DC" w:rsidRPr="00D478AB" w:rsidRDefault="007E31DC" w:rsidP="007E31DC">
      <w:pPr>
        <w:pStyle w:val="Header"/>
      </w:pPr>
      <w:r w:rsidRPr="00D478AB">
        <w:rPr>
          <w:rStyle w:val="CharAmPartNo"/>
        </w:rPr>
        <w:t xml:space="preserve"> </w:t>
      </w:r>
      <w:r w:rsidRPr="00D478AB">
        <w:rPr>
          <w:rStyle w:val="CharAmPartText"/>
        </w:rPr>
        <w:t xml:space="preserve"> </w:t>
      </w:r>
    </w:p>
    <w:p w14:paraId="337E1C23" w14:textId="77777777" w:rsidR="008F2D72" w:rsidRPr="00193354" w:rsidRDefault="008F2D72" w:rsidP="008F2D72">
      <w:pPr>
        <w:pStyle w:val="ActHead9"/>
      </w:pPr>
      <w:bookmarkStart w:id="50" w:name="_Toc122448276"/>
      <w:r w:rsidRPr="00193354">
        <w:t xml:space="preserve">Federal Court (Bankruptcy) </w:t>
      </w:r>
      <w:r w:rsidR="004554DA" w:rsidRPr="00193354">
        <w:t>Rules 2</w:t>
      </w:r>
      <w:r w:rsidRPr="00193354">
        <w:t>016</w:t>
      </w:r>
      <w:bookmarkEnd w:id="50"/>
    </w:p>
    <w:p w14:paraId="080A3E30" w14:textId="77777777" w:rsidR="007E31DC" w:rsidRPr="00193354" w:rsidRDefault="00633E48" w:rsidP="007E31DC">
      <w:pPr>
        <w:pStyle w:val="ItemHead"/>
      </w:pPr>
      <w:r w:rsidRPr="00193354">
        <w:t>1  Sub</w:t>
      </w:r>
      <w:r w:rsidR="00282B96" w:rsidRPr="00193354">
        <w:t>rule 1</w:t>
      </w:r>
      <w:r w:rsidRPr="00193354">
        <w:t xml:space="preserve">.05(1) (definition of </w:t>
      </w:r>
      <w:r w:rsidRPr="00193354">
        <w:rPr>
          <w:i/>
        </w:rPr>
        <w:t>Bankruptcy Regulations</w:t>
      </w:r>
      <w:r w:rsidRPr="00193354">
        <w:t>)</w:t>
      </w:r>
    </w:p>
    <w:p w14:paraId="0C007841" w14:textId="77777777" w:rsidR="002C3A37" w:rsidRPr="00193354" w:rsidRDefault="002C3A37" w:rsidP="002C3A37">
      <w:pPr>
        <w:pStyle w:val="Item"/>
      </w:pPr>
      <w:r w:rsidRPr="00193354">
        <w:t>Omit “</w:t>
      </w:r>
      <w:r w:rsidR="00C85A0D" w:rsidRPr="00193354">
        <w:rPr>
          <w:i/>
        </w:rPr>
        <w:t>1</w:t>
      </w:r>
      <w:r w:rsidRPr="00193354">
        <w:rPr>
          <w:i/>
        </w:rPr>
        <w:t>996</w:t>
      </w:r>
      <w:r w:rsidRPr="00193354">
        <w:t>”, substitute “</w:t>
      </w:r>
      <w:r w:rsidR="00C85A0D" w:rsidRPr="00193354">
        <w:rPr>
          <w:i/>
        </w:rPr>
        <w:t>2</w:t>
      </w:r>
      <w:r w:rsidRPr="00193354">
        <w:rPr>
          <w:i/>
        </w:rPr>
        <w:t>021</w:t>
      </w:r>
      <w:r w:rsidRPr="00193354">
        <w:t>”.</w:t>
      </w:r>
    </w:p>
    <w:p w14:paraId="09120DAA" w14:textId="77777777" w:rsidR="003D346C" w:rsidRPr="00193354" w:rsidRDefault="003D346C" w:rsidP="003D346C">
      <w:pPr>
        <w:pStyle w:val="ItemHead"/>
      </w:pPr>
      <w:r w:rsidRPr="00193354">
        <w:t>2  Paragraph</w:t>
      </w:r>
      <w:r w:rsidR="00210546" w:rsidRPr="00193354">
        <w:t>s</w:t>
      </w:r>
      <w:r w:rsidRPr="00193354">
        <w:t xml:space="preserve"> 2.01(3)(a)</w:t>
      </w:r>
      <w:r w:rsidR="00210546" w:rsidRPr="00193354">
        <w:t xml:space="preserve"> and (4)(a)</w:t>
      </w:r>
    </w:p>
    <w:p w14:paraId="14A2E124" w14:textId="77777777" w:rsidR="003D346C" w:rsidRPr="00193354" w:rsidRDefault="003D346C" w:rsidP="003D346C">
      <w:pPr>
        <w:pStyle w:val="Item"/>
      </w:pPr>
      <w:r w:rsidRPr="00193354">
        <w:t xml:space="preserve">Omit </w:t>
      </w:r>
      <w:r w:rsidR="00210546" w:rsidRPr="00193354">
        <w:t>“regulation”, substitute “section”.</w:t>
      </w:r>
    </w:p>
    <w:p w14:paraId="47A3E643" w14:textId="77777777" w:rsidR="00210546" w:rsidRPr="00193354" w:rsidRDefault="00210546" w:rsidP="00210546">
      <w:pPr>
        <w:pStyle w:val="ItemHead"/>
      </w:pPr>
      <w:r w:rsidRPr="00193354">
        <w:t xml:space="preserve">3  </w:t>
      </w:r>
      <w:r w:rsidR="00282B96" w:rsidRPr="00193354">
        <w:t>Rule 1</w:t>
      </w:r>
      <w:r w:rsidRPr="00193354">
        <w:t>0.05 (note)</w:t>
      </w:r>
    </w:p>
    <w:p w14:paraId="75C57D6A" w14:textId="77777777" w:rsidR="00210546" w:rsidRPr="00193354" w:rsidRDefault="00210546" w:rsidP="00210546">
      <w:pPr>
        <w:pStyle w:val="Item"/>
      </w:pPr>
      <w:r w:rsidRPr="00193354">
        <w:t>Repeal the note, substitute:</w:t>
      </w:r>
    </w:p>
    <w:p w14:paraId="34694CFC" w14:textId="77777777" w:rsidR="00210546" w:rsidRPr="00193354" w:rsidRDefault="00210546" w:rsidP="00210546">
      <w:pPr>
        <w:pStyle w:val="notetext"/>
      </w:pPr>
      <w:r w:rsidRPr="00193354">
        <w:t>Note:</w:t>
      </w:r>
      <w:r w:rsidRPr="00193354">
        <w:tab/>
        <w:t xml:space="preserve">Subject to </w:t>
      </w:r>
      <w:r w:rsidR="00C85A0D" w:rsidRPr="00193354">
        <w:t>subsection 6</w:t>
      </w:r>
      <w:r w:rsidRPr="00193354">
        <w:t>7(2) of the Bankruptcy Regulations, a copy of the order must be given to the Official Receive</w:t>
      </w:r>
      <w:r w:rsidR="002A1A4C" w:rsidRPr="00193354">
        <w:t>r</w:t>
      </w:r>
      <w:r w:rsidRPr="00193354">
        <w:t xml:space="preserve"> within 2 </w:t>
      </w:r>
      <w:r w:rsidR="00D66917" w:rsidRPr="00193354">
        <w:t xml:space="preserve">business </w:t>
      </w:r>
      <w:r w:rsidRPr="00193354">
        <w:t xml:space="preserve">days after the order is made: see </w:t>
      </w:r>
      <w:r w:rsidR="00C85A0D" w:rsidRPr="00193354">
        <w:t>subsection 6</w:t>
      </w:r>
      <w:r w:rsidRPr="00193354">
        <w:t xml:space="preserve">7(1) of </w:t>
      </w:r>
      <w:r w:rsidR="00225462" w:rsidRPr="00193354">
        <w:t>that instrument.</w:t>
      </w:r>
    </w:p>
    <w:p w14:paraId="46BB3497" w14:textId="77777777" w:rsidR="00225462" w:rsidRPr="00193354" w:rsidRDefault="00225462" w:rsidP="00225462">
      <w:pPr>
        <w:pStyle w:val="ItemHead"/>
      </w:pPr>
      <w:r w:rsidRPr="00193354">
        <w:t xml:space="preserve">4  </w:t>
      </w:r>
      <w:r w:rsidR="00282B96" w:rsidRPr="00193354">
        <w:t>Rule 1</w:t>
      </w:r>
      <w:r w:rsidRPr="00193354">
        <w:t>1.04 (note)</w:t>
      </w:r>
    </w:p>
    <w:p w14:paraId="16DD64EB" w14:textId="77777777" w:rsidR="00225462" w:rsidRPr="00193354" w:rsidRDefault="00225462" w:rsidP="00225462">
      <w:pPr>
        <w:pStyle w:val="Item"/>
      </w:pPr>
      <w:r w:rsidRPr="00193354">
        <w:t>Omit “Regulation 11.01 of the Bankruptcy Regulations sets out the particulars that must be included in the statement.”.</w:t>
      </w:r>
    </w:p>
    <w:p w14:paraId="4675399A" w14:textId="77777777" w:rsidR="007E31DC" w:rsidRPr="00193354" w:rsidRDefault="00D376D2" w:rsidP="007E31DC">
      <w:pPr>
        <w:pStyle w:val="ActHead6"/>
        <w:pageBreakBefore/>
      </w:pPr>
      <w:bookmarkStart w:id="51" w:name="_Toc122448277"/>
      <w:r w:rsidRPr="00D478AB">
        <w:rPr>
          <w:rStyle w:val="CharAmSchNo"/>
        </w:rPr>
        <w:lastRenderedPageBreak/>
        <w:t>Schedule </w:t>
      </w:r>
      <w:r w:rsidR="00FA0E2F" w:rsidRPr="00D478AB">
        <w:rPr>
          <w:rStyle w:val="CharAmSchNo"/>
        </w:rPr>
        <w:t>4</w:t>
      </w:r>
      <w:r w:rsidR="007E31DC" w:rsidRPr="00193354">
        <w:t>—</w:t>
      </w:r>
      <w:r w:rsidR="007E31DC" w:rsidRPr="00D478AB">
        <w:rPr>
          <w:rStyle w:val="CharAmSchText"/>
        </w:rPr>
        <w:t xml:space="preserve">Amendment of the Federal Court (Corporations) </w:t>
      </w:r>
      <w:r w:rsidR="004554DA" w:rsidRPr="00D478AB">
        <w:rPr>
          <w:rStyle w:val="CharAmSchText"/>
        </w:rPr>
        <w:t>Rules 2</w:t>
      </w:r>
      <w:r w:rsidR="007E31DC" w:rsidRPr="00D478AB">
        <w:rPr>
          <w:rStyle w:val="CharAmSchText"/>
        </w:rPr>
        <w:t>000</w:t>
      </w:r>
      <w:bookmarkEnd w:id="51"/>
    </w:p>
    <w:p w14:paraId="1A2FA58F" w14:textId="77777777" w:rsidR="007E31DC" w:rsidRPr="00D478AB" w:rsidRDefault="007E31DC" w:rsidP="007E31DC">
      <w:pPr>
        <w:pStyle w:val="Header"/>
      </w:pPr>
      <w:r w:rsidRPr="00D478AB">
        <w:rPr>
          <w:rStyle w:val="CharAmPartNo"/>
        </w:rPr>
        <w:t xml:space="preserve"> </w:t>
      </w:r>
      <w:r w:rsidRPr="00D478AB">
        <w:rPr>
          <w:rStyle w:val="CharAmPartText"/>
        </w:rPr>
        <w:t xml:space="preserve"> </w:t>
      </w:r>
    </w:p>
    <w:p w14:paraId="30EF25E8" w14:textId="77777777" w:rsidR="009931EA" w:rsidRPr="00193354" w:rsidRDefault="009931EA" w:rsidP="009931EA">
      <w:pPr>
        <w:pStyle w:val="ActHead9"/>
      </w:pPr>
      <w:bookmarkStart w:id="52" w:name="_Toc122448278"/>
      <w:r w:rsidRPr="00193354">
        <w:t xml:space="preserve">Federal Court (Corporations) </w:t>
      </w:r>
      <w:r w:rsidR="004554DA" w:rsidRPr="00193354">
        <w:t>Rules 2</w:t>
      </w:r>
      <w:r w:rsidRPr="00193354">
        <w:t>000</w:t>
      </w:r>
      <w:bookmarkEnd w:id="52"/>
    </w:p>
    <w:p w14:paraId="618E0FA5" w14:textId="77777777" w:rsidR="00585EC7" w:rsidRPr="00193354" w:rsidRDefault="00A37128" w:rsidP="00585EC7">
      <w:pPr>
        <w:pStyle w:val="ItemHead"/>
      </w:pPr>
      <w:r w:rsidRPr="00193354">
        <w:t>1  Sub</w:t>
      </w:r>
      <w:r w:rsidR="00282B96" w:rsidRPr="00193354">
        <w:t>rule 2</w:t>
      </w:r>
      <w:r w:rsidRPr="00193354">
        <w:t xml:space="preserve">.8(3) (before table </w:t>
      </w:r>
      <w:r w:rsidR="00C85A0D" w:rsidRPr="00193354">
        <w:t>item 1</w:t>
      </w:r>
      <w:r w:rsidRPr="00193354">
        <w:t>)</w:t>
      </w:r>
    </w:p>
    <w:p w14:paraId="21FB0908" w14:textId="77777777" w:rsidR="00A37128" w:rsidRPr="00193354" w:rsidRDefault="00A37128" w:rsidP="00A37128">
      <w:pPr>
        <w:pStyle w:val="Item"/>
      </w:pPr>
      <w:r w:rsidRPr="00193354">
        <w:t>Insert:</w:t>
      </w:r>
    </w:p>
    <w:p w14:paraId="36963473" w14:textId="77777777" w:rsidR="00A37128" w:rsidRPr="00193354" w:rsidRDefault="00A37128" w:rsidP="00A37128">
      <w:pPr>
        <w:pStyle w:val="Tabletext"/>
      </w:pPr>
    </w:p>
    <w:tbl>
      <w:tblPr>
        <w:tblW w:w="5000" w:type="pct"/>
        <w:tblLook w:val="04A0" w:firstRow="1" w:lastRow="0" w:firstColumn="1" w:lastColumn="0" w:noHBand="0" w:noVBand="1"/>
      </w:tblPr>
      <w:tblGrid>
        <w:gridCol w:w="930"/>
        <w:gridCol w:w="3157"/>
        <w:gridCol w:w="4226"/>
      </w:tblGrid>
      <w:tr w:rsidR="00A37128" w:rsidRPr="00193354" w14:paraId="0BA7F36F" w14:textId="77777777" w:rsidTr="00474B8E">
        <w:tc>
          <w:tcPr>
            <w:tcW w:w="559" w:type="pct"/>
            <w:hideMark/>
          </w:tcPr>
          <w:p w14:paraId="3B66F0A0" w14:textId="77777777" w:rsidR="00A37128" w:rsidRPr="00193354" w:rsidRDefault="00A37128">
            <w:pPr>
              <w:pStyle w:val="Tabletext"/>
            </w:pPr>
            <w:r w:rsidRPr="00193354">
              <w:t>1A</w:t>
            </w:r>
          </w:p>
        </w:tc>
        <w:tc>
          <w:tcPr>
            <w:tcW w:w="1899" w:type="pct"/>
            <w:hideMark/>
          </w:tcPr>
          <w:p w14:paraId="772A0396" w14:textId="77777777" w:rsidR="00A37128" w:rsidRPr="00193354" w:rsidRDefault="00C85A0D">
            <w:pPr>
              <w:pStyle w:val="Tabletext"/>
            </w:pPr>
            <w:r w:rsidRPr="00193354">
              <w:t>Section 4</w:t>
            </w:r>
            <w:r w:rsidR="00A37128" w:rsidRPr="00193354">
              <w:t>23</w:t>
            </w:r>
          </w:p>
        </w:tc>
        <w:tc>
          <w:tcPr>
            <w:tcW w:w="2542" w:type="pct"/>
            <w:hideMark/>
          </w:tcPr>
          <w:p w14:paraId="21D88D0D" w14:textId="77777777" w:rsidR="00A37128" w:rsidRPr="00193354" w:rsidRDefault="00A37128">
            <w:pPr>
              <w:pStyle w:val="Tabletext"/>
            </w:pPr>
            <w:r w:rsidRPr="00193354">
              <w:t>To inquire into the conduct of a controller</w:t>
            </w:r>
          </w:p>
        </w:tc>
      </w:tr>
    </w:tbl>
    <w:p w14:paraId="45329648" w14:textId="77777777" w:rsidR="00A37128" w:rsidRPr="00193354" w:rsidRDefault="00474B8E" w:rsidP="00474B8E">
      <w:pPr>
        <w:pStyle w:val="ItemHead"/>
      </w:pPr>
      <w:r w:rsidRPr="00193354">
        <w:t xml:space="preserve">2  </w:t>
      </w:r>
      <w:r w:rsidR="00D376D2" w:rsidRPr="00193354">
        <w:t>Rule 2</w:t>
      </w:r>
      <w:r w:rsidRPr="00193354">
        <w:t>.15</w:t>
      </w:r>
    </w:p>
    <w:p w14:paraId="40BC2165" w14:textId="77777777" w:rsidR="00474B8E" w:rsidRPr="00193354" w:rsidRDefault="00474B8E" w:rsidP="00474B8E">
      <w:pPr>
        <w:pStyle w:val="Item"/>
      </w:pPr>
      <w:r w:rsidRPr="00193354">
        <w:t xml:space="preserve">Omit “regulations 5.6.11 to 5.6.36A of the Corporations Regulations”, substitute “to the extent applicable, </w:t>
      </w:r>
      <w:r w:rsidR="00C85A0D" w:rsidRPr="00193354">
        <w:t>Division 7</w:t>
      </w:r>
      <w:r w:rsidRPr="00193354">
        <w:t xml:space="preserve">5 of the Insolvency Practice Schedule (Corporations) and </w:t>
      </w:r>
      <w:r w:rsidR="00C85A0D" w:rsidRPr="00193354">
        <w:t>Division 7</w:t>
      </w:r>
      <w:r w:rsidRPr="00193354">
        <w:t xml:space="preserve">5 of the </w:t>
      </w:r>
      <w:r w:rsidRPr="00193354">
        <w:rPr>
          <w:i/>
        </w:rPr>
        <w:t>Insolvency Practice Rules (Corporations) 2016</w:t>
      </w:r>
      <w:r w:rsidRPr="00193354">
        <w:t>”.</w:t>
      </w:r>
    </w:p>
    <w:p w14:paraId="0C5A0659" w14:textId="77777777" w:rsidR="00D95788" w:rsidRPr="00193354" w:rsidRDefault="00067FFE" w:rsidP="00067FFE">
      <w:pPr>
        <w:pStyle w:val="ItemHead"/>
      </w:pPr>
      <w:r w:rsidRPr="00193354">
        <w:t xml:space="preserve">3  At the end of </w:t>
      </w:r>
      <w:r w:rsidR="00282B96" w:rsidRPr="00193354">
        <w:t>rule 4</w:t>
      </w:r>
      <w:r w:rsidRPr="00193354">
        <w:t>.1</w:t>
      </w:r>
    </w:p>
    <w:p w14:paraId="74B231F6" w14:textId="77777777" w:rsidR="00067FFE" w:rsidRPr="00193354" w:rsidRDefault="00067FFE" w:rsidP="00067FFE">
      <w:pPr>
        <w:pStyle w:val="Item"/>
      </w:pPr>
      <w:r w:rsidRPr="00193354">
        <w:t>Add:</w:t>
      </w:r>
    </w:p>
    <w:p w14:paraId="73339BF5" w14:textId="77777777" w:rsidR="00067FFE" w:rsidRPr="00193354" w:rsidRDefault="00067FFE" w:rsidP="00067FFE">
      <w:pPr>
        <w:pStyle w:val="notetext"/>
      </w:pPr>
      <w:r w:rsidRPr="00193354">
        <w:t>Note:</w:t>
      </w:r>
      <w:r w:rsidRPr="00193354">
        <w:tab/>
      </w:r>
      <w:r w:rsidR="00282B96" w:rsidRPr="00193354">
        <w:t>Rule 1</w:t>
      </w:r>
      <w:r w:rsidR="00C85399" w:rsidRPr="00193354">
        <w:t>1.2</w:t>
      </w:r>
      <w:r w:rsidR="00DC569F" w:rsidRPr="00193354">
        <w:t xml:space="preserve"> </w:t>
      </w:r>
      <w:r w:rsidRPr="00193354">
        <w:t>is about inquiries, examinations, investigations, and orders against a person concerned with a corporation.</w:t>
      </w:r>
    </w:p>
    <w:p w14:paraId="1DF2EDEF" w14:textId="77777777" w:rsidR="00292C77" w:rsidRPr="00193354" w:rsidRDefault="00292C77" w:rsidP="00292C77">
      <w:pPr>
        <w:pStyle w:val="ItemHead"/>
      </w:pPr>
      <w:r w:rsidRPr="00193354">
        <w:t xml:space="preserve">4  After </w:t>
      </w:r>
      <w:r w:rsidR="00D376D2" w:rsidRPr="00193354">
        <w:t>paragraph 5</w:t>
      </w:r>
      <w:r w:rsidRPr="00193354">
        <w:t>.4(2)(b)</w:t>
      </w:r>
    </w:p>
    <w:p w14:paraId="0B9E9AE8" w14:textId="77777777" w:rsidR="00292C77" w:rsidRPr="00193354" w:rsidRDefault="00292C77" w:rsidP="00292C77">
      <w:pPr>
        <w:pStyle w:val="Item"/>
      </w:pPr>
      <w:r w:rsidRPr="00193354">
        <w:t>Insert:</w:t>
      </w:r>
    </w:p>
    <w:p w14:paraId="5EA968C8" w14:textId="77777777" w:rsidR="00292C77" w:rsidRPr="00193354" w:rsidRDefault="00292C77" w:rsidP="00292C77">
      <w:pPr>
        <w:pStyle w:val="paragraph"/>
      </w:pPr>
      <w:r w:rsidRPr="00193354">
        <w:tab/>
        <w:t>(ba)</w:t>
      </w:r>
      <w:r w:rsidRPr="00193354">
        <w:tab/>
        <w:t>state whether or not the company has made an application in any court to set aside the demand and, if so, the outcome of that application; and</w:t>
      </w:r>
    </w:p>
    <w:p w14:paraId="2425AAD5" w14:textId="77777777" w:rsidR="00077F98" w:rsidRPr="00193354" w:rsidRDefault="00343854" w:rsidP="00343854">
      <w:pPr>
        <w:pStyle w:val="ItemHead"/>
      </w:pPr>
      <w:bookmarkStart w:id="53" w:name="_Hlk110856798"/>
      <w:r w:rsidRPr="00193354">
        <w:t xml:space="preserve">5  </w:t>
      </w:r>
      <w:r w:rsidR="00D376D2" w:rsidRPr="00193354">
        <w:t>Schedule 3</w:t>
      </w:r>
      <w:r w:rsidRPr="00193354">
        <w:t xml:space="preserve"> (after </w:t>
      </w:r>
      <w:r w:rsidR="00D376D2" w:rsidRPr="00193354">
        <w:t>paragraph 6</w:t>
      </w:r>
      <w:r w:rsidRPr="00193354">
        <w:t xml:space="preserve"> of note 2)</w:t>
      </w:r>
    </w:p>
    <w:p w14:paraId="54176F9D" w14:textId="77777777" w:rsidR="00343854" w:rsidRPr="00193354" w:rsidRDefault="00343854" w:rsidP="00343854">
      <w:pPr>
        <w:pStyle w:val="Item"/>
      </w:pPr>
      <w:r w:rsidRPr="00193354">
        <w:t>Insert:</w:t>
      </w:r>
    </w:p>
    <w:bookmarkEnd w:id="53"/>
    <w:p w14:paraId="2221C9C1" w14:textId="77777777" w:rsidR="00EE59EB" w:rsidRPr="00193354" w:rsidRDefault="00343854" w:rsidP="00013160">
      <w:pPr>
        <w:pStyle w:val="NormalWeb"/>
        <w:spacing w:before="120" w:line="240" w:lineRule="auto"/>
        <w:ind w:left="567" w:hanging="567"/>
        <w:jc w:val="both"/>
        <w:rPr>
          <w:sz w:val="20"/>
        </w:rPr>
      </w:pPr>
      <w:r w:rsidRPr="00193354">
        <w:rPr>
          <w:sz w:val="20"/>
        </w:rPr>
        <w:t xml:space="preserve">6A. </w:t>
      </w:r>
      <w:r w:rsidRPr="00193354">
        <w:rPr>
          <w:sz w:val="20"/>
        </w:rPr>
        <w:tab/>
        <w:t xml:space="preserve">The defendant has not made any application under </w:t>
      </w:r>
      <w:r w:rsidR="00D376D2" w:rsidRPr="00193354">
        <w:rPr>
          <w:sz w:val="20"/>
        </w:rPr>
        <w:t>section 4</w:t>
      </w:r>
      <w:r w:rsidRPr="00193354">
        <w:rPr>
          <w:sz w:val="20"/>
        </w:rPr>
        <w:t>59G of the Corporations Act to set aside the demand [</w:t>
      </w:r>
      <w:r w:rsidRPr="00193354">
        <w:rPr>
          <w:i/>
          <w:sz w:val="20"/>
        </w:rPr>
        <w:t>or</w:t>
      </w:r>
      <w:r w:rsidRPr="00193354">
        <w:rPr>
          <w:sz w:val="20"/>
        </w:rPr>
        <w:t xml:space="preserve"> On [</w:t>
      </w:r>
      <w:r w:rsidRPr="00193354">
        <w:rPr>
          <w:i/>
          <w:sz w:val="20"/>
        </w:rPr>
        <w:t>insert date</w:t>
      </w:r>
      <w:r w:rsidRPr="00193354">
        <w:rPr>
          <w:sz w:val="20"/>
        </w:rPr>
        <w:t>]</w:t>
      </w:r>
      <w:r w:rsidR="00AD177E" w:rsidRPr="00193354">
        <w:rPr>
          <w:sz w:val="20"/>
        </w:rPr>
        <w:t>,</w:t>
      </w:r>
      <w:r w:rsidRPr="00193354">
        <w:rPr>
          <w:sz w:val="20"/>
        </w:rPr>
        <w:t xml:space="preserve"> the defendant made an application under </w:t>
      </w:r>
      <w:r w:rsidR="00D376D2" w:rsidRPr="00193354">
        <w:rPr>
          <w:sz w:val="20"/>
        </w:rPr>
        <w:t>section 4</w:t>
      </w:r>
      <w:r w:rsidRPr="00193354">
        <w:rPr>
          <w:sz w:val="20"/>
        </w:rPr>
        <w:t>59G of the Corporations Act to [</w:t>
      </w:r>
      <w:r w:rsidRPr="00193354">
        <w:rPr>
          <w:i/>
          <w:sz w:val="20"/>
        </w:rPr>
        <w:t>insert name of Court</w:t>
      </w:r>
      <w:r w:rsidRPr="00193354">
        <w:rPr>
          <w:sz w:val="20"/>
        </w:rPr>
        <w:t xml:space="preserve">] to set aside </w:t>
      </w:r>
      <w:r w:rsidR="00224C09" w:rsidRPr="00193354">
        <w:rPr>
          <w:sz w:val="20"/>
        </w:rPr>
        <w:t>t</w:t>
      </w:r>
      <w:r w:rsidRPr="00193354">
        <w:rPr>
          <w:sz w:val="20"/>
        </w:rPr>
        <w:t>he demand. On [</w:t>
      </w:r>
      <w:r w:rsidRPr="00193354">
        <w:rPr>
          <w:i/>
          <w:sz w:val="20"/>
        </w:rPr>
        <w:t>insert date</w:t>
      </w:r>
      <w:r w:rsidRPr="00193354">
        <w:rPr>
          <w:sz w:val="20"/>
        </w:rPr>
        <w:t>], that Court dismissed the application [</w:t>
      </w:r>
      <w:r w:rsidRPr="00193354">
        <w:rPr>
          <w:i/>
          <w:sz w:val="20"/>
        </w:rPr>
        <w:t>or</w:t>
      </w:r>
      <w:r w:rsidRPr="00193354">
        <w:rPr>
          <w:sz w:val="20"/>
        </w:rPr>
        <w:t xml:space="preserve"> varied the demand by [</w:t>
      </w:r>
      <w:r w:rsidRPr="00193354">
        <w:rPr>
          <w:i/>
          <w:sz w:val="20"/>
        </w:rPr>
        <w:t>state effect of variation</w:t>
      </w:r>
      <w:r w:rsidRPr="00193354">
        <w:rPr>
          <w:sz w:val="20"/>
        </w:rPr>
        <w:t>]]. Annexed to this affidavit is a true copy of the court order disposing of the application].</w:t>
      </w:r>
    </w:p>
    <w:sectPr w:rsidR="00EE59EB" w:rsidRPr="00193354" w:rsidSect="00B25989">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B1A9D" w14:textId="77777777" w:rsidR="00453A29" w:rsidRDefault="00453A29" w:rsidP="0048364F">
      <w:pPr>
        <w:spacing w:line="240" w:lineRule="auto"/>
      </w:pPr>
      <w:r>
        <w:separator/>
      </w:r>
    </w:p>
  </w:endnote>
  <w:endnote w:type="continuationSeparator" w:id="0">
    <w:p w14:paraId="38E9278C" w14:textId="77777777" w:rsidR="00453A29" w:rsidRDefault="00453A2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A7E66" w14:textId="77777777" w:rsidR="0052054F" w:rsidRPr="00B25989" w:rsidRDefault="0052054F" w:rsidP="00B25989">
    <w:pPr>
      <w:pStyle w:val="Footer"/>
      <w:tabs>
        <w:tab w:val="clear" w:pos="4153"/>
        <w:tab w:val="clear" w:pos="8306"/>
        <w:tab w:val="center" w:pos="4150"/>
        <w:tab w:val="right" w:pos="8307"/>
      </w:tabs>
      <w:spacing w:before="120"/>
      <w:rPr>
        <w:i/>
        <w:sz w:val="18"/>
      </w:rPr>
    </w:pPr>
    <w:r w:rsidRPr="00B25989">
      <w:rPr>
        <w:i/>
        <w:sz w:val="18"/>
      </w:rPr>
      <w:t>OPC66084 -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52054F" w14:paraId="30852AA9" w14:textId="77777777" w:rsidTr="00B74827">
      <w:tc>
        <w:tcPr>
          <w:tcW w:w="5000" w:type="pct"/>
        </w:tcPr>
        <w:p w14:paraId="577EA4CD" w14:textId="77777777" w:rsidR="0052054F" w:rsidRDefault="0052054F" w:rsidP="00B74827">
          <w:pPr>
            <w:rPr>
              <w:sz w:val="18"/>
            </w:rPr>
          </w:pPr>
          <w:r>
            <w:rPr>
              <w:noProof/>
              <w:sz w:val="18"/>
            </w:rPr>
            <w:t>I16LX213.v18.docx</w:t>
          </w:r>
          <w:r w:rsidRPr="00ED79B6">
            <w:rPr>
              <w:sz w:val="18"/>
            </w:rPr>
            <w:t xml:space="preserve"> </w:t>
          </w:r>
          <w:r>
            <w:rPr>
              <w:noProof/>
              <w:sz w:val="18"/>
            </w:rPr>
            <w:t>14/8/2017 2:33 PM</w:t>
          </w:r>
        </w:p>
      </w:tc>
    </w:tr>
  </w:tbl>
  <w:p w14:paraId="7FC2553B" w14:textId="77777777" w:rsidR="0052054F" w:rsidRPr="00B25989" w:rsidRDefault="0052054F" w:rsidP="00B25989">
    <w:pPr>
      <w:pStyle w:val="Footer"/>
      <w:rPr>
        <w:i/>
        <w:sz w:val="18"/>
      </w:rPr>
    </w:pPr>
    <w:r w:rsidRPr="00B25989">
      <w:rPr>
        <w:i/>
        <w:sz w:val="18"/>
      </w:rPr>
      <w:t>OPC66084 -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4BF88" w14:textId="77777777" w:rsidR="0052054F" w:rsidRDefault="0052054F" w:rsidP="00B74827">
    <w:pPr>
      <w:pStyle w:val="Footer"/>
    </w:pPr>
  </w:p>
  <w:p w14:paraId="25849F39" w14:textId="77777777" w:rsidR="0052054F" w:rsidRPr="00B25989" w:rsidRDefault="0052054F" w:rsidP="00B25989">
    <w:pPr>
      <w:pStyle w:val="Footer"/>
      <w:rPr>
        <w:i/>
        <w:sz w:val="18"/>
      </w:rPr>
    </w:pPr>
    <w:r w:rsidRPr="00B25989">
      <w:rPr>
        <w:i/>
        <w:sz w:val="18"/>
      </w:rPr>
      <w:t>OPC66084 -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B0ED0" w14:textId="77777777" w:rsidR="0052054F" w:rsidRPr="00E33C1C" w:rsidRDefault="0052054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2054F" w14:paraId="34669E58" w14:textId="77777777" w:rsidTr="00D478AB">
      <w:tc>
        <w:tcPr>
          <w:tcW w:w="709" w:type="dxa"/>
          <w:tcBorders>
            <w:top w:val="nil"/>
            <w:left w:val="nil"/>
            <w:bottom w:val="nil"/>
            <w:right w:val="nil"/>
          </w:tcBorders>
        </w:tcPr>
        <w:p w14:paraId="6E34104F" w14:textId="77777777" w:rsidR="0052054F" w:rsidRDefault="0052054F" w:rsidP="00B748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E62A33B" w14:textId="481BDE99" w:rsidR="0052054F" w:rsidRDefault="0052054F" w:rsidP="00B748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Court Legislation Amendment Rules 2022</w:t>
          </w:r>
          <w:r w:rsidRPr="007A1328">
            <w:rPr>
              <w:i/>
              <w:sz w:val="18"/>
            </w:rPr>
            <w:fldChar w:fldCharType="end"/>
          </w:r>
        </w:p>
      </w:tc>
      <w:tc>
        <w:tcPr>
          <w:tcW w:w="1384" w:type="dxa"/>
          <w:tcBorders>
            <w:top w:val="nil"/>
            <w:left w:val="nil"/>
            <w:bottom w:val="nil"/>
            <w:right w:val="nil"/>
          </w:tcBorders>
        </w:tcPr>
        <w:p w14:paraId="091CE415" w14:textId="77777777" w:rsidR="0052054F" w:rsidRDefault="0052054F" w:rsidP="00B74827">
          <w:pPr>
            <w:spacing w:line="0" w:lineRule="atLeast"/>
            <w:jc w:val="right"/>
            <w:rPr>
              <w:sz w:val="18"/>
            </w:rPr>
          </w:pPr>
        </w:p>
      </w:tc>
    </w:tr>
  </w:tbl>
  <w:p w14:paraId="5FD56FF5" w14:textId="77777777" w:rsidR="0052054F" w:rsidRPr="00B25989" w:rsidRDefault="0052054F" w:rsidP="00B25989">
    <w:pPr>
      <w:rPr>
        <w:rFonts w:cs="Times New Roman"/>
        <w:i/>
        <w:sz w:val="18"/>
      </w:rPr>
    </w:pPr>
    <w:r w:rsidRPr="00B25989">
      <w:rPr>
        <w:rFonts w:cs="Times New Roman"/>
        <w:i/>
        <w:sz w:val="18"/>
      </w:rPr>
      <w:t>OPC66084 -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2FD2E" w14:textId="77777777" w:rsidR="0052054F" w:rsidRPr="00E33C1C" w:rsidRDefault="0052054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52054F" w14:paraId="4FC4778D" w14:textId="77777777" w:rsidTr="00D478AB">
      <w:tc>
        <w:tcPr>
          <w:tcW w:w="1383" w:type="dxa"/>
          <w:tcBorders>
            <w:top w:val="nil"/>
            <w:left w:val="nil"/>
            <w:bottom w:val="nil"/>
            <w:right w:val="nil"/>
          </w:tcBorders>
        </w:tcPr>
        <w:p w14:paraId="56E7C30C" w14:textId="77777777" w:rsidR="0052054F" w:rsidRDefault="0052054F" w:rsidP="00B74827">
          <w:pPr>
            <w:spacing w:line="0" w:lineRule="atLeast"/>
            <w:rPr>
              <w:sz w:val="18"/>
            </w:rPr>
          </w:pPr>
        </w:p>
      </w:tc>
      <w:tc>
        <w:tcPr>
          <w:tcW w:w="6379" w:type="dxa"/>
          <w:tcBorders>
            <w:top w:val="nil"/>
            <w:left w:val="nil"/>
            <w:bottom w:val="nil"/>
            <w:right w:val="nil"/>
          </w:tcBorders>
        </w:tcPr>
        <w:p w14:paraId="14328E96" w14:textId="19256121" w:rsidR="0052054F" w:rsidRDefault="0052054F" w:rsidP="00B748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Court Legislation Amendment Rules 2022</w:t>
          </w:r>
          <w:r w:rsidRPr="007A1328">
            <w:rPr>
              <w:i/>
              <w:sz w:val="18"/>
            </w:rPr>
            <w:fldChar w:fldCharType="end"/>
          </w:r>
        </w:p>
      </w:tc>
      <w:tc>
        <w:tcPr>
          <w:tcW w:w="710" w:type="dxa"/>
          <w:tcBorders>
            <w:top w:val="nil"/>
            <w:left w:val="nil"/>
            <w:bottom w:val="nil"/>
            <w:right w:val="nil"/>
          </w:tcBorders>
        </w:tcPr>
        <w:p w14:paraId="7294C131" w14:textId="21EA66D0" w:rsidR="0052054F" w:rsidRDefault="0052054F" w:rsidP="00B748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3935">
            <w:rPr>
              <w:i/>
              <w:noProof/>
              <w:sz w:val="18"/>
            </w:rPr>
            <w:t>i</w:t>
          </w:r>
          <w:r w:rsidRPr="00ED79B6">
            <w:rPr>
              <w:i/>
              <w:sz w:val="18"/>
            </w:rPr>
            <w:fldChar w:fldCharType="end"/>
          </w:r>
        </w:p>
      </w:tc>
    </w:tr>
  </w:tbl>
  <w:p w14:paraId="3F2B34B7" w14:textId="77777777" w:rsidR="0052054F" w:rsidRPr="00B25989" w:rsidRDefault="0052054F" w:rsidP="00B25989">
    <w:pPr>
      <w:rPr>
        <w:rFonts w:cs="Times New Roman"/>
        <w:i/>
        <w:sz w:val="18"/>
      </w:rPr>
    </w:pPr>
    <w:r w:rsidRPr="00B25989">
      <w:rPr>
        <w:rFonts w:cs="Times New Roman"/>
        <w:i/>
        <w:sz w:val="18"/>
      </w:rPr>
      <w:t>OPC66084 -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8E835" w14:textId="77777777" w:rsidR="0052054F" w:rsidRPr="00E33C1C" w:rsidRDefault="0052054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2054F" w14:paraId="2494E09F" w14:textId="77777777" w:rsidTr="00D478AB">
      <w:tc>
        <w:tcPr>
          <w:tcW w:w="709" w:type="dxa"/>
          <w:tcBorders>
            <w:top w:val="nil"/>
            <w:left w:val="nil"/>
            <w:bottom w:val="nil"/>
            <w:right w:val="nil"/>
          </w:tcBorders>
        </w:tcPr>
        <w:p w14:paraId="2C70EBC2" w14:textId="1EF37F48" w:rsidR="0052054F" w:rsidRDefault="0052054F" w:rsidP="00B748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3935">
            <w:rPr>
              <w:i/>
              <w:noProof/>
              <w:sz w:val="18"/>
            </w:rPr>
            <w:t>16</w:t>
          </w:r>
          <w:r w:rsidRPr="00ED79B6">
            <w:rPr>
              <w:i/>
              <w:sz w:val="18"/>
            </w:rPr>
            <w:fldChar w:fldCharType="end"/>
          </w:r>
        </w:p>
      </w:tc>
      <w:tc>
        <w:tcPr>
          <w:tcW w:w="6379" w:type="dxa"/>
          <w:tcBorders>
            <w:top w:val="nil"/>
            <w:left w:val="nil"/>
            <w:bottom w:val="nil"/>
            <w:right w:val="nil"/>
          </w:tcBorders>
        </w:tcPr>
        <w:p w14:paraId="0311354A" w14:textId="2DA5ABDD" w:rsidR="0052054F" w:rsidRDefault="0052054F" w:rsidP="00B748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Court Legislation Amendment Rules 2022</w:t>
          </w:r>
          <w:r w:rsidRPr="007A1328">
            <w:rPr>
              <w:i/>
              <w:sz w:val="18"/>
            </w:rPr>
            <w:fldChar w:fldCharType="end"/>
          </w:r>
        </w:p>
      </w:tc>
      <w:tc>
        <w:tcPr>
          <w:tcW w:w="1384" w:type="dxa"/>
          <w:tcBorders>
            <w:top w:val="nil"/>
            <w:left w:val="nil"/>
            <w:bottom w:val="nil"/>
            <w:right w:val="nil"/>
          </w:tcBorders>
        </w:tcPr>
        <w:p w14:paraId="46361A1F" w14:textId="77777777" w:rsidR="0052054F" w:rsidRDefault="0052054F" w:rsidP="00B74827">
          <w:pPr>
            <w:spacing w:line="0" w:lineRule="atLeast"/>
            <w:jc w:val="right"/>
            <w:rPr>
              <w:sz w:val="18"/>
            </w:rPr>
          </w:pPr>
        </w:p>
      </w:tc>
    </w:tr>
  </w:tbl>
  <w:p w14:paraId="7E79F791" w14:textId="77777777" w:rsidR="0052054F" w:rsidRPr="00B25989" w:rsidRDefault="0052054F" w:rsidP="00B25989">
    <w:pPr>
      <w:rPr>
        <w:rFonts w:cs="Times New Roman"/>
        <w:i/>
        <w:sz w:val="18"/>
      </w:rPr>
    </w:pPr>
    <w:r w:rsidRPr="00B25989">
      <w:rPr>
        <w:rFonts w:cs="Times New Roman"/>
        <w:i/>
        <w:sz w:val="18"/>
      </w:rPr>
      <w:t>OPC66084 -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C50EF" w14:textId="77777777" w:rsidR="0052054F" w:rsidRPr="00E33C1C" w:rsidRDefault="0052054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2054F" w14:paraId="1FF8CEE0" w14:textId="77777777" w:rsidTr="00B74827">
      <w:tc>
        <w:tcPr>
          <w:tcW w:w="1384" w:type="dxa"/>
          <w:tcBorders>
            <w:top w:val="nil"/>
            <w:left w:val="nil"/>
            <w:bottom w:val="nil"/>
            <w:right w:val="nil"/>
          </w:tcBorders>
        </w:tcPr>
        <w:p w14:paraId="4D79B3FE" w14:textId="77777777" w:rsidR="0052054F" w:rsidRDefault="0052054F" w:rsidP="00B74827">
          <w:pPr>
            <w:spacing w:line="0" w:lineRule="atLeast"/>
            <w:rPr>
              <w:sz w:val="18"/>
            </w:rPr>
          </w:pPr>
        </w:p>
      </w:tc>
      <w:tc>
        <w:tcPr>
          <w:tcW w:w="6379" w:type="dxa"/>
          <w:tcBorders>
            <w:top w:val="nil"/>
            <w:left w:val="nil"/>
            <w:bottom w:val="nil"/>
            <w:right w:val="nil"/>
          </w:tcBorders>
        </w:tcPr>
        <w:p w14:paraId="50FB08F0" w14:textId="04CDC781" w:rsidR="0052054F" w:rsidRDefault="0052054F" w:rsidP="00B748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Court Legislation Amendment Rules 2022</w:t>
          </w:r>
          <w:r w:rsidRPr="007A1328">
            <w:rPr>
              <w:i/>
              <w:sz w:val="18"/>
            </w:rPr>
            <w:fldChar w:fldCharType="end"/>
          </w:r>
        </w:p>
      </w:tc>
      <w:tc>
        <w:tcPr>
          <w:tcW w:w="709" w:type="dxa"/>
          <w:tcBorders>
            <w:top w:val="nil"/>
            <w:left w:val="nil"/>
            <w:bottom w:val="nil"/>
            <w:right w:val="nil"/>
          </w:tcBorders>
        </w:tcPr>
        <w:p w14:paraId="4992CE15" w14:textId="509CFB43" w:rsidR="0052054F" w:rsidRDefault="0052054F" w:rsidP="00B748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3935">
            <w:rPr>
              <w:i/>
              <w:noProof/>
              <w:sz w:val="18"/>
            </w:rPr>
            <w:t>17</w:t>
          </w:r>
          <w:r w:rsidRPr="00ED79B6">
            <w:rPr>
              <w:i/>
              <w:sz w:val="18"/>
            </w:rPr>
            <w:fldChar w:fldCharType="end"/>
          </w:r>
        </w:p>
      </w:tc>
    </w:tr>
  </w:tbl>
  <w:p w14:paraId="272539A6" w14:textId="77777777" w:rsidR="0052054F" w:rsidRPr="00B25989" w:rsidRDefault="0052054F" w:rsidP="00B25989">
    <w:pPr>
      <w:rPr>
        <w:rFonts w:cs="Times New Roman"/>
        <w:i/>
        <w:sz w:val="18"/>
      </w:rPr>
    </w:pPr>
    <w:r w:rsidRPr="00B25989">
      <w:rPr>
        <w:rFonts w:cs="Times New Roman"/>
        <w:i/>
        <w:sz w:val="18"/>
      </w:rPr>
      <w:t>OPC66084 -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6B554" w14:textId="77777777" w:rsidR="0052054F" w:rsidRPr="00E33C1C" w:rsidRDefault="0052054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2054F" w14:paraId="33F7866F" w14:textId="77777777" w:rsidTr="007A6863">
      <w:tc>
        <w:tcPr>
          <w:tcW w:w="1384" w:type="dxa"/>
          <w:tcBorders>
            <w:top w:val="nil"/>
            <w:left w:val="nil"/>
            <w:bottom w:val="nil"/>
            <w:right w:val="nil"/>
          </w:tcBorders>
        </w:tcPr>
        <w:p w14:paraId="30C75360" w14:textId="77777777" w:rsidR="0052054F" w:rsidRDefault="0052054F" w:rsidP="00B74827">
          <w:pPr>
            <w:spacing w:line="0" w:lineRule="atLeast"/>
            <w:rPr>
              <w:sz w:val="18"/>
            </w:rPr>
          </w:pPr>
        </w:p>
      </w:tc>
      <w:tc>
        <w:tcPr>
          <w:tcW w:w="6379" w:type="dxa"/>
          <w:tcBorders>
            <w:top w:val="nil"/>
            <w:left w:val="nil"/>
            <w:bottom w:val="nil"/>
            <w:right w:val="nil"/>
          </w:tcBorders>
        </w:tcPr>
        <w:p w14:paraId="69D64704" w14:textId="628B5537" w:rsidR="0052054F" w:rsidRDefault="0052054F" w:rsidP="00B748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Court Legislation Amendment Rules 2022</w:t>
          </w:r>
          <w:r w:rsidRPr="007A1328">
            <w:rPr>
              <w:i/>
              <w:sz w:val="18"/>
            </w:rPr>
            <w:fldChar w:fldCharType="end"/>
          </w:r>
        </w:p>
      </w:tc>
      <w:tc>
        <w:tcPr>
          <w:tcW w:w="709" w:type="dxa"/>
          <w:tcBorders>
            <w:top w:val="nil"/>
            <w:left w:val="nil"/>
            <w:bottom w:val="nil"/>
            <w:right w:val="nil"/>
          </w:tcBorders>
        </w:tcPr>
        <w:p w14:paraId="5C6F46AF" w14:textId="77777777" w:rsidR="0052054F" w:rsidRDefault="0052054F" w:rsidP="00B748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39ED2884" w14:textId="77777777" w:rsidR="0052054F" w:rsidRPr="00B25989" w:rsidRDefault="0052054F" w:rsidP="00B25989">
    <w:pPr>
      <w:rPr>
        <w:rFonts w:cs="Times New Roman"/>
        <w:i/>
        <w:sz w:val="18"/>
      </w:rPr>
    </w:pPr>
    <w:r w:rsidRPr="00B25989">
      <w:rPr>
        <w:rFonts w:cs="Times New Roman"/>
        <w:i/>
        <w:sz w:val="18"/>
      </w:rPr>
      <w:t>OPC66084 -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E40F1" w14:textId="77777777" w:rsidR="00453A29" w:rsidRDefault="00453A29" w:rsidP="0048364F">
      <w:pPr>
        <w:spacing w:line="240" w:lineRule="auto"/>
      </w:pPr>
      <w:r>
        <w:separator/>
      </w:r>
    </w:p>
  </w:footnote>
  <w:footnote w:type="continuationSeparator" w:id="0">
    <w:p w14:paraId="67732B66" w14:textId="77777777" w:rsidR="00453A29" w:rsidRDefault="00453A2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A900E" w14:textId="77777777" w:rsidR="0052054F" w:rsidRPr="005F1388" w:rsidRDefault="0052054F" w:rsidP="00B74827">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1C803" w14:textId="77777777" w:rsidR="0052054F" w:rsidRPr="005F1388" w:rsidRDefault="0052054F" w:rsidP="00B74827">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FA6FF" w14:textId="77777777" w:rsidR="0052054F" w:rsidRPr="005F1388" w:rsidRDefault="0052054F" w:rsidP="00B7482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AFEC" w14:textId="77777777" w:rsidR="0052054F" w:rsidRPr="00ED79B6" w:rsidRDefault="0052054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588AB" w14:textId="77777777" w:rsidR="0052054F" w:rsidRPr="00ED79B6" w:rsidRDefault="0052054F"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85D68" w14:textId="77777777" w:rsidR="0052054F" w:rsidRPr="00ED79B6" w:rsidRDefault="005205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9CFD" w14:textId="154866F8" w:rsidR="0052054F" w:rsidRPr="00A961C4" w:rsidRDefault="0052054F" w:rsidP="0048364F">
    <w:pPr>
      <w:rPr>
        <w:b/>
        <w:sz w:val="20"/>
      </w:rPr>
    </w:pPr>
    <w:r>
      <w:rPr>
        <w:b/>
        <w:sz w:val="20"/>
      </w:rPr>
      <w:fldChar w:fldCharType="begin"/>
    </w:r>
    <w:r>
      <w:rPr>
        <w:b/>
        <w:sz w:val="20"/>
      </w:rPr>
      <w:instrText xml:space="preserve"> STYLEREF CharAmSchNo </w:instrText>
    </w:r>
    <w:r>
      <w:rPr>
        <w:b/>
        <w:sz w:val="20"/>
      </w:rPr>
      <w:fldChar w:fldCharType="separate"/>
    </w:r>
    <w:r w:rsidR="00DD07B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DD07BB">
      <w:rPr>
        <w:noProof/>
        <w:sz w:val="20"/>
      </w:rPr>
      <w:t>Amendment of the Federal Court Rules 2011</w:t>
    </w:r>
    <w:r>
      <w:rPr>
        <w:sz w:val="20"/>
      </w:rPr>
      <w:fldChar w:fldCharType="end"/>
    </w:r>
  </w:p>
  <w:p w14:paraId="3A067764" w14:textId="0D278DEF" w:rsidR="0052054F" w:rsidRPr="00A961C4" w:rsidRDefault="0052054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51F1D3C" w14:textId="77777777" w:rsidR="0052054F" w:rsidRPr="00A961C4" w:rsidRDefault="0052054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5F08" w14:textId="0EE53361" w:rsidR="0052054F" w:rsidRPr="00A961C4" w:rsidRDefault="0052054F" w:rsidP="0048364F">
    <w:pPr>
      <w:jc w:val="right"/>
      <w:rPr>
        <w:sz w:val="20"/>
      </w:rPr>
    </w:pPr>
    <w:r w:rsidRPr="00A961C4">
      <w:rPr>
        <w:sz w:val="20"/>
      </w:rPr>
      <w:fldChar w:fldCharType="begin"/>
    </w:r>
    <w:r w:rsidRPr="00A961C4">
      <w:rPr>
        <w:sz w:val="20"/>
      </w:rPr>
      <w:instrText xml:space="preserve"> STYLEREF CharAmSchText </w:instrText>
    </w:r>
    <w:r w:rsidR="00DD07BB">
      <w:rPr>
        <w:sz w:val="20"/>
      </w:rPr>
      <w:fldChar w:fldCharType="separate"/>
    </w:r>
    <w:r w:rsidR="00DD07BB">
      <w:rPr>
        <w:noProof/>
        <w:sz w:val="20"/>
      </w:rPr>
      <w:t>Amendment of the Federal Court Rules 2011</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D07BB">
      <w:rPr>
        <w:b/>
        <w:sz w:val="20"/>
      </w:rPr>
      <w:fldChar w:fldCharType="separate"/>
    </w:r>
    <w:r w:rsidR="00DD07BB">
      <w:rPr>
        <w:b/>
        <w:noProof/>
        <w:sz w:val="20"/>
      </w:rPr>
      <w:t>Schedule 1</w:t>
    </w:r>
    <w:r>
      <w:rPr>
        <w:b/>
        <w:sz w:val="20"/>
      </w:rPr>
      <w:fldChar w:fldCharType="end"/>
    </w:r>
  </w:p>
  <w:p w14:paraId="12A19A17" w14:textId="7288942A" w:rsidR="0052054F" w:rsidRPr="00A961C4" w:rsidRDefault="0052054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CA11249" w14:textId="77777777" w:rsidR="0052054F" w:rsidRPr="00A961C4" w:rsidRDefault="0052054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B951A" w14:textId="77777777" w:rsidR="0052054F" w:rsidRPr="00A961C4" w:rsidRDefault="005205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494817A7"/>
    <w:multiLevelType w:val="multilevel"/>
    <w:tmpl w:val="0F0EC90E"/>
    <w:numStyleLink w:val="FCListNo"/>
  </w:abstractNum>
  <w:abstractNum w:abstractNumId="20" w15:restartNumberingAfterBreak="0">
    <w:nsid w:val="5A886580"/>
    <w:multiLevelType w:val="hybridMultilevel"/>
    <w:tmpl w:val="6F826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2151EE"/>
    <w:multiLevelType w:val="hybridMultilevel"/>
    <w:tmpl w:val="49E8A24E"/>
    <w:lvl w:ilvl="0" w:tplc="37DC6A68">
      <w:start w:val="1"/>
      <w:numFmt w:val="decimal"/>
      <w:lvlText w:val="%1."/>
      <w:lvlJc w:val="left"/>
      <w:pPr>
        <w:ind w:left="1440" w:hanging="360"/>
      </w:pPr>
      <w:rPr>
        <w:rFonts w:ascii="Times New Roman" w:hAnsi="Times New Roman" w:cs="Times New Roman"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20"/>
  </w:num>
  <w:num w:numId="20">
    <w:abstractNumId w:val="21"/>
  </w:num>
  <w:num w:numId="21">
    <w:abstractNumId w:val="14"/>
  </w:num>
  <w:num w:numId="22">
    <w:abstractNumId w:val="19"/>
    <w:lvlOverride w:ilvl="2">
      <w:lvl w:ilvl="2">
        <w:start w:val="1"/>
        <w:numFmt w:val="lowerRoman"/>
        <w:pStyle w:val="ListNo3"/>
        <w:lvlText w:val="(%3)"/>
        <w:lvlJc w:val="left"/>
        <w:pPr>
          <w:tabs>
            <w:tab w:val="num" w:pos="2880"/>
          </w:tabs>
          <w:ind w:left="2880" w:hanging="720"/>
        </w:pPr>
        <w:rPr>
          <w:rFonts w:ascii="Times New Roman" w:hAnsi="Times New Roman" w:cs="Times New Roman" w:hint="default"/>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2D2"/>
    <w:rsid w:val="00000263"/>
    <w:rsid w:val="000010D0"/>
    <w:rsid w:val="000026A9"/>
    <w:rsid w:val="00002714"/>
    <w:rsid w:val="00002A44"/>
    <w:rsid w:val="000113BC"/>
    <w:rsid w:val="00013160"/>
    <w:rsid w:val="000136AF"/>
    <w:rsid w:val="00021477"/>
    <w:rsid w:val="00023B6B"/>
    <w:rsid w:val="00036B52"/>
    <w:rsid w:val="00036E24"/>
    <w:rsid w:val="0004044E"/>
    <w:rsid w:val="00046F47"/>
    <w:rsid w:val="00047950"/>
    <w:rsid w:val="0005120E"/>
    <w:rsid w:val="0005326E"/>
    <w:rsid w:val="00054577"/>
    <w:rsid w:val="000614BF"/>
    <w:rsid w:val="00063A2C"/>
    <w:rsid w:val="000641DE"/>
    <w:rsid w:val="00066F44"/>
    <w:rsid w:val="00067FFE"/>
    <w:rsid w:val="000705AE"/>
    <w:rsid w:val="0007169C"/>
    <w:rsid w:val="00075B6F"/>
    <w:rsid w:val="000767B6"/>
    <w:rsid w:val="00077593"/>
    <w:rsid w:val="00077AF5"/>
    <w:rsid w:val="00077F98"/>
    <w:rsid w:val="00083F48"/>
    <w:rsid w:val="00087913"/>
    <w:rsid w:val="00092D04"/>
    <w:rsid w:val="00093D01"/>
    <w:rsid w:val="0009569A"/>
    <w:rsid w:val="00096A6B"/>
    <w:rsid w:val="000A44E6"/>
    <w:rsid w:val="000A7DF9"/>
    <w:rsid w:val="000C2D52"/>
    <w:rsid w:val="000D05EF"/>
    <w:rsid w:val="000D1A38"/>
    <w:rsid w:val="000D3288"/>
    <w:rsid w:val="000D5485"/>
    <w:rsid w:val="000E3415"/>
    <w:rsid w:val="000E6AC5"/>
    <w:rsid w:val="000E7D3A"/>
    <w:rsid w:val="000F21C1"/>
    <w:rsid w:val="000F2797"/>
    <w:rsid w:val="000F2DD2"/>
    <w:rsid w:val="000F4653"/>
    <w:rsid w:val="00105D72"/>
    <w:rsid w:val="0010648E"/>
    <w:rsid w:val="0010745C"/>
    <w:rsid w:val="00107EC3"/>
    <w:rsid w:val="00112EDD"/>
    <w:rsid w:val="00117277"/>
    <w:rsid w:val="00121998"/>
    <w:rsid w:val="001255E5"/>
    <w:rsid w:val="0012560C"/>
    <w:rsid w:val="00130627"/>
    <w:rsid w:val="00132669"/>
    <w:rsid w:val="0013492D"/>
    <w:rsid w:val="00150301"/>
    <w:rsid w:val="001511C2"/>
    <w:rsid w:val="00155873"/>
    <w:rsid w:val="001562BC"/>
    <w:rsid w:val="00160BD7"/>
    <w:rsid w:val="00164111"/>
    <w:rsid w:val="001643C9"/>
    <w:rsid w:val="00165568"/>
    <w:rsid w:val="00166082"/>
    <w:rsid w:val="00166C2F"/>
    <w:rsid w:val="001716C9"/>
    <w:rsid w:val="00175070"/>
    <w:rsid w:val="00181E47"/>
    <w:rsid w:val="0018225C"/>
    <w:rsid w:val="00182ECB"/>
    <w:rsid w:val="00184261"/>
    <w:rsid w:val="001844EA"/>
    <w:rsid w:val="00190BA1"/>
    <w:rsid w:val="00190DF5"/>
    <w:rsid w:val="00191779"/>
    <w:rsid w:val="00193354"/>
    <w:rsid w:val="00193461"/>
    <w:rsid w:val="001939E1"/>
    <w:rsid w:val="00195382"/>
    <w:rsid w:val="001A1975"/>
    <w:rsid w:val="001A3B9F"/>
    <w:rsid w:val="001A65C0"/>
    <w:rsid w:val="001B0E05"/>
    <w:rsid w:val="001B3364"/>
    <w:rsid w:val="001B38F4"/>
    <w:rsid w:val="001B3E08"/>
    <w:rsid w:val="001B6456"/>
    <w:rsid w:val="001B7A5D"/>
    <w:rsid w:val="001C51A4"/>
    <w:rsid w:val="001C5863"/>
    <w:rsid w:val="001C69C4"/>
    <w:rsid w:val="001D0721"/>
    <w:rsid w:val="001D0E69"/>
    <w:rsid w:val="001D1DD0"/>
    <w:rsid w:val="001E0A8D"/>
    <w:rsid w:val="001E2A34"/>
    <w:rsid w:val="001E3590"/>
    <w:rsid w:val="001E3FE6"/>
    <w:rsid w:val="001E7407"/>
    <w:rsid w:val="001F2ED3"/>
    <w:rsid w:val="00201D27"/>
    <w:rsid w:val="0020300C"/>
    <w:rsid w:val="002047EA"/>
    <w:rsid w:val="002050CA"/>
    <w:rsid w:val="00210546"/>
    <w:rsid w:val="0021144F"/>
    <w:rsid w:val="002115E8"/>
    <w:rsid w:val="00214353"/>
    <w:rsid w:val="00217B43"/>
    <w:rsid w:val="00220A0C"/>
    <w:rsid w:val="0022273B"/>
    <w:rsid w:val="00223E4A"/>
    <w:rsid w:val="00224C09"/>
    <w:rsid w:val="00225462"/>
    <w:rsid w:val="00227704"/>
    <w:rsid w:val="002302EA"/>
    <w:rsid w:val="002306EF"/>
    <w:rsid w:val="002319DF"/>
    <w:rsid w:val="0024067E"/>
    <w:rsid w:val="00240749"/>
    <w:rsid w:val="002457F1"/>
    <w:rsid w:val="002468D7"/>
    <w:rsid w:val="0026063A"/>
    <w:rsid w:val="00263886"/>
    <w:rsid w:val="00265C7C"/>
    <w:rsid w:val="00271114"/>
    <w:rsid w:val="00282B96"/>
    <w:rsid w:val="00285CDD"/>
    <w:rsid w:val="00291167"/>
    <w:rsid w:val="00292C77"/>
    <w:rsid w:val="00292FEA"/>
    <w:rsid w:val="00293797"/>
    <w:rsid w:val="00297ECB"/>
    <w:rsid w:val="002A1A4C"/>
    <w:rsid w:val="002B56D3"/>
    <w:rsid w:val="002B68F7"/>
    <w:rsid w:val="002C152A"/>
    <w:rsid w:val="002C3A37"/>
    <w:rsid w:val="002C73EA"/>
    <w:rsid w:val="002D043A"/>
    <w:rsid w:val="002D04A5"/>
    <w:rsid w:val="002D11DA"/>
    <w:rsid w:val="002E58F1"/>
    <w:rsid w:val="002F192D"/>
    <w:rsid w:val="00303559"/>
    <w:rsid w:val="003060CE"/>
    <w:rsid w:val="00307BE3"/>
    <w:rsid w:val="0031713F"/>
    <w:rsid w:val="0032047C"/>
    <w:rsid w:val="0032163E"/>
    <w:rsid w:val="00321913"/>
    <w:rsid w:val="00324EE6"/>
    <w:rsid w:val="0032573B"/>
    <w:rsid w:val="00327393"/>
    <w:rsid w:val="003316DC"/>
    <w:rsid w:val="00332E0D"/>
    <w:rsid w:val="00333C16"/>
    <w:rsid w:val="00337D00"/>
    <w:rsid w:val="003415D3"/>
    <w:rsid w:val="00343854"/>
    <w:rsid w:val="00346335"/>
    <w:rsid w:val="003472BE"/>
    <w:rsid w:val="00352B0F"/>
    <w:rsid w:val="00354BE7"/>
    <w:rsid w:val="003561B0"/>
    <w:rsid w:val="00360F99"/>
    <w:rsid w:val="003612F7"/>
    <w:rsid w:val="0036567D"/>
    <w:rsid w:val="00367960"/>
    <w:rsid w:val="00394FCF"/>
    <w:rsid w:val="003A15AC"/>
    <w:rsid w:val="003A515A"/>
    <w:rsid w:val="003A56EB"/>
    <w:rsid w:val="003B0627"/>
    <w:rsid w:val="003B25AC"/>
    <w:rsid w:val="003C5F2B"/>
    <w:rsid w:val="003D0BFE"/>
    <w:rsid w:val="003D346C"/>
    <w:rsid w:val="003D3DFD"/>
    <w:rsid w:val="003D5700"/>
    <w:rsid w:val="003F05CE"/>
    <w:rsid w:val="003F0F5A"/>
    <w:rsid w:val="003F1F65"/>
    <w:rsid w:val="00400A30"/>
    <w:rsid w:val="00401B6B"/>
    <w:rsid w:val="00402280"/>
    <w:rsid w:val="004022CA"/>
    <w:rsid w:val="0041161F"/>
    <w:rsid w:val="004116CD"/>
    <w:rsid w:val="00414ADE"/>
    <w:rsid w:val="00424CA9"/>
    <w:rsid w:val="004257BB"/>
    <w:rsid w:val="004261D9"/>
    <w:rsid w:val="004328BF"/>
    <w:rsid w:val="0043789A"/>
    <w:rsid w:val="0044291A"/>
    <w:rsid w:val="00453A29"/>
    <w:rsid w:val="004551B9"/>
    <w:rsid w:val="004554DA"/>
    <w:rsid w:val="004557C9"/>
    <w:rsid w:val="00460499"/>
    <w:rsid w:val="00461DED"/>
    <w:rsid w:val="00461EEF"/>
    <w:rsid w:val="00473E05"/>
    <w:rsid w:val="00474835"/>
    <w:rsid w:val="00474B8E"/>
    <w:rsid w:val="004751EC"/>
    <w:rsid w:val="00476CB8"/>
    <w:rsid w:val="004819C7"/>
    <w:rsid w:val="0048364F"/>
    <w:rsid w:val="00485F7D"/>
    <w:rsid w:val="004861B2"/>
    <w:rsid w:val="00490F2E"/>
    <w:rsid w:val="00491835"/>
    <w:rsid w:val="0049549C"/>
    <w:rsid w:val="00496DB3"/>
    <w:rsid w:val="00496F97"/>
    <w:rsid w:val="004A53EA"/>
    <w:rsid w:val="004B09AB"/>
    <w:rsid w:val="004B0F1E"/>
    <w:rsid w:val="004C30AF"/>
    <w:rsid w:val="004C77E0"/>
    <w:rsid w:val="004D3285"/>
    <w:rsid w:val="004D5BA3"/>
    <w:rsid w:val="004D5EA6"/>
    <w:rsid w:val="004E112D"/>
    <w:rsid w:val="004F1FAC"/>
    <w:rsid w:val="004F5475"/>
    <w:rsid w:val="004F676E"/>
    <w:rsid w:val="005022D2"/>
    <w:rsid w:val="00503CF1"/>
    <w:rsid w:val="00516B8D"/>
    <w:rsid w:val="0052054F"/>
    <w:rsid w:val="005216F5"/>
    <w:rsid w:val="005266C9"/>
    <w:rsid w:val="0052686F"/>
    <w:rsid w:val="0052756C"/>
    <w:rsid w:val="00530230"/>
    <w:rsid w:val="00530CC9"/>
    <w:rsid w:val="00531FDF"/>
    <w:rsid w:val="00532B2E"/>
    <w:rsid w:val="00537FBC"/>
    <w:rsid w:val="005411D9"/>
    <w:rsid w:val="00541D73"/>
    <w:rsid w:val="00543308"/>
    <w:rsid w:val="00543469"/>
    <w:rsid w:val="005452CC"/>
    <w:rsid w:val="00546FA3"/>
    <w:rsid w:val="00554243"/>
    <w:rsid w:val="00557C7A"/>
    <w:rsid w:val="00562A58"/>
    <w:rsid w:val="00580452"/>
    <w:rsid w:val="00581211"/>
    <w:rsid w:val="00584811"/>
    <w:rsid w:val="00585EC7"/>
    <w:rsid w:val="005871D2"/>
    <w:rsid w:val="00593AA6"/>
    <w:rsid w:val="00594161"/>
    <w:rsid w:val="00594512"/>
    <w:rsid w:val="00594749"/>
    <w:rsid w:val="005A482B"/>
    <w:rsid w:val="005B4067"/>
    <w:rsid w:val="005C0472"/>
    <w:rsid w:val="005C15C1"/>
    <w:rsid w:val="005C181A"/>
    <w:rsid w:val="005C36E0"/>
    <w:rsid w:val="005C3F41"/>
    <w:rsid w:val="005C3FFC"/>
    <w:rsid w:val="005C426C"/>
    <w:rsid w:val="005C51E9"/>
    <w:rsid w:val="005D168D"/>
    <w:rsid w:val="005D5EA1"/>
    <w:rsid w:val="005E2ACA"/>
    <w:rsid w:val="005E5E36"/>
    <w:rsid w:val="005E61D3"/>
    <w:rsid w:val="005F179D"/>
    <w:rsid w:val="005F1C4A"/>
    <w:rsid w:val="005F21CA"/>
    <w:rsid w:val="005F4840"/>
    <w:rsid w:val="005F7738"/>
    <w:rsid w:val="00600219"/>
    <w:rsid w:val="00602BE6"/>
    <w:rsid w:val="006054EC"/>
    <w:rsid w:val="006077C0"/>
    <w:rsid w:val="00613EAD"/>
    <w:rsid w:val="006158AC"/>
    <w:rsid w:val="00621789"/>
    <w:rsid w:val="00623F39"/>
    <w:rsid w:val="00633E48"/>
    <w:rsid w:val="00640402"/>
    <w:rsid w:val="00640F78"/>
    <w:rsid w:val="00646E7B"/>
    <w:rsid w:val="00655D6A"/>
    <w:rsid w:val="00655FE3"/>
    <w:rsid w:val="00656DE9"/>
    <w:rsid w:val="00665B0C"/>
    <w:rsid w:val="006720E4"/>
    <w:rsid w:val="006730A5"/>
    <w:rsid w:val="006739AF"/>
    <w:rsid w:val="00677CC2"/>
    <w:rsid w:val="006817E2"/>
    <w:rsid w:val="00685F42"/>
    <w:rsid w:val="006866A1"/>
    <w:rsid w:val="0069207B"/>
    <w:rsid w:val="00695CC5"/>
    <w:rsid w:val="006965DB"/>
    <w:rsid w:val="00697803"/>
    <w:rsid w:val="006A4309"/>
    <w:rsid w:val="006A4355"/>
    <w:rsid w:val="006A5796"/>
    <w:rsid w:val="006A6E41"/>
    <w:rsid w:val="006B0E55"/>
    <w:rsid w:val="006B1822"/>
    <w:rsid w:val="006B7006"/>
    <w:rsid w:val="006C0F2F"/>
    <w:rsid w:val="006C182C"/>
    <w:rsid w:val="006C3F2E"/>
    <w:rsid w:val="006C64C8"/>
    <w:rsid w:val="006C7F8C"/>
    <w:rsid w:val="006D5209"/>
    <w:rsid w:val="006D5522"/>
    <w:rsid w:val="006D7AB9"/>
    <w:rsid w:val="006E3A1A"/>
    <w:rsid w:val="006E6FD0"/>
    <w:rsid w:val="00700ACE"/>
    <w:rsid w:val="00700B2C"/>
    <w:rsid w:val="00704E3D"/>
    <w:rsid w:val="00713084"/>
    <w:rsid w:val="00714FDF"/>
    <w:rsid w:val="00720FC2"/>
    <w:rsid w:val="007216DB"/>
    <w:rsid w:val="00723F38"/>
    <w:rsid w:val="00731E00"/>
    <w:rsid w:val="00732E9D"/>
    <w:rsid w:val="0073491A"/>
    <w:rsid w:val="007379AD"/>
    <w:rsid w:val="007440B7"/>
    <w:rsid w:val="00747993"/>
    <w:rsid w:val="0076315B"/>
    <w:rsid w:val="007634AD"/>
    <w:rsid w:val="00770A00"/>
    <w:rsid w:val="007715C9"/>
    <w:rsid w:val="007716F6"/>
    <w:rsid w:val="00774EDD"/>
    <w:rsid w:val="007750FE"/>
    <w:rsid w:val="007752AC"/>
    <w:rsid w:val="007757EC"/>
    <w:rsid w:val="00787EC9"/>
    <w:rsid w:val="00794468"/>
    <w:rsid w:val="0079469B"/>
    <w:rsid w:val="007A115D"/>
    <w:rsid w:val="007A2997"/>
    <w:rsid w:val="007A35E6"/>
    <w:rsid w:val="007A6863"/>
    <w:rsid w:val="007A7823"/>
    <w:rsid w:val="007A7B72"/>
    <w:rsid w:val="007B0126"/>
    <w:rsid w:val="007B196F"/>
    <w:rsid w:val="007B749F"/>
    <w:rsid w:val="007D12F2"/>
    <w:rsid w:val="007D45C1"/>
    <w:rsid w:val="007E0640"/>
    <w:rsid w:val="007E31DC"/>
    <w:rsid w:val="007E797B"/>
    <w:rsid w:val="007E7D4A"/>
    <w:rsid w:val="007F48ED"/>
    <w:rsid w:val="007F7947"/>
    <w:rsid w:val="00805C7A"/>
    <w:rsid w:val="008061A4"/>
    <w:rsid w:val="00812F45"/>
    <w:rsid w:val="008144D6"/>
    <w:rsid w:val="00814652"/>
    <w:rsid w:val="00814F6A"/>
    <w:rsid w:val="00823B55"/>
    <w:rsid w:val="0082441A"/>
    <w:rsid w:val="00826A42"/>
    <w:rsid w:val="00841472"/>
    <w:rsid w:val="0084172C"/>
    <w:rsid w:val="008437B1"/>
    <w:rsid w:val="00847291"/>
    <w:rsid w:val="00852FC3"/>
    <w:rsid w:val="00856A31"/>
    <w:rsid w:val="008714B6"/>
    <w:rsid w:val="008754D0"/>
    <w:rsid w:val="00877D48"/>
    <w:rsid w:val="008816F0"/>
    <w:rsid w:val="0088345B"/>
    <w:rsid w:val="00883E24"/>
    <w:rsid w:val="00890F34"/>
    <w:rsid w:val="00891741"/>
    <w:rsid w:val="00891AE0"/>
    <w:rsid w:val="00893577"/>
    <w:rsid w:val="008A16A5"/>
    <w:rsid w:val="008B5D42"/>
    <w:rsid w:val="008C2B5D"/>
    <w:rsid w:val="008D008A"/>
    <w:rsid w:val="008D0EE0"/>
    <w:rsid w:val="008D20A8"/>
    <w:rsid w:val="008D3A71"/>
    <w:rsid w:val="008D3E08"/>
    <w:rsid w:val="008D4B97"/>
    <w:rsid w:val="008D5B99"/>
    <w:rsid w:val="008D6B9F"/>
    <w:rsid w:val="008D7A27"/>
    <w:rsid w:val="008E46B1"/>
    <w:rsid w:val="008E4702"/>
    <w:rsid w:val="008E69AA"/>
    <w:rsid w:val="008F1606"/>
    <w:rsid w:val="008F2D72"/>
    <w:rsid w:val="008F30B3"/>
    <w:rsid w:val="008F4F1C"/>
    <w:rsid w:val="0090794B"/>
    <w:rsid w:val="00907BC3"/>
    <w:rsid w:val="00911C7F"/>
    <w:rsid w:val="0091411B"/>
    <w:rsid w:val="00916A9C"/>
    <w:rsid w:val="00921078"/>
    <w:rsid w:val="00922764"/>
    <w:rsid w:val="00924CC4"/>
    <w:rsid w:val="00932377"/>
    <w:rsid w:val="009408EA"/>
    <w:rsid w:val="00943102"/>
    <w:rsid w:val="00944F4F"/>
    <w:rsid w:val="0094523D"/>
    <w:rsid w:val="009559E6"/>
    <w:rsid w:val="00957763"/>
    <w:rsid w:val="00966584"/>
    <w:rsid w:val="009764EF"/>
    <w:rsid w:val="00976A63"/>
    <w:rsid w:val="00976D05"/>
    <w:rsid w:val="00980E2B"/>
    <w:rsid w:val="009814EA"/>
    <w:rsid w:val="00983419"/>
    <w:rsid w:val="009931EA"/>
    <w:rsid w:val="00994821"/>
    <w:rsid w:val="009A13F6"/>
    <w:rsid w:val="009C3431"/>
    <w:rsid w:val="009C3EF2"/>
    <w:rsid w:val="009C5989"/>
    <w:rsid w:val="009D08DA"/>
    <w:rsid w:val="009D2743"/>
    <w:rsid w:val="009E15EA"/>
    <w:rsid w:val="009E579F"/>
    <w:rsid w:val="009F481A"/>
    <w:rsid w:val="009F5863"/>
    <w:rsid w:val="009F5DBF"/>
    <w:rsid w:val="009F639B"/>
    <w:rsid w:val="009F7A6C"/>
    <w:rsid w:val="00A05605"/>
    <w:rsid w:val="00A05D50"/>
    <w:rsid w:val="00A06860"/>
    <w:rsid w:val="00A11D93"/>
    <w:rsid w:val="00A136F5"/>
    <w:rsid w:val="00A17AC0"/>
    <w:rsid w:val="00A231E2"/>
    <w:rsid w:val="00A24271"/>
    <w:rsid w:val="00A2550D"/>
    <w:rsid w:val="00A27FAB"/>
    <w:rsid w:val="00A3501C"/>
    <w:rsid w:val="00A37128"/>
    <w:rsid w:val="00A4169B"/>
    <w:rsid w:val="00A445F2"/>
    <w:rsid w:val="00A47CE6"/>
    <w:rsid w:val="00A50D55"/>
    <w:rsid w:val="00A5165B"/>
    <w:rsid w:val="00A52164"/>
    <w:rsid w:val="00A52FDA"/>
    <w:rsid w:val="00A64912"/>
    <w:rsid w:val="00A70A74"/>
    <w:rsid w:val="00A80E07"/>
    <w:rsid w:val="00A845BB"/>
    <w:rsid w:val="00A90EA8"/>
    <w:rsid w:val="00A971F9"/>
    <w:rsid w:val="00AA0343"/>
    <w:rsid w:val="00AA2A5C"/>
    <w:rsid w:val="00AB78E9"/>
    <w:rsid w:val="00AC040C"/>
    <w:rsid w:val="00AD00A4"/>
    <w:rsid w:val="00AD177E"/>
    <w:rsid w:val="00AD1B7F"/>
    <w:rsid w:val="00AD3467"/>
    <w:rsid w:val="00AD5641"/>
    <w:rsid w:val="00AD7252"/>
    <w:rsid w:val="00AE0F9B"/>
    <w:rsid w:val="00AE57AE"/>
    <w:rsid w:val="00AF00E9"/>
    <w:rsid w:val="00AF0DD8"/>
    <w:rsid w:val="00AF55FF"/>
    <w:rsid w:val="00B015AA"/>
    <w:rsid w:val="00B032D8"/>
    <w:rsid w:val="00B0743A"/>
    <w:rsid w:val="00B12E89"/>
    <w:rsid w:val="00B25989"/>
    <w:rsid w:val="00B302CB"/>
    <w:rsid w:val="00B33B3C"/>
    <w:rsid w:val="00B34F0B"/>
    <w:rsid w:val="00B40D74"/>
    <w:rsid w:val="00B50F16"/>
    <w:rsid w:val="00B52663"/>
    <w:rsid w:val="00B56DCB"/>
    <w:rsid w:val="00B6213C"/>
    <w:rsid w:val="00B6384A"/>
    <w:rsid w:val="00B63B9A"/>
    <w:rsid w:val="00B65192"/>
    <w:rsid w:val="00B73935"/>
    <w:rsid w:val="00B74827"/>
    <w:rsid w:val="00B770D2"/>
    <w:rsid w:val="00B855F4"/>
    <w:rsid w:val="00B90617"/>
    <w:rsid w:val="00B906DC"/>
    <w:rsid w:val="00B94F68"/>
    <w:rsid w:val="00BA47A3"/>
    <w:rsid w:val="00BA4CC7"/>
    <w:rsid w:val="00BA5026"/>
    <w:rsid w:val="00BA736D"/>
    <w:rsid w:val="00BB2802"/>
    <w:rsid w:val="00BB6E79"/>
    <w:rsid w:val="00BC697A"/>
    <w:rsid w:val="00BD0CFA"/>
    <w:rsid w:val="00BD3E99"/>
    <w:rsid w:val="00BD7F2C"/>
    <w:rsid w:val="00BE2854"/>
    <w:rsid w:val="00BE330B"/>
    <w:rsid w:val="00BE3B31"/>
    <w:rsid w:val="00BE6FE4"/>
    <w:rsid w:val="00BE719A"/>
    <w:rsid w:val="00BE720A"/>
    <w:rsid w:val="00BF6650"/>
    <w:rsid w:val="00C010B3"/>
    <w:rsid w:val="00C03F90"/>
    <w:rsid w:val="00C067E5"/>
    <w:rsid w:val="00C07CDA"/>
    <w:rsid w:val="00C16031"/>
    <w:rsid w:val="00C164CA"/>
    <w:rsid w:val="00C203E1"/>
    <w:rsid w:val="00C235D8"/>
    <w:rsid w:val="00C2513B"/>
    <w:rsid w:val="00C305BC"/>
    <w:rsid w:val="00C36886"/>
    <w:rsid w:val="00C42BF8"/>
    <w:rsid w:val="00C460AE"/>
    <w:rsid w:val="00C47AE8"/>
    <w:rsid w:val="00C5002C"/>
    <w:rsid w:val="00C50043"/>
    <w:rsid w:val="00C50A0F"/>
    <w:rsid w:val="00C533CD"/>
    <w:rsid w:val="00C60245"/>
    <w:rsid w:val="00C642E0"/>
    <w:rsid w:val="00C66EE7"/>
    <w:rsid w:val="00C703FD"/>
    <w:rsid w:val="00C7190F"/>
    <w:rsid w:val="00C7573B"/>
    <w:rsid w:val="00C76CF3"/>
    <w:rsid w:val="00C800DC"/>
    <w:rsid w:val="00C85399"/>
    <w:rsid w:val="00C85A0D"/>
    <w:rsid w:val="00C87CA2"/>
    <w:rsid w:val="00C93594"/>
    <w:rsid w:val="00CA1CA6"/>
    <w:rsid w:val="00CA7844"/>
    <w:rsid w:val="00CB58EF"/>
    <w:rsid w:val="00CC43D6"/>
    <w:rsid w:val="00CD0EAE"/>
    <w:rsid w:val="00CD5354"/>
    <w:rsid w:val="00CD745F"/>
    <w:rsid w:val="00CE0F17"/>
    <w:rsid w:val="00CE7D64"/>
    <w:rsid w:val="00CF0BB2"/>
    <w:rsid w:val="00CF11CD"/>
    <w:rsid w:val="00CF3F0C"/>
    <w:rsid w:val="00CF5958"/>
    <w:rsid w:val="00D07A53"/>
    <w:rsid w:val="00D13441"/>
    <w:rsid w:val="00D1761B"/>
    <w:rsid w:val="00D20665"/>
    <w:rsid w:val="00D21210"/>
    <w:rsid w:val="00D243A3"/>
    <w:rsid w:val="00D268A9"/>
    <w:rsid w:val="00D3200B"/>
    <w:rsid w:val="00D33440"/>
    <w:rsid w:val="00D3641A"/>
    <w:rsid w:val="00D376D2"/>
    <w:rsid w:val="00D43724"/>
    <w:rsid w:val="00D47416"/>
    <w:rsid w:val="00D478AB"/>
    <w:rsid w:val="00D50A49"/>
    <w:rsid w:val="00D52EFE"/>
    <w:rsid w:val="00D56A0D"/>
    <w:rsid w:val="00D5767F"/>
    <w:rsid w:val="00D63EF6"/>
    <w:rsid w:val="00D66518"/>
    <w:rsid w:val="00D66917"/>
    <w:rsid w:val="00D70DFB"/>
    <w:rsid w:val="00D71EEA"/>
    <w:rsid w:val="00D735CD"/>
    <w:rsid w:val="00D766DF"/>
    <w:rsid w:val="00D812EA"/>
    <w:rsid w:val="00D92D89"/>
    <w:rsid w:val="00D93211"/>
    <w:rsid w:val="00D95788"/>
    <w:rsid w:val="00D95891"/>
    <w:rsid w:val="00DA2382"/>
    <w:rsid w:val="00DA716C"/>
    <w:rsid w:val="00DA724B"/>
    <w:rsid w:val="00DB5CB4"/>
    <w:rsid w:val="00DB5DF7"/>
    <w:rsid w:val="00DB7983"/>
    <w:rsid w:val="00DC0FAB"/>
    <w:rsid w:val="00DC569F"/>
    <w:rsid w:val="00DD07BB"/>
    <w:rsid w:val="00DE149E"/>
    <w:rsid w:val="00DE16A9"/>
    <w:rsid w:val="00DE303B"/>
    <w:rsid w:val="00DF36AA"/>
    <w:rsid w:val="00DF3E74"/>
    <w:rsid w:val="00DF5315"/>
    <w:rsid w:val="00E04045"/>
    <w:rsid w:val="00E05704"/>
    <w:rsid w:val="00E125E2"/>
    <w:rsid w:val="00E12F1A"/>
    <w:rsid w:val="00E151BF"/>
    <w:rsid w:val="00E15561"/>
    <w:rsid w:val="00E21CFB"/>
    <w:rsid w:val="00E22935"/>
    <w:rsid w:val="00E23C0B"/>
    <w:rsid w:val="00E24493"/>
    <w:rsid w:val="00E35E3B"/>
    <w:rsid w:val="00E41D05"/>
    <w:rsid w:val="00E46390"/>
    <w:rsid w:val="00E463EB"/>
    <w:rsid w:val="00E508FD"/>
    <w:rsid w:val="00E512F8"/>
    <w:rsid w:val="00E54290"/>
    <w:rsid w:val="00E54292"/>
    <w:rsid w:val="00E60191"/>
    <w:rsid w:val="00E74DC7"/>
    <w:rsid w:val="00E755B7"/>
    <w:rsid w:val="00E8025A"/>
    <w:rsid w:val="00E86D64"/>
    <w:rsid w:val="00E87699"/>
    <w:rsid w:val="00E90ACF"/>
    <w:rsid w:val="00E90B14"/>
    <w:rsid w:val="00E92E27"/>
    <w:rsid w:val="00E939CB"/>
    <w:rsid w:val="00E9586B"/>
    <w:rsid w:val="00E96ECC"/>
    <w:rsid w:val="00E97334"/>
    <w:rsid w:val="00EA02EF"/>
    <w:rsid w:val="00EA0D36"/>
    <w:rsid w:val="00EB4F31"/>
    <w:rsid w:val="00EC1273"/>
    <w:rsid w:val="00EC2026"/>
    <w:rsid w:val="00EC770A"/>
    <w:rsid w:val="00ED4928"/>
    <w:rsid w:val="00EE2179"/>
    <w:rsid w:val="00EE3749"/>
    <w:rsid w:val="00EE59EB"/>
    <w:rsid w:val="00EE6190"/>
    <w:rsid w:val="00EE6936"/>
    <w:rsid w:val="00EF284A"/>
    <w:rsid w:val="00EF2E3A"/>
    <w:rsid w:val="00EF4D4D"/>
    <w:rsid w:val="00EF6402"/>
    <w:rsid w:val="00F025DF"/>
    <w:rsid w:val="00F047E2"/>
    <w:rsid w:val="00F04D57"/>
    <w:rsid w:val="00F078DC"/>
    <w:rsid w:val="00F12585"/>
    <w:rsid w:val="00F13E86"/>
    <w:rsid w:val="00F2689E"/>
    <w:rsid w:val="00F27CEF"/>
    <w:rsid w:val="00F32FCB"/>
    <w:rsid w:val="00F4433B"/>
    <w:rsid w:val="00F61C11"/>
    <w:rsid w:val="00F6709F"/>
    <w:rsid w:val="00F677A9"/>
    <w:rsid w:val="00F71C46"/>
    <w:rsid w:val="00F723BD"/>
    <w:rsid w:val="00F732EA"/>
    <w:rsid w:val="00F738AE"/>
    <w:rsid w:val="00F84CF5"/>
    <w:rsid w:val="00F8612E"/>
    <w:rsid w:val="00F91742"/>
    <w:rsid w:val="00F97A9C"/>
    <w:rsid w:val="00FA0E2F"/>
    <w:rsid w:val="00FA1AEC"/>
    <w:rsid w:val="00FA2A30"/>
    <w:rsid w:val="00FA420B"/>
    <w:rsid w:val="00FC047A"/>
    <w:rsid w:val="00FC1776"/>
    <w:rsid w:val="00FC58E0"/>
    <w:rsid w:val="00FD0388"/>
    <w:rsid w:val="00FD08CF"/>
    <w:rsid w:val="00FD4530"/>
    <w:rsid w:val="00FD70DD"/>
    <w:rsid w:val="00FE0781"/>
    <w:rsid w:val="00FF1B82"/>
    <w:rsid w:val="00FF39DE"/>
    <w:rsid w:val="00FF7B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AA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554DA"/>
    <w:pPr>
      <w:spacing w:line="260" w:lineRule="atLeast"/>
    </w:pPr>
    <w:rPr>
      <w:sz w:val="22"/>
    </w:rPr>
  </w:style>
  <w:style w:type="paragraph" w:styleId="Heading1">
    <w:name w:val="heading 1"/>
    <w:basedOn w:val="Normal"/>
    <w:next w:val="Normal"/>
    <w:link w:val="Heading1Char"/>
    <w:uiPriority w:val="9"/>
    <w:qFormat/>
    <w:rsid w:val="004554D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54D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54D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554D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54D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554D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554D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554D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554D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554DA"/>
  </w:style>
  <w:style w:type="paragraph" w:customStyle="1" w:styleId="OPCParaBase">
    <w:name w:val="OPCParaBase"/>
    <w:qFormat/>
    <w:rsid w:val="004554DA"/>
    <w:pPr>
      <w:spacing w:line="260" w:lineRule="atLeast"/>
    </w:pPr>
    <w:rPr>
      <w:rFonts w:eastAsia="Times New Roman" w:cs="Times New Roman"/>
      <w:sz w:val="22"/>
      <w:lang w:eastAsia="en-AU"/>
    </w:rPr>
  </w:style>
  <w:style w:type="paragraph" w:customStyle="1" w:styleId="ShortT">
    <w:name w:val="ShortT"/>
    <w:basedOn w:val="OPCParaBase"/>
    <w:next w:val="Normal"/>
    <w:qFormat/>
    <w:rsid w:val="004554DA"/>
    <w:pPr>
      <w:spacing w:line="240" w:lineRule="auto"/>
    </w:pPr>
    <w:rPr>
      <w:b/>
      <w:sz w:val="40"/>
    </w:rPr>
  </w:style>
  <w:style w:type="paragraph" w:customStyle="1" w:styleId="ActHead1">
    <w:name w:val="ActHead 1"/>
    <w:aliases w:val="c"/>
    <w:basedOn w:val="OPCParaBase"/>
    <w:next w:val="Normal"/>
    <w:qFormat/>
    <w:rsid w:val="004554D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54D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54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54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554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54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54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54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54D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554DA"/>
  </w:style>
  <w:style w:type="paragraph" w:customStyle="1" w:styleId="Blocks">
    <w:name w:val="Blocks"/>
    <w:aliases w:val="bb"/>
    <w:basedOn w:val="OPCParaBase"/>
    <w:qFormat/>
    <w:rsid w:val="004554DA"/>
    <w:pPr>
      <w:spacing w:line="240" w:lineRule="auto"/>
    </w:pPr>
    <w:rPr>
      <w:sz w:val="24"/>
    </w:rPr>
  </w:style>
  <w:style w:type="paragraph" w:customStyle="1" w:styleId="BoxText">
    <w:name w:val="BoxText"/>
    <w:aliases w:val="bt"/>
    <w:basedOn w:val="OPCParaBase"/>
    <w:qFormat/>
    <w:rsid w:val="004554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54DA"/>
    <w:rPr>
      <w:b/>
    </w:rPr>
  </w:style>
  <w:style w:type="paragraph" w:customStyle="1" w:styleId="BoxHeadItalic">
    <w:name w:val="BoxHeadItalic"/>
    <w:aliases w:val="bhi"/>
    <w:basedOn w:val="BoxText"/>
    <w:next w:val="BoxStep"/>
    <w:qFormat/>
    <w:rsid w:val="004554DA"/>
    <w:rPr>
      <w:i/>
    </w:rPr>
  </w:style>
  <w:style w:type="paragraph" w:customStyle="1" w:styleId="BoxList">
    <w:name w:val="BoxList"/>
    <w:aliases w:val="bl"/>
    <w:basedOn w:val="BoxText"/>
    <w:qFormat/>
    <w:rsid w:val="004554DA"/>
    <w:pPr>
      <w:ind w:left="1559" w:hanging="425"/>
    </w:pPr>
  </w:style>
  <w:style w:type="paragraph" w:customStyle="1" w:styleId="BoxNote">
    <w:name w:val="BoxNote"/>
    <w:aliases w:val="bn"/>
    <w:basedOn w:val="BoxText"/>
    <w:qFormat/>
    <w:rsid w:val="004554DA"/>
    <w:pPr>
      <w:tabs>
        <w:tab w:val="left" w:pos="1985"/>
      </w:tabs>
      <w:spacing w:before="122" w:line="198" w:lineRule="exact"/>
      <w:ind w:left="2948" w:hanging="1814"/>
    </w:pPr>
    <w:rPr>
      <w:sz w:val="18"/>
    </w:rPr>
  </w:style>
  <w:style w:type="paragraph" w:customStyle="1" w:styleId="BoxPara">
    <w:name w:val="BoxPara"/>
    <w:aliases w:val="bp"/>
    <w:basedOn w:val="BoxText"/>
    <w:qFormat/>
    <w:rsid w:val="004554DA"/>
    <w:pPr>
      <w:tabs>
        <w:tab w:val="right" w:pos="2268"/>
      </w:tabs>
      <w:ind w:left="2552" w:hanging="1418"/>
    </w:pPr>
  </w:style>
  <w:style w:type="paragraph" w:customStyle="1" w:styleId="BoxStep">
    <w:name w:val="BoxStep"/>
    <w:aliases w:val="bs"/>
    <w:basedOn w:val="BoxText"/>
    <w:qFormat/>
    <w:rsid w:val="004554DA"/>
    <w:pPr>
      <w:ind w:left="1985" w:hanging="851"/>
    </w:pPr>
  </w:style>
  <w:style w:type="character" w:customStyle="1" w:styleId="CharAmPartNo">
    <w:name w:val="CharAmPartNo"/>
    <w:basedOn w:val="OPCCharBase"/>
    <w:qFormat/>
    <w:rsid w:val="004554DA"/>
  </w:style>
  <w:style w:type="character" w:customStyle="1" w:styleId="CharAmPartText">
    <w:name w:val="CharAmPartText"/>
    <w:basedOn w:val="OPCCharBase"/>
    <w:qFormat/>
    <w:rsid w:val="004554DA"/>
  </w:style>
  <w:style w:type="character" w:customStyle="1" w:styleId="CharAmSchNo">
    <w:name w:val="CharAmSchNo"/>
    <w:basedOn w:val="OPCCharBase"/>
    <w:qFormat/>
    <w:rsid w:val="004554DA"/>
  </w:style>
  <w:style w:type="character" w:customStyle="1" w:styleId="CharAmSchText">
    <w:name w:val="CharAmSchText"/>
    <w:basedOn w:val="OPCCharBase"/>
    <w:qFormat/>
    <w:rsid w:val="004554DA"/>
  </w:style>
  <w:style w:type="character" w:customStyle="1" w:styleId="CharBoldItalic">
    <w:name w:val="CharBoldItalic"/>
    <w:basedOn w:val="OPCCharBase"/>
    <w:uiPriority w:val="1"/>
    <w:qFormat/>
    <w:rsid w:val="004554DA"/>
    <w:rPr>
      <w:b/>
      <w:i/>
    </w:rPr>
  </w:style>
  <w:style w:type="character" w:customStyle="1" w:styleId="CharChapNo">
    <w:name w:val="CharChapNo"/>
    <w:basedOn w:val="OPCCharBase"/>
    <w:uiPriority w:val="1"/>
    <w:qFormat/>
    <w:rsid w:val="004554DA"/>
  </w:style>
  <w:style w:type="character" w:customStyle="1" w:styleId="CharChapText">
    <w:name w:val="CharChapText"/>
    <w:basedOn w:val="OPCCharBase"/>
    <w:uiPriority w:val="1"/>
    <w:qFormat/>
    <w:rsid w:val="004554DA"/>
  </w:style>
  <w:style w:type="character" w:customStyle="1" w:styleId="CharDivNo">
    <w:name w:val="CharDivNo"/>
    <w:basedOn w:val="OPCCharBase"/>
    <w:uiPriority w:val="1"/>
    <w:qFormat/>
    <w:rsid w:val="004554DA"/>
  </w:style>
  <w:style w:type="character" w:customStyle="1" w:styleId="CharDivText">
    <w:name w:val="CharDivText"/>
    <w:basedOn w:val="OPCCharBase"/>
    <w:uiPriority w:val="1"/>
    <w:qFormat/>
    <w:rsid w:val="004554DA"/>
  </w:style>
  <w:style w:type="character" w:customStyle="1" w:styleId="CharItalic">
    <w:name w:val="CharItalic"/>
    <w:basedOn w:val="OPCCharBase"/>
    <w:uiPriority w:val="1"/>
    <w:qFormat/>
    <w:rsid w:val="004554DA"/>
    <w:rPr>
      <w:i/>
    </w:rPr>
  </w:style>
  <w:style w:type="character" w:customStyle="1" w:styleId="CharPartNo">
    <w:name w:val="CharPartNo"/>
    <w:basedOn w:val="OPCCharBase"/>
    <w:uiPriority w:val="1"/>
    <w:qFormat/>
    <w:rsid w:val="004554DA"/>
  </w:style>
  <w:style w:type="character" w:customStyle="1" w:styleId="CharPartText">
    <w:name w:val="CharPartText"/>
    <w:basedOn w:val="OPCCharBase"/>
    <w:uiPriority w:val="1"/>
    <w:qFormat/>
    <w:rsid w:val="004554DA"/>
  </w:style>
  <w:style w:type="character" w:customStyle="1" w:styleId="CharSectno">
    <w:name w:val="CharSectno"/>
    <w:basedOn w:val="OPCCharBase"/>
    <w:qFormat/>
    <w:rsid w:val="004554DA"/>
  </w:style>
  <w:style w:type="character" w:customStyle="1" w:styleId="CharSubdNo">
    <w:name w:val="CharSubdNo"/>
    <w:basedOn w:val="OPCCharBase"/>
    <w:uiPriority w:val="1"/>
    <w:qFormat/>
    <w:rsid w:val="004554DA"/>
  </w:style>
  <w:style w:type="character" w:customStyle="1" w:styleId="CharSubdText">
    <w:name w:val="CharSubdText"/>
    <w:basedOn w:val="OPCCharBase"/>
    <w:uiPriority w:val="1"/>
    <w:qFormat/>
    <w:rsid w:val="004554DA"/>
  </w:style>
  <w:style w:type="paragraph" w:customStyle="1" w:styleId="CTA--">
    <w:name w:val="CTA --"/>
    <w:basedOn w:val="OPCParaBase"/>
    <w:next w:val="Normal"/>
    <w:rsid w:val="004554DA"/>
    <w:pPr>
      <w:spacing w:before="60" w:line="240" w:lineRule="atLeast"/>
      <w:ind w:left="142" w:hanging="142"/>
    </w:pPr>
    <w:rPr>
      <w:sz w:val="20"/>
    </w:rPr>
  </w:style>
  <w:style w:type="paragraph" w:customStyle="1" w:styleId="CTA-">
    <w:name w:val="CTA -"/>
    <w:basedOn w:val="OPCParaBase"/>
    <w:rsid w:val="004554DA"/>
    <w:pPr>
      <w:spacing w:before="60" w:line="240" w:lineRule="atLeast"/>
      <w:ind w:left="85" w:hanging="85"/>
    </w:pPr>
    <w:rPr>
      <w:sz w:val="20"/>
    </w:rPr>
  </w:style>
  <w:style w:type="paragraph" w:customStyle="1" w:styleId="CTA---">
    <w:name w:val="CTA ---"/>
    <w:basedOn w:val="OPCParaBase"/>
    <w:next w:val="Normal"/>
    <w:rsid w:val="004554DA"/>
    <w:pPr>
      <w:spacing w:before="60" w:line="240" w:lineRule="atLeast"/>
      <w:ind w:left="198" w:hanging="198"/>
    </w:pPr>
    <w:rPr>
      <w:sz w:val="20"/>
    </w:rPr>
  </w:style>
  <w:style w:type="paragraph" w:customStyle="1" w:styleId="CTA----">
    <w:name w:val="CTA ----"/>
    <w:basedOn w:val="OPCParaBase"/>
    <w:next w:val="Normal"/>
    <w:rsid w:val="004554DA"/>
    <w:pPr>
      <w:spacing w:before="60" w:line="240" w:lineRule="atLeast"/>
      <w:ind w:left="255" w:hanging="255"/>
    </w:pPr>
    <w:rPr>
      <w:sz w:val="20"/>
    </w:rPr>
  </w:style>
  <w:style w:type="paragraph" w:customStyle="1" w:styleId="CTA1a">
    <w:name w:val="CTA 1(a)"/>
    <w:basedOn w:val="OPCParaBase"/>
    <w:rsid w:val="004554DA"/>
    <w:pPr>
      <w:tabs>
        <w:tab w:val="right" w:pos="414"/>
      </w:tabs>
      <w:spacing w:before="40" w:line="240" w:lineRule="atLeast"/>
      <w:ind w:left="675" w:hanging="675"/>
    </w:pPr>
    <w:rPr>
      <w:sz w:val="20"/>
    </w:rPr>
  </w:style>
  <w:style w:type="paragraph" w:customStyle="1" w:styleId="CTA1ai">
    <w:name w:val="CTA 1(a)(i)"/>
    <w:basedOn w:val="OPCParaBase"/>
    <w:rsid w:val="004554DA"/>
    <w:pPr>
      <w:tabs>
        <w:tab w:val="right" w:pos="1004"/>
      </w:tabs>
      <w:spacing w:before="40" w:line="240" w:lineRule="atLeast"/>
      <w:ind w:left="1253" w:hanging="1253"/>
    </w:pPr>
    <w:rPr>
      <w:sz w:val="20"/>
    </w:rPr>
  </w:style>
  <w:style w:type="paragraph" w:customStyle="1" w:styleId="CTA2a">
    <w:name w:val="CTA 2(a)"/>
    <w:basedOn w:val="OPCParaBase"/>
    <w:rsid w:val="004554DA"/>
    <w:pPr>
      <w:tabs>
        <w:tab w:val="right" w:pos="482"/>
      </w:tabs>
      <w:spacing w:before="40" w:line="240" w:lineRule="atLeast"/>
      <w:ind w:left="748" w:hanging="748"/>
    </w:pPr>
    <w:rPr>
      <w:sz w:val="20"/>
    </w:rPr>
  </w:style>
  <w:style w:type="paragraph" w:customStyle="1" w:styleId="CTA2ai">
    <w:name w:val="CTA 2(a)(i)"/>
    <w:basedOn w:val="OPCParaBase"/>
    <w:rsid w:val="004554DA"/>
    <w:pPr>
      <w:tabs>
        <w:tab w:val="right" w:pos="1089"/>
      </w:tabs>
      <w:spacing w:before="40" w:line="240" w:lineRule="atLeast"/>
      <w:ind w:left="1327" w:hanging="1327"/>
    </w:pPr>
    <w:rPr>
      <w:sz w:val="20"/>
    </w:rPr>
  </w:style>
  <w:style w:type="paragraph" w:customStyle="1" w:styleId="CTA3a">
    <w:name w:val="CTA 3(a)"/>
    <w:basedOn w:val="OPCParaBase"/>
    <w:rsid w:val="004554DA"/>
    <w:pPr>
      <w:tabs>
        <w:tab w:val="right" w:pos="556"/>
      </w:tabs>
      <w:spacing w:before="40" w:line="240" w:lineRule="atLeast"/>
      <w:ind w:left="805" w:hanging="805"/>
    </w:pPr>
    <w:rPr>
      <w:sz w:val="20"/>
    </w:rPr>
  </w:style>
  <w:style w:type="paragraph" w:customStyle="1" w:styleId="CTA3ai">
    <w:name w:val="CTA 3(a)(i)"/>
    <w:basedOn w:val="OPCParaBase"/>
    <w:rsid w:val="004554DA"/>
    <w:pPr>
      <w:tabs>
        <w:tab w:val="right" w:pos="1140"/>
      </w:tabs>
      <w:spacing w:before="40" w:line="240" w:lineRule="atLeast"/>
      <w:ind w:left="1361" w:hanging="1361"/>
    </w:pPr>
    <w:rPr>
      <w:sz w:val="20"/>
    </w:rPr>
  </w:style>
  <w:style w:type="paragraph" w:customStyle="1" w:styleId="CTA4a">
    <w:name w:val="CTA 4(a)"/>
    <w:basedOn w:val="OPCParaBase"/>
    <w:rsid w:val="004554DA"/>
    <w:pPr>
      <w:tabs>
        <w:tab w:val="right" w:pos="624"/>
      </w:tabs>
      <w:spacing w:before="40" w:line="240" w:lineRule="atLeast"/>
      <w:ind w:left="873" w:hanging="873"/>
    </w:pPr>
    <w:rPr>
      <w:sz w:val="20"/>
    </w:rPr>
  </w:style>
  <w:style w:type="paragraph" w:customStyle="1" w:styleId="CTA4ai">
    <w:name w:val="CTA 4(a)(i)"/>
    <w:basedOn w:val="OPCParaBase"/>
    <w:rsid w:val="004554DA"/>
    <w:pPr>
      <w:tabs>
        <w:tab w:val="right" w:pos="1213"/>
      </w:tabs>
      <w:spacing w:before="40" w:line="240" w:lineRule="atLeast"/>
      <w:ind w:left="1452" w:hanging="1452"/>
    </w:pPr>
    <w:rPr>
      <w:sz w:val="20"/>
    </w:rPr>
  </w:style>
  <w:style w:type="paragraph" w:customStyle="1" w:styleId="CTACAPS">
    <w:name w:val="CTA CAPS"/>
    <w:basedOn w:val="OPCParaBase"/>
    <w:rsid w:val="004554DA"/>
    <w:pPr>
      <w:spacing w:before="60" w:line="240" w:lineRule="atLeast"/>
    </w:pPr>
    <w:rPr>
      <w:sz w:val="20"/>
    </w:rPr>
  </w:style>
  <w:style w:type="paragraph" w:customStyle="1" w:styleId="CTAright">
    <w:name w:val="CTA right"/>
    <w:basedOn w:val="OPCParaBase"/>
    <w:rsid w:val="004554DA"/>
    <w:pPr>
      <w:spacing w:before="60" w:line="240" w:lineRule="auto"/>
      <w:jc w:val="right"/>
    </w:pPr>
    <w:rPr>
      <w:sz w:val="20"/>
    </w:rPr>
  </w:style>
  <w:style w:type="paragraph" w:customStyle="1" w:styleId="subsection">
    <w:name w:val="subsection"/>
    <w:aliases w:val="ss,Subsection"/>
    <w:basedOn w:val="OPCParaBase"/>
    <w:link w:val="subsectionChar"/>
    <w:rsid w:val="004554DA"/>
    <w:pPr>
      <w:tabs>
        <w:tab w:val="right" w:pos="1021"/>
      </w:tabs>
      <w:spacing w:before="180" w:line="240" w:lineRule="auto"/>
      <w:ind w:left="1134" w:hanging="1134"/>
    </w:pPr>
  </w:style>
  <w:style w:type="paragraph" w:customStyle="1" w:styleId="Definition">
    <w:name w:val="Definition"/>
    <w:aliases w:val="dd"/>
    <w:basedOn w:val="OPCParaBase"/>
    <w:rsid w:val="004554DA"/>
    <w:pPr>
      <w:spacing w:before="180" w:line="240" w:lineRule="auto"/>
      <w:ind w:left="1134"/>
    </w:pPr>
  </w:style>
  <w:style w:type="paragraph" w:customStyle="1" w:styleId="ETAsubitem">
    <w:name w:val="ETA(subitem)"/>
    <w:basedOn w:val="OPCParaBase"/>
    <w:rsid w:val="004554DA"/>
    <w:pPr>
      <w:tabs>
        <w:tab w:val="right" w:pos="340"/>
      </w:tabs>
      <w:spacing w:before="60" w:line="240" w:lineRule="auto"/>
      <w:ind w:left="454" w:hanging="454"/>
    </w:pPr>
    <w:rPr>
      <w:sz w:val="20"/>
    </w:rPr>
  </w:style>
  <w:style w:type="paragraph" w:customStyle="1" w:styleId="ETApara">
    <w:name w:val="ETA(para)"/>
    <w:basedOn w:val="OPCParaBase"/>
    <w:rsid w:val="004554DA"/>
    <w:pPr>
      <w:tabs>
        <w:tab w:val="right" w:pos="754"/>
      </w:tabs>
      <w:spacing w:before="60" w:line="240" w:lineRule="auto"/>
      <w:ind w:left="828" w:hanging="828"/>
    </w:pPr>
    <w:rPr>
      <w:sz w:val="20"/>
    </w:rPr>
  </w:style>
  <w:style w:type="paragraph" w:customStyle="1" w:styleId="ETAsubpara">
    <w:name w:val="ETA(subpara)"/>
    <w:basedOn w:val="OPCParaBase"/>
    <w:rsid w:val="004554DA"/>
    <w:pPr>
      <w:tabs>
        <w:tab w:val="right" w:pos="1083"/>
      </w:tabs>
      <w:spacing w:before="60" w:line="240" w:lineRule="auto"/>
      <w:ind w:left="1191" w:hanging="1191"/>
    </w:pPr>
    <w:rPr>
      <w:sz w:val="20"/>
    </w:rPr>
  </w:style>
  <w:style w:type="paragraph" w:customStyle="1" w:styleId="ETAsub-subpara">
    <w:name w:val="ETA(sub-subpara)"/>
    <w:basedOn w:val="OPCParaBase"/>
    <w:rsid w:val="004554DA"/>
    <w:pPr>
      <w:tabs>
        <w:tab w:val="right" w:pos="1412"/>
      </w:tabs>
      <w:spacing w:before="60" w:line="240" w:lineRule="auto"/>
      <w:ind w:left="1525" w:hanging="1525"/>
    </w:pPr>
    <w:rPr>
      <w:sz w:val="20"/>
    </w:rPr>
  </w:style>
  <w:style w:type="paragraph" w:customStyle="1" w:styleId="Formula">
    <w:name w:val="Formula"/>
    <w:basedOn w:val="OPCParaBase"/>
    <w:rsid w:val="004554DA"/>
    <w:pPr>
      <w:spacing w:line="240" w:lineRule="auto"/>
      <w:ind w:left="1134"/>
    </w:pPr>
    <w:rPr>
      <w:sz w:val="20"/>
    </w:rPr>
  </w:style>
  <w:style w:type="paragraph" w:styleId="Header">
    <w:name w:val="header"/>
    <w:basedOn w:val="OPCParaBase"/>
    <w:link w:val="HeaderChar"/>
    <w:unhideWhenUsed/>
    <w:rsid w:val="004554D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554DA"/>
    <w:rPr>
      <w:rFonts w:eastAsia="Times New Roman" w:cs="Times New Roman"/>
      <w:sz w:val="16"/>
      <w:lang w:eastAsia="en-AU"/>
    </w:rPr>
  </w:style>
  <w:style w:type="paragraph" w:customStyle="1" w:styleId="House">
    <w:name w:val="House"/>
    <w:basedOn w:val="OPCParaBase"/>
    <w:rsid w:val="004554DA"/>
    <w:pPr>
      <w:spacing w:line="240" w:lineRule="auto"/>
    </w:pPr>
    <w:rPr>
      <w:sz w:val="28"/>
    </w:rPr>
  </w:style>
  <w:style w:type="paragraph" w:customStyle="1" w:styleId="Item">
    <w:name w:val="Item"/>
    <w:aliases w:val="i"/>
    <w:basedOn w:val="OPCParaBase"/>
    <w:next w:val="ItemHead"/>
    <w:rsid w:val="004554DA"/>
    <w:pPr>
      <w:keepLines/>
      <w:spacing w:before="80" w:line="240" w:lineRule="auto"/>
      <w:ind w:left="709"/>
    </w:pPr>
  </w:style>
  <w:style w:type="paragraph" w:customStyle="1" w:styleId="ItemHead">
    <w:name w:val="ItemHead"/>
    <w:aliases w:val="ih"/>
    <w:basedOn w:val="OPCParaBase"/>
    <w:next w:val="Item"/>
    <w:link w:val="ItemHeadChar"/>
    <w:rsid w:val="004554D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554DA"/>
    <w:pPr>
      <w:spacing w:line="240" w:lineRule="auto"/>
    </w:pPr>
    <w:rPr>
      <w:b/>
      <w:sz w:val="32"/>
    </w:rPr>
  </w:style>
  <w:style w:type="paragraph" w:customStyle="1" w:styleId="notedraft">
    <w:name w:val="note(draft)"/>
    <w:aliases w:val="nd"/>
    <w:basedOn w:val="OPCParaBase"/>
    <w:rsid w:val="004554DA"/>
    <w:pPr>
      <w:spacing w:before="240" w:line="240" w:lineRule="auto"/>
      <w:ind w:left="284" w:hanging="284"/>
    </w:pPr>
    <w:rPr>
      <w:i/>
      <w:sz w:val="24"/>
    </w:rPr>
  </w:style>
  <w:style w:type="paragraph" w:customStyle="1" w:styleId="notemargin">
    <w:name w:val="note(margin)"/>
    <w:aliases w:val="nm"/>
    <w:basedOn w:val="OPCParaBase"/>
    <w:rsid w:val="004554DA"/>
    <w:pPr>
      <w:tabs>
        <w:tab w:val="left" w:pos="709"/>
      </w:tabs>
      <w:spacing w:before="122" w:line="198" w:lineRule="exact"/>
      <w:ind w:left="709" w:hanging="709"/>
    </w:pPr>
    <w:rPr>
      <w:sz w:val="18"/>
    </w:rPr>
  </w:style>
  <w:style w:type="paragraph" w:customStyle="1" w:styleId="noteToPara">
    <w:name w:val="noteToPara"/>
    <w:aliases w:val="ntp"/>
    <w:basedOn w:val="OPCParaBase"/>
    <w:rsid w:val="004554DA"/>
    <w:pPr>
      <w:spacing w:before="122" w:line="198" w:lineRule="exact"/>
      <w:ind w:left="2353" w:hanging="709"/>
    </w:pPr>
    <w:rPr>
      <w:sz w:val="18"/>
    </w:rPr>
  </w:style>
  <w:style w:type="paragraph" w:customStyle="1" w:styleId="noteParlAmend">
    <w:name w:val="note(ParlAmend)"/>
    <w:aliases w:val="npp"/>
    <w:basedOn w:val="OPCParaBase"/>
    <w:next w:val="ParlAmend"/>
    <w:rsid w:val="004554DA"/>
    <w:pPr>
      <w:spacing w:line="240" w:lineRule="auto"/>
      <w:jc w:val="right"/>
    </w:pPr>
    <w:rPr>
      <w:rFonts w:ascii="Arial" w:hAnsi="Arial"/>
      <w:b/>
      <w:i/>
    </w:rPr>
  </w:style>
  <w:style w:type="paragraph" w:customStyle="1" w:styleId="Page1">
    <w:name w:val="Page1"/>
    <w:basedOn w:val="OPCParaBase"/>
    <w:rsid w:val="004554DA"/>
    <w:pPr>
      <w:spacing w:before="5600" w:line="240" w:lineRule="auto"/>
    </w:pPr>
    <w:rPr>
      <w:b/>
      <w:sz w:val="32"/>
    </w:rPr>
  </w:style>
  <w:style w:type="paragraph" w:customStyle="1" w:styleId="PageBreak">
    <w:name w:val="PageBreak"/>
    <w:aliases w:val="pb"/>
    <w:basedOn w:val="OPCParaBase"/>
    <w:rsid w:val="004554DA"/>
    <w:pPr>
      <w:spacing w:line="240" w:lineRule="auto"/>
    </w:pPr>
    <w:rPr>
      <w:sz w:val="20"/>
    </w:rPr>
  </w:style>
  <w:style w:type="paragraph" w:customStyle="1" w:styleId="paragraphsub">
    <w:name w:val="paragraph(sub)"/>
    <w:aliases w:val="aa"/>
    <w:basedOn w:val="OPCParaBase"/>
    <w:rsid w:val="004554DA"/>
    <w:pPr>
      <w:tabs>
        <w:tab w:val="right" w:pos="1985"/>
      </w:tabs>
      <w:spacing w:before="40" w:line="240" w:lineRule="auto"/>
      <w:ind w:left="2098" w:hanging="2098"/>
    </w:pPr>
  </w:style>
  <w:style w:type="paragraph" w:customStyle="1" w:styleId="paragraphsub-sub">
    <w:name w:val="paragraph(sub-sub)"/>
    <w:aliases w:val="aaa"/>
    <w:basedOn w:val="OPCParaBase"/>
    <w:rsid w:val="004554DA"/>
    <w:pPr>
      <w:tabs>
        <w:tab w:val="right" w:pos="2722"/>
      </w:tabs>
      <w:spacing w:before="40" w:line="240" w:lineRule="auto"/>
      <w:ind w:left="2835" w:hanging="2835"/>
    </w:pPr>
  </w:style>
  <w:style w:type="paragraph" w:customStyle="1" w:styleId="paragraph">
    <w:name w:val="paragraph"/>
    <w:aliases w:val="a"/>
    <w:basedOn w:val="OPCParaBase"/>
    <w:rsid w:val="004554DA"/>
    <w:pPr>
      <w:tabs>
        <w:tab w:val="right" w:pos="1531"/>
      </w:tabs>
      <w:spacing w:before="40" w:line="240" w:lineRule="auto"/>
      <w:ind w:left="1644" w:hanging="1644"/>
    </w:pPr>
  </w:style>
  <w:style w:type="paragraph" w:customStyle="1" w:styleId="ParlAmend">
    <w:name w:val="ParlAmend"/>
    <w:aliases w:val="pp"/>
    <w:basedOn w:val="OPCParaBase"/>
    <w:rsid w:val="004554DA"/>
    <w:pPr>
      <w:spacing w:before="240" w:line="240" w:lineRule="atLeast"/>
      <w:ind w:hanging="567"/>
    </w:pPr>
    <w:rPr>
      <w:sz w:val="24"/>
    </w:rPr>
  </w:style>
  <w:style w:type="paragraph" w:customStyle="1" w:styleId="Penalty">
    <w:name w:val="Penalty"/>
    <w:basedOn w:val="OPCParaBase"/>
    <w:rsid w:val="004554DA"/>
    <w:pPr>
      <w:tabs>
        <w:tab w:val="left" w:pos="2977"/>
      </w:tabs>
      <w:spacing w:before="180" w:line="240" w:lineRule="auto"/>
      <w:ind w:left="1985" w:hanging="851"/>
    </w:pPr>
  </w:style>
  <w:style w:type="paragraph" w:customStyle="1" w:styleId="Portfolio">
    <w:name w:val="Portfolio"/>
    <w:basedOn w:val="OPCParaBase"/>
    <w:rsid w:val="004554DA"/>
    <w:pPr>
      <w:spacing w:line="240" w:lineRule="auto"/>
    </w:pPr>
    <w:rPr>
      <w:i/>
      <w:sz w:val="20"/>
    </w:rPr>
  </w:style>
  <w:style w:type="paragraph" w:customStyle="1" w:styleId="Preamble">
    <w:name w:val="Preamble"/>
    <w:basedOn w:val="OPCParaBase"/>
    <w:next w:val="Normal"/>
    <w:rsid w:val="004554D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54DA"/>
    <w:pPr>
      <w:spacing w:line="240" w:lineRule="auto"/>
    </w:pPr>
    <w:rPr>
      <w:i/>
      <w:sz w:val="20"/>
    </w:rPr>
  </w:style>
  <w:style w:type="paragraph" w:customStyle="1" w:styleId="Session">
    <w:name w:val="Session"/>
    <w:basedOn w:val="OPCParaBase"/>
    <w:rsid w:val="004554DA"/>
    <w:pPr>
      <w:spacing w:line="240" w:lineRule="auto"/>
    </w:pPr>
    <w:rPr>
      <w:sz w:val="28"/>
    </w:rPr>
  </w:style>
  <w:style w:type="paragraph" w:customStyle="1" w:styleId="Sponsor">
    <w:name w:val="Sponsor"/>
    <w:basedOn w:val="OPCParaBase"/>
    <w:rsid w:val="004554DA"/>
    <w:pPr>
      <w:spacing w:line="240" w:lineRule="auto"/>
    </w:pPr>
    <w:rPr>
      <w:i/>
    </w:rPr>
  </w:style>
  <w:style w:type="paragraph" w:customStyle="1" w:styleId="Subitem">
    <w:name w:val="Subitem"/>
    <w:aliases w:val="iss"/>
    <w:basedOn w:val="OPCParaBase"/>
    <w:rsid w:val="004554DA"/>
    <w:pPr>
      <w:spacing w:before="180" w:line="240" w:lineRule="auto"/>
      <w:ind w:left="709" w:hanging="709"/>
    </w:pPr>
  </w:style>
  <w:style w:type="paragraph" w:customStyle="1" w:styleId="SubitemHead">
    <w:name w:val="SubitemHead"/>
    <w:aliases w:val="issh"/>
    <w:basedOn w:val="OPCParaBase"/>
    <w:rsid w:val="004554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54DA"/>
    <w:pPr>
      <w:spacing w:before="40" w:line="240" w:lineRule="auto"/>
      <w:ind w:left="1134"/>
    </w:pPr>
  </w:style>
  <w:style w:type="paragraph" w:customStyle="1" w:styleId="SubsectionHead">
    <w:name w:val="SubsectionHead"/>
    <w:aliases w:val="ssh"/>
    <w:basedOn w:val="OPCParaBase"/>
    <w:next w:val="subsection"/>
    <w:rsid w:val="004554DA"/>
    <w:pPr>
      <w:keepNext/>
      <w:keepLines/>
      <w:spacing w:before="240" w:line="240" w:lineRule="auto"/>
      <w:ind w:left="1134"/>
    </w:pPr>
    <w:rPr>
      <w:i/>
    </w:rPr>
  </w:style>
  <w:style w:type="paragraph" w:customStyle="1" w:styleId="Tablea">
    <w:name w:val="Table(a)"/>
    <w:aliases w:val="ta"/>
    <w:basedOn w:val="OPCParaBase"/>
    <w:rsid w:val="004554DA"/>
    <w:pPr>
      <w:spacing w:before="60" w:line="240" w:lineRule="auto"/>
      <w:ind w:left="284" w:hanging="284"/>
    </w:pPr>
    <w:rPr>
      <w:sz w:val="20"/>
    </w:rPr>
  </w:style>
  <w:style w:type="paragraph" w:customStyle="1" w:styleId="TableAA">
    <w:name w:val="Table(AA)"/>
    <w:aliases w:val="taaa"/>
    <w:basedOn w:val="OPCParaBase"/>
    <w:rsid w:val="004554D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554D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554DA"/>
    <w:pPr>
      <w:spacing w:before="60" w:line="240" w:lineRule="atLeast"/>
    </w:pPr>
    <w:rPr>
      <w:sz w:val="20"/>
    </w:rPr>
  </w:style>
  <w:style w:type="paragraph" w:customStyle="1" w:styleId="TLPBoxTextnote">
    <w:name w:val="TLPBoxText(note"/>
    <w:aliases w:val="right)"/>
    <w:basedOn w:val="OPCParaBase"/>
    <w:rsid w:val="004554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54D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54DA"/>
    <w:pPr>
      <w:spacing w:before="122" w:line="198" w:lineRule="exact"/>
      <w:ind w:left="1985" w:hanging="851"/>
      <w:jc w:val="right"/>
    </w:pPr>
    <w:rPr>
      <w:sz w:val="18"/>
    </w:rPr>
  </w:style>
  <w:style w:type="paragraph" w:customStyle="1" w:styleId="TLPTableBullet">
    <w:name w:val="TLPTableBullet"/>
    <w:aliases w:val="ttb"/>
    <w:basedOn w:val="OPCParaBase"/>
    <w:rsid w:val="004554DA"/>
    <w:pPr>
      <w:spacing w:line="240" w:lineRule="exact"/>
      <w:ind w:left="284" w:hanging="284"/>
    </w:pPr>
    <w:rPr>
      <w:sz w:val="20"/>
    </w:rPr>
  </w:style>
  <w:style w:type="paragraph" w:styleId="TOC1">
    <w:name w:val="toc 1"/>
    <w:basedOn w:val="Normal"/>
    <w:next w:val="Normal"/>
    <w:uiPriority w:val="39"/>
    <w:unhideWhenUsed/>
    <w:rsid w:val="004554D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554D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554D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554D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554D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554D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554D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554D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554D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554DA"/>
    <w:pPr>
      <w:keepLines/>
      <w:spacing w:before="240" w:after="120" w:line="240" w:lineRule="auto"/>
      <w:ind w:left="794"/>
    </w:pPr>
    <w:rPr>
      <w:b/>
      <w:kern w:val="28"/>
      <w:sz w:val="20"/>
    </w:rPr>
  </w:style>
  <w:style w:type="paragraph" w:customStyle="1" w:styleId="TofSectsHeading">
    <w:name w:val="TofSects(Heading)"/>
    <w:basedOn w:val="OPCParaBase"/>
    <w:rsid w:val="004554DA"/>
    <w:pPr>
      <w:spacing w:before="240" w:after="120" w:line="240" w:lineRule="auto"/>
    </w:pPr>
    <w:rPr>
      <w:b/>
      <w:sz w:val="24"/>
    </w:rPr>
  </w:style>
  <w:style w:type="paragraph" w:customStyle="1" w:styleId="TofSectsSection">
    <w:name w:val="TofSects(Section)"/>
    <w:basedOn w:val="OPCParaBase"/>
    <w:rsid w:val="004554DA"/>
    <w:pPr>
      <w:keepLines/>
      <w:spacing w:before="40" w:line="240" w:lineRule="auto"/>
      <w:ind w:left="1588" w:hanging="794"/>
    </w:pPr>
    <w:rPr>
      <w:kern w:val="28"/>
      <w:sz w:val="18"/>
    </w:rPr>
  </w:style>
  <w:style w:type="paragraph" w:customStyle="1" w:styleId="TofSectsSubdiv">
    <w:name w:val="TofSects(Subdiv)"/>
    <w:basedOn w:val="OPCParaBase"/>
    <w:rsid w:val="004554DA"/>
    <w:pPr>
      <w:keepLines/>
      <w:spacing w:before="80" w:line="240" w:lineRule="auto"/>
      <w:ind w:left="1588" w:hanging="794"/>
    </w:pPr>
    <w:rPr>
      <w:kern w:val="28"/>
    </w:rPr>
  </w:style>
  <w:style w:type="paragraph" w:customStyle="1" w:styleId="WRStyle">
    <w:name w:val="WR Style"/>
    <w:aliases w:val="WR"/>
    <w:basedOn w:val="OPCParaBase"/>
    <w:rsid w:val="004554DA"/>
    <w:pPr>
      <w:spacing w:before="240" w:line="240" w:lineRule="auto"/>
      <w:ind w:left="284" w:hanging="284"/>
    </w:pPr>
    <w:rPr>
      <w:b/>
      <w:i/>
      <w:kern w:val="28"/>
      <w:sz w:val="24"/>
    </w:rPr>
  </w:style>
  <w:style w:type="paragraph" w:customStyle="1" w:styleId="notepara">
    <w:name w:val="note(para)"/>
    <w:aliases w:val="na"/>
    <w:basedOn w:val="OPCParaBase"/>
    <w:rsid w:val="004554DA"/>
    <w:pPr>
      <w:spacing w:before="40" w:line="198" w:lineRule="exact"/>
      <w:ind w:left="2354" w:hanging="369"/>
    </w:pPr>
    <w:rPr>
      <w:sz w:val="18"/>
    </w:rPr>
  </w:style>
  <w:style w:type="paragraph" w:styleId="Footer">
    <w:name w:val="footer"/>
    <w:link w:val="FooterChar"/>
    <w:rsid w:val="004554D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554DA"/>
    <w:rPr>
      <w:rFonts w:eastAsia="Times New Roman" w:cs="Times New Roman"/>
      <w:sz w:val="22"/>
      <w:szCs w:val="24"/>
      <w:lang w:eastAsia="en-AU"/>
    </w:rPr>
  </w:style>
  <w:style w:type="character" w:styleId="LineNumber">
    <w:name w:val="line number"/>
    <w:basedOn w:val="OPCCharBase"/>
    <w:uiPriority w:val="99"/>
    <w:unhideWhenUsed/>
    <w:rsid w:val="004554DA"/>
    <w:rPr>
      <w:sz w:val="16"/>
    </w:rPr>
  </w:style>
  <w:style w:type="table" w:customStyle="1" w:styleId="CFlag">
    <w:name w:val="CFlag"/>
    <w:basedOn w:val="TableNormal"/>
    <w:uiPriority w:val="99"/>
    <w:rsid w:val="004554DA"/>
    <w:rPr>
      <w:rFonts w:eastAsia="Times New Roman" w:cs="Times New Roman"/>
      <w:lang w:eastAsia="en-AU"/>
    </w:rPr>
    <w:tblPr/>
  </w:style>
  <w:style w:type="paragraph" w:styleId="BalloonText">
    <w:name w:val="Balloon Text"/>
    <w:basedOn w:val="Normal"/>
    <w:link w:val="BalloonTextChar"/>
    <w:uiPriority w:val="99"/>
    <w:unhideWhenUsed/>
    <w:rsid w:val="004554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554DA"/>
    <w:rPr>
      <w:rFonts w:ascii="Tahoma" w:hAnsi="Tahoma" w:cs="Tahoma"/>
      <w:sz w:val="16"/>
      <w:szCs w:val="16"/>
    </w:rPr>
  </w:style>
  <w:style w:type="table" w:styleId="TableGrid">
    <w:name w:val="Table Grid"/>
    <w:basedOn w:val="TableNormal"/>
    <w:uiPriority w:val="59"/>
    <w:rsid w:val="00455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554DA"/>
    <w:rPr>
      <w:b/>
      <w:sz w:val="28"/>
      <w:szCs w:val="32"/>
    </w:rPr>
  </w:style>
  <w:style w:type="paragraph" w:customStyle="1" w:styleId="LegislationMadeUnder">
    <w:name w:val="LegislationMadeUnder"/>
    <w:basedOn w:val="OPCParaBase"/>
    <w:next w:val="Normal"/>
    <w:rsid w:val="004554DA"/>
    <w:rPr>
      <w:i/>
      <w:sz w:val="32"/>
      <w:szCs w:val="32"/>
    </w:rPr>
  </w:style>
  <w:style w:type="paragraph" w:customStyle="1" w:styleId="SignCoverPageEnd">
    <w:name w:val="SignCoverPageEnd"/>
    <w:basedOn w:val="OPCParaBase"/>
    <w:next w:val="Normal"/>
    <w:rsid w:val="004554D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54DA"/>
    <w:pPr>
      <w:pBdr>
        <w:top w:val="single" w:sz="4" w:space="1" w:color="auto"/>
      </w:pBdr>
      <w:spacing w:before="360"/>
      <w:ind w:right="397"/>
      <w:jc w:val="both"/>
    </w:pPr>
  </w:style>
  <w:style w:type="paragraph" w:customStyle="1" w:styleId="NotesHeading1">
    <w:name w:val="NotesHeading 1"/>
    <w:basedOn w:val="OPCParaBase"/>
    <w:next w:val="Normal"/>
    <w:rsid w:val="004554DA"/>
    <w:rPr>
      <w:b/>
      <w:sz w:val="28"/>
      <w:szCs w:val="28"/>
    </w:rPr>
  </w:style>
  <w:style w:type="paragraph" w:customStyle="1" w:styleId="NotesHeading2">
    <w:name w:val="NotesHeading 2"/>
    <w:basedOn w:val="OPCParaBase"/>
    <w:next w:val="Normal"/>
    <w:rsid w:val="004554DA"/>
    <w:rPr>
      <w:b/>
      <w:sz w:val="28"/>
      <w:szCs w:val="28"/>
    </w:rPr>
  </w:style>
  <w:style w:type="paragraph" w:customStyle="1" w:styleId="ENotesText">
    <w:name w:val="ENotesText"/>
    <w:aliases w:val="Ent"/>
    <w:basedOn w:val="OPCParaBase"/>
    <w:next w:val="Normal"/>
    <w:rsid w:val="004554DA"/>
    <w:pPr>
      <w:spacing w:before="120"/>
    </w:pPr>
  </w:style>
  <w:style w:type="paragraph" w:customStyle="1" w:styleId="CompiledActNo">
    <w:name w:val="CompiledActNo"/>
    <w:basedOn w:val="OPCParaBase"/>
    <w:next w:val="Normal"/>
    <w:rsid w:val="004554DA"/>
    <w:rPr>
      <w:b/>
      <w:sz w:val="24"/>
      <w:szCs w:val="24"/>
    </w:rPr>
  </w:style>
  <w:style w:type="paragraph" w:customStyle="1" w:styleId="CompiledMadeUnder">
    <w:name w:val="CompiledMadeUnder"/>
    <w:basedOn w:val="OPCParaBase"/>
    <w:next w:val="Normal"/>
    <w:rsid w:val="004554DA"/>
    <w:rPr>
      <w:i/>
      <w:sz w:val="24"/>
      <w:szCs w:val="24"/>
    </w:rPr>
  </w:style>
  <w:style w:type="paragraph" w:customStyle="1" w:styleId="Paragraphsub-sub-sub">
    <w:name w:val="Paragraph(sub-sub-sub)"/>
    <w:aliases w:val="aaaa"/>
    <w:basedOn w:val="OPCParaBase"/>
    <w:rsid w:val="004554D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554D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54D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54D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54D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554DA"/>
    <w:pPr>
      <w:spacing w:before="60" w:line="240" w:lineRule="auto"/>
    </w:pPr>
    <w:rPr>
      <w:rFonts w:cs="Arial"/>
      <w:sz w:val="20"/>
      <w:szCs w:val="22"/>
    </w:rPr>
  </w:style>
  <w:style w:type="paragraph" w:customStyle="1" w:styleId="NoteToSubpara">
    <w:name w:val="NoteToSubpara"/>
    <w:aliases w:val="nts"/>
    <w:basedOn w:val="OPCParaBase"/>
    <w:rsid w:val="004554DA"/>
    <w:pPr>
      <w:spacing w:before="40" w:line="198" w:lineRule="exact"/>
      <w:ind w:left="2835" w:hanging="709"/>
    </w:pPr>
    <w:rPr>
      <w:sz w:val="18"/>
    </w:rPr>
  </w:style>
  <w:style w:type="paragraph" w:customStyle="1" w:styleId="ENoteTableHeading">
    <w:name w:val="ENoteTableHeading"/>
    <w:aliases w:val="enth"/>
    <w:basedOn w:val="OPCParaBase"/>
    <w:rsid w:val="004554DA"/>
    <w:pPr>
      <w:keepNext/>
      <w:spacing w:before="60" w:line="240" w:lineRule="atLeast"/>
    </w:pPr>
    <w:rPr>
      <w:rFonts w:ascii="Arial" w:hAnsi="Arial"/>
      <w:b/>
      <w:sz w:val="16"/>
    </w:rPr>
  </w:style>
  <w:style w:type="paragraph" w:customStyle="1" w:styleId="ENoteTTi">
    <w:name w:val="ENoteTTi"/>
    <w:aliases w:val="entti"/>
    <w:basedOn w:val="OPCParaBase"/>
    <w:rsid w:val="004554DA"/>
    <w:pPr>
      <w:keepNext/>
      <w:spacing w:before="60" w:line="240" w:lineRule="atLeast"/>
      <w:ind w:left="170"/>
    </w:pPr>
    <w:rPr>
      <w:sz w:val="16"/>
    </w:rPr>
  </w:style>
  <w:style w:type="paragraph" w:customStyle="1" w:styleId="ENotesHeading1">
    <w:name w:val="ENotesHeading 1"/>
    <w:aliases w:val="Enh1"/>
    <w:basedOn w:val="OPCParaBase"/>
    <w:next w:val="Normal"/>
    <w:rsid w:val="004554DA"/>
    <w:pPr>
      <w:spacing w:before="120"/>
      <w:outlineLvl w:val="1"/>
    </w:pPr>
    <w:rPr>
      <w:b/>
      <w:sz w:val="28"/>
      <w:szCs w:val="28"/>
    </w:rPr>
  </w:style>
  <w:style w:type="paragraph" w:customStyle="1" w:styleId="ENotesHeading2">
    <w:name w:val="ENotesHeading 2"/>
    <w:aliases w:val="Enh2"/>
    <w:basedOn w:val="OPCParaBase"/>
    <w:next w:val="Normal"/>
    <w:rsid w:val="004554DA"/>
    <w:pPr>
      <w:spacing w:before="120" w:after="120"/>
      <w:outlineLvl w:val="2"/>
    </w:pPr>
    <w:rPr>
      <w:b/>
      <w:sz w:val="24"/>
      <w:szCs w:val="28"/>
    </w:rPr>
  </w:style>
  <w:style w:type="paragraph" w:customStyle="1" w:styleId="ENoteTTIndentHeading">
    <w:name w:val="ENoteTTIndentHeading"/>
    <w:aliases w:val="enTTHi"/>
    <w:basedOn w:val="OPCParaBase"/>
    <w:rsid w:val="004554D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554DA"/>
    <w:pPr>
      <w:spacing w:before="60" w:line="240" w:lineRule="atLeast"/>
    </w:pPr>
    <w:rPr>
      <w:sz w:val="16"/>
    </w:rPr>
  </w:style>
  <w:style w:type="paragraph" w:customStyle="1" w:styleId="MadeunderText">
    <w:name w:val="MadeunderText"/>
    <w:basedOn w:val="OPCParaBase"/>
    <w:next w:val="Normal"/>
    <w:rsid w:val="004554DA"/>
    <w:pPr>
      <w:spacing w:before="240"/>
    </w:pPr>
    <w:rPr>
      <w:sz w:val="24"/>
      <w:szCs w:val="24"/>
    </w:rPr>
  </w:style>
  <w:style w:type="paragraph" w:customStyle="1" w:styleId="ENotesHeading3">
    <w:name w:val="ENotesHeading 3"/>
    <w:aliases w:val="Enh3"/>
    <w:basedOn w:val="OPCParaBase"/>
    <w:next w:val="Normal"/>
    <w:rsid w:val="004554DA"/>
    <w:pPr>
      <w:keepNext/>
      <w:spacing w:before="120" w:line="240" w:lineRule="auto"/>
      <w:outlineLvl w:val="4"/>
    </w:pPr>
    <w:rPr>
      <w:b/>
      <w:szCs w:val="24"/>
    </w:rPr>
  </w:style>
  <w:style w:type="character" w:customStyle="1" w:styleId="CharSubPartTextCASA">
    <w:name w:val="CharSubPartText(CASA)"/>
    <w:basedOn w:val="OPCCharBase"/>
    <w:uiPriority w:val="1"/>
    <w:rsid w:val="004554DA"/>
  </w:style>
  <w:style w:type="character" w:customStyle="1" w:styleId="CharSubPartNoCASA">
    <w:name w:val="CharSubPartNo(CASA)"/>
    <w:basedOn w:val="OPCCharBase"/>
    <w:uiPriority w:val="1"/>
    <w:rsid w:val="004554DA"/>
  </w:style>
  <w:style w:type="paragraph" w:customStyle="1" w:styleId="ENoteTTIndentHeadingSub">
    <w:name w:val="ENoteTTIndentHeadingSub"/>
    <w:aliases w:val="enTTHis"/>
    <w:basedOn w:val="OPCParaBase"/>
    <w:rsid w:val="004554DA"/>
    <w:pPr>
      <w:keepNext/>
      <w:spacing w:before="60" w:line="240" w:lineRule="atLeast"/>
      <w:ind w:left="340"/>
    </w:pPr>
    <w:rPr>
      <w:b/>
      <w:sz w:val="16"/>
    </w:rPr>
  </w:style>
  <w:style w:type="paragraph" w:customStyle="1" w:styleId="ENoteTTiSub">
    <w:name w:val="ENoteTTiSub"/>
    <w:aliases w:val="enttis"/>
    <w:basedOn w:val="OPCParaBase"/>
    <w:rsid w:val="004554DA"/>
    <w:pPr>
      <w:keepNext/>
      <w:spacing w:before="60" w:line="240" w:lineRule="atLeast"/>
      <w:ind w:left="340"/>
    </w:pPr>
    <w:rPr>
      <w:sz w:val="16"/>
    </w:rPr>
  </w:style>
  <w:style w:type="paragraph" w:customStyle="1" w:styleId="SubDivisionMigration">
    <w:name w:val="SubDivisionMigration"/>
    <w:aliases w:val="sdm"/>
    <w:basedOn w:val="OPCParaBase"/>
    <w:rsid w:val="004554D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54D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554DA"/>
    <w:pPr>
      <w:spacing w:before="122" w:line="240" w:lineRule="auto"/>
      <w:ind w:left="1985" w:hanging="851"/>
    </w:pPr>
    <w:rPr>
      <w:sz w:val="18"/>
    </w:rPr>
  </w:style>
  <w:style w:type="paragraph" w:customStyle="1" w:styleId="FreeForm">
    <w:name w:val="FreeForm"/>
    <w:rsid w:val="004554DA"/>
    <w:rPr>
      <w:rFonts w:ascii="Arial" w:hAnsi="Arial"/>
      <w:sz w:val="22"/>
    </w:rPr>
  </w:style>
  <w:style w:type="paragraph" w:customStyle="1" w:styleId="SOText">
    <w:name w:val="SO Text"/>
    <w:aliases w:val="sot"/>
    <w:link w:val="SOTextChar"/>
    <w:rsid w:val="004554D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554DA"/>
    <w:rPr>
      <w:sz w:val="22"/>
    </w:rPr>
  </w:style>
  <w:style w:type="paragraph" w:customStyle="1" w:styleId="SOTextNote">
    <w:name w:val="SO TextNote"/>
    <w:aliases w:val="sont"/>
    <w:basedOn w:val="SOText"/>
    <w:qFormat/>
    <w:rsid w:val="004554DA"/>
    <w:pPr>
      <w:spacing w:before="122" w:line="198" w:lineRule="exact"/>
      <w:ind w:left="1843" w:hanging="709"/>
    </w:pPr>
    <w:rPr>
      <w:sz w:val="18"/>
    </w:rPr>
  </w:style>
  <w:style w:type="paragraph" w:customStyle="1" w:styleId="SOPara">
    <w:name w:val="SO Para"/>
    <w:aliases w:val="soa"/>
    <w:basedOn w:val="SOText"/>
    <w:link w:val="SOParaChar"/>
    <w:qFormat/>
    <w:rsid w:val="004554DA"/>
    <w:pPr>
      <w:tabs>
        <w:tab w:val="right" w:pos="1786"/>
      </w:tabs>
      <w:spacing w:before="40"/>
      <w:ind w:left="2070" w:hanging="936"/>
    </w:pPr>
  </w:style>
  <w:style w:type="character" w:customStyle="1" w:styleId="SOParaChar">
    <w:name w:val="SO Para Char"/>
    <w:aliases w:val="soa Char"/>
    <w:basedOn w:val="DefaultParagraphFont"/>
    <w:link w:val="SOPara"/>
    <w:rsid w:val="004554DA"/>
    <w:rPr>
      <w:sz w:val="22"/>
    </w:rPr>
  </w:style>
  <w:style w:type="paragraph" w:customStyle="1" w:styleId="FileName">
    <w:name w:val="FileName"/>
    <w:basedOn w:val="Normal"/>
    <w:rsid w:val="004554DA"/>
  </w:style>
  <w:style w:type="paragraph" w:customStyle="1" w:styleId="TableHeading">
    <w:name w:val="TableHeading"/>
    <w:aliases w:val="th"/>
    <w:basedOn w:val="OPCParaBase"/>
    <w:next w:val="Tabletext"/>
    <w:rsid w:val="004554DA"/>
    <w:pPr>
      <w:keepNext/>
      <w:spacing w:before="60" w:line="240" w:lineRule="atLeast"/>
    </w:pPr>
    <w:rPr>
      <w:b/>
      <w:sz w:val="20"/>
    </w:rPr>
  </w:style>
  <w:style w:type="paragraph" w:customStyle="1" w:styleId="SOHeadBold">
    <w:name w:val="SO HeadBold"/>
    <w:aliases w:val="sohb"/>
    <w:basedOn w:val="SOText"/>
    <w:next w:val="SOText"/>
    <w:link w:val="SOHeadBoldChar"/>
    <w:qFormat/>
    <w:rsid w:val="004554DA"/>
    <w:rPr>
      <w:b/>
    </w:rPr>
  </w:style>
  <w:style w:type="character" w:customStyle="1" w:styleId="SOHeadBoldChar">
    <w:name w:val="SO HeadBold Char"/>
    <w:aliases w:val="sohb Char"/>
    <w:basedOn w:val="DefaultParagraphFont"/>
    <w:link w:val="SOHeadBold"/>
    <w:rsid w:val="004554DA"/>
    <w:rPr>
      <w:b/>
      <w:sz w:val="22"/>
    </w:rPr>
  </w:style>
  <w:style w:type="paragraph" w:customStyle="1" w:styleId="SOHeadItalic">
    <w:name w:val="SO HeadItalic"/>
    <w:aliases w:val="sohi"/>
    <w:basedOn w:val="SOText"/>
    <w:next w:val="SOText"/>
    <w:link w:val="SOHeadItalicChar"/>
    <w:qFormat/>
    <w:rsid w:val="004554DA"/>
    <w:rPr>
      <w:i/>
    </w:rPr>
  </w:style>
  <w:style w:type="character" w:customStyle="1" w:styleId="SOHeadItalicChar">
    <w:name w:val="SO HeadItalic Char"/>
    <w:aliases w:val="sohi Char"/>
    <w:basedOn w:val="DefaultParagraphFont"/>
    <w:link w:val="SOHeadItalic"/>
    <w:rsid w:val="004554DA"/>
    <w:rPr>
      <w:i/>
      <w:sz w:val="22"/>
    </w:rPr>
  </w:style>
  <w:style w:type="paragraph" w:customStyle="1" w:styleId="SOBullet">
    <w:name w:val="SO Bullet"/>
    <w:aliases w:val="sotb"/>
    <w:basedOn w:val="SOText"/>
    <w:link w:val="SOBulletChar"/>
    <w:qFormat/>
    <w:rsid w:val="004554DA"/>
    <w:pPr>
      <w:ind w:left="1559" w:hanging="425"/>
    </w:pPr>
  </w:style>
  <w:style w:type="character" w:customStyle="1" w:styleId="SOBulletChar">
    <w:name w:val="SO Bullet Char"/>
    <w:aliases w:val="sotb Char"/>
    <w:basedOn w:val="DefaultParagraphFont"/>
    <w:link w:val="SOBullet"/>
    <w:rsid w:val="004554DA"/>
    <w:rPr>
      <w:sz w:val="22"/>
    </w:rPr>
  </w:style>
  <w:style w:type="paragraph" w:customStyle="1" w:styleId="SOBulletNote">
    <w:name w:val="SO BulletNote"/>
    <w:aliases w:val="sonb"/>
    <w:basedOn w:val="SOTextNote"/>
    <w:link w:val="SOBulletNoteChar"/>
    <w:qFormat/>
    <w:rsid w:val="004554DA"/>
    <w:pPr>
      <w:tabs>
        <w:tab w:val="left" w:pos="1560"/>
      </w:tabs>
      <w:ind w:left="2268" w:hanging="1134"/>
    </w:pPr>
  </w:style>
  <w:style w:type="character" w:customStyle="1" w:styleId="SOBulletNoteChar">
    <w:name w:val="SO BulletNote Char"/>
    <w:aliases w:val="sonb Char"/>
    <w:basedOn w:val="DefaultParagraphFont"/>
    <w:link w:val="SOBulletNote"/>
    <w:rsid w:val="004554DA"/>
    <w:rPr>
      <w:sz w:val="18"/>
    </w:rPr>
  </w:style>
  <w:style w:type="paragraph" w:customStyle="1" w:styleId="SOText2">
    <w:name w:val="SO Text2"/>
    <w:aliases w:val="sot2"/>
    <w:basedOn w:val="Normal"/>
    <w:next w:val="SOText"/>
    <w:link w:val="SOText2Char"/>
    <w:rsid w:val="004554D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554DA"/>
    <w:rPr>
      <w:sz w:val="22"/>
    </w:rPr>
  </w:style>
  <w:style w:type="paragraph" w:customStyle="1" w:styleId="SubPartCASA">
    <w:name w:val="SubPart(CASA)"/>
    <w:aliases w:val="csp"/>
    <w:basedOn w:val="OPCParaBase"/>
    <w:next w:val="ActHead3"/>
    <w:rsid w:val="004554D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554DA"/>
    <w:rPr>
      <w:rFonts w:eastAsia="Times New Roman" w:cs="Times New Roman"/>
      <w:sz w:val="22"/>
      <w:lang w:eastAsia="en-AU"/>
    </w:rPr>
  </w:style>
  <w:style w:type="character" w:customStyle="1" w:styleId="notetextChar">
    <w:name w:val="note(text) Char"/>
    <w:aliases w:val="n Char"/>
    <w:basedOn w:val="DefaultParagraphFont"/>
    <w:link w:val="notetext"/>
    <w:rsid w:val="004554DA"/>
    <w:rPr>
      <w:rFonts w:eastAsia="Times New Roman" w:cs="Times New Roman"/>
      <w:sz w:val="18"/>
      <w:lang w:eastAsia="en-AU"/>
    </w:rPr>
  </w:style>
  <w:style w:type="character" w:customStyle="1" w:styleId="Heading1Char">
    <w:name w:val="Heading 1 Char"/>
    <w:basedOn w:val="DefaultParagraphFont"/>
    <w:link w:val="Heading1"/>
    <w:uiPriority w:val="9"/>
    <w:rsid w:val="004554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54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54D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554D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554D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554D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554D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554D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554D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554DA"/>
  </w:style>
  <w:style w:type="character" w:customStyle="1" w:styleId="charlegsubtitle1">
    <w:name w:val="charlegsubtitle1"/>
    <w:basedOn w:val="DefaultParagraphFont"/>
    <w:rsid w:val="004554DA"/>
    <w:rPr>
      <w:rFonts w:ascii="Arial" w:hAnsi="Arial" w:cs="Arial" w:hint="default"/>
      <w:b/>
      <w:bCs/>
      <w:sz w:val="28"/>
      <w:szCs w:val="28"/>
    </w:rPr>
  </w:style>
  <w:style w:type="paragraph" w:styleId="Index1">
    <w:name w:val="index 1"/>
    <w:basedOn w:val="Normal"/>
    <w:next w:val="Normal"/>
    <w:autoRedefine/>
    <w:rsid w:val="004554DA"/>
    <w:pPr>
      <w:ind w:left="240" w:hanging="240"/>
    </w:pPr>
  </w:style>
  <w:style w:type="paragraph" w:styleId="Index2">
    <w:name w:val="index 2"/>
    <w:basedOn w:val="Normal"/>
    <w:next w:val="Normal"/>
    <w:autoRedefine/>
    <w:rsid w:val="004554DA"/>
    <w:pPr>
      <w:ind w:left="480" w:hanging="240"/>
    </w:pPr>
  </w:style>
  <w:style w:type="paragraph" w:styleId="Index3">
    <w:name w:val="index 3"/>
    <w:basedOn w:val="Normal"/>
    <w:next w:val="Normal"/>
    <w:autoRedefine/>
    <w:rsid w:val="004554DA"/>
    <w:pPr>
      <w:ind w:left="720" w:hanging="240"/>
    </w:pPr>
  </w:style>
  <w:style w:type="paragraph" w:styleId="Index4">
    <w:name w:val="index 4"/>
    <w:basedOn w:val="Normal"/>
    <w:next w:val="Normal"/>
    <w:autoRedefine/>
    <w:rsid w:val="004554DA"/>
    <w:pPr>
      <w:ind w:left="960" w:hanging="240"/>
    </w:pPr>
  </w:style>
  <w:style w:type="paragraph" w:styleId="Index5">
    <w:name w:val="index 5"/>
    <w:basedOn w:val="Normal"/>
    <w:next w:val="Normal"/>
    <w:autoRedefine/>
    <w:rsid w:val="004554DA"/>
    <w:pPr>
      <w:ind w:left="1200" w:hanging="240"/>
    </w:pPr>
  </w:style>
  <w:style w:type="paragraph" w:styleId="Index6">
    <w:name w:val="index 6"/>
    <w:basedOn w:val="Normal"/>
    <w:next w:val="Normal"/>
    <w:autoRedefine/>
    <w:rsid w:val="004554DA"/>
    <w:pPr>
      <w:ind w:left="1440" w:hanging="240"/>
    </w:pPr>
  </w:style>
  <w:style w:type="paragraph" w:styleId="Index7">
    <w:name w:val="index 7"/>
    <w:basedOn w:val="Normal"/>
    <w:next w:val="Normal"/>
    <w:autoRedefine/>
    <w:rsid w:val="004554DA"/>
    <w:pPr>
      <w:ind w:left="1680" w:hanging="240"/>
    </w:pPr>
  </w:style>
  <w:style w:type="paragraph" w:styleId="Index8">
    <w:name w:val="index 8"/>
    <w:basedOn w:val="Normal"/>
    <w:next w:val="Normal"/>
    <w:autoRedefine/>
    <w:rsid w:val="004554DA"/>
    <w:pPr>
      <w:ind w:left="1920" w:hanging="240"/>
    </w:pPr>
  </w:style>
  <w:style w:type="paragraph" w:styleId="Index9">
    <w:name w:val="index 9"/>
    <w:basedOn w:val="Normal"/>
    <w:next w:val="Normal"/>
    <w:autoRedefine/>
    <w:rsid w:val="004554DA"/>
    <w:pPr>
      <w:ind w:left="2160" w:hanging="240"/>
    </w:pPr>
  </w:style>
  <w:style w:type="paragraph" w:styleId="NormalIndent">
    <w:name w:val="Normal Indent"/>
    <w:basedOn w:val="Normal"/>
    <w:rsid w:val="004554DA"/>
    <w:pPr>
      <w:ind w:left="720"/>
    </w:pPr>
  </w:style>
  <w:style w:type="paragraph" w:styleId="FootnoteText">
    <w:name w:val="footnote text"/>
    <w:basedOn w:val="Normal"/>
    <w:link w:val="FootnoteTextChar"/>
    <w:rsid w:val="004554DA"/>
    <w:rPr>
      <w:sz w:val="20"/>
    </w:rPr>
  </w:style>
  <w:style w:type="character" w:customStyle="1" w:styleId="FootnoteTextChar">
    <w:name w:val="Footnote Text Char"/>
    <w:basedOn w:val="DefaultParagraphFont"/>
    <w:link w:val="FootnoteText"/>
    <w:rsid w:val="004554DA"/>
  </w:style>
  <w:style w:type="paragraph" w:styleId="CommentText">
    <w:name w:val="annotation text"/>
    <w:basedOn w:val="Normal"/>
    <w:link w:val="CommentTextChar"/>
    <w:rsid w:val="004554DA"/>
    <w:rPr>
      <w:sz w:val="20"/>
    </w:rPr>
  </w:style>
  <w:style w:type="character" w:customStyle="1" w:styleId="CommentTextChar">
    <w:name w:val="Comment Text Char"/>
    <w:basedOn w:val="DefaultParagraphFont"/>
    <w:link w:val="CommentText"/>
    <w:rsid w:val="004554DA"/>
  </w:style>
  <w:style w:type="paragraph" w:styleId="IndexHeading">
    <w:name w:val="index heading"/>
    <w:basedOn w:val="Normal"/>
    <w:next w:val="Index1"/>
    <w:rsid w:val="004554DA"/>
    <w:rPr>
      <w:rFonts w:ascii="Arial" w:hAnsi="Arial" w:cs="Arial"/>
      <w:b/>
      <w:bCs/>
    </w:rPr>
  </w:style>
  <w:style w:type="paragraph" w:styleId="Caption">
    <w:name w:val="caption"/>
    <w:basedOn w:val="Normal"/>
    <w:next w:val="Normal"/>
    <w:qFormat/>
    <w:rsid w:val="004554DA"/>
    <w:pPr>
      <w:spacing w:before="120" w:after="120"/>
    </w:pPr>
    <w:rPr>
      <w:b/>
      <w:bCs/>
      <w:sz w:val="20"/>
    </w:rPr>
  </w:style>
  <w:style w:type="paragraph" w:styleId="TableofFigures">
    <w:name w:val="table of figures"/>
    <w:basedOn w:val="Normal"/>
    <w:next w:val="Normal"/>
    <w:rsid w:val="004554DA"/>
    <w:pPr>
      <w:ind w:left="480" w:hanging="480"/>
    </w:pPr>
  </w:style>
  <w:style w:type="paragraph" w:styleId="EnvelopeAddress">
    <w:name w:val="envelope address"/>
    <w:basedOn w:val="Normal"/>
    <w:rsid w:val="004554D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54DA"/>
    <w:rPr>
      <w:rFonts w:ascii="Arial" w:hAnsi="Arial" w:cs="Arial"/>
      <w:sz w:val="20"/>
    </w:rPr>
  </w:style>
  <w:style w:type="character" w:styleId="FootnoteReference">
    <w:name w:val="footnote reference"/>
    <w:basedOn w:val="DefaultParagraphFont"/>
    <w:rsid w:val="004554DA"/>
    <w:rPr>
      <w:rFonts w:ascii="Times New Roman" w:hAnsi="Times New Roman"/>
      <w:sz w:val="20"/>
      <w:vertAlign w:val="superscript"/>
    </w:rPr>
  </w:style>
  <w:style w:type="character" w:styleId="CommentReference">
    <w:name w:val="annotation reference"/>
    <w:basedOn w:val="DefaultParagraphFont"/>
    <w:rsid w:val="004554DA"/>
    <w:rPr>
      <w:sz w:val="16"/>
      <w:szCs w:val="16"/>
    </w:rPr>
  </w:style>
  <w:style w:type="character" w:styleId="PageNumber">
    <w:name w:val="page number"/>
    <w:basedOn w:val="DefaultParagraphFont"/>
    <w:rsid w:val="004554DA"/>
  </w:style>
  <w:style w:type="character" w:styleId="EndnoteReference">
    <w:name w:val="endnote reference"/>
    <w:basedOn w:val="DefaultParagraphFont"/>
    <w:rsid w:val="004554DA"/>
    <w:rPr>
      <w:vertAlign w:val="superscript"/>
    </w:rPr>
  </w:style>
  <w:style w:type="paragraph" w:styleId="EndnoteText">
    <w:name w:val="endnote text"/>
    <w:basedOn w:val="Normal"/>
    <w:link w:val="EndnoteTextChar"/>
    <w:rsid w:val="004554DA"/>
    <w:rPr>
      <w:sz w:val="20"/>
    </w:rPr>
  </w:style>
  <w:style w:type="character" w:customStyle="1" w:styleId="EndnoteTextChar">
    <w:name w:val="Endnote Text Char"/>
    <w:basedOn w:val="DefaultParagraphFont"/>
    <w:link w:val="EndnoteText"/>
    <w:rsid w:val="004554DA"/>
  </w:style>
  <w:style w:type="paragraph" w:styleId="TableofAuthorities">
    <w:name w:val="table of authorities"/>
    <w:basedOn w:val="Normal"/>
    <w:next w:val="Normal"/>
    <w:rsid w:val="004554DA"/>
    <w:pPr>
      <w:ind w:left="240" w:hanging="240"/>
    </w:pPr>
  </w:style>
  <w:style w:type="paragraph" w:styleId="MacroText">
    <w:name w:val="macro"/>
    <w:link w:val="MacroTextChar"/>
    <w:rsid w:val="004554D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554DA"/>
    <w:rPr>
      <w:rFonts w:ascii="Courier New" w:eastAsia="Times New Roman" w:hAnsi="Courier New" w:cs="Courier New"/>
      <w:lang w:eastAsia="en-AU"/>
    </w:rPr>
  </w:style>
  <w:style w:type="paragraph" w:styleId="TOAHeading">
    <w:name w:val="toa heading"/>
    <w:basedOn w:val="Normal"/>
    <w:next w:val="Normal"/>
    <w:rsid w:val="004554DA"/>
    <w:pPr>
      <w:spacing w:before="120"/>
    </w:pPr>
    <w:rPr>
      <w:rFonts w:ascii="Arial" w:hAnsi="Arial" w:cs="Arial"/>
      <w:b/>
      <w:bCs/>
    </w:rPr>
  </w:style>
  <w:style w:type="paragraph" w:styleId="List">
    <w:name w:val="List"/>
    <w:basedOn w:val="Normal"/>
    <w:rsid w:val="004554DA"/>
    <w:pPr>
      <w:ind w:left="283" w:hanging="283"/>
    </w:pPr>
  </w:style>
  <w:style w:type="paragraph" w:styleId="ListBullet">
    <w:name w:val="List Bullet"/>
    <w:basedOn w:val="Normal"/>
    <w:autoRedefine/>
    <w:rsid w:val="004554DA"/>
    <w:pPr>
      <w:tabs>
        <w:tab w:val="num" w:pos="360"/>
      </w:tabs>
      <w:ind w:left="360" w:hanging="360"/>
    </w:pPr>
  </w:style>
  <w:style w:type="paragraph" w:styleId="ListNumber">
    <w:name w:val="List Number"/>
    <w:basedOn w:val="Normal"/>
    <w:rsid w:val="004554DA"/>
    <w:pPr>
      <w:tabs>
        <w:tab w:val="num" w:pos="360"/>
      </w:tabs>
      <w:ind w:left="360" w:hanging="360"/>
    </w:pPr>
  </w:style>
  <w:style w:type="paragraph" w:styleId="List2">
    <w:name w:val="List 2"/>
    <w:basedOn w:val="Normal"/>
    <w:rsid w:val="004554DA"/>
    <w:pPr>
      <w:ind w:left="566" w:hanging="283"/>
    </w:pPr>
  </w:style>
  <w:style w:type="paragraph" w:styleId="List3">
    <w:name w:val="List 3"/>
    <w:basedOn w:val="Normal"/>
    <w:rsid w:val="004554DA"/>
    <w:pPr>
      <w:ind w:left="849" w:hanging="283"/>
    </w:pPr>
  </w:style>
  <w:style w:type="paragraph" w:styleId="List4">
    <w:name w:val="List 4"/>
    <w:basedOn w:val="Normal"/>
    <w:rsid w:val="004554DA"/>
    <w:pPr>
      <w:ind w:left="1132" w:hanging="283"/>
    </w:pPr>
  </w:style>
  <w:style w:type="paragraph" w:styleId="List5">
    <w:name w:val="List 5"/>
    <w:basedOn w:val="Normal"/>
    <w:rsid w:val="004554DA"/>
    <w:pPr>
      <w:ind w:left="1415" w:hanging="283"/>
    </w:pPr>
  </w:style>
  <w:style w:type="paragraph" w:styleId="ListBullet2">
    <w:name w:val="List Bullet 2"/>
    <w:basedOn w:val="Normal"/>
    <w:autoRedefine/>
    <w:rsid w:val="004554DA"/>
    <w:pPr>
      <w:tabs>
        <w:tab w:val="num" w:pos="360"/>
      </w:tabs>
    </w:pPr>
  </w:style>
  <w:style w:type="paragraph" w:styleId="ListBullet3">
    <w:name w:val="List Bullet 3"/>
    <w:basedOn w:val="Normal"/>
    <w:autoRedefine/>
    <w:rsid w:val="004554DA"/>
    <w:pPr>
      <w:tabs>
        <w:tab w:val="num" w:pos="926"/>
      </w:tabs>
      <w:ind w:left="926" w:hanging="360"/>
    </w:pPr>
  </w:style>
  <w:style w:type="paragraph" w:styleId="ListBullet4">
    <w:name w:val="List Bullet 4"/>
    <w:basedOn w:val="Normal"/>
    <w:autoRedefine/>
    <w:rsid w:val="004554DA"/>
    <w:pPr>
      <w:tabs>
        <w:tab w:val="num" w:pos="1209"/>
      </w:tabs>
      <w:ind w:left="1209" w:hanging="360"/>
    </w:pPr>
  </w:style>
  <w:style w:type="paragraph" w:styleId="ListBullet5">
    <w:name w:val="List Bullet 5"/>
    <w:basedOn w:val="Normal"/>
    <w:autoRedefine/>
    <w:rsid w:val="004554DA"/>
    <w:pPr>
      <w:tabs>
        <w:tab w:val="num" w:pos="1492"/>
      </w:tabs>
      <w:ind w:left="1492" w:hanging="360"/>
    </w:pPr>
  </w:style>
  <w:style w:type="paragraph" w:styleId="ListNumber2">
    <w:name w:val="List Number 2"/>
    <w:basedOn w:val="Normal"/>
    <w:rsid w:val="004554DA"/>
    <w:pPr>
      <w:tabs>
        <w:tab w:val="num" w:pos="643"/>
      </w:tabs>
      <w:ind w:left="643" w:hanging="360"/>
    </w:pPr>
  </w:style>
  <w:style w:type="paragraph" w:styleId="ListNumber3">
    <w:name w:val="List Number 3"/>
    <w:basedOn w:val="Normal"/>
    <w:rsid w:val="004554DA"/>
    <w:pPr>
      <w:tabs>
        <w:tab w:val="num" w:pos="926"/>
      </w:tabs>
      <w:ind w:left="926" w:hanging="360"/>
    </w:pPr>
  </w:style>
  <w:style w:type="paragraph" w:styleId="ListNumber4">
    <w:name w:val="List Number 4"/>
    <w:basedOn w:val="Normal"/>
    <w:rsid w:val="004554DA"/>
    <w:pPr>
      <w:tabs>
        <w:tab w:val="num" w:pos="1209"/>
      </w:tabs>
      <w:ind w:left="1209" w:hanging="360"/>
    </w:pPr>
  </w:style>
  <w:style w:type="paragraph" w:styleId="ListNumber5">
    <w:name w:val="List Number 5"/>
    <w:basedOn w:val="Normal"/>
    <w:rsid w:val="004554DA"/>
    <w:pPr>
      <w:tabs>
        <w:tab w:val="num" w:pos="1492"/>
      </w:tabs>
      <w:ind w:left="1492" w:hanging="360"/>
    </w:pPr>
  </w:style>
  <w:style w:type="paragraph" w:styleId="Title">
    <w:name w:val="Title"/>
    <w:basedOn w:val="Normal"/>
    <w:link w:val="TitleChar"/>
    <w:qFormat/>
    <w:rsid w:val="004554DA"/>
    <w:pPr>
      <w:spacing w:before="240" w:after="60"/>
    </w:pPr>
    <w:rPr>
      <w:rFonts w:ascii="Arial" w:hAnsi="Arial" w:cs="Arial"/>
      <w:b/>
      <w:bCs/>
      <w:sz w:val="40"/>
      <w:szCs w:val="40"/>
    </w:rPr>
  </w:style>
  <w:style w:type="character" w:customStyle="1" w:styleId="TitleChar">
    <w:name w:val="Title Char"/>
    <w:basedOn w:val="DefaultParagraphFont"/>
    <w:link w:val="Title"/>
    <w:rsid w:val="004554DA"/>
    <w:rPr>
      <w:rFonts w:ascii="Arial" w:hAnsi="Arial" w:cs="Arial"/>
      <w:b/>
      <w:bCs/>
      <w:sz w:val="40"/>
      <w:szCs w:val="40"/>
    </w:rPr>
  </w:style>
  <w:style w:type="paragraph" w:styleId="Closing">
    <w:name w:val="Closing"/>
    <w:basedOn w:val="Normal"/>
    <w:link w:val="ClosingChar"/>
    <w:rsid w:val="004554DA"/>
    <w:pPr>
      <w:ind w:left="4252"/>
    </w:pPr>
  </w:style>
  <w:style w:type="character" w:customStyle="1" w:styleId="ClosingChar">
    <w:name w:val="Closing Char"/>
    <w:basedOn w:val="DefaultParagraphFont"/>
    <w:link w:val="Closing"/>
    <w:rsid w:val="004554DA"/>
    <w:rPr>
      <w:sz w:val="22"/>
    </w:rPr>
  </w:style>
  <w:style w:type="paragraph" w:styleId="Signature">
    <w:name w:val="Signature"/>
    <w:basedOn w:val="Normal"/>
    <w:link w:val="SignatureChar"/>
    <w:rsid w:val="004554DA"/>
    <w:pPr>
      <w:ind w:left="4252"/>
    </w:pPr>
  </w:style>
  <w:style w:type="character" w:customStyle="1" w:styleId="SignatureChar">
    <w:name w:val="Signature Char"/>
    <w:basedOn w:val="DefaultParagraphFont"/>
    <w:link w:val="Signature"/>
    <w:rsid w:val="004554DA"/>
    <w:rPr>
      <w:sz w:val="22"/>
    </w:rPr>
  </w:style>
  <w:style w:type="paragraph" w:styleId="BodyText">
    <w:name w:val="Body Text"/>
    <w:basedOn w:val="Normal"/>
    <w:link w:val="BodyTextChar"/>
    <w:rsid w:val="004554DA"/>
    <w:pPr>
      <w:spacing w:after="120"/>
    </w:pPr>
  </w:style>
  <w:style w:type="character" w:customStyle="1" w:styleId="BodyTextChar">
    <w:name w:val="Body Text Char"/>
    <w:basedOn w:val="DefaultParagraphFont"/>
    <w:link w:val="BodyText"/>
    <w:rsid w:val="004554DA"/>
    <w:rPr>
      <w:sz w:val="22"/>
    </w:rPr>
  </w:style>
  <w:style w:type="paragraph" w:styleId="BodyTextIndent">
    <w:name w:val="Body Text Indent"/>
    <w:basedOn w:val="Normal"/>
    <w:link w:val="BodyTextIndentChar"/>
    <w:rsid w:val="004554DA"/>
    <w:pPr>
      <w:spacing w:after="120"/>
      <w:ind w:left="283"/>
    </w:pPr>
  </w:style>
  <w:style w:type="character" w:customStyle="1" w:styleId="BodyTextIndentChar">
    <w:name w:val="Body Text Indent Char"/>
    <w:basedOn w:val="DefaultParagraphFont"/>
    <w:link w:val="BodyTextIndent"/>
    <w:rsid w:val="004554DA"/>
    <w:rPr>
      <w:sz w:val="22"/>
    </w:rPr>
  </w:style>
  <w:style w:type="paragraph" w:styleId="ListContinue">
    <w:name w:val="List Continue"/>
    <w:basedOn w:val="Normal"/>
    <w:rsid w:val="004554DA"/>
    <w:pPr>
      <w:spacing w:after="120"/>
      <w:ind w:left="283"/>
    </w:pPr>
  </w:style>
  <w:style w:type="paragraph" w:styleId="ListContinue2">
    <w:name w:val="List Continue 2"/>
    <w:basedOn w:val="Normal"/>
    <w:rsid w:val="004554DA"/>
    <w:pPr>
      <w:spacing w:after="120"/>
      <w:ind w:left="566"/>
    </w:pPr>
  </w:style>
  <w:style w:type="paragraph" w:styleId="ListContinue3">
    <w:name w:val="List Continue 3"/>
    <w:basedOn w:val="Normal"/>
    <w:rsid w:val="004554DA"/>
    <w:pPr>
      <w:spacing w:after="120"/>
      <w:ind w:left="849"/>
    </w:pPr>
  </w:style>
  <w:style w:type="paragraph" w:styleId="ListContinue4">
    <w:name w:val="List Continue 4"/>
    <w:basedOn w:val="Normal"/>
    <w:rsid w:val="004554DA"/>
    <w:pPr>
      <w:spacing w:after="120"/>
      <w:ind w:left="1132"/>
    </w:pPr>
  </w:style>
  <w:style w:type="paragraph" w:styleId="ListContinue5">
    <w:name w:val="List Continue 5"/>
    <w:basedOn w:val="Normal"/>
    <w:rsid w:val="004554DA"/>
    <w:pPr>
      <w:spacing w:after="120"/>
      <w:ind w:left="1415"/>
    </w:pPr>
  </w:style>
  <w:style w:type="paragraph" w:styleId="MessageHeader">
    <w:name w:val="Message Header"/>
    <w:basedOn w:val="Normal"/>
    <w:link w:val="MessageHeaderChar"/>
    <w:rsid w:val="004554D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554DA"/>
    <w:rPr>
      <w:rFonts w:ascii="Arial" w:hAnsi="Arial" w:cs="Arial"/>
      <w:sz w:val="22"/>
      <w:shd w:val="pct20" w:color="auto" w:fill="auto"/>
    </w:rPr>
  </w:style>
  <w:style w:type="paragraph" w:styleId="Subtitle">
    <w:name w:val="Subtitle"/>
    <w:basedOn w:val="Normal"/>
    <w:link w:val="SubtitleChar"/>
    <w:qFormat/>
    <w:rsid w:val="004554DA"/>
    <w:pPr>
      <w:spacing w:after="60"/>
      <w:jc w:val="center"/>
      <w:outlineLvl w:val="1"/>
    </w:pPr>
    <w:rPr>
      <w:rFonts w:ascii="Arial" w:hAnsi="Arial" w:cs="Arial"/>
    </w:rPr>
  </w:style>
  <w:style w:type="character" w:customStyle="1" w:styleId="SubtitleChar">
    <w:name w:val="Subtitle Char"/>
    <w:basedOn w:val="DefaultParagraphFont"/>
    <w:link w:val="Subtitle"/>
    <w:rsid w:val="004554DA"/>
    <w:rPr>
      <w:rFonts w:ascii="Arial" w:hAnsi="Arial" w:cs="Arial"/>
      <w:sz w:val="22"/>
    </w:rPr>
  </w:style>
  <w:style w:type="paragraph" w:styleId="Salutation">
    <w:name w:val="Salutation"/>
    <w:basedOn w:val="Normal"/>
    <w:next w:val="Normal"/>
    <w:link w:val="SalutationChar"/>
    <w:rsid w:val="004554DA"/>
  </w:style>
  <w:style w:type="character" w:customStyle="1" w:styleId="SalutationChar">
    <w:name w:val="Salutation Char"/>
    <w:basedOn w:val="DefaultParagraphFont"/>
    <w:link w:val="Salutation"/>
    <w:rsid w:val="004554DA"/>
    <w:rPr>
      <w:sz w:val="22"/>
    </w:rPr>
  </w:style>
  <w:style w:type="paragraph" w:styleId="Date">
    <w:name w:val="Date"/>
    <w:basedOn w:val="Normal"/>
    <w:next w:val="Normal"/>
    <w:link w:val="DateChar"/>
    <w:rsid w:val="004554DA"/>
  </w:style>
  <w:style w:type="character" w:customStyle="1" w:styleId="DateChar">
    <w:name w:val="Date Char"/>
    <w:basedOn w:val="DefaultParagraphFont"/>
    <w:link w:val="Date"/>
    <w:rsid w:val="004554DA"/>
    <w:rPr>
      <w:sz w:val="22"/>
    </w:rPr>
  </w:style>
  <w:style w:type="paragraph" w:styleId="BodyTextFirstIndent">
    <w:name w:val="Body Text First Indent"/>
    <w:basedOn w:val="BodyText"/>
    <w:link w:val="BodyTextFirstIndentChar"/>
    <w:rsid w:val="004554DA"/>
    <w:pPr>
      <w:ind w:firstLine="210"/>
    </w:pPr>
  </w:style>
  <w:style w:type="character" w:customStyle="1" w:styleId="BodyTextFirstIndentChar">
    <w:name w:val="Body Text First Indent Char"/>
    <w:basedOn w:val="BodyTextChar"/>
    <w:link w:val="BodyTextFirstIndent"/>
    <w:rsid w:val="004554DA"/>
    <w:rPr>
      <w:sz w:val="22"/>
    </w:rPr>
  </w:style>
  <w:style w:type="paragraph" w:styleId="BodyTextFirstIndent2">
    <w:name w:val="Body Text First Indent 2"/>
    <w:basedOn w:val="BodyTextIndent"/>
    <w:link w:val="BodyTextFirstIndent2Char"/>
    <w:rsid w:val="004554DA"/>
    <w:pPr>
      <w:ind w:firstLine="210"/>
    </w:pPr>
  </w:style>
  <w:style w:type="character" w:customStyle="1" w:styleId="BodyTextFirstIndent2Char">
    <w:name w:val="Body Text First Indent 2 Char"/>
    <w:basedOn w:val="BodyTextIndentChar"/>
    <w:link w:val="BodyTextFirstIndent2"/>
    <w:rsid w:val="004554DA"/>
    <w:rPr>
      <w:sz w:val="22"/>
    </w:rPr>
  </w:style>
  <w:style w:type="paragraph" w:styleId="BodyText2">
    <w:name w:val="Body Text 2"/>
    <w:basedOn w:val="Normal"/>
    <w:link w:val="BodyText2Char"/>
    <w:rsid w:val="004554DA"/>
    <w:pPr>
      <w:spacing w:after="120" w:line="480" w:lineRule="auto"/>
    </w:pPr>
  </w:style>
  <w:style w:type="character" w:customStyle="1" w:styleId="BodyText2Char">
    <w:name w:val="Body Text 2 Char"/>
    <w:basedOn w:val="DefaultParagraphFont"/>
    <w:link w:val="BodyText2"/>
    <w:rsid w:val="004554DA"/>
    <w:rPr>
      <w:sz w:val="22"/>
    </w:rPr>
  </w:style>
  <w:style w:type="paragraph" w:styleId="BodyText3">
    <w:name w:val="Body Text 3"/>
    <w:basedOn w:val="Normal"/>
    <w:link w:val="BodyText3Char"/>
    <w:rsid w:val="004554DA"/>
    <w:pPr>
      <w:spacing w:after="120"/>
    </w:pPr>
    <w:rPr>
      <w:sz w:val="16"/>
      <w:szCs w:val="16"/>
    </w:rPr>
  </w:style>
  <w:style w:type="character" w:customStyle="1" w:styleId="BodyText3Char">
    <w:name w:val="Body Text 3 Char"/>
    <w:basedOn w:val="DefaultParagraphFont"/>
    <w:link w:val="BodyText3"/>
    <w:rsid w:val="004554DA"/>
    <w:rPr>
      <w:sz w:val="16"/>
      <w:szCs w:val="16"/>
    </w:rPr>
  </w:style>
  <w:style w:type="paragraph" w:styleId="BodyTextIndent2">
    <w:name w:val="Body Text Indent 2"/>
    <w:basedOn w:val="Normal"/>
    <w:link w:val="BodyTextIndent2Char"/>
    <w:rsid w:val="004554DA"/>
    <w:pPr>
      <w:spacing w:after="120" w:line="480" w:lineRule="auto"/>
      <w:ind w:left="283"/>
    </w:pPr>
  </w:style>
  <w:style w:type="character" w:customStyle="1" w:styleId="BodyTextIndent2Char">
    <w:name w:val="Body Text Indent 2 Char"/>
    <w:basedOn w:val="DefaultParagraphFont"/>
    <w:link w:val="BodyTextIndent2"/>
    <w:rsid w:val="004554DA"/>
    <w:rPr>
      <w:sz w:val="22"/>
    </w:rPr>
  </w:style>
  <w:style w:type="paragraph" w:styleId="BodyTextIndent3">
    <w:name w:val="Body Text Indent 3"/>
    <w:basedOn w:val="Normal"/>
    <w:link w:val="BodyTextIndent3Char"/>
    <w:rsid w:val="004554DA"/>
    <w:pPr>
      <w:spacing w:after="120"/>
      <w:ind w:left="283"/>
    </w:pPr>
    <w:rPr>
      <w:sz w:val="16"/>
      <w:szCs w:val="16"/>
    </w:rPr>
  </w:style>
  <w:style w:type="character" w:customStyle="1" w:styleId="BodyTextIndent3Char">
    <w:name w:val="Body Text Indent 3 Char"/>
    <w:basedOn w:val="DefaultParagraphFont"/>
    <w:link w:val="BodyTextIndent3"/>
    <w:rsid w:val="004554DA"/>
    <w:rPr>
      <w:sz w:val="16"/>
      <w:szCs w:val="16"/>
    </w:rPr>
  </w:style>
  <w:style w:type="paragraph" w:styleId="BlockText">
    <w:name w:val="Block Text"/>
    <w:basedOn w:val="Normal"/>
    <w:rsid w:val="004554DA"/>
    <w:pPr>
      <w:spacing w:after="120"/>
      <w:ind w:left="1440" w:right="1440"/>
    </w:pPr>
  </w:style>
  <w:style w:type="character" w:styleId="Hyperlink">
    <w:name w:val="Hyperlink"/>
    <w:basedOn w:val="DefaultParagraphFont"/>
    <w:rsid w:val="004554DA"/>
    <w:rPr>
      <w:color w:val="0000FF"/>
      <w:u w:val="single"/>
    </w:rPr>
  </w:style>
  <w:style w:type="character" w:styleId="FollowedHyperlink">
    <w:name w:val="FollowedHyperlink"/>
    <w:basedOn w:val="DefaultParagraphFont"/>
    <w:rsid w:val="004554DA"/>
    <w:rPr>
      <w:color w:val="800080"/>
      <w:u w:val="single"/>
    </w:rPr>
  </w:style>
  <w:style w:type="character" w:styleId="Strong">
    <w:name w:val="Strong"/>
    <w:basedOn w:val="DefaultParagraphFont"/>
    <w:qFormat/>
    <w:rsid w:val="004554DA"/>
    <w:rPr>
      <w:b/>
      <w:bCs/>
    </w:rPr>
  </w:style>
  <w:style w:type="character" w:styleId="Emphasis">
    <w:name w:val="Emphasis"/>
    <w:basedOn w:val="DefaultParagraphFont"/>
    <w:qFormat/>
    <w:rsid w:val="004554DA"/>
    <w:rPr>
      <w:i/>
      <w:iCs/>
    </w:rPr>
  </w:style>
  <w:style w:type="paragraph" w:styleId="DocumentMap">
    <w:name w:val="Document Map"/>
    <w:basedOn w:val="Normal"/>
    <w:link w:val="DocumentMapChar"/>
    <w:rsid w:val="004554DA"/>
    <w:pPr>
      <w:shd w:val="clear" w:color="auto" w:fill="000080"/>
    </w:pPr>
    <w:rPr>
      <w:rFonts w:ascii="Tahoma" w:hAnsi="Tahoma" w:cs="Tahoma"/>
    </w:rPr>
  </w:style>
  <w:style w:type="character" w:customStyle="1" w:styleId="DocumentMapChar">
    <w:name w:val="Document Map Char"/>
    <w:basedOn w:val="DefaultParagraphFont"/>
    <w:link w:val="DocumentMap"/>
    <w:rsid w:val="004554DA"/>
    <w:rPr>
      <w:rFonts w:ascii="Tahoma" w:hAnsi="Tahoma" w:cs="Tahoma"/>
      <w:sz w:val="22"/>
      <w:shd w:val="clear" w:color="auto" w:fill="000080"/>
    </w:rPr>
  </w:style>
  <w:style w:type="paragraph" w:styleId="PlainText">
    <w:name w:val="Plain Text"/>
    <w:basedOn w:val="Normal"/>
    <w:link w:val="PlainTextChar"/>
    <w:rsid w:val="004554DA"/>
    <w:rPr>
      <w:rFonts w:ascii="Courier New" w:hAnsi="Courier New" w:cs="Courier New"/>
      <w:sz w:val="20"/>
    </w:rPr>
  </w:style>
  <w:style w:type="character" w:customStyle="1" w:styleId="PlainTextChar">
    <w:name w:val="Plain Text Char"/>
    <w:basedOn w:val="DefaultParagraphFont"/>
    <w:link w:val="PlainText"/>
    <w:rsid w:val="004554DA"/>
    <w:rPr>
      <w:rFonts w:ascii="Courier New" w:hAnsi="Courier New" w:cs="Courier New"/>
    </w:rPr>
  </w:style>
  <w:style w:type="paragraph" w:styleId="E-mailSignature">
    <w:name w:val="E-mail Signature"/>
    <w:basedOn w:val="Normal"/>
    <w:link w:val="E-mailSignatureChar"/>
    <w:rsid w:val="004554DA"/>
  </w:style>
  <w:style w:type="character" w:customStyle="1" w:styleId="E-mailSignatureChar">
    <w:name w:val="E-mail Signature Char"/>
    <w:basedOn w:val="DefaultParagraphFont"/>
    <w:link w:val="E-mailSignature"/>
    <w:rsid w:val="004554DA"/>
    <w:rPr>
      <w:sz w:val="22"/>
    </w:rPr>
  </w:style>
  <w:style w:type="paragraph" w:styleId="NormalWeb">
    <w:name w:val="Normal (Web)"/>
    <w:basedOn w:val="Normal"/>
    <w:rsid w:val="004554DA"/>
  </w:style>
  <w:style w:type="character" w:styleId="HTMLAcronym">
    <w:name w:val="HTML Acronym"/>
    <w:basedOn w:val="DefaultParagraphFont"/>
    <w:rsid w:val="004554DA"/>
  </w:style>
  <w:style w:type="paragraph" w:styleId="HTMLAddress">
    <w:name w:val="HTML Address"/>
    <w:basedOn w:val="Normal"/>
    <w:link w:val="HTMLAddressChar"/>
    <w:rsid w:val="004554DA"/>
    <w:rPr>
      <w:i/>
      <w:iCs/>
    </w:rPr>
  </w:style>
  <w:style w:type="character" w:customStyle="1" w:styleId="HTMLAddressChar">
    <w:name w:val="HTML Address Char"/>
    <w:basedOn w:val="DefaultParagraphFont"/>
    <w:link w:val="HTMLAddress"/>
    <w:rsid w:val="004554DA"/>
    <w:rPr>
      <w:i/>
      <w:iCs/>
      <w:sz w:val="22"/>
    </w:rPr>
  </w:style>
  <w:style w:type="character" w:styleId="HTMLCite">
    <w:name w:val="HTML Cite"/>
    <w:basedOn w:val="DefaultParagraphFont"/>
    <w:rsid w:val="004554DA"/>
    <w:rPr>
      <w:i/>
      <w:iCs/>
    </w:rPr>
  </w:style>
  <w:style w:type="character" w:styleId="HTMLCode">
    <w:name w:val="HTML Code"/>
    <w:basedOn w:val="DefaultParagraphFont"/>
    <w:rsid w:val="004554DA"/>
    <w:rPr>
      <w:rFonts w:ascii="Courier New" w:hAnsi="Courier New" w:cs="Courier New"/>
      <w:sz w:val="20"/>
      <w:szCs w:val="20"/>
    </w:rPr>
  </w:style>
  <w:style w:type="character" w:styleId="HTMLDefinition">
    <w:name w:val="HTML Definition"/>
    <w:basedOn w:val="DefaultParagraphFont"/>
    <w:rsid w:val="004554DA"/>
    <w:rPr>
      <w:i/>
      <w:iCs/>
    </w:rPr>
  </w:style>
  <w:style w:type="character" w:styleId="HTMLKeyboard">
    <w:name w:val="HTML Keyboard"/>
    <w:basedOn w:val="DefaultParagraphFont"/>
    <w:rsid w:val="004554DA"/>
    <w:rPr>
      <w:rFonts w:ascii="Courier New" w:hAnsi="Courier New" w:cs="Courier New"/>
      <w:sz w:val="20"/>
      <w:szCs w:val="20"/>
    </w:rPr>
  </w:style>
  <w:style w:type="paragraph" w:styleId="HTMLPreformatted">
    <w:name w:val="HTML Preformatted"/>
    <w:basedOn w:val="Normal"/>
    <w:link w:val="HTMLPreformattedChar"/>
    <w:rsid w:val="004554DA"/>
    <w:rPr>
      <w:rFonts w:ascii="Courier New" w:hAnsi="Courier New" w:cs="Courier New"/>
      <w:sz w:val="20"/>
    </w:rPr>
  </w:style>
  <w:style w:type="character" w:customStyle="1" w:styleId="HTMLPreformattedChar">
    <w:name w:val="HTML Preformatted Char"/>
    <w:basedOn w:val="DefaultParagraphFont"/>
    <w:link w:val="HTMLPreformatted"/>
    <w:rsid w:val="004554DA"/>
    <w:rPr>
      <w:rFonts w:ascii="Courier New" w:hAnsi="Courier New" w:cs="Courier New"/>
    </w:rPr>
  </w:style>
  <w:style w:type="character" w:styleId="HTMLSample">
    <w:name w:val="HTML Sample"/>
    <w:basedOn w:val="DefaultParagraphFont"/>
    <w:rsid w:val="004554DA"/>
    <w:rPr>
      <w:rFonts w:ascii="Courier New" w:hAnsi="Courier New" w:cs="Courier New"/>
    </w:rPr>
  </w:style>
  <w:style w:type="character" w:styleId="HTMLTypewriter">
    <w:name w:val="HTML Typewriter"/>
    <w:basedOn w:val="DefaultParagraphFont"/>
    <w:rsid w:val="004554DA"/>
    <w:rPr>
      <w:rFonts w:ascii="Courier New" w:hAnsi="Courier New" w:cs="Courier New"/>
      <w:sz w:val="20"/>
      <w:szCs w:val="20"/>
    </w:rPr>
  </w:style>
  <w:style w:type="character" w:styleId="HTMLVariable">
    <w:name w:val="HTML Variable"/>
    <w:basedOn w:val="DefaultParagraphFont"/>
    <w:rsid w:val="004554DA"/>
    <w:rPr>
      <w:i/>
      <w:iCs/>
    </w:rPr>
  </w:style>
  <w:style w:type="paragraph" w:styleId="CommentSubject">
    <w:name w:val="annotation subject"/>
    <w:basedOn w:val="CommentText"/>
    <w:next w:val="CommentText"/>
    <w:link w:val="CommentSubjectChar"/>
    <w:rsid w:val="004554DA"/>
    <w:rPr>
      <w:b/>
      <w:bCs/>
    </w:rPr>
  </w:style>
  <w:style w:type="character" w:customStyle="1" w:styleId="CommentSubjectChar">
    <w:name w:val="Comment Subject Char"/>
    <w:basedOn w:val="CommentTextChar"/>
    <w:link w:val="CommentSubject"/>
    <w:rsid w:val="004554DA"/>
    <w:rPr>
      <w:b/>
      <w:bCs/>
    </w:rPr>
  </w:style>
  <w:style w:type="numbering" w:styleId="1ai">
    <w:name w:val="Outline List 1"/>
    <w:basedOn w:val="NoList"/>
    <w:rsid w:val="004554DA"/>
    <w:pPr>
      <w:numPr>
        <w:numId w:val="14"/>
      </w:numPr>
    </w:pPr>
  </w:style>
  <w:style w:type="numbering" w:styleId="111111">
    <w:name w:val="Outline List 2"/>
    <w:basedOn w:val="NoList"/>
    <w:rsid w:val="004554DA"/>
    <w:pPr>
      <w:numPr>
        <w:numId w:val="15"/>
      </w:numPr>
    </w:pPr>
  </w:style>
  <w:style w:type="numbering" w:styleId="ArticleSection">
    <w:name w:val="Outline List 3"/>
    <w:basedOn w:val="NoList"/>
    <w:rsid w:val="004554DA"/>
    <w:pPr>
      <w:numPr>
        <w:numId w:val="17"/>
      </w:numPr>
    </w:pPr>
  </w:style>
  <w:style w:type="table" w:styleId="TableSimple1">
    <w:name w:val="Table Simple 1"/>
    <w:basedOn w:val="TableNormal"/>
    <w:rsid w:val="004554D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554D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554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554D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554D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554D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554D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554D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554D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554D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554D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554D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554D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554D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554D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554D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554D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554D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554D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554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554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554D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554D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554D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554D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554D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554D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554D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554D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554D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554D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554D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554D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554D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554D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554D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554D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554D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554D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554D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554D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554D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554D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554DA"/>
    <w:rPr>
      <w:rFonts w:eastAsia="Times New Roman" w:cs="Times New Roman"/>
      <w:b/>
      <w:kern w:val="28"/>
      <w:sz w:val="24"/>
      <w:lang w:eastAsia="en-AU"/>
    </w:rPr>
  </w:style>
  <w:style w:type="paragraph" w:styleId="ListParagraph">
    <w:name w:val="List Paragraph"/>
    <w:basedOn w:val="Normal"/>
    <w:uiPriority w:val="34"/>
    <w:qFormat/>
    <w:rsid w:val="008061A4"/>
    <w:pPr>
      <w:spacing w:after="160" w:line="259" w:lineRule="auto"/>
      <w:ind w:left="720"/>
      <w:contextualSpacing/>
    </w:pPr>
    <w:rPr>
      <w:rFonts w:asciiTheme="minorHAnsi" w:hAnsiTheme="minorHAnsi"/>
      <w:szCs w:val="22"/>
    </w:rPr>
  </w:style>
  <w:style w:type="paragraph" w:customStyle="1" w:styleId="ListNo1">
    <w:name w:val="List No 1"/>
    <w:basedOn w:val="Normal"/>
    <w:rsid w:val="00FD0388"/>
    <w:pPr>
      <w:numPr>
        <w:numId w:val="22"/>
      </w:numPr>
      <w:spacing w:before="60" w:after="60" w:line="259" w:lineRule="auto"/>
    </w:pPr>
    <w:rPr>
      <w:rFonts w:asciiTheme="minorHAnsi" w:hAnsiTheme="minorHAnsi"/>
      <w:szCs w:val="22"/>
    </w:rPr>
  </w:style>
  <w:style w:type="paragraph" w:customStyle="1" w:styleId="ListNo2">
    <w:name w:val="List No 2"/>
    <w:basedOn w:val="ListNo1"/>
    <w:rsid w:val="00FD0388"/>
    <w:pPr>
      <w:numPr>
        <w:ilvl w:val="1"/>
      </w:numPr>
    </w:pPr>
  </w:style>
  <w:style w:type="paragraph" w:customStyle="1" w:styleId="ListNo3">
    <w:name w:val="List No 3"/>
    <w:basedOn w:val="ListNo2"/>
    <w:rsid w:val="00FD0388"/>
    <w:pPr>
      <w:numPr>
        <w:ilvl w:val="2"/>
      </w:numPr>
    </w:pPr>
  </w:style>
  <w:style w:type="numbering" w:customStyle="1" w:styleId="FCListNo">
    <w:name w:val="FCListNo"/>
    <w:uiPriority w:val="99"/>
    <w:rsid w:val="00FD0388"/>
    <w:pPr>
      <w:numPr>
        <w:numId w:val="21"/>
      </w:numPr>
    </w:pPr>
  </w:style>
  <w:style w:type="paragraph" w:customStyle="1" w:styleId="Specialih">
    <w:name w:val="Special ih"/>
    <w:basedOn w:val="ItemHead"/>
    <w:link w:val="SpecialihChar"/>
    <w:rsid w:val="002457F1"/>
  </w:style>
  <w:style w:type="character" w:customStyle="1" w:styleId="ItemHeadChar">
    <w:name w:val="ItemHead Char"/>
    <w:aliases w:val="ih Char"/>
    <w:basedOn w:val="DefaultParagraphFont"/>
    <w:link w:val="ItemHead"/>
    <w:rsid w:val="002457F1"/>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2457F1"/>
    <w:rPr>
      <w:rFonts w:ascii="Arial" w:eastAsia="Times New Roman" w:hAnsi="Arial" w:cs="Times New Roman"/>
      <w:b/>
      <w:kern w:val="28"/>
      <w:sz w:val="24"/>
      <w:lang w:eastAsia="en-AU"/>
    </w:rPr>
  </w:style>
  <w:style w:type="paragraph" w:styleId="Revision">
    <w:name w:val="Revision"/>
    <w:hidden/>
    <w:uiPriority w:val="99"/>
    <w:semiHidden/>
    <w:rsid w:val="00F27CE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4300">
      <w:bodyDiv w:val="1"/>
      <w:marLeft w:val="0"/>
      <w:marRight w:val="0"/>
      <w:marTop w:val="0"/>
      <w:marBottom w:val="0"/>
      <w:divBdr>
        <w:top w:val="none" w:sz="0" w:space="0" w:color="auto"/>
        <w:left w:val="none" w:sz="0" w:space="0" w:color="auto"/>
        <w:bottom w:val="none" w:sz="0" w:space="0" w:color="auto"/>
        <w:right w:val="none" w:sz="0" w:space="0" w:color="auto"/>
      </w:divBdr>
    </w:div>
    <w:div w:id="703404671">
      <w:bodyDiv w:val="1"/>
      <w:marLeft w:val="0"/>
      <w:marRight w:val="0"/>
      <w:marTop w:val="0"/>
      <w:marBottom w:val="0"/>
      <w:divBdr>
        <w:top w:val="none" w:sz="0" w:space="0" w:color="auto"/>
        <w:left w:val="none" w:sz="0" w:space="0" w:color="auto"/>
        <w:bottom w:val="none" w:sz="0" w:space="0" w:color="auto"/>
        <w:right w:val="none" w:sz="0" w:space="0" w:color="auto"/>
      </w:divBdr>
    </w:div>
    <w:div w:id="706443185">
      <w:bodyDiv w:val="1"/>
      <w:marLeft w:val="0"/>
      <w:marRight w:val="0"/>
      <w:marTop w:val="0"/>
      <w:marBottom w:val="0"/>
      <w:divBdr>
        <w:top w:val="none" w:sz="0" w:space="0" w:color="auto"/>
        <w:left w:val="none" w:sz="0" w:space="0" w:color="auto"/>
        <w:bottom w:val="none" w:sz="0" w:space="0" w:color="auto"/>
        <w:right w:val="none" w:sz="0" w:space="0" w:color="auto"/>
      </w:divBdr>
    </w:div>
    <w:div w:id="986395841">
      <w:bodyDiv w:val="1"/>
      <w:marLeft w:val="0"/>
      <w:marRight w:val="0"/>
      <w:marTop w:val="0"/>
      <w:marBottom w:val="0"/>
      <w:divBdr>
        <w:top w:val="none" w:sz="0" w:space="0" w:color="auto"/>
        <w:left w:val="none" w:sz="0" w:space="0" w:color="auto"/>
        <w:bottom w:val="none" w:sz="0" w:space="0" w:color="auto"/>
        <w:right w:val="none" w:sz="0" w:space="0" w:color="auto"/>
      </w:divBdr>
    </w:div>
    <w:div w:id="1081949406">
      <w:bodyDiv w:val="1"/>
      <w:marLeft w:val="0"/>
      <w:marRight w:val="0"/>
      <w:marTop w:val="0"/>
      <w:marBottom w:val="0"/>
      <w:divBdr>
        <w:top w:val="none" w:sz="0" w:space="0" w:color="auto"/>
        <w:left w:val="none" w:sz="0" w:space="0" w:color="auto"/>
        <w:bottom w:val="none" w:sz="0" w:space="0" w:color="auto"/>
        <w:right w:val="none" w:sz="0" w:space="0" w:color="auto"/>
      </w:divBdr>
    </w:div>
    <w:div w:id="1505441358">
      <w:bodyDiv w:val="1"/>
      <w:marLeft w:val="0"/>
      <w:marRight w:val="0"/>
      <w:marTop w:val="0"/>
      <w:marBottom w:val="0"/>
      <w:divBdr>
        <w:top w:val="none" w:sz="0" w:space="0" w:color="auto"/>
        <w:left w:val="none" w:sz="0" w:space="0" w:color="auto"/>
        <w:bottom w:val="none" w:sz="0" w:space="0" w:color="auto"/>
        <w:right w:val="none" w:sz="0" w:space="0" w:color="auto"/>
      </w:divBdr>
    </w:div>
    <w:div w:id="1898859315">
      <w:bodyDiv w:val="1"/>
      <w:marLeft w:val="0"/>
      <w:marRight w:val="0"/>
      <w:marTop w:val="0"/>
      <w:marBottom w:val="0"/>
      <w:divBdr>
        <w:top w:val="none" w:sz="0" w:space="0" w:color="auto"/>
        <w:left w:val="none" w:sz="0" w:space="0" w:color="auto"/>
        <w:bottom w:val="none" w:sz="0" w:space="0" w:color="auto"/>
        <w:right w:val="none" w:sz="0" w:space="0" w:color="auto"/>
      </w:divBdr>
    </w:div>
    <w:div w:id="200104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25</Pages>
  <Words>6330</Words>
  <Characters>36084</Characters>
  <Application>Microsoft Office Word</Application>
  <DocSecurity>0</DocSecurity>
  <PresentationFormat/>
  <Lines>300</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2023-01-12T00:04:00Z</dcterms:created>
  <dcterms:modified xsi:type="dcterms:W3CDTF">2023-01-12T00:04:00Z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Federal Court Legislation Amendment Rules 2022</vt:lpwstr>
  </property>
  <property fmtid="{D5CDD505-2E9C-101B-9397-08002B2CF9AE}" pid="4" name="Class">
    <vt:lpwstr>Federal Court 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OPC66084</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ies>
</file>