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39CA" w14:textId="723FBFC3" w:rsidR="00DA148C" w:rsidRPr="00687FE3" w:rsidRDefault="00DA148C" w:rsidP="00DA148C">
      <w:pPr>
        <w:spacing w:after="120"/>
        <w:jc w:val="center"/>
        <w:rPr>
          <w:rFonts w:asciiTheme="minorHAnsi" w:hAnsiTheme="minorHAnsi" w:cstheme="minorHAnsi"/>
          <w:b/>
          <w:lang w:val="en-GB"/>
        </w:rPr>
      </w:pPr>
      <w:r w:rsidRPr="00687FE3">
        <w:rPr>
          <w:rFonts w:asciiTheme="minorHAnsi" w:hAnsiTheme="minorHAnsi" w:cstheme="minorHAnsi"/>
          <w:b/>
          <w:lang w:val="en-GB"/>
        </w:rPr>
        <w:t>EXPLANATORY STATEMENT</w:t>
      </w:r>
    </w:p>
    <w:p w14:paraId="701AD43E" w14:textId="7DBB864B" w:rsidR="001A5CA3" w:rsidRDefault="001A5CA3" w:rsidP="00DA148C">
      <w:pPr>
        <w:spacing w:after="120"/>
        <w:rPr>
          <w:b/>
        </w:rPr>
      </w:pPr>
      <w:r w:rsidRPr="001A5CA3">
        <w:rPr>
          <w:i/>
        </w:rPr>
        <w:t>Consumer Goods (Non</w:t>
      </w:r>
      <w:r w:rsidR="009472C3">
        <w:rPr>
          <w:i/>
        </w:rPr>
        <w:t>-</w:t>
      </w:r>
      <w:r w:rsidRPr="001A5CA3">
        <w:rPr>
          <w:i/>
        </w:rPr>
        <w:t>refillable Helium Cylinders) Safety Standard 2022</w:t>
      </w:r>
    </w:p>
    <w:p w14:paraId="7F96BB7A" w14:textId="5C52D0A3" w:rsidR="00DA148C" w:rsidRPr="00474D21" w:rsidRDefault="00DA148C" w:rsidP="00DA148C">
      <w:pPr>
        <w:spacing w:after="120"/>
        <w:rPr>
          <w:b/>
        </w:rPr>
      </w:pPr>
      <w:r w:rsidRPr="00474D21">
        <w:rPr>
          <w:b/>
        </w:rPr>
        <w:t>Overview</w:t>
      </w:r>
    </w:p>
    <w:p w14:paraId="4A943C13" w14:textId="0077F506" w:rsidR="000302E8" w:rsidRDefault="00DA148C" w:rsidP="00DA148C">
      <w:pPr>
        <w:spacing w:after="120"/>
        <w:rPr>
          <w:rFonts w:cs="Arial"/>
          <w:lang w:val="en-GB"/>
        </w:rPr>
      </w:pPr>
      <w:r w:rsidRPr="002F6A17">
        <w:rPr>
          <w:rFonts w:cs="Arial"/>
          <w:lang w:val="en-GB"/>
        </w:rPr>
        <w:t xml:space="preserve">The </w:t>
      </w:r>
      <w:r>
        <w:rPr>
          <w:rFonts w:cs="Arial"/>
          <w:lang w:val="en-GB"/>
        </w:rPr>
        <w:t>Assistant Treasurer</w:t>
      </w:r>
      <w:r w:rsidR="00443DC6">
        <w:rPr>
          <w:rFonts w:cs="Arial"/>
          <w:lang w:val="en-GB"/>
        </w:rPr>
        <w:t xml:space="preserve">, Minister for </w:t>
      </w:r>
      <w:r w:rsidR="003D3654" w:rsidRPr="003D3654">
        <w:rPr>
          <w:rFonts w:cs="Arial"/>
          <w:lang w:val="en-GB"/>
        </w:rPr>
        <w:t>Financial Services</w:t>
      </w:r>
      <w:r>
        <w:rPr>
          <w:rFonts w:cs="Arial"/>
          <w:lang w:val="en-GB"/>
        </w:rPr>
        <w:t xml:space="preserve"> </w:t>
      </w:r>
      <w:r w:rsidRPr="002F6A17">
        <w:rPr>
          <w:rFonts w:cs="Arial"/>
          <w:lang w:val="en-GB"/>
        </w:rPr>
        <w:t xml:space="preserve">(the </w:t>
      </w:r>
      <w:r w:rsidRPr="00C0654D">
        <w:rPr>
          <w:rFonts w:cs="Arial"/>
          <w:b/>
          <w:lang w:val="en-GB"/>
        </w:rPr>
        <w:t>Minister</w:t>
      </w:r>
      <w:r w:rsidRPr="002F6A17">
        <w:rPr>
          <w:rFonts w:cs="Arial"/>
          <w:lang w:val="en-GB"/>
        </w:rPr>
        <w:t xml:space="preserve">) has </w:t>
      </w:r>
      <w:r w:rsidR="00223A13">
        <w:rPr>
          <w:rFonts w:cs="Arial"/>
          <w:lang w:val="en-GB"/>
        </w:rPr>
        <w:t>made</w:t>
      </w:r>
      <w:r w:rsidR="00F707E1">
        <w:rPr>
          <w:rFonts w:cs="Arial"/>
          <w:lang w:val="en-GB"/>
        </w:rPr>
        <w:t xml:space="preserve"> the</w:t>
      </w:r>
      <w:r w:rsidR="00F707E1" w:rsidRPr="00F707E1">
        <w:rPr>
          <w:rFonts w:cs="Arial"/>
          <w:i/>
        </w:rPr>
        <w:t xml:space="preserve"> </w:t>
      </w:r>
      <w:r w:rsidR="001A5CA3" w:rsidRPr="001A5CA3">
        <w:rPr>
          <w:i/>
        </w:rPr>
        <w:t>Consumer Goods (Non</w:t>
      </w:r>
      <w:r w:rsidR="009472C3">
        <w:rPr>
          <w:i/>
        </w:rPr>
        <w:t>-</w:t>
      </w:r>
      <w:r w:rsidR="001A5CA3" w:rsidRPr="001A5CA3">
        <w:rPr>
          <w:i/>
        </w:rPr>
        <w:t xml:space="preserve">refillable Helium Cylinders) Safety Standard 2022 </w:t>
      </w:r>
      <w:r w:rsidR="00F707E1" w:rsidRPr="00C0654D">
        <w:rPr>
          <w:rFonts w:cs="Arial"/>
        </w:rPr>
        <w:t xml:space="preserve">(the </w:t>
      </w:r>
      <w:r w:rsidR="00F707E1" w:rsidRPr="0091600C">
        <w:rPr>
          <w:rFonts w:cs="Arial"/>
          <w:b/>
          <w:bCs/>
        </w:rPr>
        <w:t>New</w:t>
      </w:r>
      <w:r w:rsidR="00F707E1">
        <w:rPr>
          <w:rFonts w:cs="Arial"/>
        </w:rPr>
        <w:t xml:space="preserve"> </w:t>
      </w:r>
      <w:r w:rsidR="00F707E1">
        <w:rPr>
          <w:rFonts w:cs="Arial"/>
          <w:b/>
        </w:rPr>
        <w:t>S</w:t>
      </w:r>
      <w:r w:rsidR="00F707E1" w:rsidRPr="00C0654D">
        <w:rPr>
          <w:rFonts w:cs="Arial"/>
          <w:b/>
        </w:rPr>
        <w:t xml:space="preserve">afety </w:t>
      </w:r>
      <w:r w:rsidR="00F707E1">
        <w:rPr>
          <w:rFonts w:cs="Arial"/>
          <w:b/>
        </w:rPr>
        <w:t>S</w:t>
      </w:r>
      <w:r w:rsidR="00F707E1" w:rsidRPr="00C0654D">
        <w:rPr>
          <w:rFonts w:cs="Arial"/>
          <w:b/>
        </w:rPr>
        <w:t>tandard</w:t>
      </w:r>
      <w:r w:rsidR="00F707E1" w:rsidRPr="00C0654D">
        <w:rPr>
          <w:rFonts w:cs="Arial"/>
        </w:rPr>
        <w:t>)</w:t>
      </w:r>
      <w:r w:rsidR="00F707E1">
        <w:rPr>
          <w:rFonts w:cs="Arial"/>
        </w:rPr>
        <w:t xml:space="preserve">, </w:t>
      </w:r>
      <w:r w:rsidRPr="002F6A17">
        <w:rPr>
          <w:rFonts w:cs="Arial"/>
          <w:lang w:val="en-GB"/>
        </w:rPr>
        <w:t>pursuant to section 104</w:t>
      </w:r>
      <w:r>
        <w:rPr>
          <w:rFonts w:cs="Arial"/>
          <w:lang w:val="en-GB"/>
        </w:rPr>
        <w:t xml:space="preserve"> </w:t>
      </w:r>
      <w:r w:rsidRPr="002F6A17">
        <w:rPr>
          <w:rFonts w:cs="Arial"/>
          <w:lang w:val="en-GB"/>
        </w:rPr>
        <w:t xml:space="preserve">of the Australian Consumer Law, which is Schedule 2 of the </w:t>
      </w:r>
      <w:r w:rsidRPr="002F6A17">
        <w:rPr>
          <w:rFonts w:cs="Arial"/>
          <w:i/>
          <w:lang w:val="en-GB"/>
        </w:rPr>
        <w:t xml:space="preserve">Competition and Consumer Act 2010 </w:t>
      </w:r>
      <w:r w:rsidRPr="00C0654D">
        <w:rPr>
          <w:rFonts w:cs="Arial"/>
          <w:lang w:val="en-GB"/>
        </w:rPr>
        <w:t>(</w:t>
      </w:r>
      <w:proofErr w:type="spellStart"/>
      <w:r w:rsidRPr="00C0654D">
        <w:rPr>
          <w:rFonts w:cs="Arial"/>
          <w:lang w:val="en-GB"/>
        </w:rPr>
        <w:t>Cth</w:t>
      </w:r>
      <w:proofErr w:type="spellEnd"/>
      <w:r w:rsidRPr="00C0654D">
        <w:rPr>
          <w:rFonts w:cs="Arial"/>
          <w:lang w:val="en-GB"/>
        </w:rPr>
        <w:t>)</w:t>
      </w:r>
      <w:r w:rsidRPr="00C94E4B">
        <w:rPr>
          <w:rFonts w:cs="Arial"/>
          <w:lang w:val="en-GB"/>
        </w:rPr>
        <w:t>.</w:t>
      </w:r>
    </w:p>
    <w:p w14:paraId="1A357F76" w14:textId="2F35C12D" w:rsidR="00195CD7" w:rsidRDefault="00195CD7" w:rsidP="00195CD7">
      <w:r>
        <w:t xml:space="preserve">The </w:t>
      </w:r>
      <w:r w:rsidRPr="00C96239">
        <w:t>mandatory standard for non-refillable helium cylinders</w:t>
      </w:r>
      <w:r>
        <w:t xml:space="preserve"> seeks</w:t>
      </w:r>
      <w:r w:rsidRPr="00C96239">
        <w:t xml:space="preserve"> to reduce deaths by asphyxiation of helium.</w:t>
      </w:r>
    </w:p>
    <w:p w14:paraId="3D93C314" w14:textId="2DCBB305" w:rsidR="00195CD7" w:rsidRDefault="00ED01ED" w:rsidP="00195CD7">
      <w:r w:rsidRPr="00ED01ED">
        <w:t xml:space="preserve">Helium is a colourless, odourless gas that is used for a variety of purposes including high-tech equipment, medical, and scientific research. One of its most popular uses is to inflate balloons and other inflatable decorative items for celebrations, events and parties. When used as intended, helium in this form is safe. </w:t>
      </w:r>
      <w:r w:rsidR="00195CD7" w:rsidRPr="00FC400E">
        <w:t xml:space="preserve">However, </w:t>
      </w:r>
      <w:r w:rsidR="00BF27CA">
        <w:t xml:space="preserve">non-refillable </w:t>
      </w:r>
      <w:r w:rsidR="00195CD7" w:rsidRPr="00FC400E">
        <w:t xml:space="preserve">helium cylinders are also misused </w:t>
      </w:r>
      <w:proofErr w:type="gramStart"/>
      <w:r w:rsidR="00BF27CA">
        <w:t>as a means to</w:t>
      </w:r>
      <w:proofErr w:type="gramEnd"/>
      <w:r w:rsidR="00BF27CA">
        <w:t xml:space="preserve"> suicide</w:t>
      </w:r>
      <w:r w:rsidR="00195CD7" w:rsidRPr="00FC400E">
        <w:t>.</w:t>
      </w:r>
      <w:r w:rsidR="00195CD7">
        <w:t xml:space="preserve"> </w:t>
      </w:r>
      <w:r w:rsidR="00195CD7" w:rsidRPr="00A71669">
        <w:t>The deliberate inhalation of helium gas is unsafe and can cause illness with prolonged use leading to death by asphyxiation. This is because when inhaled the helium gas displaces oxygen which rapidly leads to unconsciousness and death if the exposure continues.</w:t>
      </w:r>
      <w:r w:rsidR="00195CD7" w:rsidRPr="00FC400E">
        <w:t xml:space="preserve"> </w:t>
      </w:r>
    </w:p>
    <w:p w14:paraId="5A5658A6" w14:textId="1252D9F9" w:rsidR="00195CD7" w:rsidRDefault="00F65CD5" w:rsidP="00195CD7">
      <w:r w:rsidRPr="00F65CD5">
        <w:t>Between 2016 and 2021, the Victorian, Queensland and ACT Coroners have written to the ACCC on 17 occasions to notify of asphyxiation deaths caused by the deliberate inhalation of helium gas. Various Coroners have recommended in reports and correspondence to the ACCC that it consider various risk controls for the regulation of non-refillable helium cylinders to reduce the number of suicides using these products.</w:t>
      </w:r>
      <w:r>
        <w:t xml:space="preserve"> </w:t>
      </w:r>
      <w:r w:rsidR="00195CD7" w:rsidRPr="009D443B">
        <w:t>Analysis of coronial data</w:t>
      </w:r>
      <w:r w:rsidR="00195CD7">
        <w:t xml:space="preserve"> in Australia</w:t>
      </w:r>
      <w:r w:rsidR="00195CD7" w:rsidRPr="009D443B">
        <w:t xml:space="preserve"> indicates that </w:t>
      </w:r>
      <w:r w:rsidR="00195CD7">
        <w:t>non-</w:t>
      </w:r>
      <w:r w:rsidR="00195CD7" w:rsidRPr="009D443B">
        <w:t xml:space="preserve">refillable </w:t>
      </w:r>
      <w:r w:rsidR="00195CD7">
        <w:t xml:space="preserve">helium </w:t>
      </w:r>
      <w:r w:rsidR="00195CD7" w:rsidRPr="009D443B">
        <w:t xml:space="preserve">cylinders </w:t>
      </w:r>
      <w:r w:rsidR="00B979C9">
        <w:t>have not resulted in deaths</w:t>
      </w:r>
      <w:r w:rsidR="00CC6454">
        <w:t>, t</w:t>
      </w:r>
      <w:r w:rsidR="00195CD7" w:rsidRPr="009D443B">
        <w:t xml:space="preserve">herefore, </w:t>
      </w:r>
      <w:r w:rsidR="00195CD7">
        <w:t xml:space="preserve">the </w:t>
      </w:r>
      <w:r w:rsidR="00CC6454">
        <w:t>N</w:t>
      </w:r>
      <w:r w:rsidR="00195CD7">
        <w:t xml:space="preserve">ew </w:t>
      </w:r>
      <w:r w:rsidR="00CC6454">
        <w:t>S</w:t>
      </w:r>
      <w:r w:rsidR="00195CD7">
        <w:t xml:space="preserve">afety </w:t>
      </w:r>
      <w:r w:rsidR="00CC6454">
        <w:t>S</w:t>
      </w:r>
      <w:r w:rsidR="00195CD7">
        <w:t>tandard</w:t>
      </w:r>
      <w:r w:rsidR="00195CD7" w:rsidRPr="009D443B">
        <w:t xml:space="preserve"> will </w:t>
      </w:r>
      <w:r w:rsidR="00195CD7">
        <w:t xml:space="preserve">only apply to non-refillable helium cylinders and </w:t>
      </w:r>
      <w:r w:rsidR="00195CD7" w:rsidRPr="009D443B">
        <w:t xml:space="preserve">not to refillable </w:t>
      </w:r>
      <w:r w:rsidR="00CA6120">
        <w:t xml:space="preserve">helium </w:t>
      </w:r>
      <w:r w:rsidR="00195CD7" w:rsidRPr="009D443B">
        <w:t xml:space="preserve">cylinders.  </w:t>
      </w:r>
    </w:p>
    <w:p w14:paraId="3BFA995E" w14:textId="19F6ADDB" w:rsidR="001878AB" w:rsidRPr="001878AB" w:rsidRDefault="001878AB" w:rsidP="001878AB">
      <w:pPr>
        <w:keepNext/>
        <w:spacing w:after="120"/>
        <w:rPr>
          <w:bCs/>
          <w:lang w:val="en-GB"/>
        </w:rPr>
      </w:pPr>
      <w:r>
        <w:rPr>
          <w:bCs/>
          <w:lang w:val="en-GB"/>
        </w:rPr>
        <w:t>The New Safety Standard will make it</w:t>
      </w:r>
      <w:r w:rsidRPr="00AA4D43">
        <w:rPr>
          <w:bCs/>
          <w:lang w:val="en-GB"/>
        </w:rPr>
        <w:t xml:space="preserve"> more difficult to misuse </w:t>
      </w:r>
      <w:r>
        <w:rPr>
          <w:bCs/>
          <w:lang w:val="en-GB"/>
        </w:rPr>
        <w:t>non-refillable helium cylinders</w:t>
      </w:r>
      <w:r w:rsidRPr="00AA4D43">
        <w:rPr>
          <w:bCs/>
          <w:lang w:val="en-GB"/>
        </w:rPr>
        <w:t xml:space="preserve"> </w:t>
      </w:r>
      <w:r>
        <w:rPr>
          <w:bCs/>
          <w:lang w:val="en-GB"/>
        </w:rPr>
        <w:t xml:space="preserve">by requiring </w:t>
      </w:r>
      <w:r w:rsidR="00EA499D">
        <w:rPr>
          <w:bCs/>
          <w:lang w:val="en-GB"/>
        </w:rPr>
        <w:t>a</w:t>
      </w:r>
      <w:r w:rsidR="00B979C9">
        <w:rPr>
          <w:bCs/>
          <w:lang w:val="en-GB"/>
        </w:rPr>
        <w:t xml:space="preserve"> blend of</w:t>
      </w:r>
      <w:r w:rsidR="00EA499D">
        <w:rPr>
          <w:bCs/>
          <w:lang w:val="en-GB"/>
        </w:rPr>
        <w:t xml:space="preserve"> </w:t>
      </w:r>
      <w:bookmarkStart w:id="0" w:name="_Hlk112331452"/>
      <w:r w:rsidR="009076ED" w:rsidRPr="00E512D1">
        <w:t>2</w:t>
      </w:r>
      <w:r w:rsidR="009076ED">
        <w:t>1</w:t>
      </w:r>
      <w:r w:rsidR="009076ED" w:rsidRPr="00E512D1">
        <w:t xml:space="preserve">% </w:t>
      </w:r>
      <w:r w:rsidR="009076ED">
        <w:t>+/</w:t>
      </w:r>
      <w:r w:rsidR="009076ED">
        <w:noBreakHyphen/>
      </w:r>
      <w:r w:rsidR="009076ED" w:rsidRPr="00E512D1">
        <w:t xml:space="preserve"> 1.0%</w:t>
      </w:r>
      <w:bookmarkEnd w:id="0"/>
      <w:r w:rsidR="009076ED">
        <w:t xml:space="preserve"> </w:t>
      </w:r>
      <w:r w:rsidR="00EA499D">
        <w:rPr>
          <w:bCs/>
          <w:lang w:val="en-GB"/>
        </w:rPr>
        <w:t>oxygen</w:t>
      </w:r>
      <w:r w:rsidR="00B979C9">
        <w:rPr>
          <w:bCs/>
          <w:lang w:val="en-GB"/>
        </w:rPr>
        <w:t xml:space="preserve"> along with 79% helium</w:t>
      </w:r>
      <w:r w:rsidR="00EA499D">
        <w:rPr>
          <w:bCs/>
          <w:lang w:val="en-GB"/>
        </w:rPr>
        <w:t>. This</w:t>
      </w:r>
      <w:r w:rsidR="00B979C9">
        <w:rPr>
          <w:bCs/>
          <w:lang w:val="en-GB"/>
        </w:rPr>
        <w:t xml:space="preserve"> blend, if inhaled,</w:t>
      </w:r>
      <w:r w:rsidR="00EA499D">
        <w:rPr>
          <w:bCs/>
          <w:lang w:val="en-GB"/>
        </w:rPr>
        <w:t xml:space="preserve"> will</w:t>
      </w:r>
      <w:r w:rsidRPr="00AA4D43">
        <w:rPr>
          <w:bCs/>
          <w:lang w:val="en-GB"/>
        </w:rPr>
        <w:t xml:space="preserve"> result in unpleasant side effects</w:t>
      </w:r>
      <w:r>
        <w:rPr>
          <w:bCs/>
          <w:lang w:val="en-GB"/>
        </w:rPr>
        <w:t xml:space="preserve"> </w:t>
      </w:r>
      <w:r w:rsidRPr="009D443B">
        <w:rPr>
          <w:bCs/>
          <w:lang w:val="en-GB"/>
        </w:rPr>
        <w:t xml:space="preserve">associated with cumulative levels of carbon dioxide </w:t>
      </w:r>
      <w:r w:rsidR="00AD046D" w:rsidRPr="00AD046D">
        <w:rPr>
          <w:bCs/>
          <w:lang w:val="en-GB"/>
        </w:rPr>
        <w:t xml:space="preserve">including headaches, dizziness, and vomiting due to increasing levels of carbon dioxide from exhaled air </w:t>
      </w:r>
      <w:r w:rsidRPr="009D443B">
        <w:rPr>
          <w:bCs/>
          <w:lang w:val="en-GB"/>
        </w:rPr>
        <w:t>and delayed loss of consciousness</w:t>
      </w:r>
      <w:r w:rsidR="00B979C9">
        <w:rPr>
          <w:bCs/>
          <w:lang w:val="en-GB"/>
        </w:rPr>
        <w:t>.</w:t>
      </w:r>
      <w:r w:rsidRPr="009D443B">
        <w:rPr>
          <w:bCs/>
          <w:lang w:val="en-GB"/>
        </w:rPr>
        <w:t xml:space="preserve"> </w:t>
      </w:r>
    </w:p>
    <w:p w14:paraId="252B9667" w14:textId="158A012F" w:rsidR="003E5285" w:rsidRDefault="008456A7" w:rsidP="00DA148C">
      <w:pPr>
        <w:spacing w:after="120"/>
        <w:rPr>
          <w:b/>
        </w:rPr>
      </w:pPr>
      <w:r>
        <w:rPr>
          <w:b/>
        </w:rPr>
        <w:t>Requ</w:t>
      </w:r>
      <w:r w:rsidR="003E5285">
        <w:rPr>
          <w:b/>
        </w:rPr>
        <w:t>irements of t</w:t>
      </w:r>
      <w:r w:rsidR="002E1729">
        <w:rPr>
          <w:b/>
        </w:rPr>
        <w:t xml:space="preserve">he new standard </w:t>
      </w:r>
    </w:p>
    <w:p w14:paraId="7A0696AA" w14:textId="6A5C18A0" w:rsidR="002A11EB" w:rsidRDefault="003E5285" w:rsidP="003E5285">
      <w:pPr>
        <w:rPr>
          <w:rFonts w:cs="Arial"/>
          <w:lang w:val="en-GB"/>
        </w:rPr>
      </w:pPr>
      <w:bookmarkStart w:id="1" w:name="_Hlk110865955"/>
      <w:r>
        <w:rPr>
          <w:rFonts w:cs="Arial"/>
          <w:lang w:val="en-GB"/>
        </w:rPr>
        <w:t xml:space="preserve">The </w:t>
      </w:r>
      <w:r w:rsidR="00091EE4">
        <w:rPr>
          <w:rFonts w:cs="Arial"/>
          <w:lang w:val="en-GB"/>
        </w:rPr>
        <w:t>N</w:t>
      </w:r>
      <w:r>
        <w:rPr>
          <w:rFonts w:cs="Arial"/>
          <w:lang w:val="en-GB"/>
        </w:rPr>
        <w:t xml:space="preserve">ew </w:t>
      </w:r>
      <w:r w:rsidR="00091EE4">
        <w:rPr>
          <w:rFonts w:cs="Arial"/>
          <w:lang w:val="en-GB"/>
        </w:rPr>
        <w:t>S</w:t>
      </w:r>
      <w:r>
        <w:rPr>
          <w:rFonts w:cs="Arial"/>
          <w:lang w:val="en-GB"/>
        </w:rPr>
        <w:t xml:space="preserve">afety </w:t>
      </w:r>
      <w:r w:rsidR="00091EE4">
        <w:rPr>
          <w:rFonts w:cs="Arial"/>
          <w:lang w:val="en-GB"/>
        </w:rPr>
        <w:t>S</w:t>
      </w:r>
      <w:r>
        <w:rPr>
          <w:rFonts w:cs="Arial"/>
          <w:lang w:val="en-GB"/>
        </w:rPr>
        <w:t>tandard requires</w:t>
      </w:r>
      <w:r w:rsidR="002A11EB">
        <w:rPr>
          <w:rFonts w:cs="Arial"/>
          <w:lang w:val="en-GB"/>
        </w:rPr>
        <w:t xml:space="preserve"> that c</w:t>
      </w:r>
      <w:r w:rsidR="002A11EB" w:rsidRPr="002A11EB">
        <w:rPr>
          <w:rFonts w:cs="Arial"/>
          <w:lang w:val="en-GB"/>
        </w:rPr>
        <w:t>onsumer goods containing a non</w:t>
      </w:r>
      <w:r w:rsidR="007A69D3">
        <w:rPr>
          <w:rFonts w:cs="Arial"/>
          <w:lang w:val="en-GB"/>
        </w:rPr>
        <w:t>-</w:t>
      </w:r>
      <w:r w:rsidR="002A11EB" w:rsidRPr="002A11EB">
        <w:rPr>
          <w:rFonts w:cs="Arial"/>
          <w:lang w:val="en-GB"/>
        </w:rPr>
        <w:t>refillable helium cylinder</w:t>
      </w:r>
      <w:r w:rsidR="002A11EB">
        <w:rPr>
          <w:rFonts w:cs="Arial"/>
          <w:lang w:val="en-GB"/>
        </w:rPr>
        <w:t xml:space="preserve"> must comply with the following:</w:t>
      </w:r>
    </w:p>
    <w:p w14:paraId="5EF353A3" w14:textId="6CA900A6" w:rsidR="00CB1453" w:rsidRPr="00CB1453" w:rsidRDefault="00CB1453" w:rsidP="003E5285">
      <w:pPr>
        <w:rPr>
          <w:rFonts w:cs="Arial"/>
          <w:i/>
          <w:iCs/>
          <w:lang w:val="en-GB"/>
        </w:rPr>
      </w:pPr>
      <w:r w:rsidRPr="00CB1453">
        <w:rPr>
          <w:rFonts w:cs="Arial"/>
          <w:i/>
          <w:iCs/>
          <w:lang w:val="en-GB"/>
        </w:rPr>
        <w:t>Gas composition requirements</w:t>
      </w:r>
    </w:p>
    <w:p w14:paraId="027C047B" w14:textId="7E7B0882" w:rsidR="002A11EB" w:rsidRPr="00CB1453" w:rsidRDefault="000759CD" w:rsidP="000759CD">
      <w:pPr>
        <w:pStyle w:val="ListParagraph"/>
        <w:numPr>
          <w:ilvl w:val="0"/>
          <w:numId w:val="37"/>
        </w:numPr>
        <w:rPr>
          <w:rFonts w:cs="Arial"/>
          <w:lang w:val="en-GB"/>
        </w:rPr>
      </w:pPr>
      <w:r>
        <w:t>The oxygen composition of the gas within the non</w:t>
      </w:r>
      <w:r>
        <w:noBreakHyphen/>
        <w:t xml:space="preserve">refillable helium cylinder must be </w:t>
      </w:r>
      <w:bookmarkStart w:id="2" w:name="_Hlk105675659"/>
      <w:r w:rsidRPr="00E512D1">
        <w:t>2</w:t>
      </w:r>
      <w:r w:rsidR="00AE1685">
        <w:t>1</w:t>
      </w:r>
      <w:r w:rsidRPr="00E512D1">
        <w:t xml:space="preserve">% </w:t>
      </w:r>
      <w:r>
        <w:t>+/</w:t>
      </w:r>
      <w:r>
        <w:noBreakHyphen/>
      </w:r>
      <w:r w:rsidRPr="00E512D1">
        <w:t xml:space="preserve"> 1.0%</w:t>
      </w:r>
      <w:r>
        <w:t xml:space="preserve"> </w:t>
      </w:r>
      <w:bookmarkEnd w:id="2"/>
      <w:r>
        <w:t>of total gas composition by volume.</w:t>
      </w:r>
    </w:p>
    <w:p w14:paraId="2858C080" w14:textId="644CA542" w:rsidR="00CB1453" w:rsidRPr="00CB1453" w:rsidRDefault="00CB1453" w:rsidP="00CB1453">
      <w:pPr>
        <w:rPr>
          <w:rFonts w:cs="Arial"/>
          <w:i/>
          <w:iCs/>
          <w:lang w:val="en-GB"/>
        </w:rPr>
      </w:pPr>
      <w:r w:rsidRPr="00CB1453">
        <w:rPr>
          <w:rFonts w:cs="Arial"/>
          <w:i/>
          <w:iCs/>
          <w:lang w:val="en-GB"/>
        </w:rPr>
        <w:t>Marking requirements</w:t>
      </w:r>
    </w:p>
    <w:p w14:paraId="6E152B74" w14:textId="3016B573" w:rsidR="007A69D3" w:rsidRPr="007A69D3" w:rsidRDefault="007A69D3" w:rsidP="007A69D3">
      <w:pPr>
        <w:pStyle w:val="ListParagraph"/>
        <w:numPr>
          <w:ilvl w:val="0"/>
          <w:numId w:val="37"/>
        </w:numPr>
        <w:rPr>
          <w:rFonts w:cs="Arial"/>
          <w:lang w:val="en-GB"/>
        </w:rPr>
      </w:pPr>
      <w:r w:rsidRPr="007A69D3">
        <w:rPr>
          <w:rFonts w:cs="Arial"/>
          <w:lang w:val="en-GB"/>
        </w:rPr>
        <w:t>The following must be clearly marked on the non</w:t>
      </w:r>
      <w:r w:rsidR="00B67509">
        <w:rPr>
          <w:rFonts w:cs="Arial"/>
          <w:lang w:val="en-GB"/>
        </w:rPr>
        <w:t>-</w:t>
      </w:r>
      <w:r w:rsidRPr="007A69D3">
        <w:rPr>
          <w:rFonts w:cs="Arial"/>
          <w:lang w:val="en-GB"/>
        </w:rPr>
        <w:t>refillable helium cylinder and on the packaging of the consumer goods:</w:t>
      </w:r>
    </w:p>
    <w:p w14:paraId="3D3100F8" w14:textId="0AFFF9EF" w:rsidR="007A69D3" w:rsidRPr="007A69D3" w:rsidRDefault="007A69D3" w:rsidP="00EE0A9B">
      <w:pPr>
        <w:pStyle w:val="ListParagraph"/>
        <w:numPr>
          <w:ilvl w:val="0"/>
          <w:numId w:val="0"/>
        </w:numPr>
        <w:ind w:left="720"/>
        <w:rPr>
          <w:rFonts w:cs="Arial"/>
          <w:lang w:val="en-GB"/>
        </w:rPr>
      </w:pPr>
      <w:r w:rsidRPr="007A69D3">
        <w:rPr>
          <w:rFonts w:cs="Arial"/>
          <w:lang w:val="en-GB"/>
        </w:rPr>
        <w:t>(a)</w:t>
      </w:r>
      <w:r w:rsidRPr="007A69D3">
        <w:rPr>
          <w:rFonts w:cs="Arial"/>
          <w:lang w:val="en-GB"/>
        </w:rPr>
        <w:tab/>
        <w:t xml:space="preserve">the composition of the gas within the cylinder, expressed as percentages of the total gas composition by </w:t>
      </w:r>
      <w:proofErr w:type="gramStart"/>
      <w:r w:rsidRPr="007A69D3">
        <w:rPr>
          <w:rFonts w:cs="Arial"/>
          <w:lang w:val="en-GB"/>
        </w:rPr>
        <w:t>volume;</w:t>
      </w:r>
      <w:proofErr w:type="gramEnd"/>
    </w:p>
    <w:p w14:paraId="1BCD1BAB" w14:textId="0D18B18A" w:rsidR="00CB1453" w:rsidRPr="00B67509" w:rsidRDefault="007A69D3" w:rsidP="00EE0A9B">
      <w:pPr>
        <w:pStyle w:val="ListParagraph"/>
        <w:numPr>
          <w:ilvl w:val="0"/>
          <w:numId w:val="0"/>
        </w:numPr>
        <w:ind w:left="720"/>
        <w:rPr>
          <w:rFonts w:cs="Arial"/>
          <w:lang w:val="en-GB"/>
        </w:rPr>
      </w:pPr>
      <w:r w:rsidRPr="007A69D3">
        <w:rPr>
          <w:rFonts w:cs="Arial"/>
          <w:lang w:val="en-GB"/>
        </w:rPr>
        <w:t>(b)</w:t>
      </w:r>
      <w:r w:rsidRPr="007A69D3">
        <w:rPr>
          <w:rFonts w:cs="Arial"/>
          <w:lang w:val="en-GB"/>
        </w:rPr>
        <w:tab/>
        <w:t>the following statement (or words to that effect):</w:t>
      </w:r>
      <w:r w:rsidR="00B67509">
        <w:rPr>
          <w:rFonts w:cs="Arial"/>
          <w:lang w:val="en-GB"/>
        </w:rPr>
        <w:t xml:space="preserve"> </w:t>
      </w:r>
      <w:r w:rsidRPr="00195CD7">
        <w:rPr>
          <w:rFonts w:cs="Arial"/>
          <w:i/>
          <w:iCs/>
          <w:lang w:val="en-GB"/>
        </w:rPr>
        <w:t>WARNING: Do not inhale. May cause suffocation.</w:t>
      </w:r>
    </w:p>
    <w:p w14:paraId="40905235" w14:textId="0AB1E6F3" w:rsidR="002A11EB" w:rsidRDefault="00CB1453" w:rsidP="00CB1453">
      <w:pPr>
        <w:pStyle w:val="ListParagraph"/>
        <w:numPr>
          <w:ilvl w:val="0"/>
          <w:numId w:val="37"/>
        </w:numPr>
        <w:rPr>
          <w:rFonts w:cs="Arial"/>
          <w:lang w:val="en-GB"/>
        </w:rPr>
      </w:pPr>
      <w:r w:rsidRPr="00CB1453">
        <w:rPr>
          <w:rFonts w:cs="Arial"/>
          <w:lang w:val="en-GB"/>
        </w:rPr>
        <w:lastRenderedPageBreak/>
        <w:t>The markings must be</w:t>
      </w:r>
      <w:r w:rsidR="00B67509">
        <w:rPr>
          <w:rFonts w:cs="Arial"/>
          <w:lang w:val="en-GB"/>
        </w:rPr>
        <w:t xml:space="preserve"> </w:t>
      </w:r>
      <w:r w:rsidRPr="00B67509">
        <w:rPr>
          <w:rFonts w:cs="Arial"/>
          <w:lang w:val="en-GB"/>
        </w:rPr>
        <w:t>in English</w:t>
      </w:r>
      <w:r w:rsidR="00B67509">
        <w:rPr>
          <w:rFonts w:cs="Arial"/>
          <w:lang w:val="en-GB"/>
        </w:rPr>
        <w:t xml:space="preserve">, </w:t>
      </w:r>
      <w:r w:rsidRPr="00B67509">
        <w:rPr>
          <w:rFonts w:cs="Arial"/>
          <w:lang w:val="en-GB"/>
        </w:rPr>
        <w:t>clearly legible</w:t>
      </w:r>
      <w:r w:rsidR="00B67509">
        <w:rPr>
          <w:rFonts w:cs="Arial"/>
          <w:lang w:val="en-GB"/>
        </w:rPr>
        <w:t xml:space="preserve">, </w:t>
      </w:r>
      <w:r w:rsidRPr="00B67509">
        <w:rPr>
          <w:rFonts w:cs="Arial"/>
          <w:lang w:val="en-GB"/>
        </w:rPr>
        <w:t>clearly visible</w:t>
      </w:r>
      <w:r w:rsidR="008E3932">
        <w:rPr>
          <w:rFonts w:cs="Arial"/>
          <w:lang w:val="en-GB"/>
        </w:rPr>
        <w:t>,</w:t>
      </w:r>
      <w:r w:rsidRPr="00B67509">
        <w:rPr>
          <w:rFonts w:cs="Arial"/>
          <w:lang w:val="en-GB"/>
        </w:rPr>
        <w:t xml:space="preserve"> and</w:t>
      </w:r>
      <w:r w:rsidR="00B67509">
        <w:rPr>
          <w:rFonts w:cs="Arial"/>
          <w:lang w:val="en-GB"/>
        </w:rPr>
        <w:t xml:space="preserve"> </w:t>
      </w:r>
      <w:r w:rsidRPr="00B67509">
        <w:rPr>
          <w:rFonts w:cs="Arial"/>
          <w:lang w:val="en-GB"/>
        </w:rPr>
        <w:t>indelible.</w:t>
      </w:r>
    </w:p>
    <w:p w14:paraId="7746677E" w14:textId="0C62D602" w:rsidR="002103F4" w:rsidRPr="002103F4" w:rsidRDefault="002103F4" w:rsidP="002103F4">
      <w:pPr>
        <w:rPr>
          <w:rFonts w:cs="Arial"/>
          <w:lang w:val="en-GB"/>
        </w:rPr>
      </w:pPr>
    </w:p>
    <w:bookmarkEnd w:id="1"/>
    <w:p w14:paraId="061855B2" w14:textId="29DC2311" w:rsidR="00195E0C" w:rsidRDefault="00195E0C" w:rsidP="00103071">
      <w:pPr>
        <w:spacing w:after="240"/>
        <w:ind w:left="340" w:hanging="340"/>
        <w:rPr>
          <w:rFonts w:cs="Arial"/>
          <w:lang w:val="en-GB"/>
        </w:rPr>
      </w:pPr>
      <w:r w:rsidRPr="00195E0C">
        <w:rPr>
          <w:rFonts w:cs="Arial"/>
          <w:lang w:val="en-GB"/>
        </w:rPr>
        <w:t>The New Safety Standard includes the following definition:</w:t>
      </w:r>
    </w:p>
    <w:p w14:paraId="32AA1023" w14:textId="65017562" w:rsidR="00437F8A" w:rsidRDefault="00437F8A" w:rsidP="00437F8A">
      <w:pPr>
        <w:spacing w:after="240"/>
        <w:rPr>
          <w:rFonts w:cs="Arial"/>
          <w:lang w:val="en-GB"/>
        </w:rPr>
      </w:pPr>
      <w:r w:rsidRPr="00B96F14">
        <w:rPr>
          <w:rFonts w:cs="Arial"/>
          <w:b/>
          <w:bCs/>
          <w:i/>
          <w:iCs/>
          <w:lang w:val="en-GB"/>
        </w:rPr>
        <w:t>Non-refillable helium cylinder</w:t>
      </w:r>
      <w:r w:rsidRPr="00437F8A">
        <w:rPr>
          <w:rFonts w:cs="Arial"/>
          <w:lang w:val="en-GB"/>
        </w:rPr>
        <w:t xml:space="preserve"> means a cylinder of pressurised gas</w:t>
      </w:r>
      <w:r>
        <w:rPr>
          <w:rFonts w:cs="Arial"/>
          <w:lang w:val="en-GB"/>
        </w:rPr>
        <w:t xml:space="preserve"> if the cylinder contains </w:t>
      </w:r>
      <w:r w:rsidRPr="00437F8A">
        <w:rPr>
          <w:rFonts w:cs="Arial"/>
          <w:lang w:val="en-GB"/>
        </w:rPr>
        <w:t>predominantly helium gas and is not able to be refilled and reused.</w:t>
      </w:r>
    </w:p>
    <w:p w14:paraId="04010C51" w14:textId="076C3310" w:rsidR="00E676DC" w:rsidRDefault="00CA2FE0" w:rsidP="00437F8A">
      <w:pPr>
        <w:spacing w:after="240"/>
        <w:rPr>
          <w:rFonts w:cs="Arial"/>
          <w:lang w:val="en-GB"/>
        </w:rPr>
      </w:pPr>
      <w:r>
        <w:rPr>
          <w:rFonts w:cs="Arial"/>
          <w:lang w:val="en-GB"/>
        </w:rPr>
        <w:t>A d</w:t>
      </w:r>
      <w:r w:rsidR="00E676DC" w:rsidRPr="00E676DC">
        <w:rPr>
          <w:rFonts w:cs="Arial"/>
          <w:lang w:val="en-GB"/>
        </w:rPr>
        <w:t>isposable helium cylinder fall</w:t>
      </w:r>
      <w:r>
        <w:rPr>
          <w:rFonts w:cs="Arial"/>
          <w:lang w:val="en-GB"/>
        </w:rPr>
        <w:t>s</w:t>
      </w:r>
      <w:r w:rsidR="00E676DC" w:rsidRPr="00E676DC">
        <w:rPr>
          <w:rFonts w:cs="Arial"/>
          <w:lang w:val="en-GB"/>
        </w:rPr>
        <w:t xml:space="preserve"> within the definition of </w:t>
      </w:r>
      <w:r>
        <w:rPr>
          <w:rFonts w:cs="Arial"/>
          <w:lang w:val="en-GB"/>
        </w:rPr>
        <w:t xml:space="preserve">a </w:t>
      </w:r>
      <w:r w:rsidR="00E676DC" w:rsidRPr="00E676DC">
        <w:rPr>
          <w:rFonts w:cs="Arial"/>
          <w:lang w:val="en-GB"/>
        </w:rPr>
        <w:t>‘non</w:t>
      </w:r>
      <w:r w:rsidR="009472C3">
        <w:rPr>
          <w:rFonts w:cs="Arial"/>
          <w:lang w:val="en-GB"/>
        </w:rPr>
        <w:t>-</w:t>
      </w:r>
      <w:r w:rsidR="00E676DC" w:rsidRPr="00E676DC">
        <w:rPr>
          <w:rFonts w:cs="Arial"/>
          <w:lang w:val="en-GB"/>
        </w:rPr>
        <w:t>refillable helium cylinder’</w:t>
      </w:r>
      <w:r w:rsidR="00E676DC">
        <w:rPr>
          <w:rFonts w:cs="Arial"/>
          <w:lang w:val="en-GB"/>
        </w:rPr>
        <w:t>.</w:t>
      </w:r>
    </w:p>
    <w:p w14:paraId="35527EDD" w14:textId="32B6103D" w:rsidR="00DA148C" w:rsidRPr="004F3640" w:rsidRDefault="00DA148C" w:rsidP="004F3640">
      <w:pPr>
        <w:rPr>
          <w:rFonts w:cs="Arial"/>
          <w:lang w:val="en-GB"/>
        </w:rPr>
      </w:pPr>
      <w:r w:rsidRPr="00636C20">
        <w:rPr>
          <w:b/>
          <w:lang w:val="en-GB"/>
        </w:rPr>
        <w:t>Consultation</w:t>
      </w:r>
      <w:r w:rsidR="00587D2A">
        <w:rPr>
          <w:b/>
          <w:lang w:val="en-GB"/>
        </w:rPr>
        <w:t xml:space="preserve"> </w:t>
      </w:r>
      <w:r w:rsidR="00B10C72">
        <w:rPr>
          <w:b/>
          <w:lang w:val="en-GB"/>
        </w:rPr>
        <w:t xml:space="preserve"> </w:t>
      </w:r>
    </w:p>
    <w:p w14:paraId="4F03171D" w14:textId="73FE7D1D" w:rsidR="000931D6" w:rsidRDefault="000931D6" w:rsidP="000931D6">
      <w:bookmarkStart w:id="3" w:name="_Hlk110865491"/>
      <w:r>
        <w:t>In March 2022, the ACCC conducted a confidential and targeted consultation (due to the sensitivity of the matter) with stakeholders via a briefing paper.</w:t>
      </w:r>
      <w:r w:rsidR="002A4CC0">
        <w:t xml:space="preserve"> </w:t>
      </w:r>
      <w:r>
        <w:t xml:space="preserve">The briefing paper invited stakeholder feedback on the following 3 options and indicated the ACCC's preference for Option </w:t>
      </w:r>
      <w:r w:rsidR="00676920">
        <w:t>2</w:t>
      </w:r>
      <w:r>
        <w:t>.</w:t>
      </w:r>
    </w:p>
    <w:p w14:paraId="449A97B7" w14:textId="401A52DD" w:rsidR="000931D6" w:rsidRDefault="000931D6" w:rsidP="000931D6">
      <w:r w:rsidRPr="000931D6">
        <w:rPr>
          <w:b/>
          <w:bCs/>
        </w:rPr>
        <w:t>Option 1 Take no action (maintain the status quo)</w:t>
      </w:r>
      <w:r>
        <w:t xml:space="preserve"> - Take no regulatory action to address the current availability to consumers of high-purity helium in cylinders and their misuse in suicides.</w:t>
      </w:r>
    </w:p>
    <w:p w14:paraId="79BB1BB2" w14:textId="4CE9D1DC" w:rsidR="000931D6" w:rsidRDefault="000931D6" w:rsidP="000931D6">
      <w:r w:rsidRPr="000931D6">
        <w:rPr>
          <w:b/>
          <w:bCs/>
        </w:rPr>
        <w:t xml:space="preserve">Option </w:t>
      </w:r>
      <w:proofErr w:type="gramStart"/>
      <w:r w:rsidRPr="000931D6">
        <w:rPr>
          <w:b/>
          <w:bCs/>
        </w:rPr>
        <w:t>2  Mandatory</w:t>
      </w:r>
      <w:proofErr w:type="gramEnd"/>
      <w:r w:rsidRPr="000931D6">
        <w:rPr>
          <w:b/>
          <w:bCs/>
        </w:rPr>
        <w:t xml:space="preserve"> Safety Standard</w:t>
      </w:r>
      <w:r>
        <w:t xml:space="preserve"> - Require non-refillable helium cylinders to contain a mixture of 79% helium and 21% oxygen, along with labelling to inform consumers that the product is not pure helium, should not be inhaled and can cause suffocation when inhaled. </w:t>
      </w:r>
    </w:p>
    <w:p w14:paraId="1A22822A" w14:textId="4A9C7FD7" w:rsidR="000931D6" w:rsidRDefault="000931D6" w:rsidP="000931D6">
      <w:r w:rsidRPr="000931D6">
        <w:rPr>
          <w:b/>
          <w:bCs/>
        </w:rPr>
        <w:t>Option 3 Product Ban</w:t>
      </w:r>
      <w:r>
        <w:t xml:space="preserve"> - </w:t>
      </w:r>
      <w:r w:rsidR="00B06F5C" w:rsidRPr="003A0147">
        <w:rPr>
          <w:rFonts w:asciiTheme="minorHAnsi" w:hAnsiTheme="minorHAnsi" w:cstheme="minorHAnsi"/>
        </w:rPr>
        <w:t>A complete ban on</w:t>
      </w:r>
      <w:r w:rsidR="00B06F5C">
        <w:rPr>
          <w:rFonts w:asciiTheme="minorHAnsi" w:hAnsiTheme="minorHAnsi" w:cstheme="minorHAnsi"/>
        </w:rPr>
        <w:t xml:space="preserve"> non-refillable cylinders</w:t>
      </w:r>
      <w:r w:rsidR="00B06F5C" w:rsidRPr="003A0147">
        <w:rPr>
          <w:rFonts w:asciiTheme="minorHAnsi" w:hAnsiTheme="minorHAnsi" w:cstheme="minorHAnsi"/>
        </w:rPr>
        <w:t xml:space="preserve">, making it illegal to sell </w:t>
      </w:r>
      <w:r w:rsidR="00B06F5C">
        <w:rPr>
          <w:rFonts w:asciiTheme="minorHAnsi" w:hAnsiTheme="minorHAnsi" w:cstheme="minorHAnsi"/>
        </w:rPr>
        <w:t xml:space="preserve">the product </w:t>
      </w:r>
      <w:r w:rsidR="00B06F5C" w:rsidRPr="003A0147">
        <w:rPr>
          <w:rFonts w:asciiTheme="minorHAnsi" w:hAnsiTheme="minorHAnsi" w:cstheme="minorHAnsi"/>
        </w:rPr>
        <w:t>to consumers.</w:t>
      </w:r>
      <w:r w:rsidR="00B06F5C">
        <w:rPr>
          <w:rFonts w:asciiTheme="minorHAnsi" w:hAnsiTheme="minorHAnsi" w:cstheme="minorHAnsi"/>
          <w:i/>
          <w:iCs/>
        </w:rPr>
        <w:t xml:space="preserve"> </w:t>
      </w:r>
      <w:r>
        <w:t>A permanent ban on the non-refillable helium cylinders would prevent the legitimate access and use and will significantly impact the gas industry, regulators and other stakeholders.</w:t>
      </w:r>
    </w:p>
    <w:p w14:paraId="46728C93" w14:textId="6C1E7AEA" w:rsidR="00923893" w:rsidRDefault="00982CBA" w:rsidP="00C0654D">
      <w:pPr>
        <w:keepNext/>
        <w:spacing w:after="120"/>
        <w:rPr>
          <w:bCs/>
          <w:lang w:val="en-GB"/>
        </w:rPr>
      </w:pPr>
      <w:r w:rsidRPr="00982CBA">
        <w:rPr>
          <w:bCs/>
          <w:lang w:val="en-GB"/>
        </w:rPr>
        <w:t>The ACCC received 1</w:t>
      </w:r>
      <w:r w:rsidR="007070C2">
        <w:rPr>
          <w:bCs/>
          <w:lang w:val="en-GB"/>
        </w:rPr>
        <w:t>7</w:t>
      </w:r>
      <w:r w:rsidRPr="00982CBA">
        <w:rPr>
          <w:bCs/>
          <w:lang w:val="en-GB"/>
        </w:rPr>
        <w:t xml:space="preserve"> submissions from a range of stakeholders</w:t>
      </w:r>
      <w:r>
        <w:rPr>
          <w:bCs/>
          <w:lang w:val="en-GB"/>
        </w:rPr>
        <w:t xml:space="preserve"> such as</w:t>
      </w:r>
      <w:r w:rsidRPr="00982CBA">
        <w:rPr>
          <w:bCs/>
          <w:lang w:val="en-GB"/>
        </w:rPr>
        <w:t xml:space="preserve"> industry groups, government, and retailers</w:t>
      </w:r>
      <w:r>
        <w:rPr>
          <w:bCs/>
          <w:lang w:val="en-GB"/>
        </w:rPr>
        <w:t xml:space="preserve">. </w:t>
      </w:r>
      <w:r w:rsidRPr="00982CBA">
        <w:rPr>
          <w:bCs/>
          <w:lang w:val="en-GB"/>
        </w:rPr>
        <w:t xml:space="preserve">Most stakeholders were in favour of </w:t>
      </w:r>
      <w:r>
        <w:rPr>
          <w:bCs/>
          <w:lang w:val="en-GB"/>
        </w:rPr>
        <w:t>the ACCC’s preliminary position of i</w:t>
      </w:r>
      <w:r w:rsidRPr="00982CBA">
        <w:rPr>
          <w:bCs/>
          <w:lang w:val="en-GB"/>
        </w:rPr>
        <w:t>ntroducing a mix (helium 79% and oxygen 21%) for non-refillable helium cylinder</w:t>
      </w:r>
      <w:r>
        <w:rPr>
          <w:bCs/>
          <w:lang w:val="en-GB"/>
        </w:rPr>
        <w:t>s and r</w:t>
      </w:r>
      <w:r w:rsidRPr="00982CBA">
        <w:rPr>
          <w:bCs/>
          <w:lang w:val="en-GB"/>
        </w:rPr>
        <w:t>equirement</w:t>
      </w:r>
      <w:r>
        <w:rPr>
          <w:bCs/>
          <w:lang w:val="en-GB"/>
        </w:rPr>
        <w:t>s</w:t>
      </w:r>
      <w:r w:rsidRPr="00982CBA">
        <w:rPr>
          <w:bCs/>
          <w:lang w:val="en-GB"/>
        </w:rPr>
        <w:t xml:space="preserve"> </w:t>
      </w:r>
      <w:r>
        <w:rPr>
          <w:bCs/>
          <w:lang w:val="en-GB"/>
        </w:rPr>
        <w:t xml:space="preserve">for </w:t>
      </w:r>
      <w:r w:rsidRPr="00982CBA">
        <w:rPr>
          <w:bCs/>
          <w:lang w:val="en-GB"/>
        </w:rPr>
        <w:t>warning labels to be included</w:t>
      </w:r>
      <w:r w:rsidR="00AA4D43">
        <w:rPr>
          <w:bCs/>
          <w:lang w:val="en-GB"/>
        </w:rPr>
        <w:t xml:space="preserve">. </w:t>
      </w:r>
    </w:p>
    <w:p w14:paraId="70A2DA75" w14:textId="263BBA1C" w:rsidR="00923893" w:rsidRDefault="00923893" w:rsidP="00C0654D">
      <w:pPr>
        <w:keepNext/>
        <w:spacing w:after="120"/>
        <w:rPr>
          <w:bCs/>
          <w:lang w:val="en-GB"/>
        </w:rPr>
      </w:pPr>
      <w:r>
        <w:rPr>
          <w:bCs/>
          <w:lang w:val="en-GB"/>
        </w:rPr>
        <w:t xml:space="preserve">In addition to </w:t>
      </w:r>
      <w:r w:rsidR="00ED700E">
        <w:rPr>
          <w:bCs/>
          <w:lang w:val="en-GB"/>
        </w:rPr>
        <w:t xml:space="preserve">the consultation, the ACCC </w:t>
      </w:r>
      <w:r w:rsidR="00ED700E">
        <w:t>also conducted meetings with major stakeholders and the Department of Health.</w:t>
      </w:r>
    </w:p>
    <w:bookmarkEnd w:id="3"/>
    <w:p w14:paraId="07510DAE" w14:textId="0ECB520F" w:rsidR="00DA148C" w:rsidRDefault="00DA148C" w:rsidP="00C0654D">
      <w:pPr>
        <w:keepNext/>
        <w:spacing w:after="120"/>
        <w:rPr>
          <w:b/>
        </w:rPr>
      </w:pPr>
      <w:r w:rsidRPr="005A1DA5">
        <w:rPr>
          <w:b/>
        </w:rPr>
        <w:t>Disallowanc</w:t>
      </w:r>
      <w:r w:rsidR="00AA4D43">
        <w:rPr>
          <w:b/>
        </w:rPr>
        <w:t>e</w:t>
      </w:r>
    </w:p>
    <w:p w14:paraId="23F63A9B" w14:textId="7185F0BB" w:rsidR="00EA3697" w:rsidRPr="003F5FD3" w:rsidRDefault="00EA3697" w:rsidP="003F5FD3">
      <w:pPr>
        <w:spacing w:after="120"/>
        <w:rPr>
          <w:b/>
        </w:rPr>
      </w:pPr>
      <w:r>
        <w:rPr>
          <w:bCs/>
        </w:rPr>
        <w:t xml:space="preserve">The </w:t>
      </w:r>
      <w:r w:rsidR="001A5CA3" w:rsidRPr="001A5CA3">
        <w:rPr>
          <w:bCs/>
          <w:i/>
          <w:iCs/>
        </w:rPr>
        <w:t>Consumer Goods (Non refillable Helium Cylinders) Safety Standard 2022</w:t>
      </w:r>
      <w:r w:rsidR="001A5CA3">
        <w:rPr>
          <w:bCs/>
          <w:i/>
          <w:iCs/>
        </w:rPr>
        <w:t xml:space="preserve"> </w:t>
      </w:r>
      <w:r>
        <w:rPr>
          <w:bCs/>
        </w:rPr>
        <w:t xml:space="preserve">is a legislative instrument for the purposes of the </w:t>
      </w:r>
      <w:r w:rsidRPr="00F16C5C">
        <w:rPr>
          <w:bCs/>
          <w:i/>
          <w:iCs/>
        </w:rPr>
        <w:t>Legislation Act 2003</w:t>
      </w:r>
      <w:r>
        <w:rPr>
          <w:bCs/>
        </w:rPr>
        <w:t xml:space="preserve"> (</w:t>
      </w:r>
      <w:proofErr w:type="spellStart"/>
      <w:r>
        <w:rPr>
          <w:bCs/>
        </w:rPr>
        <w:t>Cth</w:t>
      </w:r>
      <w:proofErr w:type="spellEnd"/>
      <w:r>
        <w:rPr>
          <w:bCs/>
        </w:rPr>
        <w:t xml:space="preserve">). In accordance with the Australian Consumer Law, which is Schedule 2 of the </w:t>
      </w:r>
      <w:r w:rsidRPr="00F16C5C">
        <w:rPr>
          <w:bCs/>
          <w:i/>
          <w:iCs/>
        </w:rPr>
        <w:t>Competition and Consumer Act 2010</w:t>
      </w:r>
      <w:r>
        <w:rPr>
          <w:bCs/>
        </w:rPr>
        <w:t xml:space="preserve"> (</w:t>
      </w:r>
      <w:proofErr w:type="spellStart"/>
      <w:r>
        <w:rPr>
          <w:bCs/>
        </w:rPr>
        <w:t>Cth</w:t>
      </w:r>
      <w:proofErr w:type="spellEnd"/>
      <w:r>
        <w:rPr>
          <w:bCs/>
        </w:rPr>
        <w:t xml:space="preserve">), the </w:t>
      </w:r>
      <w:r w:rsidR="001A5CA3" w:rsidRPr="001A5CA3">
        <w:rPr>
          <w:i/>
        </w:rPr>
        <w:t>Consumer Goods (Non refillable Helium Cylinders) Safety Standard 2022</w:t>
      </w:r>
      <w:r w:rsidR="001A5CA3">
        <w:rPr>
          <w:b/>
        </w:rPr>
        <w:t xml:space="preserve"> </w:t>
      </w:r>
      <w:r w:rsidR="001A5CA3">
        <w:rPr>
          <w:bCs/>
        </w:rPr>
        <w:t>is n</w:t>
      </w:r>
      <w:r w:rsidR="00216837">
        <w:rPr>
          <w:bCs/>
        </w:rPr>
        <w:t>ot subject to disallowa</w:t>
      </w:r>
      <w:r w:rsidR="00A914DC">
        <w:rPr>
          <w:bCs/>
        </w:rPr>
        <w:t>n</w:t>
      </w:r>
      <w:r w:rsidR="00216837">
        <w:rPr>
          <w:bCs/>
        </w:rPr>
        <w:t>ce</w:t>
      </w:r>
      <w:r w:rsidR="00A914DC">
        <w:rPr>
          <w:bCs/>
        </w:rPr>
        <w:t xml:space="preserve"> or sunsetting under the </w:t>
      </w:r>
      <w:r w:rsidR="00A914DC" w:rsidRPr="00F16C5C">
        <w:rPr>
          <w:bCs/>
          <w:i/>
          <w:iCs/>
        </w:rPr>
        <w:t>Legislation Act 2003</w:t>
      </w:r>
      <w:r w:rsidR="00A914DC">
        <w:rPr>
          <w:bCs/>
        </w:rPr>
        <w:t xml:space="preserve"> (</w:t>
      </w:r>
      <w:proofErr w:type="spellStart"/>
      <w:r w:rsidR="00A914DC">
        <w:rPr>
          <w:bCs/>
        </w:rPr>
        <w:t>Cth</w:t>
      </w:r>
      <w:proofErr w:type="spellEnd"/>
      <w:r w:rsidR="00A914DC">
        <w:rPr>
          <w:bCs/>
        </w:rPr>
        <w:t>) on the grounds that the standard is part of an intergovernmental scheme and gives effect to agreements between the Commonwealth and each of the States, the Australian Capital Territory and the Northern Territory to create a single national consumer law for Australia, including a national product safety law.</w:t>
      </w:r>
    </w:p>
    <w:p w14:paraId="600701E2" w14:textId="047AA520" w:rsidR="00DC4F46" w:rsidRPr="00DC4F46" w:rsidRDefault="005A7012" w:rsidP="0091600C">
      <w:r>
        <w:t>The making of this legislative instrument is authorised under the Australian Consumer Law</w:t>
      </w:r>
      <w:r w:rsidR="00D73508">
        <w:t>.</w:t>
      </w:r>
      <w:r w:rsidR="0091600C">
        <w:t xml:space="preserve"> </w:t>
      </w:r>
      <w:r>
        <w:t xml:space="preserve">It is consistent with the purpose of s 44(1) in the </w:t>
      </w:r>
      <w:r w:rsidRPr="005A7012">
        <w:rPr>
          <w:i/>
          <w:iCs/>
        </w:rPr>
        <w:t xml:space="preserve">Legislation Act 2003 </w:t>
      </w:r>
      <w:r>
        <w:t>(</w:t>
      </w:r>
      <w:proofErr w:type="spellStart"/>
      <w:r>
        <w:t>Cth</w:t>
      </w:r>
      <w:proofErr w:type="spellEnd"/>
      <w:r>
        <w:t xml:space="preserve">) that an instrument giving effect to a multilateral scheme is not subject to unilateral disallowance. To make it so would frustrate the importance of uniform product safety standards in reducing the supply of unsafe goods and related services for Australian consumers, which is a key </w:t>
      </w:r>
      <w:r>
        <w:lastRenderedPageBreak/>
        <w:t xml:space="preserve">part of the Australian Consumer Law as an intergovernmental scheme involving the Commonwealth and the States and Territories. </w:t>
      </w:r>
    </w:p>
    <w:p w14:paraId="0014492D" w14:textId="7B2F48C1" w:rsidR="00DA148C" w:rsidRPr="0003601C" w:rsidRDefault="00DA148C" w:rsidP="00C0654D">
      <w:pPr>
        <w:keepNext/>
        <w:spacing w:after="120"/>
        <w:rPr>
          <w:b/>
        </w:rPr>
      </w:pPr>
      <w:r w:rsidRPr="0003601C">
        <w:rPr>
          <w:b/>
        </w:rPr>
        <w:t>Commencement</w:t>
      </w:r>
    </w:p>
    <w:p w14:paraId="32533DCD" w14:textId="1E12681D" w:rsidR="000302E8" w:rsidRPr="0003601C" w:rsidRDefault="00DA148C" w:rsidP="00DA148C">
      <w:pPr>
        <w:spacing w:after="120"/>
        <w:rPr>
          <w:lang w:val="en"/>
        </w:rPr>
      </w:pPr>
      <w:r w:rsidRPr="0003601C">
        <w:rPr>
          <w:lang w:val="en"/>
        </w:rPr>
        <w:t xml:space="preserve">This </w:t>
      </w:r>
      <w:r>
        <w:rPr>
          <w:lang w:val="en"/>
        </w:rPr>
        <w:t>l</w:t>
      </w:r>
      <w:r w:rsidRPr="0003601C">
        <w:rPr>
          <w:lang w:val="en"/>
        </w:rPr>
        <w:t xml:space="preserve">egislative </w:t>
      </w:r>
      <w:r>
        <w:rPr>
          <w:lang w:val="en"/>
        </w:rPr>
        <w:t>i</w:t>
      </w:r>
      <w:r w:rsidRPr="0003601C">
        <w:rPr>
          <w:lang w:val="en"/>
        </w:rPr>
        <w:t>nstrument commence</w:t>
      </w:r>
      <w:r>
        <w:rPr>
          <w:lang w:val="en"/>
        </w:rPr>
        <w:t>s</w:t>
      </w:r>
      <w:r w:rsidR="00B10C72">
        <w:rPr>
          <w:lang w:val="en"/>
        </w:rPr>
        <w:t xml:space="preserve"> </w:t>
      </w:r>
      <w:r w:rsidR="00A17E9B">
        <w:rPr>
          <w:lang w:val="en"/>
        </w:rPr>
        <w:t>3 months</w:t>
      </w:r>
      <w:r w:rsidR="00101E9E">
        <w:rPr>
          <w:lang w:val="en"/>
        </w:rPr>
        <w:t xml:space="preserve"> </w:t>
      </w:r>
      <w:r w:rsidRPr="0003601C">
        <w:rPr>
          <w:lang w:val="en"/>
        </w:rPr>
        <w:t xml:space="preserve">after it is registered on the </w:t>
      </w:r>
      <w:r>
        <w:rPr>
          <w:lang w:val="en"/>
        </w:rPr>
        <w:t>Federal Register of Legislation.</w:t>
      </w:r>
    </w:p>
    <w:p w14:paraId="553969CC" w14:textId="7B5973B4" w:rsidR="00DA148C" w:rsidRPr="005A1DA5" w:rsidRDefault="00DA148C" w:rsidP="00C0654D">
      <w:pPr>
        <w:keepNext/>
        <w:spacing w:after="120"/>
        <w:rPr>
          <w:b/>
        </w:rPr>
      </w:pPr>
      <w:r w:rsidRPr="005A1DA5">
        <w:rPr>
          <w:b/>
        </w:rPr>
        <w:t>Sunsetting</w:t>
      </w:r>
    </w:p>
    <w:p w14:paraId="169CA75B" w14:textId="698057BE" w:rsidR="00DA148C" w:rsidRDefault="00DA148C" w:rsidP="00DA148C">
      <w:pPr>
        <w:spacing w:after="120"/>
      </w:pPr>
      <w:r w:rsidRPr="00193244">
        <w:rPr>
          <w:lang w:val="en"/>
        </w:rPr>
        <w:t>Th</w:t>
      </w:r>
      <w:r>
        <w:rPr>
          <w:lang w:val="en"/>
        </w:rPr>
        <w:t>is</w:t>
      </w:r>
      <w:r w:rsidRPr="00193244">
        <w:rPr>
          <w:lang w:val="en"/>
        </w:rPr>
        <w:t xml:space="preserve"> legislative instrument is not subject to sunsetting due to section 54 of the</w:t>
      </w:r>
      <w:r w:rsidRPr="00193244">
        <w:rPr>
          <w:i/>
          <w:iCs/>
          <w:lang w:val="en"/>
        </w:rPr>
        <w:t xml:space="preserve"> Legislation Act 2003</w:t>
      </w:r>
      <w:r w:rsidR="00E15E71">
        <w:rPr>
          <w:i/>
          <w:iCs/>
          <w:lang w:val="en"/>
        </w:rPr>
        <w:t xml:space="preserve"> </w:t>
      </w:r>
      <w:r w:rsidR="00E15E71" w:rsidRPr="00E15E71">
        <w:rPr>
          <w:iCs/>
          <w:lang w:val="en"/>
        </w:rPr>
        <w:t>(</w:t>
      </w:r>
      <w:proofErr w:type="spellStart"/>
      <w:r w:rsidR="00E15E71" w:rsidRPr="00E15E71">
        <w:rPr>
          <w:iCs/>
          <w:lang w:val="en"/>
        </w:rPr>
        <w:t>Cth</w:t>
      </w:r>
      <w:proofErr w:type="spellEnd"/>
      <w:r w:rsidR="00E15E71" w:rsidRPr="00E15E71">
        <w:rPr>
          <w:iCs/>
          <w:lang w:val="en"/>
        </w:rPr>
        <w:t>)</w:t>
      </w:r>
      <w:r w:rsidRPr="00E15E71">
        <w:rPr>
          <w:iCs/>
          <w:lang w:val="en"/>
        </w:rPr>
        <w:t>.</w:t>
      </w:r>
    </w:p>
    <w:p w14:paraId="12CD0549" w14:textId="019A975E" w:rsidR="00DA148C" w:rsidRDefault="00DA148C" w:rsidP="00C0654D">
      <w:pPr>
        <w:keepNext/>
        <w:spacing w:after="120"/>
        <w:rPr>
          <w:rFonts w:cs="Arial"/>
          <w:b/>
        </w:rPr>
      </w:pPr>
      <w:r>
        <w:rPr>
          <w:rFonts w:cs="Arial"/>
          <w:b/>
        </w:rPr>
        <w:t>Regulation impact assessment</w:t>
      </w:r>
      <w:r w:rsidR="00027802">
        <w:rPr>
          <w:rFonts w:cs="Arial"/>
          <w:b/>
        </w:rPr>
        <w:t>.</w:t>
      </w:r>
    </w:p>
    <w:p w14:paraId="2F513837" w14:textId="658D1022" w:rsidR="00C537BA" w:rsidRPr="00BE6B7A" w:rsidRDefault="00027802" w:rsidP="00DA148C">
      <w:pPr>
        <w:spacing w:after="120"/>
        <w:rPr>
          <w:rFonts w:cs="Arial"/>
          <w:color w:val="000000"/>
          <w:shd w:val="clear" w:color="auto" w:fill="FFFFFF"/>
        </w:rPr>
      </w:pPr>
      <w:r>
        <w:rPr>
          <w:rFonts w:cs="Arial"/>
          <w:color w:val="000000"/>
          <w:shd w:val="clear" w:color="auto" w:fill="FFFFFF"/>
        </w:rPr>
        <w:t>A</w:t>
      </w:r>
      <w:r w:rsidR="00C537BA" w:rsidRPr="00B96F14">
        <w:rPr>
          <w:rFonts w:cs="Arial"/>
          <w:color w:val="000000"/>
          <w:shd w:val="clear" w:color="auto" w:fill="FFFFFF"/>
        </w:rPr>
        <w:t xml:space="preserve"> Regulation Impact Assessment has been undertaken</w:t>
      </w:r>
      <w:r>
        <w:rPr>
          <w:rFonts w:cs="Arial"/>
          <w:color w:val="000000"/>
          <w:shd w:val="clear" w:color="auto" w:fill="FFFFFF"/>
        </w:rPr>
        <w:t xml:space="preserve"> by the</w:t>
      </w:r>
      <w:r w:rsidR="00C537BA" w:rsidRPr="00B96F14">
        <w:rPr>
          <w:rFonts w:cs="Arial"/>
          <w:color w:val="000000"/>
          <w:shd w:val="clear" w:color="auto" w:fill="FFFFFF"/>
        </w:rPr>
        <w:t xml:space="preserve"> Office of Best Practice Regulation </w:t>
      </w:r>
      <w:r>
        <w:rPr>
          <w:rFonts w:cs="Arial"/>
          <w:color w:val="000000"/>
          <w:shd w:val="clear" w:color="auto" w:fill="FFFFFF"/>
        </w:rPr>
        <w:t>(</w:t>
      </w:r>
      <w:r w:rsidR="00C537BA" w:rsidRPr="00B96F14">
        <w:rPr>
          <w:rFonts w:cs="Arial"/>
          <w:color w:val="000000"/>
          <w:shd w:val="clear" w:color="auto" w:fill="FFFFFF"/>
        </w:rPr>
        <w:t xml:space="preserve">Ref </w:t>
      </w:r>
      <w:r w:rsidRPr="00027802">
        <w:rPr>
          <w:rFonts w:cs="Arial"/>
          <w:color w:val="000000"/>
          <w:shd w:val="clear" w:color="auto" w:fill="FFFFFF"/>
        </w:rPr>
        <w:t>22-01864</w:t>
      </w:r>
      <w:r>
        <w:rPr>
          <w:rFonts w:cs="Arial"/>
          <w:color w:val="000000"/>
          <w:shd w:val="clear" w:color="auto" w:fill="FFFFFF"/>
        </w:rPr>
        <w:t>).</w:t>
      </w:r>
      <w:r w:rsidR="00C537BA">
        <w:rPr>
          <w:rFonts w:cs="Arial"/>
          <w:color w:val="000000"/>
          <w:shd w:val="clear" w:color="auto" w:fill="FFFFFF"/>
        </w:rPr>
        <w:t xml:space="preserve"> </w:t>
      </w:r>
    </w:p>
    <w:sectPr w:rsidR="00C537BA" w:rsidRPr="00BE6B7A" w:rsidSect="00B62438">
      <w:footerReference w:type="default" r:id="rId9"/>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5C57" w14:textId="77777777" w:rsidR="00DA148C" w:rsidRDefault="00DA148C" w:rsidP="004B4412">
      <w:pPr>
        <w:spacing w:before="0"/>
      </w:pPr>
      <w:r>
        <w:separator/>
      </w:r>
    </w:p>
  </w:endnote>
  <w:endnote w:type="continuationSeparator" w:id="0">
    <w:p w14:paraId="68A90903" w14:textId="77777777" w:rsidR="00DA148C" w:rsidRDefault="00DA148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67610"/>
      <w:docPartObj>
        <w:docPartGallery w:val="Page Numbers (Bottom of Page)"/>
        <w:docPartUnique/>
      </w:docPartObj>
    </w:sdtPr>
    <w:sdtEndPr>
      <w:rPr>
        <w:noProof/>
      </w:rPr>
    </w:sdtEndPr>
    <w:sdtContent>
      <w:p w14:paraId="2B816503" w14:textId="6E6E9F11" w:rsidR="009A63A8" w:rsidRDefault="009A63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314F5" w14:textId="77777777" w:rsidR="009A63A8" w:rsidRDefault="009A6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3398" w14:textId="77777777" w:rsidR="00691616" w:rsidRDefault="00691616">
    <w:pPr>
      <w:pStyle w:val="Footer"/>
    </w:pPr>
  </w:p>
  <w:p w14:paraId="4BD8157A"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0E29" w14:textId="77777777" w:rsidR="00DA148C" w:rsidRDefault="00DA148C" w:rsidP="004B4412">
      <w:pPr>
        <w:spacing w:before="0"/>
      </w:pPr>
      <w:r>
        <w:separator/>
      </w:r>
    </w:p>
  </w:footnote>
  <w:footnote w:type="continuationSeparator" w:id="0">
    <w:p w14:paraId="06CA5ACE" w14:textId="77777777" w:rsidR="00DA148C" w:rsidRDefault="00DA148C"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75277F3"/>
    <w:multiLevelType w:val="hybridMultilevel"/>
    <w:tmpl w:val="CB3C4AA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516ACA"/>
    <w:multiLevelType w:val="hybridMultilevel"/>
    <w:tmpl w:val="40F41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9231530"/>
    <w:multiLevelType w:val="hybridMultilevel"/>
    <w:tmpl w:val="D130B444"/>
    <w:lvl w:ilvl="0" w:tplc="3BA0D8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15:restartNumberingAfterBreak="0">
    <w:nsid w:val="23BD4D42"/>
    <w:multiLevelType w:val="hybridMultilevel"/>
    <w:tmpl w:val="626C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7600C"/>
    <w:multiLevelType w:val="hybridMultilevel"/>
    <w:tmpl w:val="E1646A08"/>
    <w:lvl w:ilvl="0" w:tplc="FE4676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04E524B"/>
    <w:multiLevelType w:val="hybridMultilevel"/>
    <w:tmpl w:val="ACF83E4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9" w15:restartNumberingAfterBreak="0">
    <w:nsid w:val="337A7C5A"/>
    <w:multiLevelType w:val="hybridMultilevel"/>
    <w:tmpl w:val="9628060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0"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364404BD"/>
    <w:multiLevelType w:val="hybridMultilevel"/>
    <w:tmpl w:val="00C84FE4"/>
    <w:lvl w:ilvl="0" w:tplc="8C5C48C6">
      <w:start w:val="1"/>
      <w:numFmt w:val="bullet"/>
      <w:lvlText w:val=""/>
      <w:lvlJc w:val="left"/>
      <w:pPr>
        <w:ind w:left="70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15:restartNumberingAfterBreak="0">
    <w:nsid w:val="468A5C55"/>
    <w:multiLevelType w:val="hybridMultilevel"/>
    <w:tmpl w:val="FBF69B8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6"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15:restartNumberingAfterBreak="0">
    <w:nsid w:val="69F812D1"/>
    <w:multiLevelType w:val="hybridMultilevel"/>
    <w:tmpl w:val="0B808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7F38EA"/>
    <w:multiLevelType w:val="hybridMultilevel"/>
    <w:tmpl w:val="52B66BD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3" w15:restartNumberingAfterBreak="0">
    <w:nsid w:val="6F043B8E"/>
    <w:multiLevelType w:val="hybridMultilevel"/>
    <w:tmpl w:val="DB6E9E0E"/>
    <w:lvl w:ilvl="0" w:tplc="FE4676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0"/>
  </w:num>
  <w:num w:numId="10">
    <w:abstractNumId w:val="23"/>
  </w:num>
  <w:num w:numId="11">
    <w:abstractNumId w:val="10"/>
  </w:num>
  <w:num w:numId="12">
    <w:abstractNumId w:val="15"/>
  </w:num>
  <w:num w:numId="13">
    <w:abstractNumId w:val="22"/>
  </w:num>
  <w:num w:numId="14">
    <w:abstractNumId w:val="2"/>
  </w:num>
  <w:num w:numId="15">
    <w:abstractNumId w:val="34"/>
  </w:num>
  <w:num w:numId="16">
    <w:abstractNumId w:val="37"/>
  </w:num>
  <w:num w:numId="17">
    <w:abstractNumId w:val="36"/>
  </w:num>
  <w:num w:numId="18">
    <w:abstractNumId w:val="27"/>
  </w:num>
  <w:num w:numId="19">
    <w:abstractNumId w:val="20"/>
  </w:num>
  <w:num w:numId="20">
    <w:abstractNumId w:val="24"/>
  </w:num>
  <w:num w:numId="21">
    <w:abstractNumId w:val="35"/>
  </w:num>
  <w:num w:numId="22">
    <w:abstractNumId w:val="28"/>
  </w:num>
  <w:num w:numId="23">
    <w:abstractNumId w:val="8"/>
  </w:num>
  <w:num w:numId="24">
    <w:abstractNumId w:val="3"/>
  </w:num>
  <w:num w:numId="25">
    <w:abstractNumId w:val="26"/>
  </w:num>
  <w:num w:numId="26">
    <w:abstractNumId w:val="13"/>
  </w:num>
  <w:num w:numId="27">
    <w:abstractNumId w:val="29"/>
  </w:num>
  <w:num w:numId="28">
    <w:abstractNumId w:val="31"/>
  </w:num>
  <w:num w:numId="29">
    <w:abstractNumId w:val="9"/>
  </w:num>
  <w:num w:numId="30">
    <w:abstractNumId w:val="25"/>
  </w:num>
  <w:num w:numId="31">
    <w:abstractNumId w:val="19"/>
  </w:num>
  <w:num w:numId="32">
    <w:abstractNumId w:val="32"/>
  </w:num>
  <w:num w:numId="33">
    <w:abstractNumId w:val="1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6"/>
  </w:num>
  <w:num w:numId="37">
    <w:abstractNumId w:val="11"/>
  </w:num>
  <w:num w:numId="38">
    <w:abstractNumId w:val="17"/>
  </w:num>
  <w:num w:numId="39">
    <w:abstractNumId w:val="14"/>
  </w:num>
  <w:num w:numId="40">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omesharecl\HomeDrives\dsmit\Desktop\Normal.dotm"/>
  </w:docVars>
  <w:rsids>
    <w:rsidRoot w:val="00DA148C"/>
    <w:rsid w:val="00007A41"/>
    <w:rsid w:val="0002115F"/>
    <w:rsid w:val="00021202"/>
    <w:rsid w:val="000225C4"/>
    <w:rsid w:val="0002508C"/>
    <w:rsid w:val="00027802"/>
    <w:rsid w:val="000302E8"/>
    <w:rsid w:val="0003578C"/>
    <w:rsid w:val="000550A0"/>
    <w:rsid w:val="00063247"/>
    <w:rsid w:val="00070F9F"/>
    <w:rsid w:val="0007137B"/>
    <w:rsid w:val="000759CD"/>
    <w:rsid w:val="00085663"/>
    <w:rsid w:val="00085EBF"/>
    <w:rsid w:val="00091EE4"/>
    <w:rsid w:val="000931D6"/>
    <w:rsid w:val="000A796B"/>
    <w:rsid w:val="000B5D48"/>
    <w:rsid w:val="000D11E3"/>
    <w:rsid w:val="000D122C"/>
    <w:rsid w:val="000D3B4A"/>
    <w:rsid w:val="000E1819"/>
    <w:rsid w:val="000E4720"/>
    <w:rsid w:val="000E6C72"/>
    <w:rsid w:val="000F2368"/>
    <w:rsid w:val="000F4EDF"/>
    <w:rsid w:val="00101E9E"/>
    <w:rsid w:val="00102EFA"/>
    <w:rsid w:val="00103071"/>
    <w:rsid w:val="00110689"/>
    <w:rsid w:val="00114583"/>
    <w:rsid w:val="00116EB2"/>
    <w:rsid w:val="00124609"/>
    <w:rsid w:val="00137226"/>
    <w:rsid w:val="00140DA7"/>
    <w:rsid w:val="00142881"/>
    <w:rsid w:val="0014311D"/>
    <w:rsid w:val="001566F9"/>
    <w:rsid w:val="001573E4"/>
    <w:rsid w:val="00160756"/>
    <w:rsid w:val="00160BB6"/>
    <w:rsid w:val="00163CEC"/>
    <w:rsid w:val="001647ED"/>
    <w:rsid w:val="001649FA"/>
    <w:rsid w:val="0017232E"/>
    <w:rsid w:val="00174102"/>
    <w:rsid w:val="00180157"/>
    <w:rsid w:val="00181223"/>
    <w:rsid w:val="00186F77"/>
    <w:rsid w:val="001878AB"/>
    <w:rsid w:val="001926A4"/>
    <w:rsid w:val="00195CD7"/>
    <w:rsid w:val="00195E0C"/>
    <w:rsid w:val="001A1F54"/>
    <w:rsid w:val="001A3A19"/>
    <w:rsid w:val="001A5CA3"/>
    <w:rsid w:val="001B246B"/>
    <w:rsid w:val="001B45A0"/>
    <w:rsid w:val="001B7FEA"/>
    <w:rsid w:val="001C18EE"/>
    <w:rsid w:val="001C1F34"/>
    <w:rsid w:val="001C21E0"/>
    <w:rsid w:val="001C42BC"/>
    <w:rsid w:val="001D055E"/>
    <w:rsid w:val="001D1A23"/>
    <w:rsid w:val="001D3DD9"/>
    <w:rsid w:val="001F3064"/>
    <w:rsid w:val="001F492E"/>
    <w:rsid w:val="001F61C9"/>
    <w:rsid w:val="001F6DA3"/>
    <w:rsid w:val="00203709"/>
    <w:rsid w:val="002103F4"/>
    <w:rsid w:val="00212737"/>
    <w:rsid w:val="002161E5"/>
    <w:rsid w:val="00216837"/>
    <w:rsid w:val="00220D70"/>
    <w:rsid w:val="002235CF"/>
    <w:rsid w:val="00223A13"/>
    <w:rsid w:val="00223C2C"/>
    <w:rsid w:val="00224DB9"/>
    <w:rsid w:val="00233BC3"/>
    <w:rsid w:val="002342D2"/>
    <w:rsid w:val="0024542C"/>
    <w:rsid w:val="00251745"/>
    <w:rsid w:val="0026168F"/>
    <w:rsid w:val="00263AC0"/>
    <w:rsid w:val="0026772D"/>
    <w:rsid w:val="002859E1"/>
    <w:rsid w:val="00286874"/>
    <w:rsid w:val="00296B65"/>
    <w:rsid w:val="00297DC9"/>
    <w:rsid w:val="002A11EB"/>
    <w:rsid w:val="002A4CC0"/>
    <w:rsid w:val="002A725E"/>
    <w:rsid w:val="002A7DEF"/>
    <w:rsid w:val="002B1596"/>
    <w:rsid w:val="002E1729"/>
    <w:rsid w:val="002E2F99"/>
    <w:rsid w:val="002E3B40"/>
    <w:rsid w:val="002E4614"/>
    <w:rsid w:val="002F6373"/>
    <w:rsid w:val="002F7986"/>
    <w:rsid w:val="00303C4A"/>
    <w:rsid w:val="00307F6D"/>
    <w:rsid w:val="00316C41"/>
    <w:rsid w:val="003177A2"/>
    <w:rsid w:val="00324AC2"/>
    <w:rsid w:val="003271B5"/>
    <w:rsid w:val="003301BA"/>
    <w:rsid w:val="00330CA0"/>
    <w:rsid w:val="00331264"/>
    <w:rsid w:val="00334C8D"/>
    <w:rsid w:val="00340655"/>
    <w:rsid w:val="003459E6"/>
    <w:rsid w:val="003518B3"/>
    <w:rsid w:val="003617F8"/>
    <w:rsid w:val="00363C94"/>
    <w:rsid w:val="00370A79"/>
    <w:rsid w:val="00371641"/>
    <w:rsid w:val="00371C8E"/>
    <w:rsid w:val="003846F1"/>
    <w:rsid w:val="00386D03"/>
    <w:rsid w:val="00391C4A"/>
    <w:rsid w:val="00394ACD"/>
    <w:rsid w:val="003967F3"/>
    <w:rsid w:val="003A673F"/>
    <w:rsid w:val="003B5A70"/>
    <w:rsid w:val="003C4D60"/>
    <w:rsid w:val="003D3654"/>
    <w:rsid w:val="003E5285"/>
    <w:rsid w:val="003F0BB6"/>
    <w:rsid w:val="003F5FD3"/>
    <w:rsid w:val="00414C04"/>
    <w:rsid w:val="0041638D"/>
    <w:rsid w:val="00425D9C"/>
    <w:rsid w:val="00437F8A"/>
    <w:rsid w:val="00443DC6"/>
    <w:rsid w:val="004446FC"/>
    <w:rsid w:val="00454B6A"/>
    <w:rsid w:val="00454DFE"/>
    <w:rsid w:val="00462462"/>
    <w:rsid w:val="00465345"/>
    <w:rsid w:val="00465AA8"/>
    <w:rsid w:val="0047414C"/>
    <w:rsid w:val="00475DDE"/>
    <w:rsid w:val="00480B4B"/>
    <w:rsid w:val="00482440"/>
    <w:rsid w:val="0048585B"/>
    <w:rsid w:val="00485DC4"/>
    <w:rsid w:val="004A4DC3"/>
    <w:rsid w:val="004A78AA"/>
    <w:rsid w:val="004B4412"/>
    <w:rsid w:val="004B7EE6"/>
    <w:rsid w:val="004C348C"/>
    <w:rsid w:val="004D1733"/>
    <w:rsid w:val="004D55BA"/>
    <w:rsid w:val="004F3640"/>
    <w:rsid w:val="005038DB"/>
    <w:rsid w:val="00522278"/>
    <w:rsid w:val="0052379B"/>
    <w:rsid w:val="00530128"/>
    <w:rsid w:val="005315C1"/>
    <w:rsid w:val="00532467"/>
    <w:rsid w:val="0054488A"/>
    <w:rsid w:val="00547BA2"/>
    <w:rsid w:val="00547CCF"/>
    <w:rsid w:val="00564A4D"/>
    <w:rsid w:val="00571B35"/>
    <w:rsid w:val="00571C9F"/>
    <w:rsid w:val="00577A09"/>
    <w:rsid w:val="00580B78"/>
    <w:rsid w:val="00582987"/>
    <w:rsid w:val="00582BFB"/>
    <w:rsid w:val="00584D8F"/>
    <w:rsid w:val="0058584A"/>
    <w:rsid w:val="00587B33"/>
    <w:rsid w:val="00587D2A"/>
    <w:rsid w:val="00596D42"/>
    <w:rsid w:val="005A26FF"/>
    <w:rsid w:val="005A404D"/>
    <w:rsid w:val="005A4902"/>
    <w:rsid w:val="005A7012"/>
    <w:rsid w:val="005B1E3C"/>
    <w:rsid w:val="005B5858"/>
    <w:rsid w:val="005C18BE"/>
    <w:rsid w:val="005C24AC"/>
    <w:rsid w:val="005C26CC"/>
    <w:rsid w:val="005C4F9B"/>
    <w:rsid w:val="005E13D4"/>
    <w:rsid w:val="005E3FCE"/>
    <w:rsid w:val="005E6C0E"/>
    <w:rsid w:val="005F138D"/>
    <w:rsid w:val="005F37E4"/>
    <w:rsid w:val="005F4A4B"/>
    <w:rsid w:val="00615C6B"/>
    <w:rsid w:val="00632D6D"/>
    <w:rsid w:val="00642C3E"/>
    <w:rsid w:val="00644ABA"/>
    <w:rsid w:val="00646025"/>
    <w:rsid w:val="006540EF"/>
    <w:rsid w:val="00663DAD"/>
    <w:rsid w:val="00670CD6"/>
    <w:rsid w:val="00676679"/>
    <w:rsid w:val="00676920"/>
    <w:rsid w:val="0068122B"/>
    <w:rsid w:val="006870F9"/>
    <w:rsid w:val="00691616"/>
    <w:rsid w:val="00695125"/>
    <w:rsid w:val="006B4CF9"/>
    <w:rsid w:val="006B7AC8"/>
    <w:rsid w:val="006C4919"/>
    <w:rsid w:val="006C5F6C"/>
    <w:rsid w:val="006D550F"/>
    <w:rsid w:val="006D77F3"/>
    <w:rsid w:val="006E33EF"/>
    <w:rsid w:val="006E6785"/>
    <w:rsid w:val="006F692A"/>
    <w:rsid w:val="00701CAB"/>
    <w:rsid w:val="007070C2"/>
    <w:rsid w:val="00707563"/>
    <w:rsid w:val="0072348C"/>
    <w:rsid w:val="00724A37"/>
    <w:rsid w:val="00727400"/>
    <w:rsid w:val="007303C3"/>
    <w:rsid w:val="00743223"/>
    <w:rsid w:val="00746E01"/>
    <w:rsid w:val="007552D2"/>
    <w:rsid w:val="00763E5D"/>
    <w:rsid w:val="00767740"/>
    <w:rsid w:val="00775671"/>
    <w:rsid w:val="00777EE6"/>
    <w:rsid w:val="00782EEA"/>
    <w:rsid w:val="00783225"/>
    <w:rsid w:val="00786110"/>
    <w:rsid w:val="007972BA"/>
    <w:rsid w:val="007A11B6"/>
    <w:rsid w:val="007A69D3"/>
    <w:rsid w:val="007A6E87"/>
    <w:rsid w:val="007B0990"/>
    <w:rsid w:val="007B2C72"/>
    <w:rsid w:val="007C1C53"/>
    <w:rsid w:val="007D1AC0"/>
    <w:rsid w:val="007D71A3"/>
    <w:rsid w:val="007E26A9"/>
    <w:rsid w:val="007E3566"/>
    <w:rsid w:val="007E3708"/>
    <w:rsid w:val="007E40D3"/>
    <w:rsid w:val="007E4904"/>
    <w:rsid w:val="007E4CB5"/>
    <w:rsid w:val="007E4DBC"/>
    <w:rsid w:val="007F066B"/>
    <w:rsid w:val="007F2258"/>
    <w:rsid w:val="007F578E"/>
    <w:rsid w:val="008033C4"/>
    <w:rsid w:val="00806C88"/>
    <w:rsid w:val="0081034E"/>
    <w:rsid w:val="00813F58"/>
    <w:rsid w:val="00821872"/>
    <w:rsid w:val="008344F6"/>
    <w:rsid w:val="0083510F"/>
    <w:rsid w:val="008456A7"/>
    <w:rsid w:val="00851209"/>
    <w:rsid w:val="0088007E"/>
    <w:rsid w:val="00882D76"/>
    <w:rsid w:val="008837AC"/>
    <w:rsid w:val="008945B4"/>
    <w:rsid w:val="008A587D"/>
    <w:rsid w:val="008B3764"/>
    <w:rsid w:val="008C466B"/>
    <w:rsid w:val="008C5486"/>
    <w:rsid w:val="008D32C8"/>
    <w:rsid w:val="008E3932"/>
    <w:rsid w:val="008E7031"/>
    <w:rsid w:val="008F0F1A"/>
    <w:rsid w:val="008F4679"/>
    <w:rsid w:val="00903D52"/>
    <w:rsid w:val="009076ED"/>
    <w:rsid w:val="0091600C"/>
    <w:rsid w:val="00922C95"/>
    <w:rsid w:val="009233EE"/>
    <w:rsid w:val="00923893"/>
    <w:rsid w:val="0093685A"/>
    <w:rsid w:val="009472C3"/>
    <w:rsid w:val="009535C3"/>
    <w:rsid w:val="00961F6E"/>
    <w:rsid w:val="009661DE"/>
    <w:rsid w:val="00982CBA"/>
    <w:rsid w:val="009856B7"/>
    <w:rsid w:val="0098602B"/>
    <w:rsid w:val="00991B3B"/>
    <w:rsid w:val="009962BA"/>
    <w:rsid w:val="009A63A8"/>
    <w:rsid w:val="009B74B0"/>
    <w:rsid w:val="009D4414"/>
    <w:rsid w:val="009D443B"/>
    <w:rsid w:val="009D6B46"/>
    <w:rsid w:val="009D781E"/>
    <w:rsid w:val="009E0B36"/>
    <w:rsid w:val="009F4940"/>
    <w:rsid w:val="00A0075A"/>
    <w:rsid w:val="00A00D00"/>
    <w:rsid w:val="00A0248C"/>
    <w:rsid w:val="00A02F06"/>
    <w:rsid w:val="00A039CF"/>
    <w:rsid w:val="00A05561"/>
    <w:rsid w:val="00A072C5"/>
    <w:rsid w:val="00A151E0"/>
    <w:rsid w:val="00A1665B"/>
    <w:rsid w:val="00A17E9B"/>
    <w:rsid w:val="00A26937"/>
    <w:rsid w:val="00A323D9"/>
    <w:rsid w:val="00A4478A"/>
    <w:rsid w:val="00A44852"/>
    <w:rsid w:val="00A45F2E"/>
    <w:rsid w:val="00A57D04"/>
    <w:rsid w:val="00A60A26"/>
    <w:rsid w:val="00A61598"/>
    <w:rsid w:val="00A70E26"/>
    <w:rsid w:val="00A71669"/>
    <w:rsid w:val="00A84F46"/>
    <w:rsid w:val="00A871F4"/>
    <w:rsid w:val="00A914DC"/>
    <w:rsid w:val="00A919C0"/>
    <w:rsid w:val="00AA4D43"/>
    <w:rsid w:val="00AC1B2C"/>
    <w:rsid w:val="00AC26F0"/>
    <w:rsid w:val="00AC3264"/>
    <w:rsid w:val="00AC3C63"/>
    <w:rsid w:val="00AC3E35"/>
    <w:rsid w:val="00AC6F01"/>
    <w:rsid w:val="00AD008C"/>
    <w:rsid w:val="00AD046D"/>
    <w:rsid w:val="00AD593C"/>
    <w:rsid w:val="00AE0FE2"/>
    <w:rsid w:val="00AE1685"/>
    <w:rsid w:val="00AE1BF1"/>
    <w:rsid w:val="00AF0DD2"/>
    <w:rsid w:val="00AF7322"/>
    <w:rsid w:val="00B00B54"/>
    <w:rsid w:val="00B05C4F"/>
    <w:rsid w:val="00B06F5C"/>
    <w:rsid w:val="00B10314"/>
    <w:rsid w:val="00B10C72"/>
    <w:rsid w:val="00B13048"/>
    <w:rsid w:val="00B15998"/>
    <w:rsid w:val="00B1716D"/>
    <w:rsid w:val="00B17A1D"/>
    <w:rsid w:val="00B200F9"/>
    <w:rsid w:val="00B207A0"/>
    <w:rsid w:val="00B25608"/>
    <w:rsid w:val="00B34F59"/>
    <w:rsid w:val="00B568F0"/>
    <w:rsid w:val="00B56E03"/>
    <w:rsid w:val="00B60F5D"/>
    <w:rsid w:val="00B62438"/>
    <w:rsid w:val="00B64E70"/>
    <w:rsid w:val="00B64FB0"/>
    <w:rsid w:val="00B65F00"/>
    <w:rsid w:val="00B66D9D"/>
    <w:rsid w:val="00B67509"/>
    <w:rsid w:val="00B67E91"/>
    <w:rsid w:val="00B8080B"/>
    <w:rsid w:val="00B809B4"/>
    <w:rsid w:val="00B87C39"/>
    <w:rsid w:val="00B90C07"/>
    <w:rsid w:val="00B94CBF"/>
    <w:rsid w:val="00B96F14"/>
    <w:rsid w:val="00B979C9"/>
    <w:rsid w:val="00BA4665"/>
    <w:rsid w:val="00BB2FB2"/>
    <w:rsid w:val="00BB3304"/>
    <w:rsid w:val="00BB6271"/>
    <w:rsid w:val="00BD108D"/>
    <w:rsid w:val="00BD3446"/>
    <w:rsid w:val="00BE0328"/>
    <w:rsid w:val="00BE1F1B"/>
    <w:rsid w:val="00BE47B5"/>
    <w:rsid w:val="00BE4C99"/>
    <w:rsid w:val="00BE6B7A"/>
    <w:rsid w:val="00BF27CA"/>
    <w:rsid w:val="00BF4757"/>
    <w:rsid w:val="00C058AB"/>
    <w:rsid w:val="00C0654D"/>
    <w:rsid w:val="00C06739"/>
    <w:rsid w:val="00C07A63"/>
    <w:rsid w:val="00C21603"/>
    <w:rsid w:val="00C305D5"/>
    <w:rsid w:val="00C32A8B"/>
    <w:rsid w:val="00C335E0"/>
    <w:rsid w:val="00C36472"/>
    <w:rsid w:val="00C4603F"/>
    <w:rsid w:val="00C471F1"/>
    <w:rsid w:val="00C537BA"/>
    <w:rsid w:val="00C538A9"/>
    <w:rsid w:val="00C53B5A"/>
    <w:rsid w:val="00C54F5A"/>
    <w:rsid w:val="00C54F6F"/>
    <w:rsid w:val="00C71B13"/>
    <w:rsid w:val="00C755AD"/>
    <w:rsid w:val="00C7686A"/>
    <w:rsid w:val="00C84B84"/>
    <w:rsid w:val="00C8585C"/>
    <w:rsid w:val="00C86679"/>
    <w:rsid w:val="00C90F2A"/>
    <w:rsid w:val="00C94E4B"/>
    <w:rsid w:val="00C96239"/>
    <w:rsid w:val="00C96484"/>
    <w:rsid w:val="00CA2FE0"/>
    <w:rsid w:val="00CA6120"/>
    <w:rsid w:val="00CB1453"/>
    <w:rsid w:val="00CB1BD1"/>
    <w:rsid w:val="00CB666B"/>
    <w:rsid w:val="00CB762F"/>
    <w:rsid w:val="00CC6454"/>
    <w:rsid w:val="00CD35EB"/>
    <w:rsid w:val="00CD4063"/>
    <w:rsid w:val="00CE0125"/>
    <w:rsid w:val="00CE6CFB"/>
    <w:rsid w:val="00CF0312"/>
    <w:rsid w:val="00CF799E"/>
    <w:rsid w:val="00D0083B"/>
    <w:rsid w:val="00D01CF0"/>
    <w:rsid w:val="00D0442A"/>
    <w:rsid w:val="00D1253D"/>
    <w:rsid w:val="00D203E1"/>
    <w:rsid w:val="00D220F9"/>
    <w:rsid w:val="00D23723"/>
    <w:rsid w:val="00D27AB8"/>
    <w:rsid w:val="00D41B7C"/>
    <w:rsid w:val="00D46E28"/>
    <w:rsid w:val="00D521D5"/>
    <w:rsid w:val="00D5397C"/>
    <w:rsid w:val="00D544B8"/>
    <w:rsid w:val="00D57406"/>
    <w:rsid w:val="00D601B3"/>
    <w:rsid w:val="00D61388"/>
    <w:rsid w:val="00D61A54"/>
    <w:rsid w:val="00D629B1"/>
    <w:rsid w:val="00D6480F"/>
    <w:rsid w:val="00D64DEA"/>
    <w:rsid w:val="00D70433"/>
    <w:rsid w:val="00D71858"/>
    <w:rsid w:val="00D73508"/>
    <w:rsid w:val="00D746E8"/>
    <w:rsid w:val="00D80893"/>
    <w:rsid w:val="00D92CF1"/>
    <w:rsid w:val="00D92D38"/>
    <w:rsid w:val="00D950F5"/>
    <w:rsid w:val="00DA148C"/>
    <w:rsid w:val="00DB0F93"/>
    <w:rsid w:val="00DC3242"/>
    <w:rsid w:val="00DC4F46"/>
    <w:rsid w:val="00DC50E1"/>
    <w:rsid w:val="00DC542F"/>
    <w:rsid w:val="00DC7981"/>
    <w:rsid w:val="00DD3717"/>
    <w:rsid w:val="00DE315E"/>
    <w:rsid w:val="00DE4EFA"/>
    <w:rsid w:val="00DE5520"/>
    <w:rsid w:val="00DF1DD4"/>
    <w:rsid w:val="00DF29B4"/>
    <w:rsid w:val="00E0254E"/>
    <w:rsid w:val="00E04818"/>
    <w:rsid w:val="00E06442"/>
    <w:rsid w:val="00E15E71"/>
    <w:rsid w:val="00E23993"/>
    <w:rsid w:val="00E25B50"/>
    <w:rsid w:val="00E25B8C"/>
    <w:rsid w:val="00E27642"/>
    <w:rsid w:val="00E27693"/>
    <w:rsid w:val="00E4467E"/>
    <w:rsid w:val="00E4674F"/>
    <w:rsid w:val="00E537BF"/>
    <w:rsid w:val="00E542F0"/>
    <w:rsid w:val="00E6515E"/>
    <w:rsid w:val="00E65C85"/>
    <w:rsid w:val="00E66199"/>
    <w:rsid w:val="00E676DC"/>
    <w:rsid w:val="00E755EC"/>
    <w:rsid w:val="00E7624D"/>
    <w:rsid w:val="00E76847"/>
    <w:rsid w:val="00E83686"/>
    <w:rsid w:val="00E920E9"/>
    <w:rsid w:val="00E93030"/>
    <w:rsid w:val="00E96001"/>
    <w:rsid w:val="00EA209E"/>
    <w:rsid w:val="00EA3697"/>
    <w:rsid w:val="00EA3D42"/>
    <w:rsid w:val="00EA499D"/>
    <w:rsid w:val="00EA6B1B"/>
    <w:rsid w:val="00EB4209"/>
    <w:rsid w:val="00EC1627"/>
    <w:rsid w:val="00ED01ED"/>
    <w:rsid w:val="00ED700E"/>
    <w:rsid w:val="00EE0A9B"/>
    <w:rsid w:val="00EE28F3"/>
    <w:rsid w:val="00EF5110"/>
    <w:rsid w:val="00F041DE"/>
    <w:rsid w:val="00F07137"/>
    <w:rsid w:val="00F07A8C"/>
    <w:rsid w:val="00F119E5"/>
    <w:rsid w:val="00F1375E"/>
    <w:rsid w:val="00F15882"/>
    <w:rsid w:val="00F16C5C"/>
    <w:rsid w:val="00F20BD3"/>
    <w:rsid w:val="00F30DE1"/>
    <w:rsid w:val="00F3329A"/>
    <w:rsid w:val="00F373A5"/>
    <w:rsid w:val="00F47559"/>
    <w:rsid w:val="00F509A6"/>
    <w:rsid w:val="00F60BE4"/>
    <w:rsid w:val="00F61B84"/>
    <w:rsid w:val="00F64650"/>
    <w:rsid w:val="00F64C7B"/>
    <w:rsid w:val="00F65CD5"/>
    <w:rsid w:val="00F66BA5"/>
    <w:rsid w:val="00F676DD"/>
    <w:rsid w:val="00F707E1"/>
    <w:rsid w:val="00F75948"/>
    <w:rsid w:val="00F75A26"/>
    <w:rsid w:val="00F83FAD"/>
    <w:rsid w:val="00F91DC6"/>
    <w:rsid w:val="00F93017"/>
    <w:rsid w:val="00F952A0"/>
    <w:rsid w:val="00FA0569"/>
    <w:rsid w:val="00FA3C7F"/>
    <w:rsid w:val="00FA4E09"/>
    <w:rsid w:val="00FB52D7"/>
    <w:rsid w:val="00FB74E2"/>
    <w:rsid w:val="00FC400E"/>
    <w:rsid w:val="00FD5437"/>
    <w:rsid w:val="00FD5614"/>
    <w:rsid w:val="00FE0BE1"/>
    <w:rsid w:val="00FE1DE9"/>
    <w:rsid w:val="00FE39C2"/>
    <w:rsid w:val="00FE64AE"/>
    <w:rsid w:val="00FF2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6870"/>
  <w15:chartTrackingRefBased/>
  <w15:docId w15:val="{DFB507AF-AE70-42BE-842F-9379AD6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A3"/>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uiPriority w:val="9"/>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uiPriority w:val="9"/>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644ABA"/>
    <w:pPr>
      <w:autoSpaceDE w:val="0"/>
      <w:autoSpaceDN w:val="0"/>
      <w:adjustRightInd w:val="0"/>
      <w:spacing w:before="0"/>
    </w:pPr>
    <w:rPr>
      <w:rFonts w:ascii="Lucida Fax" w:hAnsi="Lucida Fax" w:cs="Lucida Fax"/>
      <w:color w:val="000000"/>
      <w:sz w:val="24"/>
      <w:szCs w:val="24"/>
    </w:rPr>
  </w:style>
  <w:style w:type="character" w:styleId="FollowedHyperlink">
    <w:name w:val="FollowedHyperlink"/>
    <w:basedOn w:val="DefaultParagraphFont"/>
    <w:uiPriority w:val="99"/>
    <w:semiHidden/>
    <w:unhideWhenUsed/>
    <w:rsid w:val="002161E5"/>
    <w:rPr>
      <w:color w:val="800080" w:themeColor="followedHyperlink"/>
      <w:u w:val="single"/>
    </w:rPr>
  </w:style>
  <w:style w:type="character" w:styleId="CommentReference">
    <w:name w:val="annotation reference"/>
    <w:basedOn w:val="DefaultParagraphFont"/>
    <w:uiPriority w:val="99"/>
    <w:semiHidden/>
    <w:unhideWhenUsed/>
    <w:rsid w:val="00465AA8"/>
    <w:rPr>
      <w:sz w:val="16"/>
      <w:szCs w:val="16"/>
    </w:rPr>
  </w:style>
  <w:style w:type="paragraph" w:styleId="CommentText">
    <w:name w:val="annotation text"/>
    <w:basedOn w:val="Normal"/>
    <w:link w:val="CommentTextChar"/>
    <w:uiPriority w:val="99"/>
    <w:semiHidden/>
    <w:unhideWhenUsed/>
    <w:rsid w:val="00465AA8"/>
    <w:rPr>
      <w:sz w:val="20"/>
      <w:szCs w:val="20"/>
    </w:rPr>
  </w:style>
  <w:style w:type="character" w:customStyle="1" w:styleId="CommentTextChar">
    <w:name w:val="Comment Text Char"/>
    <w:basedOn w:val="DefaultParagraphFont"/>
    <w:link w:val="CommentText"/>
    <w:uiPriority w:val="99"/>
    <w:semiHidden/>
    <w:rsid w:val="00465A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5AA8"/>
    <w:rPr>
      <w:b/>
      <w:bCs/>
    </w:rPr>
  </w:style>
  <w:style w:type="character" w:customStyle="1" w:styleId="CommentSubjectChar">
    <w:name w:val="Comment Subject Char"/>
    <w:basedOn w:val="CommentTextChar"/>
    <w:link w:val="CommentSubject"/>
    <w:uiPriority w:val="99"/>
    <w:semiHidden/>
    <w:rsid w:val="00465AA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6266978">
      <w:bodyDiv w:val="1"/>
      <w:marLeft w:val="0"/>
      <w:marRight w:val="0"/>
      <w:marTop w:val="0"/>
      <w:marBottom w:val="0"/>
      <w:divBdr>
        <w:top w:val="none" w:sz="0" w:space="0" w:color="auto"/>
        <w:left w:val="none" w:sz="0" w:space="0" w:color="auto"/>
        <w:bottom w:val="none" w:sz="0" w:space="0" w:color="auto"/>
        <w:right w:val="none" w:sz="0" w:space="0" w:color="auto"/>
      </w:divBdr>
    </w:div>
    <w:div w:id="1257254356">
      <w:bodyDiv w:val="1"/>
      <w:marLeft w:val="0"/>
      <w:marRight w:val="0"/>
      <w:marTop w:val="0"/>
      <w:marBottom w:val="0"/>
      <w:divBdr>
        <w:top w:val="none" w:sz="0" w:space="0" w:color="auto"/>
        <w:left w:val="none" w:sz="0" w:space="0" w:color="auto"/>
        <w:bottom w:val="none" w:sz="0" w:space="0" w:color="auto"/>
        <w:right w:val="none" w:sz="0" w:space="0" w:color="auto"/>
      </w:divBdr>
    </w:div>
    <w:div w:id="1343895175">
      <w:bodyDiv w:val="1"/>
      <w:marLeft w:val="0"/>
      <w:marRight w:val="0"/>
      <w:marTop w:val="0"/>
      <w:marBottom w:val="0"/>
      <w:divBdr>
        <w:top w:val="none" w:sz="0" w:space="0" w:color="auto"/>
        <w:left w:val="none" w:sz="0" w:space="0" w:color="auto"/>
        <w:bottom w:val="none" w:sz="0" w:space="0" w:color="auto"/>
        <w:right w:val="none" w:sz="0" w:space="0" w:color="auto"/>
      </w:divBdr>
    </w:div>
    <w:div w:id="1381636221">
      <w:bodyDiv w:val="1"/>
      <w:marLeft w:val="0"/>
      <w:marRight w:val="0"/>
      <w:marTop w:val="0"/>
      <w:marBottom w:val="0"/>
      <w:divBdr>
        <w:top w:val="none" w:sz="0" w:space="0" w:color="auto"/>
        <w:left w:val="none" w:sz="0" w:space="0" w:color="auto"/>
        <w:bottom w:val="none" w:sz="0" w:space="0" w:color="auto"/>
        <w:right w:val="none" w:sz="0" w:space="0" w:color="auto"/>
      </w:divBdr>
    </w:div>
    <w:div w:id="1854997997">
      <w:bodyDiv w:val="1"/>
      <w:marLeft w:val="0"/>
      <w:marRight w:val="0"/>
      <w:marTop w:val="0"/>
      <w:marBottom w:val="0"/>
      <w:divBdr>
        <w:top w:val="none" w:sz="0" w:space="0" w:color="auto"/>
        <w:left w:val="none" w:sz="0" w:space="0" w:color="auto"/>
        <w:bottom w:val="none" w:sz="0" w:space="0" w:color="auto"/>
        <w:right w:val="none" w:sz="0" w:space="0" w:color="auto"/>
      </w:divBdr>
    </w:div>
    <w:div w:id="1953779164">
      <w:bodyDiv w:val="1"/>
      <w:marLeft w:val="0"/>
      <w:marRight w:val="0"/>
      <w:marTop w:val="0"/>
      <w:marBottom w:val="0"/>
      <w:divBdr>
        <w:top w:val="none" w:sz="0" w:space="0" w:color="auto"/>
        <w:left w:val="none" w:sz="0" w:space="0" w:color="auto"/>
        <w:bottom w:val="none" w:sz="0" w:space="0" w:color="auto"/>
        <w:right w:val="none" w:sz="0" w:space="0" w:color="auto"/>
      </w:divBdr>
    </w:div>
    <w:div w:id="19801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11A73-B750-40D9-9A87-1CCF22EF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Ip Hee Wai, Maureen</dc:creator>
  <cp:keywords/>
  <dc:description/>
  <cp:lastModifiedBy>Ip Hee Wai, Maureen</cp:lastModifiedBy>
  <cp:revision>2</cp:revision>
  <cp:lastPrinted>2021-12-02T00:50:00Z</cp:lastPrinted>
  <dcterms:created xsi:type="dcterms:W3CDTF">2023-01-13T01:41:00Z</dcterms:created>
  <dcterms:modified xsi:type="dcterms:W3CDTF">2023-01-13T01:41:00Z</dcterms:modified>
</cp:coreProperties>
</file>