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BF6EC" w14:textId="77777777" w:rsidR="0064782E" w:rsidRPr="008D01AB" w:rsidRDefault="0064782E" w:rsidP="0064782E">
      <w:pPr>
        <w:jc w:val="center"/>
        <w:rPr>
          <w:rFonts w:ascii="Times New Roman" w:hAnsi="Times New Roman"/>
          <w:b/>
          <w:sz w:val="22"/>
          <w:szCs w:val="22"/>
          <w:u w:val="single"/>
        </w:rPr>
      </w:pPr>
      <w:r w:rsidRPr="008D01AB">
        <w:rPr>
          <w:rFonts w:ascii="Times New Roman" w:hAnsi="Times New Roman"/>
          <w:b/>
          <w:sz w:val="22"/>
          <w:szCs w:val="22"/>
          <w:u w:val="single"/>
        </w:rPr>
        <w:t>EXPLANATORY STATEMENT</w:t>
      </w:r>
    </w:p>
    <w:p w14:paraId="352C9F64" w14:textId="77777777" w:rsidR="0064782E" w:rsidRPr="009E270B" w:rsidRDefault="0064782E" w:rsidP="0064782E">
      <w:pPr>
        <w:rPr>
          <w:rFonts w:ascii="Times New Roman" w:hAnsi="Times New Roman"/>
          <w:bCs/>
          <w:sz w:val="22"/>
          <w:szCs w:val="22"/>
        </w:rPr>
      </w:pPr>
    </w:p>
    <w:p w14:paraId="0BEB8923" w14:textId="77777777" w:rsidR="0064782E" w:rsidRPr="008D01AB" w:rsidRDefault="0064782E" w:rsidP="0064782E">
      <w:pPr>
        <w:jc w:val="center"/>
        <w:rPr>
          <w:rFonts w:ascii="Times New Roman" w:hAnsi="Times New Roman"/>
          <w:sz w:val="22"/>
          <w:szCs w:val="22"/>
          <w:u w:val="single"/>
        </w:rPr>
      </w:pPr>
      <w:r w:rsidRPr="008D01AB">
        <w:rPr>
          <w:rFonts w:ascii="Times New Roman" w:hAnsi="Times New Roman"/>
          <w:i/>
          <w:sz w:val="22"/>
          <w:szCs w:val="22"/>
        </w:rPr>
        <w:t>Therapeutic Goods Act 1989</w:t>
      </w:r>
    </w:p>
    <w:p w14:paraId="65F8B3F7" w14:textId="77777777" w:rsidR="0064782E" w:rsidRPr="009E270B" w:rsidRDefault="0064782E" w:rsidP="0064782E">
      <w:pPr>
        <w:rPr>
          <w:rFonts w:ascii="Times New Roman" w:hAnsi="Times New Roman"/>
          <w:sz w:val="22"/>
          <w:szCs w:val="22"/>
        </w:rPr>
      </w:pPr>
    </w:p>
    <w:p w14:paraId="111D0A09" w14:textId="52D4F3C7" w:rsidR="0064782E" w:rsidRPr="008D01AB" w:rsidRDefault="0064782E" w:rsidP="0064782E">
      <w:pPr>
        <w:jc w:val="center"/>
        <w:rPr>
          <w:rFonts w:ascii="Times New Roman" w:hAnsi="Times New Roman"/>
          <w:i/>
          <w:sz w:val="22"/>
          <w:szCs w:val="22"/>
        </w:rPr>
      </w:pPr>
      <w:bookmarkStart w:id="0" w:name="_Hlk124926780"/>
      <w:r w:rsidRPr="008D01AB">
        <w:rPr>
          <w:rFonts w:ascii="Times New Roman" w:hAnsi="Times New Roman"/>
          <w:i/>
          <w:sz w:val="22"/>
          <w:szCs w:val="22"/>
        </w:rPr>
        <w:t>Therapeutic Goods (Permissible Ingredients—Information that Must Accompany Application for Variation) Determination 2023</w:t>
      </w:r>
      <w:bookmarkEnd w:id="0"/>
    </w:p>
    <w:p w14:paraId="4E98F741" w14:textId="569956E9" w:rsidR="0064782E" w:rsidRPr="009E270B" w:rsidRDefault="0064782E" w:rsidP="0064782E">
      <w:pPr>
        <w:jc w:val="center"/>
        <w:rPr>
          <w:rFonts w:ascii="Times New Roman" w:hAnsi="Times New Roman"/>
          <w:iCs/>
          <w:sz w:val="22"/>
          <w:szCs w:val="22"/>
        </w:rPr>
      </w:pPr>
    </w:p>
    <w:p w14:paraId="53A806FA" w14:textId="33DCA25C" w:rsidR="0064782E" w:rsidRPr="008D01AB" w:rsidRDefault="0064782E" w:rsidP="0064782E">
      <w:pPr>
        <w:rPr>
          <w:rFonts w:ascii="Times New Roman" w:hAnsi="Times New Roman"/>
          <w:iCs/>
          <w:sz w:val="22"/>
          <w:szCs w:val="22"/>
        </w:rPr>
      </w:pPr>
      <w:r w:rsidRPr="008D01AB">
        <w:rPr>
          <w:rFonts w:ascii="Times New Roman" w:hAnsi="Times New Roman"/>
          <w:iCs/>
          <w:sz w:val="22"/>
          <w:szCs w:val="22"/>
        </w:rPr>
        <w:t xml:space="preserve">The </w:t>
      </w:r>
      <w:r w:rsidRPr="008D01AB">
        <w:rPr>
          <w:rFonts w:ascii="Times New Roman" w:hAnsi="Times New Roman"/>
          <w:i/>
          <w:sz w:val="22"/>
          <w:szCs w:val="22"/>
        </w:rPr>
        <w:t xml:space="preserve">Therapeutic Goods Act 1989 </w:t>
      </w:r>
      <w:r w:rsidRPr="008D01AB">
        <w:rPr>
          <w:rFonts w:ascii="Times New Roman" w:hAnsi="Times New Roman"/>
          <w:iCs/>
          <w:sz w:val="22"/>
          <w:szCs w:val="22"/>
        </w:rPr>
        <w:t>(“the Act”) provides for the establishment and maintenance of a national system of controls for the quality, safety, efficacy, and timely availability of therapeutic goods that are used in, or exported from, Australia. The Act is administered by the Therapeutic Goods Administration (“the TGA”) within the Australian Government Department of Health and Aged Care</w:t>
      </w:r>
      <w:r w:rsidR="00ED63BC" w:rsidRPr="008D01AB">
        <w:rPr>
          <w:rFonts w:ascii="Times New Roman" w:hAnsi="Times New Roman"/>
          <w:iCs/>
          <w:sz w:val="22"/>
          <w:szCs w:val="22"/>
        </w:rPr>
        <w:t xml:space="preserve"> (“the Department”)</w:t>
      </w:r>
      <w:r w:rsidRPr="008D01AB">
        <w:rPr>
          <w:rFonts w:ascii="Times New Roman" w:hAnsi="Times New Roman"/>
          <w:iCs/>
          <w:sz w:val="22"/>
          <w:szCs w:val="22"/>
        </w:rPr>
        <w:t>.</w:t>
      </w:r>
    </w:p>
    <w:p w14:paraId="70716DBA" w14:textId="10386686" w:rsidR="0064782E" w:rsidRPr="008D01AB" w:rsidRDefault="0064782E" w:rsidP="0064782E">
      <w:pPr>
        <w:rPr>
          <w:rFonts w:ascii="Times New Roman" w:hAnsi="Times New Roman"/>
          <w:iCs/>
          <w:sz w:val="22"/>
          <w:szCs w:val="22"/>
        </w:rPr>
      </w:pPr>
    </w:p>
    <w:p w14:paraId="5EC1CC1D" w14:textId="28F7F3EF" w:rsidR="00020099" w:rsidRPr="008D01AB" w:rsidRDefault="00E750A8" w:rsidP="0064782E">
      <w:pPr>
        <w:rPr>
          <w:rFonts w:ascii="Times New Roman" w:hAnsi="Times New Roman"/>
          <w:iCs/>
          <w:sz w:val="22"/>
          <w:szCs w:val="22"/>
        </w:rPr>
      </w:pPr>
      <w:r w:rsidRPr="008D01AB">
        <w:rPr>
          <w:rFonts w:ascii="Times New Roman" w:hAnsi="Times New Roman"/>
          <w:iCs/>
          <w:sz w:val="22"/>
          <w:szCs w:val="22"/>
        </w:rPr>
        <w:t>Subs</w:t>
      </w:r>
      <w:r w:rsidR="00020099" w:rsidRPr="008D01AB">
        <w:rPr>
          <w:rFonts w:ascii="Times New Roman" w:hAnsi="Times New Roman"/>
          <w:iCs/>
          <w:sz w:val="22"/>
          <w:szCs w:val="22"/>
        </w:rPr>
        <w:t>ection 26BD</w:t>
      </w:r>
      <w:r w:rsidRPr="008D01AB">
        <w:rPr>
          <w:rFonts w:ascii="Times New Roman" w:hAnsi="Times New Roman"/>
          <w:iCs/>
          <w:sz w:val="22"/>
          <w:szCs w:val="22"/>
        </w:rPr>
        <w:t>(1)</w:t>
      </w:r>
      <w:r w:rsidR="00020099" w:rsidRPr="008D01AB">
        <w:rPr>
          <w:rFonts w:ascii="Times New Roman" w:hAnsi="Times New Roman"/>
          <w:iCs/>
          <w:sz w:val="22"/>
          <w:szCs w:val="22"/>
        </w:rPr>
        <w:t xml:space="preserve"> of the Act relevantly provides that a person may make an application to the Secretary for a recommendation by the Secretary that the Minister vary a determination made under section 26BB of the Act, </w:t>
      </w:r>
      <w:r w:rsidRPr="008D01AB">
        <w:rPr>
          <w:rFonts w:ascii="Times New Roman" w:hAnsi="Times New Roman"/>
          <w:iCs/>
          <w:sz w:val="22"/>
          <w:szCs w:val="22"/>
        </w:rPr>
        <w:t>which specifies permissible ingredients</w:t>
      </w:r>
      <w:r w:rsidR="00B250FD" w:rsidRPr="008D01AB">
        <w:rPr>
          <w:rFonts w:ascii="Times New Roman" w:hAnsi="Times New Roman"/>
          <w:iCs/>
          <w:sz w:val="22"/>
          <w:szCs w:val="22"/>
        </w:rPr>
        <w:t xml:space="preserve"> that may be included in listed medicines</w:t>
      </w:r>
      <w:r w:rsidRPr="008D01AB">
        <w:rPr>
          <w:rFonts w:ascii="Times New Roman" w:hAnsi="Times New Roman"/>
          <w:iCs/>
          <w:sz w:val="22"/>
          <w:szCs w:val="22"/>
        </w:rPr>
        <w:t xml:space="preserve">. </w:t>
      </w:r>
      <w:r w:rsidR="00EF2BC0">
        <w:rPr>
          <w:rFonts w:ascii="Times New Roman" w:hAnsi="Times New Roman"/>
          <w:iCs/>
          <w:sz w:val="22"/>
          <w:szCs w:val="22"/>
        </w:rPr>
        <w:t>Subs</w:t>
      </w:r>
      <w:r w:rsidRPr="008D01AB">
        <w:rPr>
          <w:rFonts w:ascii="Times New Roman" w:hAnsi="Times New Roman"/>
          <w:iCs/>
          <w:sz w:val="22"/>
          <w:szCs w:val="22"/>
        </w:rPr>
        <w:t xml:space="preserve">ection 26BD(3) sets out the requirements for such an application, including that the application must be accompanied by information that is of a kind determined under subsection </w:t>
      </w:r>
      <w:r w:rsidR="00F63B7D">
        <w:rPr>
          <w:rFonts w:ascii="Times New Roman" w:hAnsi="Times New Roman"/>
          <w:iCs/>
          <w:sz w:val="22"/>
          <w:szCs w:val="22"/>
        </w:rPr>
        <w:t>26BD</w:t>
      </w:r>
      <w:r w:rsidRPr="008D01AB">
        <w:rPr>
          <w:rFonts w:ascii="Times New Roman" w:hAnsi="Times New Roman"/>
          <w:iCs/>
          <w:sz w:val="22"/>
          <w:szCs w:val="22"/>
        </w:rPr>
        <w:t xml:space="preserve">(8) and in a form determined under subsection </w:t>
      </w:r>
      <w:r w:rsidR="00F63B7D">
        <w:rPr>
          <w:rFonts w:ascii="Times New Roman" w:hAnsi="Times New Roman"/>
          <w:iCs/>
          <w:sz w:val="22"/>
          <w:szCs w:val="22"/>
        </w:rPr>
        <w:t>26BD</w:t>
      </w:r>
      <w:r w:rsidRPr="008D01AB">
        <w:rPr>
          <w:rFonts w:ascii="Times New Roman" w:hAnsi="Times New Roman"/>
          <w:iCs/>
          <w:sz w:val="22"/>
          <w:szCs w:val="22"/>
        </w:rPr>
        <w:t>(9). Subsections 26BD(8) and (9) provide that the Secretary may, by legislative instrument, determine a kind of information and a form of information that must accompany such an application.</w:t>
      </w:r>
    </w:p>
    <w:p w14:paraId="016446FB" w14:textId="7F03C33A" w:rsidR="00E750A8" w:rsidRPr="008D01AB" w:rsidRDefault="00E750A8" w:rsidP="0064782E">
      <w:pPr>
        <w:rPr>
          <w:rFonts w:ascii="Times New Roman" w:hAnsi="Times New Roman"/>
          <w:iCs/>
          <w:sz w:val="22"/>
          <w:szCs w:val="22"/>
        </w:rPr>
      </w:pPr>
    </w:p>
    <w:p w14:paraId="617063FF" w14:textId="52B2F9AF" w:rsidR="00E750A8" w:rsidRPr="008D01AB" w:rsidRDefault="00E750A8" w:rsidP="00E750A8">
      <w:pPr>
        <w:rPr>
          <w:rFonts w:ascii="Times New Roman" w:hAnsi="Times New Roman"/>
          <w:iCs/>
          <w:sz w:val="22"/>
          <w:szCs w:val="22"/>
        </w:rPr>
      </w:pPr>
      <w:r w:rsidRPr="008D01AB">
        <w:rPr>
          <w:rFonts w:ascii="Times New Roman" w:hAnsi="Times New Roman"/>
          <w:iCs/>
          <w:sz w:val="22"/>
          <w:szCs w:val="22"/>
        </w:rPr>
        <w:t xml:space="preserve">The </w:t>
      </w:r>
      <w:r w:rsidRPr="008D01AB">
        <w:rPr>
          <w:rFonts w:ascii="Times New Roman" w:hAnsi="Times New Roman"/>
          <w:i/>
          <w:sz w:val="22"/>
          <w:szCs w:val="22"/>
        </w:rPr>
        <w:t xml:space="preserve">Therapeutic Goods (Permissible Ingredients—Information that Must Accompany Application for Variation) Determination 2023 </w:t>
      </w:r>
      <w:r w:rsidRPr="008D01AB">
        <w:rPr>
          <w:rFonts w:ascii="Times New Roman" w:hAnsi="Times New Roman"/>
          <w:iCs/>
          <w:sz w:val="22"/>
          <w:szCs w:val="22"/>
        </w:rPr>
        <w:t xml:space="preserve">(“the Determination”) is made under subsections 26BD(8) and (9) of the Act. The purpose of the Determination is to specify the kind of information that must accompany an application under section 26BD, for a recommendation by the Secretary that the Minister vary a determination made under section 26BB of the Act, as well as the form in which that information must be provided. </w:t>
      </w:r>
      <w:r w:rsidR="002E3422" w:rsidRPr="008D01AB">
        <w:rPr>
          <w:rFonts w:ascii="Times New Roman" w:hAnsi="Times New Roman"/>
          <w:iCs/>
          <w:sz w:val="22"/>
          <w:szCs w:val="22"/>
        </w:rPr>
        <w:t>The Determination provides clarity around the nature and level of information needed to support a potentially successful section 26BD application. In particular, the Determination provides clarity in relation to what the minimum requirements are for supporting information that must accompany new ingredient applications or applications to vary existing ingredient requirements</w:t>
      </w:r>
      <w:r w:rsidR="00DA6E69">
        <w:rPr>
          <w:rFonts w:ascii="Times New Roman" w:hAnsi="Times New Roman"/>
          <w:iCs/>
          <w:sz w:val="22"/>
          <w:szCs w:val="22"/>
        </w:rPr>
        <w:t>.</w:t>
      </w:r>
    </w:p>
    <w:p w14:paraId="4DAF2673" w14:textId="5362F081" w:rsidR="00020099" w:rsidRPr="008D01AB" w:rsidRDefault="00020099" w:rsidP="0064782E">
      <w:pPr>
        <w:rPr>
          <w:rFonts w:ascii="Times New Roman" w:hAnsi="Times New Roman"/>
          <w:iCs/>
          <w:sz w:val="22"/>
          <w:szCs w:val="22"/>
        </w:rPr>
      </w:pPr>
    </w:p>
    <w:p w14:paraId="15B15FD4" w14:textId="5213156B" w:rsidR="00020099" w:rsidRPr="008D01AB" w:rsidRDefault="00020099" w:rsidP="0064782E">
      <w:pPr>
        <w:rPr>
          <w:rFonts w:ascii="Times New Roman" w:hAnsi="Times New Roman"/>
          <w:b/>
          <w:bCs/>
          <w:iCs/>
          <w:sz w:val="22"/>
          <w:szCs w:val="22"/>
        </w:rPr>
      </w:pPr>
      <w:r w:rsidRPr="008D01AB">
        <w:rPr>
          <w:rFonts w:ascii="Times New Roman" w:hAnsi="Times New Roman"/>
          <w:b/>
          <w:bCs/>
          <w:iCs/>
          <w:sz w:val="22"/>
          <w:szCs w:val="22"/>
        </w:rPr>
        <w:t>Background</w:t>
      </w:r>
    </w:p>
    <w:p w14:paraId="5AF5512F" w14:textId="77777777" w:rsidR="00020099" w:rsidRPr="008D01AB" w:rsidRDefault="00020099" w:rsidP="0064782E">
      <w:pPr>
        <w:rPr>
          <w:rFonts w:ascii="Times New Roman" w:hAnsi="Times New Roman"/>
          <w:iCs/>
          <w:sz w:val="22"/>
          <w:szCs w:val="22"/>
        </w:rPr>
      </w:pPr>
    </w:p>
    <w:p w14:paraId="6F09DC70" w14:textId="3EDF207F" w:rsidR="00E81237" w:rsidRPr="008D01AB" w:rsidRDefault="00E81237" w:rsidP="0064782E">
      <w:pPr>
        <w:rPr>
          <w:rFonts w:ascii="Times New Roman" w:hAnsi="Times New Roman"/>
          <w:iCs/>
          <w:sz w:val="22"/>
          <w:szCs w:val="22"/>
        </w:rPr>
      </w:pPr>
      <w:r w:rsidRPr="008D01AB">
        <w:rPr>
          <w:rFonts w:ascii="Times New Roman" w:hAnsi="Times New Roman"/>
          <w:iCs/>
          <w:sz w:val="22"/>
          <w:szCs w:val="22"/>
        </w:rPr>
        <w:t>Subsection 26BB(1) of the Act relevantly provides that the Minister may, by legislative instrument, make a determination specifying ingredients and, for some or all of those ingredients, requirements in relation to those ingredients being contained in a medicine. Under subsections 26BB(2), (2A) and (3) of the Act, such requirements may relate to particular ingredients not being contained in particular medicines, or being contained in particular medicines only in specified circumstances, or to permitted concentrations or total amounts of an ingredient in a medicine.</w:t>
      </w:r>
    </w:p>
    <w:p w14:paraId="5957CED2" w14:textId="18A6310C" w:rsidR="00E81237" w:rsidRPr="008D01AB" w:rsidRDefault="00E81237" w:rsidP="0064782E">
      <w:pPr>
        <w:rPr>
          <w:rFonts w:ascii="Times New Roman" w:hAnsi="Times New Roman"/>
          <w:iCs/>
          <w:sz w:val="22"/>
          <w:szCs w:val="22"/>
        </w:rPr>
      </w:pPr>
    </w:p>
    <w:p w14:paraId="3AB45C45" w14:textId="02D6CA91" w:rsidR="00E81237" w:rsidRPr="008D01AB" w:rsidRDefault="00AC77E0" w:rsidP="0064782E">
      <w:pPr>
        <w:rPr>
          <w:rFonts w:ascii="Times New Roman" w:hAnsi="Times New Roman"/>
          <w:iCs/>
          <w:sz w:val="22"/>
          <w:szCs w:val="22"/>
        </w:rPr>
      </w:pPr>
      <w:r w:rsidRPr="008D01AB">
        <w:rPr>
          <w:rFonts w:ascii="Times New Roman" w:hAnsi="Times New Roman"/>
          <w:iCs/>
          <w:sz w:val="22"/>
          <w:szCs w:val="22"/>
        </w:rPr>
        <w:t>A l</w:t>
      </w:r>
      <w:r w:rsidR="00E81237" w:rsidRPr="008D01AB">
        <w:rPr>
          <w:rFonts w:ascii="Times New Roman" w:hAnsi="Times New Roman"/>
          <w:iCs/>
          <w:sz w:val="22"/>
          <w:szCs w:val="22"/>
        </w:rPr>
        <w:t>egislative instrument made under section 26BB of the Act (“section 26BB determination”) specif</w:t>
      </w:r>
      <w:r w:rsidRPr="008D01AB">
        <w:rPr>
          <w:rFonts w:ascii="Times New Roman" w:hAnsi="Times New Roman"/>
          <w:iCs/>
          <w:sz w:val="22"/>
          <w:szCs w:val="22"/>
        </w:rPr>
        <w:t>ies</w:t>
      </w:r>
      <w:r w:rsidR="00E81237" w:rsidRPr="008D01AB">
        <w:rPr>
          <w:rFonts w:ascii="Times New Roman" w:hAnsi="Times New Roman"/>
          <w:iCs/>
          <w:sz w:val="22"/>
          <w:szCs w:val="22"/>
        </w:rPr>
        <w:t xml:space="preserve"> those ingredients that may be contained in a medicine that is listed in the Australian Register of Therapeutic Goods</w:t>
      </w:r>
      <w:r w:rsidR="00886B7C" w:rsidRPr="008D01AB">
        <w:rPr>
          <w:rFonts w:ascii="Times New Roman" w:hAnsi="Times New Roman"/>
          <w:iCs/>
          <w:sz w:val="22"/>
          <w:szCs w:val="22"/>
        </w:rPr>
        <w:t xml:space="preserve"> (“the Register”)</w:t>
      </w:r>
      <w:r w:rsidR="00E81237" w:rsidRPr="008D01AB">
        <w:rPr>
          <w:rFonts w:ascii="Times New Roman" w:hAnsi="Times New Roman"/>
          <w:iCs/>
          <w:sz w:val="22"/>
          <w:szCs w:val="22"/>
        </w:rPr>
        <w:t xml:space="preserve"> under sections 26A or 26AE</w:t>
      </w:r>
      <w:r w:rsidR="00886B7C" w:rsidRPr="008D01AB">
        <w:rPr>
          <w:rFonts w:ascii="Times New Roman" w:hAnsi="Times New Roman"/>
          <w:iCs/>
          <w:sz w:val="22"/>
          <w:szCs w:val="22"/>
        </w:rPr>
        <w:t xml:space="preserve"> of the Act, and to specify requirements in relation to the inclusion of those ingredients in such medicines.</w:t>
      </w:r>
    </w:p>
    <w:p w14:paraId="3B85F273" w14:textId="77777777" w:rsidR="00E670FC" w:rsidRPr="008D01AB" w:rsidRDefault="00E670FC" w:rsidP="0064782E">
      <w:pPr>
        <w:rPr>
          <w:rFonts w:ascii="Times New Roman" w:hAnsi="Times New Roman"/>
          <w:iCs/>
          <w:sz w:val="22"/>
          <w:szCs w:val="22"/>
        </w:rPr>
      </w:pPr>
    </w:p>
    <w:p w14:paraId="4EA5E42B" w14:textId="76CEC11C" w:rsidR="00886B7C" w:rsidRPr="008D01AB" w:rsidRDefault="00886B7C" w:rsidP="0064782E">
      <w:pPr>
        <w:rPr>
          <w:rFonts w:ascii="Times New Roman" w:hAnsi="Times New Roman"/>
          <w:iCs/>
          <w:sz w:val="22"/>
          <w:szCs w:val="22"/>
        </w:rPr>
      </w:pPr>
      <w:r w:rsidRPr="008D01AB">
        <w:rPr>
          <w:rFonts w:ascii="Times New Roman" w:hAnsi="Times New Roman"/>
          <w:iCs/>
          <w:sz w:val="22"/>
          <w:szCs w:val="22"/>
        </w:rPr>
        <w:t xml:space="preserve">In accordance with subsections 26A(2) and 26AB(2) of the Act, sponsors that make an application under section 23 of the Act for a medicine to be </w:t>
      </w:r>
      <w:r w:rsidR="004A6F7C" w:rsidRPr="008D01AB">
        <w:rPr>
          <w:rFonts w:ascii="Times New Roman" w:hAnsi="Times New Roman"/>
          <w:iCs/>
          <w:sz w:val="22"/>
          <w:szCs w:val="22"/>
        </w:rPr>
        <w:t>included as a listed or assessed listed medicine</w:t>
      </w:r>
      <w:r w:rsidRPr="008D01AB">
        <w:rPr>
          <w:rFonts w:ascii="Times New Roman" w:hAnsi="Times New Roman"/>
          <w:iCs/>
          <w:sz w:val="22"/>
          <w:szCs w:val="22"/>
        </w:rPr>
        <w:t xml:space="preserve"> in the Register must certify that, among other things:</w:t>
      </w:r>
    </w:p>
    <w:p w14:paraId="4B6CC617" w14:textId="2866D817" w:rsidR="00886B7C" w:rsidRPr="008D01AB" w:rsidRDefault="00886B7C" w:rsidP="00886B7C">
      <w:pPr>
        <w:pStyle w:val="ListParagraph"/>
        <w:numPr>
          <w:ilvl w:val="0"/>
          <w:numId w:val="18"/>
        </w:numPr>
        <w:rPr>
          <w:rFonts w:ascii="Times New Roman" w:hAnsi="Times New Roman"/>
          <w:iCs/>
          <w:sz w:val="22"/>
          <w:szCs w:val="22"/>
        </w:rPr>
      </w:pPr>
      <w:r w:rsidRPr="008D01AB">
        <w:rPr>
          <w:rFonts w:ascii="Times New Roman" w:hAnsi="Times New Roman"/>
          <w:iCs/>
          <w:sz w:val="22"/>
          <w:szCs w:val="22"/>
        </w:rPr>
        <w:t>the medicine does not contain an ingredient that is not specified in a section 26BB determination; and</w:t>
      </w:r>
    </w:p>
    <w:p w14:paraId="0C7CB942" w14:textId="6E7BADDA" w:rsidR="00886B7C" w:rsidRPr="008D01AB" w:rsidRDefault="00886B7C" w:rsidP="00886B7C">
      <w:pPr>
        <w:pStyle w:val="ListParagraph"/>
        <w:numPr>
          <w:ilvl w:val="0"/>
          <w:numId w:val="18"/>
        </w:numPr>
        <w:rPr>
          <w:rFonts w:ascii="Times New Roman" w:hAnsi="Times New Roman"/>
          <w:iCs/>
          <w:sz w:val="22"/>
          <w:szCs w:val="22"/>
        </w:rPr>
      </w:pPr>
      <w:r w:rsidRPr="008D01AB">
        <w:rPr>
          <w:rFonts w:ascii="Times New Roman" w:hAnsi="Times New Roman"/>
          <w:iCs/>
          <w:sz w:val="22"/>
          <w:szCs w:val="22"/>
        </w:rPr>
        <w:t>if a section 26BB determination specifies requirements in relation to ingredients being contained in the medicine</w:t>
      </w:r>
      <w:r w:rsidRPr="008D01AB">
        <w:rPr>
          <w:rFonts w:ascii="Times New Roman" w:hAnsi="Times New Roman"/>
          <w:i/>
          <w:sz w:val="22"/>
          <w:szCs w:val="22"/>
        </w:rPr>
        <w:t>—</w:t>
      </w:r>
      <w:r w:rsidRPr="008D01AB">
        <w:rPr>
          <w:rFonts w:ascii="Times New Roman" w:hAnsi="Times New Roman"/>
          <w:iCs/>
          <w:sz w:val="22"/>
          <w:szCs w:val="22"/>
        </w:rPr>
        <w:t>none of those requirements have been contravened.</w:t>
      </w:r>
    </w:p>
    <w:p w14:paraId="39972E43" w14:textId="77777777" w:rsidR="00516DEC" w:rsidRPr="008D01AB" w:rsidRDefault="00516DEC" w:rsidP="0064782E">
      <w:pPr>
        <w:rPr>
          <w:rFonts w:ascii="Times New Roman" w:hAnsi="Times New Roman"/>
          <w:iCs/>
          <w:sz w:val="22"/>
          <w:szCs w:val="22"/>
        </w:rPr>
      </w:pPr>
    </w:p>
    <w:p w14:paraId="59228FD2" w14:textId="41297E64" w:rsidR="002744DF" w:rsidRPr="008D01AB" w:rsidRDefault="004733D4" w:rsidP="001D0877">
      <w:pPr>
        <w:rPr>
          <w:rFonts w:ascii="Times New Roman" w:hAnsi="Times New Roman"/>
          <w:iCs/>
          <w:sz w:val="22"/>
          <w:szCs w:val="22"/>
        </w:rPr>
      </w:pPr>
      <w:r w:rsidRPr="008D01AB">
        <w:rPr>
          <w:rFonts w:ascii="Times New Roman" w:hAnsi="Times New Roman"/>
          <w:iCs/>
          <w:sz w:val="22"/>
          <w:szCs w:val="22"/>
        </w:rPr>
        <w:lastRenderedPageBreak/>
        <w:t>Subsection 26BD(1)</w:t>
      </w:r>
      <w:r w:rsidR="00E670FC" w:rsidRPr="008D01AB">
        <w:rPr>
          <w:rFonts w:ascii="Times New Roman" w:hAnsi="Times New Roman"/>
          <w:iCs/>
          <w:sz w:val="22"/>
          <w:szCs w:val="22"/>
        </w:rPr>
        <w:t xml:space="preserve"> </w:t>
      </w:r>
      <w:r w:rsidR="00AD7F2F" w:rsidRPr="008D01AB">
        <w:rPr>
          <w:rFonts w:ascii="Times New Roman" w:hAnsi="Times New Roman"/>
          <w:iCs/>
          <w:sz w:val="22"/>
          <w:szCs w:val="22"/>
        </w:rPr>
        <w:t xml:space="preserve">provides that a person may make an application for a recommendation to be made by the Secretary that the Minister vary a section 26BB determination (“a </w:t>
      </w:r>
      <w:r w:rsidR="002744DF" w:rsidRPr="008D01AB">
        <w:rPr>
          <w:rFonts w:ascii="Times New Roman" w:hAnsi="Times New Roman"/>
          <w:iCs/>
          <w:sz w:val="22"/>
          <w:szCs w:val="22"/>
        </w:rPr>
        <w:t>variation</w:t>
      </w:r>
      <w:r w:rsidR="00AD7F2F" w:rsidRPr="008D01AB">
        <w:rPr>
          <w:rFonts w:ascii="Times New Roman" w:hAnsi="Times New Roman"/>
          <w:iCs/>
          <w:sz w:val="22"/>
          <w:szCs w:val="22"/>
        </w:rPr>
        <w:t xml:space="preserve"> application”).</w:t>
      </w:r>
      <w:r w:rsidRPr="008D01AB">
        <w:rPr>
          <w:rFonts w:ascii="Times New Roman" w:hAnsi="Times New Roman"/>
          <w:iCs/>
          <w:sz w:val="22"/>
          <w:szCs w:val="22"/>
        </w:rPr>
        <w:t xml:space="preserve"> </w:t>
      </w:r>
      <w:r w:rsidR="002744DF" w:rsidRPr="008D01AB">
        <w:rPr>
          <w:rFonts w:ascii="Times New Roman" w:hAnsi="Times New Roman"/>
          <w:iCs/>
          <w:sz w:val="22"/>
          <w:szCs w:val="22"/>
        </w:rPr>
        <w:t>In practice, these applications mainly involve proposals for the approval of new ingredients for use in listed or assessed listed medicines</w:t>
      </w:r>
      <w:r w:rsidR="00CB22E8" w:rsidRPr="008D01AB">
        <w:rPr>
          <w:rFonts w:ascii="Times New Roman" w:hAnsi="Times New Roman"/>
          <w:iCs/>
          <w:sz w:val="22"/>
          <w:szCs w:val="22"/>
        </w:rPr>
        <w:t>, but an application may also propose a variation to existing requirements for the use of a permitted ingredient.</w:t>
      </w:r>
    </w:p>
    <w:p w14:paraId="70708357" w14:textId="77777777" w:rsidR="004733D4" w:rsidRPr="008D01AB" w:rsidRDefault="004733D4" w:rsidP="001D0877">
      <w:pPr>
        <w:rPr>
          <w:rFonts w:ascii="Times New Roman" w:hAnsi="Times New Roman"/>
          <w:iCs/>
          <w:sz w:val="22"/>
          <w:szCs w:val="22"/>
        </w:rPr>
      </w:pPr>
    </w:p>
    <w:p w14:paraId="322DE407" w14:textId="183BF43E" w:rsidR="00020099" w:rsidRPr="008D01AB" w:rsidRDefault="0026191E" w:rsidP="00020099">
      <w:pPr>
        <w:rPr>
          <w:rFonts w:ascii="Times New Roman" w:hAnsi="Times New Roman"/>
          <w:iCs/>
          <w:sz w:val="22"/>
          <w:szCs w:val="22"/>
        </w:rPr>
      </w:pPr>
      <w:r w:rsidRPr="008D01AB">
        <w:rPr>
          <w:rFonts w:ascii="Times New Roman" w:hAnsi="Times New Roman"/>
          <w:iCs/>
          <w:sz w:val="22"/>
          <w:szCs w:val="22"/>
        </w:rPr>
        <w:t>Subsection</w:t>
      </w:r>
      <w:r w:rsidR="00AD7F2F" w:rsidRPr="008D01AB">
        <w:rPr>
          <w:rFonts w:ascii="Times New Roman" w:hAnsi="Times New Roman"/>
          <w:iCs/>
          <w:sz w:val="22"/>
          <w:szCs w:val="22"/>
        </w:rPr>
        <w:t xml:space="preserve"> 26BD(2) provides that when a variation application is made, the Secretary must carry out an assessment of whether the requirements set out in subsection 26BD(3) have been met in relation to the application. </w:t>
      </w:r>
      <w:r w:rsidR="00E14644" w:rsidRPr="008D01AB">
        <w:rPr>
          <w:rFonts w:ascii="Times New Roman" w:hAnsi="Times New Roman"/>
          <w:iCs/>
          <w:sz w:val="22"/>
          <w:szCs w:val="22"/>
        </w:rPr>
        <w:t>These subsections provide for a preliminary assessment process</w:t>
      </w:r>
      <w:r w:rsidR="00020099" w:rsidRPr="008D01AB">
        <w:rPr>
          <w:rFonts w:ascii="Times New Roman" w:hAnsi="Times New Roman"/>
          <w:iCs/>
          <w:sz w:val="22"/>
          <w:szCs w:val="22"/>
        </w:rPr>
        <w:t>. An applicant passes preliminary assessment if the Secretary is satisfied, after assessing the application, that the requirements in subsection 26</w:t>
      </w:r>
      <w:proofErr w:type="gramStart"/>
      <w:r w:rsidR="00020099" w:rsidRPr="008D01AB">
        <w:rPr>
          <w:rFonts w:ascii="Times New Roman" w:hAnsi="Times New Roman"/>
          <w:iCs/>
          <w:sz w:val="22"/>
          <w:szCs w:val="22"/>
        </w:rPr>
        <w:t>B(</w:t>
      </w:r>
      <w:proofErr w:type="gramEnd"/>
      <w:r w:rsidR="00020099" w:rsidRPr="008D01AB">
        <w:rPr>
          <w:rFonts w:ascii="Times New Roman" w:hAnsi="Times New Roman"/>
          <w:iCs/>
          <w:sz w:val="22"/>
          <w:szCs w:val="22"/>
        </w:rPr>
        <w:t>3) have been met (subsection 26BD(4)).</w:t>
      </w:r>
      <w:r w:rsidR="00677F5A">
        <w:rPr>
          <w:rFonts w:ascii="Times New Roman" w:hAnsi="Times New Roman"/>
          <w:iCs/>
          <w:sz w:val="22"/>
          <w:szCs w:val="22"/>
        </w:rPr>
        <w:t xml:space="preserve"> Under subsection 26BE(3) of the Act, if an application has passed preliminary assessment (and a small number of other steps are met) the Secretary must carry out an evaluation of whether to make the recommendation.</w:t>
      </w:r>
    </w:p>
    <w:p w14:paraId="6A8124AC" w14:textId="77777777" w:rsidR="006D4A6D" w:rsidRPr="008D01AB" w:rsidRDefault="006D4A6D" w:rsidP="00020099">
      <w:pPr>
        <w:rPr>
          <w:rFonts w:ascii="Times New Roman" w:hAnsi="Times New Roman"/>
          <w:iCs/>
          <w:sz w:val="22"/>
          <w:szCs w:val="22"/>
        </w:rPr>
      </w:pPr>
    </w:p>
    <w:p w14:paraId="414251D1" w14:textId="25DE0972" w:rsidR="00020099" w:rsidRPr="008D01AB" w:rsidRDefault="00020099" w:rsidP="001D0877">
      <w:pPr>
        <w:rPr>
          <w:rFonts w:ascii="Times New Roman" w:hAnsi="Times New Roman"/>
          <w:iCs/>
          <w:sz w:val="22"/>
          <w:szCs w:val="22"/>
        </w:rPr>
      </w:pPr>
      <w:r w:rsidRPr="008D01AB">
        <w:rPr>
          <w:rFonts w:ascii="Times New Roman" w:hAnsi="Times New Roman"/>
          <w:iCs/>
          <w:sz w:val="22"/>
          <w:szCs w:val="22"/>
        </w:rPr>
        <w:t xml:space="preserve">One of the requirements in subsection 26BD(3) is that the application must be accompanied by information of a kind determined under subsection (8) and in a form determined under subsection (9). </w:t>
      </w:r>
      <w:r w:rsidR="00C626E7" w:rsidRPr="008D01AB">
        <w:rPr>
          <w:rFonts w:ascii="Times New Roman" w:hAnsi="Times New Roman"/>
          <w:iCs/>
          <w:sz w:val="22"/>
          <w:szCs w:val="22"/>
        </w:rPr>
        <w:t>Subsections 26BD(8) and (9)</w:t>
      </w:r>
      <w:r w:rsidRPr="008D01AB">
        <w:rPr>
          <w:rFonts w:ascii="Times New Roman" w:hAnsi="Times New Roman"/>
          <w:iCs/>
          <w:sz w:val="22"/>
          <w:szCs w:val="22"/>
        </w:rPr>
        <w:t xml:space="preserve"> provide that </w:t>
      </w:r>
      <w:r w:rsidR="00C626E7" w:rsidRPr="008D01AB">
        <w:rPr>
          <w:rFonts w:ascii="Times New Roman" w:hAnsi="Times New Roman"/>
          <w:iCs/>
          <w:sz w:val="22"/>
          <w:szCs w:val="22"/>
        </w:rPr>
        <w:t xml:space="preserve">the Secretary </w:t>
      </w:r>
      <w:r w:rsidRPr="008D01AB">
        <w:rPr>
          <w:rFonts w:ascii="Times New Roman" w:hAnsi="Times New Roman"/>
          <w:iCs/>
          <w:sz w:val="22"/>
          <w:szCs w:val="22"/>
        </w:rPr>
        <w:t>may</w:t>
      </w:r>
      <w:r w:rsidR="00C626E7" w:rsidRPr="008D01AB">
        <w:rPr>
          <w:rFonts w:ascii="Times New Roman" w:hAnsi="Times New Roman"/>
          <w:iCs/>
          <w:sz w:val="22"/>
          <w:szCs w:val="22"/>
        </w:rPr>
        <w:t xml:space="preserve"> make legislative instruments </w:t>
      </w:r>
      <w:r w:rsidRPr="008D01AB">
        <w:rPr>
          <w:rFonts w:ascii="Times New Roman" w:hAnsi="Times New Roman"/>
          <w:iCs/>
          <w:sz w:val="22"/>
          <w:szCs w:val="22"/>
        </w:rPr>
        <w:t xml:space="preserve">determining the kind of information and form of information that must accompany an application under subsection 26BD(1), </w:t>
      </w:r>
      <w:r w:rsidR="00C626E7" w:rsidRPr="008D01AB">
        <w:rPr>
          <w:rFonts w:ascii="Times New Roman" w:hAnsi="Times New Roman"/>
          <w:iCs/>
          <w:sz w:val="22"/>
          <w:szCs w:val="22"/>
        </w:rPr>
        <w:t>provid</w:t>
      </w:r>
      <w:r w:rsidRPr="008D01AB">
        <w:rPr>
          <w:rFonts w:ascii="Times New Roman" w:hAnsi="Times New Roman"/>
          <w:iCs/>
          <w:sz w:val="22"/>
          <w:szCs w:val="22"/>
        </w:rPr>
        <w:t>ing</w:t>
      </w:r>
      <w:r w:rsidR="00C626E7" w:rsidRPr="008D01AB">
        <w:rPr>
          <w:rFonts w:ascii="Times New Roman" w:hAnsi="Times New Roman"/>
          <w:iCs/>
          <w:sz w:val="22"/>
          <w:szCs w:val="22"/>
        </w:rPr>
        <w:t xml:space="preserve"> clarity in relation to what the minimum requirements are for supporting information that must accompany a variation application.</w:t>
      </w:r>
    </w:p>
    <w:p w14:paraId="403DFB4E" w14:textId="77777777" w:rsidR="001D0877" w:rsidRPr="008D01AB" w:rsidRDefault="001D0877" w:rsidP="000C7844">
      <w:pPr>
        <w:rPr>
          <w:rFonts w:ascii="Times New Roman" w:hAnsi="Times New Roman"/>
          <w:iCs/>
          <w:sz w:val="22"/>
          <w:szCs w:val="22"/>
        </w:rPr>
      </w:pPr>
    </w:p>
    <w:p w14:paraId="50D7CC29" w14:textId="07572125" w:rsidR="00A73A67" w:rsidRPr="008D01AB" w:rsidRDefault="00783DC4" w:rsidP="009E15B1">
      <w:pPr>
        <w:spacing w:line="259" w:lineRule="auto"/>
        <w:rPr>
          <w:rFonts w:ascii="Times New Roman" w:hAnsi="Times New Roman"/>
          <w:b/>
          <w:bCs/>
          <w:iCs/>
          <w:sz w:val="22"/>
          <w:szCs w:val="22"/>
        </w:rPr>
      </w:pPr>
      <w:r w:rsidRPr="008D01AB">
        <w:rPr>
          <w:rFonts w:ascii="Times New Roman" w:hAnsi="Times New Roman"/>
          <w:b/>
          <w:bCs/>
          <w:iCs/>
          <w:sz w:val="22"/>
          <w:szCs w:val="22"/>
        </w:rPr>
        <w:t>Purpose</w:t>
      </w:r>
    </w:p>
    <w:p w14:paraId="39A95F66" w14:textId="31BD9A95" w:rsidR="00783DC4" w:rsidRPr="009E270B" w:rsidRDefault="00783DC4" w:rsidP="000C7844">
      <w:pPr>
        <w:rPr>
          <w:rFonts w:ascii="Times New Roman" w:hAnsi="Times New Roman"/>
          <w:iCs/>
          <w:sz w:val="22"/>
          <w:szCs w:val="22"/>
        </w:rPr>
      </w:pPr>
    </w:p>
    <w:p w14:paraId="084AF2B0" w14:textId="62ECF689" w:rsidR="006B0C6B" w:rsidRPr="008D01AB" w:rsidRDefault="00E674D9" w:rsidP="006B0C6B">
      <w:pPr>
        <w:rPr>
          <w:rFonts w:ascii="Times New Roman" w:hAnsi="Times New Roman"/>
          <w:iCs/>
          <w:sz w:val="22"/>
          <w:szCs w:val="22"/>
        </w:rPr>
      </w:pPr>
      <w:r w:rsidRPr="008D01AB">
        <w:rPr>
          <w:rFonts w:ascii="Times New Roman" w:hAnsi="Times New Roman"/>
          <w:iCs/>
          <w:sz w:val="22"/>
          <w:szCs w:val="22"/>
        </w:rPr>
        <w:t xml:space="preserve">The </w:t>
      </w:r>
      <w:r w:rsidR="00E70DDD" w:rsidRPr="008D01AB">
        <w:rPr>
          <w:rFonts w:ascii="Times New Roman" w:hAnsi="Times New Roman"/>
          <w:iCs/>
          <w:sz w:val="22"/>
          <w:szCs w:val="22"/>
        </w:rPr>
        <w:t xml:space="preserve">Determination specifies the kind of information that must accompany </w:t>
      </w:r>
      <w:r w:rsidR="006B0C6B" w:rsidRPr="008D01AB">
        <w:rPr>
          <w:rFonts w:ascii="Times New Roman" w:hAnsi="Times New Roman"/>
          <w:iCs/>
          <w:sz w:val="22"/>
          <w:szCs w:val="22"/>
        </w:rPr>
        <w:t>a variation application</w:t>
      </w:r>
      <w:r w:rsidR="00E70DDD" w:rsidRPr="008D01AB">
        <w:rPr>
          <w:rFonts w:ascii="Times New Roman" w:hAnsi="Times New Roman"/>
          <w:iCs/>
          <w:sz w:val="22"/>
          <w:szCs w:val="22"/>
        </w:rPr>
        <w:t xml:space="preserve">, as well as the form </w:t>
      </w:r>
      <w:r w:rsidR="00B76EFA" w:rsidRPr="008D01AB">
        <w:rPr>
          <w:rFonts w:ascii="Times New Roman" w:hAnsi="Times New Roman"/>
          <w:iCs/>
          <w:sz w:val="22"/>
          <w:szCs w:val="22"/>
        </w:rPr>
        <w:t xml:space="preserve">in which that information must be </w:t>
      </w:r>
      <w:r w:rsidR="00E750A8" w:rsidRPr="008D01AB">
        <w:rPr>
          <w:rFonts w:ascii="Times New Roman" w:hAnsi="Times New Roman"/>
          <w:iCs/>
          <w:sz w:val="22"/>
          <w:szCs w:val="22"/>
        </w:rPr>
        <w:t>provided</w:t>
      </w:r>
      <w:r w:rsidR="00E70DDD" w:rsidRPr="008D01AB">
        <w:rPr>
          <w:rFonts w:ascii="Times New Roman" w:hAnsi="Times New Roman"/>
          <w:iCs/>
          <w:sz w:val="22"/>
          <w:szCs w:val="22"/>
        </w:rPr>
        <w:t>.</w:t>
      </w:r>
      <w:r w:rsidR="006B0C6B" w:rsidRPr="008D01AB">
        <w:rPr>
          <w:rFonts w:ascii="Times New Roman" w:hAnsi="Times New Roman"/>
          <w:iCs/>
          <w:sz w:val="22"/>
          <w:szCs w:val="22"/>
        </w:rPr>
        <w:t xml:space="preserve"> In particular, the Determination provides that a variation application must be:</w:t>
      </w:r>
    </w:p>
    <w:p w14:paraId="7B67BCBB" w14:textId="0235B5C1" w:rsidR="00981B50" w:rsidRPr="008D01AB" w:rsidRDefault="00981B50" w:rsidP="006B0C6B">
      <w:pPr>
        <w:pStyle w:val="ListParagraph"/>
        <w:numPr>
          <w:ilvl w:val="0"/>
          <w:numId w:val="17"/>
        </w:numPr>
        <w:rPr>
          <w:rFonts w:ascii="Times New Roman" w:hAnsi="Times New Roman"/>
          <w:iCs/>
          <w:sz w:val="22"/>
          <w:szCs w:val="22"/>
        </w:rPr>
      </w:pPr>
      <w:r w:rsidRPr="008D01AB">
        <w:rPr>
          <w:rFonts w:ascii="Times New Roman" w:hAnsi="Times New Roman"/>
          <w:iCs/>
          <w:sz w:val="22"/>
          <w:szCs w:val="22"/>
        </w:rPr>
        <w:t>accompanied by information of a kind specified in</w:t>
      </w:r>
      <w:r w:rsidR="00E750A8" w:rsidRPr="008D01AB">
        <w:rPr>
          <w:rFonts w:ascii="Times New Roman" w:hAnsi="Times New Roman"/>
          <w:iCs/>
          <w:sz w:val="22"/>
          <w:szCs w:val="22"/>
        </w:rPr>
        <w:t xml:space="preserve"> </w:t>
      </w:r>
      <w:r w:rsidRPr="008D01AB">
        <w:rPr>
          <w:rFonts w:ascii="Times New Roman" w:hAnsi="Times New Roman"/>
          <w:iCs/>
          <w:sz w:val="22"/>
          <w:szCs w:val="22"/>
        </w:rPr>
        <w:t xml:space="preserve">the document titled </w:t>
      </w:r>
      <w:r w:rsidRPr="008D01AB">
        <w:rPr>
          <w:rFonts w:ascii="Times New Roman" w:hAnsi="Times New Roman"/>
          <w:i/>
          <w:sz w:val="22"/>
          <w:szCs w:val="22"/>
        </w:rPr>
        <w:t>Mandatory requirements for an effective application to vary the Permissible Ingredients Determination</w:t>
      </w:r>
      <w:r w:rsidRPr="008D01AB">
        <w:rPr>
          <w:rFonts w:ascii="Times New Roman" w:hAnsi="Times New Roman"/>
          <w:iCs/>
          <w:sz w:val="22"/>
          <w:szCs w:val="22"/>
        </w:rPr>
        <w:t>’</w:t>
      </w:r>
      <w:r w:rsidR="001167D9">
        <w:rPr>
          <w:rFonts w:ascii="Times New Roman" w:hAnsi="Times New Roman"/>
          <w:iCs/>
          <w:sz w:val="22"/>
          <w:szCs w:val="22"/>
        </w:rPr>
        <w:t xml:space="preserve"> </w:t>
      </w:r>
      <w:r w:rsidR="00244276">
        <w:rPr>
          <w:rFonts w:ascii="Times New Roman" w:hAnsi="Times New Roman"/>
          <w:iCs/>
          <w:sz w:val="22"/>
          <w:szCs w:val="22"/>
        </w:rPr>
        <w:t>(Version 1.0, February 2023) published by the TGA</w:t>
      </w:r>
      <w:r w:rsidR="00A16AF0" w:rsidRPr="008D01AB">
        <w:rPr>
          <w:rFonts w:ascii="Times New Roman" w:hAnsi="Times New Roman"/>
          <w:iCs/>
          <w:sz w:val="22"/>
          <w:szCs w:val="22"/>
        </w:rPr>
        <w:t xml:space="preserve"> (“the Mandatory Requirements Document”)</w:t>
      </w:r>
      <w:r w:rsidRPr="008D01AB">
        <w:rPr>
          <w:rFonts w:ascii="Times New Roman" w:hAnsi="Times New Roman"/>
          <w:iCs/>
          <w:sz w:val="22"/>
          <w:szCs w:val="22"/>
        </w:rPr>
        <w:t>; and</w:t>
      </w:r>
    </w:p>
    <w:p w14:paraId="7D9A3581" w14:textId="04A28859" w:rsidR="00981B50" w:rsidRPr="008D01AB" w:rsidRDefault="00981B50" w:rsidP="00981B50">
      <w:pPr>
        <w:pStyle w:val="ListParagraph"/>
        <w:numPr>
          <w:ilvl w:val="0"/>
          <w:numId w:val="5"/>
        </w:numPr>
        <w:rPr>
          <w:rFonts w:ascii="Times New Roman" w:hAnsi="Times New Roman"/>
          <w:iCs/>
          <w:sz w:val="22"/>
          <w:szCs w:val="22"/>
        </w:rPr>
      </w:pPr>
      <w:r w:rsidRPr="008D01AB">
        <w:rPr>
          <w:rFonts w:ascii="Times New Roman" w:hAnsi="Times New Roman"/>
          <w:iCs/>
          <w:sz w:val="22"/>
          <w:szCs w:val="22"/>
        </w:rPr>
        <w:t>contained in an application dossier</w:t>
      </w:r>
      <w:r w:rsidR="00244276">
        <w:rPr>
          <w:rFonts w:ascii="Times New Roman" w:hAnsi="Times New Roman"/>
          <w:iCs/>
          <w:sz w:val="22"/>
          <w:szCs w:val="22"/>
        </w:rPr>
        <w:t>,</w:t>
      </w:r>
      <w:r w:rsidR="00E750A8" w:rsidRPr="008D01AB">
        <w:rPr>
          <w:rFonts w:ascii="Times New Roman" w:hAnsi="Times New Roman"/>
          <w:iCs/>
          <w:sz w:val="22"/>
          <w:szCs w:val="22"/>
        </w:rPr>
        <w:t xml:space="preserve"> and in a form consistent with the Mandatory Requirements Document</w:t>
      </w:r>
      <w:r w:rsidR="00244276">
        <w:rPr>
          <w:rFonts w:ascii="Times New Roman" w:hAnsi="Times New Roman"/>
          <w:iCs/>
          <w:sz w:val="22"/>
          <w:szCs w:val="22"/>
        </w:rPr>
        <w:t xml:space="preserve"> and the </w:t>
      </w:r>
      <w:r w:rsidR="00244276" w:rsidRPr="00244276">
        <w:rPr>
          <w:rFonts w:ascii="Times New Roman" w:hAnsi="Times New Roman"/>
          <w:iCs/>
          <w:sz w:val="22"/>
          <w:szCs w:val="22"/>
        </w:rPr>
        <w:t xml:space="preserve">document titled </w:t>
      </w:r>
      <w:r w:rsidR="00244276" w:rsidRPr="005D0274">
        <w:rPr>
          <w:rFonts w:ascii="Times New Roman" w:hAnsi="Times New Roman"/>
          <w:i/>
          <w:sz w:val="22"/>
          <w:szCs w:val="22"/>
        </w:rPr>
        <w:t>General dossier requirements</w:t>
      </w:r>
      <w:r w:rsidR="00244276" w:rsidRPr="005D0274">
        <w:rPr>
          <w:sz w:val="22"/>
          <w:szCs w:val="22"/>
        </w:rPr>
        <w:t xml:space="preserve"> (</w:t>
      </w:r>
      <w:r w:rsidR="001167D9">
        <w:rPr>
          <w:sz w:val="22"/>
          <w:szCs w:val="22"/>
        </w:rPr>
        <w:t>V</w:t>
      </w:r>
      <w:r w:rsidR="00244276" w:rsidRPr="005D0274">
        <w:rPr>
          <w:sz w:val="22"/>
          <w:szCs w:val="22"/>
        </w:rPr>
        <w:t>ersion 1.4, July 2018) published by the TGA</w:t>
      </w:r>
      <w:r w:rsidRPr="008D01AB">
        <w:rPr>
          <w:rFonts w:ascii="Times New Roman" w:hAnsi="Times New Roman"/>
          <w:iCs/>
          <w:sz w:val="22"/>
          <w:szCs w:val="22"/>
        </w:rPr>
        <w:t>.</w:t>
      </w:r>
    </w:p>
    <w:p w14:paraId="591BAC00" w14:textId="6AB00A98" w:rsidR="006B0C6B" w:rsidRPr="008D01AB" w:rsidRDefault="006B0C6B" w:rsidP="006B0C6B">
      <w:pPr>
        <w:rPr>
          <w:rFonts w:ascii="Times New Roman" w:hAnsi="Times New Roman"/>
          <w:iCs/>
          <w:sz w:val="22"/>
          <w:szCs w:val="22"/>
        </w:rPr>
      </w:pPr>
    </w:p>
    <w:p w14:paraId="1CCCBEF5" w14:textId="238F6ABD" w:rsidR="0012398D" w:rsidRDefault="006B0C6B" w:rsidP="006B0C6B">
      <w:pPr>
        <w:rPr>
          <w:rFonts w:ascii="Times New Roman" w:hAnsi="Times New Roman"/>
          <w:iCs/>
          <w:sz w:val="22"/>
          <w:szCs w:val="22"/>
        </w:rPr>
      </w:pPr>
      <w:r w:rsidRPr="008D01AB">
        <w:rPr>
          <w:rFonts w:ascii="Times New Roman" w:hAnsi="Times New Roman"/>
          <w:iCs/>
          <w:sz w:val="22"/>
          <w:szCs w:val="22"/>
        </w:rPr>
        <w:t>The Determination is designed to facilitate the effective management of resources by the Department in the evaluation of variation applications, and to create certainty for applicants in relation to the</w:t>
      </w:r>
      <w:r w:rsidR="005324D7">
        <w:rPr>
          <w:rFonts w:ascii="Times New Roman" w:hAnsi="Times New Roman"/>
          <w:iCs/>
          <w:sz w:val="22"/>
          <w:szCs w:val="22"/>
        </w:rPr>
        <w:t xml:space="preserve"> necessary</w:t>
      </w:r>
      <w:r w:rsidRPr="008D01AB">
        <w:rPr>
          <w:rFonts w:ascii="Times New Roman" w:hAnsi="Times New Roman"/>
          <w:iCs/>
          <w:sz w:val="22"/>
          <w:szCs w:val="22"/>
        </w:rPr>
        <w:t xml:space="preserve"> </w:t>
      </w:r>
      <w:r w:rsidR="005324D7">
        <w:rPr>
          <w:rFonts w:ascii="Times New Roman" w:hAnsi="Times New Roman"/>
          <w:iCs/>
          <w:sz w:val="22"/>
          <w:szCs w:val="22"/>
        </w:rPr>
        <w:t>supporting information</w:t>
      </w:r>
      <w:r w:rsidRPr="008D01AB">
        <w:rPr>
          <w:rFonts w:ascii="Times New Roman" w:hAnsi="Times New Roman"/>
          <w:iCs/>
          <w:sz w:val="22"/>
          <w:szCs w:val="22"/>
        </w:rPr>
        <w:t xml:space="preserve"> and form requirements </w:t>
      </w:r>
      <w:r w:rsidR="005324D7" w:rsidRPr="005324D7">
        <w:rPr>
          <w:rFonts w:ascii="Times New Roman" w:hAnsi="Times New Roman"/>
          <w:iCs/>
          <w:sz w:val="22"/>
          <w:szCs w:val="22"/>
        </w:rPr>
        <w:t xml:space="preserve">needed to evaluate </w:t>
      </w:r>
      <w:r w:rsidR="005324D7">
        <w:rPr>
          <w:rFonts w:ascii="Times New Roman" w:hAnsi="Times New Roman"/>
          <w:iCs/>
          <w:sz w:val="22"/>
          <w:szCs w:val="22"/>
        </w:rPr>
        <w:t>an</w:t>
      </w:r>
      <w:r w:rsidR="005324D7" w:rsidRPr="005324D7">
        <w:rPr>
          <w:rFonts w:ascii="Times New Roman" w:hAnsi="Times New Roman"/>
          <w:iCs/>
          <w:sz w:val="22"/>
          <w:szCs w:val="22"/>
        </w:rPr>
        <w:t xml:space="preserve"> application</w:t>
      </w:r>
      <w:r w:rsidRPr="008D01AB">
        <w:rPr>
          <w:rFonts w:ascii="Times New Roman" w:hAnsi="Times New Roman"/>
          <w:iCs/>
          <w:sz w:val="22"/>
          <w:szCs w:val="22"/>
        </w:rPr>
        <w:t xml:space="preserve">. </w:t>
      </w:r>
      <w:r w:rsidR="005324D7" w:rsidRPr="005324D7">
        <w:rPr>
          <w:rFonts w:ascii="Times New Roman" w:hAnsi="Times New Roman"/>
          <w:iCs/>
          <w:sz w:val="22"/>
          <w:szCs w:val="22"/>
        </w:rPr>
        <w:t xml:space="preserve">The information required to accompany an application is necessary to enable the Secretary to undertake a full evaluation of the application in accordance with section </w:t>
      </w:r>
      <w:r w:rsidR="005324D7">
        <w:rPr>
          <w:rFonts w:ascii="Times New Roman" w:hAnsi="Times New Roman"/>
          <w:iCs/>
          <w:sz w:val="22"/>
          <w:szCs w:val="22"/>
        </w:rPr>
        <w:t>26BE</w:t>
      </w:r>
      <w:r w:rsidR="005324D7" w:rsidRPr="005324D7">
        <w:rPr>
          <w:rFonts w:ascii="Times New Roman" w:hAnsi="Times New Roman"/>
          <w:iCs/>
          <w:sz w:val="22"/>
          <w:szCs w:val="22"/>
        </w:rPr>
        <w:t xml:space="preserve"> of the Act, and is information that </w:t>
      </w:r>
      <w:r w:rsidR="005324D7">
        <w:rPr>
          <w:rFonts w:ascii="Times New Roman" w:hAnsi="Times New Roman"/>
          <w:iCs/>
          <w:sz w:val="22"/>
          <w:szCs w:val="22"/>
        </w:rPr>
        <w:t>applicants</w:t>
      </w:r>
      <w:r w:rsidR="005324D7" w:rsidRPr="005324D7">
        <w:rPr>
          <w:rFonts w:ascii="Times New Roman" w:hAnsi="Times New Roman"/>
          <w:iCs/>
          <w:sz w:val="22"/>
          <w:szCs w:val="22"/>
        </w:rPr>
        <w:t xml:space="preserve"> would be expected to have available when they </w:t>
      </w:r>
      <w:r w:rsidR="00112595">
        <w:rPr>
          <w:rFonts w:ascii="Times New Roman" w:hAnsi="Times New Roman"/>
          <w:iCs/>
          <w:sz w:val="22"/>
          <w:szCs w:val="22"/>
        </w:rPr>
        <w:t>make an application</w:t>
      </w:r>
      <w:r w:rsidR="005324D7" w:rsidRPr="005324D7">
        <w:rPr>
          <w:rFonts w:ascii="Times New Roman" w:hAnsi="Times New Roman"/>
          <w:iCs/>
          <w:sz w:val="22"/>
          <w:szCs w:val="22"/>
        </w:rPr>
        <w:t xml:space="preserve">. </w:t>
      </w:r>
      <w:r w:rsidR="00D11E24" w:rsidRPr="00D11E24">
        <w:rPr>
          <w:rFonts w:ascii="Times New Roman" w:hAnsi="Times New Roman"/>
          <w:iCs/>
          <w:sz w:val="22"/>
          <w:szCs w:val="22"/>
        </w:rPr>
        <w:t>The data requirements also ensure that sponsors using application categories based on overseas assessment reports will be able to address Australian specific requirements.</w:t>
      </w:r>
      <w:r w:rsidR="00D11E24">
        <w:rPr>
          <w:rFonts w:ascii="Times New Roman" w:hAnsi="Times New Roman"/>
          <w:iCs/>
          <w:sz w:val="22"/>
          <w:szCs w:val="22"/>
        </w:rPr>
        <w:t xml:space="preserve"> </w:t>
      </w:r>
      <w:r w:rsidR="005324D7" w:rsidRPr="005324D7">
        <w:rPr>
          <w:rFonts w:ascii="Times New Roman" w:hAnsi="Times New Roman"/>
          <w:iCs/>
          <w:sz w:val="22"/>
          <w:szCs w:val="22"/>
        </w:rPr>
        <w:t xml:space="preserve">The form in which the information must be provided is </w:t>
      </w:r>
      <w:r w:rsidR="0012398D">
        <w:rPr>
          <w:rFonts w:ascii="Times New Roman" w:hAnsi="Times New Roman"/>
          <w:iCs/>
          <w:sz w:val="22"/>
          <w:szCs w:val="22"/>
        </w:rPr>
        <w:t>critical</w:t>
      </w:r>
      <w:r w:rsidR="005324D7" w:rsidRPr="005324D7">
        <w:rPr>
          <w:rFonts w:ascii="Times New Roman" w:hAnsi="Times New Roman"/>
          <w:iCs/>
          <w:sz w:val="22"/>
          <w:szCs w:val="22"/>
        </w:rPr>
        <w:t xml:space="preserve"> to ensuring that the evaluation can be undertaken efficiently.</w:t>
      </w:r>
    </w:p>
    <w:p w14:paraId="5D53BCA0" w14:textId="77777777" w:rsidR="0012398D" w:rsidRDefault="0012398D" w:rsidP="006B0C6B">
      <w:pPr>
        <w:rPr>
          <w:rFonts w:ascii="Times New Roman" w:hAnsi="Times New Roman"/>
          <w:iCs/>
          <w:sz w:val="22"/>
          <w:szCs w:val="22"/>
        </w:rPr>
      </w:pPr>
    </w:p>
    <w:p w14:paraId="214BE4E7" w14:textId="6DFD5BC1" w:rsidR="006B0C6B" w:rsidRDefault="006B0C6B" w:rsidP="006B0C6B">
      <w:pPr>
        <w:rPr>
          <w:rFonts w:ascii="Times New Roman" w:hAnsi="Times New Roman"/>
          <w:iCs/>
          <w:sz w:val="22"/>
          <w:szCs w:val="22"/>
        </w:rPr>
      </w:pPr>
      <w:r w:rsidRPr="008D01AB">
        <w:rPr>
          <w:rFonts w:ascii="Times New Roman" w:hAnsi="Times New Roman"/>
          <w:iCs/>
          <w:sz w:val="22"/>
          <w:szCs w:val="22"/>
        </w:rPr>
        <w:t xml:space="preserve">A preliminary assessment process under section 26BD, and a subsequent evaluation process under section 26BE, </w:t>
      </w:r>
      <w:r w:rsidR="004A0BF7" w:rsidRPr="008D01AB">
        <w:rPr>
          <w:rFonts w:ascii="Times New Roman" w:hAnsi="Times New Roman"/>
          <w:iCs/>
          <w:sz w:val="22"/>
          <w:szCs w:val="22"/>
        </w:rPr>
        <w:t xml:space="preserve">involve considerable </w:t>
      </w:r>
      <w:r w:rsidR="005324D7">
        <w:rPr>
          <w:rFonts w:ascii="Times New Roman" w:hAnsi="Times New Roman"/>
          <w:iCs/>
          <w:sz w:val="22"/>
          <w:szCs w:val="22"/>
        </w:rPr>
        <w:t xml:space="preserve">investment in, and use of, </w:t>
      </w:r>
      <w:r w:rsidR="004A0BF7" w:rsidRPr="008D01AB">
        <w:rPr>
          <w:rFonts w:ascii="Times New Roman" w:hAnsi="Times New Roman"/>
          <w:iCs/>
          <w:sz w:val="22"/>
          <w:szCs w:val="22"/>
        </w:rPr>
        <w:t>resources</w:t>
      </w:r>
      <w:r w:rsidRPr="008D01AB">
        <w:rPr>
          <w:rFonts w:ascii="Times New Roman" w:hAnsi="Times New Roman"/>
          <w:iCs/>
          <w:sz w:val="22"/>
          <w:szCs w:val="22"/>
        </w:rPr>
        <w:t xml:space="preserve">. </w:t>
      </w:r>
      <w:r w:rsidR="0012398D">
        <w:rPr>
          <w:rFonts w:ascii="Times New Roman" w:hAnsi="Times New Roman"/>
          <w:iCs/>
          <w:sz w:val="22"/>
          <w:szCs w:val="22"/>
        </w:rPr>
        <w:t>I</w:t>
      </w:r>
      <w:r w:rsidR="005324D7" w:rsidRPr="005324D7">
        <w:rPr>
          <w:rFonts w:ascii="Times New Roman" w:hAnsi="Times New Roman"/>
          <w:iCs/>
          <w:sz w:val="22"/>
          <w:szCs w:val="22"/>
        </w:rPr>
        <w:t xml:space="preserve">f an inaccurate or deficient application </w:t>
      </w:r>
      <w:r w:rsidR="0012398D">
        <w:rPr>
          <w:rFonts w:ascii="Times New Roman" w:hAnsi="Times New Roman"/>
          <w:iCs/>
          <w:sz w:val="22"/>
          <w:szCs w:val="22"/>
        </w:rPr>
        <w:t>is received</w:t>
      </w:r>
      <w:r w:rsidR="005324D7" w:rsidRPr="005324D7">
        <w:rPr>
          <w:rFonts w:ascii="Times New Roman" w:hAnsi="Times New Roman"/>
          <w:iCs/>
          <w:sz w:val="22"/>
          <w:szCs w:val="22"/>
        </w:rPr>
        <w:t>, this could cause delay in the processing of other applications.</w:t>
      </w:r>
      <w:r w:rsidR="005324D7">
        <w:rPr>
          <w:color w:val="000000"/>
          <w:shd w:val="clear" w:color="auto" w:fill="FFFFFF"/>
        </w:rPr>
        <w:t xml:space="preserve"> </w:t>
      </w:r>
      <w:r w:rsidR="004A0BF7" w:rsidRPr="008D01AB">
        <w:rPr>
          <w:rFonts w:ascii="Times New Roman" w:hAnsi="Times New Roman"/>
          <w:iCs/>
          <w:sz w:val="22"/>
          <w:szCs w:val="22"/>
        </w:rPr>
        <w:t>M</w:t>
      </w:r>
      <w:r w:rsidRPr="008D01AB">
        <w:rPr>
          <w:rFonts w:ascii="Times New Roman" w:hAnsi="Times New Roman"/>
          <w:iCs/>
          <w:sz w:val="22"/>
          <w:szCs w:val="22"/>
        </w:rPr>
        <w:t xml:space="preserve">andating content and form requirements for variation applications </w:t>
      </w:r>
      <w:r w:rsidR="004A0BF7" w:rsidRPr="008D01AB">
        <w:rPr>
          <w:rFonts w:ascii="Times New Roman" w:hAnsi="Times New Roman"/>
          <w:iCs/>
          <w:sz w:val="22"/>
          <w:szCs w:val="22"/>
        </w:rPr>
        <w:t xml:space="preserve">increases efficiency by providing </w:t>
      </w:r>
      <w:r w:rsidRPr="008D01AB">
        <w:rPr>
          <w:rFonts w:ascii="Times New Roman" w:hAnsi="Times New Roman"/>
          <w:iCs/>
          <w:sz w:val="22"/>
          <w:szCs w:val="22"/>
        </w:rPr>
        <w:t>clarity regarding application requirements, streamlin</w:t>
      </w:r>
      <w:r w:rsidR="004A0BF7" w:rsidRPr="008D01AB">
        <w:rPr>
          <w:rFonts w:ascii="Times New Roman" w:hAnsi="Times New Roman"/>
          <w:iCs/>
          <w:sz w:val="22"/>
          <w:szCs w:val="22"/>
        </w:rPr>
        <w:t>ing</w:t>
      </w:r>
      <w:r w:rsidRPr="008D01AB">
        <w:rPr>
          <w:rFonts w:ascii="Times New Roman" w:hAnsi="Times New Roman"/>
          <w:iCs/>
          <w:sz w:val="22"/>
          <w:szCs w:val="22"/>
        </w:rPr>
        <w:t xml:space="preserve"> application and evaluation processes, and prevent</w:t>
      </w:r>
      <w:r w:rsidR="004A0BF7" w:rsidRPr="008D01AB">
        <w:rPr>
          <w:rFonts w:ascii="Times New Roman" w:hAnsi="Times New Roman"/>
          <w:iCs/>
          <w:sz w:val="22"/>
          <w:szCs w:val="22"/>
        </w:rPr>
        <w:t>ing</w:t>
      </w:r>
      <w:r w:rsidRPr="008D01AB">
        <w:rPr>
          <w:rFonts w:ascii="Times New Roman" w:hAnsi="Times New Roman"/>
          <w:iCs/>
          <w:sz w:val="22"/>
          <w:szCs w:val="22"/>
        </w:rPr>
        <w:t xml:space="preserve"> delays in assessing applications</w:t>
      </w:r>
      <w:r w:rsidR="003C52AD">
        <w:rPr>
          <w:rFonts w:ascii="Times New Roman" w:hAnsi="Times New Roman"/>
          <w:iCs/>
          <w:sz w:val="22"/>
          <w:szCs w:val="22"/>
        </w:rPr>
        <w:t>,</w:t>
      </w:r>
      <w:r w:rsidR="00244276">
        <w:rPr>
          <w:rFonts w:ascii="Times New Roman" w:hAnsi="Times New Roman"/>
          <w:iCs/>
          <w:sz w:val="22"/>
          <w:szCs w:val="22"/>
        </w:rPr>
        <w:t xml:space="preserve"> and is consistent with other therapeutic goods application processes</w:t>
      </w:r>
      <w:r w:rsidRPr="008D01AB">
        <w:rPr>
          <w:rFonts w:ascii="Times New Roman" w:hAnsi="Times New Roman"/>
          <w:iCs/>
          <w:sz w:val="22"/>
          <w:szCs w:val="22"/>
        </w:rPr>
        <w:t>.</w:t>
      </w:r>
    </w:p>
    <w:p w14:paraId="3B7F9BB3" w14:textId="77777777" w:rsidR="005C2371" w:rsidRPr="008D01AB" w:rsidRDefault="005C2371" w:rsidP="006B0C6B">
      <w:pPr>
        <w:rPr>
          <w:rFonts w:ascii="Times New Roman" w:hAnsi="Times New Roman"/>
          <w:iCs/>
          <w:sz w:val="22"/>
          <w:szCs w:val="22"/>
        </w:rPr>
      </w:pPr>
    </w:p>
    <w:p w14:paraId="2800115C" w14:textId="5BA36563" w:rsidR="007C09FE" w:rsidRPr="008D01AB" w:rsidRDefault="007C09FE" w:rsidP="007C09FE">
      <w:pPr>
        <w:rPr>
          <w:rFonts w:ascii="Times New Roman" w:hAnsi="Times New Roman"/>
          <w:iCs/>
          <w:sz w:val="22"/>
          <w:szCs w:val="22"/>
        </w:rPr>
      </w:pPr>
      <w:r w:rsidRPr="008D01AB">
        <w:rPr>
          <w:rFonts w:ascii="Times New Roman" w:hAnsi="Times New Roman"/>
          <w:iCs/>
          <w:sz w:val="22"/>
          <w:szCs w:val="22"/>
        </w:rPr>
        <w:t xml:space="preserve">The Mandatory Requirements Document provides that an application dossier must provide appropriate information as specified in Appendix A. Appendix A outlines the specific mandatory requirements with respect to the information that must be provided in relation to each of the four </w:t>
      </w:r>
      <w:r w:rsidRPr="008D01AB">
        <w:rPr>
          <w:rFonts w:ascii="Times New Roman" w:hAnsi="Times New Roman"/>
          <w:iCs/>
          <w:sz w:val="22"/>
          <w:szCs w:val="22"/>
        </w:rPr>
        <w:lastRenderedPageBreak/>
        <w:t xml:space="preserve">application categories. The application categories, being ‘IN1 applications’, ‘IN2 applications’, ‘IN3 applications’, and ‘IN4 applications’, are defined in regulation 2 of the </w:t>
      </w:r>
      <w:r w:rsidRPr="008D01AB">
        <w:rPr>
          <w:rFonts w:ascii="Times New Roman" w:hAnsi="Times New Roman"/>
          <w:i/>
          <w:sz w:val="22"/>
          <w:szCs w:val="22"/>
        </w:rPr>
        <w:t>Therapeutic Goods Regulations 1990</w:t>
      </w:r>
      <w:r w:rsidRPr="008D01AB">
        <w:rPr>
          <w:rFonts w:ascii="Times New Roman" w:hAnsi="Times New Roman"/>
          <w:iCs/>
          <w:sz w:val="22"/>
          <w:szCs w:val="22"/>
        </w:rPr>
        <w:t>.</w:t>
      </w:r>
    </w:p>
    <w:p w14:paraId="5A0ED7EF" w14:textId="77777777" w:rsidR="007C09FE" w:rsidRPr="008D01AB" w:rsidRDefault="007C09FE" w:rsidP="000C7844">
      <w:pPr>
        <w:rPr>
          <w:rFonts w:ascii="Times New Roman" w:hAnsi="Times New Roman"/>
          <w:iCs/>
          <w:sz w:val="22"/>
          <w:szCs w:val="22"/>
        </w:rPr>
      </w:pPr>
    </w:p>
    <w:p w14:paraId="51256433" w14:textId="05DBE55C" w:rsidR="00A16AF0" w:rsidRDefault="009F3B4D" w:rsidP="000C7844">
      <w:pPr>
        <w:rPr>
          <w:rFonts w:ascii="Times New Roman" w:hAnsi="Times New Roman"/>
          <w:iCs/>
          <w:sz w:val="22"/>
          <w:szCs w:val="22"/>
        </w:rPr>
      </w:pPr>
      <w:r w:rsidRPr="008D01AB">
        <w:rPr>
          <w:rFonts w:ascii="Times New Roman" w:hAnsi="Times New Roman"/>
          <w:iCs/>
          <w:sz w:val="22"/>
          <w:szCs w:val="22"/>
        </w:rPr>
        <w:t>The Mandatory Requirements Document</w:t>
      </w:r>
      <w:r w:rsidR="000D0015" w:rsidRPr="008D01AB">
        <w:rPr>
          <w:rFonts w:ascii="Times New Roman" w:hAnsi="Times New Roman"/>
          <w:iCs/>
          <w:sz w:val="22"/>
          <w:szCs w:val="22"/>
        </w:rPr>
        <w:t xml:space="preserve"> </w:t>
      </w:r>
      <w:r w:rsidR="007C09FE">
        <w:rPr>
          <w:rFonts w:ascii="Times New Roman" w:hAnsi="Times New Roman"/>
          <w:iCs/>
          <w:sz w:val="22"/>
          <w:szCs w:val="22"/>
        </w:rPr>
        <w:t xml:space="preserve">also </w:t>
      </w:r>
      <w:r w:rsidR="000D0015" w:rsidRPr="008D01AB">
        <w:rPr>
          <w:rFonts w:ascii="Times New Roman" w:hAnsi="Times New Roman"/>
          <w:iCs/>
          <w:sz w:val="22"/>
          <w:szCs w:val="22"/>
        </w:rPr>
        <w:t>specifies that an application dossier must contain folders that are named and structured corresponding to the core information requirements that are relevant to the application category, as specified in Appendix A to the Mandatory Requirements Document.</w:t>
      </w:r>
    </w:p>
    <w:p w14:paraId="062EC9D8" w14:textId="4C0214FF" w:rsidR="00244276" w:rsidRDefault="00244276" w:rsidP="000C7844">
      <w:pPr>
        <w:rPr>
          <w:rFonts w:ascii="Times New Roman" w:hAnsi="Times New Roman"/>
          <w:iCs/>
          <w:sz w:val="22"/>
          <w:szCs w:val="22"/>
        </w:rPr>
      </w:pPr>
    </w:p>
    <w:p w14:paraId="651AC439" w14:textId="2CDD3A06" w:rsidR="004916A8" w:rsidRPr="008D01AB" w:rsidRDefault="00244276" w:rsidP="000C7844">
      <w:pPr>
        <w:rPr>
          <w:rFonts w:ascii="Times New Roman" w:hAnsi="Times New Roman"/>
          <w:iCs/>
          <w:sz w:val="22"/>
          <w:szCs w:val="22"/>
        </w:rPr>
      </w:pPr>
      <w:r>
        <w:rPr>
          <w:rFonts w:ascii="Times New Roman" w:hAnsi="Times New Roman"/>
          <w:iCs/>
          <w:sz w:val="22"/>
          <w:szCs w:val="22"/>
        </w:rPr>
        <w:t xml:space="preserve">The </w:t>
      </w:r>
      <w:r w:rsidR="00527D40" w:rsidRPr="009E270B">
        <w:rPr>
          <w:rFonts w:ascii="Times New Roman" w:hAnsi="Times New Roman"/>
          <w:i/>
          <w:sz w:val="22"/>
          <w:szCs w:val="22"/>
        </w:rPr>
        <w:t>General d</w:t>
      </w:r>
      <w:r w:rsidRPr="009E270B">
        <w:rPr>
          <w:rFonts w:ascii="Times New Roman" w:hAnsi="Times New Roman"/>
          <w:i/>
          <w:sz w:val="22"/>
          <w:szCs w:val="22"/>
        </w:rPr>
        <w:t xml:space="preserve">ossier </w:t>
      </w:r>
      <w:r w:rsidR="00527D40" w:rsidRPr="009E270B">
        <w:rPr>
          <w:rFonts w:ascii="Times New Roman" w:hAnsi="Times New Roman"/>
          <w:i/>
          <w:sz w:val="22"/>
          <w:szCs w:val="22"/>
        </w:rPr>
        <w:t>r</w:t>
      </w:r>
      <w:r w:rsidRPr="009E270B">
        <w:rPr>
          <w:rFonts w:ascii="Times New Roman" w:hAnsi="Times New Roman"/>
          <w:i/>
          <w:sz w:val="22"/>
          <w:szCs w:val="22"/>
        </w:rPr>
        <w:t>equirements</w:t>
      </w:r>
      <w:r>
        <w:rPr>
          <w:rFonts w:ascii="Times New Roman" w:hAnsi="Times New Roman"/>
          <w:iCs/>
          <w:sz w:val="22"/>
          <w:szCs w:val="22"/>
        </w:rPr>
        <w:t xml:space="preserve"> document stipulates</w:t>
      </w:r>
      <w:r w:rsidR="007C09FE">
        <w:rPr>
          <w:rFonts w:ascii="Times New Roman" w:hAnsi="Times New Roman"/>
          <w:iCs/>
          <w:sz w:val="22"/>
          <w:szCs w:val="22"/>
        </w:rPr>
        <w:t xml:space="preserve"> requirements that the electronic submission must comply with, including that the text </w:t>
      </w:r>
      <w:r w:rsidR="00527D40">
        <w:rPr>
          <w:rFonts w:ascii="Times New Roman" w:hAnsi="Times New Roman"/>
          <w:iCs/>
          <w:sz w:val="22"/>
          <w:szCs w:val="22"/>
        </w:rPr>
        <w:t xml:space="preserve">within documents </w:t>
      </w:r>
      <w:r w:rsidR="007C09FE">
        <w:rPr>
          <w:rFonts w:ascii="Times New Roman" w:hAnsi="Times New Roman"/>
          <w:iCs/>
          <w:sz w:val="22"/>
          <w:szCs w:val="22"/>
        </w:rPr>
        <w:t>must be searchable and in English, and outlines how the dossier is to be submitted electronically.</w:t>
      </w:r>
    </w:p>
    <w:p w14:paraId="06AF97CE" w14:textId="77777777" w:rsidR="00F10345" w:rsidRPr="008D01AB" w:rsidRDefault="00F10345" w:rsidP="000C7844">
      <w:pPr>
        <w:rPr>
          <w:rFonts w:ascii="Times New Roman" w:hAnsi="Times New Roman"/>
          <w:b/>
          <w:bCs/>
          <w:iCs/>
          <w:sz w:val="22"/>
          <w:szCs w:val="22"/>
        </w:rPr>
      </w:pPr>
    </w:p>
    <w:p w14:paraId="453B3468" w14:textId="195F68F8" w:rsidR="000D0015" w:rsidRPr="008D01AB" w:rsidRDefault="009C1531" w:rsidP="000C7844">
      <w:pPr>
        <w:rPr>
          <w:rFonts w:ascii="Times New Roman" w:hAnsi="Times New Roman"/>
          <w:b/>
          <w:bCs/>
          <w:iCs/>
          <w:sz w:val="22"/>
          <w:szCs w:val="22"/>
        </w:rPr>
      </w:pPr>
      <w:r w:rsidRPr="008D01AB">
        <w:rPr>
          <w:rFonts w:ascii="Times New Roman" w:hAnsi="Times New Roman"/>
          <w:b/>
          <w:bCs/>
          <w:iCs/>
          <w:sz w:val="22"/>
          <w:szCs w:val="22"/>
        </w:rPr>
        <w:t>Incorporation by reference</w:t>
      </w:r>
    </w:p>
    <w:p w14:paraId="071B2BBC" w14:textId="77777777" w:rsidR="000D0015" w:rsidRPr="008D01AB" w:rsidRDefault="000D0015" w:rsidP="000C7844">
      <w:pPr>
        <w:rPr>
          <w:rFonts w:ascii="Times New Roman" w:hAnsi="Times New Roman"/>
          <w:iCs/>
          <w:sz w:val="22"/>
          <w:szCs w:val="22"/>
        </w:rPr>
      </w:pPr>
    </w:p>
    <w:p w14:paraId="5648DFCA" w14:textId="77777777" w:rsidR="007C09FE" w:rsidRDefault="009C1531" w:rsidP="000C7844">
      <w:pPr>
        <w:rPr>
          <w:rFonts w:ascii="Times New Roman" w:hAnsi="Times New Roman"/>
          <w:iCs/>
          <w:sz w:val="22"/>
          <w:szCs w:val="22"/>
        </w:rPr>
      </w:pPr>
      <w:r w:rsidRPr="008D01AB">
        <w:rPr>
          <w:rFonts w:ascii="Times New Roman" w:hAnsi="Times New Roman"/>
          <w:iCs/>
          <w:sz w:val="22"/>
          <w:szCs w:val="22"/>
        </w:rPr>
        <w:t xml:space="preserve">The Determination incorporates by reference the </w:t>
      </w:r>
      <w:r w:rsidR="007C09FE">
        <w:rPr>
          <w:rFonts w:ascii="Times New Roman" w:hAnsi="Times New Roman"/>
          <w:iCs/>
          <w:sz w:val="22"/>
          <w:szCs w:val="22"/>
        </w:rPr>
        <w:t>following documents:</w:t>
      </w:r>
    </w:p>
    <w:p w14:paraId="7EFB8F24" w14:textId="4BA6ABC8" w:rsidR="007C09FE" w:rsidRDefault="007C09FE" w:rsidP="007C09FE">
      <w:pPr>
        <w:pStyle w:val="ListParagraph"/>
        <w:numPr>
          <w:ilvl w:val="0"/>
          <w:numId w:val="5"/>
        </w:numPr>
        <w:rPr>
          <w:rFonts w:ascii="Times New Roman" w:hAnsi="Times New Roman"/>
          <w:iCs/>
          <w:sz w:val="22"/>
          <w:szCs w:val="22"/>
        </w:rPr>
      </w:pPr>
      <w:r w:rsidRPr="008D01AB">
        <w:rPr>
          <w:rFonts w:ascii="Times New Roman" w:hAnsi="Times New Roman"/>
          <w:i/>
          <w:sz w:val="22"/>
          <w:szCs w:val="22"/>
        </w:rPr>
        <w:t>Mandatory requirements for an effective application to vary the Permissible Ingredients Determination</w:t>
      </w:r>
      <w:r w:rsidRPr="007C09FE" w:rsidDel="007C09FE">
        <w:rPr>
          <w:rFonts w:ascii="Times New Roman" w:hAnsi="Times New Roman"/>
          <w:iCs/>
          <w:sz w:val="22"/>
          <w:szCs w:val="22"/>
        </w:rPr>
        <w:t xml:space="preserve"> </w:t>
      </w:r>
      <w:r w:rsidR="001704D2" w:rsidRPr="005D0274">
        <w:rPr>
          <w:rFonts w:ascii="Times New Roman" w:hAnsi="Times New Roman"/>
          <w:iCs/>
          <w:sz w:val="22"/>
          <w:szCs w:val="22"/>
        </w:rPr>
        <w:t>(</w:t>
      </w:r>
      <w:r w:rsidR="001167D9">
        <w:rPr>
          <w:rFonts w:ascii="Times New Roman" w:hAnsi="Times New Roman"/>
          <w:iCs/>
          <w:sz w:val="22"/>
          <w:szCs w:val="22"/>
        </w:rPr>
        <w:t>V</w:t>
      </w:r>
      <w:r w:rsidR="001704D2" w:rsidRPr="005D0274">
        <w:rPr>
          <w:rFonts w:ascii="Times New Roman" w:hAnsi="Times New Roman"/>
          <w:iCs/>
          <w:sz w:val="22"/>
          <w:szCs w:val="22"/>
        </w:rPr>
        <w:t>ersion 1.0, February 2023)</w:t>
      </w:r>
      <w:r>
        <w:rPr>
          <w:rFonts w:ascii="Times New Roman" w:hAnsi="Times New Roman"/>
          <w:iCs/>
          <w:sz w:val="22"/>
          <w:szCs w:val="22"/>
        </w:rPr>
        <w:t>; and</w:t>
      </w:r>
    </w:p>
    <w:p w14:paraId="3E6683E4" w14:textId="5EF7C426" w:rsidR="002E3422" w:rsidRPr="005D0274" w:rsidRDefault="007C09FE" w:rsidP="005D0274">
      <w:pPr>
        <w:pStyle w:val="ListParagraph"/>
        <w:numPr>
          <w:ilvl w:val="0"/>
          <w:numId w:val="5"/>
        </w:numPr>
        <w:rPr>
          <w:rFonts w:ascii="Times New Roman" w:hAnsi="Times New Roman"/>
          <w:iCs/>
          <w:sz w:val="22"/>
          <w:szCs w:val="22"/>
        </w:rPr>
      </w:pPr>
      <w:r w:rsidRPr="00613AA1">
        <w:rPr>
          <w:rFonts w:ascii="Times New Roman" w:hAnsi="Times New Roman"/>
          <w:i/>
          <w:sz w:val="22"/>
          <w:szCs w:val="22"/>
        </w:rPr>
        <w:t>General dossier requirements</w:t>
      </w:r>
      <w:r w:rsidRPr="00613AA1">
        <w:rPr>
          <w:sz w:val="22"/>
          <w:szCs w:val="22"/>
        </w:rPr>
        <w:t xml:space="preserve"> (</w:t>
      </w:r>
      <w:r w:rsidR="001167D9">
        <w:rPr>
          <w:sz w:val="22"/>
          <w:szCs w:val="22"/>
        </w:rPr>
        <w:t>V</w:t>
      </w:r>
      <w:r w:rsidRPr="00613AA1">
        <w:rPr>
          <w:sz w:val="22"/>
          <w:szCs w:val="22"/>
        </w:rPr>
        <w:t>ersion 1.4, July 2018)</w:t>
      </w:r>
      <w:r w:rsidR="001167D9">
        <w:rPr>
          <w:sz w:val="22"/>
          <w:szCs w:val="22"/>
        </w:rPr>
        <w:t>.</w:t>
      </w:r>
    </w:p>
    <w:p w14:paraId="5FFB414F" w14:textId="77777777" w:rsidR="002E3422" w:rsidRPr="008D01AB" w:rsidRDefault="002E3422" w:rsidP="000C7844">
      <w:pPr>
        <w:rPr>
          <w:rFonts w:ascii="Times New Roman" w:hAnsi="Times New Roman"/>
          <w:iCs/>
          <w:sz w:val="22"/>
          <w:szCs w:val="22"/>
        </w:rPr>
      </w:pPr>
    </w:p>
    <w:p w14:paraId="3AC6AC2E" w14:textId="622CC749" w:rsidR="009C1531" w:rsidRDefault="001704D2" w:rsidP="000C7844">
      <w:pPr>
        <w:rPr>
          <w:rFonts w:ascii="Times New Roman" w:hAnsi="Times New Roman"/>
          <w:iCs/>
          <w:sz w:val="22"/>
          <w:szCs w:val="22"/>
        </w:rPr>
      </w:pPr>
      <w:r w:rsidRPr="008D01AB">
        <w:rPr>
          <w:rFonts w:ascii="Times New Roman" w:hAnsi="Times New Roman"/>
          <w:iCs/>
          <w:sz w:val="22"/>
          <w:szCs w:val="22"/>
        </w:rPr>
        <w:t>The</w:t>
      </w:r>
      <w:r w:rsidR="007C09FE">
        <w:rPr>
          <w:rFonts w:ascii="Times New Roman" w:hAnsi="Times New Roman"/>
          <w:iCs/>
          <w:sz w:val="22"/>
          <w:szCs w:val="22"/>
        </w:rPr>
        <w:t>se documents are published by the TGA and are</w:t>
      </w:r>
      <w:r w:rsidRPr="008D01AB">
        <w:rPr>
          <w:rFonts w:ascii="Times New Roman" w:hAnsi="Times New Roman"/>
          <w:iCs/>
          <w:sz w:val="22"/>
          <w:szCs w:val="22"/>
        </w:rPr>
        <w:t xml:space="preserve"> freely available on the TGA website at </w:t>
      </w:r>
      <w:r w:rsidR="001167D9" w:rsidRPr="009E270B">
        <w:rPr>
          <w:rFonts w:ascii="Times New Roman" w:hAnsi="Times New Roman"/>
          <w:iCs/>
          <w:sz w:val="22"/>
          <w:szCs w:val="22"/>
        </w:rPr>
        <w:t>www.tga.gov.au</w:t>
      </w:r>
      <w:r w:rsidRPr="008D01AB">
        <w:rPr>
          <w:rFonts w:ascii="Times New Roman" w:hAnsi="Times New Roman"/>
          <w:iCs/>
          <w:sz w:val="22"/>
          <w:szCs w:val="22"/>
        </w:rPr>
        <w:t>.</w:t>
      </w:r>
    </w:p>
    <w:p w14:paraId="20ACB258" w14:textId="0FC8EC69" w:rsidR="007C09FE" w:rsidRDefault="007C09FE" w:rsidP="000C7844">
      <w:pPr>
        <w:rPr>
          <w:rFonts w:ascii="Times New Roman" w:hAnsi="Times New Roman"/>
          <w:iCs/>
          <w:sz w:val="22"/>
          <w:szCs w:val="22"/>
        </w:rPr>
      </w:pPr>
    </w:p>
    <w:p w14:paraId="2A2235D0" w14:textId="320372A0" w:rsidR="007C09FE" w:rsidRPr="007C09FE" w:rsidRDefault="007C09FE" w:rsidP="000C7844">
      <w:pPr>
        <w:rPr>
          <w:rFonts w:ascii="Times New Roman" w:hAnsi="Times New Roman"/>
          <w:iCs/>
          <w:sz w:val="22"/>
          <w:szCs w:val="22"/>
        </w:rPr>
      </w:pPr>
      <w:r>
        <w:rPr>
          <w:rFonts w:ascii="Times New Roman" w:hAnsi="Times New Roman"/>
          <w:iCs/>
          <w:sz w:val="22"/>
          <w:szCs w:val="22"/>
        </w:rPr>
        <w:t xml:space="preserve">Both these documents are incorporated as in force or existing on 1 February 2023, the date of commencement of the Determination, in accordance with paragraph 14(1)(b) of the </w:t>
      </w:r>
      <w:r>
        <w:rPr>
          <w:rFonts w:ascii="Times New Roman" w:hAnsi="Times New Roman"/>
          <w:i/>
          <w:sz w:val="22"/>
          <w:szCs w:val="22"/>
        </w:rPr>
        <w:t>Legislation Act 2003</w:t>
      </w:r>
      <w:r>
        <w:rPr>
          <w:rFonts w:ascii="Times New Roman" w:hAnsi="Times New Roman"/>
          <w:iCs/>
          <w:sz w:val="22"/>
          <w:szCs w:val="22"/>
        </w:rPr>
        <w:t xml:space="preserve"> (“the Legislation Act”).</w:t>
      </w:r>
    </w:p>
    <w:p w14:paraId="06EB1FDB" w14:textId="0E4D9755" w:rsidR="009C1531" w:rsidRPr="008D01AB" w:rsidRDefault="009C1531" w:rsidP="000C7844">
      <w:pPr>
        <w:rPr>
          <w:rFonts w:ascii="Times New Roman" w:hAnsi="Times New Roman"/>
          <w:iCs/>
          <w:sz w:val="22"/>
          <w:szCs w:val="22"/>
        </w:rPr>
      </w:pPr>
    </w:p>
    <w:p w14:paraId="51B34B94" w14:textId="638B759E" w:rsidR="00E724C0" w:rsidRPr="008D01AB" w:rsidRDefault="00E724C0" w:rsidP="000C7844">
      <w:pPr>
        <w:rPr>
          <w:rFonts w:ascii="Times New Roman" w:hAnsi="Times New Roman"/>
          <w:b/>
          <w:bCs/>
          <w:iCs/>
          <w:sz w:val="22"/>
          <w:szCs w:val="22"/>
        </w:rPr>
      </w:pPr>
      <w:r w:rsidRPr="008D01AB">
        <w:rPr>
          <w:rFonts w:ascii="Times New Roman" w:hAnsi="Times New Roman"/>
          <w:b/>
          <w:bCs/>
          <w:iCs/>
          <w:sz w:val="22"/>
          <w:szCs w:val="22"/>
        </w:rPr>
        <w:t>Consultation</w:t>
      </w:r>
    </w:p>
    <w:p w14:paraId="6328890E" w14:textId="371FFC76" w:rsidR="00E724C0" w:rsidRPr="008D01AB" w:rsidRDefault="00E724C0" w:rsidP="000C7844">
      <w:pPr>
        <w:rPr>
          <w:rFonts w:ascii="Times New Roman" w:hAnsi="Times New Roman"/>
          <w:iCs/>
          <w:sz w:val="22"/>
          <w:szCs w:val="22"/>
        </w:rPr>
      </w:pPr>
    </w:p>
    <w:p w14:paraId="7736D330" w14:textId="3831AF51" w:rsidR="00A244FF" w:rsidRPr="008D01AB" w:rsidRDefault="00A244FF" w:rsidP="000C7844">
      <w:pPr>
        <w:rPr>
          <w:rFonts w:ascii="Times New Roman" w:hAnsi="Times New Roman"/>
          <w:iCs/>
          <w:sz w:val="22"/>
          <w:szCs w:val="22"/>
        </w:rPr>
      </w:pPr>
      <w:r w:rsidRPr="008D01AB">
        <w:rPr>
          <w:rFonts w:ascii="Times New Roman" w:hAnsi="Times New Roman"/>
          <w:iCs/>
          <w:sz w:val="22"/>
          <w:szCs w:val="22"/>
        </w:rPr>
        <w:t>The Mandatory Requirements Document has been implemented in</w:t>
      </w:r>
      <w:r w:rsidR="00B072E9">
        <w:rPr>
          <w:rFonts w:ascii="Times New Roman" w:hAnsi="Times New Roman"/>
          <w:iCs/>
          <w:sz w:val="22"/>
          <w:szCs w:val="22"/>
        </w:rPr>
        <w:t xml:space="preserve"> close</w:t>
      </w:r>
      <w:r w:rsidRPr="008D01AB">
        <w:rPr>
          <w:rFonts w:ascii="Times New Roman" w:hAnsi="Times New Roman"/>
          <w:iCs/>
          <w:sz w:val="22"/>
          <w:szCs w:val="22"/>
        </w:rPr>
        <w:t xml:space="preserve"> consultation with the Complementary and OTC Medicines Regulatory and Technical Consultative Forum (“ComTech”). ComTech is a forum that facilitates consultation between the TGA and representatives from the complementary and OTC medicines industries including Accord Australia, the Association of Therapeutic Goods Consultants, Complementary Medicines Australia, and Consumer Health Products Australia</w:t>
      </w:r>
      <w:r w:rsidR="00322390">
        <w:rPr>
          <w:rFonts w:ascii="Times New Roman" w:hAnsi="Times New Roman"/>
          <w:iCs/>
          <w:sz w:val="22"/>
          <w:szCs w:val="22"/>
        </w:rPr>
        <w:t>.</w:t>
      </w:r>
    </w:p>
    <w:p w14:paraId="641B3E01" w14:textId="77777777" w:rsidR="005149CB" w:rsidRPr="008D01AB" w:rsidRDefault="005149CB" w:rsidP="000C7844">
      <w:pPr>
        <w:rPr>
          <w:rFonts w:ascii="Times New Roman" w:hAnsi="Times New Roman"/>
          <w:iCs/>
          <w:sz w:val="22"/>
          <w:szCs w:val="22"/>
        </w:rPr>
      </w:pPr>
    </w:p>
    <w:p w14:paraId="338999E4" w14:textId="7FAAE1D7" w:rsidR="0052066F" w:rsidRDefault="005149CB" w:rsidP="000C7844">
      <w:pPr>
        <w:rPr>
          <w:rFonts w:ascii="Times New Roman" w:hAnsi="Times New Roman"/>
          <w:iCs/>
          <w:sz w:val="22"/>
          <w:szCs w:val="22"/>
        </w:rPr>
      </w:pPr>
      <w:r w:rsidRPr="008D01AB">
        <w:rPr>
          <w:rFonts w:ascii="Times New Roman" w:hAnsi="Times New Roman"/>
          <w:iCs/>
          <w:sz w:val="22"/>
          <w:szCs w:val="22"/>
        </w:rPr>
        <w:t xml:space="preserve">ComTech members were first notified of the development of the Mandatory Requirements Document in October 2019. Between September 2020 and September 2022, the TGA engaged with ComTech members to </w:t>
      </w:r>
      <w:r w:rsidR="007C09FE">
        <w:rPr>
          <w:rFonts w:ascii="Times New Roman" w:hAnsi="Times New Roman"/>
          <w:iCs/>
          <w:sz w:val="22"/>
          <w:szCs w:val="22"/>
        </w:rPr>
        <w:t>obtain</w:t>
      </w:r>
      <w:r w:rsidR="007C09FE" w:rsidRPr="008D01AB">
        <w:rPr>
          <w:rFonts w:ascii="Times New Roman" w:hAnsi="Times New Roman"/>
          <w:iCs/>
          <w:sz w:val="22"/>
          <w:szCs w:val="22"/>
        </w:rPr>
        <w:t xml:space="preserve"> </w:t>
      </w:r>
      <w:r w:rsidRPr="008D01AB">
        <w:rPr>
          <w:rFonts w:ascii="Times New Roman" w:hAnsi="Times New Roman"/>
          <w:iCs/>
          <w:sz w:val="22"/>
          <w:szCs w:val="22"/>
        </w:rPr>
        <w:t>feedback over three iterations of the draft</w:t>
      </w:r>
      <w:r w:rsidR="002E152B" w:rsidRPr="008D01AB">
        <w:rPr>
          <w:rFonts w:ascii="Times New Roman" w:hAnsi="Times New Roman"/>
          <w:iCs/>
          <w:sz w:val="22"/>
          <w:szCs w:val="22"/>
        </w:rPr>
        <w:t xml:space="preserve"> </w:t>
      </w:r>
      <w:r w:rsidRPr="008D01AB">
        <w:rPr>
          <w:rFonts w:ascii="Times New Roman" w:hAnsi="Times New Roman"/>
          <w:iCs/>
          <w:sz w:val="22"/>
          <w:szCs w:val="22"/>
        </w:rPr>
        <w:t xml:space="preserve">Mandatory Requirements Document. This included five working group sessions held between February and March 2021, where discussions concerning the </w:t>
      </w:r>
      <w:r w:rsidR="00FF2C9D">
        <w:rPr>
          <w:rFonts w:ascii="Times New Roman" w:hAnsi="Times New Roman"/>
          <w:iCs/>
          <w:sz w:val="22"/>
          <w:szCs w:val="22"/>
        </w:rPr>
        <w:t>m</w:t>
      </w:r>
      <w:r w:rsidR="00FF2C9D" w:rsidRPr="008D01AB">
        <w:rPr>
          <w:rFonts w:ascii="Times New Roman" w:hAnsi="Times New Roman"/>
          <w:iCs/>
          <w:sz w:val="22"/>
          <w:szCs w:val="22"/>
        </w:rPr>
        <w:t xml:space="preserve">andatory </w:t>
      </w:r>
      <w:r w:rsidR="00FF2C9D">
        <w:rPr>
          <w:rFonts w:ascii="Times New Roman" w:hAnsi="Times New Roman"/>
          <w:iCs/>
          <w:sz w:val="22"/>
          <w:szCs w:val="22"/>
        </w:rPr>
        <w:t>r</w:t>
      </w:r>
      <w:r w:rsidR="00FF2C9D" w:rsidRPr="008D01AB">
        <w:rPr>
          <w:rFonts w:ascii="Times New Roman" w:hAnsi="Times New Roman"/>
          <w:iCs/>
          <w:sz w:val="22"/>
          <w:szCs w:val="22"/>
        </w:rPr>
        <w:t xml:space="preserve">equirements </w:t>
      </w:r>
      <w:r w:rsidRPr="008D01AB">
        <w:rPr>
          <w:rFonts w:ascii="Times New Roman" w:hAnsi="Times New Roman"/>
          <w:iCs/>
          <w:sz w:val="22"/>
          <w:szCs w:val="22"/>
        </w:rPr>
        <w:t>were held with ComTech members</w:t>
      </w:r>
      <w:r w:rsidR="003C52AD">
        <w:rPr>
          <w:rFonts w:ascii="Times New Roman" w:hAnsi="Times New Roman"/>
          <w:iCs/>
          <w:sz w:val="22"/>
          <w:szCs w:val="22"/>
        </w:rPr>
        <w:t>,</w:t>
      </w:r>
      <w:r w:rsidRPr="008D01AB">
        <w:rPr>
          <w:rFonts w:ascii="Times New Roman" w:hAnsi="Times New Roman"/>
          <w:iCs/>
          <w:sz w:val="22"/>
          <w:szCs w:val="22"/>
        </w:rPr>
        <w:t xml:space="preserve"> and invited industry </w:t>
      </w:r>
      <w:r w:rsidR="0022509A">
        <w:rPr>
          <w:rFonts w:ascii="Times New Roman" w:hAnsi="Times New Roman"/>
          <w:iCs/>
          <w:sz w:val="22"/>
          <w:szCs w:val="22"/>
        </w:rPr>
        <w:t xml:space="preserve">expert </w:t>
      </w:r>
      <w:r w:rsidRPr="008D01AB">
        <w:rPr>
          <w:rFonts w:ascii="Times New Roman" w:hAnsi="Times New Roman"/>
          <w:iCs/>
          <w:sz w:val="22"/>
          <w:szCs w:val="22"/>
        </w:rPr>
        <w:t>representatives</w:t>
      </w:r>
      <w:r w:rsidR="003C52AD">
        <w:rPr>
          <w:rFonts w:ascii="Times New Roman" w:hAnsi="Times New Roman"/>
          <w:iCs/>
          <w:sz w:val="22"/>
          <w:szCs w:val="22"/>
        </w:rPr>
        <w:t>,</w:t>
      </w:r>
      <w:r w:rsidRPr="008D01AB">
        <w:rPr>
          <w:rFonts w:ascii="Times New Roman" w:hAnsi="Times New Roman"/>
          <w:iCs/>
          <w:sz w:val="22"/>
          <w:szCs w:val="22"/>
        </w:rPr>
        <w:t xml:space="preserve"> </w:t>
      </w:r>
      <w:r w:rsidR="001E0207" w:rsidRPr="008D01AB">
        <w:rPr>
          <w:rFonts w:ascii="Times New Roman" w:hAnsi="Times New Roman"/>
          <w:iCs/>
          <w:sz w:val="22"/>
          <w:szCs w:val="22"/>
        </w:rPr>
        <w:t>to refine</w:t>
      </w:r>
      <w:r w:rsidR="00BC456C" w:rsidRPr="008D01AB">
        <w:rPr>
          <w:rFonts w:ascii="Times New Roman" w:hAnsi="Times New Roman"/>
          <w:iCs/>
          <w:sz w:val="22"/>
          <w:szCs w:val="22"/>
        </w:rPr>
        <w:t xml:space="preserve"> the</w:t>
      </w:r>
      <w:r w:rsidR="001E0207" w:rsidRPr="008D01AB">
        <w:rPr>
          <w:rFonts w:ascii="Times New Roman" w:hAnsi="Times New Roman"/>
          <w:iCs/>
          <w:sz w:val="22"/>
          <w:szCs w:val="22"/>
        </w:rPr>
        <w:t xml:space="preserve"> document</w:t>
      </w:r>
      <w:r w:rsidR="00D14DE6">
        <w:rPr>
          <w:rFonts w:ascii="Times New Roman" w:hAnsi="Times New Roman"/>
          <w:iCs/>
          <w:sz w:val="22"/>
          <w:szCs w:val="22"/>
        </w:rPr>
        <w:t xml:space="preserve"> and associated guidance</w:t>
      </w:r>
      <w:r w:rsidR="001E0207" w:rsidRPr="008D01AB">
        <w:rPr>
          <w:rFonts w:ascii="Times New Roman" w:hAnsi="Times New Roman"/>
          <w:iCs/>
          <w:sz w:val="22"/>
          <w:szCs w:val="22"/>
        </w:rPr>
        <w:t>.</w:t>
      </w:r>
    </w:p>
    <w:p w14:paraId="27D9FD6D" w14:textId="77777777" w:rsidR="0052066F" w:rsidRDefault="0052066F" w:rsidP="000C7844">
      <w:pPr>
        <w:rPr>
          <w:rFonts w:ascii="Times New Roman" w:hAnsi="Times New Roman"/>
          <w:iCs/>
          <w:sz w:val="22"/>
          <w:szCs w:val="22"/>
        </w:rPr>
      </w:pPr>
    </w:p>
    <w:p w14:paraId="7F058A1D" w14:textId="5521FF67" w:rsidR="002E152B" w:rsidRPr="008D01AB" w:rsidRDefault="00EB394D" w:rsidP="000C7844">
      <w:pPr>
        <w:rPr>
          <w:rFonts w:ascii="Times New Roman" w:hAnsi="Times New Roman"/>
          <w:iCs/>
          <w:sz w:val="22"/>
          <w:szCs w:val="22"/>
        </w:rPr>
      </w:pPr>
      <w:r>
        <w:rPr>
          <w:rFonts w:ascii="Times New Roman" w:hAnsi="Times New Roman"/>
          <w:iCs/>
          <w:sz w:val="22"/>
          <w:szCs w:val="22"/>
        </w:rPr>
        <w:t xml:space="preserve">The TGA also engaged with other </w:t>
      </w:r>
      <w:r w:rsidR="003A62C8">
        <w:rPr>
          <w:rFonts w:ascii="Times New Roman" w:hAnsi="Times New Roman"/>
          <w:iCs/>
          <w:sz w:val="22"/>
          <w:szCs w:val="22"/>
        </w:rPr>
        <w:t>C</w:t>
      </w:r>
      <w:r>
        <w:rPr>
          <w:rFonts w:ascii="Times New Roman" w:hAnsi="Times New Roman"/>
          <w:iCs/>
          <w:sz w:val="22"/>
          <w:szCs w:val="22"/>
        </w:rPr>
        <w:t>ommonwealth regulators</w:t>
      </w:r>
      <w:r w:rsidR="009F3CD3">
        <w:rPr>
          <w:rFonts w:ascii="Times New Roman" w:hAnsi="Times New Roman"/>
          <w:iCs/>
          <w:sz w:val="22"/>
          <w:szCs w:val="22"/>
        </w:rPr>
        <w:t xml:space="preserve"> during this period</w:t>
      </w:r>
      <w:r>
        <w:rPr>
          <w:rFonts w:ascii="Times New Roman" w:hAnsi="Times New Roman"/>
          <w:iCs/>
          <w:sz w:val="22"/>
          <w:szCs w:val="22"/>
        </w:rPr>
        <w:t xml:space="preserve"> (F</w:t>
      </w:r>
      <w:r w:rsidR="0052066F" w:rsidRPr="0052066F">
        <w:rPr>
          <w:rFonts w:ascii="Times New Roman" w:hAnsi="Times New Roman"/>
          <w:iCs/>
          <w:sz w:val="22"/>
          <w:szCs w:val="22"/>
        </w:rPr>
        <w:t>ood Standards Australia New Zealand</w:t>
      </w:r>
      <w:r>
        <w:rPr>
          <w:rFonts w:ascii="Times New Roman" w:hAnsi="Times New Roman"/>
          <w:iCs/>
          <w:sz w:val="22"/>
          <w:szCs w:val="22"/>
        </w:rPr>
        <w:t xml:space="preserve">, </w:t>
      </w:r>
      <w:r w:rsidR="0052066F">
        <w:rPr>
          <w:rFonts w:ascii="Times New Roman" w:hAnsi="Times New Roman"/>
          <w:iCs/>
          <w:sz w:val="22"/>
          <w:szCs w:val="22"/>
        </w:rPr>
        <w:t xml:space="preserve">the </w:t>
      </w:r>
      <w:r>
        <w:rPr>
          <w:rFonts w:ascii="Times New Roman" w:hAnsi="Times New Roman"/>
          <w:iCs/>
          <w:sz w:val="22"/>
          <w:szCs w:val="22"/>
        </w:rPr>
        <w:t>A</w:t>
      </w:r>
      <w:r w:rsidR="0052066F" w:rsidRPr="0052066F">
        <w:rPr>
          <w:rFonts w:ascii="Times New Roman" w:hAnsi="Times New Roman"/>
          <w:iCs/>
          <w:sz w:val="22"/>
          <w:szCs w:val="22"/>
        </w:rPr>
        <w:t>ustralian Industrial Chemicals Introduction Scheme</w:t>
      </w:r>
      <w:r w:rsidR="003A62C8">
        <w:rPr>
          <w:rFonts w:ascii="Times New Roman" w:hAnsi="Times New Roman"/>
          <w:iCs/>
          <w:sz w:val="22"/>
          <w:szCs w:val="22"/>
        </w:rPr>
        <w:t>,</w:t>
      </w:r>
      <w:r w:rsidR="005A0D54">
        <w:rPr>
          <w:rFonts w:ascii="Times New Roman" w:hAnsi="Times New Roman"/>
          <w:iCs/>
          <w:sz w:val="22"/>
          <w:szCs w:val="22"/>
        </w:rPr>
        <w:t xml:space="preserve"> and</w:t>
      </w:r>
      <w:r w:rsidR="003A62C8" w:rsidRPr="003A62C8">
        <w:rPr>
          <w:rFonts w:ascii="Times New Roman" w:hAnsi="Times New Roman"/>
          <w:iCs/>
          <w:sz w:val="22"/>
          <w:szCs w:val="22"/>
        </w:rPr>
        <w:t xml:space="preserve"> </w:t>
      </w:r>
      <w:r w:rsidR="0052066F">
        <w:rPr>
          <w:rFonts w:ascii="Times New Roman" w:hAnsi="Times New Roman"/>
          <w:iCs/>
          <w:sz w:val="22"/>
          <w:szCs w:val="22"/>
        </w:rPr>
        <w:t xml:space="preserve">the </w:t>
      </w:r>
      <w:r w:rsidR="0052066F" w:rsidRPr="0052066F">
        <w:rPr>
          <w:rFonts w:ascii="Times New Roman" w:hAnsi="Times New Roman"/>
          <w:iCs/>
          <w:sz w:val="22"/>
          <w:szCs w:val="22"/>
        </w:rPr>
        <w:t>Office of the Gene Technology Regulator</w:t>
      </w:r>
      <w:r>
        <w:rPr>
          <w:rFonts w:ascii="Times New Roman" w:hAnsi="Times New Roman"/>
          <w:iCs/>
          <w:sz w:val="22"/>
          <w:szCs w:val="22"/>
        </w:rPr>
        <w:t>)</w:t>
      </w:r>
      <w:r w:rsidR="009F3CD3">
        <w:rPr>
          <w:rFonts w:ascii="Times New Roman" w:hAnsi="Times New Roman"/>
          <w:iCs/>
          <w:sz w:val="22"/>
          <w:szCs w:val="22"/>
        </w:rPr>
        <w:t>, international regulators (H</w:t>
      </w:r>
      <w:r w:rsidR="0052066F">
        <w:rPr>
          <w:rFonts w:ascii="Times New Roman" w:hAnsi="Times New Roman"/>
          <w:iCs/>
          <w:sz w:val="22"/>
          <w:szCs w:val="22"/>
        </w:rPr>
        <w:t xml:space="preserve">ealth </w:t>
      </w:r>
      <w:r w:rsidR="009F3CD3">
        <w:rPr>
          <w:rFonts w:ascii="Times New Roman" w:hAnsi="Times New Roman"/>
          <w:iCs/>
          <w:sz w:val="22"/>
          <w:szCs w:val="22"/>
        </w:rPr>
        <w:t>S</w:t>
      </w:r>
      <w:r w:rsidR="0052066F">
        <w:rPr>
          <w:rFonts w:ascii="Times New Roman" w:hAnsi="Times New Roman"/>
          <w:iCs/>
          <w:sz w:val="22"/>
          <w:szCs w:val="22"/>
        </w:rPr>
        <w:t xml:space="preserve">ciences </w:t>
      </w:r>
      <w:r w:rsidR="009F3CD3">
        <w:rPr>
          <w:rFonts w:ascii="Times New Roman" w:hAnsi="Times New Roman"/>
          <w:iCs/>
          <w:sz w:val="22"/>
          <w:szCs w:val="22"/>
        </w:rPr>
        <w:t>A</w:t>
      </w:r>
      <w:r w:rsidR="0052066F">
        <w:rPr>
          <w:rFonts w:ascii="Times New Roman" w:hAnsi="Times New Roman"/>
          <w:iCs/>
          <w:sz w:val="22"/>
          <w:szCs w:val="22"/>
        </w:rPr>
        <w:t>uthority</w:t>
      </w:r>
      <w:r w:rsidR="0078350E">
        <w:rPr>
          <w:rFonts w:ascii="Times New Roman" w:hAnsi="Times New Roman"/>
          <w:iCs/>
          <w:sz w:val="22"/>
          <w:szCs w:val="22"/>
        </w:rPr>
        <w:t xml:space="preserve"> of Singapore</w:t>
      </w:r>
      <w:r w:rsidR="0052066F">
        <w:rPr>
          <w:rFonts w:ascii="Times New Roman" w:hAnsi="Times New Roman"/>
          <w:iCs/>
          <w:sz w:val="22"/>
          <w:szCs w:val="22"/>
        </w:rPr>
        <w:t xml:space="preserve"> and Health Canada</w:t>
      </w:r>
      <w:r w:rsidR="009F3CD3">
        <w:rPr>
          <w:rFonts w:ascii="Times New Roman" w:hAnsi="Times New Roman"/>
          <w:iCs/>
          <w:sz w:val="22"/>
          <w:szCs w:val="22"/>
        </w:rPr>
        <w:t xml:space="preserve">), the Advisory Committee on Complementary Medicines, and </w:t>
      </w:r>
      <w:r w:rsidR="0052066F">
        <w:rPr>
          <w:rFonts w:ascii="Times New Roman" w:hAnsi="Times New Roman"/>
          <w:iCs/>
          <w:sz w:val="22"/>
          <w:szCs w:val="22"/>
        </w:rPr>
        <w:t>other professional organisations</w:t>
      </w:r>
      <w:r w:rsidR="009F3CD3">
        <w:rPr>
          <w:rFonts w:ascii="Times New Roman" w:hAnsi="Times New Roman"/>
          <w:iCs/>
          <w:sz w:val="22"/>
          <w:szCs w:val="22"/>
        </w:rPr>
        <w:t xml:space="preserve"> (</w:t>
      </w:r>
      <w:r w:rsidR="0078350E">
        <w:rPr>
          <w:rFonts w:ascii="Times New Roman" w:hAnsi="Times New Roman"/>
          <w:iCs/>
          <w:sz w:val="22"/>
          <w:szCs w:val="22"/>
        </w:rPr>
        <w:t xml:space="preserve">including the </w:t>
      </w:r>
      <w:r w:rsidR="009F3CD3" w:rsidRPr="009F3CD3">
        <w:rPr>
          <w:rFonts w:ascii="Times New Roman" w:hAnsi="Times New Roman"/>
          <w:iCs/>
          <w:sz w:val="22"/>
          <w:szCs w:val="22"/>
        </w:rPr>
        <w:t>Australian Society for Microbiology</w:t>
      </w:r>
      <w:r w:rsidR="009F3CD3">
        <w:rPr>
          <w:rFonts w:ascii="Times New Roman" w:hAnsi="Times New Roman"/>
          <w:iCs/>
          <w:sz w:val="22"/>
          <w:szCs w:val="22"/>
        </w:rPr>
        <w:t>)</w:t>
      </w:r>
      <w:r>
        <w:rPr>
          <w:rFonts w:ascii="Times New Roman" w:hAnsi="Times New Roman"/>
          <w:iCs/>
          <w:sz w:val="22"/>
          <w:szCs w:val="22"/>
        </w:rPr>
        <w:t xml:space="preserve"> for the purposes of ensuring </w:t>
      </w:r>
      <w:r w:rsidR="003C52AD">
        <w:rPr>
          <w:rFonts w:ascii="Times New Roman" w:hAnsi="Times New Roman"/>
          <w:iCs/>
          <w:sz w:val="22"/>
          <w:szCs w:val="22"/>
        </w:rPr>
        <w:t xml:space="preserve">that </w:t>
      </w:r>
      <w:r w:rsidR="009F3CD3">
        <w:rPr>
          <w:rFonts w:ascii="Times New Roman" w:hAnsi="Times New Roman"/>
          <w:iCs/>
          <w:sz w:val="22"/>
          <w:szCs w:val="22"/>
        </w:rPr>
        <w:t xml:space="preserve">specific technical aspects of </w:t>
      </w:r>
      <w:r>
        <w:rPr>
          <w:rFonts w:ascii="Times New Roman" w:hAnsi="Times New Roman"/>
          <w:iCs/>
          <w:sz w:val="22"/>
          <w:szCs w:val="22"/>
        </w:rPr>
        <w:t xml:space="preserve">the data requirements were fit for purpose. </w:t>
      </w:r>
      <w:r w:rsidR="009F3CD3">
        <w:rPr>
          <w:rFonts w:ascii="Times New Roman" w:hAnsi="Times New Roman"/>
          <w:iCs/>
          <w:sz w:val="22"/>
          <w:szCs w:val="22"/>
        </w:rPr>
        <w:t>This i</w:t>
      </w:r>
      <w:r>
        <w:rPr>
          <w:rFonts w:ascii="Times New Roman" w:hAnsi="Times New Roman"/>
          <w:iCs/>
          <w:sz w:val="22"/>
          <w:szCs w:val="22"/>
        </w:rPr>
        <w:t xml:space="preserve">nput was </w:t>
      </w:r>
      <w:r w:rsidR="0052066F">
        <w:rPr>
          <w:rFonts w:ascii="Times New Roman" w:hAnsi="Times New Roman"/>
          <w:iCs/>
          <w:sz w:val="22"/>
          <w:szCs w:val="22"/>
        </w:rPr>
        <w:t xml:space="preserve">collectively </w:t>
      </w:r>
      <w:r>
        <w:rPr>
          <w:rFonts w:ascii="Times New Roman" w:hAnsi="Times New Roman"/>
          <w:iCs/>
          <w:sz w:val="22"/>
          <w:szCs w:val="22"/>
        </w:rPr>
        <w:t xml:space="preserve">used to </w:t>
      </w:r>
      <w:r w:rsidR="003A62C8">
        <w:rPr>
          <w:rFonts w:ascii="Times New Roman" w:hAnsi="Times New Roman"/>
          <w:iCs/>
          <w:sz w:val="22"/>
          <w:szCs w:val="22"/>
        </w:rPr>
        <w:t xml:space="preserve">develop the </w:t>
      </w:r>
      <w:r w:rsidR="0052066F">
        <w:rPr>
          <w:rFonts w:ascii="Times New Roman" w:hAnsi="Times New Roman"/>
          <w:iCs/>
          <w:sz w:val="22"/>
          <w:szCs w:val="22"/>
        </w:rPr>
        <w:t>Mandatory Requirements Document</w:t>
      </w:r>
      <w:r w:rsidR="003C52AD">
        <w:rPr>
          <w:rFonts w:ascii="Times New Roman" w:hAnsi="Times New Roman"/>
          <w:iCs/>
          <w:sz w:val="22"/>
          <w:szCs w:val="22"/>
        </w:rPr>
        <w:t>,</w:t>
      </w:r>
      <w:r w:rsidR="0052066F">
        <w:rPr>
          <w:rFonts w:ascii="Times New Roman" w:hAnsi="Times New Roman"/>
          <w:iCs/>
          <w:sz w:val="22"/>
          <w:szCs w:val="22"/>
        </w:rPr>
        <w:t xml:space="preserve"> and associated guidance</w:t>
      </w:r>
      <w:r>
        <w:rPr>
          <w:rFonts w:ascii="Times New Roman" w:hAnsi="Times New Roman"/>
          <w:iCs/>
          <w:sz w:val="22"/>
          <w:szCs w:val="22"/>
        </w:rPr>
        <w:t>.</w:t>
      </w:r>
    </w:p>
    <w:p w14:paraId="462ADC71" w14:textId="7557AC45" w:rsidR="00BC456C" w:rsidRPr="008D01AB" w:rsidRDefault="00BC456C" w:rsidP="000C7844">
      <w:pPr>
        <w:rPr>
          <w:rFonts w:ascii="Times New Roman" w:hAnsi="Times New Roman"/>
          <w:iCs/>
          <w:sz w:val="22"/>
          <w:szCs w:val="22"/>
        </w:rPr>
      </w:pPr>
    </w:p>
    <w:p w14:paraId="3F78CF5F" w14:textId="144FF6D3" w:rsidR="00BC456C" w:rsidRDefault="00BD7817" w:rsidP="000C7844">
      <w:pPr>
        <w:rPr>
          <w:rFonts w:ascii="Times New Roman" w:hAnsi="Times New Roman"/>
          <w:iCs/>
          <w:sz w:val="22"/>
          <w:szCs w:val="22"/>
        </w:rPr>
      </w:pPr>
      <w:r w:rsidRPr="008D01AB">
        <w:rPr>
          <w:rFonts w:ascii="Times New Roman" w:hAnsi="Times New Roman"/>
          <w:iCs/>
          <w:sz w:val="22"/>
          <w:szCs w:val="22"/>
        </w:rPr>
        <w:t xml:space="preserve">The TGA provided </w:t>
      </w:r>
      <w:proofErr w:type="spellStart"/>
      <w:r w:rsidRPr="008D01AB">
        <w:rPr>
          <w:rFonts w:ascii="Times New Roman" w:hAnsi="Times New Roman"/>
          <w:iCs/>
          <w:sz w:val="22"/>
          <w:szCs w:val="22"/>
        </w:rPr>
        <w:t>ComTech</w:t>
      </w:r>
      <w:proofErr w:type="spellEnd"/>
      <w:r w:rsidRPr="008D01AB">
        <w:rPr>
          <w:rFonts w:ascii="Times New Roman" w:hAnsi="Times New Roman"/>
          <w:iCs/>
          <w:sz w:val="22"/>
          <w:szCs w:val="22"/>
        </w:rPr>
        <w:t xml:space="preserve"> members with </w:t>
      </w:r>
      <w:r w:rsidR="003C52AD">
        <w:rPr>
          <w:rFonts w:ascii="Times New Roman" w:hAnsi="Times New Roman"/>
          <w:iCs/>
          <w:sz w:val="22"/>
          <w:szCs w:val="22"/>
        </w:rPr>
        <w:t>a</w:t>
      </w:r>
      <w:r w:rsidRPr="008D01AB">
        <w:rPr>
          <w:rFonts w:ascii="Times New Roman" w:hAnsi="Times New Roman"/>
          <w:iCs/>
          <w:sz w:val="22"/>
          <w:szCs w:val="22"/>
        </w:rPr>
        <w:t xml:space="preserve"> final</w:t>
      </w:r>
      <w:r w:rsidR="003F4E2A">
        <w:rPr>
          <w:rFonts w:ascii="Times New Roman" w:hAnsi="Times New Roman"/>
          <w:iCs/>
          <w:sz w:val="22"/>
          <w:szCs w:val="22"/>
        </w:rPr>
        <w:t xml:space="preserve"> draft of the</w:t>
      </w:r>
      <w:r w:rsidRPr="008D01AB">
        <w:rPr>
          <w:rFonts w:ascii="Times New Roman" w:hAnsi="Times New Roman"/>
          <w:iCs/>
          <w:sz w:val="22"/>
          <w:szCs w:val="22"/>
        </w:rPr>
        <w:t xml:space="preserve"> Mandatory Requirements Document in September 2022</w:t>
      </w:r>
      <w:r w:rsidR="00B072E9">
        <w:rPr>
          <w:rFonts w:ascii="Times New Roman" w:hAnsi="Times New Roman"/>
          <w:iCs/>
          <w:sz w:val="22"/>
          <w:szCs w:val="22"/>
        </w:rPr>
        <w:t xml:space="preserve">. </w:t>
      </w:r>
      <w:r w:rsidR="0022509A">
        <w:rPr>
          <w:rFonts w:ascii="Times New Roman" w:hAnsi="Times New Roman"/>
          <w:iCs/>
          <w:sz w:val="22"/>
          <w:szCs w:val="22"/>
        </w:rPr>
        <w:t xml:space="preserve">The TGA made amendments </w:t>
      </w:r>
      <w:r w:rsidR="00B072E9">
        <w:rPr>
          <w:rFonts w:ascii="Times New Roman" w:hAnsi="Times New Roman"/>
          <w:iCs/>
          <w:sz w:val="22"/>
          <w:szCs w:val="22"/>
        </w:rPr>
        <w:t>to incorporate feedback provided by members during the consultation period</w:t>
      </w:r>
      <w:r w:rsidR="0022509A">
        <w:rPr>
          <w:rFonts w:ascii="Times New Roman" w:hAnsi="Times New Roman"/>
          <w:iCs/>
          <w:sz w:val="22"/>
          <w:szCs w:val="22"/>
        </w:rPr>
        <w:t>.</w:t>
      </w:r>
      <w:r w:rsidR="0022509A" w:rsidRPr="0022509A">
        <w:rPr>
          <w:rFonts w:ascii="Times New Roman" w:hAnsi="Times New Roman"/>
          <w:iCs/>
          <w:sz w:val="22"/>
          <w:szCs w:val="22"/>
        </w:rPr>
        <w:t xml:space="preserve"> </w:t>
      </w:r>
      <w:r w:rsidR="00B072E9">
        <w:rPr>
          <w:rFonts w:ascii="Times New Roman" w:hAnsi="Times New Roman"/>
          <w:iCs/>
          <w:sz w:val="22"/>
          <w:szCs w:val="22"/>
        </w:rPr>
        <w:t>Outstanding issues were addressed in a detailed letter from the TGA to all members in September 2022.</w:t>
      </w:r>
    </w:p>
    <w:p w14:paraId="51C335E6" w14:textId="48F795B1" w:rsidR="00E6493A" w:rsidRPr="008D01AB" w:rsidRDefault="00E6493A" w:rsidP="000C7844">
      <w:pPr>
        <w:rPr>
          <w:rFonts w:ascii="Times New Roman" w:hAnsi="Times New Roman"/>
          <w:iCs/>
          <w:sz w:val="22"/>
          <w:szCs w:val="22"/>
        </w:rPr>
      </w:pPr>
    </w:p>
    <w:p w14:paraId="4F149626" w14:textId="7980FA77" w:rsidR="00375F79" w:rsidRPr="008D01AB" w:rsidRDefault="00FD1EA6" w:rsidP="000C7844">
      <w:pPr>
        <w:rPr>
          <w:rFonts w:ascii="Times New Roman" w:hAnsi="Times New Roman"/>
          <w:iCs/>
          <w:sz w:val="22"/>
          <w:szCs w:val="22"/>
        </w:rPr>
      </w:pPr>
      <w:r w:rsidRPr="008D01AB">
        <w:rPr>
          <w:rFonts w:ascii="Times New Roman" w:hAnsi="Times New Roman"/>
          <w:iCs/>
          <w:sz w:val="22"/>
          <w:szCs w:val="22"/>
        </w:rPr>
        <w:t xml:space="preserve">The Determination </w:t>
      </w:r>
      <w:r w:rsidR="00ED7B08" w:rsidRPr="008D01AB">
        <w:rPr>
          <w:rFonts w:ascii="Times New Roman" w:hAnsi="Times New Roman"/>
          <w:iCs/>
          <w:sz w:val="22"/>
          <w:szCs w:val="22"/>
        </w:rPr>
        <w:t xml:space="preserve">reflects the </w:t>
      </w:r>
      <w:r w:rsidR="0069718E" w:rsidRPr="008D01AB">
        <w:rPr>
          <w:rFonts w:ascii="Times New Roman" w:hAnsi="Times New Roman"/>
          <w:iCs/>
          <w:sz w:val="22"/>
          <w:szCs w:val="22"/>
        </w:rPr>
        <w:t>implementation of recommendation</w:t>
      </w:r>
      <w:r w:rsidR="007B385D">
        <w:rPr>
          <w:rFonts w:ascii="Times New Roman" w:hAnsi="Times New Roman"/>
          <w:iCs/>
          <w:sz w:val="22"/>
          <w:szCs w:val="22"/>
        </w:rPr>
        <w:t>s</w:t>
      </w:r>
      <w:r w:rsidR="0069718E" w:rsidRPr="008D01AB">
        <w:rPr>
          <w:rFonts w:ascii="Times New Roman" w:hAnsi="Times New Roman"/>
          <w:iCs/>
          <w:sz w:val="22"/>
          <w:szCs w:val="22"/>
        </w:rPr>
        <w:t xml:space="preserve"> of the </w:t>
      </w:r>
      <w:r w:rsidR="00FB4B1A" w:rsidRPr="008D01AB">
        <w:rPr>
          <w:rFonts w:ascii="Times New Roman" w:hAnsi="Times New Roman"/>
          <w:iCs/>
          <w:sz w:val="22"/>
          <w:szCs w:val="22"/>
        </w:rPr>
        <w:t xml:space="preserve">Review of Medicines and Medical Devices Regulation (“the MMDR Review”). </w:t>
      </w:r>
      <w:r w:rsidR="00681D8B" w:rsidRPr="008D01AB">
        <w:rPr>
          <w:rFonts w:ascii="Times New Roman" w:hAnsi="Times New Roman"/>
          <w:iCs/>
          <w:sz w:val="22"/>
          <w:szCs w:val="22"/>
        </w:rPr>
        <w:t xml:space="preserve">The Determination is therefore machinery in nature, and the Office of Impact Analysis has previously advised that </w:t>
      </w:r>
      <w:r w:rsidR="001613D2" w:rsidRPr="008D01AB">
        <w:rPr>
          <w:rFonts w:ascii="Times New Roman" w:hAnsi="Times New Roman"/>
          <w:iCs/>
          <w:sz w:val="22"/>
          <w:szCs w:val="22"/>
        </w:rPr>
        <w:t>an impact assessment is not required where an independent review or other mechanism has undertaken a process and analysis equivalent to an impact assessment (OBPR ref 18884).</w:t>
      </w:r>
    </w:p>
    <w:p w14:paraId="633034C6" w14:textId="77777777" w:rsidR="00973467" w:rsidRPr="008D01AB" w:rsidRDefault="00973467" w:rsidP="000C7844">
      <w:pPr>
        <w:rPr>
          <w:rFonts w:ascii="Times New Roman" w:hAnsi="Times New Roman"/>
          <w:iCs/>
          <w:sz w:val="22"/>
          <w:szCs w:val="22"/>
          <w:highlight w:val="yellow"/>
        </w:rPr>
      </w:pPr>
    </w:p>
    <w:p w14:paraId="665D45BF" w14:textId="3F48FC55" w:rsidR="00375F79" w:rsidRPr="008D01AB" w:rsidRDefault="00375F79" w:rsidP="000C7844">
      <w:pPr>
        <w:rPr>
          <w:rFonts w:ascii="Times New Roman" w:hAnsi="Times New Roman"/>
          <w:iCs/>
          <w:sz w:val="22"/>
          <w:szCs w:val="22"/>
        </w:rPr>
      </w:pPr>
      <w:r w:rsidRPr="008D01AB">
        <w:rPr>
          <w:rFonts w:ascii="Times New Roman" w:hAnsi="Times New Roman"/>
          <w:iCs/>
          <w:sz w:val="22"/>
          <w:szCs w:val="22"/>
        </w:rPr>
        <w:t xml:space="preserve">Details of the Determination are set out in </w:t>
      </w:r>
      <w:r w:rsidRPr="008D01AB">
        <w:rPr>
          <w:rFonts w:ascii="Times New Roman" w:hAnsi="Times New Roman"/>
          <w:b/>
          <w:bCs/>
          <w:iCs/>
          <w:sz w:val="22"/>
          <w:szCs w:val="22"/>
        </w:rPr>
        <w:t>Attachment A</w:t>
      </w:r>
      <w:r w:rsidRPr="008D01AB">
        <w:rPr>
          <w:rFonts w:ascii="Times New Roman" w:hAnsi="Times New Roman"/>
          <w:iCs/>
          <w:sz w:val="22"/>
          <w:szCs w:val="22"/>
        </w:rPr>
        <w:t>.</w:t>
      </w:r>
    </w:p>
    <w:p w14:paraId="6E0526C3" w14:textId="56ACF788" w:rsidR="00375F79" w:rsidRPr="008D01AB" w:rsidRDefault="00375F79" w:rsidP="000C7844">
      <w:pPr>
        <w:rPr>
          <w:rFonts w:ascii="Times New Roman" w:hAnsi="Times New Roman"/>
          <w:iCs/>
          <w:sz w:val="22"/>
          <w:szCs w:val="22"/>
        </w:rPr>
      </w:pPr>
    </w:p>
    <w:p w14:paraId="44A0FD70" w14:textId="6415AA94" w:rsidR="00375F79" w:rsidRPr="008D01AB" w:rsidRDefault="00375F79" w:rsidP="000C7844">
      <w:pPr>
        <w:rPr>
          <w:rFonts w:ascii="Times New Roman" w:hAnsi="Times New Roman"/>
          <w:iCs/>
          <w:sz w:val="22"/>
          <w:szCs w:val="22"/>
        </w:rPr>
      </w:pPr>
      <w:r w:rsidRPr="008D01AB">
        <w:rPr>
          <w:rFonts w:ascii="Times New Roman" w:hAnsi="Times New Roman"/>
          <w:iCs/>
          <w:sz w:val="22"/>
          <w:szCs w:val="22"/>
        </w:rPr>
        <w:t xml:space="preserve">The Determination is compatible with human rights and freedoms recognised or declared under Part 3 of the </w:t>
      </w:r>
      <w:r w:rsidRPr="008D01AB">
        <w:rPr>
          <w:rFonts w:ascii="Times New Roman" w:hAnsi="Times New Roman"/>
          <w:i/>
          <w:sz w:val="22"/>
          <w:szCs w:val="22"/>
        </w:rPr>
        <w:t>Human Rights (Parliamentary Scrutiny) Act 2011</w:t>
      </w:r>
      <w:r w:rsidRPr="008D01AB">
        <w:rPr>
          <w:rFonts w:ascii="Times New Roman" w:hAnsi="Times New Roman"/>
          <w:iCs/>
          <w:sz w:val="22"/>
          <w:szCs w:val="22"/>
        </w:rPr>
        <w:t xml:space="preserve">. A full statement of compatibility is set out in </w:t>
      </w:r>
      <w:r w:rsidRPr="008D01AB">
        <w:rPr>
          <w:rFonts w:ascii="Times New Roman" w:hAnsi="Times New Roman"/>
          <w:b/>
          <w:bCs/>
          <w:iCs/>
          <w:sz w:val="22"/>
          <w:szCs w:val="22"/>
        </w:rPr>
        <w:t>Attachment B</w:t>
      </w:r>
      <w:r w:rsidRPr="008D01AB">
        <w:rPr>
          <w:rFonts w:ascii="Times New Roman" w:hAnsi="Times New Roman"/>
          <w:iCs/>
          <w:sz w:val="22"/>
          <w:szCs w:val="22"/>
        </w:rPr>
        <w:t>.</w:t>
      </w:r>
    </w:p>
    <w:p w14:paraId="07C74FA1" w14:textId="044689D1" w:rsidR="00375F79" w:rsidRPr="008D01AB" w:rsidRDefault="00375F79" w:rsidP="000C7844">
      <w:pPr>
        <w:rPr>
          <w:rFonts w:ascii="Times New Roman" w:hAnsi="Times New Roman"/>
          <w:iCs/>
          <w:sz w:val="22"/>
          <w:szCs w:val="22"/>
        </w:rPr>
      </w:pPr>
    </w:p>
    <w:p w14:paraId="2121BE7D" w14:textId="33FDEBD3" w:rsidR="00375F79" w:rsidRPr="008D01AB" w:rsidRDefault="00375F79" w:rsidP="000C7844">
      <w:pPr>
        <w:rPr>
          <w:rFonts w:ascii="Times New Roman" w:hAnsi="Times New Roman"/>
          <w:iCs/>
          <w:sz w:val="22"/>
          <w:szCs w:val="22"/>
        </w:rPr>
      </w:pPr>
      <w:r w:rsidRPr="008D01AB">
        <w:rPr>
          <w:rFonts w:ascii="Times New Roman" w:hAnsi="Times New Roman"/>
          <w:iCs/>
          <w:sz w:val="22"/>
          <w:szCs w:val="22"/>
        </w:rPr>
        <w:t>The Determination is a disallowable legislative instrument for the purposes of the Legislation Act and commences on 1 February 2023.</w:t>
      </w:r>
    </w:p>
    <w:p w14:paraId="2F4CC775" w14:textId="77777777" w:rsidR="00375F79" w:rsidRPr="008D01AB" w:rsidRDefault="00375F79">
      <w:pPr>
        <w:spacing w:after="160" w:line="259" w:lineRule="auto"/>
        <w:rPr>
          <w:rFonts w:ascii="Times New Roman" w:hAnsi="Times New Roman"/>
          <w:iCs/>
          <w:sz w:val="22"/>
          <w:szCs w:val="22"/>
        </w:rPr>
      </w:pPr>
      <w:r w:rsidRPr="008D01AB">
        <w:rPr>
          <w:rFonts w:ascii="Times New Roman" w:hAnsi="Times New Roman"/>
          <w:iCs/>
          <w:sz w:val="22"/>
          <w:szCs w:val="22"/>
        </w:rPr>
        <w:br w:type="page"/>
      </w:r>
    </w:p>
    <w:p w14:paraId="2F8CAA1F" w14:textId="77777777" w:rsidR="00375F79" w:rsidRPr="008D01AB" w:rsidRDefault="00375F79" w:rsidP="00375F79">
      <w:pPr>
        <w:jc w:val="right"/>
        <w:rPr>
          <w:rFonts w:ascii="Times New Roman" w:hAnsi="Times New Roman"/>
          <w:b/>
          <w:bCs/>
          <w:sz w:val="22"/>
          <w:szCs w:val="22"/>
        </w:rPr>
      </w:pPr>
      <w:r w:rsidRPr="008D01AB">
        <w:rPr>
          <w:rFonts w:ascii="Times New Roman" w:hAnsi="Times New Roman"/>
          <w:b/>
          <w:bCs/>
          <w:sz w:val="22"/>
          <w:szCs w:val="22"/>
        </w:rPr>
        <w:lastRenderedPageBreak/>
        <w:t>Attachment A</w:t>
      </w:r>
    </w:p>
    <w:p w14:paraId="42674034" w14:textId="77777777" w:rsidR="00375F79" w:rsidRPr="008D01AB" w:rsidRDefault="00375F79" w:rsidP="00375F79">
      <w:pPr>
        <w:rPr>
          <w:rFonts w:ascii="Times New Roman" w:hAnsi="Times New Roman"/>
          <w:b/>
          <w:bCs/>
          <w:sz w:val="22"/>
          <w:szCs w:val="22"/>
        </w:rPr>
      </w:pPr>
    </w:p>
    <w:p w14:paraId="0E16D5AC" w14:textId="2A6EE0E3" w:rsidR="00375F79" w:rsidRPr="008D01AB" w:rsidRDefault="00375F79" w:rsidP="00375F79">
      <w:pPr>
        <w:rPr>
          <w:rFonts w:ascii="Times New Roman" w:hAnsi="Times New Roman"/>
          <w:b/>
          <w:bCs/>
          <w:i/>
          <w:sz w:val="22"/>
          <w:szCs w:val="22"/>
        </w:rPr>
      </w:pPr>
      <w:r w:rsidRPr="008D01AB">
        <w:rPr>
          <w:rFonts w:ascii="Times New Roman" w:hAnsi="Times New Roman"/>
          <w:b/>
          <w:bCs/>
          <w:sz w:val="22"/>
          <w:szCs w:val="22"/>
        </w:rPr>
        <w:t xml:space="preserve">Details of the </w:t>
      </w:r>
      <w:r w:rsidRPr="008D01AB">
        <w:rPr>
          <w:rFonts w:ascii="Times New Roman" w:hAnsi="Times New Roman"/>
          <w:b/>
          <w:i/>
          <w:sz w:val="22"/>
          <w:szCs w:val="22"/>
        </w:rPr>
        <w:t>Therapeutic Goods (Permissible Ingredients—Information that Must Accompany Application for Variation) Determination 2023</w:t>
      </w:r>
    </w:p>
    <w:p w14:paraId="1D0FE59A" w14:textId="77777777" w:rsidR="00375F79" w:rsidRPr="008D01AB" w:rsidRDefault="00375F79" w:rsidP="00375F79">
      <w:pPr>
        <w:rPr>
          <w:rFonts w:ascii="Times New Roman" w:hAnsi="Times New Roman"/>
          <w:iCs/>
          <w:sz w:val="22"/>
          <w:szCs w:val="22"/>
        </w:rPr>
      </w:pPr>
    </w:p>
    <w:p w14:paraId="05E80EAE" w14:textId="77777777" w:rsidR="00375F79" w:rsidRPr="008D01AB" w:rsidRDefault="00375F79" w:rsidP="00375F79">
      <w:pPr>
        <w:rPr>
          <w:rFonts w:ascii="Times New Roman" w:hAnsi="Times New Roman"/>
          <w:b/>
          <w:bCs/>
          <w:sz w:val="22"/>
          <w:szCs w:val="22"/>
        </w:rPr>
      </w:pPr>
      <w:r w:rsidRPr="008D01AB">
        <w:rPr>
          <w:rFonts w:ascii="Times New Roman" w:hAnsi="Times New Roman"/>
          <w:b/>
          <w:bCs/>
          <w:sz w:val="22"/>
          <w:szCs w:val="22"/>
        </w:rPr>
        <w:t>Section 1 – Name</w:t>
      </w:r>
    </w:p>
    <w:p w14:paraId="3287D27F" w14:textId="77777777" w:rsidR="00375F79" w:rsidRPr="008D01AB" w:rsidRDefault="00375F79" w:rsidP="00375F79">
      <w:pPr>
        <w:rPr>
          <w:rFonts w:ascii="Times New Roman" w:hAnsi="Times New Roman"/>
          <w:sz w:val="22"/>
          <w:szCs w:val="22"/>
        </w:rPr>
      </w:pPr>
    </w:p>
    <w:p w14:paraId="1FA32F33" w14:textId="2E3DD9A4" w:rsidR="00375F79" w:rsidRPr="008D01AB" w:rsidRDefault="00375F79" w:rsidP="00375F79">
      <w:pPr>
        <w:rPr>
          <w:rFonts w:ascii="Times New Roman" w:hAnsi="Times New Roman"/>
          <w:bCs/>
          <w:sz w:val="22"/>
          <w:szCs w:val="22"/>
        </w:rPr>
      </w:pPr>
      <w:r w:rsidRPr="008D01AB">
        <w:rPr>
          <w:rFonts w:ascii="Times New Roman" w:hAnsi="Times New Roman"/>
          <w:bCs/>
          <w:sz w:val="22"/>
          <w:szCs w:val="22"/>
        </w:rPr>
        <w:t xml:space="preserve">This section provides that the name of the instrument is the </w:t>
      </w:r>
      <w:r w:rsidRPr="008D01AB">
        <w:rPr>
          <w:rFonts w:ascii="Times New Roman" w:hAnsi="Times New Roman"/>
          <w:i/>
          <w:sz w:val="22"/>
          <w:szCs w:val="22"/>
        </w:rPr>
        <w:t>Therapeutic Goods (Permissible Ingredients—Information that Must Accompany Application for Variation) Determination 2023</w:t>
      </w:r>
      <w:r w:rsidRPr="008D01AB">
        <w:rPr>
          <w:rFonts w:ascii="Times New Roman" w:hAnsi="Times New Roman"/>
          <w:iCs/>
          <w:sz w:val="22"/>
          <w:szCs w:val="22"/>
        </w:rPr>
        <w:t xml:space="preserve"> (“the</w:t>
      </w:r>
      <w:r w:rsidR="003009AB">
        <w:rPr>
          <w:rFonts w:ascii="Times New Roman" w:hAnsi="Times New Roman"/>
          <w:iCs/>
          <w:sz w:val="22"/>
          <w:szCs w:val="22"/>
        </w:rPr>
        <w:t> </w:t>
      </w:r>
      <w:r w:rsidRPr="008D01AB">
        <w:rPr>
          <w:rFonts w:ascii="Times New Roman" w:hAnsi="Times New Roman"/>
          <w:iCs/>
          <w:sz w:val="22"/>
          <w:szCs w:val="22"/>
        </w:rPr>
        <w:t>Determination”)</w:t>
      </w:r>
      <w:r w:rsidRPr="008D01AB">
        <w:rPr>
          <w:rFonts w:ascii="Times New Roman" w:hAnsi="Times New Roman"/>
          <w:i/>
          <w:sz w:val="22"/>
          <w:szCs w:val="22"/>
        </w:rPr>
        <w:t>.</w:t>
      </w:r>
    </w:p>
    <w:p w14:paraId="525681EE" w14:textId="77777777" w:rsidR="00375F79" w:rsidRPr="008D01AB" w:rsidRDefault="00375F79" w:rsidP="00375F79">
      <w:pPr>
        <w:rPr>
          <w:rFonts w:ascii="Times New Roman" w:hAnsi="Times New Roman"/>
          <w:bCs/>
          <w:sz w:val="22"/>
          <w:szCs w:val="22"/>
        </w:rPr>
      </w:pPr>
    </w:p>
    <w:p w14:paraId="5BC36F76" w14:textId="77777777" w:rsidR="00375F79" w:rsidRPr="008D01AB" w:rsidRDefault="00375F79" w:rsidP="00375F79">
      <w:pPr>
        <w:rPr>
          <w:rFonts w:ascii="Times New Roman" w:hAnsi="Times New Roman"/>
          <w:b/>
          <w:bCs/>
          <w:sz w:val="22"/>
          <w:szCs w:val="22"/>
        </w:rPr>
      </w:pPr>
      <w:r w:rsidRPr="008D01AB">
        <w:rPr>
          <w:rFonts w:ascii="Times New Roman" w:hAnsi="Times New Roman"/>
          <w:b/>
          <w:bCs/>
          <w:sz w:val="22"/>
          <w:szCs w:val="22"/>
        </w:rPr>
        <w:t>Section 2 – Commencement</w:t>
      </w:r>
    </w:p>
    <w:p w14:paraId="7397E033" w14:textId="77777777" w:rsidR="00375F79" w:rsidRPr="008D01AB" w:rsidRDefault="00375F79" w:rsidP="00375F79">
      <w:pPr>
        <w:rPr>
          <w:rFonts w:ascii="Times New Roman" w:hAnsi="Times New Roman"/>
          <w:sz w:val="22"/>
          <w:szCs w:val="22"/>
        </w:rPr>
      </w:pPr>
    </w:p>
    <w:p w14:paraId="2480F8AB" w14:textId="04E9599F" w:rsidR="00375F79" w:rsidRPr="008D01AB" w:rsidRDefault="00375F79" w:rsidP="00375F79">
      <w:pPr>
        <w:rPr>
          <w:rFonts w:ascii="Times New Roman" w:hAnsi="Times New Roman"/>
          <w:bCs/>
          <w:sz w:val="22"/>
          <w:szCs w:val="22"/>
        </w:rPr>
      </w:pPr>
      <w:r w:rsidRPr="008D01AB">
        <w:rPr>
          <w:rFonts w:ascii="Times New Roman" w:hAnsi="Times New Roman"/>
          <w:bCs/>
          <w:sz w:val="22"/>
          <w:szCs w:val="22"/>
        </w:rPr>
        <w:t>This section provides that the Determination commences on 1 February 2023.</w:t>
      </w:r>
    </w:p>
    <w:p w14:paraId="02D08095" w14:textId="77777777" w:rsidR="00375F79" w:rsidRPr="008D01AB" w:rsidRDefault="00375F79" w:rsidP="00375F79">
      <w:pPr>
        <w:rPr>
          <w:rFonts w:ascii="Times New Roman" w:hAnsi="Times New Roman"/>
          <w:sz w:val="22"/>
          <w:szCs w:val="22"/>
        </w:rPr>
      </w:pPr>
    </w:p>
    <w:p w14:paraId="13E17A0C" w14:textId="77777777" w:rsidR="00375F79" w:rsidRPr="008D01AB" w:rsidRDefault="00375F79" w:rsidP="00375F79">
      <w:pPr>
        <w:rPr>
          <w:rFonts w:ascii="Times New Roman" w:hAnsi="Times New Roman"/>
          <w:b/>
          <w:bCs/>
          <w:sz w:val="22"/>
          <w:szCs w:val="22"/>
        </w:rPr>
      </w:pPr>
      <w:r w:rsidRPr="008D01AB">
        <w:rPr>
          <w:rFonts w:ascii="Times New Roman" w:hAnsi="Times New Roman"/>
          <w:b/>
          <w:bCs/>
          <w:sz w:val="22"/>
          <w:szCs w:val="22"/>
        </w:rPr>
        <w:t>Section 3 - Authority</w:t>
      </w:r>
    </w:p>
    <w:p w14:paraId="4C13CE64" w14:textId="77777777" w:rsidR="00375F79" w:rsidRPr="008D01AB" w:rsidRDefault="00375F79" w:rsidP="00375F79">
      <w:pPr>
        <w:rPr>
          <w:rFonts w:ascii="Times New Roman" w:hAnsi="Times New Roman"/>
          <w:sz w:val="22"/>
          <w:szCs w:val="22"/>
        </w:rPr>
      </w:pPr>
    </w:p>
    <w:p w14:paraId="2EE1AD5E" w14:textId="03F1FF23" w:rsidR="00375F79" w:rsidRPr="008D01AB" w:rsidRDefault="00375F79" w:rsidP="00375F79">
      <w:pPr>
        <w:rPr>
          <w:rFonts w:ascii="Times New Roman" w:hAnsi="Times New Roman"/>
          <w:sz w:val="22"/>
          <w:szCs w:val="22"/>
        </w:rPr>
      </w:pPr>
      <w:r w:rsidRPr="008D01AB">
        <w:rPr>
          <w:rFonts w:ascii="Times New Roman" w:hAnsi="Times New Roman"/>
          <w:sz w:val="22"/>
          <w:szCs w:val="22"/>
        </w:rPr>
        <w:t xml:space="preserve">This section provides that the legislative authority for making the Determination is subsections 26BD(8) and (9) of the </w:t>
      </w:r>
      <w:r w:rsidRPr="008D01AB">
        <w:rPr>
          <w:rFonts w:ascii="Times New Roman" w:hAnsi="Times New Roman"/>
          <w:i/>
          <w:iCs/>
          <w:sz w:val="22"/>
          <w:szCs w:val="22"/>
        </w:rPr>
        <w:t xml:space="preserve">Therapeutic Goods Act 1989 </w:t>
      </w:r>
      <w:r w:rsidRPr="008D01AB">
        <w:rPr>
          <w:rFonts w:ascii="Times New Roman" w:hAnsi="Times New Roman"/>
          <w:sz w:val="22"/>
          <w:szCs w:val="22"/>
        </w:rPr>
        <w:t>(“the Act”).</w:t>
      </w:r>
    </w:p>
    <w:p w14:paraId="22C4BD3A" w14:textId="77777777" w:rsidR="00375F79" w:rsidRPr="008D01AB" w:rsidRDefault="00375F79" w:rsidP="00375F79">
      <w:pPr>
        <w:rPr>
          <w:rFonts w:ascii="Times New Roman" w:hAnsi="Times New Roman"/>
          <w:sz w:val="22"/>
          <w:szCs w:val="22"/>
        </w:rPr>
      </w:pPr>
    </w:p>
    <w:p w14:paraId="709C17E2" w14:textId="77777777" w:rsidR="00375F79" w:rsidRPr="008D01AB" w:rsidRDefault="00375F79" w:rsidP="00375F79">
      <w:pPr>
        <w:rPr>
          <w:rFonts w:ascii="Times New Roman" w:hAnsi="Times New Roman"/>
          <w:b/>
          <w:bCs/>
          <w:sz w:val="22"/>
          <w:szCs w:val="22"/>
        </w:rPr>
      </w:pPr>
      <w:r w:rsidRPr="008D01AB">
        <w:rPr>
          <w:rFonts w:ascii="Times New Roman" w:hAnsi="Times New Roman"/>
          <w:b/>
          <w:bCs/>
          <w:sz w:val="22"/>
          <w:szCs w:val="22"/>
        </w:rPr>
        <w:t>Section 4 – Definitions</w:t>
      </w:r>
    </w:p>
    <w:p w14:paraId="2F4D33B0" w14:textId="77777777" w:rsidR="00375F79" w:rsidRPr="008D01AB" w:rsidRDefault="00375F79" w:rsidP="00375F79">
      <w:pPr>
        <w:rPr>
          <w:rFonts w:ascii="Times New Roman" w:hAnsi="Times New Roman"/>
          <w:sz w:val="22"/>
          <w:szCs w:val="22"/>
        </w:rPr>
      </w:pPr>
    </w:p>
    <w:p w14:paraId="3FC4A0B5" w14:textId="15D3354F" w:rsidR="00375F79" w:rsidRPr="008D01AB" w:rsidRDefault="00375F79" w:rsidP="00375F79">
      <w:pPr>
        <w:rPr>
          <w:rFonts w:ascii="Times New Roman" w:hAnsi="Times New Roman"/>
          <w:sz w:val="22"/>
          <w:szCs w:val="22"/>
        </w:rPr>
      </w:pPr>
      <w:r w:rsidRPr="008D01AB">
        <w:rPr>
          <w:rFonts w:ascii="Times New Roman" w:hAnsi="Times New Roman"/>
          <w:sz w:val="22"/>
          <w:szCs w:val="22"/>
        </w:rPr>
        <w:t>This section provides the definitions of key terms used in the Determination, including ‘Act’ and ‘Therapeutic Goods Administration’. This section also notes that some expressions used in the Determination, including ‘Secretary’, have the same meaning as in the Act.</w:t>
      </w:r>
    </w:p>
    <w:p w14:paraId="75561B50" w14:textId="77777777" w:rsidR="00375F79" w:rsidRPr="008D01AB" w:rsidRDefault="00375F79" w:rsidP="00375F79">
      <w:pPr>
        <w:rPr>
          <w:rFonts w:ascii="Times New Roman" w:hAnsi="Times New Roman"/>
          <w:bCs/>
          <w:strike/>
          <w:sz w:val="22"/>
          <w:szCs w:val="22"/>
        </w:rPr>
      </w:pPr>
    </w:p>
    <w:p w14:paraId="0362CAEC" w14:textId="5D77B23C" w:rsidR="00375F79" w:rsidRPr="008D01AB" w:rsidRDefault="00375F79" w:rsidP="00375F79">
      <w:pPr>
        <w:rPr>
          <w:rFonts w:ascii="Times New Roman" w:hAnsi="Times New Roman"/>
          <w:b/>
          <w:bCs/>
          <w:sz w:val="22"/>
          <w:szCs w:val="22"/>
        </w:rPr>
      </w:pPr>
      <w:r w:rsidRPr="008D01AB">
        <w:rPr>
          <w:rFonts w:ascii="Times New Roman" w:hAnsi="Times New Roman"/>
          <w:b/>
          <w:bCs/>
          <w:sz w:val="22"/>
          <w:szCs w:val="22"/>
        </w:rPr>
        <w:t>Section 5 – Kind of information</w:t>
      </w:r>
    </w:p>
    <w:p w14:paraId="000F60C8" w14:textId="77777777" w:rsidR="00375F79" w:rsidRPr="008D01AB" w:rsidRDefault="00375F79" w:rsidP="00375F79">
      <w:pPr>
        <w:rPr>
          <w:rFonts w:ascii="Times New Roman" w:hAnsi="Times New Roman"/>
          <w:strike/>
          <w:sz w:val="22"/>
          <w:szCs w:val="22"/>
        </w:rPr>
      </w:pPr>
    </w:p>
    <w:p w14:paraId="31F60FA2" w14:textId="7A987405" w:rsidR="0026135C" w:rsidRPr="008D01AB" w:rsidRDefault="0026135C" w:rsidP="00375F79">
      <w:pPr>
        <w:rPr>
          <w:rFonts w:ascii="Times New Roman" w:hAnsi="Times New Roman"/>
          <w:bCs/>
          <w:sz w:val="22"/>
          <w:szCs w:val="22"/>
        </w:rPr>
      </w:pPr>
      <w:r w:rsidRPr="008D01AB">
        <w:rPr>
          <w:rFonts w:ascii="Times New Roman" w:hAnsi="Times New Roman"/>
          <w:bCs/>
          <w:sz w:val="22"/>
          <w:szCs w:val="22"/>
        </w:rPr>
        <w:t xml:space="preserve">This section provides that, for the purposes of subparagraph 26BD(3)(e)(i) of the Act, an application for a recommendation by the Secretary that the Minister vary a section 26BB determination must be accompanied by the information specified in the document titled </w:t>
      </w:r>
      <w:r w:rsidRPr="008D01AB">
        <w:rPr>
          <w:rFonts w:ascii="Times New Roman" w:hAnsi="Times New Roman"/>
          <w:bCs/>
          <w:i/>
          <w:iCs/>
          <w:sz w:val="22"/>
          <w:szCs w:val="22"/>
        </w:rPr>
        <w:t xml:space="preserve">Mandatory requirements for an effective application to vary the Permissible Ingredients Determination </w:t>
      </w:r>
      <w:r w:rsidRPr="008D01AB">
        <w:rPr>
          <w:rFonts w:ascii="Times New Roman" w:hAnsi="Times New Roman"/>
          <w:bCs/>
          <w:sz w:val="22"/>
          <w:szCs w:val="22"/>
        </w:rPr>
        <w:t>(Version 1.0, February 2023), published by the Therapeutic Goods Administration, as in force or existing on 1 February 2023.</w:t>
      </w:r>
    </w:p>
    <w:p w14:paraId="0E75014E" w14:textId="77777777" w:rsidR="0026135C" w:rsidRPr="008D01AB" w:rsidRDefault="0026135C" w:rsidP="00375F79">
      <w:pPr>
        <w:rPr>
          <w:rFonts w:ascii="Times New Roman" w:hAnsi="Times New Roman"/>
          <w:bCs/>
          <w:sz w:val="22"/>
          <w:szCs w:val="22"/>
        </w:rPr>
      </w:pPr>
    </w:p>
    <w:p w14:paraId="3AA9A769" w14:textId="3E71B4C6" w:rsidR="00375F79" w:rsidRPr="008D01AB" w:rsidRDefault="00375F79" w:rsidP="00375F79">
      <w:pPr>
        <w:rPr>
          <w:rFonts w:ascii="Times New Roman" w:hAnsi="Times New Roman"/>
          <w:bCs/>
          <w:sz w:val="22"/>
          <w:szCs w:val="22"/>
        </w:rPr>
      </w:pPr>
      <w:r w:rsidRPr="008D01AB">
        <w:rPr>
          <w:rFonts w:ascii="Times New Roman" w:hAnsi="Times New Roman"/>
          <w:bCs/>
          <w:sz w:val="22"/>
          <w:szCs w:val="22"/>
        </w:rPr>
        <w:t xml:space="preserve">The note to this section </w:t>
      </w:r>
      <w:r w:rsidR="00FB4B1A" w:rsidRPr="008D01AB">
        <w:rPr>
          <w:rFonts w:ascii="Times New Roman" w:hAnsi="Times New Roman"/>
          <w:bCs/>
          <w:sz w:val="22"/>
          <w:szCs w:val="22"/>
        </w:rPr>
        <w:t xml:space="preserve">indicates </w:t>
      </w:r>
      <w:r w:rsidRPr="008D01AB">
        <w:rPr>
          <w:rFonts w:ascii="Times New Roman" w:hAnsi="Times New Roman"/>
          <w:bCs/>
          <w:sz w:val="22"/>
          <w:szCs w:val="22"/>
        </w:rPr>
        <w:t>that the</w:t>
      </w:r>
      <w:r w:rsidRPr="008D01AB">
        <w:rPr>
          <w:rFonts w:ascii="Times New Roman" w:hAnsi="Times New Roman"/>
          <w:bCs/>
          <w:i/>
          <w:iCs/>
          <w:sz w:val="22"/>
          <w:szCs w:val="22"/>
        </w:rPr>
        <w:t xml:space="preserve"> </w:t>
      </w:r>
      <w:r w:rsidR="0026135C" w:rsidRPr="008D01AB">
        <w:rPr>
          <w:rFonts w:ascii="Times New Roman" w:hAnsi="Times New Roman"/>
          <w:bCs/>
          <w:sz w:val="22"/>
          <w:szCs w:val="22"/>
        </w:rPr>
        <w:t>document referred to in this section is published at www.tga.gov.au</w:t>
      </w:r>
      <w:r w:rsidRPr="008D01AB">
        <w:rPr>
          <w:rFonts w:ascii="Times New Roman" w:hAnsi="Times New Roman"/>
          <w:bCs/>
          <w:sz w:val="22"/>
          <w:szCs w:val="22"/>
        </w:rPr>
        <w:t>.</w:t>
      </w:r>
    </w:p>
    <w:p w14:paraId="19884B7A" w14:textId="77777777" w:rsidR="00375F79" w:rsidRPr="008D01AB" w:rsidRDefault="00375F79" w:rsidP="00375F79">
      <w:pPr>
        <w:rPr>
          <w:rFonts w:ascii="Times New Roman" w:hAnsi="Times New Roman"/>
          <w:bCs/>
          <w:sz w:val="22"/>
          <w:szCs w:val="22"/>
        </w:rPr>
      </w:pPr>
    </w:p>
    <w:p w14:paraId="1CC4431E" w14:textId="3F921B10" w:rsidR="00375F79" w:rsidRPr="008D01AB" w:rsidRDefault="00375F79" w:rsidP="00375F79">
      <w:pPr>
        <w:rPr>
          <w:rFonts w:ascii="Times New Roman" w:hAnsi="Times New Roman"/>
          <w:b/>
          <w:bCs/>
          <w:sz w:val="22"/>
          <w:szCs w:val="22"/>
        </w:rPr>
      </w:pPr>
      <w:r w:rsidRPr="008D01AB">
        <w:rPr>
          <w:rFonts w:ascii="Times New Roman" w:hAnsi="Times New Roman"/>
          <w:b/>
          <w:bCs/>
          <w:sz w:val="22"/>
          <w:szCs w:val="22"/>
        </w:rPr>
        <w:t xml:space="preserve">Section 6 – </w:t>
      </w:r>
      <w:r w:rsidR="0026135C" w:rsidRPr="008D01AB">
        <w:rPr>
          <w:rFonts w:ascii="Times New Roman" w:hAnsi="Times New Roman"/>
          <w:b/>
          <w:bCs/>
          <w:sz w:val="22"/>
          <w:szCs w:val="22"/>
        </w:rPr>
        <w:t>Form</w:t>
      </w:r>
      <w:r w:rsidRPr="008D01AB">
        <w:rPr>
          <w:rFonts w:ascii="Times New Roman" w:hAnsi="Times New Roman"/>
          <w:b/>
          <w:bCs/>
          <w:sz w:val="22"/>
          <w:szCs w:val="22"/>
        </w:rPr>
        <w:t xml:space="preserve"> of information</w:t>
      </w:r>
    </w:p>
    <w:p w14:paraId="304F876D" w14:textId="77777777" w:rsidR="00375F79" w:rsidRPr="008D01AB" w:rsidRDefault="00375F79" w:rsidP="00375F79">
      <w:pPr>
        <w:rPr>
          <w:rFonts w:ascii="Times New Roman" w:hAnsi="Times New Roman"/>
          <w:sz w:val="22"/>
          <w:szCs w:val="22"/>
        </w:rPr>
      </w:pPr>
    </w:p>
    <w:p w14:paraId="52E459A6" w14:textId="62B0CB2C" w:rsidR="00375F79" w:rsidRPr="008D01AB" w:rsidRDefault="0026135C" w:rsidP="00375F79">
      <w:pPr>
        <w:rPr>
          <w:rFonts w:ascii="Times New Roman" w:hAnsi="Times New Roman"/>
          <w:bCs/>
          <w:sz w:val="22"/>
          <w:szCs w:val="22"/>
        </w:rPr>
      </w:pPr>
      <w:r w:rsidRPr="008D01AB">
        <w:rPr>
          <w:rFonts w:ascii="Times New Roman" w:hAnsi="Times New Roman"/>
          <w:sz w:val="22"/>
          <w:szCs w:val="22"/>
        </w:rPr>
        <w:t xml:space="preserve">This section provides that, for the purposes of subparagraph 26BD(3)(e)(ii) of the Act, the information that accompanies an application for a recommendation by the Secretary that the Minister vary a section 26BB determination must be contained in an application dossier, and in a form consistent with the document titled </w:t>
      </w:r>
      <w:r w:rsidRPr="008D01AB">
        <w:rPr>
          <w:rFonts w:ascii="Times New Roman" w:hAnsi="Times New Roman"/>
          <w:bCs/>
          <w:i/>
          <w:iCs/>
          <w:sz w:val="22"/>
          <w:szCs w:val="22"/>
        </w:rPr>
        <w:t xml:space="preserve">Mandatory requirements for an effective application to vary the Permissible Ingredients Determination </w:t>
      </w:r>
      <w:r w:rsidRPr="008D01AB">
        <w:rPr>
          <w:rFonts w:ascii="Times New Roman" w:hAnsi="Times New Roman"/>
          <w:bCs/>
          <w:sz w:val="22"/>
          <w:szCs w:val="22"/>
        </w:rPr>
        <w:t>(Version 1.0, February 2023)</w:t>
      </w:r>
      <w:r w:rsidR="00B27D36">
        <w:rPr>
          <w:rFonts w:ascii="Times New Roman" w:hAnsi="Times New Roman"/>
          <w:bCs/>
          <w:sz w:val="22"/>
          <w:szCs w:val="22"/>
        </w:rPr>
        <w:t xml:space="preserve"> and </w:t>
      </w:r>
      <w:r w:rsidR="00B27D36" w:rsidRPr="00B27D36">
        <w:rPr>
          <w:rFonts w:ascii="Times New Roman" w:hAnsi="Times New Roman"/>
          <w:bCs/>
          <w:sz w:val="22"/>
          <w:szCs w:val="22"/>
        </w:rPr>
        <w:t xml:space="preserve">the document titled </w:t>
      </w:r>
      <w:r w:rsidR="00B27D36" w:rsidRPr="005D0274">
        <w:rPr>
          <w:rFonts w:ascii="Times New Roman" w:hAnsi="Times New Roman"/>
          <w:bCs/>
          <w:i/>
          <w:iCs/>
          <w:sz w:val="22"/>
          <w:szCs w:val="22"/>
        </w:rPr>
        <w:t>General dossier requirements</w:t>
      </w:r>
      <w:r w:rsidR="00B27D36" w:rsidRPr="00B27D36">
        <w:rPr>
          <w:rFonts w:ascii="Times New Roman" w:hAnsi="Times New Roman"/>
          <w:bCs/>
          <w:sz w:val="22"/>
          <w:szCs w:val="22"/>
        </w:rPr>
        <w:t xml:space="preserve"> (</w:t>
      </w:r>
      <w:r w:rsidR="003009AB">
        <w:rPr>
          <w:rFonts w:ascii="Times New Roman" w:hAnsi="Times New Roman"/>
          <w:bCs/>
          <w:sz w:val="22"/>
          <w:szCs w:val="22"/>
        </w:rPr>
        <w:t>V</w:t>
      </w:r>
      <w:r w:rsidR="00B27D36" w:rsidRPr="00B27D36">
        <w:rPr>
          <w:rFonts w:ascii="Times New Roman" w:hAnsi="Times New Roman"/>
          <w:bCs/>
          <w:sz w:val="22"/>
          <w:szCs w:val="22"/>
        </w:rPr>
        <w:t>ersion 1.4, July 2018) published by</w:t>
      </w:r>
      <w:r w:rsidR="00201008">
        <w:rPr>
          <w:rFonts w:ascii="Times New Roman" w:hAnsi="Times New Roman"/>
          <w:bCs/>
          <w:sz w:val="22"/>
          <w:szCs w:val="22"/>
        </w:rPr>
        <w:t xml:space="preserve"> </w:t>
      </w:r>
      <w:r w:rsidRPr="008D01AB">
        <w:rPr>
          <w:rFonts w:ascii="Times New Roman" w:hAnsi="Times New Roman"/>
          <w:bCs/>
          <w:sz w:val="22"/>
          <w:szCs w:val="22"/>
        </w:rPr>
        <w:t>the Therapeutic Goods Administration, as in force or existing on 1 February 2023.</w:t>
      </w:r>
    </w:p>
    <w:p w14:paraId="33CC2C7D" w14:textId="3AD39273" w:rsidR="0026135C" w:rsidRPr="008D01AB" w:rsidRDefault="0026135C" w:rsidP="00375F79">
      <w:pPr>
        <w:rPr>
          <w:rFonts w:ascii="Times New Roman" w:hAnsi="Times New Roman"/>
          <w:bCs/>
          <w:sz w:val="22"/>
          <w:szCs w:val="22"/>
        </w:rPr>
      </w:pPr>
    </w:p>
    <w:p w14:paraId="1184F028" w14:textId="336F4F05" w:rsidR="00266FCE" w:rsidRPr="008D01AB" w:rsidRDefault="0026135C" w:rsidP="000C7844">
      <w:pPr>
        <w:rPr>
          <w:rFonts w:ascii="Times New Roman" w:hAnsi="Times New Roman"/>
          <w:sz w:val="22"/>
          <w:szCs w:val="22"/>
        </w:rPr>
      </w:pPr>
      <w:r w:rsidRPr="008D01AB">
        <w:rPr>
          <w:rFonts w:ascii="Times New Roman" w:hAnsi="Times New Roman"/>
          <w:bCs/>
          <w:sz w:val="22"/>
          <w:szCs w:val="22"/>
        </w:rPr>
        <w:t xml:space="preserve">The note to this section </w:t>
      </w:r>
      <w:r w:rsidR="00FB4B1A" w:rsidRPr="008D01AB">
        <w:rPr>
          <w:rFonts w:ascii="Times New Roman" w:hAnsi="Times New Roman"/>
          <w:bCs/>
          <w:sz w:val="22"/>
          <w:szCs w:val="22"/>
        </w:rPr>
        <w:t xml:space="preserve">indicates </w:t>
      </w:r>
      <w:r w:rsidRPr="008D01AB">
        <w:rPr>
          <w:rFonts w:ascii="Times New Roman" w:hAnsi="Times New Roman"/>
          <w:bCs/>
          <w:sz w:val="22"/>
          <w:szCs w:val="22"/>
        </w:rPr>
        <w:t>that the document</w:t>
      </w:r>
      <w:r w:rsidR="003009AB">
        <w:rPr>
          <w:rFonts w:ascii="Times New Roman" w:hAnsi="Times New Roman"/>
          <w:bCs/>
          <w:sz w:val="22"/>
          <w:szCs w:val="22"/>
        </w:rPr>
        <w:t>s</w:t>
      </w:r>
      <w:r w:rsidRPr="008D01AB">
        <w:rPr>
          <w:rFonts w:ascii="Times New Roman" w:hAnsi="Times New Roman"/>
          <w:bCs/>
          <w:sz w:val="22"/>
          <w:szCs w:val="22"/>
        </w:rPr>
        <w:t xml:space="preserve"> referred to in this section </w:t>
      </w:r>
      <w:r w:rsidR="003009AB">
        <w:rPr>
          <w:rFonts w:ascii="Times New Roman" w:hAnsi="Times New Roman"/>
          <w:bCs/>
          <w:sz w:val="22"/>
          <w:szCs w:val="22"/>
        </w:rPr>
        <w:t>are</w:t>
      </w:r>
      <w:r w:rsidRPr="008D01AB">
        <w:rPr>
          <w:rFonts w:ascii="Times New Roman" w:hAnsi="Times New Roman"/>
          <w:bCs/>
          <w:sz w:val="22"/>
          <w:szCs w:val="22"/>
        </w:rPr>
        <w:t xml:space="preserve"> published at www.tga.gov.au.</w:t>
      </w:r>
    </w:p>
    <w:p w14:paraId="4F36E830" w14:textId="77777777" w:rsidR="00266FCE" w:rsidRPr="008D01AB" w:rsidRDefault="00266FCE">
      <w:pPr>
        <w:spacing w:after="160" w:line="259" w:lineRule="auto"/>
        <w:rPr>
          <w:rFonts w:ascii="Times New Roman" w:hAnsi="Times New Roman"/>
          <w:sz w:val="22"/>
          <w:szCs w:val="22"/>
        </w:rPr>
      </w:pPr>
      <w:r w:rsidRPr="008D01AB">
        <w:rPr>
          <w:rFonts w:ascii="Times New Roman" w:hAnsi="Times New Roman"/>
          <w:sz w:val="22"/>
          <w:szCs w:val="22"/>
        </w:rPr>
        <w:br w:type="page"/>
      </w:r>
    </w:p>
    <w:p w14:paraId="04138AA9" w14:textId="77777777" w:rsidR="00266FCE" w:rsidRPr="008D01AB" w:rsidRDefault="00266FCE" w:rsidP="00266FCE">
      <w:pPr>
        <w:jc w:val="right"/>
        <w:rPr>
          <w:rFonts w:ascii="Times New Roman" w:hAnsi="Times New Roman"/>
          <w:b/>
          <w:bCs/>
          <w:sz w:val="22"/>
          <w:szCs w:val="22"/>
        </w:rPr>
      </w:pPr>
      <w:r w:rsidRPr="008D01AB">
        <w:rPr>
          <w:rFonts w:ascii="Times New Roman" w:hAnsi="Times New Roman"/>
          <w:b/>
          <w:bCs/>
          <w:sz w:val="22"/>
          <w:szCs w:val="22"/>
        </w:rPr>
        <w:lastRenderedPageBreak/>
        <w:t>Attachment B</w:t>
      </w:r>
    </w:p>
    <w:p w14:paraId="7CBB19A8" w14:textId="77777777" w:rsidR="00266FCE" w:rsidRPr="008D01AB" w:rsidRDefault="00266FCE" w:rsidP="00266FCE">
      <w:pPr>
        <w:jc w:val="center"/>
        <w:rPr>
          <w:rFonts w:ascii="Times New Roman" w:hAnsi="Times New Roman"/>
          <w:b/>
          <w:bCs/>
          <w:sz w:val="22"/>
          <w:szCs w:val="22"/>
        </w:rPr>
      </w:pPr>
    </w:p>
    <w:p w14:paraId="30D43EF0" w14:textId="77777777" w:rsidR="00266FCE" w:rsidRPr="008D01AB" w:rsidRDefault="00266FCE" w:rsidP="00266FCE">
      <w:pPr>
        <w:jc w:val="center"/>
        <w:rPr>
          <w:rFonts w:ascii="Times New Roman" w:hAnsi="Times New Roman"/>
          <w:b/>
          <w:bCs/>
          <w:sz w:val="22"/>
          <w:szCs w:val="22"/>
        </w:rPr>
      </w:pPr>
      <w:r w:rsidRPr="008D01AB">
        <w:rPr>
          <w:rFonts w:ascii="Times New Roman" w:hAnsi="Times New Roman"/>
          <w:b/>
          <w:bCs/>
          <w:sz w:val="22"/>
          <w:szCs w:val="22"/>
        </w:rPr>
        <w:t>Statement of compatibility with human rights</w:t>
      </w:r>
    </w:p>
    <w:p w14:paraId="597F4F3C" w14:textId="77777777" w:rsidR="00266FCE" w:rsidRPr="008D01AB" w:rsidRDefault="00266FCE" w:rsidP="00266FCE">
      <w:pPr>
        <w:jc w:val="center"/>
        <w:rPr>
          <w:rFonts w:ascii="Times New Roman" w:hAnsi="Times New Roman"/>
          <w:bCs/>
          <w:sz w:val="22"/>
          <w:szCs w:val="22"/>
        </w:rPr>
      </w:pPr>
    </w:p>
    <w:p w14:paraId="040F86AB" w14:textId="77777777" w:rsidR="00266FCE" w:rsidRPr="008D01AB" w:rsidRDefault="00266FCE" w:rsidP="00266FCE">
      <w:pPr>
        <w:jc w:val="center"/>
        <w:rPr>
          <w:rFonts w:ascii="Times New Roman" w:hAnsi="Times New Roman"/>
          <w:sz w:val="22"/>
          <w:szCs w:val="22"/>
        </w:rPr>
      </w:pPr>
      <w:r w:rsidRPr="008D01AB">
        <w:rPr>
          <w:rFonts w:ascii="Times New Roman" w:hAnsi="Times New Roman"/>
          <w:sz w:val="22"/>
          <w:szCs w:val="22"/>
        </w:rPr>
        <w:t xml:space="preserve">Prepared in accordance with Part 3 of the </w:t>
      </w:r>
      <w:r w:rsidRPr="008D01AB">
        <w:rPr>
          <w:rFonts w:ascii="Times New Roman" w:hAnsi="Times New Roman"/>
          <w:i/>
          <w:sz w:val="22"/>
          <w:szCs w:val="22"/>
        </w:rPr>
        <w:t>Human Rights (Parliamentary Scrutiny) Act 2011</w:t>
      </w:r>
      <w:r w:rsidRPr="008D01AB">
        <w:rPr>
          <w:rFonts w:ascii="Times New Roman" w:hAnsi="Times New Roman"/>
          <w:sz w:val="22"/>
          <w:szCs w:val="22"/>
        </w:rPr>
        <w:t>.</w:t>
      </w:r>
    </w:p>
    <w:p w14:paraId="62AE07BD" w14:textId="77777777" w:rsidR="00266FCE" w:rsidRPr="008D01AB" w:rsidRDefault="00266FCE" w:rsidP="00266FCE">
      <w:pPr>
        <w:jc w:val="center"/>
        <w:rPr>
          <w:rFonts w:ascii="Times New Roman" w:hAnsi="Times New Roman"/>
          <w:sz w:val="22"/>
          <w:szCs w:val="22"/>
        </w:rPr>
      </w:pPr>
    </w:p>
    <w:p w14:paraId="496BD1A6" w14:textId="61D38FF7" w:rsidR="00266FCE" w:rsidRPr="008D01AB" w:rsidRDefault="00266FCE" w:rsidP="00266FCE">
      <w:pPr>
        <w:jc w:val="center"/>
        <w:rPr>
          <w:rFonts w:ascii="Times New Roman" w:hAnsi="Times New Roman"/>
          <w:b/>
          <w:i/>
          <w:sz w:val="22"/>
          <w:szCs w:val="22"/>
        </w:rPr>
      </w:pPr>
      <w:r w:rsidRPr="008D01AB">
        <w:rPr>
          <w:rFonts w:ascii="Times New Roman" w:hAnsi="Times New Roman"/>
          <w:b/>
          <w:i/>
          <w:sz w:val="22"/>
          <w:szCs w:val="22"/>
        </w:rPr>
        <w:t>Therapeutic Goods (Permissible Ingredients—Information that Must Accompany Application for Variation) Determination 2023</w:t>
      </w:r>
    </w:p>
    <w:p w14:paraId="4856AE09" w14:textId="77777777" w:rsidR="00266FCE" w:rsidRPr="008D01AB" w:rsidRDefault="00266FCE" w:rsidP="00266FCE">
      <w:pPr>
        <w:rPr>
          <w:rFonts w:ascii="Times New Roman" w:hAnsi="Times New Roman"/>
          <w:sz w:val="22"/>
          <w:szCs w:val="22"/>
        </w:rPr>
      </w:pPr>
    </w:p>
    <w:p w14:paraId="405F7C37" w14:textId="77777777" w:rsidR="00266FCE" w:rsidRPr="008D01AB" w:rsidRDefault="00266FCE" w:rsidP="00266FCE">
      <w:pPr>
        <w:rPr>
          <w:rFonts w:ascii="Times New Roman" w:hAnsi="Times New Roman"/>
          <w:sz w:val="22"/>
          <w:szCs w:val="22"/>
        </w:rPr>
      </w:pPr>
      <w:r w:rsidRPr="008D01AB">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8D01AB">
        <w:rPr>
          <w:rFonts w:ascii="Times New Roman" w:hAnsi="Times New Roman"/>
          <w:i/>
          <w:iCs/>
          <w:sz w:val="22"/>
          <w:szCs w:val="22"/>
        </w:rPr>
        <w:t>Human Rights (Parliamentary Scrutiny) Act 2011</w:t>
      </w:r>
      <w:r w:rsidRPr="008D01AB">
        <w:rPr>
          <w:rFonts w:ascii="Times New Roman" w:hAnsi="Times New Roman"/>
          <w:sz w:val="22"/>
          <w:szCs w:val="22"/>
        </w:rPr>
        <w:t>.</w:t>
      </w:r>
    </w:p>
    <w:p w14:paraId="0858F59A" w14:textId="0C46CF60" w:rsidR="00375F79" w:rsidRPr="008D01AB" w:rsidRDefault="00375F79" w:rsidP="000C7844">
      <w:pPr>
        <w:rPr>
          <w:rFonts w:ascii="Times New Roman" w:hAnsi="Times New Roman"/>
          <w:sz w:val="22"/>
          <w:szCs w:val="22"/>
        </w:rPr>
      </w:pPr>
    </w:p>
    <w:p w14:paraId="138E44C8" w14:textId="3FE70404" w:rsidR="00266FCE" w:rsidRPr="008D01AB" w:rsidRDefault="00266FCE" w:rsidP="000C7844">
      <w:pPr>
        <w:rPr>
          <w:rFonts w:ascii="Times New Roman" w:hAnsi="Times New Roman"/>
          <w:b/>
          <w:bCs/>
          <w:sz w:val="22"/>
          <w:szCs w:val="22"/>
        </w:rPr>
      </w:pPr>
      <w:r w:rsidRPr="008D01AB">
        <w:rPr>
          <w:rFonts w:ascii="Times New Roman" w:hAnsi="Times New Roman"/>
          <w:b/>
          <w:bCs/>
          <w:sz w:val="22"/>
          <w:szCs w:val="22"/>
        </w:rPr>
        <w:t>Overview of legislative instrument</w:t>
      </w:r>
    </w:p>
    <w:p w14:paraId="1C91EEA3" w14:textId="257CAD3F" w:rsidR="00266FCE" w:rsidRPr="008D01AB" w:rsidRDefault="00266FCE" w:rsidP="000C7844">
      <w:pPr>
        <w:rPr>
          <w:rFonts w:ascii="Times New Roman" w:hAnsi="Times New Roman"/>
          <w:b/>
          <w:bCs/>
          <w:sz w:val="22"/>
          <w:szCs w:val="22"/>
        </w:rPr>
      </w:pPr>
    </w:p>
    <w:p w14:paraId="0704E392" w14:textId="5F5444D8" w:rsidR="005D0274" w:rsidRPr="008D01AB" w:rsidRDefault="005D0274" w:rsidP="005D0274">
      <w:pPr>
        <w:rPr>
          <w:rFonts w:ascii="Times New Roman" w:hAnsi="Times New Roman"/>
          <w:iCs/>
          <w:sz w:val="22"/>
          <w:szCs w:val="22"/>
        </w:rPr>
      </w:pPr>
      <w:r w:rsidRPr="008D01AB">
        <w:rPr>
          <w:rFonts w:ascii="Times New Roman" w:hAnsi="Times New Roman"/>
          <w:iCs/>
          <w:sz w:val="22"/>
          <w:szCs w:val="22"/>
        </w:rPr>
        <w:t xml:space="preserve">Subsection 26BD(1) of the Act relevantly provides that a person may make an application to the Secretary for a recommendation by the Secretary that the Minister vary a determination made under section 26BB of the Act, which specifies permissible ingredients that may be included in listed medicines. </w:t>
      </w:r>
      <w:r>
        <w:rPr>
          <w:rFonts w:ascii="Times New Roman" w:hAnsi="Times New Roman"/>
          <w:iCs/>
          <w:sz w:val="22"/>
          <w:szCs w:val="22"/>
        </w:rPr>
        <w:t>Subs</w:t>
      </w:r>
      <w:r w:rsidRPr="008D01AB">
        <w:rPr>
          <w:rFonts w:ascii="Times New Roman" w:hAnsi="Times New Roman"/>
          <w:iCs/>
          <w:sz w:val="22"/>
          <w:szCs w:val="22"/>
        </w:rPr>
        <w:t xml:space="preserve">ection 26BD(3) sets out the requirements for such an application, including that the application must be accompanied by information that is of a kind determined under subsection </w:t>
      </w:r>
      <w:r w:rsidR="003C52AD">
        <w:rPr>
          <w:rFonts w:ascii="Times New Roman" w:hAnsi="Times New Roman"/>
          <w:iCs/>
          <w:sz w:val="22"/>
          <w:szCs w:val="22"/>
        </w:rPr>
        <w:t>26BD</w:t>
      </w:r>
      <w:r w:rsidRPr="008D01AB">
        <w:rPr>
          <w:rFonts w:ascii="Times New Roman" w:hAnsi="Times New Roman"/>
          <w:iCs/>
          <w:sz w:val="22"/>
          <w:szCs w:val="22"/>
        </w:rPr>
        <w:t xml:space="preserve">(8) and in a form determined under subsection </w:t>
      </w:r>
      <w:r w:rsidR="003C52AD">
        <w:rPr>
          <w:rFonts w:ascii="Times New Roman" w:hAnsi="Times New Roman"/>
          <w:iCs/>
          <w:sz w:val="22"/>
          <w:szCs w:val="22"/>
        </w:rPr>
        <w:t>26BD</w:t>
      </w:r>
      <w:r w:rsidRPr="008D01AB">
        <w:rPr>
          <w:rFonts w:ascii="Times New Roman" w:hAnsi="Times New Roman"/>
          <w:iCs/>
          <w:sz w:val="22"/>
          <w:szCs w:val="22"/>
        </w:rPr>
        <w:t>(9). Subsections 26BD(8) and (9) provide that the Secretary may, by legislative instrument, determine a kind of information and a form of information that must accompany such an application.</w:t>
      </w:r>
    </w:p>
    <w:p w14:paraId="619B0751" w14:textId="77777777" w:rsidR="005D0274" w:rsidRPr="008D01AB" w:rsidRDefault="005D0274" w:rsidP="005D0274">
      <w:pPr>
        <w:rPr>
          <w:rFonts w:ascii="Times New Roman" w:hAnsi="Times New Roman"/>
          <w:iCs/>
          <w:sz w:val="22"/>
          <w:szCs w:val="22"/>
        </w:rPr>
      </w:pPr>
    </w:p>
    <w:p w14:paraId="13749FDF" w14:textId="7A607F3B" w:rsidR="005D0274" w:rsidRPr="008D01AB" w:rsidRDefault="005D0274" w:rsidP="005D0274">
      <w:pPr>
        <w:rPr>
          <w:rFonts w:ascii="Times New Roman" w:hAnsi="Times New Roman"/>
          <w:iCs/>
          <w:sz w:val="22"/>
          <w:szCs w:val="22"/>
        </w:rPr>
      </w:pPr>
      <w:r w:rsidRPr="008D01AB">
        <w:rPr>
          <w:rFonts w:ascii="Times New Roman" w:hAnsi="Times New Roman"/>
          <w:iCs/>
          <w:sz w:val="22"/>
          <w:szCs w:val="22"/>
        </w:rPr>
        <w:t xml:space="preserve">The </w:t>
      </w:r>
      <w:r w:rsidRPr="008D01AB">
        <w:rPr>
          <w:rFonts w:ascii="Times New Roman" w:hAnsi="Times New Roman"/>
          <w:i/>
          <w:sz w:val="22"/>
          <w:szCs w:val="22"/>
        </w:rPr>
        <w:t xml:space="preserve">Therapeutic Goods (Permissible Ingredients—Information that Must Accompany Application for Variation) Determination 2023 </w:t>
      </w:r>
      <w:r w:rsidRPr="008D01AB">
        <w:rPr>
          <w:rFonts w:ascii="Times New Roman" w:hAnsi="Times New Roman"/>
          <w:iCs/>
          <w:sz w:val="22"/>
          <w:szCs w:val="22"/>
        </w:rPr>
        <w:t>(“the Determination”) is made under subsections 26BD(8) and (9) of the Act. The purpose of the Determination is to specify the kind of information that must accompany an application under section 26BD, for a recommendation by the Secretary that the Minister vary a determination made under section 26BB of the Act, as well as the form in which that information must be provided. The Determination provides clarity around the nature and level of information needed to support a potentially successful section 26BD application. In particular, the Determination provides clarity in relation to what the minimum requirements are for supporting information that must accompany new ingredient applications or applications to vary existing ingredient requirements</w:t>
      </w:r>
      <w:r>
        <w:rPr>
          <w:rFonts w:ascii="Times New Roman" w:hAnsi="Times New Roman"/>
          <w:iCs/>
          <w:sz w:val="22"/>
          <w:szCs w:val="22"/>
        </w:rPr>
        <w:t>.</w:t>
      </w:r>
    </w:p>
    <w:p w14:paraId="7C25E1A2" w14:textId="77777777" w:rsidR="005D0274" w:rsidRPr="008D01AB" w:rsidRDefault="005D0274" w:rsidP="005D0274">
      <w:pPr>
        <w:rPr>
          <w:rFonts w:ascii="Times New Roman" w:hAnsi="Times New Roman"/>
          <w:iCs/>
          <w:sz w:val="22"/>
          <w:szCs w:val="22"/>
        </w:rPr>
      </w:pPr>
    </w:p>
    <w:p w14:paraId="544E09D3" w14:textId="74735B7A" w:rsidR="005D0274" w:rsidRPr="005D0274" w:rsidRDefault="005D0274" w:rsidP="005D0274">
      <w:pPr>
        <w:rPr>
          <w:rFonts w:ascii="Times New Roman" w:hAnsi="Times New Roman"/>
          <w:i/>
          <w:sz w:val="22"/>
          <w:szCs w:val="22"/>
        </w:rPr>
      </w:pPr>
      <w:r w:rsidRPr="005D0274">
        <w:rPr>
          <w:rFonts w:ascii="Times New Roman" w:hAnsi="Times New Roman"/>
          <w:i/>
          <w:sz w:val="22"/>
          <w:szCs w:val="22"/>
        </w:rPr>
        <w:t>Background</w:t>
      </w:r>
    </w:p>
    <w:p w14:paraId="50DBB4CD" w14:textId="77777777" w:rsidR="005D0274" w:rsidRPr="008D01AB" w:rsidRDefault="005D0274" w:rsidP="005D0274">
      <w:pPr>
        <w:rPr>
          <w:rFonts w:ascii="Times New Roman" w:hAnsi="Times New Roman"/>
          <w:iCs/>
          <w:sz w:val="22"/>
          <w:szCs w:val="22"/>
        </w:rPr>
      </w:pPr>
    </w:p>
    <w:p w14:paraId="17B3EB73" w14:textId="77777777" w:rsidR="005D0274" w:rsidRPr="008D01AB" w:rsidRDefault="005D0274" w:rsidP="005D0274">
      <w:pPr>
        <w:rPr>
          <w:rFonts w:ascii="Times New Roman" w:hAnsi="Times New Roman"/>
          <w:iCs/>
          <w:sz w:val="22"/>
          <w:szCs w:val="22"/>
        </w:rPr>
      </w:pPr>
      <w:r w:rsidRPr="008D01AB">
        <w:rPr>
          <w:rFonts w:ascii="Times New Roman" w:hAnsi="Times New Roman"/>
          <w:iCs/>
          <w:sz w:val="22"/>
          <w:szCs w:val="22"/>
        </w:rPr>
        <w:t>Subsection 26BB(1) of the Act relevantly provides that the Minister may, by legislative instrument, make a determination specifying ingredients and, for some or all of those ingredients, requirements in relation to those ingredients being contained in a medicine. Under subsections 26BB(2), (2A) and (3) of the Act, such requirements may relate to particular ingredients not being contained in particular medicines, or being contained in particular medicines only in specified circumstances, or to permitted concentrations or total amounts of an ingredient in a medicine.</w:t>
      </w:r>
    </w:p>
    <w:p w14:paraId="6C5C5F7C" w14:textId="77777777" w:rsidR="005D0274" w:rsidRPr="008D01AB" w:rsidRDefault="005D0274" w:rsidP="005D0274">
      <w:pPr>
        <w:rPr>
          <w:rFonts w:ascii="Times New Roman" w:hAnsi="Times New Roman"/>
          <w:iCs/>
          <w:sz w:val="22"/>
          <w:szCs w:val="22"/>
        </w:rPr>
      </w:pPr>
    </w:p>
    <w:p w14:paraId="2EC8078B" w14:textId="77777777" w:rsidR="005D0274" w:rsidRPr="008D01AB" w:rsidRDefault="005D0274" w:rsidP="005D0274">
      <w:pPr>
        <w:rPr>
          <w:rFonts w:ascii="Times New Roman" w:hAnsi="Times New Roman"/>
          <w:iCs/>
          <w:sz w:val="22"/>
          <w:szCs w:val="22"/>
        </w:rPr>
      </w:pPr>
      <w:r w:rsidRPr="008D01AB">
        <w:rPr>
          <w:rFonts w:ascii="Times New Roman" w:hAnsi="Times New Roman"/>
          <w:iCs/>
          <w:sz w:val="22"/>
          <w:szCs w:val="22"/>
        </w:rPr>
        <w:t>A legislative instrument made under section 26BB of the Act (“section 26BB determination”) specifies those ingredients that may be contained in a medicine that is listed in the Australian Register of Therapeutic Goods (“the Register”) under sections 26A or 26AE of the Act, and to specify requirements in relation to the inclusion of those ingredients in such medicines.</w:t>
      </w:r>
    </w:p>
    <w:p w14:paraId="4AD61DC3" w14:textId="77777777" w:rsidR="005D0274" w:rsidRPr="008D01AB" w:rsidRDefault="005D0274" w:rsidP="005D0274">
      <w:pPr>
        <w:rPr>
          <w:rFonts w:ascii="Times New Roman" w:hAnsi="Times New Roman"/>
          <w:iCs/>
          <w:sz w:val="22"/>
          <w:szCs w:val="22"/>
        </w:rPr>
      </w:pPr>
    </w:p>
    <w:p w14:paraId="13409982" w14:textId="77777777" w:rsidR="005D0274" w:rsidRPr="008D01AB" w:rsidRDefault="005D0274" w:rsidP="005D0274">
      <w:pPr>
        <w:rPr>
          <w:rFonts w:ascii="Times New Roman" w:hAnsi="Times New Roman"/>
          <w:iCs/>
          <w:sz w:val="22"/>
          <w:szCs w:val="22"/>
        </w:rPr>
      </w:pPr>
      <w:r w:rsidRPr="008D01AB">
        <w:rPr>
          <w:rFonts w:ascii="Times New Roman" w:hAnsi="Times New Roman"/>
          <w:iCs/>
          <w:sz w:val="22"/>
          <w:szCs w:val="22"/>
        </w:rPr>
        <w:t>In accordance with subsections 26A(2) and 26AB(2) of the Act, sponsors that make an application under section 23 of the Act for a medicine to be included as a listed or assessed listed medicine in the Register must certify that, among other things:</w:t>
      </w:r>
    </w:p>
    <w:p w14:paraId="304DD7A2" w14:textId="77777777" w:rsidR="005D0274" w:rsidRPr="008D01AB" w:rsidRDefault="005D0274" w:rsidP="005D0274">
      <w:pPr>
        <w:pStyle w:val="ListParagraph"/>
        <w:numPr>
          <w:ilvl w:val="0"/>
          <w:numId w:val="18"/>
        </w:numPr>
        <w:rPr>
          <w:rFonts w:ascii="Times New Roman" w:hAnsi="Times New Roman"/>
          <w:iCs/>
          <w:sz w:val="22"/>
          <w:szCs w:val="22"/>
        </w:rPr>
      </w:pPr>
      <w:r w:rsidRPr="008D01AB">
        <w:rPr>
          <w:rFonts w:ascii="Times New Roman" w:hAnsi="Times New Roman"/>
          <w:iCs/>
          <w:sz w:val="22"/>
          <w:szCs w:val="22"/>
        </w:rPr>
        <w:t>the medicine does not contain an ingredient that is not specified in a section 26BB determination; and</w:t>
      </w:r>
    </w:p>
    <w:p w14:paraId="35563FAA" w14:textId="77777777" w:rsidR="005D0274" w:rsidRPr="008D01AB" w:rsidRDefault="005D0274" w:rsidP="005D0274">
      <w:pPr>
        <w:pStyle w:val="ListParagraph"/>
        <w:numPr>
          <w:ilvl w:val="0"/>
          <w:numId w:val="18"/>
        </w:numPr>
        <w:rPr>
          <w:rFonts w:ascii="Times New Roman" w:hAnsi="Times New Roman"/>
          <w:iCs/>
          <w:sz w:val="22"/>
          <w:szCs w:val="22"/>
        </w:rPr>
      </w:pPr>
      <w:r w:rsidRPr="008D01AB">
        <w:rPr>
          <w:rFonts w:ascii="Times New Roman" w:hAnsi="Times New Roman"/>
          <w:iCs/>
          <w:sz w:val="22"/>
          <w:szCs w:val="22"/>
        </w:rPr>
        <w:t>if a section 26BB determination specifies requirements in relation to ingredients being contained in the medicine</w:t>
      </w:r>
      <w:r w:rsidRPr="008D01AB">
        <w:rPr>
          <w:rFonts w:ascii="Times New Roman" w:hAnsi="Times New Roman"/>
          <w:i/>
          <w:sz w:val="22"/>
          <w:szCs w:val="22"/>
        </w:rPr>
        <w:t>—</w:t>
      </w:r>
      <w:r w:rsidRPr="008D01AB">
        <w:rPr>
          <w:rFonts w:ascii="Times New Roman" w:hAnsi="Times New Roman"/>
          <w:iCs/>
          <w:sz w:val="22"/>
          <w:szCs w:val="22"/>
        </w:rPr>
        <w:t>none of those requirements have been contravened.</w:t>
      </w:r>
    </w:p>
    <w:p w14:paraId="48D5201E" w14:textId="77777777" w:rsidR="005D0274" w:rsidRPr="008D01AB" w:rsidRDefault="005D0274" w:rsidP="005D0274">
      <w:pPr>
        <w:rPr>
          <w:rFonts w:ascii="Times New Roman" w:hAnsi="Times New Roman"/>
          <w:iCs/>
          <w:sz w:val="22"/>
          <w:szCs w:val="22"/>
        </w:rPr>
      </w:pPr>
    </w:p>
    <w:p w14:paraId="333E040E" w14:textId="08894971" w:rsidR="005D0274" w:rsidRPr="008D01AB" w:rsidRDefault="005D0274" w:rsidP="005D0274">
      <w:pPr>
        <w:rPr>
          <w:rFonts w:ascii="Times New Roman" w:hAnsi="Times New Roman"/>
          <w:iCs/>
          <w:sz w:val="22"/>
          <w:szCs w:val="22"/>
        </w:rPr>
      </w:pPr>
      <w:r w:rsidRPr="008D01AB">
        <w:rPr>
          <w:rFonts w:ascii="Times New Roman" w:hAnsi="Times New Roman"/>
          <w:iCs/>
          <w:sz w:val="22"/>
          <w:szCs w:val="22"/>
        </w:rPr>
        <w:t>Subsection 26BD(1) provides that a person may make an application for a recommendation to be made by the Secretary that the Minister vary a section 26BB determination (“a variation application”). In practice, these applications mainly involve proposals for the approval of new ingredients for use in listed or assessed listed medicines, but an application may also propose a variation to existing requirements for the use of a permitted ingredient.</w:t>
      </w:r>
    </w:p>
    <w:p w14:paraId="6D2E48CD" w14:textId="77777777" w:rsidR="005D0274" w:rsidRPr="008D01AB" w:rsidRDefault="005D0274" w:rsidP="005D0274">
      <w:pPr>
        <w:rPr>
          <w:rFonts w:ascii="Times New Roman" w:hAnsi="Times New Roman"/>
          <w:iCs/>
          <w:sz w:val="22"/>
          <w:szCs w:val="22"/>
        </w:rPr>
      </w:pPr>
    </w:p>
    <w:p w14:paraId="23ABD7C3" w14:textId="5ABCBF6A" w:rsidR="005D0274" w:rsidRPr="008D01AB" w:rsidRDefault="005D0274" w:rsidP="005D0274">
      <w:pPr>
        <w:rPr>
          <w:rFonts w:ascii="Times New Roman" w:hAnsi="Times New Roman"/>
          <w:iCs/>
          <w:sz w:val="22"/>
          <w:szCs w:val="22"/>
        </w:rPr>
      </w:pPr>
      <w:r w:rsidRPr="008D01AB">
        <w:rPr>
          <w:rFonts w:ascii="Times New Roman" w:hAnsi="Times New Roman"/>
          <w:iCs/>
          <w:sz w:val="22"/>
          <w:szCs w:val="22"/>
        </w:rPr>
        <w:t>Subsection 26BD(2) provides that when a variation application is made, the Secretary must carry out an assessment of whether the requirements set out in subsection 26BD(3) have been met in relation to the application. These subsections provide for a preliminary assessment process. An applicant passes preliminary assessment if the Secretary is satisfied, after assessing the application, that the requirements in subsection 26</w:t>
      </w:r>
      <w:proofErr w:type="gramStart"/>
      <w:r w:rsidRPr="008D01AB">
        <w:rPr>
          <w:rFonts w:ascii="Times New Roman" w:hAnsi="Times New Roman"/>
          <w:iCs/>
          <w:sz w:val="22"/>
          <w:szCs w:val="22"/>
        </w:rPr>
        <w:t>B(</w:t>
      </w:r>
      <w:proofErr w:type="gramEnd"/>
      <w:r w:rsidRPr="008D01AB">
        <w:rPr>
          <w:rFonts w:ascii="Times New Roman" w:hAnsi="Times New Roman"/>
          <w:iCs/>
          <w:sz w:val="22"/>
          <w:szCs w:val="22"/>
        </w:rPr>
        <w:t>3) have been met (subsection 26BD(4)). Otherwise, the Secretary must refuse the application (subsection 26BD(6)).</w:t>
      </w:r>
    </w:p>
    <w:p w14:paraId="12810DEA" w14:textId="77777777" w:rsidR="005D0274" w:rsidRPr="008D01AB" w:rsidRDefault="005D0274" w:rsidP="005D0274">
      <w:pPr>
        <w:rPr>
          <w:rFonts w:ascii="Times New Roman" w:hAnsi="Times New Roman"/>
          <w:iCs/>
          <w:sz w:val="22"/>
          <w:szCs w:val="22"/>
        </w:rPr>
      </w:pPr>
    </w:p>
    <w:p w14:paraId="7BFF74B7" w14:textId="77777777" w:rsidR="005D0274" w:rsidRPr="008D01AB" w:rsidRDefault="005D0274" w:rsidP="005D0274">
      <w:pPr>
        <w:rPr>
          <w:rFonts w:ascii="Times New Roman" w:hAnsi="Times New Roman"/>
          <w:iCs/>
          <w:sz w:val="22"/>
          <w:szCs w:val="22"/>
        </w:rPr>
      </w:pPr>
      <w:r w:rsidRPr="008D01AB">
        <w:rPr>
          <w:rFonts w:ascii="Times New Roman" w:hAnsi="Times New Roman"/>
          <w:iCs/>
          <w:sz w:val="22"/>
          <w:szCs w:val="22"/>
        </w:rPr>
        <w:t>One of the requirements in subsection 26BD(3) is that the application must be accompanied by information of a kind determined under subsection (8) and in a form determined under subsection (9). Subsections 26BD(8) and (9) provide that the Secretary may make legislative instruments determining the kind of information and form of information that must accompany an application under subsection 26BD(1), providing clarity in relation to what the minimum requirements are for supporting information that must accompany a variation application.</w:t>
      </w:r>
    </w:p>
    <w:p w14:paraId="122D7EDA" w14:textId="77777777" w:rsidR="005D0274" w:rsidRPr="008D01AB" w:rsidRDefault="005D0274" w:rsidP="005D0274">
      <w:pPr>
        <w:rPr>
          <w:rFonts w:ascii="Times New Roman" w:hAnsi="Times New Roman"/>
          <w:iCs/>
          <w:sz w:val="22"/>
          <w:szCs w:val="22"/>
        </w:rPr>
      </w:pPr>
    </w:p>
    <w:p w14:paraId="76683A19" w14:textId="77777777" w:rsidR="005D0274" w:rsidRPr="005D0274" w:rsidRDefault="005D0274" w:rsidP="005D0274">
      <w:pPr>
        <w:spacing w:line="259" w:lineRule="auto"/>
        <w:rPr>
          <w:rFonts w:ascii="Times New Roman" w:hAnsi="Times New Roman"/>
          <w:i/>
          <w:sz w:val="22"/>
          <w:szCs w:val="22"/>
        </w:rPr>
      </w:pPr>
      <w:r w:rsidRPr="005D0274">
        <w:rPr>
          <w:rFonts w:ascii="Times New Roman" w:hAnsi="Times New Roman"/>
          <w:i/>
          <w:sz w:val="22"/>
          <w:szCs w:val="22"/>
        </w:rPr>
        <w:t>Purpose</w:t>
      </w:r>
    </w:p>
    <w:p w14:paraId="1789C72C" w14:textId="77777777" w:rsidR="005D0274" w:rsidRPr="008D01AB" w:rsidRDefault="005D0274" w:rsidP="005D0274">
      <w:pPr>
        <w:rPr>
          <w:rFonts w:ascii="Times New Roman" w:hAnsi="Times New Roman"/>
          <w:b/>
          <w:bCs/>
          <w:iCs/>
          <w:sz w:val="22"/>
          <w:szCs w:val="22"/>
        </w:rPr>
      </w:pPr>
    </w:p>
    <w:p w14:paraId="1BAAA0A7" w14:textId="5E8F4F82" w:rsidR="005D0274" w:rsidRPr="008D01AB" w:rsidRDefault="005D0274" w:rsidP="005D0274">
      <w:pPr>
        <w:rPr>
          <w:rFonts w:ascii="Times New Roman" w:hAnsi="Times New Roman"/>
          <w:iCs/>
          <w:sz w:val="22"/>
          <w:szCs w:val="22"/>
        </w:rPr>
      </w:pPr>
      <w:r w:rsidRPr="008D01AB">
        <w:rPr>
          <w:rFonts w:ascii="Times New Roman" w:hAnsi="Times New Roman"/>
          <w:iCs/>
          <w:sz w:val="22"/>
          <w:szCs w:val="22"/>
        </w:rPr>
        <w:t>The Determination specifies the kind of information that must accompany a variation application, as well as the form in which that information must be provided. In particular, the Determination provides that a variation application must be:</w:t>
      </w:r>
    </w:p>
    <w:p w14:paraId="7BE1ECF3" w14:textId="5D5B7286" w:rsidR="005D0274" w:rsidRPr="008D01AB" w:rsidRDefault="005D0274" w:rsidP="005D0274">
      <w:pPr>
        <w:pStyle w:val="ListParagraph"/>
        <w:numPr>
          <w:ilvl w:val="0"/>
          <w:numId w:val="17"/>
        </w:numPr>
        <w:rPr>
          <w:rFonts w:ascii="Times New Roman" w:hAnsi="Times New Roman"/>
          <w:iCs/>
          <w:sz w:val="22"/>
          <w:szCs w:val="22"/>
        </w:rPr>
      </w:pPr>
      <w:r w:rsidRPr="008D01AB">
        <w:rPr>
          <w:rFonts w:ascii="Times New Roman" w:hAnsi="Times New Roman"/>
          <w:iCs/>
          <w:sz w:val="22"/>
          <w:szCs w:val="22"/>
        </w:rPr>
        <w:t xml:space="preserve">accompanied by information of a kind specified in the document titled </w:t>
      </w:r>
      <w:r w:rsidRPr="008D01AB">
        <w:rPr>
          <w:rFonts w:ascii="Times New Roman" w:hAnsi="Times New Roman"/>
          <w:i/>
          <w:sz w:val="22"/>
          <w:szCs w:val="22"/>
        </w:rPr>
        <w:t>Mandatory requirements for an effective application to vary the Permissible Ingredients Determination</w:t>
      </w:r>
      <w:r w:rsidRPr="008D01AB">
        <w:rPr>
          <w:rFonts w:ascii="Times New Roman" w:hAnsi="Times New Roman"/>
          <w:iCs/>
          <w:sz w:val="22"/>
          <w:szCs w:val="22"/>
        </w:rPr>
        <w:t>’</w:t>
      </w:r>
      <w:r w:rsidR="0021624C">
        <w:rPr>
          <w:rFonts w:ascii="Times New Roman" w:hAnsi="Times New Roman"/>
          <w:iCs/>
          <w:sz w:val="22"/>
          <w:szCs w:val="22"/>
        </w:rPr>
        <w:t xml:space="preserve"> </w:t>
      </w:r>
      <w:r>
        <w:rPr>
          <w:rFonts w:ascii="Times New Roman" w:hAnsi="Times New Roman"/>
          <w:iCs/>
          <w:sz w:val="22"/>
          <w:szCs w:val="22"/>
        </w:rPr>
        <w:t>(Version 1.0, February 2023) published by the TGA</w:t>
      </w:r>
      <w:r w:rsidRPr="008D01AB">
        <w:rPr>
          <w:rFonts w:ascii="Times New Roman" w:hAnsi="Times New Roman"/>
          <w:iCs/>
          <w:sz w:val="22"/>
          <w:szCs w:val="22"/>
        </w:rPr>
        <w:t xml:space="preserve"> (“the Mandatory Requirements Document”); and</w:t>
      </w:r>
    </w:p>
    <w:p w14:paraId="254C0EA8" w14:textId="238A1405" w:rsidR="005D0274" w:rsidRPr="008D01AB" w:rsidRDefault="005D0274" w:rsidP="005D0274">
      <w:pPr>
        <w:pStyle w:val="ListParagraph"/>
        <w:numPr>
          <w:ilvl w:val="0"/>
          <w:numId w:val="5"/>
        </w:numPr>
        <w:rPr>
          <w:rFonts w:ascii="Times New Roman" w:hAnsi="Times New Roman"/>
          <w:iCs/>
          <w:sz w:val="22"/>
          <w:szCs w:val="22"/>
        </w:rPr>
      </w:pPr>
      <w:r w:rsidRPr="008D01AB">
        <w:rPr>
          <w:rFonts w:ascii="Times New Roman" w:hAnsi="Times New Roman"/>
          <w:iCs/>
          <w:sz w:val="22"/>
          <w:szCs w:val="22"/>
        </w:rPr>
        <w:t>contained in an application dossier</w:t>
      </w:r>
      <w:r>
        <w:rPr>
          <w:rFonts w:ascii="Times New Roman" w:hAnsi="Times New Roman"/>
          <w:iCs/>
          <w:sz w:val="22"/>
          <w:szCs w:val="22"/>
        </w:rPr>
        <w:t>,</w:t>
      </w:r>
      <w:r w:rsidRPr="008D01AB">
        <w:rPr>
          <w:rFonts w:ascii="Times New Roman" w:hAnsi="Times New Roman"/>
          <w:iCs/>
          <w:sz w:val="22"/>
          <w:szCs w:val="22"/>
        </w:rPr>
        <w:t xml:space="preserve"> and in a form consistent with the Mandatory Requirements Document</w:t>
      </w:r>
      <w:r>
        <w:rPr>
          <w:rFonts w:ascii="Times New Roman" w:hAnsi="Times New Roman"/>
          <w:iCs/>
          <w:sz w:val="22"/>
          <w:szCs w:val="22"/>
        </w:rPr>
        <w:t xml:space="preserve"> and the </w:t>
      </w:r>
      <w:r w:rsidRPr="00244276">
        <w:rPr>
          <w:rFonts w:ascii="Times New Roman" w:hAnsi="Times New Roman"/>
          <w:iCs/>
          <w:sz w:val="22"/>
          <w:szCs w:val="22"/>
        </w:rPr>
        <w:t xml:space="preserve">document titled </w:t>
      </w:r>
      <w:r w:rsidRPr="005D0274">
        <w:rPr>
          <w:rFonts w:ascii="Times New Roman" w:hAnsi="Times New Roman"/>
          <w:i/>
          <w:sz w:val="22"/>
          <w:szCs w:val="22"/>
        </w:rPr>
        <w:t>General dossier requirements</w:t>
      </w:r>
      <w:r w:rsidRPr="005D0274">
        <w:rPr>
          <w:sz w:val="22"/>
          <w:szCs w:val="22"/>
        </w:rPr>
        <w:t xml:space="preserve"> (</w:t>
      </w:r>
      <w:r w:rsidR="009E270B">
        <w:rPr>
          <w:sz w:val="22"/>
          <w:szCs w:val="22"/>
        </w:rPr>
        <w:t>V</w:t>
      </w:r>
      <w:r w:rsidRPr="005D0274">
        <w:rPr>
          <w:sz w:val="22"/>
          <w:szCs w:val="22"/>
        </w:rPr>
        <w:t>ersion 1.4, July 2018) published by the TGA</w:t>
      </w:r>
      <w:r w:rsidRPr="008D01AB">
        <w:rPr>
          <w:rFonts w:ascii="Times New Roman" w:hAnsi="Times New Roman"/>
          <w:iCs/>
          <w:sz w:val="22"/>
          <w:szCs w:val="22"/>
        </w:rPr>
        <w:t>.</w:t>
      </w:r>
    </w:p>
    <w:p w14:paraId="71DAF78E" w14:textId="77777777" w:rsidR="005D0274" w:rsidRPr="008D01AB" w:rsidRDefault="005D0274" w:rsidP="005D0274">
      <w:pPr>
        <w:rPr>
          <w:rFonts w:ascii="Times New Roman" w:hAnsi="Times New Roman"/>
          <w:iCs/>
          <w:sz w:val="22"/>
          <w:szCs w:val="22"/>
        </w:rPr>
      </w:pPr>
    </w:p>
    <w:p w14:paraId="7857E916" w14:textId="032EC409" w:rsidR="005D0274" w:rsidRDefault="005D0274" w:rsidP="005D0274">
      <w:pPr>
        <w:rPr>
          <w:rFonts w:ascii="Times New Roman" w:hAnsi="Times New Roman"/>
          <w:iCs/>
          <w:sz w:val="22"/>
          <w:szCs w:val="22"/>
        </w:rPr>
      </w:pPr>
      <w:r w:rsidRPr="008D01AB">
        <w:rPr>
          <w:rFonts w:ascii="Times New Roman" w:hAnsi="Times New Roman"/>
          <w:iCs/>
          <w:sz w:val="22"/>
          <w:szCs w:val="22"/>
        </w:rPr>
        <w:t>The Determination is designed to facilitate the effective management of resources by the Department in the evaluation of variation applications, and to create certainty for applicants in relation to the</w:t>
      </w:r>
      <w:r>
        <w:rPr>
          <w:rFonts w:ascii="Times New Roman" w:hAnsi="Times New Roman"/>
          <w:iCs/>
          <w:sz w:val="22"/>
          <w:szCs w:val="22"/>
        </w:rPr>
        <w:t xml:space="preserve"> necessary</w:t>
      </w:r>
      <w:r w:rsidRPr="008D01AB">
        <w:rPr>
          <w:rFonts w:ascii="Times New Roman" w:hAnsi="Times New Roman"/>
          <w:iCs/>
          <w:sz w:val="22"/>
          <w:szCs w:val="22"/>
        </w:rPr>
        <w:t xml:space="preserve"> </w:t>
      </w:r>
      <w:r>
        <w:rPr>
          <w:rFonts w:ascii="Times New Roman" w:hAnsi="Times New Roman"/>
          <w:iCs/>
          <w:sz w:val="22"/>
          <w:szCs w:val="22"/>
        </w:rPr>
        <w:t>supporting information</w:t>
      </w:r>
      <w:r w:rsidRPr="008D01AB">
        <w:rPr>
          <w:rFonts w:ascii="Times New Roman" w:hAnsi="Times New Roman"/>
          <w:iCs/>
          <w:sz w:val="22"/>
          <w:szCs w:val="22"/>
        </w:rPr>
        <w:t xml:space="preserve"> and form requirements </w:t>
      </w:r>
      <w:r w:rsidRPr="005324D7">
        <w:rPr>
          <w:rFonts w:ascii="Times New Roman" w:hAnsi="Times New Roman"/>
          <w:iCs/>
          <w:sz w:val="22"/>
          <w:szCs w:val="22"/>
        </w:rPr>
        <w:t xml:space="preserve">needed to evaluate </w:t>
      </w:r>
      <w:r>
        <w:rPr>
          <w:rFonts w:ascii="Times New Roman" w:hAnsi="Times New Roman"/>
          <w:iCs/>
          <w:sz w:val="22"/>
          <w:szCs w:val="22"/>
        </w:rPr>
        <w:t>an</w:t>
      </w:r>
      <w:r w:rsidRPr="005324D7">
        <w:rPr>
          <w:rFonts w:ascii="Times New Roman" w:hAnsi="Times New Roman"/>
          <w:iCs/>
          <w:sz w:val="22"/>
          <w:szCs w:val="22"/>
        </w:rPr>
        <w:t xml:space="preserve"> application</w:t>
      </w:r>
      <w:r w:rsidRPr="008D01AB">
        <w:rPr>
          <w:rFonts w:ascii="Times New Roman" w:hAnsi="Times New Roman"/>
          <w:iCs/>
          <w:sz w:val="22"/>
          <w:szCs w:val="22"/>
        </w:rPr>
        <w:t xml:space="preserve">. </w:t>
      </w:r>
      <w:r w:rsidRPr="005324D7">
        <w:rPr>
          <w:rFonts w:ascii="Times New Roman" w:hAnsi="Times New Roman"/>
          <w:iCs/>
          <w:sz w:val="22"/>
          <w:szCs w:val="22"/>
        </w:rPr>
        <w:t xml:space="preserve">The information required to accompany an application is necessary to enable the Secretary to undertake a full evaluation of the application in accordance with section </w:t>
      </w:r>
      <w:r>
        <w:rPr>
          <w:rFonts w:ascii="Times New Roman" w:hAnsi="Times New Roman"/>
          <w:iCs/>
          <w:sz w:val="22"/>
          <w:szCs w:val="22"/>
        </w:rPr>
        <w:t>26BE</w:t>
      </w:r>
      <w:r w:rsidRPr="005324D7">
        <w:rPr>
          <w:rFonts w:ascii="Times New Roman" w:hAnsi="Times New Roman"/>
          <w:iCs/>
          <w:sz w:val="22"/>
          <w:szCs w:val="22"/>
        </w:rPr>
        <w:t xml:space="preserve"> of the Act, and is information that </w:t>
      </w:r>
      <w:r>
        <w:rPr>
          <w:rFonts w:ascii="Times New Roman" w:hAnsi="Times New Roman"/>
          <w:iCs/>
          <w:sz w:val="22"/>
          <w:szCs w:val="22"/>
        </w:rPr>
        <w:t>applicants</w:t>
      </w:r>
      <w:r w:rsidRPr="005324D7">
        <w:rPr>
          <w:rFonts w:ascii="Times New Roman" w:hAnsi="Times New Roman"/>
          <w:iCs/>
          <w:sz w:val="22"/>
          <w:szCs w:val="22"/>
        </w:rPr>
        <w:t xml:space="preserve"> would be expected to have available when they </w:t>
      </w:r>
      <w:r>
        <w:rPr>
          <w:rFonts w:ascii="Times New Roman" w:hAnsi="Times New Roman"/>
          <w:iCs/>
          <w:sz w:val="22"/>
          <w:szCs w:val="22"/>
        </w:rPr>
        <w:t>make an application</w:t>
      </w:r>
      <w:r w:rsidRPr="005324D7">
        <w:rPr>
          <w:rFonts w:ascii="Times New Roman" w:hAnsi="Times New Roman"/>
          <w:iCs/>
          <w:sz w:val="22"/>
          <w:szCs w:val="22"/>
        </w:rPr>
        <w:t xml:space="preserve">. </w:t>
      </w:r>
      <w:r w:rsidRPr="00D11E24">
        <w:rPr>
          <w:rFonts w:ascii="Times New Roman" w:hAnsi="Times New Roman"/>
          <w:iCs/>
          <w:sz w:val="22"/>
          <w:szCs w:val="22"/>
        </w:rPr>
        <w:t>The data requirements also ensure that sponsors using application categories based on overseas assessment reports will be able to address Australian specific requirements.</w:t>
      </w:r>
      <w:r>
        <w:rPr>
          <w:rFonts w:ascii="Times New Roman" w:hAnsi="Times New Roman"/>
          <w:iCs/>
          <w:sz w:val="22"/>
          <w:szCs w:val="22"/>
        </w:rPr>
        <w:t xml:space="preserve"> </w:t>
      </w:r>
      <w:r w:rsidRPr="005324D7">
        <w:rPr>
          <w:rFonts w:ascii="Times New Roman" w:hAnsi="Times New Roman"/>
          <w:iCs/>
          <w:sz w:val="22"/>
          <w:szCs w:val="22"/>
        </w:rPr>
        <w:t xml:space="preserve">The form in which the information must be provided is </w:t>
      </w:r>
      <w:r>
        <w:rPr>
          <w:rFonts w:ascii="Times New Roman" w:hAnsi="Times New Roman"/>
          <w:iCs/>
          <w:sz w:val="22"/>
          <w:szCs w:val="22"/>
        </w:rPr>
        <w:t>critical</w:t>
      </w:r>
      <w:r w:rsidRPr="005324D7">
        <w:rPr>
          <w:rFonts w:ascii="Times New Roman" w:hAnsi="Times New Roman"/>
          <w:iCs/>
          <w:sz w:val="22"/>
          <w:szCs w:val="22"/>
        </w:rPr>
        <w:t xml:space="preserve"> to ensuring that the evaluation can be undertaken efficiently.</w:t>
      </w:r>
    </w:p>
    <w:p w14:paraId="5F95DD69" w14:textId="77777777" w:rsidR="005D0274" w:rsidRDefault="005D0274" w:rsidP="005D0274">
      <w:pPr>
        <w:rPr>
          <w:rFonts w:ascii="Times New Roman" w:hAnsi="Times New Roman"/>
          <w:iCs/>
          <w:sz w:val="22"/>
          <w:szCs w:val="22"/>
        </w:rPr>
      </w:pPr>
    </w:p>
    <w:p w14:paraId="135BFF0E" w14:textId="4FBE957B" w:rsidR="005D0274" w:rsidRDefault="005D0274" w:rsidP="005D0274">
      <w:pPr>
        <w:rPr>
          <w:rFonts w:ascii="Times New Roman" w:hAnsi="Times New Roman"/>
          <w:iCs/>
          <w:sz w:val="22"/>
          <w:szCs w:val="22"/>
        </w:rPr>
      </w:pPr>
      <w:r w:rsidRPr="008D01AB">
        <w:rPr>
          <w:rFonts w:ascii="Times New Roman" w:hAnsi="Times New Roman"/>
          <w:iCs/>
          <w:sz w:val="22"/>
          <w:szCs w:val="22"/>
        </w:rPr>
        <w:t xml:space="preserve">A preliminary assessment process under section 26BD, and a subsequent evaluation process under section 26BE, involve considerable </w:t>
      </w:r>
      <w:r>
        <w:rPr>
          <w:rFonts w:ascii="Times New Roman" w:hAnsi="Times New Roman"/>
          <w:iCs/>
          <w:sz w:val="22"/>
          <w:szCs w:val="22"/>
        </w:rPr>
        <w:t xml:space="preserve">investment in, and use of, </w:t>
      </w:r>
      <w:r w:rsidRPr="008D01AB">
        <w:rPr>
          <w:rFonts w:ascii="Times New Roman" w:hAnsi="Times New Roman"/>
          <w:iCs/>
          <w:sz w:val="22"/>
          <w:szCs w:val="22"/>
        </w:rPr>
        <w:t xml:space="preserve">resources. </w:t>
      </w:r>
      <w:r>
        <w:rPr>
          <w:rFonts w:ascii="Times New Roman" w:hAnsi="Times New Roman"/>
          <w:iCs/>
          <w:sz w:val="22"/>
          <w:szCs w:val="22"/>
        </w:rPr>
        <w:t>I</w:t>
      </w:r>
      <w:r w:rsidRPr="005324D7">
        <w:rPr>
          <w:rFonts w:ascii="Times New Roman" w:hAnsi="Times New Roman"/>
          <w:iCs/>
          <w:sz w:val="22"/>
          <w:szCs w:val="22"/>
        </w:rPr>
        <w:t xml:space="preserve">f an inaccurate or deficient application </w:t>
      </w:r>
      <w:r>
        <w:rPr>
          <w:rFonts w:ascii="Times New Roman" w:hAnsi="Times New Roman"/>
          <w:iCs/>
          <w:sz w:val="22"/>
          <w:szCs w:val="22"/>
        </w:rPr>
        <w:t>is received</w:t>
      </w:r>
      <w:r w:rsidRPr="005324D7">
        <w:rPr>
          <w:rFonts w:ascii="Times New Roman" w:hAnsi="Times New Roman"/>
          <w:iCs/>
          <w:sz w:val="22"/>
          <w:szCs w:val="22"/>
        </w:rPr>
        <w:t>, this could cause delay in the processing of other applications.</w:t>
      </w:r>
      <w:r>
        <w:rPr>
          <w:color w:val="000000"/>
          <w:shd w:val="clear" w:color="auto" w:fill="FFFFFF"/>
        </w:rPr>
        <w:t xml:space="preserve"> </w:t>
      </w:r>
      <w:r w:rsidRPr="008D01AB">
        <w:rPr>
          <w:rFonts w:ascii="Times New Roman" w:hAnsi="Times New Roman"/>
          <w:iCs/>
          <w:sz w:val="22"/>
          <w:szCs w:val="22"/>
        </w:rPr>
        <w:t xml:space="preserve">Mandating content and form requirements for variation applications </w:t>
      </w:r>
      <w:r w:rsidR="003C52AD">
        <w:rPr>
          <w:rFonts w:ascii="Times New Roman" w:hAnsi="Times New Roman"/>
          <w:iCs/>
          <w:sz w:val="22"/>
          <w:szCs w:val="22"/>
        </w:rPr>
        <w:t xml:space="preserve">is designed to </w:t>
      </w:r>
      <w:r w:rsidRPr="008D01AB">
        <w:rPr>
          <w:rFonts w:ascii="Times New Roman" w:hAnsi="Times New Roman"/>
          <w:iCs/>
          <w:sz w:val="22"/>
          <w:szCs w:val="22"/>
        </w:rPr>
        <w:t xml:space="preserve">increase efficiency by providing clarity regarding application requirements, streamlining application and evaluation </w:t>
      </w:r>
      <w:proofErr w:type="gramStart"/>
      <w:r w:rsidRPr="008D01AB">
        <w:rPr>
          <w:rFonts w:ascii="Times New Roman" w:hAnsi="Times New Roman"/>
          <w:iCs/>
          <w:sz w:val="22"/>
          <w:szCs w:val="22"/>
        </w:rPr>
        <w:t>processes</w:t>
      </w:r>
      <w:proofErr w:type="gramEnd"/>
      <w:r w:rsidRPr="008D01AB">
        <w:rPr>
          <w:rFonts w:ascii="Times New Roman" w:hAnsi="Times New Roman"/>
          <w:iCs/>
          <w:sz w:val="22"/>
          <w:szCs w:val="22"/>
        </w:rPr>
        <w:t xml:space="preserve"> and preventing delays in assessing applications</w:t>
      </w:r>
      <w:r w:rsidR="003C52AD">
        <w:rPr>
          <w:rFonts w:ascii="Times New Roman" w:hAnsi="Times New Roman"/>
          <w:iCs/>
          <w:sz w:val="22"/>
          <w:szCs w:val="22"/>
        </w:rPr>
        <w:t>,</w:t>
      </w:r>
      <w:r>
        <w:rPr>
          <w:rFonts w:ascii="Times New Roman" w:hAnsi="Times New Roman"/>
          <w:iCs/>
          <w:sz w:val="22"/>
          <w:szCs w:val="22"/>
        </w:rPr>
        <w:t xml:space="preserve"> and is consistent with other therapeutic goods application processes</w:t>
      </w:r>
      <w:r w:rsidRPr="008D01AB">
        <w:rPr>
          <w:rFonts w:ascii="Times New Roman" w:hAnsi="Times New Roman"/>
          <w:iCs/>
          <w:sz w:val="22"/>
          <w:szCs w:val="22"/>
        </w:rPr>
        <w:t>.</w:t>
      </w:r>
    </w:p>
    <w:p w14:paraId="4B5483DE" w14:textId="77777777" w:rsidR="005D0274" w:rsidRPr="008D01AB" w:rsidRDefault="005D0274" w:rsidP="005D0274">
      <w:pPr>
        <w:rPr>
          <w:rFonts w:ascii="Times New Roman" w:hAnsi="Times New Roman"/>
          <w:iCs/>
          <w:sz w:val="22"/>
          <w:szCs w:val="22"/>
        </w:rPr>
      </w:pPr>
    </w:p>
    <w:p w14:paraId="0453B5F1" w14:textId="108A23F8" w:rsidR="005D0274" w:rsidRPr="008D01AB" w:rsidRDefault="005D0274" w:rsidP="005D0274">
      <w:pPr>
        <w:rPr>
          <w:rFonts w:ascii="Times New Roman" w:hAnsi="Times New Roman"/>
          <w:iCs/>
          <w:sz w:val="22"/>
          <w:szCs w:val="22"/>
        </w:rPr>
      </w:pPr>
      <w:r w:rsidRPr="008D01AB">
        <w:rPr>
          <w:rFonts w:ascii="Times New Roman" w:hAnsi="Times New Roman"/>
          <w:iCs/>
          <w:sz w:val="22"/>
          <w:szCs w:val="22"/>
        </w:rPr>
        <w:t xml:space="preserve">The Mandatory Requirements Document provides that an application dossier must provide appropriate information as specified in Appendix A. Appendix A outlines the specific mandatory </w:t>
      </w:r>
      <w:r w:rsidRPr="008D01AB">
        <w:rPr>
          <w:rFonts w:ascii="Times New Roman" w:hAnsi="Times New Roman"/>
          <w:iCs/>
          <w:sz w:val="22"/>
          <w:szCs w:val="22"/>
        </w:rPr>
        <w:lastRenderedPageBreak/>
        <w:t xml:space="preserve">requirements with respect to the information that must be provided in relation to each of the four application categories. The application categories, being ‘IN1 applications’, ‘IN2 applications’, ‘IN3 applications’, and ‘IN4 applications’, are defined in regulation 2 of the </w:t>
      </w:r>
      <w:r w:rsidRPr="008D01AB">
        <w:rPr>
          <w:rFonts w:ascii="Times New Roman" w:hAnsi="Times New Roman"/>
          <w:i/>
          <w:sz w:val="22"/>
          <w:szCs w:val="22"/>
        </w:rPr>
        <w:t>Therapeutic Goods Regulations 1990</w:t>
      </w:r>
      <w:r w:rsidRPr="008D01AB">
        <w:rPr>
          <w:rFonts w:ascii="Times New Roman" w:hAnsi="Times New Roman"/>
          <w:iCs/>
          <w:sz w:val="22"/>
          <w:szCs w:val="22"/>
        </w:rPr>
        <w:t>.</w:t>
      </w:r>
    </w:p>
    <w:p w14:paraId="1A778D4F" w14:textId="77777777" w:rsidR="005D0274" w:rsidRPr="008D01AB" w:rsidRDefault="005D0274" w:rsidP="005D0274">
      <w:pPr>
        <w:rPr>
          <w:rFonts w:ascii="Times New Roman" w:hAnsi="Times New Roman"/>
          <w:iCs/>
          <w:sz w:val="22"/>
          <w:szCs w:val="22"/>
        </w:rPr>
      </w:pPr>
    </w:p>
    <w:p w14:paraId="7774D05C" w14:textId="1A42B9BD" w:rsidR="005D0274" w:rsidRDefault="005D0274" w:rsidP="005D0274">
      <w:pPr>
        <w:rPr>
          <w:rFonts w:ascii="Times New Roman" w:hAnsi="Times New Roman"/>
          <w:iCs/>
          <w:sz w:val="22"/>
          <w:szCs w:val="22"/>
        </w:rPr>
      </w:pPr>
      <w:r w:rsidRPr="008D01AB">
        <w:rPr>
          <w:rFonts w:ascii="Times New Roman" w:hAnsi="Times New Roman"/>
          <w:iCs/>
          <w:sz w:val="22"/>
          <w:szCs w:val="22"/>
        </w:rPr>
        <w:t xml:space="preserve">The Mandatory Requirements Document </w:t>
      </w:r>
      <w:r>
        <w:rPr>
          <w:rFonts w:ascii="Times New Roman" w:hAnsi="Times New Roman"/>
          <w:iCs/>
          <w:sz w:val="22"/>
          <w:szCs w:val="22"/>
        </w:rPr>
        <w:t xml:space="preserve">also </w:t>
      </w:r>
      <w:r w:rsidRPr="008D01AB">
        <w:rPr>
          <w:rFonts w:ascii="Times New Roman" w:hAnsi="Times New Roman"/>
          <w:iCs/>
          <w:sz w:val="22"/>
          <w:szCs w:val="22"/>
        </w:rPr>
        <w:t>specifies that an application dossier must contain folders that are named and structured corresponding to the core information requirements that are relevant to the application category, as specified in Appendix A to the Mandatory Requirements Document.</w:t>
      </w:r>
    </w:p>
    <w:p w14:paraId="576A5042" w14:textId="77777777" w:rsidR="005D0274" w:rsidRDefault="005D0274" w:rsidP="005D0274">
      <w:pPr>
        <w:rPr>
          <w:rFonts w:ascii="Times New Roman" w:hAnsi="Times New Roman"/>
          <w:iCs/>
          <w:sz w:val="22"/>
          <w:szCs w:val="22"/>
        </w:rPr>
      </w:pPr>
    </w:p>
    <w:p w14:paraId="2495D11D" w14:textId="7BB532C4" w:rsidR="005D0274" w:rsidRPr="008D01AB" w:rsidRDefault="005D0274" w:rsidP="005D0274">
      <w:pPr>
        <w:rPr>
          <w:rFonts w:ascii="Times New Roman" w:hAnsi="Times New Roman"/>
          <w:iCs/>
          <w:sz w:val="22"/>
          <w:szCs w:val="22"/>
        </w:rPr>
      </w:pPr>
      <w:r>
        <w:rPr>
          <w:rFonts w:ascii="Times New Roman" w:hAnsi="Times New Roman"/>
          <w:iCs/>
          <w:sz w:val="22"/>
          <w:szCs w:val="22"/>
        </w:rPr>
        <w:t xml:space="preserve">The </w:t>
      </w:r>
      <w:r w:rsidRPr="009E270B">
        <w:rPr>
          <w:rFonts w:ascii="Times New Roman" w:hAnsi="Times New Roman"/>
          <w:i/>
          <w:sz w:val="22"/>
          <w:szCs w:val="22"/>
        </w:rPr>
        <w:t>General dossier requirements</w:t>
      </w:r>
      <w:r>
        <w:rPr>
          <w:rFonts w:ascii="Times New Roman" w:hAnsi="Times New Roman"/>
          <w:iCs/>
          <w:sz w:val="22"/>
          <w:szCs w:val="22"/>
        </w:rPr>
        <w:t xml:space="preserve"> document stipulates requirements that the electronic submission must comply with, including that the text within documents must be searchable and in English, and outlines how the dossier is to be submitted electronically.</w:t>
      </w:r>
    </w:p>
    <w:p w14:paraId="4CAB19C7" w14:textId="77777777" w:rsidR="0078350E" w:rsidRPr="008D01AB" w:rsidRDefault="0078350E" w:rsidP="000C7844">
      <w:pPr>
        <w:rPr>
          <w:rFonts w:ascii="Times New Roman" w:hAnsi="Times New Roman"/>
          <w:sz w:val="22"/>
          <w:szCs w:val="22"/>
        </w:rPr>
      </w:pPr>
    </w:p>
    <w:p w14:paraId="7261D91C" w14:textId="0B0F2A82" w:rsidR="00E8596C" w:rsidRPr="008D01AB" w:rsidRDefault="00E8596C" w:rsidP="000C7844">
      <w:pPr>
        <w:rPr>
          <w:rFonts w:ascii="Times New Roman" w:hAnsi="Times New Roman"/>
          <w:b/>
          <w:bCs/>
          <w:sz w:val="22"/>
          <w:szCs w:val="22"/>
        </w:rPr>
      </w:pPr>
      <w:r w:rsidRPr="008D01AB">
        <w:rPr>
          <w:rFonts w:ascii="Times New Roman" w:hAnsi="Times New Roman"/>
          <w:b/>
          <w:bCs/>
          <w:sz w:val="22"/>
          <w:szCs w:val="22"/>
        </w:rPr>
        <w:t>Human rights implications</w:t>
      </w:r>
    </w:p>
    <w:p w14:paraId="5FDE769F" w14:textId="747990D8" w:rsidR="00E8596C" w:rsidRPr="008D01AB" w:rsidRDefault="00E8596C" w:rsidP="000C7844">
      <w:pPr>
        <w:rPr>
          <w:rFonts w:ascii="Times New Roman" w:hAnsi="Times New Roman"/>
          <w:b/>
          <w:bCs/>
          <w:sz w:val="22"/>
          <w:szCs w:val="22"/>
        </w:rPr>
      </w:pPr>
    </w:p>
    <w:p w14:paraId="3F1B81A9" w14:textId="6893A964" w:rsidR="00FB4B1A" w:rsidRPr="008D01AB" w:rsidRDefault="00600765" w:rsidP="00600765">
      <w:pPr>
        <w:rPr>
          <w:rFonts w:ascii="Times New Roman" w:hAnsi="Times New Roman"/>
          <w:sz w:val="22"/>
          <w:szCs w:val="22"/>
        </w:rPr>
      </w:pPr>
      <w:r w:rsidRPr="008D01AB">
        <w:rPr>
          <w:rFonts w:ascii="Times New Roman" w:hAnsi="Times New Roman"/>
          <w:sz w:val="22"/>
          <w:szCs w:val="22"/>
        </w:rPr>
        <w:t xml:space="preserve">The </w:t>
      </w:r>
      <w:r w:rsidR="00D8745E">
        <w:rPr>
          <w:rFonts w:ascii="Times New Roman" w:hAnsi="Times New Roman"/>
          <w:sz w:val="22"/>
          <w:szCs w:val="22"/>
        </w:rPr>
        <w:t>Determination</w:t>
      </w:r>
      <w:r w:rsidR="00D8745E" w:rsidRPr="008D01AB">
        <w:rPr>
          <w:rFonts w:ascii="Times New Roman" w:hAnsi="Times New Roman"/>
          <w:sz w:val="22"/>
          <w:szCs w:val="22"/>
        </w:rPr>
        <w:t xml:space="preserve"> </w:t>
      </w:r>
      <w:r w:rsidRPr="008D01AB">
        <w:rPr>
          <w:rFonts w:ascii="Times New Roman" w:hAnsi="Times New Roman"/>
          <w:sz w:val="22"/>
          <w:szCs w:val="22"/>
        </w:rPr>
        <w:t xml:space="preserve">engages the right to health in Article 12 of the </w:t>
      </w:r>
      <w:r w:rsidRPr="008D01AB">
        <w:rPr>
          <w:rFonts w:ascii="Times New Roman" w:hAnsi="Times New Roman"/>
          <w:i/>
          <w:iCs/>
          <w:sz w:val="22"/>
          <w:szCs w:val="22"/>
        </w:rPr>
        <w:t>International Covenant on Economic, Social and Cultural Rights</w:t>
      </w:r>
      <w:r w:rsidRPr="008D01AB">
        <w:rPr>
          <w:rFonts w:ascii="Times New Roman" w:hAnsi="Times New Roman"/>
          <w:sz w:val="22"/>
          <w:szCs w:val="22"/>
        </w:rPr>
        <w:t xml:space="preserve"> (“the ICESCR”). Article 12 of the ICESCR promotes the right of all individuals to enjoy the highest attainable standards of physical and mental health.</w:t>
      </w:r>
    </w:p>
    <w:p w14:paraId="3D3DC88C" w14:textId="77777777" w:rsidR="00FB4B1A" w:rsidRPr="008D01AB" w:rsidRDefault="00FB4B1A" w:rsidP="00600765">
      <w:pPr>
        <w:rPr>
          <w:rFonts w:ascii="Times New Roman" w:hAnsi="Times New Roman"/>
          <w:sz w:val="22"/>
          <w:szCs w:val="22"/>
        </w:rPr>
      </w:pPr>
    </w:p>
    <w:p w14:paraId="401EAD00" w14:textId="1D4A0F68" w:rsidR="00600765" w:rsidRPr="008D01AB" w:rsidRDefault="00600765" w:rsidP="00600765">
      <w:pPr>
        <w:rPr>
          <w:rFonts w:ascii="Times New Roman" w:hAnsi="Times New Roman"/>
          <w:sz w:val="22"/>
          <w:szCs w:val="22"/>
        </w:rPr>
      </w:pPr>
      <w:r w:rsidRPr="008D01AB">
        <w:rPr>
          <w:rFonts w:ascii="Times New Roman" w:hAnsi="Times New Roman"/>
          <w:sz w:val="22"/>
          <w:szCs w:val="22"/>
        </w:rPr>
        <w:t xml:space="preserve">In </w:t>
      </w:r>
      <w:r w:rsidRPr="008D01AB">
        <w:rPr>
          <w:rFonts w:ascii="Times New Roman" w:hAnsi="Times New Roman"/>
          <w:i/>
          <w:iCs/>
          <w:sz w:val="22"/>
          <w:szCs w:val="22"/>
        </w:rPr>
        <w:t>General Comment No. 14: The Right to the Highest Attainable Standard of Health (Art. 12) (2000)</w:t>
      </w:r>
      <w:r w:rsidRPr="008D01AB">
        <w:rPr>
          <w:rFonts w:ascii="Times New Roman" w:hAnsi="Times New Roman"/>
          <w:sz w:val="22"/>
          <w:szCs w:val="22"/>
        </w:rPr>
        <w:t>,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3DFA533" w14:textId="77777777" w:rsidR="00600765" w:rsidRPr="008D01AB" w:rsidRDefault="00600765" w:rsidP="00600765">
      <w:pPr>
        <w:rPr>
          <w:rFonts w:ascii="Times New Roman" w:hAnsi="Times New Roman"/>
          <w:sz w:val="22"/>
          <w:szCs w:val="22"/>
        </w:rPr>
      </w:pPr>
    </w:p>
    <w:p w14:paraId="3913836F" w14:textId="00EC275F" w:rsidR="009658C4" w:rsidRPr="008D01AB" w:rsidRDefault="00600765" w:rsidP="00600765">
      <w:pPr>
        <w:rPr>
          <w:rFonts w:ascii="Times New Roman" w:hAnsi="Times New Roman"/>
          <w:color w:val="000000"/>
          <w:sz w:val="22"/>
          <w:szCs w:val="22"/>
          <w:shd w:val="clear" w:color="auto" w:fill="FFFFFF"/>
        </w:rPr>
      </w:pPr>
      <w:r w:rsidRPr="008D01AB">
        <w:rPr>
          <w:rFonts w:ascii="Times New Roman" w:hAnsi="Times New Roman"/>
          <w:sz w:val="22"/>
          <w:szCs w:val="22"/>
        </w:rPr>
        <w:t xml:space="preserve">The </w:t>
      </w:r>
      <w:r w:rsidR="00D8745E">
        <w:rPr>
          <w:rFonts w:ascii="Times New Roman" w:hAnsi="Times New Roman"/>
          <w:sz w:val="22"/>
          <w:szCs w:val="22"/>
        </w:rPr>
        <w:t>Determination</w:t>
      </w:r>
      <w:r w:rsidR="00D8745E" w:rsidRPr="008D01AB">
        <w:rPr>
          <w:rFonts w:ascii="Times New Roman" w:hAnsi="Times New Roman"/>
          <w:sz w:val="22"/>
          <w:szCs w:val="22"/>
        </w:rPr>
        <w:t xml:space="preserve"> </w:t>
      </w:r>
      <w:r w:rsidRPr="008D01AB">
        <w:rPr>
          <w:rFonts w:ascii="Times New Roman" w:hAnsi="Times New Roman"/>
          <w:sz w:val="22"/>
          <w:szCs w:val="22"/>
        </w:rPr>
        <w:t>takes positive steps to promote the right to health by ensuring that there is sufficient information accompanying an application for a recommendation</w:t>
      </w:r>
      <w:r w:rsidR="00D8745E">
        <w:rPr>
          <w:rFonts w:ascii="Times New Roman" w:hAnsi="Times New Roman"/>
          <w:sz w:val="22"/>
          <w:szCs w:val="22"/>
        </w:rPr>
        <w:t xml:space="preserve"> by the Secretary</w:t>
      </w:r>
      <w:r w:rsidRPr="008D01AB">
        <w:rPr>
          <w:rFonts w:ascii="Times New Roman" w:hAnsi="Times New Roman"/>
          <w:sz w:val="22"/>
          <w:szCs w:val="22"/>
        </w:rPr>
        <w:t xml:space="preserve"> that the Minister vary a section 26BB determination to enable the application to be processed by the Secretary in an effective and timely manner. </w:t>
      </w:r>
      <w:r w:rsidR="00D8745E">
        <w:rPr>
          <w:rFonts w:ascii="Times New Roman" w:hAnsi="Times New Roman"/>
          <w:color w:val="000000"/>
          <w:sz w:val="22"/>
          <w:szCs w:val="22"/>
          <w:shd w:val="clear" w:color="auto" w:fill="FFFFFF"/>
        </w:rPr>
        <w:t>T</w:t>
      </w:r>
      <w:r w:rsidR="009658C4" w:rsidRPr="008D01AB">
        <w:rPr>
          <w:rFonts w:ascii="Times New Roman" w:hAnsi="Times New Roman"/>
          <w:color w:val="000000"/>
          <w:sz w:val="22"/>
          <w:szCs w:val="22"/>
          <w:shd w:val="clear" w:color="auto" w:fill="FFFFFF"/>
        </w:rPr>
        <w:t xml:space="preserve">he </w:t>
      </w:r>
      <w:r w:rsidR="00D8745E">
        <w:rPr>
          <w:rFonts w:ascii="Times New Roman" w:hAnsi="Times New Roman"/>
          <w:color w:val="000000"/>
          <w:sz w:val="22"/>
          <w:szCs w:val="22"/>
          <w:shd w:val="clear" w:color="auto" w:fill="FFFFFF"/>
        </w:rPr>
        <w:t>Determination</w:t>
      </w:r>
      <w:r w:rsidR="009658C4" w:rsidRPr="008D01AB">
        <w:rPr>
          <w:rFonts w:ascii="Times New Roman" w:hAnsi="Times New Roman"/>
          <w:color w:val="000000"/>
          <w:sz w:val="22"/>
          <w:szCs w:val="22"/>
          <w:shd w:val="clear" w:color="auto" w:fill="FFFFFF"/>
        </w:rPr>
        <w:t xml:space="preserve"> ensures that the process for applying for a recommendation</w:t>
      </w:r>
      <w:r w:rsidR="00D8745E">
        <w:rPr>
          <w:rFonts w:ascii="Times New Roman" w:hAnsi="Times New Roman"/>
          <w:color w:val="000000"/>
          <w:sz w:val="22"/>
          <w:szCs w:val="22"/>
          <w:shd w:val="clear" w:color="auto" w:fill="FFFFFF"/>
        </w:rPr>
        <w:t xml:space="preserve"> by the Secretary</w:t>
      </w:r>
      <w:r w:rsidR="009658C4" w:rsidRPr="008D01AB">
        <w:rPr>
          <w:rFonts w:ascii="Times New Roman" w:hAnsi="Times New Roman"/>
          <w:color w:val="000000"/>
          <w:sz w:val="22"/>
          <w:szCs w:val="22"/>
          <w:shd w:val="clear" w:color="auto" w:fill="FFFFFF"/>
        </w:rPr>
        <w:t xml:space="preserve"> that the Minister vary a section 26BB determination is as efficient, transparent, and reliable as possible.</w:t>
      </w:r>
    </w:p>
    <w:p w14:paraId="4B4557E7" w14:textId="77777777" w:rsidR="009658C4" w:rsidRPr="008D01AB" w:rsidRDefault="009658C4" w:rsidP="00600765">
      <w:pPr>
        <w:rPr>
          <w:rFonts w:ascii="Times New Roman" w:hAnsi="Times New Roman"/>
          <w:color w:val="000000"/>
          <w:sz w:val="22"/>
          <w:szCs w:val="22"/>
          <w:shd w:val="clear" w:color="auto" w:fill="FFFFFF"/>
        </w:rPr>
      </w:pPr>
    </w:p>
    <w:p w14:paraId="43C02F37" w14:textId="0AB7EC9B" w:rsidR="00600765" w:rsidRPr="008D01AB" w:rsidRDefault="00FB4B1A" w:rsidP="00600765">
      <w:pPr>
        <w:rPr>
          <w:rFonts w:ascii="Times New Roman" w:hAnsi="Times New Roman"/>
          <w:color w:val="000000"/>
          <w:sz w:val="22"/>
          <w:szCs w:val="22"/>
          <w:shd w:val="clear" w:color="auto" w:fill="FFFFFF"/>
        </w:rPr>
      </w:pPr>
      <w:r w:rsidRPr="008D01AB">
        <w:rPr>
          <w:rFonts w:ascii="Times New Roman" w:hAnsi="Times New Roman"/>
          <w:sz w:val="22"/>
          <w:szCs w:val="22"/>
        </w:rPr>
        <w:t xml:space="preserve">The effective and timely </w:t>
      </w:r>
      <w:r w:rsidR="009658C4" w:rsidRPr="008D01AB">
        <w:rPr>
          <w:rFonts w:ascii="Times New Roman" w:hAnsi="Times New Roman"/>
          <w:sz w:val="22"/>
          <w:szCs w:val="22"/>
        </w:rPr>
        <w:t xml:space="preserve">processing of a variation application will support the timely availability of listed medicines in Australia and support the </w:t>
      </w:r>
      <w:r w:rsidR="00600765" w:rsidRPr="008D01AB">
        <w:rPr>
          <w:rFonts w:ascii="Times New Roman" w:hAnsi="Times New Roman"/>
          <w:sz w:val="22"/>
          <w:szCs w:val="22"/>
        </w:rPr>
        <w:t xml:space="preserve">quality, safety, and efficacy of medicines listed </w:t>
      </w:r>
      <w:r w:rsidR="00D8745E">
        <w:rPr>
          <w:rFonts w:ascii="Times New Roman" w:hAnsi="Times New Roman"/>
          <w:sz w:val="22"/>
          <w:szCs w:val="22"/>
        </w:rPr>
        <w:t>in</w:t>
      </w:r>
      <w:r w:rsidR="00600765" w:rsidRPr="008D01AB">
        <w:rPr>
          <w:rFonts w:ascii="Times New Roman" w:hAnsi="Times New Roman"/>
          <w:sz w:val="22"/>
          <w:szCs w:val="22"/>
        </w:rPr>
        <w:t xml:space="preserve"> the Register.</w:t>
      </w:r>
      <w:r w:rsidR="00955554" w:rsidRPr="008D01AB">
        <w:rPr>
          <w:rFonts w:ascii="Times New Roman" w:hAnsi="Times New Roman"/>
          <w:sz w:val="22"/>
          <w:szCs w:val="22"/>
        </w:rPr>
        <w:t xml:space="preserve"> </w:t>
      </w:r>
      <w:r w:rsidR="009658C4" w:rsidRPr="008D01AB">
        <w:rPr>
          <w:rFonts w:ascii="Times New Roman" w:hAnsi="Times New Roman"/>
          <w:color w:val="000000"/>
          <w:sz w:val="22"/>
          <w:szCs w:val="22"/>
          <w:shd w:val="clear" w:color="auto" w:fill="FFFFFF"/>
        </w:rPr>
        <w:t>This has</w:t>
      </w:r>
      <w:r w:rsidR="00600765" w:rsidRPr="008D01AB">
        <w:rPr>
          <w:rFonts w:ascii="Times New Roman" w:hAnsi="Times New Roman"/>
          <w:color w:val="000000"/>
          <w:sz w:val="22"/>
          <w:szCs w:val="22"/>
          <w:shd w:val="clear" w:color="auto" w:fill="FFFFFF"/>
        </w:rPr>
        <w:t xml:space="preserve"> flow-on benefits for patients and health practitioners through quicker access to important new medicines in Australia.</w:t>
      </w:r>
    </w:p>
    <w:p w14:paraId="56F7FBD0" w14:textId="02843262" w:rsidR="00600765" w:rsidRPr="008D01AB" w:rsidRDefault="00600765" w:rsidP="00600765">
      <w:pPr>
        <w:rPr>
          <w:rFonts w:ascii="Times New Roman" w:hAnsi="Times New Roman"/>
          <w:color w:val="000000"/>
          <w:sz w:val="22"/>
          <w:szCs w:val="22"/>
          <w:shd w:val="clear" w:color="auto" w:fill="FFFFFF"/>
        </w:rPr>
      </w:pPr>
    </w:p>
    <w:p w14:paraId="248D8895" w14:textId="3EDF665F" w:rsidR="00600765" w:rsidRPr="008D01AB" w:rsidRDefault="00600765" w:rsidP="00600765">
      <w:pPr>
        <w:rPr>
          <w:rFonts w:ascii="Times New Roman" w:hAnsi="Times New Roman"/>
          <w:b/>
          <w:bCs/>
          <w:color w:val="000000"/>
          <w:sz w:val="22"/>
          <w:szCs w:val="22"/>
          <w:shd w:val="clear" w:color="auto" w:fill="FFFFFF"/>
        </w:rPr>
      </w:pPr>
      <w:r w:rsidRPr="008D01AB">
        <w:rPr>
          <w:rFonts w:ascii="Times New Roman" w:hAnsi="Times New Roman"/>
          <w:b/>
          <w:bCs/>
          <w:color w:val="000000"/>
          <w:sz w:val="22"/>
          <w:szCs w:val="22"/>
          <w:shd w:val="clear" w:color="auto" w:fill="FFFFFF"/>
        </w:rPr>
        <w:t>Conclusion</w:t>
      </w:r>
    </w:p>
    <w:p w14:paraId="1B672A46" w14:textId="5FCD7826" w:rsidR="00600765" w:rsidRPr="008D01AB" w:rsidRDefault="00600765" w:rsidP="00600765">
      <w:pPr>
        <w:rPr>
          <w:rFonts w:ascii="Times New Roman" w:hAnsi="Times New Roman"/>
          <w:b/>
          <w:bCs/>
          <w:color w:val="000000"/>
          <w:sz w:val="22"/>
          <w:szCs w:val="22"/>
          <w:shd w:val="clear" w:color="auto" w:fill="FFFFFF"/>
        </w:rPr>
      </w:pPr>
    </w:p>
    <w:p w14:paraId="688736E6" w14:textId="5D867809" w:rsidR="00600765" w:rsidRPr="008D01AB" w:rsidRDefault="00600765" w:rsidP="00600765">
      <w:pPr>
        <w:rPr>
          <w:rFonts w:ascii="Times New Roman" w:hAnsi="Times New Roman"/>
          <w:sz w:val="22"/>
          <w:szCs w:val="22"/>
        </w:rPr>
      </w:pPr>
      <w:r w:rsidRPr="008D01AB">
        <w:rPr>
          <w:rFonts w:ascii="Times New Roman" w:hAnsi="Times New Roman"/>
          <w:sz w:val="22"/>
          <w:szCs w:val="22"/>
        </w:rPr>
        <w:t xml:space="preserve">This </w:t>
      </w:r>
      <w:r w:rsidR="00D8745E">
        <w:rPr>
          <w:rFonts w:ascii="Times New Roman" w:hAnsi="Times New Roman"/>
          <w:sz w:val="22"/>
          <w:szCs w:val="22"/>
        </w:rPr>
        <w:t>Determination</w:t>
      </w:r>
      <w:r w:rsidR="00D8745E" w:rsidRPr="008D01AB">
        <w:rPr>
          <w:rFonts w:ascii="Times New Roman" w:hAnsi="Times New Roman"/>
          <w:sz w:val="22"/>
          <w:szCs w:val="22"/>
        </w:rPr>
        <w:t xml:space="preserve"> </w:t>
      </w:r>
      <w:r w:rsidRPr="008D01AB">
        <w:rPr>
          <w:rFonts w:ascii="Times New Roman" w:hAnsi="Times New Roman"/>
          <w:sz w:val="22"/>
          <w:szCs w:val="22"/>
        </w:rPr>
        <w:t xml:space="preserve">is compatible with human rights because it </w:t>
      </w:r>
      <w:r w:rsidR="00955554" w:rsidRPr="008D01AB">
        <w:rPr>
          <w:rFonts w:ascii="Times New Roman" w:hAnsi="Times New Roman"/>
          <w:sz w:val="22"/>
          <w:szCs w:val="22"/>
        </w:rPr>
        <w:t>supports</w:t>
      </w:r>
      <w:r w:rsidRPr="008D01AB">
        <w:rPr>
          <w:rFonts w:ascii="Times New Roman" w:hAnsi="Times New Roman"/>
          <w:sz w:val="22"/>
          <w:szCs w:val="22"/>
        </w:rPr>
        <w:t xml:space="preserve"> the right to health in Article 12 of the ICESCR and otherwise does not raise any other human rights.</w:t>
      </w:r>
    </w:p>
    <w:sectPr w:rsidR="00600765" w:rsidRPr="008D01A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57CE6" w14:textId="77777777" w:rsidR="00C257D0" w:rsidRDefault="00C257D0" w:rsidP="00891959">
      <w:r>
        <w:separator/>
      </w:r>
    </w:p>
  </w:endnote>
  <w:endnote w:type="continuationSeparator" w:id="0">
    <w:p w14:paraId="27A408F3" w14:textId="77777777" w:rsidR="00C257D0" w:rsidRDefault="00C257D0" w:rsidP="0089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8416315"/>
      <w:docPartObj>
        <w:docPartGallery w:val="Page Numbers (Bottom of Page)"/>
        <w:docPartUnique/>
      </w:docPartObj>
    </w:sdtPr>
    <w:sdtEndPr>
      <w:rPr>
        <w:noProof/>
      </w:rPr>
    </w:sdtEndPr>
    <w:sdtContent>
      <w:p w14:paraId="7C4C5576" w14:textId="60BF35A2" w:rsidR="00891959" w:rsidRDefault="008919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A1AA4A" w14:textId="77777777" w:rsidR="00891959" w:rsidRDefault="00891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5DDC7" w14:textId="77777777" w:rsidR="00C257D0" w:rsidRDefault="00C257D0" w:rsidP="00891959">
      <w:r>
        <w:separator/>
      </w:r>
    </w:p>
  </w:footnote>
  <w:footnote w:type="continuationSeparator" w:id="0">
    <w:p w14:paraId="705277D7" w14:textId="77777777" w:rsidR="00C257D0" w:rsidRDefault="00C257D0" w:rsidP="00891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7D1E"/>
    <w:multiLevelType w:val="hybridMultilevel"/>
    <w:tmpl w:val="5F641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A95303"/>
    <w:multiLevelType w:val="hybridMultilevel"/>
    <w:tmpl w:val="DA7443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BCF4719"/>
    <w:multiLevelType w:val="hybridMultilevel"/>
    <w:tmpl w:val="79846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457A1"/>
    <w:multiLevelType w:val="hybridMultilevel"/>
    <w:tmpl w:val="6C84706A"/>
    <w:lvl w:ilvl="0" w:tplc="049E9D80">
      <w:start w:val="1"/>
      <w:numFmt w:val="bullet"/>
      <w:lvlText w:val=""/>
      <w:lvlJc w:val="left"/>
      <w:pPr>
        <w:ind w:left="720" w:hanging="360"/>
      </w:pPr>
      <w:rPr>
        <w:rFonts w:ascii="Symbol" w:hAnsi="Symbol" w:hint="default"/>
        <w:color w:val="333F4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B4F09"/>
    <w:multiLevelType w:val="hybridMultilevel"/>
    <w:tmpl w:val="43C6747C"/>
    <w:lvl w:ilvl="0" w:tplc="2FBA7BF6">
      <w:start w:val="1"/>
      <w:numFmt w:val="bullet"/>
      <w:lvlText w:val=""/>
      <w:lvlJc w:val="left"/>
      <w:pPr>
        <w:ind w:left="360" w:hanging="360"/>
      </w:pPr>
      <w:rPr>
        <w:rFonts w:ascii="Symbol" w:hAnsi="Symbol" w:hint="default"/>
        <w:color w:val="333F48"/>
        <w:sz w:val="22"/>
      </w:rPr>
    </w:lvl>
    <w:lvl w:ilvl="1" w:tplc="67628A86">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DC7080"/>
    <w:multiLevelType w:val="hybridMultilevel"/>
    <w:tmpl w:val="EF8A43EC"/>
    <w:lvl w:ilvl="0" w:tplc="4078CEC0">
      <w:start w:val="1"/>
      <w:numFmt w:val="bullet"/>
      <w:lvlText w:val="-"/>
      <w:lvlJc w:val="left"/>
      <w:pPr>
        <w:ind w:left="2204" w:hanging="360"/>
      </w:pPr>
      <w:rPr>
        <w:rFonts w:ascii="Courier New" w:hAnsi="Courier New" w:hint="default"/>
        <w:color w:val="333F48"/>
        <w:sz w:val="22"/>
      </w:rPr>
    </w:lvl>
    <w:lvl w:ilvl="1" w:tplc="67628A8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470864"/>
    <w:multiLevelType w:val="hybridMultilevel"/>
    <w:tmpl w:val="19425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900363"/>
    <w:multiLevelType w:val="hybridMultilevel"/>
    <w:tmpl w:val="18E0BA70"/>
    <w:lvl w:ilvl="0" w:tplc="87C2BC1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6F81F0A"/>
    <w:multiLevelType w:val="hybridMultilevel"/>
    <w:tmpl w:val="FDAAF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8C4DFC"/>
    <w:multiLevelType w:val="hybridMultilevel"/>
    <w:tmpl w:val="266C4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920B2E"/>
    <w:multiLevelType w:val="hybridMultilevel"/>
    <w:tmpl w:val="12D01FC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1" w15:restartNumberingAfterBreak="0">
    <w:nsid w:val="3B8239DA"/>
    <w:multiLevelType w:val="hybridMultilevel"/>
    <w:tmpl w:val="300454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E4C2904"/>
    <w:multiLevelType w:val="hybridMultilevel"/>
    <w:tmpl w:val="67B05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9A3D82"/>
    <w:multiLevelType w:val="hybridMultilevel"/>
    <w:tmpl w:val="A75AD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C17544"/>
    <w:multiLevelType w:val="hybridMultilevel"/>
    <w:tmpl w:val="F7FACA5E"/>
    <w:lvl w:ilvl="0" w:tplc="7F2AFE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7C093D"/>
    <w:multiLevelType w:val="hybridMultilevel"/>
    <w:tmpl w:val="3B905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BB513C"/>
    <w:multiLevelType w:val="hybridMultilevel"/>
    <w:tmpl w:val="5A828A3E"/>
    <w:lvl w:ilvl="0" w:tplc="7F2AFE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DF5377"/>
    <w:multiLevelType w:val="hybridMultilevel"/>
    <w:tmpl w:val="98FC73C0"/>
    <w:lvl w:ilvl="0" w:tplc="7F2AFE5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B4553B"/>
    <w:multiLevelType w:val="hybridMultilevel"/>
    <w:tmpl w:val="F01263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47A4320"/>
    <w:multiLevelType w:val="hybridMultilevel"/>
    <w:tmpl w:val="AA7CD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E73AC7"/>
    <w:multiLevelType w:val="hybridMultilevel"/>
    <w:tmpl w:val="4256391E"/>
    <w:lvl w:ilvl="0" w:tplc="7F2AFE52">
      <w:start w:val="1"/>
      <w:numFmt w:val="lowerLetter"/>
      <w:lvlText w:val="(%1)"/>
      <w:lvlJc w:val="left"/>
      <w:pPr>
        <w:ind w:left="720" w:hanging="360"/>
      </w:pPr>
      <w:rPr>
        <w:rFonts w:hint="default"/>
      </w:rPr>
    </w:lvl>
    <w:lvl w:ilvl="1" w:tplc="87C2BC10">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
  </w:num>
  <w:num w:numId="4">
    <w:abstractNumId w:val="2"/>
  </w:num>
  <w:num w:numId="5">
    <w:abstractNumId w:val="0"/>
  </w:num>
  <w:num w:numId="6">
    <w:abstractNumId w:val="10"/>
  </w:num>
  <w:num w:numId="7">
    <w:abstractNumId w:val="19"/>
  </w:num>
  <w:num w:numId="8">
    <w:abstractNumId w:val="9"/>
  </w:num>
  <w:num w:numId="9">
    <w:abstractNumId w:val="6"/>
  </w:num>
  <w:num w:numId="10">
    <w:abstractNumId w:val="20"/>
  </w:num>
  <w:num w:numId="11">
    <w:abstractNumId w:val="14"/>
  </w:num>
  <w:num w:numId="12">
    <w:abstractNumId w:val="16"/>
  </w:num>
  <w:num w:numId="13">
    <w:abstractNumId w:val="17"/>
  </w:num>
  <w:num w:numId="14">
    <w:abstractNumId w:val="7"/>
  </w:num>
  <w:num w:numId="15">
    <w:abstractNumId w:val="13"/>
  </w:num>
  <w:num w:numId="16">
    <w:abstractNumId w:val="15"/>
  </w:num>
  <w:num w:numId="17">
    <w:abstractNumId w:val="12"/>
  </w:num>
  <w:num w:numId="18">
    <w:abstractNumId w:val="8"/>
  </w:num>
  <w:num w:numId="19">
    <w:abstractNumId w:val="3"/>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2E"/>
    <w:rsid w:val="00005663"/>
    <w:rsid w:val="000059EC"/>
    <w:rsid w:val="00020099"/>
    <w:rsid w:val="00026A6E"/>
    <w:rsid w:val="000673F7"/>
    <w:rsid w:val="0009092C"/>
    <w:rsid w:val="0009300B"/>
    <w:rsid w:val="000A4A39"/>
    <w:rsid w:val="000C040B"/>
    <w:rsid w:val="000C7844"/>
    <w:rsid w:val="000D0015"/>
    <w:rsid w:val="000E115A"/>
    <w:rsid w:val="000F43BB"/>
    <w:rsid w:val="000F79D2"/>
    <w:rsid w:val="00106158"/>
    <w:rsid w:val="00112595"/>
    <w:rsid w:val="001167D9"/>
    <w:rsid w:val="00117102"/>
    <w:rsid w:val="0012398D"/>
    <w:rsid w:val="001613D2"/>
    <w:rsid w:val="00167055"/>
    <w:rsid w:val="001704D2"/>
    <w:rsid w:val="00171E22"/>
    <w:rsid w:val="00172FC0"/>
    <w:rsid w:val="001776ED"/>
    <w:rsid w:val="00196A1F"/>
    <w:rsid w:val="001D0877"/>
    <w:rsid w:val="001E0207"/>
    <w:rsid w:val="001F58AA"/>
    <w:rsid w:val="00201008"/>
    <w:rsid w:val="00212103"/>
    <w:rsid w:val="00214575"/>
    <w:rsid w:val="0021624C"/>
    <w:rsid w:val="0022509A"/>
    <w:rsid w:val="00244276"/>
    <w:rsid w:val="002461CD"/>
    <w:rsid w:val="0026135C"/>
    <w:rsid w:val="0026191E"/>
    <w:rsid w:val="0026277D"/>
    <w:rsid w:val="00266FCE"/>
    <w:rsid w:val="00270378"/>
    <w:rsid w:val="002744DF"/>
    <w:rsid w:val="002757F6"/>
    <w:rsid w:val="00280050"/>
    <w:rsid w:val="00290A9E"/>
    <w:rsid w:val="00290FB8"/>
    <w:rsid w:val="002923F3"/>
    <w:rsid w:val="0029431A"/>
    <w:rsid w:val="00294555"/>
    <w:rsid w:val="002A3585"/>
    <w:rsid w:val="002E152B"/>
    <w:rsid w:val="002E3422"/>
    <w:rsid w:val="003009AB"/>
    <w:rsid w:val="003057DD"/>
    <w:rsid w:val="00322390"/>
    <w:rsid w:val="003262EF"/>
    <w:rsid w:val="0033220A"/>
    <w:rsid w:val="003655A5"/>
    <w:rsid w:val="00372B02"/>
    <w:rsid w:val="00375F79"/>
    <w:rsid w:val="00386881"/>
    <w:rsid w:val="00386F89"/>
    <w:rsid w:val="00395513"/>
    <w:rsid w:val="003A3D80"/>
    <w:rsid w:val="003A62C8"/>
    <w:rsid w:val="003A6618"/>
    <w:rsid w:val="003B6B8F"/>
    <w:rsid w:val="003C52AD"/>
    <w:rsid w:val="003C5A6B"/>
    <w:rsid w:val="003E4745"/>
    <w:rsid w:val="003E6A07"/>
    <w:rsid w:val="003F4E2A"/>
    <w:rsid w:val="0040084D"/>
    <w:rsid w:val="00411C9D"/>
    <w:rsid w:val="00414B93"/>
    <w:rsid w:val="00424AB7"/>
    <w:rsid w:val="004266AA"/>
    <w:rsid w:val="0045163E"/>
    <w:rsid w:val="004733D4"/>
    <w:rsid w:val="004916A8"/>
    <w:rsid w:val="004A0BF7"/>
    <w:rsid w:val="004A3E8D"/>
    <w:rsid w:val="004A6F7C"/>
    <w:rsid w:val="004C1A07"/>
    <w:rsid w:val="005079CE"/>
    <w:rsid w:val="00510D06"/>
    <w:rsid w:val="005149CB"/>
    <w:rsid w:val="00516DEC"/>
    <w:rsid w:val="0052066F"/>
    <w:rsid w:val="00527D40"/>
    <w:rsid w:val="005324D7"/>
    <w:rsid w:val="00536876"/>
    <w:rsid w:val="00565159"/>
    <w:rsid w:val="00566D26"/>
    <w:rsid w:val="00567AB0"/>
    <w:rsid w:val="00575118"/>
    <w:rsid w:val="0058700C"/>
    <w:rsid w:val="005A0D54"/>
    <w:rsid w:val="005A2598"/>
    <w:rsid w:val="005B26B3"/>
    <w:rsid w:val="005B437D"/>
    <w:rsid w:val="005C2371"/>
    <w:rsid w:val="005C3055"/>
    <w:rsid w:val="005D0274"/>
    <w:rsid w:val="005D6C91"/>
    <w:rsid w:val="005D7ADC"/>
    <w:rsid w:val="00600765"/>
    <w:rsid w:val="006022ED"/>
    <w:rsid w:val="00632387"/>
    <w:rsid w:val="0064782E"/>
    <w:rsid w:val="00663EB0"/>
    <w:rsid w:val="00666A63"/>
    <w:rsid w:val="00677F5A"/>
    <w:rsid w:val="00680DE8"/>
    <w:rsid w:val="00681D8B"/>
    <w:rsid w:val="0069611C"/>
    <w:rsid w:val="0069718E"/>
    <w:rsid w:val="006A54FE"/>
    <w:rsid w:val="006B0C6B"/>
    <w:rsid w:val="006B4927"/>
    <w:rsid w:val="006C252B"/>
    <w:rsid w:val="006D1F60"/>
    <w:rsid w:val="006D4A6D"/>
    <w:rsid w:val="006E2CBC"/>
    <w:rsid w:val="00724741"/>
    <w:rsid w:val="00737807"/>
    <w:rsid w:val="007427F5"/>
    <w:rsid w:val="00750C54"/>
    <w:rsid w:val="0078350E"/>
    <w:rsid w:val="00783DC4"/>
    <w:rsid w:val="00786EA3"/>
    <w:rsid w:val="00792A31"/>
    <w:rsid w:val="00792D39"/>
    <w:rsid w:val="007B385D"/>
    <w:rsid w:val="007B6491"/>
    <w:rsid w:val="007C09FE"/>
    <w:rsid w:val="007E6D43"/>
    <w:rsid w:val="007F2AA0"/>
    <w:rsid w:val="007F5487"/>
    <w:rsid w:val="007F5A84"/>
    <w:rsid w:val="0082052C"/>
    <w:rsid w:val="00824929"/>
    <w:rsid w:val="008262CD"/>
    <w:rsid w:val="00866613"/>
    <w:rsid w:val="00871598"/>
    <w:rsid w:val="00886B7C"/>
    <w:rsid w:val="00891959"/>
    <w:rsid w:val="008A2E73"/>
    <w:rsid w:val="008A2F7B"/>
    <w:rsid w:val="008A4F8F"/>
    <w:rsid w:val="008B0ECD"/>
    <w:rsid w:val="008C29B5"/>
    <w:rsid w:val="008C5A06"/>
    <w:rsid w:val="008D01AB"/>
    <w:rsid w:val="008E008C"/>
    <w:rsid w:val="008E35E7"/>
    <w:rsid w:val="008E4AA4"/>
    <w:rsid w:val="008E69B5"/>
    <w:rsid w:val="008F5938"/>
    <w:rsid w:val="009005B8"/>
    <w:rsid w:val="00926F30"/>
    <w:rsid w:val="0093241C"/>
    <w:rsid w:val="00942F4C"/>
    <w:rsid w:val="00955432"/>
    <w:rsid w:val="00955554"/>
    <w:rsid w:val="009658C4"/>
    <w:rsid w:val="00973467"/>
    <w:rsid w:val="00981B50"/>
    <w:rsid w:val="009A7F7A"/>
    <w:rsid w:val="009C1531"/>
    <w:rsid w:val="009D1A33"/>
    <w:rsid w:val="009D6153"/>
    <w:rsid w:val="009E15B1"/>
    <w:rsid w:val="009E270B"/>
    <w:rsid w:val="009E41CF"/>
    <w:rsid w:val="009E5A3D"/>
    <w:rsid w:val="009F3B4D"/>
    <w:rsid w:val="009F3CD3"/>
    <w:rsid w:val="00A07EE2"/>
    <w:rsid w:val="00A16AF0"/>
    <w:rsid w:val="00A17C66"/>
    <w:rsid w:val="00A244FF"/>
    <w:rsid w:val="00A30B50"/>
    <w:rsid w:val="00A4733D"/>
    <w:rsid w:val="00A509C4"/>
    <w:rsid w:val="00A52AC3"/>
    <w:rsid w:val="00A52CEA"/>
    <w:rsid w:val="00A73A67"/>
    <w:rsid w:val="00A877C4"/>
    <w:rsid w:val="00AA215F"/>
    <w:rsid w:val="00AC77E0"/>
    <w:rsid w:val="00AD7F2F"/>
    <w:rsid w:val="00AF0073"/>
    <w:rsid w:val="00B072E9"/>
    <w:rsid w:val="00B113D6"/>
    <w:rsid w:val="00B13C25"/>
    <w:rsid w:val="00B250FD"/>
    <w:rsid w:val="00B27D36"/>
    <w:rsid w:val="00B446DF"/>
    <w:rsid w:val="00B500BD"/>
    <w:rsid w:val="00B54174"/>
    <w:rsid w:val="00B76EFA"/>
    <w:rsid w:val="00B93546"/>
    <w:rsid w:val="00BA2D80"/>
    <w:rsid w:val="00BC456C"/>
    <w:rsid w:val="00BD08AA"/>
    <w:rsid w:val="00BD7817"/>
    <w:rsid w:val="00BE00CB"/>
    <w:rsid w:val="00BE3D36"/>
    <w:rsid w:val="00BF0D2E"/>
    <w:rsid w:val="00C03D0E"/>
    <w:rsid w:val="00C22182"/>
    <w:rsid w:val="00C243E4"/>
    <w:rsid w:val="00C246CC"/>
    <w:rsid w:val="00C251C6"/>
    <w:rsid w:val="00C257D0"/>
    <w:rsid w:val="00C3422C"/>
    <w:rsid w:val="00C365B1"/>
    <w:rsid w:val="00C447B1"/>
    <w:rsid w:val="00C5151D"/>
    <w:rsid w:val="00C626E7"/>
    <w:rsid w:val="00C662B9"/>
    <w:rsid w:val="00C70616"/>
    <w:rsid w:val="00C70652"/>
    <w:rsid w:val="00C91276"/>
    <w:rsid w:val="00C93556"/>
    <w:rsid w:val="00CA1D45"/>
    <w:rsid w:val="00CA5A3D"/>
    <w:rsid w:val="00CB22E8"/>
    <w:rsid w:val="00CB722A"/>
    <w:rsid w:val="00CC388B"/>
    <w:rsid w:val="00D11175"/>
    <w:rsid w:val="00D11E24"/>
    <w:rsid w:val="00D141DD"/>
    <w:rsid w:val="00D14DE6"/>
    <w:rsid w:val="00D278A1"/>
    <w:rsid w:val="00D305EA"/>
    <w:rsid w:val="00D35D1B"/>
    <w:rsid w:val="00D374C3"/>
    <w:rsid w:val="00D377E0"/>
    <w:rsid w:val="00D467B9"/>
    <w:rsid w:val="00D50AC1"/>
    <w:rsid w:val="00D623BA"/>
    <w:rsid w:val="00D747E7"/>
    <w:rsid w:val="00D74851"/>
    <w:rsid w:val="00D8419A"/>
    <w:rsid w:val="00D8745E"/>
    <w:rsid w:val="00D874C0"/>
    <w:rsid w:val="00D973FF"/>
    <w:rsid w:val="00DA4ECD"/>
    <w:rsid w:val="00DA6E69"/>
    <w:rsid w:val="00DB7EAE"/>
    <w:rsid w:val="00DC09B2"/>
    <w:rsid w:val="00DC6A44"/>
    <w:rsid w:val="00DD55C0"/>
    <w:rsid w:val="00DD5D6D"/>
    <w:rsid w:val="00DD7675"/>
    <w:rsid w:val="00DE60A6"/>
    <w:rsid w:val="00E14644"/>
    <w:rsid w:val="00E21412"/>
    <w:rsid w:val="00E2680A"/>
    <w:rsid w:val="00E6493A"/>
    <w:rsid w:val="00E670FC"/>
    <w:rsid w:val="00E674D9"/>
    <w:rsid w:val="00E70DDD"/>
    <w:rsid w:val="00E724C0"/>
    <w:rsid w:val="00E73A86"/>
    <w:rsid w:val="00E750A8"/>
    <w:rsid w:val="00E81237"/>
    <w:rsid w:val="00E83AD3"/>
    <w:rsid w:val="00E8596C"/>
    <w:rsid w:val="00EB394D"/>
    <w:rsid w:val="00EB4561"/>
    <w:rsid w:val="00EC04DA"/>
    <w:rsid w:val="00EC3BF3"/>
    <w:rsid w:val="00EC423E"/>
    <w:rsid w:val="00ED05DB"/>
    <w:rsid w:val="00ED63BC"/>
    <w:rsid w:val="00ED7B08"/>
    <w:rsid w:val="00EE1F46"/>
    <w:rsid w:val="00EF2BC0"/>
    <w:rsid w:val="00F0454D"/>
    <w:rsid w:val="00F10345"/>
    <w:rsid w:val="00F11F68"/>
    <w:rsid w:val="00F14D6C"/>
    <w:rsid w:val="00F21254"/>
    <w:rsid w:val="00F350C8"/>
    <w:rsid w:val="00F352A7"/>
    <w:rsid w:val="00F35980"/>
    <w:rsid w:val="00F63B7D"/>
    <w:rsid w:val="00F65CB1"/>
    <w:rsid w:val="00F67BE8"/>
    <w:rsid w:val="00F707D6"/>
    <w:rsid w:val="00F93F0A"/>
    <w:rsid w:val="00FB1694"/>
    <w:rsid w:val="00FB4B1A"/>
    <w:rsid w:val="00FD04DB"/>
    <w:rsid w:val="00FD1EA6"/>
    <w:rsid w:val="00FD437F"/>
    <w:rsid w:val="00FE4828"/>
    <w:rsid w:val="00FF2C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69F0"/>
  <w15:chartTrackingRefBased/>
  <w15:docId w15:val="{F200DEEE-0F5C-4449-A530-962A33C5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2E"/>
    <w:pPr>
      <w:spacing w:after="0" w:line="240" w:lineRule="auto"/>
    </w:pPr>
    <w:rPr>
      <w:rFonts w:ascii="Tms Rmn" w:eastAsia="Times New Roman" w:hAnsi="Tms Rm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40B"/>
    <w:pPr>
      <w:ind w:left="720"/>
      <w:contextualSpacing/>
    </w:pPr>
  </w:style>
  <w:style w:type="character" w:styleId="Hyperlink">
    <w:name w:val="Hyperlink"/>
    <w:basedOn w:val="DefaultParagraphFont"/>
    <w:uiPriority w:val="99"/>
    <w:unhideWhenUsed/>
    <w:rsid w:val="000D0015"/>
    <w:rPr>
      <w:color w:val="0000FF"/>
      <w:u w:val="single"/>
    </w:rPr>
  </w:style>
  <w:style w:type="character" w:styleId="UnresolvedMention">
    <w:name w:val="Unresolved Mention"/>
    <w:basedOn w:val="DefaultParagraphFont"/>
    <w:uiPriority w:val="99"/>
    <w:semiHidden/>
    <w:unhideWhenUsed/>
    <w:rsid w:val="000D0015"/>
    <w:rPr>
      <w:color w:val="605E5C"/>
      <w:shd w:val="clear" w:color="auto" w:fill="E1DFDD"/>
    </w:rPr>
  </w:style>
  <w:style w:type="paragraph" w:styleId="Header">
    <w:name w:val="header"/>
    <w:basedOn w:val="Normal"/>
    <w:link w:val="HeaderChar"/>
    <w:uiPriority w:val="99"/>
    <w:unhideWhenUsed/>
    <w:rsid w:val="00891959"/>
    <w:pPr>
      <w:tabs>
        <w:tab w:val="center" w:pos="4513"/>
        <w:tab w:val="right" w:pos="9026"/>
      </w:tabs>
    </w:pPr>
  </w:style>
  <w:style w:type="character" w:customStyle="1" w:styleId="HeaderChar">
    <w:name w:val="Header Char"/>
    <w:basedOn w:val="DefaultParagraphFont"/>
    <w:link w:val="Header"/>
    <w:uiPriority w:val="99"/>
    <w:rsid w:val="00891959"/>
    <w:rPr>
      <w:rFonts w:ascii="Tms Rmn" w:eastAsia="Times New Roman" w:hAnsi="Tms Rmn"/>
      <w:szCs w:val="20"/>
      <w:lang w:eastAsia="en-AU"/>
    </w:rPr>
  </w:style>
  <w:style w:type="paragraph" w:styleId="Footer">
    <w:name w:val="footer"/>
    <w:basedOn w:val="Normal"/>
    <w:link w:val="FooterChar"/>
    <w:uiPriority w:val="99"/>
    <w:unhideWhenUsed/>
    <w:rsid w:val="00891959"/>
    <w:pPr>
      <w:tabs>
        <w:tab w:val="center" w:pos="4513"/>
        <w:tab w:val="right" w:pos="9026"/>
      </w:tabs>
    </w:pPr>
  </w:style>
  <w:style w:type="character" w:customStyle="1" w:styleId="FooterChar">
    <w:name w:val="Footer Char"/>
    <w:basedOn w:val="DefaultParagraphFont"/>
    <w:link w:val="Footer"/>
    <w:uiPriority w:val="99"/>
    <w:rsid w:val="00891959"/>
    <w:rPr>
      <w:rFonts w:ascii="Tms Rmn" w:eastAsia="Times New Roman" w:hAnsi="Tms Rmn"/>
      <w:szCs w:val="20"/>
      <w:lang w:eastAsia="en-AU"/>
    </w:rPr>
  </w:style>
  <w:style w:type="character" w:styleId="CommentReference">
    <w:name w:val="annotation reference"/>
    <w:basedOn w:val="DefaultParagraphFont"/>
    <w:uiPriority w:val="99"/>
    <w:semiHidden/>
    <w:unhideWhenUsed/>
    <w:rsid w:val="00C22182"/>
    <w:rPr>
      <w:sz w:val="16"/>
      <w:szCs w:val="16"/>
    </w:rPr>
  </w:style>
  <w:style w:type="paragraph" w:styleId="CommentText">
    <w:name w:val="annotation text"/>
    <w:basedOn w:val="Normal"/>
    <w:link w:val="CommentTextChar"/>
    <w:uiPriority w:val="99"/>
    <w:unhideWhenUsed/>
    <w:rsid w:val="00C22182"/>
    <w:rPr>
      <w:sz w:val="20"/>
    </w:rPr>
  </w:style>
  <w:style w:type="character" w:customStyle="1" w:styleId="CommentTextChar">
    <w:name w:val="Comment Text Char"/>
    <w:basedOn w:val="DefaultParagraphFont"/>
    <w:link w:val="CommentText"/>
    <w:uiPriority w:val="99"/>
    <w:rsid w:val="00C22182"/>
    <w:rPr>
      <w:rFonts w:ascii="Tms Rmn" w:eastAsia="Times New Roman" w:hAnsi="Tms Rmn"/>
      <w:sz w:val="20"/>
      <w:szCs w:val="20"/>
      <w:lang w:eastAsia="en-AU"/>
    </w:rPr>
  </w:style>
  <w:style w:type="paragraph" w:styleId="CommentSubject">
    <w:name w:val="annotation subject"/>
    <w:basedOn w:val="CommentText"/>
    <w:next w:val="CommentText"/>
    <w:link w:val="CommentSubjectChar"/>
    <w:uiPriority w:val="99"/>
    <w:semiHidden/>
    <w:unhideWhenUsed/>
    <w:rsid w:val="00C22182"/>
    <w:rPr>
      <w:b/>
      <w:bCs/>
    </w:rPr>
  </w:style>
  <w:style w:type="character" w:customStyle="1" w:styleId="CommentSubjectChar">
    <w:name w:val="Comment Subject Char"/>
    <w:basedOn w:val="CommentTextChar"/>
    <w:link w:val="CommentSubject"/>
    <w:uiPriority w:val="99"/>
    <w:semiHidden/>
    <w:rsid w:val="00C22182"/>
    <w:rPr>
      <w:rFonts w:ascii="Tms Rmn" w:eastAsia="Times New Roman" w:hAnsi="Tms Rmn"/>
      <w:b/>
      <w:bCs/>
      <w:sz w:val="20"/>
      <w:szCs w:val="20"/>
      <w:lang w:eastAsia="en-AU"/>
    </w:rPr>
  </w:style>
  <w:style w:type="paragraph" w:customStyle="1" w:styleId="FlowChartWhiteHeading">
    <w:name w:val="Flow Chart White Heading"/>
    <w:basedOn w:val="Normal"/>
    <w:semiHidden/>
    <w:unhideWhenUsed/>
    <w:rsid w:val="008B0ECD"/>
    <w:pPr>
      <w:spacing w:before="120" w:after="180" w:line="240" w:lineRule="atLeast"/>
      <w:jc w:val="center"/>
    </w:pPr>
    <w:rPr>
      <w:rFonts w:ascii="Arial" w:eastAsia="Cambria" w:hAnsi="Arial"/>
      <w:b/>
      <w:color w:val="FFFFF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8</Pages>
  <Words>3689</Words>
  <Characters>21029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Newman</dc:creator>
  <cp:keywords/>
  <dc:description/>
  <cp:lastModifiedBy>KULAR, Navreen</cp:lastModifiedBy>
  <cp:revision>14</cp:revision>
  <dcterms:created xsi:type="dcterms:W3CDTF">2023-01-19T00:15:00Z</dcterms:created>
  <dcterms:modified xsi:type="dcterms:W3CDTF">2023-01-23T07:15:00Z</dcterms:modified>
</cp:coreProperties>
</file>