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78441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3D898BC1" w14:textId="77777777" w:rsidR="0057002B" w:rsidRPr="008B24C8" w:rsidRDefault="00844BE4" w:rsidP="00BB0CF2">
      <w:pPr>
        <w:pStyle w:val="ESTitleEnablingLegislation"/>
      </w:pPr>
      <w:r>
        <w:t>Migration Regulations</w:t>
      </w:r>
      <w:r w:rsidR="00835CE1">
        <w:t xml:space="preserve"> 1994</w:t>
      </w:r>
    </w:p>
    <w:p w14:paraId="60C3324B" w14:textId="59CB01EE" w:rsidR="0057002B" w:rsidRPr="008B24C8" w:rsidRDefault="005F3303" w:rsidP="00BB0CF2">
      <w:pPr>
        <w:pStyle w:val="ESTitleInstrumentName"/>
      </w:pPr>
      <w:r w:rsidRPr="005F3303">
        <w:t>Migration (Designated APEC</w:t>
      </w:r>
      <w:r w:rsidR="006327F5">
        <w:t xml:space="preserve"> Economy) Instrument (LIN </w:t>
      </w:r>
      <w:r w:rsidR="009C6933">
        <w:t>23/008) 2023</w:t>
      </w:r>
    </w:p>
    <w:p w14:paraId="3B6D5684" w14:textId="2060655F" w:rsidR="00540164" w:rsidRDefault="00540164" w:rsidP="00540164">
      <w:pPr>
        <w:pStyle w:val="ESPara"/>
        <w:ind w:left="567" w:hanging="567"/>
      </w:pPr>
      <w:r w:rsidRPr="008B24C8">
        <w:t>The inst</w:t>
      </w:r>
      <w:r>
        <w:t xml:space="preserve">rument, </w:t>
      </w:r>
      <w:r w:rsidR="00503265">
        <w:t xml:space="preserve">Departmental reference </w:t>
      </w:r>
      <w:r w:rsidR="009C6933">
        <w:t>LIN 23/008</w:t>
      </w:r>
      <w:r>
        <w:t xml:space="preserve">, is made under </w:t>
      </w:r>
      <w:r w:rsidR="00A4769D">
        <w:t xml:space="preserve">the definition of ‘designated APEC economy’ in </w:t>
      </w:r>
      <w:r>
        <w:t>regulation 1.03</w:t>
      </w:r>
      <w:r w:rsidRPr="008B24C8">
        <w:t xml:space="preserve"> of the </w:t>
      </w:r>
      <w:r w:rsidRPr="00540164">
        <w:rPr>
          <w:i/>
        </w:rPr>
        <w:t>Migration Regulations 1994</w:t>
      </w:r>
      <w:r>
        <w:t xml:space="preserve"> (the Migration Regulations)</w:t>
      </w:r>
      <w:r w:rsidRPr="008B24C8">
        <w:t xml:space="preserve">.  </w:t>
      </w:r>
    </w:p>
    <w:p w14:paraId="6C9CD5AD" w14:textId="77777777" w:rsidR="008B24C8" w:rsidRPr="00F05E8A" w:rsidRDefault="00AA4557" w:rsidP="00844BE4">
      <w:pPr>
        <w:pStyle w:val="ESPara"/>
        <w:ind w:left="567" w:hanging="567"/>
      </w:pPr>
      <w:r>
        <w:t xml:space="preserve">The instrument commences </w:t>
      </w:r>
      <w:r w:rsidR="00844BE4">
        <w:t>retrospectively on 2 October 2022</w:t>
      </w:r>
      <w:r>
        <w:t xml:space="preserve">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 w:rsidRPr="00540164">
        <w:rPr>
          <w:i/>
        </w:rPr>
        <w:t>Legislation Act 2003</w:t>
      </w:r>
      <w:r w:rsidR="00100DFC">
        <w:t xml:space="preserve"> (the Legislation Act)</w:t>
      </w:r>
      <w:r w:rsidR="00844BE4">
        <w:t>.</w:t>
      </w:r>
      <w:r w:rsidR="00BD598E" w:rsidRPr="008B24C8">
        <w:t xml:space="preserve"> </w:t>
      </w:r>
    </w:p>
    <w:p w14:paraId="57BE31E0" w14:textId="77777777" w:rsidR="00835CE1" w:rsidRPr="009606FA" w:rsidRDefault="00835CE1" w:rsidP="009606FA">
      <w:pPr>
        <w:pStyle w:val="ESPara"/>
        <w:numPr>
          <w:ilvl w:val="0"/>
          <w:numId w:val="0"/>
        </w:numPr>
        <w:rPr>
          <w:b/>
          <w:i/>
        </w:rPr>
      </w:pPr>
      <w:r>
        <w:rPr>
          <w:b/>
          <w:i/>
        </w:rPr>
        <w:t>Purpose</w:t>
      </w:r>
    </w:p>
    <w:p w14:paraId="368C4B19" w14:textId="1C67B328" w:rsidR="005638B4" w:rsidRDefault="005638B4" w:rsidP="005F3303">
      <w:pPr>
        <w:pStyle w:val="ESPara"/>
        <w:ind w:left="567" w:hanging="567"/>
      </w:pPr>
      <w:r>
        <w:t xml:space="preserve">This </w:t>
      </w:r>
      <w:r w:rsidR="00835CE1">
        <w:t>i</w:t>
      </w:r>
      <w:r>
        <w:t>nstrument is made under</w:t>
      </w:r>
      <w:r w:rsidR="00835CE1">
        <w:t xml:space="preserve"> the definition of ‘designated APEC economy’ in</w:t>
      </w:r>
      <w:r>
        <w:t xml:space="preserve"> regulation 1.03 of the Migration Regulations</w:t>
      </w:r>
      <w:r w:rsidR="005F3303">
        <w:t xml:space="preserve">. </w:t>
      </w:r>
      <w:r>
        <w:t xml:space="preserve">Regulation 1.03 of the </w:t>
      </w:r>
      <w:r w:rsidR="002D2F69">
        <w:t xml:space="preserve">Migration </w:t>
      </w:r>
      <w:r>
        <w:t xml:space="preserve">Regulations defines the term </w:t>
      </w:r>
      <w:r w:rsidR="00970009">
        <w:t>‘</w:t>
      </w:r>
      <w:r>
        <w:t>designated APEC economy</w:t>
      </w:r>
      <w:r w:rsidR="00970009">
        <w:t>’</w:t>
      </w:r>
      <w:r>
        <w:t xml:space="preserve"> to mean an APEC economy specified </w:t>
      </w:r>
      <w:r w:rsidR="00835CE1">
        <w:t>in a legislative instrument made by the Minister</w:t>
      </w:r>
      <w:r>
        <w:t xml:space="preserve"> for the purposes of that definition.</w:t>
      </w:r>
    </w:p>
    <w:p w14:paraId="40C68781" w14:textId="112AC6DF" w:rsidR="00193DBA" w:rsidRPr="00193DBA" w:rsidRDefault="0043631C" w:rsidP="006A4522">
      <w:pPr>
        <w:pStyle w:val="ESPara"/>
        <w:ind w:left="567" w:hanging="567"/>
      </w:pPr>
      <w:r>
        <w:t>A person who is the holder of a valid passport issued by a designated APEC economy, and who has applied to the Government of the designated APEC economy for an APEC Business Travel Card</w:t>
      </w:r>
      <w:r w:rsidR="00D30DD1">
        <w:t xml:space="preserve"> (ABTC)</w:t>
      </w:r>
      <w:r>
        <w:t xml:space="preserve"> under arrangements in force between Australia and designated APEC economies is taken to have made a valid application for a Subclass 600 (Visitor) visa in the Business Visitor stream</w:t>
      </w:r>
      <w:r w:rsidR="00513C9D">
        <w:t xml:space="preserve"> by operation of regulation 2.07AA of the </w:t>
      </w:r>
      <w:r w:rsidR="002D2F69">
        <w:t xml:space="preserve">Migration </w:t>
      </w:r>
      <w:r w:rsidR="00513C9D">
        <w:t>Regulations</w:t>
      </w:r>
      <w:r>
        <w:t>.</w:t>
      </w:r>
      <w:r w:rsidRPr="00844BE4">
        <w:t xml:space="preserve"> </w:t>
      </w:r>
      <w:r w:rsidR="00193DBA">
        <w:t>The ABTC scheme provides accredited business people streamlined entry to participating economies.</w:t>
      </w:r>
    </w:p>
    <w:p w14:paraId="1B493FC6" w14:textId="77777777" w:rsidR="00E72697" w:rsidRDefault="00E72697" w:rsidP="0043631C">
      <w:pPr>
        <w:pStyle w:val="ESPara"/>
        <w:ind w:left="567" w:hanging="567"/>
      </w:pPr>
      <w:r>
        <w:t xml:space="preserve">The instrument commences retrospectively on 2 October 2022. This means that where a designated APEC economy passport holder has applied to the designated APEC economy for an </w:t>
      </w:r>
      <w:r w:rsidR="00D30DD1">
        <w:t>ABTC</w:t>
      </w:r>
      <w:r>
        <w:t xml:space="preserve"> on or after that date, the person will be taken to have made a valid application for a Subclass 600 (Visitor) visa in the Business Visitor stream. </w:t>
      </w:r>
    </w:p>
    <w:p w14:paraId="64205596" w14:textId="4687A9A2" w:rsidR="00D30DD1" w:rsidRDefault="00D30DD1" w:rsidP="009606FA">
      <w:pPr>
        <w:pStyle w:val="ESSubparaHeader"/>
      </w:pPr>
      <w:r w:rsidRPr="00540164">
        <w:t>Th</w:t>
      </w:r>
      <w:r>
        <w:t>e instrument</w:t>
      </w:r>
      <w:r w:rsidRPr="00540164">
        <w:t xml:space="preserve"> will maintain the arrangements previously in pla</w:t>
      </w:r>
      <w:r>
        <w:t xml:space="preserve">ce under </w:t>
      </w:r>
      <w:r w:rsidRPr="009606FA">
        <w:rPr>
          <w:i/>
        </w:rPr>
        <w:t>Migration Regulations 1994 - Specification of Designated APEC Economies - IMMI 12/078</w:t>
      </w:r>
      <w:r>
        <w:t xml:space="preserve"> which was repealed by sunsetting on 1 October 2022.</w:t>
      </w:r>
    </w:p>
    <w:p w14:paraId="47804058" w14:textId="77777777" w:rsidR="00C3460D" w:rsidRPr="003E3D31" w:rsidRDefault="00C3460D" w:rsidP="00C3460D">
      <w:pPr>
        <w:pStyle w:val="ESPara"/>
        <w:numPr>
          <w:ilvl w:val="0"/>
          <w:numId w:val="0"/>
        </w:numPr>
        <w:rPr>
          <w:b/>
          <w:i/>
        </w:rPr>
      </w:pPr>
      <w:r>
        <w:rPr>
          <w:b/>
          <w:i/>
        </w:rPr>
        <w:t>Consultation</w:t>
      </w:r>
    </w:p>
    <w:p w14:paraId="3877E28B" w14:textId="3C901C0D" w:rsidR="00BE0138" w:rsidRDefault="00BE0138" w:rsidP="009606FA">
      <w:pPr>
        <w:pStyle w:val="ESPara"/>
        <w:ind w:left="567" w:hanging="567"/>
      </w:pPr>
      <w:r>
        <w:t>No external consultation was conducted as particulars of this instrument have been carried over from LIN 12/078 which was repealed by sunsetti</w:t>
      </w:r>
      <w:r w:rsidR="00503265">
        <w:t xml:space="preserve">ng on 1 October 2022. </w:t>
      </w:r>
      <w:r w:rsidR="009C6933">
        <w:t xml:space="preserve">LIN 23/008 </w:t>
      </w:r>
      <w:r>
        <w:t xml:space="preserve">will maintain arrangements previously in place under LIN 12/078 and accordingly the </w:t>
      </w:r>
      <w:r w:rsidRPr="005860CE">
        <w:rPr>
          <w:i/>
        </w:rPr>
        <w:t>Designated APEC economies</w:t>
      </w:r>
      <w:r>
        <w:rPr>
          <w:i/>
        </w:rPr>
        <w:t xml:space="preserve"> </w:t>
      </w:r>
      <w:r>
        <w:t>listed under Schedule 1 of the instrument have not changed.</w:t>
      </w:r>
    </w:p>
    <w:p w14:paraId="66B7FB8A" w14:textId="45646B5F" w:rsidR="00C3460D" w:rsidRPr="00193DBA" w:rsidRDefault="00C3460D" w:rsidP="009606FA">
      <w:pPr>
        <w:pStyle w:val="ESPara"/>
        <w:ind w:left="567" w:hanging="567"/>
      </w:pPr>
      <w:r>
        <w:t xml:space="preserve">The Office of Best Practice Regulation has advised that a Regulation Impact Statement is not required (OBPR Reference </w:t>
      </w:r>
      <w:r w:rsidR="00193DBA" w:rsidRPr="00193DBA">
        <w:t>22-03722</w:t>
      </w:r>
      <w:r w:rsidRPr="00193DBA">
        <w:t>).</w:t>
      </w:r>
    </w:p>
    <w:p w14:paraId="3B39BC11" w14:textId="77777777" w:rsidR="00E72697" w:rsidRPr="009606FA" w:rsidRDefault="00E72697" w:rsidP="009606FA">
      <w:pPr>
        <w:pStyle w:val="ESPara"/>
        <w:numPr>
          <w:ilvl w:val="0"/>
          <w:numId w:val="0"/>
        </w:numPr>
        <w:rPr>
          <w:b/>
          <w:i/>
        </w:rPr>
      </w:pPr>
      <w:r>
        <w:rPr>
          <w:b/>
          <w:i/>
        </w:rPr>
        <w:t>Parliamentary scrutiny</w:t>
      </w:r>
    </w:p>
    <w:p w14:paraId="30F0B756" w14:textId="3F856F17" w:rsidR="005638B4" w:rsidRDefault="00364C4F" w:rsidP="00F05E8A">
      <w:pPr>
        <w:pStyle w:val="ESPara"/>
        <w:ind w:left="567" w:hanging="567"/>
      </w:pPr>
      <w:r>
        <w:t>The instrument is exempt from disallowance u</w:t>
      </w:r>
      <w:r w:rsidR="005638B4">
        <w:t xml:space="preserve">nder section </w:t>
      </w:r>
      <w:r>
        <w:t>42</w:t>
      </w:r>
      <w:r w:rsidR="005638B4">
        <w:t xml:space="preserve"> of the </w:t>
      </w:r>
      <w:r>
        <w:t>Legislation</w:t>
      </w:r>
      <w:r w:rsidR="00A77A1F">
        <w:t xml:space="preserve"> Act</w:t>
      </w:r>
      <w:r>
        <w:t xml:space="preserve">. This is because a legislative instrument made under Part 1 of the </w:t>
      </w:r>
      <w:r w:rsidR="002D2F69">
        <w:t xml:space="preserve">Migration </w:t>
      </w:r>
      <w:r>
        <w:t xml:space="preserve">Regulations is prescribed by subitem 20(b) of </w:t>
      </w:r>
      <w:r>
        <w:lastRenderedPageBreak/>
        <w:t xml:space="preserve">the </w:t>
      </w:r>
      <w:r>
        <w:rPr>
          <w:i/>
        </w:rPr>
        <w:t>Legislation (Exemptions and Other Matters) Regulations 2015</w:t>
      </w:r>
      <w:r w:rsidRPr="009606FA">
        <w:t xml:space="preserve">. </w:t>
      </w:r>
      <w:r>
        <w:t xml:space="preserve">As </w:t>
      </w:r>
      <w:r w:rsidR="005638B4">
        <w:t xml:space="preserve">the </w:t>
      </w:r>
      <w:r>
        <w:t>i</w:t>
      </w:r>
      <w:r w:rsidR="005638B4">
        <w:t>nstrument is exempt from disallowance</w:t>
      </w:r>
      <w:r>
        <w:t>,</w:t>
      </w:r>
      <w:r w:rsidR="005638B4">
        <w:t xml:space="preserve"> </w:t>
      </w:r>
      <w:r w:rsidR="002D2F69">
        <w:t xml:space="preserve">a </w:t>
      </w:r>
      <w:r w:rsidR="005638B4">
        <w:t>Statement of Compatibility</w:t>
      </w:r>
      <w:r>
        <w:t xml:space="preserve"> with Human Rights</w:t>
      </w:r>
      <w:r w:rsidR="005638B4">
        <w:t xml:space="preserve"> is not required.</w:t>
      </w:r>
    </w:p>
    <w:p w14:paraId="1DB62BF2" w14:textId="5D8EB376" w:rsidR="00915032" w:rsidRPr="00F05E8A" w:rsidRDefault="002D2F69" w:rsidP="00100DFC">
      <w:pPr>
        <w:pStyle w:val="ESPara"/>
        <w:ind w:left="567" w:hanging="567"/>
      </w:pPr>
      <w:r>
        <w:t>The instrument was made by the Minister for Immigration, Citizenship and Multicultural Affairs in accordance with the definition of ‘designated APEC economy</w:t>
      </w:r>
      <w:r w:rsidR="00BE0138">
        <w:t>’</w:t>
      </w:r>
      <w:r>
        <w:t xml:space="preserve"> in regulation 1.03 of the Migration Regulations.</w:t>
      </w:r>
    </w:p>
    <w:sectPr w:rsidR="00915032" w:rsidRPr="00F05E8A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7B1D" w14:textId="77777777" w:rsidR="00CF7C2F" w:rsidRDefault="00CF7C2F" w:rsidP="00CF7C2F">
      <w:pPr>
        <w:spacing w:after="0" w:line="240" w:lineRule="auto"/>
      </w:pPr>
      <w:r>
        <w:separator/>
      </w:r>
    </w:p>
  </w:endnote>
  <w:endnote w:type="continuationSeparator" w:id="0">
    <w:p w14:paraId="4AFE2C19" w14:textId="77777777" w:rsidR="00CF7C2F" w:rsidRDefault="00CF7C2F" w:rsidP="00C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E018" w14:textId="77777777" w:rsidR="006327F5" w:rsidRDefault="00632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2824" w14:textId="77777777" w:rsidR="006327F5" w:rsidRDefault="00632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43C4" w14:textId="77777777" w:rsidR="006327F5" w:rsidRDefault="0063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13FCF" w14:textId="77777777" w:rsidR="00CF7C2F" w:rsidRDefault="00CF7C2F" w:rsidP="00CF7C2F">
      <w:pPr>
        <w:spacing w:after="0" w:line="240" w:lineRule="auto"/>
      </w:pPr>
      <w:r>
        <w:separator/>
      </w:r>
    </w:p>
  </w:footnote>
  <w:footnote w:type="continuationSeparator" w:id="0">
    <w:p w14:paraId="36E1FA92" w14:textId="77777777" w:rsidR="00CF7C2F" w:rsidRDefault="00CF7C2F" w:rsidP="00C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330F" w14:textId="77777777" w:rsidR="006327F5" w:rsidRDefault="00632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2972" w14:textId="5D7DE3F6" w:rsidR="00CF7C2F" w:rsidRDefault="00CF7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E05B" w14:textId="77777777" w:rsidR="006327F5" w:rsidRDefault="00632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21"/>
    <w:rsid w:val="00033E73"/>
    <w:rsid w:val="000510B1"/>
    <w:rsid w:val="000D014F"/>
    <w:rsid w:val="00100DFC"/>
    <w:rsid w:val="0019164E"/>
    <w:rsid w:val="00193DBA"/>
    <w:rsid w:val="002402E0"/>
    <w:rsid w:val="002D167E"/>
    <w:rsid w:val="002D2F69"/>
    <w:rsid w:val="00364C4F"/>
    <w:rsid w:val="0043631C"/>
    <w:rsid w:val="00457D4A"/>
    <w:rsid w:val="00464080"/>
    <w:rsid w:val="004F5CE4"/>
    <w:rsid w:val="00503265"/>
    <w:rsid w:val="00513C9D"/>
    <w:rsid w:val="00540164"/>
    <w:rsid w:val="00556102"/>
    <w:rsid w:val="00560B24"/>
    <w:rsid w:val="005638B4"/>
    <w:rsid w:val="0057002B"/>
    <w:rsid w:val="005860CE"/>
    <w:rsid w:val="005A3733"/>
    <w:rsid w:val="005F3303"/>
    <w:rsid w:val="00604E06"/>
    <w:rsid w:val="006327F5"/>
    <w:rsid w:val="006A4522"/>
    <w:rsid w:val="006B68B1"/>
    <w:rsid w:val="006D5B88"/>
    <w:rsid w:val="007725D3"/>
    <w:rsid w:val="00797183"/>
    <w:rsid w:val="007A2B83"/>
    <w:rsid w:val="007E4691"/>
    <w:rsid w:val="00835CE1"/>
    <w:rsid w:val="00844BE4"/>
    <w:rsid w:val="0088407D"/>
    <w:rsid w:val="008B24C8"/>
    <w:rsid w:val="00915032"/>
    <w:rsid w:val="00941421"/>
    <w:rsid w:val="009606FA"/>
    <w:rsid w:val="00970009"/>
    <w:rsid w:val="009C6933"/>
    <w:rsid w:val="009F7933"/>
    <w:rsid w:val="00A4769D"/>
    <w:rsid w:val="00A77A1F"/>
    <w:rsid w:val="00AA4557"/>
    <w:rsid w:val="00AA4F77"/>
    <w:rsid w:val="00B4143C"/>
    <w:rsid w:val="00B445D9"/>
    <w:rsid w:val="00B65A06"/>
    <w:rsid w:val="00B66B74"/>
    <w:rsid w:val="00B75478"/>
    <w:rsid w:val="00BB0CF2"/>
    <w:rsid w:val="00BC1DE0"/>
    <w:rsid w:val="00BD598E"/>
    <w:rsid w:val="00BE0138"/>
    <w:rsid w:val="00BE3E7F"/>
    <w:rsid w:val="00C0387D"/>
    <w:rsid w:val="00C3460D"/>
    <w:rsid w:val="00C81A5E"/>
    <w:rsid w:val="00C930F2"/>
    <w:rsid w:val="00CF7C2F"/>
    <w:rsid w:val="00D30DD1"/>
    <w:rsid w:val="00D40E1E"/>
    <w:rsid w:val="00E03DCC"/>
    <w:rsid w:val="00E45FE2"/>
    <w:rsid w:val="00E72697"/>
    <w:rsid w:val="00EA12C9"/>
    <w:rsid w:val="00F05E8A"/>
    <w:rsid w:val="00F64955"/>
    <w:rsid w:val="00FA212A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DF994A"/>
  <w15:chartTrackingRefBased/>
  <w15:docId w15:val="{090D09C7-6EEB-4A48-BBB7-2BB5097E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  <w:ind w:left="927" w:hanging="36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4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38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2F"/>
  </w:style>
  <w:style w:type="paragraph" w:styleId="Footer">
    <w:name w:val="footer"/>
    <w:basedOn w:val="Normal"/>
    <w:link w:val="FooterChar"/>
    <w:uiPriority w:val="99"/>
    <w:unhideWhenUsed/>
    <w:rsid w:val="00CF7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873-227A-4D2D-A375-86AF993C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Coleman</dc:creator>
  <cp:keywords/>
  <dc:description/>
  <cp:lastModifiedBy>Carrie Coleman</cp:lastModifiedBy>
  <cp:revision>2</cp:revision>
  <dcterms:created xsi:type="dcterms:W3CDTF">2023-01-31T21:11:00Z</dcterms:created>
  <dcterms:modified xsi:type="dcterms:W3CDTF">2023-01-31T21:11:00Z</dcterms:modified>
</cp:coreProperties>
</file>