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19A1483B" w:rsidR="005E317F" w:rsidRPr="00D15A4D" w:rsidRDefault="005E317F" w:rsidP="42CFC087">
      <w:pPr>
        <w:rPr>
          <w:sz w:val="28"/>
          <w:szCs w:val="28"/>
        </w:rPr>
      </w:pPr>
      <w:r>
        <w:br/>
      </w:r>
      <w:r w:rsidR="7D6BCDFA">
        <w:t xml:space="preserve"> </w:t>
      </w:r>
      <w:r>
        <w:rPr>
          <w:noProof/>
          <w:lang w:eastAsia="en-AU"/>
        </w:rPr>
        <w:drawing>
          <wp:inline distT="0" distB="0" distL="0" distR="0" wp14:anchorId="2D2B6140" wp14:editId="015F2FBA">
            <wp:extent cx="1503328" cy="1105200"/>
            <wp:effectExtent l="0" t="0" r="1905" b="0"/>
            <wp:docPr id="701755458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36773415" w:rsidR="005E317F" w:rsidRPr="00D15A4D" w:rsidRDefault="003F506B" w:rsidP="005E317F">
      <w:pPr>
        <w:pStyle w:val="ShortT"/>
      </w:pPr>
      <w:bookmarkStart w:id="0" w:name="Determination_Title"/>
      <w:r w:rsidRPr="00D15A4D">
        <w:t>Defence Determination</w:t>
      </w:r>
      <w:r w:rsidR="00506A01" w:rsidRPr="00D15A4D">
        <w:t>, Conditions of service</w:t>
      </w:r>
      <w:r w:rsidR="000275D8">
        <w:t xml:space="preserve"> Amendment</w:t>
      </w:r>
      <w:r w:rsidR="005E317F" w:rsidRPr="00D15A4D">
        <w:t xml:space="preserve"> </w:t>
      </w:r>
      <w:r w:rsidR="00506A01" w:rsidRPr="00D15A4D">
        <w:t>Determination</w:t>
      </w:r>
      <w:r w:rsidR="005E317F" w:rsidRPr="00D15A4D">
        <w:t xml:space="preserve"> </w:t>
      </w:r>
      <w:r w:rsidR="000275D8">
        <w:t>2023</w:t>
      </w:r>
      <w:r w:rsidR="00A575F1">
        <w:t xml:space="preserve"> (No. </w:t>
      </w:r>
      <w:r w:rsidR="00C0057B">
        <w:t>3</w:t>
      </w:r>
      <w:r w:rsidR="00A003BB">
        <w:t>)</w:t>
      </w:r>
      <w:bookmarkEnd w:id="0"/>
    </w:p>
    <w:p w14:paraId="2C45D911" w14:textId="465CB90B" w:rsidR="005E317F" w:rsidRPr="00D15A4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15A4D">
        <w:rPr>
          <w:szCs w:val="22"/>
        </w:rPr>
        <w:t xml:space="preserve">I, </w:t>
      </w:r>
      <w:r w:rsidR="001F0BC0">
        <w:rPr>
          <w:szCs w:val="22"/>
        </w:rPr>
        <w:t>FIONA LOUISE MCSPEERIN</w:t>
      </w:r>
      <w:r w:rsidR="00506A01" w:rsidRPr="00D15A4D">
        <w:rPr>
          <w:szCs w:val="22"/>
        </w:rPr>
        <w:t>, Assistant Secretary, People Policy and Employment Conditions,</w:t>
      </w:r>
      <w:r w:rsidRPr="00D15A4D">
        <w:rPr>
          <w:szCs w:val="22"/>
        </w:rPr>
        <w:t xml:space="preserve"> make the following </w:t>
      </w:r>
      <w:r w:rsidR="00506A01" w:rsidRPr="00D15A4D">
        <w:rPr>
          <w:szCs w:val="22"/>
        </w:rPr>
        <w:t xml:space="preserve">Determination under section 58B of the </w:t>
      </w:r>
      <w:r w:rsidR="00506A01" w:rsidRPr="00D15A4D">
        <w:rPr>
          <w:i/>
          <w:szCs w:val="22"/>
        </w:rPr>
        <w:t>Defence Act 1903</w:t>
      </w:r>
      <w:r w:rsidRPr="00D15A4D">
        <w:rPr>
          <w:szCs w:val="22"/>
        </w:rPr>
        <w:t>.</w:t>
      </w:r>
    </w:p>
    <w:p w14:paraId="0EA53BFE" w14:textId="14B60AAC" w:rsidR="005E317F" w:rsidRPr="00D15A4D" w:rsidRDefault="002E1D00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31 January </w:t>
      </w:r>
      <w:bookmarkStart w:id="1" w:name="_GoBack"/>
      <w:bookmarkEnd w:id="1"/>
      <w:r w:rsidR="00C0057B">
        <w:rPr>
          <w:szCs w:val="22"/>
        </w:rPr>
        <w:t>2023</w:t>
      </w:r>
    </w:p>
    <w:p w14:paraId="73FB3871" w14:textId="0AAA5604" w:rsidR="005E317F" w:rsidRPr="00D15A4D" w:rsidRDefault="001F0BC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Fiona Louise McSpeerin</w:t>
      </w:r>
      <w:r w:rsidR="0077113D">
        <w:rPr>
          <w:szCs w:val="22"/>
        </w:rPr>
        <w:t xml:space="preserve"> </w:t>
      </w:r>
    </w:p>
    <w:p w14:paraId="07B13799" w14:textId="77317E7A" w:rsidR="00506A01" w:rsidRPr="00D15A4D" w:rsidRDefault="00506A01" w:rsidP="00506A01">
      <w:pPr>
        <w:pStyle w:val="SignCoverPageEnd"/>
        <w:ind w:right="91"/>
        <w:rPr>
          <w:sz w:val="22"/>
        </w:rPr>
      </w:pPr>
      <w:r w:rsidRPr="00D15A4D">
        <w:rPr>
          <w:sz w:val="22"/>
        </w:rPr>
        <w:t>Assistant Secretary</w:t>
      </w:r>
      <w:r w:rsidRPr="00D15A4D">
        <w:rPr>
          <w:sz w:val="22"/>
        </w:rPr>
        <w:br/>
        <w:t>People Policy and Employment Conditions</w:t>
      </w:r>
      <w:r w:rsidRPr="00D15A4D">
        <w:rPr>
          <w:sz w:val="22"/>
        </w:rPr>
        <w:br/>
        <w:t>Defence People Group</w:t>
      </w:r>
    </w:p>
    <w:p w14:paraId="34AE9577" w14:textId="77777777" w:rsidR="00B20990" w:rsidRPr="00D15A4D" w:rsidRDefault="00B20990" w:rsidP="00B20990"/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2" w:name="BKCheck15B_2"/>
    <w:bookmarkEnd w:id="2"/>
    <w:p w14:paraId="03ABC94E" w14:textId="3765DFBE" w:rsidR="008014D3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8014D3">
        <w:rPr>
          <w:noProof/>
        </w:rPr>
        <w:t>1  Name</w:t>
      </w:r>
      <w:r w:rsidR="008014D3">
        <w:rPr>
          <w:noProof/>
        </w:rPr>
        <w:tab/>
      </w:r>
      <w:r w:rsidR="008014D3">
        <w:rPr>
          <w:noProof/>
        </w:rPr>
        <w:fldChar w:fldCharType="begin"/>
      </w:r>
      <w:r w:rsidR="008014D3">
        <w:rPr>
          <w:noProof/>
        </w:rPr>
        <w:instrText xml:space="preserve"> PAGEREF _Toc125716648 \h </w:instrText>
      </w:r>
      <w:r w:rsidR="008014D3">
        <w:rPr>
          <w:noProof/>
        </w:rPr>
      </w:r>
      <w:r w:rsidR="008014D3">
        <w:rPr>
          <w:noProof/>
        </w:rPr>
        <w:fldChar w:fldCharType="separate"/>
      </w:r>
      <w:r w:rsidR="008014D3">
        <w:rPr>
          <w:noProof/>
        </w:rPr>
        <w:t>1</w:t>
      </w:r>
      <w:r w:rsidR="008014D3">
        <w:rPr>
          <w:noProof/>
        </w:rPr>
        <w:fldChar w:fldCharType="end"/>
      </w:r>
    </w:p>
    <w:p w14:paraId="70567938" w14:textId="73366E66" w:rsidR="008014D3" w:rsidRDefault="008014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_Toc125716649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07548EA" w14:textId="12B9CA99" w:rsidR="008014D3" w:rsidRDefault="008014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_Toc125716650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E7AFE50" w14:textId="6D25CEED" w:rsidR="008014D3" w:rsidRDefault="008014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_Toc125716651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7B43F0" w14:textId="0C76FF4E" w:rsidR="008014D3" w:rsidRDefault="008014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1—Overseas conditions – China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_Toc125716652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6EA3836" w14:textId="3B4EFD21" w:rsidR="008014D3" w:rsidRDefault="008014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21CBB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_Toc125716653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27B4A5B" w14:textId="720332DC" w:rsidR="008014D3" w:rsidRDefault="008014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2—Rent ceilings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_Toc125716654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EE05D9F" w14:textId="0373986D" w:rsidR="008014D3" w:rsidRDefault="008014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21CBB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_Toc125716655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074916C" w14:textId="53E71B89" w:rsidR="008014D3" w:rsidRDefault="008014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3—Transitional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_Toc125716656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E6536A0" w14:textId="1B46BC20" w:rsidR="00B20990" w:rsidRPr="00D15A4D" w:rsidRDefault="00FA083A" w:rsidP="005E317F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0394AE5B" w14:textId="77777777" w:rsidR="009705B7" w:rsidRPr="00D15A4D" w:rsidRDefault="009705B7" w:rsidP="009705B7">
      <w:pPr>
        <w:pStyle w:val="ActHead5"/>
      </w:pPr>
      <w:bookmarkStart w:id="3" w:name="_Toc125716648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  <w:proofErr w:type="gramEnd"/>
    </w:p>
    <w:p w14:paraId="79F18710" w14:textId="56AC02CC" w:rsidR="009705B7" w:rsidRPr="007E3976" w:rsidRDefault="009705B7" w:rsidP="009705B7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r w:rsidRPr="007E3976">
        <w:rPr>
          <w:i/>
        </w:rPr>
        <w:fldChar w:fldCharType="begin"/>
      </w:r>
      <w:r w:rsidRPr="007E3976">
        <w:rPr>
          <w:i/>
        </w:rPr>
        <w:instrText xml:space="preserve"> STYLEREF  ShortT </w:instrText>
      </w:r>
      <w:r w:rsidRPr="007E3976">
        <w:rPr>
          <w:i/>
        </w:rPr>
        <w:fldChar w:fldCharType="separate"/>
      </w:r>
      <w:r w:rsidR="008754E4">
        <w:rPr>
          <w:i/>
          <w:noProof/>
        </w:rPr>
        <w:t>Defence Determination, Conditions of service Amen</w:t>
      </w:r>
      <w:r w:rsidR="00C0057B">
        <w:rPr>
          <w:i/>
          <w:noProof/>
        </w:rPr>
        <w:t>dment Determination 2023 (No. 03</w:t>
      </w:r>
      <w:r w:rsidR="008754E4">
        <w:rPr>
          <w:i/>
          <w:noProof/>
        </w:rPr>
        <w:t>)</w:t>
      </w:r>
      <w:r w:rsidRPr="007E3976">
        <w:rPr>
          <w:i/>
        </w:rPr>
        <w:fldChar w:fldCharType="end"/>
      </w:r>
      <w:r w:rsidRPr="007E3976">
        <w:rPr>
          <w:i/>
        </w:rPr>
        <w:t>.</w:t>
      </w:r>
    </w:p>
    <w:p w14:paraId="41D75EE2" w14:textId="77777777" w:rsidR="009705B7" w:rsidRDefault="009705B7" w:rsidP="009705B7">
      <w:pPr>
        <w:pStyle w:val="ActHead5"/>
      </w:pPr>
      <w:bookmarkStart w:id="4" w:name="_Toc125716649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4"/>
      <w:proofErr w:type="gramEnd"/>
    </w:p>
    <w:p w14:paraId="7E5FD77E" w14:textId="77777777" w:rsidR="009705B7" w:rsidRPr="004B22E4" w:rsidRDefault="009705B7" w:rsidP="009705B7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9705B7" w:rsidRPr="00D15A4D" w14:paraId="161C2981" w14:textId="77777777" w:rsidTr="007E1F4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DB0358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9705B7" w:rsidRPr="00D15A4D" w14:paraId="68BFF77F" w14:textId="77777777" w:rsidTr="007E1F46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70E7DE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7C1DB7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8CEF29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9705B7" w:rsidRPr="00D15A4D" w14:paraId="17C57F70" w14:textId="77777777" w:rsidTr="007E1F46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86A9DD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2F5E3F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3F845B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9705B7" w:rsidRPr="00D15A4D" w14:paraId="1E953A0F" w14:textId="77777777" w:rsidTr="007E1F46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B6A024" w14:textId="1B9B77B3" w:rsidR="009705B7" w:rsidRPr="00D15A4D" w:rsidRDefault="009705B7" w:rsidP="00C0057B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 xml:space="preserve">1. </w:t>
            </w:r>
            <w:r w:rsidR="00C0057B">
              <w:rPr>
                <w:szCs w:val="22"/>
              </w:rPr>
              <w:t>Sections 1 to 4 and anything in this Instrument not elsewhere covered by this table.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2A3E40" w14:textId="77777777" w:rsidR="009705B7" w:rsidRPr="00D15A4D" w:rsidRDefault="009705B7" w:rsidP="007E1F46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>The day after the instrument is registered</w:t>
            </w:r>
            <w:r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A2E76D" w14:textId="77777777" w:rsidR="009705B7" w:rsidRPr="00D15A4D" w:rsidRDefault="009705B7" w:rsidP="007E1F46">
            <w:pPr>
              <w:rPr>
                <w:szCs w:val="22"/>
              </w:rPr>
            </w:pPr>
          </w:p>
        </w:tc>
      </w:tr>
      <w:tr w:rsidR="00C0057B" w:rsidRPr="00D15A4D" w14:paraId="1874505A" w14:textId="77777777" w:rsidTr="007E1F46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7401B4" w14:textId="29752FF1" w:rsidR="00C0057B" w:rsidRDefault="00C0057B" w:rsidP="00C0057B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2. Schedule</w:t>
            </w:r>
            <w:r w:rsidR="00A238CC">
              <w:rPr>
                <w:szCs w:val="22"/>
              </w:rPr>
              <w:t>s</w:t>
            </w:r>
            <w:r>
              <w:rPr>
                <w:szCs w:val="22"/>
              </w:rPr>
              <w:t xml:space="preserve"> 1</w:t>
            </w:r>
            <w:r w:rsidR="00A238CC">
              <w:rPr>
                <w:szCs w:val="22"/>
              </w:rPr>
              <w:t xml:space="preserve"> and 3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7223CB" w14:textId="49028B70" w:rsidR="00C0057B" w:rsidRPr="00D15A4D" w:rsidRDefault="00C0057B" w:rsidP="007E1F46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2 February 2023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D3EE92" w14:textId="77777777" w:rsidR="00C0057B" w:rsidRPr="00D15A4D" w:rsidRDefault="00C0057B" w:rsidP="007E1F46">
            <w:pPr>
              <w:rPr>
                <w:szCs w:val="22"/>
              </w:rPr>
            </w:pPr>
          </w:p>
        </w:tc>
      </w:tr>
      <w:tr w:rsidR="00C0057B" w:rsidRPr="00D15A4D" w14:paraId="2DC5AA93" w14:textId="77777777" w:rsidTr="007E1F46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0591A2" w14:textId="52B86F7F" w:rsidR="00C0057B" w:rsidRDefault="00C0057B" w:rsidP="00C0057B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3. Schedule 2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B0FA6C" w14:textId="068ECB5C" w:rsidR="00C0057B" w:rsidRDefault="00C0057B" w:rsidP="007E1F46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2 March 2023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83E3C5" w14:textId="77777777" w:rsidR="00C0057B" w:rsidRPr="00D15A4D" w:rsidRDefault="00C0057B" w:rsidP="007E1F46">
            <w:pPr>
              <w:rPr>
                <w:szCs w:val="22"/>
              </w:rPr>
            </w:pPr>
          </w:p>
        </w:tc>
      </w:tr>
    </w:tbl>
    <w:p w14:paraId="74CC5633" w14:textId="77777777" w:rsidR="009705B7" w:rsidRDefault="009705B7" w:rsidP="009705B7">
      <w:pPr>
        <w:pStyle w:val="ActHead5"/>
        <w:spacing w:before="60"/>
        <w:rPr>
          <w:rStyle w:val="CharSectno"/>
        </w:rPr>
      </w:pPr>
    </w:p>
    <w:p w14:paraId="5E13E966" w14:textId="77777777" w:rsidR="009705B7" w:rsidRPr="00387FD4" w:rsidRDefault="009705B7" w:rsidP="009705B7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ab/>
      </w:r>
      <w:r w:rsidRPr="00AC03A7">
        <w:rPr>
          <w:rFonts w:ascii="Times New Roman" w:hAnsi="Times New Roman"/>
          <w:b/>
          <w:lang w:eastAsia="en-US"/>
        </w:rPr>
        <w:t>Note:</w:t>
      </w:r>
      <w:r w:rsidRPr="00387FD4">
        <w:rPr>
          <w:rFonts w:ascii="Times New Roman" w:hAnsi="Times New Roman"/>
          <w:lang w:eastAsia="en-US"/>
        </w:rPr>
        <w:t xml:space="preserve"> this table relates only to the provisions of this instrument as originally made. It will not be amended to deal with any later amendments of this instrument. </w:t>
      </w:r>
    </w:p>
    <w:p w14:paraId="3CEDC619" w14:textId="77777777" w:rsidR="009705B7" w:rsidRPr="00387FD4" w:rsidRDefault="009705B7" w:rsidP="009705B7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4E5B2E5E" w14:textId="7F6BE6F5" w:rsidR="005E317F" w:rsidRPr="00D15A4D" w:rsidRDefault="005E317F" w:rsidP="005E317F">
      <w:pPr>
        <w:pStyle w:val="ActHead5"/>
      </w:pPr>
      <w:bookmarkStart w:id="5" w:name="_Toc125716650"/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5"/>
      <w:proofErr w:type="gramEnd"/>
    </w:p>
    <w:p w14:paraId="1B0EA278" w14:textId="77A65683" w:rsidR="005E317F" w:rsidRPr="00D15A4D" w:rsidRDefault="005E317F" w:rsidP="007E3976">
      <w:pPr>
        <w:pStyle w:val="subsection"/>
        <w:ind w:firstLine="0"/>
      </w:pPr>
      <w:r w:rsidRPr="00D15A4D">
        <w:t>This instrument is made under</w:t>
      </w:r>
      <w:r w:rsidR="00D15A4D" w:rsidRPr="00D15A4D">
        <w:t xml:space="preserve"> section 58B of the </w:t>
      </w:r>
      <w:r w:rsidR="00D15A4D" w:rsidRPr="00D15A4D">
        <w:rPr>
          <w:i/>
        </w:rPr>
        <w:t>Defence Act 1903</w:t>
      </w:r>
      <w:r w:rsidR="00D15A4D" w:rsidRPr="00D15A4D">
        <w:t>.</w:t>
      </w:r>
    </w:p>
    <w:p w14:paraId="1B7B92AA" w14:textId="4D6DF93C" w:rsidR="005E317F" w:rsidRPr="00D15A4D" w:rsidRDefault="005E317F" w:rsidP="005E317F">
      <w:pPr>
        <w:pStyle w:val="ActHead5"/>
      </w:pPr>
      <w:bookmarkStart w:id="6" w:name="_Toc125716651"/>
      <w:proofErr w:type="gramStart"/>
      <w:r w:rsidRPr="00D15A4D">
        <w:t>4  Schedules</w:t>
      </w:r>
      <w:bookmarkEnd w:id="6"/>
      <w:proofErr w:type="gramEnd"/>
    </w:p>
    <w:p w14:paraId="4DC10822" w14:textId="3523F89E" w:rsidR="007E3976" w:rsidRPr="00D15A4D" w:rsidRDefault="005E317F" w:rsidP="007E3976">
      <w:pPr>
        <w:pStyle w:val="subsection"/>
        <w:ind w:firstLine="0"/>
      </w:pPr>
      <w:r w:rsidRPr="00D15A4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B955DFD" w14:textId="77777777" w:rsidR="008014D3" w:rsidRPr="00D15A4D" w:rsidRDefault="008014D3" w:rsidP="008014D3">
      <w:pPr>
        <w:pStyle w:val="ActHead6"/>
        <w:pageBreakBefore/>
      </w:pPr>
      <w:bookmarkStart w:id="7" w:name="_Toc124404573"/>
      <w:bookmarkStart w:id="8" w:name="_Toc125716652"/>
      <w:bookmarkStart w:id="9" w:name="_Toc8657876"/>
      <w:bookmarkStart w:id="10" w:name="Schedule_1"/>
      <w:r w:rsidRPr="00D15A4D">
        <w:rPr>
          <w:rStyle w:val="CharAmSchNo"/>
        </w:rPr>
        <w:lastRenderedPageBreak/>
        <w:t>Schedule 1</w:t>
      </w:r>
      <w:r w:rsidRPr="00D15A4D">
        <w:t>—</w:t>
      </w:r>
      <w:proofErr w:type="gramStart"/>
      <w:r>
        <w:t>Overseas</w:t>
      </w:r>
      <w:proofErr w:type="gramEnd"/>
      <w:r>
        <w:t xml:space="preserve"> conditions</w:t>
      </w:r>
      <w:r w:rsidRPr="00435702">
        <w:t xml:space="preserve"> – </w:t>
      </w:r>
      <w:r>
        <w:t xml:space="preserve">China </w:t>
      </w:r>
      <w:r>
        <w:rPr>
          <w:rStyle w:val="CharAmSchText"/>
        </w:rPr>
        <w:t>a</w:t>
      </w:r>
      <w:r w:rsidRPr="00D15A4D">
        <w:rPr>
          <w:rStyle w:val="CharAmSchText"/>
        </w:rPr>
        <w:t>mendments</w:t>
      </w:r>
      <w:bookmarkEnd w:id="7"/>
      <w:bookmarkEnd w:id="8"/>
    </w:p>
    <w:p w14:paraId="7C435CA4" w14:textId="77777777" w:rsidR="008014D3" w:rsidRPr="002A3EC7" w:rsidRDefault="008014D3" w:rsidP="008014D3">
      <w:pPr>
        <w:pStyle w:val="ActHead9"/>
        <w:rPr>
          <w:rFonts w:cs="Arial"/>
        </w:rPr>
      </w:pPr>
      <w:bookmarkStart w:id="11" w:name="_Toc124404574"/>
      <w:bookmarkStart w:id="12" w:name="_Toc125716653"/>
      <w:r w:rsidRPr="002A3EC7">
        <w:rPr>
          <w:rFonts w:cs="Arial"/>
        </w:rPr>
        <w:t>Defence Determination 2016/19, Conditions of service</w:t>
      </w:r>
      <w:bookmarkEnd w:id="11"/>
      <w:bookmarkEnd w:id="12"/>
    </w:p>
    <w:tbl>
      <w:tblPr>
        <w:tblW w:w="93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93"/>
      </w:tblGrid>
      <w:tr w:rsidR="008014D3" w:rsidRPr="00676249" w14:paraId="4653D92D" w14:textId="77777777" w:rsidTr="00205F83">
        <w:tc>
          <w:tcPr>
            <w:tcW w:w="992" w:type="dxa"/>
            <w:hideMark/>
          </w:tcPr>
          <w:p w14:paraId="3F460673" w14:textId="77777777" w:rsidR="008014D3" w:rsidRPr="00676249" w:rsidRDefault="008014D3" w:rsidP="00205F83">
            <w:pPr>
              <w:pStyle w:val="Heading5"/>
            </w:pPr>
            <w:r>
              <w:t>1</w:t>
            </w:r>
          </w:p>
        </w:tc>
        <w:tc>
          <w:tcPr>
            <w:tcW w:w="8393" w:type="dxa"/>
            <w:hideMark/>
          </w:tcPr>
          <w:p w14:paraId="7C7241D1" w14:textId="77777777" w:rsidR="008014D3" w:rsidRPr="00676249" w:rsidRDefault="008014D3" w:rsidP="00205F83">
            <w:pPr>
              <w:pStyle w:val="Heading5"/>
            </w:pPr>
            <w:r>
              <w:t>Subsection 12.3.14A.1</w:t>
            </w:r>
            <w:r w:rsidRPr="00676249">
              <w:t xml:space="preserve"> </w:t>
            </w:r>
          </w:p>
        </w:tc>
      </w:tr>
      <w:tr w:rsidR="008014D3" w:rsidRPr="00676249" w14:paraId="030AB79F" w14:textId="77777777" w:rsidTr="00205F83">
        <w:tc>
          <w:tcPr>
            <w:tcW w:w="992" w:type="dxa"/>
            <w:hideMark/>
          </w:tcPr>
          <w:p w14:paraId="19BF5CB5" w14:textId="77777777" w:rsidR="008014D3" w:rsidRPr="00676249" w:rsidRDefault="008014D3" w:rsidP="00205F83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8393" w:type="dxa"/>
            <w:hideMark/>
          </w:tcPr>
          <w:p w14:paraId="5D54388F" w14:textId="77777777" w:rsidR="008014D3" w:rsidRPr="00676249" w:rsidRDefault="008014D3" w:rsidP="00205F8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Repeal the subsection, substitute:</w:t>
            </w:r>
          </w:p>
        </w:tc>
      </w:tr>
      <w:tr w:rsidR="008014D3" w:rsidRPr="00676249" w14:paraId="7681E206" w14:textId="77777777" w:rsidTr="00205F83">
        <w:tc>
          <w:tcPr>
            <w:tcW w:w="992" w:type="dxa"/>
          </w:tcPr>
          <w:p w14:paraId="4D32F0EE" w14:textId="77777777" w:rsidR="008014D3" w:rsidRPr="00676249" w:rsidRDefault="008014D3" w:rsidP="00205F8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1.</w:t>
            </w:r>
          </w:p>
        </w:tc>
        <w:tc>
          <w:tcPr>
            <w:tcW w:w="8393" w:type="dxa"/>
          </w:tcPr>
          <w:p w14:paraId="3651ADB6" w14:textId="77777777" w:rsidR="008014D3" w:rsidRDefault="008014D3" w:rsidP="00205F83">
            <w:pPr>
              <w:pStyle w:val="Sectiontext"/>
              <w:rPr>
                <w:rFonts w:cs="Arial"/>
                <w:lang w:eastAsia="en-US"/>
              </w:rPr>
            </w:pPr>
            <w:r w:rsidRPr="00D916D7">
              <w:rPr>
                <w:rFonts w:cs="Arial"/>
                <w:lang w:eastAsia="en-US"/>
              </w:rPr>
              <w:t>Subject to subsection 2, the post index for a post index location in an i</w:t>
            </w:r>
            <w:r>
              <w:rPr>
                <w:rFonts w:cs="Arial"/>
                <w:lang w:eastAsia="en-US"/>
              </w:rPr>
              <w:t xml:space="preserve">tem in column A of the </w:t>
            </w:r>
            <w:r w:rsidRPr="00D916D7">
              <w:rPr>
                <w:rFonts w:cs="Arial"/>
                <w:lang w:eastAsia="en-US"/>
              </w:rPr>
              <w:t>table</w:t>
            </w:r>
            <w:r>
              <w:rPr>
                <w:rFonts w:cs="Arial"/>
                <w:lang w:eastAsia="en-US"/>
              </w:rPr>
              <w:t xml:space="preserve"> in Annex 12.3.B</w:t>
            </w:r>
            <w:r w:rsidRPr="00D916D7">
              <w:rPr>
                <w:rFonts w:cs="Arial"/>
                <w:lang w:eastAsia="en-US"/>
              </w:rPr>
              <w:t xml:space="preserve"> is the standard figure provided to Defence by a data service provider for a location specified </w:t>
            </w:r>
            <w:r>
              <w:rPr>
                <w:rFonts w:cs="Arial"/>
                <w:lang w:eastAsia="en-US"/>
              </w:rPr>
              <w:t>i</w:t>
            </w:r>
            <w:r w:rsidRPr="00D916D7">
              <w:rPr>
                <w:rFonts w:cs="Arial"/>
                <w:lang w:eastAsia="en-US"/>
              </w:rPr>
              <w:t xml:space="preserve">n </w:t>
            </w:r>
            <w:r>
              <w:rPr>
                <w:rFonts w:cs="Arial"/>
                <w:lang w:eastAsia="en-US"/>
              </w:rPr>
              <w:t>c</w:t>
            </w:r>
            <w:r w:rsidRPr="00D916D7">
              <w:rPr>
                <w:rFonts w:cs="Arial"/>
                <w:lang w:eastAsia="en-US"/>
              </w:rPr>
              <w:t>olumn B of the same item.</w:t>
            </w:r>
          </w:p>
        </w:tc>
      </w:tr>
      <w:tr w:rsidR="008014D3" w:rsidRPr="00676249" w14:paraId="6DEDA269" w14:textId="77777777" w:rsidTr="00205F83">
        <w:tc>
          <w:tcPr>
            <w:tcW w:w="992" w:type="dxa"/>
            <w:hideMark/>
          </w:tcPr>
          <w:p w14:paraId="6FC9083F" w14:textId="77777777" w:rsidR="008014D3" w:rsidRPr="00676249" w:rsidRDefault="008014D3" w:rsidP="00205F83">
            <w:pPr>
              <w:pStyle w:val="Heading5"/>
            </w:pPr>
            <w:bookmarkStart w:id="13" w:name="_Toc121931798"/>
            <w:bookmarkStart w:id="14" w:name="_Toc119068102"/>
            <w:r>
              <w:t>2</w:t>
            </w:r>
          </w:p>
        </w:tc>
        <w:tc>
          <w:tcPr>
            <w:tcW w:w="8393" w:type="dxa"/>
            <w:hideMark/>
          </w:tcPr>
          <w:p w14:paraId="0E4E53B3" w14:textId="77777777" w:rsidR="008014D3" w:rsidRPr="00676249" w:rsidRDefault="008014D3" w:rsidP="00205F83">
            <w:pPr>
              <w:pStyle w:val="Heading5"/>
            </w:pPr>
            <w:r>
              <w:t>Chapter 14A Part 4</w:t>
            </w:r>
            <w:r w:rsidRPr="00676249">
              <w:t xml:space="preserve"> </w:t>
            </w:r>
          </w:p>
        </w:tc>
      </w:tr>
      <w:tr w:rsidR="008014D3" w:rsidRPr="00676249" w14:paraId="5098C8DA" w14:textId="77777777" w:rsidTr="00205F83">
        <w:tc>
          <w:tcPr>
            <w:tcW w:w="992" w:type="dxa"/>
            <w:hideMark/>
          </w:tcPr>
          <w:p w14:paraId="507C92AD" w14:textId="77777777" w:rsidR="008014D3" w:rsidRPr="00676249" w:rsidRDefault="008014D3" w:rsidP="00205F83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8393" w:type="dxa"/>
            <w:hideMark/>
          </w:tcPr>
          <w:p w14:paraId="5613CC7D" w14:textId="77777777" w:rsidR="008014D3" w:rsidRPr="00676249" w:rsidRDefault="008014D3" w:rsidP="00205F8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Repeal the Part, substitute:</w:t>
            </w:r>
          </w:p>
        </w:tc>
      </w:tr>
    </w:tbl>
    <w:p w14:paraId="105E2D30" w14:textId="77777777" w:rsidR="008014D3" w:rsidRPr="00A2441E" w:rsidRDefault="008014D3" w:rsidP="008014D3">
      <w:pPr>
        <w:pStyle w:val="Heading3"/>
        <w:rPr>
          <w:b/>
        </w:rPr>
      </w:pPr>
      <w:r w:rsidRPr="00A2441E">
        <w:t xml:space="preserve">Part 4: </w:t>
      </w:r>
      <w:r>
        <w:t>Effect of travel restrictions in</w:t>
      </w:r>
      <w:r w:rsidRPr="00A2441E">
        <w:t xml:space="preserve"> China</w:t>
      </w:r>
    </w:p>
    <w:p w14:paraId="07F843B0" w14:textId="77777777" w:rsidR="008014D3" w:rsidRPr="00A2441E" w:rsidRDefault="008014D3" w:rsidP="008014D3">
      <w:pPr>
        <w:pStyle w:val="Heading5"/>
      </w:pPr>
      <w:r w:rsidRPr="00A2441E">
        <w:t>14A.4.1    Purpose</w:t>
      </w:r>
      <w:bookmarkEnd w:id="13"/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8014D3" w:rsidRPr="00A2441E" w14:paraId="6C3760C8" w14:textId="77777777" w:rsidTr="00205F83">
        <w:tc>
          <w:tcPr>
            <w:tcW w:w="992" w:type="dxa"/>
          </w:tcPr>
          <w:p w14:paraId="5A4961B8" w14:textId="77777777" w:rsidR="008014D3" w:rsidRPr="00A2441E" w:rsidRDefault="008014D3" w:rsidP="00205F8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</w:tcPr>
          <w:p w14:paraId="4C36C52E" w14:textId="77777777" w:rsidR="008014D3" w:rsidRPr="00A2441E" w:rsidRDefault="008014D3" w:rsidP="00205F83">
            <w:pPr>
              <w:pStyle w:val="Sectiontext"/>
              <w:rPr>
                <w:rFonts w:cs="Arial"/>
                <w:lang w:eastAsia="en-US"/>
              </w:rPr>
            </w:pPr>
            <w:r w:rsidRPr="00A2441E">
              <w:rPr>
                <w:rFonts w:cs="Arial"/>
              </w:rPr>
              <w:t xml:space="preserve">The purpose of this Part is to </w:t>
            </w:r>
            <w:r w:rsidRPr="00A2441E">
              <w:t xml:space="preserve">provide temporary accommodation for members and their dependants who are </w:t>
            </w:r>
            <w:r>
              <w:t xml:space="preserve">either </w:t>
            </w:r>
            <w:r w:rsidRPr="00A2441E">
              <w:t>required to isolate before returning to China</w:t>
            </w:r>
            <w:r>
              <w:t xml:space="preserve"> or are unable to return to China due to ongoing restrictions and lockdowns there</w:t>
            </w:r>
            <w:r w:rsidRPr="00A2441E">
              <w:t>.</w:t>
            </w:r>
          </w:p>
        </w:tc>
      </w:tr>
    </w:tbl>
    <w:p w14:paraId="2388C827" w14:textId="77777777" w:rsidR="008014D3" w:rsidRPr="00A2441E" w:rsidRDefault="008014D3" w:rsidP="008014D3">
      <w:pPr>
        <w:pStyle w:val="Heading5"/>
        <w:rPr>
          <w:rFonts w:cs="Arial"/>
          <w:color w:val="000000"/>
          <w:szCs w:val="22"/>
        </w:rPr>
      </w:pPr>
      <w:bookmarkStart w:id="15" w:name="_Toc121931799"/>
      <w:r w:rsidRPr="00A2441E">
        <w:rPr>
          <w:rFonts w:cs="Arial"/>
          <w:color w:val="000000"/>
          <w:szCs w:val="22"/>
        </w:rPr>
        <w:t>14A.4.2    Person this Part applies to</w:t>
      </w:r>
      <w:bookmarkEnd w:id="15"/>
    </w:p>
    <w:tbl>
      <w:tblPr>
        <w:tblW w:w="9385" w:type="dxa"/>
        <w:tblInd w:w="11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594"/>
        <w:gridCol w:w="536"/>
        <w:gridCol w:w="7261"/>
      </w:tblGrid>
      <w:tr w:rsidR="008014D3" w:rsidRPr="00A2441E" w14:paraId="1F1F7AAF" w14:textId="77777777" w:rsidTr="00205F83"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3E6F" w14:textId="77777777" w:rsidR="008014D3" w:rsidRPr="00A2441E" w:rsidRDefault="008014D3" w:rsidP="00205F83">
            <w:pPr>
              <w:pStyle w:val="blocktext-plain0"/>
              <w:jc w:val="center"/>
              <w:rPr>
                <w:color w:val="000000"/>
              </w:rPr>
            </w:pPr>
          </w:p>
        </w:tc>
        <w:tc>
          <w:tcPr>
            <w:tcW w:w="83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EFFFD" w14:textId="77777777" w:rsidR="008014D3" w:rsidRPr="00A2441E" w:rsidRDefault="008014D3" w:rsidP="00205F83">
            <w:pPr>
              <w:pStyle w:val="bullettext1arial"/>
              <w:spacing w:before="0" w:beforeAutospacing="0" w:after="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41E">
              <w:rPr>
                <w:rFonts w:ascii="Arial" w:hAnsi="Arial" w:cs="Arial"/>
                <w:color w:val="000000"/>
                <w:sz w:val="20"/>
                <w:szCs w:val="20"/>
              </w:rPr>
              <w:t xml:space="preserve">This Part applies to a person who meets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  <w:r w:rsidRPr="00A2441E">
              <w:rPr>
                <w:rFonts w:ascii="Arial" w:hAnsi="Arial" w:cs="Arial"/>
                <w:color w:val="000000"/>
                <w:sz w:val="20"/>
                <w:szCs w:val="20"/>
              </w:rPr>
              <w:t xml:space="preserve"> of the following.</w:t>
            </w:r>
          </w:p>
        </w:tc>
      </w:tr>
      <w:tr w:rsidR="008014D3" w:rsidRPr="00A2441E" w14:paraId="466E39C0" w14:textId="77777777" w:rsidTr="00205F83"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24306" w14:textId="77777777" w:rsidR="008014D3" w:rsidRPr="00A2441E" w:rsidRDefault="008014D3" w:rsidP="00205F83">
            <w:pPr>
              <w:pStyle w:val="sectiontext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008A" w14:textId="77777777" w:rsidR="008014D3" w:rsidRPr="00A2441E" w:rsidRDefault="008014D3" w:rsidP="00205F83">
            <w:pPr>
              <w:pStyle w:val="sectiontext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41E">
              <w:rPr>
                <w:rFonts w:ascii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77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B934A" w14:textId="77777777" w:rsidR="008014D3" w:rsidRPr="00A2441E" w:rsidRDefault="008014D3" w:rsidP="00205F83">
            <w:pPr>
              <w:pStyle w:val="Sectiontext"/>
              <w:rPr>
                <w:rFonts w:cs="Arial"/>
                <w:color w:val="000000"/>
              </w:rPr>
            </w:pPr>
            <w:r w:rsidRPr="00A2441E">
              <w:rPr>
                <w:rFonts w:cs="Arial"/>
                <w:color w:val="000000"/>
              </w:rPr>
              <w:t>They are</w:t>
            </w:r>
            <w:r w:rsidRPr="00A2441E">
              <w:rPr>
                <w:lang w:eastAsia="en-US"/>
              </w:rPr>
              <w:t xml:space="preserve"> in Australia </w:t>
            </w:r>
            <w:r>
              <w:t xml:space="preserve">on </w:t>
            </w:r>
            <w:r w:rsidRPr="00D449AA">
              <w:t>temporary absence from a posting in China.</w:t>
            </w:r>
          </w:p>
        </w:tc>
      </w:tr>
      <w:tr w:rsidR="008014D3" w:rsidRPr="00A2441E" w14:paraId="5604D822" w14:textId="77777777" w:rsidTr="00205F83"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599D" w14:textId="77777777" w:rsidR="008014D3" w:rsidRPr="00A2441E" w:rsidRDefault="008014D3" w:rsidP="00205F83">
            <w:pPr>
              <w:pStyle w:val="sectiontext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C8DDC" w14:textId="77777777" w:rsidR="008014D3" w:rsidRPr="00A2441E" w:rsidRDefault="008014D3" w:rsidP="00205F83">
            <w:pPr>
              <w:pStyle w:val="sectiontext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A244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291B" w14:textId="77777777" w:rsidR="008014D3" w:rsidRPr="00A2441E" w:rsidRDefault="008014D3" w:rsidP="00205F83">
            <w:pPr>
              <w:pStyle w:val="Section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They are undertaking travel provided under Chapter 14, 15 or 16 of this Determination.</w:t>
            </w:r>
          </w:p>
        </w:tc>
      </w:tr>
      <w:tr w:rsidR="008014D3" w:rsidRPr="00A2441E" w14:paraId="289DF8A4" w14:textId="77777777" w:rsidTr="00205F83"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7CB3" w14:textId="77777777" w:rsidR="008014D3" w:rsidRPr="00A2441E" w:rsidRDefault="008014D3" w:rsidP="00205F83">
            <w:pPr>
              <w:pStyle w:val="sectiontext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0AB87" w14:textId="77777777" w:rsidR="008014D3" w:rsidRPr="00A2441E" w:rsidRDefault="008014D3" w:rsidP="00205F83">
            <w:pPr>
              <w:pStyle w:val="sectiontext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A244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4557" w14:textId="77777777" w:rsidR="008014D3" w:rsidRPr="00A2441E" w:rsidRDefault="008014D3" w:rsidP="00205F83">
            <w:pPr>
              <w:pStyle w:val="Sectiontext"/>
              <w:rPr>
                <w:rFonts w:cs="Arial"/>
                <w:color w:val="000000"/>
              </w:rPr>
            </w:pPr>
            <w:r>
              <w:rPr>
                <w:lang w:eastAsia="en-US"/>
              </w:rPr>
              <w:t>Any of the following applies.</w:t>
            </w:r>
          </w:p>
        </w:tc>
      </w:tr>
      <w:tr w:rsidR="008014D3" w:rsidRPr="006D1A70" w14:paraId="64F59D4D" w14:textId="77777777" w:rsidTr="00205F83">
        <w:tblPrEx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994" w:type="dxa"/>
          </w:tcPr>
          <w:p w14:paraId="4F5883D8" w14:textId="77777777" w:rsidR="008014D3" w:rsidRPr="006D1A70" w:rsidRDefault="008014D3" w:rsidP="00205F8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94" w:type="dxa"/>
          </w:tcPr>
          <w:p w14:paraId="11C6CE43" w14:textId="77777777" w:rsidR="008014D3" w:rsidRPr="00242107" w:rsidRDefault="008014D3" w:rsidP="00205F83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36" w:type="dxa"/>
          </w:tcPr>
          <w:p w14:paraId="12E39D2F" w14:textId="77777777" w:rsidR="008014D3" w:rsidRPr="00242107" w:rsidRDefault="008014D3" w:rsidP="00205F83">
            <w:pPr>
              <w:pStyle w:val="Sectiontext"/>
              <w:rPr>
                <w:rFonts w:cs="Arial"/>
                <w:iCs/>
                <w:lang w:eastAsia="en-US"/>
              </w:rPr>
            </w:pPr>
            <w:proofErr w:type="spellStart"/>
            <w:r w:rsidRPr="00242107">
              <w:rPr>
                <w:rFonts w:cs="Arial"/>
                <w:iCs/>
                <w:lang w:eastAsia="en-US"/>
              </w:rPr>
              <w:t>i</w:t>
            </w:r>
            <w:proofErr w:type="spellEnd"/>
            <w:r w:rsidRPr="00242107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61" w:type="dxa"/>
          </w:tcPr>
          <w:p w14:paraId="4111DA6F" w14:textId="77777777" w:rsidR="008014D3" w:rsidRPr="00242107" w:rsidRDefault="008014D3" w:rsidP="00205F83">
            <w:pPr>
              <w:pStyle w:val="Default"/>
              <w:rPr>
                <w:sz w:val="20"/>
                <w:szCs w:val="20"/>
              </w:rPr>
            </w:pPr>
            <w:r w:rsidRPr="00242107">
              <w:rPr>
                <w:sz w:val="20"/>
                <w:szCs w:val="20"/>
              </w:rPr>
              <w:t>They are required to isolate before returning to China.</w:t>
            </w:r>
          </w:p>
        </w:tc>
      </w:tr>
      <w:tr w:rsidR="008014D3" w:rsidRPr="006D1A70" w14:paraId="29603BF1" w14:textId="77777777" w:rsidTr="00205F83">
        <w:tblPrEx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994" w:type="dxa"/>
          </w:tcPr>
          <w:p w14:paraId="3DA09007" w14:textId="77777777" w:rsidR="008014D3" w:rsidRPr="006D1A70" w:rsidRDefault="008014D3" w:rsidP="00205F8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94" w:type="dxa"/>
          </w:tcPr>
          <w:p w14:paraId="53C23C73" w14:textId="77777777" w:rsidR="008014D3" w:rsidRPr="00242107" w:rsidRDefault="008014D3" w:rsidP="00205F83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36" w:type="dxa"/>
          </w:tcPr>
          <w:p w14:paraId="5D95F4CC" w14:textId="77777777" w:rsidR="008014D3" w:rsidRPr="00242107" w:rsidRDefault="008014D3" w:rsidP="00205F83">
            <w:pPr>
              <w:pStyle w:val="Sectiontext"/>
              <w:rPr>
                <w:rFonts w:cs="Arial"/>
                <w:iCs/>
                <w:lang w:eastAsia="en-US"/>
              </w:rPr>
            </w:pPr>
            <w:r w:rsidRPr="00242107">
              <w:rPr>
                <w:rFonts w:cs="Arial"/>
                <w:iCs/>
                <w:lang w:eastAsia="en-US"/>
              </w:rPr>
              <w:t>ii.</w:t>
            </w:r>
          </w:p>
        </w:tc>
        <w:tc>
          <w:tcPr>
            <w:tcW w:w="7261" w:type="dxa"/>
          </w:tcPr>
          <w:p w14:paraId="5CDD1AF6" w14:textId="77777777" w:rsidR="008014D3" w:rsidRPr="00242107" w:rsidRDefault="008014D3" w:rsidP="00205F83">
            <w:pPr>
              <w:pStyle w:val="Default"/>
              <w:spacing w:after="200"/>
              <w:rPr>
                <w:sz w:val="20"/>
                <w:szCs w:val="20"/>
              </w:rPr>
            </w:pPr>
            <w:r w:rsidRPr="00242107">
              <w:rPr>
                <w:sz w:val="20"/>
                <w:szCs w:val="20"/>
              </w:rPr>
              <w:t>They are unable to return to China due to China’s ongoing restrictions and lockdowns.</w:t>
            </w:r>
          </w:p>
        </w:tc>
      </w:tr>
    </w:tbl>
    <w:p w14:paraId="6BE84798" w14:textId="77777777" w:rsidR="008014D3" w:rsidRPr="00A2441E" w:rsidRDefault="008014D3" w:rsidP="008014D3">
      <w:pPr>
        <w:pStyle w:val="Heading5"/>
      </w:pPr>
      <w:bookmarkStart w:id="16" w:name="_Toc121931800"/>
      <w:r w:rsidRPr="00A2441E">
        <w:t>14A.4.3    Accommodation, meals and incidentals in Australia</w:t>
      </w:r>
      <w:bookmarkEnd w:id="16"/>
    </w:p>
    <w:tbl>
      <w:tblPr>
        <w:tblW w:w="938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4"/>
        <w:gridCol w:w="569"/>
        <w:gridCol w:w="7822"/>
      </w:tblGrid>
      <w:tr w:rsidR="008014D3" w:rsidRPr="00A2441E" w14:paraId="4A9F7816" w14:textId="77777777" w:rsidTr="00205F83">
        <w:tc>
          <w:tcPr>
            <w:tcW w:w="994" w:type="dxa"/>
          </w:tcPr>
          <w:p w14:paraId="490F7127" w14:textId="77777777" w:rsidR="008014D3" w:rsidRPr="00A2441E" w:rsidRDefault="008014D3" w:rsidP="00205F83">
            <w:pPr>
              <w:pStyle w:val="Sectiontext"/>
              <w:jc w:val="center"/>
            </w:pPr>
          </w:p>
        </w:tc>
        <w:tc>
          <w:tcPr>
            <w:tcW w:w="8391" w:type="dxa"/>
            <w:gridSpan w:val="2"/>
          </w:tcPr>
          <w:p w14:paraId="7074C466" w14:textId="77777777" w:rsidR="008014D3" w:rsidRPr="00A2441E" w:rsidRDefault="008014D3" w:rsidP="00205F83">
            <w:pPr>
              <w:pStyle w:val="Sectiontext"/>
              <w:rPr>
                <w:iCs/>
              </w:rPr>
            </w:pPr>
            <w:r w:rsidRPr="00A2441E">
              <w:rPr>
                <w:iCs/>
              </w:rPr>
              <w:t>The person is eligible for the daily cost of accommodation, meals and incidentals provided under Annex 9.5.A</w:t>
            </w:r>
            <w:r>
              <w:rPr>
                <w:iCs/>
              </w:rPr>
              <w:t xml:space="preserve"> or 13.3.A</w:t>
            </w:r>
            <w:r w:rsidRPr="00A2441E">
              <w:t xml:space="preserve"> for</w:t>
            </w:r>
            <w:r>
              <w:t xml:space="preserve"> any of the following</w:t>
            </w:r>
            <w:r w:rsidRPr="00A2441E">
              <w:t>.</w:t>
            </w:r>
          </w:p>
        </w:tc>
      </w:tr>
      <w:tr w:rsidR="008014D3" w:rsidRPr="00A2441E" w14:paraId="6E6DB386" w14:textId="77777777" w:rsidTr="00205F8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EC7B8" w14:textId="77777777" w:rsidR="008014D3" w:rsidRPr="00A2441E" w:rsidRDefault="008014D3" w:rsidP="00205F83">
            <w:pPr>
              <w:pStyle w:val="sectiontext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7" w:name="_Toc121931801"/>
            <w:r w:rsidRPr="00A244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D4FB" w14:textId="77777777" w:rsidR="008014D3" w:rsidRPr="00A2441E" w:rsidRDefault="008014D3" w:rsidP="00205F83">
            <w:pPr>
              <w:pStyle w:val="sectiontext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41E">
              <w:rPr>
                <w:rFonts w:ascii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7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73AE" w14:textId="77777777" w:rsidR="008014D3" w:rsidRPr="00A2441E" w:rsidRDefault="008014D3" w:rsidP="00205F83">
            <w:pPr>
              <w:pStyle w:val="Sectiontext"/>
              <w:rPr>
                <w:rFonts w:cs="Arial"/>
                <w:color w:val="000000"/>
              </w:rPr>
            </w:pPr>
            <w:r>
              <w:t>An i</w:t>
            </w:r>
            <w:r w:rsidRPr="00A2441E">
              <w:t>solation period</w:t>
            </w:r>
            <w:r>
              <w:t>.</w:t>
            </w:r>
          </w:p>
        </w:tc>
      </w:tr>
      <w:tr w:rsidR="008014D3" w:rsidRPr="00A2441E" w14:paraId="6B561A1E" w14:textId="77777777" w:rsidTr="00205F8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094E" w14:textId="77777777" w:rsidR="008014D3" w:rsidRPr="00A2441E" w:rsidRDefault="008014D3" w:rsidP="00205F83">
            <w:pPr>
              <w:pStyle w:val="sectiontext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4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9EEC" w14:textId="77777777" w:rsidR="008014D3" w:rsidRPr="00A2441E" w:rsidRDefault="008014D3" w:rsidP="00205F83">
            <w:pPr>
              <w:pStyle w:val="sectiontext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41E">
              <w:rPr>
                <w:rFonts w:ascii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7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F964F" w14:textId="77777777" w:rsidR="008014D3" w:rsidRPr="00A2441E" w:rsidRDefault="008014D3" w:rsidP="00205F83">
            <w:pPr>
              <w:pStyle w:val="Sectiontext"/>
              <w:rPr>
                <w:rFonts w:cs="Arial"/>
                <w:color w:val="000000"/>
              </w:rPr>
            </w:pPr>
            <w:r>
              <w:rPr>
                <w:lang w:eastAsia="en-US"/>
              </w:rPr>
              <w:t>A period t</w:t>
            </w:r>
            <w:r w:rsidRPr="00A2441E">
              <w:rPr>
                <w:lang w:eastAsia="en-US"/>
              </w:rPr>
              <w:t>hey are</w:t>
            </w:r>
            <w:r>
              <w:t xml:space="preserve"> unable to return to China due to the ongoing restrictions and lockdowns in China</w:t>
            </w:r>
            <w:r w:rsidRPr="00A2441E">
              <w:rPr>
                <w:lang w:eastAsia="en-US"/>
              </w:rPr>
              <w:t>.</w:t>
            </w:r>
          </w:p>
        </w:tc>
      </w:tr>
    </w:tbl>
    <w:p w14:paraId="6134E90B" w14:textId="77777777" w:rsidR="008014D3" w:rsidRPr="00A2441E" w:rsidRDefault="008014D3" w:rsidP="008014D3">
      <w:pPr>
        <w:pStyle w:val="Heading5"/>
      </w:pPr>
      <w:r w:rsidRPr="00A2441E">
        <w:t>14A.4.4    Application of this Part</w:t>
      </w:r>
      <w:bookmarkEnd w:id="17"/>
    </w:p>
    <w:tbl>
      <w:tblPr>
        <w:tblW w:w="935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"/>
        <w:gridCol w:w="8364"/>
      </w:tblGrid>
      <w:tr w:rsidR="008014D3" w:rsidRPr="00A2441E" w14:paraId="1D97C842" w14:textId="77777777" w:rsidTr="00205F83">
        <w:tc>
          <w:tcPr>
            <w:tcW w:w="992" w:type="dxa"/>
          </w:tcPr>
          <w:p w14:paraId="45DD420F" w14:textId="77777777" w:rsidR="008014D3" w:rsidRPr="00A2441E" w:rsidRDefault="008014D3" w:rsidP="00205F8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4" w:type="dxa"/>
          </w:tcPr>
          <w:p w14:paraId="543C04FA" w14:textId="77777777" w:rsidR="008014D3" w:rsidRPr="00A2441E" w:rsidRDefault="008014D3" w:rsidP="00205F83">
            <w:pPr>
              <w:pStyle w:val="Sectiontext"/>
            </w:pPr>
            <w:r w:rsidRPr="00A2441E">
              <w:t>This Part ceases to apply on</w:t>
            </w:r>
            <w:r>
              <w:t xml:space="preserve"> 30 June 2023</w:t>
            </w:r>
            <w:r w:rsidRPr="00A2441E">
              <w:t xml:space="preserve">. </w:t>
            </w:r>
          </w:p>
        </w:tc>
      </w:tr>
      <w:bookmarkEnd w:id="14"/>
      <w:tr w:rsidR="008014D3" w:rsidRPr="00991247" w14:paraId="1D6224A3" w14:textId="77777777" w:rsidTr="00205F8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92" w:type="dxa"/>
          </w:tcPr>
          <w:p w14:paraId="62EA52DB" w14:textId="77777777" w:rsidR="008014D3" w:rsidRPr="00991733" w:rsidRDefault="008014D3" w:rsidP="00205F83">
            <w:pPr>
              <w:pStyle w:val="Heading5"/>
            </w:pPr>
            <w:r>
              <w:lastRenderedPageBreak/>
              <w:t>3</w:t>
            </w:r>
          </w:p>
        </w:tc>
        <w:tc>
          <w:tcPr>
            <w:tcW w:w="8364" w:type="dxa"/>
          </w:tcPr>
          <w:p w14:paraId="52799551" w14:textId="77777777" w:rsidR="008014D3" w:rsidRPr="00991247" w:rsidRDefault="008014D3" w:rsidP="00205F83">
            <w:pPr>
              <w:pStyle w:val="Heading5"/>
            </w:pPr>
            <w:r>
              <w:t>After s</w:t>
            </w:r>
            <w:r w:rsidRPr="00991247">
              <w:t>ection</w:t>
            </w:r>
            <w:r>
              <w:t xml:space="preserve"> 15.6.15 </w:t>
            </w:r>
          </w:p>
        </w:tc>
      </w:tr>
      <w:tr w:rsidR="008014D3" w:rsidRPr="00991247" w14:paraId="4B1F942A" w14:textId="77777777" w:rsidTr="00205F8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92" w:type="dxa"/>
          </w:tcPr>
          <w:p w14:paraId="59243D62" w14:textId="77777777" w:rsidR="008014D3" w:rsidRPr="00D15A4D" w:rsidRDefault="008014D3" w:rsidP="00205F83">
            <w:pPr>
              <w:pStyle w:val="Sectiontext"/>
              <w:jc w:val="center"/>
            </w:pPr>
          </w:p>
        </w:tc>
        <w:tc>
          <w:tcPr>
            <w:tcW w:w="8364" w:type="dxa"/>
          </w:tcPr>
          <w:p w14:paraId="5E53ACF8" w14:textId="77777777" w:rsidR="008014D3" w:rsidRPr="00991247" w:rsidRDefault="008014D3" w:rsidP="00205F83">
            <w:pPr>
              <w:pStyle w:val="Sectiontext"/>
            </w:pPr>
            <w:r>
              <w:t>Insert:</w:t>
            </w:r>
          </w:p>
        </w:tc>
      </w:tr>
    </w:tbl>
    <w:p w14:paraId="1583E295" w14:textId="77777777" w:rsidR="008014D3" w:rsidRPr="00A2441E" w:rsidRDefault="008014D3" w:rsidP="008014D3">
      <w:pPr>
        <w:pStyle w:val="Heading5"/>
      </w:pPr>
      <w:bookmarkStart w:id="18" w:name="_Toc49846926"/>
      <w:bookmarkStart w:id="19" w:name="_Toc121931975"/>
      <w:r w:rsidRPr="00A2441E">
        <w:t>15.6.15</w:t>
      </w:r>
      <w:r>
        <w:t>A</w:t>
      </w:r>
      <w:r w:rsidRPr="00A2441E">
        <w:t>    </w:t>
      </w:r>
      <w:r>
        <w:t>Additional education support</w:t>
      </w:r>
      <w:r w:rsidRPr="00A2441E">
        <w:t xml:space="preserve"> costs</w:t>
      </w:r>
      <w:bookmarkEnd w:id="18"/>
      <w:bookmarkEnd w:id="19"/>
      <w:r>
        <w:t xml:space="preserve"> </w:t>
      </w:r>
      <w:r w:rsidRPr="00A2441E">
        <w:t>–</w:t>
      </w:r>
      <w:r>
        <w:t xml:space="preserve"> China</w:t>
      </w:r>
    </w:p>
    <w:tbl>
      <w:tblPr>
        <w:tblW w:w="9356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75"/>
        <w:gridCol w:w="7789"/>
      </w:tblGrid>
      <w:tr w:rsidR="008014D3" w:rsidRPr="00A2441E" w14:paraId="7C880F98" w14:textId="77777777" w:rsidTr="00205F83"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2100" w14:textId="77777777" w:rsidR="008014D3" w:rsidRPr="00E43309" w:rsidRDefault="008014D3" w:rsidP="00205F83">
            <w:pPr>
              <w:pStyle w:val="blocktext-plain0"/>
              <w:jc w:val="center"/>
              <w:rPr>
                <w:rFonts w:cs="Times New Roman"/>
              </w:rPr>
            </w:pPr>
            <w:r w:rsidRPr="00E43309">
              <w:rPr>
                <w:rFonts w:cs="Times New Roman"/>
              </w:rPr>
              <w:t>1.</w:t>
            </w:r>
          </w:p>
        </w:tc>
        <w:tc>
          <w:tcPr>
            <w:tcW w:w="8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0A05" w14:textId="77777777" w:rsidR="008014D3" w:rsidRPr="00E43309" w:rsidRDefault="008014D3" w:rsidP="00205F83">
            <w:pPr>
              <w:pStyle w:val="Sectiontext"/>
            </w:pPr>
            <w:r w:rsidRPr="00E43309">
              <w:t xml:space="preserve">This section applies to a member who is posted to China. </w:t>
            </w:r>
          </w:p>
        </w:tc>
      </w:tr>
      <w:tr w:rsidR="008014D3" w:rsidRPr="00A2441E" w14:paraId="2BA72E66" w14:textId="77777777" w:rsidTr="00205F83"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39C0" w14:textId="77777777" w:rsidR="008014D3" w:rsidRPr="00EE0B9A" w:rsidRDefault="008014D3" w:rsidP="00205F83">
            <w:pPr>
              <w:pStyle w:val="blocktext-plain0"/>
              <w:jc w:val="center"/>
              <w:rPr>
                <w:rFonts w:cs="Times New Roman"/>
              </w:rPr>
            </w:pPr>
            <w:r w:rsidRPr="00EE0B9A">
              <w:rPr>
                <w:rFonts w:cs="Times New Roman"/>
              </w:rPr>
              <w:t>2.</w:t>
            </w:r>
          </w:p>
        </w:tc>
        <w:tc>
          <w:tcPr>
            <w:tcW w:w="8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3439" w14:textId="77777777" w:rsidR="008014D3" w:rsidRDefault="008014D3" w:rsidP="00205F83">
            <w:pPr>
              <w:pStyle w:val="Sectiontext"/>
            </w:pPr>
            <w:r>
              <w:t xml:space="preserve">The member is </w:t>
            </w:r>
            <w:r w:rsidRPr="00A2441E">
              <w:t>eligible to be reimbursed</w:t>
            </w:r>
            <w:r>
              <w:t xml:space="preserve"> the costs of up to 10 days for their child to attend any of the following at the posting location. </w:t>
            </w:r>
          </w:p>
        </w:tc>
      </w:tr>
      <w:tr w:rsidR="008014D3" w:rsidRPr="00A2441E" w14:paraId="00514138" w14:textId="77777777" w:rsidTr="00205F83">
        <w:trPr>
          <w:cantSplit/>
        </w:trPr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C1AA" w14:textId="77777777" w:rsidR="008014D3" w:rsidRPr="00A2441E" w:rsidRDefault="008014D3" w:rsidP="00205F83">
            <w:pPr>
              <w:pStyle w:val="blocktext-plain0"/>
            </w:pPr>
          </w:p>
        </w:tc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82F5" w14:textId="77777777" w:rsidR="008014D3" w:rsidRPr="00A2441E" w:rsidRDefault="008014D3" w:rsidP="00205F83">
            <w:pPr>
              <w:pStyle w:val="blocktext-plain0"/>
              <w:jc w:val="center"/>
            </w:pPr>
            <w:r>
              <w:rPr>
                <w:lang w:eastAsia="en-US"/>
              </w:rPr>
              <w:t>a</w:t>
            </w:r>
            <w:r w:rsidRPr="00A2441E">
              <w:rPr>
                <w:lang w:eastAsia="en-US"/>
              </w:rPr>
              <w:t>.</w:t>
            </w:r>
          </w:p>
        </w:tc>
        <w:tc>
          <w:tcPr>
            <w:tcW w:w="7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AF92" w14:textId="77777777" w:rsidR="008014D3" w:rsidRPr="00A2441E" w:rsidRDefault="008014D3" w:rsidP="00205F83">
            <w:pPr>
              <w:pStyle w:val="blocktext-plain0"/>
            </w:pPr>
            <w:r>
              <w:rPr>
                <w:lang w:eastAsia="en-US"/>
              </w:rPr>
              <w:t>An organised program.</w:t>
            </w:r>
          </w:p>
        </w:tc>
      </w:tr>
      <w:tr w:rsidR="008014D3" w:rsidRPr="00A2441E" w14:paraId="7FA42432" w14:textId="77777777" w:rsidTr="00205F83">
        <w:trPr>
          <w:cantSplit/>
        </w:trPr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B844" w14:textId="77777777" w:rsidR="008014D3" w:rsidRPr="00A2441E" w:rsidRDefault="008014D3" w:rsidP="00205F83">
            <w:pPr>
              <w:pStyle w:val="blocktext-plain0"/>
            </w:pPr>
          </w:p>
        </w:tc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E803" w14:textId="77777777" w:rsidR="008014D3" w:rsidRPr="00A2441E" w:rsidRDefault="008014D3" w:rsidP="00205F83">
            <w:pPr>
              <w:pStyle w:val="blocktext-plain0"/>
              <w:jc w:val="center"/>
            </w:pPr>
            <w:r>
              <w:rPr>
                <w:iCs/>
                <w:lang w:eastAsia="en-US"/>
              </w:rPr>
              <w:t>b</w:t>
            </w:r>
            <w:r w:rsidRPr="00A2441E">
              <w:rPr>
                <w:iCs/>
                <w:lang w:eastAsia="en-US"/>
              </w:rPr>
              <w:t>.</w:t>
            </w:r>
          </w:p>
        </w:tc>
        <w:tc>
          <w:tcPr>
            <w:tcW w:w="7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A51C" w14:textId="77777777" w:rsidR="008014D3" w:rsidRPr="00A2441E" w:rsidRDefault="008014D3" w:rsidP="00205F83">
            <w:pPr>
              <w:pStyle w:val="blocktext-plain0"/>
            </w:pPr>
            <w:r>
              <w:rPr>
                <w:lang w:eastAsia="en-US"/>
              </w:rPr>
              <w:t xml:space="preserve">Online or face-to-face tutoring support. </w:t>
            </w:r>
          </w:p>
        </w:tc>
      </w:tr>
      <w:tr w:rsidR="008014D3" w:rsidRPr="00A2441E" w14:paraId="38FC125C" w14:textId="77777777" w:rsidTr="00205F83"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8A46" w14:textId="77777777" w:rsidR="008014D3" w:rsidRDefault="008014D3" w:rsidP="00205F83">
            <w:pPr>
              <w:pStyle w:val="blocktext-plain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8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7FDD" w14:textId="77777777" w:rsidR="008014D3" w:rsidRPr="00A2441E" w:rsidRDefault="008014D3" w:rsidP="00205F83">
            <w:pPr>
              <w:pStyle w:val="Sectiontext"/>
            </w:pPr>
            <w:r>
              <w:t>The member may be reimbursed the lesser of the following.</w:t>
            </w:r>
            <w:r w:rsidRPr="00A2441E">
              <w:t xml:space="preserve"> </w:t>
            </w:r>
          </w:p>
        </w:tc>
      </w:tr>
      <w:tr w:rsidR="008014D3" w:rsidRPr="00A2441E" w14:paraId="018DE5A8" w14:textId="77777777" w:rsidTr="00205F83">
        <w:trPr>
          <w:cantSplit/>
        </w:trPr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1B6E" w14:textId="77777777" w:rsidR="008014D3" w:rsidRPr="00A2441E" w:rsidRDefault="008014D3" w:rsidP="00205F83">
            <w:pPr>
              <w:pStyle w:val="blocktext-plain0"/>
            </w:pPr>
          </w:p>
        </w:tc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13CB" w14:textId="77777777" w:rsidR="008014D3" w:rsidRPr="00A2441E" w:rsidRDefault="008014D3" w:rsidP="00205F83">
            <w:pPr>
              <w:pStyle w:val="blocktext-plain0"/>
              <w:jc w:val="center"/>
            </w:pPr>
            <w:r>
              <w:rPr>
                <w:lang w:eastAsia="en-US"/>
              </w:rPr>
              <w:t>a</w:t>
            </w:r>
            <w:r w:rsidRPr="00A2441E">
              <w:rPr>
                <w:lang w:eastAsia="en-US"/>
              </w:rPr>
              <w:t>.</w:t>
            </w:r>
          </w:p>
        </w:tc>
        <w:tc>
          <w:tcPr>
            <w:tcW w:w="7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1B80" w14:textId="77777777" w:rsidR="008014D3" w:rsidRPr="00A2441E" w:rsidRDefault="008014D3" w:rsidP="00205F83">
            <w:pPr>
              <w:pStyle w:val="blocktext-plain0"/>
            </w:pPr>
            <w:r>
              <w:rPr>
                <w:lang w:eastAsia="en-US"/>
              </w:rPr>
              <w:t>The cost of the program or tutoring support.</w:t>
            </w:r>
          </w:p>
        </w:tc>
      </w:tr>
      <w:tr w:rsidR="008014D3" w:rsidRPr="00A2441E" w14:paraId="28DD996B" w14:textId="77777777" w:rsidTr="00205F83">
        <w:trPr>
          <w:cantSplit/>
        </w:trPr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FD94" w14:textId="77777777" w:rsidR="008014D3" w:rsidRPr="00A2441E" w:rsidRDefault="008014D3" w:rsidP="00205F83">
            <w:pPr>
              <w:pStyle w:val="blocktext-plain0"/>
            </w:pPr>
          </w:p>
        </w:tc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C4C" w14:textId="77777777" w:rsidR="008014D3" w:rsidRPr="00A2441E" w:rsidRDefault="008014D3" w:rsidP="00205F83">
            <w:pPr>
              <w:pStyle w:val="blocktext-plain0"/>
              <w:jc w:val="center"/>
            </w:pPr>
            <w:r>
              <w:rPr>
                <w:iCs/>
                <w:lang w:eastAsia="en-US"/>
              </w:rPr>
              <w:t>b</w:t>
            </w:r>
            <w:r w:rsidRPr="00A2441E">
              <w:rPr>
                <w:iCs/>
                <w:lang w:eastAsia="en-US"/>
              </w:rPr>
              <w:t>.</w:t>
            </w:r>
          </w:p>
        </w:tc>
        <w:tc>
          <w:tcPr>
            <w:tcW w:w="7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4A7E" w14:textId="77777777" w:rsidR="008014D3" w:rsidRPr="00A2441E" w:rsidRDefault="008014D3" w:rsidP="00205F83">
            <w:pPr>
              <w:pStyle w:val="blocktext-plain0"/>
            </w:pPr>
            <w:r>
              <w:rPr>
                <w:lang w:eastAsia="en-US"/>
              </w:rPr>
              <w:t>The amount calculated using the following formula.</w:t>
            </w:r>
          </w:p>
        </w:tc>
      </w:tr>
      <w:tr w:rsidR="008014D3" w:rsidRPr="00A2441E" w14:paraId="6E9D0A35" w14:textId="77777777" w:rsidTr="00205F83">
        <w:trPr>
          <w:cantSplit/>
          <w:trHeight w:val="531"/>
        </w:trPr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68F3" w14:textId="77777777" w:rsidR="008014D3" w:rsidRPr="00A2441E" w:rsidRDefault="008014D3" w:rsidP="00205F83">
            <w:pPr>
              <w:pStyle w:val="blocktext-plain0"/>
            </w:pPr>
          </w:p>
        </w:tc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0C45" w14:textId="77777777" w:rsidR="008014D3" w:rsidRDefault="008014D3" w:rsidP="00205F83">
            <w:pPr>
              <w:pStyle w:val="blocktext-plain0"/>
              <w:jc w:val="center"/>
              <w:rPr>
                <w:iCs/>
                <w:lang w:eastAsia="en-US"/>
              </w:rPr>
            </w:pPr>
          </w:p>
        </w:tc>
        <w:tc>
          <w:tcPr>
            <w:tcW w:w="7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6C50" w14:textId="5EBAA715" w:rsidR="008014D3" w:rsidRPr="007E2ADA" w:rsidRDefault="00767CAB" w:rsidP="00767CAB">
            <w:pPr>
              <w:pStyle w:val="blocktext-plain0"/>
              <w:spacing w:before="40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9A8C36B" wp14:editId="5DE1D041">
                  <wp:extent cx="3041603" cy="325160"/>
                  <wp:effectExtent l="0" t="0" r="6985" b="0"/>
                  <wp:docPr id="1" name="Picture 1" descr="Start formula Reimbursement amount equals AUD135 times open bracket start fraction post index over 100 close bracket end formula" title="Formula 15.6.15A.3.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168" cy="33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4D3" w:rsidRPr="00A2441E" w14:paraId="1FD97A56" w14:textId="77777777" w:rsidTr="00205F83"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8898" w14:textId="77777777" w:rsidR="008014D3" w:rsidRDefault="008014D3" w:rsidP="00205F83">
            <w:pPr>
              <w:pStyle w:val="blocktext-plain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8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F414" w14:textId="77777777" w:rsidR="008014D3" w:rsidRPr="00A2441E" w:rsidRDefault="008014D3" w:rsidP="00205F83">
            <w:pPr>
              <w:pStyle w:val="Sectiontext"/>
            </w:pPr>
            <w:r>
              <w:t>This section</w:t>
            </w:r>
            <w:r w:rsidRPr="00A2441E">
              <w:t xml:space="preserve"> ceases to apply on</w:t>
            </w:r>
            <w:r>
              <w:t xml:space="preserve"> 31 August 2023</w:t>
            </w:r>
            <w:r w:rsidRPr="00A2441E">
              <w:t xml:space="preserve">. </w:t>
            </w:r>
          </w:p>
        </w:tc>
      </w:tr>
      <w:tr w:rsidR="008014D3" w:rsidRPr="00991733" w14:paraId="46632DA0" w14:textId="77777777" w:rsidTr="00205F8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</w:tcPr>
          <w:p w14:paraId="7536EB43" w14:textId="77777777" w:rsidR="008014D3" w:rsidRPr="00991733" w:rsidRDefault="008014D3" w:rsidP="00205F83">
            <w:pPr>
              <w:pStyle w:val="Heading5"/>
            </w:pPr>
            <w:r>
              <w:t>4</w:t>
            </w:r>
          </w:p>
        </w:tc>
        <w:tc>
          <w:tcPr>
            <w:tcW w:w="8364" w:type="dxa"/>
            <w:gridSpan w:val="2"/>
          </w:tcPr>
          <w:p w14:paraId="56EC681E" w14:textId="77777777" w:rsidR="008014D3" w:rsidRPr="00991733" w:rsidRDefault="008014D3" w:rsidP="00205F83">
            <w:pPr>
              <w:pStyle w:val="Heading5"/>
            </w:pPr>
            <w:r>
              <w:t xml:space="preserve">Subsection 16.4.11A.4 </w:t>
            </w:r>
          </w:p>
        </w:tc>
      </w:tr>
      <w:tr w:rsidR="008014D3" w:rsidRPr="00D15A4D" w14:paraId="36BD6A2B" w14:textId="77777777" w:rsidTr="00205F8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</w:tcPr>
          <w:p w14:paraId="65DA2E16" w14:textId="77777777" w:rsidR="008014D3" w:rsidRPr="00D15A4D" w:rsidRDefault="008014D3" w:rsidP="00205F83">
            <w:pPr>
              <w:pStyle w:val="Sectiontext"/>
              <w:jc w:val="center"/>
            </w:pPr>
          </w:p>
        </w:tc>
        <w:tc>
          <w:tcPr>
            <w:tcW w:w="8364" w:type="dxa"/>
            <w:gridSpan w:val="2"/>
          </w:tcPr>
          <w:p w14:paraId="7E26EF75" w14:textId="77777777" w:rsidR="008014D3" w:rsidRPr="00D15A4D" w:rsidRDefault="008014D3" w:rsidP="00205F83">
            <w:pPr>
              <w:pStyle w:val="Sectiontext"/>
            </w:pPr>
            <w:r>
              <w:t>Omit “</w:t>
            </w:r>
            <w:r w:rsidRPr="00A2441E">
              <w:rPr>
                <w:rFonts w:cs="Arial"/>
                <w:lang w:eastAsia="en-US"/>
              </w:rPr>
              <w:t>31 December 2022</w:t>
            </w:r>
            <w:r>
              <w:rPr>
                <w:rFonts w:cs="Arial"/>
                <w:lang w:eastAsia="en-US"/>
              </w:rPr>
              <w:t>”</w:t>
            </w:r>
            <w:r>
              <w:t>, substitute “</w:t>
            </w:r>
            <w:r>
              <w:rPr>
                <w:rFonts w:cs="Arial"/>
                <w:lang w:eastAsia="en-US"/>
              </w:rPr>
              <w:t>30 June 2023”.</w:t>
            </w:r>
          </w:p>
        </w:tc>
      </w:tr>
    </w:tbl>
    <w:p w14:paraId="2AC862EB" w14:textId="3B6A88DC" w:rsidR="00C0057B" w:rsidRPr="00D15A4D" w:rsidRDefault="00C0057B" w:rsidP="00C0057B">
      <w:pPr>
        <w:pStyle w:val="ActHead6"/>
        <w:pageBreakBefore/>
      </w:pPr>
      <w:bookmarkStart w:id="20" w:name="_Toc125716654"/>
      <w:r>
        <w:rPr>
          <w:rStyle w:val="CharAmSchNo"/>
        </w:rPr>
        <w:lastRenderedPageBreak/>
        <w:t>Schedule 2</w:t>
      </w:r>
      <w:r w:rsidRPr="00D15A4D">
        <w:t>—</w:t>
      </w:r>
      <w:r>
        <w:t xml:space="preserve">Rent ceilings </w:t>
      </w:r>
      <w:r>
        <w:rPr>
          <w:rStyle w:val="CharAmSchText"/>
        </w:rPr>
        <w:t>a</w:t>
      </w:r>
      <w:r w:rsidRPr="00D15A4D">
        <w:rPr>
          <w:rStyle w:val="CharAmSchText"/>
        </w:rPr>
        <w:t>mendments</w:t>
      </w:r>
      <w:bookmarkEnd w:id="9"/>
      <w:bookmarkEnd w:id="20"/>
    </w:p>
    <w:p w14:paraId="6487A583" w14:textId="77777777" w:rsidR="00C0057B" w:rsidRPr="002A3EC7" w:rsidRDefault="00C0057B" w:rsidP="00C0057B">
      <w:pPr>
        <w:pStyle w:val="ActHead9"/>
        <w:rPr>
          <w:rFonts w:cs="Arial"/>
        </w:rPr>
      </w:pPr>
      <w:bookmarkStart w:id="21" w:name="_Toc8657877"/>
      <w:bookmarkStart w:id="22" w:name="_Toc125716655"/>
      <w:bookmarkEnd w:id="10"/>
      <w:r w:rsidRPr="002A3EC7">
        <w:rPr>
          <w:rFonts w:cs="Arial"/>
        </w:rPr>
        <w:t>Defence Determination 2016/19, Conditions of service</w:t>
      </w:r>
      <w:bookmarkEnd w:id="21"/>
      <w:bookmarkEnd w:id="22"/>
    </w:p>
    <w:tbl>
      <w:tblPr>
        <w:tblW w:w="936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92"/>
        <w:gridCol w:w="8371"/>
      </w:tblGrid>
      <w:tr w:rsidR="00C0057B" w:rsidRPr="00D15A4D" w14:paraId="756FF43E" w14:textId="77777777" w:rsidTr="00A6574A">
        <w:tc>
          <w:tcPr>
            <w:tcW w:w="992" w:type="dxa"/>
          </w:tcPr>
          <w:p w14:paraId="42E5921E" w14:textId="77777777" w:rsidR="00C0057B" w:rsidRPr="00991733" w:rsidRDefault="00C0057B" w:rsidP="00A6574A">
            <w:pPr>
              <w:pStyle w:val="Heading5"/>
            </w:pPr>
            <w:r w:rsidRPr="00991733">
              <w:t>1</w:t>
            </w:r>
          </w:p>
        </w:tc>
        <w:tc>
          <w:tcPr>
            <w:tcW w:w="8371" w:type="dxa"/>
          </w:tcPr>
          <w:p w14:paraId="7C236894" w14:textId="77777777" w:rsidR="00C0057B" w:rsidRPr="00991733" w:rsidRDefault="00C0057B" w:rsidP="00A6574A">
            <w:pPr>
              <w:pStyle w:val="Heading5"/>
            </w:pPr>
            <w:r>
              <w:t>Annex 7.E (Part</w:t>
            </w:r>
            <w:r w:rsidRPr="00991733">
              <w:t xml:space="preserve"> </w:t>
            </w:r>
            <w:r>
              <w:t>1.1)</w:t>
            </w:r>
          </w:p>
        </w:tc>
      </w:tr>
      <w:tr w:rsidR="00C0057B" w:rsidRPr="00F174C6" w14:paraId="291674A7" w14:textId="77777777" w:rsidTr="00A6574A">
        <w:tc>
          <w:tcPr>
            <w:tcW w:w="992" w:type="dxa"/>
          </w:tcPr>
          <w:p w14:paraId="62F9DFBD" w14:textId="77777777" w:rsidR="00C0057B" w:rsidRPr="00D15A4D" w:rsidRDefault="00C0057B" w:rsidP="00A6574A">
            <w:pPr>
              <w:pStyle w:val="Sectiontext"/>
              <w:jc w:val="center"/>
            </w:pPr>
          </w:p>
        </w:tc>
        <w:tc>
          <w:tcPr>
            <w:tcW w:w="8371" w:type="dxa"/>
          </w:tcPr>
          <w:p w14:paraId="2709412F" w14:textId="77777777" w:rsidR="00C0057B" w:rsidRPr="00D15A4D" w:rsidRDefault="00C0057B" w:rsidP="00A6574A">
            <w:pPr>
              <w:pStyle w:val="Sectiontext"/>
            </w:pPr>
            <w:r>
              <w:rPr>
                <w:iCs/>
              </w:rPr>
              <w:t>Repeal</w:t>
            </w:r>
            <w:r w:rsidRPr="00D15A4D">
              <w:rPr>
                <w:iCs/>
              </w:rPr>
              <w:t xml:space="preserve"> </w:t>
            </w:r>
            <w:r>
              <w:rPr>
                <w:iCs/>
              </w:rPr>
              <w:t xml:space="preserve">the entry for “Ballarat, </w:t>
            </w:r>
            <w:proofErr w:type="spellStart"/>
            <w:r>
              <w:rPr>
                <w:iCs/>
              </w:rPr>
              <w:t>Delecombe</w:t>
            </w:r>
            <w:proofErr w:type="spellEnd"/>
            <w:r>
              <w:rPr>
                <w:iCs/>
              </w:rPr>
              <w:t xml:space="preserve"> and Alfredton”, </w:t>
            </w:r>
            <w:r w:rsidRPr="00D15A4D">
              <w:rPr>
                <w:iCs/>
              </w:rPr>
              <w:t>substitute</w:t>
            </w:r>
            <w:r>
              <w:rPr>
                <w:iCs/>
              </w:rPr>
              <w:t>:</w:t>
            </w:r>
          </w:p>
        </w:tc>
      </w:tr>
    </w:tbl>
    <w:p w14:paraId="5D85F692" w14:textId="77777777" w:rsidR="00C0057B" w:rsidRDefault="00C0057B" w:rsidP="00C0057B"/>
    <w:tbl>
      <w:tblPr>
        <w:tblW w:w="93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972"/>
        <w:gridCol w:w="1476"/>
        <w:gridCol w:w="1476"/>
        <w:gridCol w:w="1475"/>
        <w:gridCol w:w="1471"/>
        <w:gridCol w:w="1469"/>
      </w:tblGrid>
      <w:tr w:rsidR="00C0057B" w:rsidRPr="006F2A97" w14:paraId="74DC2DF1" w14:textId="77777777" w:rsidTr="00A6574A">
        <w:trPr>
          <w:jc w:val="center"/>
        </w:trPr>
        <w:tc>
          <w:tcPr>
            <w:tcW w:w="197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5118F3" w14:textId="77777777" w:rsidR="00C0057B" w:rsidRPr="006F2A97" w:rsidRDefault="00C0057B" w:rsidP="00A6574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 xml:space="preserve">Ballarat, </w:t>
            </w:r>
            <w:proofErr w:type="spellStart"/>
            <w:r w:rsidRPr="006F2A97">
              <w:rPr>
                <w:rFonts w:ascii="Arial" w:hAnsi="Arial" w:cs="Arial"/>
                <w:sz w:val="20"/>
                <w:szCs w:val="20"/>
              </w:rPr>
              <w:t>Delecombe</w:t>
            </w:r>
            <w:proofErr w:type="spellEnd"/>
            <w:r w:rsidRPr="006F2A97">
              <w:rPr>
                <w:rFonts w:ascii="Arial" w:hAnsi="Arial" w:cs="Arial"/>
                <w:sz w:val="20"/>
                <w:szCs w:val="20"/>
              </w:rPr>
              <w:t xml:space="preserve"> and Alfredton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372147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049C80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F4B025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906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164685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9C364F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DDB6E10" w14:textId="77777777" w:rsidR="00C0057B" w:rsidRDefault="00C0057B" w:rsidP="00C0057B"/>
    <w:tbl>
      <w:tblPr>
        <w:tblW w:w="936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92"/>
        <w:gridCol w:w="8371"/>
      </w:tblGrid>
      <w:tr w:rsidR="00C0057B" w:rsidRPr="00D15A4D" w14:paraId="5D0267BD" w14:textId="77777777" w:rsidTr="00A6574A">
        <w:tc>
          <w:tcPr>
            <w:tcW w:w="992" w:type="dxa"/>
          </w:tcPr>
          <w:p w14:paraId="261A2ADD" w14:textId="77777777" w:rsidR="00C0057B" w:rsidRPr="00991733" w:rsidRDefault="00C0057B" w:rsidP="00A6574A">
            <w:pPr>
              <w:pStyle w:val="Heading5"/>
            </w:pPr>
            <w:r w:rsidRPr="00991733">
              <w:t>2</w:t>
            </w:r>
          </w:p>
        </w:tc>
        <w:tc>
          <w:tcPr>
            <w:tcW w:w="8371" w:type="dxa"/>
          </w:tcPr>
          <w:p w14:paraId="54EB2BF6" w14:textId="77777777" w:rsidR="00C0057B" w:rsidRPr="00991733" w:rsidRDefault="00C0057B" w:rsidP="00A6574A">
            <w:pPr>
              <w:pStyle w:val="Heading5"/>
            </w:pPr>
            <w:r>
              <w:t>Annex 7.E (Part</w:t>
            </w:r>
            <w:r w:rsidRPr="00991733">
              <w:t xml:space="preserve"> </w:t>
            </w:r>
            <w:r>
              <w:t>1.2)</w:t>
            </w:r>
          </w:p>
        </w:tc>
      </w:tr>
      <w:tr w:rsidR="00C0057B" w:rsidRPr="00D15A4D" w14:paraId="0802A216" w14:textId="77777777" w:rsidTr="00A6574A">
        <w:tc>
          <w:tcPr>
            <w:tcW w:w="992" w:type="dxa"/>
          </w:tcPr>
          <w:p w14:paraId="4052A2AA" w14:textId="77777777" w:rsidR="00C0057B" w:rsidRPr="00D15A4D" w:rsidRDefault="00C0057B" w:rsidP="00A6574A">
            <w:pPr>
              <w:pStyle w:val="Sectiontext"/>
              <w:jc w:val="center"/>
            </w:pPr>
          </w:p>
        </w:tc>
        <w:tc>
          <w:tcPr>
            <w:tcW w:w="8371" w:type="dxa"/>
          </w:tcPr>
          <w:p w14:paraId="3D3727E7" w14:textId="77777777" w:rsidR="00C0057B" w:rsidRPr="00D15A4D" w:rsidRDefault="00C0057B" w:rsidP="00A6574A">
            <w:pPr>
              <w:pStyle w:val="Sectiontext"/>
            </w:pPr>
            <w:r>
              <w:rPr>
                <w:iCs/>
              </w:rPr>
              <w:t>Repeal</w:t>
            </w:r>
            <w:r w:rsidRPr="00D15A4D">
              <w:rPr>
                <w:iCs/>
              </w:rPr>
              <w:t xml:space="preserve"> </w:t>
            </w:r>
            <w:r>
              <w:rPr>
                <w:iCs/>
              </w:rPr>
              <w:t xml:space="preserve">the entry for “Ballarat, </w:t>
            </w:r>
            <w:proofErr w:type="spellStart"/>
            <w:r>
              <w:rPr>
                <w:iCs/>
              </w:rPr>
              <w:t>Delecombe</w:t>
            </w:r>
            <w:proofErr w:type="spellEnd"/>
            <w:r>
              <w:rPr>
                <w:iCs/>
              </w:rPr>
              <w:t xml:space="preserve"> and Alfredton”, </w:t>
            </w:r>
            <w:r w:rsidRPr="00D15A4D">
              <w:rPr>
                <w:iCs/>
              </w:rPr>
              <w:t>substitute</w:t>
            </w:r>
            <w:r>
              <w:rPr>
                <w:iCs/>
              </w:rPr>
              <w:t>:</w:t>
            </w:r>
          </w:p>
        </w:tc>
      </w:tr>
    </w:tbl>
    <w:p w14:paraId="6810DF4F" w14:textId="77777777" w:rsidR="00C0057B" w:rsidRDefault="00C0057B" w:rsidP="00C0057B"/>
    <w:tbl>
      <w:tblPr>
        <w:tblW w:w="93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476"/>
        <w:gridCol w:w="1476"/>
        <w:gridCol w:w="1475"/>
        <w:gridCol w:w="1471"/>
        <w:gridCol w:w="1469"/>
      </w:tblGrid>
      <w:tr w:rsidR="00C0057B" w:rsidRPr="006F2A97" w14:paraId="6934BC53" w14:textId="77777777" w:rsidTr="00A6574A">
        <w:trPr>
          <w:jc w:val="center"/>
        </w:trPr>
        <w:tc>
          <w:tcPr>
            <w:tcW w:w="197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53D82D" w14:textId="77777777" w:rsidR="00C0057B" w:rsidRPr="006F2A97" w:rsidRDefault="00C0057B" w:rsidP="00A6574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 xml:space="preserve">Ballarat, </w:t>
            </w:r>
            <w:proofErr w:type="spellStart"/>
            <w:r w:rsidRPr="006F2A97">
              <w:rPr>
                <w:rFonts w:ascii="Arial" w:hAnsi="Arial" w:cs="Arial"/>
                <w:sz w:val="20"/>
                <w:szCs w:val="20"/>
              </w:rPr>
              <w:t>Delecombe</w:t>
            </w:r>
            <w:proofErr w:type="spellEnd"/>
            <w:r w:rsidRPr="006F2A97">
              <w:rPr>
                <w:rFonts w:ascii="Arial" w:hAnsi="Arial" w:cs="Arial"/>
                <w:sz w:val="20"/>
                <w:szCs w:val="20"/>
              </w:rPr>
              <w:t xml:space="preserve"> and Alfredton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992791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8FAAC2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96C074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815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61CBCC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D45104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729ACFF" w14:textId="77777777" w:rsidR="00C0057B" w:rsidRDefault="00C0057B" w:rsidP="00C0057B"/>
    <w:tbl>
      <w:tblPr>
        <w:tblW w:w="936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92"/>
        <w:gridCol w:w="8371"/>
      </w:tblGrid>
      <w:tr w:rsidR="00C0057B" w:rsidRPr="00D15A4D" w14:paraId="1409C7D0" w14:textId="77777777" w:rsidTr="00A6574A">
        <w:tc>
          <w:tcPr>
            <w:tcW w:w="992" w:type="dxa"/>
          </w:tcPr>
          <w:p w14:paraId="04DE7B3F" w14:textId="77777777" w:rsidR="00C0057B" w:rsidRPr="00991733" w:rsidRDefault="00C0057B" w:rsidP="00A6574A">
            <w:pPr>
              <w:pStyle w:val="Heading5"/>
            </w:pPr>
            <w:r w:rsidRPr="00991733">
              <w:t>3</w:t>
            </w:r>
          </w:p>
        </w:tc>
        <w:tc>
          <w:tcPr>
            <w:tcW w:w="8371" w:type="dxa"/>
          </w:tcPr>
          <w:p w14:paraId="662AD3BC" w14:textId="77777777" w:rsidR="00C0057B" w:rsidRPr="00991733" w:rsidRDefault="00C0057B" w:rsidP="00A6574A">
            <w:pPr>
              <w:pStyle w:val="Heading5"/>
            </w:pPr>
            <w:r>
              <w:t>Annex 7.E (Part</w:t>
            </w:r>
            <w:r w:rsidRPr="00991733">
              <w:t xml:space="preserve"> </w:t>
            </w:r>
            <w:r>
              <w:t>2.1)</w:t>
            </w:r>
          </w:p>
        </w:tc>
      </w:tr>
      <w:tr w:rsidR="00C0057B" w:rsidRPr="00D15A4D" w14:paraId="37997D78" w14:textId="77777777" w:rsidTr="00A6574A">
        <w:tc>
          <w:tcPr>
            <w:tcW w:w="992" w:type="dxa"/>
          </w:tcPr>
          <w:p w14:paraId="56433B58" w14:textId="77777777" w:rsidR="00C0057B" w:rsidRPr="00D15A4D" w:rsidRDefault="00C0057B" w:rsidP="00A6574A">
            <w:pPr>
              <w:pStyle w:val="Sectiontext"/>
              <w:jc w:val="center"/>
            </w:pPr>
          </w:p>
        </w:tc>
        <w:tc>
          <w:tcPr>
            <w:tcW w:w="8371" w:type="dxa"/>
          </w:tcPr>
          <w:p w14:paraId="6C48956E" w14:textId="77777777" w:rsidR="00C0057B" w:rsidRPr="00D15A4D" w:rsidRDefault="00C0057B" w:rsidP="00A6574A">
            <w:pPr>
              <w:pStyle w:val="Sectiontext"/>
            </w:pPr>
            <w:r>
              <w:rPr>
                <w:iCs/>
              </w:rPr>
              <w:t>Repeal</w:t>
            </w:r>
            <w:r w:rsidRPr="00D15A4D">
              <w:rPr>
                <w:iCs/>
              </w:rPr>
              <w:t xml:space="preserve"> </w:t>
            </w:r>
            <w:r>
              <w:rPr>
                <w:iCs/>
              </w:rPr>
              <w:t xml:space="preserve">the entry for “Ballarat, </w:t>
            </w:r>
            <w:proofErr w:type="spellStart"/>
            <w:r>
              <w:rPr>
                <w:iCs/>
              </w:rPr>
              <w:t>Delecombe</w:t>
            </w:r>
            <w:proofErr w:type="spellEnd"/>
            <w:r>
              <w:rPr>
                <w:iCs/>
              </w:rPr>
              <w:t xml:space="preserve"> and Alfredton”, </w:t>
            </w:r>
            <w:r w:rsidRPr="00D15A4D">
              <w:rPr>
                <w:iCs/>
              </w:rPr>
              <w:t>substitute</w:t>
            </w:r>
            <w:r>
              <w:rPr>
                <w:iCs/>
              </w:rPr>
              <w:t>:</w:t>
            </w:r>
          </w:p>
        </w:tc>
      </w:tr>
    </w:tbl>
    <w:p w14:paraId="166F3CA3" w14:textId="77777777" w:rsidR="00C0057B" w:rsidRDefault="00C0057B" w:rsidP="00C0057B"/>
    <w:tbl>
      <w:tblPr>
        <w:tblW w:w="93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476"/>
        <w:gridCol w:w="1476"/>
        <w:gridCol w:w="1475"/>
        <w:gridCol w:w="1471"/>
        <w:gridCol w:w="1469"/>
      </w:tblGrid>
      <w:tr w:rsidR="00C0057B" w:rsidRPr="006F2A97" w14:paraId="7A5C62DB" w14:textId="77777777" w:rsidTr="00A6574A">
        <w:trPr>
          <w:jc w:val="center"/>
        </w:trPr>
        <w:tc>
          <w:tcPr>
            <w:tcW w:w="197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75FD1A" w14:textId="77777777" w:rsidR="00C0057B" w:rsidRPr="006F2A97" w:rsidRDefault="00C0057B" w:rsidP="00A6574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 xml:space="preserve">Ballarat, </w:t>
            </w:r>
            <w:proofErr w:type="spellStart"/>
            <w:r w:rsidRPr="006F2A97">
              <w:rPr>
                <w:rFonts w:ascii="Arial" w:hAnsi="Arial" w:cs="Arial"/>
                <w:sz w:val="20"/>
                <w:szCs w:val="20"/>
              </w:rPr>
              <w:t>Delecombe</w:t>
            </w:r>
            <w:proofErr w:type="spellEnd"/>
            <w:r w:rsidRPr="006F2A97">
              <w:rPr>
                <w:rFonts w:ascii="Arial" w:hAnsi="Arial" w:cs="Arial"/>
                <w:sz w:val="20"/>
                <w:szCs w:val="20"/>
              </w:rPr>
              <w:t xml:space="preserve"> and Alfredton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7B97A6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75A6E8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90BF78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815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0E0003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234D62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4549613C" w14:textId="77777777" w:rsidR="00C0057B" w:rsidRDefault="00C0057B" w:rsidP="00C0057B"/>
    <w:tbl>
      <w:tblPr>
        <w:tblW w:w="936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92"/>
        <w:gridCol w:w="8371"/>
      </w:tblGrid>
      <w:tr w:rsidR="00C0057B" w:rsidRPr="00D15A4D" w14:paraId="188D48C2" w14:textId="77777777" w:rsidTr="00A6574A">
        <w:tc>
          <w:tcPr>
            <w:tcW w:w="992" w:type="dxa"/>
          </w:tcPr>
          <w:p w14:paraId="2B240BCC" w14:textId="77777777" w:rsidR="00C0057B" w:rsidRPr="00991733" w:rsidRDefault="00C0057B" w:rsidP="00A6574A">
            <w:pPr>
              <w:pStyle w:val="Heading5"/>
            </w:pPr>
            <w:r w:rsidRPr="00991733">
              <w:t>4</w:t>
            </w:r>
          </w:p>
        </w:tc>
        <w:tc>
          <w:tcPr>
            <w:tcW w:w="8371" w:type="dxa"/>
          </w:tcPr>
          <w:p w14:paraId="20E55226" w14:textId="77777777" w:rsidR="00C0057B" w:rsidRPr="00991733" w:rsidRDefault="00C0057B" w:rsidP="00A6574A">
            <w:pPr>
              <w:pStyle w:val="Heading5"/>
            </w:pPr>
            <w:r>
              <w:t>Annex 7.E (Part</w:t>
            </w:r>
            <w:r w:rsidRPr="00991733">
              <w:t xml:space="preserve"> </w:t>
            </w:r>
            <w:r>
              <w:t>2.2)</w:t>
            </w:r>
          </w:p>
        </w:tc>
      </w:tr>
      <w:tr w:rsidR="00C0057B" w:rsidRPr="00D15A4D" w14:paraId="5791ED05" w14:textId="77777777" w:rsidTr="00A6574A">
        <w:tc>
          <w:tcPr>
            <w:tcW w:w="992" w:type="dxa"/>
          </w:tcPr>
          <w:p w14:paraId="7F2D02DB" w14:textId="77777777" w:rsidR="00C0057B" w:rsidRPr="00D15A4D" w:rsidRDefault="00C0057B" w:rsidP="00A6574A">
            <w:pPr>
              <w:pStyle w:val="Sectiontext"/>
              <w:jc w:val="center"/>
            </w:pPr>
          </w:p>
        </w:tc>
        <w:tc>
          <w:tcPr>
            <w:tcW w:w="8371" w:type="dxa"/>
          </w:tcPr>
          <w:p w14:paraId="7CD3773A" w14:textId="77777777" w:rsidR="00C0057B" w:rsidRPr="00D15A4D" w:rsidRDefault="00C0057B" w:rsidP="00A6574A">
            <w:pPr>
              <w:pStyle w:val="Sectiontext"/>
            </w:pPr>
            <w:r>
              <w:rPr>
                <w:iCs/>
              </w:rPr>
              <w:t>Repeal</w:t>
            </w:r>
            <w:r w:rsidRPr="00D15A4D">
              <w:rPr>
                <w:iCs/>
              </w:rPr>
              <w:t xml:space="preserve"> </w:t>
            </w:r>
            <w:r>
              <w:rPr>
                <w:iCs/>
              </w:rPr>
              <w:t xml:space="preserve">the entry for “Ballarat, </w:t>
            </w:r>
            <w:proofErr w:type="spellStart"/>
            <w:r>
              <w:rPr>
                <w:iCs/>
              </w:rPr>
              <w:t>Delecombe</w:t>
            </w:r>
            <w:proofErr w:type="spellEnd"/>
            <w:r>
              <w:rPr>
                <w:iCs/>
              </w:rPr>
              <w:t xml:space="preserve"> and Alfredton”, </w:t>
            </w:r>
            <w:r w:rsidRPr="00D15A4D">
              <w:rPr>
                <w:iCs/>
              </w:rPr>
              <w:t>substitute</w:t>
            </w:r>
            <w:r>
              <w:rPr>
                <w:iCs/>
              </w:rPr>
              <w:t>:</w:t>
            </w:r>
          </w:p>
        </w:tc>
      </w:tr>
    </w:tbl>
    <w:p w14:paraId="143EC9E3" w14:textId="77777777" w:rsidR="00C0057B" w:rsidRDefault="00C0057B" w:rsidP="00C0057B"/>
    <w:tbl>
      <w:tblPr>
        <w:tblW w:w="93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476"/>
        <w:gridCol w:w="1476"/>
        <w:gridCol w:w="1475"/>
        <w:gridCol w:w="1471"/>
        <w:gridCol w:w="1469"/>
      </w:tblGrid>
      <w:tr w:rsidR="00C0057B" w:rsidRPr="006F2A97" w14:paraId="7D321359" w14:textId="77777777" w:rsidTr="00A6574A">
        <w:trPr>
          <w:jc w:val="center"/>
        </w:trPr>
        <w:tc>
          <w:tcPr>
            <w:tcW w:w="197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D3C09D" w14:textId="77777777" w:rsidR="00C0057B" w:rsidRPr="006F2A97" w:rsidRDefault="00C0057B" w:rsidP="00A6574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 xml:space="preserve">Ballarat, </w:t>
            </w:r>
            <w:proofErr w:type="spellStart"/>
            <w:r w:rsidRPr="006F2A97">
              <w:rPr>
                <w:rFonts w:ascii="Arial" w:hAnsi="Arial" w:cs="Arial"/>
                <w:sz w:val="20"/>
                <w:szCs w:val="20"/>
              </w:rPr>
              <w:t>Delecombe</w:t>
            </w:r>
            <w:proofErr w:type="spellEnd"/>
            <w:r w:rsidRPr="006F2A97">
              <w:rPr>
                <w:rFonts w:ascii="Arial" w:hAnsi="Arial" w:cs="Arial"/>
                <w:sz w:val="20"/>
                <w:szCs w:val="20"/>
              </w:rPr>
              <w:t xml:space="preserve"> and Alfredton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9114E3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DB17BD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2A8E3E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9FBF88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83AA88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51D2569" w14:textId="77777777" w:rsidR="00C0057B" w:rsidRDefault="00C0057B" w:rsidP="00C0057B"/>
    <w:tbl>
      <w:tblPr>
        <w:tblW w:w="936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92"/>
        <w:gridCol w:w="8371"/>
      </w:tblGrid>
      <w:tr w:rsidR="00C0057B" w:rsidRPr="00D15A4D" w14:paraId="3406FFE0" w14:textId="77777777" w:rsidTr="00A6574A">
        <w:tc>
          <w:tcPr>
            <w:tcW w:w="992" w:type="dxa"/>
          </w:tcPr>
          <w:p w14:paraId="4A30EC29" w14:textId="77777777" w:rsidR="00C0057B" w:rsidRDefault="00C0057B" w:rsidP="00A6574A">
            <w:pPr>
              <w:pStyle w:val="Heading5"/>
            </w:pPr>
            <w:r>
              <w:t>5</w:t>
            </w:r>
          </w:p>
        </w:tc>
        <w:tc>
          <w:tcPr>
            <w:tcW w:w="8371" w:type="dxa"/>
          </w:tcPr>
          <w:p w14:paraId="51E0B184" w14:textId="77777777" w:rsidR="00C0057B" w:rsidRPr="008E4904" w:rsidRDefault="00C0057B" w:rsidP="00A6574A">
            <w:pPr>
              <w:pStyle w:val="Heading5"/>
            </w:pPr>
            <w:r>
              <w:t>Annex 7.E (Part</w:t>
            </w:r>
            <w:r w:rsidRPr="00991733">
              <w:t xml:space="preserve"> </w:t>
            </w:r>
            <w:r>
              <w:t>2.3)</w:t>
            </w:r>
          </w:p>
        </w:tc>
      </w:tr>
      <w:tr w:rsidR="00C0057B" w:rsidRPr="00D15A4D" w14:paraId="0A26EBCD" w14:textId="77777777" w:rsidTr="00A6574A">
        <w:tc>
          <w:tcPr>
            <w:tcW w:w="992" w:type="dxa"/>
          </w:tcPr>
          <w:p w14:paraId="0B9315EF" w14:textId="77777777" w:rsidR="00C0057B" w:rsidRPr="00991733" w:rsidRDefault="00C0057B" w:rsidP="00A6574A">
            <w:pPr>
              <w:pStyle w:val="Sectiontext"/>
              <w:ind w:left="1440"/>
              <w:jc w:val="center"/>
            </w:pPr>
          </w:p>
        </w:tc>
        <w:tc>
          <w:tcPr>
            <w:tcW w:w="8371" w:type="dxa"/>
          </w:tcPr>
          <w:p w14:paraId="24BD3855" w14:textId="77777777" w:rsidR="00C0057B" w:rsidRDefault="00C0057B" w:rsidP="00A6574A">
            <w:pPr>
              <w:pStyle w:val="Sectiontext"/>
            </w:pPr>
            <w:r>
              <w:rPr>
                <w:iCs/>
              </w:rPr>
              <w:t>Repeal</w:t>
            </w:r>
            <w:r w:rsidRPr="00D15A4D">
              <w:rPr>
                <w:iCs/>
              </w:rPr>
              <w:t xml:space="preserve"> </w:t>
            </w:r>
            <w:r>
              <w:rPr>
                <w:iCs/>
              </w:rPr>
              <w:t xml:space="preserve">the entry for “Ballarat, </w:t>
            </w:r>
            <w:proofErr w:type="spellStart"/>
            <w:r>
              <w:rPr>
                <w:iCs/>
              </w:rPr>
              <w:t>Delecombe</w:t>
            </w:r>
            <w:proofErr w:type="spellEnd"/>
            <w:r>
              <w:rPr>
                <w:iCs/>
              </w:rPr>
              <w:t xml:space="preserve"> and Alfredton”, </w:t>
            </w:r>
            <w:r w:rsidRPr="00D15A4D">
              <w:rPr>
                <w:iCs/>
              </w:rPr>
              <w:t>substitute</w:t>
            </w:r>
            <w:r>
              <w:rPr>
                <w:iCs/>
              </w:rPr>
              <w:t>:</w:t>
            </w:r>
          </w:p>
        </w:tc>
      </w:tr>
    </w:tbl>
    <w:p w14:paraId="1230BF90" w14:textId="77777777" w:rsidR="00C0057B" w:rsidRDefault="00C0057B" w:rsidP="00C0057B"/>
    <w:tbl>
      <w:tblPr>
        <w:tblW w:w="93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476"/>
        <w:gridCol w:w="1476"/>
        <w:gridCol w:w="1475"/>
        <w:gridCol w:w="1471"/>
        <w:gridCol w:w="1469"/>
      </w:tblGrid>
      <w:tr w:rsidR="00C0057B" w:rsidRPr="006F2A97" w14:paraId="4063FB66" w14:textId="77777777" w:rsidTr="00A6574A">
        <w:trPr>
          <w:jc w:val="center"/>
        </w:trPr>
        <w:tc>
          <w:tcPr>
            <w:tcW w:w="197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31B19B" w14:textId="77777777" w:rsidR="00C0057B" w:rsidRPr="006F2A97" w:rsidRDefault="00C0057B" w:rsidP="00A6574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 xml:space="preserve">Ballarat, </w:t>
            </w:r>
            <w:proofErr w:type="spellStart"/>
            <w:r w:rsidRPr="006F2A97">
              <w:rPr>
                <w:rFonts w:ascii="Arial" w:hAnsi="Arial" w:cs="Arial"/>
                <w:sz w:val="20"/>
                <w:szCs w:val="20"/>
              </w:rPr>
              <w:t>Delecombe</w:t>
            </w:r>
            <w:proofErr w:type="spellEnd"/>
            <w:r w:rsidRPr="006F2A97">
              <w:rPr>
                <w:rFonts w:ascii="Arial" w:hAnsi="Arial" w:cs="Arial"/>
                <w:sz w:val="20"/>
                <w:szCs w:val="20"/>
              </w:rPr>
              <w:t xml:space="preserve"> and Alfredton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776D49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A86B9B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34C3DE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302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4AFC15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B582B4" w14:textId="77777777" w:rsidR="00C0057B" w:rsidRPr="006F2A97" w:rsidRDefault="00C0057B" w:rsidP="00A6574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6B040E2" w14:textId="77777777" w:rsidR="00C0057B" w:rsidRDefault="00C0057B" w:rsidP="00C0057B"/>
    <w:tbl>
      <w:tblPr>
        <w:tblW w:w="936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92"/>
        <w:gridCol w:w="8371"/>
      </w:tblGrid>
      <w:tr w:rsidR="00C0057B" w:rsidRPr="008E4904" w14:paraId="16AD9F0C" w14:textId="77777777" w:rsidTr="00A6574A">
        <w:tc>
          <w:tcPr>
            <w:tcW w:w="992" w:type="dxa"/>
          </w:tcPr>
          <w:p w14:paraId="42B60D38" w14:textId="77777777" w:rsidR="00C0057B" w:rsidRPr="00991733" w:rsidRDefault="00C0057B" w:rsidP="00A6574A">
            <w:pPr>
              <w:pStyle w:val="Heading5"/>
              <w:widowControl w:val="0"/>
            </w:pPr>
            <w:r>
              <w:lastRenderedPageBreak/>
              <w:t>6</w:t>
            </w:r>
          </w:p>
        </w:tc>
        <w:tc>
          <w:tcPr>
            <w:tcW w:w="8371" w:type="dxa"/>
          </w:tcPr>
          <w:p w14:paraId="5D26057E" w14:textId="77777777" w:rsidR="00C0057B" w:rsidRPr="008E4904" w:rsidRDefault="00C0057B" w:rsidP="00A6574A">
            <w:pPr>
              <w:pStyle w:val="Heading5"/>
              <w:widowControl w:val="0"/>
            </w:pPr>
            <w:r>
              <w:t>Annex 7.E (Part</w:t>
            </w:r>
            <w:r w:rsidRPr="00991733">
              <w:t xml:space="preserve"> </w:t>
            </w:r>
            <w:r>
              <w:t>2.4)</w:t>
            </w:r>
          </w:p>
        </w:tc>
      </w:tr>
      <w:tr w:rsidR="00C0057B" w:rsidRPr="00D15A4D" w14:paraId="4A27B48C" w14:textId="77777777" w:rsidTr="00A6574A">
        <w:tc>
          <w:tcPr>
            <w:tcW w:w="992" w:type="dxa"/>
          </w:tcPr>
          <w:p w14:paraId="1DBB54E5" w14:textId="77777777" w:rsidR="00C0057B" w:rsidRDefault="00C0057B" w:rsidP="00A6574A">
            <w:pPr>
              <w:pStyle w:val="Sectiontext"/>
              <w:keepNext/>
              <w:keepLines/>
              <w:widowControl w:val="0"/>
              <w:ind w:left="1440"/>
              <w:jc w:val="center"/>
            </w:pPr>
          </w:p>
        </w:tc>
        <w:tc>
          <w:tcPr>
            <w:tcW w:w="8371" w:type="dxa"/>
          </w:tcPr>
          <w:p w14:paraId="36B49E3F" w14:textId="77777777" w:rsidR="00C0057B" w:rsidRDefault="00C0057B" w:rsidP="00A6574A">
            <w:pPr>
              <w:pStyle w:val="Sectiontext"/>
              <w:keepNext/>
              <w:keepLines/>
              <w:widowControl w:val="0"/>
            </w:pPr>
            <w:r>
              <w:rPr>
                <w:iCs/>
              </w:rPr>
              <w:t>Repeal</w:t>
            </w:r>
            <w:r w:rsidRPr="00D15A4D">
              <w:rPr>
                <w:iCs/>
              </w:rPr>
              <w:t xml:space="preserve"> </w:t>
            </w:r>
            <w:r>
              <w:rPr>
                <w:iCs/>
              </w:rPr>
              <w:t xml:space="preserve">the entry for “Ballarat, </w:t>
            </w:r>
            <w:proofErr w:type="spellStart"/>
            <w:r>
              <w:rPr>
                <w:iCs/>
              </w:rPr>
              <w:t>Delecombe</w:t>
            </w:r>
            <w:proofErr w:type="spellEnd"/>
            <w:r>
              <w:rPr>
                <w:iCs/>
              </w:rPr>
              <w:t xml:space="preserve"> and Alfredton”, </w:t>
            </w:r>
            <w:r w:rsidRPr="00D15A4D">
              <w:rPr>
                <w:iCs/>
              </w:rPr>
              <w:t>substitute</w:t>
            </w:r>
            <w:r>
              <w:rPr>
                <w:iCs/>
              </w:rPr>
              <w:t>:</w:t>
            </w:r>
          </w:p>
        </w:tc>
      </w:tr>
    </w:tbl>
    <w:p w14:paraId="70463AA5" w14:textId="77777777" w:rsidR="00C0057B" w:rsidRDefault="00C0057B" w:rsidP="00C0057B">
      <w:pPr>
        <w:keepNext/>
        <w:keepLines/>
        <w:widowControl w:val="0"/>
      </w:pPr>
    </w:p>
    <w:tbl>
      <w:tblPr>
        <w:tblW w:w="93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485"/>
        <w:gridCol w:w="1485"/>
        <w:gridCol w:w="1485"/>
        <w:gridCol w:w="1483"/>
        <w:gridCol w:w="1484"/>
      </w:tblGrid>
      <w:tr w:rsidR="00C0057B" w:rsidRPr="006F2A97" w14:paraId="5F49A117" w14:textId="77777777" w:rsidTr="00A6574A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44B956" w14:textId="77777777" w:rsidR="00C0057B" w:rsidRPr="006F2A97" w:rsidRDefault="00C0057B" w:rsidP="00A6574A">
            <w:pPr>
              <w:pStyle w:val="tabletext0"/>
              <w:keepNext/>
              <w:keepLines/>
              <w:widowControl w:val="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 xml:space="preserve">Ballarat, </w:t>
            </w:r>
            <w:proofErr w:type="spellStart"/>
            <w:r w:rsidRPr="006F2A97">
              <w:rPr>
                <w:rFonts w:ascii="Arial" w:hAnsi="Arial" w:cs="Arial"/>
                <w:sz w:val="20"/>
                <w:szCs w:val="20"/>
              </w:rPr>
              <w:t>Delecombe</w:t>
            </w:r>
            <w:proofErr w:type="spellEnd"/>
            <w:r w:rsidRPr="006F2A97">
              <w:rPr>
                <w:rFonts w:ascii="Arial" w:hAnsi="Arial" w:cs="Arial"/>
                <w:sz w:val="20"/>
                <w:szCs w:val="20"/>
              </w:rPr>
              <w:t xml:space="preserve"> and Alfredton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86F993" w14:textId="77777777" w:rsidR="00C0057B" w:rsidRPr="006F2A97" w:rsidRDefault="00C0057B" w:rsidP="00A6574A">
            <w:pPr>
              <w:keepNext/>
              <w:keepLines/>
              <w:widowControl w:val="0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21545E" w14:textId="77777777" w:rsidR="00C0057B" w:rsidRPr="006F2A97" w:rsidRDefault="00C0057B" w:rsidP="00A6574A">
            <w:pPr>
              <w:keepNext/>
              <w:keepLines/>
              <w:widowControl w:val="0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AE7D6D" w14:textId="77777777" w:rsidR="00C0057B" w:rsidRPr="006F2A97" w:rsidRDefault="00C0057B" w:rsidP="00A6574A">
            <w:pPr>
              <w:keepNext/>
              <w:keepLines/>
              <w:widowControl w:val="0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0EB24A" w14:textId="77777777" w:rsidR="00C0057B" w:rsidRPr="006F2A97" w:rsidRDefault="00C0057B" w:rsidP="00A6574A">
            <w:pPr>
              <w:keepNext/>
              <w:keepLines/>
              <w:widowControl w:val="0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DA85BE" w14:textId="77777777" w:rsidR="00C0057B" w:rsidRPr="006F2A97" w:rsidRDefault="00C0057B" w:rsidP="00A6574A">
            <w:pPr>
              <w:keepNext/>
              <w:keepLines/>
              <w:widowControl w:val="0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B5CBBE" w14:textId="38A3EFC7" w:rsidR="00C0057B" w:rsidRDefault="00C0057B" w:rsidP="00C0057B"/>
    <w:p w14:paraId="200C71F8" w14:textId="77777777" w:rsidR="008014D3" w:rsidRDefault="008014D3" w:rsidP="008014D3">
      <w:pPr>
        <w:pStyle w:val="ActHead6"/>
        <w:pageBreakBefore/>
        <w:rPr>
          <w:rStyle w:val="CharAmSchText"/>
        </w:rPr>
      </w:pPr>
      <w:bookmarkStart w:id="23" w:name="_Toc125716656"/>
      <w:r>
        <w:rPr>
          <w:rStyle w:val="CharAmSchNo"/>
        </w:rPr>
        <w:lastRenderedPageBreak/>
        <w:t>Schedule 3</w:t>
      </w:r>
      <w:r w:rsidRPr="00D15A4D">
        <w:t>—</w:t>
      </w:r>
      <w:r w:rsidRPr="00D15A4D">
        <w:rPr>
          <w:rStyle w:val="CharAmSchText"/>
        </w:rPr>
        <w:t>Transitional provisions</w:t>
      </w:r>
      <w:bookmarkEnd w:id="23"/>
    </w:p>
    <w:p w14:paraId="187D03E6" w14:textId="77777777" w:rsidR="008014D3" w:rsidRPr="00AE5DBE" w:rsidRDefault="008014D3" w:rsidP="008014D3">
      <w:pPr>
        <w:pStyle w:val="Heading5"/>
      </w:pPr>
      <w:r w:rsidRPr="00A25060">
        <w:t>1.    </w:t>
      </w:r>
      <w:r>
        <w:t>Definitions</w:t>
      </w:r>
    </w:p>
    <w:tbl>
      <w:tblPr>
        <w:tblW w:w="93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8"/>
      </w:tblGrid>
      <w:tr w:rsidR="008014D3" w:rsidRPr="00AE5DBE" w14:paraId="70F7C4FC" w14:textId="77777777" w:rsidTr="00205F83">
        <w:tc>
          <w:tcPr>
            <w:tcW w:w="992" w:type="dxa"/>
          </w:tcPr>
          <w:p w14:paraId="0F0B4901" w14:textId="77777777" w:rsidR="008014D3" w:rsidRPr="00AE5DBE" w:rsidRDefault="008014D3" w:rsidP="00205F83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AE5DBE">
              <w:rPr>
                <w:rFonts w:ascii="Arial" w:eastAsia="Times New Roman" w:hAnsi="Arial" w:cs="Arial"/>
                <w:sz w:val="20"/>
                <w:lang w:eastAsia="en-AU"/>
              </w:rPr>
              <w:t>1.</w:t>
            </w:r>
          </w:p>
        </w:tc>
        <w:tc>
          <w:tcPr>
            <w:tcW w:w="8368" w:type="dxa"/>
          </w:tcPr>
          <w:p w14:paraId="3EFC528D" w14:textId="77777777" w:rsidR="008014D3" w:rsidRPr="00AE5DBE" w:rsidRDefault="008014D3" w:rsidP="00205F83">
            <w:pPr>
              <w:pStyle w:val="Sectiontext"/>
            </w:pPr>
            <w:r>
              <w:t xml:space="preserve">In this schedule, </w:t>
            </w:r>
            <w:r w:rsidRPr="00731783">
              <w:rPr>
                <w:b/>
              </w:rPr>
              <w:t>Defence Determination</w:t>
            </w:r>
            <w:r>
              <w:t xml:space="preserve"> means the Defence Determination 2016/19, Conditions of service.</w:t>
            </w:r>
          </w:p>
        </w:tc>
      </w:tr>
    </w:tbl>
    <w:p w14:paraId="6C4CE89C" w14:textId="77777777" w:rsidR="008014D3" w:rsidRPr="00AE5DBE" w:rsidRDefault="008014D3" w:rsidP="008014D3">
      <w:pPr>
        <w:pStyle w:val="Heading5"/>
      </w:pPr>
      <w:r>
        <w:t>2</w:t>
      </w:r>
      <w:r w:rsidRPr="00A25060">
        <w:t>.    </w:t>
      </w:r>
      <w:r>
        <w:t>Travel between 15 December 2022 and 2 February 2023</w:t>
      </w:r>
    </w:p>
    <w:tbl>
      <w:tblPr>
        <w:tblW w:w="938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4"/>
        <w:gridCol w:w="594"/>
        <w:gridCol w:w="536"/>
        <w:gridCol w:w="7236"/>
        <w:gridCol w:w="25"/>
      </w:tblGrid>
      <w:tr w:rsidR="008014D3" w:rsidRPr="00AE5DBE" w14:paraId="1C8E1328" w14:textId="77777777" w:rsidTr="00205F83">
        <w:trPr>
          <w:gridAfter w:val="1"/>
          <w:wAfter w:w="25" w:type="dxa"/>
        </w:trPr>
        <w:tc>
          <w:tcPr>
            <w:tcW w:w="994" w:type="dxa"/>
          </w:tcPr>
          <w:p w14:paraId="5D84AC9E" w14:textId="77777777" w:rsidR="008014D3" w:rsidRPr="00AE5DBE" w:rsidRDefault="008014D3" w:rsidP="00205F83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AE5DBE">
              <w:rPr>
                <w:rFonts w:ascii="Arial" w:eastAsia="Times New Roman" w:hAnsi="Arial" w:cs="Arial"/>
                <w:sz w:val="20"/>
                <w:lang w:eastAsia="en-AU"/>
              </w:rPr>
              <w:t>1.</w:t>
            </w:r>
          </w:p>
        </w:tc>
        <w:tc>
          <w:tcPr>
            <w:tcW w:w="8366" w:type="dxa"/>
            <w:gridSpan w:val="3"/>
          </w:tcPr>
          <w:p w14:paraId="45DF24A8" w14:textId="77777777" w:rsidR="008014D3" w:rsidRPr="00AE5DBE" w:rsidRDefault="008014D3" w:rsidP="00205F83">
            <w:pPr>
              <w:pStyle w:val="Sectiontext"/>
            </w:pPr>
            <w:r>
              <w:t>This clause applies to a person who met all of the following between 15 December 2022 and the commencement of Schedule 1 of this Determination.</w:t>
            </w:r>
          </w:p>
        </w:tc>
      </w:tr>
      <w:tr w:rsidR="008014D3" w:rsidRPr="00A2441E" w14:paraId="25D150C0" w14:textId="77777777" w:rsidTr="00205F8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19C02" w14:textId="77777777" w:rsidR="008014D3" w:rsidRPr="00A2441E" w:rsidRDefault="008014D3" w:rsidP="00205F83">
            <w:pPr>
              <w:pStyle w:val="sectiontext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AE3A" w14:textId="77777777" w:rsidR="008014D3" w:rsidRPr="00A2441E" w:rsidRDefault="008014D3" w:rsidP="00205F83">
            <w:pPr>
              <w:pStyle w:val="sectiontext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41E">
              <w:rPr>
                <w:rFonts w:ascii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779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B512" w14:textId="77777777" w:rsidR="008014D3" w:rsidRPr="00A2441E" w:rsidRDefault="008014D3" w:rsidP="00205F83">
            <w:pPr>
              <w:pStyle w:val="Section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They were</w:t>
            </w:r>
            <w:r w:rsidRPr="00A2441E">
              <w:rPr>
                <w:lang w:eastAsia="en-US"/>
              </w:rPr>
              <w:t xml:space="preserve"> in Australia </w:t>
            </w:r>
            <w:r>
              <w:t xml:space="preserve">on </w:t>
            </w:r>
            <w:r w:rsidRPr="00D449AA">
              <w:t>temporary absence from a posting in China.</w:t>
            </w:r>
          </w:p>
        </w:tc>
      </w:tr>
      <w:tr w:rsidR="008014D3" w:rsidRPr="00A2441E" w14:paraId="553C5D7E" w14:textId="77777777" w:rsidTr="00205F8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AE17" w14:textId="77777777" w:rsidR="008014D3" w:rsidRPr="00A2441E" w:rsidRDefault="008014D3" w:rsidP="00205F83">
            <w:pPr>
              <w:pStyle w:val="sectiontext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881E" w14:textId="77777777" w:rsidR="008014D3" w:rsidRPr="00A2441E" w:rsidRDefault="008014D3" w:rsidP="00205F83">
            <w:pPr>
              <w:pStyle w:val="sectiontext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A244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9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9F9E" w14:textId="77777777" w:rsidR="008014D3" w:rsidRPr="00A2441E" w:rsidRDefault="008014D3" w:rsidP="00205F83">
            <w:pPr>
              <w:pStyle w:val="Section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They were undertaking travel provided under Chapter 14, 15 or 16 of the Defence Determination.</w:t>
            </w:r>
          </w:p>
        </w:tc>
      </w:tr>
      <w:tr w:rsidR="008014D3" w:rsidRPr="00A2441E" w14:paraId="3E03AB55" w14:textId="77777777" w:rsidTr="00205F8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9699" w14:textId="77777777" w:rsidR="008014D3" w:rsidRPr="00A2441E" w:rsidRDefault="008014D3" w:rsidP="00205F83">
            <w:pPr>
              <w:pStyle w:val="sectiontext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D2DAC" w14:textId="77777777" w:rsidR="008014D3" w:rsidRPr="00A2441E" w:rsidRDefault="008014D3" w:rsidP="00205F83">
            <w:pPr>
              <w:pStyle w:val="sectiontext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A244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9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DAE6" w14:textId="77777777" w:rsidR="008014D3" w:rsidRPr="00A2441E" w:rsidRDefault="008014D3" w:rsidP="00205F83">
            <w:pPr>
              <w:pStyle w:val="Sectiontext"/>
              <w:rPr>
                <w:rFonts w:cs="Arial"/>
                <w:color w:val="000000"/>
              </w:rPr>
            </w:pPr>
            <w:r>
              <w:rPr>
                <w:lang w:eastAsia="en-US"/>
              </w:rPr>
              <w:t>Any of the following applied.</w:t>
            </w:r>
          </w:p>
        </w:tc>
      </w:tr>
      <w:tr w:rsidR="008014D3" w:rsidRPr="006D1A70" w14:paraId="0BAA12A5" w14:textId="77777777" w:rsidTr="00205F83">
        <w:tblPrEx>
          <w:tblLook w:val="04A0" w:firstRow="1" w:lastRow="0" w:firstColumn="1" w:lastColumn="0" w:noHBand="0" w:noVBand="1"/>
        </w:tblPrEx>
        <w:tc>
          <w:tcPr>
            <w:tcW w:w="994" w:type="dxa"/>
          </w:tcPr>
          <w:p w14:paraId="2DD0A66F" w14:textId="77777777" w:rsidR="008014D3" w:rsidRPr="006D1A70" w:rsidRDefault="008014D3" w:rsidP="00205F8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94" w:type="dxa"/>
          </w:tcPr>
          <w:p w14:paraId="388DBFE6" w14:textId="77777777" w:rsidR="008014D3" w:rsidRPr="00242107" w:rsidRDefault="008014D3" w:rsidP="00205F83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36" w:type="dxa"/>
          </w:tcPr>
          <w:p w14:paraId="3107B0A6" w14:textId="77777777" w:rsidR="008014D3" w:rsidRPr="00242107" w:rsidRDefault="008014D3" w:rsidP="00205F83">
            <w:pPr>
              <w:pStyle w:val="Sectiontext"/>
              <w:rPr>
                <w:rFonts w:cs="Arial"/>
                <w:iCs/>
                <w:lang w:eastAsia="en-US"/>
              </w:rPr>
            </w:pPr>
            <w:proofErr w:type="spellStart"/>
            <w:r w:rsidRPr="00242107">
              <w:rPr>
                <w:rFonts w:cs="Arial"/>
                <w:iCs/>
                <w:lang w:eastAsia="en-US"/>
              </w:rPr>
              <w:t>i</w:t>
            </w:r>
            <w:proofErr w:type="spellEnd"/>
            <w:r w:rsidRPr="00242107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61" w:type="dxa"/>
            <w:gridSpan w:val="2"/>
          </w:tcPr>
          <w:p w14:paraId="0F109ED5" w14:textId="77777777" w:rsidR="008014D3" w:rsidRPr="00242107" w:rsidRDefault="008014D3" w:rsidP="00205F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were</w:t>
            </w:r>
            <w:r w:rsidRPr="00242107">
              <w:rPr>
                <w:sz w:val="20"/>
                <w:szCs w:val="20"/>
              </w:rPr>
              <w:t xml:space="preserve"> required to isolate before returning to China.</w:t>
            </w:r>
          </w:p>
        </w:tc>
      </w:tr>
      <w:tr w:rsidR="008014D3" w:rsidRPr="006D1A70" w14:paraId="76AD5E88" w14:textId="77777777" w:rsidTr="00205F83">
        <w:tblPrEx>
          <w:tblLook w:val="04A0" w:firstRow="1" w:lastRow="0" w:firstColumn="1" w:lastColumn="0" w:noHBand="0" w:noVBand="1"/>
        </w:tblPrEx>
        <w:tc>
          <w:tcPr>
            <w:tcW w:w="994" w:type="dxa"/>
          </w:tcPr>
          <w:p w14:paraId="1699FF70" w14:textId="77777777" w:rsidR="008014D3" w:rsidRPr="006D1A70" w:rsidRDefault="008014D3" w:rsidP="00205F8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94" w:type="dxa"/>
          </w:tcPr>
          <w:p w14:paraId="2CE927B5" w14:textId="77777777" w:rsidR="008014D3" w:rsidRPr="00242107" w:rsidRDefault="008014D3" w:rsidP="00205F83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36" w:type="dxa"/>
          </w:tcPr>
          <w:p w14:paraId="07A51131" w14:textId="77777777" w:rsidR="008014D3" w:rsidRPr="00242107" w:rsidRDefault="008014D3" w:rsidP="00205F83">
            <w:pPr>
              <w:pStyle w:val="Sectiontext"/>
              <w:rPr>
                <w:rFonts w:cs="Arial"/>
                <w:iCs/>
                <w:lang w:eastAsia="en-US"/>
              </w:rPr>
            </w:pPr>
            <w:r w:rsidRPr="00242107">
              <w:rPr>
                <w:rFonts w:cs="Arial"/>
                <w:iCs/>
                <w:lang w:eastAsia="en-US"/>
              </w:rPr>
              <w:t>ii.</w:t>
            </w:r>
          </w:p>
        </w:tc>
        <w:tc>
          <w:tcPr>
            <w:tcW w:w="7261" w:type="dxa"/>
            <w:gridSpan w:val="2"/>
          </w:tcPr>
          <w:p w14:paraId="62912E62" w14:textId="77777777" w:rsidR="008014D3" w:rsidRPr="00242107" w:rsidRDefault="008014D3" w:rsidP="00205F83">
            <w:pPr>
              <w:pStyle w:val="Default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were</w:t>
            </w:r>
            <w:r w:rsidRPr="00242107">
              <w:rPr>
                <w:sz w:val="20"/>
                <w:szCs w:val="20"/>
              </w:rPr>
              <w:t xml:space="preserve"> unable to return to China due to China’s ongoing restrictions and lockdowns.</w:t>
            </w:r>
          </w:p>
        </w:tc>
      </w:tr>
      <w:tr w:rsidR="008014D3" w14:paraId="6FFBA4E6" w14:textId="77777777" w:rsidTr="00205F83">
        <w:trPr>
          <w:gridAfter w:val="1"/>
          <w:wAfter w:w="25" w:type="dxa"/>
        </w:trPr>
        <w:tc>
          <w:tcPr>
            <w:tcW w:w="994" w:type="dxa"/>
          </w:tcPr>
          <w:p w14:paraId="74108E0D" w14:textId="77777777" w:rsidR="008014D3" w:rsidRPr="00AE5DBE" w:rsidRDefault="008014D3" w:rsidP="00205F83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AE5DBE">
              <w:rPr>
                <w:rFonts w:ascii="Arial" w:eastAsia="Times New Roman" w:hAnsi="Arial" w:cs="Arial"/>
                <w:sz w:val="20"/>
                <w:lang w:eastAsia="en-AU"/>
              </w:rPr>
              <w:t>2.</w:t>
            </w:r>
          </w:p>
        </w:tc>
        <w:tc>
          <w:tcPr>
            <w:tcW w:w="8366" w:type="dxa"/>
            <w:gridSpan w:val="3"/>
          </w:tcPr>
          <w:p w14:paraId="3A26724C" w14:textId="77777777" w:rsidR="008014D3" w:rsidRDefault="008014D3" w:rsidP="00205F83">
            <w:pPr>
              <w:pStyle w:val="Sectiontext"/>
            </w:pPr>
            <w:r>
              <w:t>The person is eligible for benefits provided under Chapter 14A Part 4 of the Defence Determination had the changes made by Schedule 1 of this Determination applied at the time.</w:t>
            </w:r>
          </w:p>
        </w:tc>
      </w:tr>
    </w:tbl>
    <w:p w14:paraId="23F1FCD9" w14:textId="77777777" w:rsidR="008014D3" w:rsidRPr="00AE5DBE" w:rsidRDefault="008014D3" w:rsidP="008014D3">
      <w:pPr>
        <w:pStyle w:val="Heading5"/>
      </w:pPr>
      <w:r>
        <w:t>3</w:t>
      </w:r>
      <w:r w:rsidRPr="00A25060">
        <w:t>.    </w:t>
      </w:r>
      <w:r>
        <w:t>Out of pocket costs incurred</w:t>
      </w:r>
    </w:p>
    <w:tbl>
      <w:tblPr>
        <w:tblW w:w="93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43"/>
        <w:gridCol w:w="25"/>
      </w:tblGrid>
      <w:tr w:rsidR="008014D3" w14:paraId="5BAAAE0A" w14:textId="77777777" w:rsidTr="00205F83">
        <w:trPr>
          <w:gridAfter w:val="1"/>
          <w:wAfter w:w="25" w:type="dxa"/>
        </w:trPr>
        <w:tc>
          <w:tcPr>
            <w:tcW w:w="994" w:type="dxa"/>
          </w:tcPr>
          <w:p w14:paraId="157DDCE3" w14:textId="77777777" w:rsidR="008014D3" w:rsidRPr="00AE5DBE" w:rsidRDefault="008014D3" w:rsidP="00205F83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lang w:eastAsia="en-AU"/>
              </w:rPr>
              <w:t>1.</w:t>
            </w:r>
          </w:p>
        </w:tc>
        <w:tc>
          <w:tcPr>
            <w:tcW w:w="8366" w:type="dxa"/>
          </w:tcPr>
          <w:p w14:paraId="188FB1F4" w14:textId="77777777" w:rsidR="008014D3" w:rsidRDefault="008014D3" w:rsidP="00205F83">
            <w:pPr>
              <w:pStyle w:val="Sectiontext"/>
            </w:pPr>
            <w:r>
              <w:t xml:space="preserve">This clause applies to a person who has incurred a cost for accommodation, meals or incidentals between December 15 2022 and the commencement of Schedule 1 of this Determination that they would otherwise have been eligible for under Chapter 14A Part 4 of the Defence Determination had the changes made by Schedule 1 of this Determination applied at the time. </w:t>
            </w:r>
          </w:p>
        </w:tc>
      </w:tr>
      <w:tr w:rsidR="008014D3" w14:paraId="5EAC6F74" w14:textId="77777777" w:rsidTr="00205F83">
        <w:tc>
          <w:tcPr>
            <w:tcW w:w="994" w:type="dxa"/>
          </w:tcPr>
          <w:p w14:paraId="3DE38BA7" w14:textId="77777777" w:rsidR="008014D3" w:rsidRDefault="008014D3" w:rsidP="00205F83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lang w:eastAsia="en-AU"/>
              </w:rPr>
              <w:t>2.</w:t>
            </w:r>
          </w:p>
        </w:tc>
        <w:tc>
          <w:tcPr>
            <w:tcW w:w="8366" w:type="dxa"/>
            <w:gridSpan w:val="2"/>
          </w:tcPr>
          <w:p w14:paraId="5D714D39" w14:textId="77777777" w:rsidR="008014D3" w:rsidRDefault="008014D3" w:rsidP="00205F83">
            <w:pPr>
              <w:pStyle w:val="Sectiontext"/>
            </w:pPr>
            <w:r>
              <w:t xml:space="preserve">The person is eligible for reimbursement of the costs incurred up to what they would have been eligible for had the changes made by Schedule 1 of this Determination applied at the time.   </w:t>
            </w:r>
          </w:p>
        </w:tc>
      </w:tr>
    </w:tbl>
    <w:p w14:paraId="4D3CB653" w14:textId="77777777" w:rsidR="001E51FE" w:rsidRPr="00F876FC" w:rsidRDefault="001E51FE" w:rsidP="00F876FC"/>
    <w:sectPr w:rsidR="001E51FE" w:rsidRPr="00F876FC" w:rsidSect="009705B7">
      <w:headerReference w:type="first" r:id="rId23"/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31DF4" w14:textId="77777777" w:rsidR="001A2617" w:rsidRDefault="001A2617" w:rsidP="0048364F">
      <w:pPr>
        <w:spacing w:line="240" w:lineRule="auto"/>
      </w:pPr>
      <w:r>
        <w:separator/>
      </w:r>
    </w:p>
  </w:endnote>
  <w:endnote w:type="continuationSeparator" w:id="0">
    <w:p w14:paraId="4730EDE5" w14:textId="77777777" w:rsidR="001A2617" w:rsidRDefault="001A261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0F6DAE3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84477"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B20990" w14:paraId="13D2EC2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30A5D726" w:rsidR="00B20990" w:rsidRPr="00B20990" w:rsidRDefault="00BA0F45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E1D00">
            <w:rPr>
              <w:i/>
              <w:noProof/>
              <w:sz w:val="18"/>
            </w:rPr>
            <w:t>Defence Determination, Conditions of service Amendment Determination 2023 (No. 3)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37EE6DBB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1D00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144248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B20990" w:rsidRDefault="00B20990" w:rsidP="007946FE">
          <w:pPr>
            <w:rPr>
              <w:sz w:val="18"/>
            </w:rPr>
          </w:pPr>
        </w:p>
      </w:tc>
    </w:tr>
  </w:tbl>
  <w:p w14:paraId="1E3A9C80" w14:textId="77777777" w:rsidR="00B20990" w:rsidRPr="00ED79B6" w:rsidRDefault="00B20990" w:rsidP="006D36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F738F" w14:textId="77777777" w:rsidR="001A2617" w:rsidRDefault="001A2617" w:rsidP="0048364F">
      <w:pPr>
        <w:spacing w:line="240" w:lineRule="auto"/>
      </w:pPr>
      <w:r>
        <w:separator/>
      </w:r>
    </w:p>
  </w:footnote>
  <w:footnote w:type="continuationSeparator" w:id="0">
    <w:p w14:paraId="370CFD68" w14:textId="77777777" w:rsidR="001A2617" w:rsidRDefault="001A261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hybridMultilevel"/>
    <w:tmpl w:val="6F7076BC"/>
    <w:styleLink w:val="OPCBodyList"/>
    <w:lvl w:ilvl="0" w:tplc="43405BA6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080D836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44D4C72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200A728C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3F046A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9C69B4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548D59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86EBED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E04D6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275D8"/>
    <w:rsid w:val="00034420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696D"/>
    <w:rsid w:val="000D05EF"/>
    <w:rsid w:val="000D3FB9"/>
    <w:rsid w:val="000D5485"/>
    <w:rsid w:val="000E598E"/>
    <w:rsid w:val="000E5A3D"/>
    <w:rsid w:val="000F0ADA"/>
    <w:rsid w:val="000F21C1"/>
    <w:rsid w:val="0010359E"/>
    <w:rsid w:val="0010745C"/>
    <w:rsid w:val="001122FF"/>
    <w:rsid w:val="00124D06"/>
    <w:rsid w:val="00160BD7"/>
    <w:rsid w:val="001643C9"/>
    <w:rsid w:val="00164901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2617"/>
    <w:rsid w:val="001A39A3"/>
    <w:rsid w:val="001A3B9F"/>
    <w:rsid w:val="001A5520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0BC0"/>
    <w:rsid w:val="001F1A46"/>
    <w:rsid w:val="00201D27"/>
    <w:rsid w:val="00207299"/>
    <w:rsid w:val="0021153A"/>
    <w:rsid w:val="0021243D"/>
    <w:rsid w:val="0022229F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3EC7"/>
    <w:rsid w:val="002B1B7A"/>
    <w:rsid w:val="002C152A"/>
    <w:rsid w:val="002C71AE"/>
    <w:rsid w:val="002D043A"/>
    <w:rsid w:val="002E1D00"/>
    <w:rsid w:val="002F2F7B"/>
    <w:rsid w:val="0031713F"/>
    <w:rsid w:val="003222D1"/>
    <w:rsid w:val="0032750F"/>
    <w:rsid w:val="003415D3"/>
    <w:rsid w:val="003442F6"/>
    <w:rsid w:val="00346335"/>
    <w:rsid w:val="00352B0F"/>
    <w:rsid w:val="003561B0"/>
    <w:rsid w:val="0037198E"/>
    <w:rsid w:val="00397893"/>
    <w:rsid w:val="003A15AC"/>
    <w:rsid w:val="003B0627"/>
    <w:rsid w:val="003C5F2B"/>
    <w:rsid w:val="003C7D35"/>
    <w:rsid w:val="003D0BFE"/>
    <w:rsid w:val="003D5700"/>
    <w:rsid w:val="003F37FA"/>
    <w:rsid w:val="003F506B"/>
    <w:rsid w:val="003F6F52"/>
    <w:rsid w:val="004022CA"/>
    <w:rsid w:val="00402AB8"/>
    <w:rsid w:val="004116CD"/>
    <w:rsid w:val="00414ADE"/>
    <w:rsid w:val="00423A8A"/>
    <w:rsid w:val="00424CA9"/>
    <w:rsid w:val="004257BB"/>
    <w:rsid w:val="0044291A"/>
    <w:rsid w:val="00442A64"/>
    <w:rsid w:val="004600B0"/>
    <w:rsid w:val="00460499"/>
    <w:rsid w:val="00460FBA"/>
    <w:rsid w:val="00474835"/>
    <w:rsid w:val="00475968"/>
    <w:rsid w:val="00477C48"/>
    <w:rsid w:val="004819C7"/>
    <w:rsid w:val="0048364F"/>
    <w:rsid w:val="004877FC"/>
    <w:rsid w:val="00490F2E"/>
    <w:rsid w:val="00496F97"/>
    <w:rsid w:val="004A53EA"/>
    <w:rsid w:val="004B22E4"/>
    <w:rsid w:val="004B35E7"/>
    <w:rsid w:val="004C5A5D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0850"/>
    <w:rsid w:val="00581211"/>
    <w:rsid w:val="00584811"/>
    <w:rsid w:val="00590C76"/>
    <w:rsid w:val="00593AA6"/>
    <w:rsid w:val="00594161"/>
    <w:rsid w:val="00594749"/>
    <w:rsid w:val="00594956"/>
    <w:rsid w:val="005B1555"/>
    <w:rsid w:val="005B4067"/>
    <w:rsid w:val="005C3038"/>
    <w:rsid w:val="005C3F41"/>
    <w:rsid w:val="005C4EF0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40402"/>
    <w:rsid w:val="00640F78"/>
    <w:rsid w:val="00655D6A"/>
    <w:rsid w:val="00656DE9"/>
    <w:rsid w:val="00672876"/>
    <w:rsid w:val="00677CC2"/>
    <w:rsid w:val="00685F42"/>
    <w:rsid w:val="0069207B"/>
    <w:rsid w:val="00697CB2"/>
    <w:rsid w:val="006A29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7CAB"/>
    <w:rsid w:val="0077113D"/>
    <w:rsid w:val="007715C9"/>
    <w:rsid w:val="00774EDD"/>
    <w:rsid w:val="007757EC"/>
    <w:rsid w:val="007808CC"/>
    <w:rsid w:val="007952E9"/>
    <w:rsid w:val="007A6863"/>
    <w:rsid w:val="007B7E65"/>
    <w:rsid w:val="007C78B4"/>
    <w:rsid w:val="007E0853"/>
    <w:rsid w:val="007E32B6"/>
    <w:rsid w:val="007E3976"/>
    <w:rsid w:val="007E486B"/>
    <w:rsid w:val="007E7D4A"/>
    <w:rsid w:val="007F48ED"/>
    <w:rsid w:val="007F5E3F"/>
    <w:rsid w:val="008014D3"/>
    <w:rsid w:val="00812F45"/>
    <w:rsid w:val="00836FE9"/>
    <w:rsid w:val="0084172C"/>
    <w:rsid w:val="008417DF"/>
    <w:rsid w:val="00844B72"/>
    <w:rsid w:val="008466C5"/>
    <w:rsid w:val="0085175E"/>
    <w:rsid w:val="00856A31"/>
    <w:rsid w:val="00864A66"/>
    <w:rsid w:val="008754D0"/>
    <w:rsid w:val="008754E4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05B7"/>
    <w:rsid w:val="00976A63"/>
    <w:rsid w:val="00991733"/>
    <w:rsid w:val="009B2490"/>
    <w:rsid w:val="009B50E5"/>
    <w:rsid w:val="009C3431"/>
    <w:rsid w:val="009C5989"/>
    <w:rsid w:val="009C6A32"/>
    <w:rsid w:val="009D08DA"/>
    <w:rsid w:val="009D5DE0"/>
    <w:rsid w:val="009F1229"/>
    <w:rsid w:val="00A003BB"/>
    <w:rsid w:val="00A06860"/>
    <w:rsid w:val="00A136F5"/>
    <w:rsid w:val="00A231E2"/>
    <w:rsid w:val="00A238CC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9231A"/>
    <w:rsid w:val="00A93CFA"/>
    <w:rsid w:val="00A95BC7"/>
    <w:rsid w:val="00AA0343"/>
    <w:rsid w:val="00AA78CE"/>
    <w:rsid w:val="00AA7B26"/>
    <w:rsid w:val="00AC03A7"/>
    <w:rsid w:val="00AC767C"/>
    <w:rsid w:val="00AD3467"/>
    <w:rsid w:val="00AD5641"/>
    <w:rsid w:val="00AF33DB"/>
    <w:rsid w:val="00AF6E41"/>
    <w:rsid w:val="00B032D8"/>
    <w:rsid w:val="00B039C8"/>
    <w:rsid w:val="00B05D72"/>
    <w:rsid w:val="00B14CB3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0F45"/>
    <w:rsid w:val="00BA47A3"/>
    <w:rsid w:val="00BA5026"/>
    <w:rsid w:val="00BA7B5B"/>
    <w:rsid w:val="00BB114D"/>
    <w:rsid w:val="00BB6E79"/>
    <w:rsid w:val="00BC00AA"/>
    <w:rsid w:val="00BE42C5"/>
    <w:rsid w:val="00BE719A"/>
    <w:rsid w:val="00BE720A"/>
    <w:rsid w:val="00BF0723"/>
    <w:rsid w:val="00BF6650"/>
    <w:rsid w:val="00C0057B"/>
    <w:rsid w:val="00C06594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3872"/>
    <w:rsid w:val="00CE0A93"/>
    <w:rsid w:val="00CF0BB2"/>
    <w:rsid w:val="00D12B0D"/>
    <w:rsid w:val="00D13441"/>
    <w:rsid w:val="00D15A4D"/>
    <w:rsid w:val="00D243A3"/>
    <w:rsid w:val="00D33440"/>
    <w:rsid w:val="00D50CED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64FC"/>
    <w:rsid w:val="00DE149E"/>
    <w:rsid w:val="00E034DB"/>
    <w:rsid w:val="00E05704"/>
    <w:rsid w:val="00E12F1A"/>
    <w:rsid w:val="00E22935"/>
    <w:rsid w:val="00E232C6"/>
    <w:rsid w:val="00E54292"/>
    <w:rsid w:val="00E54D2B"/>
    <w:rsid w:val="00E60191"/>
    <w:rsid w:val="00E74DC7"/>
    <w:rsid w:val="00E86DED"/>
    <w:rsid w:val="00E87699"/>
    <w:rsid w:val="00E92E27"/>
    <w:rsid w:val="00E9586B"/>
    <w:rsid w:val="00E97334"/>
    <w:rsid w:val="00EB3A99"/>
    <w:rsid w:val="00EB65F8"/>
    <w:rsid w:val="00EC45EE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876FC"/>
    <w:rsid w:val="00F94583"/>
    <w:rsid w:val="00FA083A"/>
    <w:rsid w:val="00FA420B"/>
    <w:rsid w:val="00FB5BBD"/>
    <w:rsid w:val="00FB6AEE"/>
    <w:rsid w:val="00FC3EAC"/>
    <w:rsid w:val="00FF39DE"/>
    <w:rsid w:val="42CFC087"/>
    <w:rsid w:val="6C6DAD46"/>
    <w:rsid w:val="7D6BC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customStyle="1" w:styleId="Default">
    <w:name w:val="Default"/>
    <w:rsid w:val="008754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text0">
    <w:name w:val="tabletext"/>
    <w:basedOn w:val="Normal"/>
    <w:rsid w:val="00C005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blocktext-plain0">
    <w:name w:val="blocktext-plain"/>
    <w:basedOn w:val="Normal"/>
    <w:rsid w:val="008014D3"/>
    <w:pPr>
      <w:spacing w:after="200" w:line="240" w:lineRule="auto"/>
    </w:pPr>
    <w:rPr>
      <w:rFonts w:ascii="Arial" w:eastAsia="Times New Roman" w:hAnsi="Arial" w:cs="Arial"/>
      <w:sz w:val="20"/>
      <w:lang w:eastAsia="en-AU"/>
    </w:rPr>
  </w:style>
  <w:style w:type="paragraph" w:customStyle="1" w:styleId="sectiontext0">
    <w:name w:val="sectiontext"/>
    <w:basedOn w:val="Normal"/>
    <w:rsid w:val="008014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bullettext1arial">
    <w:name w:val="bullettext1arial"/>
    <w:basedOn w:val="Normal"/>
    <w:rsid w:val="008014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B30F128-D928-40E9-B53D-9E0F7F20FB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863798DE750DA4FB0C12C61C26AEB14" ma:contentTypeVersion="" ma:contentTypeDescription="PDMS Document Site Content Type" ma:contentTypeScope="" ma:versionID="300e9a81fbac06ae21fa75404bee623c">
  <xsd:schema xmlns:xsd="http://www.w3.org/2001/XMLSchema" xmlns:xs="http://www.w3.org/2001/XMLSchema" xmlns:p="http://schemas.microsoft.com/office/2006/metadata/properties" xmlns:ns2="DB30F128-D928-40E9-B53D-9E0F7F20FB9D" targetNamespace="http://schemas.microsoft.com/office/2006/metadata/properties" ma:root="true" ma:fieldsID="729a7ece1cdfdc0d4d29f66fdaa7d62a" ns2:_="">
    <xsd:import namespace="DB30F128-D928-40E9-B53D-9E0F7F20FB9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128-D928-40E9-B53D-9E0F7F20FB9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D5C2-A643-469C-943C-3AD99115B8E2}">
  <ds:schemaRefs>
    <ds:schemaRef ds:uri="http://schemas.microsoft.com/office/2006/metadata/properties"/>
    <ds:schemaRef ds:uri="http://schemas.microsoft.com/office/infopath/2007/PartnerControls"/>
    <ds:schemaRef ds:uri="DB30F128-D928-40E9-B53D-9E0F7F20FB9D"/>
  </ds:schemaRefs>
</ds:datastoreItem>
</file>

<file path=customXml/itemProps2.xml><?xml version="1.0" encoding="utf-8"?>
<ds:datastoreItem xmlns:ds="http://schemas.openxmlformats.org/officeDocument/2006/customXml" ds:itemID="{64ABA4A2-BB10-4F73-A2CA-216ECC8B7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0F128-D928-40E9-B53D-9E0F7F20F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24DF-A991-4544-A017-09BF0BDAD7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F495E-5A65-47B4-8CF8-841D00CC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3</TotalTime>
  <Pages>8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Bellew, Leah MS</dc:creator>
  <cp:lastModifiedBy>Alberts, Jacqueline MS</cp:lastModifiedBy>
  <cp:revision>3</cp:revision>
  <cp:lastPrinted>2019-05-12T23:26:00Z</cp:lastPrinted>
  <dcterms:created xsi:type="dcterms:W3CDTF">2023-02-01T06:36:00Z</dcterms:created>
  <dcterms:modified xsi:type="dcterms:W3CDTF">2023-02-01T06:59:00Z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BN59028582</vt:lpwstr>
  </property>
  <property fmtid="{D5CDD505-2E9C-101B-9397-08002B2CF9AE}" pid="4" name="Objective-Title">
    <vt:lpwstr>58B - 2023/3 - February Omnibus</vt:lpwstr>
  </property>
  <property fmtid="{D5CDD505-2E9C-101B-9397-08002B2CF9AE}" pid="5" name="Objective-Comment">
    <vt:lpwstr/>
  </property>
  <property fmtid="{D5CDD505-2E9C-101B-9397-08002B2CF9AE}" pid="6" name="Objective-CreationStamp">
    <vt:filetime>2023-01-24T01:12:32Z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2023-01-31T23:28:03Z</vt:filetime>
  </property>
  <property fmtid="{D5CDD505-2E9C-101B-9397-08002B2CF9AE}" pid="10" name="Objective-ModificationStamp">
    <vt:filetime>2023-02-01T04:02:02Z</vt:filetime>
  </property>
  <property fmtid="{D5CDD505-2E9C-101B-9397-08002B2CF9AE}" pid="11" name="Objective-Owner">
    <vt:lpwstr>Alberts, Jacqueline Ms</vt:lpwstr>
  </property>
  <property fmtid="{D5CDD505-2E9C-101B-9397-08002B2CF9AE}" pid="12" name="Objective-Path">
    <vt:lpwstr>Objective Global Folder - PROD:Defence Business Units:Associate Secretary Organisation:Defence People Group:People Policy &amp; Culture:PPEC : Personnel Policy and Employment Conditions:20 - Directorates:20 Drafting and Engagement:02. Legislative Drafting tea</vt:lpwstr>
  </property>
  <property fmtid="{D5CDD505-2E9C-101B-9397-08002B2CF9AE}" pid="13" name="Objective-Parent">
    <vt:lpwstr>Briefing pack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i4>10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0x010100266966F133664895A6EE3632470D45F500E863798DE750DA4FB0C12C61C26AEB14</vt:lpwstr>
  </property>
  <property fmtid="{D5CDD505-2E9C-101B-9397-08002B2CF9AE}" pid="23" name="Objective-Reason for Security Classification Change [system]">
    <vt:lpwstr/>
  </property>
</Properties>
</file>