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5B1B52" w14:textId="77777777" w:rsidR="00E075A8" w:rsidRDefault="00E075A8" w:rsidP="00E075A8">
      <w:pPr>
        <w:ind w:right="91"/>
        <w:jc w:val="center"/>
        <w:rPr>
          <w:color w:val="000000" w:themeColor="text1"/>
        </w:rPr>
      </w:pPr>
      <w:bookmarkStart w:id="0" w:name="_GoBack"/>
      <w:bookmarkEnd w:id="0"/>
      <w:r>
        <w:rPr>
          <w:b/>
          <w:color w:val="000000" w:themeColor="text1"/>
          <w:u w:val="single"/>
        </w:rPr>
        <w:t>EXPLANATORY STATEMENT</w:t>
      </w:r>
    </w:p>
    <w:p w14:paraId="4433F8C6" w14:textId="77777777" w:rsidR="00E075A8" w:rsidRDefault="00E075A8" w:rsidP="00E075A8">
      <w:pPr>
        <w:ind w:right="91"/>
        <w:jc w:val="center"/>
        <w:rPr>
          <w:color w:val="000000" w:themeColor="text1"/>
        </w:rPr>
      </w:pPr>
    </w:p>
    <w:p w14:paraId="18DB918F" w14:textId="77777777" w:rsidR="00E075A8" w:rsidRDefault="00E075A8" w:rsidP="00E075A8">
      <w:pPr>
        <w:jc w:val="center"/>
        <w:rPr>
          <w:color w:val="000000" w:themeColor="text1"/>
          <w:lang w:eastAsia="en-AU"/>
        </w:rPr>
      </w:pPr>
      <w:r>
        <w:rPr>
          <w:color w:val="000000" w:themeColor="text1"/>
        </w:rPr>
        <w:t>Issued by the authority of the Minister for Regional Development, Local Government and Territories</w:t>
      </w:r>
    </w:p>
    <w:p w14:paraId="3A6BD552" w14:textId="77777777" w:rsidR="00E075A8" w:rsidRDefault="00E075A8" w:rsidP="00E075A8">
      <w:pPr>
        <w:ind w:right="91"/>
        <w:rPr>
          <w:color w:val="000000" w:themeColor="text1"/>
        </w:rPr>
      </w:pPr>
    </w:p>
    <w:p w14:paraId="55E3715F" w14:textId="77777777" w:rsidR="00E075A8" w:rsidRDefault="00E075A8" w:rsidP="00E075A8">
      <w:pPr>
        <w:ind w:right="91"/>
        <w:jc w:val="center"/>
        <w:rPr>
          <w:i/>
          <w:color w:val="000000" w:themeColor="text1"/>
        </w:rPr>
      </w:pPr>
      <w:r>
        <w:rPr>
          <w:i/>
          <w:color w:val="000000" w:themeColor="text1"/>
        </w:rPr>
        <w:t>Norfolk Island Act 1979</w:t>
      </w:r>
    </w:p>
    <w:p w14:paraId="11812766" w14:textId="77777777" w:rsidR="00E075A8" w:rsidRDefault="00E075A8" w:rsidP="00E075A8">
      <w:pPr>
        <w:ind w:right="91"/>
        <w:jc w:val="center"/>
        <w:rPr>
          <w:color w:val="000000" w:themeColor="text1"/>
        </w:rPr>
      </w:pPr>
    </w:p>
    <w:p w14:paraId="22D13E63" w14:textId="6A40AACD" w:rsidR="00E075A8" w:rsidRDefault="00E075A8" w:rsidP="00E075A8">
      <w:pPr>
        <w:ind w:right="91"/>
        <w:jc w:val="center"/>
        <w:rPr>
          <w:i/>
          <w:color w:val="000000" w:themeColor="text1"/>
        </w:rPr>
      </w:pPr>
      <w:r>
        <w:rPr>
          <w:i/>
          <w:iCs/>
        </w:rPr>
        <w:t>Norfolk Island Applied Laws and Service Delivery (Queensland) Amendment (Education) Ordinance 202</w:t>
      </w:r>
      <w:r w:rsidR="00085BE0">
        <w:rPr>
          <w:i/>
          <w:iCs/>
        </w:rPr>
        <w:t>3</w:t>
      </w:r>
    </w:p>
    <w:p w14:paraId="505316A2" w14:textId="77777777" w:rsidR="00E075A8" w:rsidRDefault="00E075A8" w:rsidP="00E075A8">
      <w:pPr>
        <w:ind w:right="91"/>
        <w:rPr>
          <w:color w:val="000000" w:themeColor="text1"/>
        </w:rPr>
      </w:pPr>
    </w:p>
    <w:p w14:paraId="1E98274F" w14:textId="576E5987" w:rsidR="00E075A8" w:rsidRPr="00A74BE1" w:rsidRDefault="00E075A8" w:rsidP="00A74BE1">
      <w:pPr>
        <w:pStyle w:val="Heading6"/>
        <w:rPr>
          <w:lang w:val="en-US"/>
        </w:rPr>
      </w:pPr>
      <w:r w:rsidRPr="00A74BE1">
        <w:rPr>
          <w:lang w:val="en-US"/>
        </w:rPr>
        <w:t>Authority</w:t>
      </w:r>
    </w:p>
    <w:p w14:paraId="3F6D8070" w14:textId="77777777" w:rsidR="003B34AA" w:rsidRPr="00371909" w:rsidRDefault="003B34AA" w:rsidP="003213A9">
      <w:pPr>
        <w:rPr>
          <w:lang w:val="en-US" w:eastAsia="en-AU"/>
        </w:rPr>
      </w:pPr>
    </w:p>
    <w:p w14:paraId="4E28CF19" w14:textId="52195109" w:rsidR="00E075A8" w:rsidRDefault="00E075A8" w:rsidP="00E075A8">
      <w:pPr>
        <w:ind w:right="91"/>
        <w:rPr>
          <w:color w:val="000000" w:themeColor="text1"/>
        </w:rPr>
      </w:pPr>
      <w:bookmarkStart w:id="1" w:name="_Hlk108079080"/>
      <w:r>
        <w:rPr>
          <w:color w:val="000000" w:themeColor="text1"/>
        </w:rPr>
        <w:t xml:space="preserve">The </w:t>
      </w:r>
      <w:r>
        <w:rPr>
          <w:i/>
          <w:color w:val="000000" w:themeColor="text1"/>
        </w:rPr>
        <w:t>Norfolk Island Act 1979</w:t>
      </w:r>
      <w:r>
        <w:rPr>
          <w:color w:val="000000" w:themeColor="text1"/>
        </w:rPr>
        <w:t xml:space="preserve"> (Cth) (the Act) deals with the governance of Norfolk Island. N</w:t>
      </w:r>
      <w:r w:rsidR="00394B40">
        <w:rPr>
          <w:color w:val="000000" w:themeColor="text1"/>
        </w:rPr>
        <w:t>orfolk Island</w:t>
      </w:r>
      <w:r>
        <w:rPr>
          <w:color w:val="000000" w:themeColor="text1"/>
        </w:rPr>
        <w:t xml:space="preserve"> is a Commonwealth administered territory with no state legislature.</w:t>
      </w:r>
    </w:p>
    <w:p w14:paraId="0E9DE447" w14:textId="77777777" w:rsidR="00E075A8" w:rsidRDefault="00E075A8" w:rsidP="00E075A8">
      <w:pPr>
        <w:ind w:right="91"/>
        <w:rPr>
          <w:color w:val="000000" w:themeColor="text1"/>
        </w:rPr>
      </w:pPr>
    </w:p>
    <w:bookmarkEnd w:id="1"/>
    <w:p w14:paraId="5A4B2460" w14:textId="6AD6D5E3" w:rsidR="00E075A8" w:rsidRDefault="00E075A8" w:rsidP="00E075A8">
      <w:pPr>
        <w:ind w:right="91"/>
        <w:rPr>
          <w:color w:val="000000" w:themeColor="text1"/>
        </w:rPr>
      </w:pPr>
      <w:r>
        <w:rPr>
          <w:color w:val="000000" w:themeColor="text1"/>
        </w:rPr>
        <w:t xml:space="preserve">Subsection 18A(1) of the Act provides that the laws of an applied law jurisdiction are in force in Norfolk Island. Section 5 of the </w:t>
      </w:r>
      <w:r>
        <w:rPr>
          <w:i/>
          <w:color w:val="000000" w:themeColor="text1"/>
        </w:rPr>
        <w:t>Norfolk Island Regulations 2021</w:t>
      </w:r>
      <w:r>
        <w:rPr>
          <w:color w:val="000000" w:themeColor="text1"/>
        </w:rPr>
        <w:t xml:space="preserve"> (Cth) provides that Queensland is </w:t>
      </w:r>
      <w:r w:rsidR="00CE33A4">
        <w:rPr>
          <w:color w:val="000000" w:themeColor="text1"/>
        </w:rPr>
        <w:t xml:space="preserve">an </w:t>
      </w:r>
      <w:r>
        <w:rPr>
          <w:color w:val="000000" w:themeColor="text1"/>
        </w:rPr>
        <w:t>applied law jurisdiction. Subsection 18A(2) of the Act provides that applied laws may be amended or repealed by a</w:t>
      </w:r>
      <w:r w:rsidR="00C737D2">
        <w:rPr>
          <w:color w:val="000000" w:themeColor="text1"/>
        </w:rPr>
        <w:t>n</w:t>
      </w:r>
      <w:r>
        <w:rPr>
          <w:color w:val="000000" w:themeColor="text1"/>
        </w:rPr>
        <w:t xml:space="preserve"> Ordinance </w:t>
      </w:r>
      <w:r w:rsidR="00C737D2">
        <w:rPr>
          <w:color w:val="000000" w:themeColor="text1"/>
        </w:rPr>
        <w:t xml:space="preserve">made under section 19A </w:t>
      </w:r>
      <w:r>
        <w:rPr>
          <w:color w:val="000000" w:themeColor="text1"/>
        </w:rPr>
        <w:t>or a law made under a section 19A Ordinance.</w:t>
      </w:r>
    </w:p>
    <w:p w14:paraId="0FBF53A4" w14:textId="77777777" w:rsidR="00E075A8" w:rsidRDefault="00E075A8" w:rsidP="00E075A8">
      <w:pPr>
        <w:ind w:right="91"/>
        <w:rPr>
          <w:color w:val="000000" w:themeColor="text1"/>
        </w:rPr>
      </w:pPr>
    </w:p>
    <w:p w14:paraId="39F8691C" w14:textId="77777777" w:rsidR="00E075A8" w:rsidRDefault="00E075A8" w:rsidP="00E075A8">
      <w:pPr>
        <w:ind w:right="91"/>
        <w:rPr>
          <w:color w:val="000000" w:themeColor="text1"/>
        </w:rPr>
      </w:pPr>
      <w:r>
        <w:rPr>
          <w:color w:val="000000" w:themeColor="text1"/>
        </w:rPr>
        <w:t>Subsection 19A(1) of the Act provides that the Governor-General may make Ordinances for the peace, order and good government of the Territory.</w:t>
      </w:r>
    </w:p>
    <w:p w14:paraId="09E5294C" w14:textId="77777777" w:rsidR="00E075A8" w:rsidRDefault="00E075A8" w:rsidP="00E075A8">
      <w:pPr>
        <w:ind w:right="91"/>
        <w:rPr>
          <w:color w:val="000000" w:themeColor="text1"/>
        </w:rPr>
      </w:pPr>
    </w:p>
    <w:p w14:paraId="376DFF15" w14:textId="75F0E3EA" w:rsidR="00E075A8" w:rsidRDefault="00E075A8" w:rsidP="00E075A8">
      <w:pPr>
        <w:ind w:right="91"/>
        <w:rPr>
          <w:color w:val="000000" w:themeColor="text1"/>
        </w:rPr>
      </w:pPr>
      <w:bookmarkStart w:id="2" w:name="_Hlk108079127"/>
      <w:r>
        <w:rPr>
          <w:color w:val="000000" w:themeColor="text1"/>
        </w:rPr>
        <w:t xml:space="preserve">The </w:t>
      </w:r>
      <w:r>
        <w:rPr>
          <w:i/>
          <w:iCs/>
        </w:rPr>
        <w:t>Norfolk Island Applied Laws and Service Delivery (Queensland) Amendment (Education) Ordinance 202</w:t>
      </w:r>
      <w:r w:rsidR="00085BE0">
        <w:rPr>
          <w:i/>
          <w:iCs/>
        </w:rPr>
        <w:t>3</w:t>
      </w:r>
      <w:r>
        <w:rPr>
          <w:color w:val="000000" w:themeColor="text1"/>
        </w:rPr>
        <w:t xml:space="preserve"> </w:t>
      </w:r>
      <w:r w:rsidR="00D85762">
        <w:rPr>
          <w:color w:val="000000" w:themeColor="text1"/>
        </w:rPr>
        <w:t xml:space="preserve">(Cth) </w:t>
      </w:r>
      <w:r>
        <w:rPr>
          <w:color w:val="000000" w:themeColor="text1"/>
        </w:rPr>
        <w:t>(the Ordinance) is made under subsection 19A(1) of the Act.</w:t>
      </w:r>
    </w:p>
    <w:bookmarkEnd w:id="2"/>
    <w:p w14:paraId="11DFA47E" w14:textId="77777777" w:rsidR="00E075A8" w:rsidRDefault="00E075A8" w:rsidP="00E075A8">
      <w:pPr>
        <w:ind w:right="91"/>
        <w:rPr>
          <w:color w:val="000000" w:themeColor="text1"/>
        </w:rPr>
      </w:pPr>
    </w:p>
    <w:p w14:paraId="4BB643C6" w14:textId="5F035BF6" w:rsidR="00E075A8" w:rsidRDefault="00E075A8" w:rsidP="00E075A8">
      <w:pPr>
        <w:tabs>
          <w:tab w:val="left" w:pos="6521"/>
        </w:tabs>
        <w:ind w:right="91"/>
        <w:rPr>
          <w:color w:val="000000" w:themeColor="text1"/>
        </w:rPr>
      </w:pPr>
      <w:r>
        <w:rPr>
          <w:color w:val="000000" w:themeColor="text1"/>
        </w:rPr>
        <w:t>The Act specifies no conditions that need to be satisfied before the power to make the proposed Ordinance may be exercised.</w:t>
      </w:r>
    </w:p>
    <w:p w14:paraId="1EEBCC21" w14:textId="77777777" w:rsidR="003B34AA" w:rsidRDefault="003B34AA" w:rsidP="00E075A8">
      <w:pPr>
        <w:tabs>
          <w:tab w:val="left" w:pos="6521"/>
        </w:tabs>
        <w:ind w:right="91"/>
        <w:rPr>
          <w:color w:val="000000" w:themeColor="text1"/>
        </w:rPr>
      </w:pPr>
    </w:p>
    <w:p w14:paraId="2A52E024" w14:textId="2B55CCC2" w:rsidR="00E075A8" w:rsidRDefault="00E075A8" w:rsidP="003B34AA">
      <w:pPr>
        <w:pStyle w:val="Heading6"/>
        <w:rPr>
          <w:lang w:val="en-US"/>
        </w:rPr>
      </w:pPr>
      <w:r w:rsidRPr="00A74BE1">
        <w:rPr>
          <w:lang w:val="en-US"/>
        </w:rPr>
        <w:t>Purpose and operation</w:t>
      </w:r>
    </w:p>
    <w:p w14:paraId="159D08EB" w14:textId="77777777" w:rsidR="003B34AA" w:rsidRPr="00A74BE1" w:rsidRDefault="003B34AA" w:rsidP="00A74BE1">
      <w:pPr>
        <w:rPr>
          <w:lang w:val="en-US"/>
        </w:rPr>
      </w:pPr>
    </w:p>
    <w:p w14:paraId="486D9D6B" w14:textId="3254C0CD" w:rsidR="00E075A8" w:rsidRDefault="00E075A8" w:rsidP="00E075A8">
      <w:pPr>
        <w:tabs>
          <w:tab w:val="left" w:pos="6521"/>
        </w:tabs>
        <w:ind w:right="91"/>
        <w:rPr>
          <w:color w:val="000000" w:themeColor="text1"/>
        </w:rPr>
      </w:pPr>
      <w:bookmarkStart w:id="3" w:name="_Hlk108173402"/>
      <w:r>
        <w:rPr>
          <w:color w:val="000000" w:themeColor="text1"/>
        </w:rPr>
        <w:t>The Queensland Government agreed to take over the delivery of certain services to the Territory of Norfolk Island from 1 January 2022 following the expiry of the previous agreement with the New South Wales Government. Agreement was formalised in the Intergovernmental Partnership Agreement (IGA) on State Service Delivery to Norfolk Island</w:t>
      </w:r>
      <w:r w:rsidR="00C737D2">
        <w:rPr>
          <w:color w:val="000000" w:themeColor="text1"/>
        </w:rPr>
        <w:t>,</w:t>
      </w:r>
      <w:r>
        <w:rPr>
          <w:color w:val="000000" w:themeColor="text1"/>
        </w:rPr>
        <w:t xml:space="preserve"> </w:t>
      </w:r>
      <w:r w:rsidR="002C3834">
        <w:rPr>
          <w:color w:val="000000" w:themeColor="text1"/>
        </w:rPr>
        <w:t>announced</w:t>
      </w:r>
      <w:r>
        <w:rPr>
          <w:color w:val="000000" w:themeColor="text1"/>
        </w:rPr>
        <w:t xml:space="preserve"> by the Australian and Queensland governments on 26 October 2021.</w:t>
      </w:r>
    </w:p>
    <w:p w14:paraId="303CF1A1" w14:textId="77777777" w:rsidR="00E075A8" w:rsidRDefault="00E075A8" w:rsidP="00E075A8">
      <w:pPr>
        <w:tabs>
          <w:tab w:val="left" w:pos="6521"/>
        </w:tabs>
        <w:ind w:right="91"/>
        <w:rPr>
          <w:color w:val="000000" w:themeColor="text1"/>
        </w:rPr>
      </w:pPr>
    </w:p>
    <w:p w14:paraId="2D0E8C93" w14:textId="77777777" w:rsidR="00E075A8" w:rsidRDefault="00E075A8" w:rsidP="00E075A8">
      <w:pPr>
        <w:tabs>
          <w:tab w:val="left" w:pos="6521"/>
        </w:tabs>
        <w:ind w:right="91"/>
        <w:rPr>
          <w:color w:val="000000" w:themeColor="text1"/>
        </w:rPr>
      </w:pPr>
      <w:bookmarkStart w:id="4" w:name="_Hlk115087820"/>
      <w:r>
        <w:rPr>
          <w:color w:val="000000" w:themeColor="text1"/>
        </w:rPr>
        <w:t xml:space="preserve">Legislative instruments have been enacted to give effect to the IGA and to provide a core legal framework to ensure continuity of essential services. The overarching instrument is the </w:t>
      </w:r>
      <w:r>
        <w:rPr>
          <w:i/>
          <w:color w:val="000000" w:themeColor="text1"/>
        </w:rPr>
        <w:t>Norfolk Island Applied Laws and Service Delivery (Queensland) Ordinance 2021</w:t>
      </w:r>
      <w:r w:rsidR="00C737D2">
        <w:rPr>
          <w:i/>
          <w:color w:val="000000" w:themeColor="text1"/>
        </w:rPr>
        <w:t xml:space="preserve"> </w:t>
      </w:r>
      <w:r w:rsidR="00C737D2" w:rsidRPr="00C737D2">
        <w:rPr>
          <w:color w:val="000000" w:themeColor="text1"/>
        </w:rPr>
        <w:t>(Cth)</w:t>
      </w:r>
      <w:r>
        <w:rPr>
          <w:color w:val="000000" w:themeColor="text1"/>
        </w:rPr>
        <w:t>.</w:t>
      </w:r>
    </w:p>
    <w:p w14:paraId="2233AA23" w14:textId="77777777" w:rsidR="00E075A8" w:rsidRDefault="00E075A8" w:rsidP="00E075A8">
      <w:pPr>
        <w:tabs>
          <w:tab w:val="left" w:pos="6521"/>
        </w:tabs>
        <w:ind w:right="91"/>
        <w:rPr>
          <w:color w:val="000000" w:themeColor="text1"/>
        </w:rPr>
      </w:pPr>
    </w:p>
    <w:p w14:paraId="3312C62D" w14:textId="1C043CD6" w:rsidR="00E075A8" w:rsidRDefault="00E075A8" w:rsidP="00E075A8">
      <w:pPr>
        <w:tabs>
          <w:tab w:val="left" w:pos="6521"/>
        </w:tabs>
        <w:ind w:right="91"/>
        <w:rPr>
          <w:color w:val="000000" w:themeColor="text1"/>
        </w:rPr>
      </w:pPr>
      <w:r>
        <w:rPr>
          <w:color w:val="000000" w:themeColor="text1"/>
        </w:rPr>
        <w:t xml:space="preserve">In January 2022, a range of </w:t>
      </w:r>
      <w:r w:rsidR="00C737D2">
        <w:rPr>
          <w:color w:val="000000" w:themeColor="text1"/>
        </w:rPr>
        <w:t>Queensland e</w:t>
      </w:r>
      <w:r>
        <w:rPr>
          <w:color w:val="000000" w:themeColor="text1"/>
        </w:rPr>
        <w:t xml:space="preserve">ducation-related laws were applied on Norfolk Island under the </w:t>
      </w:r>
      <w:r>
        <w:rPr>
          <w:i/>
          <w:color w:val="000000" w:themeColor="text1"/>
        </w:rPr>
        <w:t>Norfolk Island Applied Laws and Service Delivery (Queensland) Ordinance 2021</w:t>
      </w:r>
      <w:r w:rsidR="00C737D2">
        <w:rPr>
          <w:i/>
          <w:color w:val="000000" w:themeColor="text1"/>
        </w:rPr>
        <w:t xml:space="preserve"> </w:t>
      </w:r>
      <w:r w:rsidR="00C737D2" w:rsidRPr="00C737D2">
        <w:rPr>
          <w:color w:val="000000" w:themeColor="text1"/>
        </w:rPr>
        <w:t>(Cth)</w:t>
      </w:r>
      <w:r>
        <w:rPr>
          <w:color w:val="000000" w:themeColor="text1"/>
        </w:rPr>
        <w:t>. These included the:</w:t>
      </w:r>
    </w:p>
    <w:p w14:paraId="72496E6F" w14:textId="77777777" w:rsidR="00E075A8" w:rsidRDefault="00E075A8" w:rsidP="00E075A8">
      <w:pPr>
        <w:pStyle w:val="ListParagraph"/>
        <w:numPr>
          <w:ilvl w:val="1"/>
          <w:numId w:val="41"/>
        </w:numPr>
        <w:spacing w:before="240" w:after="200" w:line="240" w:lineRule="auto"/>
        <w:ind w:left="1134" w:hanging="425"/>
        <w:rPr>
          <w:rFonts w:ascii="Times New Roman" w:hAnsi="Times New Roman" w:cs="Times New Roman"/>
          <w:i/>
          <w:sz w:val="24"/>
          <w:szCs w:val="24"/>
        </w:rPr>
      </w:pPr>
      <w:r>
        <w:rPr>
          <w:rFonts w:ascii="Times New Roman" w:hAnsi="Times New Roman" w:cs="Times New Roman"/>
          <w:i/>
          <w:sz w:val="24"/>
          <w:szCs w:val="24"/>
        </w:rPr>
        <w:t>Education (General Provisions) Act 2006</w:t>
      </w:r>
      <w:r w:rsidR="00C737D2">
        <w:rPr>
          <w:rFonts w:ascii="Times New Roman" w:hAnsi="Times New Roman" w:cs="Times New Roman"/>
          <w:i/>
          <w:sz w:val="24"/>
          <w:szCs w:val="24"/>
        </w:rPr>
        <w:t xml:space="preserve"> </w:t>
      </w:r>
      <w:r w:rsidR="00C737D2" w:rsidRPr="00C737D2">
        <w:rPr>
          <w:rFonts w:ascii="Times New Roman" w:hAnsi="Times New Roman" w:cs="Times New Roman"/>
          <w:sz w:val="24"/>
          <w:szCs w:val="24"/>
        </w:rPr>
        <w:t>(Qld)</w:t>
      </w:r>
    </w:p>
    <w:p w14:paraId="061E7A1C" w14:textId="77777777" w:rsidR="00E075A8" w:rsidRDefault="00E075A8" w:rsidP="00E075A8">
      <w:pPr>
        <w:pStyle w:val="ListParagraph"/>
        <w:numPr>
          <w:ilvl w:val="1"/>
          <w:numId w:val="41"/>
        </w:numPr>
        <w:spacing w:before="240" w:after="200" w:line="240" w:lineRule="auto"/>
        <w:ind w:left="1134" w:hanging="425"/>
        <w:rPr>
          <w:rFonts w:ascii="Times New Roman" w:hAnsi="Times New Roman" w:cs="Times New Roman"/>
          <w:i/>
          <w:sz w:val="24"/>
          <w:szCs w:val="24"/>
        </w:rPr>
      </w:pPr>
      <w:r>
        <w:rPr>
          <w:rFonts w:ascii="Times New Roman" w:hAnsi="Times New Roman" w:cs="Times New Roman"/>
          <w:i/>
          <w:sz w:val="24"/>
          <w:szCs w:val="24"/>
        </w:rPr>
        <w:t xml:space="preserve">Education (General Provisions) Regulation 2017 </w:t>
      </w:r>
      <w:r w:rsidR="00C737D2" w:rsidRPr="00C737D2">
        <w:rPr>
          <w:rFonts w:ascii="Times New Roman" w:hAnsi="Times New Roman" w:cs="Times New Roman"/>
          <w:sz w:val="24"/>
          <w:szCs w:val="24"/>
        </w:rPr>
        <w:t>(Qld)</w:t>
      </w:r>
    </w:p>
    <w:p w14:paraId="5A3F394B" w14:textId="77777777" w:rsidR="00E075A8" w:rsidRDefault="00E075A8" w:rsidP="00E075A8">
      <w:pPr>
        <w:pStyle w:val="ListParagraph"/>
        <w:numPr>
          <w:ilvl w:val="1"/>
          <w:numId w:val="41"/>
        </w:numPr>
        <w:spacing w:before="240" w:after="200" w:line="240" w:lineRule="auto"/>
        <w:ind w:left="1134" w:hanging="425"/>
        <w:rPr>
          <w:rFonts w:ascii="Times New Roman" w:hAnsi="Times New Roman" w:cs="Times New Roman"/>
          <w:i/>
          <w:sz w:val="24"/>
          <w:szCs w:val="24"/>
        </w:rPr>
      </w:pPr>
      <w:r>
        <w:rPr>
          <w:rFonts w:ascii="Times New Roman" w:hAnsi="Times New Roman" w:cs="Times New Roman"/>
          <w:i/>
          <w:sz w:val="24"/>
          <w:szCs w:val="24"/>
        </w:rPr>
        <w:t>Education (Queensland College of Teachers) Act 2005</w:t>
      </w:r>
      <w:r w:rsidR="00C737D2">
        <w:rPr>
          <w:rFonts w:ascii="Times New Roman" w:hAnsi="Times New Roman" w:cs="Times New Roman"/>
          <w:i/>
          <w:sz w:val="24"/>
          <w:szCs w:val="24"/>
        </w:rPr>
        <w:t xml:space="preserve"> </w:t>
      </w:r>
      <w:r w:rsidR="00C737D2" w:rsidRPr="00C737D2">
        <w:rPr>
          <w:rFonts w:ascii="Times New Roman" w:hAnsi="Times New Roman" w:cs="Times New Roman"/>
          <w:sz w:val="24"/>
          <w:szCs w:val="24"/>
        </w:rPr>
        <w:t>(Qld)</w:t>
      </w:r>
    </w:p>
    <w:p w14:paraId="4685EA22" w14:textId="77777777" w:rsidR="00E075A8" w:rsidRDefault="00E075A8" w:rsidP="00E075A8">
      <w:pPr>
        <w:pStyle w:val="ListParagraph"/>
        <w:numPr>
          <w:ilvl w:val="1"/>
          <w:numId w:val="41"/>
        </w:numPr>
        <w:spacing w:before="240" w:after="200" w:line="240" w:lineRule="auto"/>
        <w:ind w:left="1134" w:hanging="425"/>
        <w:rPr>
          <w:rFonts w:ascii="Times New Roman" w:hAnsi="Times New Roman" w:cs="Times New Roman"/>
          <w:i/>
          <w:sz w:val="24"/>
          <w:szCs w:val="24"/>
        </w:rPr>
      </w:pPr>
      <w:r>
        <w:rPr>
          <w:rFonts w:ascii="Times New Roman" w:hAnsi="Times New Roman" w:cs="Times New Roman"/>
          <w:i/>
          <w:sz w:val="24"/>
          <w:szCs w:val="24"/>
        </w:rPr>
        <w:t>Education (Queensland Curriculum and Assessment Authority) Regulation 2014</w:t>
      </w:r>
      <w:r w:rsidR="00C737D2">
        <w:rPr>
          <w:rFonts w:ascii="Times New Roman" w:hAnsi="Times New Roman" w:cs="Times New Roman"/>
          <w:i/>
          <w:sz w:val="24"/>
          <w:szCs w:val="24"/>
        </w:rPr>
        <w:t xml:space="preserve"> </w:t>
      </w:r>
      <w:r w:rsidR="00C737D2" w:rsidRPr="00C737D2">
        <w:rPr>
          <w:rFonts w:ascii="Times New Roman" w:hAnsi="Times New Roman" w:cs="Times New Roman"/>
          <w:sz w:val="24"/>
          <w:szCs w:val="24"/>
        </w:rPr>
        <w:t>(Qld)</w:t>
      </w:r>
    </w:p>
    <w:p w14:paraId="1A73E5CF" w14:textId="77777777" w:rsidR="00E075A8" w:rsidRDefault="00E075A8" w:rsidP="00E075A8">
      <w:pPr>
        <w:tabs>
          <w:tab w:val="left" w:pos="6521"/>
        </w:tabs>
        <w:ind w:right="91"/>
        <w:rPr>
          <w:color w:val="000000" w:themeColor="text1"/>
        </w:rPr>
      </w:pPr>
      <w:bookmarkStart w:id="5" w:name="_Hlk115088284"/>
      <w:bookmarkEnd w:id="4"/>
      <w:r>
        <w:rPr>
          <w:color w:val="000000" w:themeColor="text1"/>
        </w:rPr>
        <w:lastRenderedPageBreak/>
        <w:t>Amendments are now required to these applied laws to adjust certain aspects to suit the Norfolk Island context</w:t>
      </w:r>
      <w:bookmarkEnd w:id="5"/>
      <w:r>
        <w:rPr>
          <w:color w:val="000000" w:themeColor="text1"/>
        </w:rPr>
        <w:t xml:space="preserve">. </w:t>
      </w:r>
    </w:p>
    <w:bookmarkEnd w:id="3"/>
    <w:p w14:paraId="6B43E64D" w14:textId="77777777" w:rsidR="00E075A8" w:rsidRDefault="00E075A8" w:rsidP="00E075A8">
      <w:pPr>
        <w:rPr>
          <w:color w:val="000000" w:themeColor="text1"/>
          <w:lang w:val="en-US"/>
        </w:rPr>
      </w:pPr>
    </w:p>
    <w:p w14:paraId="26E70957" w14:textId="4C092A0C" w:rsidR="00E075A8" w:rsidRPr="00A74BE1" w:rsidRDefault="00E075A8" w:rsidP="00A74BE1">
      <w:pPr>
        <w:pStyle w:val="Heading6"/>
        <w:rPr>
          <w:lang w:val="en-US"/>
        </w:rPr>
      </w:pPr>
      <w:r w:rsidRPr="00A74BE1">
        <w:rPr>
          <w:lang w:val="en-US"/>
        </w:rPr>
        <w:t>Consultation</w:t>
      </w:r>
    </w:p>
    <w:p w14:paraId="169EE85A" w14:textId="77777777" w:rsidR="003B34AA" w:rsidRPr="00371909" w:rsidRDefault="003B34AA" w:rsidP="003213A9">
      <w:pPr>
        <w:rPr>
          <w:lang w:val="en-US" w:eastAsia="en-AU"/>
        </w:rPr>
      </w:pPr>
    </w:p>
    <w:p w14:paraId="085E21B4" w14:textId="77777777" w:rsidR="00E075A8" w:rsidRDefault="00E075A8" w:rsidP="00E075A8">
      <w:bookmarkStart w:id="6" w:name="_Hlk108173447"/>
      <w:r>
        <w:rPr>
          <w:color w:val="000000" w:themeColor="text1"/>
          <w:lang w:val="en-US"/>
        </w:rPr>
        <w:t xml:space="preserve">The Department of Infrastructure, Transport, Regional Development, Communications and the Arts has consulted with the Queensland Department of Education and </w:t>
      </w:r>
      <w:r>
        <w:t>Queensland Department of the Premier and Cabinet in the development of this instrument to ensure that education services continue to be effectively provided to Norfolk Island.</w:t>
      </w:r>
    </w:p>
    <w:p w14:paraId="1E3FBABA" w14:textId="77777777" w:rsidR="00E075A8" w:rsidRDefault="00E075A8" w:rsidP="00E075A8"/>
    <w:bookmarkEnd w:id="6"/>
    <w:p w14:paraId="0DEB3E3A" w14:textId="69447DF0" w:rsidR="00E075A8" w:rsidRPr="00A74BE1" w:rsidRDefault="00E075A8" w:rsidP="00A74BE1">
      <w:pPr>
        <w:pStyle w:val="Heading6"/>
        <w:rPr>
          <w:lang w:val="en-US"/>
        </w:rPr>
      </w:pPr>
      <w:r w:rsidRPr="00A74BE1">
        <w:rPr>
          <w:lang w:val="en-US"/>
        </w:rPr>
        <w:t>Regulatory Impact Statement</w:t>
      </w:r>
    </w:p>
    <w:p w14:paraId="03A057B4" w14:textId="77777777" w:rsidR="003B34AA" w:rsidRPr="00371909" w:rsidRDefault="003B34AA" w:rsidP="003213A9">
      <w:pPr>
        <w:rPr>
          <w:lang w:val="en-US" w:eastAsia="en-AU"/>
        </w:rPr>
      </w:pPr>
    </w:p>
    <w:p w14:paraId="14BEE395" w14:textId="39A70251" w:rsidR="00E075A8" w:rsidRDefault="00E075A8" w:rsidP="00E075A8">
      <w:pPr>
        <w:autoSpaceDE w:val="0"/>
        <w:autoSpaceDN w:val="0"/>
        <w:adjustRightInd w:val="0"/>
        <w:rPr>
          <w:color w:val="000000" w:themeColor="text1"/>
        </w:rPr>
      </w:pPr>
      <w:r>
        <w:rPr>
          <w:color w:val="000000" w:themeColor="text1"/>
        </w:rPr>
        <w:t xml:space="preserve">The Office of </w:t>
      </w:r>
      <w:r w:rsidR="00E4239F">
        <w:rPr>
          <w:color w:val="000000" w:themeColor="text1"/>
        </w:rPr>
        <w:t>Impact Analysis</w:t>
      </w:r>
      <w:r>
        <w:rPr>
          <w:color w:val="000000" w:themeColor="text1"/>
        </w:rPr>
        <w:t xml:space="preserve"> considers the proposal is likely to have no more than minor regulatory impacts. A Regulatory Impact Statement is not required (ref. </w:t>
      </w:r>
      <w:r>
        <w:t>OBPR22-03465</w:t>
      </w:r>
      <w:r>
        <w:rPr>
          <w:color w:val="000000" w:themeColor="text1"/>
        </w:rPr>
        <w:t>).</w:t>
      </w:r>
    </w:p>
    <w:p w14:paraId="7A2D7A8E" w14:textId="77777777" w:rsidR="00E075A8" w:rsidRDefault="00E075A8" w:rsidP="00E075A8">
      <w:pPr>
        <w:tabs>
          <w:tab w:val="left" w:pos="6521"/>
        </w:tabs>
        <w:ind w:right="91"/>
        <w:rPr>
          <w:color w:val="000000" w:themeColor="text1"/>
        </w:rPr>
      </w:pPr>
    </w:p>
    <w:p w14:paraId="3DC398F7" w14:textId="39513D01" w:rsidR="00E075A8" w:rsidRPr="00A74BE1" w:rsidRDefault="00E075A8" w:rsidP="00A74BE1">
      <w:pPr>
        <w:pStyle w:val="Heading6"/>
        <w:rPr>
          <w:lang w:val="en-US"/>
        </w:rPr>
      </w:pPr>
      <w:r w:rsidRPr="00A74BE1">
        <w:rPr>
          <w:lang w:val="en-US"/>
        </w:rPr>
        <w:t>Other</w:t>
      </w:r>
    </w:p>
    <w:p w14:paraId="7C9E1412" w14:textId="77777777" w:rsidR="003B34AA" w:rsidRPr="00371909" w:rsidRDefault="003B34AA" w:rsidP="003213A9">
      <w:pPr>
        <w:rPr>
          <w:lang w:val="en-US" w:eastAsia="en-AU"/>
        </w:rPr>
      </w:pPr>
    </w:p>
    <w:p w14:paraId="13D00D7B" w14:textId="77777777" w:rsidR="00E075A8" w:rsidRDefault="00E075A8" w:rsidP="00E075A8">
      <w:pPr>
        <w:tabs>
          <w:tab w:val="left" w:pos="6521"/>
        </w:tabs>
        <w:ind w:right="91"/>
        <w:rPr>
          <w:color w:val="000000" w:themeColor="text1"/>
        </w:rPr>
      </w:pPr>
      <w:r>
        <w:rPr>
          <w:color w:val="000000" w:themeColor="text1"/>
        </w:rPr>
        <w:t xml:space="preserve">The Ordinance is a legislative instrument for the purposes of the </w:t>
      </w:r>
      <w:r>
        <w:rPr>
          <w:i/>
          <w:color w:val="000000" w:themeColor="text1"/>
        </w:rPr>
        <w:t>Legislation Act 2003</w:t>
      </w:r>
      <w:r>
        <w:rPr>
          <w:color w:val="000000" w:themeColor="text1"/>
        </w:rPr>
        <w:t xml:space="preserve"> (Cth).</w:t>
      </w:r>
    </w:p>
    <w:p w14:paraId="2FA1E1AE" w14:textId="77777777" w:rsidR="00E075A8" w:rsidRDefault="00E075A8" w:rsidP="00E075A8">
      <w:pPr>
        <w:tabs>
          <w:tab w:val="left" w:pos="6521"/>
        </w:tabs>
        <w:ind w:right="91"/>
        <w:rPr>
          <w:color w:val="000000" w:themeColor="text1"/>
        </w:rPr>
      </w:pPr>
    </w:p>
    <w:p w14:paraId="705B9A50" w14:textId="77777777" w:rsidR="00E075A8" w:rsidRDefault="00E075A8" w:rsidP="00E075A8">
      <w:pPr>
        <w:tabs>
          <w:tab w:val="left" w:pos="6521"/>
        </w:tabs>
        <w:ind w:right="91"/>
        <w:rPr>
          <w:color w:val="000000" w:themeColor="text1"/>
        </w:rPr>
      </w:pPr>
      <w:r>
        <w:rPr>
          <w:color w:val="000000" w:themeColor="text1"/>
        </w:rPr>
        <w:t>The Ordinance commences on the day after the instrument is registered.</w:t>
      </w:r>
    </w:p>
    <w:p w14:paraId="053BE18F" w14:textId="77777777" w:rsidR="00E075A8" w:rsidRDefault="00E075A8" w:rsidP="00E075A8">
      <w:pPr>
        <w:tabs>
          <w:tab w:val="left" w:pos="6521"/>
        </w:tabs>
        <w:ind w:right="91"/>
        <w:rPr>
          <w:color w:val="000000" w:themeColor="text1"/>
        </w:rPr>
      </w:pPr>
    </w:p>
    <w:p w14:paraId="6548CD0A" w14:textId="6604AAB7" w:rsidR="003213A9" w:rsidRDefault="00E075A8" w:rsidP="00E075A8">
      <w:pPr>
        <w:tabs>
          <w:tab w:val="left" w:pos="6521"/>
        </w:tabs>
        <w:ind w:right="91"/>
        <w:rPr>
          <w:color w:val="000000" w:themeColor="text1"/>
        </w:rPr>
      </w:pPr>
      <w:r>
        <w:rPr>
          <w:color w:val="000000" w:themeColor="text1"/>
        </w:rPr>
        <w:t xml:space="preserve">Details of the Ordinance are set out in the </w:t>
      </w:r>
      <w:r>
        <w:rPr>
          <w:color w:val="000000" w:themeColor="text1"/>
          <w:u w:val="single"/>
        </w:rPr>
        <w:t>Attachment</w:t>
      </w:r>
      <w:r>
        <w:rPr>
          <w:color w:val="000000" w:themeColor="text1"/>
        </w:rPr>
        <w:t>.</w:t>
      </w:r>
    </w:p>
    <w:p w14:paraId="5C162D8F" w14:textId="77777777" w:rsidR="003213A9" w:rsidRDefault="003213A9" w:rsidP="00A74BE1">
      <w:pPr>
        <w:spacing w:after="200" w:line="276" w:lineRule="auto"/>
        <w:rPr>
          <w:color w:val="000000" w:themeColor="text1"/>
        </w:rPr>
      </w:pPr>
      <w:r>
        <w:rPr>
          <w:color w:val="000000" w:themeColor="text1"/>
        </w:rPr>
        <w:br w:type="page"/>
      </w:r>
    </w:p>
    <w:p w14:paraId="310D0CB0" w14:textId="77777777" w:rsidR="00E075A8" w:rsidRDefault="00E075A8" w:rsidP="00E075A8">
      <w:pPr>
        <w:pStyle w:val="Heading2"/>
        <w:rPr>
          <w:rFonts w:cs="Times New Roman"/>
          <w:sz w:val="24"/>
          <w:szCs w:val="24"/>
        </w:rPr>
      </w:pPr>
      <w:r>
        <w:rPr>
          <w:rFonts w:cs="Times New Roman"/>
          <w:sz w:val="24"/>
          <w:szCs w:val="24"/>
        </w:rPr>
        <w:lastRenderedPageBreak/>
        <w:t>Statement of Compatibility with Human Rights</w:t>
      </w:r>
    </w:p>
    <w:p w14:paraId="5CAC9314" w14:textId="77777777" w:rsidR="00E075A8" w:rsidRDefault="00E075A8" w:rsidP="00E075A8">
      <w:pPr>
        <w:spacing w:before="120" w:after="120"/>
        <w:jc w:val="center"/>
        <w:rPr>
          <w:rFonts w:eastAsiaTheme="minorHAnsi"/>
        </w:rPr>
      </w:pPr>
      <w:r>
        <w:rPr>
          <w:i/>
        </w:rPr>
        <w:t>Prepared in accordance with Part 3 of the Human Rights (Parliamentary Scrutiny) Act 2011</w:t>
      </w:r>
    </w:p>
    <w:p w14:paraId="6393499E" w14:textId="77777777" w:rsidR="00E075A8" w:rsidRDefault="00E075A8" w:rsidP="00E075A8">
      <w:pPr>
        <w:spacing w:before="120" w:after="120"/>
        <w:jc w:val="center"/>
        <w:rPr>
          <w:rFonts w:eastAsiaTheme="minorHAnsi"/>
        </w:rPr>
      </w:pPr>
    </w:p>
    <w:p w14:paraId="247C2D0F" w14:textId="6D5FCAA3" w:rsidR="00E075A8" w:rsidRDefault="00E075A8" w:rsidP="00E075A8">
      <w:pPr>
        <w:spacing w:before="120" w:after="120"/>
        <w:jc w:val="center"/>
        <w:rPr>
          <w:b/>
          <w:color w:val="000000" w:themeColor="text1"/>
        </w:rPr>
      </w:pPr>
      <w:r>
        <w:rPr>
          <w:b/>
          <w:color w:val="000000" w:themeColor="text1"/>
        </w:rPr>
        <w:t>Norfolk Island Applied Laws and Service Delivery (Queensland) Amendment (Education) Ordinance 202</w:t>
      </w:r>
      <w:r w:rsidR="00085BE0">
        <w:rPr>
          <w:b/>
          <w:color w:val="000000" w:themeColor="text1"/>
        </w:rPr>
        <w:t>3</w:t>
      </w:r>
    </w:p>
    <w:p w14:paraId="4AD95930" w14:textId="77777777" w:rsidR="00E075A8" w:rsidRDefault="00E075A8" w:rsidP="00E075A8">
      <w:pPr>
        <w:spacing w:before="120" w:after="120"/>
        <w:jc w:val="center"/>
        <w:rPr>
          <w:rFonts w:eastAsiaTheme="minorHAnsi"/>
        </w:rPr>
      </w:pPr>
    </w:p>
    <w:p w14:paraId="0F3F5DE2" w14:textId="77777777" w:rsidR="00E075A8" w:rsidRDefault="00E075A8" w:rsidP="00E075A8">
      <w:pPr>
        <w:spacing w:before="120" w:after="120"/>
        <w:jc w:val="center"/>
        <w:rPr>
          <w:color w:val="000000" w:themeColor="text1"/>
        </w:rPr>
      </w:pPr>
      <w:r>
        <w:rPr>
          <w:color w:val="000000" w:themeColor="text1"/>
        </w:rPr>
        <w:t xml:space="preserve">This Legislative Instrument is compatible with the human rights and freedoms recognised </w:t>
      </w:r>
      <w:r>
        <w:rPr>
          <w:color w:val="000000" w:themeColor="text1"/>
        </w:rPr>
        <w:br/>
        <w:t>or declared in the international instruments listed in section 3 of the</w:t>
      </w:r>
      <w:r>
        <w:rPr>
          <w:color w:val="000000" w:themeColor="text1"/>
        </w:rPr>
        <w:br/>
      </w:r>
      <w:r>
        <w:rPr>
          <w:i/>
          <w:color w:val="000000" w:themeColor="text1"/>
        </w:rPr>
        <w:t>Human Rights (Parliamentary Scrutiny) Act 2011</w:t>
      </w:r>
      <w:r>
        <w:rPr>
          <w:color w:val="000000" w:themeColor="text1"/>
        </w:rPr>
        <w:t>.</w:t>
      </w:r>
    </w:p>
    <w:p w14:paraId="0D01599B" w14:textId="77777777" w:rsidR="00E075A8" w:rsidRDefault="00E075A8" w:rsidP="00E075A8">
      <w:pPr>
        <w:spacing w:before="120" w:after="120"/>
        <w:rPr>
          <w:b/>
          <w:color w:val="000000" w:themeColor="text1"/>
        </w:rPr>
      </w:pPr>
    </w:p>
    <w:p w14:paraId="07D7531F" w14:textId="77777777" w:rsidR="00E075A8" w:rsidRDefault="00E075A8" w:rsidP="00E075A8">
      <w:pPr>
        <w:spacing w:before="120" w:after="120"/>
        <w:rPr>
          <w:b/>
          <w:color w:val="000000" w:themeColor="text1"/>
        </w:rPr>
      </w:pPr>
      <w:r>
        <w:rPr>
          <w:b/>
          <w:color w:val="000000" w:themeColor="text1"/>
        </w:rPr>
        <w:t>Overview of the Legislative Instrument</w:t>
      </w:r>
    </w:p>
    <w:p w14:paraId="6A9C8E7F" w14:textId="51D6C93D" w:rsidR="00E075A8" w:rsidRDefault="00E075A8" w:rsidP="00E075A8">
      <w:pPr>
        <w:spacing w:before="120" w:after="120"/>
        <w:rPr>
          <w:color w:val="000000" w:themeColor="text1"/>
        </w:rPr>
      </w:pPr>
      <w:r>
        <w:rPr>
          <w:color w:val="000000" w:themeColor="text1"/>
        </w:rPr>
        <w:t xml:space="preserve">The purpose of the </w:t>
      </w:r>
      <w:r>
        <w:rPr>
          <w:i/>
          <w:iCs/>
        </w:rPr>
        <w:t>Norfolk Island Applied Laws and Service Delivery (Queensland) Amendment (Education) Ordinance 202</w:t>
      </w:r>
      <w:r w:rsidR="00085BE0">
        <w:rPr>
          <w:i/>
          <w:iCs/>
        </w:rPr>
        <w:t>3</w:t>
      </w:r>
      <w:r>
        <w:rPr>
          <w:color w:val="000000" w:themeColor="text1"/>
        </w:rPr>
        <w:t xml:space="preserve"> is to amend already applied Queensland education-related legislation to ensure it is contextually appropriate for delivery of education services on Norfolk Island.</w:t>
      </w:r>
    </w:p>
    <w:p w14:paraId="13138DDC" w14:textId="77777777" w:rsidR="00E075A8" w:rsidRDefault="00E075A8" w:rsidP="00E075A8">
      <w:pPr>
        <w:autoSpaceDE w:val="0"/>
        <w:autoSpaceDN w:val="0"/>
        <w:adjustRightInd w:val="0"/>
        <w:spacing w:before="120" w:after="120"/>
        <w:rPr>
          <w:b/>
          <w:color w:val="000000" w:themeColor="text1"/>
        </w:rPr>
      </w:pPr>
      <w:r>
        <w:rPr>
          <w:b/>
          <w:color w:val="000000" w:themeColor="text1"/>
        </w:rPr>
        <w:t>Human rights implications</w:t>
      </w:r>
    </w:p>
    <w:p w14:paraId="7035DDBA" w14:textId="27D45E9F" w:rsidR="00E075A8" w:rsidRDefault="000D549F" w:rsidP="00E075A8">
      <w:pPr>
        <w:autoSpaceDE w:val="0"/>
        <w:autoSpaceDN w:val="0"/>
        <w:adjustRightInd w:val="0"/>
        <w:spacing w:before="120" w:after="120"/>
        <w:rPr>
          <w:color w:val="000000" w:themeColor="text1"/>
        </w:rPr>
      </w:pPr>
      <w:r>
        <w:rPr>
          <w:color w:val="000000" w:themeColor="text1"/>
        </w:rPr>
        <w:t>This Legislative Instrument engages t</w:t>
      </w:r>
      <w:r w:rsidR="00D27468">
        <w:rPr>
          <w:color w:val="000000" w:themeColor="text1"/>
        </w:rPr>
        <w:t xml:space="preserve">he International Covenant on Economic, Social and Cultural Rights, </w:t>
      </w:r>
      <w:r>
        <w:rPr>
          <w:color w:val="000000" w:themeColor="text1"/>
        </w:rPr>
        <w:t xml:space="preserve">in particular </w:t>
      </w:r>
      <w:r w:rsidR="00D27468">
        <w:rPr>
          <w:color w:val="000000" w:themeColor="text1"/>
        </w:rPr>
        <w:t>Article 13</w:t>
      </w:r>
      <w:r w:rsidR="00296AAE">
        <w:rPr>
          <w:color w:val="000000" w:themeColor="text1"/>
        </w:rPr>
        <w:t xml:space="preserve"> </w:t>
      </w:r>
      <w:r>
        <w:rPr>
          <w:color w:val="000000" w:themeColor="text1"/>
        </w:rPr>
        <w:t xml:space="preserve">which recognises the right of everyone to education. Article 28 of </w:t>
      </w:r>
      <w:r w:rsidR="00296AAE">
        <w:rPr>
          <w:color w:val="000000" w:themeColor="text1"/>
        </w:rPr>
        <w:t xml:space="preserve">the Convention on the Rights of the Child (CRC) </w:t>
      </w:r>
      <w:r>
        <w:rPr>
          <w:color w:val="000000" w:themeColor="text1"/>
        </w:rPr>
        <w:t>also</w:t>
      </w:r>
      <w:r w:rsidR="00296AAE">
        <w:rPr>
          <w:color w:val="000000" w:themeColor="text1"/>
        </w:rPr>
        <w:t xml:space="preserve"> recognise</w:t>
      </w:r>
      <w:r>
        <w:rPr>
          <w:color w:val="000000" w:themeColor="text1"/>
        </w:rPr>
        <w:t>s</w:t>
      </w:r>
      <w:r w:rsidR="00296AAE">
        <w:rPr>
          <w:color w:val="000000" w:themeColor="text1"/>
        </w:rPr>
        <w:t xml:space="preserve"> </w:t>
      </w:r>
      <w:r>
        <w:rPr>
          <w:color w:val="000000" w:themeColor="text1"/>
        </w:rPr>
        <w:t xml:space="preserve">the right of the child </w:t>
      </w:r>
      <w:r w:rsidR="00296AAE">
        <w:rPr>
          <w:color w:val="000000" w:themeColor="text1"/>
        </w:rPr>
        <w:t xml:space="preserve">to education. </w:t>
      </w:r>
      <w:r w:rsidR="00E075A8" w:rsidDel="000D549F">
        <w:rPr>
          <w:color w:val="000000" w:themeColor="text1"/>
        </w:rPr>
        <w:t xml:space="preserve">Functioning educational institutions, underpinned by contextually appropriate legislation, </w:t>
      </w:r>
      <w:r w:rsidR="00610B8F">
        <w:rPr>
          <w:color w:val="000000" w:themeColor="text1"/>
        </w:rPr>
        <w:t xml:space="preserve">are </w:t>
      </w:r>
      <w:r w:rsidR="00E075A8" w:rsidDel="000D549F">
        <w:rPr>
          <w:color w:val="000000" w:themeColor="text1"/>
        </w:rPr>
        <w:t>critical to maintaining</w:t>
      </w:r>
      <w:r w:rsidR="00610B8F" w:rsidDel="000D549F">
        <w:rPr>
          <w:color w:val="000000" w:themeColor="text1"/>
        </w:rPr>
        <w:t xml:space="preserve"> </w:t>
      </w:r>
      <w:r>
        <w:rPr>
          <w:color w:val="000000" w:themeColor="text1"/>
        </w:rPr>
        <w:t xml:space="preserve">these </w:t>
      </w:r>
      <w:r w:rsidR="00610B8F" w:rsidDel="000D549F">
        <w:rPr>
          <w:color w:val="000000" w:themeColor="text1"/>
        </w:rPr>
        <w:t>rights.</w:t>
      </w:r>
      <w:r w:rsidR="00E075A8" w:rsidDel="000D549F">
        <w:rPr>
          <w:color w:val="000000" w:themeColor="text1"/>
        </w:rPr>
        <w:t xml:space="preserve"> </w:t>
      </w:r>
    </w:p>
    <w:p w14:paraId="5D881A3C" w14:textId="1C23F223" w:rsidR="00E075A8" w:rsidRPr="00017A75" w:rsidRDefault="00E075A8" w:rsidP="00E075A8">
      <w:pPr>
        <w:autoSpaceDE w:val="0"/>
        <w:autoSpaceDN w:val="0"/>
        <w:adjustRightInd w:val="0"/>
        <w:spacing w:before="120" w:after="120"/>
      </w:pPr>
      <w:r>
        <w:t xml:space="preserve">Repealing references to non-state schools from the Queensland legislation as it applies in Norfolk Island </w:t>
      </w:r>
      <w:r w:rsidR="00D85762">
        <w:t>reflects the unavailability of non-state schools on Norfolk Island, at this time. S</w:t>
      </w:r>
      <w:r>
        <w:t xml:space="preserve">hould non-state schooling be a future option for Norfolk Island, part 7 of the </w:t>
      </w:r>
      <w:r>
        <w:rPr>
          <w:i/>
        </w:rPr>
        <w:t>Education Act 1990</w:t>
      </w:r>
      <w:r>
        <w:t xml:space="preserve"> (NSW)(NI) currently provides for registration of private schools. These rules are not intended to affect those provisions and this legislation can be applied if needed.</w:t>
      </w:r>
    </w:p>
    <w:p w14:paraId="338B8FAE" w14:textId="1FF3275E" w:rsidR="000D549F" w:rsidRDefault="000D549F" w:rsidP="00D27468">
      <w:pPr>
        <w:autoSpaceDE w:val="0"/>
        <w:autoSpaceDN w:val="0"/>
        <w:adjustRightInd w:val="0"/>
        <w:spacing w:before="120" w:after="120"/>
        <w:rPr>
          <w:color w:val="000000" w:themeColor="text1"/>
        </w:rPr>
      </w:pPr>
      <w:r w:rsidDel="000D549F">
        <w:rPr>
          <w:color w:val="000000" w:themeColor="text1"/>
        </w:rPr>
        <w:t>Article 19 of the CRC requires parties to take all appropriate legislative and administrative measures to protect children from harm. The International Covenant on Civil and Political Rights</w:t>
      </w:r>
      <w:r w:rsidR="0053636F">
        <w:rPr>
          <w:color w:val="000000" w:themeColor="text1"/>
        </w:rPr>
        <w:t xml:space="preserve"> (ICCPR)</w:t>
      </w:r>
      <w:r w:rsidDel="000D549F">
        <w:rPr>
          <w:color w:val="000000" w:themeColor="text1"/>
        </w:rPr>
        <w:t xml:space="preserve">, Article 17 recognises the right to protection from arbitrary interference with </w:t>
      </w:r>
      <w:r w:rsidR="00AD7877">
        <w:rPr>
          <w:color w:val="000000" w:themeColor="text1"/>
        </w:rPr>
        <w:t xml:space="preserve">a person’s </w:t>
      </w:r>
      <w:r w:rsidDel="000D549F">
        <w:rPr>
          <w:color w:val="000000" w:themeColor="text1"/>
        </w:rPr>
        <w:t xml:space="preserve">privacy. Australia </w:t>
      </w:r>
      <w:r w:rsidR="000672FA">
        <w:rPr>
          <w:color w:val="000000" w:themeColor="text1"/>
        </w:rPr>
        <w:t xml:space="preserve">has </w:t>
      </w:r>
      <w:r w:rsidR="000672FA" w:rsidDel="000D549F">
        <w:rPr>
          <w:color w:val="000000" w:themeColor="text1"/>
        </w:rPr>
        <w:t>reserve</w:t>
      </w:r>
      <w:r w:rsidR="000672FA">
        <w:rPr>
          <w:color w:val="000000" w:themeColor="text1"/>
        </w:rPr>
        <w:t>d</w:t>
      </w:r>
      <w:r w:rsidR="000672FA" w:rsidDel="000D549F">
        <w:rPr>
          <w:color w:val="000000" w:themeColor="text1"/>
        </w:rPr>
        <w:t xml:space="preserve"> </w:t>
      </w:r>
      <w:r w:rsidDel="000D549F">
        <w:rPr>
          <w:color w:val="000000" w:themeColor="text1"/>
        </w:rPr>
        <w:t xml:space="preserve">the right to make laws that limit a person’s privacy provided they are in the interests of public safety, or the protection of the rights or freedoms of others. </w:t>
      </w:r>
    </w:p>
    <w:p w14:paraId="62714E6A" w14:textId="7755F801" w:rsidR="0025498D" w:rsidRDefault="00D27468" w:rsidP="00D27468">
      <w:pPr>
        <w:autoSpaceDE w:val="0"/>
        <w:autoSpaceDN w:val="0"/>
        <w:adjustRightInd w:val="0"/>
        <w:spacing w:before="120" w:after="120"/>
        <w:rPr>
          <w:color w:val="000000" w:themeColor="text1"/>
        </w:rPr>
      </w:pPr>
      <w:r>
        <w:rPr>
          <w:color w:val="000000" w:themeColor="text1"/>
        </w:rPr>
        <w:t>T</w:t>
      </w:r>
      <w:r w:rsidR="002E50B5">
        <w:rPr>
          <w:color w:val="000000" w:themeColor="text1"/>
        </w:rPr>
        <w:t xml:space="preserve">he disclosure and sharing </w:t>
      </w:r>
      <w:r>
        <w:rPr>
          <w:color w:val="000000" w:themeColor="text1"/>
        </w:rPr>
        <w:t xml:space="preserve">of teachers’ personal information </w:t>
      </w:r>
      <w:r w:rsidR="000D549F">
        <w:rPr>
          <w:color w:val="000000" w:themeColor="text1"/>
        </w:rPr>
        <w:t xml:space="preserve">enabled by this Legislative Instrument </w:t>
      </w:r>
      <w:r>
        <w:rPr>
          <w:color w:val="000000" w:themeColor="text1"/>
        </w:rPr>
        <w:t>ensure</w:t>
      </w:r>
      <w:r w:rsidR="002E50B5">
        <w:rPr>
          <w:color w:val="000000" w:themeColor="text1"/>
        </w:rPr>
        <w:t>s</w:t>
      </w:r>
      <w:r>
        <w:rPr>
          <w:color w:val="000000" w:themeColor="text1"/>
        </w:rPr>
        <w:t xml:space="preserve"> that </w:t>
      </w:r>
      <w:r w:rsidR="0053636F">
        <w:rPr>
          <w:color w:val="000000" w:themeColor="text1"/>
        </w:rPr>
        <w:t xml:space="preserve">relevant Queensland Government entities continue to have access to the same level of information about all Queensland Government employed teachers, regardless of whether they are based in Queensland or on Norfolk Island. These measures </w:t>
      </w:r>
      <w:r>
        <w:rPr>
          <w:color w:val="000000" w:themeColor="text1"/>
        </w:rPr>
        <w:t xml:space="preserve">ensure </w:t>
      </w:r>
      <w:r w:rsidR="004F7403">
        <w:rPr>
          <w:color w:val="000000" w:themeColor="text1"/>
        </w:rPr>
        <w:t xml:space="preserve">the </w:t>
      </w:r>
      <w:r>
        <w:rPr>
          <w:color w:val="000000" w:themeColor="text1"/>
        </w:rPr>
        <w:t xml:space="preserve">initial and continuing suitability of teachers, in turn ensuring the welfare and best interests of children and protecting them from harm, thus falling within Australia’s reservation to make laws protecting the rights of others. </w:t>
      </w:r>
    </w:p>
    <w:p w14:paraId="3FD61B7E" w14:textId="7631B366" w:rsidR="00D27468" w:rsidRDefault="0053636F" w:rsidP="00D27468">
      <w:pPr>
        <w:autoSpaceDE w:val="0"/>
        <w:autoSpaceDN w:val="0"/>
        <w:adjustRightInd w:val="0"/>
        <w:spacing w:before="120" w:after="120"/>
        <w:rPr>
          <w:color w:val="000000" w:themeColor="text1"/>
        </w:rPr>
      </w:pPr>
      <w:r>
        <w:rPr>
          <w:color w:val="000000" w:themeColor="text1"/>
        </w:rPr>
        <w:t>Legislative and procedural safeguards are in place to reduce the likelihood of a violation of Article 17 of the ICCPR arising from t</w:t>
      </w:r>
      <w:r w:rsidR="00E57CF0">
        <w:rPr>
          <w:color w:val="000000" w:themeColor="text1"/>
        </w:rPr>
        <w:t>he disclosure and sharing of teachers</w:t>
      </w:r>
      <w:r>
        <w:rPr>
          <w:color w:val="000000" w:themeColor="text1"/>
        </w:rPr>
        <w:t>’</w:t>
      </w:r>
      <w:r w:rsidR="00E57CF0">
        <w:rPr>
          <w:color w:val="000000" w:themeColor="text1"/>
        </w:rPr>
        <w:t xml:space="preserve"> personal information</w:t>
      </w:r>
      <w:r>
        <w:rPr>
          <w:color w:val="000000" w:themeColor="text1"/>
        </w:rPr>
        <w:t>.</w:t>
      </w:r>
      <w:r w:rsidR="00E57CF0">
        <w:rPr>
          <w:color w:val="000000" w:themeColor="text1"/>
        </w:rPr>
        <w:t xml:space="preserve"> </w:t>
      </w:r>
      <w:r>
        <w:rPr>
          <w:color w:val="000000" w:themeColor="text1"/>
        </w:rPr>
        <w:t xml:space="preserve">These include </w:t>
      </w:r>
      <w:r w:rsidR="005E7E4C">
        <w:rPr>
          <w:color w:val="000000" w:themeColor="text1"/>
        </w:rPr>
        <w:t xml:space="preserve">the </w:t>
      </w:r>
      <w:r w:rsidR="005E7E4C" w:rsidRPr="00FF4BA8">
        <w:rPr>
          <w:i/>
          <w:color w:val="000000" w:themeColor="text1"/>
        </w:rPr>
        <w:t>Privacy Act 1988</w:t>
      </w:r>
      <w:r w:rsidR="005E7E4C">
        <w:rPr>
          <w:color w:val="000000" w:themeColor="text1"/>
        </w:rPr>
        <w:t xml:space="preserve"> (Cth), </w:t>
      </w:r>
      <w:r w:rsidR="000347D5">
        <w:rPr>
          <w:color w:val="000000" w:themeColor="text1"/>
        </w:rPr>
        <w:t xml:space="preserve">section 283 of the </w:t>
      </w:r>
      <w:r w:rsidR="005E7E4C" w:rsidRPr="005407CA">
        <w:rPr>
          <w:i/>
          <w:color w:val="000000" w:themeColor="text1"/>
        </w:rPr>
        <w:t>E</w:t>
      </w:r>
      <w:r w:rsidR="005E7E4C" w:rsidRPr="00FF4BA8">
        <w:rPr>
          <w:i/>
          <w:color w:val="000000" w:themeColor="text1"/>
        </w:rPr>
        <w:t>ducation (Queensland College of Teachers) Act</w:t>
      </w:r>
      <w:r w:rsidR="005E7E4C">
        <w:rPr>
          <w:color w:val="000000" w:themeColor="text1"/>
        </w:rPr>
        <w:t xml:space="preserve"> </w:t>
      </w:r>
      <w:r w:rsidR="005E7E4C" w:rsidRPr="00FF4BA8">
        <w:rPr>
          <w:i/>
          <w:color w:val="000000" w:themeColor="text1"/>
        </w:rPr>
        <w:t>2005</w:t>
      </w:r>
      <w:r w:rsidR="005E7E4C">
        <w:rPr>
          <w:color w:val="000000" w:themeColor="text1"/>
        </w:rPr>
        <w:t xml:space="preserve"> (Qld)</w:t>
      </w:r>
      <w:r w:rsidR="000347D5">
        <w:rPr>
          <w:color w:val="000000" w:themeColor="text1"/>
        </w:rPr>
        <w:t xml:space="preserve">(NI), which limits the circumstances when a disclosure of information may occur, </w:t>
      </w:r>
      <w:r w:rsidR="005E7E4C">
        <w:rPr>
          <w:color w:val="000000" w:themeColor="text1"/>
        </w:rPr>
        <w:t xml:space="preserve">and the </w:t>
      </w:r>
      <w:r w:rsidR="005E7E4C" w:rsidRPr="00FF4BA8">
        <w:rPr>
          <w:i/>
          <w:color w:val="000000" w:themeColor="text1"/>
        </w:rPr>
        <w:t>Information Privacy Act 2009</w:t>
      </w:r>
      <w:r w:rsidR="005E7E4C">
        <w:rPr>
          <w:color w:val="000000" w:themeColor="text1"/>
        </w:rPr>
        <w:t xml:space="preserve"> (Qld)</w:t>
      </w:r>
      <w:r w:rsidR="000347D5">
        <w:rPr>
          <w:color w:val="000000" w:themeColor="text1"/>
        </w:rPr>
        <w:t>, which provides safeguards for the handling of personal information in the public sector environment</w:t>
      </w:r>
      <w:r w:rsidR="005E7E4C">
        <w:rPr>
          <w:color w:val="000000" w:themeColor="text1"/>
        </w:rPr>
        <w:t>.</w:t>
      </w:r>
      <w:r w:rsidR="000347D5">
        <w:rPr>
          <w:color w:val="000000" w:themeColor="text1"/>
        </w:rPr>
        <w:t xml:space="preserve"> Section 284 of the </w:t>
      </w:r>
      <w:r w:rsidR="000347D5" w:rsidRPr="00FA6126">
        <w:rPr>
          <w:i/>
          <w:color w:val="000000" w:themeColor="text1"/>
        </w:rPr>
        <w:t>E</w:t>
      </w:r>
      <w:r w:rsidR="000347D5" w:rsidRPr="00FF4BA8">
        <w:rPr>
          <w:i/>
          <w:color w:val="000000" w:themeColor="text1"/>
        </w:rPr>
        <w:t>ducation (Queensland College of Teachers) Act</w:t>
      </w:r>
      <w:r w:rsidR="000347D5">
        <w:rPr>
          <w:color w:val="000000" w:themeColor="text1"/>
        </w:rPr>
        <w:t xml:space="preserve"> </w:t>
      </w:r>
      <w:r w:rsidR="000347D5" w:rsidRPr="00FF4BA8">
        <w:rPr>
          <w:i/>
          <w:color w:val="000000" w:themeColor="text1"/>
        </w:rPr>
        <w:t>2005</w:t>
      </w:r>
      <w:r w:rsidR="000347D5">
        <w:rPr>
          <w:color w:val="000000" w:themeColor="text1"/>
        </w:rPr>
        <w:t xml:space="preserve"> (Qld)(NI) also </w:t>
      </w:r>
      <w:r w:rsidR="000347D5">
        <w:rPr>
          <w:color w:val="000000" w:themeColor="text1"/>
        </w:rPr>
        <w:lastRenderedPageBreak/>
        <w:t>provides that guidelines about dealing with personal information must be maintained by the Queensland College of Teachers.</w:t>
      </w:r>
    </w:p>
    <w:p w14:paraId="49635EC4" w14:textId="77777777" w:rsidR="00E075A8" w:rsidRDefault="00E075A8" w:rsidP="00E075A8">
      <w:pPr>
        <w:autoSpaceDE w:val="0"/>
        <w:autoSpaceDN w:val="0"/>
        <w:adjustRightInd w:val="0"/>
        <w:spacing w:before="120" w:after="120"/>
        <w:rPr>
          <w:b/>
          <w:color w:val="000000" w:themeColor="text1"/>
        </w:rPr>
      </w:pPr>
      <w:r>
        <w:rPr>
          <w:b/>
          <w:color w:val="000000" w:themeColor="text1"/>
        </w:rPr>
        <w:t>Conclusion</w:t>
      </w:r>
    </w:p>
    <w:p w14:paraId="427D556E" w14:textId="193EB9D4" w:rsidR="007446E4" w:rsidRDefault="00FE4BAE" w:rsidP="00AF11B0">
      <w:pPr>
        <w:autoSpaceDE w:val="0"/>
        <w:autoSpaceDN w:val="0"/>
        <w:adjustRightInd w:val="0"/>
        <w:spacing w:before="120" w:after="120"/>
        <w:rPr>
          <w:color w:val="000000" w:themeColor="text1"/>
        </w:rPr>
      </w:pPr>
      <w:r>
        <w:rPr>
          <w:color w:val="000000" w:themeColor="text1"/>
        </w:rPr>
        <w:t>This Legislative Instrument is compatible with human rights</w:t>
      </w:r>
      <w:r w:rsidR="007446E4">
        <w:rPr>
          <w:color w:val="000000" w:themeColor="text1"/>
        </w:rPr>
        <w:t xml:space="preserve"> as it promotes the human rights to education articulated above. A</w:t>
      </w:r>
      <w:r w:rsidR="00EB4D46">
        <w:rPr>
          <w:color w:val="000000" w:themeColor="text1"/>
        </w:rPr>
        <w:t>lthough</w:t>
      </w:r>
      <w:r w:rsidR="007446E4">
        <w:rPr>
          <w:color w:val="000000" w:themeColor="text1"/>
        </w:rPr>
        <w:t xml:space="preserve"> it</w:t>
      </w:r>
      <w:r w:rsidR="00723017">
        <w:rPr>
          <w:color w:val="000000" w:themeColor="text1"/>
        </w:rPr>
        <w:t xml:space="preserve"> </w:t>
      </w:r>
      <w:r w:rsidR="005E008C">
        <w:rPr>
          <w:color w:val="000000" w:themeColor="text1"/>
        </w:rPr>
        <w:t xml:space="preserve">may </w:t>
      </w:r>
      <w:r w:rsidR="00EB4D46">
        <w:rPr>
          <w:color w:val="000000" w:themeColor="text1"/>
        </w:rPr>
        <w:t>raise</w:t>
      </w:r>
      <w:r w:rsidR="005E008C">
        <w:rPr>
          <w:color w:val="000000" w:themeColor="text1"/>
        </w:rPr>
        <w:t xml:space="preserve"> some concerns</w:t>
      </w:r>
      <w:r w:rsidR="00EB4D46">
        <w:rPr>
          <w:color w:val="000000" w:themeColor="text1"/>
        </w:rPr>
        <w:t xml:space="preserve"> regarding teacher privacy, it does so to ensure the safety of children</w:t>
      </w:r>
      <w:r w:rsidR="007446E4">
        <w:rPr>
          <w:color w:val="000000" w:themeColor="text1"/>
        </w:rPr>
        <w:t xml:space="preserve">, thus falling within Australia’s reservation to make laws protecting the rights of others. </w:t>
      </w:r>
    </w:p>
    <w:p w14:paraId="780177FA" w14:textId="77777777" w:rsidR="007446E4" w:rsidRDefault="007446E4" w:rsidP="00E075A8">
      <w:pPr>
        <w:spacing w:before="120" w:after="120"/>
        <w:rPr>
          <w:color w:val="000000" w:themeColor="text1"/>
        </w:rPr>
      </w:pPr>
    </w:p>
    <w:p w14:paraId="0E879F1A" w14:textId="77777777" w:rsidR="007446E4" w:rsidRPr="00017A75" w:rsidRDefault="007446E4" w:rsidP="00E075A8">
      <w:pPr>
        <w:spacing w:before="120" w:after="120"/>
        <w:rPr>
          <w:color w:val="000000" w:themeColor="text1"/>
        </w:rPr>
      </w:pPr>
    </w:p>
    <w:p w14:paraId="4E0E5CF7" w14:textId="69A760FF" w:rsidR="00E075A8" w:rsidRDefault="00E075A8" w:rsidP="00E075A8">
      <w:pPr>
        <w:spacing w:before="120" w:after="120"/>
        <w:rPr>
          <w:b/>
          <w:color w:val="000000" w:themeColor="text1"/>
          <w:lang w:eastAsia="en-AU"/>
        </w:rPr>
      </w:pPr>
    </w:p>
    <w:p w14:paraId="18113FD5" w14:textId="77777777" w:rsidR="00E075A8" w:rsidRDefault="00E075A8" w:rsidP="00E075A8">
      <w:pPr>
        <w:spacing w:before="120" w:after="120"/>
        <w:rPr>
          <w:b/>
          <w:color w:val="000000" w:themeColor="text1"/>
          <w:lang w:eastAsia="en-AU"/>
        </w:rPr>
      </w:pPr>
    </w:p>
    <w:p w14:paraId="68CA8885" w14:textId="77777777" w:rsidR="00E075A8" w:rsidRDefault="00E075A8" w:rsidP="00E075A8">
      <w:pPr>
        <w:spacing w:before="120" w:after="120"/>
        <w:rPr>
          <w:b/>
          <w:color w:val="000000" w:themeColor="text1"/>
          <w:lang w:eastAsia="en-AU"/>
        </w:rPr>
      </w:pPr>
      <w:r>
        <w:rPr>
          <w:b/>
          <w:color w:val="000000" w:themeColor="text1"/>
          <w:lang w:eastAsia="en-AU"/>
        </w:rPr>
        <w:t>The Hon Kristy McBain MP</w:t>
      </w:r>
    </w:p>
    <w:p w14:paraId="3CE454B9" w14:textId="77777777" w:rsidR="00E075A8" w:rsidRDefault="00E075A8" w:rsidP="00E075A8">
      <w:pPr>
        <w:spacing w:before="120" w:after="120"/>
        <w:rPr>
          <w:b/>
          <w:color w:val="000000" w:themeColor="text1"/>
          <w:lang w:eastAsia="en-AU"/>
        </w:rPr>
      </w:pPr>
    </w:p>
    <w:p w14:paraId="1E930118" w14:textId="77777777" w:rsidR="00E075A8" w:rsidRDefault="00E075A8" w:rsidP="00E075A8">
      <w:pPr>
        <w:spacing w:before="120" w:after="120"/>
        <w:rPr>
          <w:b/>
          <w:color w:val="000000" w:themeColor="text1"/>
          <w:lang w:eastAsia="en-AU"/>
        </w:rPr>
      </w:pPr>
      <w:r>
        <w:rPr>
          <w:b/>
          <w:color w:val="000000" w:themeColor="text1"/>
          <w:lang w:eastAsia="en-AU"/>
        </w:rPr>
        <w:t>Minister for Regional Development, Local Government and Territories</w:t>
      </w:r>
    </w:p>
    <w:p w14:paraId="089DBEED" w14:textId="77777777" w:rsidR="00E075A8" w:rsidRDefault="00E075A8" w:rsidP="00E075A8">
      <w:pPr>
        <w:spacing w:before="120" w:after="120"/>
        <w:rPr>
          <w:b/>
          <w:color w:val="000000" w:themeColor="text1"/>
          <w:lang w:eastAsia="en-AU"/>
        </w:rPr>
      </w:pPr>
    </w:p>
    <w:p w14:paraId="26B24F55" w14:textId="77777777" w:rsidR="00E075A8" w:rsidRDefault="00E075A8" w:rsidP="00E075A8">
      <w:pPr>
        <w:spacing w:before="120" w:after="120"/>
        <w:rPr>
          <w:b/>
          <w:color w:val="000000" w:themeColor="text1"/>
          <w:u w:val="single"/>
        </w:rPr>
      </w:pPr>
      <w:r>
        <w:rPr>
          <w:b/>
          <w:color w:val="000000" w:themeColor="text1"/>
          <w:u w:val="single"/>
        </w:rPr>
        <w:br w:type="page"/>
      </w:r>
      <w:bookmarkStart w:id="7" w:name="f_Check_Lines_above"/>
      <w:bookmarkEnd w:id="7"/>
    </w:p>
    <w:p w14:paraId="219A436D" w14:textId="2ABB96B0" w:rsidR="00E075A8" w:rsidRDefault="003A5278" w:rsidP="00E075A8">
      <w:pPr>
        <w:ind w:right="91"/>
        <w:rPr>
          <w:color w:val="000000" w:themeColor="text1"/>
          <w:u w:val="single"/>
        </w:rPr>
      </w:pPr>
      <w:r>
        <w:rPr>
          <w:b/>
          <w:color w:val="000000" w:themeColor="text1"/>
          <w:u w:val="single"/>
        </w:rPr>
        <w:lastRenderedPageBreak/>
        <w:t xml:space="preserve">ATTACHMENT </w:t>
      </w:r>
      <w:r w:rsidR="00E075A8">
        <w:rPr>
          <w:b/>
          <w:color w:val="000000" w:themeColor="text1"/>
          <w:u w:val="single"/>
        </w:rPr>
        <w:t>– NOTES ON CLAUSES</w:t>
      </w:r>
    </w:p>
    <w:p w14:paraId="36197461" w14:textId="77777777" w:rsidR="00E075A8" w:rsidRDefault="00E075A8" w:rsidP="00E075A8">
      <w:pPr>
        <w:ind w:right="91"/>
        <w:rPr>
          <w:color w:val="000000" w:themeColor="text1"/>
        </w:rPr>
      </w:pPr>
    </w:p>
    <w:p w14:paraId="09928788" w14:textId="021CF949" w:rsidR="00E075A8" w:rsidRDefault="00E075A8" w:rsidP="00E075A8">
      <w:pPr>
        <w:spacing w:before="120" w:after="120"/>
        <w:rPr>
          <w:b/>
          <w:i/>
          <w:color w:val="000000" w:themeColor="text1"/>
          <w:u w:val="single"/>
        </w:rPr>
      </w:pPr>
      <w:bookmarkStart w:id="8" w:name="_Hlk129953926"/>
      <w:r>
        <w:rPr>
          <w:b/>
          <w:i/>
          <w:color w:val="000000" w:themeColor="text1"/>
          <w:u w:val="single"/>
        </w:rPr>
        <w:t>Norfolk Island Applied Laws and Service Delivery (Queensland) Amendment (Education) Ordinance 202</w:t>
      </w:r>
      <w:r w:rsidR="00085BE0">
        <w:rPr>
          <w:b/>
          <w:i/>
          <w:color w:val="000000" w:themeColor="text1"/>
          <w:u w:val="single"/>
        </w:rPr>
        <w:t>3</w:t>
      </w:r>
      <w:r>
        <w:rPr>
          <w:b/>
          <w:i/>
          <w:color w:val="000000" w:themeColor="text1"/>
          <w:u w:val="single"/>
        </w:rPr>
        <w:t xml:space="preserve"> </w:t>
      </w:r>
    </w:p>
    <w:p w14:paraId="55661B29" w14:textId="77777777" w:rsidR="00E075A8" w:rsidRDefault="00E075A8" w:rsidP="00E075A8">
      <w:pPr>
        <w:ind w:right="91"/>
        <w:rPr>
          <w:b/>
          <w:i/>
          <w:color w:val="000000" w:themeColor="text1"/>
          <w:u w:val="single"/>
        </w:rPr>
      </w:pPr>
    </w:p>
    <w:p w14:paraId="492CDAEC" w14:textId="49BD92BB" w:rsidR="00E075A8" w:rsidRDefault="00E075A8" w:rsidP="00E075A8">
      <w:pPr>
        <w:ind w:right="91"/>
        <w:rPr>
          <w:color w:val="000000" w:themeColor="text1"/>
        </w:rPr>
      </w:pPr>
      <w:r>
        <w:rPr>
          <w:color w:val="000000" w:themeColor="text1"/>
        </w:rPr>
        <w:t xml:space="preserve">This attachment explains the operation of individual provisions in the </w:t>
      </w:r>
      <w:r>
        <w:rPr>
          <w:i/>
          <w:iCs/>
        </w:rPr>
        <w:t>Norfolk Island Applied Laws and Service Delivery (Queensland) Amendment (Education) Ordinance 202</w:t>
      </w:r>
      <w:r w:rsidR="00085BE0">
        <w:rPr>
          <w:i/>
          <w:iCs/>
        </w:rPr>
        <w:t>3</w:t>
      </w:r>
      <w:r>
        <w:rPr>
          <w:color w:val="000000" w:themeColor="text1"/>
        </w:rPr>
        <w:t xml:space="preserve"> </w:t>
      </w:r>
      <w:r w:rsidR="00D85762">
        <w:rPr>
          <w:color w:val="000000" w:themeColor="text1"/>
        </w:rPr>
        <w:t xml:space="preserve">(Cth) </w:t>
      </w:r>
      <w:r>
        <w:rPr>
          <w:iCs/>
          <w:color w:val="000000" w:themeColor="text1"/>
        </w:rPr>
        <w:t>(the Ordinance)</w:t>
      </w:r>
      <w:r>
        <w:rPr>
          <w:color w:val="000000" w:themeColor="text1"/>
        </w:rPr>
        <w:t>.</w:t>
      </w:r>
    </w:p>
    <w:bookmarkEnd w:id="8"/>
    <w:p w14:paraId="58D76035" w14:textId="77777777" w:rsidR="00E075A8" w:rsidRDefault="00E075A8" w:rsidP="00E075A8">
      <w:pPr>
        <w:ind w:right="91"/>
        <w:rPr>
          <w:color w:val="000000" w:themeColor="text1"/>
        </w:rPr>
      </w:pPr>
    </w:p>
    <w:p w14:paraId="5992AE3D" w14:textId="77777777" w:rsidR="00E075A8" w:rsidRDefault="00E075A8" w:rsidP="00E075A8">
      <w:pPr>
        <w:ind w:right="91"/>
        <w:rPr>
          <w:color w:val="000000" w:themeColor="text1"/>
        </w:rPr>
      </w:pPr>
      <w:bookmarkStart w:id="9" w:name="_Hlk108173576"/>
      <w:r>
        <w:rPr>
          <w:color w:val="000000" w:themeColor="text1"/>
          <w:u w:val="single"/>
        </w:rPr>
        <w:t>Section 1 – Name of Ordinance</w:t>
      </w:r>
    </w:p>
    <w:p w14:paraId="6B3343F5" w14:textId="54854E2B" w:rsidR="00E075A8" w:rsidRDefault="00E075A8" w:rsidP="00E075A8">
      <w:pPr>
        <w:ind w:right="91"/>
        <w:rPr>
          <w:color w:val="000000" w:themeColor="text1"/>
        </w:rPr>
      </w:pPr>
      <w:r>
        <w:rPr>
          <w:color w:val="000000" w:themeColor="text1"/>
        </w:rPr>
        <w:t xml:space="preserve">This section provides that the name of the Ordinance is the </w:t>
      </w:r>
      <w:r>
        <w:rPr>
          <w:i/>
          <w:iCs/>
        </w:rPr>
        <w:t>Norfolk Island Applied Laws and Service Delivery (Queensland) Amendment (Education) Ordinance 202</w:t>
      </w:r>
      <w:r w:rsidR="00085BE0">
        <w:rPr>
          <w:i/>
          <w:iCs/>
        </w:rPr>
        <w:t>3</w:t>
      </w:r>
      <w:r w:rsidR="00D85762">
        <w:rPr>
          <w:i/>
          <w:iCs/>
        </w:rPr>
        <w:t xml:space="preserve"> </w:t>
      </w:r>
      <w:r w:rsidR="00D85762">
        <w:rPr>
          <w:color w:val="000000" w:themeColor="text1"/>
        </w:rPr>
        <w:t>(Cth)</w:t>
      </w:r>
      <w:r>
        <w:rPr>
          <w:color w:val="000000" w:themeColor="text1"/>
        </w:rPr>
        <w:t>.</w:t>
      </w:r>
    </w:p>
    <w:p w14:paraId="28C2FA21" w14:textId="77777777" w:rsidR="00E075A8" w:rsidRDefault="00E075A8" w:rsidP="00E075A8">
      <w:pPr>
        <w:ind w:right="91"/>
        <w:rPr>
          <w:color w:val="000000" w:themeColor="text1"/>
        </w:rPr>
      </w:pPr>
    </w:p>
    <w:p w14:paraId="5B027BA9" w14:textId="77777777" w:rsidR="00E075A8" w:rsidRDefault="00E075A8" w:rsidP="00E075A8">
      <w:pPr>
        <w:ind w:right="91"/>
        <w:rPr>
          <w:color w:val="000000" w:themeColor="text1"/>
          <w:u w:val="single"/>
        </w:rPr>
      </w:pPr>
      <w:r>
        <w:rPr>
          <w:color w:val="000000" w:themeColor="text1"/>
          <w:u w:val="single"/>
        </w:rPr>
        <w:t>Section 2 – Commencement</w:t>
      </w:r>
    </w:p>
    <w:p w14:paraId="094EDAAA" w14:textId="77777777" w:rsidR="00E075A8" w:rsidRDefault="00E075A8" w:rsidP="00E075A8">
      <w:pPr>
        <w:tabs>
          <w:tab w:val="left" w:pos="6521"/>
        </w:tabs>
        <w:ind w:right="91"/>
        <w:rPr>
          <w:color w:val="000000" w:themeColor="text1"/>
        </w:rPr>
      </w:pPr>
      <w:r>
        <w:rPr>
          <w:color w:val="000000" w:themeColor="text1"/>
        </w:rPr>
        <w:t>This section provides for the Ordinance to commence on the day after the instrument is registered.</w:t>
      </w:r>
    </w:p>
    <w:p w14:paraId="31275E30" w14:textId="77777777" w:rsidR="00E075A8" w:rsidRDefault="00E075A8" w:rsidP="00E075A8">
      <w:pPr>
        <w:ind w:right="91"/>
        <w:rPr>
          <w:color w:val="000000" w:themeColor="text1"/>
        </w:rPr>
      </w:pPr>
    </w:p>
    <w:p w14:paraId="4E551447" w14:textId="77777777" w:rsidR="00E075A8" w:rsidRDefault="00E075A8" w:rsidP="00E075A8">
      <w:pPr>
        <w:ind w:right="91"/>
        <w:rPr>
          <w:color w:val="000000" w:themeColor="text1"/>
        </w:rPr>
      </w:pPr>
      <w:r>
        <w:rPr>
          <w:color w:val="000000" w:themeColor="text1"/>
          <w:u w:val="single"/>
        </w:rPr>
        <w:t>Section 3 – Authority</w:t>
      </w:r>
    </w:p>
    <w:p w14:paraId="30F7D484" w14:textId="77777777" w:rsidR="00E075A8" w:rsidRDefault="00E075A8" w:rsidP="00E075A8">
      <w:pPr>
        <w:ind w:right="91"/>
        <w:rPr>
          <w:color w:val="000000" w:themeColor="text1"/>
        </w:rPr>
      </w:pPr>
      <w:r>
        <w:rPr>
          <w:color w:val="000000" w:themeColor="text1"/>
        </w:rPr>
        <w:t xml:space="preserve">This section provides that the Ordinance is made under the </w:t>
      </w:r>
      <w:r>
        <w:rPr>
          <w:i/>
          <w:color w:val="000000" w:themeColor="text1"/>
        </w:rPr>
        <w:t>Norfolk Island Act 1979</w:t>
      </w:r>
      <w:r w:rsidR="00D85762">
        <w:rPr>
          <w:i/>
          <w:color w:val="000000" w:themeColor="text1"/>
        </w:rPr>
        <w:t xml:space="preserve"> </w:t>
      </w:r>
      <w:r w:rsidR="00D85762">
        <w:rPr>
          <w:color w:val="000000" w:themeColor="text1"/>
        </w:rPr>
        <w:t>(Cth)</w:t>
      </w:r>
      <w:r>
        <w:rPr>
          <w:color w:val="000000" w:themeColor="text1"/>
        </w:rPr>
        <w:t>.</w:t>
      </w:r>
    </w:p>
    <w:p w14:paraId="2EA094EF" w14:textId="77777777" w:rsidR="00E075A8" w:rsidRDefault="00E075A8" w:rsidP="00E075A8">
      <w:pPr>
        <w:ind w:right="91"/>
        <w:rPr>
          <w:color w:val="000000" w:themeColor="text1"/>
        </w:rPr>
      </w:pPr>
    </w:p>
    <w:p w14:paraId="617E6B84" w14:textId="77777777" w:rsidR="00E075A8" w:rsidRDefault="00E075A8" w:rsidP="00E075A8">
      <w:pPr>
        <w:ind w:right="91"/>
        <w:rPr>
          <w:color w:val="000000" w:themeColor="text1"/>
          <w:u w:val="single"/>
        </w:rPr>
      </w:pPr>
      <w:r>
        <w:rPr>
          <w:color w:val="000000" w:themeColor="text1"/>
          <w:u w:val="single"/>
        </w:rPr>
        <w:t>Section 4 – Schedule</w:t>
      </w:r>
    </w:p>
    <w:p w14:paraId="49EF86DC" w14:textId="77777777" w:rsidR="00E075A8" w:rsidRDefault="00E075A8" w:rsidP="00E075A8">
      <w:pPr>
        <w:tabs>
          <w:tab w:val="left" w:pos="6521"/>
        </w:tabs>
        <w:ind w:right="91"/>
        <w:rPr>
          <w:color w:val="000000" w:themeColor="text1"/>
        </w:rPr>
      </w:pPr>
      <w:r>
        <w:rPr>
          <w:color w:val="000000" w:themeColor="text1"/>
        </w:rPr>
        <w:t>This section provides that each instrument that is specified in a Schedule to this Ordinance is amended or repealed as set out in the applicable items in the Schedule concerned.</w:t>
      </w:r>
    </w:p>
    <w:bookmarkEnd w:id="9"/>
    <w:p w14:paraId="051592F2" w14:textId="77777777" w:rsidR="00E075A8" w:rsidRDefault="00E075A8" w:rsidP="00E075A8">
      <w:pPr>
        <w:ind w:right="91"/>
        <w:rPr>
          <w:color w:val="000000" w:themeColor="text1"/>
        </w:rPr>
      </w:pPr>
    </w:p>
    <w:p w14:paraId="27B30C68" w14:textId="77777777" w:rsidR="00E075A8" w:rsidRDefault="00E075A8" w:rsidP="00E075A8">
      <w:pPr>
        <w:ind w:right="91"/>
        <w:rPr>
          <w:color w:val="000000" w:themeColor="text1"/>
          <w:u w:val="single"/>
        </w:rPr>
      </w:pPr>
      <w:r>
        <w:rPr>
          <w:color w:val="000000" w:themeColor="text1"/>
          <w:u w:val="single"/>
        </w:rPr>
        <w:t>Schedule 1 – Amendments</w:t>
      </w:r>
    </w:p>
    <w:p w14:paraId="1AEFB7FE" w14:textId="77777777" w:rsidR="00E075A8" w:rsidRDefault="00E075A8" w:rsidP="00E075A8">
      <w:pPr>
        <w:ind w:right="91"/>
        <w:rPr>
          <w:color w:val="000000" w:themeColor="text1"/>
        </w:rPr>
      </w:pPr>
    </w:p>
    <w:p w14:paraId="79724650" w14:textId="77777777" w:rsidR="00E075A8" w:rsidRDefault="00E075A8" w:rsidP="00E075A8">
      <w:pPr>
        <w:rPr>
          <w:b/>
          <w:color w:val="000000" w:themeColor="text1"/>
        </w:rPr>
      </w:pPr>
      <w:bookmarkStart w:id="10" w:name="_Hlk120260640"/>
      <w:r>
        <w:rPr>
          <w:b/>
          <w:color w:val="000000" w:themeColor="text1"/>
        </w:rPr>
        <w:t>Schedule 1</w:t>
      </w:r>
    </w:p>
    <w:p w14:paraId="3000705C" w14:textId="77777777" w:rsidR="00E075A8" w:rsidRDefault="00E075A8" w:rsidP="00E075A8">
      <w:pPr>
        <w:rPr>
          <w:b/>
          <w:color w:val="000000" w:themeColor="text1"/>
        </w:rPr>
      </w:pPr>
    </w:p>
    <w:p w14:paraId="1BE358A9" w14:textId="1B03B28B" w:rsidR="00E075A8" w:rsidRDefault="00E075A8" w:rsidP="00E075A8">
      <w:pPr>
        <w:rPr>
          <w:b/>
          <w:color w:val="000000" w:themeColor="text1"/>
        </w:rPr>
      </w:pPr>
      <w:r>
        <w:rPr>
          <w:b/>
          <w:color w:val="000000" w:themeColor="text1"/>
        </w:rPr>
        <w:t xml:space="preserve">Amendments to Schedule 3 </w:t>
      </w:r>
      <w:r w:rsidR="00A75E00">
        <w:rPr>
          <w:b/>
          <w:color w:val="000000" w:themeColor="text1"/>
        </w:rPr>
        <w:t>to</w:t>
      </w:r>
      <w:r>
        <w:rPr>
          <w:b/>
          <w:color w:val="000000" w:themeColor="text1"/>
        </w:rPr>
        <w:t xml:space="preserve"> the </w:t>
      </w:r>
      <w:r>
        <w:rPr>
          <w:b/>
          <w:i/>
          <w:noProof/>
        </w:rPr>
        <w:t>Norfolk Island Applied Laws and Service Delivery (Queensland) Ordinance 2021</w:t>
      </w:r>
    </w:p>
    <w:p w14:paraId="7BCCF9B2" w14:textId="77777777" w:rsidR="00E075A8" w:rsidRDefault="00E075A8" w:rsidP="00E075A8">
      <w:pPr>
        <w:ind w:right="91"/>
        <w:rPr>
          <w:color w:val="000000" w:themeColor="text1"/>
        </w:rPr>
      </w:pPr>
    </w:p>
    <w:p w14:paraId="01942B9C" w14:textId="184387C9" w:rsidR="00E075A8" w:rsidRDefault="00E075A8" w:rsidP="00E075A8">
      <w:pPr>
        <w:ind w:right="91"/>
        <w:rPr>
          <w:i/>
        </w:rPr>
      </w:pPr>
      <w:r>
        <w:t>Items [1] to [</w:t>
      </w:r>
      <w:r w:rsidR="009267B8">
        <w:t>8</w:t>
      </w:r>
      <w:r>
        <w:t xml:space="preserve">] amend the </w:t>
      </w:r>
      <w:r>
        <w:rPr>
          <w:rFonts w:cstheme="minorHAnsi"/>
          <w:i/>
        </w:rPr>
        <w:t xml:space="preserve">Education (General Provisions) Act 2006 </w:t>
      </w:r>
      <w:r>
        <w:rPr>
          <w:rFonts w:cstheme="minorHAnsi"/>
        </w:rPr>
        <w:t>(Qld)(NI)</w:t>
      </w:r>
      <w:r>
        <w:t xml:space="preserve">, by amending Schedule 3 of the </w:t>
      </w:r>
      <w:r>
        <w:rPr>
          <w:i/>
          <w:noProof/>
        </w:rPr>
        <w:t>Norfolk Island Applied Laws and Service Delivery (Queensland) Ordinance 2021</w:t>
      </w:r>
      <w:r w:rsidR="00D85762">
        <w:rPr>
          <w:i/>
          <w:noProof/>
        </w:rPr>
        <w:t xml:space="preserve"> </w:t>
      </w:r>
      <w:r w:rsidR="00D85762">
        <w:rPr>
          <w:color w:val="000000" w:themeColor="text1"/>
        </w:rPr>
        <w:t>(Cth)</w:t>
      </w:r>
      <w:r>
        <w:rPr>
          <w:i/>
        </w:rPr>
        <w:t>.</w:t>
      </w:r>
    </w:p>
    <w:p w14:paraId="2C59C296" w14:textId="77777777" w:rsidR="00E075A8" w:rsidRDefault="00E075A8" w:rsidP="00E075A8">
      <w:pPr>
        <w:ind w:right="91"/>
        <w:rPr>
          <w:color w:val="000000" w:themeColor="text1"/>
        </w:rPr>
      </w:pPr>
    </w:p>
    <w:p w14:paraId="0A8AAFD7" w14:textId="77777777" w:rsidR="00E075A8" w:rsidRDefault="00E075A8" w:rsidP="00E075A8">
      <w:pPr>
        <w:spacing w:after="120"/>
        <w:ind w:right="91"/>
        <w:rPr>
          <w:b/>
          <w:color w:val="000000" w:themeColor="text1"/>
        </w:rPr>
      </w:pPr>
      <w:r>
        <w:rPr>
          <w:b/>
          <w:color w:val="000000" w:themeColor="text1"/>
        </w:rPr>
        <w:t>Item [1]</w:t>
      </w:r>
    </w:p>
    <w:p w14:paraId="058884B1" w14:textId="77777777" w:rsidR="00E862AD" w:rsidRDefault="00E075A8" w:rsidP="006F236E">
      <w:pPr>
        <w:ind w:right="91"/>
        <w:rPr>
          <w:color w:val="000000" w:themeColor="text1"/>
        </w:rPr>
      </w:pPr>
      <w:r>
        <w:rPr>
          <w:color w:val="000000" w:themeColor="text1"/>
        </w:rPr>
        <w:t xml:space="preserve">Item 1 repeals section 182 </w:t>
      </w:r>
      <w:r>
        <w:rPr>
          <w:rFonts w:cstheme="minorHAnsi"/>
        </w:rPr>
        <w:t>as this only relates to non-state schools, of which there are currently none on Norfolk Island.</w:t>
      </w:r>
      <w:r w:rsidR="00E862AD">
        <w:rPr>
          <w:rFonts w:cstheme="minorHAnsi"/>
        </w:rPr>
        <w:t xml:space="preserve"> Subsection 183(2) is amended as a consequence of the repeal of section 182. </w:t>
      </w:r>
    </w:p>
    <w:p w14:paraId="61573142" w14:textId="77777777" w:rsidR="00E075A8" w:rsidRDefault="00E075A8" w:rsidP="00E075A8">
      <w:pPr>
        <w:ind w:right="91"/>
      </w:pPr>
    </w:p>
    <w:p w14:paraId="6909A6F3" w14:textId="77777777" w:rsidR="00E075A8" w:rsidRDefault="00E075A8" w:rsidP="00E075A8">
      <w:pPr>
        <w:spacing w:after="120"/>
        <w:ind w:right="91"/>
        <w:rPr>
          <w:b/>
          <w:color w:val="000000" w:themeColor="text1"/>
        </w:rPr>
      </w:pPr>
      <w:r>
        <w:rPr>
          <w:b/>
          <w:color w:val="000000" w:themeColor="text1"/>
        </w:rPr>
        <w:t>Item [2]</w:t>
      </w:r>
    </w:p>
    <w:p w14:paraId="3256A513" w14:textId="77777777" w:rsidR="001B4B19" w:rsidRDefault="00E075A8" w:rsidP="00E075A8">
      <w:pPr>
        <w:ind w:right="91"/>
        <w:rPr>
          <w:rFonts w:cstheme="minorHAnsi"/>
        </w:rPr>
      </w:pPr>
      <w:r>
        <w:rPr>
          <w:color w:val="000000" w:themeColor="text1"/>
        </w:rPr>
        <w:t xml:space="preserve">Item 2 repeals section 185A </w:t>
      </w:r>
      <w:r>
        <w:rPr>
          <w:rFonts w:cstheme="minorHAnsi"/>
        </w:rPr>
        <w:t xml:space="preserve">as this only relates to non-state schools, </w:t>
      </w:r>
      <w:r w:rsidR="004735DB">
        <w:rPr>
          <w:rFonts w:cstheme="minorHAnsi"/>
        </w:rPr>
        <w:t>of which there are currently none on Norfolk Island</w:t>
      </w:r>
      <w:r>
        <w:rPr>
          <w:rFonts w:cstheme="minorHAnsi"/>
        </w:rPr>
        <w:t>.</w:t>
      </w:r>
      <w:r w:rsidR="006F236E">
        <w:rPr>
          <w:rFonts w:cstheme="minorHAnsi"/>
        </w:rPr>
        <w:t xml:space="preserve"> </w:t>
      </w:r>
      <w:r w:rsidR="00073640">
        <w:rPr>
          <w:rFonts w:cstheme="minorHAnsi"/>
        </w:rPr>
        <w:t>The amendment</w:t>
      </w:r>
      <w:r w:rsidR="006F236E">
        <w:rPr>
          <w:rFonts w:cstheme="minorHAnsi"/>
        </w:rPr>
        <w:t xml:space="preserve"> to subsection 185(3)</w:t>
      </w:r>
      <w:r w:rsidR="001B4B19" w:rsidRPr="001B4B19">
        <w:rPr>
          <w:rFonts w:cstheme="minorHAnsi"/>
        </w:rPr>
        <w:t xml:space="preserve"> </w:t>
      </w:r>
      <w:r w:rsidR="001B4B19">
        <w:rPr>
          <w:rFonts w:cstheme="minorHAnsi"/>
        </w:rPr>
        <w:t xml:space="preserve">is a consequential amendment to remove a cross-reference to section 185A. </w:t>
      </w:r>
    </w:p>
    <w:p w14:paraId="410799DA" w14:textId="77777777" w:rsidR="001B4B19" w:rsidRDefault="001B4B19" w:rsidP="00E075A8">
      <w:pPr>
        <w:ind w:right="91"/>
        <w:rPr>
          <w:rFonts w:cstheme="minorHAnsi"/>
        </w:rPr>
      </w:pPr>
    </w:p>
    <w:p w14:paraId="5BA612C4" w14:textId="77777777" w:rsidR="001B4B19" w:rsidRDefault="001B4B19" w:rsidP="00E075A8">
      <w:pPr>
        <w:ind w:right="91"/>
        <w:rPr>
          <w:rFonts w:cstheme="minorHAnsi"/>
        </w:rPr>
      </w:pPr>
      <w:r>
        <w:rPr>
          <w:color w:val="000000" w:themeColor="text1"/>
        </w:rPr>
        <w:t xml:space="preserve">Subsection 186(1) is similarly repealed </w:t>
      </w:r>
      <w:r>
        <w:rPr>
          <w:rFonts w:cstheme="minorHAnsi"/>
        </w:rPr>
        <w:t>as this only relates to non-state schools, of which there are currently none on Norfolk Island</w:t>
      </w:r>
      <w:r w:rsidR="00D85762">
        <w:rPr>
          <w:rFonts w:cstheme="minorHAnsi"/>
        </w:rPr>
        <w:t>.</w:t>
      </w:r>
    </w:p>
    <w:p w14:paraId="0D2AC97D" w14:textId="1F2F81D2" w:rsidR="001B4B19" w:rsidRDefault="001B4B19" w:rsidP="00E075A8">
      <w:pPr>
        <w:ind w:right="91"/>
        <w:rPr>
          <w:rFonts w:cstheme="minorHAnsi"/>
        </w:rPr>
      </w:pPr>
    </w:p>
    <w:p w14:paraId="2DF89CAC" w14:textId="77777777" w:rsidR="00AA3E70" w:rsidRDefault="00AA3E70" w:rsidP="00AA3E70">
      <w:pPr>
        <w:ind w:right="91"/>
        <w:rPr>
          <w:rFonts w:cstheme="minorHAnsi"/>
        </w:rPr>
      </w:pPr>
      <w:r>
        <w:rPr>
          <w:rFonts w:cstheme="minorHAnsi"/>
        </w:rPr>
        <w:t>Sections 186, 187 and 189 to 192 are amended to change references to ‘relevant decision-maker’ to ‘chief executive’. Once the references to non-state schools are repealed, the chief executive will be the only relevant decision-maker for an exemption under this Part.</w:t>
      </w:r>
    </w:p>
    <w:p w14:paraId="3D80838C" w14:textId="76384017" w:rsidR="00E075A8" w:rsidRDefault="001B4B19" w:rsidP="00E075A8">
      <w:pPr>
        <w:ind w:right="91"/>
        <w:rPr>
          <w:rFonts w:cstheme="minorHAnsi"/>
        </w:rPr>
      </w:pPr>
      <w:r>
        <w:rPr>
          <w:rFonts w:cstheme="minorHAnsi"/>
        </w:rPr>
        <w:lastRenderedPageBreak/>
        <w:t xml:space="preserve">The amendments to subsections </w:t>
      </w:r>
      <w:r w:rsidR="006F236E">
        <w:rPr>
          <w:rFonts w:cstheme="minorHAnsi"/>
        </w:rPr>
        <w:t>188(1) and 188(2) remove cross-reference</w:t>
      </w:r>
      <w:r>
        <w:rPr>
          <w:rFonts w:cstheme="minorHAnsi"/>
        </w:rPr>
        <w:t>s</w:t>
      </w:r>
      <w:r w:rsidR="006F236E">
        <w:rPr>
          <w:rFonts w:cstheme="minorHAnsi"/>
        </w:rPr>
        <w:t xml:space="preserve"> to section 185A.</w:t>
      </w:r>
    </w:p>
    <w:p w14:paraId="66FFB999" w14:textId="7B801D89" w:rsidR="00E36521" w:rsidRDefault="00E36521" w:rsidP="00E075A8">
      <w:pPr>
        <w:ind w:right="91"/>
        <w:rPr>
          <w:color w:val="000000" w:themeColor="text1"/>
        </w:rPr>
      </w:pPr>
    </w:p>
    <w:p w14:paraId="62179440" w14:textId="58775D26" w:rsidR="00E075A8" w:rsidRDefault="00E075A8" w:rsidP="00E075A8">
      <w:pPr>
        <w:ind w:right="91"/>
        <w:rPr>
          <w:rFonts w:cstheme="minorHAnsi"/>
        </w:rPr>
      </w:pPr>
      <w:r>
        <w:rPr>
          <w:color w:val="000000" w:themeColor="text1"/>
        </w:rPr>
        <w:t xml:space="preserve">Division 5 (section 197A) </w:t>
      </w:r>
      <w:r w:rsidR="001B4B19">
        <w:rPr>
          <w:color w:val="000000" w:themeColor="text1"/>
        </w:rPr>
        <w:t xml:space="preserve">is also repealed </w:t>
      </w:r>
      <w:r>
        <w:rPr>
          <w:rFonts w:cstheme="minorHAnsi"/>
        </w:rPr>
        <w:t xml:space="preserve">as this only relates to non-state schools, </w:t>
      </w:r>
      <w:r w:rsidR="004735DB">
        <w:rPr>
          <w:rFonts w:cstheme="minorHAnsi"/>
        </w:rPr>
        <w:t>of which there are currently none on Norfolk Island</w:t>
      </w:r>
      <w:r>
        <w:rPr>
          <w:rFonts w:cstheme="minorHAnsi"/>
        </w:rPr>
        <w:t>.</w:t>
      </w:r>
    </w:p>
    <w:p w14:paraId="763D686C" w14:textId="2CDBED79" w:rsidR="00E36521" w:rsidRDefault="00E36521" w:rsidP="00E075A8">
      <w:pPr>
        <w:ind w:right="91"/>
        <w:rPr>
          <w:color w:val="000000" w:themeColor="text1"/>
        </w:rPr>
      </w:pPr>
    </w:p>
    <w:p w14:paraId="24031425" w14:textId="77777777" w:rsidR="00E075A8" w:rsidRDefault="00E075A8" w:rsidP="00E075A8">
      <w:pPr>
        <w:spacing w:after="120"/>
        <w:ind w:right="91"/>
        <w:rPr>
          <w:b/>
          <w:color w:val="000000" w:themeColor="text1"/>
        </w:rPr>
      </w:pPr>
      <w:r>
        <w:rPr>
          <w:b/>
          <w:color w:val="000000" w:themeColor="text1"/>
        </w:rPr>
        <w:t>Item [</w:t>
      </w:r>
      <w:r w:rsidR="001B4B19">
        <w:rPr>
          <w:b/>
          <w:color w:val="000000" w:themeColor="text1"/>
        </w:rPr>
        <w:t>3</w:t>
      </w:r>
      <w:r>
        <w:rPr>
          <w:b/>
          <w:color w:val="000000" w:themeColor="text1"/>
        </w:rPr>
        <w:t>]</w:t>
      </w:r>
    </w:p>
    <w:p w14:paraId="2528919B" w14:textId="166BB91C" w:rsidR="00E075A8" w:rsidRDefault="00E075A8" w:rsidP="00E075A8">
      <w:pPr>
        <w:spacing w:before="60" w:after="60"/>
        <w:rPr>
          <w:rFonts w:eastAsia="Calibri" w:cstheme="minorHAnsi"/>
        </w:rPr>
      </w:pPr>
      <w:r>
        <w:rPr>
          <w:color w:val="000000" w:themeColor="text1"/>
        </w:rPr>
        <w:t xml:space="preserve">Item </w:t>
      </w:r>
      <w:r w:rsidR="001B4B19">
        <w:rPr>
          <w:color w:val="000000" w:themeColor="text1"/>
        </w:rPr>
        <w:t>3</w:t>
      </w:r>
      <w:r>
        <w:rPr>
          <w:color w:val="000000" w:themeColor="text1"/>
        </w:rPr>
        <w:t xml:space="preserve"> amends section 241, which </w:t>
      </w:r>
      <w:r>
        <w:rPr>
          <w:rFonts w:eastAsia="Calibri" w:cstheme="minorHAnsi"/>
        </w:rPr>
        <w:t xml:space="preserve">provides what an authorised officer may do if they suspect a young person in the compulsory participation phase </w:t>
      </w:r>
      <w:r w:rsidR="005956D4">
        <w:rPr>
          <w:rFonts w:eastAsia="Calibri" w:cstheme="minorHAnsi"/>
        </w:rPr>
        <w:t xml:space="preserve">in education or training </w:t>
      </w:r>
      <w:r>
        <w:rPr>
          <w:rFonts w:eastAsia="Calibri" w:cstheme="minorHAnsi"/>
        </w:rPr>
        <w:t>is not participating full-time in an eligible option. Subsection (5) was originally applied unchanged and provided that “</w:t>
      </w:r>
      <w:r w:rsidRPr="00B512FA">
        <w:rPr>
          <w:rFonts w:eastAsia="Calibri" w:cstheme="minorHAnsi"/>
          <w:i/>
        </w:rPr>
        <w:t>For the Police Powers and Responsibilities Act 2000, section 16, an authorised officer acting under this section is a public official performing a function authorised by this Act</w:t>
      </w:r>
      <w:r w:rsidRPr="00B512FA">
        <w:rPr>
          <w:rFonts w:eastAsia="Calibri" w:cstheme="minorHAnsi"/>
        </w:rPr>
        <w:t>”.</w:t>
      </w:r>
      <w:r>
        <w:rPr>
          <w:rFonts w:eastAsia="Calibri" w:cstheme="minorHAnsi"/>
        </w:rPr>
        <w:t xml:space="preserve"> </w:t>
      </w:r>
      <w:r w:rsidR="005956D4">
        <w:rPr>
          <w:rFonts w:eastAsia="Calibri" w:cstheme="minorHAnsi"/>
        </w:rPr>
        <w:t xml:space="preserve">This legislation has not been applied </w:t>
      </w:r>
      <w:r w:rsidR="00E36521">
        <w:rPr>
          <w:rFonts w:eastAsia="Calibri" w:cstheme="minorHAnsi"/>
        </w:rPr>
        <w:t>in</w:t>
      </w:r>
      <w:r w:rsidR="005956D4">
        <w:rPr>
          <w:rFonts w:eastAsia="Calibri" w:cstheme="minorHAnsi"/>
        </w:rPr>
        <w:t xml:space="preserve"> Norfolk Island, and so t</w:t>
      </w:r>
      <w:r>
        <w:rPr>
          <w:rFonts w:eastAsia="Calibri" w:cstheme="minorHAnsi"/>
        </w:rPr>
        <w:t xml:space="preserve">his item amends subsection 241(5) to be more contextually relevant by enabling an authorised officer to ask a police officer </w:t>
      </w:r>
      <w:r w:rsidR="003053F8">
        <w:rPr>
          <w:rFonts w:eastAsia="Calibri" w:cstheme="minorHAnsi"/>
        </w:rPr>
        <w:t>(i.e. a member of the Police Force of Norfolk Island or a member or special member of the Australian Federal Police</w:t>
      </w:r>
      <w:r w:rsidR="002B425A">
        <w:rPr>
          <w:rFonts w:eastAsia="Calibri" w:cstheme="minorHAnsi"/>
        </w:rPr>
        <w:t xml:space="preserve"> (AFP)</w:t>
      </w:r>
      <w:r w:rsidR="003053F8">
        <w:rPr>
          <w:rFonts w:eastAsia="Calibri" w:cstheme="minorHAnsi"/>
        </w:rPr>
        <w:t xml:space="preserve">) </w:t>
      </w:r>
      <w:r>
        <w:rPr>
          <w:rFonts w:eastAsia="Calibri" w:cstheme="minorHAnsi"/>
        </w:rPr>
        <w:t>for assistance to perform a function under this section.</w:t>
      </w:r>
    </w:p>
    <w:p w14:paraId="2066A9B3" w14:textId="77777777" w:rsidR="00E075A8" w:rsidRDefault="00E075A8" w:rsidP="00E075A8">
      <w:pPr>
        <w:ind w:right="91"/>
        <w:rPr>
          <w:color w:val="000000" w:themeColor="text1"/>
        </w:rPr>
      </w:pPr>
    </w:p>
    <w:p w14:paraId="1D88E8F5" w14:textId="77777777" w:rsidR="00E075A8" w:rsidRDefault="00E075A8" w:rsidP="00E075A8">
      <w:pPr>
        <w:spacing w:after="120"/>
        <w:ind w:right="91"/>
        <w:rPr>
          <w:b/>
          <w:color w:val="000000" w:themeColor="text1"/>
        </w:rPr>
      </w:pPr>
      <w:r>
        <w:rPr>
          <w:b/>
          <w:color w:val="000000" w:themeColor="text1"/>
        </w:rPr>
        <w:t>Item [</w:t>
      </w:r>
      <w:r w:rsidR="003053F8">
        <w:rPr>
          <w:b/>
          <w:color w:val="000000" w:themeColor="text1"/>
        </w:rPr>
        <w:t>4</w:t>
      </w:r>
      <w:r>
        <w:rPr>
          <w:b/>
          <w:color w:val="000000" w:themeColor="text1"/>
        </w:rPr>
        <w:t>]</w:t>
      </w:r>
    </w:p>
    <w:p w14:paraId="285DC9EF" w14:textId="71BCD83F" w:rsidR="00E075A8" w:rsidRDefault="00E075A8" w:rsidP="00E075A8">
      <w:pPr>
        <w:ind w:right="91"/>
        <w:rPr>
          <w:rFonts w:cstheme="minorHAnsi"/>
        </w:rPr>
      </w:pPr>
      <w:r>
        <w:rPr>
          <w:color w:val="000000" w:themeColor="text1"/>
        </w:rPr>
        <w:t xml:space="preserve">Item </w:t>
      </w:r>
      <w:r w:rsidR="003053F8">
        <w:rPr>
          <w:color w:val="000000" w:themeColor="text1"/>
        </w:rPr>
        <w:t>4</w:t>
      </w:r>
      <w:r>
        <w:rPr>
          <w:color w:val="000000" w:themeColor="text1"/>
        </w:rPr>
        <w:t xml:space="preserve"> reverses a previous omission of references to ‘non-state schools’ in sections 383 to 387</w:t>
      </w:r>
      <w:r w:rsidR="003053F8">
        <w:rPr>
          <w:color w:val="000000" w:themeColor="text1"/>
        </w:rPr>
        <w:t xml:space="preserve"> (by repealing items 58</w:t>
      </w:r>
      <w:r w:rsidR="00AA3E70">
        <w:rPr>
          <w:color w:val="000000" w:themeColor="text1"/>
        </w:rPr>
        <w:t xml:space="preserve">, 59, 60 and </w:t>
      </w:r>
      <w:r w:rsidR="003053F8">
        <w:rPr>
          <w:color w:val="000000" w:themeColor="text1"/>
        </w:rPr>
        <w:t>62 of Schedule 3 to the Ordinance)</w:t>
      </w:r>
      <w:r>
        <w:rPr>
          <w:color w:val="000000" w:themeColor="text1"/>
        </w:rPr>
        <w:t xml:space="preserve">. </w:t>
      </w:r>
      <w:r>
        <w:rPr>
          <w:rFonts w:cstheme="minorHAnsi"/>
        </w:rPr>
        <w:t>These sections allow for the transfer of student information between schools, both state and non-state schools, when a student moves schools. When applied, these sections were amended to remove all references to non-state schools, likely because there are no non-state schools on Norfolk Island, meaning that the Act only allows for the exchange of transfer notes between Norfolk Island Central School (NICS) and another state school. However, it is possible that a student from a non-state school may transfer to NICS, or vice versa, and therefore the principal of either school should have the power to request a transfer note under these sections.</w:t>
      </w:r>
    </w:p>
    <w:p w14:paraId="3118A1E1" w14:textId="77777777" w:rsidR="00E075A8" w:rsidRDefault="00E075A8" w:rsidP="00E075A8">
      <w:pPr>
        <w:ind w:right="91"/>
        <w:rPr>
          <w:color w:val="000000" w:themeColor="text1"/>
        </w:rPr>
      </w:pPr>
    </w:p>
    <w:p w14:paraId="1906F63A" w14:textId="77777777" w:rsidR="00E075A8" w:rsidRDefault="00E075A8" w:rsidP="00E075A8">
      <w:pPr>
        <w:spacing w:after="120"/>
        <w:ind w:right="91"/>
        <w:rPr>
          <w:b/>
          <w:color w:val="000000" w:themeColor="text1"/>
        </w:rPr>
      </w:pPr>
      <w:r>
        <w:rPr>
          <w:b/>
          <w:color w:val="000000" w:themeColor="text1"/>
        </w:rPr>
        <w:t>Item [</w:t>
      </w:r>
      <w:r w:rsidR="003053F8">
        <w:rPr>
          <w:b/>
          <w:color w:val="000000" w:themeColor="text1"/>
        </w:rPr>
        <w:t>5</w:t>
      </w:r>
      <w:r>
        <w:rPr>
          <w:b/>
          <w:color w:val="000000" w:themeColor="text1"/>
        </w:rPr>
        <w:t>]</w:t>
      </w:r>
    </w:p>
    <w:p w14:paraId="3B20DF78" w14:textId="2FE1A680" w:rsidR="00E075A8" w:rsidRDefault="00E075A8" w:rsidP="00E075A8">
      <w:pPr>
        <w:ind w:right="91"/>
        <w:rPr>
          <w:rFonts w:cstheme="minorHAnsi"/>
        </w:rPr>
      </w:pPr>
      <w:r>
        <w:rPr>
          <w:color w:val="000000" w:themeColor="text1"/>
        </w:rPr>
        <w:t xml:space="preserve">Item </w:t>
      </w:r>
      <w:r w:rsidR="003053F8">
        <w:rPr>
          <w:color w:val="000000" w:themeColor="text1"/>
        </w:rPr>
        <w:t>5</w:t>
      </w:r>
      <w:r>
        <w:rPr>
          <w:color w:val="000000" w:themeColor="text1"/>
        </w:rPr>
        <w:t xml:space="preserve"> unsuspends and applies sections 420 and 420A of the </w:t>
      </w:r>
      <w:r>
        <w:rPr>
          <w:rFonts w:cstheme="minorHAnsi"/>
          <w:i/>
        </w:rPr>
        <w:t xml:space="preserve">Education (General Provisions) Act 2006 </w:t>
      </w:r>
      <w:r>
        <w:rPr>
          <w:rFonts w:cstheme="minorHAnsi"/>
        </w:rPr>
        <w:t>(Qld)</w:t>
      </w:r>
      <w:r w:rsidR="003053F8">
        <w:rPr>
          <w:rFonts w:cstheme="minorHAnsi"/>
        </w:rPr>
        <w:t xml:space="preserve"> (by repealing item 71 of Schedule 3 to the Ordinance)</w:t>
      </w:r>
      <w:r>
        <w:rPr>
          <w:rFonts w:cstheme="minorHAnsi"/>
        </w:rPr>
        <w:t xml:space="preserve">. These sections provide for the special education of people below compulsory school age with a disability and for a </w:t>
      </w:r>
      <w:r w:rsidR="00541780">
        <w:rPr>
          <w:rFonts w:cstheme="minorHAnsi"/>
        </w:rPr>
        <w:t>m</w:t>
      </w:r>
      <w:r>
        <w:rPr>
          <w:rFonts w:cstheme="minorHAnsi"/>
        </w:rPr>
        <w:t>inisterial policy about the criteria for determining whether a person is a person with disability. It is appropriate to apply them to allow for the provision of special education services at NICS when required.</w:t>
      </w:r>
    </w:p>
    <w:p w14:paraId="7729D49C" w14:textId="77777777" w:rsidR="003053F8" w:rsidRDefault="003053F8" w:rsidP="00E075A8">
      <w:pPr>
        <w:ind w:right="91"/>
        <w:rPr>
          <w:rFonts w:cstheme="minorHAnsi"/>
        </w:rPr>
      </w:pPr>
    </w:p>
    <w:p w14:paraId="21B1197C" w14:textId="58763B36" w:rsidR="00AA3E70" w:rsidRDefault="00AA3E70" w:rsidP="003053F8">
      <w:pPr>
        <w:spacing w:after="120"/>
        <w:ind w:right="91"/>
        <w:rPr>
          <w:b/>
          <w:color w:val="000000" w:themeColor="text1"/>
        </w:rPr>
      </w:pPr>
      <w:r>
        <w:rPr>
          <w:b/>
          <w:color w:val="000000" w:themeColor="text1"/>
        </w:rPr>
        <w:t>Item [6]</w:t>
      </w:r>
    </w:p>
    <w:p w14:paraId="4ACA652D" w14:textId="2A0E9302" w:rsidR="00AA3E70" w:rsidRPr="00AA3E70" w:rsidRDefault="00AA3E70" w:rsidP="003053F8">
      <w:pPr>
        <w:spacing w:after="120"/>
        <w:ind w:right="91"/>
        <w:rPr>
          <w:color w:val="000000" w:themeColor="text1"/>
        </w:rPr>
      </w:pPr>
      <w:r w:rsidRPr="00AA3E70">
        <w:rPr>
          <w:color w:val="000000" w:themeColor="text1"/>
        </w:rPr>
        <w:t>Item 6 removes a cross-reference to subsection</w:t>
      </w:r>
      <w:r>
        <w:rPr>
          <w:color w:val="000000" w:themeColor="text1"/>
        </w:rPr>
        <w:t xml:space="preserve"> </w:t>
      </w:r>
      <w:r w:rsidRPr="00AA3E70">
        <w:rPr>
          <w:color w:val="000000" w:themeColor="text1"/>
        </w:rPr>
        <w:t xml:space="preserve">420(1) in subsection 420A(2). This is because subsection 420(1) was previously repealed. </w:t>
      </w:r>
    </w:p>
    <w:p w14:paraId="1ACE5298" w14:textId="74C0EBDC" w:rsidR="003053F8" w:rsidRPr="00A71A00" w:rsidRDefault="003053F8" w:rsidP="003053F8">
      <w:pPr>
        <w:spacing w:after="120"/>
        <w:ind w:right="91"/>
        <w:rPr>
          <w:b/>
          <w:color w:val="000000" w:themeColor="text1"/>
        </w:rPr>
      </w:pPr>
      <w:r w:rsidRPr="00A71A00">
        <w:rPr>
          <w:b/>
          <w:color w:val="000000" w:themeColor="text1"/>
        </w:rPr>
        <w:t>Item [</w:t>
      </w:r>
      <w:r w:rsidR="00AA3E70" w:rsidRPr="00A71A00">
        <w:rPr>
          <w:b/>
          <w:color w:val="000000" w:themeColor="text1"/>
        </w:rPr>
        <w:t>7</w:t>
      </w:r>
      <w:r w:rsidRPr="00A71A00">
        <w:rPr>
          <w:b/>
          <w:color w:val="000000" w:themeColor="text1"/>
        </w:rPr>
        <w:t>]</w:t>
      </w:r>
    </w:p>
    <w:p w14:paraId="784356AD" w14:textId="2825443E" w:rsidR="003053F8" w:rsidRDefault="003053F8" w:rsidP="003053F8">
      <w:pPr>
        <w:ind w:right="91"/>
        <w:rPr>
          <w:rFonts w:cstheme="minorHAnsi"/>
        </w:rPr>
      </w:pPr>
      <w:r w:rsidRPr="00A71A00">
        <w:rPr>
          <w:color w:val="000000" w:themeColor="text1"/>
        </w:rPr>
        <w:t xml:space="preserve">Item </w:t>
      </w:r>
      <w:r w:rsidR="00AA3E70" w:rsidRPr="00A71A00">
        <w:rPr>
          <w:color w:val="000000" w:themeColor="text1"/>
        </w:rPr>
        <w:t>7</w:t>
      </w:r>
      <w:r w:rsidRPr="00A71A00">
        <w:rPr>
          <w:color w:val="000000" w:themeColor="text1"/>
        </w:rPr>
        <w:t xml:space="preserve"> </w:t>
      </w:r>
      <w:r w:rsidR="00CB249D" w:rsidRPr="00A71A00">
        <w:rPr>
          <w:color w:val="000000" w:themeColor="text1"/>
        </w:rPr>
        <w:t>amends the definition of ‘external program’ to remove a cross-reference to section 182 (repealed</w:t>
      </w:r>
      <w:r w:rsidR="00CB249D" w:rsidRPr="00CB249D">
        <w:rPr>
          <w:color w:val="000000" w:themeColor="text1"/>
        </w:rPr>
        <w:t xml:space="preserve"> by item 1 above).</w:t>
      </w:r>
      <w:r w:rsidRPr="00CB249D">
        <w:rPr>
          <w:color w:val="000000" w:themeColor="text1"/>
        </w:rPr>
        <w:t xml:space="preserve"> </w:t>
      </w:r>
    </w:p>
    <w:p w14:paraId="4A61134C" w14:textId="2CB0083F" w:rsidR="00E075A8" w:rsidRDefault="00E075A8" w:rsidP="00E075A8">
      <w:pPr>
        <w:ind w:right="91"/>
        <w:rPr>
          <w:color w:val="000000" w:themeColor="text1"/>
        </w:rPr>
      </w:pPr>
    </w:p>
    <w:p w14:paraId="78391234" w14:textId="34C7C6E2" w:rsidR="00AA3E70" w:rsidRDefault="00AA3E70" w:rsidP="00AA3E70">
      <w:pPr>
        <w:spacing w:after="120"/>
        <w:ind w:right="91"/>
        <w:rPr>
          <w:b/>
          <w:color w:val="000000" w:themeColor="text1"/>
        </w:rPr>
      </w:pPr>
      <w:r>
        <w:rPr>
          <w:b/>
          <w:color w:val="000000" w:themeColor="text1"/>
        </w:rPr>
        <w:t>Item [8]</w:t>
      </w:r>
    </w:p>
    <w:p w14:paraId="34E6593D" w14:textId="6B7A3919" w:rsidR="00AA3E70" w:rsidRDefault="00AA3E70" w:rsidP="00E075A8">
      <w:pPr>
        <w:ind w:right="91"/>
        <w:rPr>
          <w:color w:val="000000" w:themeColor="text1"/>
        </w:rPr>
      </w:pPr>
      <w:r>
        <w:rPr>
          <w:color w:val="000000" w:themeColor="text1"/>
        </w:rPr>
        <w:t xml:space="preserve">Item 8 </w:t>
      </w:r>
      <w:r w:rsidR="003C4A67">
        <w:rPr>
          <w:color w:val="000000" w:themeColor="text1"/>
        </w:rPr>
        <w:t>repeals and substitutes</w:t>
      </w:r>
      <w:r>
        <w:rPr>
          <w:color w:val="000000" w:themeColor="text1"/>
        </w:rPr>
        <w:t xml:space="preserve"> the definition of ‘relevant decision-maker’ </w:t>
      </w:r>
      <w:r w:rsidR="0031095B">
        <w:rPr>
          <w:color w:val="000000" w:themeColor="text1"/>
        </w:rPr>
        <w:t xml:space="preserve">to remove a cross reference to the definition in section 186, which is repealed above. </w:t>
      </w:r>
    </w:p>
    <w:p w14:paraId="1392A8BC" w14:textId="77777777" w:rsidR="00AA3E70" w:rsidRPr="00AA3E70" w:rsidRDefault="00AA3E70" w:rsidP="00E075A8">
      <w:pPr>
        <w:ind w:right="91"/>
        <w:rPr>
          <w:color w:val="000000" w:themeColor="text1"/>
        </w:rPr>
      </w:pPr>
    </w:p>
    <w:p w14:paraId="092E2C8B" w14:textId="66AE5997" w:rsidR="00E075A8" w:rsidRDefault="00E075A8" w:rsidP="00A74BE1">
      <w:pPr>
        <w:keepNext/>
        <w:rPr>
          <w:b/>
          <w:color w:val="000000" w:themeColor="text1"/>
        </w:rPr>
      </w:pPr>
      <w:r>
        <w:rPr>
          <w:b/>
          <w:color w:val="000000" w:themeColor="text1"/>
        </w:rPr>
        <w:lastRenderedPageBreak/>
        <w:t xml:space="preserve">Amendments to Schedule 4 </w:t>
      </w:r>
      <w:r w:rsidR="00A75E00">
        <w:rPr>
          <w:b/>
          <w:color w:val="000000" w:themeColor="text1"/>
        </w:rPr>
        <w:t>to</w:t>
      </w:r>
      <w:r>
        <w:rPr>
          <w:b/>
          <w:color w:val="000000" w:themeColor="text1"/>
        </w:rPr>
        <w:t xml:space="preserve"> the </w:t>
      </w:r>
      <w:r>
        <w:rPr>
          <w:b/>
          <w:i/>
          <w:noProof/>
        </w:rPr>
        <w:t>Norfolk Island Applied Laws and Service Delivery (Queensland) Ordinance 2021</w:t>
      </w:r>
    </w:p>
    <w:p w14:paraId="4B6F937B" w14:textId="77777777" w:rsidR="00E075A8" w:rsidRDefault="00E075A8" w:rsidP="00A74BE1">
      <w:pPr>
        <w:keepNext/>
        <w:ind w:right="91"/>
        <w:rPr>
          <w:color w:val="000000" w:themeColor="text1"/>
        </w:rPr>
      </w:pPr>
    </w:p>
    <w:p w14:paraId="1279BE5D" w14:textId="000B386D" w:rsidR="00E075A8" w:rsidRDefault="00E075A8" w:rsidP="00E075A8">
      <w:pPr>
        <w:ind w:right="91"/>
        <w:rPr>
          <w:i/>
        </w:rPr>
      </w:pPr>
      <w:r>
        <w:t>Items [</w:t>
      </w:r>
      <w:r w:rsidR="0031095B">
        <w:t>9</w:t>
      </w:r>
      <w:r>
        <w:t xml:space="preserve">] </w:t>
      </w:r>
      <w:r w:rsidR="00AB5683">
        <w:t>and</w:t>
      </w:r>
      <w:r>
        <w:t xml:space="preserve"> [</w:t>
      </w:r>
      <w:r w:rsidR="0031095B">
        <w:t>10</w:t>
      </w:r>
      <w:r>
        <w:t xml:space="preserve">] amend the </w:t>
      </w:r>
      <w:r>
        <w:rPr>
          <w:rFonts w:cstheme="minorHAnsi"/>
          <w:i/>
        </w:rPr>
        <w:t xml:space="preserve">Education (General Provisions) Regulation 2017 </w:t>
      </w:r>
      <w:r>
        <w:rPr>
          <w:rFonts w:cstheme="minorHAnsi"/>
        </w:rPr>
        <w:t>(Qld)(NI)</w:t>
      </w:r>
      <w:r>
        <w:t xml:space="preserve">, by amending Schedule 4 of the </w:t>
      </w:r>
      <w:r>
        <w:rPr>
          <w:i/>
          <w:noProof/>
        </w:rPr>
        <w:t>Norfolk Island Applied Laws and Service Delivery (Queensland) Ordinance 2021</w:t>
      </w:r>
      <w:r w:rsidR="00541780">
        <w:rPr>
          <w:i/>
          <w:noProof/>
        </w:rPr>
        <w:t xml:space="preserve"> </w:t>
      </w:r>
      <w:r w:rsidR="00541780">
        <w:rPr>
          <w:color w:val="000000" w:themeColor="text1"/>
        </w:rPr>
        <w:t>(Cth)</w:t>
      </w:r>
      <w:r>
        <w:rPr>
          <w:i/>
        </w:rPr>
        <w:t>.</w:t>
      </w:r>
    </w:p>
    <w:p w14:paraId="63889FBE" w14:textId="77777777" w:rsidR="00E075A8" w:rsidRDefault="00E075A8" w:rsidP="00E075A8">
      <w:pPr>
        <w:ind w:right="91"/>
        <w:rPr>
          <w:color w:val="000000" w:themeColor="text1"/>
        </w:rPr>
      </w:pPr>
    </w:p>
    <w:p w14:paraId="0B653171" w14:textId="49806605" w:rsidR="00E075A8" w:rsidRDefault="00E075A8" w:rsidP="00E075A8">
      <w:pPr>
        <w:spacing w:after="120"/>
        <w:ind w:right="91"/>
        <w:rPr>
          <w:b/>
          <w:color w:val="000000" w:themeColor="text1"/>
        </w:rPr>
      </w:pPr>
      <w:r>
        <w:rPr>
          <w:b/>
          <w:color w:val="000000" w:themeColor="text1"/>
        </w:rPr>
        <w:t>Item [</w:t>
      </w:r>
      <w:r w:rsidR="0031095B">
        <w:rPr>
          <w:b/>
          <w:color w:val="000000" w:themeColor="text1"/>
        </w:rPr>
        <w:t>9</w:t>
      </w:r>
      <w:r>
        <w:rPr>
          <w:b/>
          <w:color w:val="000000" w:themeColor="text1"/>
        </w:rPr>
        <w:t>]</w:t>
      </w:r>
    </w:p>
    <w:p w14:paraId="4426615D" w14:textId="0DA02637" w:rsidR="00E075A8" w:rsidRDefault="00E075A8" w:rsidP="00E075A8">
      <w:pPr>
        <w:ind w:right="91"/>
        <w:rPr>
          <w:color w:val="000000" w:themeColor="text1"/>
        </w:rPr>
      </w:pPr>
      <w:r>
        <w:rPr>
          <w:color w:val="000000" w:themeColor="text1"/>
        </w:rPr>
        <w:t xml:space="preserve">Item </w:t>
      </w:r>
      <w:r w:rsidR="0031095B">
        <w:rPr>
          <w:color w:val="000000" w:themeColor="text1"/>
        </w:rPr>
        <w:t xml:space="preserve">9 </w:t>
      </w:r>
      <w:r>
        <w:rPr>
          <w:color w:val="000000" w:themeColor="text1"/>
        </w:rPr>
        <w:t>amends sections 17 and 18 by omitting references</w:t>
      </w:r>
      <w:r>
        <w:rPr>
          <w:rFonts w:cstheme="minorHAnsi"/>
        </w:rPr>
        <w:t xml:space="preserve"> to non-state schools, </w:t>
      </w:r>
      <w:r w:rsidR="004735DB">
        <w:rPr>
          <w:rFonts w:cstheme="minorHAnsi"/>
        </w:rPr>
        <w:t>of which there are currently none on Norfolk Island</w:t>
      </w:r>
      <w:r>
        <w:rPr>
          <w:rFonts w:cstheme="minorHAnsi"/>
        </w:rPr>
        <w:t>.</w:t>
      </w:r>
    </w:p>
    <w:p w14:paraId="0F721829" w14:textId="77777777" w:rsidR="00E075A8" w:rsidRDefault="00E075A8" w:rsidP="00E075A8">
      <w:pPr>
        <w:ind w:right="91"/>
      </w:pPr>
    </w:p>
    <w:p w14:paraId="27159B89" w14:textId="53E6CED1" w:rsidR="00E075A8" w:rsidRDefault="00E075A8" w:rsidP="00E075A8">
      <w:pPr>
        <w:spacing w:after="120"/>
        <w:ind w:right="91"/>
        <w:rPr>
          <w:b/>
          <w:color w:val="000000" w:themeColor="text1"/>
        </w:rPr>
      </w:pPr>
      <w:r>
        <w:rPr>
          <w:b/>
          <w:color w:val="000000" w:themeColor="text1"/>
        </w:rPr>
        <w:t>Item [</w:t>
      </w:r>
      <w:r w:rsidR="0031095B">
        <w:rPr>
          <w:b/>
          <w:color w:val="000000" w:themeColor="text1"/>
        </w:rPr>
        <w:t>10</w:t>
      </w:r>
      <w:r>
        <w:rPr>
          <w:b/>
          <w:color w:val="000000" w:themeColor="text1"/>
        </w:rPr>
        <w:t>]</w:t>
      </w:r>
    </w:p>
    <w:p w14:paraId="02FCAAEB" w14:textId="01080C54" w:rsidR="00E075A8" w:rsidRDefault="00E075A8" w:rsidP="00E075A8">
      <w:pPr>
        <w:ind w:right="91"/>
        <w:rPr>
          <w:color w:val="000000" w:themeColor="text1"/>
        </w:rPr>
      </w:pPr>
      <w:r>
        <w:rPr>
          <w:color w:val="000000" w:themeColor="text1"/>
        </w:rPr>
        <w:t xml:space="preserve">Item </w:t>
      </w:r>
      <w:r w:rsidR="0031095B">
        <w:rPr>
          <w:color w:val="000000" w:themeColor="text1"/>
        </w:rPr>
        <w:t xml:space="preserve">10 </w:t>
      </w:r>
      <w:r w:rsidR="00F179FA">
        <w:rPr>
          <w:color w:val="000000" w:themeColor="text1"/>
        </w:rPr>
        <w:t xml:space="preserve">repeals </w:t>
      </w:r>
      <w:r>
        <w:rPr>
          <w:color w:val="000000" w:themeColor="text1"/>
        </w:rPr>
        <w:t xml:space="preserve">section 61 </w:t>
      </w:r>
      <w:r w:rsidR="00F179FA">
        <w:rPr>
          <w:color w:val="000000" w:themeColor="text1"/>
        </w:rPr>
        <w:t xml:space="preserve">which has no application </w:t>
      </w:r>
      <w:r w:rsidR="00F179FA">
        <w:t xml:space="preserve">as it was made under section 370 of the </w:t>
      </w:r>
      <w:r w:rsidR="00F179FA" w:rsidRPr="00F179FA">
        <w:rPr>
          <w:i/>
        </w:rPr>
        <w:t>Education (General Provisions) Act</w:t>
      </w:r>
      <w:r w:rsidR="00F179FA">
        <w:rPr>
          <w:i/>
        </w:rPr>
        <w:t xml:space="preserve"> 2006</w:t>
      </w:r>
      <w:r w:rsidR="00F179FA">
        <w:t xml:space="preserve"> (Q</w:t>
      </w:r>
      <w:r w:rsidR="00541780">
        <w:t>ld</w:t>
      </w:r>
      <w:r w:rsidR="00F179FA">
        <w:t>) which was previously repealed by item 57 of Schedule 3 to th</w:t>
      </w:r>
      <w:r w:rsidR="00E36521">
        <w:t>is</w:t>
      </w:r>
      <w:r w:rsidR="00F179FA">
        <w:t xml:space="preserve"> Ordinance</w:t>
      </w:r>
      <w:r>
        <w:rPr>
          <w:rFonts w:cstheme="minorHAnsi"/>
        </w:rPr>
        <w:t>.</w:t>
      </w:r>
    </w:p>
    <w:p w14:paraId="3235AC2C" w14:textId="77777777" w:rsidR="00E075A8" w:rsidRDefault="00E075A8" w:rsidP="00E075A8">
      <w:pPr>
        <w:ind w:right="91"/>
        <w:rPr>
          <w:color w:val="000000" w:themeColor="text1"/>
        </w:rPr>
      </w:pPr>
    </w:p>
    <w:p w14:paraId="501AF3AB" w14:textId="2CCD9A74" w:rsidR="00E075A8" w:rsidRDefault="00F179FA" w:rsidP="00E863EB">
      <w:pPr>
        <w:ind w:right="91"/>
      </w:pPr>
      <w:r w:rsidRPr="00F179FA">
        <w:rPr>
          <w:color w:val="000000" w:themeColor="text1"/>
        </w:rPr>
        <w:t xml:space="preserve">Item </w:t>
      </w:r>
      <w:r w:rsidR="0031095B">
        <w:rPr>
          <w:color w:val="000000" w:themeColor="text1"/>
        </w:rPr>
        <w:t>10</w:t>
      </w:r>
      <w:r w:rsidRPr="00F179FA">
        <w:rPr>
          <w:color w:val="000000" w:themeColor="text1"/>
        </w:rPr>
        <w:t xml:space="preserve"> also</w:t>
      </w:r>
      <w:r w:rsidR="00E075A8">
        <w:rPr>
          <w:color w:val="000000" w:themeColor="text1"/>
        </w:rPr>
        <w:t xml:space="preserve"> repeals section 63.</w:t>
      </w:r>
      <w:r w:rsidR="00E075A8">
        <w:t xml:space="preserve"> This section relates only to overseas students enrolling at state schools that are registered under the </w:t>
      </w:r>
      <w:r w:rsidR="00E075A8">
        <w:rPr>
          <w:i/>
        </w:rPr>
        <w:t>Education Services for Overseas Students Act 2000</w:t>
      </w:r>
      <w:r w:rsidR="00E075A8">
        <w:t xml:space="preserve"> (Cth) (ESOS Act) to enrol overseas students. NICS is not registered to enrol overseas students under the ESOS Act, and there is currently no intention for it to become registered.</w:t>
      </w:r>
    </w:p>
    <w:p w14:paraId="3502D63E" w14:textId="77777777" w:rsidR="00E075A8" w:rsidRDefault="00E075A8">
      <w:pPr>
        <w:rPr>
          <w:b/>
          <w:color w:val="000000" w:themeColor="text1"/>
        </w:rPr>
      </w:pPr>
    </w:p>
    <w:p w14:paraId="48E1CA4F" w14:textId="650834F4" w:rsidR="00E075A8" w:rsidRDefault="00E075A8">
      <w:pPr>
        <w:rPr>
          <w:b/>
          <w:color w:val="000000" w:themeColor="text1"/>
        </w:rPr>
      </w:pPr>
      <w:r>
        <w:rPr>
          <w:b/>
          <w:color w:val="000000" w:themeColor="text1"/>
        </w:rPr>
        <w:t xml:space="preserve">Amendments to Schedule 5 </w:t>
      </w:r>
      <w:r w:rsidR="00A75E00">
        <w:rPr>
          <w:b/>
          <w:color w:val="000000" w:themeColor="text1"/>
        </w:rPr>
        <w:t>to</w:t>
      </w:r>
      <w:r>
        <w:rPr>
          <w:b/>
          <w:color w:val="000000" w:themeColor="text1"/>
        </w:rPr>
        <w:t xml:space="preserve"> the </w:t>
      </w:r>
      <w:r>
        <w:rPr>
          <w:b/>
          <w:i/>
          <w:noProof/>
        </w:rPr>
        <w:t>Norfolk Island Applied Laws and Service Delivery (Queensland) Ordinance 2021</w:t>
      </w:r>
    </w:p>
    <w:p w14:paraId="191B24F9" w14:textId="77777777" w:rsidR="00E075A8" w:rsidRDefault="00E075A8">
      <w:pPr>
        <w:ind w:right="91"/>
        <w:rPr>
          <w:color w:val="000000" w:themeColor="text1"/>
        </w:rPr>
      </w:pPr>
    </w:p>
    <w:p w14:paraId="416629FE" w14:textId="1B19E7DC" w:rsidR="00E075A8" w:rsidRDefault="00E075A8">
      <w:pPr>
        <w:ind w:right="91"/>
        <w:rPr>
          <w:i/>
        </w:rPr>
      </w:pPr>
      <w:r>
        <w:t>Items [</w:t>
      </w:r>
      <w:r w:rsidR="0031095B">
        <w:t>11</w:t>
      </w:r>
      <w:r>
        <w:t>] to [</w:t>
      </w:r>
      <w:r w:rsidR="0031095B">
        <w:t>13</w:t>
      </w:r>
      <w:r>
        <w:t xml:space="preserve">] amend the </w:t>
      </w:r>
      <w:r>
        <w:rPr>
          <w:rFonts w:cstheme="minorHAnsi"/>
          <w:i/>
        </w:rPr>
        <w:t>Education (Queensland College of Teachers) Act 2005</w:t>
      </w:r>
      <w:r>
        <w:rPr>
          <w:rFonts w:cstheme="minorHAnsi"/>
        </w:rPr>
        <w:t xml:space="preserve"> (Qld)(NI)</w:t>
      </w:r>
      <w:r w:rsidR="00254B3D">
        <w:rPr>
          <w:rFonts w:cstheme="minorHAnsi"/>
        </w:rPr>
        <w:t xml:space="preserve"> (“the QCT Act”)</w:t>
      </w:r>
      <w:r>
        <w:t xml:space="preserve">, by amending Schedule 5 of the </w:t>
      </w:r>
      <w:r>
        <w:rPr>
          <w:i/>
          <w:noProof/>
        </w:rPr>
        <w:t>Norfolk Island Applied Laws and Service Delivery (Queensland) Ordinance 2021</w:t>
      </w:r>
      <w:r w:rsidR="00541780">
        <w:rPr>
          <w:i/>
          <w:noProof/>
        </w:rPr>
        <w:t xml:space="preserve"> </w:t>
      </w:r>
      <w:r w:rsidR="00541780">
        <w:rPr>
          <w:noProof/>
        </w:rPr>
        <w:t>(Cth)</w:t>
      </w:r>
      <w:r>
        <w:rPr>
          <w:i/>
        </w:rPr>
        <w:t>.</w:t>
      </w:r>
    </w:p>
    <w:p w14:paraId="0765BE55" w14:textId="77777777" w:rsidR="00E075A8" w:rsidRDefault="00E075A8">
      <w:pPr>
        <w:ind w:right="91"/>
        <w:rPr>
          <w:color w:val="000000" w:themeColor="text1"/>
        </w:rPr>
      </w:pPr>
    </w:p>
    <w:p w14:paraId="65437A2D" w14:textId="233A6465" w:rsidR="00E075A8" w:rsidRPr="00A71A00" w:rsidRDefault="00E075A8" w:rsidP="007109CA">
      <w:pPr>
        <w:spacing w:after="120"/>
        <w:ind w:right="91"/>
        <w:rPr>
          <w:b/>
          <w:color w:val="000000" w:themeColor="text1"/>
        </w:rPr>
      </w:pPr>
      <w:r w:rsidRPr="00A71A00">
        <w:rPr>
          <w:b/>
          <w:color w:val="000000" w:themeColor="text1"/>
        </w:rPr>
        <w:t>Item [</w:t>
      </w:r>
      <w:r w:rsidR="0031095B" w:rsidRPr="00A71A00">
        <w:rPr>
          <w:b/>
          <w:color w:val="000000" w:themeColor="text1"/>
        </w:rPr>
        <w:t>11</w:t>
      </w:r>
      <w:r w:rsidRPr="00A71A00">
        <w:rPr>
          <w:b/>
          <w:color w:val="000000" w:themeColor="text1"/>
        </w:rPr>
        <w:t>]</w:t>
      </w:r>
    </w:p>
    <w:p w14:paraId="559120CC" w14:textId="6953B17E" w:rsidR="00D83209" w:rsidRDefault="00E075A8">
      <w:pPr>
        <w:ind w:right="91"/>
        <w:rPr>
          <w:rFonts w:eastAsia="Calibri" w:cstheme="minorHAnsi"/>
        </w:rPr>
      </w:pPr>
      <w:r w:rsidRPr="00A71A00">
        <w:rPr>
          <w:color w:val="000000" w:themeColor="text1"/>
        </w:rPr>
        <w:t xml:space="preserve">Item </w:t>
      </w:r>
      <w:r w:rsidR="0031095B" w:rsidRPr="00A71A00">
        <w:rPr>
          <w:color w:val="000000" w:themeColor="text1"/>
        </w:rPr>
        <w:t>11</w:t>
      </w:r>
      <w:r w:rsidRPr="00A71A00">
        <w:rPr>
          <w:color w:val="000000" w:themeColor="text1"/>
        </w:rPr>
        <w:t xml:space="preserve"> amends section 15B </w:t>
      </w:r>
      <w:r w:rsidR="005A7B09">
        <w:rPr>
          <w:color w:val="000000" w:themeColor="text1"/>
        </w:rPr>
        <w:t xml:space="preserve">by expanding it </w:t>
      </w:r>
      <w:r w:rsidR="00003509">
        <w:rPr>
          <w:color w:val="000000" w:themeColor="text1"/>
        </w:rPr>
        <w:t>to allow</w:t>
      </w:r>
      <w:r w:rsidRPr="00A71A00">
        <w:rPr>
          <w:rFonts w:eastAsia="Calibri" w:cstheme="minorHAnsi"/>
        </w:rPr>
        <w:t xml:space="preserve"> </w:t>
      </w:r>
      <w:r w:rsidR="00845629">
        <w:rPr>
          <w:rFonts w:eastAsia="Calibri" w:cstheme="minorHAnsi"/>
        </w:rPr>
        <w:t xml:space="preserve">the Queensland College of Teachers (QCT) </w:t>
      </w:r>
      <w:r w:rsidR="002335B9">
        <w:rPr>
          <w:rFonts w:eastAsia="Calibri" w:cstheme="minorHAnsi"/>
        </w:rPr>
        <w:t>to</w:t>
      </w:r>
      <w:r w:rsidR="00845629">
        <w:rPr>
          <w:rFonts w:eastAsia="Calibri" w:cstheme="minorHAnsi"/>
        </w:rPr>
        <w:t xml:space="preserve"> obtain </w:t>
      </w:r>
      <w:r w:rsidRPr="00A71A00">
        <w:rPr>
          <w:rFonts w:eastAsia="Calibri" w:cstheme="minorHAnsi"/>
        </w:rPr>
        <w:t>information</w:t>
      </w:r>
      <w:r w:rsidR="0031095B" w:rsidRPr="00A71A00">
        <w:rPr>
          <w:rFonts w:eastAsia="Calibri" w:cstheme="minorHAnsi"/>
        </w:rPr>
        <w:t xml:space="preserve"> regarding an applicant’s suitability to teach </w:t>
      </w:r>
      <w:r w:rsidR="005A7B09">
        <w:rPr>
          <w:rFonts w:eastAsia="Calibri" w:cstheme="minorHAnsi"/>
        </w:rPr>
        <w:t xml:space="preserve">(i.e. if an applicant for registration or permission to teach has been charged with or convicted of an offence) not only </w:t>
      </w:r>
      <w:r w:rsidRPr="00A71A00">
        <w:rPr>
          <w:rFonts w:eastAsia="Calibri" w:cstheme="minorHAnsi"/>
        </w:rPr>
        <w:t>from the</w:t>
      </w:r>
      <w:r w:rsidR="00541780" w:rsidRPr="00A71A00">
        <w:rPr>
          <w:rFonts w:eastAsia="Calibri" w:cstheme="minorHAnsi"/>
        </w:rPr>
        <w:t xml:space="preserve"> Queensland</w:t>
      </w:r>
      <w:r w:rsidRPr="00A71A00">
        <w:rPr>
          <w:rFonts w:eastAsia="Calibri" w:cstheme="minorHAnsi"/>
        </w:rPr>
        <w:t xml:space="preserve"> Director of Public Prosecutions </w:t>
      </w:r>
      <w:r w:rsidR="005A7B09">
        <w:rPr>
          <w:rFonts w:eastAsia="Calibri" w:cstheme="minorHAnsi"/>
        </w:rPr>
        <w:t xml:space="preserve">but also from </w:t>
      </w:r>
      <w:r w:rsidRPr="00A71A00">
        <w:rPr>
          <w:rFonts w:eastAsia="Calibri" w:cstheme="minorHAnsi"/>
        </w:rPr>
        <w:t>the Commonwealth Director of Public Prosecutions</w:t>
      </w:r>
      <w:r w:rsidR="002335B9">
        <w:rPr>
          <w:rFonts w:eastAsia="Calibri" w:cstheme="minorHAnsi"/>
        </w:rPr>
        <w:t>,</w:t>
      </w:r>
      <w:r w:rsidRPr="00A71A00">
        <w:rPr>
          <w:rFonts w:eastAsia="Calibri" w:cstheme="minorHAnsi"/>
        </w:rPr>
        <w:t xml:space="preserve"> as the latter is responsible for prosecutions on Norfolk Island.</w:t>
      </w:r>
      <w:r w:rsidR="002B425A">
        <w:rPr>
          <w:rFonts w:eastAsia="Calibri" w:cstheme="minorHAnsi"/>
        </w:rPr>
        <w:t xml:space="preserve"> </w:t>
      </w:r>
    </w:p>
    <w:p w14:paraId="22F1D258" w14:textId="77777777" w:rsidR="00D83209" w:rsidRDefault="00D83209">
      <w:pPr>
        <w:ind w:right="91"/>
        <w:rPr>
          <w:rFonts w:eastAsia="Calibri" w:cstheme="minorHAnsi"/>
        </w:rPr>
      </w:pPr>
    </w:p>
    <w:p w14:paraId="68B2EC22" w14:textId="194DE0F2" w:rsidR="00E075A8" w:rsidRDefault="005A7B09">
      <w:pPr>
        <w:ind w:right="91"/>
        <w:rPr>
          <w:rFonts w:eastAsia="Calibri" w:cstheme="minorHAnsi"/>
        </w:rPr>
      </w:pPr>
      <w:r>
        <w:rPr>
          <w:rFonts w:eastAsia="Calibri" w:cstheme="minorHAnsi"/>
        </w:rPr>
        <w:t>The effect of the amendment is to enable the i</w:t>
      </w:r>
      <w:r w:rsidR="00845629">
        <w:rPr>
          <w:rFonts w:eastAsia="Calibri" w:cstheme="minorHAnsi"/>
        </w:rPr>
        <w:t xml:space="preserve">nformation </w:t>
      </w:r>
      <w:r>
        <w:rPr>
          <w:rFonts w:eastAsia="Calibri" w:cstheme="minorHAnsi"/>
        </w:rPr>
        <w:t xml:space="preserve">to </w:t>
      </w:r>
      <w:r w:rsidR="00845629">
        <w:rPr>
          <w:rFonts w:eastAsia="Calibri" w:cstheme="minorHAnsi"/>
        </w:rPr>
        <w:t xml:space="preserve">be obtained in relation to teachers based in Queensland or on Norfolk Island, noting that all teachers </w:t>
      </w:r>
      <w:r>
        <w:rPr>
          <w:rFonts w:eastAsia="Calibri" w:cstheme="minorHAnsi"/>
        </w:rPr>
        <w:t xml:space="preserve">at the Norfolk Island Central School </w:t>
      </w:r>
      <w:r w:rsidR="00845629">
        <w:rPr>
          <w:rFonts w:eastAsia="Calibri" w:cstheme="minorHAnsi"/>
        </w:rPr>
        <w:t xml:space="preserve">are </w:t>
      </w:r>
      <w:r>
        <w:rPr>
          <w:rFonts w:eastAsia="Calibri" w:cstheme="minorHAnsi"/>
        </w:rPr>
        <w:t xml:space="preserve">employed by the </w:t>
      </w:r>
      <w:r w:rsidR="00845629">
        <w:rPr>
          <w:rFonts w:eastAsia="Calibri" w:cstheme="minorHAnsi"/>
        </w:rPr>
        <w:t xml:space="preserve">Queensland Government. </w:t>
      </w:r>
    </w:p>
    <w:p w14:paraId="3319C1BF" w14:textId="77777777" w:rsidR="00E075A8" w:rsidRPr="00A71A00" w:rsidRDefault="00E075A8">
      <w:pPr>
        <w:ind w:right="91"/>
        <w:rPr>
          <w:color w:val="000000" w:themeColor="text1"/>
        </w:rPr>
      </w:pPr>
    </w:p>
    <w:p w14:paraId="7E2A9DB7" w14:textId="78585181" w:rsidR="00E075A8" w:rsidRDefault="00E075A8" w:rsidP="007109CA">
      <w:pPr>
        <w:spacing w:after="120"/>
        <w:ind w:right="91"/>
        <w:rPr>
          <w:b/>
          <w:color w:val="000000" w:themeColor="text1"/>
        </w:rPr>
      </w:pPr>
      <w:r w:rsidRPr="00A71A00">
        <w:rPr>
          <w:b/>
          <w:color w:val="000000" w:themeColor="text1"/>
        </w:rPr>
        <w:t>Item [</w:t>
      </w:r>
      <w:r w:rsidR="0031095B" w:rsidRPr="00A71A00">
        <w:rPr>
          <w:b/>
          <w:color w:val="000000" w:themeColor="text1"/>
        </w:rPr>
        <w:t>12</w:t>
      </w:r>
      <w:r w:rsidRPr="00A71A00">
        <w:rPr>
          <w:b/>
          <w:color w:val="000000" w:themeColor="text1"/>
        </w:rPr>
        <w:t>]</w:t>
      </w:r>
    </w:p>
    <w:p w14:paraId="2BF8941F" w14:textId="537EC899" w:rsidR="00244422" w:rsidRPr="007109CA" w:rsidRDefault="00244422" w:rsidP="007109CA">
      <w:pPr>
        <w:spacing w:after="120"/>
        <w:rPr>
          <w:u w:val="single"/>
        </w:rPr>
      </w:pPr>
      <w:r w:rsidRPr="007109CA">
        <w:rPr>
          <w:u w:val="single"/>
        </w:rPr>
        <w:t>Section 75</w:t>
      </w:r>
    </w:p>
    <w:p w14:paraId="4EFE85AF" w14:textId="2161607D" w:rsidR="00DA5B45" w:rsidRPr="00D83209" w:rsidRDefault="00E075A8" w:rsidP="00D83209">
      <w:r>
        <w:rPr>
          <w:color w:val="000000" w:themeColor="text1"/>
        </w:rPr>
        <w:t xml:space="preserve">Item </w:t>
      </w:r>
      <w:r w:rsidR="0031095B">
        <w:rPr>
          <w:color w:val="000000" w:themeColor="text1"/>
        </w:rPr>
        <w:t xml:space="preserve">12 </w:t>
      </w:r>
      <w:r w:rsidR="00C837EB">
        <w:rPr>
          <w:color w:val="000000" w:themeColor="text1"/>
        </w:rPr>
        <w:t xml:space="preserve">amends </w:t>
      </w:r>
      <w:r>
        <w:rPr>
          <w:color w:val="000000" w:themeColor="text1"/>
        </w:rPr>
        <w:t>section 75</w:t>
      </w:r>
      <w:r w:rsidR="003C29FC">
        <w:rPr>
          <w:color w:val="000000" w:themeColor="text1"/>
        </w:rPr>
        <w:t xml:space="preserve"> </w:t>
      </w:r>
      <w:r w:rsidR="00C837EB">
        <w:rPr>
          <w:color w:val="000000" w:themeColor="text1"/>
        </w:rPr>
        <w:t xml:space="preserve">to expand </w:t>
      </w:r>
      <w:r>
        <w:rPr>
          <w:rFonts w:eastAsia="Calibri" w:cstheme="minorHAnsi"/>
        </w:rPr>
        <w:t xml:space="preserve">the obligations </w:t>
      </w:r>
      <w:r w:rsidR="003C29FC">
        <w:rPr>
          <w:rFonts w:eastAsia="Calibri" w:cstheme="minorHAnsi"/>
        </w:rPr>
        <w:t xml:space="preserve">within </w:t>
      </w:r>
      <w:r w:rsidR="00C837EB">
        <w:rPr>
          <w:rFonts w:eastAsia="Calibri" w:cstheme="minorHAnsi"/>
        </w:rPr>
        <w:t xml:space="preserve">to </w:t>
      </w:r>
      <w:r w:rsidRPr="002C3834">
        <w:rPr>
          <w:color w:val="000000" w:themeColor="text1"/>
        </w:rPr>
        <w:t xml:space="preserve">apply </w:t>
      </w:r>
      <w:r w:rsidR="00C837EB">
        <w:rPr>
          <w:color w:val="000000" w:themeColor="text1"/>
        </w:rPr>
        <w:t xml:space="preserve">not only to the </w:t>
      </w:r>
      <w:r w:rsidR="004335FD">
        <w:rPr>
          <w:color w:val="000000" w:themeColor="text1"/>
        </w:rPr>
        <w:t xml:space="preserve">Queensland Commissioner of Police </w:t>
      </w:r>
      <w:r w:rsidR="00C837EB">
        <w:rPr>
          <w:color w:val="000000" w:themeColor="text1"/>
        </w:rPr>
        <w:t xml:space="preserve">but also </w:t>
      </w:r>
      <w:r w:rsidRPr="002C3834">
        <w:rPr>
          <w:color w:val="000000" w:themeColor="text1"/>
        </w:rPr>
        <w:t xml:space="preserve">to the </w:t>
      </w:r>
      <w:r w:rsidR="004335FD">
        <w:rPr>
          <w:color w:val="000000" w:themeColor="text1"/>
        </w:rPr>
        <w:t xml:space="preserve">Commissioner of Police of the Commonwealth (who is responsible for policing on Norfolk Island) </w:t>
      </w:r>
      <w:r w:rsidR="00A341EF" w:rsidRPr="002C3834">
        <w:rPr>
          <w:color w:val="000000" w:themeColor="text1"/>
        </w:rPr>
        <w:t xml:space="preserve">to ensure </w:t>
      </w:r>
      <w:r w:rsidR="00E8057B">
        <w:rPr>
          <w:color w:val="000000" w:themeColor="text1"/>
        </w:rPr>
        <w:t xml:space="preserve">that </w:t>
      </w:r>
      <w:r w:rsidR="00C837EB">
        <w:rPr>
          <w:color w:val="000000" w:themeColor="text1"/>
        </w:rPr>
        <w:t xml:space="preserve">both </w:t>
      </w:r>
      <w:r w:rsidR="00E8057B">
        <w:rPr>
          <w:color w:val="000000" w:themeColor="text1"/>
        </w:rPr>
        <w:t xml:space="preserve">can share </w:t>
      </w:r>
      <w:r w:rsidR="00A341EF" w:rsidRPr="002C3834">
        <w:rPr>
          <w:color w:val="000000" w:themeColor="text1"/>
        </w:rPr>
        <w:t>relevant information</w:t>
      </w:r>
      <w:r w:rsidR="0031095B" w:rsidRPr="002C3834">
        <w:rPr>
          <w:color w:val="000000" w:themeColor="text1"/>
        </w:rPr>
        <w:t xml:space="preserve"> </w:t>
      </w:r>
      <w:r w:rsidR="00C837EB">
        <w:rPr>
          <w:color w:val="000000" w:themeColor="text1"/>
        </w:rPr>
        <w:t xml:space="preserve">with </w:t>
      </w:r>
      <w:r w:rsidR="00E8057B">
        <w:rPr>
          <w:color w:val="000000" w:themeColor="text1"/>
        </w:rPr>
        <w:t xml:space="preserve">the QCT. </w:t>
      </w:r>
      <w:r w:rsidR="00D7753E">
        <w:rPr>
          <w:color w:val="000000" w:themeColor="text1"/>
        </w:rPr>
        <w:t xml:space="preserve">Both </w:t>
      </w:r>
      <w:r w:rsidR="004335FD">
        <w:rPr>
          <w:color w:val="000000" w:themeColor="text1"/>
        </w:rPr>
        <w:t xml:space="preserve">Commissioners </w:t>
      </w:r>
      <w:r w:rsidR="00E8057B">
        <w:rPr>
          <w:color w:val="000000" w:themeColor="text1"/>
        </w:rPr>
        <w:t xml:space="preserve">will be required to notify the QCT about a change in criminal history where they suspect that the person charged with an offence is either an approved teacher, or was an approved teacher when the offence is alleged to have been committed. </w:t>
      </w:r>
      <w:r w:rsidR="00244422">
        <w:rPr>
          <w:color w:val="000000" w:themeColor="text1"/>
        </w:rPr>
        <w:t xml:space="preserve">This </w:t>
      </w:r>
      <w:r w:rsidR="00C837EB">
        <w:rPr>
          <w:color w:val="000000" w:themeColor="text1"/>
        </w:rPr>
        <w:t xml:space="preserve">enables </w:t>
      </w:r>
      <w:r w:rsidR="00244422">
        <w:rPr>
          <w:color w:val="000000" w:themeColor="text1"/>
        </w:rPr>
        <w:t>the QCT to contact the person concerned to remind them of their obligation under the</w:t>
      </w:r>
      <w:r w:rsidR="00254B3D">
        <w:rPr>
          <w:color w:val="000000" w:themeColor="text1"/>
        </w:rPr>
        <w:t xml:space="preserve"> </w:t>
      </w:r>
      <w:r w:rsidR="00244422">
        <w:rPr>
          <w:color w:val="000000" w:themeColor="text1"/>
        </w:rPr>
        <w:t xml:space="preserve">section 68 to notify the QCT of a change in their criminal history. </w:t>
      </w:r>
      <w:r w:rsidR="00C837EB">
        <w:rPr>
          <w:color w:val="000000" w:themeColor="text1"/>
        </w:rPr>
        <w:t xml:space="preserve">The effect of the amendment </w:t>
      </w:r>
      <w:r w:rsidR="00C837EB">
        <w:rPr>
          <w:color w:val="000000" w:themeColor="text1"/>
        </w:rPr>
        <w:lastRenderedPageBreak/>
        <w:t xml:space="preserve">is to enable </w:t>
      </w:r>
      <w:r w:rsidR="00DA5B45">
        <w:rPr>
          <w:color w:val="000000" w:themeColor="text1"/>
        </w:rPr>
        <w:t xml:space="preserve">the QCT to access to </w:t>
      </w:r>
      <w:r w:rsidR="00DA5B45">
        <w:t xml:space="preserve">information </w:t>
      </w:r>
      <w:r w:rsidR="00C837EB">
        <w:t xml:space="preserve">on </w:t>
      </w:r>
      <w:r w:rsidR="00DA5B45">
        <w:t xml:space="preserve">Queensland Government employed teachers based in </w:t>
      </w:r>
      <w:r w:rsidR="00C837EB">
        <w:t xml:space="preserve">Norfolk Island </w:t>
      </w:r>
      <w:r w:rsidR="00E11B1C">
        <w:rPr>
          <w:color w:val="000000" w:themeColor="text1"/>
        </w:rPr>
        <w:t xml:space="preserve">equivalent to those based in </w:t>
      </w:r>
      <w:r w:rsidR="00DA5B45">
        <w:t>Queensland.</w:t>
      </w:r>
      <w:r w:rsidR="00DA5B45">
        <w:rPr>
          <w:color w:val="000000" w:themeColor="text1"/>
        </w:rPr>
        <w:t xml:space="preserve"> </w:t>
      </w:r>
    </w:p>
    <w:p w14:paraId="79DB6A72" w14:textId="2DA9CF49" w:rsidR="00244422" w:rsidRDefault="00244422" w:rsidP="00D83209">
      <w:pPr>
        <w:rPr>
          <w:color w:val="000000" w:themeColor="text1"/>
        </w:rPr>
      </w:pPr>
    </w:p>
    <w:p w14:paraId="6681DCB0" w14:textId="3568A254" w:rsidR="00244422" w:rsidRPr="00D83209" w:rsidRDefault="00244422" w:rsidP="007109CA">
      <w:pPr>
        <w:spacing w:after="120"/>
        <w:rPr>
          <w:color w:val="000000" w:themeColor="text1"/>
          <w:u w:val="single"/>
        </w:rPr>
      </w:pPr>
      <w:r w:rsidRPr="000C14BD">
        <w:rPr>
          <w:color w:val="000000" w:themeColor="text1"/>
          <w:u w:val="single"/>
        </w:rPr>
        <w:t>Section 80</w:t>
      </w:r>
    </w:p>
    <w:p w14:paraId="16FA610C" w14:textId="2192D497" w:rsidR="00D95892" w:rsidRDefault="00E11B1C" w:rsidP="00017A75">
      <w:pPr>
        <w:rPr>
          <w:color w:val="000000" w:themeColor="text1"/>
        </w:rPr>
      </w:pPr>
      <w:r>
        <w:rPr>
          <w:color w:val="000000" w:themeColor="text1"/>
        </w:rPr>
        <w:t>Item 12 amends s</w:t>
      </w:r>
      <w:r w:rsidR="002C3834">
        <w:rPr>
          <w:color w:val="000000" w:themeColor="text1"/>
        </w:rPr>
        <w:t xml:space="preserve">ection 80 </w:t>
      </w:r>
      <w:r>
        <w:rPr>
          <w:color w:val="000000" w:themeColor="text1"/>
        </w:rPr>
        <w:t xml:space="preserve">to expand the obligations within to apply not only to the </w:t>
      </w:r>
      <w:r w:rsidR="00371909">
        <w:rPr>
          <w:color w:val="000000" w:themeColor="text1"/>
        </w:rPr>
        <w:t>Queensland Commissioner</w:t>
      </w:r>
      <w:r>
        <w:rPr>
          <w:color w:val="000000" w:themeColor="text1"/>
        </w:rPr>
        <w:t xml:space="preserve"> of Police and Queensland Director of Public Prosecutions but also to the Commissioner of Police of the Commonwealth and the Commonwealth </w:t>
      </w:r>
      <w:r w:rsidR="0018655A">
        <w:rPr>
          <w:color w:val="000000" w:themeColor="text1"/>
        </w:rPr>
        <w:t>Director of Public Prosecution</w:t>
      </w:r>
      <w:r>
        <w:rPr>
          <w:color w:val="000000" w:themeColor="text1"/>
        </w:rPr>
        <w:t>s.</w:t>
      </w:r>
      <w:r w:rsidR="0018655A">
        <w:rPr>
          <w:color w:val="000000" w:themeColor="text1"/>
        </w:rPr>
        <w:t xml:space="preserve"> </w:t>
      </w:r>
      <w:r>
        <w:rPr>
          <w:color w:val="000000" w:themeColor="text1"/>
        </w:rPr>
        <w:t xml:space="preserve">Each must </w:t>
      </w:r>
      <w:r w:rsidR="0018655A">
        <w:rPr>
          <w:color w:val="000000" w:themeColor="text1"/>
        </w:rPr>
        <w:t>notify the QCT if they believe a person charged with an indictable offence is, or was at the time the offence is alleged to have been committed, an approved teacher.</w:t>
      </w:r>
      <w:r>
        <w:rPr>
          <w:color w:val="000000" w:themeColor="text1"/>
        </w:rPr>
        <w:t xml:space="preserve"> They must also notify the QCT at certain points in criminal proceedings.</w:t>
      </w:r>
    </w:p>
    <w:p w14:paraId="63345F8A" w14:textId="77777777" w:rsidR="000C14BD" w:rsidRDefault="000C14BD" w:rsidP="00D83209">
      <w:pPr>
        <w:rPr>
          <w:color w:val="000000" w:themeColor="text1"/>
        </w:rPr>
      </w:pPr>
    </w:p>
    <w:p w14:paraId="6A658082" w14:textId="03515B9E" w:rsidR="00D95892" w:rsidRDefault="00D95892" w:rsidP="00D83209">
      <w:pPr>
        <w:rPr>
          <w:color w:val="000000" w:themeColor="text1"/>
        </w:rPr>
      </w:pPr>
      <w:r>
        <w:rPr>
          <w:color w:val="000000" w:themeColor="text1"/>
        </w:rPr>
        <w:t xml:space="preserve">This </w:t>
      </w:r>
      <w:r w:rsidR="00E11B1C">
        <w:rPr>
          <w:color w:val="000000" w:themeColor="text1"/>
        </w:rPr>
        <w:t xml:space="preserve">effect of the </w:t>
      </w:r>
      <w:r>
        <w:rPr>
          <w:color w:val="000000" w:themeColor="text1"/>
        </w:rPr>
        <w:t xml:space="preserve">amendment </w:t>
      </w:r>
      <w:r w:rsidR="00E11B1C">
        <w:rPr>
          <w:color w:val="000000" w:themeColor="text1"/>
        </w:rPr>
        <w:t xml:space="preserve">is to </w:t>
      </w:r>
      <w:r>
        <w:rPr>
          <w:color w:val="000000" w:themeColor="text1"/>
        </w:rPr>
        <w:t>appl</w:t>
      </w:r>
      <w:r w:rsidR="00E11B1C">
        <w:rPr>
          <w:color w:val="000000" w:themeColor="text1"/>
        </w:rPr>
        <w:t>y the provision</w:t>
      </w:r>
      <w:r>
        <w:rPr>
          <w:color w:val="000000" w:themeColor="text1"/>
        </w:rPr>
        <w:t xml:space="preserve"> in relation </w:t>
      </w:r>
      <w:r w:rsidR="004335FD">
        <w:rPr>
          <w:color w:val="000000" w:themeColor="text1"/>
        </w:rPr>
        <w:t xml:space="preserve">both </w:t>
      </w:r>
      <w:r>
        <w:rPr>
          <w:color w:val="000000" w:themeColor="text1"/>
        </w:rPr>
        <w:t xml:space="preserve">to teachers based in Queensland, and </w:t>
      </w:r>
      <w:r w:rsidR="004335FD">
        <w:rPr>
          <w:color w:val="000000" w:themeColor="text1"/>
        </w:rPr>
        <w:t xml:space="preserve">to </w:t>
      </w:r>
      <w:r>
        <w:rPr>
          <w:color w:val="000000" w:themeColor="text1"/>
        </w:rPr>
        <w:t xml:space="preserve">Queensland Government employed teachers on Norfolk Island, noting that the Commissioner of Police of the Commonwealth and the Commonwealth Director of Public Prosecutions are responsible </w:t>
      </w:r>
      <w:r w:rsidR="004335FD">
        <w:rPr>
          <w:color w:val="000000" w:themeColor="text1"/>
        </w:rPr>
        <w:t xml:space="preserve">respectively </w:t>
      </w:r>
      <w:r>
        <w:rPr>
          <w:color w:val="000000" w:themeColor="text1"/>
        </w:rPr>
        <w:t xml:space="preserve">for policing and prosecutions on Norfolk Island. </w:t>
      </w:r>
    </w:p>
    <w:p w14:paraId="60C2AE96" w14:textId="77777777" w:rsidR="000C14BD" w:rsidRDefault="000C14BD" w:rsidP="000C14BD">
      <w:pPr>
        <w:rPr>
          <w:color w:val="000000" w:themeColor="text1"/>
        </w:rPr>
      </w:pPr>
    </w:p>
    <w:p w14:paraId="5DE2E13D" w14:textId="172400CF" w:rsidR="003C078C" w:rsidRPr="00D83209" w:rsidRDefault="003C078C" w:rsidP="00AF11B0">
      <w:pPr>
        <w:spacing w:after="120"/>
        <w:rPr>
          <w:color w:val="000000" w:themeColor="text1"/>
          <w:u w:val="single"/>
        </w:rPr>
      </w:pPr>
      <w:r w:rsidRPr="00D83209">
        <w:rPr>
          <w:color w:val="000000" w:themeColor="text1"/>
          <w:u w:val="single"/>
        </w:rPr>
        <w:t xml:space="preserve">Section </w:t>
      </w:r>
      <w:r w:rsidRPr="000C14BD">
        <w:rPr>
          <w:color w:val="000000" w:themeColor="text1"/>
          <w:u w:val="single"/>
        </w:rPr>
        <w:t>112</w:t>
      </w:r>
    </w:p>
    <w:p w14:paraId="15BD9B51" w14:textId="24809601" w:rsidR="00D72BF0" w:rsidRDefault="00A341EF" w:rsidP="00017A75">
      <w:pPr>
        <w:rPr>
          <w:color w:val="000000" w:themeColor="text1"/>
        </w:rPr>
      </w:pPr>
      <w:r w:rsidRPr="00782ED2">
        <w:rPr>
          <w:color w:val="000000" w:themeColor="text1"/>
        </w:rPr>
        <w:t xml:space="preserve">Item </w:t>
      </w:r>
      <w:r w:rsidR="0031095B" w:rsidRPr="00782ED2">
        <w:rPr>
          <w:color w:val="000000" w:themeColor="text1"/>
        </w:rPr>
        <w:t>12</w:t>
      </w:r>
      <w:r w:rsidRPr="00782ED2">
        <w:rPr>
          <w:color w:val="000000" w:themeColor="text1"/>
        </w:rPr>
        <w:t xml:space="preserve"> </w:t>
      </w:r>
      <w:r w:rsidR="004335FD">
        <w:rPr>
          <w:color w:val="000000" w:themeColor="text1"/>
        </w:rPr>
        <w:t xml:space="preserve">amends </w:t>
      </w:r>
      <w:r w:rsidR="00E075A8" w:rsidRPr="006C431E">
        <w:rPr>
          <w:color w:val="000000" w:themeColor="text1"/>
        </w:rPr>
        <w:t xml:space="preserve">section 112 </w:t>
      </w:r>
      <w:r w:rsidR="00E075A8" w:rsidRPr="009C7EFE">
        <w:rPr>
          <w:color w:val="000000" w:themeColor="text1"/>
        </w:rPr>
        <w:t xml:space="preserve">to </w:t>
      </w:r>
      <w:r w:rsidR="004335FD">
        <w:rPr>
          <w:color w:val="000000" w:themeColor="text1"/>
        </w:rPr>
        <w:t xml:space="preserve">expand it to </w:t>
      </w:r>
      <w:r w:rsidR="00E075A8" w:rsidRPr="009C7EFE">
        <w:rPr>
          <w:color w:val="000000" w:themeColor="text1"/>
        </w:rPr>
        <w:t xml:space="preserve">ensure that information </w:t>
      </w:r>
      <w:r w:rsidR="00D7753E">
        <w:rPr>
          <w:color w:val="000000" w:themeColor="text1"/>
        </w:rPr>
        <w:t xml:space="preserve">regarding disciplinary action </w:t>
      </w:r>
      <w:r w:rsidR="00E075A8" w:rsidRPr="009C7EFE">
        <w:rPr>
          <w:color w:val="000000" w:themeColor="text1"/>
        </w:rPr>
        <w:t xml:space="preserve">can flow </w:t>
      </w:r>
      <w:r w:rsidR="004335FD">
        <w:rPr>
          <w:color w:val="000000" w:themeColor="text1"/>
        </w:rPr>
        <w:t xml:space="preserve">not just </w:t>
      </w:r>
      <w:r w:rsidR="00E075A8" w:rsidRPr="009C7EFE">
        <w:rPr>
          <w:color w:val="000000" w:themeColor="text1"/>
        </w:rPr>
        <w:t xml:space="preserve">from the Queensland Civil and Administrative Tribunal </w:t>
      </w:r>
      <w:r w:rsidR="00D72BF0">
        <w:rPr>
          <w:color w:val="000000" w:themeColor="text1"/>
        </w:rPr>
        <w:t xml:space="preserve">(QCAT) </w:t>
      </w:r>
      <w:r w:rsidR="004335FD">
        <w:rPr>
          <w:color w:val="000000" w:themeColor="text1"/>
        </w:rPr>
        <w:t xml:space="preserve">but also from </w:t>
      </w:r>
      <w:r w:rsidR="00E075A8" w:rsidRPr="00782ED2">
        <w:rPr>
          <w:color w:val="000000" w:themeColor="text1"/>
        </w:rPr>
        <w:t>the Administrative Review Tribunal of Norfolk Island</w:t>
      </w:r>
      <w:r w:rsidR="00D72BF0">
        <w:rPr>
          <w:color w:val="000000" w:themeColor="text1"/>
        </w:rPr>
        <w:t xml:space="preserve"> (ARTNI)</w:t>
      </w:r>
      <w:r w:rsidR="004335FD">
        <w:rPr>
          <w:color w:val="000000" w:themeColor="text1"/>
        </w:rPr>
        <w:t xml:space="preserve"> with regard to Queensland Government employed teachers based on Norfolk Island</w:t>
      </w:r>
      <w:r w:rsidR="00D72BF0">
        <w:rPr>
          <w:color w:val="000000" w:themeColor="text1"/>
        </w:rPr>
        <w:t xml:space="preserve">. </w:t>
      </w:r>
    </w:p>
    <w:p w14:paraId="2E7ECFC4" w14:textId="77777777" w:rsidR="00D83209" w:rsidRDefault="00D83209" w:rsidP="00D83209">
      <w:pPr>
        <w:rPr>
          <w:color w:val="000000" w:themeColor="text1"/>
        </w:rPr>
      </w:pPr>
    </w:p>
    <w:p w14:paraId="6C958651" w14:textId="4B9B3CBD" w:rsidR="00D72BF0" w:rsidRDefault="00D72BF0" w:rsidP="00D83209">
      <w:pPr>
        <w:rPr>
          <w:color w:val="000000" w:themeColor="text1"/>
        </w:rPr>
      </w:pPr>
      <w:r w:rsidRPr="002C3834">
        <w:rPr>
          <w:color w:val="000000" w:themeColor="text1"/>
        </w:rPr>
        <w:t>Subsection 112(3) is amended to clarify that information relating to Norfolk Island is not considered “interstate” information.</w:t>
      </w:r>
    </w:p>
    <w:p w14:paraId="721DBEB5" w14:textId="77777777" w:rsidR="00BC29E8" w:rsidRDefault="00BC29E8" w:rsidP="00D83209">
      <w:pPr>
        <w:rPr>
          <w:color w:val="000000" w:themeColor="text1"/>
          <w:u w:val="single"/>
        </w:rPr>
      </w:pPr>
    </w:p>
    <w:p w14:paraId="5C07056B" w14:textId="2E1B8DDA" w:rsidR="003C078C" w:rsidRPr="00D83209" w:rsidRDefault="003C078C" w:rsidP="007109CA">
      <w:pPr>
        <w:spacing w:after="120"/>
        <w:rPr>
          <w:color w:val="000000" w:themeColor="text1"/>
          <w:u w:val="single"/>
        </w:rPr>
      </w:pPr>
      <w:r w:rsidRPr="00D83209">
        <w:rPr>
          <w:color w:val="000000" w:themeColor="text1"/>
          <w:u w:val="single"/>
        </w:rPr>
        <w:t>Section 286</w:t>
      </w:r>
    </w:p>
    <w:p w14:paraId="6FE1DAAE" w14:textId="2814528A" w:rsidR="00E863EB" w:rsidRDefault="004335FD">
      <w:r>
        <w:t>Item 12 amends s</w:t>
      </w:r>
      <w:r w:rsidR="00BC29E8">
        <w:t xml:space="preserve">ection 286 </w:t>
      </w:r>
      <w:r>
        <w:t xml:space="preserve">to expand it to </w:t>
      </w:r>
      <w:r w:rsidR="00BC29E8">
        <w:t xml:space="preserve">provide for the QCT to enter into an information sharing arrangement </w:t>
      </w:r>
      <w:r>
        <w:t xml:space="preserve">not only </w:t>
      </w:r>
      <w:r w:rsidR="00BC29E8">
        <w:t xml:space="preserve">with the </w:t>
      </w:r>
      <w:r>
        <w:t xml:space="preserve">Queensland </w:t>
      </w:r>
      <w:r w:rsidR="00BC29E8">
        <w:t xml:space="preserve">Commissioner of Police </w:t>
      </w:r>
      <w:r>
        <w:t>but also with the Commissioner of Police of the Commonwealth</w:t>
      </w:r>
      <w:r w:rsidR="00835E3C">
        <w:t>.</w:t>
      </w:r>
      <w:r>
        <w:t xml:space="preserve"> </w:t>
      </w:r>
      <w:r w:rsidR="00835E3C">
        <w:t xml:space="preserve">The information sharing arrangements enable </w:t>
      </w:r>
      <w:r w:rsidR="00E863EB">
        <w:t>the</w:t>
      </w:r>
      <w:r w:rsidR="00BC29E8">
        <w:t xml:space="preserve"> QCT to give information to the Commissioner</w:t>
      </w:r>
      <w:r>
        <w:t>s</w:t>
      </w:r>
      <w:r w:rsidR="00BC29E8">
        <w:t xml:space="preserve"> of Police, or the Commissioner</w:t>
      </w:r>
      <w:r>
        <w:t>s</w:t>
      </w:r>
      <w:r w:rsidR="00BC29E8">
        <w:t xml:space="preserve"> of Police to give information, including criminal history information, to </w:t>
      </w:r>
      <w:r w:rsidR="00E863EB">
        <w:t xml:space="preserve">the </w:t>
      </w:r>
      <w:r w:rsidR="00BC29E8">
        <w:t>QCT.</w:t>
      </w:r>
      <w:r w:rsidR="00835E3C">
        <w:t xml:space="preserve"> The effect of this amendment is to allow information sharing regarding Queensland Government employed teachers based in both Queensland and on Norfolk Island.</w:t>
      </w:r>
    </w:p>
    <w:p w14:paraId="03F0C866" w14:textId="1B671D99" w:rsidR="006B3690" w:rsidRDefault="006B3690" w:rsidP="00017A75">
      <w:pPr>
        <w:rPr>
          <w:color w:val="000000" w:themeColor="text1"/>
        </w:rPr>
      </w:pPr>
    </w:p>
    <w:p w14:paraId="21B6784A" w14:textId="182156A2" w:rsidR="00E075A8" w:rsidRDefault="00E075A8" w:rsidP="007109CA">
      <w:pPr>
        <w:spacing w:after="120"/>
        <w:ind w:right="91"/>
        <w:rPr>
          <w:b/>
          <w:color w:val="000000" w:themeColor="text1"/>
        </w:rPr>
      </w:pPr>
      <w:r>
        <w:rPr>
          <w:b/>
          <w:color w:val="000000" w:themeColor="text1"/>
        </w:rPr>
        <w:t>Item [</w:t>
      </w:r>
      <w:r w:rsidR="00A341EF">
        <w:rPr>
          <w:b/>
          <w:color w:val="000000" w:themeColor="text1"/>
        </w:rPr>
        <w:t>1</w:t>
      </w:r>
      <w:r w:rsidR="003C29FC">
        <w:rPr>
          <w:b/>
          <w:color w:val="000000" w:themeColor="text1"/>
        </w:rPr>
        <w:t>3</w:t>
      </w:r>
      <w:r>
        <w:rPr>
          <w:b/>
          <w:color w:val="000000" w:themeColor="text1"/>
        </w:rPr>
        <w:t>]</w:t>
      </w:r>
    </w:p>
    <w:p w14:paraId="70317324" w14:textId="45C46BA0" w:rsidR="00E075A8" w:rsidRDefault="00E075A8" w:rsidP="00A74BE1">
      <w:pPr>
        <w:rPr>
          <w:rFonts w:eastAsia="Calibri" w:cstheme="minorHAnsi"/>
        </w:rPr>
      </w:pPr>
      <w:r>
        <w:rPr>
          <w:color w:val="000000" w:themeColor="text1"/>
        </w:rPr>
        <w:t xml:space="preserve">Item </w:t>
      </w:r>
      <w:r w:rsidR="003C29FC">
        <w:rPr>
          <w:color w:val="000000" w:themeColor="text1"/>
        </w:rPr>
        <w:t xml:space="preserve">13 </w:t>
      </w:r>
      <w:r>
        <w:rPr>
          <w:color w:val="000000" w:themeColor="text1"/>
        </w:rPr>
        <w:t xml:space="preserve">amends </w:t>
      </w:r>
      <w:r>
        <w:rPr>
          <w:rFonts w:eastAsia="Calibri" w:cstheme="minorHAnsi"/>
        </w:rPr>
        <w:t>subsection 28</w:t>
      </w:r>
      <w:r w:rsidR="00625F32">
        <w:rPr>
          <w:rFonts w:eastAsia="Calibri" w:cstheme="minorHAnsi"/>
        </w:rPr>
        <w:t>7</w:t>
      </w:r>
      <w:r>
        <w:rPr>
          <w:rFonts w:eastAsia="Calibri" w:cstheme="minorHAnsi"/>
        </w:rPr>
        <w:t>(5) to include the Crime and Corruption Commission (CCC) as a relevant agency. Subsection 28</w:t>
      </w:r>
      <w:r w:rsidR="00E11890">
        <w:rPr>
          <w:rFonts w:eastAsia="Calibri" w:cstheme="minorHAnsi"/>
        </w:rPr>
        <w:t>7</w:t>
      </w:r>
      <w:r>
        <w:rPr>
          <w:rFonts w:eastAsia="Calibri" w:cstheme="minorHAnsi"/>
        </w:rPr>
        <w:t xml:space="preserve">(5) was previously amended to change the definition of </w:t>
      </w:r>
      <w:r w:rsidR="006858C7">
        <w:rPr>
          <w:rFonts w:eastAsia="Calibri" w:cstheme="minorHAnsi"/>
        </w:rPr>
        <w:t>“</w:t>
      </w:r>
      <w:r>
        <w:rPr>
          <w:rFonts w:eastAsia="Calibri" w:cstheme="minorHAnsi"/>
        </w:rPr>
        <w:t>relevant agency</w:t>
      </w:r>
      <w:r w:rsidR="006858C7">
        <w:rPr>
          <w:rFonts w:eastAsia="Calibri" w:cstheme="minorHAnsi"/>
        </w:rPr>
        <w:t>”</w:t>
      </w:r>
      <w:r>
        <w:rPr>
          <w:rFonts w:eastAsia="Calibri" w:cstheme="minorHAnsi"/>
        </w:rPr>
        <w:t xml:space="preserve">. This included removing the CCC as a relevant agency. </w:t>
      </w:r>
    </w:p>
    <w:p w14:paraId="7BD5E9CD" w14:textId="77777777" w:rsidR="00E36521" w:rsidRDefault="00E075A8" w:rsidP="00E863EB">
      <w:pPr>
        <w:ind w:right="91"/>
      </w:pPr>
      <w:r>
        <w:t xml:space="preserve">Inclusion of the CCC will enable the Queensland College of Teachers to share information </w:t>
      </w:r>
      <w:r w:rsidR="00E36521">
        <w:t xml:space="preserve">with the CCC about a relevant offence committed by a teacher on Norfolk Island. </w:t>
      </w:r>
    </w:p>
    <w:p w14:paraId="0E795AC5" w14:textId="77777777" w:rsidR="00E075A8" w:rsidRDefault="00E075A8">
      <w:pPr>
        <w:ind w:right="91"/>
        <w:rPr>
          <w:color w:val="000000" w:themeColor="text1"/>
        </w:rPr>
      </w:pPr>
    </w:p>
    <w:p w14:paraId="609BF48E" w14:textId="0FD6E015" w:rsidR="00E075A8" w:rsidRDefault="00E075A8" w:rsidP="000C14BD">
      <w:pPr>
        <w:keepNext/>
        <w:rPr>
          <w:b/>
          <w:color w:val="000000" w:themeColor="text1"/>
        </w:rPr>
      </w:pPr>
      <w:r>
        <w:rPr>
          <w:b/>
          <w:color w:val="000000" w:themeColor="text1"/>
        </w:rPr>
        <w:t xml:space="preserve">Amendments to Schedule 7 </w:t>
      </w:r>
      <w:r w:rsidR="00A75E00">
        <w:rPr>
          <w:b/>
          <w:color w:val="000000" w:themeColor="text1"/>
        </w:rPr>
        <w:t>to</w:t>
      </w:r>
      <w:r>
        <w:rPr>
          <w:b/>
          <w:color w:val="000000" w:themeColor="text1"/>
        </w:rPr>
        <w:t xml:space="preserve"> the </w:t>
      </w:r>
      <w:r>
        <w:rPr>
          <w:b/>
          <w:i/>
          <w:noProof/>
        </w:rPr>
        <w:t>Norfolk Island Applied Laws and Service Delivery (Queensland) Ordinance 2021</w:t>
      </w:r>
    </w:p>
    <w:p w14:paraId="5A01E63E" w14:textId="77777777" w:rsidR="00E075A8" w:rsidRDefault="00E075A8" w:rsidP="000C14BD">
      <w:pPr>
        <w:keepNext/>
        <w:ind w:right="91"/>
        <w:rPr>
          <w:color w:val="000000" w:themeColor="text1"/>
        </w:rPr>
      </w:pPr>
    </w:p>
    <w:p w14:paraId="15EABFA1" w14:textId="0E327E5F" w:rsidR="00E075A8" w:rsidRDefault="00E075A8">
      <w:pPr>
        <w:ind w:right="91"/>
        <w:rPr>
          <w:i/>
        </w:rPr>
      </w:pPr>
      <w:r>
        <w:t>Item [</w:t>
      </w:r>
      <w:r w:rsidR="003C29FC">
        <w:t>14</w:t>
      </w:r>
      <w:r>
        <w:t xml:space="preserve">] amends the </w:t>
      </w:r>
      <w:r>
        <w:rPr>
          <w:rFonts w:cstheme="minorHAnsi"/>
          <w:i/>
        </w:rPr>
        <w:t xml:space="preserve">Education (Queensland Curriculum and Assessment Authority) Regulation 2014 </w:t>
      </w:r>
      <w:r>
        <w:rPr>
          <w:rFonts w:cstheme="minorHAnsi"/>
        </w:rPr>
        <w:t>(Qld)(NI)</w:t>
      </w:r>
      <w:r>
        <w:t xml:space="preserve">, by amending Schedule 7 of the </w:t>
      </w:r>
      <w:r>
        <w:rPr>
          <w:i/>
          <w:noProof/>
        </w:rPr>
        <w:t>Norfolk Island Applied Laws and Service Delivery (Queensland) Ordinance 2021</w:t>
      </w:r>
      <w:r w:rsidR="006858C7">
        <w:rPr>
          <w:i/>
          <w:noProof/>
        </w:rPr>
        <w:t xml:space="preserve"> </w:t>
      </w:r>
      <w:r w:rsidR="006858C7">
        <w:rPr>
          <w:noProof/>
        </w:rPr>
        <w:t>(Cth)</w:t>
      </w:r>
      <w:r>
        <w:rPr>
          <w:i/>
        </w:rPr>
        <w:t>.</w:t>
      </w:r>
    </w:p>
    <w:p w14:paraId="69C63490" w14:textId="77777777" w:rsidR="00E075A8" w:rsidRDefault="00E075A8">
      <w:pPr>
        <w:ind w:right="91"/>
        <w:rPr>
          <w:color w:val="000000" w:themeColor="text1"/>
        </w:rPr>
      </w:pPr>
    </w:p>
    <w:p w14:paraId="73DB778A" w14:textId="4226BAEF" w:rsidR="00E075A8" w:rsidRDefault="00E075A8" w:rsidP="007109CA">
      <w:pPr>
        <w:spacing w:after="120"/>
        <w:ind w:right="91"/>
        <w:rPr>
          <w:b/>
          <w:color w:val="000000" w:themeColor="text1"/>
        </w:rPr>
      </w:pPr>
      <w:r w:rsidRPr="00F7122A">
        <w:rPr>
          <w:b/>
          <w:color w:val="000000" w:themeColor="text1"/>
        </w:rPr>
        <w:t>Item [1</w:t>
      </w:r>
      <w:r w:rsidR="003C29FC" w:rsidRPr="00F7122A">
        <w:rPr>
          <w:b/>
          <w:color w:val="000000" w:themeColor="text1"/>
        </w:rPr>
        <w:t>4</w:t>
      </w:r>
      <w:r w:rsidRPr="00F7122A">
        <w:rPr>
          <w:b/>
          <w:color w:val="000000" w:themeColor="text1"/>
        </w:rPr>
        <w:t>]</w:t>
      </w:r>
    </w:p>
    <w:p w14:paraId="4585D34E" w14:textId="14501EED" w:rsidR="00E075A8" w:rsidRDefault="00E075A8" w:rsidP="00A74BE1">
      <w:pPr>
        <w:spacing w:after="120"/>
      </w:pPr>
      <w:r>
        <w:rPr>
          <w:color w:val="000000" w:themeColor="text1"/>
        </w:rPr>
        <w:lastRenderedPageBreak/>
        <w:t xml:space="preserve">Item </w:t>
      </w:r>
      <w:r w:rsidR="003C29FC">
        <w:rPr>
          <w:color w:val="000000" w:themeColor="text1"/>
        </w:rPr>
        <w:t xml:space="preserve">14 </w:t>
      </w:r>
      <w:r>
        <w:rPr>
          <w:color w:val="000000" w:themeColor="text1"/>
        </w:rPr>
        <w:t xml:space="preserve">repeals section 165. </w:t>
      </w:r>
      <w:r>
        <w:t xml:space="preserve">This section requires a student enrolled in senior secondary education at a school and who is not an Australian citizen or permanent resident to pay a fee, but also allows the fee to be waived under certain circumstances. </w:t>
      </w:r>
      <w:r w:rsidR="006858C7">
        <w:t xml:space="preserve">The section is not applicable on Norfolk Island, as there </w:t>
      </w:r>
      <w:r>
        <w:t>is no inten</w:t>
      </w:r>
      <w:r w:rsidR="006858C7">
        <w:t>tion</w:t>
      </w:r>
      <w:r>
        <w:t xml:space="preserve"> to enrol overseas students at NICS.</w:t>
      </w:r>
    </w:p>
    <w:p w14:paraId="3A084003" w14:textId="77777777" w:rsidR="00E075A8" w:rsidRPr="00E11890" w:rsidRDefault="00E11890" w:rsidP="00A74BE1">
      <w:pPr>
        <w:pStyle w:val="CommentText"/>
        <w:spacing w:after="120"/>
        <w:rPr>
          <w:sz w:val="24"/>
          <w:szCs w:val="24"/>
        </w:rPr>
      </w:pPr>
      <w:r w:rsidRPr="00E11890">
        <w:rPr>
          <w:sz w:val="24"/>
          <w:szCs w:val="24"/>
        </w:rPr>
        <w:t xml:space="preserve">Item 9 of Schedule 1 to the </w:t>
      </w:r>
      <w:r w:rsidRPr="00AB5683">
        <w:rPr>
          <w:i/>
          <w:sz w:val="24"/>
          <w:szCs w:val="24"/>
        </w:rPr>
        <w:t xml:space="preserve">Education (Queensland Curriculum and Assessment Authority) Regulation 2014 </w:t>
      </w:r>
      <w:r w:rsidRPr="00023C40">
        <w:rPr>
          <w:sz w:val="24"/>
          <w:szCs w:val="24"/>
        </w:rPr>
        <w:t>(Qld)(NI)</w:t>
      </w:r>
      <w:r w:rsidRPr="00E11890">
        <w:rPr>
          <w:sz w:val="24"/>
          <w:szCs w:val="24"/>
        </w:rPr>
        <w:t xml:space="preserve"> is </w:t>
      </w:r>
      <w:r w:rsidR="00AB5683">
        <w:rPr>
          <w:sz w:val="24"/>
          <w:szCs w:val="24"/>
        </w:rPr>
        <w:t xml:space="preserve">also </w:t>
      </w:r>
      <w:r w:rsidRPr="00E11890">
        <w:rPr>
          <w:sz w:val="24"/>
          <w:szCs w:val="24"/>
        </w:rPr>
        <w:t>repealed to remove a cross-reference to section 165.</w:t>
      </w:r>
    </w:p>
    <w:bookmarkEnd w:id="10"/>
    <w:p w14:paraId="6095905D" w14:textId="64D0313A" w:rsidR="003A5278" w:rsidRDefault="003A5278"/>
    <w:p w14:paraId="6665B184" w14:textId="329C2A49" w:rsidR="00DA2871" w:rsidRPr="006C431E" w:rsidRDefault="00DA2871" w:rsidP="007B3075"/>
    <w:sectPr w:rsidR="00DA2871" w:rsidRPr="006C431E" w:rsidSect="005E0D3C">
      <w:headerReference w:type="default" r:id="rId11"/>
      <w:footerReference w:type="default" r:id="rId12"/>
      <w:pgSz w:w="11906" w:h="16838"/>
      <w:pgMar w:top="1276" w:right="1134" w:bottom="992" w:left="1440"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1088DA" w14:textId="77777777" w:rsidR="00F73828" w:rsidRDefault="00F73828" w:rsidP="00D15769">
      <w:r>
        <w:separator/>
      </w:r>
    </w:p>
  </w:endnote>
  <w:endnote w:type="continuationSeparator" w:id="0">
    <w:p w14:paraId="1CEBAAAC" w14:textId="77777777" w:rsidR="00F73828" w:rsidRDefault="00F73828" w:rsidP="00D15769">
      <w:r>
        <w:continuationSeparator/>
      </w:r>
    </w:p>
  </w:endnote>
  <w:endnote w:type="continuationNotice" w:id="1">
    <w:p w14:paraId="36589648" w14:textId="77777777" w:rsidR="00F73828" w:rsidRDefault="00F738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FranklinGothic-Book">
    <w:altName w:val="Franklin Gothic Book"/>
    <w:panose1 w:val="00000000000000000000"/>
    <w:charset w:val="4D"/>
    <w:family w:val="auto"/>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4982054"/>
      <w:docPartObj>
        <w:docPartGallery w:val="Page Numbers (Bottom of Page)"/>
        <w:docPartUnique/>
      </w:docPartObj>
    </w:sdtPr>
    <w:sdtEndPr>
      <w:rPr>
        <w:noProof/>
      </w:rPr>
    </w:sdtEndPr>
    <w:sdtContent>
      <w:p w14:paraId="60599B6B" w14:textId="02D72711" w:rsidR="00866CEA" w:rsidRDefault="00866CEA" w:rsidP="00C20055">
        <w:pPr>
          <w:pStyle w:val="Footer"/>
          <w:jc w:val="center"/>
        </w:pPr>
        <w:r>
          <w:fldChar w:fldCharType="begin"/>
        </w:r>
        <w:r>
          <w:instrText xml:space="preserve"> PAGE   \* MERGEFORMAT </w:instrText>
        </w:r>
        <w:r>
          <w:fldChar w:fldCharType="separate"/>
        </w:r>
        <w:r w:rsidR="002F26E7">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B94BEB" w14:textId="77777777" w:rsidR="00F73828" w:rsidRDefault="00F73828" w:rsidP="00D15769">
      <w:r>
        <w:separator/>
      </w:r>
    </w:p>
  </w:footnote>
  <w:footnote w:type="continuationSeparator" w:id="0">
    <w:p w14:paraId="1F237062" w14:textId="77777777" w:rsidR="00F73828" w:rsidRDefault="00F73828" w:rsidP="00D15769">
      <w:r>
        <w:continuationSeparator/>
      </w:r>
    </w:p>
  </w:footnote>
  <w:footnote w:type="continuationNotice" w:id="1">
    <w:p w14:paraId="35878647" w14:textId="77777777" w:rsidR="00F73828" w:rsidRDefault="00F738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9EE1AA" w14:textId="77777777" w:rsidR="00A74BE1" w:rsidRDefault="00A74B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42DCF"/>
    <w:multiLevelType w:val="singleLevel"/>
    <w:tmpl w:val="176AADC1"/>
    <w:lvl w:ilvl="0">
      <w:start w:val="1"/>
      <w:numFmt w:val="lowerLetter"/>
      <w:lvlText w:val="(%1)"/>
      <w:lvlJc w:val="left"/>
      <w:pPr>
        <w:tabs>
          <w:tab w:val="num" w:pos="1800"/>
        </w:tabs>
        <w:ind w:left="1800" w:hanging="288"/>
      </w:pPr>
      <w:rPr>
        <w:snapToGrid/>
        <w:sz w:val="22"/>
      </w:rPr>
    </w:lvl>
  </w:abstractNum>
  <w:abstractNum w:abstractNumId="1" w15:restartNumberingAfterBreak="0">
    <w:nsid w:val="0105582E"/>
    <w:multiLevelType w:val="singleLevel"/>
    <w:tmpl w:val="7E3E4144"/>
    <w:lvl w:ilvl="0">
      <w:start w:val="1"/>
      <w:numFmt w:val="lowerRoman"/>
      <w:lvlText w:val="(%1)"/>
      <w:lvlJc w:val="left"/>
      <w:pPr>
        <w:tabs>
          <w:tab w:val="num" w:pos="2232"/>
        </w:tabs>
        <w:ind w:left="2232" w:hanging="432"/>
      </w:pPr>
      <w:rPr>
        <w:snapToGrid/>
        <w:sz w:val="22"/>
      </w:rPr>
    </w:lvl>
  </w:abstractNum>
  <w:abstractNum w:abstractNumId="2" w15:restartNumberingAfterBreak="0">
    <w:nsid w:val="013E9FEA"/>
    <w:multiLevelType w:val="singleLevel"/>
    <w:tmpl w:val="4BCFFC13"/>
    <w:lvl w:ilvl="0">
      <w:start w:val="1"/>
      <w:numFmt w:val="lowerLetter"/>
      <w:lvlText w:val="(%1)"/>
      <w:lvlJc w:val="left"/>
      <w:pPr>
        <w:tabs>
          <w:tab w:val="num" w:pos="1800"/>
        </w:tabs>
        <w:ind w:left="1800" w:hanging="360"/>
      </w:pPr>
      <w:rPr>
        <w:snapToGrid/>
        <w:sz w:val="22"/>
      </w:rPr>
    </w:lvl>
  </w:abstractNum>
  <w:abstractNum w:abstractNumId="3" w15:restartNumberingAfterBreak="0">
    <w:nsid w:val="01BC313D"/>
    <w:multiLevelType w:val="singleLevel"/>
    <w:tmpl w:val="3D9045D0"/>
    <w:lvl w:ilvl="0">
      <w:start w:val="1"/>
      <w:numFmt w:val="lowerLetter"/>
      <w:lvlText w:val="(%1)"/>
      <w:lvlJc w:val="left"/>
      <w:pPr>
        <w:tabs>
          <w:tab w:val="num" w:pos="1800"/>
        </w:tabs>
        <w:ind w:left="1800" w:hanging="360"/>
      </w:pPr>
      <w:rPr>
        <w:snapToGrid/>
        <w:sz w:val="22"/>
      </w:rPr>
    </w:lvl>
  </w:abstractNum>
  <w:abstractNum w:abstractNumId="4" w15:restartNumberingAfterBreak="0">
    <w:nsid w:val="01C1161D"/>
    <w:multiLevelType w:val="singleLevel"/>
    <w:tmpl w:val="1DC47274"/>
    <w:lvl w:ilvl="0">
      <w:start w:val="1"/>
      <w:numFmt w:val="lowerLetter"/>
      <w:lvlText w:val="(%1)"/>
      <w:lvlJc w:val="left"/>
      <w:pPr>
        <w:tabs>
          <w:tab w:val="num" w:pos="1296"/>
        </w:tabs>
        <w:ind w:left="1008"/>
      </w:pPr>
      <w:rPr>
        <w:snapToGrid/>
        <w:sz w:val="20"/>
      </w:rPr>
    </w:lvl>
  </w:abstractNum>
  <w:abstractNum w:abstractNumId="5" w15:restartNumberingAfterBreak="0">
    <w:nsid w:val="034114AC"/>
    <w:multiLevelType w:val="singleLevel"/>
    <w:tmpl w:val="5BBFBEB1"/>
    <w:lvl w:ilvl="0">
      <w:start w:val="1"/>
      <w:numFmt w:val="lowerLetter"/>
      <w:lvlText w:val="(%1)"/>
      <w:lvlJc w:val="left"/>
      <w:pPr>
        <w:tabs>
          <w:tab w:val="num" w:pos="1800"/>
        </w:tabs>
        <w:ind w:left="1800" w:hanging="360"/>
      </w:pPr>
      <w:rPr>
        <w:snapToGrid/>
        <w:sz w:val="22"/>
      </w:rPr>
    </w:lvl>
  </w:abstractNum>
  <w:abstractNum w:abstractNumId="6" w15:restartNumberingAfterBreak="0">
    <w:nsid w:val="03C57D4D"/>
    <w:multiLevelType w:val="singleLevel"/>
    <w:tmpl w:val="0872FAF5"/>
    <w:lvl w:ilvl="0">
      <w:start w:val="1"/>
      <w:numFmt w:val="lowerLetter"/>
      <w:lvlText w:val="(%1)"/>
      <w:lvlJc w:val="left"/>
      <w:pPr>
        <w:tabs>
          <w:tab w:val="num" w:pos="1800"/>
        </w:tabs>
        <w:ind w:left="1800" w:hanging="360"/>
      </w:pPr>
      <w:rPr>
        <w:snapToGrid/>
        <w:spacing w:val="-1"/>
        <w:sz w:val="22"/>
      </w:rPr>
    </w:lvl>
  </w:abstractNum>
  <w:abstractNum w:abstractNumId="7" w15:restartNumberingAfterBreak="0">
    <w:nsid w:val="056F02BE"/>
    <w:multiLevelType w:val="singleLevel"/>
    <w:tmpl w:val="3FE1260E"/>
    <w:lvl w:ilvl="0">
      <w:start w:val="1"/>
      <w:numFmt w:val="lowerLetter"/>
      <w:lvlText w:val="(%1)"/>
      <w:lvlJc w:val="left"/>
      <w:pPr>
        <w:tabs>
          <w:tab w:val="num" w:pos="1800"/>
        </w:tabs>
        <w:ind w:left="1440"/>
      </w:pPr>
      <w:rPr>
        <w:snapToGrid/>
        <w:sz w:val="22"/>
      </w:rPr>
    </w:lvl>
  </w:abstractNum>
  <w:abstractNum w:abstractNumId="8" w15:restartNumberingAfterBreak="0">
    <w:nsid w:val="06819C31"/>
    <w:multiLevelType w:val="singleLevel"/>
    <w:tmpl w:val="5513279C"/>
    <w:lvl w:ilvl="0">
      <w:start w:val="1"/>
      <w:numFmt w:val="lowerRoman"/>
      <w:lvlText w:val="(%1)"/>
      <w:lvlJc w:val="left"/>
      <w:pPr>
        <w:tabs>
          <w:tab w:val="num" w:pos="2232"/>
        </w:tabs>
        <w:ind w:left="2232" w:hanging="432"/>
      </w:pPr>
      <w:rPr>
        <w:snapToGrid/>
        <w:spacing w:val="1"/>
        <w:sz w:val="22"/>
      </w:rPr>
    </w:lvl>
  </w:abstractNum>
  <w:abstractNum w:abstractNumId="9" w15:restartNumberingAfterBreak="0">
    <w:nsid w:val="0792EDC4"/>
    <w:multiLevelType w:val="singleLevel"/>
    <w:tmpl w:val="7655DA1C"/>
    <w:lvl w:ilvl="0">
      <w:start w:val="1"/>
      <w:numFmt w:val="lowerRoman"/>
      <w:lvlText w:val="(%1)"/>
      <w:lvlJc w:val="left"/>
      <w:pPr>
        <w:tabs>
          <w:tab w:val="num" w:pos="2232"/>
        </w:tabs>
        <w:ind w:left="1800"/>
      </w:pPr>
      <w:rPr>
        <w:snapToGrid/>
        <w:spacing w:val="1"/>
        <w:sz w:val="22"/>
      </w:rPr>
    </w:lvl>
  </w:abstractNum>
  <w:abstractNum w:abstractNumId="10" w15:restartNumberingAfterBreak="0">
    <w:nsid w:val="0D0E7DFA"/>
    <w:multiLevelType w:val="hybridMultilevel"/>
    <w:tmpl w:val="86307C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0EF62370"/>
    <w:multiLevelType w:val="hybridMultilevel"/>
    <w:tmpl w:val="883A9F60"/>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12" w15:restartNumberingAfterBreak="0">
    <w:nsid w:val="19BF5988"/>
    <w:multiLevelType w:val="hybridMultilevel"/>
    <w:tmpl w:val="05587E2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BFF3FFE"/>
    <w:multiLevelType w:val="hybridMultilevel"/>
    <w:tmpl w:val="FE9C4A6E"/>
    <w:lvl w:ilvl="0" w:tplc="6F045248">
      <w:start w:val="1"/>
      <w:numFmt w:val="decimal"/>
      <w:lvlText w:val="%1."/>
      <w:lvlJc w:val="left"/>
      <w:pPr>
        <w:ind w:left="360" w:hanging="360"/>
      </w:pPr>
      <w:rPr>
        <w:rFonts w:hint="default"/>
        <w:b w:val="0"/>
        <w:i w:val="0"/>
        <w:color w:val="auto"/>
      </w:rPr>
    </w:lvl>
    <w:lvl w:ilvl="1" w:tplc="2AEA9912">
      <w:start w:val="1"/>
      <w:numFmt w:val="lowerLetter"/>
      <w:lvlText w:val="%2."/>
      <w:lvlJc w:val="left"/>
      <w:pPr>
        <w:ind w:left="1080" w:hanging="360"/>
      </w:pPr>
    </w:lvl>
    <w:lvl w:ilvl="2" w:tplc="DCBEDF66" w:tentative="1">
      <w:start w:val="1"/>
      <w:numFmt w:val="lowerRoman"/>
      <w:lvlText w:val="%3."/>
      <w:lvlJc w:val="right"/>
      <w:pPr>
        <w:ind w:left="1800" w:hanging="180"/>
      </w:pPr>
    </w:lvl>
    <w:lvl w:ilvl="3" w:tplc="E4CE4C54" w:tentative="1">
      <w:start w:val="1"/>
      <w:numFmt w:val="decimal"/>
      <w:lvlText w:val="%4."/>
      <w:lvlJc w:val="left"/>
      <w:pPr>
        <w:ind w:left="2520" w:hanging="360"/>
      </w:pPr>
    </w:lvl>
    <w:lvl w:ilvl="4" w:tplc="A0F4455C" w:tentative="1">
      <w:start w:val="1"/>
      <w:numFmt w:val="lowerLetter"/>
      <w:lvlText w:val="%5."/>
      <w:lvlJc w:val="left"/>
      <w:pPr>
        <w:ind w:left="3240" w:hanging="360"/>
      </w:pPr>
    </w:lvl>
    <w:lvl w:ilvl="5" w:tplc="505C4ACA" w:tentative="1">
      <w:start w:val="1"/>
      <w:numFmt w:val="lowerRoman"/>
      <w:lvlText w:val="%6."/>
      <w:lvlJc w:val="right"/>
      <w:pPr>
        <w:ind w:left="3960" w:hanging="180"/>
      </w:pPr>
    </w:lvl>
    <w:lvl w:ilvl="6" w:tplc="7DD865DA" w:tentative="1">
      <w:start w:val="1"/>
      <w:numFmt w:val="decimal"/>
      <w:lvlText w:val="%7."/>
      <w:lvlJc w:val="left"/>
      <w:pPr>
        <w:ind w:left="4680" w:hanging="360"/>
      </w:pPr>
    </w:lvl>
    <w:lvl w:ilvl="7" w:tplc="EDEADA30" w:tentative="1">
      <w:start w:val="1"/>
      <w:numFmt w:val="lowerLetter"/>
      <w:lvlText w:val="%8."/>
      <w:lvlJc w:val="left"/>
      <w:pPr>
        <w:ind w:left="5400" w:hanging="360"/>
      </w:pPr>
    </w:lvl>
    <w:lvl w:ilvl="8" w:tplc="DC3EBFD0" w:tentative="1">
      <w:start w:val="1"/>
      <w:numFmt w:val="lowerRoman"/>
      <w:lvlText w:val="%9."/>
      <w:lvlJc w:val="right"/>
      <w:pPr>
        <w:ind w:left="6120" w:hanging="180"/>
      </w:pPr>
    </w:lvl>
  </w:abstractNum>
  <w:abstractNum w:abstractNumId="14" w15:restartNumberingAfterBreak="0">
    <w:nsid w:val="1E556A0C"/>
    <w:multiLevelType w:val="hybridMultilevel"/>
    <w:tmpl w:val="C08E9342"/>
    <w:lvl w:ilvl="0" w:tplc="D61EB5FA">
      <w:start w:val="1"/>
      <w:numFmt w:val="decimal"/>
      <w:lvlText w:val="%1"/>
      <w:lvlJc w:val="left"/>
      <w:pPr>
        <w:ind w:left="930" w:hanging="570"/>
      </w:pPr>
      <w:rPr>
        <w:rFonts w:ascii="Times New Roman" w:eastAsia="Times New Roman"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E722EE9"/>
    <w:multiLevelType w:val="hybridMultilevel"/>
    <w:tmpl w:val="C3DC80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0AC1CD4"/>
    <w:multiLevelType w:val="hybridMultilevel"/>
    <w:tmpl w:val="5940701C"/>
    <w:lvl w:ilvl="0" w:tplc="EAB820B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5266B0F"/>
    <w:multiLevelType w:val="hybridMultilevel"/>
    <w:tmpl w:val="B808962C"/>
    <w:lvl w:ilvl="0" w:tplc="2242BE4A">
      <w:start w:val="1"/>
      <w:numFmt w:val="decimal"/>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B440986"/>
    <w:multiLevelType w:val="hybridMultilevel"/>
    <w:tmpl w:val="8094472E"/>
    <w:lvl w:ilvl="0" w:tplc="297285F8">
      <w:start w:val="1"/>
      <w:numFmt w:val="lowerLetter"/>
      <w:lvlText w:val="%1)"/>
      <w:lvlJc w:val="left"/>
      <w:pPr>
        <w:ind w:left="720" w:hanging="360"/>
      </w:pPr>
      <w:rPr>
        <w:rFonts w:ascii="Times New Roman" w:hAnsi="Times New Roman" w:cs="Times New Roman" w:hint="default"/>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DC510A8"/>
    <w:multiLevelType w:val="hybridMultilevel"/>
    <w:tmpl w:val="6E007C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03A6A4F"/>
    <w:multiLevelType w:val="hybridMultilevel"/>
    <w:tmpl w:val="4586A4F8"/>
    <w:lvl w:ilvl="0" w:tplc="F5CC4180">
      <w:start w:val="2"/>
      <w:numFmt w:val="lowerLetter"/>
      <w:lvlText w:val="(%1)"/>
      <w:lvlJc w:val="left"/>
      <w:pPr>
        <w:tabs>
          <w:tab w:val="num" w:pos="1800"/>
        </w:tabs>
        <w:ind w:left="1800" w:hanging="360"/>
      </w:pPr>
      <w:rPr>
        <w:rFonts w:hint="default"/>
        <w:snapToGrid/>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5D8656F"/>
    <w:multiLevelType w:val="hybridMultilevel"/>
    <w:tmpl w:val="C5586924"/>
    <w:lvl w:ilvl="0" w:tplc="1C7E92C8">
      <w:start w:val="1"/>
      <w:numFmt w:val="decimal"/>
      <w:lvlText w:val="%1."/>
      <w:lvlJc w:val="left"/>
      <w:pPr>
        <w:ind w:left="360" w:hanging="360"/>
      </w:pPr>
      <w:rPr>
        <w:rFonts w:hint="default"/>
        <w:b w:val="0"/>
        <w:i w:val="0"/>
        <w:color w:val="auto"/>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37236CC7"/>
    <w:multiLevelType w:val="hybridMultilevel"/>
    <w:tmpl w:val="7FE62B8C"/>
    <w:lvl w:ilvl="0" w:tplc="6A42CE24">
      <w:start w:val="1"/>
      <w:numFmt w:val="bullet"/>
      <w:pStyle w:val="BulletDot"/>
      <w:lvlText w:val=""/>
      <w:lvlJc w:val="left"/>
      <w:pPr>
        <w:ind w:left="360" w:hanging="360"/>
      </w:pPr>
      <w:rPr>
        <w:rFonts w:ascii="Symbol" w:hAnsi="Symbol" w:hint="default"/>
      </w:rPr>
    </w:lvl>
    <w:lvl w:ilvl="1" w:tplc="0C090003">
      <w:start w:val="1"/>
      <w:numFmt w:val="bullet"/>
      <w:lvlText w:val="o"/>
      <w:lvlJc w:val="left"/>
      <w:pPr>
        <w:ind w:left="2581" w:hanging="360"/>
      </w:pPr>
      <w:rPr>
        <w:rFonts w:ascii="Courier New" w:hAnsi="Courier New" w:cs="Courier New" w:hint="default"/>
      </w:rPr>
    </w:lvl>
    <w:lvl w:ilvl="2" w:tplc="0C090005" w:tentative="1">
      <w:start w:val="1"/>
      <w:numFmt w:val="bullet"/>
      <w:lvlText w:val=""/>
      <w:lvlJc w:val="left"/>
      <w:pPr>
        <w:ind w:left="3301" w:hanging="360"/>
      </w:pPr>
      <w:rPr>
        <w:rFonts w:ascii="Wingdings" w:hAnsi="Wingdings" w:hint="default"/>
      </w:rPr>
    </w:lvl>
    <w:lvl w:ilvl="3" w:tplc="0C090001" w:tentative="1">
      <w:start w:val="1"/>
      <w:numFmt w:val="bullet"/>
      <w:lvlText w:val=""/>
      <w:lvlJc w:val="left"/>
      <w:pPr>
        <w:ind w:left="4021" w:hanging="360"/>
      </w:pPr>
      <w:rPr>
        <w:rFonts w:ascii="Symbol" w:hAnsi="Symbol" w:hint="default"/>
      </w:rPr>
    </w:lvl>
    <w:lvl w:ilvl="4" w:tplc="0C090003" w:tentative="1">
      <w:start w:val="1"/>
      <w:numFmt w:val="bullet"/>
      <w:lvlText w:val="o"/>
      <w:lvlJc w:val="left"/>
      <w:pPr>
        <w:ind w:left="4741" w:hanging="360"/>
      </w:pPr>
      <w:rPr>
        <w:rFonts w:ascii="Courier New" w:hAnsi="Courier New" w:cs="Courier New" w:hint="default"/>
      </w:rPr>
    </w:lvl>
    <w:lvl w:ilvl="5" w:tplc="0C090005" w:tentative="1">
      <w:start w:val="1"/>
      <w:numFmt w:val="bullet"/>
      <w:lvlText w:val=""/>
      <w:lvlJc w:val="left"/>
      <w:pPr>
        <w:ind w:left="5461" w:hanging="360"/>
      </w:pPr>
      <w:rPr>
        <w:rFonts w:ascii="Wingdings" w:hAnsi="Wingdings" w:hint="default"/>
      </w:rPr>
    </w:lvl>
    <w:lvl w:ilvl="6" w:tplc="0C090001" w:tentative="1">
      <w:start w:val="1"/>
      <w:numFmt w:val="bullet"/>
      <w:lvlText w:val=""/>
      <w:lvlJc w:val="left"/>
      <w:pPr>
        <w:ind w:left="6181" w:hanging="360"/>
      </w:pPr>
      <w:rPr>
        <w:rFonts w:ascii="Symbol" w:hAnsi="Symbol" w:hint="default"/>
      </w:rPr>
    </w:lvl>
    <w:lvl w:ilvl="7" w:tplc="0C090003" w:tentative="1">
      <w:start w:val="1"/>
      <w:numFmt w:val="bullet"/>
      <w:lvlText w:val="o"/>
      <w:lvlJc w:val="left"/>
      <w:pPr>
        <w:ind w:left="6901" w:hanging="360"/>
      </w:pPr>
      <w:rPr>
        <w:rFonts w:ascii="Courier New" w:hAnsi="Courier New" w:cs="Courier New" w:hint="default"/>
      </w:rPr>
    </w:lvl>
    <w:lvl w:ilvl="8" w:tplc="0C090005" w:tentative="1">
      <w:start w:val="1"/>
      <w:numFmt w:val="bullet"/>
      <w:lvlText w:val=""/>
      <w:lvlJc w:val="left"/>
      <w:pPr>
        <w:ind w:left="7621" w:hanging="360"/>
      </w:pPr>
      <w:rPr>
        <w:rFonts w:ascii="Wingdings" w:hAnsi="Wingdings" w:hint="default"/>
      </w:rPr>
    </w:lvl>
  </w:abstractNum>
  <w:abstractNum w:abstractNumId="23" w15:restartNumberingAfterBreak="0">
    <w:nsid w:val="397B5458"/>
    <w:multiLevelType w:val="singleLevel"/>
    <w:tmpl w:val="BE8804F8"/>
    <w:lvl w:ilvl="0">
      <w:start w:val="1"/>
      <w:numFmt w:val="bullet"/>
      <w:pStyle w:val="HB-dotpoint"/>
      <w:lvlText w:val=""/>
      <w:lvlJc w:val="left"/>
      <w:pPr>
        <w:tabs>
          <w:tab w:val="num" w:pos="720"/>
        </w:tabs>
        <w:ind w:left="720" w:hanging="720"/>
      </w:pPr>
      <w:rPr>
        <w:rFonts w:ascii="Symbol" w:hAnsi="Symbol" w:hint="default"/>
        <w:sz w:val="20"/>
      </w:rPr>
    </w:lvl>
  </w:abstractNum>
  <w:abstractNum w:abstractNumId="24" w15:restartNumberingAfterBreak="0">
    <w:nsid w:val="3ABE4C0C"/>
    <w:multiLevelType w:val="hybridMultilevel"/>
    <w:tmpl w:val="101431DC"/>
    <w:lvl w:ilvl="0" w:tplc="0CB008D6">
      <w:start w:val="1"/>
      <w:numFmt w:val="bullet"/>
      <w:pStyle w:val="ListNumber"/>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3EAD2DB5"/>
    <w:multiLevelType w:val="hybridMultilevel"/>
    <w:tmpl w:val="A726C988"/>
    <w:lvl w:ilvl="0" w:tplc="F5F0A3F6">
      <w:start w:val="1"/>
      <w:numFmt w:val="lowerRoman"/>
      <w:lvlText w:val="(%1)"/>
      <w:lvlJc w:val="left"/>
      <w:pPr>
        <w:ind w:left="2880" w:hanging="720"/>
      </w:pPr>
      <w:rPr>
        <w:rFonts w:hint="default"/>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26" w15:restartNumberingAfterBreak="0">
    <w:nsid w:val="3FF96E7D"/>
    <w:multiLevelType w:val="hybridMultilevel"/>
    <w:tmpl w:val="E410FB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07754A2"/>
    <w:multiLevelType w:val="hybridMultilevel"/>
    <w:tmpl w:val="4880BA70"/>
    <w:lvl w:ilvl="0" w:tplc="8692FC0E">
      <w:start w:val="5"/>
      <w:numFmt w:val="decimal"/>
      <w:lvlText w:val="%1"/>
      <w:lvlJc w:val="left"/>
      <w:pPr>
        <w:ind w:left="502" w:hanging="360"/>
      </w:pPr>
      <w:rPr>
        <w:rFont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28" w15:restartNumberingAfterBreak="0">
    <w:nsid w:val="4A3B7ECC"/>
    <w:multiLevelType w:val="hybridMultilevel"/>
    <w:tmpl w:val="476A05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4F5C34DF"/>
    <w:multiLevelType w:val="hybridMultilevel"/>
    <w:tmpl w:val="6CCA20D8"/>
    <w:lvl w:ilvl="0" w:tplc="D69CC2A8">
      <w:start w:val="1"/>
      <w:numFmt w:val="decimal"/>
      <w:lvlText w:val="%1."/>
      <w:lvlJc w:val="left"/>
      <w:pPr>
        <w:ind w:left="1440"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0" w15:restartNumberingAfterBreak="0">
    <w:nsid w:val="573F4FEB"/>
    <w:multiLevelType w:val="hybridMultilevel"/>
    <w:tmpl w:val="98FEBB26"/>
    <w:lvl w:ilvl="0" w:tplc="723CE87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805623B"/>
    <w:multiLevelType w:val="hybridMultilevel"/>
    <w:tmpl w:val="4B8EFF18"/>
    <w:lvl w:ilvl="0" w:tplc="0640060C">
      <w:start w:val="2"/>
      <w:numFmt w:val="lowerRoman"/>
      <w:lvlText w:val="(%1)"/>
      <w:lvlJc w:val="left"/>
      <w:pPr>
        <w:ind w:left="2520" w:hanging="72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32" w15:restartNumberingAfterBreak="0">
    <w:nsid w:val="681370CD"/>
    <w:multiLevelType w:val="hybridMultilevel"/>
    <w:tmpl w:val="0C14C382"/>
    <w:lvl w:ilvl="0" w:tplc="36420DB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B8F1125"/>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34" w15:restartNumberingAfterBreak="0">
    <w:nsid w:val="6E1851F6"/>
    <w:multiLevelType w:val="hybridMultilevel"/>
    <w:tmpl w:val="3CDE783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3F83A12"/>
    <w:multiLevelType w:val="hybridMultilevel"/>
    <w:tmpl w:val="02CEDD86"/>
    <w:lvl w:ilvl="0" w:tplc="0C090019">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45948AF"/>
    <w:multiLevelType w:val="hybridMultilevel"/>
    <w:tmpl w:val="3EE405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FF22C0E"/>
    <w:multiLevelType w:val="hybridMultilevel"/>
    <w:tmpl w:val="9E3E4F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3"/>
  </w:num>
  <w:num w:numId="2">
    <w:abstractNumId w:val="33"/>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7"/>
  </w:num>
  <w:num w:numId="5">
    <w:abstractNumId w:val="32"/>
  </w:num>
  <w:num w:numId="6">
    <w:abstractNumId w:val="22"/>
  </w:num>
  <w:num w:numId="7">
    <w:abstractNumId w:val="24"/>
  </w:num>
  <w:num w:numId="8">
    <w:abstractNumId w:val="22"/>
  </w:num>
  <w:num w:numId="9">
    <w:abstractNumId w:val="28"/>
  </w:num>
  <w:num w:numId="10">
    <w:abstractNumId w:val="11"/>
  </w:num>
  <w:num w:numId="11">
    <w:abstractNumId w:val="19"/>
  </w:num>
  <w:num w:numId="12">
    <w:abstractNumId w:val="26"/>
  </w:num>
  <w:num w:numId="13">
    <w:abstractNumId w:val="15"/>
  </w:num>
  <w:num w:numId="14">
    <w:abstractNumId w:val="0"/>
  </w:num>
  <w:num w:numId="15">
    <w:abstractNumId w:val="9"/>
  </w:num>
  <w:num w:numId="16">
    <w:abstractNumId w:val="3"/>
  </w:num>
  <w:num w:numId="17">
    <w:abstractNumId w:val="6"/>
  </w:num>
  <w:num w:numId="18">
    <w:abstractNumId w:val="7"/>
  </w:num>
  <w:num w:numId="19">
    <w:abstractNumId w:val="4"/>
  </w:num>
  <w:num w:numId="20">
    <w:abstractNumId w:val="17"/>
  </w:num>
  <w:num w:numId="21">
    <w:abstractNumId w:val="14"/>
  </w:num>
  <w:num w:numId="22">
    <w:abstractNumId w:val="27"/>
  </w:num>
  <w:num w:numId="23">
    <w:abstractNumId w:val="5"/>
  </w:num>
  <w:num w:numId="24">
    <w:abstractNumId w:val="1"/>
  </w:num>
  <w:num w:numId="25">
    <w:abstractNumId w:val="2"/>
  </w:num>
  <w:num w:numId="26">
    <w:abstractNumId w:val="8"/>
  </w:num>
  <w:num w:numId="27">
    <w:abstractNumId w:val="34"/>
  </w:num>
  <w:num w:numId="28">
    <w:abstractNumId w:val="36"/>
  </w:num>
  <w:num w:numId="29">
    <w:abstractNumId w:val="16"/>
  </w:num>
  <w:num w:numId="30">
    <w:abstractNumId w:val="31"/>
  </w:num>
  <w:num w:numId="31">
    <w:abstractNumId w:val="20"/>
  </w:num>
  <w:num w:numId="32">
    <w:abstractNumId w:val="15"/>
  </w:num>
  <w:num w:numId="33">
    <w:abstractNumId w:val="25"/>
  </w:num>
  <w:num w:numId="34">
    <w:abstractNumId w:val="21"/>
  </w:num>
  <w:num w:numId="35">
    <w:abstractNumId w:val="12"/>
  </w:num>
  <w:num w:numId="36">
    <w:abstractNumId w:val="22"/>
  </w:num>
  <w:num w:numId="37">
    <w:abstractNumId w:val="35"/>
  </w:num>
  <w:num w:numId="38">
    <w:abstractNumId w:val="10"/>
  </w:num>
  <w:num w:numId="39">
    <w:abstractNumId w:val="22"/>
  </w:num>
  <w:num w:numId="40">
    <w:abstractNumId w:val="29"/>
  </w:num>
  <w:num w:numId="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8"/>
  </w:num>
  <w:num w:numId="4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A00"/>
    <w:rsid w:val="000010BF"/>
    <w:rsid w:val="00003509"/>
    <w:rsid w:val="00003CC9"/>
    <w:rsid w:val="0000695D"/>
    <w:rsid w:val="00006DD5"/>
    <w:rsid w:val="00010CDC"/>
    <w:rsid w:val="000117CC"/>
    <w:rsid w:val="00014A8F"/>
    <w:rsid w:val="000160CB"/>
    <w:rsid w:val="00016C56"/>
    <w:rsid w:val="00017A75"/>
    <w:rsid w:val="00023C40"/>
    <w:rsid w:val="00024C1A"/>
    <w:rsid w:val="00025C8F"/>
    <w:rsid w:val="00030672"/>
    <w:rsid w:val="0003130C"/>
    <w:rsid w:val="00031CBF"/>
    <w:rsid w:val="0003368A"/>
    <w:rsid w:val="000347D5"/>
    <w:rsid w:val="0004027F"/>
    <w:rsid w:val="00044BC5"/>
    <w:rsid w:val="00044CFB"/>
    <w:rsid w:val="00050C06"/>
    <w:rsid w:val="00051F87"/>
    <w:rsid w:val="000548E8"/>
    <w:rsid w:val="00061BA2"/>
    <w:rsid w:val="0006492B"/>
    <w:rsid w:val="0006664A"/>
    <w:rsid w:val="000672FA"/>
    <w:rsid w:val="00067490"/>
    <w:rsid w:val="00073640"/>
    <w:rsid w:val="00073EB4"/>
    <w:rsid w:val="0007564A"/>
    <w:rsid w:val="00076B8F"/>
    <w:rsid w:val="00085BE0"/>
    <w:rsid w:val="00086AB0"/>
    <w:rsid w:val="00090377"/>
    <w:rsid w:val="00090820"/>
    <w:rsid w:val="00090880"/>
    <w:rsid w:val="00090EAE"/>
    <w:rsid w:val="00092A30"/>
    <w:rsid w:val="00093159"/>
    <w:rsid w:val="000A0AEB"/>
    <w:rsid w:val="000A1CA3"/>
    <w:rsid w:val="000A557D"/>
    <w:rsid w:val="000A592A"/>
    <w:rsid w:val="000A6553"/>
    <w:rsid w:val="000B164E"/>
    <w:rsid w:val="000B35BE"/>
    <w:rsid w:val="000C14BD"/>
    <w:rsid w:val="000C152F"/>
    <w:rsid w:val="000C3AFB"/>
    <w:rsid w:val="000C4BA6"/>
    <w:rsid w:val="000C576E"/>
    <w:rsid w:val="000D549F"/>
    <w:rsid w:val="000D624B"/>
    <w:rsid w:val="000E03ED"/>
    <w:rsid w:val="000E194D"/>
    <w:rsid w:val="000E37B5"/>
    <w:rsid w:val="000E400B"/>
    <w:rsid w:val="000E4522"/>
    <w:rsid w:val="000E51A3"/>
    <w:rsid w:val="000E582C"/>
    <w:rsid w:val="000E7B7A"/>
    <w:rsid w:val="000E7BC9"/>
    <w:rsid w:val="000F1D4B"/>
    <w:rsid w:val="000F335D"/>
    <w:rsid w:val="000F430E"/>
    <w:rsid w:val="000F4A54"/>
    <w:rsid w:val="000F6AE1"/>
    <w:rsid w:val="000F7F2B"/>
    <w:rsid w:val="00100589"/>
    <w:rsid w:val="00101100"/>
    <w:rsid w:val="00102758"/>
    <w:rsid w:val="00103D11"/>
    <w:rsid w:val="00111B89"/>
    <w:rsid w:val="0011209F"/>
    <w:rsid w:val="001130AA"/>
    <w:rsid w:val="001142E4"/>
    <w:rsid w:val="00122B3D"/>
    <w:rsid w:val="0012538E"/>
    <w:rsid w:val="0013000E"/>
    <w:rsid w:val="0013075F"/>
    <w:rsid w:val="00130FD2"/>
    <w:rsid w:val="00131E8F"/>
    <w:rsid w:val="00137FD4"/>
    <w:rsid w:val="001439EE"/>
    <w:rsid w:val="00145E27"/>
    <w:rsid w:val="00147A5E"/>
    <w:rsid w:val="00147A8E"/>
    <w:rsid w:val="00152FC8"/>
    <w:rsid w:val="0015548B"/>
    <w:rsid w:val="001615B8"/>
    <w:rsid w:val="00166C7C"/>
    <w:rsid w:val="00167A0F"/>
    <w:rsid w:val="001738F8"/>
    <w:rsid w:val="0017405D"/>
    <w:rsid w:val="00176FE7"/>
    <w:rsid w:val="001849FA"/>
    <w:rsid w:val="0018561C"/>
    <w:rsid w:val="00185B19"/>
    <w:rsid w:val="00186103"/>
    <w:rsid w:val="0018655A"/>
    <w:rsid w:val="001873C6"/>
    <w:rsid w:val="0019008E"/>
    <w:rsid w:val="00190798"/>
    <w:rsid w:val="001914CA"/>
    <w:rsid w:val="001924EE"/>
    <w:rsid w:val="00192D17"/>
    <w:rsid w:val="001931A9"/>
    <w:rsid w:val="00193628"/>
    <w:rsid w:val="00193F42"/>
    <w:rsid w:val="00195FC0"/>
    <w:rsid w:val="001964B9"/>
    <w:rsid w:val="00197D14"/>
    <w:rsid w:val="001A18E2"/>
    <w:rsid w:val="001A3263"/>
    <w:rsid w:val="001A64E8"/>
    <w:rsid w:val="001B0C57"/>
    <w:rsid w:val="001B303F"/>
    <w:rsid w:val="001B4B19"/>
    <w:rsid w:val="001D0EE0"/>
    <w:rsid w:val="001D5FC7"/>
    <w:rsid w:val="001D636F"/>
    <w:rsid w:val="001D6B55"/>
    <w:rsid w:val="001E696A"/>
    <w:rsid w:val="001F02BC"/>
    <w:rsid w:val="001F3784"/>
    <w:rsid w:val="00203D5E"/>
    <w:rsid w:val="00205849"/>
    <w:rsid w:val="002107F3"/>
    <w:rsid w:val="00212F2D"/>
    <w:rsid w:val="00213EEB"/>
    <w:rsid w:val="00214617"/>
    <w:rsid w:val="00224EE1"/>
    <w:rsid w:val="002250F0"/>
    <w:rsid w:val="0022542A"/>
    <w:rsid w:val="0023099D"/>
    <w:rsid w:val="00231C83"/>
    <w:rsid w:val="00233425"/>
    <w:rsid w:val="002335B9"/>
    <w:rsid w:val="00244422"/>
    <w:rsid w:val="00247111"/>
    <w:rsid w:val="002515A1"/>
    <w:rsid w:val="0025498D"/>
    <w:rsid w:val="00254B3D"/>
    <w:rsid w:val="00260352"/>
    <w:rsid w:val="0026452E"/>
    <w:rsid w:val="0026504C"/>
    <w:rsid w:val="00270C11"/>
    <w:rsid w:val="00273C60"/>
    <w:rsid w:val="002745E4"/>
    <w:rsid w:val="00274CE2"/>
    <w:rsid w:val="002751EC"/>
    <w:rsid w:val="002771F4"/>
    <w:rsid w:val="00280ECE"/>
    <w:rsid w:val="00284B67"/>
    <w:rsid w:val="002903E7"/>
    <w:rsid w:val="00291CC8"/>
    <w:rsid w:val="00293383"/>
    <w:rsid w:val="00296AAE"/>
    <w:rsid w:val="00296FF6"/>
    <w:rsid w:val="002A0450"/>
    <w:rsid w:val="002A0B42"/>
    <w:rsid w:val="002A0B9A"/>
    <w:rsid w:val="002A2AF1"/>
    <w:rsid w:val="002A530F"/>
    <w:rsid w:val="002A67B2"/>
    <w:rsid w:val="002B0DB8"/>
    <w:rsid w:val="002B284B"/>
    <w:rsid w:val="002B425A"/>
    <w:rsid w:val="002C0020"/>
    <w:rsid w:val="002C3834"/>
    <w:rsid w:val="002D0A86"/>
    <w:rsid w:val="002D14A6"/>
    <w:rsid w:val="002D5E59"/>
    <w:rsid w:val="002D7752"/>
    <w:rsid w:val="002E31EF"/>
    <w:rsid w:val="002E4749"/>
    <w:rsid w:val="002E4A45"/>
    <w:rsid w:val="002E50B5"/>
    <w:rsid w:val="002F1821"/>
    <w:rsid w:val="002F2636"/>
    <w:rsid w:val="002F26E7"/>
    <w:rsid w:val="002F580C"/>
    <w:rsid w:val="002F5C21"/>
    <w:rsid w:val="002F6D9F"/>
    <w:rsid w:val="002F7FC2"/>
    <w:rsid w:val="003008E0"/>
    <w:rsid w:val="00300F1B"/>
    <w:rsid w:val="003053F8"/>
    <w:rsid w:val="00305EB3"/>
    <w:rsid w:val="00307123"/>
    <w:rsid w:val="0031095B"/>
    <w:rsid w:val="00315269"/>
    <w:rsid w:val="003200B7"/>
    <w:rsid w:val="00321386"/>
    <w:rsid w:val="003213A9"/>
    <w:rsid w:val="00322C34"/>
    <w:rsid w:val="00323C63"/>
    <w:rsid w:val="00324249"/>
    <w:rsid w:val="00324FE6"/>
    <w:rsid w:val="00325685"/>
    <w:rsid w:val="00332263"/>
    <w:rsid w:val="00335CBB"/>
    <w:rsid w:val="00341BC0"/>
    <w:rsid w:val="003425F9"/>
    <w:rsid w:val="00342958"/>
    <w:rsid w:val="00343F92"/>
    <w:rsid w:val="00350C85"/>
    <w:rsid w:val="00352C8B"/>
    <w:rsid w:val="0035349F"/>
    <w:rsid w:val="00356528"/>
    <w:rsid w:val="003567EC"/>
    <w:rsid w:val="003568FB"/>
    <w:rsid w:val="0035723F"/>
    <w:rsid w:val="0036041C"/>
    <w:rsid w:val="00360E14"/>
    <w:rsid w:val="00361B48"/>
    <w:rsid w:val="00365A2F"/>
    <w:rsid w:val="00371909"/>
    <w:rsid w:val="00374BC9"/>
    <w:rsid w:val="00375BF8"/>
    <w:rsid w:val="00376A00"/>
    <w:rsid w:val="0037702F"/>
    <w:rsid w:val="0038002E"/>
    <w:rsid w:val="003840AE"/>
    <w:rsid w:val="003848C0"/>
    <w:rsid w:val="00392067"/>
    <w:rsid w:val="00393334"/>
    <w:rsid w:val="00394B40"/>
    <w:rsid w:val="00396381"/>
    <w:rsid w:val="003A05D6"/>
    <w:rsid w:val="003A109B"/>
    <w:rsid w:val="003A10FA"/>
    <w:rsid w:val="003A38D5"/>
    <w:rsid w:val="003A5278"/>
    <w:rsid w:val="003A6F89"/>
    <w:rsid w:val="003B34AA"/>
    <w:rsid w:val="003B4139"/>
    <w:rsid w:val="003B4FC5"/>
    <w:rsid w:val="003B6AB7"/>
    <w:rsid w:val="003B7FE6"/>
    <w:rsid w:val="003C0034"/>
    <w:rsid w:val="003C078C"/>
    <w:rsid w:val="003C1FBC"/>
    <w:rsid w:val="003C29FC"/>
    <w:rsid w:val="003C2ED6"/>
    <w:rsid w:val="003C4A67"/>
    <w:rsid w:val="003C605B"/>
    <w:rsid w:val="003C6A96"/>
    <w:rsid w:val="003D12C4"/>
    <w:rsid w:val="003D446D"/>
    <w:rsid w:val="003D6232"/>
    <w:rsid w:val="003D7537"/>
    <w:rsid w:val="003E2777"/>
    <w:rsid w:val="003E7846"/>
    <w:rsid w:val="003F1843"/>
    <w:rsid w:val="003F2E35"/>
    <w:rsid w:val="003F553C"/>
    <w:rsid w:val="003F6CCB"/>
    <w:rsid w:val="003F7C68"/>
    <w:rsid w:val="00404304"/>
    <w:rsid w:val="00404A19"/>
    <w:rsid w:val="004077A6"/>
    <w:rsid w:val="004120BB"/>
    <w:rsid w:val="00413FA1"/>
    <w:rsid w:val="004212C0"/>
    <w:rsid w:val="00421732"/>
    <w:rsid w:val="00422774"/>
    <w:rsid w:val="004236E6"/>
    <w:rsid w:val="004242A3"/>
    <w:rsid w:val="0042600F"/>
    <w:rsid w:val="00431326"/>
    <w:rsid w:val="004335FD"/>
    <w:rsid w:val="00434B9A"/>
    <w:rsid w:val="00442420"/>
    <w:rsid w:val="004426D3"/>
    <w:rsid w:val="00444695"/>
    <w:rsid w:val="004473A8"/>
    <w:rsid w:val="0045124D"/>
    <w:rsid w:val="00453C57"/>
    <w:rsid w:val="0045408B"/>
    <w:rsid w:val="004630AE"/>
    <w:rsid w:val="004647C1"/>
    <w:rsid w:val="00465BD2"/>
    <w:rsid w:val="00466E32"/>
    <w:rsid w:val="00471ECF"/>
    <w:rsid w:val="004735DB"/>
    <w:rsid w:val="00473F4F"/>
    <w:rsid w:val="004833AD"/>
    <w:rsid w:val="00486FDA"/>
    <w:rsid w:val="0048751D"/>
    <w:rsid w:val="00494C42"/>
    <w:rsid w:val="004A0321"/>
    <w:rsid w:val="004A0478"/>
    <w:rsid w:val="004A0E91"/>
    <w:rsid w:val="004A6C33"/>
    <w:rsid w:val="004A74CB"/>
    <w:rsid w:val="004A7C9D"/>
    <w:rsid w:val="004B04D9"/>
    <w:rsid w:val="004B217E"/>
    <w:rsid w:val="004B5A0D"/>
    <w:rsid w:val="004B74AD"/>
    <w:rsid w:val="004B79F1"/>
    <w:rsid w:val="004C0387"/>
    <w:rsid w:val="004C17CC"/>
    <w:rsid w:val="004C2EF3"/>
    <w:rsid w:val="004C519F"/>
    <w:rsid w:val="004D00DD"/>
    <w:rsid w:val="004D0B22"/>
    <w:rsid w:val="004D118F"/>
    <w:rsid w:val="004D21D8"/>
    <w:rsid w:val="004D7924"/>
    <w:rsid w:val="004E1E06"/>
    <w:rsid w:val="004E2D8E"/>
    <w:rsid w:val="004E6D80"/>
    <w:rsid w:val="004E734A"/>
    <w:rsid w:val="004F0844"/>
    <w:rsid w:val="004F224B"/>
    <w:rsid w:val="004F7403"/>
    <w:rsid w:val="004F76A4"/>
    <w:rsid w:val="00500E88"/>
    <w:rsid w:val="00504F86"/>
    <w:rsid w:val="00512C2F"/>
    <w:rsid w:val="00515C29"/>
    <w:rsid w:val="00520708"/>
    <w:rsid w:val="00524A48"/>
    <w:rsid w:val="00525F03"/>
    <w:rsid w:val="00527A48"/>
    <w:rsid w:val="00527E2F"/>
    <w:rsid w:val="0053636F"/>
    <w:rsid w:val="005407CA"/>
    <w:rsid w:val="00541780"/>
    <w:rsid w:val="005421D1"/>
    <w:rsid w:val="0054460C"/>
    <w:rsid w:val="005477A1"/>
    <w:rsid w:val="00550E08"/>
    <w:rsid w:val="00552092"/>
    <w:rsid w:val="00554549"/>
    <w:rsid w:val="00557435"/>
    <w:rsid w:val="00560716"/>
    <w:rsid w:val="00560E8B"/>
    <w:rsid w:val="00562F35"/>
    <w:rsid w:val="00564CFC"/>
    <w:rsid w:val="00564F26"/>
    <w:rsid w:val="005707B3"/>
    <w:rsid w:val="00570BBC"/>
    <w:rsid w:val="005767F2"/>
    <w:rsid w:val="0058475F"/>
    <w:rsid w:val="00585C43"/>
    <w:rsid w:val="00585CDE"/>
    <w:rsid w:val="005902BD"/>
    <w:rsid w:val="005956D4"/>
    <w:rsid w:val="00595BC9"/>
    <w:rsid w:val="005A0F14"/>
    <w:rsid w:val="005A7B09"/>
    <w:rsid w:val="005A7CC1"/>
    <w:rsid w:val="005B1A8D"/>
    <w:rsid w:val="005B2BE7"/>
    <w:rsid w:val="005B4B9B"/>
    <w:rsid w:val="005B6FDB"/>
    <w:rsid w:val="005C0CD4"/>
    <w:rsid w:val="005C5A2F"/>
    <w:rsid w:val="005C729B"/>
    <w:rsid w:val="005D2DDE"/>
    <w:rsid w:val="005D505E"/>
    <w:rsid w:val="005E008C"/>
    <w:rsid w:val="005E0D3C"/>
    <w:rsid w:val="005E67AF"/>
    <w:rsid w:val="005E7E4C"/>
    <w:rsid w:val="005F4429"/>
    <w:rsid w:val="005F5BC3"/>
    <w:rsid w:val="005F6EF0"/>
    <w:rsid w:val="005F74B8"/>
    <w:rsid w:val="00601947"/>
    <w:rsid w:val="00602C51"/>
    <w:rsid w:val="00606EF1"/>
    <w:rsid w:val="00610B8F"/>
    <w:rsid w:val="0061328E"/>
    <w:rsid w:val="00615C97"/>
    <w:rsid w:val="0061784A"/>
    <w:rsid w:val="006232A7"/>
    <w:rsid w:val="006259DE"/>
    <w:rsid w:val="00625F22"/>
    <w:rsid w:val="00625F32"/>
    <w:rsid w:val="00627131"/>
    <w:rsid w:val="00631F7C"/>
    <w:rsid w:val="00633DFD"/>
    <w:rsid w:val="006340C3"/>
    <w:rsid w:val="00636EB7"/>
    <w:rsid w:val="0064198B"/>
    <w:rsid w:val="0064217F"/>
    <w:rsid w:val="006440FB"/>
    <w:rsid w:val="00647F0C"/>
    <w:rsid w:val="00654FC6"/>
    <w:rsid w:val="00656627"/>
    <w:rsid w:val="0066284C"/>
    <w:rsid w:val="00662D99"/>
    <w:rsid w:val="00672743"/>
    <w:rsid w:val="006750D4"/>
    <w:rsid w:val="00680FEF"/>
    <w:rsid w:val="00684280"/>
    <w:rsid w:val="006858C7"/>
    <w:rsid w:val="006861F5"/>
    <w:rsid w:val="00690E1F"/>
    <w:rsid w:val="00695945"/>
    <w:rsid w:val="006A1973"/>
    <w:rsid w:val="006A3153"/>
    <w:rsid w:val="006A32D2"/>
    <w:rsid w:val="006A3691"/>
    <w:rsid w:val="006A430B"/>
    <w:rsid w:val="006A4392"/>
    <w:rsid w:val="006A7995"/>
    <w:rsid w:val="006B0C00"/>
    <w:rsid w:val="006B255C"/>
    <w:rsid w:val="006B3690"/>
    <w:rsid w:val="006B6831"/>
    <w:rsid w:val="006C16C7"/>
    <w:rsid w:val="006C431E"/>
    <w:rsid w:val="006C7C7F"/>
    <w:rsid w:val="006E4B3A"/>
    <w:rsid w:val="006E78B6"/>
    <w:rsid w:val="006E7E9D"/>
    <w:rsid w:val="006F1A0B"/>
    <w:rsid w:val="006F236E"/>
    <w:rsid w:val="006F3089"/>
    <w:rsid w:val="006F748D"/>
    <w:rsid w:val="006F7986"/>
    <w:rsid w:val="007059D5"/>
    <w:rsid w:val="0070767F"/>
    <w:rsid w:val="007103CB"/>
    <w:rsid w:val="007109CA"/>
    <w:rsid w:val="0071121F"/>
    <w:rsid w:val="007125FD"/>
    <w:rsid w:val="00713152"/>
    <w:rsid w:val="0071702F"/>
    <w:rsid w:val="0072212B"/>
    <w:rsid w:val="00723017"/>
    <w:rsid w:val="00725AF1"/>
    <w:rsid w:val="0072720B"/>
    <w:rsid w:val="00727DEC"/>
    <w:rsid w:val="00732061"/>
    <w:rsid w:val="00735EBF"/>
    <w:rsid w:val="00737398"/>
    <w:rsid w:val="00740D8D"/>
    <w:rsid w:val="00741096"/>
    <w:rsid w:val="007446E4"/>
    <w:rsid w:val="00744D6F"/>
    <w:rsid w:val="0074638E"/>
    <w:rsid w:val="00747486"/>
    <w:rsid w:val="00750384"/>
    <w:rsid w:val="0075110E"/>
    <w:rsid w:val="007513B9"/>
    <w:rsid w:val="00752614"/>
    <w:rsid w:val="00752C94"/>
    <w:rsid w:val="00754BCB"/>
    <w:rsid w:val="007606E3"/>
    <w:rsid w:val="00763720"/>
    <w:rsid w:val="007655A8"/>
    <w:rsid w:val="00770DCF"/>
    <w:rsid w:val="00771998"/>
    <w:rsid w:val="00773054"/>
    <w:rsid w:val="00774BF9"/>
    <w:rsid w:val="0077612D"/>
    <w:rsid w:val="00776CFF"/>
    <w:rsid w:val="00776D4B"/>
    <w:rsid w:val="00777850"/>
    <w:rsid w:val="0078114D"/>
    <w:rsid w:val="00782ED2"/>
    <w:rsid w:val="00785B77"/>
    <w:rsid w:val="00786875"/>
    <w:rsid w:val="00791ACF"/>
    <w:rsid w:val="007921F0"/>
    <w:rsid w:val="00793A27"/>
    <w:rsid w:val="007B3075"/>
    <w:rsid w:val="007B4926"/>
    <w:rsid w:val="007C49CC"/>
    <w:rsid w:val="007C5D36"/>
    <w:rsid w:val="007D032B"/>
    <w:rsid w:val="007D3CEF"/>
    <w:rsid w:val="007D4309"/>
    <w:rsid w:val="007D6CDF"/>
    <w:rsid w:val="007E1C48"/>
    <w:rsid w:val="007E20EF"/>
    <w:rsid w:val="007E2121"/>
    <w:rsid w:val="007E3C26"/>
    <w:rsid w:val="007F03FC"/>
    <w:rsid w:val="007F0B44"/>
    <w:rsid w:val="007F3EFA"/>
    <w:rsid w:val="008027B3"/>
    <w:rsid w:val="00802811"/>
    <w:rsid w:val="008037B7"/>
    <w:rsid w:val="008076C8"/>
    <w:rsid w:val="008105C7"/>
    <w:rsid w:val="00811F1E"/>
    <w:rsid w:val="0081285B"/>
    <w:rsid w:val="00813904"/>
    <w:rsid w:val="00820350"/>
    <w:rsid w:val="00823E9B"/>
    <w:rsid w:val="00824E8C"/>
    <w:rsid w:val="00825275"/>
    <w:rsid w:val="00827A7E"/>
    <w:rsid w:val="00830136"/>
    <w:rsid w:val="008309E9"/>
    <w:rsid w:val="00831F3E"/>
    <w:rsid w:val="00831F98"/>
    <w:rsid w:val="00832D2F"/>
    <w:rsid w:val="00835E3C"/>
    <w:rsid w:val="0083678D"/>
    <w:rsid w:val="008370C3"/>
    <w:rsid w:val="00837C2B"/>
    <w:rsid w:val="00840F7F"/>
    <w:rsid w:val="00841648"/>
    <w:rsid w:val="00845629"/>
    <w:rsid w:val="00847044"/>
    <w:rsid w:val="00852B38"/>
    <w:rsid w:val="008547A7"/>
    <w:rsid w:val="00855193"/>
    <w:rsid w:val="0085674A"/>
    <w:rsid w:val="00856E1C"/>
    <w:rsid w:val="008603F6"/>
    <w:rsid w:val="00862597"/>
    <w:rsid w:val="00864856"/>
    <w:rsid w:val="00865577"/>
    <w:rsid w:val="00866CEA"/>
    <w:rsid w:val="008676A7"/>
    <w:rsid w:val="008702F8"/>
    <w:rsid w:val="008711C1"/>
    <w:rsid w:val="008719A2"/>
    <w:rsid w:val="00880DDA"/>
    <w:rsid w:val="0088130D"/>
    <w:rsid w:val="008815A0"/>
    <w:rsid w:val="008819CB"/>
    <w:rsid w:val="0089107D"/>
    <w:rsid w:val="008A3135"/>
    <w:rsid w:val="008A4C2F"/>
    <w:rsid w:val="008A5898"/>
    <w:rsid w:val="008B0CA1"/>
    <w:rsid w:val="008B1364"/>
    <w:rsid w:val="008B2C98"/>
    <w:rsid w:val="008B3522"/>
    <w:rsid w:val="008B585B"/>
    <w:rsid w:val="008C3DDA"/>
    <w:rsid w:val="008C446C"/>
    <w:rsid w:val="008C5EBD"/>
    <w:rsid w:val="008C7293"/>
    <w:rsid w:val="008C74FA"/>
    <w:rsid w:val="008C79C6"/>
    <w:rsid w:val="008C7F95"/>
    <w:rsid w:val="008D04F4"/>
    <w:rsid w:val="008D4F15"/>
    <w:rsid w:val="008D6E06"/>
    <w:rsid w:val="008E7C9A"/>
    <w:rsid w:val="008F1761"/>
    <w:rsid w:val="008F25DC"/>
    <w:rsid w:val="008F3135"/>
    <w:rsid w:val="008F44CD"/>
    <w:rsid w:val="008F713B"/>
    <w:rsid w:val="008F7BE8"/>
    <w:rsid w:val="00901916"/>
    <w:rsid w:val="0090330A"/>
    <w:rsid w:val="00907322"/>
    <w:rsid w:val="009136BA"/>
    <w:rsid w:val="00916977"/>
    <w:rsid w:val="00923C58"/>
    <w:rsid w:val="009267B8"/>
    <w:rsid w:val="0092750C"/>
    <w:rsid w:val="00934057"/>
    <w:rsid w:val="00936E8C"/>
    <w:rsid w:val="00943EE4"/>
    <w:rsid w:val="00944F86"/>
    <w:rsid w:val="00954160"/>
    <w:rsid w:val="009548ED"/>
    <w:rsid w:val="00954FD0"/>
    <w:rsid w:val="0095658F"/>
    <w:rsid w:val="00960EA9"/>
    <w:rsid w:val="00961EE2"/>
    <w:rsid w:val="009623D3"/>
    <w:rsid w:val="0096432D"/>
    <w:rsid w:val="0097346A"/>
    <w:rsid w:val="00973546"/>
    <w:rsid w:val="00977215"/>
    <w:rsid w:val="00977679"/>
    <w:rsid w:val="00981528"/>
    <w:rsid w:val="00986065"/>
    <w:rsid w:val="00993A99"/>
    <w:rsid w:val="0099609C"/>
    <w:rsid w:val="009A42F5"/>
    <w:rsid w:val="009A44C7"/>
    <w:rsid w:val="009B0C6A"/>
    <w:rsid w:val="009B39CA"/>
    <w:rsid w:val="009B4A76"/>
    <w:rsid w:val="009B77FB"/>
    <w:rsid w:val="009C7EFE"/>
    <w:rsid w:val="009D0696"/>
    <w:rsid w:val="009D2313"/>
    <w:rsid w:val="009D3229"/>
    <w:rsid w:val="009D482C"/>
    <w:rsid w:val="009D61AD"/>
    <w:rsid w:val="009E608A"/>
    <w:rsid w:val="009E7102"/>
    <w:rsid w:val="009F52DE"/>
    <w:rsid w:val="009F575A"/>
    <w:rsid w:val="009F5854"/>
    <w:rsid w:val="009F70AF"/>
    <w:rsid w:val="00A01E2C"/>
    <w:rsid w:val="00A0224A"/>
    <w:rsid w:val="00A02A23"/>
    <w:rsid w:val="00A03933"/>
    <w:rsid w:val="00A0491F"/>
    <w:rsid w:val="00A06665"/>
    <w:rsid w:val="00A12BB7"/>
    <w:rsid w:val="00A13279"/>
    <w:rsid w:val="00A15426"/>
    <w:rsid w:val="00A16D04"/>
    <w:rsid w:val="00A22E01"/>
    <w:rsid w:val="00A22F57"/>
    <w:rsid w:val="00A24482"/>
    <w:rsid w:val="00A2565A"/>
    <w:rsid w:val="00A2576C"/>
    <w:rsid w:val="00A26A2C"/>
    <w:rsid w:val="00A306EF"/>
    <w:rsid w:val="00A30718"/>
    <w:rsid w:val="00A30C2D"/>
    <w:rsid w:val="00A3148C"/>
    <w:rsid w:val="00A3322E"/>
    <w:rsid w:val="00A341EF"/>
    <w:rsid w:val="00A36453"/>
    <w:rsid w:val="00A40F9B"/>
    <w:rsid w:val="00A441BC"/>
    <w:rsid w:val="00A46192"/>
    <w:rsid w:val="00A47B23"/>
    <w:rsid w:val="00A5296A"/>
    <w:rsid w:val="00A63A7D"/>
    <w:rsid w:val="00A64F82"/>
    <w:rsid w:val="00A654E9"/>
    <w:rsid w:val="00A71845"/>
    <w:rsid w:val="00A71A00"/>
    <w:rsid w:val="00A73137"/>
    <w:rsid w:val="00A738B9"/>
    <w:rsid w:val="00A74BE1"/>
    <w:rsid w:val="00A74ECC"/>
    <w:rsid w:val="00A75E00"/>
    <w:rsid w:val="00A7704A"/>
    <w:rsid w:val="00A77659"/>
    <w:rsid w:val="00A82304"/>
    <w:rsid w:val="00A9249F"/>
    <w:rsid w:val="00A92CC9"/>
    <w:rsid w:val="00A97436"/>
    <w:rsid w:val="00AA22E4"/>
    <w:rsid w:val="00AA305B"/>
    <w:rsid w:val="00AA3E70"/>
    <w:rsid w:val="00AB2DFC"/>
    <w:rsid w:val="00AB422C"/>
    <w:rsid w:val="00AB4FE1"/>
    <w:rsid w:val="00AB5683"/>
    <w:rsid w:val="00AC1718"/>
    <w:rsid w:val="00AD114F"/>
    <w:rsid w:val="00AD11C5"/>
    <w:rsid w:val="00AD3C32"/>
    <w:rsid w:val="00AD6766"/>
    <w:rsid w:val="00AD6D2E"/>
    <w:rsid w:val="00AD7877"/>
    <w:rsid w:val="00AE4D45"/>
    <w:rsid w:val="00AF11B0"/>
    <w:rsid w:val="00AF24D9"/>
    <w:rsid w:val="00AF2793"/>
    <w:rsid w:val="00AF52E0"/>
    <w:rsid w:val="00AF5307"/>
    <w:rsid w:val="00B06235"/>
    <w:rsid w:val="00B077CC"/>
    <w:rsid w:val="00B110CE"/>
    <w:rsid w:val="00B119D4"/>
    <w:rsid w:val="00B12888"/>
    <w:rsid w:val="00B132FE"/>
    <w:rsid w:val="00B136CE"/>
    <w:rsid w:val="00B137E6"/>
    <w:rsid w:val="00B13F9A"/>
    <w:rsid w:val="00B149BC"/>
    <w:rsid w:val="00B15B65"/>
    <w:rsid w:val="00B1760F"/>
    <w:rsid w:val="00B205F4"/>
    <w:rsid w:val="00B3237C"/>
    <w:rsid w:val="00B370B7"/>
    <w:rsid w:val="00B37653"/>
    <w:rsid w:val="00B4286B"/>
    <w:rsid w:val="00B44AF2"/>
    <w:rsid w:val="00B46813"/>
    <w:rsid w:val="00B512FA"/>
    <w:rsid w:val="00B6028F"/>
    <w:rsid w:val="00B614D3"/>
    <w:rsid w:val="00B64BD6"/>
    <w:rsid w:val="00B66C00"/>
    <w:rsid w:val="00B67658"/>
    <w:rsid w:val="00B70E85"/>
    <w:rsid w:val="00B74CD7"/>
    <w:rsid w:val="00B7514A"/>
    <w:rsid w:val="00B75863"/>
    <w:rsid w:val="00B776FC"/>
    <w:rsid w:val="00B816E3"/>
    <w:rsid w:val="00B837A7"/>
    <w:rsid w:val="00B8577F"/>
    <w:rsid w:val="00B86C7F"/>
    <w:rsid w:val="00B87580"/>
    <w:rsid w:val="00B92666"/>
    <w:rsid w:val="00B939FF"/>
    <w:rsid w:val="00BA144D"/>
    <w:rsid w:val="00BA409E"/>
    <w:rsid w:val="00BB325B"/>
    <w:rsid w:val="00BB5613"/>
    <w:rsid w:val="00BB5F82"/>
    <w:rsid w:val="00BB7656"/>
    <w:rsid w:val="00BC29E8"/>
    <w:rsid w:val="00BC70E4"/>
    <w:rsid w:val="00BD2BD6"/>
    <w:rsid w:val="00BD3413"/>
    <w:rsid w:val="00BD524D"/>
    <w:rsid w:val="00BE2942"/>
    <w:rsid w:val="00BE3797"/>
    <w:rsid w:val="00BE46C3"/>
    <w:rsid w:val="00BE5D62"/>
    <w:rsid w:val="00BF247A"/>
    <w:rsid w:val="00BF636A"/>
    <w:rsid w:val="00BF6F8E"/>
    <w:rsid w:val="00BF77BC"/>
    <w:rsid w:val="00C02611"/>
    <w:rsid w:val="00C034E4"/>
    <w:rsid w:val="00C11FB2"/>
    <w:rsid w:val="00C14532"/>
    <w:rsid w:val="00C14DF2"/>
    <w:rsid w:val="00C1656A"/>
    <w:rsid w:val="00C16D65"/>
    <w:rsid w:val="00C20055"/>
    <w:rsid w:val="00C23A69"/>
    <w:rsid w:val="00C26B68"/>
    <w:rsid w:val="00C272FA"/>
    <w:rsid w:val="00C31D15"/>
    <w:rsid w:val="00C359E1"/>
    <w:rsid w:val="00C4271F"/>
    <w:rsid w:val="00C42EEF"/>
    <w:rsid w:val="00C43BB6"/>
    <w:rsid w:val="00C45C43"/>
    <w:rsid w:val="00C4772B"/>
    <w:rsid w:val="00C5018E"/>
    <w:rsid w:val="00C5117B"/>
    <w:rsid w:val="00C5177A"/>
    <w:rsid w:val="00C555F4"/>
    <w:rsid w:val="00C56CA1"/>
    <w:rsid w:val="00C603BB"/>
    <w:rsid w:val="00C65907"/>
    <w:rsid w:val="00C673CB"/>
    <w:rsid w:val="00C72861"/>
    <w:rsid w:val="00C73052"/>
    <w:rsid w:val="00C737D2"/>
    <w:rsid w:val="00C7641C"/>
    <w:rsid w:val="00C829D3"/>
    <w:rsid w:val="00C83381"/>
    <w:rsid w:val="00C837EB"/>
    <w:rsid w:val="00C87489"/>
    <w:rsid w:val="00C933AA"/>
    <w:rsid w:val="00C953A6"/>
    <w:rsid w:val="00CA19C4"/>
    <w:rsid w:val="00CA52B2"/>
    <w:rsid w:val="00CA70A3"/>
    <w:rsid w:val="00CB0053"/>
    <w:rsid w:val="00CB249D"/>
    <w:rsid w:val="00CB2712"/>
    <w:rsid w:val="00CB3ECC"/>
    <w:rsid w:val="00CC03B9"/>
    <w:rsid w:val="00CC79F3"/>
    <w:rsid w:val="00CD311D"/>
    <w:rsid w:val="00CD482E"/>
    <w:rsid w:val="00CD5EE3"/>
    <w:rsid w:val="00CD60D1"/>
    <w:rsid w:val="00CE16A8"/>
    <w:rsid w:val="00CE22A3"/>
    <w:rsid w:val="00CE2B3D"/>
    <w:rsid w:val="00CE33A4"/>
    <w:rsid w:val="00CE5208"/>
    <w:rsid w:val="00CE7926"/>
    <w:rsid w:val="00CF230B"/>
    <w:rsid w:val="00CF55D7"/>
    <w:rsid w:val="00D0137D"/>
    <w:rsid w:val="00D0534B"/>
    <w:rsid w:val="00D06C26"/>
    <w:rsid w:val="00D100B4"/>
    <w:rsid w:val="00D14584"/>
    <w:rsid w:val="00D15769"/>
    <w:rsid w:val="00D20045"/>
    <w:rsid w:val="00D208AC"/>
    <w:rsid w:val="00D22354"/>
    <w:rsid w:val="00D22B1C"/>
    <w:rsid w:val="00D23A44"/>
    <w:rsid w:val="00D25689"/>
    <w:rsid w:val="00D26D0D"/>
    <w:rsid w:val="00D27468"/>
    <w:rsid w:val="00D300B6"/>
    <w:rsid w:val="00D31A10"/>
    <w:rsid w:val="00D31A62"/>
    <w:rsid w:val="00D32B52"/>
    <w:rsid w:val="00D33BCE"/>
    <w:rsid w:val="00D33D56"/>
    <w:rsid w:val="00D34D68"/>
    <w:rsid w:val="00D410B4"/>
    <w:rsid w:val="00D415C9"/>
    <w:rsid w:val="00D42C0D"/>
    <w:rsid w:val="00D432EA"/>
    <w:rsid w:val="00D46B1F"/>
    <w:rsid w:val="00D4722B"/>
    <w:rsid w:val="00D52C48"/>
    <w:rsid w:val="00D5355E"/>
    <w:rsid w:val="00D54AC9"/>
    <w:rsid w:val="00D55A2B"/>
    <w:rsid w:val="00D564B4"/>
    <w:rsid w:val="00D57B41"/>
    <w:rsid w:val="00D60031"/>
    <w:rsid w:val="00D62E6F"/>
    <w:rsid w:val="00D63418"/>
    <w:rsid w:val="00D63D3E"/>
    <w:rsid w:val="00D643B2"/>
    <w:rsid w:val="00D67AE2"/>
    <w:rsid w:val="00D72BF0"/>
    <w:rsid w:val="00D76D35"/>
    <w:rsid w:val="00D7753E"/>
    <w:rsid w:val="00D77EE2"/>
    <w:rsid w:val="00D83209"/>
    <w:rsid w:val="00D83229"/>
    <w:rsid w:val="00D83DB5"/>
    <w:rsid w:val="00D83E29"/>
    <w:rsid w:val="00D84337"/>
    <w:rsid w:val="00D85762"/>
    <w:rsid w:val="00D879B7"/>
    <w:rsid w:val="00D905D7"/>
    <w:rsid w:val="00D91CEC"/>
    <w:rsid w:val="00D93F29"/>
    <w:rsid w:val="00D9562E"/>
    <w:rsid w:val="00D95892"/>
    <w:rsid w:val="00D967B8"/>
    <w:rsid w:val="00DA09FD"/>
    <w:rsid w:val="00DA2871"/>
    <w:rsid w:val="00DA4595"/>
    <w:rsid w:val="00DA4CAB"/>
    <w:rsid w:val="00DA5B45"/>
    <w:rsid w:val="00DB059D"/>
    <w:rsid w:val="00DB2C91"/>
    <w:rsid w:val="00DC2303"/>
    <w:rsid w:val="00DC57AC"/>
    <w:rsid w:val="00DD7BB4"/>
    <w:rsid w:val="00DE1B7F"/>
    <w:rsid w:val="00DE248C"/>
    <w:rsid w:val="00DE56F8"/>
    <w:rsid w:val="00DE5E5D"/>
    <w:rsid w:val="00DE6511"/>
    <w:rsid w:val="00DE7177"/>
    <w:rsid w:val="00DF0095"/>
    <w:rsid w:val="00DF0495"/>
    <w:rsid w:val="00DF322C"/>
    <w:rsid w:val="00DF5A59"/>
    <w:rsid w:val="00DF5D55"/>
    <w:rsid w:val="00DF5EE4"/>
    <w:rsid w:val="00E0422F"/>
    <w:rsid w:val="00E05E1E"/>
    <w:rsid w:val="00E075A8"/>
    <w:rsid w:val="00E11890"/>
    <w:rsid w:val="00E118F4"/>
    <w:rsid w:val="00E11B1C"/>
    <w:rsid w:val="00E11BE5"/>
    <w:rsid w:val="00E11FF0"/>
    <w:rsid w:val="00E12B6E"/>
    <w:rsid w:val="00E20159"/>
    <w:rsid w:val="00E2198C"/>
    <w:rsid w:val="00E239E1"/>
    <w:rsid w:val="00E23AE8"/>
    <w:rsid w:val="00E27D89"/>
    <w:rsid w:val="00E364FD"/>
    <w:rsid w:val="00E36521"/>
    <w:rsid w:val="00E41F7D"/>
    <w:rsid w:val="00E4239F"/>
    <w:rsid w:val="00E42768"/>
    <w:rsid w:val="00E47D36"/>
    <w:rsid w:val="00E508D7"/>
    <w:rsid w:val="00E5096C"/>
    <w:rsid w:val="00E51A0C"/>
    <w:rsid w:val="00E54104"/>
    <w:rsid w:val="00E547D9"/>
    <w:rsid w:val="00E56C34"/>
    <w:rsid w:val="00E57801"/>
    <w:rsid w:val="00E57CF0"/>
    <w:rsid w:val="00E72223"/>
    <w:rsid w:val="00E8011A"/>
    <w:rsid w:val="00E8057B"/>
    <w:rsid w:val="00E80AD0"/>
    <w:rsid w:val="00E81C30"/>
    <w:rsid w:val="00E82C5F"/>
    <w:rsid w:val="00E8478D"/>
    <w:rsid w:val="00E862AD"/>
    <w:rsid w:val="00E863EB"/>
    <w:rsid w:val="00E86AC9"/>
    <w:rsid w:val="00E8720C"/>
    <w:rsid w:val="00E87AE9"/>
    <w:rsid w:val="00E91696"/>
    <w:rsid w:val="00E92441"/>
    <w:rsid w:val="00E9257B"/>
    <w:rsid w:val="00E959D1"/>
    <w:rsid w:val="00E95C2F"/>
    <w:rsid w:val="00EA0F85"/>
    <w:rsid w:val="00EA17E2"/>
    <w:rsid w:val="00EA2231"/>
    <w:rsid w:val="00EA23FB"/>
    <w:rsid w:val="00EA242F"/>
    <w:rsid w:val="00EB135B"/>
    <w:rsid w:val="00EB3391"/>
    <w:rsid w:val="00EB3F34"/>
    <w:rsid w:val="00EB4D46"/>
    <w:rsid w:val="00EB5F10"/>
    <w:rsid w:val="00EB63A5"/>
    <w:rsid w:val="00ED16A4"/>
    <w:rsid w:val="00ED61B5"/>
    <w:rsid w:val="00ED7890"/>
    <w:rsid w:val="00EE2FA7"/>
    <w:rsid w:val="00EE4D7D"/>
    <w:rsid w:val="00EE6528"/>
    <w:rsid w:val="00EF0795"/>
    <w:rsid w:val="00EF1219"/>
    <w:rsid w:val="00EF1A2C"/>
    <w:rsid w:val="00EF2143"/>
    <w:rsid w:val="00EF3151"/>
    <w:rsid w:val="00EF422A"/>
    <w:rsid w:val="00F014AE"/>
    <w:rsid w:val="00F024A8"/>
    <w:rsid w:val="00F027B1"/>
    <w:rsid w:val="00F03609"/>
    <w:rsid w:val="00F1129F"/>
    <w:rsid w:val="00F12139"/>
    <w:rsid w:val="00F179FA"/>
    <w:rsid w:val="00F22921"/>
    <w:rsid w:val="00F23D0A"/>
    <w:rsid w:val="00F31A55"/>
    <w:rsid w:val="00F31B1A"/>
    <w:rsid w:val="00F339CB"/>
    <w:rsid w:val="00F359F1"/>
    <w:rsid w:val="00F37ED0"/>
    <w:rsid w:val="00F4330F"/>
    <w:rsid w:val="00F4354D"/>
    <w:rsid w:val="00F45E64"/>
    <w:rsid w:val="00F47FF2"/>
    <w:rsid w:val="00F5513B"/>
    <w:rsid w:val="00F565F9"/>
    <w:rsid w:val="00F635BF"/>
    <w:rsid w:val="00F64223"/>
    <w:rsid w:val="00F66506"/>
    <w:rsid w:val="00F66EBF"/>
    <w:rsid w:val="00F66F45"/>
    <w:rsid w:val="00F6725A"/>
    <w:rsid w:val="00F7122A"/>
    <w:rsid w:val="00F71992"/>
    <w:rsid w:val="00F73828"/>
    <w:rsid w:val="00F75B2C"/>
    <w:rsid w:val="00F76415"/>
    <w:rsid w:val="00F8089B"/>
    <w:rsid w:val="00F81D08"/>
    <w:rsid w:val="00F83123"/>
    <w:rsid w:val="00F83A0C"/>
    <w:rsid w:val="00F848CF"/>
    <w:rsid w:val="00F92AF8"/>
    <w:rsid w:val="00F94A13"/>
    <w:rsid w:val="00F95F10"/>
    <w:rsid w:val="00F96BE1"/>
    <w:rsid w:val="00FA09F1"/>
    <w:rsid w:val="00FA4932"/>
    <w:rsid w:val="00FA58B6"/>
    <w:rsid w:val="00FA5F38"/>
    <w:rsid w:val="00FA78F7"/>
    <w:rsid w:val="00FB2487"/>
    <w:rsid w:val="00FC1AD8"/>
    <w:rsid w:val="00FC1EEE"/>
    <w:rsid w:val="00FC31C7"/>
    <w:rsid w:val="00FC3309"/>
    <w:rsid w:val="00FC544E"/>
    <w:rsid w:val="00FD1D9A"/>
    <w:rsid w:val="00FD4FD9"/>
    <w:rsid w:val="00FD5922"/>
    <w:rsid w:val="00FE2ACA"/>
    <w:rsid w:val="00FE4BAE"/>
    <w:rsid w:val="00FF4AEF"/>
    <w:rsid w:val="00FF4B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3BC5401"/>
  <w15:docId w15:val="{6B0BCF66-531A-4866-AC3A-B027F0F6C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78F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A1327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1E696A"/>
    <w:pPr>
      <w:spacing w:before="360" w:after="120"/>
      <w:jc w:val="center"/>
      <w:outlineLvl w:val="1"/>
    </w:pPr>
    <w:rPr>
      <w:rFonts w:eastAsiaTheme="minorHAnsi" w:cstheme="minorBidi"/>
      <w:b/>
      <w:sz w:val="28"/>
      <w:szCs w:val="28"/>
    </w:rPr>
  </w:style>
  <w:style w:type="paragraph" w:styleId="Heading3">
    <w:name w:val="heading 3"/>
    <w:basedOn w:val="Normal"/>
    <w:next w:val="Normal"/>
    <w:link w:val="Heading3Char"/>
    <w:uiPriority w:val="9"/>
    <w:semiHidden/>
    <w:unhideWhenUsed/>
    <w:qFormat/>
    <w:rsid w:val="00A13279"/>
    <w:pPr>
      <w:keepNext/>
      <w:keepLines/>
      <w:spacing w:before="40"/>
      <w:outlineLvl w:val="2"/>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D22B1C"/>
    <w:pPr>
      <w:keepNext/>
      <w:spacing w:before="240"/>
      <w:ind w:right="91"/>
      <w:outlineLvl w:val="5"/>
    </w:pPr>
    <w:rPr>
      <w:szCs w:val="20"/>
      <w:u w:val="single"/>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D22B1C"/>
    <w:rPr>
      <w:rFonts w:ascii="Times New Roman" w:eastAsia="Times New Roman" w:hAnsi="Times New Roman" w:cs="Times New Roman"/>
      <w:sz w:val="24"/>
      <w:szCs w:val="20"/>
      <w:u w:val="single"/>
      <w:lang w:eastAsia="en-AU"/>
    </w:rPr>
  </w:style>
  <w:style w:type="character" w:customStyle="1" w:styleId="AppendixCharChar">
    <w:name w:val="Appendix Char Char"/>
    <w:link w:val="Appendix"/>
    <w:locked/>
    <w:rsid w:val="00D22B1C"/>
    <w:rPr>
      <w:b/>
      <w:sz w:val="24"/>
    </w:rPr>
  </w:style>
  <w:style w:type="paragraph" w:customStyle="1" w:styleId="Appendix">
    <w:name w:val="Appendix"/>
    <w:basedOn w:val="Normal"/>
    <w:link w:val="AppendixCharChar"/>
    <w:rsid w:val="00D22B1C"/>
    <w:pPr>
      <w:jc w:val="right"/>
    </w:pPr>
    <w:rPr>
      <w:rFonts w:asciiTheme="minorHAnsi" w:eastAsiaTheme="minorHAnsi" w:hAnsiTheme="minorHAnsi" w:cstheme="minorBidi"/>
      <w:b/>
      <w:szCs w:val="22"/>
    </w:rPr>
  </w:style>
  <w:style w:type="paragraph" w:customStyle="1" w:styleId="HB-dotpoint">
    <w:name w:val="HB - dotpoint"/>
    <w:basedOn w:val="Normal"/>
    <w:rsid w:val="00D22B1C"/>
    <w:pPr>
      <w:numPr>
        <w:numId w:val="1"/>
      </w:numPr>
      <w:spacing w:before="180"/>
    </w:pPr>
    <w:rPr>
      <w:szCs w:val="20"/>
      <w:lang w:eastAsia="en-AU"/>
    </w:rPr>
  </w:style>
  <w:style w:type="paragraph" w:styleId="ListParagraph">
    <w:name w:val="List Paragraph"/>
    <w:aliases w:val="Bulit List -  Paragraph,Bulleted Para,Bullets,CV text,DDM Gen Text,Dot pt,F5 List Paragraph,L,List 1,List Paragrap,List Paragraph1,List Paragraph11,List Paragraph111,NFP GP Bulleted List,Numbered paragraph,Recommendation,bullet point list"/>
    <w:basedOn w:val="Normal"/>
    <w:link w:val="ListParagraphChar"/>
    <w:uiPriority w:val="34"/>
    <w:qFormat/>
    <w:rsid w:val="004E6D80"/>
    <w:pPr>
      <w:spacing w:after="160" w:line="259"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D15769"/>
    <w:pPr>
      <w:tabs>
        <w:tab w:val="center" w:pos="4513"/>
        <w:tab w:val="right" w:pos="9026"/>
      </w:tabs>
    </w:pPr>
  </w:style>
  <w:style w:type="character" w:customStyle="1" w:styleId="HeaderChar">
    <w:name w:val="Header Char"/>
    <w:basedOn w:val="DefaultParagraphFont"/>
    <w:link w:val="Header"/>
    <w:uiPriority w:val="99"/>
    <w:rsid w:val="00D157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15769"/>
    <w:pPr>
      <w:tabs>
        <w:tab w:val="center" w:pos="4513"/>
        <w:tab w:val="right" w:pos="9026"/>
      </w:tabs>
    </w:pPr>
  </w:style>
  <w:style w:type="character" w:customStyle="1" w:styleId="FooterChar">
    <w:name w:val="Footer Char"/>
    <w:basedOn w:val="DefaultParagraphFont"/>
    <w:link w:val="Footer"/>
    <w:uiPriority w:val="99"/>
    <w:rsid w:val="00D157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441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41BC"/>
    <w:rPr>
      <w:rFonts w:ascii="Segoe UI" w:eastAsia="Times New Roman" w:hAnsi="Segoe UI" w:cs="Segoe UI"/>
      <w:sz w:val="18"/>
      <w:szCs w:val="18"/>
    </w:rPr>
  </w:style>
  <w:style w:type="paragraph" w:customStyle="1" w:styleId="BulletDot">
    <w:name w:val="Bullet Dot"/>
    <w:basedOn w:val="Normal"/>
    <w:link w:val="BulletDotChar"/>
    <w:qFormat/>
    <w:rsid w:val="001130AA"/>
    <w:pPr>
      <w:numPr>
        <w:numId w:val="6"/>
      </w:numPr>
      <w:suppressAutoHyphens/>
      <w:autoSpaceDE w:val="0"/>
      <w:autoSpaceDN w:val="0"/>
      <w:adjustRightInd w:val="0"/>
      <w:spacing w:after="50" w:line="280" w:lineRule="atLeast"/>
      <w:textAlignment w:val="center"/>
    </w:pPr>
    <w:rPr>
      <w:rFonts w:eastAsiaTheme="minorHAnsi" w:cs="FranklinGothic-Book"/>
      <w:color w:val="000000"/>
      <w:szCs w:val="22"/>
    </w:rPr>
  </w:style>
  <w:style w:type="character" w:customStyle="1" w:styleId="BulletDotChar">
    <w:name w:val="Bullet Dot Char"/>
    <w:basedOn w:val="DefaultParagraphFont"/>
    <w:link w:val="BulletDot"/>
    <w:rsid w:val="001130AA"/>
    <w:rPr>
      <w:rFonts w:ascii="Times New Roman" w:hAnsi="Times New Roman" w:cs="FranklinGothic-Book"/>
      <w:color w:val="000000"/>
      <w:sz w:val="24"/>
    </w:rPr>
  </w:style>
  <w:style w:type="paragraph" w:styleId="ListNumber">
    <w:name w:val="List Number"/>
    <w:basedOn w:val="Normal"/>
    <w:autoRedefine/>
    <w:uiPriority w:val="99"/>
    <w:semiHidden/>
    <w:unhideWhenUsed/>
    <w:qFormat/>
    <w:rsid w:val="00B92666"/>
    <w:pPr>
      <w:numPr>
        <w:numId w:val="7"/>
      </w:numPr>
      <w:spacing w:after="200"/>
    </w:pPr>
    <w:rPr>
      <w:rFonts w:eastAsia="Calibri"/>
      <w:b/>
    </w:rPr>
  </w:style>
  <w:style w:type="character" w:styleId="CommentReference">
    <w:name w:val="annotation reference"/>
    <w:basedOn w:val="DefaultParagraphFont"/>
    <w:semiHidden/>
    <w:unhideWhenUsed/>
    <w:rsid w:val="003C6A96"/>
    <w:rPr>
      <w:sz w:val="16"/>
      <w:szCs w:val="16"/>
    </w:rPr>
  </w:style>
  <w:style w:type="paragraph" w:styleId="CommentText">
    <w:name w:val="annotation text"/>
    <w:basedOn w:val="Normal"/>
    <w:link w:val="CommentTextChar"/>
    <w:uiPriority w:val="99"/>
    <w:unhideWhenUsed/>
    <w:rsid w:val="003C6A96"/>
    <w:rPr>
      <w:sz w:val="20"/>
      <w:szCs w:val="20"/>
    </w:rPr>
  </w:style>
  <w:style w:type="character" w:customStyle="1" w:styleId="CommentTextChar">
    <w:name w:val="Comment Text Char"/>
    <w:basedOn w:val="DefaultParagraphFont"/>
    <w:link w:val="CommentText"/>
    <w:uiPriority w:val="99"/>
    <w:rsid w:val="003C6A9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C6A96"/>
    <w:rPr>
      <w:b/>
      <w:bCs/>
    </w:rPr>
  </w:style>
  <w:style w:type="character" w:customStyle="1" w:styleId="CommentSubjectChar">
    <w:name w:val="Comment Subject Char"/>
    <w:basedOn w:val="CommentTextChar"/>
    <w:link w:val="CommentSubject"/>
    <w:uiPriority w:val="99"/>
    <w:semiHidden/>
    <w:rsid w:val="003C6A96"/>
    <w:rPr>
      <w:rFonts w:ascii="Times New Roman" w:eastAsia="Times New Roman" w:hAnsi="Times New Roman" w:cs="Times New Roman"/>
      <w:b/>
      <w:bCs/>
      <w:sz w:val="20"/>
      <w:szCs w:val="20"/>
    </w:rPr>
  </w:style>
  <w:style w:type="paragraph" w:customStyle="1" w:styleId="TableText">
    <w:name w:val="TableText"/>
    <w:basedOn w:val="Normal"/>
    <w:qFormat/>
    <w:rsid w:val="00122B3D"/>
    <w:pPr>
      <w:spacing w:before="120" w:after="120"/>
    </w:pPr>
    <w:rPr>
      <w:rFonts w:ascii="Century Gothic" w:eastAsiaTheme="majorEastAsia" w:hAnsi="Century Gothic" w:cs="Arial"/>
      <w:bCs/>
      <w:sz w:val="20"/>
      <w:szCs w:val="20"/>
    </w:rPr>
  </w:style>
  <w:style w:type="paragraph" w:styleId="Revision">
    <w:name w:val="Revision"/>
    <w:hidden/>
    <w:uiPriority w:val="99"/>
    <w:semiHidden/>
    <w:rsid w:val="00076B8F"/>
    <w:pPr>
      <w:spacing w:after="0"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1E696A"/>
    <w:rPr>
      <w:rFonts w:ascii="Times New Roman" w:hAnsi="Times New Roman"/>
      <w:b/>
      <w:sz w:val="28"/>
      <w:szCs w:val="28"/>
    </w:rPr>
  </w:style>
  <w:style w:type="table" w:styleId="TableGrid">
    <w:name w:val="Table Grid"/>
    <w:basedOn w:val="TableNormal"/>
    <w:uiPriority w:val="59"/>
    <w:rsid w:val="00E547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form">
    <w:name w:val="TableText form"/>
    <w:basedOn w:val="TableText"/>
    <w:qFormat/>
    <w:rsid w:val="00B119D4"/>
    <w:pPr>
      <w:spacing w:before="40" w:after="240"/>
    </w:pPr>
    <w:rPr>
      <w:rFonts w:ascii="Arial" w:hAnsi="Arial"/>
    </w:rPr>
  </w:style>
  <w:style w:type="character" w:customStyle="1" w:styleId="Heading1Char">
    <w:name w:val="Heading 1 Char"/>
    <w:basedOn w:val="DefaultParagraphFont"/>
    <w:link w:val="Heading1"/>
    <w:uiPriority w:val="9"/>
    <w:rsid w:val="00A13279"/>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A13279"/>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322C34"/>
    <w:pPr>
      <w:spacing w:before="100" w:beforeAutospacing="1" w:after="100" w:afterAutospacing="1"/>
    </w:pPr>
    <w:rPr>
      <w:lang w:eastAsia="en-AU"/>
    </w:rPr>
  </w:style>
  <w:style w:type="character" w:customStyle="1" w:styleId="ListParagraphChar">
    <w:name w:val="List Paragraph Char"/>
    <w:aliases w:val="Bulit List -  Paragraph Char,Bulleted Para Char,Bullets Char,CV text Char,DDM Gen Text Char,Dot pt Char,F5 List Paragraph Char,L Char,List 1 Char,List Paragrap Char,List Paragraph1 Char,List Paragraph11 Char,List Paragraph111 Char"/>
    <w:basedOn w:val="DefaultParagraphFont"/>
    <w:link w:val="ListParagraph"/>
    <w:uiPriority w:val="34"/>
    <w:qFormat/>
    <w:rsid w:val="00434B9A"/>
  </w:style>
  <w:style w:type="table" w:customStyle="1" w:styleId="TableGrid2">
    <w:name w:val="Table Grid2"/>
    <w:basedOn w:val="TableNormal"/>
    <w:next w:val="TableGrid"/>
    <w:uiPriority w:val="39"/>
    <w:rsid w:val="00073E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aliases w:val="dd"/>
    <w:basedOn w:val="Normal"/>
    <w:rsid w:val="00FA5F38"/>
    <w:pPr>
      <w:spacing w:before="180"/>
      <w:ind w:left="1134"/>
    </w:pPr>
    <w:rPr>
      <w:sz w:val="22"/>
      <w:szCs w:val="20"/>
      <w:lang w:eastAsia="en-AU"/>
    </w:rPr>
  </w:style>
  <w:style w:type="character" w:styleId="Hyperlink">
    <w:name w:val="Hyperlink"/>
    <w:basedOn w:val="DefaultParagraphFont"/>
    <w:uiPriority w:val="99"/>
    <w:semiHidden/>
    <w:unhideWhenUsed/>
    <w:rsid w:val="00713152"/>
    <w:rPr>
      <w:color w:val="0000FF"/>
      <w:u w:val="single"/>
    </w:rPr>
  </w:style>
  <w:style w:type="character" w:styleId="FollowedHyperlink">
    <w:name w:val="FollowedHyperlink"/>
    <w:basedOn w:val="DefaultParagraphFont"/>
    <w:uiPriority w:val="99"/>
    <w:semiHidden/>
    <w:unhideWhenUsed/>
    <w:rsid w:val="003213A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62483">
      <w:bodyDiv w:val="1"/>
      <w:marLeft w:val="0"/>
      <w:marRight w:val="0"/>
      <w:marTop w:val="0"/>
      <w:marBottom w:val="0"/>
      <w:divBdr>
        <w:top w:val="none" w:sz="0" w:space="0" w:color="auto"/>
        <w:left w:val="none" w:sz="0" w:space="0" w:color="auto"/>
        <w:bottom w:val="none" w:sz="0" w:space="0" w:color="auto"/>
        <w:right w:val="none" w:sz="0" w:space="0" w:color="auto"/>
      </w:divBdr>
      <w:divsChild>
        <w:div w:id="1166556057">
          <w:marLeft w:val="0"/>
          <w:marRight w:val="0"/>
          <w:marTop w:val="0"/>
          <w:marBottom w:val="0"/>
          <w:divBdr>
            <w:top w:val="none" w:sz="0" w:space="0" w:color="auto"/>
            <w:left w:val="none" w:sz="0" w:space="0" w:color="auto"/>
            <w:bottom w:val="none" w:sz="0" w:space="0" w:color="auto"/>
            <w:right w:val="none" w:sz="0" w:space="0" w:color="auto"/>
          </w:divBdr>
          <w:divsChild>
            <w:div w:id="65911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033967">
      <w:bodyDiv w:val="1"/>
      <w:marLeft w:val="0"/>
      <w:marRight w:val="0"/>
      <w:marTop w:val="0"/>
      <w:marBottom w:val="0"/>
      <w:divBdr>
        <w:top w:val="none" w:sz="0" w:space="0" w:color="auto"/>
        <w:left w:val="none" w:sz="0" w:space="0" w:color="auto"/>
        <w:bottom w:val="none" w:sz="0" w:space="0" w:color="auto"/>
        <w:right w:val="none" w:sz="0" w:space="0" w:color="auto"/>
      </w:divBdr>
    </w:div>
    <w:div w:id="372733663">
      <w:bodyDiv w:val="1"/>
      <w:marLeft w:val="0"/>
      <w:marRight w:val="0"/>
      <w:marTop w:val="0"/>
      <w:marBottom w:val="0"/>
      <w:divBdr>
        <w:top w:val="none" w:sz="0" w:space="0" w:color="auto"/>
        <w:left w:val="none" w:sz="0" w:space="0" w:color="auto"/>
        <w:bottom w:val="none" w:sz="0" w:space="0" w:color="auto"/>
        <w:right w:val="none" w:sz="0" w:space="0" w:color="auto"/>
      </w:divBdr>
    </w:div>
    <w:div w:id="560795789">
      <w:bodyDiv w:val="1"/>
      <w:marLeft w:val="0"/>
      <w:marRight w:val="0"/>
      <w:marTop w:val="0"/>
      <w:marBottom w:val="0"/>
      <w:divBdr>
        <w:top w:val="none" w:sz="0" w:space="0" w:color="auto"/>
        <w:left w:val="none" w:sz="0" w:space="0" w:color="auto"/>
        <w:bottom w:val="none" w:sz="0" w:space="0" w:color="auto"/>
        <w:right w:val="none" w:sz="0" w:space="0" w:color="auto"/>
      </w:divBdr>
    </w:div>
    <w:div w:id="582884564">
      <w:bodyDiv w:val="1"/>
      <w:marLeft w:val="0"/>
      <w:marRight w:val="0"/>
      <w:marTop w:val="0"/>
      <w:marBottom w:val="0"/>
      <w:divBdr>
        <w:top w:val="none" w:sz="0" w:space="0" w:color="auto"/>
        <w:left w:val="none" w:sz="0" w:space="0" w:color="auto"/>
        <w:bottom w:val="none" w:sz="0" w:space="0" w:color="auto"/>
        <w:right w:val="none" w:sz="0" w:space="0" w:color="auto"/>
      </w:divBdr>
    </w:div>
    <w:div w:id="598485529">
      <w:bodyDiv w:val="1"/>
      <w:marLeft w:val="0"/>
      <w:marRight w:val="0"/>
      <w:marTop w:val="0"/>
      <w:marBottom w:val="0"/>
      <w:divBdr>
        <w:top w:val="none" w:sz="0" w:space="0" w:color="auto"/>
        <w:left w:val="none" w:sz="0" w:space="0" w:color="auto"/>
        <w:bottom w:val="none" w:sz="0" w:space="0" w:color="auto"/>
        <w:right w:val="none" w:sz="0" w:space="0" w:color="auto"/>
      </w:divBdr>
    </w:div>
    <w:div w:id="687758471">
      <w:bodyDiv w:val="1"/>
      <w:marLeft w:val="0"/>
      <w:marRight w:val="0"/>
      <w:marTop w:val="0"/>
      <w:marBottom w:val="0"/>
      <w:divBdr>
        <w:top w:val="none" w:sz="0" w:space="0" w:color="auto"/>
        <w:left w:val="none" w:sz="0" w:space="0" w:color="auto"/>
        <w:bottom w:val="none" w:sz="0" w:space="0" w:color="auto"/>
        <w:right w:val="none" w:sz="0" w:space="0" w:color="auto"/>
      </w:divBdr>
    </w:div>
    <w:div w:id="736053374">
      <w:bodyDiv w:val="1"/>
      <w:marLeft w:val="0"/>
      <w:marRight w:val="0"/>
      <w:marTop w:val="0"/>
      <w:marBottom w:val="0"/>
      <w:divBdr>
        <w:top w:val="none" w:sz="0" w:space="0" w:color="auto"/>
        <w:left w:val="none" w:sz="0" w:space="0" w:color="auto"/>
        <w:bottom w:val="none" w:sz="0" w:space="0" w:color="auto"/>
        <w:right w:val="none" w:sz="0" w:space="0" w:color="auto"/>
      </w:divBdr>
    </w:div>
    <w:div w:id="794450232">
      <w:bodyDiv w:val="1"/>
      <w:marLeft w:val="0"/>
      <w:marRight w:val="0"/>
      <w:marTop w:val="0"/>
      <w:marBottom w:val="0"/>
      <w:divBdr>
        <w:top w:val="none" w:sz="0" w:space="0" w:color="auto"/>
        <w:left w:val="none" w:sz="0" w:space="0" w:color="auto"/>
        <w:bottom w:val="none" w:sz="0" w:space="0" w:color="auto"/>
        <w:right w:val="none" w:sz="0" w:space="0" w:color="auto"/>
      </w:divBdr>
    </w:div>
    <w:div w:id="812868256">
      <w:bodyDiv w:val="1"/>
      <w:marLeft w:val="0"/>
      <w:marRight w:val="0"/>
      <w:marTop w:val="0"/>
      <w:marBottom w:val="0"/>
      <w:divBdr>
        <w:top w:val="none" w:sz="0" w:space="0" w:color="auto"/>
        <w:left w:val="none" w:sz="0" w:space="0" w:color="auto"/>
        <w:bottom w:val="none" w:sz="0" w:space="0" w:color="auto"/>
        <w:right w:val="none" w:sz="0" w:space="0" w:color="auto"/>
      </w:divBdr>
    </w:div>
    <w:div w:id="918755422">
      <w:bodyDiv w:val="1"/>
      <w:marLeft w:val="0"/>
      <w:marRight w:val="0"/>
      <w:marTop w:val="0"/>
      <w:marBottom w:val="0"/>
      <w:divBdr>
        <w:top w:val="none" w:sz="0" w:space="0" w:color="auto"/>
        <w:left w:val="none" w:sz="0" w:space="0" w:color="auto"/>
        <w:bottom w:val="none" w:sz="0" w:space="0" w:color="auto"/>
        <w:right w:val="none" w:sz="0" w:space="0" w:color="auto"/>
      </w:divBdr>
      <w:divsChild>
        <w:div w:id="1977296867">
          <w:marLeft w:val="0"/>
          <w:marRight w:val="0"/>
          <w:marTop w:val="0"/>
          <w:marBottom w:val="0"/>
          <w:divBdr>
            <w:top w:val="none" w:sz="0" w:space="0" w:color="auto"/>
            <w:left w:val="none" w:sz="0" w:space="0" w:color="auto"/>
            <w:bottom w:val="none" w:sz="0" w:space="0" w:color="auto"/>
            <w:right w:val="none" w:sz="0" w:space="0" w:color="auto"/>
          </w:divBdr>
          <w:divsChild>
            <w:div w:id="1328090770">
              <w:marLeft w:val="0"/>
              <w:marRight w:val="0"/>
              <w:marTop w:val="0"/>
              <w:marBottom w:val="0"/>
              <w:divBdr>
                <w:top w:val="none" w:sz="0" w:space="0" w:color="auto"/>
                <w:left w:val="none" w:sz="0" w:space="0" w:color="auto"/>
                <w:bottom w:val="none" w:sz="0" w:space="0" w:color="auto"/>
                <w:right w:val="none" w:sz="0" w:space="0" w:color="auto"/>
              </w:divBdr>
              <w:divsChild>
                <w:div w:id="920530969">
                  <w:marLeft w:val="0"/>
                  <w:marRight w:val="0"/>
                  <w:marTop w:val="0"/>
                  <w:marBottom w:val="0"/>
                  <w:divBdr>
                    <w:top w:val="none" w:sz="0" w:space="0" w:color="auto"/>
                    <w:left w:val="none" w:sz="0" w:space="0" w:color="auto"/>
                    <w:bottom w:val="none" w:sz="0" w:space="0" w:color="auto"/>
                    <w:right w:val="none" w:sz="0" w:space="0" w:color="auto"/>
                  </w:divBdr>
                  <w:divsChild>
                    <w:div w:id="275067438">
                      <w:marLeft w:val="0"/>
                      <w:marRight w:val="0"/>
                      <w:marTop w:val="0"/>
                      <w:marBottom w:val="0"/>
                      <w:divBdr>
                        <w:top w:val="none" w:sz="0" w:space="0" w:color="auto"/>
                        <w:left w:val="none" w:sz="0" w:space="0" w:color="auto"/>
                        <w:bottom w:val="none" w:sz="0" w:space="0" w:color="auto"/>
                        <w:right w:val="none" w:sz="0" w:space="0" w:color="auto"/>
                      </w:divBdr>
                      <w:divsChild>
                        <w:div w:id="870192867">
                          <w:marLeft w:val="0"/>
                          <w:marRight w:val="0"/>
                          <w:marTop w:val="0"/>
                          <w:marBottom w:val="0"/>
                          <w:divBdr>
                            <w:top w:val="none" w:sz="0" w:space="0" w:color="auto"/>
                            <w:left w:val="none" w:sz="0" w:space="0" w:color="auto"/>
                            <w:bottom w:val="none" w:sz="0" w:space="0" w:color="auto"/>
                            <w:right w:val="none" w:sz="0" w:space="0" w:color="auto"/>
                          </w:divBdr>
                          <w:divsChild>
                            <w:div w:id="1201675160">
                              <w:marLeft w:val="0"/>
                              <w:marRight w:val="0"/>
                              <w:marTop w:val="0"/>
                              <w:marBottom w:val="0"/>
                              <w:divBdr>
                                <w:top w:val="none" w:sz="0" w:space="0" w:color="auto"/>
                                <w:left w:val="none" w:sz="0" w:space="0" w:color="auto"/>
                                <w:bottom w:val="none" w:sz="0" w:space="0" w:color="auto"/>
                                <w:right w:val="none" w:sz="0" w:space="0" w:color="auto"/>
                              </w:divBdr>
                              <w:divsChild>
                                <w:div w:id="566845542">
                                  <w:marLeft w:val="0"/>
                                  <w:marRight w:val="0"/>
                                  <w:marTop w:val="0"/>
                                  <w:marBottom w:val="0"/>
                                  <w:divBdr>
                                    <w:top w:val="none" w:sz="0" w:space="0" w:color="auto"/>
                                    <w:left w:val="none" w:sz="0" w:space="0" w:color="auto"/>
                                    <w:bottom w:val="none" w:sz="0" w:space="0" w:color="auto"/>
                                    <w:right w:val="none" w:sz="0" w:space="0" w:color="auto"/>
                                  </w:divBdr>
                                  <w:divsChild>
                                    <w:div w:id="525023590">
                                      <w:marLeft w:val="0"/>
                                      <w:marRight w:val="0"/>
                                      <w:marTop w:val="0"/>
                                      <w:marBottom w:val="0"/>
                                      <w:divBdr>
                                        <w:top w:val="none" w:sz="0" w:space="0" w:color="auto"/>
                                        <w:left w:val="none" w:sz="0" w:space="0" w:color="auto"/>
                                        <w:bottom w:val="none" w:sz="0" w:space="0" w:color="auto"/>
                                        <w:right w:val="none" w:sz="0" w:space="0" w:color="auto"/>
                                      </w:divBdr>
                                      <w:divsChild>
                                        <w:div w:id="1107190541">
                                          <w:marLeft w:val="0"/>
                                          <w:marRight w:val="0"/>
                                          <w:marTop w:val="0"/>
                                          <w:marBottom w:val="0"/>
                                          <w:divBdr>
                                            <w:top w:val="none" w:sz="0" w:space="0" w:color="auto"/>
                                            <w:left w:val="none" w:sz="0" w:space="0" w:color="auto"/>
                                            <w:bottom w:val="none" w:sz="0" w:space="0" w:color="auto"/>
                                            <w:right w:val="none" w:sz="0" w:space="0" w:color="auto"/>
                                          </w:divBdr>
                                          <w:divsChild>
                                            <w:div w:id="2023507247">
                                              <w:marLeft w:val="0"/>
                                              <w:marRight w:val="0"/>
                                              <w:marTop w:val="0"/>
                                              <w:marBottom w:val="0"/>
                                              <w:divBdr>
                                                <w:top w:val="none" w:sz="0" w:space="0" w:color="auto"/>
                                                <w:left w:val="none" w:sz="0" w:space="0" w:color="auto"/>
                                                <w:bottom w:val="none" w:sz="0" w:space="0" w:color="auto"/>
                                                <w:right w:val="none" w:sz="0" w:space="0" w:color="auto"/>
                                              </w:divBdr>
                                              <w:divsChild>
                                                <w:div w:id="1978604569">
                                                  <w:marLeft w:val="0"/>
                                                  <w:marRight w:val="0"/>
                                                  <w:marTop w:val="0"/>
                                                  <w:marBottom w:val="0"/>
                                                  <w:divBdr>
                                                    <w:top w:val="none" w:sz="0" w:space="0" w:color="auto"/>
                                                    <w:left w:val="none" w:sz="0" w:space="0" w:color="auto"/>
                                                    <w:bottom w:val="none" w:sz="0" w:space="0" w:color="auto"/>
                                                    <w:right w:val="none" w:sz="0" w:space="0" w:color="auto"/>
                                                  </w:divBdr>
                                                  <w:divsChild>
                                                    <w:div w:id="840895138">
                                                      <w:marLeft w:val="0"/>
                                                      <w:marRight w:val="0"/>
                                                      <w:marTop w:val="0"/>
                                                      <w:marBottom w:val="0"/>
                                                      <w:divBdr>
                                                        <w:top w:val="none" w:sz="0" w:space="0" w:color="auto"/>
                                                        <w:left w:val="none" w:sz="0" w:space="0" w:color="auto"/>
                                                        <w:bottom w:val="none" w:sz="0" w:space="0" w:color="auto"/>
                                                        <w:right w:val="none" w:sz="0" w:space="0" w:color="auto"/>
                                                      </w:divBdr>
                                                      <w:divsChild>
                                                        <w:div w:id="138190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22378173">
      <w:bodyDiv w:val="1"/>
      <w:marLeft w:val="0"/>
      <w:marRight w:val="0"/>
      <w:marTop w:val="0"/>
      <w:marBottom w:val="0"/>
      <w:divBdr>
        <w:top w:val="none" w:sz="0" w:space="0" w:color="auto"/>
        <w:left w:val="none" w:sz="0" w:space="0" w:color="auto"/>
        <w:bottom w:val="none" w:sz="0" w:space="0" w:color="auto"/>
        <w:right w:val="none" w:sz="0" w:space="0" w:color="auto"/>
      </w:divBdr>
    </w:div>
    <w:div w:id="959647437">
      <w:bodyDiv w:val="1"/>
      <w:marLeft w:val="0"/>
      <w:marRight w:val="0"/>
      <w:marTop w:val="0"/>
      <w:marBottom w:val="0"/>
      <w:divBdr>
        <w:top w:val="none" w:sz="0" w:space="0" w:color="auto"/>
        <w:left w:val="none" w:sz="0" w:space="0" w:color="auto"/>
        <w:bottom w:val="none" w:sz="0" w:space="0" w:color="auto"/>
        <w:right w:val="none" w:sz="0" w:space="0" w:color="auto"/>
      </w:divBdr>
    </w:div>
    <w:div w:id="1103962627">
      <w:bodyDiv w:val="1"/>
      <w:marLeft w:val="0"/>
      <w:marRight w:val="0"/>
      <w:marTop w:val="0"/>
      <w:marBottom w:val="0"/>
      <w:divBdr>
        <w:top w:val="none" w:sz="0" w:space="0" w:color="auto"/>
        <w:left w:val="none" w:sz="0" w:space="0" w:color="auto"/>
        <w:bottom w:val="none" w:sz="0" w:space="0" w:color="auto"/>
        <w:right w:val="none" w:sz="0" w:space="0" w:color="auto"/>
      </w:divBdr>
    </w:div>
    <w:div w:id="1185630709">
      <w:bodyDiv w:val="1"/>
      <w:marLeft w:val="0"/>
      <w:marRight w:val="0"/>
      <w:marTop w:val="0"/>
      <w:marBottom w:val="0"/>
      <w:divBdr>
        <w:top w:val="none" w:sz="0" w:space="0" w:color="auto"/>
        <w:left w:val="none" w:sz="0" w:space="0" w:color="auto"/>
        <w:bottom w:val="none" w:sz="0" w:space="0" w:color="auto"/>
        <w:right w:val="none" w:sz="0" w:space="0" w:color="auto"/>
      </w:divBdr>
    </w:div>
    <w:div w:id="1204249736">
      <w:bodyDiv w:val="1"/>
      <w:marLeft w:val="0"/>
      <w:marRight w:val="0"/>
      <w:marTop w:val="0"/>
      <w:marBottom w:val="0"/>
      <w:divBdr>
        <w:top w:val="none" w:sz="0" w:space="0" w:color="auto"/>
        <w:left w:val="none" w:sz="0" w:space="0" w:color="auto"/>
        <w:bottom w:val="none" w:sz="0" w:space="0" w:color="auto"/>
        <w:right w:val="none" w:sz="0" w:space="0" w:color="auto"/>
      </w:divBdr>
    </w:div>
    <w:div w:id="1243757769">
      <w:bodyDiv w:val="1"/>
      <w:marLeft w:val="0"/>
      <w:marRight w:val="0"/>
      <w:marTop w:val="0"/>
      <w:marBottom w:val="0"/>
      <w:divBdr>
        <w:top w:val="none" w:sz="0" w:space="0" w:color="auto"/>
        <w:left w:val="none" w:sz="0" w:space="0" w:color="auto"/>
        <w:bottom w:val="none" w:sz="0" w:space="0" w:color="auto"/>
        <w:right w:val="none" w:sz="0" w:space="0" w:color="auto"/>
      </w:divBdr>
    </w:div>
    <w:div w:id="1412922701">
      <w:bodyDiv w:val="1"/>
      <w:marLeft w:val="0"/>
      <w:marRight w:val="0"/>
      <w:marTop w:val="0"/>
      <w:marBottom w:val="0"/>
      <w:divBdr>
        <w:top w:val="none" w:sz="0" w:space="0" w:color="auto"/>
        <w:left w:val="none" w:sz="0" w:space="0" w:color="auto"/>
        <w:bottom w:val="none" w:sz="0" w:space="0" w:color="auto"/>
        <w:right w:val="none" w:sz="0" w:space="0" w:color="auto"/>
      </w:divBdr>
    </w:div>
    <w:div w:id="1470396898">
      <w:bodyDiv w:val="1"/>
      <w:marLeft w:val="0"/>
      <w:marRight w:val="0"/>
      <w:marTop w:val="0"/>
      <w:marBottom w:val="0"/>
      <w:divBdr>
        <w:top w:val="none" w:sz="0" w:space="0" w:color="auto"/>
        <w:left w:val="none" w:sz="0" w:space="0" w:color="auto"/>
        <w:bottom w:val="none" w:sz="0" w:space="0" w:color="auto"/>
        <w:right w:val="none" w:sz="0" w:space="0" w:color="auto"/>
      </w:divBdr>
    </w:div>
    <w:div w:id="1508905237">
      <w:bodyDiv w:val="1"/>
      <w:marLeft w:val="0"/>
      <w:marRight w:val="0"/>
      <w:marTop w:val="0"/>
      <w:marBottom w:val="0"/>
      <w:divBdr>
        <w:top w:val="none" w:sz="0" w:space="0" w:color="auto"/>
        <w:left w:val="none" w:sz="0" w:space="0" w:color="auto"/>
        <w:bottom w:val="none" w:sz="0" w:space="0" w:color="auto"/>
        <w:right w:val="none" w:sz="0" w:space="0" w:color="auto"/>
      </w:divBdr>
    </w:div>
    <w:div w:id="1552183839">
      <w:bodyDiv w:val="1"/>
      <w:marLeft w:val="0"/>
      <w:marRight w:val="0"/>
      <w:marTop w:val="0"/>
      <w:marBottom w:val="0"/>
      <w:divBdr>
        <w:top w:val="none" w:sz="0" w:space="0" w:color="auto"/>
        <w:left w:val="none" w:sz="0" w:space="0" w:color="auto"/>
        <w:bottom w:val="none" w:sz="0" w:space="0" w:color="auto"/>
        <w:right w:val="none" w:sz="0" w:space="0" w:color="auto"/>
      </w:divBdr>
    </w:div>
    <w:div w:id="1620648608">
      <w:bodyDiv w:val="1"/>
      <w:marLeft w:val="0"/>
      <w:marRight w:val="0"/>
      <w:marTop w:val="0"/>
      <w:marBottom w:val="0"/>
      <w:divBdr>
        <w:top w:val="none" w:sz="0" w:space="0" w:color="auto"/>
        <w:left w:val="none" w:sz="0" w:space="0" w:color="auto"/>
        <w:bottom w:val="none" w:sz="0" w:space="0" w:color="auto"/>
        <w:right w:val="none" w:sz="0" w:space="0" w:color="auto"/>
      </w:divBdr>
    </w:div>
    <w:div w:id="1739131106">
      <w:bodyDiv w:val="1"/>
      <w:marLeft w:val="0"/>
      <w:marRight w:val="0"/>
      <w:marTop w:val="0"/>
      <w:marBottom w:val="0"/>
      <w:divBdr>
        <w:top w:val="none" w:sz="0" w:space="0" w:color="auto"/>
        <w:left w:val="none" w:sz="0" w:space="0" w:color="auto"/>
        <w:bottom w:val="none" w:sz="0" w:space="0" w:color="auto"/>
        <w:right w:val="none" w:sz="0" w:space="0" w:color="auto"/>
      </w:divBdr>
    </w:div>
    <w:div w:id="1836725514">
      <w:bodyDiv w:val="1"/>
      <w:marLeft w:val="0"/>
      <w:marRight w:val="0"/>
      <w:marTop w:val="0"/>
      <w:marBottom w:val="0"/>
      <w:divBdr>
        <w:top w:val="none" w:sz="0" w:space="0" w:color="auto"/>
        <w:left w:val="none" w:sz="0" w:space="0" w:color="auto"/>
        <w:bottom w:val="none" w:sz="0" w:space="0" w:color="auto"/>
        <w:right w:val="none" w:sz="0" w:space="0" w:color="auto"/>
      </w:divBdr>
    </w:div>
    <w:div w:id="2007246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epartment_Templates\EXCO\EM%20for%20Regula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027DB6E0-CF74-4CE7-BF77-4DA9E1175AF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DF4054D2A78F7F49B2E304AF10C5626A" ma:contentTypeVersion="" ma:contentTypeDescription="PDMS Document Site Content Type" ma:contentTypeScope="" ma:versionID="47bbbde0a3d4a58e0cdf4bf40c120b31">
  <xsd:schema xmlns:xsd="http://www.w3.org/2001/XMLSchema" xmlns:xs="http://www.w3.org/2001/XMLSchema" xmlns:p="http://schemas.microsoft.com/office/2006/metadata/properties" xmlns:ns2="027DB6E0-CF74-4CE7-BF77-4DA9E1175AF3" targetNamespace="http://schemas.microsoft.com/office/2006/metadata/properties" ma:root="true" ma:fieldsID="2ee9cbabca2ba23f761fe16dfb22b1fa" ns2:_="">
    <xsd:import namespace="027DB6E0-CF74-4CE7-BF77-4DA9E1175AF3"/>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7DB6E0-CF74-4CE7-BF77-4DA9E1175AF3"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4EAFA1-09A1-491A-B677-A82A4F1FE3B7}">
  <ds:schemaRefs>
    <ds:schemaRef ds:uri="http://schemas.microsoft.com/office/2006/documentManagement/types"/>
    <ds:schemaRef ds:uri="http://schemas.openxmlformats.org/package/2006/metadata/core-properties"/>
    <ds:schemaRef ds:uri="027DB6E0-CF74-4CE7-BF77-4DA9E1175AF3"/>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635A2C89-E3BA-4ED8-AE62-612CE3A5BC07}">
  <ds:schemaRefs>
    <ds:schemaRef ds:uri="http://schemas.microsoft.com/sharepoint/v3/contenttype/forms"/>
  </ds:schemaRefs>
</ds:datastoreItem>
</file>

<file path=customXml/itemProps3.xml><?xml version="1.0" encoding="utf-8"?>
<ds:datastoreItem xmlns:ds="http://schemas.openxmlformats.org/officeDocument/2006/customXml" ds:itemID="{12AB2C49-8CCE-491E-80AB-1ECC618601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7DB6E0-CF74-4CE7-BF77-4DA9E1175A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69CD4E-FDD6-4D01-B3A0-4EE692CD4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EM for Regulations.dotx</Template>
  <TotalTime>0</TotalTime>
  <Pages>9</Pages>
  <Words>2773</Words>
  <Characters>15812</Characters>
  <Application>Microsoft Office Word</Application>
  <DocSecurity>4</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Department of Infrastructure and Regional Development</Company>
  <LinksUpToDate>false</LinksUpToDate>
  <CharactersWithSpaces>18548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CHRISTIANSEN Paul</dc:creator>
  <cp:lastModifiedBy>O'DEA Michael</cp:lastModifiedBy>
  <cp:revision>2</cp:revision>
  <cp:lastPrinted>2022-02-25T03:29:00Z</cp:lastPrinted>
  <dcterms:created xsi:type="dcterms:W3CDTF">2023-06-16T05:55:00Z</dcterms:created>
  <dcterms:modified xsi:type="dcterms:W3CDTF">2023-06-16T05:55:00Z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0x010100266966F133664895A6EE3632470D45F500DF4054D2A78F7F49B2E304AF10C5626A</vt:lpwstr>
  </property>
</Properties>
</file>