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F803" w14:textId="77777777" w:rsidR="00F65CD1" w:rsidRPr="00974E00" w:rsidRDefault="00F65CD1" w:rsidP="00FE635F">
      <w:pPr>
        <w:jc w:val="center"/>
        <w:rPr>
          <w:b/>
        </w:rPr>
      </w:pPr>
      <w:r w:rsidRPr="00974E00">
        <w:rPr>
          <w:b/>
        </w:rPr>
        <w:t>EXPLANATORY STATEMENT</w:t>
      </w:r>
    </w:p>
    <w:p w14:paraId="6B825FD5" w14:textId="77777777" w:rsidR="00F65CD1" w:rsidRPr="00974E00" w:rsidRDefault="00F65CD1" w:rsidP="00FE635F">
      <w:pPr>
        <w:jc w:val="center"/>
        <w:rPr>
          <w:b/>
          <w:i/>
        </w:rPr>
      </w:pPr>
    </w:p>
    <w:p w14:paraId="03A358EE" w14:textId="77777777" w:rsidR="00F65CD1" w:rsidRPr="00974E00" w:rsidRDefault="00F65CD1" w:rsidP="00FE635F">
      <w:pPr>
        <w:jc w:val="center"/>
        <w:rPr>
          <w:b/>
          <w:i/>
        </w:rPr>
      </w:pPr>
      <w:r w:rsidRPr="00974E00">
        <w:rPr>
          <w:b/>
          <w:i/>
        </w:rPr>
        <w:t>National Health Act 1953</w:t>
      </w:r>
    </w:p>
    <w:p w14:paraId="2C976154" w14:textId="77777777" w:rsidR="00F65CD1" w:rsidRPr="00974E00" w:rsidRDefault="00F65CD1" w:rsidP="00FE635F">
      <w:pPr>
        <w:jc w:val="center"/>
        <w:rPr>
          <w:bCs/>
          <w:i/>
        </w:rPr>
      </w:pPr>
    </w:p>
    <w:p w14:paraId="467D9634" w14:textId="62CC4914" w:rsidR="00F65CD1" w:rsidRPr="00974E00" w:rsidRDefault="00F65CD1" w:rsidP="00FE635F">
      <w:pPr>
        <w:jc w:val="center"/>
        <w:rPr>
          <w:bCs/>
          <w:i/>
        </w:rPr>
      </w:pPr>
      <w:r w:rsidRPr="00974E00">
        <w:rPr>
          <w:bCs/>
          <w:i/>
        </w:rPr>
        <w:t xml:space="preserve">National Health (Immunisation Program – Designated Vaccines) Amendment Determination (No. 1) </w:t>
      </w:r>
      <w:r w:rsidR="00F24AAB" w:rsidRPr="00974E00">
        <w:rPr>
          <w:bCs/>
          <w:i/>
        </w:rPr>
        <w:t>2023</w:t>
      </w:r>
    </w:p>
    <w:p w14:paraId="5AF815B1" w14:textId="77777777" w:rsidR="00F65CD1" w:rsidRPr="00974E00" w:rsidRDefault="00F65CD1" w:rsidP="00FE635F">
      <w:pPr>
        <w:jc w:val="center"/>
        <w:rPr>
          <w:sz w:val="28"/>
          <w:szCs w:val="28"/>
        </w:rPr>
      </w:pPr>
    </w:p>
    <w:p w14:paraId="7A65081B" w14:textId="77777777" w:rsidR="00F65CD1" w:rsidRPr="00974E00" w:rsidRDefault="00F65CD1" w:rsidP="00FE635F">
      <w:pPr>
        <w:pStyle w:val="Header"/>
        <w:tabs>
          <w:tab w:val="left" w:pos="720"/>
        </w:tabs>
      </w:pPr>
      <w:r w:rsidRPr="00974E00">
        <w:rPr>
          <w:b/>
          <w:bCs/>
        </w:rPr>
        <w:t>Authority</w:t>
      </w:r>
    </w:p>
    <w:p w14:paraId="5FC473F3" w14:textId="77777777" w:rsidR="008728C4" w:rsidRPr="00974E00" w:rsidRDefault="00F65CD1" w:rsidP="00FE635F">
      <w:pPr>
        <w:spacing w:after="240"/>
        <w:jc w:val="both"/>
        <w:rPr>
          <w:color w:val="000000"/>
          <w:szCs w:val="22"/>
        </w:rPr>
      </w:pPr>
      <w:r w:rsidRPr="00974E00">
        <w:rPr>
          <w:color w:val="000000"/>
          <w:szCs w:val="22"/>
        </w:rPr>
        <w:t>Subsection 9</w:t>
      </w:r>
      <w:proofErr w:type="gramStart"/>
      <w:r w:rsidRPr="00974E00">
        <w:rPr>
          <w:color w:val="000000"/>
          <w:szCs w:val="22"/>
        </w:rPr>
        <w:t>B(</w:t>
      </w:r>
      <w:proofErr w:type="gramEnd"/>
      <w:r w:rsidRPr="00974E00">
        <w:rPr>
          <w:color w:val="000000"/>
          <w:szCs w:val="22"/>
        </w:rPr>
        <w:t xml:space="preserve">1) of the </w:t>
      </w:r>
      <w:r w:rsidRPr="00974E00">
        <w:rPr>
          <w:i/>
          <w:color w:val="000000"/>
          <w:szCs w:val="22"/>
        </w:rPr>
        <w:t>National Health Act 1953</w:t>
      </w:r>
      <w:r w:rsidRPr="00974E00">
        <w:rPr>
          <w:color w:val="000000"/>
          <w:szCs w:val="22"/>
        </w:rPr>
        <w:t xml:space="preserve"> (the Act) provides that the Minister may provide, or arrange for the provision of, designated vaccines and goods or services that are associated with, or incidental to, the provision or administration of designated vaccines. </w:t>
      </w:r>
    </w:p>
    <w:p w14:paraId="10F4E7BA" w14:textId="3EE12E92" w:rsidR="00F65CD1" w:rsidRPr="00974E00" w:rsidRDefault="00F65CD1" w:rsidP="00FE635F">
      <w:pPr>
        <w:spacing w:after="240"/>
        <w:jc w:val="both"/>
        <w:rPr>
          <w:color w:val="000000"/>
          <w:szCs w:val="22"/>
        </w:rPr>
      </w:pPr>
      <w:r w:rsidRPr="00974E00">
        <w:rPr>
          <w:color w:val="000000"/>
          <w:szCs w:val="22"/>
        </w:rPr>
        <w:t>Subsection 9</w:t>
      </w:r>
      <w:proofErr w:type="gramStart"/>
      <w:r w:rsidRPr="00974E00">
        <w:rPr>
          <w:color w:val="000000"/>
          <w:szCs w:val="22"/>
        </w:rPr>
        <w:t>B(</w:t>
      </w:r>
      <w:proofErr w:type="gramEnd"/>
      <w:r w:rsidRPr="00974E00">
        <w:rPr>
          <w:color w:val="000000"/>
          <w:szCs w:val="22"/>
        </w:rPr>
        <w:t>2) provides that the Minister may, by legislative instrument, determine that a specified vaccine is a designated vaccine for the purposes of the Act. Subsection 9</w:t>
      </w:r>
      <w:proofErr w:type="gramStart"/>
      <w:r w:rsidRPr="00974E00">
        <w:rPr>
          <w:color w:val="000000"/>
          <w:szCs w:val="22"/>
        </w:rPr>
        <w:t>B(</w:t>
      </w:r>
      <w:proofErr w:type="gramEnd"/>
      <w:r w:rsidRPr="00974E00">
        <w:rPr>
          <w:color w:val="000000"/>
          <w:szCs w:val="22"/>
        </w:rPr>
        <w:t>5) provides that in addition to specifying a vaccine, a determination may specify the circumstances in which the vaccine may be provided.</w:t>
      </w:r>
    </w:p>
    <w:p w14:paraId="1E6A7E0C" w14:textId="77777777" w:rsidR="00F65CD1" w:rsidRPr="00974E00" w:rsidRDefault="00F65CD1" w:rsidP="00FE635F">
      <w:pPr>
        <w:spacing w:after="240"/>
        <w:jc w:val="both"/>
        <w:rPr>
          <w:color w:val="000000"/>
          <w:szCs w:val="22"/>
        </w:rPr>
      </w:pPr>
      <w:r w:rsidRPr="00974E00">
        <w:rPr>
          <w:color w:val="000000"/>
          <w:szCs w:val="22"/>
        </w:rPr>
        <w:t xml:space="preserve">In addition to the power to make this instrument under section 9B of the Act, subsection 33(3) of the </w:t>
      </w:r>
      <w:r w:rsidRPr="00974E00">
        <w:rPr>
          <w:i/>
          <w:iCs/>
          <w:color w:val="000000"/>
          <w:szCs w:val="22"/>
        </w:rPr>
        <w:t>Acts Interpretation Act 1901</w:t>
      </w:r>
      <w:r w:rsidRPr="00974E00">
        <w:rPr>
          <w:color w:val="000000"/>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6726407" w14:textId="77777777" w:rsidR="00F65CD1" w:rsidRPr="00974E00" w:rsidRDefault="00F65CD1" w:rsidP="00FE635F">
      <w:pPr>
        <w:pStyle w:val="Header"/>
        <w:tabs>
          <w:tab w:val="clear" w:pos="4153"/>
          <w:tab w:val="clear" w:pos="8306"/>
          <w:tab w:val="left" w:pos="720"/>
          <w:tab w:val="left" w:pos="8115"/>
        </w:tabs>
      </w:pPr>
      <w:r w:rsidRPr="00974E00">
        <w:rPr>
          <w:b/>
          <w:bCs/>
        </w:rPr>
        <w:t>Purpose</w:t>
      </w:r>
      <w:r w:rsidRPr="00974E00">
        <w:rPr>
          <w:b/>
          <w:bCs/>
        </w:rPr>
        <w:tab/>
      </w:r>
    </w:p>
    <w:p w14:paraId="1D74604C" w14:textId="521C6BE4" w:rsidR="00F65CD1" w:rsidRPr="00974E00" w:rsidRDefault="00F65CD1" w:rsidP="00FE635F">
      <w:pPr>
        <w:jc w:val="both"/>
        <w:rPr>
          <w:bCs/>
        </w:rPr>
      </w:pPr>
      <w:r w:rsidRPr="00974E00">
        <w:rPr>
          <w:bCs/>
        </w:rPr>
        <w:t>The</w:t>
      </w:r>
      <w:r w:rsidRPr="00974E00">
        <w:rPr>
          <w:bCs/>
          <w:i/>
        </w:rPr>
        <w:t xml:space="preserve"> National Health (Immunisation Program – Designated Vaccines) Amendment Determination (No.1) 202</w:t>
      </w:r>
      <w:r w:rsidR="00F8310C" w:rsidRPr="00974E00">
        <w:rPr>
          <w:bCs/>
          <w:i/>
        </w:rPr>
        <w:t>3</w:t>
      </w:r>
      <w:r w:rsidRPr="00974E00">
        <w:rPr>
          <w:bCs/>
          <w:i/>
        </w:rPr>
        <w:t xml:space="preserve"> </w:t>
      </w:r>
      <w:r w:rsidRPr="00974E00">
        <w:rPr>
          <w:bCs/>
        </w:rPr>
        <w:t xml:space="preserve">(the Amendment Determination) amends the </w:t>
      </w:r>
      <w:r w:rsidRPr="00974E00">
        <w:rPr>
          <w:bCs/>
          <w:i/>
        </w:rPr>
        <w:t>National Health (Immunisation Program – Designated Vaccines) Determination 2014 (No. 1)</w:t>
      </w:r>
      <w:r w:rsidRPr="00974E00">
        <w:rPr>
          <w:bCs/>
        </w:rPr>
        <w:t xml:space="preserve"> (the Determination) to:</w:t>
      </w:r>
    </w:p>
    <w:p w14:paraId="762EE5F7" w14:textId="77777777" w:rsidR="00F8310C" w:rsidRPr="00974E00" w:rsidRDefault="00F8310C" w:rsidP="00FE635F">
      <w:pPr>
        <w:jc w:val="both"/>
        <w:rPr>
          <w:rFonts w:cstheme="minorHAnsi"/>
          <w:i/>
        </w:rPr>
      </w:pPr>
    </w:p>
    <w:p w14:paraId="7B1284F8" w14:textId="26B483BE" w:rsidR="00FB141A" w:rsidRPr="00974E00" w:rsidRDefault="00FB141A" w:rsidP="00FE635F">
      <w:pPr>
        <w:jc w:val="both"/>
        <w:rPr>
          <w:rFonts w:cstheme="minorHAnsi"/>
          <w:i/>
        </w:rPr>
      </w:pPr>
      <w:r w:rsidRPr="00974E00">
        <w:rPr>
          <w:rFonts w:cstheme="minorHAnsi"/>
          <w:i/>
        </w:rPr>
        <w:t>(</w:t>
      </w:r>
      <w:proofErr w:type="spellStart"/>
      <w:r w:rsidRPr="00974E00">
        <w:rPr>
          <w:rFonts w:cstheme="minorHAnsi"/>
          <w:i/>
        </w:rPr>
        <w:t>Menquadfi</w:t>
      </w:r>
      <w:proofErr w:type="spellEnd"/>
      <w:r w:rsidRPr="00974E00">
        <w:rPr>
          <w:rFonts w:cstheme="minorHAnsi"/>
          <w:i/>
        </w:rPr>
        <w:t>)</w:t>
      </w:r>
    </w:p>
    <w:p w14:paraId="149F11EA" w14:textId="77777777" w:rsidR="00F65CD1" w:rsidRPr="00974E00" w:rsidRDefault="00F65CD1" w:rsidP="00FE635F">
      <w:pPr>
        <w:pStyle w:val="ListParagraph"/>
        <w:numPr>
          <w:ilvl w:val="0"/>
          <w:numId w:val="30"/>
        </w:numPr>
        <w:jc w:val="both"/>
      </w:pPr>
      <w:r w:rsidRPr="00974E00">
        <w:t>add meningococcal serogroups A, C, W-135 and Y conjugate (</w:t>
      </w:r>
      <w:proofErr w:type="spellStart"/>
      <w:r w:rsidRPr="00974E00">
        <w:rPr>
          <w:rFonts w:cstheme="minorHAnsi"/>
        </w:rPr>
        <w:t>MenQuadfi</w:t>
      </w:r>
      <w:proofErr w:type="spellEnd"/>
      <w:r w:rsidRPr="00974E00">
        <w:rPr>
          <w:rFonts w:cstheme="minorHAnsi"/>
        </w:rPr>
        <w:t>®</w:t>
      </w:r>
      <w:r w:rsidRPr="00974E00">
        <w:rPr>
          <w:bCs/>
        </w:rPr>
        <w:t>)</w:t>
      </w:r>
      <w:r w:rsidRPr="00974E00">
        <w:t xml:space="preserve">, to the list of designated vaccines. </w:t>
      </w:r>
    </w:p>
    <w:p w14:paraId="357EEA5E" w14:textId="77777777" w:rsidR="00F65CD1" w:rsidRPr="00974E00" w:rsidRDefault="00F65CD1" w:rsidP="00FE635F">
      <w:pPr>
        <w:jc w:val="both"/>
      </w:pPr>
    </w:p>
    <w:p w14:paraId="60F1E001" w14:textId="34F3BBDB" w:rsidR="00F65CD1" w:rsidRPr="00974E00" w:rsidRDefault="00F65CD1" w:rsidP="00FE635F">
      <w:pPr>
        <w:jc w:val="both"/>
        <w:rPr>
          <w:color w:val="000000"/>
          <w:szCs w:val="22"/>
        </w:rPr>
      </w:pPr>
      <w:r w:rsidRPr="00974E00">
        <w:t xml:space="preserve">The Amendment Determination adds </w:t>
      </w:r>
      <w:proofErr w:type="spellStart"/>
      <w:r w:rsidRPr="00974E00">
        <w:rPr>
          <w:rFonts w:cstheme="minorHAnsi"/>
        </w:rPr>
        <w:t>MenQuadfi</w:t>
      </w:r>
      <w:bookmarkStart w:id="0" w:name="_Hlk121296345"/>
      <w:proofErr w:type="spellEnd"/>
      <w:r w:rsidRPr="00974E00">
        <w:rPr>
          <w:rFonts w:cstheme="minorHAnsi"/>
        </w:rPr>
        <w:t>®</w:t>
      </w:r>
      <w:bookmarkEnd w:id="0"/>
      <w:r w:rsidRPr="00974E00">
        <w:t xml:space="preserve"> as a designated vaccine for the prevention of Invasive Meningococcal Disease (IMD) caused by </w:t>
      </w:r>
      <w:r w:rsidRPr="00974E00">
        <w:rPr>
          <w:i/>
        </w:rPr>
        <w:t xml:space="preserve">Neisseria meningitidis </w:t>
      </w:r>
      <w:r w:rsidRPr="00974E00">
        <w:t xml:space="preserve">serogroups A, C, W-135 and Y for </w:t>
      </w:r>
      <w:r w:rsidRPr="00974E00">
        <w:rPr>
          <w:lang w:eastAsia="en-US"/>
        </w:rPr>
        <w:t xml:space="preserve">children aged 12 months, adolescents aged 14 to 19 years and at-risk individuals who are 12 months of age and older and are currently eligible for </w:t>
      </w:r>
      <w:proofErr w:type="spellStart"/>
      <w:r w:rsidRPr="00974E00">
        <w:rPr>
          <w:lang w:eastAsia="en-US"/>
        </w:rPr>
        <w:t>Nimenrix</w:t>
      </w:r>
      <w:proofErr w:type="spellEnd"/>
      <w:r w:rsidRPr="00974E00">
        <w:rPr>
          <w:lang w:eastAsia="en-US"/>
        </w:rPr>
        <w:t xml:space="preserve"> vaccination through the National Immunisation Program (NIP). </w:t>
      </w:r>
    </w:p>
    <w:p w14:paraId="038A6726" w14:textId="77777777" w:rsidR="00FB141A" w:rsidRPr="00974E00" w:rsidRDefault="00FB141A" w:rsidP="00FE635F">
      <w:pPr>
        <w:autoSpaceDE w:val="0"/>
        <w:autoSpaceDN w:val="0"/>
        <w:adjustRightInd w:val="0"/>
        <w:jc w:val="both"/>
        <w:rPr>
          <w:rStyle w:val="normalchar"/>
          <w:bCs/>
          <w:i/>
          <w:iCs/>
        </w:rPr>
      </w:pPr>
    </w:p>
    <w:p w14:paraId="35BED0B9" w14:textId="1F3D08E1" w:rsidR="00FB141A" w:rsidRPr="00974E00" w:rsidRDefault="00FB141A" w:rsidP="00FE635F">
      <w:pPr>
        <w:autoSpaceDE w:val="0"/>
        <w:autoSpaceDN w:val="0"/>
        <w:adjustRightInd w:val="0"/>
        <w:jc w:val="both"/>
        <w:rPr>
          <w:bCs/>
          <w:i/>
          <w:iCs/>
        </w:rPr>
      </w:pPr>
      <w:r w:rsidRPr="00974E00">
        <w:rPr>
          <w:rStyle w:val="normalchar"/>
          <w:bCs/>
          <w:i/>
          <w:iCs/>
        </w:rPr>
        <w:t>(</w:t>
      </w:r>
      <w:bookmarkStart w:id="1" w:name="_Hlk123728004"/>
      <w:proofErr w:type="spellStart"/>
      <w:r w:rsidRPr="00974E00">
        <w:rPr>
          <w:rStyle w:val="normalchar"/>
          <w:bCs/>
          <w:i/>
          <w:iCs/>
        </w:rPr>
        <w:t>Vaxelis</w:t>
      </w:r>
      <w:proofErr w:type="spellEnd"/>
      <w:r w:rsidRPr="00974E00">
        <w:rPr>
          <w:rStyle w:val="normalchar"/>
          <w:bCs/>
          <w:i/>
          <w:iCs/>
        </w:rPr>
        <w:t xml:space="preserve">) </w:t>
      </w:r>
    </w:p>
    <w:p w14:paraId="6DEBC2D7" w14:textId="3F557AF5" w:rsidR="00D5191D" w:rsidRPr="00974E00" w:rsidRDefault="00D5191D" w:rsidP="00FE635F">
      <w:pPr>
        <w:pStyle w:val="ListParagraph"/>
        <w:numPr>
          <w:ilvl w:val="0"/>
          <w:numId w:val="30"/>
        </w:numPr>
        <w:jc w:val="both"/>
        <w:rPr>
          <w:color w:val="000000"/>
          <w:szCs w:val="22"/>
        </w:rPr>
      </w:pPr>
      <w:r w:rsidRPr="00974E00">
        <w:rPr>
          <w:color w:val="000000"/>
          <w:szCs w:val="22"/>
        </w:rPr>
        <w:t xml:space="preserve">add </w:t>
      </w:r>
      <w:r w:rsidR="002C4F33" w:rsidRPr="00974E00">
        <w:rPr>
          <w:color w:val="000000"/>
          <w:szCs w:val="22"/>
        </w:rPr>
        <w:t>diphtheria</w:t>
      </w:r>
      <w:r w:rsidR="00A56863" w:rsidRPr="00974E00">
        <w:rPr>
          <w:color w:val="000000"/>
          <w:szCs w:val="22"/>
        </w:rPr>
        <w:t xml:space="preserve"> (D)</w:t>
      </w:r>
      <w:r w:rsidRPr="00974E00">
        <w:rPr>
          <w:color w:val="000000"/>
          <w:szCs w:val="22"/>
        </w:rPr>
        <w:t>, tetanus</w:t>
      </w:r>
      <w:r w:rsidR="00A56863" w:rsidRPr="00974E00">
        <w:rPr>
          <w:color w:val="000000"/>
          <w:szCs w:val="22"/>
        </w:rPr>
        <w:t xml:space="preserve"> (T)</w:t>
      </w:r>
      <w:r w:rsidRPr="00974E00">
        <w:rPr>
          <w:color w:val="000000"/>
          <w:szCs w:val="22"/>
        </w:rPr>
        <w:t>, pertussis</w:t>
      </w:r>
      <w:r w:rsidR="00A56863" w:rsidRPr="00974E00">
        <w:rPr>
          <w:color w:val="000000"/>
          <w:szCs w:val="22"/>
        </w:rPr>
        <w:t xml:space="preserve"> (P)</w:t>
      </w:r>
      <w:r w:rsidRPr="00974E00">
        <w:rPr>
          <w:color w:val="000000"/>
          <w:szCs w:val="22"/>
        </w:rPr>
        <w:t xml:space="preserve">, </w:t>
      </w:r>
      <w:r w:rsidR="002C4F33" w:rsidRPr="00974E00">
        <w:rPr>
          <w:color w:val="000000"/>
          <w:szCs w:val="22"/>
        </w:rPr>
        <w:t>hepatitis</w:t>
      </w:r>
      <w:r w:rsidRPr="00974E00">
        <w:rPr>
          <w:color w:val="000000"/>
          <w:szCs w:val="22"/>
        </w:rPr>
        <w:t xml:space="preserve"> B</w:t>
      </w:r>
      <w:r w:rsidR="00A56863" w:rsidRPr="00974E00">
        <w:rPr>
          <w:color w:val="000000"/>
          <w:szCs w:val="22"/>
        </w:rPr>
        <w:t xml:space="preserve"> (HB)</w:t>
      </w:r>
      <w:r w:rsidRPr="00974E00">
        <w:rPr>
          <w:color w:val="000000"/>
          <w:szCs w:val="22"/>
        </w:rPr>
        <w:t>, poliomyelitis</w:t>
      </w:r>
      <w:r w:rsidR="00A56863" w:rsidRPr="00974E00">
        <w:rPr>
          <w:color w:val="000000"/>
          <w:szCs w:val="22"/>
        </w:rPr>
        <w:t xml:space="preserve"> (IPV)</w:t>
      </w:r>
      <w:r w:rsidRPr="00974E00">
        <w:rPr>
          <w:color w:val="000000"/>
          <w:szCs w:val="22"/>
        </w:rPr>
        <w:t xml:space="preserve"> and haemophilus influenzae Type B</w:t>
      </w:r>
      <w:r w:rsidR="00A56863" w:rsidRPr="00974E00">
        <w:rPr>
          <w:color w:val="000000"/>
          <w:szCs w:val="22"/>
        </w:rPr>
        <w:t xml:space="preserve"> (Hib)</w:t>
      </w:r>
      <w:r w:rsidRPr="00974E00">
        <w:rPr>
          <w:color w:val="000000"/>
          <w:szCs w:val="22"/>
        </w:rPr>
        <w:t xml:space="preserve"> Conjugate (</w:t>
      </w:r>
      <w:proofErr w:type="spellStart"/>
      <w:r w:rsidRPr="00974E00">
        <w:rPr>
          <w:color w:val="000000"/>
          <w:szCs w:val="22"/>
        </w:rPr>
        <w:t>DTPa</w:t>
      </w:r>
      <w:proofErr w:type="spellEnd"/>
      <w:r w:rsidRPr="00974E00">
        <w:rPr>
          <w:color w:val="000000"/>
          <w:szCs w:val="22"/>
        </w:rPr>
        <w:t>-HB-IPV-Hib</w:t>
      </w:r>
      <w:r w:rsidR="00527AA1" w:rsidRPr="00974E00">
        <w:rPr>
          <w:color w:val="000000"/>
          <w:szCs w:val="22"/>
        </w:rPr>
        <w:t xml:space="preserve">, </w:t>
      </w:r>
      <w:proofErr w:type="spellStart"/>
      <w:r w:rsidR="00527AA1" w:rsidRPr="00974E00">
        <w:t>Vaxelis</w:t>
      </w:r>
      <w:proofErr w:type="spellEnd"/>
      <w:r w:rsidR="00527AA1" w:rsidRPr="00974E00">
        <w:t>®</w:t>
      </w:r>
      <w:r w:rsidR="00527AA1" w:rsidRPr="00974E00">
        <w:rPr>
          <w:snapToGrid w:val="0"/>
        </w:rPr>
        <w:t>)</w:t>
      </w:r>
      <w:r w:rsidRPr="00974E00">
        <w:rPr>
          <w:color w:val="000000"/>
          <w:szCs w:val="22"/>
        </w:rPr>
        <w:t xml:space="preserve">, to the list of designated vaccines. </w:t>
      </w:r>
    </w:p>
    <w:p w14:paraId="50419309" w14:textId="77777777" w:rsidR="00A56863" w:rsidRPr="00974E00" w:rsidRDefault="00A56863" w:rsidP="00FE635F">
      <w:pPr>
        <w:pStyle w:val="ListParagraph"/>
        <w:ind w:left="780"/>
        <w:jc w:val="both"/>
        <w:rPr>
          <w:color w:val="000000"/>
          <w:szCs w:val="22"/>
        </w:rPr>
      </w:pPr>
    </w:p>
    <w:p w14:paraId="298E416D" w14:textId="77777777" w:rsidR="002A5852" w:rsidRPr="00974E00" w:rsidRDefault="00A56863" w:rsidP="00FE635F">
      <w:pPr>
        <w:jc w:val="both"/>
        <w:rPr>
          <w:snapToGrid w:val="0"/>
        </w:rPr>
      </w:pPr>
      <w:r w:rsidRPr="00974E00">
        <w:rPr>
          <w:color w:val="000000"/>
          <w:szCs w:val="22"/>
        </w:rPr>
        <w:t xml:space="preserve">The Amendment Determination adds </w:t>
      </w:r>
      <w:proofErr w:type="spellStart"/>
      <w:r w:rsidRPr="00974E00">
        <w:rPr>
          <w:color w:val="000000"/>
          <w:szCs w:val="22"/>
        </w:rPr>
        <w:t>Vaxelis</w:t>
      </w:r>
      <w:proofErr w:type="spellEnd"/>
      <w:r w:rsidRPr="00974E00">
        <w:t xml:space="preserve">® as a designated </w:t>
      </w:r>
      <w:r w:rsidR="000E4408" w:rsidRPr="00974E00">
        <w:t xml:space="preserve">primary </w:t>
      </w:r>
      <w:r w:rsidRPr="00974E00">
        <w:t xml:space="preserve">vaccine for the prevention of </w:t>
      </w:r>
      <w:r w:rsidRPr="00974E00">
        <w:rPr>
          <w:lang w:eastAsia="en-US"/>
        </w:rPr>
        <w:t xml:space="preserve">diphtheria, tetanus, pertussis, hepatitis B, poliomyelitis and invasive diseases caused by Haemophilus influenzae type b (Hib), </w:t>
      </w:r>
      <w:r w:rsidR="00527AA1" w:rsidRPr="00974E00">
        <w:rPr>
          <w:lang w:eastAsia="en-US"/>
        </w:rPr>
        <w:t xml:space="preserve">for children at 2, 4 and 6 months of age and are currently eligible for Infanrix </w:t>
      </w:r>
      <w:proofErr w:type="spellStart"/>
      <w:r w:rsidR="00527AA1" w:rsidRPr="00974E00">
        <w:rPr>
          <w:lang w:eastAsia="en-US"/>
        </w:rPr>
        <w:t>Hexa</w:t>
      </w:r>
      <w:proofErr w:type="spellEnd"/>
      <w:r w:rsidR="00527AA1" w:rsidRPr="00974E00">
        <w:rPr>
          <w:lang w:eastAsia="en-US"/>
        </w:rPr>
        <w:t xml:space="preserve"> vaccine through the NIP</w:t>
      </w:r>
      <w:bookmarkEnd w:id="1"/>
      <w:r w:rsidR="00527AA1" w:rsidRPr="00974E00">
        <w:rPr>
          <w:lang w:eastAsia="en-US"/>
        </w:rPr>
        <w:t>.</w:t>
      </w:r>
      <w:r w:rsidR="00527AA1" w:rsidRPr="00974E00">
        <w:rPr>
          <w:snapToGrid w:val="0"/>
        </w:rPr>
        <w:t xml:space="preserve"> </w:t>
      </w:r>
    </w:p>
    <w:p w14:paraId="6F5436E0" w14:textId="77777777" w:rsidR="002A5852" w:rsidRPr="00974E00" w:rsidRDefault="002A5852" w:rsidP="00FE635F">
      <w:pPr>
        <w:jc w:val="both"/>
        <w:rPr>
          <w:snapToGrid w:val="0"/>
        </w:rPr>
      </w:pPr>
    </w:p>
    <w:p w14:paraId="20E1FFA9" w14:textId="72D92ACF" w:rsidR="0025412C" w:rsidRPr="00974E00" w:rsidRDefault="00DD0A11" w:rsidP="00FE635F">
      <w:pPr>
        <w:jc w:val="both"/>
        <w:rPr>
          <w:snapToGrid w:val="0"/>
        </w:rPr>
      </w:pPr>
      <w:r w:rsidRPr="00974E00">
        <w:rPr>
          <w:snapToGrid w:val="0"/>
        </w:rPr>
        <w:t>The Pharmaceutical Benefits Advisory Committee (</w:t>
      </w:r>
      <w:r w:rsidR="00527AA1" w:rsidRPr="00974E00">
        <w:rPr>
          <w:snapToGrid w:val="0"/>
        </w:rPr>
        <w:t>PBAC</w:t>
      </w:r>
      <w:r w:rsidRPr="00974E00">
        <w:rPr>
          <w:snapToGrid w:val="0"/>
        </w:rPr>
        <w:t>)</w:t>
      </w:r>
      <w:r w:rsidR="00527AA1" w:rsidRPr="00974E00">
        <w:rPr>
          <w:snapToGrid w:val="0"/>
        </w:rPr>
        <w:t xml:space="preserve"> noted that the inclusion of </w:t>
      </w:r>
      <w:r w:rsidR="0025412C" w:rsidRPr="00974E00">
        <w:rPr>
          <w:lang w:eastAsia="en-US"/>
        </w:rPr>
        <w:t xml:space="preserve">a hexavalent booster </w:t>
      </w:r>
      <w:r w:rsidR="0025412C" w:rsidRPr="00974E00">
        <w:rPr>
          <w:snapToGrid w:val="0"/>
        </w:rPr>
        <w:t>(</w:t>
      </w:r>
      <w:proofErr w:type="spellStart"/>
      <w:r w:rsidR="0025412C" w:rsidRPr="00974E00">
        <w:rPr>
          <w:snapToGrid w:val="0"/>
        </w:rPr>
        <w:t>DTPa</w:t>
      </w:r>
      <w:proofErr w:type="spellEnd"/>
      <w:r w:rsidR="0025412C" w:rsidRPr="00974E00">
        <w:rPr>
          <w:snapToGrid w:val="0"/>
        </w:rPr>
        <w:noBreakHyphen/>
      </w:r>
      <w:r w:rsidR="0025412C" w:rsidRPr="00974E00">
        <w:rPr>
          <w:lang w:eastAsia="en-US"/>
        </w:rPr>
        <w:t>HB</w:t>
      </w:r>
      <w:r w:rsidR="0025412C" w:rsidRPr="00974E00">
        <w:rPr>
          <w:lang w:eastAsia="en-US"/>
        </w:rPr>
        <w:noBreakHyphen/>
        <w:t>IPV</w:t>
      </w:r>
      <w:r w:rsidR="0025412C" w:rsidRPr="00974E00">
        <w:rPr>
          <w:lang w:eastAsia="en-US"/>
        </w:rPr>
        <w:noBreakHyphen/>
        <w:t>Hib) at 18 months might be beneficial to overcome potential waning of long</w:t>
      </w:r>
      <w:r w:rsidR="006B36DA" w:rsidRPr="00974E00">
        <w:rPr>
          <w:lang w:eastAsia="en-US"/>
        </w:rPr>
        <w:t>-</w:t>
      </w:r>
      <w:r w:rsidR="0025412C" w:rsidRPr="00974E00">
        <w:rPr>
          <w:lang w:eastAsia="en-US"/>
        </w:rPr>
        <w:t xml:space="preserve">term immunity to hepatitis B after the primary immunisation course, </w:t>
      </w:r>
      <w:r w:rsidR="0025412C" w:rsidRPr="00974E00">
        <w:rPr>
          <w:lang w:eastAsia="en-US"/>
        </w:rPr>
        <w:lastRenderedPageBreak/>
        <w:t xml:space="preserve">noting that a booster for hepatitis B is currently not listed on the NIP. The submission did not propose listing of </w:t>
      </w:r>
      <w:proofErr w:type="spellStart"/>
      <w:r w:rsidR="0025412C" w:rsidRPr="00974E00">
        <w:rPr>
          <w:lang w:eastAsia="en-US"/>
        </w:rPr>
        <w:t>Vaxelis</w:t>
      </w:r>
      <w:proofErr w:type="spellEnd"/>
      <w:r w:rsidR="0025412C" w:rsidRPr="00974E00">
        <w:rPr>
          <w:lang w:eastAsia="en-US"/>
        </w:rPr>
        <w:t xml:space="preserve"> for use as a booster on the NIP.</w:t>
      </w:r>
    </w:p>
    <w:p w14:paraId="2C52C5B7" w14:textId="4D5ACF70" w:rsidR="00D5191D" w:rsidRPr="00974E00" w:rsidRDefault="0067601C" w:rsidP="0067601C">
      <w:pPr>
        <w:jc w:val="both"/>
        <w:rPr>
          <w:color w:val="000000"/>
          <w:szCs w:val="22"/>
        </w:rPr>
      </w:pPr>
      <w:r w:rsidRPr="00974E00">
        <w:rPr>
          <w:color w:val="000000"/>
          <w:szCs w:val="22"/>
        </w:rPr>
        <w:t>These amendments are acting on new recommendations from the Australian Technical Advisory Group on Immunisation (ATAGI) and Pharmaceutical Benefits Advisory Committee (PBAC) in response to high pneumococcal disease rates in certain high-risk populations.</w:t>
      </w:r>
    </w:p>
    <w:p w14:paraId="7C8E4247" w14:textId="77777777" w:rsidR="00D5191D" w:rsidRPr="00974E00" w:rsidRDefault="00D5191D" w:rsidP="00FE635F">
      <w:pPr>
        <w:rPr>
          <w:color w:val="000000"/>
          <w:szCs w:val="22"/>
        </w:rPr>
      </w:pPr>
    </w:p>
    <w:p w14:paraId="4721BF3E" w14:textId="41509D1E" w:rsidR="00C66218" w:rsidRPr="00974E00" w:rsidRDefault="00C66218" w:rsidP="00C66218">
      <w:pPr>
        <w:autoSpaceDE w:val="0"/>
        <w:autoSpaceDN w:val="0"/>
        <w:adjustRightInd w:val="0"/>
        <w:jc w:val="both"/>
        <w:rPr>
          <w:bCs/>
          <w:i/>
          <w:iCs/>
        </w:rPr>
      </w:pPr>
      <w:r w:rsidRPr="00974E00">
        <w:rPr>
          <w:rStyle w:val="normalchar"/>
          <w:bCs/>
          <w:i/>
          <w:iCs/>
        </w:rPr>
        <w:t xml:space="preserve">(Gardasil) </w:t>
      </w:r>
    </w:p>
    <w:p w14:paraId="74B280C4" w14:textId="17E2CB59" w:rsidR="00C66218" w:rsidRPr="00974E00" w:rsidRDefault="0067601C" w:rsidP="00C66218">
      <w:pPr>
        <w:pStyle w:val="ListParagraph"/>
        <w:numPr>
          <w:ilvl w:val="0"/>
          <w:numId w:val="30"/>
        </w:numPr>
        <w:jc w:val="both"/>
        <w:rPr>
          <w:color w:val="000000"/>
          <w:szCs w:val="22"/>
        </w:rPr>
      </w:pPr>
      <w:r w:rsidRPr="00974E00">
        <w:rPr>
          <w:color w:val="000000"/>
          <w:szCs w:val="22"/>
        </w:rPr>
        <w:t>variation to the circumstances to which the vaccine may be provided as a designated vaccine.</w:t>
      </w:r>
    </w:p>
    <w:p w14:paraId="7F02D7D6" w14:textId="77777777" w:rsidR="00C66218" w:rsidRPr="00974E00" w:rsidRDefault="00C66218" w:rsidP="00C66218">
      <w:pPr>
        <w:pStyle w:val="ListParagraph"/>
        <w:ind w:left="780"/>
        <w:jc w:val="both"/>
        <w:rPr>
          <w:color w:val="000000"/>
          <w:szCs w:val="22"/>
        </w:rPr>
      </w:pPr>
    </w:p>
    <w:p w14:paraId="78D028E2" w14:textId="55CFFFB6" w:rsidR="0067601C" w:rsidRPr="00974E00" w:rsidRDefault="00C66218" w:rsidP="00C66218">
      <w:pPr>
        <w:jc w:val="both"/>
        <w:rPr>
          <w:lang w:eastAsia="en-US"/>
        </w:rPr>
      </w:pPr>
      <w:bookmarkStart w:id="2" w:name="_Hlk123735215"/>
      <w:r w:rsidRPr="00974E00">
        <w:rPr>
          <w:color w:val="000000"/>
          <w:szCs w:val="22"/>
        </w:rPr>
        <w:t xml:space="preserve">The Amendment Determination </w:t>
      </w:r>
      <w:r w:rsidR="0067601C" w:rsidRPr="00974E00">
        <w:rPr>
          <w:color w:val="000000"/>
          <w:szCs w:val="22"/>
        </w:rPr>
        <w:t>amends</w:t>
      </w:r>
      <w:r w:rsidRPr="00974E00">
        <w:rPr>
          <w:color w:val="000000"/>
          <w:szCs w:val="22"/>
        </w:rPr>
        <w:t xml:space="preserve"> </w:t>
      </w:r>
      <w:r w:rsidR="0067601C" w:rsidRPr="00974E00">
        <w:rPr>
          <w:color w:val="000000"/>
          <w:szCs w:val="22"/>
        </w:rPr>
        <w:t xml:space="preserve">the listing of designated vaccine </w:t>
      </w:r>
      <w:r w:rsidR="0067601C" w:rsidRPr="00974E00">
        <w:rPr>
          <w:szCs w:val="22"/>
        </w:rPr>
        <w:t>Gardasil®9, for the prevention of human papillomavirus from two doses to one dose for the adolescent vaccination program and extends the upper age limit for catch up vaccination to those up to and including 25 years of age.</w:t>
      </w:r>
      <w:r w:rsidR="009D47BE" w:rsidRPr="00974E00">
        <w:rPr>
          <w:szCs w:val="22"/>
        </w:rPr>
        <w:t xml:space="preserve"> Immunocompromised people will continue to receive 3 doses, with the age limit also extended for those up to and including 25 years of age.</w:t>
      </w:r>
    </w:p>
    <w:bookmarkEnd w:id="2"/>
    <w:p w14:paraId="4F782230" w14:textId="0F467865" w:rsidR="0067601C" w:rsidRPr="00974E00" w:rsidRDefault="0067601C" w:rsidP="00C66218">
      <w:pPr>
        <w:jc w:val="both"/>
        <w:rPr>
          <w:lang w:eastAsia="en-US"/>
        </w:rPr>
      </w:pPr>
    </w:p>
    <w:p w14:paraId="1D85694D" w14:textId="3D06B185" w:rsidR="0067601C" w:rsidRPr="00974E00" w:rsidRDefault="0067601C" w:rsidP="00C66218">
      <w:pPr>
        <w:jc w:val="both"/>
        <w:rPr>
          <w:lang w:eastAsia="en-US"/>
        </w:rPr>
      </w:pPr>
      <w:r w:rsidRPr="00974E00">
        <w:rPr>
          <w:lang w:eastAsia="en-US"/>
        </w:rPr>
        <w:t>These amendments are acting on new clinical evidence and recommendations from ATAGI and PBAC that a single dose schedule of 9vHPV is likely to be non-inferior in terms of effectiveness to 2 doses</w:t>
      </w:r>
      <w:r w:rsidR="005201A3" w:rsidRPr="00974E00">
        <w:rPr>
          <w:lang w:eastAsia="en-US"/>
        </w:rPr>
        <w:t>. T</w:t>
      </w:r>
      <w:r w:rsidRPr="00974E00">
        <w:rPr>
          <w:lang w:eastAsia="en-US"/>
        </w:rPr>
        <w:t>his aligns with recommendations made by the World Health Organization (WHO) Strategic Advisory Group of Experts on Immunization (SAGE) and the United Kingdom’s Joint Committee on Vaccination and Immunisation (JCVI).</w:t>
      </w:r>
    </w:p>
    <w:p w14:paraId="3A2B679F" w14:textId="77777777" w:rsidR="00F65CD1" w:rsidRPr="00974E00" w:rsidRDefault="00F65CD1" w:rsidP="00FE635F">
      <w:pPr>
        <w:autoSpaceDE w:val="0"/>
        <w:autoSpaceDN w:val="0"/>
        <w:adjustRightInd w:val="0"/>
        <w:jc w:val="both"/>
        <w:rPr>
          <w:rStyle w:val="normalchar"/>
          <w:b/>
        </w:rPr>
      </w:pPr>
    </w:p>
    <w:p w14:paraId="2E330FC3" w14:textId="77777777" w:rsidR="00F65CD1" w:rsidRPr="00974E00" w:rsidRDefault="00F65CD1" w:rsidP="00FE635F">
      <w:pPr>
        <w:autoSpaceDE w:val="0"/>
        <w:autoSpaceDN w:val="0"/>
        <w:adjustRightInd w:val="0"/>
        <w:jc w:val="both"/>
        <w:rPr>
          <w:rStyle w:val="normalchar"/>
          <w:b/>
        </w:rPr>
      </w:pPr>
      <w:r w:rsidRPr="00974E00">
        <w:rPr>
          <w:rStyle w:val="normalchar"/>
          <w:b/>
        </w:rPr>
        <w:t>Background</w:t>
      </w:r>
    </w:p>
    <w:p w14:paraId="77F06CE0" w14:textId="77777777" w:rsidR="00F65CD1" w:rsidRPr="00974E00" w:rsidRDefault="00F65CD1" w:rsidP="00FE635F">
      <w:pPr>
        <w:autoSpaceDE w:val="0"/>
        <w:autoSpaceDN w:val="0"/>
        <w:adjustRightInd w:val="0"/>
        <w:jc w:val="both"/>
        <w:rPr>
          <w:rStyle w:val="normalchar"/>
          <w:b/>
        </w:rPr>
      </w:pPr>
      <w:r w:rsidRPr="00974E00">
        <w:rPr>
          <w:i/>
          <w:u w:val="single"/>
        </w:rPr>
        <w:t xml:space="preserve">The National Immunisation Program </w:t>
      </w:r>
    </w:p>
    <w:p w14:paraId="5D8DC0B0" w14:textId="77777777" w:rsidR="00F65CD1" w:rsidRPr="00974E00" w:rsidRDefault="00F65CD1" w:rsidP="00FE635F">
      <w:pPr>
        <w:autoSpaceDE w:val="0"/>
        <w:autoSpaceDN w:val="0"/>
        <w:adjustRightInd w:val="0"/>
        <w:jc w:val="both"/>
        <w:rPr>
          <w:color w:val="000000"/>
          <w:szCs w:val="22"/>
        </w:rPr>
      </w:pPr>
      <w:r w:rsidRPr="00974E00">
        <w:rPr>
          <w:color w:val="000000"/>
          <w:szCs w:val="22"/>
        </w:rPr>
        <w:t xml:space="preserve">The NIP is a joint initiative of the Commonwealth and state and territory governments and is funded through a National Partnership on Essential Vaccines. The NIP provides free vaccines to eligible people to protect against 18 disease groups, including children, adolescents, the elderly, pregnant </w:t>
      </w:r>
      <w:proofErr w:type="gramStart"/>
      <w:r w:rsidRPr="00974E00">
        <w:rPr>
          <w:color w:val="000000"/>
          <w:szCs w:val="22"/>
        </w:rPr>
        <w:t>women</w:t>
      </w:r>
      <w:proofErr w:type="gramEnd"/>
      <w:r w:rsidRPr="00974E00">
        <w:rPr>
          <w:color w:val="000000"/>
          <w:szCs w:val="22"/>
        </w:rPr>
        <w:t xml:space="preserve"> and Aboriginal and Torres Strait Islander people.</w:t>
      </w:r>
    </w:p>
    <w:p w14:paraId="22260EC2" w14:textId="77777777" w:rsidR="00F65CD1" w:rsidRPr="00974E00" w:rsidRDefault="00F65CD1" w:rsidP="00FE635F">
      <w:pPr>
        <w:jc w:val="both"/>
        <w:rPr>
          <w:i/>
          <w:u w:val="single"/>
        </w:rPr>
      </w:pPr>
    </w:p>
    <w:p w14:paraId="2910F4C1" w14:textId="77777777" w:rsidR="00F65CD1" w:rsidRPr="00974E00" w:rsidRDefault="00F65CD1" w:rsidP="00FE635F">
      <w:pPr>
        <w:jc w:val="both"/>
        <w:rPr>
          <w:i/>
          <w:u w:val="single"/>
        </w:rPr>
      </w:pPr>
      <w:r w:rsidRPr="00974E00">
        <w:rPr>
          <w:i/>
          <w:u w:val="single"/>
        </w:rPr>
        <w:t>Pharmaceutical Benefits Advisory Committee (PBAC) recommendations</w:t>
      </w:r>
    </w:p>
    <w:p w14:paraId="0A8A6682" w14:textId="77777777" w:rsidR="00F65CD1" w:rsidRPr="00974E00" w:rsidRDefault="00F65CD1" w:rsidP="00FE635F">
      <w:pPr>
        <w:spacing w:after="240"/>
        <w:jc w:val="both"/>
      </w:pPr>
      <w:r w:rsidRPr="00974E00">
        <w:t>Subsection 9</w:t>
      </w:r>
      <w:proofErr w:type="gramStart"/>
      <w:r w:rsidRPr="00974E00">
        <w:t>B(</w:t>
      </w:r>
      <w:proofErr w:type="gramEnd"/>
      <w:r w:rsidRPr="00974E00">
        <w:t>7) of the Act relevantly provides that a vaccine must not be specified in a determination under subsection 9B(2) unless the PBAC has recommended to the Minister that the vaccine be a designated vaccine.</w:t>
      </w:r>
    </w:p>
    <w:p w14:paraId="7A8B4D42" w14:textId="77777777" w:rsidR="00F65CD1" w:rsidRPr="00974E00" w:rsidRDefault="00F65CD1" w:rsidP="00FE635F">
      <w:pPr>
        <w:jc w:val="both"/>
        <w:rPr>
          <w:i/>
        </w:rPr>
      </w:pPr>
      <w:proofErr w:type="spellStart"/>
      <w:r w:rsidRPr="00974E00">
        <w:rPr>
          <w:rFonts w:cstheme="minorHAnsi"/>
          <w:i/>
        </w:rPr>
        <w:t>Menquadfi</w:t>
      </w:r>
      <w:proofErr w:type="spellEnd"/>
    </w:p>
    <w:p w14:paraId="4D1FDA7B" w14:textId="715CF113" w:rsidR="00F65CD1" w:rsidRPr="00974E00" w:rsidRDefault="00F65CD1" w:rsidP="00FE635F">
      <w:pPr>
        <w:jc w:val="both"/>
        <w:rPr>
          <w:lang w:eastAsia="en-US"/>
        </w:rPr>
      </w:pPr>
      <w:r w:rsidRPr="00974E00">
        <w:t xml:space="preserve">In November 2020, PBAC recommended that </w:t>
      </w:r>
      <w:proofErr w:type="spellStart"/>
      <w:r w:rsidRPr="00974E00">
        <w:rPr>
          <w:rFonts w:cstheme="minorHAnsi"/>
        </w:rPr>
        <w:t>MenQuadfi</w:t>
      </w:r>
      <w:proofErr w:type="spellEnd"/>
      <w:r w:rsidRPr="00974E00">
        <w:rPr>
          <w:rFonts w:cstheme="minorHAnsi"/>
        </w:rPr>
        <w:t>®</w:t>
      </w:r>
      <w:r w:rsidRPr="00974E00">
        <w:t xml:space="preserve"> vaccine should be a designated vaccine for the prevention of IMD caused by </w:t>
      </w:r>
      <w:r w:rsidRPr="00974E00">
        <w:rPr>
          <w:i/>
        </w:rPr>
        <w:t>Neisseria meningitidis</w:t>
      </w:r>
      <w:r w:rsidRPr="00974E00">
        <w:t xml:space="preserve"> serogroups A, C, W-135 and Y for </w:t>
      </w:r>
      <w:r w:rsidRPr="00974E00">
        <w:rPr>
          <w:lang w:eastAsia="en-US"/>
        </w:rPr>
        <w:t>children aged 12 months, adolescents aged 14 to 19 years and at-risk individuals who are 12 months of age and older</w:t>
      </w:r>
      <w:r w:rsidR="00527AA1" w:rsidRPr="00974E00">
        <w:rPr>
          <w:lang w:eastAsia="en-US"/>
        </w:rPr>
        <w:t>.</w:t>
      </w:r>
    </w:p>
    <w:p w14:paraId="290DA017" w14:textId="33E80A3F" w:rsidR="00F65CD1" w:rsidRPr="00974E00" w:rsidRDefault="00F65CD1" w:rsidP="00FE635F">
      <w:pPr>
        <w:autoSpaceDE w:val="0"/>
        <w:autoSpaceDN w:val="0"/>
        <w:adjustRightInd w:val="0"/>
        <w:jc w:val="both"/>
        <w:rPr>
          <w:rStyle w:val="normalchar"/>
          <w:b/>
        </w:rPr>
      </w:pPr>
    </w:p>
    <w:p w14:paraId="67DDF26B" w14:textId="6E1BECF6" w:rsidR="00D5191D" w:rsidRPr="00974E00" w:rsidRDefault="00D5191D" w:rsidP="00FE635F">
      <w:pPr>
        <w:autoSpaceDE w:val="0"/>
        <w:autoSpaceDN w:val="0"/>
        <w:adjustRightInd w:val="0"/>
        <w:jc w:val="both"/>
        <w:rPr>
          <w:rStyle w:val="normalchar"/>
          <w:bCs/>
          <w:i/>
          <w:iCs/>
        </w:rPr>
      </w:pPr>
      <w:proofErr w:type="spellStart"/>
      <w:r w:rsidRPr="00974E00">
        <w:rPr>
          <w:rStyle w:val="normalchar"/>
          <w:bCs/>
          <w:i/>
          <w:iCs/>
        </w:rPr>
        <w:t>Vaxelis</w:t>
      </w:r>
      <w:proofErr w:type="spellEnd"/>
      <w:r w:rsidRPr="00974E00">
        <w:rPr>
          <w:rStyle w:val="normalchar"/>
          <w:bCs/>
          <w:i/>
          <w:iCs/>
        </w:rPr>
        <w:t xml:space="preserve"> </w:t>
      </w:r>
    </w:p>
    <w:p w14:paraId="13D07A83" w14:textId="1BFF454E" w:rsidR="00E74791" w:rsidRPr="00974E00" w:rsidRDefault="00E74791" w:rsidP="00FE635F">
      <w:pPr>
        <w:autoSpaceDE w:val="0"/>
        <w:autoSpaceDN w:val="0"/>
        <w:adjustRightInd w:val="0"/>
        <w:jc w:val="both"/>
        <w:rPr>
          <w:snapToGrid w:val="0"/>
        </w:rPr>
      </w:pPr>
      <w:r w:rsidRPr="00974E00">
        <w:t xml:space="preserve">In March 2022, the PBAC </w:t>
      </w:r>
      <w:r w:rsidRPr="00974E00">
        <w:rPr>
          <w:snapToGrid w:val="0"/>
        </w:rPr>
        <w:t xml:space="preserve">recommended that </w:t>
      </w:r>
      <w:r w:rsidR="002C4F33" w:rsidRPr="00974E00">
        <w:rPr>
          <w:snapToGrid w:val="0"/>
        </w:rPr>
        <w:t>diphtheria</w:t>
      </w:r>
      <w:r w:rsidRPr="00974E00">
        <w:rPr>
          <w:snapToGrid w:val="0"/>
        </w:rPr>
        <w:t>, tetanus, pertussis, hepatitis B, poliomyelitis and Haemophilus influenzae type b conjugate vaccine (</w:t>
      </w:r>
      <w:proofErr w:type="spellStart"/>
      <w:r w:rsidRPr="00974E00">
        <w:rPr>
          <w:snapToGrid w:val="0"/>
        </w:rPr>
        <w:t>DTPa</w:t>
      </w:r>
      <w:proofErr w:type="spellEnd"/>
      <w:r w:rsidRPr="00974E00">
        <w:rPr>
          <w:snapToGrid w:val="0"/>
        </w:rPr>
        <w:t xml:space="preserve">-HB-IPV-Hib, </w:t>
      </w:r>
      <w:proofErr w:type="spellStart"/>
      <w:r w:rsidRPr="00974E00">
        <w:t>Vaxelis</w:t>
      </w:r>
      <w:proofErr w:type="spellEnd"/>
      <w:r w:rsidRPr="00974E00">
        <w:t>®</w:t>
      </w:r>
      <w:r w:rsidRPr="00974E00">
        <w:rPr>
          <w:snapToGrid w:val="0"/>
        </w:rPr>
        <w:t xml:space="preserve">) be a designated vaccine </w:t>
      </w:r>
      <w:r w:rsidR="00527AA1" w:rsidRPr="00974E00">
        <w:rPr>
          <w:snapToGrid w:val="0"/>
        </w:rPr>
        <w:t xml:space="preserve">to be added to </w:t>
      </w:r>
      <w:r w:rsidRPr="00974E00">
        <w:rPr>
          <w:snapToGrid w:val="0"/>
        </w:rPr>
        <w:t xml:space="preserve">the NIP, for the purposes of the </w:t>
      </w:r>
      <w:r w:rsidRPr="00974E00">
        <w:rPr>
          <w:i/>
          <w:iCs/>
          <w:snapToGrid w:val="0"/>
        </w:rPr>
        <w:t>National Health Act 1953</w:t>
      </w:r>
      <w:r w:rsidRPr="00974E00">
        <w:rPr>
          <w:snapToGrid w:val="0"/>
        </w:rPr>
        <w:t xml:space="preserve"> for the primary vaccination series against diphtheria, tetanus, pertussis, hepatitis B, poliomyelitis and invasive infections caused by Haemophilus influenzae type b </w:t>
      </w:r>
      <w:r w:rsidR="00527AA1" w:rsidRPr="00974E00">
        <w:rPr>
          <w:snapToGrid w:val="0"/>
        </w:rPr>
        <w:t xml:space="preserve">for children </w:t>
      </w:r>
      <w:r w:rsidRPr="00974E00">
        <w:rPr>
          <w:snapToGrid w:val="0"/>
        </w:rPr>
        <w:t xml:space="preserve">at 2, 4 and 6 months of age and are currently eligible for Infanrix </w:t>
      </w:r>
      <w:proofErr w:type="spellStart"/>
      <w:r w:rsidRPr="00974E00">
        <w:rPr>
          <w:snapToGrid w:val="0"/>
        </w:rPr>
        <w:t>Hexa</w:t>
      </w:r>
      <w:proofErr w:type="spellEnd"/>
      <w:r w:rsidRPr="00974E00">
        <w:rPr>
          <w:snapToGrid w:val="0"/>
        </w:rPr>
        <w:t xml:space="preserve"> vaccine through the NIP . </w:t>
      </w:r>
    </w:p>
    <w:p w14:paraId="439AECEA" w14:textId="77777777" w:rsidR="00E74791" w:rsidRPr="00974E00" w:rsidRDefault="00E74791" w:rsidP="00FE635F">
      <w:pPr>
        <w:autoSpaceDE w:val="0"/>
        <w:autoSpaceDN w:val="0"/>
        <w:adjustRightInd w:val="0"/>
        <w:jc w:val="both"/>
        <w:rPr>
          <w:snapToGrid w:val="0"/>
        </w:rPr>
      </w:pPr>
    </w:p>
    <w:p w14:paraId="1ED4589B" w14:textId="5EE1D8B0" w:rsidR="00E74791" w:rsidRPr="00974E00" w:rsidRDefault="00E74791" w:rsidP="00FE635F">
      <w:pPr>
        <w:autoSpaceDE w:val="0"/>
        <w:autoSpaceDN w:val="0"/>
        <w:adjustRightInd w:val="0"/>
        <w:jc w:val="both"/>
        <w:rPr>
          <w:rStyle w:val="normalchar"/>
          <w:b/>
        </w:rPr>
      </w:pPr>
      <w:r w:rsidRPr="00974E00">
        <w:rPr>
          <w:snapToGrid w:val="0"/>
        </w:rPr>
        <w:t xml:space="preserve">The PBAC also considered </w:t>
      </w:r>
      <w:proofErr w:type="spellStart"/>
      <w:r w:rsidRPr="00974E00">
        <w:rPr>
          <w:snapToGrid w:val="0"/>
        </w:rPr>
        <w:t>Vaxelis</w:t>
      </w:r>
      <w:proofErr w:type="spellEnd"/>
      <w:r w:rsidRPr="00974E00">
        <w:rPr>
          <w:snapToGrid w:val="0"/>
        </w:rPr>
        <w:t xml:space="preserve"> to be suitable for catch-up for children under 10 years of age. The vaccine is not considered </w:t>
      </w:r>
      <w:r w:rsidR="00527AA1" w:rsidRPr="00974E00">
        <w:rPr>
          <w:snapToGrid w:val="0"/>
        </w:rPr>
        <w:t xml:space="preserve">to be </w:t>
      </w:r>
      <w:r w:rsidRPr="00974E00">
        <w:rPr>
          <w:snapToGrid w:val="0"/>
        </w:rPr>
        <w:t>as part of the booster program</w:t>
      </w:r>
      <w:r w:rsidR="002A5852" w:rsidRPr="00974E00">
        <w:rPr>
          <w:snapToGrid w:val="0"/>
        </w:rPr>
        <w:t xml:space="preserve"> on the NIP</w:t>
      </w:r>
      <w:r w:rsidR="00527AA1" w:rsidRPr="00974E00">
        <w:rPr>
          <w:snapToGrid w:val="0"/>
        </w:rPr>
        <w:t>.</w:t>
      </w:r>
    </w:p>
    <w:p w14:paraId="1CFCD0CA" w14:textId="7FE24247" w:rsidR="00D5191D" w:rsidRPr="00974E00" w:rsidRDefault="00D5191D" w:rsidP="00FE635F">
      <w:pPr>
        <w:autoSpaceDE w:val="0"/>
        <w:autoSpaceDN w:val="0"/>
        <w:adjustRightInd w:val="0"/>
        <w:jc w:val="both"/>
        <w:rPr>
          <w:rStyle w:val="normalchar"/>
          <w:b/>
        </w:rPr>
      </w:pPr>
    </w:p>
    <w:p w14:paraId="24304A6C" w14:textId="77777777" w:rsidR="00E74791" w:rsidRPr="00974E00" w:rsidRDefault="00E74791" w:rsidP="00FE635F">
      <w:pPr>
        <w:jc w:val="both"/>
        <w:rPr>
          <w:rStyle w:val="normalchar"/>
          <w:b/>
        </w:rPr>
      </w:pPr>
      <w:r w:rsidRPr="00974E00">
        <w:lastRenderedPageBreak/>
        <w:t>Once a vaccine is listed in the Determination, the supplier of that vaccine is eligible to participate in any procurement processes undertaken by the Department of Health for the supply of vaccines on the NIP.</w:t>
      </w:r>
    </w:p>
    <w:p w14:paraId="2A853821" w14:textId="032917EE" w:rsidR="00E74791" w:rsidRPr="00974E00" w:rsidRDefault="00E74791" w:rsidP="00FE635F">
      <w:pPr>
        <w:autoSpaceDE w:val="0"/>
        <w:autoSpaceDN w:val="0"/>
        <w:adjustRightInd w:val="0"/>
        <w:rPr>
          <w:rStyle w:val="normalchar"/>
          <w:b/>
        </w:rPr>
      </w:pPr>
    </w:p>
    <w:p w14:paraId="5A87BD35" w14:textId="4C4D27A4" w:rsidR="00C66218" w:rsidRPr="00974E00" w:rsidRDefault="00C66218" w:rsidP="00FE635F">
      <w:pPr>
        <w:autoSpaceDE w:val="0"/>
        <w:autoSpaceDN w:val="0"/>
        <w:adjustRightInd w:val="0"/>
        <w:rPr>
          <w:rStyle w:val="normalchar"/>
          <w:bCs/>
          <w:i/>
          <w:iCs/>
        </w:rPr>
      </w:pPr>
      <w:r w:rsidRPr="00974E00">
        <w:rPr>
          <w:rStyle w:val="normalchar"/>
          <w:bCs/>
          <w:i/>
          <w:iCs/>
        </w:rPr>
        <w:t>Gardasil</w:t>
      </w:r>
    </w:p>
    <w:p w14:paraId="46F6AB00" w14:textId="22B53C21" w:rsidR="00C66218" w:rsidRPr="00974E00" w:rsidRDefault="00C66218" w:rsidP="00403BFC">
      <w:pPr>
        <w:autoSpaceDE w:val="0"/>
        <w:autoSpaceDN w:val="0"/>
        <w:adjustRightInd w:val="0"/>
        <w:jc w:val="both"/>
        <w:rPr>
          <w:rStyle w:val="normalchar"/>
          <w:bCs/>
        </w:rPr>
      </w:pPr>
      <w:r w:rsidRPr="00974E00">
        <w:rPr>
          <w:rStyle w:val="normalchar"/>
          <w:bCs/>
        </w:rPr>
        <w:t xml:space="preserve">In December 2022, the PBAC recommended that </w:t>
      </w:r>
      <w:r w:rsidRPr="00974E00">
        <w:rPr>
          <w:bCs/>
        </w:rPr>
        <w:t xml:space="preserve">human papillomavirus 9-valent vaccine (9vHPV), </w:t>
      </w:r>
      <w:bookmarkStart w:id="3" w:name="_Hlk125540598"/>
      <w:r w:rsidRPr="00974E00">
        <w:rPr>
          <w:bCs/>
        </w:rPr>
        <w:t xml:space="preserve">Gardasil®9 </w:t>
      </w:r>
      <w:bookmarkEnd w:id="3"/>
      <w:r w:rsidRPr="00974E00">
        <w:rPr>
          <w:bCs/>
        </w:rPr>
        <w:t xml:space="preserve">be varied from a </w:t>
      </w:r>
      <w:proofErr w:type="gramStart"/>
      <w:r w:rsidRPr="00974E00">
        <w:rPr>
          <w:bCs/>
        </w:rPr>
        <w:t>two dose</w:t>
      </w:r>
      <w:proofErr w:type="gramEnd"/>
      <w:r w:rsidRPr="00974E00">
        <w:rPr>
          <w:bCs/>
        </w:rPr>
        <w:t xml:space="preserve"> schedule to a one dose schedule on the NIP</w:t>
      </w:r>
      <w:r w:rsidR="005201A3" w:rsidRPr="00974E00">
        <w:rPr>
          <w:bCs/>
        </w:rPr>
        <w:t xml:space="preserve"> for the primary </w:t>
      </w:r>
      <w:r w:rsidR="00DD0A11" w:rsidRPr="00974E00">
        <w:rPr>
          <w:bCs/>
        </w:rPr>
        <w:t>vaccination</w:t>
      </w:r>
      <w:r w:rsidR="005201A3" w:rsidRPr="00974E00">
        <w:rPr>
          <w:bCs/>
        </w:rPr>
        <w:t xml:space="preserve"> against human papillomavirus for Children aged at least 12 years of age but less than 14 years of age. They also recommended extending the </w:t>
      </w:r>
      <w:proofErr w:type="gramStart"/>
      <w:r w:rsidR="005201A3" w:rsidRPr="00974E00">
        <w:rPr>
          <w:bCs/>
        </w:rPr>
        <w:t>catch up</w:t>
      </w:r>
      <w:proofErr w:type="gramEnd"/>
      <w:r w:rsidR="005201A3" w:rsidRPr="00974E00">
        <w:rPr>
          <w:bCs/>
        </w:rPr>
        <w:t xml:space="preserve"> program to people up to and including the age of 25 years who have not received a single dose of HPV vaccine.</w:t>
      </w:r>
      <w:r w:rsidR="009D47BE" w:rsidRPr="00974E00">
        <w:rPr>
          <w:szCs w:val="22"/>
        </w:rPr>
        <w:t xml:space="preserve"> Immunocompromised people will continue to receive 3 doses, with the age limit also extended for those up to and including 25 years of age.</w:t>
      </w:r>
    </w:p>
    <w:p w14:paraId="17D6434A" w14:textId="77777777" w:rsidR="00E74791" w:rsidRPr="00974E00" w:rsidRDefault="00E74791" w:rsidP="00FE635F">
      <w:pPr>
        <w:autoSpaceDE w:val="0"/>
        <w:autoSpaceDN w:val="0"/>
        <w:adjustRightInd w:val="0"/>
        <w:rPr>
          <w:rStyle w:val="normalchar"/>
          <w:b/>
        </w:rPr>
      </w:pPr>
    </w:p>
    <w:p w14:paraId="0AC36A2D" w14:textId="77777777" w:rsidR="00F65CD1" w:rsidRPr="00974E00" w:rsidRDefault="00F65CD1" w:rsidP="00FE635F">
      <w:pPr>
        <w:autoSpaceDE w:val="0"/>
        <w:autoSpaceDN w:val="0"/>
        <w:adjustRightInd w:val="0"/>
        <w:jc w:val="both"/>
        <w:rPr>
          <w:b/>
        </w:rPr>
      </w:pPr>
      <w:r w:rsidRPr="00974E00">
        <w:rPr>
          <w:rStyle w:val="normalchar"/>
          <w:b/>
        </w:rPr>
        <w:t>Consultation</w:t>
      </w:r>
    </w:p>
    <w:p w14:paraId="05CCEF55" w14:textId="77777777" w:rsidR="00F65CD1" w:rsidRPr="00974E00" w:rsidRDefault="00F65CD1" w:rsidP="00FE635F">
      <w:pPr>
        <w:spacing w:after="240"/>
        <w:jc w:val="both"/>
        <w:rPr>
          <w:color w:val="000000"/>
          <w:szCs w:val="22"/>
        </w:rPr>
      </w:pPr>
      <w:r w:rsidRPr="00974E00">
        <w:rPr>
          <w:color w:val="000000"/>
          <w:szCs w:val="22"/>
        </w:rPr>
        <w:t xml:space="preserve">The involvement of interested parties through the membership of the PBAC constitutes a formal and ongoing process of consultation. The PBAC is an independent expert body established by section 100A of the Act, which makes recommendations to, and advises the Minister about, the determination of specified vaccines as designated vaccines under section 9B, for the NIP. The PBAC members are appointed from nominations by organisations and associations representing industry, consumers, health economists, practising community pharmacists, general practitioners, clinical </w:t>
      </w:r>
      <w:proofErr w:type="gramStart"/>
      <w:r w:rsidRPr="00974E00">
        <w:rPr>
          <w:color w:val="000000"/>
          <w:szCs w:val="22"/>
        </w:rPr>
        <w:t>pharmacologists</w:t>
      </w:r>
      <w:proofErr w:type="gramEnd"/>
      <w:r w:rsidRPr="00974E00">
        <w:rPr>
          <w:color w:val="000000"/>
          <w:szCs w:val="22"/>
        </w:rPr>
        <w:t xml:space="preserve"> and specialists, with at least one member selected from each of those interests or professions. Remaining members are persons whom the Minister is satisfied have qualifications or experience in a field relevant to the functions of the PBAC that would enable them to contribute meaningfully to the deliberations of the PBAC.</w:t>
      </w:r>
    </w:p>
    <w:p w14:paraId="22063F16" w14:textId="77777777" w:rsidR="00F65CD1" w:rsidRPr="00974E00" w:rsidRDefault="00F65CD1" w:rsidP="00FE635F">
      <w:pPr>
        <w:spacing w:after="240"/>
        <w:jc w:val="both"/>
        <w:rPr>
          <w:color w:val="000000"/>
          <w:szCs w:val="22"/>
        </w:rPr>
      </w:pPr>
      <w:r w:rsidRPr="00974E00">
        <w:rPr>
          <w:color w:val="000000"/>
          <w:szCs w:val="22"/>
        </w:rPr>
        <w:t xml:space="preserve">When recommending the listing of a vaccine on the NIP and the circumstances in which a designated vaccine should be provided, PBAC </w:t>
      </w:r>
      <w:proofErr w:type="gramStart"/>
      <w:r w:rsidRPr="00974E00">
        <w:rPr>
          <w:color w:val="000000"/>
          <w:szCs w:val="22"/>
        </w:rPr>
        <w:t>takes into account</w:t>
      </w:r>
      <w:proofErr w:type="gramEnd"/>
      <w:r w:rsidRPr="00974E00">
        <w:rPr>
          <w:color w:val="000000"/>
          <w:szCs w:val="22"/>
        </w:rPr>
        <w:t xml:space="preserve"> the target population for which the vaccine has been approved for use in Australia and its clinical effectiveness, safety and cost-effectiveness. The PBAC also received advice from the ATAGI regarding the clinical aspects of the disease and the vaccine.</w:t>
      </w:r>
    </w:p>
    <w:p w14:paraId="64AEF31A" w14:textId="77777777" w:rsidR="00F65CD1" w:rsidRPr="00974E00" w:rsidRDefault="00F65CD1" w:rsidP="00FE635F">
      <w:pPr>
        <w:spacing w:after="240"/>
        <w:jc w:val="both"/>
        <w:rPr>
          <w:color w:val="000000"/>
          <w:szCs w:val="22"/>
        </w:rPr>
      </w:pPr>
      <w:r w:rsidRPr="00974E00">
        <w:rPr>
          <w:color w:val="000000"/>
          <w:szCs w:val="22"/>
        </w:rPr>
        <w:t>Pharmaceutical companies are consulted throughout the process of the listing of their vaccine on the NIP and in relation to changes to those listings. This includes the company submission to the PBAC and involvement throughout the PBAC process.</w:t>
      </w:r>
    </w:p>
    <w:p w14:paraId="26B10A8F" w14:textId="77777777" w:rsidR="00F65CD1" w:rsidRPr="00974E00" w:rsidRDefault="00F65CD1" w:rsidP="00FE635F">
      <w:pPr>
        <w:spacing w:after="240"/>
        <w:jc w:val="both"/>
        <w:rPr>
          <w:color w:val="000000"/>
          <w:szCs w:val="22"/>
        </w:rPr>
      </w:pPr>
      <w:r w:rsidRPr="00974E00">
        <w:rPr>
          <w:color w:val="000000"/>
          <w:szCs w:val="22"/>
        </w:rPr>
        <w:t>As part of the PBAC process, patients, carers, members of the public, health professionals or members of consumer interest groups may provide comments and feedback on vaccines being considered by the PBAC via a web interface or in writing over a period of six weeks prior to PBAC meetings. These are provided to the PBAC in a de-identified form for consideration alongside the company submission.</w:t>
      </w:r>
    </w:p>
    <w:p w14:paraId="70EEC8D1" w14:textId="77777777" w:rsidR="00F65CD1" w:rsidRPr="00974E00" w:rsidRDefault="00F65CD1" w:rsidP="00FE635F">
      <w:pPr>
        <w:spacing w:after="240"/>
        <w:jc w:val="both"/>
        <w:rPr>
          <w:color w:val="000000"/>
          <w:szCs w:val="22"/>
        </w:rPr>
      </w:pPr>
      <w:r w:rsidRPr="00974E00">
        <w:rPr>
          <w:color w:val="000000"/>
          <w:szCs w:val="22"/>
        </w:rPr>
        <w:t>It was considered that further consultation for this Amendment Determination was unnecessary due to the nature of the consultation that had already taken place.</w:t>
      </w:r>
    </w:p>
    <w:p w14:paraId="139AF4F6" w14:textId="77777777" w:rsidR="00F65CD1" w:rsidRPr="00974E00" w:rsidRDefault="00F65CD1" w:rsidP="00FE635F">
      <w:pPr>
        <w:spacing w:after="240"/>
        <w:jc w:val="both"/>
        <w:rPr>
          <w:color w:val="000000"/>
          <w:szCs w:val="22"/>
        </w:rPr>
      </w:pPr>
      <w:r w:rsidRPr="00974E00">
        <w:rPr>
          <w:color w:val="000000"/>
          <w:szCs w:val="22"/>
        </w:rPr>
        <w:t>Details of the Amendment Determination are set out in Attachment 1.</w:t>
      </w:r>
    </w:p>
    <w:p w14:paraId="3AB43EBC" w14:textId="77777777" w:rsidR="00F65CD1" w:rsidRPr="00974E00" w:rsidRDefault="00F65CD1" w:rsidP="00FE635F">
      <w:pPr>
        <w:spacing w:after="240"/>
        <w:jc w:val="both"/>
        <w:rPr>
          <w:color w:val="000000"/>
          <w:szCs w:val="22"/>
        </w:rPr>
      </w:pPr>
      <w:r w:rsidRPr="00974E00">
        <w:rPr>
          <w:color w:val="000000"/>
          <w:szCs w:val="22"/>
        </w:rPr>
        <w:t>The Amendment Determination commences on the day after registration.</w:t>
      </w:r>
    </w:p>
    <w:p w14:paraId="2FD78312" w14:textId="6713827E" w:rsidR="00E968B1" w:rsidRPr="00974E00" w:rsidRDefault="00F65CD1" w:rsidP="00FE635F">
      <w:pPr>
        <w:spacing w:after="200" w:line="276" w:lineRule="auto"/>
        <w:rPr>
          <w:color w:val="000000"/>
          <w:szCs w:val="22"/>
        </w:rPr>
      </w:pPr>
      <w:r w:rsidRPr="00974E00">
        <w:rPr>
          <w:color w:val="000000"/>
          <w:szCs w:val="22"/>
        </w:rPr>
        <w:t xml:space="preserve">The Amendment Determination is a legislative instrument for the purposes of the </w:t>
      </w:r>
      <w:r w:rsidRPr="00974E00">
        <w:rPr>
          <w:i/>
          <w:color w:val="000000"/>
          <w:szCs w:val="22"/>
        </w:rPr>
        <w:t>Legislation Act 2003</w:t>
      </w:r>
      <w:r w:rsidRPr="00974E00">
        <w:rPr>
          <w:color w:val="000000"/>
          <w:szCs w:val="22"/>
        </w:rPr>
        <w:t>.</w:t>
      </w:r>
    </w:p>
    <w:p w14:paraId="72821A40" w14:textId="77777777" w:rsidR="00E968B1" w:rsidRPr="00974E00" w:rsidRDefault="00E968B1" w:rsidP="00FE635F">
      <w:pPr>
        <w:spacing w:after="200" w:line="276" w:lineRule="auto"/>
        <w:rPr>
          <w:color w:val="000000"/>
          <w:szCs w:val="22"/>
        </w:rPr>
      </w:pPr>
      <w:r w:rsidRPr="00974E00">
        <w:rPr>
          <w:color w:val="000000"/>
          <w:szCs w:val="22"/>
        </w:rPr>
        <w:br w:type="page"/>
      </w:r>
    </w:p>
    <w:p w14:paraId="248A00A0" w14:textId="77777777" w:rsidR="00F65CD1" w:rsidRPr="00974E00" w:rsidRDefault="00F65CD1" w:rsidP="00FE635F">
      <w:pPr>
        <w:spacing w:after="200" w:line="276" w:lineRule="auto"/>
        <w:jc w:val="right"/>
        <w:rPr>
          <w:b/>
          <w:i/>
        </w:rPr>
      </w:pPr>
      <w:r w:rsidRPr="00974E00">
        <w:rPr>
          <w:b/>
        </w:rPr>
        <w:lastRenderedPageBreak/>
        <w:t>ATTACHMENT 1</w:t>
      </w:r>
    </w:p>
    <w:p w14:paraId="5D46C5BA" w14:textId="77777777" w:rsidR="00F65CD1" w:rsidRPr="00974E00" w:rsidRDefault="00F65CD1" w:rsidP="00FE635F">
      <w:pPr>
        <w:jc w:val="both"/>
        <w:rPr>
          <w:b/>
        </w:rPr>
      </w:pPr>
    </w:p>
    <w:p w14:paraId="7F1C54F8" w14:textId="1DD08732" w:rsidR="00F65CD1" w:rsidRPr="00974E00" w:rsidRDefault="00F65CD1" w:rsidP="00FE635F">
      <w:pPr>
        <w:jc w:val="both"/>
        <w:rPr>
          <w:b/>
          <w:iCs/>
        </w:rPr>
      </w:pPr>
      <w:r w:rsidRPr="00974E00">
        <w:rPr>
          <w:b/>
        </w:rPr>
        <w:t xml:space="preserve">Details of the </w:t>
      </w:r>
      <w:r w:rsidRPr="00974E00">
        <w:rPr>
          <w:b/>
          <w:i/>
        </w:rPr>
        <w:t>National Health (Immunisation Program – Designated Vaccines) Amendment Determination (No. 1) 20</w:t>
      </w:r>
      <w:r w:rsidR="001A59A8" w:rsidRPr="00974E00">
        <w:rPr>
          <w:b/>
          <w:i/>
        </w:rPr>
        <w:t>2</w:t>
      </w:r>
      <w:r w:rsidR="00DD0A11" w:rsidRPr="00974E00">
        <w:rPr>
          <w:b/>
          <w:i/>
        </w:rPr>
        <w:t>3</w:t>
      </w:r>
      <w:r w:rsidR="00E968B1" w:rsidRPr="00974E00">
        <w:rPr>
          <w:b/>
          <w:i/>
        </w:rPr>
        <w:t xml:space="preserve"> </w:t>
      </w:r>
      <w:r w:rsidR="00E968B1" w:rsidRPr="00974E00">
        <w:rPr>
          <w:b/>
          <w:iCs/>
        </w:rPr>
        <w:t>(Amendment Determination)</w:t>
      </w:r>
    </w:p>
    <w:p w14:paraId="7CF4BD94" w14:textId="77777777" w:rsidR="00F65CD1" w:rsidRPr="00974E00" w:rsidRDefault="00F65CD1" w:rsidP="00FE635F">
      <w:pPr>
        <w:jc w:val="both"/>
        <w:rPr>
          <w:b/>
        </w:rPr>
      </w:pPr>
    </w:p>
    <w:p w14:paraId="5419D0F9" w14:textId="77777777" w:rsidR="00F65CD1" w:rsidRPr="00974E00" w:rsidRDefault="00F65CD1" w:rsidP="00FE635F">
      <w:pPr>
        <w:jc w:val="both"/>
        <w:rPr>
          <w:u w:val="single"/>
        </w:rPr>
      </w:pPr>
      <w:r w:rsidRPr="00974E00">
        <w:rPr>
          <w:u w:val="single"/>
        </w:rPr>
        <w:t>Section 1 – Name</w:t>
      </w:r>
    </w:p>
    <w:p w14:paraId="7D72C42F" w14:textId="77777777" w:rsidR="00F65CD1" w:rsidRPr="00974E00" w:rsidRDefault="00F65CD1" w:rsidP="00FE635F">
      <w:pPr>
        <w:jc w:val="both"/>
        <w:rPr>
          <w:u w:val="single"/>
        </w:rPr>
      </w:pPr>
    </w:p>
    <w:p w14:paraId="36DD3636" w14:textId="63DF4E65" w:rsidR="00F65CD1" w:rsidRPr="00974E00" w:rsidRDefault="00F65CD1" w:rsidP="00FE635F">
      <w:pPr>
        <w:jc w:val="both"/>
        <w:rPr>
          <w:i/>
        </w:rPr>
      </w:pPr>
      <w:r w:rsidRPr="00974E00">
        <w:t xml:space="preserve">Section 1 provides that the name of the instrument is the </w:t>
      </w:r>
      <w:r w:rsidRPr="00974E00">
        <w:rPr>
          <w:i/>
        </w:rPr>
        <w:t>National Health (Immunisation Program – Designated Vaccines) Amendment Determination (No.1) 202</w:t>
      </w:r>
      <w:r w:rsidR="00DD0A11" w:rsidRPr="00974E00">
        <w:rPr>
          <w:i/>
        </w:rPr>
        <w:t>3</w:t>
      </w:r>
      <w:r w:rsidRPr="00974E00">
        <w:rPr>
          <w:i/>
        </w:rPr>
        <w:t>.</w:t>
      </w:r>
    </w:p>
    <w:p w14:paraId="5F758843" w14:textId="77777777" w:rsidR="00F65CD1" w:rsidRPr="00974E00" w:rsidRDefault="00F65CD1" w:rsidP="00FE635F">
      <w:pPr>
        <w:jc w:val="both"/>
      </w:pPr>
    </w:p>
    <w:p w14:paraId="3AF95997" w14:textId="77777777" w:rsidR="00F65CD1" w:rsidRPr="00974E00" w:rsidRDefault="00F65CD1" w:rsidP="00FE635F">
      <w:pPr>
        <w:jc w:val="both"/>
        <w:rPr>
          <w:u w:val="single"/>
        </w:rPr>
      </w:pPr>
      <w:r w:rsidRPr="00974E00">
        <w:rPr>
          <w:u w:val="single"/>
        </w:rPr>
        <w:t>Section 2 - Commencement</w:t>
      </w:r>
    </w:p>
    <w:p w14:paraId="0AEEDB3D" w14:textId="77777777" w:rsidR="00F65CD1" w:rsidRPr="00974E00" w:rsidRDefault="00F65CD1" w:rsidP="00FE635F">
      <w:pPr>
        <w:jc w:val="both"/>
        <w:rPr>
          <w:b/>
        </w:rPr>
      </w:pPr>
    </w:p>
    <w:p w14:paraId="085D5D6C" w14:textId="77777777" w:rsidR="00F65CD1" w:rsidRPr="00974E00" w:rsidRDefault="00F65CD1" w:rsidP="00FE635F">
      <w:pPr>
        <w:jc w:val="both"/>
      </w:pPr>
      <w:r w:rsidRPr="00974E00">
        <w:t>Section 2 provides that the Amendment Determination commences on the day after its registration.</w:t>
      </w:r>
    </w:p>
    <w:p w14:paraId="00D5BCCC" w14:textId="77777777" w:rsidR="00F65CD1" w:rsidRPr="00974E00" w:rsidRDefault="00F65CD1" w:rsidP="00FE635F">
      <w:pPr>
        <w:jc w:val="both"/>
      </w:pPr>
    </w:p>
    <w:p w14:paraId="22B8994E" w14:textId="77777777" w:rsidR="00F65CD1" w:rsidRPr="00974E00" w:rsidRDefault="00F65CD1" w:rsidP="00FE635F">
      <w:pPr>
        <w:jc w:val="both"/>
        <w:rPr>
          <w:u w:val="single"/>
        </w:rPr>
      </w:pPr>
      <w:r w:rsidRPr="00974E00">
        <w:rPr>
          <w:u w:val="single"/>
        </w:rPr>
        <w:t>Section 3 - Authority</w:t>
      </w:r>
    </w:p>
    <w:p w14:paraId="1EDE0BD9" w14:textId="77777777" w:rsidR="00F65CD1" w:rsidRPr="00974E00" w:rsidRDefault="00F65CD1" w:rsidP="00FE635F">
      <w:pPr>
        <w:jc w:val="both"/>
        <w:rPr>
          <w:b/>
        </w:rPr>
      </w:pPr>
    </w:p>
    <w:p w14:paraId="47793FE3" w14:textId="77777777" w:rsidR="00F65CD1" w:rsidRPr="00974E00" w:rsidRDefault="00F65CD1" w:rsidP="00FE635F">
      <w:pPr>
        <w:jc w:val="both"/>
        <w:rPr>
          <w:b/>
        </w:rPr>
      </w:pPr>
      <w:r w:rsidRPr="00974E00">
        <w:rPr>
          <w:sz w:val="23"/>
          <w:szCs w:val="23"/>
        </w:rPr>
        <w:t>Section 3 provides that the Amendment Determination is made under subsections 9</w:t>
      </w:r>
      <w:proofErr w:type="gramStart"/>
      <w:r w:rsidRPr="00974E00">
        <w:rPr>
          <w:sz w:val="23"/>
          <w:szCs w:val="23"/>
        </w:rPr>
        <w:t>B(</w:t>
      </w:r>
      <w:proofErr w:type="gramEnd"/>
      <w:r w:rsidRPr="00974E00">
        <w:rPr>
          <w:sz w:val="23"/>
          <w:szCs w:val="23"/>
        </w:rPr>
        <w:t xml:space="preserve">2) and (5) of the </w:t>
      </w:r>
      <w:r w:rsidRPr="00974E00">
        <w:rPr>
          <w:i/>
          <w:iCs/>
          <w:sz w:val="23"/>
          <w:szCs w:val="23"/>
        </w:rPr>
        <w:t>National Health Act 1953</w:t>
      </w:r>
      <w:r w:rsidRPr="00974E00">
        <w:rPr>
          <w:sz w:val="23"/>
          <w:szCs w:val="23"/>
        </w:rPr>
        <w:t>.</w:t>
      </w:r>
    </w:p>
    <w:p w14:paraId="1194C491" w14:textId="77777777" w:rsidR="00F65CD1" w:rsidRPr="00974E00" w:rsidRDefault="00F65CD1" w:rsidP="00FE635F">
      <w:pPr>
        <w:jc w:val="both"/>
        <w:rPr>
          <w:b/>
        </w:rPr>
      </w:pPr>
    </w:p>
    <w:p w14:paraId="1345A96C" w14:textId="77777777" w:rsidR="00F65CD1" w:rsidRPr="00974E00" w:rsidRDefault="00F65CD1" w:rsidP="00FE635F">
      <w:pPr>
        <w:jc w:val="both"/>
        <w:rPr>
          <w:u w:val="single"/>
        </w:rPr>
      </w:pPr>
      <w:r w:rsidRPr="00974E00">
        <w:rPr>
          <w:u w:val="single"/>
        </w:rPr>
        <w:t>Section 4 - Schedules</w:t>
      </w:r>
    </w:p>
    <w:p w14:paraId="7281574B" w14:textId="77777777" w:rsidR="00F65CD1" w:rsidRPr="00974E00" w:rsidRDefault="00F65CD1" w:rsidP="00FE635F">
      <w:pPr>
        <w:jc w:val="both"/>
        <w:rPr>
          <w:b/>
        </w:rPr>
      </w:pPr>
    </w:p>
    <w:p w14:paraId="66FEC7E3" w14:textId="77777777" w:rsidR="00F65CD1" w:rsidRPr="00974E00" w:rsidRDefault="00F65CD1" w:rsidP="00FE635F">
      <w:pPr>
        <w:jc w:val="both"/>
      </w:pPr>
      <w:r w:rsidRPr="00974E00">
        <w:t>Section 4 provides that the Amendment Determination amends the instrument specified in a schedule to the Amendment Determination, and any other item in a Schedule to the instrument has effect according to its terms.</w:t>
      </w:r>
    </w:p>
    <w:p w14:paraId="5747422E" w14:textId="77777777" w:rsidR="00F65CD1" w:rsidRPr="00974E00" w:rsidRDefault="00F65CD1" w:rsidP="00FE635F">
      <w:pPr>
        <w:jc w:val="both"/>
      </w:pPr>
    </w:p>
    <w:p w14:paraId="63C2BC12" w14:textId="77777777" w:rsidR="00F65CD1" w:rsidRPr="00974E00" w:rsidRDefault="00F65CD1" w:rsidP="00FE635F">
      <w:pPr>
        <w:jc w:val="both"/>
        <w:rPr>
          <w:u w:val="single"/>
        </w:rPr>
      </w:pPr>
      <w:r w:rsidRPr="00974E00">
        <w:rPr>
          <w:u w:val="single"/>
        </w:rPr>
        <w:t>Schedule 1 - Amendments</w:t>
      </w:r>
    </w:p>
    <w:p w14:paraId="40B5E4D1" w14:textId="77777777" w:rsidR="00F65CD1" w:rsidRPr="00974E00" w:rsidRDefault="00F65CD1" w:rsidP="00FE635F">
      <w:pPr>
        <w:jc w:val="both"/>
        <w:rPr>
          <w:u w:val="single"/>
        </w:rPr>
      </w:pPr>
    </w:p>
    <w:p w14:paraId="1D17FD72" w14:textId="77777777" w:rsidR="00F65CD1" w:rsidRPr="00974E00" w:rsidRDefault="00F65CD1" w:rsidP="00FE635F">
      <w:pPr>
        <w:jc w:val="both"/>
      </w:pPr>
      <w:r w:rsidRPr="00974E00">
        <w:t xml:space="preserve">Schedule 1 varies the </w:t>
      </w:r>
      <w:r w:rsidRPr="00974E00">
        <w:rPr>
          <w:i/>
        </w:rPr>
        <w:t xml:space="preserve">National Health (Immunisation Program – Designated Vaccines) Determination 2014 (No. 1) </w:t>
      </w:r>
      <w:r w:rsidRPr="00974E00">
        <w:t>(the Determination).</w:t>
      </w:r>
    </w:p>
    <w:p w14:paraId="3C62B7E2" w14:textId="77777777" w:rsidR="00F65CD1" w:rsidRPr="00974E00" w:rsidRDefault="00F65CD1" w:rsidP="00FE635F">
      <w:pPr>
        <w:jc w:val="both"/>
        <w:rPr>
          <w:b/>
          <w:i/>
        </w:rPr>
      </w:pPr>
    </w:p>
    <w:p w14:paraId="32353F28" w14:textId="18A2064C" w:rsidR="00F65CD1" w:rsidRPr="00974E00" w:rsidRDefault="00F65CD1" w:rsidP="00FE635F">
      <w:pPr>
        <w:jc w:val="both"/>
        <w:rPr>
          <w:b/>
          <w:color w:val="000000" w:themeColor="text1"/>
        </w:rPr>
      </w:pPr>
      <w:r w:rsidRPr="00974E00">
        <w:rPr>
          <w:b/>
          <w:color w:val="000000" w:themeColor="text1"/>
        </w:rPr>
        <w:t>Item 1 –</w:t>
      </w:r>
      <w:r w:rsidR="00E968B1" w:rsidRPr="00974E00">
        <w:rPr>
          <w:b/>
          <w:color w:val="000000" w:themeColor="text1"/>
        </w:rPr>
        <w:t xml:space="preserve"> A</w:t>
      </w:r>
      <w:r w:rsidRPr="00974E00">
        <w:rPr>
          <w:b/>
          <w:color w:val="000000" w:themeColor="text1"/>
        </w:rPr>
        <w:t>fter subsection 7(1A)</w:t>
      </w:r>
    </w:p>
    <w:p w14:paraId="3FC4A425" w14:textId="77777777" w:rsidR="00F65CD1" w:rsidRPr="00974E00" w:rsidRDefault="00F65CD1" w:rsidP="00FE635F">
      <w:pPr>
        <w:jc w:val="both"/>
        <w:rPr>
          <w:color w:val="000000" w:themeColor="text1"/>
        </w:rPr>
      </w:pPr>
    </w:p>
    <w:p w14:paraId="75D9E546" w14:textId="08CF729A" w:rsidR="00F65CD1" w:rsidRPr="00974E00" w:rsidRDefault="00F65CD1" w:rsidP="00FE635F">
      <w:pPr>
        <w:jc w:val="both"/>
        <w:rPr>
          <w:color w:val="000000" w:themeColor="text1"/>
        </w:rPr>
      </w:pPr>
      <w:r w:rsidRPr="00974E00">
        <w:rPr>
          <w:color w:val="000000" w:themeColor="text1"/>
        </w:rPr>
        <w:t>Item 1 inserts</w:t>
      </w:r>
      <w:r w:rsidR="00E968B1" w:rsidRPr="00974E00">
        <w:rPr>
          <w:color w:val="000000" w:themeColor="text1"/>
        </w:rPr>
        <w:t xml:space="preserve"> a new</w:t>
      </w:r>
      <w:r w:rsidRPr="00974E00">
        <w:rPr>
          <w:color w:val="000000" w:themeColor="text1"/>
        </w:rPr>
        <w:t xml:space="preserve"> subsection 7(1B) after subsection 7(1A) in the Determination. </w:t>
      </w:r>
      <w:r w:rsidRPr="00974E00">
        <w:t xml:space="preserve">Subsection 7(1B) </w:t>
      </w:r>
      <w:r w:rsidRPr="00974E00">
        <w:rPr>
          <w:color w:val="000000" w:themeColor="text1"/>
        </w:rPr>
        <w:t xml:space="preserve">specifies the circumstances in which the designated vaccine listed in item </w:t>
      </w:r>
      <w:r w:rsidRPr="00974E00">
        <w:rPr>
          <w:szCs w:val="22"/>
        </w:rPr>
        <w:t>108C</w:t>
      </w:r>
      <w:r w:rsidR="00DD0A11" w:rsidRPr="00974E00">
        <w:rPr>
          <w:szCs w:val="22"/>
        </w:rPr>
        <w:t xml:space="preserve"> </w:t>
      </w:r>
      <w:r w:rsidR="00DD0A11" w:rsidRPr="00974E00">
        <w:rPr>
          <w:color w:val="000000" w:themeColor="text1"/>
        </w:rPr>
        <w:t>of Schedule 1</w:t>
      </w:r>
      <w:r w:rsidR="00DD0A11" w:rsidRPr="00974E00">
        <w:rPr>
          <w:szCs w:val="22"/>
        </w:rPr>
        <w:t xml:space="preserve">, </w:t>
      </w:r>
      <w:proofErr w:type="spellStart"/>
      <w:r w:rsidR="00DD0A11" w:rsidRPr="00974E00">
        <w:rPr>
          <w:rFonts w:cstheme="minorHAnsi"/>
        </w:rPr>
        <w:t>MenQuadfi</w:t>
      </w:r>
      <w:proofErr w:type="spellEnd"/>
      <w:r w:rsidR="00DD0A11" w:rsidRPr="00974E00">
        <w:rPr>
          <w:rFonts w:cstheme="minorHAnsi"/>
        </w:rPr>
        <w:t>®,</w:t>
      </w:r>
      <w:r w:rsidR="00DD0A11" w:rsidRPr="00974E00">
        <w:t xml:space="preserve"> </w:t>
      </w:r>
      <w:r w:rsidRPr="00974E00">
        <w:rPr>
          <w:color w:val="000000" w:themeColor="text1"/>
        </w:rPr>
        <w:t>may be provided under the NIP</w:t>
      </w:r>
      <w:r w:rsidR="00E968B1" w:rsidRPr="00974E00">
        <w:rPr>
          <w:color w:val="000000" w:themeColor="text1"/>
        </w:rPr>
        <w:t xml:space="preserve"> to persons with certain medical conditions</w:t>
      </w:r>
      <w:r w:rsidRPr="00974E00">
        <w:rPr>
          <w:color w:val="000000" w:themeColor="text1"/>
        </w:rPr>
        <w:t>.</w:t>
      </w:r>
    </w:p>
    <w:p w14:paraId="0FDA5533" w14:textId="46034930" w:rsidR="005201A3" w:rsidRPr="00974E00" w:rsidRDefault="005201A3" w:rsidP="00FE635F">
      <w:pPr>
        <w:jc w:val="both"/>
        <w:rPr>
          <w:color w:val="000000" w:themeColor="text1"/>
        </w:rPr>
      </w:pPr>
    </w:p>
    <w:p w14:paraId="071B911B" w14:textId="1CAE3164" w:rsidR="005201A3" w:rsidRPr="00974E00" w:rsidRDefault="005201A3" w:rsidP="00FE635F">
      <w:pPr>
        <w:jc w:val="both"/>
        <w:rPr>
          <w:b/>
          <w:bCs/>
          <w:color w:val="000000" w:themeColor="text1"/>
        </w:rPr>
      </w:pPr>
      <w:r w:rsidRPr="00974E00">
        <w:rPr>
          <w:b/>
          <w:bCs/>
          <w:color w:val="000000" w:themeColor="text1"/>
        </w:rPr>
        <w:t xml:space="preserve">Item </w:t>
      </w:r>
      <w:r w:rsidR="00EE7839" w:rsidRPr="00974E00">
        <w:rPr>
          <w:b/>
          <w:bCs/>
          <w:color w:val="000000" w:themeColor="text1"/>
        </w:rPr>
        <w:t>2</w:t>
      </w:r>
      <w:r w:rsidRPr="00974E00">
        <w:rPr>
          <w:b/>
          <w:bCs/>
          <w:color w:val="000000" w:themeColor="text1"/>
        </w:rPr>
        <w:t xml:space="preserve"> –</w:t>
      </w:r>
      <w:r w:rsidR="00EE7839" w:rsidRPr="00974E00">
        <w:rPr>
          <w:b/>
          <w:bCs/>
          <w:color w:val="000000" w:themeColor="text1"/>
        </w:rPr>
        <w:t>S</w:t>
      </w:r>
      <w:r w:rsidRPr="00974E00">
        <w:rPr>
          <w:b/>
          <w:bCs/>
          <w:color w:val="000000" w:themeColor="text1"/>
        </w:rPr>
        <w:t>ubsection 7(11)</w:t>
      </w:r>
    </w:p>
    <w:p w14:paraId="6F503EB8" w14:textId="196C45BB" w:rsidR="00EE7839" w:rsidRPr="00974E00" w:rsidRDefault="00EE7839" w:rsidP="00FE635F">
      <w:pPr>
        <w:jc w:val="both"/>
        <w:rPr>
          <w:color w:val="000000" w:themeColor="text1"/>
        </w:rPr>
      </w:pPr>
      <w:r w:rsidRPr="00974E00">
        <w:rPr>
          <w:color w:val="000000" w:themeColor="text1"/>
        </w:rPr>
        <w:t>Item 2 omits</w:t>
      </w:r>
      <w:r w:rsidR="00797E4A" w:rsidRPr="00974E00">
        <w:rPr>
          <w:color w:val="000000" w:themeColor="text1"/>
        </w:rPr>
        <w:t xml:space="preserve"> item 218A</w:t>
      </w:r>
      <w:r w:rsidR="00DD0A11" w:rsidRPr="00974E00">
        <w:rPr>
          <w:color w:val="000000" w:themeColor="text1"/>
        </w:rPr>
        <w:t xml:space="preserve"> of Schedule 1</w:t>
      </w:r>
      <w:r w:rsidR="00797E4A" w:rsidRPr="00974E00">
        <w:rPr>
          <w:color w:val="000000" w:themeColor="text1"/>
        </w:rPr>
        <w:t>,</w:t>
      </w:r>
      <w:r w:rsidR="00797E4A" w:rsidRPr="00974E00">
        <w:t xml:space="preserve"> </w:t>
      </w:r>
      <w:r w:rsidR="00797E4A" w:rsidRPr="00974E00">
        <w:rPr>
          <w:color w:val="000000" w:themeColor="text1"/>
        </w:rPr>
        <w:t xml:space="preserve">HPV 9 Valent vaccine </w:t>
      </w:r>
      <w:r w:rsidR="00797E4A" w:rsidRPr="00974E00">
        <w:rPr>
          <w:bCs/>
          <w:color w:val="000000" w:themeColor="text1"/>
        </w:rPr>
        <w:t>Gardasil®9, from subsection 7(11) in the Determination, which specifies additional circumstances the vaccine may be provided under</w:t>
      </w:r>
      <w:r w:rsidR="00DD0A11" w:rsidRPr="00974E00">
        <w:rPr>
          <w:bCs/>
          <w:color w:val="000000" w:themeColor="text1"/>
        </w:rPr>
        <w:t>, as these no longer apply to this item.</w:t>
      </w:r>
    </w:p>
    <w:p w14:paraId="2450A15F" w14:textId="444B88F0" w:rsidR="00EE7839" w:rsidRPr="00974E00" w:rsidRDefault="00EE7839" w:rsidP="00FE635F">
      <w:pPr>
        <w:jc w:val="both"/>
        <w:rPr>
          <w:color w:val="000000" w:themeColor="text1"/>
        </w:rPr>
      </w:pPr>
    </w:p>
    <w:p w14:paraId="20D12758" w14:textId="013ED99B" w:rsidR="00EE7839" w:rsidRPr="00974E00" w:rsidRDefault="00EE7839" w:rsidP="00FE635F">
      <w:pPr>
        <w:jc w:val="both"/>
        <w:rPr>
          <w:b/>
          <w:bCs/>
          <w:color w:val="000000" w:themeColor="text1"/>
        </w:rPr>
      </w:pPr>
      <w:r w:rsidRPr="00974E00">
        <w:rPr>
          <w:b/>
          <w:bCs/>
          <w:color w:val="000000" w:themeColor="text1"/>
        </w:rPr>
        <w:t>Item 3 – After subsection 7(13)</w:t>
      </w:r>
    </w:p>
    <w:p w14:paraId="632EBFB6" w14:textId="137D8FFF" w:rsidR="00EE7839" w:rsidRPr="00974E00" w:rsidRDefault="00EE7839" w:rsidP="00FE635F">
      <w:pPr>
        <w:jc w:val="both"/>
        <w:rPr>
          <w:color w:val="000000" w:themeColor="text1"/>
        </w:rPr>
      </w:pPr>
    </w:p>
    <w:p w14:paraId="5309F7A3" w14:textId="25B379A9" w:rsidR="00EE7839" w:rsidRPr="00974E00" w:rsidRDefault="00EE7839" w:rsidP="00FE635F">
      <w:pPr>
        <w:jc w:val="both"/>
        <w:rPr>
          <w:color w:val="000000" w:themeColor="text1"/>
        </w:rPr>
      </w:pPr>
      <w:r w:rsidRPr="00974E00">
        <w:rPr>
          <w:color w:val="000000" w:themeColor="text1"/>
        </w:rPr>
        <w:t>Item 3 inserts a new subsection in the Determination. Subsection 7(14) specifics the circumstances in which the designated vaccine listed in item 218A of Schedule 1</w:t>
      </w:r>
      <w:r w:rsidR="00DD0A11" w:rsidRPr="00974E00">
        <w:rPr>
          <w:color w:val="000000" w:themeColor="text1"/>
        </w:rPr>
        <w:t xml:space="preserve">, HPV 9 Valent vaccine </w:t>
      </w:r>
      <w:r w:rsidR="00DD0A11" w:rsidRPr="00974E00">
        <w:rPr>
          <w:bCs/>
          <w:color w:val="000000" w:themeColor="text1"/>
        </w:rPr>
        <w:t>Gardasil®9,</w:t>
      </w:r>
      <w:r w:rsidR="00DD0A11" w:rsidRPr="00974E00">
        <w:rPr>
          <w:color w:val="000000" w:themeColor="text1"/>
        </w:rPr>
        <w:t xml:space="preserve"> </w:t>
      </w:r>
      <w:r w:rsidRPr="00974E00">
        <w:rPr>
          <w:color w:val="000000" w:themeColor="text1"/>
        </w:rPr>
        <w:t>may be provided under the NIP to persons with impaired immunity.</w:t>
      </w:r>
    </w:p>
    <w:p w14:paraId="2C4AFDAD" w14:textId="77777777" w:rsidR="00F65CD1" w:rsidRPr="00974E00" w:rsidRDefault="00F65CD1" w:rsidP="00FE635F">
      <w:pPr>
        <w:jc w:val="both"/>
        <w:rPr>
          <w:b/>
        </w:rPr>
      </w:pPr>
    </w:p>
    <w:p w14:paraId="53F293BD" w14:textId="64622F0A" w:rsidR="00F65CD1" w:rsidRPr="00974E00" w:rsidRDefault="00F65CD1" w:rsidP="00FE635F">
      <w:pPr>
        <w:jc w:val="both"/>
        <w:rPr>
          <w:b/>
        </w:rPr>
      </w:pPr>
      <w:r w:rsidRPr="00974E00">
        <w:rPr>
          <w:b/>
        </w:rPr>
        <w:t xml:space="preserve">Item </w:t>
      </w:r>
      <w:r w:rsidR="00EE7839" w:rsidRPr="00974E00">
        <w:rPr>
          <w:b/>
        </w:rPr>
        <w:t>4</w:t>
      </w:r>
      <w:r w:rsidRPr="00974E00">
        <w:rPr>
          <w:b/>
        </w:rPr>
        <w:t xml:space="preserve"> – </w:t>
      </w:r>
      <w:r w:rsidRPr="00974E00">
        <w:rPr>
          <w:b/>
          <w:color w:val="000000"/>
          <w:szCs w:val="22"/>
        </w:rPr>
        <w:t>Part 1 of Schedule 1 (after table item 108B)</w:t>
      </w:r>
    </w:p>
    <w:p w14:paraId="52B5B53E" w14:textId="0279D9A3" w:rsidR="00DD0A11" w:rsidRPr="00974E00" w:rsidRDefault="00F65CD1" w:rsidP="00FE635F">
      <w:pPr>
        <w:spacing w:before="100" w:beforeAutospacing="1" w:after="100" w:afterAutospacing="1"/>
        <w:jc w:val="both"/>
      </w:pPr>
      <w:r w:rsidRPr="00974E00">
        <w:t xml:space="preserve">Item </w:t>
      </w:r>
      <w:r w:rsidR="00DD0A11" w:rsidRPr="00974E00">
        <w:t>4</w:t>
      </w:r>
      <w:r w:rsidRPr="00974E00">
        <w:t xml:space="preserve"> inserts a new item 108C in Part 1 of Schedule 1 (after table item 108B). Item 108C in Part 1 of Schedule 1 determines that the </w:t>
      </w:r>
      <w:r w:rsidR="00FE635F" w:rsidRPr="00974E00">
        <w:rPr>
          <w:rFonts w:cs="Calibri"/>
        </w:rPr>
        <w:t>meningococcal serogroup A, C, W-135 and Y Polysaccharide Tetanus Toxoid Conjugate (</w:t>
      </w:r>
      <w:proofErr w:type="spellStart"/>
      <w:r w:rsidR="00FE635F" w:rsidRPr="00974E00">
        <w:rPr>
          <w:rFonts w:cs="Calibri"/>
        </w:rPr>
        <w:t>MenACWY</w:t>
      </w:r>
      <w:proofErr w:type="spellEnd"/>
      <w:r w:rsidR="00FE635F" w:rsidRPr="00974E00">
        <w:rPr>
          <w:rFonts w:cs="Calibri"/>
        </w:rPr>
        <w:t>-TT) vaccine (</w:t>
      </w:r>
      <w:proofErr w:type="spellStart"/>
      <w:r w:rsidR="00FE635F" w:rsidRPr="00974E00">
        <w:rPr>
          <w:rFonts w:cs="Calibri"/>
        </w:rPr>
        <w:t>MenQuadfi</w:t>
      </w:r>
      <w:proofErr w:type="spellEnd"/>
      <w:r w:rsidR="00FE635F" w:rsidRPr="00974E00">
        <w:rPr>
          <w:rFonts w:cs="Calibri"/>
        </w:rPr>
        <w:t>®)”</w:t>
      </w:r>
      <w:r w:rsidRPr="00974E00">
        <w:t xml:space="preserve">is a </w:t>
      </w:r>
      <w:r w:rsidRPr="00974E00">
        <w:lastRenderedPageBreak/>
        <w:t xml:space="preserve">designated vaccine for the purposes of the Act. Additionally, it specifies the circumstances in which the vaccine can be provided. </w:t>
      </w:r>
    </w:p>
    <w:p w14:paraId="44D27816" w14:textId="4AAB7D4D" w:rsidR="00EE7839" w:rsidRPr="00974E00" w:rsidRDefault="00EE7839" w:rsidP="00FE635F">
      <w:pPr>
        <w:spacing w:before="100" w:beforeAutospacing="1" w:after="100" w:afterAutospacing="1"/>
        <w:jc w:val="both"/>
        <w:rPr>
          <w:b/>
          <w:bCs/>
        </w:rPr>
      </w:pPr>
      <w:r w:rsidRPr="00974E00">
        <w:rPr>
          <w:b/>
          <w:bCs/>
        </w:rPr>
        <w:t xml:space="preserve">Item 5 – Part </w:t>
      </w:r>
      <w:r w:rsidR="00DD0A11" w:rsidRPr="00974E00">
        <w:rPr>
          <w:b/>
          <w:bCs/>
        </w:rPr>
        <w:t>2</w:t>
      </w:r>
      <w:r w:rsidRPr="00974E00">
        <w:rPr>
          <w:b/>
          <w:bCs/>
        </w:rPr>
        <w:t xml:space="preserve"> of Schedule 1 (table item 218A)</w:t>
      </w:r>
    </w:p>
    <w:p w14:paraId="2BFA8E5F" w14:textId="4D7A209A" w:rsidR="00EE7839" w:rsidRPr="00974E00" w:rsidRDefault="00EE7839" w:rsidP="00FE635F">
      <w:pPr>
        <w:spacing w:before="100" w:beforeAutospacing="1" w:after="100" w:afterAutospacing="1"/>
        <w:jc w:val="both"/>
        <w:rPr>
          <w:bCs/>
        </w:rPr>
      </w:pPr>
      <w:r w:rsidRPr="00974E00">
        <w:t xml:space="preserve">Item 5 </w:t>
      </w:r>
      <w:r w:rsidR="00DD0A11" w:rsidRPr="00974E00">
        <w:t xml:space="preserve">repeals the table item and substitutes </w:t>
      </w:r>
      <w:r w:rsidRPr="00974E00">
        <w:t xml:space="preserve">a revised </w:t>
      </w:r>
      <w:r w:rsidR="00DD0A11" w:rsidRPr="00974E00">
        <w:t>i</w:t>
      </w:r>
      <w:r w:rsidRPr="00974E00">
        <w:t xml:space="preserve">tem 218A in part 2 of Schedule 1 which determines that HPV 9 Valent vaccine </w:t>
      </w:r>
      <w:r w:rsidRPr="00974E00">
        <w:rPr>
          <w:bCs/>
        </w:rPr>
        <w:t xml:space="preserve">Gardasil®9 is a designated vaccine for the purposes of the Act. </w:t>
      </w:r>
      <w:r w:rsidR="00DD0A11" w:rsidRPr="00974E00">
        <w:rPr>
          <w:bCs/>
        </w:rPr>
        <w:t>Additionally,</w:t>
      </w:r>
      <w:r w:rsidRPr="00974E00">
        <w:rPr>
          <w:bCs/>
        </w:rPr>
        <w:t xml:space="preserve"> it specifies the circumstances in which the vaccine can be provided</w:t>
      </w:r>
      <w:r w:rsidR="00DD0A11" w:rsidRPr="00974E00">
        <w:rPr>
          <w:bCs/>
        </w:rPr>
        <w:t>.</w:t>
      </w:r>
    </w:p>
    <w:p w14:paraId="15EC1EC1" w14:textId="54B33EAB" w:rsidR="00DD0A11" w:rsidRPr="00974E00" w:rsidRDefault="00DD0A11" w:rsidP="00FE635F">
      <w:pPr>
        <w:spacing w:before="100" w:beforeAutospacing="1" w:after="100" w:afterAutospacing="1"/>
        <w:jc w:val="both"/>
      </w:pPr>
      <w:r w:rsidRPr="00974E00">
        <w:rPr>
          <w:bCs/>
        </w:rPr>
        <w:t>The changes to this item are the doses from 2 doses to 1 dose and an increase in the upper age limit for catch up vaccinations.</w:t>
      </w:r>
    </w:p>
    <w:p w14:paraId="21371C03" w14:textId="61418218" w:rsidR="00E968B1" w:rsidRPr="00974E00" w:rsidRDefault="00E968B1" w:rsidP="00FE635F">
      <w:pPr>
        <w:jc w:val="both"/>
        <w:rPr>
          <w:b/>
        </w:rPr>
      </w:pPr>
      <w:r w:rsidRPr="00974E00">
        <w:rPr>
          <w:b/>
        </w:rPr>
        <w:t xml:space="preserve">Item </w:t>
      </w:r>
      <w:r w:rsidR="00EE7839" w:rsidRPr="00974E00">
        <w:rPr>
          <w:b/>
        </w:rPr>
        <w:t>6</w:t>
      </w:r>
      <w:r w:rsidRPr="00974E00">
        <w:rPr>
          <w:b/>
        </w:rPr>
        <w:t xml:space="preserve"> – </w:t>
      </w:r>
      <w:r w:rsidRPr="00974E00">
        <w:rPr>
          <w:b/>
          <w:color w:val="000000"/>
          <w:szCs w:val="22"/>
        </w:rPr>
        <w:t>Part 3 of Schedule 1 (after table item 305</w:t>
      </w:r>
      <w:r w:rsidR="00560E54" w:rsidRPr="00974E00">
        <w:rPr>
          <w:b/>
          <w:color w:val="000000"/>
          <w:szCs w:val="22"/>
        </w:rPr>
        <w:t>A</w:t>
      </w:r>
      <w:r w:rsidRPr="00974E00">
        <w:rPr>
          <w:b/>
          <w:color w:val="000000"/>
          <w:szCs w:val="22"/>
        </w:rPr>
        <w:t>)</w:t>
      </w:r>
    </w:p>
    <w:p w14:paraId="5A3A6D3D" w14:textId="396428E5" w:rsidR="00E968B1" w:rsidRPr="00974E00" w:rsidRDefault="00E968B1" w:rsidP="00FE635F">
      <w:pPr>
        <w:spacing w:before="100" w:beforeAutospacing="1" w:after="100" w:afterAutospacing="1"/>
        <w:jc w:val="both"/>
      </w:pPr>
      <w:r w:rsidRPr="00974E00">
        <w:t xml:space="preserve">Item </w:t>
      </w:r>
      <w:r w:rsidR="00DD0A11" w:rsidRPr="00974E00">
        <w:t>6</w:t>
      </w:r>
      <w:r w:rsidRPr="00974E00">
        <w:t xml:space="preserve"> inserts a new item </w:t>
      </w:r>
      <w:r w:rsidR="00046546" w:rsidRPr="00974E00">
        <w:t>305</w:t>
      </w:r>
      <w:r w:rsidR="00560E54" w:rsidRPr="00974E00">
        <w:t>B</w:t>
      </w:r>
      <w:r w:rsidRPr="00974E00">
        <w:t xml:space="preserve"> in Part </w:t>
      </w:r>
      <w:r w:rsidR="00560E54" w:rsidRPr="00974E00">
        <w:t>3</w:t>
      </w:r>
      <w:r w:rsidRPr="00974E00">
        <w:t xml:space="preserve"> of Schedule 1 (after table item </w:t>
      </w:r>
      <w:r w:rsidR="00560E54" w:rsidRPr="00974E00">
        <w:t>305A</w:t>
      </w:r>
      <w:r w:rsidRPr="00974E00">
        <w:t xml:space="preserve">). Item </w:t>
      </w:r>
      <w:r w:rsidR="00560E54" w:rsidRPr="00974E00">
        <w:t>305B</w:t>
      </w:r>
      <w:r w:rsidRPr="00974E00">
        <w:t xml:space="preserve"> in Part </w:t>
      </w:r>
      <w:r w:rsidR="00560E54" w:rsidRPr="00974E00">
        <w:t>3</w:t>
      </w:r>
      <w:r w:rsidRPr="00974E00">
        <w:t xml:space="preserve"> of Schedule 1 determines that the </w:t>
      </w:r>
      <w:r w:rsidR="002C4F33" w:rsidRPr="00974E00">
        <w:rPr>
          <w:color w:val="000000"/>
          <w:szCs w:val="22"/>
        </w:rPr>
        <w:t>diphtheria</w:t>
      </w:r>
      <w:r w:rsidR="00560E54" w:rsidRPr="00974E00">
        <w:rPr>
          <w:color w:val="000000"/>
          <w:szCs w:val="22"/>
        </w:rPr>
        <w:t xml:space="preserve"> (D), tetanus (T), pertussis (P), </w:t>
      </w:r>
      <w:r w:rsidR="002C4F33" w:rsidRPr="00974E00">
        <w:rPr>
          <w:color w:val="000000"/>
          <w:szCs w:val="22"/>
        </w:rPr>
        <w:t>hepatitis</w:t>
      </w:r>
      <w:r w:rsidR="00560E54" w:rsidRPr="00974E00">
        <w:rPr>
          <w:color w:val="000000"/>
          <w:szCs w:val="22"/>
        </w:rPr>
        <w:t xml:space="preserve"> B (HB), poliomyelitis (IPV) and haemophilus influenzae Type B (Hib) Conjugate (</w:t>
      </w:r>
      <w:proofErr w:type="spellStart"/>
      <w:r w:rsidR="00560E54" w:rsidRPr="00974E00">
        <w:rPr>
          <w:color w:val="000000"/>
          <w:szCs w:val="22"/>
        </w:rPr>
        <w:t>DTPa</w:t>
      </w:r>
      <w:proofErr w:type="spellEnd"/>
      <w:r w:rsidR="00560E54" w:rsidRPr="00974E00">
        <w:rPr>
          <w:color w:val="000000"/>
          <w:szCs w:val="22"/>
        </w:rPr>
        <w:t xml:space="preserve">-HB-IPV-Hib, </w:t>
      </w:r>
      <w:proofErr w:type="spellStart"/>
      <w:r w:rsidR="00560E54" w:rsidRPr="00974E00">
        <w:t>Vaxelis</w:t>
      </w:r>
      <w:proofErr w:type="spellEnd"/>
      <w:r w:rsidR="00560E54" w:rsidRPr="00974E00">
        <w:t>®</w:t>
      </w:r>
      <w:r w:rsidR="00560E54" w:rsidRPr="00974E00">
        <w:rPr>
          <w:snapToGrid w:val="0"/>
        </w:rPr>
        <w:t>)</w:t>
      </w:r>
      <w:r w:rsidR="00560E54" w:rsidRPr="00974E00">
        <w:rPr>
          <w:color w:val="000000"/>
          <w:szCs w:val="22"/>
        </w:rPr>
        <w:t xml:space="preserve"> </w:t>
      </w:r>
      <w:r w:rsidRPr="00974E00">
        <w:t xml:space="preserve">is a designated vaccine for the purposes of the Act. Additionally, it specifies the circumstances in which the vaccine can be provided. </w:t>
      </w:r>
    </w:p>
    <w:p w14:paraId="260A4181" w14:textId="77777777" w:rsidR="00F8310C" w:rsidRPr="00974E00" w:rsidRDefault="00F8310C">
      <w:pPr>
        <w:spacing w:after="200" w:line="276" w:lineRule="auto"/>
        <w:rPr>
          <w:b/>
          <w:sz w:val="28"/>
          <w:szCs w:val="28"/>
        </w:rPr>
      </w:pPr>
      <w:r w:rsidRPr="00974E00">
        <w:rPr>
          <w:b/>
          <w:sz w:val="28"/>
          <w:szCs w:val="28"/>
        </w:rPr>
        <w:br w:type="page"/>
      </w:r>
    </w:p>
    <w:p w14:paraId="6AAE5ED6" w14:textId="3735CD1A" w:rsidR="00F65CD1" w:rsidRPr="00974E00" w:rsidRDefault="00F65CD1" w:rsidP="00FE635F">
      <w:pPr>
        <w:spacing w:after="200" w:line="276" w:lineRule="auto"/>
        <w:jc w:val="center"/>
        <w:rPr>
          <w:b/>
          <w:sz w:val="28"/>
          <w:szCs w:val="28"/>
        </w:rPr>
      </w:pPr>
      <w:r w:rsidRPr="00974E00">
        <w:rPr>
          <w:b/>
          <w:sz w:val="28"/>
          <w:szCs w:val="28"/>
        </w:rPr>
        <w:lastRenderedPageBreak/>
        <w:t>Statement of Compatibility with Human Rights</w:t>
      </w:r>
    </w:p>
    <w:p w14:paraId="3E7936E5" w14:textId="77777777" w:rsidR="00F65CD1" w:rsidRPr="00974E00" w:rsidRDefault="00F65CD1" w:rsidP="00FE635F">
      <w:pPr>
        <w:keepNext/>
        <w:keepLines/>
        <w:jc w:val="center"/>
        <w:rPr>
          <w:i/>
        </w:rPr>
      </w:pPr>
      <w:r w:rsidRPr="00974E00">
        <w:rPr>
          <w:i/>
        </w:rPr>
        <w:t>Prepared in accordance with Part 3 of the Human Rights (Parliamentary Scrutiny) Act 2011</w:t>
      </w:r>
    </w:p>
    <w:p w14:paraId="4B3BD265" w14:textId="77777777" w:rsidR="00F65CD1" w:rsidRPr="00974E00" w:rsidRDefault="00F65CD1" w:rsidP="00FE635F">
      <w:pPr>
        <w:keepNext/>
        <w:keepLines/>
        <w:ind w:right="45"/>
        <w:jc w:val="center"/>
        <w:rPr>
          <w:b/>
          <w:iCs/>
        </w:rPr>
      </w:pPr>
    </w:p>
    <w:p w14:paraId="51035969" w14:textId="5281B13B" w:rsidR="00F65CD1" w:rsidRPr="00974E00" w:rsidRDefault="00F65CD1" w:rsidP="00FE635F">
      <w:pPr>
        <w:jc w:val="center"/>
        <w:rPr>
          <w:b/>
          <w:bCs/>
          <w:i/>
        </w:rPr>
      </w:pPr>
      <w:r w:rsidRPr="00974E00">
        <w:rPr>
          <w:b/>
          <w:bCs/>
          <w:i/>
        </w:rPr>
        <w:t>National Health (Immunisation Program – Designated Vaccines) Amendment</w:t>
      </w:r>
      <w:r w:rsidRPr="00974E00">
        <w:rPr>
          <w:b/>
          <w:bCs/>
          <w:i/>
        </w:rPr>
        <w:br/>
        <w:t>Determination (No.1) 202</w:t>
      </w:r>
      <w:r w:rsidR="002C4F33" w:rsidRPr="00974E00">
        <w:rPr>
          <w:b/>
          <w:bCs/>
          <w:i/>
        </w:rPr>
        <w:t>3</w:t>
      </w:r>
    </w:p>
    <w:p w14:paraId="088A007E" w14:textId="77777777" w:rsidR="00F65CD1" w:rsidRPr="00974E00" w:rsidRDefault="00F65CD1" w:rsidP="00FE635F">
      <w:pPr>
        <w:keepNext/>
        <w:keepLines/>
        <w:ind w:right="45"/>
        <w:jc w:val="center"/>
        <w:rPr>
          <w:b/>
          <w:iCs/>
        </w:rPr>
      </w:pPr>
    </w:p>
    <w:p w14:paraId="3141921A" w14:textId="77777777" w:rsidR="00F65CD1" w:rsidRPr="00974E00" w:rsidRDefault="00F65CD1" w:rsidP="00FE635F">
      <w:pPr>
        <w:spacing w:after="240"/>
        <w:ind w:right="-136"/>
        <w:jc w:val="both"/>
      </w:pPr>
      <w:r w:rsidRPr="00974E00">
        <w:t xml:space="preserve">This Legislative Instrument is compatible with the human rights and freedoms recognised or declared in the international instruments listed in section 3 of the </w:t>
      </w:r>
      <w:r w:rsidRPr="00974E00">
        <w:rPr>
          <w:i/>
        </w:rPr>
        <w:t>Human Rights (Parliamentary Scrutiny) Act 2011</w:t>
      </w:r>
      <w:r w:rsidRPr="00974E00">
        <w:t>.</w:t>
      </w:r>
    </w:p>
    <w:p w14:paraId="3B8ECF5B" w14:textId="77777777" w:rsidR="00F65CD1" w:rsidRPr="00974E00" w:rsidRDefault="00F65CD1" w:rsidP="00FE635F">
      <w:pPr>
        <w:keepNext/>
        <w:keepLines/>
        <w:spacing w:after="120"/>
        <w:ind w:right="91"/>
        <w:jc w:val="both"/>
      </w:pPr>
      <w:r w:rsidRPr="00974E00">
        <w:rPr>
          <w:b/>
        </w:rPr>
        <w:t>Overview of the Legislative Instrument</w:t>
      </w:r>
    </w:p>
    <w:p w14:paraId="70B59CB7" w14:textId="54790EAE" w:rsidR="00F65CD1" w:rsidRPr="00974E00" w:rsidRDefault="00F65CD1" w:rsidP="00FE635F">
      <w:pPr>
        <w:keepNext/>
        <w:keepLines/>
        <w:spacing w:after="120"/>
        <w:ind w:right="-136"/>
        <w:jc w:val="both"/>
      </w:pPr>
      <w:r w:rsidRPr="00974E00">
        <w:t xml:space="preserve">The </w:t>
      </w:r>
      <w:r w:rsidRPr="00974E00">
        <w:rPr>
          <w:i/>
        </w:rPr>
        <w:t>National Health (Immunisation Program – Designated Vaccines) Amendment Determination (No. 1) 202</w:t>
      </w:r>
      <w:r w:rsidR="002C4F33" w:rsidRPr="00974E00">
        <w:rPr>
          <w:i/>
        </w:rPr>
        <w:t>3</w:t>
      </w:r>
      <w:r w:rsidRPr="00974E00">
        <w:rPr>
          <w:i/>
        </w:rPr>
        <w:t xml:space="preserve"> </w:t>
      </w:r>
      <w:r w:rsidRPr="00974E00">
        <w:t xml:space="preserve">(the Amendment Determination) varies the </w:t>
      </w:r>
      <w:r w:rsidRPr="00974E00">
        <w:rPr>
          <w:bCs/>
          <w:i/>
        </w:rPr>
        <w:t>National Health (Immunisation Program – Designated Vaccines) Determination 2014 (No.1</w:t>
      </w:r>
      <w:r w:rsidRPr="00974E00">
        <w:t>) (the Determination), which determines, under subsection 9</w:t>
      </w:r>
      <w:proofErr w:type="gramStart"/>
      <w:r w:rsidRPr="00974E00">
        <w:t>B(</w:t>
      </w:r>
      <w:proofErr w:type="gramEnd"/>
      <w:r w:rsidRPr="00974E00">
        <w:t>2) of the</w:t>
      </w:r>
      <w:r w:rsidRPr="00974E00">
        <w:rPr>
          <w:i/>
        </w:rPr>
        <w:t xml:space="preserve"> National Health Act 1953</w:t>
      </w:r>
      <w:r w:rsidRPr="00974E00">
        <w:t xml:space="preserve"> (the Act), that a specified vaccine in the instrument is a designated vaccine for the purposes of the Act. Additionally the Amendment Determination specifies under subsection 9</w:t>
      </w:r>
      <w:proofErr w:type="gramStart"/>
      <w:r w:rsidRPr="00974E00">
        <w:t>B(</w:t>
      </w:r>
      <w:proofErr w:type="gramEnd"/>
      <w:r w:rsidRPr="00974E00">
        <w:t>5) of the Act, the circumstances in which the vaccine can be provided.</w:t>
      </w:r>
    </w:p>
    <w:p w14:paraId="0249FD57" w14:textId="37E0C2E8" w:rsidR="00F65CD1" w:rsidRPr="00974E00" w:rsidRDefault="00F65CD1" w:rsidP="00FE635F">
      <w:pPr>
        <w:jc w:val="both"/>
        <w:rPr>
          <w:lang w:eastAsia="en-US"/>
        </w:rPr>
      </w:pPr>
      <w:r w:rsidRPr="00974E00">
        <w:rPr>
          <w:lang w:eastAsia="en-US"/>
        </w:rPr>
        <w:t xml:space="preserve">The Amendment Determination </w:t>
      </w:r>
      <w:r w:rsidR="00FC302E" w:rsidRPr="00974E00">
        <w:t>adds</w:t>
      </w:r>
      <w:r w:rsidRPr="00974E00">
        <w:t xml:space="preserve"> </w:t>
      </w:r>
      <w:proofErr w:type="spellStart"/>
      <w:r w:rsidRPr="00974E00">
        <w:rPr>
          <w:rFonts w:cstheme="minorHAnsi"/>
        </w:rPr>
        <w:t>MenQuadfi</w:t>
      </w:r>
      <w:proofErr w:type="spellEnd"/>
      <w:r w:rsidRPr="00974E00">
        <w:rPr>
          <w:rFonts w:cstheme="minorHAnsi"/>
        </w:rPr>
        <w:t>®</w:t>
      </w:r>
      <w:r w:rsidRPr="00974E00">
        <w:t xml:space="preserve"> on the </w:t>
      </w:r>
      <w:r w:rsidR="00FC302E" w:rsidRPr="00974E00">
        <w:t>National Immunisation Program (</w:t>
      </w:r>
      <w:r w:rsidRPr="00974E00">
        <w:t>NIP</w:t>
      </w:r>
      <w:r w:rsidR="00FC302E" w:rsidRPr="00974E00">
        <w:t>)</w:t>
      </w:r>
      <w:r w:rsidRPr="00974E00">
        <w:t xml:space="preserve">, for the prevention of Invasive Meningococcal Disease caused by </w:t>
      </w:r>
      <w:r w:rsidRPr="00974E00">
        <w:rPr>
          <w:i/>
        </w:rPr>
        <w:t>Neisseria meningitidis</w:t>
      </w:r>
      <w:r w:rsidRPr="00974E00">
        <w:t xml:space="preserve"> serogroups A, C, W-135 and Y as a designated vaccine for </w:t>
      </w:r>
      <w:r w:rsidRPr="00974E00">
        <w:rPr>
          <w:lang w:eastAsia="en-US"/>
        </w:rPr>
        <w:t xml:space="preserve">children aged 12 months, adolescents aged 14 to 19 years and at-risk individuals who are 12 months of age and older and are currently eligible for </w:t>
      </w:r>
      <w:proofErr w:type="spellStart"/>
      <w:r w:rsidRPr="00974E00">
        <w:rPr>
          <w:lang w:eastAsia="en-US"/>
        </w:rPr>
        <w:t>Nimenrix</w:t>
      </w:r>
      <w:proofErr w:type="spellEnd"/>
      <w:r w:rsidRPr="00974E00">
        <w:rPr>
          <w:lang w:eastAsia="en-US"/>
        </w:rPr>
        <w:t xml:space="preserve"> vaccination through the </w:t>
      </w:r>
      <w:r w:rsidR="00FC302E" w:rsidRPr="00974E00">
        <w:rPr>
          <w:lang w:eastAsia="en-US"/>
        </w:rPr>
        <w:t>NIP</w:t>
      </w:r>
      <w:r w:rsidRPr="00974E00">
        <w:rPr>
          <w:lang w:eastAsia="en-US"/>
        </w:rPr>
        <w:t xml:space="preserve">. </w:t>
      </w:r>
    </w:p>
    <w:p w14:paraId="41ABD5EF" w14:textId="783B0F8E" w:rsidR="001F7BCE" w:rsidRPr="00974E00" w:rsidRDefault="001F7BCE" w:rsidP="00FE635F">
      <w:pPr>
        <w:jc w:val="both"/>
        <w:rPr>
          <w:lang w:eastAsia="en-US"/>
        </w:rPr>
      </w:pPr>
    </w:p>
    <w:p w14:paraId="45795CD9" w14:textId="632F9FFA" w:rsidR="00755BAA" w:rsidRPr="00974E00" w:rsidRDefault="00755BAA" w:rsidP="00FE635F">
      <w:pPr>
        <w:jc w:val="both"/>
        <w:rPr>
          <w:snapToGrid w:val="0"/>
        </w:rPr>
      </w:pPr>
      <w:r w:rsidRPr="00974E00">
        <w:rPr>
          <w:color w:val="000000"/>
          <w:szCs w:val="22"/>
        </w:rPr>
        <w:t xml:space="preserve">The Amendment Determination adds </w:t>
      </w:r>
      <w:proofErr w:type="spellStart"/>
      <w:r w:rsidRPr="00974E00">
        <w:rPr>
          <w:color w:val="000000"/>
          <w:szCs w:val="22"/>
        </w:rPr>
        <w:t>Vaxelis</w:t>
      </w:r>
      <w:proofErr w:type="spellEnd"/>
      <w:r w:rsidRPr="00974E00">
        <w:t xml:space="preserve">® as a designated primary vaccine for the prevention of </w:t>
      </w:r>
      <w:r w:rsidRPr="00974E00">
        <w:rPr>
          <w:lang w:eastAsia="en-US"/>
        </w:rPr>
        <w:t xml:space="preserve">diphtheria, tetanus, pertussis, hepatitis B, poliomyelitis and invasive diseases caused by Haemophilus influenzae type b (Hib), for children at 2, 4 and 6 months of age and are currently eligible for Infanrix </w:t>
      </w:r>
      <w:proofErr w:type="spellStart"/>
      <w:r w:rsidRPr="00974E00">
        <w:rPr>
          <w:lang w:eastAsia="en-US"/>
        </w:rPr>
        <w:t>Hexa</w:t>
      </w:r>
      <w:proofErr w:type="spellEnd"/>
      <w:r w:rsidRPr="00974E00">
        <w:rPr>
          <w:lang w:eastAsia="en-US"/>
        </w:rPr>
        <w:t xml:space="preserve"> vaccine through the </w:t>
      </w:r>
      <w:r w:rsidR="00FC302E" w:rsidRPr="00974E00">
        <w:rPr>
          <w:lang w:eastAsia="en-US"/>
        </w:rPr>
        <w:t>NIP</w:t>
      </w:r>
      <w:r w:rsidRPr="00974E00">
        <w:rPr>
          <w:lang w:eastAsia="en-US"/>
        </w:rPr>
        <w:t>.</w:t>
      </w:r>
      <w:r w:rsidRPr="00974E00">
        <w:rPr>
          <w:snapToGrid w:val="0"/>
        </w:rPr>
        <w:t xml:space="preserve"> </w:t>
      </w:r>
    </w:p>
    <w:p w14:paraId="35192BDD" w14:textId="21B4824C" w:rsidR="0012555E" w:rsidRPr="00974E00" w:rsidRDefault="0012555E" w:rsidP="00FE635F">
      <w:pPr>
        <w:jc w:val="both"/>
        <w:rPr>
          <w:snapToGrid w:val="0"/>
        </w:rPr>
      </w:pPr>
    </w:p>
    <w:p w14:paraId="2465FF42" w14:textId="77E039B5" w:rsidR="0012555E" w:rsidRPr="00974E00" w:rsidRDefault="0012555E" w:rsidP="0012555E">
      <w:pPr>
        <w:jc w:val="both"/>
        <w:rPr>
          <w:snapToGrid w:val="0"/>
        </w:rPr>
      </w:pPr>
      <w:r w:rsidRPr="00974E00">
        <w:rPr>
          <w:snapToGrid w:val="0"/>
        </w:rPr>
        <w:t>The Amendment Determination amends the listing of designated vaccine Gardasil®9, for the prevention of human papillomavirus from two doses to one dose for the adolescent vaccination program and extends the upper age limit for catch up vaccination to those up to and including 25 years of age.</w:t>
      </w:r>
      <w:r w:rsidR="009D47BE" w:rsidRPr="00974E00">
        <w:rPr>
          <w:szCs w:val="22"/>
        </w:rPr>
        <w:t xml:space="preserve"> Immunocompromised people will continue to receive 3 doses, with the age limit also extended for those up to and including 25 years of age.</w:t>
      </w:r>
    </w:p>
    <w:p w14:paraId="24F75C40" w14:textId="77FE3CC6" w:rsidR="0012555E" w:rsidRPr="00974E00" w:rsidRDefault="0012555E" w:rsidP="00FE635F">
      <w:pPr>
        <w:jc w:val="both"/>
        <w:rPr>
          <w:snapToGrid w:val="0"/>
        </w:rPr>
      </w:pPr>
    </w:p>
    <w:p w14:paraId="716CE6ED" w14:textId="411E8E43" w:rsidR="00F65CD1" w:rsidRPr="00974E00" w:rsidRDefault="00F65CD1" w:rsidP="00FE635F">
      <w:pPr>
        <w:keepNext/>
        <w:keepLines/>
        <w:spacing w:after="120"/>
        <w:jc w:val="both"/>
        <w:rPr>
          <w:b/>
        </w:rPr>
      </w:pPr>
      <w:r w:rsidRPr="00974E00">
        <w:rPr>
          <w:b/>
        </w:rPr>
        <w:t>Human Rights Implications</w:t>
      </w:r>
    </w:p>
    <w:p w14:paraId="79E3FFDD" w14:textId="433518C7" w:rsidR="00F65CD1" w:rsidRPr="00974E00" w:rsidRDefault="00F65CD1" w:rsidP="00FE635F">
      <w:pPr>
        <w:spacing w:before="120" w:after="120"/>
        <w:jc w:val="both"/>
      </w:pPr>
      <w:r w:rsidRPr="00974E00">
        <w:t xml:space="preserve">This Amendment Determination engages the right to health as set out in Article 12 of the International Covenant on Economic, Social and Cultural Rights by assisting with the progressive realisation by all appropriate means of the right of everyone to the enjoyment of the highest attainable standard of physical and mental health. The Amendment Determination supports the right to the attainment of the highest standard of health, by providing free access for eligible people to a designated </w:t>
      </w:r>
      <w:r w:rsidR="002C4F33" w:rsidRPr="00974E00">
        <w:t>vaccine and</w:t>
      </w:r>
      <w:r w:rsidRPr="00974E00">
        <w:t xml:space="preserve"> protecting individuals and the community against vaccine preventable disease.</w:t>
      </w:r>
    </w:p>
    <w:p w14:paraId="3ADBC589" w14:textId="77777777" w:rsidR="00F65CD1" w:rsidRPr="00974E00" w:rsidRDefault="00F65CD1" w:rsidP="00FE635F">
      <w:pPr>
        <w:spacing w:after="240"/>
        <w:ind w:right="-136"/>
        <w:jc w:val="both"/>
        <w:rPr>
          <w:b/>
        </w:rPr>
      </w:pPr>
      <w:r w:rsidRPr="00974E00">
        <w:rPr>
          <w:b/>
        </w:rPr>
        <w:t>Conclusion</w:t>
      </w:r>
    </w:p>
    <w:p w14:paraId="1C35E32D" w14:textId="77777777" w:rsidR="00F65CD1" w:rsidRPr="000A2EFF" w:rsidRDefault="00F65CD1" w:rsidP="00FE635F">
      <w:pPr>
        <w:spacing w:after="240"/>
        <w:ind w:right="-136"/>
        <w:jc w:val="both"/>
      </w:pPr>
      <w:r w:rsidRPr="00974E00">
        <w:t>The Amendment Determination is compatible with human rights as it promotes the right to health.</w:t>
      </w:r>
    </w:p>
    <w:p w14:paraId="490ED60B" w14:textId="3AF58F97" w:rsidR="00F65CD1" w:rsidRPr="000A2EFF" w:rsidRDefault="006848C0" w:rsidP="00F65CD1">
      <w:pPr>
        <w:keepNext/>
        <w:keepLines/>
        <w:jc w:val="center"/>
        <w:rPr>
          <w:u w:val="single"/>
        </w:rPr>
      </w:pPr>
      <w:r>
        <w:rPr>
          <w:b/>
        </w:rPr>
        <w:t xml:space="preserve"> </w:t>
      </w:r>
    </w:p>
    <w:p w14:paraId="1D5D1F85" w14:textId="77777777" w:rsidR="00F65CD1" w:rsidRDefault="00F65CD1" w:rsidP="00BB11A4">
      <w:pPr>
        <w:jc w:val="center"/>
        <w:rPr>
          <w:b/>
        </w:rPr>
      </w:pPr>
    </w:p>
    <w:p w14:paraId="7EBF87ED" w14:textId="77777777" w:rsidR="00F65CD1" w:rsidRDefault="00F65CD1" w:rsidP="00BB11A4">
      <w:pPr>
        <w:jc w:val="center"/>
        <w:rPr>
          <w:b/>
        </w:rPr>
      </w:pPr>
    </w:p>
    <w:p w14:paraId="584C8AEC" w14:textId="77777777" w:rsidR="00F65CD1" w:rsidRDefault="00F65CD1" w:rsidP="00FE635F">
      <w:pPr>
        <w:rPr>
          <w:b/>
        </w:rPr>
      </w:pPr>
    </w:p>
    <w:sectPr w:rsidR="00F65CD1" w:rsidSect="00A67478">
      <w:headerReference w:type="default" r:id="rId8"/>
      <w:pgSz w:w="11906" w:h="16838"/>
      <w:pgMar w:top="567" w:right="1440" w:bottom="42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84EC" w14:textId="77777777" w:rsidR="00DC38C0" w:rsidRDefault="00DC38C0" w:rsidP="00A96A1B">
      <w:r>
        <w:separator/>
      </w:r>
    </w:p>
  </w:endnote>
  <w:endnote w:type="continuationSeparator" w:id="0">
    <w:p w14:paraId="3EA65D1E" w14:textId="77777777" w:rsidR="00DC38C0" w:rsidRDefault="00DC38C0" w:rsidP="00A96A1B">
      <w:r>
        <w:continuationSeparator/>
      </w:r>
    </w:p>
  </w:endnote>
  <w:endnote w:type="continuationNotice" w:id="1">
    <w:p w14:paraId="6AD6956F" w14:textId="77777777" w:rsidR="00DC38C0" w:rsidRDefault="00DC3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DC77" w14:textId="77777777" w:rsidR="00DC38C0" w:rsidRDefault="00DC38C0" w:rsidP="00A96A1B">
      <w:r>
        <w:separator/>
      </w:r>
    </w:p>
  </w:footnote>
  <w:footnote w:type="continuationSeparator" w:id="0">
    <w:p w14:paraId="580D5C0F" w14:textId="77777777" w:rsidR="00DC38C0" w:rsidRDefault="00DC38C0" w:rsidP="00A96A1B">
      <w:r>
        <w:continuationSeparator/>
      </w:r>
    </w:p>
  </w:footnote>
  <w:footnote w:type="continuationNotice" w:id="1">
    <w:p w14:paraId="5511673F" w14:textId="77777777" w:rsidR="00DC38C0" w:rsidRDefault="00DC3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91C3" w14:textId="5A9967E0" w:rsidR="0051408A" w:rsidRDefault="0051408A">
    <w:pPr>
      <w:pStyle w:val="Header"/>
      <w:jc w:val="center"/>
    </w:pPr>
  </w:p>
  <w:p w14:paraId="1EE0A9DB" w14:textId="77777777" w:rsidR="0051408A" w:rsidRDefault="0051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2A9"/>
    <w:multiLevelType w:val="hybridMultilevel"/>
    <w:tmpl w:val="57B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F67"/>
    <w:multiLevelType w:val="hybridMultilevel"/>
    <w:tmpl w:val="2214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82E12"/>
    <w:multiLevelType w:val="hybridMultilevel"/>
    <w:tmpl w:val="51742048"/>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16D32"/>
    <w:multiLevelType w:val="hybridMultilevel"/>
    <w:tmpl w:val="D948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61E56"/>
    <w:multiLevelType w:val="hybridMultilevel"/>
    <w:tmpl w:val="FD5A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B3EE5"/>
    <w:multiLevelType w:val="hybridMultilevel"/>
    <w:tmpl w:val="5672A6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73C065E"/>
    <w:multiLevelType w:val="hybridMultilevel"/>
    <w:tmpl w:val="020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222DF"/>
    <w:multiLevelType w:val="hybridMultilevel"/>
    <w:tmpl w:val="DF2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47E3C"/>
    <w:multiLevelType w:val="hybridMultilevel"/>
    <w:tmpl w:val="5426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45F2D"/>
    <w:multiLevelType w:val="hybridMultilevel"/>
    <w:tmpl w:val="2A229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962376"/>
    <w:multiLevelType w:val="hybridMultilevel"/>
    <w:tmpl w:val="334C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24E57"/>
    <w:multiLevelType w:val="hybridMultilevel"/>
    <w:tmpl w:val="42F2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37D23"/>
    <w:multiLevelType w:val="hybridMultilevel"/>
    <w:tmpl w:val="9256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F06BF7"/>
    <w:multiLevelType w:val="hybridMultilevel"/>
    <w:tmpl w:val="AFB0896E"/>
    <w:lvl w:ilvl="0" w:tplc="AA8C62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71371"/>
    <w:multiLevelType w:val="hybridMultilevel"/>
    <w:tmpl w:val="64186D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DA1036C"/>
    <w:multiLevelType w:val="hybridMultilevel"/>
    <w:tmpl w:val="0C1E5350"/>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60E56B7"/>
    <w:multiLevelType w:val="hybridMultilevel"/>
    <w:tmpl w:val="FAFA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F5BEE"/>
    <w:multiLevelType w:val="hybridMultilevel"/>
    <w:tmpl w:val="E0C80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093439"/>
    <w:multiLevelType w:val="hybridMultilevel"/>
    <w:tmpl w:val="71E8309A"/>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20" w15:restartNumberingAfterBreak="0">
    <w:nsid w:val="4D8C3B1D"/>
    <w:multiLevelType w:val="hybridMultilevel"/>
    <w:tmpl w:val="A92ED136"/>
    <w:lvl w:ilvl="0" w:tplc="1F683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A711F2"/>
    <w:multiLevelType w:val="hybridMultilevel"/>
    <w:tmpl w:val="2E9E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E71FA4"/>
    <w:multiLevelType w:val="hybridMultilevel"/>
    <w:tmpl w:val="209A1D6A"/>
    <w:lvl w:ilvl="0" w:tplc="0C090003">
      <w:start w:val="1"/>
      <w:numFmt w:val="bullet"/>
      <w:lvlText w:val="o"/>
      <w:lvlJc w:val="left"/>
      <w:pPr>
        <w:ind w:left="840" w:hanging="360"/>
      </w:pPr>
      <w:rPr>
        <w:rFonts w:ascii="Courier New" w:hAnsi="Courier New" w:cs="Courier New"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DF001E"/>
    <w:multiLevelType w:val="hybridMultilevel"/>
    <w:tmpl w:val="3BCC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610F85"/>
    <w:multiLevelType w:val="hybridMultilevel"/>
    <w:tmpl w:val="4C747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965AC7"/>
    <w:multiLevelType w:val="hybridMultilevel"/>
    <w:tmpl w:val="979A644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6C007FE3"/>
    <w:multiLevelType w:val="hybridMultilevel"/>
    <w:tmpl w:val="FEFA57CA"/>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A904B27"/>
    <w:multiLevelType w:val="hybridMultilevel"/>
    <w:tmpl w:val="ECC2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17"/>
  </w:num>
  <w:num w:numId="5">
    <w:abstractNumId w:val="26"/>
  </w:num>
  <w:num w:numId="6">
    <w:abstractNumId w:val="12"/>
  </w:num>
  <w:num w:numId="7">
    <w:abstractNumId w:val="11"/>
  </w:num>
  <w:num w:numId="8">
    <w:abstractNumId w:val="1"/>
  </w:num>
  <w:num w:numId="9">
    <w:abstractNumId w:val="7"/>
  </w:num>
  <w:num w:numId="10">
    <w:abstractNumId w:val="9"/>
  </w:num>
  <w:num w:numId="11">
    <w:abstractNumId w:val="6"/>
  </w:num>
  <w:num w:numId="12">
    <w:abstractNumId w:val="3"/>
  </w:num>
  <w:num w:numId="13">
    <w:abstractNumId w:val="5"/>
  </w:num>
  <w:num w:numId="14">
    <w:abstractNumId w:val="21"/>
  </w:num>
  <w:num w:numId="15">
    <w:abstractNumId w:val="20"/>
  </w:num>
  <w:num w:numId="16">
    <w:abstractNumId w:val="13"/>
  </w:num>
  <w:num w:numId="17">
    <w:abstractNumId w:val="25"/>
  </w:num>
  <w:num w:numId="18">
    <w:abstractNumId w:val="23"/>
  </w:num>
  <w:num w:numId="19">
    <w:abstractNumId w:val="4"/>
  </w:num>
  <w:num w:numId="20">
    <w:abstractNumId w:val="14"/>
  </w:num>
  <w:num w:numId="21">
    <w:abstractNumId w:val="28"/>
  </w:num>
  <w:num w:numId="22">
    <w:abstractNumId w:val="18"/>
  </w:num>
  <w:num w:numId="23">
    <w:abstractNumId w:val="27"/>
  </w:num>
  <w:num w:numId="24">
    <w:abstractNumId w:val="16"/>
  </w:num>
  <w:num w:numId="25">
    <w:abstractNumId w:val="2"/>
  </w:num>
  <w:num w:numId="26">
    <w:abstractNumId w:val="22"/>
  </w:num>
  <w:num w:numId="27">
    <w:abstractNumId w:val="24"/>
  </w:num>
  <w:num w:numId="28">
    <w:abstractNumId w:val="10"/>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0A"/>
    <w:rsid w:val="00003124"/>
    <w:rsid w:val="000067D7"/>
    <w:rsid w:val="00007E7A"/>
    <w:rsid w:val="000103BF"/>
    <w:rsid w:val="0001143D"/>
    <w:rsid w:val="00012628"/>
    <w:rsid w:val="0001265F"/>
    <w:rsid w:val="000126B2"/>
    <w:rsid w:val="0001299F"/>
    <w:rsid w:val="00015A2C"/>
    <w:rsid w:val="00020881"/>
    <w:rsid w:val="000331AB"/>
    <w:rsid w:val="0003595B"/>
    <w:rsid w:val="00042B02"/>
    <w:rsid w:val="00046478"/>
    <w:rsid w:val="00046546"/>
    <w:rsid w:val="0005207F"/>
    <w:rsid w:val="00054A5F"/>
    <w:rsid w:val="000564D3"/>
    <w:rsid w:val="00065AC3"/>
    <w:rsid w:val="0006795E"/>
    <w:rsid w:val="00073178"/>
    <w:rsid w:val="000741F8"/>
    <w:rsid w:val="0007524A"/>
    <w:rsid w:val="000758A2"/>
    <w:rsid w:val="00076B31"/>
    <w:rsid w:val="000A2EFF"/>
    <w:rsid w:val="000A4307"/>
    <w:rsid w:val="000A7A81"/>
    <w:rsid w:val="000B0633"/>
    <w:rsid w:val="000B6B6F"/>
    <w:rsid w:val="000B75C5"/>
    <w:rsid w:val="000C06B3"/>
    <w:rsid w:val="000C0E81"/>
    <w:rsid w:val="000C1B6C"/>
    <w:rsid w:val="000C4C79"/>
    <w:rsid w:val="000D2F5C"/>
    <w:rsid w:val="000D6178"/>
    <w:rsid w:val="000E2C8D"/>
    <w:rsid w:val="000E43CC"/>
    <w:rsid w:val="000E4408"/>
    <w:rsid w:val="000F112E"/>
    <w:rsid w:val="000F4BEC"/>
    <w:rsid w:val="00101452"/>
    <w:rsid w:val="001045FF"/>
    <w:rsid w:val="00105B0E"/>
    <w:rsid w:val="00107615"/>
    <w:rsid w:val="00112F81"/>
    <w:rsid w:val="001161F2"/>
    <w:rsid w:val="00117752"/>
    <w:rsid w:val="001178A9"/>
    <w:rsid w:val="00123BC4"/>
    <w:rsid w:val="0012555E"/>
    <w:rsid w:val="001315A6"/>
    <w:rsid w:val="00136E7B"/>
    <w:rsid w:val="00143DA0"/>
    <w:rsid w:val="00143F9E"/>
    <w:rsid w:val="00147911"/>
    <w:rsid w:val="00147F34"/>
    <w:rsid w:val="001509BA"/>
    <w:rsid w:val="00151760"/>
    <w:rsid w:val="0015424F"/>
    <w:rsid w:val="001555C9"/>
    <w:rsid w:val="00162E15"/>
    <w:rsid w:val="00170758"/>
    <w:rsid w:val="001721C1"/>
    <w:rsid w:val="001734D7"/>
    <w:rsid w:val="00174B64"/>
    <w:rsid w:val="00177A08"/>
    <w:rsid w:val="00177EEA"/>
    <w:rsid w:val="0018000F"/>
    <w:rsid w:val="00184A7F"/>
    <w:rsid w:val="00190FC6"/>
    <w:rsid w:val="00195420"/>
    <w:rsid w:val="001A59A8"/>
    <w:rsid w:val="001A6C51"/>
    <w:rsid w:val="001A6D75"/>
    <w:rsid w:val="001A7BE1"/>
    <w:rsid w:val="001B00F9"/>
    <w:rsid w:val="001B07E6"/>
    <w:rsid w:val="001B1667"/>
    <w:rsid w:val="001B2AFC"/>
    <w:rsid w:val="001B3204"/>
    <w:rsid w:val="001B5F7B"/>
    <w:rsid w:val="001D631C"/>
    <w:rsid w:val="001D6A15"/>
    <w:rsid w:val="001D6D11"/>
    <w:rsid w:val="001D7AFB"/>
    <w:rsid w:val="001E0F83"/>
    <w:rsid w:val="001F22F0"/>
    <w:rsid w:val="001F4800"/>
    <w:rsid w:val="001F6600"/>
    <w:rsid w:val="001F7BCE"/>
    <w:rsid w:val="0020064C"/>
    <w:rsid w:val="0020077A"/>
    <w:rsid w:val="0020340D"/>
    <w:rsid w:val="00204EC3"/>
    <w:rsid w:val="00205500"/>
    <w:rsid w:val="0021440F"/>
    <w:rsid w:val="0021476E"/>
    <w:rsid w:val="00215420"/>
    <w:rsid w:val="0021556F"/>
    <w:rsid w:val="002311A8"/>
    <w:rsid w:val="00231F9D"/>
    <w:rsid w:val="00232329"/>
    <w:rsid w:val="00232E4D"/>
    <w:rsid w:val="00244275"/>
    <w:rsid w:val="00246B5C"/>
    <w:rsid w:val="00246EBD"/>
    <w:rsid w:val="0025015A"/>
    <w:rsid w:val="00252CB6"/>
    <w:rsid w:val="0025349D"/>
    <w:rsid w:val="00253B15"/>
    <w:rsid w:val="0025412C"/>
    <w:rsid w:val="00254D4E"/>
    <w:rsid w:val="0026014B"/>
    <w:rsid w:val="0026064A"/>
    <w:rsid w:val="0026068B"/>
    <w:rsid w:val="002614DC"/>
    <w:rsid w:val="00265B08"/>
    <w:rsid w:val="00275FFF"/>
    <w:rsid w:val="00276277"/>
    <w:rsid w:val="002762DA"/>
    <w:rsid w:val="002775BC"/>
    <w:rsid w:val="00280BA4"/>
    <w:rsid w:val="00280E2D"/>
    <w:rsid w:val="00284AF6"/>
    <w:rsid w:val="002872F1"/>
    <w:rsid w:val="00287BD6"/>
    <w:rsid w:val="00290ACD"/>
    <w:rsid w:val="00291208"/>
    <w:rsid w:val="0029310E"/>
    <w:rsid w:val="002A0B84"/>
    <w:rsid w:val="002A1F08"/>
    <w:rsid w:val="002A35BF"/>
    <w:rsid w:val="002A3BAA"/>
    <w:rsid w:val="002A46D7"/>
    <w:rsid w:val="002A5852"/>
    <w:rsid w:val="002B0880"/>
    <w:rsid w:val="002B4810"/>
    <w:rsid w:val="002B5B34"/>
    <w:rsid w:val="002C4F33"/>
    <w:rsid w:val="002C556B"/>
    <w:rsid w:val="002C653D"/>
    <w:rsid w:val="002D225E"/>
    <w:rsid w:val="002D36FC"/>
    <w:rsid w:val="002D6033"/>
    <w:rsid w:val="002E0D2A"/>
    <w:rsid w:val="002E2D52"/>
    <w:rsid w:val="002E37D2"/>
    <w:rsid w:val="002E7798"/>
    <w:rsid w:val="002F2E09"/>
    <w:rsid w:val="00310444"/>
    <w:rsid w:val="00315848"/>
    <w:rsid w:val="00322BC6"/>
    <w:rsid w:val="003250D6"/>
    <w:rsid w:val="003259AA"/>
    <w:rsid w:val="003324AC"/>
    <w:rsid w:val="0034148E"/>
    <w:rsid w:val="00344AEB"/>
    <w:rsid w:val="00344B83"/>
    <w:rsid w:val="00350284"/>
    <w:rsid w:val="00355F20"/>
    <w:rsid w:val="003562B9"/>
    <w:rsid w:val="003576EB"/>
    <w:rsid w:val="0036189F"/>
    <w:rsid w:val="00363A03"/>
    <w:rsid w:val="003640E1"/>
    <w:rsid w:val="00366069"/>
    <w:rsid w:val="003671F4"/>
    <w:rsid w:val="003673DA"/>
    <w:rsid w:val="003679B9"/>
    <w:rsid w:val="00371484"/>
    <w:rsid w:val="00371857"/>
    <w:rsid w:val="003748AA"/>
    <w:rsid w:val="0038293A"/>
    <w:rsid w:val="003833BE"/>
    <w:rsid w:val="00384FD2"/>
    <w:rsid w:val="003852B4"/>
    <w:rsid w:val="00390905"/>
    <w:rsid w:val="003923C6"/>
    <w:rsid w:val="00396266"/>
    <w:rsid w:val="00397D68"/>
    <w:rsid w:val="003A0A47"/>
    <w:rsid w:val="003A6A2D"/>
    <w:rsid w:val="003A7C55"/>
    <w:rsid w:val="003B029D"/>
    <w:rsid w:val="003B0599"/>
    <w:rsid w:val="003B405A"/>
    <w:rsid w:val="003C0E22"/>
    <w:rsid w:val="003C602E"/>
    <w:rsid w:val="003C7CC3"/>
    <w:rsid w:val="003D4FEF"/>
    <w:rsid w:val="003E0614"/>
    <w:rsid w:val="003E2226"/>
    <w:rsid w:val="003E3CF6"/>
    <w:rsid w:val="003E41FB"/>
    <w:rsid w:val="003E4617"/>
    <w:rsid w:val="003E532D"/>
    <w:rsid w:val="003E66D4"/>
    <w:rsid w:val="003E7086"/>
    <w:rsid w:val="003F06D3"/>
    <w:rsid w:val="003F14C6"/>
    <w:rsid w:val="003F1BF7"/>
    <w:rsid w:val="003F256E"/>
    <w:rsid w:val="003F3714"/>
    <w:rsid w:val="00403BFC"/>
    <w:rsid w:val="0040449F"/>
    <w:rsid w:val="00411DA3"/>
    <w:rsid w:val="004125B1"/>
    <w:rsid w:val="0041373A"/>
    <w:rsid w:val="00414964"/>
    <w:rsid w:val="00422AF9"/>
    <w:rsid w:val="0043377A"/>
    <w:rsid w:val="004337C7"/>
    <w:rsid w:val="0043419D"/>
    <w:rsid w:val="004341D7"/>
    <w:rsid w:val="00436232"/>
    <w:rsid w:val="0043652C"/>
    <w:rsid w:val="0043740B"/>
    <w:rsid w:val="00447025"/>
    <w:rsid w:val="004527BB"/>
    <w:rsid w:val="0045318E"/>
    <w:rsid w:val="00466096"/>
    <w:rsid w:val="00470E55"/>
    <w:rsid w:val="00475327"/>
    <w:rsid w:val="00477E4C"/>
    <w:rsid w:val="00480857"/>
    <w:rsid w:val="00483786"/>
    <w:rsid w:val="004904B2"/>
    <w:rsid w:val="004904C1"/>
    <w:rsid w:val="0049081B"/>
    <w:rsid w:val="004910AE"/>
    <w:rsid w:val="00491848"/>
    <w:rsid w:val="0049509A"/>
    <w:rsid w:val="00497458"/>
    <w:rsid w:val="004979A1"/>
    <w:rsid w:val="004A601C"/>
    <w:rsid w:val="004A78E5"/>
    <w:rsid w:val="004B0136"/>
    <w:rsid w:val="004B2B6E"/>
    <w:rsid w:val="004B3D9D"/>
    <w:rsid w:val="004B63B0"/>
    <w:rsid w:val="004B6DD4"/>
    <w:rsid w:val="004B7BE2"/>
    <w:rsid w:val="004C0913"/>
    <w:rsid w:val="004C1163"/>
    <w:rsid w:val="004C1C16"/>
    <w:rsid w:val="004C39F7"/>
    <w:rsid w:val="004C4232"/>
    <w:rsid w:val="004C7BF2"/>
    <w:rsid w:val="004C7E48"/>
    <w:rsid w:val="004D0D36"/>
    <w:rsid w:val="004D637B"/>
    <w:rsid w:val="004E03B0"/>
    <w:rsid w:val="004E7ABA"/>
    <w:rsid w:val="004F030B"/>
    <w:rsid w:val="004F0CB1"/>
    <w:rsid w:val="004F0E86"/>
    <w:rsid w:val="00511085"/>
    <w:rsid w:val="00511DF5"/>
    <w:rsid w:val="00512BBE"/>
    <w:rsid w:val="00512CC6"/>
    <w:rsid w:val="0051340D"/>
    <w:rsid w:val="00513903"/>
    <w:rsid w:val="00513A42"/>
    <w:rsid w:val="0051408A"/>
    <w:rsid w:val="00514AA6"/>
    <w:rsid w:val="005201A3"/>
    <w:rsid w:val="00520B14"/>
    <w:rsid w:val="0052166E"/>
    <w:rsid w:val="00526484"/>
    <w:rsid w:val="00527AA1"/>
    <w:rsid w:val="00530B5D"/>
    <w:rsid w:val="0053301E"/>
    <w:rsid w:val="005363B1"/>
    <w:rsid w:val="005373B7"/>
    <w:rsid w:val="00537410"/>
    <w:rsid w:val="00545688"/>
    <w:rsid w:val="00545BFB"/>
    <w:rsid w:val="00547F5F"/>
    <w:rsid w:val="00550F63"/>
    <w:rsid w:val="00556D57"/>
    <w:rsid w:val="00560E54"/>
    <w:rsid w:val="00561F46"/>
    <w:rsid w:val="005659BB"/>
    <w:rsid w:val="00570F60"/>
    <w:rsid w:val="00573931"/>
    <w:rsid w:val="00575181"/>
    <w:rsid w:val="00576EA5"/>
    <w:rsid w:val="00577B0D"/>
    <w:rsid w:val="00581F4D"/>
    <w:rsid w:val="00584896"/>
    <w:rsid w:val="00584ECC"/>
    <w:rsid w:val="0059372B"/>
    <w:rsid w:val="005949AA"/>
    <w:rsid w:val="0059669C"/>
    <w:rsid w:val="0059753C"/>
    <w:rsid w:val="005A465F"/>
    <w:rsid w:val="005A4686"/>
    <w:rsid w:val="005A4BBB"/>
    <w:rsid w:val="005A6E6C"/>
    <w:rsid w:val="005A79F1"/>
    <w:rsid w:val="005B0CD9"/>
    <w:rsid w:val="005B1B9E"/>
    <w:rsid w:val="005B33A8"/>
    <w:rsid w:val="005B42B4"/>
    <w:rsid w:val="005B5E6A"/>
    <w:rsid w:val="005B7807"/>
    <w:rsid w:val="005C2B82"/>
    <w:rsid w:val="005C3F0E"/>
    <w:rsid w:val="005C6651"/>
    <w:rsid w:val="005D2A87"/>
    <w:rsid w:val="005D2C78"/>
    <w:rsid w:val="005D5057"/>
    <w:rsid w:val="005D57B1"/>
    <w:rsid w:val="005E2AF0"/>
    <w:rsid w:val="005E7E29"/>
    <w:rsid w:val="005F18DC"/>
    <w:rsid w:val="005F23BA"/>
    <w:rsid w:val="005F50C3"/>
    <w:rsid w:val="00600033"/>
    <w:rsid w:val="0060348D"/>
    <w:rsid w:val="00603F7F"/>
    <w:rsid w:val="00615918"/>
    <w:rsid w:val="00615A77"/>
    <w:rsid w:val="0061748A"/>
    <w:rsid w:val="00625A0A"/>
    <w:rsid w:val="006302EA"/>
    <w:rsid w:val="006308A1"/>
    <w:rsid w:val="006313FE"/>
    <w:rsid w:val="00631665"/>
    <w:rsid w:val="00633C6B"/>
    <w:rsid w:val="00640685"/>
    <w:rsid w:val="006442C6"/>
    <w:rsid w:val="006451A2"/>
    <w:rsid w:val="0064555A"/>
    <w:rsid w:val="0065139F"/>
    <w:rsid w:val="00655346"/>
    <w:rsid w:val="00656CFE"/>
    <w:rsid w:val="0066000C"/>
    <w:rsid w:val="00660B9D"/>
    <w:rsid w:val="006645DE"/>
    <w:rsid w:val="0067601C"/>
    <w:rsid w:val="00676C3B"/>
    <w:rsid w:val="00683690"/>
    <w:rsid w:val="00683CD2"/>
    <w:rsid w:val="006848C0"/>
    <w:rsid w:val="0069235E"/>
    <w:rsid w:val="00697CCF"/>
    <w:rsid w:val="006A2F91"/>
    <w:rsid w:val="006B21B7"/>
    <w:rsid w:val="006B36DA"/>
    <w:rsid w:val="006B714B"/>
    <w:rsid w:val="006C280C"/>
    <w:rsid w:val="006C7ADF"/>
    <w:rsid w:val="006C7D61"/>
    <w:rsid w:val="006D1594"/>
    <w:rsid w:val="006D1EF7"/>
    <w:rsid w:val="006D2473"/>
    <w:rsid w:val="006E0BD0"/>
    <w:rsid w:val="006E25F3"/>
    <w:rsid w:val="006E2C81"/>
    <w:rsid w:val="006E53C1"/>
    <w:rsid w:val="006F0CCC"/>
    <w:rsid w:val="006F1CC2"/>
    <w:rsid w:val="006F36E2"/>
    <w:rsid w:val="00700453"/>
    <w:rsid w:val="00701DCD"/>
    <w:rsid w:val="007022BD"/>
    <w:rsid w:val="00702C5B"/>
    <w:rsid w:val="00704616"/>
    <w:rsid w:val="00707830"/>
    <w:rsid w:val="00711237"/>
    <w:rsid w:val="007148EC"/>
    <w:rsid w:val="00716F4D"/>
    <w:rsid w:val="007200FE"/>
    <w:rsid w:val="0072639C"/>
    <w:rsid w:val="007301DF"/>
    <w:rsid w:val="00736285"/>
    <w:rsid w:val="007362DB"/>
    <w:rsid w:val="00741281"/>
    <w:rsid w:val="00744C8E"/>
    <w:rsid w:val="007466F2"/>
    <w:rsid w:val="00751141"/>
    <w:rsid w:val="007518EF"/>
    <w:rsid w:val="00754F2A"/>
    <w:rsid w:val="00755897"/>
    <w:rsid w:val="00755BAA"/>
    <w:rsid w:val="00755E9C"/>
    <w:rsid w:val="007608BC"/>
    <w:rsid w:val="00760DF2"/>
    <w:rsid w:val="00762496"/>
    <w:rsid w:val="00776269"/>
    <w:rsid w:val="00780F84"/>
    <w:rsid w:val="00781661"/>
    <w:rsid w:val="00783606"/>
    <w:rsid w:val="00787560"/>
    <w:rsid w:val="00787C19"/>
    <w:rsid w:val="00796D28"/>
    <w:rsid w:val="007975EE"/>
    <w:rsid w:val="00797E4A"/>
    <w:rsid w:val="007A1411"/>
    <w:rsid w:val="007A19AB"/>
    <w:rsid w:val="007A3D4A"/>
    <w:rsid w:val="007A4456"/>
    <w:rsid w:val="007A647C"/>
    <w:rsid w:val="007B04C7"/>
    <w:rsid w:val="007B0A15"/>
    <w:rsid w:val="007B1255"/>
    <w:rsid w:val="007B190A"/>
    <w:rsid w:val="007B1A81"/>
    <w:rsid w:val="007C674F"/>
    <w:rsid w:val="007C6AE9"/>
    <w:rsid w:val="007C6D32"/>
    <w:rsid w:val="007D0E91"/>
    <w:rsid w:val="007D1D6C"/>
    <w:rsid w:val="007D407A"/>
    <w:rsid w:val="007D5A2C"/>
    <w:rsid w:val="007E550F"/>
    <w:rsid w:val="007E6449"/>
    <w:rsid w:val="007F0DD6"/>
    <w:rsid w:val="007F4E20"/>
    <w:rsid w:val="00801BA4"/>
    <w:rsid w:val="0080280E"/>
    <w:rsid w:val="00802E18"/>
    <w:rsid w:val="00810462"/>
    <w:rsid w:val="00813023"/>
    <w:rsid w:val="00815DBE"/>
    <w:rsid w:val="00816DD5"/>
    <w:rsid w:val="008261B2"/>
    <w:rsid w:val="00835135"/>
    <w:rsid w:val="00837D4D"/>
    <w:rsid w:val="00846741"/>
    <w:rsid w:val="00852FFE"/>
    <w:rsid w:val="008627D6"/>
    <w:rsid w:val="00863FD6"/>
    <w:rsid w:val="00870867"/>
    <w:rsid w:val="00870DA6"/>
    <w:rsid w:val="0087170A"/>
    <w:rsid w:val="00872317"/>
    <w:rsid w:val="008728C4"/>
    <w:rsid w:val="00874E21"/>
    <w:rsid w:val="00886593"/>
    <w:rsid w:val="00890971"/>
    <w:rsid w:val="0089152A"/>
    <w:rsid w:val="00891D83"/>
    <w:rsid w:val="00893074"/>
    <w:rsid w:val="00895645"/>
    <w:rsid w:val="00895897"/>
    <w:rsid w:val="008A502A"/>
    <w:rsid w:val="008B37DE"/>
    <w:rsid w:val="008B3CF1"/>
    <w:rsid w:val="008C49E2"/>
    <w:rsid w:val="008D0CE8"/>
    <w:rsid w:val="008D2223"/>
    <w:rsid w:val="008D2255"/>
    <w:rsid w:val="008D2AE7"/>
    <w:rsid w:val="008D35AB"/>
    <w:rsid w:val="008D36E3"/>
    <w:rsid w:val="008E01C6"/>
    <w:rsid w:val="008E0376"/>
    <w:rsid w:val="008E04E8"/>
    <w:rsid w:val="008E24DE"/>
    <w:rsid w:val="008F6DAE"/>
    <w:rsid w:val="00902847"/>
    <w:rsid w:val="009071A8"/>
    <w:rsid w:val="00917FD6"/>
    <w:rsid w:val="0092397E"/>
    <w:rsid w:val="009266FD"/>
    <w:rsid w:val="009275D8"/>
    <w:rsid w:val="0093037D"/>
    <w:rsid w:val="0093470F"/>
    <w:rsid w:val="00934B07"/>
    <w:rsid w:val="0093600D"/>
    <w:rsid w:val="00941881"/>
    <w:rsid w:val="00951463"/>
    <w:rsid w:val="0095417A"/>
    <w:rsid w:val="00954925"/>
    <w:rsid w:val="00955452"/>
    <w:rsid w:val="0096582B"/>
    <w:rsid w:val="009658C7"/>
    <w:rsid w:val="00966CDF"/>
    <w:rsid w:val="00971F6E"/>
    <w:rsid w:val="0097487C"/>
    <w:rsid w:val="00974E00"/>
    <w:rsid w:val="0098364A"/>
    <w:rsid w:val="00983735"/>
    <w:rsid w:val="00986944"/>
    <w:rsid w:val="009912C8"/>
    <w:rsid w:val="0099290C"/>
    <w:rsid w:val="00992E54"/>
    <w:rsid w:val="00993660"/>
    <w:rsid w:val="00996B99"/>
    <w:rsid w:val="009A1A50"/>
    <w:rsid w:val="009A4146"/>
    <w:rsid w:val="009A72CF"/>
    <w:rsid w:val="009A7C9E"/>
    <w:rsid w:val="009B49D7"/>
    <w:rsid w:val="009B5412"/>
    <w:rsid w:val="009B566D"/>
    <w:rsid w:val="009C0CFF"/>
    <w:rsid w:val="009C2528"/>
    <w:rsid w:val="009C2D75"/>
    <w:rsid w:val="009C403E"/>
    <w:rsid w:val="009C432A"/>
    <w:rsid w:val="009C4C6F"/>
    <w:rsid w:val="009C52F0"/>
    <w:rsid w:val="009C5912"/>
    <w:rsid w:val="009D182F"/>
    <w:rsid w:val="009D1FC4"/>
    <w:rsid w:val="009D20E9"/>
    <w:rsid w:val="009D2DCF"/>
    <w:rsid w:val="009D47BE"/>
    <w:rsid w:val="009D4900"/>
    <w:rsid w:val="009D5A5E"/>
    <w:rsid w:val="009E18ED"/>
    <w:rsid w:val="009E4B47"/>
    <w:rsid w:val="009E7728"/>
    <w:rsid w:val="009F0A50"/>
    <w:rsid w:val="009F15EB"/>
    <w:rsid w:val="009F1AF7"/>
    <w:rsid w:val="009F23AB"/>
    <w:rsid w:val="009F2E6A"/>
    <w:rsid w:val="009F602E"/>
    <w:rsid w:val="00A069E1"/>
    <w:rsid w:val="00A11DD4"/>
    <w:rsid w:val="00A1713B"/>
    <w:rsid w:val="00A176F3"/>
    <w:rsid w:val="00A17EDB"/>
    <w:rsid w:val="00A2129E"/>
    <w:rsid w:val="00A23081"/>
    <w:rsid w:val="00A2490E"/>
    <w:rsid w:val="00A269B8"/>
    <w:rsid w:val="00A2718C"/>
    <w:rsid w:val="00A3089F"/>
    <w:rsid w:val="00A34E1E"/>
    <w:rsid w:val="00A36360"/>
    <w:rsid w:val="00A375B8"/>
    <w:rsid w:val="00A37984"/>
    <w:rsid w:val="00A37DFE"/>
    <w:rsid w:val="00A42062"/>
    <w:rsid w:val="00A4277E"/>
    <w:rsid w:val="00A4602F"/>
    <w:rsid w:val="00A46B62"/>
    <w:rsid w:val="00A52E69"/>
    <w:rsid w:val="00A5405B"/>
    <w:rsid w:val="00A56863"/>
    <w:rsid w:val="00A5725D"/>
    <w:rsid w:val="00A61379"/>
    <w:rsid w:val="00A67478"/>
    <w:rsid w:val="00A77183"/>
    <w:rsid w:val="00A85721"/>
    <w:rsid w:val="00A87F9A"/>
    <w:rsid w:val="00A91B71"/>
    <w:rsid w:val="00A94DBD"/>
    <w:rsid w:val="00A96A1B"/>
    <w:rsid w:val="00AA01D8"/>
    <w:rsid w:val="00AA0CBB"/>
    <w:rsid w:val="00AB65A5"/>
    <w:rsid w:val="00AC5B48"/>
    <w:rsid w:val="00AC77FB"/>
    <w:rsid w:val="00AD091E"/>
    <w:rsid w:val="00AD14FC"/>
    <w:rsid w:val="00AD1552"/>
    <w:rsid w:val="00AE16C5"/>
    <w:rsid w:val="00AE4BBC"/>
    <w:rsid w:val="00AE5568"/>
    <w:rsid w:val="00AE7A2A"/>
    <w:rsid w:val="00AF267D"/>
    <w:rsid w:val="00B0197D"/>
    <w:rsid w:val="00B02C18"/>
    <w:rsid w:val="00B047FD"/>
    <w:rsid w:val="00B06631"/>
    <w:rsid w:val="00B16B9F"/>
    <w:rsid w:val="00B17780"/>
    <w:rsid w:val="00B218C5"/>
    <w:rsid w:val="00B236B2"/>
    <w:rsid w:val="00B25673"/>
    <w:rsid w:val="00B32110"/>
    <w:rsid w:val="00B33933"/>
    <w:rsid w:val="00B34F94"/>
    <w:rsid w:val="00B37257"/>
    <w:rsid w:val="00B43959"/>
    <w:rsid w:val="00B445D6"/>
    <w:rsid w:val="00B468EE"/>
    <w:rsid w:val="00B46A4E"/>
    <w:rsid w:val="00B46AAB"/>
    <w:rsid w:val="00B533F0"/>
    <w:rsid w:val="00B54FB0"/>
    <w:rsid w:val="00B616B4"/>
    <w:rsid w:val="00B642AA"/>
    <w:rsid w:val="00B642CE"/>
    <w:rsid w:val="00B6440F"/>
    <w:rsid w:val="00B73F95"/>
    <w:rsid w:val="00B745E4"/>
    <w:rsid w:val="00B7685A"/>
    <w:rsid w:val="00B777D8"/>
    <w:rsid w:val="00B80816"/>
    <w:rsid w:val="00B81C18"/>
    <w:rsid w:val="00B82210"/>
    <w:rsid w:val="00B82789"/>
    <w:rsid w:val="00B852CB"/>
    <w:rsid w:val="00B853BF"/>
    <w:rsid w:val="00B86873"/>
    <w:rsid w:val="00B9284E"/>
    <w:rsid w:val="00B958C7"/>
    <w:rsid w:val="00B974FD"/>
    <w:rsid w:val="00BA23AE"/>
    <w:rsid w:val="00BA3837"/>
    <w:rsid w:val="00BA3B32"/>
    <w:rsid w:val="00BA60F1"/>
    <w:rsid w:val="00BB015F"/>
    <w:rsid w:val="00BB0232"/>
    <w:rsid w:val="00BB11A4"/>
    <w:rsid w:val="00BB5C2B"/>
    <w:rsid w:val="00BB7D36"/>
    <w:rsid w:val="00BC0533"/>
    <w:rsid w:val="00BC1E81"/>
    <w:rsid w:val="00BC63C5"/>
    <w:rsid w:val="00BC6A5B"/>
    <w:rsid w:val="00BC7D90"/>
    <w:rsid w:val="00BD0292"/>
    <w:rsid w:val="00BD1AB8"/>
    <w:rsid w:val="00BD2364"/>
    <w:rsid w:val="00BD5986"/>
    <w:rsid w:val="00BD7D1B"/>
    <w:rsid w:val="00BE3812"/>
    <w:rsid w:val="00BE7766"/>
    <w:rsid w:val="00BF27E5"/>
    <w:rsid w:val="00BF2B94"/>
    <w:rsid w:val="00BF532C"/>
    <w:rsid w:val="00BF580C"/>
    <w:rsid w:val="00C000AC"/>
    <w:rsid w:val="00C05B0D"/>
    <w:rsid w:val="00C12805"/>
    <w:rsid w:val="00C134A8"/>
    <w:rsid w:val="00C15210"/>
    <w:rsid w:val="00C23057"/>
    <w:rsid w:val="00C23B1D"/>
    <w:rsid w:val="00C2512E"/>
    <w:rsid w:val="00C25D0A"/>
    <w:rsid w:val="00C3067E"/>
    <w:rsid w:val="00C30873"/>
    <w:rsid w:val="00C320BA"/>
    <w:rsid w:val="00C321BD"/>
    <w:rsid w:val="00C33EB5"/>
    <w:rsid w:val="00C342FC"/>
    <w:rsid w:val="00C36021"/>
    <w:rsid w:val="00C36E7C"/>
    <w:rsid w:val="00C37CEF"/>
    <w:rsid w:val="00C37FD6"/>
    <w:rsid w:val="00C41ACE"/>
    <w:rsid w:val="00C424F0"/>
    <w:rsid w:val="00C4327D"/>
    <w:rsid w:val="00C4372A"/>
    <w:rsid w:val="00C44A12"/>
    <w:rsid w:val="00C44C48"/>
    <w:rsid w:val="00C51386"/>
    <w:rsid w:val="00C51B99"/>
    <w:rsid w:val="00C53C97"/>
    <w:rsid w:val="00C6227E"/>
    <w:rsid w:val="00C63E21"/>
    <w:rsid w:val="00C652A8"/>
    <w:rsid w:val="00C65EC3"/>
    <w:rsid w:val="00C66218"/>
    <w:rsid w:val="00C71423"/>
    <w:rsid w:val="00C71EBC"/>
    <w:rsid w:val="00C77449"/>
    <w:rsid w:val="00C779EE"/>
    <w:rsid w:val="00C77C43"/>
    <w:rsid w:val="00C8197E"/>
    <w:rsid w:val="00C82EEC"/>
    <w:rsid w:val="00C84059"/>
    <w:rsid w:val="00C843BD"/>
    <w:rsid w:val="00C84C13"/>
    <w:rsid w:val="00C85D89"/>
    <w:rsid w:val="00C90A6F"/>
    <w:rsid w:val="00C922F8"/>
    <w:rsid w:val="00C92D3E"/>
    <w:rsid w:val="00CA023C"/>
    <w:rsid w:val="00CA0D59"/>
    <w:rsid w:val="00CA7CE0"/>
    <w:rsid w:val="00CB2C24"/>
    <w:rsid w:val="00CB570F"/>
    <w:rsid w:val="00CB5795"/>
    <w:rsid w:val="00CB6459"/>
    <w:rsid w:val="00CC5722"/>
    <w:rsid w:val="00CC7512"/>
    <w:rsid w:val="00CD19BC"/>
    <w:rsid w:val="00CD6DB9"/>
    <w:rsid w:val="00CE0901"/>
    <w:rsid w:val="00CE1D6B"/>
    <w:rsid w:val="00CE2FFF"/>
    <w:rsid w:val="00CE3F77"/>
    <w:rsid w:val="00CE62D0"/>
    <w:rsid w:val="00CF31AC"/>
    <w:rsid w:val="00D02B0A"/>
    <w:rsid w:val="00D02D8D"/>
    <w:rsid w:val="00D03C8E"/>
    <w:rsid w:val="00D1519D"/>
    <w:rsid w:val="00D15D44"/>
    <w:rsid w:val="00D15F0F"/>
    <w:rsid w:val="00D17DFB"/>
    <w:rsid w:val="00D21AA6"/>
    <w:rsid w:val="00D27B18"/>
    <w:rsid w:val="00D348F2"/>
    <w:rsid w:val="00D40984"/>
    <w:rsid w:val="00D44BA9"/>
    <w:rsid w:val="00D510DF"/>
    <w:rsid w:val="00D51538"/>
    <w:rsid w:val="00D5191D"/>
    <w:rsid w:val="00D523B7"/>
    <w:rsid w:val="00D52432"/>
    <w:rsid w:val="00D53335"/>
    <w:rsid w:val="00D53F48"/>
    <w:rsid w:val="00D611A0"/>
    <w:rsid w:val="00D71515"/>
    <w:rsid w:val="00D7769C"/>
    <w:rsid w:val="00D77F01"/>
    <w:rsid w:val="00D80311"/>
    <w:rsid w:val="00D81848"/>
    <w:rsid w:val="00D853D9"/>
    <w:rsid w:val="00D91DD2"/>
    <w:rsid w:val="00D97AA9"/>
    <w:rsid w:val="00DA5520"/>
    <w:rsid w:val="00DB10E7"/>
    <w:rsid w:val="00DB2577"/>
    <w:rsid w:val="00DB3A1D"/>
    <w:rsid w:val="00DB598B"/>
    <w:rsid w:val="00DB7A65"/>
    <w:rsid w:val="00DC288E"/>
    <w:rsid w:val="00DC38C0"/>
    <w:rsid w:val="00DC3C1D"/>
    <w:rsid w:val="00DD0A11"/>
    <w:rsid w:val="00DD402C"/>
    <w:rsid w:val="00DD6EF0"/>
    <w:rsid w:val="00DE1BE1"/>
    <w:rsid w:val="00DE2ACD"/>
    <w:rsid w:val="00DE3097"/>
    <w:rsid w:val="00DE4872"/>
    <w:rsid w:val="00DF0FD9"/>
    <w:rsid w:val="00E003BF"/>
    <w:rsid w:val="00E00FD2"/>
    <w:rsid w:val="00E0213A"/>
    <w:rsid w:val="00E06C6C"/>
    <w:rsid w:val="00E10A75"/>
    <w:rsid w:val="00E1145A"/>
    <w:rsid w:val="00E12D46"/>
    <w:rsid w:val="00E14083"/>
    <w:rsid w:val="00E149EA"/>
    <w:rsid w:val="00E15385"/>
    <w:rsid w:val="00E21352"/>
    <w:rsid w:val="00E312DC"/>
    <w:rsid w:val="00E319CD"/>
    <w:rsid w:val="00E36962"/>
    <w:rsid w:val="00E37514"/>
    <w:rsid w:val="00E376A2"/>
    <w:rsid w:val="00E4012C"/>
    <w:rsid w:val="00E423FE"/>
    <w:rsid w:val="00E44D5B"/>
    <w:rsid w:val="00E44EB7"/>
    <w:rsid w:val="00E46ABD"/>
    <w:rsid w:val="00E46FE9"/>
    <w:rsid w:val="00E610C6"/>
    <w:rsid w:val="00E67B52"/>
    <w:rsid w:val="00E71CFF"/>
    <w:rsid w:val="00E738DA"/>
    <w:rsid w:val="00E74791"/>
    <w:rsid w:val="00E871FD"/>
    <w:rsid w:val="00E8774E"/>
    <w:rsid w:val="00E92216"/>
    <w:rsid w:val="00E9485D"/>
    <w:rsid w:val="00E968B1"/>
    <w:rsid w:val="00E97DAE"/>
    <w:rsid w:val="00EA1615"/>
    <w:rsid w:val="00EA69C0"/>
    <w:rsid w:val="00EA6C57"/>
    <w:rsid w:val="00EB310F"/>
    <w:rsid w:val="00EB6391"/>
    <w:rsid w:val="00EB7D2F"/>
    <w:rsid w:val="00EC2415"/>
    <w:rsid w:val="00EC29AF"/>
    <w:rsid w:val="00EC477D"/>
    <w:rsid w:val="00ED349A"/>
    <w:rsid w:val="00ED6584"/>
    <w:rsid w:val="00ED75B0"/>
    <w:rsid w:val="00ED7BBA"/>
    <w:rsid w:val="00EE09C9"/>
    <w:rsid w:val="00EE2A47"/>
    <w:rsid w:val="00EE7839"/>
    <w:rsid w:val="00EE7F77"/>
    <w:rsid w:val="00EF137F"/>
    <w:rsid w:val="00EF2EB0"/>
    <w:rsid w:val="00EF2EC6"/>
    <w:rsid w:val="00EF3006"/>
    <w:rsid w:val="00EF4D2D"/>
    <w:rsid w:val="00EF6CA4"/>
    <w:rsid w:val="00F007DC"/>
    <w:rsid w:val="00F12D91"/>
    <w:rsid w:val="00F14CAC"/>
    <w:rsid w:val="00F14F4A"/>
    <w:rsid w:val="00F15BF2"/>
    <w:rsid w:val="00F2105A"/>
    <w:rsid w:val="00F21CB4"/>
    <w:rsid w:val="00F24AAB"/>
    <w:rsid w:val="00F25138"/>
    <w:rsid w:val="00F262C5"/>
    <w:rsid w:val="00F31211"/>
    <w:rsid w:val="00F36245"/>
    <w:rsid w:val="00F364D0"/>
    <w:rsid w:val="00F3729B"/>
    <w:rsid w:val="00F4066D"/>
    <w:rsid w:val="00F4075C"/>
    <w:rsid w:val="00F55806"/>
    <w:rsid w:val="00F55A35"/>
    <w:rsid w:val="00F57E6A"/>
    <w:rsid w:val="00F62F33"/>
    <w:rsid w:val="00F65CD1"/>
    <w:rsid w:val="00F67DC9"/>
    <w:rsid w:val="00F67DF9"/>
    <w:rsid w:val="00F67FAD"/>
    <w:rsid w:val="00F71BE1"/>
    <w:rsid w:val="00F735BA"/>
    <w:rsid w:val="00F73ECF"/>
    <w:rsid w:val="00F74B9F"/>
    <w:rsid w:val="00F80792"/>
    <w:rsid w:val="00F8310C"/>
    <w:rsid w:val="00F8490A"/>
    <w:rsid w:val="00F852AD"/>
    <w:rsid w:val="00F855BC"/>
    <w:rsid w:val="00F85601"/>
    <w:rsid w:val="00F8578F"/>
    <w:rsid w:val="00F91062"/>
    <w:rsid w:val="00F97362"/>
    <w:rsid w:val="00FA5921"/>
    <w:rsid w:val="00FA6F08"/>
    <w:rsid w:val="00FB141A"/>
    <w:rsid w:val="00FB1BD7"/>
    <w:rsid w:val="00FB48F6"/>
    <w:rsid w:val="00FB6465"/>
    <w:rsid w:val="00FC1438"/>
    <w:rsid w:val="00FC302E"/>
    <w:rsid w:val="00FC3C42"/>
    <w:rsid w:val="00FC53EE"/>
    <w:rsid w:val="00FC5882"/>
    <w:rsid w:val="00FC79D1"/>
    <w:rsid w:val="00FD2B9E"/>
    <w:rsid w:val="00FD5223"/>
    <w:rsid w:val="00FE01C5"/>
    <w:rsid w:val="00FE07B0"/>
    <w:rsid w:val="00FE0C41"/>
    <w:rsid w:val="00FE2D27"/>
    <w:rsid w:val="00FE6156"/>
    <w:rsid w:val="00FE635F"/>
    <w:rsid w:val="00FE6EF1"/>
    <w:rsid w:val="00FE7D29"/>
    <w:rsid w:val="00FF0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8394B2"/>
  <w15:docId w15:val="{BBAEA251-1022-494E-A098-6E77F7F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E1"/>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0A"/>
    <w:pPr>
      <w:tabs>
        <w:tab w:val="center" w:pos="4153"/>
        <w:tab w:val="right" w:pos="8306"/>
      </w:tabs>
    </w:pPr>
  </w:style>
  <w:style w:type="character" w:customStyle="1" w:styleId="HeaderChar">
    <w:name w:val="Header Char"/>
    <w:basedOn w:val="DefaultParagraphFont"/>
    <w:link w:val="Header"/>
    <w:uiPriority w:val="99"/>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 w:type="paragraph" w:styleId="ListParagraph">
    <w:name w:val="List Paragraph"/>
    <w:basedOn w:val="Normal"/>
    <w:link w:val="ListParagraphChar"/>
    <w:uiPriority w:val="34"/>
    <w:qFormat/>
    <w:rsid w:val="00C23057"/>
    <w:pPr>
      <w:ind w:left="720"/>
      <w:contextualSpacing/>
    </w:pPr>
  </w:style>
  <w:style w:type="paragraph" w:customStyle="1" w:styleId="subsection">
    <w:name w:val="subsection"/>
    <w:basedOn w:val="Normal"/>
    <w:rsid w:val="000103BF"/>
    <w:pPr>
      <w:spacing w:before="100" w:beforeAutospacing="1" w:after="100" w:afterAutospacing="1"/>
    </w:pPr>
  </w:style>
  <w:style w:type="paragraph" w:customStyle="1" w:styleId="notetext">
    <w:name w:val="notetext"/>
    <w:basedOn w:val="Normal"/>
    <w:rsid w:val="000103BF"/>
    <w:pPr>
      <w:spacing w:before="100" w:beforeAutospacing="1" w:after="100" w:afterAutospacing="1"/>
    </w:pPr>
  </w:style>
  <w:style w:type="character" w:customStyle="1" w:styleId="ListParagraphChar">
    <w:name w:val="List Paragraph Char"/>
    <w:link w:val="ListParagraph"/>
    <w:uiPriority w:val="34"/>
    <w:locked/>
    <w:rsid w:val="00F852AD"/>
    <w:rPr>
      <w:rFonts w:eastAsia="Times New Roman" w:cs="Times New Roman"/>
      <w:szCs w:val="24"/>
      <w:lang w:eastAsia="en-AU"/>
    </w:rPr>
  </w:style>
  <w:style w:type="paragraph" w:customStyle="1" w:styleId="TableText">
    <w:name w:val="TableText"/>
    <w:basedOn w:val="Normal"/>
    <w:rsid w:val="00C36021"/>
    <w:pPr>
      <w:spacing w:before="60" w:after="60" w:line="240" w:lineRule="exact"/>
    </w:pPr>
    <w:rPr>
      <w:sz w:val="22"/>
    </w:rPr>
  </w:style>
  <w:style w:type="paragraph" w:styleId="Revision">
    <w:name w:val="Revision"/>
    <w:hidden/>
    <w:uiPriority w:val="99"/>
    <w:semiHidden/>
    <w:rsid w:val="0026014B"/>
    <w:pPr>
      <w:spacing w:after="0" w:line="240" w:lineRule="auto"/>
    </w:pPr>
    <w:rPr>
      <w:rFonts w:eastAsia="Times New Roman" w:cs="Times New Roman"/>
      <w:szCs w:val="24"/>
      <w:lang w:eastAsia="en-AU"/>
    </w:rPr>
  </w:style>
  <w:style w:type="character" w:styleId="Emphasis">
    <w:name w:val="Emphasis"/>
    <w:basedOn w:val="DefaultParagraphFont"/>
    <w:uiPriority w:val="20"/>
    <w:qFormat/>
    <w:rsid w:val="00E003BF"/>
    <w:rPr>
      <w:i/>
      <w:iCs/>
    </w:rPr>
  </w:style>
  <w:style w:type="paragraph" w:customStyle="1" w:styleId="Item">
    <w:name w:val="Item"/>
    <w:aliases w:val="i"/>
    <w:basedOn w:val="Normal"/>
    <w:next w:val="ItemHead"/>
    <w:rsid w:val="00003124"/>
    <w:pPr>
      <w:keepLines/>
      <w:spacing w:before="80"/>
      <w:ind w:left="709"/>
    </w:pPr>
    <w:rPr>
      <w:sz w:val="22"/>
      <w:szCs w:val="20"/>
    </w:rPr>
  </w:style>
  <w:style w:type="paragraph" w:customStyle="1" w:styleId="ItemHead">
    <w:name w:val="ItemHead"/>
    <w:aliases w:val="ih"/>
    <w:basedOn w:val="Normal"/>
    <w:next w:val="Item"/>
    <w:rsid w:val="00003124"/>
    <w:pPr>
      <w:keepNext/>
      <w:keepLines/>
      <w:spacing w:before="220"/>
      <w:ind w:left="709" w:hanging="709"/>
    </w:pPr>
    <w:rPr>
      <w:rFonts w:ascii="Arial" w:hAnsi="Arial"/>
      <w:b/>
      <w:kern w:val="28"/>
      <w:szCs w:val="20"/>
    </w:rPr>
  </w:style>
  <w:style w:type="paragraph" w:customStyle="1" w:styleId="notetext0">
    <w:name w:val="note(text)"/>
    <w:aliases w:val="n"/>
    <w:basedOn w:val="Normal"/>
    <w:rsid w:val="00003124"/>
    <w:pPr>
      <w:spacing w:before="122" w:line="198" w:lineRule="exact"/>
      <w:ind w:left="1985" w:hanging="851"/>
    </w:pPr>
    <w:rPr>
      <w:sz w:val="18"/>
      <w:szCs w:val="20"/>
    </w:rPr>
  </w:style>
  <w:style w:type="paragraph" w:customStyle="1" w:styleId="Tabletext0">
    <w:name w:val="Table text"/>
    <w:basedOn w:val="Normal"/>
    <w:link w:val="TabletextChar"/>
    <w:uiPriority w:val="2"/>
    <w:qFormat/>
    <w:rsid w:val="00B82789"/>
    <w:rPr>
      <w:rFonts w:ascii="Arial Narrow" w:hAnsi="Arial Narrow"/>
      <w:snapToGrid w:val="0"/>
      <w:sz w:val="20"/>
    </w:rPr>
  </w:style>
  <w:style w:type="character" w:customStyle="1" w:styleId="TabletextChar">
    <w:name w:val="Table text Char"/>
    <w:link w:val="Tabletext0"/>
    <w:uiPriority w:val="2"/>
    <w:rsid w:val="00B82789"/>
    <w:rPr>
      <w:rFonts w:ascii="Arial Narrow" w:eastAsia="Times New Roman" w:hAnsi="Arial Narrow" w:cs="Times New Roman"/>
      <w:snapToGrid w:val="0"/>
      <w:sz w:val="20"/>
      <w:szCs w:val="24"/>
      <w:lang w:eastAsia="en-AU"/>
    </w:rPr>
  </w:style>
  <w:style w:type="paragraph" w:customStyle="1" w:styleId="zr1">
    <w:name w:val="zr1"/>
    <w:basedOn w:val="Normal"/>
    <w:rsid w:val="00DE1BE1"/>
    <w:pPr>
      <w:spacing w:before="100" w:beforeAutospacing="1" w:after="100" w:afterAutospacing="1"/>
    </w:pPr>
  </w:style>
  <w:style w:type="character" w:customStyle="1" w:styleId="normaltextrun">
    <w:name w:val="normaltextrun"/>
    <w:basedOn w:val="DefaultParagraphFont"/>
    <w:rsid w:val="006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5938">
      <w:bodyDiv w:val="1"/>
      <w:marLeft w:val="0"/>
      <w:marRight w:val="0"/>
      <w:marTop w:val="0"/>
      <w:marBottom w:val="0"/>
      <w:divBdr>
        <w:top w:val="none" w:sz="0" w:space="0" w:color="auto"/>
        <w:left w:val="none" w:sz="0" w:space="0" w:color="auto"/>
        <w:bottom w:val="none" w:sz="0" w:space="0" w:color="auto"/>
        <w:right w:val="none" w:sz="0" w:space="0" w:color="auto"/>
      </w:divBdr>
    </w:div>
    <w:div w:id="603877382">
      <w:bodyDiv w:val="1"/>
      <w:marLeft w:val="0"/>
      <w:marRight w:val="0"/>
      <w:marTop w:val="0"/>
      <w:marBottom w:val="0"/>
      <w:divBdr>
        <w:top w:val="none" w:sz="0" w:space="0" w:color="auto"/>
        <w:left w:val="none" w:sz="0" w:space="0" w:color="auto"/>
        <w:bottom w:val="none" w:sz="0" w:space="0" w:color="auto"/>
        <w:right w:val="none" w:sz="0" w:space="0" w:color="auto"/>
      </w:divBdr>
    </w:div>
    <w:div w:id="991837429">
      <w:bodyDiv w:val="1"/>
      <w:marLeft w:val="0"/>
      <w:marRight w:val="0"/>
      <w:marTop w:val="0"/>
      <w:marBottom w:val="0"/>
      <w:divBdr>
        <w:top w:val="none" w:sz="0" w:space="0" w:color="auto"/>
        <w:left w:val="none" w:sz="0" w:space="0" w:color="auto"/>
        <w:bottom w:val="none" w:sz="0" w:space="0" w:color="auto"/>
        <w:right w:val="none" w:sz="0" w:space="0" w:color="auto"/>
      </w:divBdr>
    </w:div>
    <w:div w:id="1024596833">
      <w:bodyDiv w:val="1"/>
      <w:marLeft w:val="0"/>
      <w:marRight w:val="0"/>
      <w:marTop w:val="0"/>
      <w:marBottom w:val="0"/>
      <w:divBdr>
        <w:top w:val="none" w:sz="0" w:space="0" w:color="auto"/>
        <w:left w:val="none" w:sz="0" w:space="0" w:color="auto"/>
        <w:bottom w:val="none" w:sz="0" w:space="0" w:color="auto"/>
        <w:right w:val="none" w:sz="0" w:space="0" w:color="auto"/>
      </w:divBdr>
    </w:div>
    <w:div w:id="1058820450">
      <w:bodyDiv w:val="1"/>
      <w:marLeft w:val="0"/>
      <w:marRight w:val="0"/>
      <w:marTop w:val="0"/>
      <w:marBottom w:val="0"/>
      <w:divBdr>
        <w:top w:val="none" w:sz="0" w:space="0" w:color="auto"/>
        <w:left w:val="none" w:sz="0" w:space="0" w:color="auto"/>
        <w:bottom w:val="none" w:sz="0" w:space="0" w:color="auto"/>
        <w:right w:val="none" w:sz="0" w:space="0" w:color="auto"/>
      </w:divBdr>
      <w:divsChild>
        <w:div w:id="2130926633">
          <w:marLeft w:val="0"/>
          <w:marRight w:val="0"/>
          <w:marTop w:val="0"/>
          <w:marBottom w:val="0"/>
          <w:divBdr>
            <w:top w:val="none" w:sz="0" w:space="0" w:color="auto"/>
            <w:left w:val="none" w:sz="0" w:space="0" w:color="auto"/>
            <w:bottom w:val="none" w:sz="0" w:space="0" w:color="auto"/>
            <w:right w:val="none" w:sz="0" w:space="0" w:color="auto"/>
          </w:divBdr>
          <w:divsChild>
            <w:div w:id="1104032541">
              <w:marLeft w:val="0"/>
              <w:marRight w:val="0"/>
              <w:marTop w:val="0"/>
              <w:marBottom w:val="0"/>
              <w:divBdr>
                <w:top w:val="none" w:sz="0" w:space="0" w:color="auto"/>
                <w:left w:val="none" w:sz="0" w:space="0" w:color="auto"/>
                <w:bottom w:val="none" w:sz="0" w:space="0" w:color="auto"/>
                <w:right w:val="none" w:sz="0" w:space="0" w:color="auto"/>
              </w:divBdr>
              <w:divsChild>
                <w:div w:id="137890331">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927033046">
                          <w:marLeft w:val="0"/>
                          <w:marRight w:val="0"/>
                          <w:marTop w:val="0"/>
                          <w:marBottom w:val="0"/>
                          <w:divBdr>
                            <w:top w:val="none" w:sz="0" w:space="0" w:color="auto"/>
                            <w:left w:val="none" w:sz="0" w:space="0" w:color="auto"/>
                            <w:bottom w:val="none" w:sz="0" w:space="0" w:color="auto"/>
                            <w:right w:val="none" w:sz="0" w:space="0" w:color="auto"/>
                          </w:divBdr>
                          <w:divsChild>
                            <w:div w:id="1363901694">
                              <w:marLeft w:val="0"/>
                              <w:marRight w:val="0"/>
                              <w:marTop w:val="0"/>
                              <w:marBottom w:val="0"/>
                              <w:divBdr>
                                <w:top w:val="single" w:sz="6" w:space="0" w:color="828282"/>
                                <w:left w:val="single" w:sz="6" w:space="0" w:color="828282"/>
                                <w:bottom w:val="single" w:sz="6" w:space="0" w:color="828282"/>
                                <w:right w:val="single" w:sz="6" w:space="0" w:color="828282"/>
                              </w:divBdr>
                              <w:divsChild>
                                <w:div w:id="1954631891">
                                  <w:marLeft w:val="0"/>
                                  <w:marRight w:val="0"/>
                                  <w:marTop w:val="0"/>
                                  <w:marBottom w:val="0"/>
                                  <w:divBdr>
                                    <w:top w:val="none" w:sz="0" w:space="0" w:color="auto"/>
                                    <w:left w:val="none" w:sz="0" w:space="0" w:color="auto"/>
                                    <w:bottom w:val="none" w:sz="0" w:space="0" w:color="auto"/>
                                    <w:right w:val="none" w:sz="0" w:space="0" w:color="auto"/>
                                  </w:divBdr>
                                  <w:divsChild>
                                    <w:div w:id="1854681161">
                                      <w:marLeft w:val="0"/>
                                      <w:marRight w:val="0"/>
                                      <w:marTop w:val="0"/>
                                      <w:marBottom w:val="0"/>
                                      <w:divBdr>
                                        <w:top w:val="none" w:sz="0" w:space="0" w:color="auto"/>
                                        <w:left w:val="none" w:sz="0" w:space="0" w:color="auto"/>
                                        <w:bottom w:val="none" w:sz="0" w:space="0" w:color="auto"/>
                                        <w:right w:val="none" w:sz="0" w:space="0" w:color="auto"/>
                                      </w:divBdr>
                                      <w:divsChild>
                                        <w:div w:id="2143383642">
                                          <w:marLeft w:val="0"/>
                                          <w:marRight w:val="0"/>
                                          <w:marTop w:val="0"/>
                                          <w:marBottom w:val="0"/>
                                          <w:divBdr>
                                            <w:top w:val="none" w:sz="0" w:space="0" w:color="auto"/>
                                            <w:left w:val="none" w:sz="0" w:space="0" w:color="auto"/>
                                            <w:bottom w:val="none" w:sz="0" w:space="0" w:color="auto"/>
                                            <w:right w:val="none" w:sz="0" w:space="0" w:color="auto"/>
                                          </w:divBdr>
                                          <w:divsChild>
                                            <w:div w:id="1472288430">
                                              <w:marLeft w:val="0"/>
                                              <w:marRight w:val="0"/>
                                              <w:marTop w:val="0"/>
                                              <w:marBottom w:val="0"/>
                                              <w:divBdr>
                                                <w:top w:val="none" w:sz="0" w:space="0" w:color="auto"/>
                                                <w:left w:val="none" w:sz="0" w:space="0" w:color="auto"/>
                                                <w:bottom w:val="none" w:sz="0" w:space="0" w:color="auto"/>
                                                <w:right w:val="none" w:sz="0" w:space="0" w:color="auto"/>
                                              </w:divBdr>
                                              <w:divsChild>
                                                <w:div w:id="2073307221">
                                                  <w:marLeft w:val="0"/>
                                                  <w:marRight w:val="0"/>
                                                  <w:marTop w:val="0"/>
                                                  <w:marBottom w:val="0"/>
                                                  <w:divBdr>
                                                    <w:top w:val="none" w:sz="0" w:space="0" w:color="auto"/>
                                                    <w:left w:val="none" w:sz="0" w:space="0" w:color="auto"/>
                                                    <w:bottom w:val="none" w:sz="0" w:space="0" w:color="auto"/>
                                                    <w:right w:val="none" w:sz="0" w:space="0" w:color="auto"/>
                                                  </w:divBdr>
                                                  <w:divsChild>
                                                    <w:div w:id="496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960424">
      <w:bodyDiv w:val="1"/>
      <w:marLeft w:val="0"/>
      <w:marRight w:val="0"/>
      <w:marTop w:val="0"/>
      <w:marBottom w:val="0"/>
      <w:divBdr>
        <w:top w:val="none" w:sz="0" w:space="0" w:color="auto"/>
        <w:left w:val="none" w:sz="0" w:space="0" w:color="auto"/>
        <w:bottom w:val="none" w:sz="0" w:space="0" w:color="auto"/>
        <w:right w:val="none" w:sz="0" w:space="0" w:color="auto"/>
      </w:divBdr>
    </w:div>
    <w:div w:id="1157108180">
      <w:bodyDiv w:val="1"/>
      <w:marLeft w:val="0"/>
      <w:marRight w:val="0"/>
      <w:marTop w:val="0"/>
      <w:marBottom w:val="0"/>
      <w:divBdr>
        <w:top w:val="none" w:sz="0" w:space="0" w:color="auto"/>
        <w:left w:val="none" w:sz="0" w:space="0" w:color="auto"/>
        <w:bottom w:val="none" w:sz="0" w:space="0" w:color="auto"/>
        <w:right w:val="none" w:sz="0" w:space="0" w:color="auto"/>
      </w:divBdr>
    </w:div>
    <w:div w:id="1316034537">
      <w:bodyDiv w:val="1"/>
      <w:marLeft w:val="0"/>
      <w:marRight w:val="0"/>
      <w:marTop w:val="0"/>
      <w:marBottom w:val="0"/>
      <w:divBdr>
        <w:top w:val="none" w:sz="0" w:space="0" w:color="auto"/>
        <w:left w:val="none" w:sz="0" w:space="0" w:color="auto"/>
        <w:bottom w:val="none" w:sz="0" w:space="0" w:color="auto"/>
        <w:right w:val="none" w:sz="0" w:space="0" w:color="auto"/>
      </w:divBdr>
      <w:divsChild>
        <w:div w:id="90009096">
          <w:marLeft w:val="0"/>
          <w:marRight w:val="0"/>
          <w:marTop w:val="0"/>
          <w:marBottom w:val="0"/>
          <w:divBdr>
            <w:top w:val="none" w:sz="0" w:space="0" w:color="auto"/>
            <w:left w:val="none" w:sz="0" w:space="0" w:color="auto"/>
            <w:bottom w:val="none" w:sz="0" w:space="0" w:color="auto"/>
            <w:right w:val="none" w:sz="0" w:space="0" w:color="auto"/>
          </w:divBdr>
          <w:divsChild>
            <w:div w:id="1167671300">
              <w:marLeft w:val="0"/>
              <w:marRight w:val="0"/>
              <w:marTop w:val="0"/>
              <w:marBottom w:val="0"/>
              <w:divBdr>
                <w:top w:val="none" w:sz="0" w:space="0" w:color="auto"/>
                <w:left w:val="none" w:sz="0" w:space="0" w:color="auto"/>
                <w:bottom w:val="none" w:sz="0" w:space="0" w:color="auto"/>
                <w:right w:val="none" w:sz="0" w:space="0" w:color="auto"/>
              </w:divBdr>
              <w:divsChild>
                <w:div w:id="1093933860">
                  <w:marLeft w:val="0"/>
                  <w:marRight w:val="0"/>
                  <w:marTop w:val="0"/>
                  <w:marBottom w:val="0"/>
                  <w:divBdr>
                    <w:top w:val="none" w:sz="0" w:space="0" w:color="auto"/>
                    <w:left w:val="none" w:sz="0" w:space="0" w:color="auto"/>
                    <w:bottom w:val="none" w:sz="0" w:space="0" w:color="auto"/>
                    <w:right w:val="none" w:sz="0" w:space="0" w:color="auto"/>
                  </w:divBdr>
                  <w:divsChild>
                    <w:div w:id="1986886940">
                      <w:marLeft w:val="0"/>
                      <w:marRight w:val="0"/>
                      <w:marTop w:val="0"/>
                      <w:marBottom w:val="0"/>
                      <w:divBdr>
                        <w:top w:val="none" w:sz="0" w:space="0" w:color="auto"/>
                        <w:left w:val="none" w:sz="0" w:space="0" w:color="auto"/>
                        <w:bottom w:val="none" w:sz="0" w:space="0" w:color="auto"/>
                        <w:right w:val="none" w:sz="0" w:space="0" w:color="auto"/>
                      </w:divBdr>
                      <w:divsChild>
                        <w:div w:id="834996828">
                          <w:marLeft w:val="0"/>
                          <w:marRight w:val="0"/>
                          <w:marTop w:val="0"/>
                          <w:marBottom w:val="0"/>
                          <w:divBdr>
                            <w:top w:val="single" w:sz="6" w:space="0" w:color="828282"/>
                            <w:left w:val="single" w:sz="6" w:space="0" w:color="828282"/>
                            <w:bottom w:val="single" w:sz="6" w:space="0" w:color="828282"/>
                            <w:right w:val="single" w:sz="6" w:space="0" w:color="828282"/>
                          </w:divBdr>
                          <w:divsChild>
                            <w:div w:id="1590652336">
                              <w:marLeft w:val="0"/>
                              <w:marRight w:val="0"/>
                              <w:marTop w:val="0"/>
                              <w:marBottom w:val="0"/>
                              <w:divBdr>
                                <w:top w:val="none" w:sz="0" w:space="0" w:color="auto"/>
                                <w:left w:val="none" w:sz="0" w:space="0" w:color="auto"/>
                                <w:bottom w:val="none" w:sz="0" w:space="0" w:color="auto"/>
                                <w:right w:val="none" w:sz="0" w:space="0" w:color="auto"/>
                              </w:divBdr>
                              <w:divsChild>
                                <w:div w:id="1953785348">
                                  <w:marLeft w:val="0"/>
                                  <w:marRight w:val="0"/>
                                  <w:marTop w:val="0"/>
                                  <w:marBottom w:val="0"/>
                                  <w:divBdr>
                                    <w:top w:val="none" w:sz="0" w:space="0" w:color="auto"/>
                                    <w:left w:val="none" w:sz="0" w:space="0" w:color="auto"/>
                                    <w:bottom w:val="none" w:sz="0" w:space="0" w:color="auto"/>
                                    <w:right w:val="none" w:sz="0" w:space="0" w:color="auto"/>
                                  </w:divBdr>
                                  <w:divsChild>
                                    <w:div w:id="409232700">
                                      <w:marLeft w:val="0"/>
                                      <w:marRight w:val="0"/>
                                      <w:marTop w:val="0"/>
                                      <w:marBottom w:val="0"/>
                                      <w:divBdr>
                                        <w:top w:val="none" w:sz="0" w:space="0" w:color="auto"/>
                                        <w:left w:val="none" w:sz="0" w:space="0" w:color="auto"/>
                                        <w:bottom w:val="none" w:sz="0" w:space="0" w:color="auto"/>
                                        <w:right w:val="none" w:sz="0" w:space="0" w:color="auto"/>
                                      </w:divBdr>
                                      <w:divsChild>
                                        <w:div w:id="1620721872">
                                          <w:marLeft w:val="0"/>
                                          <w:marRight w:val="0"/>
                                          <w:marTop w:val="0"/>
                                          <w:marBottom w:val="0"/>
                                          <w:divBdr>
                                            <w:top w:val="none" w:sz="0" w:space="0" w:color="auto"/>
                                            <w:left w:val="none" w:sz="0" w:space="0" w:color="auto"/>
                                            <w:bottom w:val="none" w:sz="0" w:space="0" w:color="auto"/>
                                            <w:right w:val="none" w:sz="0" w:space="0" w:color="auto"/>
                                          </w:divBdr>
                                          <w:divsChild>
                                            <w:div w:id="1421097036">
                                              <w:marLeft w:val="0"/>
                                              <w:marRight w:val="0"/>
                                              <w:marTop w:val="0"/>
                                              <w:marBottom w:val="0"/>
                                              <w:divBdr>
                                                <w:top w:val="none" w:sz="0" w:space="0" w:color="auto"/>
                                                <w:left w:val="none" w:sz="0" w:space="0" w:color="auto"/>
                                                <w:bottom w:val="none" w:sz="0" w:space="0" w:color="auto"/>
                                                <w:right w:val="none" w:sz="0" w:space="0" w:color="auto"/>
                                              </w:divBdr>
                                              <w:divsChild>
                                                <w:div w:id="145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88802">
      <w:bodyDiv w:val="1"/>
      <w:marLeft w:val="0"/>
      <w:marRight w:val="0"/>
      <w:marTop w:val="0"/>
      <w:marBottom w:val="0"/>
      <w:divBdr>
        <w:top w:val="none" w:sz="0" w:space="0" w:color="auto"/>
        <w:left w:val="none" w:sz="0" w:space="0" w:color="auto"/>
        <w:bottom w:val="none" w:sz="0" w:space="0" w:color="auto"/>
        <w:right w:val="none" w:sz="0" w:space="0" w:color="auto"/>
      </w:divBdr>
    </w:div>
    <w:div w:id="1691909875">
      <w:bodyDiv w:val="1"/>
      <w:marLeft w:val="0"/>
      <w:marRight w:val="0"/>
      <w:marTop w:val="0"/>
      <w:marBottom w:val="0"/>
      <w:divBdr>
        <w:top w:val="none" w:sz="0" w:space="0" w:color="auto"/>
        <w:left w:val="none" w:sz="0" w:space="0" w:color="auto"/>
        <w:bottom w:val="none" w:sz="0" w:space="0" w:color="auto"/>
        <w:right w:val="none" w:sz="0" w:space="0" w:color="auto"/>
      </w:divBdr>
    </w:div>
    <w:div w:id="1783069968">
      <w:bodyDiv w:val="1"/>
      <w:marLeft w:val="0"/>
      <w:marRight w:val="0"/>
      <w:marTop w:val="0"/>
      <w:marBottom w:val="0"/>
      <w:divBdr>
        <w:top w:val="none" w:sz="0" w:space="0" w:color="auto"/>
        <w:left w:val="none" w:sz="0" w:space="0" w:color="auto"/>
        <w:bottom w:val="none" w:sz="0" w:space="0" w:color="auto"/>
        <w:right w:val="none" w:sz="0" w:space="0" w:color="auto"/>
      </w:divBdr>
      <w:divsChild>
        <w:div w:id="35158084">
          <w:marLeft w:val="0"/>
          <w:marRight w:val="0"/>
          <w:marTop w:val="0"/>
          <w:marBottom w:val="0"/>
          <w:divBdr>
            <w:top w:val="none" w:sz="0" w:space="0" w:color="auto"/>
            <w:left w:val="none" w:sz="0" w:space="0" w:color="auto"/>
            <w:bottom w:val="none" w:sz="0" w:space="0" w:color="auto"/>
            <w:right w:val="none" w:sz="0" w:space="0" w:color="auto"/>
          </w:divBdr>
          <w:divsChild>
            <w:div w:id="1872065724">
              <w:marLeft w:val="0"/>
              <w:marRight w:val="0"/>
              <w:marTop w:val="0"/>
              <w:marBottom w:val="0"/>
              <w:divBdr>
                <w:top w:val="none" w:sz="0" w:space="0" w:color="auto"/>
                <w:left w:val="none" w:sz="0" w:space="0" w:color="auto"/>
                <w:bottom w:val="none" w:sz="0" w:space="0" w:color="auto"/>
                <w:right w:val="none" w:sz="0" w:space="0" w:color="auto"/>
              </w:divBdr>
              <w:divsChild>
                <w:div w:id="44959634">
                  <w:marLeft w:val="0"/>
                  <w:marRight w:val="0"/>
                  <w:marTop w:val="0"/>
                  <w:marBottom w:val="0"/>
                  <w:divBdr>
                    <w:top w:val="none" w:sz="0" w:space="0" w:color="auto"/>
                    <w:left w:val="none" w:sz="0" w:space="0" w:color="auto"/>
                    <w:bottom w:val="none" w:sz="0" w:space="0" w:color="auto"/>
                    <w:right w:val="none" w:sz="0" w:space="0" w:color="auto"/>
                  </w:divBdr>
                  <w:divsChild>
                    <w:div w:id="48772810">
                      <w:marLeft w:val="0"/>
                      <w:marRight w:val="0"/>
                      <w:marTop w:val="0"/>
                      <w:marBottom w:val="0"/>
                      <w:divBdr>
                        <w:top w:val="none" w:sz="0" w:space="0" w:color="auto"/>
                        <w:left w:val="none" w:sz="0" w:space="0" w:color="auto"/>
                        <w:bottom w:val="none" w:sz="0" w:space="0" w:color="auto"/>
                        <w:right w:val="none" w:sz="0" w:space="0" w:color="auto"/>
                      </w:divBdr>
                      <w:divsChild>
                        <w:div w:id="1830946756">
                          <w:marLeft w:val="0"/>
                          <w:marRight w:val="0"/>
                          <w:marTop w:val="0"/>
                          <w:marBottom w:val="0"/>
                          <w:divBdr>
                            <w:top w:val="single" w:sz="6" w:space="0" w:color="828282"/>
                            <w:left w:val="single" w:sz="6" w:space="0" w:color="828282"/>
                            <w:bottom w:val="single" w:sz="6" w:space="0" w:color="828282"/>
                            <w:right w:val="single" w:sz="6" w:space="0" w:color="828282"/>
                          </w:divBdr>
                          <w:divsChild>
                            <w:div w:id="1207257119">
                              <w:marLeft w:val="0"/>
                              <w:marRight w:val="0"/>
                              <w:marTop w:val="0"/>
                              <w:marBottom w:val="0"/>
                              <w:divBdr>
                                <w:top w:val="none" w:sz="0" w:space="0" w:color="auto"/>
                                <w:left w:val="none" w:sz="0" w:space="0" w:color="auto"/>
                                <w:bottom w:val="none" w:sz="0" w:space="0" w:color="auto"/>
                                <w:right w:val="none" w:sz="0" w:space="0" w:color="auto"/>
                              </w:divBdr>
                              <w:divsChild>
                                <w:div w:id="455874170">
                                  <w:marLeft w:val="0"/>
                                  <w:marRight w:val="0"/>
                                  <w:marTop w:val="0"/>
                                  <w:marBottom w:val="0"/>
                                  <w:divBdr>
                                    <w:top w:val="none" w:sz="0" w:space="0" w:color="auto"/>
                                    <w:left w:val="none" w:sz="0" w:space="0" w:color="auto"/>
                                    <w:bottom w:val="none" w:sz="0" w:space="0" w:color="auto"/>
                                    <w:right w:val="none" w:sz="0" w:space="0" w:color="auto"/>
                                  </w:divBdr>
                                  <w:divsChild>
                                    <w:div w:id="752358334">
                                      <w:marLeft w:val="0"/>
                                      <w:marRight w:val="0"/>
                                      <w:marTop w:val="0"/>
                                      <w:marBottom w:val="0"/>
                                      <w:divBdr>
                                        <w:top w:val="none" w:sz="0" w:space="0" w:color="auto"/>
                                        <w:left w:val="none" w:sz="0" w:space="0" w:color="auto"/>
                                        <w:bottom w:val="none" w:sz="0" w:space="0" w:color="auto"/>
                                        <w:right w:val="none" w:sz="0" w:space="0" w:color="auto"/>
                                      </w:divBdr>
                                      <w:divsChild>
                                        <w:div w:id="1386641294">
                                          <w:marLeft w:val="0"/>
                                          <w:marRight w:val="0"/>
                                          <w:marTop w:val="0"/>
                                          <w:marBottom w:val="0"/>
                                          <w:divBdr>
                                            <w:top w:val="none" w:sz="0" w:space="0" w:color="auto"/>
                                            <w:left w:val="none" w:sz="0" w:space="0" w:color="auto"/>
                                            <w:bottom w:val="none" w:sz="0" w:space="0" w:color="auto"/>
                                            <w:right w:val="none" w:sz="0" w:space="0" w:color="auto"/>
                                          </w:divBdr>
                                          <w:divsChild>
                                            <w:div w:id="2126851544">
                                              <w:marLeft w:val="0"/>
                                              <w:marRight w:val="0"/>
                                              <w:marTop w:val="0"/>
                                              <w:marBottom w:val="0"/>
                                              <w:divBdr>
                                                <w:top w:val="none" w:sz="0" w:space="0" w:color="auto"/>
                                                <w:left w:val="none" w:sz="0" w:space="0" w:color="auto"/>
                                                <w:bottom w:val="none" w:sz="0" w:space="0" w:color="auto"/>
                                                <w:right w:val="none" w:sz="0" w:space="0" w:color="auto"/>
                                              </w:divBdr>
                                              <w:divsChild>
                                                <w:div w:id="4408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613235">
      <w:bodyDiv w:val="1"/>
      <w:marLeft w:val="0"/>
      <w:marRight w:val="0"/>
      <w:marTop w:val="0"/>
      <w:marBottom w:val="0"/>
      <w:divBdr>
        <w:top w:val="none" w:sz="0" w:space="0" w:color="auto"/>
        <w:left w:val="none" w:sz="0" w:space="0" w:color="auto"/>
        <w:bottom w:val="none" w:sz="0" w:space="0" w:color="auto"/>
        <w:right w:val="none" w:sz="0" w:space="0" w:color="auto"/>
      </w:divBdr>
    </w:div>
    <w:div w:id="2033606190">
      <w:bodyDiv w:val="1"/>
      <w:marLeft w:val="0"/>
      <w:marRight w:val="0"/>
      <w:marTop w:val="0"/>
      <w:marBottom w:val="0"/>
      <w:divBdr>
        <w:top w:val="none" w:sz="0" w:space="0" w:color="auto"/>
        <w:left w:val="none" w:sz="0" w:space="0" w:color="auto"/>
        <w:bottom w:val="none" w:sz="0" w:space="0" w:color="auto"/>
        <w:right w:val="none" w:sz="0" w:space="0" w:color="auto"/>
      </w:divBdr>
    </w:div>
    <w:div w:id="2045012986">
      <w:bodyDiv w:val="1"/>
      <w:marLeft w:val="0"/>
      <w:marRight w:val="0"/>
      <w:marTop w:val="0"/>
      <w:marBottom w:val="0"/>
      <w:divBdr>
        <w:top w:val="none" w:sz="0" w:space="0" w:color="auto"/>
        <w:left w:val="none" w:sz="0" w:space="0" w:color="auto"/>
        <w:bottom w:val="none" w:sz="0" w:space="0" w:color="auto"/>
        <w:right w:val="none" w:sz="0" w:space="0" w:color="auto"/>
      </w:divBdr>
      <w:divsChild>
        <w:div w:id="1885555704">
          <w:marLeft w:val="0"/>
          <w:marRight w:val="0"/>
          <w:marTop w:val="0"/>
          <w:marBottom w:val="0"/>
          <w:divBdr>
            <w:top w:val="none" w:sz="0" w:space="0" w:color="auto"/>
            <w:left w:val="none" w:sz="0" w:space="0" w:color="auto"/>
            <w:bottom w:val="none" w:sz="0" w:space="0" w:color="auto"/>
            <w:right w:val="none" w:sz="0" w:space="0" w:color="auto"/>
          </w:divBdr>
          <w:divsChild>
            <w:div w:id="1384980742">
              <w:marLeft w:val="0"/>
              <w:marRight w:val="0"/>
              <w:marTop w:val="0"/>
              <w:marBottom w:val="0"/>
              <w:divBdr>
                <w:top w:val="none" w:sz="0" w:space="0" w:color="auto"/>
                <w:left w:val="none" w:sz="0" w:space="0" w:color="auto"/>
                <w:bottom w:val="none" w:sz="0" w:space="0" w:color="auto"/>
                <w:right w:val="none" w:sz="0" w:space="0" w:color="auto"/>
              </w:divBdr>
              <w:divsChild>
                <w:div w:id="1411152503">
                  <w:marLeft w:val="0"/>
                  <w:marRight w:val="0"/>
                  <w:marTop w:val="0"/>
                  <w:marBottom w:val="0"/>
                  <w:divBdr>
                    <w:top w:val="none" w:sz="0" w:space="0" w:color="auto"/>
                    <w:left w:val="none" w:sz="0" w:space="0" w:color="auto"/>
                    <w:bottom w:val="none" w:sz="0" w:space="0" w:color="auto"/>
                    <w:right w:val="none" w:sz="0" w:space="0" w:color="auto"/>
                  </w:divBdr>
                  <w:divsChild>
                    <w:div w:id="670064462">
                      <w:marLeft w:val="0"/>
                      <w:marRight w:val="0"/>
                      <w:marTop w:val="0"/>
                      <w:marBottom w:val="0"/>
                      <w:divBdr>
                        <w:top w:val="none" w:sz="0" w:space="0" w:color="auto"/>
                        <w:left w:val="none" w:sz="0" w:space="0" w:color="auto"/>
                        <w:bottom w:val="none" w:sz="0" w:space="0" w:color="auto"/>
                        <w:right w:val="none" w:sz="0" w:space="0" w:color="auto"/>
                      </w:divBdr>
                      <w:divsChild>
                        <w:div w:id="359286683">
                          <w:marLeft w:val="0"/>
                          <w:marRight w:val="0"/>
                          <w:marTop w:val="0"/>
                          <w:marBottom w:val="0"/>
                          <w:divBdr>
                            <w:top w:val="none" w:sz="0" w:space="0" w:color="auto"/>
                            <w:left w:val="none" w:sz="0" w:space="0" w:color="auto"/>
                            <w:bottom w:val="none" w:sz="0" w:space="0" w:color="auto"/>
                            <w:right w:val="none" w:sz="0" w:space="0" w:color="auto"/>
                          </w:divBdr>
                          <w:divsChild>
                            <w:div w:id="1625843359">
                              <w:marLeft w:val="0"/>
                              <w:marRight w:val="0"/>
                              <w:marTop w:val="0"/>
                              <w:marBottom w:val="0"/>
                              <w:divBdr>
                                <w:top w:val="none" w:sz="0" w:space="0" w:color="auto"/>
                                <w:left w:val="none" w:sz="0" w:space="0" w:color="auto"/>
                                <w:bottom w:val="none" w:sz="0" w:space="0" w:color="auto"/>
                                <w:right w:val="none" w:sz="0" w:space="0" w:color="auto"/>
                              </w:divBdr>
                              <w:divsChild>
                                <w:div w:id="1440104158">
                                  <w:marLeft w:val="0"/>
                                  <w:marRight w:val="0"/>
                                  <w:marTop w:val="0"/>
                                  <w:marBottom w:val="0"/>
                                  <w:divBdr>
                                    <w:top w:val="none" w:sz="0" w:space="0" w:color="auto"/>
                                    <w:left w:val="none" w:sz="0" w:space="0" w:color="auto"/>
                                    <w:bottom w:val="none" w:sz="0" w:space="0" w:color="auto"/>
                                    <w:right w:val="none" w:sz="0" w:space="0" w:color="auto"/>
                                  </w:divBdr>
                                  <w:divsChild>
                                    <w:div w:id="1194076372">
                                      <w:marLeft w:val="0"/>
                                      <w:marRight w:val="0"/>
                                      <w:marTop w:val="0"/>
                                      <w:marBottom w:val="0"/>
                                      <w:divBdr>
                                        <w:top w:val="none" w:sz="0" w:space="0" w:color="auto"/>
                                        <w:left w:val="none" w:sz="0" w:space="0" w:color="auto"/>
                                        <w:bottom w:val="none" w:sz="0" w:space="0" w:color="auto"/>
                                        <w:right w:val="none" w:sz="0" w:space="0" w:color="auto"/>
                                      </w:divBdr>
                                      <w:divsChild>
                                        <w:div w:id="2046252347">
                                          <w:marLeft w:val="0"/>
                                          <w:marRight w:val="0"/>
                                          <w:marTop w:val="0"/>
                                          <w:marBottom w:val="0"/>
                                          <w:divBdr>
                                            <w:top w:val="none" w:sz="0" w:space="0" w:color="auto"/>
                                            <w:left w:val="none" w:sz="0" w:space="0" w:color="auto"/>
                                            <w:bottom w:val="none" w:sz="0" w:space="0" w:color="auto"/>
                                            <w:right w:val="none" w:sz="0" w:space="0" w:color="auto"/>
                                          </w:divBdr>
                                          <w:divsChild>
                                            <w:div w:id="758674583">
                                              <w:marLeft w:val="0"/>
                                              <w:marRight w:val="0"/>
                                              <w:marTop w:val="0"/>
                                              <w:marBottom w:val="0"/>
                                              <w:divBdr>
                                                <w:top w:val="none" w:sz="0" w:space="0" w:color="auto"/>
                                                <w:left w:val="none" w:sz="0" w:space="0" w:color="auto"/>
                                                <w:bottom w:val="none" w:sz="0" w:space="0" w:color="auto"/>
                                                <w:right w:val="none" w:sz="0" w:space="0" w:color="auto"/>
                                              </w:divBdr>
                                              <w:divsChild>
                                                <w:div w:id="495000632">
                                                  <w:marLeft w:val="0"/>
                                                  <w:marRight w:val="0"/>
                                                  <w:marTop w:val="0"/>
                                                  <w:marBottom w:val="0"/>
                                                  <w:divBdr>
                                                    <w:top w:val="none" w:sz="0" w:space="0" w:color="auto"/>
                                                    <w:left w:val="none" w:sz="0" w:space="0" w:color="auto"/>
                                                    <w:bottom w:val="none" w:sz="0" w:space="0" w:color="auto"/>
                                                    <w:right w:val="none" w:sz="0" w:space="0" w:color="auto"/>
                                                  </w:divBdr>
                                                  <w:divsChild>
                                                    <w:div w:id="238637413">
                                                      <w:marLeft w:val="0"/>
                                                      <w:marRight w:val="0"/>
                                                      <w:marTop w:val="0"/>
                                                      <w:marBottom w:val="0"/>
                                                      <w:divBdr>
                                                        <w:top w:val="none" w:sz="0" w:space="0" w:color="auto"/>
                                                        <w:left w:val="none" w:sz="0" w:space="0" w:color="auto"/>
                                                        <w:bottom w:val="none" w:sz="0" w:space="0" w:color="auto"/>
                                                        <w:right w:val="none" w:sz="0" w:space="0" w:color="auto"/>
                                                      </w:divBdr>
                                                      <w:divsChild>
                                                        <w:div w:id="19912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AB07-C0F3-437E-9E49-B4275E97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Burford</dc:creator>
  <cp:lastModifiedBy>VANCUYLENBURG, Chrisanne</cp:lastModifiedBy>
  <cp:revision>4</cp:revision>
  <cp:lastPrinted>2018-09-05T00:15:00Z</cp:lastPrinted>
  <dcterms:created xsi:type="dcterms:W3CDTF">2023-01-26T23:37:00Z</dcterms:created>
  <dcterms:modified xsi:type="dcterms:W3CDTF">2023-02-03T03:51:00Z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