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AC" w:rsidRPr="00F17CC6" w:rsidRDefault="00FC03FA" w:rsidP="00CC0DAC">
      <w:pPr>
        <w:pStyle w:val="LDBodytext"/>
        <w:rPr>
          <w:sz w:val="28"/>
        </w:rPr>
      </w:pPr>
      <w:bookmarkStart w:id="0" w:name="_GoBack"/>
      <w:r w:rsidRPr="00FC03FA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4A14E76" wp14:editId="0B4BB1C1">
            <wp:extent cx="1247775" cy="914400"/>
            <wp:effectExtent l="0" t="0" r="9525" b="0"/>
            <wp:docPr id="2" name="Picture 2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0DAC" w:rsidRPr="000A3524" w:rsidRDefault="000A187B" w:rsidP="00CC0DAC">
      <w:pPr>
        <w:pStyle w:val="LDTitle"/>
      </w:pPr>
      <w:bookmarkStart w:id="1" w:name="LIN"/>
      <w:r>
        <w:t>LIN</w:t>
      </w:r>
      <w:r w:rsidR="00ED7CB8" w:rsidRPr="006251AB">
        <w:t xml:space="preserve"> 22/</w:t>
      </w:r>
      <w:r>
        <w:t>104</w:t>
      </w:r>
      <w:r w:rsidR="00CC0DAC" w:rsidRPr="006251AB">
        <w:t xml:space="preserve"> </w:t>
      </w:r>
      <w:bookmarkEnd w:id="1"/>
    </w:p>
    <w:p w:rsidR="009228CB" w:rsidRPr="00A33A6A" w:rsidRDefault="000A187B" w:rsidP="000B14AD">
      <w:pPr>
        <w:pStyle w:val="LDDescription"/>
      </w:pPr>
      <w:bookmarkStart w:id="2" w:name="Title"/>
      <w:r>
        <w:t>Social Security (Disaster Recovery Allowance</w:t>
      </w:r>
      <w:proofErr w:type="gramStart"/>
      <w:r>
        <w:t>)(</w:t>
      </w:r>
      <w:proofErr w:type="gramEnd"/>
      <w:r>
        <w:t>Prescribed payments) Determination 2022</w:t>
      </w:r>
      <w:r w:rsidR="00E03C6B">
        <w:t xml:space="preserve"> </w:t>
      </w:r>
      <w:bookmarkEnd w:id="2"/>
    </w:p>
    <w:p w:rsidR="000A187B" w:rsidRDefault="000A187B" w:rsidP="000A187B">
      <w:pPr>
        <w:pStyle w:val="LDBodytext"/>
      </w:pPr>
      <w:r>
        <w:t xml:space="preserve">I, </w:t>
      </w:r>
      <w:r>
        <w:rPr>
          <w:szCs w:val="22"/>
        </w:rPr>
        <w:t>Murray Watt, Minister for Emergency Management</w:t>
      </w:r>
      <w:r>
        <w:t xml:space="preserve">, make this instrument under </w:t>
      </w:r>
      <w:r>
        <w:rPr>
          <w:szCs w:val="22"/>
        </w:rPr>
        <w:t>subsection </w:t>
      </w:r>
      <w:proofErr w:type="gramStart"/>
      <w:r>
        <w:rPr>
          <w:szCs w:val="22"/>
        </w:rPr>
        <w:t>1061KA(</w:t>
      </w:r>
      <w:proofErr w:type="gramEnd"/>
      <w:r>
        <w:rPr>
          <w:szCs w:val="22"/>
        </w:rPr>
        <w:t xml:space="preserve">5) of the </w:t>
      </w:r>
      <w:r>
        <w:rPr>
          <w:i/>
          <w:szCs w:val="22"/>
        </w:rPr>
        <w:t xml:space="preserve">Social Security Act 1991 </w:t>
      </w:r>
      <w:r>
        <w:t xml:space="preserve">(the </w:t>
      </w:r>
      <w:r>
        <w:rPr>
          <w:b/>
          <w:i/>
        </w:rPr>
        <w:t>Act</w:t>
      </w:r>
      <w:r>
        <w:t>)</w:t>
      </w:r>
      <w:r>
        <w:rPr>
          <w:i/>
        </w:rPr>
        <w:t>.</w:t>
      </w:r>
    </w:p>
    <w:p w:rsidR="00867201" w:rsidRDefault="00D852E4" w:rsidP="00867201">
      <w:pPr>
        <w:pStyle w:val="LDDate"/>
      </w:pPr>
      <w:r>
        <w:t>Dated</w:t>
      </w:r>
      <w:r w:rsidR="00867201">
        <w:t xml:space="preserve"> 27 January </w:t>
      </w:r>
      <w:r>
        <w:t>202</w:t>
      </w:r>
      <w:r w:rsidR="00FB216E">
        <w:t>2</w:t>
      </w:r>
    </w:p>
    <w:p w:rsidR="00D852E4" w:rsidRPr="00867201" w:rsidRDefault="00867201" w:rsidP="00867201">
      <w:pPr>
        <w:pStyle w:val="LDDate"/>
      </w:pPr>
      <w:r w:rsidRPr="00867201">
        <w:t>Murray Watt</w:t>
      </w:r>
    </w:p>
    <w:p w:rsidR="000A187B" w:rsidRDefault="00EB5CF3" w:rsidP="00D852E4">
      <w:pPr>
        <w:pStyle w:val="LDBodytext"/>
        <w:rPr>
          <w:szCs w:val="22"/>
        </w:rPr>
      </w:pPr>
      <w:r>
        <w:rPr>
          <w:szCs w:val="22"/>
        </w:rPr>
        <w:t xml:space="preserve">Minister for Emergency Management </w:t>
      </w:r>
    </w:p>
    <w:p w:rsidR="000A187B" w:rsidRDefault="000A187B">
      <w:pPr>
        <w:spacing w:line="240" w:lineRule="auto"/>
        <w:rPr>
          <w:rFonts w:eastAsia="Times New Roman" w:cs="Times New Roman"/>
          <w:sz w:val="24"/>
          <w:szCs w:val="22"/>
        </w:rPr>
      </w:pPr>
      <w:r>
        <w:rPr>
          <w:szCs w:val="22"/>
        </w:rPr>
        <w:br w:type="page"/>
      </w:r>
    </w:p>
    <w:p w:rsidR="000A187B" w:rsidRPr="00F17CC6" w:rsidRDefault="000A187B" w:rsidP="000A187B">
      <w:pPr>
        <w:pStyle w:val="LDSecHead"/>
      </w:pPr>
      <w:bookmarkStart w:id="3" w:name="_Toc454512513"/>
      <w:bookmarkStart w:id="4" w:name="_Toc454512517"/>
      <w:r>
        <w:lastRenderedPageBreak/>
        <w:t>1</w:t>
      </w:r>
      <w:r>
        <w:tab/>
      </w:r>
      <w:r w:rsidRPr="00F17CC6">
        <w:t>Name</w:t>
      </w:r>
      <w:bookmarkEnd w:id="3"/>
      <w:r>
        <w:t xml:space="preserve"> of instrument</w:t>
      </w:r>
    </w:p>
    <w:p w:rsidR="000A187B" w:rsidRPr="00B81097" w:rsidRDefault="000A187B" w:rsidP="000A187B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Pr="00B81097">
        <w:rPr>
          <w:rStyle w:val="LDItal"/>
        </w:rPr>
        <w:fldChar w:fldCharType="begin"/>
      </w:r>
      <w:r w:rsidRPr="00B81097">
        <w:rPr>
          <w:rStyle w:val="LDItal"/>
        </w:rPr>
        <w:instrText xml:space="preserve"> REF Title \h  \* MERGEFORMAT </w:instrText>
      </w:r>
      <w:r w:rsidRPr="00B81097">
        <w:rPr>
          <w:rStyle w:val="LDItal"/>
        </w:rPr>
      </w:r>
      <w:r w:rsidRPr="00B81097">
        <w:rPr>
          <w:rStyle w:val="LDItal"/>
        </w:rPr>
        <w:fldChar w:fldCharType="separate"/>
      </w:r>
      <w:r w:rsidRPr="00634C4F">
        <w:rPr>
          <w:rStyle w:val="LDItal"/>
        </w:rPr>
        <w:t>Social Security (</w:t>
      </w:r>
      <w:r>
        <w:rPr>
          <w:rStyle w:val="LDItal"/>
        </w:rPr>
        <w:t>Disaster Recovery Allowance</w:t>
      </w:r>
      <w:proofErr w:type="gramStart"/>
      <w:r w:rsidRPr="00634C4F">
        <w:rPr>
          <w:rStyle w:val="LDItal"/>
        </w:rPr>
        <w:t>)</w:t>
      </w:r>
      <w:r>
        <w:rPr>
          <w:rStyle w:val="LDItal"/>
        </w:rPr>
        <w:t>(</w:t>
      </w:r>
      <w:proofErr w:type="gramEnd"/>
      <w:r>
        <w:rPr>
          <w:rStyle w:val="LDItal"/>
        </w:rPr>
        <w:t>Prescribed payments) Determination 2022</w:t>
      </w:r>
      <w:r w:rsidRPr="00B81097">
        <w:rPr>
          <w:rStyle w:val="LDItal"/>
        </w:rPr>
        <w:fldChar w:fldCharType="end"/>
      </w:r>
      <w:r w:rsidRPr="00B81097">
        <w:t>.</w:t>
      </w:r>
    </w:p>
    <w:p w:rsidR="000A187B" w:rsidRPr="007E11B9" w:rsidRDefault="000A187B" w:rsidP="000A187B">
      <w:pPr>
        <w:pStyle w:val="LDSecHead"/>
      </w:pPr>
      <w:bookmarkStart w:id="5" w:name="_Toc454512514"/>
      <w:r w:rsidRPr="00F17CC6">
        <w:t>2</w:t>
      </w:r>
      <w:r>
        <w:tab/>
      </w:r>
      <w:r w:rsidRPr="00F17CC6">
        <w:t>Commencement</w:t>
      </w:r>
      <w:bookmarkEnd w:id="5"/>
    </w:p>
    <w:p w:rsidR="000A187B" w:rsidRPr="00F17CC6" w:rsidRDefault="000A187B" w:rsidP="000A187B">
      <w:pPr>
        <w:pStyle w:val="LDSec1"/>
      </w:pPr>
      <w:bookmarkStart w:id="6" w:name="_Toc454512515"/>
      <w:r>
        <w:tab/>
      </w:r>
      <w:r>
        <w:tab/>
      </w:r>
      <w:r w:rsidRPr="00F17CC6">
        <w:t xml:space="preserve">This instrument commences on the </w:t>
      </w:r>
      <w:r w:rsidRPr="007E11B9">
        <w:t>day</w:t>
      </w:r>
      <w:r>
        <w:t xml:space="preserve"> after it is registered</w:t>
      </w:r>
      <w:r w:rsidRPr="00F17CC6">
        <w:t>.</w:t>
      </w:r>
    </w:p>
    <w:bookmarkEnd w:id="6"/>
    <w:p w:rsidR="000A187B" w:rsidRPr="00F17CC6" w:rsidRDefault="000A187B" w:rsidP="000A187B">
      <w:pPr>
        <w:pStyle w:val="LDSecHead"/>
      </w:pPr>
      <w:r>
        <w:t>3</w:t>
      </w:r>
      <w:r>
        <w:tab/>
        <w:t>Excluded payments</w:t>
      </w:r>
    </w:p>
    <w:p w:rsidR="000A187B" w:rsidRDefault="000A187B" w:rsidP="000A187B">
      <w:pPr>
        <w:pStyle w:val="LDSec1"/>
      </w:pPr>
      <w:r>
        <w:tab/>
      </w:r>
      <w:bookmarkEnd w:id="4"/>
      <w:r>
        <w:tab/>
        <w:t xml:space="preserve">For paragraph </w:t>
      </w:r>
      <w:proofErr w:type="gramStart"/>
      <w:r>
        <w:t>1061KA(</w:t>
      </w:r>
      <w:proofErr w:type="gramEnd"/>
      <w:r>
        <w:t xml:space="preserve">1)(h) of the </w:t>
      </w:r>
      <w:r w:rsidRPr="00326A2C">
        <w:t>Act</w:t>
      </w:r>
      <w:r>
        <w:t>, each of the following payments is a prescribed payment:</w:t>
      </w:r>
    </w:p>
    <w:p w:rsidR="000A187B" w:rsidRDefault="000A187B" w:rsidP="000A187B">
      <w:pPr>
        <w:pStyle w:val="LDP1a"/>
      </w:pPr>
      <w:r>
        <w:t>(a)</w:t>
      </w:r>
      <w:r>
        <w:tab/>
      </w:r>
      <w:proofErr w:type="gramStart"/>
      <w:r>
        <w:t>parental</w:t>
      </w:r>
      <w:proofErr w:type="gramEnd"/>
      <w:r>
        <w:t xml:space="preserve"> leave pay</w:t>
      </w:r>
      <w:r w:rsidRPr="00522600">
        <w:rPr>
          <w:rStyle w:val="CharSectno"/>
        </w:rPr>
        <w:t xml:space="preserve"> </w:t>
      </w:r>
      <w:r w:rsidRPr="00714093">
        <w:rPr>
          <w:rStyle w:val="CharSectno"/>
        </w:rPr>
        <w:t>under the</w:t>
      </w:r>
      <w:r w:rsidRPr="00714093">
        <w:rPr>
          <w:rStyle w:val="CharSectno"/>
          <w:i/>
        </w:rPr>
        <w:t xml:space="preserve"> Paid Parental Leave Act 2010</w:t>
      </w:r>
      <w:r>
        <w:t>;</w:t>
      </w:r>
    </w:p>
    <w:p w:rsidR="000A187B" w:rsidRPr="00227C93" w:rsidRDefault="000A187B" w:rsidP="000A187B">
      <w:pPr>
        <w:pStyle w:val="LDP1a"/>
      </w:pPr>
      <w:r>
        <w:t>(b)</w:t>
      </w:r>
      <w:r>
        <w:tab/>
      </w:r>
      <w:proofErr w:type="gramStart"/>
      <w:r w:rsidRPr="00227C93">
        <w:t>dad</w:t>
      </w:r>
      <w:proofErr w:type="gramEnd"/>
      <w:r w:rsidRPr="00227C93">
        <w:t xml:space="preserve"> and partner pay</w:t>
      </w:r>
      <w:r w:rsidRPr="001C40F9">
        <w:rPr>
          <w:rStyle w:val="CharSectno"/>
        </w:rPr>
        <w:t xml:space="preserve"> </w:t>
      </w:r>
      <w:r w:rsidRPr="00227C93">
        <w:rPr>
          <w:rStyle w:val="CharSectno"/>
        </w:rPr>
        <w:t xml:space="preserve">under the </w:t>
      </w:r>
      <w:r w:rsidRPr="00227C93">
        <w:rPr>
          <w:rStyle w:val="CharSectno"/>
          <w:i/>
        </w:rPr>
        <w:t>Paid Parental Leave Act 2010</w:t>
      </w:r>
      <w:r w:rsidRPr="00227C93">
        <w:t>;</w:t>
      </w:r>
    </w:p>
    <w:p w:rsidR="000A187B" w:rsidRDefault="000A187B" w:rsidP="000A187B">
      <w:pPr>
        <w:pStyle w:val="LDP1a"/>
      </w:pPr>
      <w:r>
        <w:t>(c)</w:t>
      </w:r>
      <w:r>
        <w:tab/>
      </w:r>
      <w:proofErr w:type="gramStart"/>
      <w:r>
        <w:t>service</w:t>
      </w:r>
      <w:proofErr w:type="gramEnd"/>
      <w:r>
        <w:t xml:space="preserve"> pension</w:t>
      </w:r>
      <w:r w:rsidRPr="00522600">
        <w:rPr>
          <w:rStyle w:val="CharSectno"/>
        </w:rPr>
        <w:t xml:space="preserve"> </w:t>
      </w:r>
      <w:r>
        <w:rPr>
          <w:rStyle w:val="CharSectno"/>
        </w:rPr>
        <w:t xml:space="preserve">within the meaning of subsection 5Q(1) of the </w:t>
      </w:r>
      <w:r>
        <w:rPr>
          <w:rStyle w:val="CharSectno"/>
          <w:i/>
        </w:rPr>
        <w:t>Veteran’s Entitlements Act 1986</w:t>
      </w:r>
      <w:r>
        <w:t xml:space="preserve">; </w:t>
      </w:r>
    </w:p>
    <w:p w:rsidR="000A187B" w:rsidRDefault="000A187B" w:rsidP="000A187B">
      <w:pPr>
        <w:pStyle w:val="LDP1a"/>
      </w:pPr>
      <w:r>
        <w:t>(d)</w:t>
      </w:r>
      <w:r>
        <w:tab/>
      </w:r>
      <w:proofErr w:type="gramStart"/>
      <w:r>
        <w:t>income</w:t>
      </w:r>
      <w:proofErr w:type="gramEnd"/>
      <w:r>
        <w:t xml:space="preserve"> support supplement</w:t>
      </w:r>
      <w:r w:rsidRPr="001C40F9">
        <w:rPr>
          <w:rStyle w:val="CharSectno"/>
        </w:rPr>
        <w:t xml:space="preserve"> </w:t>
      </w:r>
      <w:r w:rsidRPr="00046A6B">
        <w:rPr>
          <w:rStyle w:val="CharSectno"/>
        </w:rPr>
        <w:t>under Part III</w:t>
      </w:r>
      <w:r>
        <w:rPr>
          <w:rStyle w:val="CharSectno"/>
        </w:rPr>
        <w:t>A</w:t>
      </w:r>
      <w:r w:rsidRPr="00046A6B">
        <w:rPr>
          <w:rStyle w:val="CharSectno"/>
        </w:rPr>
        <w:t xml:space="preserve"> of the </w:t>
      </w:r>
      <w:r w:rsidRPr="00046A6B">
        <w:rPr>
          <w:rStyle w:val="CharSectno"/>
          <w:i/>
        </w:rPr>
        <w:t>Veteran’s Entitlements Act 1986</w:t>
      </w:r>
      <w:r>
        <w:t>;</w:t>
      </w:r>
    </w:p>
    <w:p w:rsidR="000A187B" w:rsidRDefault="000A187B" w:rsidP="000A187B">
      <w:pPr>
        <w:pStyle w:val="LDP1a"/>
      </w:pPr>
      <w:r>
        <w:t>(e)</w:t>
      </w:r>
      <w:r>
        <w:tab/>
      </w:r>
      <w:proofErr w:type="gramStart"/>
      <w:r>
        <w:t>special</w:t>
      </w:r>
      <w:proofErr w:type="gramEnd"/>
      <w:r>
        <w:t xml:space="preserve"> benefit</w:t>
      </w:r>
      <w:r w:rsidRPr="001C40F9">
        <w:rPr>
          <w:rStyle w:val="CharSectno"/>
        </w:rPr>
        <w:t xml:space="preserve"> </w:t>
      </w:r>
      <w:r>
        <w:rPr>
          <w:rStyle w:val="CharSectno"/>
        </w:rPr>
        <w:t>under Part 2.15 of the Act</w:t>
      </w:r>
      <w:r>
        <w:t>;</w:t>
      </w:r>
    </w:p>
    <w:p w:rsidR="000A187B" w:rsidRDefault="000A187B" w:rsidP="000A187B">
      <w:pPr>
        <w:pStyle w:val="LDP1a"/>
      </w:pPr>
      <w:r>
        <w:t>(f)</w:t>
      </w:r>
      <w:r>
        <w:tab/>
        <w:t>ABSTUDY Living Allowance</w:t>
      </w:r>
      <w:r w:rsidRPr="00F27079">
        <w:rPr>
          <w:rStyle w:val="CharSectno"/>
        </w:rPr>
        <w:t xml:space="preserve"> </w:t>
      </w:r>
      <w:r w:rsidRPr="007F3E8E">
        <w:rPr>
          <w:rStyle w:val="CharSectno"/>
        </w:rPr>
        <w:t>under the ABSTUDY Scheme</w:t>
      </w:r>
      <w:r>
        <w:rPr>
          <w:rStyle w:val="CharSectno"/>
        </w:rPr>
        <w:t xml:space="preserve"> (also called the </w:t>
      </w:r>
      <w:r w:rsidRPr="00AA4B72">
        <w:t>Aboriginal</w:t>
      </w:r>
      <w:r w:rsidRPr="007F3E8E">
        <w:rPr>
          <w:rStyle w:val="CharSectno"/>
        </w:rPr>
        <w:t xml:space="preserve"> and Torres Strait Islander Study Assistance Scheme</w:t>
      </w:r>
      <w:r>
        <w:rPr>
          <w:rStyle w:val="CharSectno"/>
        </w:rPr>
        <w:t>)</w:t>
      </w:r>
      <w:r>
        <w:t>;</w:t>
      </w:r>
    </w:p>
    <w:p w:rsidR="000A187B" w:rsidRDefault="000A187B" w:rsidP="000A187B">
      <w:pPr>
        <w:pStyle w:val="LDP1a"/>
      </w:pPr>
      <w:r>
        <w:t>(g)</w:t>
      </w:r>
      <w:r>
        <w:tab/>
      </w:r>
      <w:proofErr w:type="gramStart"/>
      <w:r>
        <w:t>veteran</w:t>
      </w:r>
      <w:proofErr w:type="gramEnd"/>
      <w:r>
        <w:t xml:space="preserve"> payment</w:t>
      </w:r>
      <w:r w:rsidRPr="001C40F9">
        <w:rPr>
          <w:rStyle w:val="CharSectno"/>
        </w:rPr>
        <w:t xml:space="preserve"> </w:t>
      </w:r>
      <w:r>
        <w:rPr>
          <w:rStyle w:val="CharSectno"/>
        </w:rPr>
        <w:t xml:space="preserve">under Part IIIAA of the </w:t>
      </w:r>
      <w:r w:rsidRPr="006D2D96">
        <w:rPr>
          <w:rStyle w:val="CharSectno"/>
          <w:i/>
        </w:rPr>
        <w:t xml:space="preserve">Veteran’s </w:t>
      </w:r>
      <w:r>
        <w:rPr>
          <w:rStyle w:val="CharSectno"/>
          <w:i/>
        </w:rPr>
        <w:t>E</w:t>
      </w:r>
      <w:r w:rsidRPr="006D2D96">
        <w:rPr>
          <w:rStyle w:val="CharSectno"/>
          <w:i/>
        </w:rPr>
        <w:t>ntitlement</w:t>
      </w:r>
      <w:r>
        <w:rPr>
          <w:rStyle w:val="CharSectno"/>
          <w:i/>
        </w:rPr>
        <w:t>s</w:t>
      </w:r>
      <w:r w:rsidRPr="006D2D96">
        <w:rPr>
          <w:rStyle w:val="CharSectno"/>
          <w:i/>
        </w:rPr>
        <w:t xml:space="preserve"> Act 1986</w:t>
      </w:r>
      <w:r>
        <w:t>.</w:t>
      </w:r>
    </w:p>
    <w:p w:rsidR="000A187B" w:rsidRDefault="000A187B" w:rsidP="000A187B">
      <w:pPr>
        <w:pStyle w:val="LDNote"/>
      </w:pPr>
      <w:r w:rsidRPr="00AA4B72">
        <w:rPr>
          <w:i/>
        </w:rPr>
        <w:t>Note</w:t>
      </w:r>
      <w:r>
        <w:tab/>
        <w:t>A person is not qualified for a Disaster Recovery Allowance if the person is receiving a prescribed payment—see Act, s. 1061KA((1)(h).</w:t>
      </w:r>
    </w:p>
    <w:p w:rsidR="000A187B" w:rsidRDefault="000A187B" w:rsidP="000A187B">
      <w:pPr>
        <w:pStyle w:val="LDSecHead"/>
      </w:pPr>
      <w:r>
        <w:t>4</w:t>
      </w:r>
      <w:r>
        <w:tab/>
        <w:t>Repeal</w:t>
      </w:r>
    </w:p>
    <w:p w:rsidR="000A187B" w:rsidRDefault="000A187B" w:rsidP="000A187B">
      <w:pPr>
        <w:pStyle w:val="LDSec1"/>
      </w:pPr>
      <w:r>
        <w:tab/>
      </w:r>
      <w:r>
        <w:tab/>
        <w:t xml:space="preserve">This instrument repeals the </w:t>
      </w:r>
      <w:r w:rsidRPr="003A60B8">
        <w:rPr>
          <w:i/>
        </w:rPr>
        <w:t>Social Security (Disaster Recovery Allowance) (Prescribed payments) Determination 2013</w:t>
      </w:r>
      <w:r>
        <w:rPr>
          <w:i/>
        </w:rPr>
        <w:t xml:space="preserve"> </w:t>
      </w:r>
      <w:r>
        <w:t>(</w:t>
      </w:r>
      <w:r w:rsidRPr="003A60B8">
        <w:t>F2013L01964</w:t>
      </w:r>
      <w:r>
        <w:t xml:space="preserve">) and </w:t>
      </w:r>
      <w:r w:rsidRPr="003A60B8">
        <w:rPr>
          <w:i/>
        </w:rPr>
        <w:t>Social Security (Disaster Recovery Allowance) (Prescribed payments) Determination 2015</w:t>
      </w:r>
      <w:r>
        <w:rPr>
          <w:i/>
        </w:rPr>
        <w:t xml:space="preserve"> </w:t>
      </w:r>
      <w:r>
        <w:t>(</w:t>
      </w:r>
      <w:r w:rsidRPr="003A60B8">
        <w:t>F2015L00677</w:t>
      </w:r>
      <w:r>
        <w:t>).</w:t>
      </w:r>
    </w:p>
    <w:p w:rsidR="000A187B" w:rsidRDefault="000A187B" w:rsidP="000A187B">
      <w:pPr>
        <w:pStyle w:val="LDLine"/>
      </w:pPr>
    </w:p>
    <w:p w:rsidR="00CC27F8" w:rsidRPr="00D100EB" w:rsidRDefault="00CC27F8" w:rsidP="00D852E4">
      <w:pPr>
        <w:pStyle w:val="LDBodytext"/>
      </w:pPr>
    </w:p>
    <w:sectPr w:rsidR="00CC27F8" w:rsidRPr="00D100EB" w:rsidSect="000A187B">
      <w:footerReference w:type="default" r:id="rId13"/>
      <w:type w:val="continuous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E3" w:rsidRDefault="004667E3" w:rsidP="00715914">
      <w:pPr>
        <w:spacing w:line="240" w:lineRule="auto"/>
      </w:pPr>
      <w:r>
        <w:separator/>
      </w:r>
    </w:p>
    <w:p w:rsidR="004667E3" w:rsidRDefault="004667E3"/>
    <w:p w:rsidR="004667E3" w:rsidRDefault="004667E3"/>
  </w:endnote>
  <w:endnote w:type="continuationSeparator" w:id="0">
    <w:p w:rsidR="004667E3" w:rsidRDefault="004667E3" w:rsidP="00715914">
      <w:pPr>
        <w:spacing w:line="240" w:lineRule="auto"/>
      </w:pPr>
      <w:r>
        <w:continuationSeparator/>
      </w:r>
    </w:p>
    <w:p w:rsidR="004667E3" w:rsidRDefault="004667E3"/>
    <w:p w:rsidR="004667E3" w:rsidRDefault="00466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7B" w:rsidRPr="007C5FDD" w:rsidRDefault="000A187B" w:rsidP="000A187B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Pr="00634C4F">
      <w:rPr>
        <w:rStyle w:val="LDItal"/>
      </w:rPr>
      <w:t>Social Security (</w:t>
    </w:r>
    <w:r>
      <w:rPr>
        <w:rStyle w:val="LDItal"/>
      </w:rPr>
      <w:t>Disaster Recovery Allowance</w:t>
    </w:r>
    <w:proofErr w:type="gramStart"/>
    <w:r w:rsidRPr="00634C4F">
      <w:rPr>
        <w:rStyle w:val="LDItal"/>
      </w:rPr>
      <w:t>)</w:t>
    </w:r>
    <w:r>
      <w:rPr>
        <w:rStyle w:val="LDItal"/>
      </w:rPr>
      <w:t>(</w:t>
    </w:r>
    <w:proofErr w:type="gramEnd"/>
    <w:r>
      <w:rPr>
        <w:rStyle w:val="LDItal"/>
      </w:rPr>
      <w:t>Prescribed payments)</w:t>
    </w:r>
    <w:r w:rsidRPr="00634C4F">
      <w:rPr>
        <w:rStyle w:val="LDItal"/>
      </w:rPr>
      <w:t xml:space="preserve"> </w:t>
    </w:r>
    <w:r>
      <w:rPr>
        <w:rStyle w:val="LDItal"/>
      </w:rPr>
      <w:t>Determination 2022</w:t>
    </w:r>
    <w:r w:rsidRPr="007C5FDD">
      <w:rPr>
        <w:rStyle w:val="LDItal"/>
      </w:rPr>
      <w:fldChar w:fldCharType="end"/>
    </w:r>
  </w:p>
  <w:p w:rsidR="000A187B" w:rsidRPr="007C5FDD" w:rsidRDefault="000A187B" w:rsidP="000A187B">
    <w:pPr>
      <w:pStyle w:val="LDFooter"/>
      <w:tabs>
        <w:tab w:val="right" w:pos="9639"/>
      </w:tabs>
    </w:pPr>
    <w:r>
      <w:t>LIN22/104</w:t>
    </w:r>
  </w:p>
  <w:p w:rsidR="000A187B" w:rsidRDefault="000A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E3" w:rsidRDefault="004667E3" w:rsidP="00715914">
      <w:pPr>
        <w:spacing w:line="240" w:lineRule="auto"/>
      </w:pPr>
      <w:r>
        <w:separator/>
      </w:r>
    </w:p>
    <w:p w:rsidR="004667E3" w:rsidRDefault="004667E3"/>
    <w:p w:rsidR="004667E3" w:rsidRDefault="004667E3"/>
  </w:footnote>
  <w:footnote w:type="continuationSeparator" w:id="0">
    <w:p w:rsidR="004667E3" w:rsidRDefault="004667E3" w:rsidP="00715914">
      <w:pPr>
        <w:spacing w:line="240" w:lineRule="auto"/>
      </w:pPr>
      <w:r>
        <w:continuationSeparator/>
      </w:r>
    </w:p>
    <w:p w:rsidR="004667E3" w:rsidRDefault="004667E3"/>
    <w:p w:rsidR="004667E3" w:rsidRDefault="00466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B7945"/>
    <w:multiLevelType w:val="hybridMultilevel"/>
    <w:tmpl w:val="0C207D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BE69AB"/>
    <w:multiLevelType w:val="hybridMultilevel"/>
    <w:tmpl w:val="201EA488"/>
    <w:lvl w:ilvl="0" w:tplc="FF841E0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6C891F4F"/>
    <w:multiLevelType w:val="hybridMultilevel"/>
    <w:tmpl w:val="20220358"/>
    <w:lvl w:ilvl="0" w:tplc="2F6CC8C0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2" w:hanging="360"/>
      </w:pPr>
    </w:lvl>
    <w:lvl w:ilvl="2" w:tplc="0C09001B" w:tentative="1">
      <w:start w:val="1"/>
      <w:numFmt w:val="lowerRoman"/>
      <w:lvlText w:val="%3."/>
      <w:lvlJc w:val="right"/>
      <w:pPr>
        <w:ind w:left="2362" w:hanging="180"/>
      </w:pPr>
    </w:lvl>
    <w:lvl w:ilvl="3" w:tplc="0C09000F" w:tentative="1">
      <w:start w:val="1"/>
      <w:numFmt w:val="decimal"/>
      <w:lvlText w:val="%4."/>
      <w:lvlJc w:val="left"/>
      <w:pPr>
        <w:ind w:left="3082" w:hanging="360"/>
      </w:pPr>
    </w:lvl>
    <w:lvl w:ilvl="4" w:tplc="0C090019" w:tentative="1">
      <w:start w:val="1"/>
      <w:numFmt w:val="lowerLetter"/>
      <w:lvlText w:val="%5."/>
      <w:lvlJc w:val="left"/>
      <w:pPr>
        <w:ind w:left="3802" w:hanging="360"/>
      </w:pPr>
    </w:lvl>
    <w:lvl w:ilvl="5" w:tplc="0C09001B" w:tentative="1">
      <w:start w:val="1"/>
      <w:numFmt w:val="lowerRoman"/>
      <w:lvlText w:val="%6."/>
      <w:lvlJc w:val="right"/>
      <w:pPr>
        <w:ind w:left="4522" w:hanging="180"/>
      </w:pPr>
    </w:lvl>
    <w:lvl w:ilvl="6" w:tplc="0C09000F" w:tentative="1">
      <w:start w:val="1"/>
      <w:numFmt w:val="decimal"/>
      <w:lvlText w:val="%7."/>
      <w:lvlJc w:val="left"/>
      <w:pPr>
        <w:ind w:left="5242" w:hanging="360"/>
      </w:pPr>
    </w:lvl>
    <w:lvl w:ilvl="7" w:tplc="0C090019" w:tentative="1">
      <w:start w:val="1"/>
      <w:numFmt w:val="lowerLetter"/>
      <w:lvlText w:val="%8."/>
      <w:lvlJc w:val="left"/>
      <w:pPr>
        <w:ind w:left="5962" w:hanging="360"/>
      </w:pPr>
    </w:lvl>
    <w:lvl w:ilvl="8" w:tplc="0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1"/>
  </w:num>
  <w:num w:numId="18">
    <w:abstractNumId w:val="23"/>
  </w:num>
  <w:num w:numId="19">
    <w:abstractNumId w:val="10"/>
  </w:num>
  <w:num w:numId="20">
    <w:abstractNumId w:val="27"/>
  </w:num>
  <w:num w:numId="21">
    <w:abstractNumId w:val="18"/>
  </w:num>
  <w:num w:numId="22">
    <w:abstractNumId w:val="22"/>
  </w:num>
  <w:num w:numId="23">
    <w:abstractNumId w:val="24"/>
  </w:num>
  <w:num w:numId="24">
    <w:abstractNumId w:val="25"/>
  </w:num>
  <w:num w:numId="25">
    <w:abstractNumId w:val="12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40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0B03"/>
    <w:rsid w:val="0005365D"/>
    <w:rsid w:val="0005691F"/>
    <w:rsid w:val="000614BF"/>
    <w:rsid w:val="0006709C"/>
    <w:rsid w:val="00074376"/>
    <w:rsid w:val="0007722C"/>
    <w:rsid w:val="000978F5"/>
    <w:rsid w:val="000A187B"/>
    <w:rsid w:val="000A251F"/>
    <w:rsid w:val="000A3E46"/>
    <w:rsid w:val="000B14AD"/>
    <w:rsid w:val="000B15CD"/>
    <w:rsid w:val="000B35EB"/>
    <w:rsid w:val="000B3719"/>
    <w:rsid w:val="000B52BD"/>
    <w:rsid w:val="000D05EF"/>
    <w:rsid w:val="000D081D"/>
    <w:rsid w:val="000E0BC4"/>
    <w:rsid w:val="000E2261"/>
    <w:rsid w:val="000E7118"/>
    <w:rsid w:val="000E78B7"/>
    <w:rsid w:val="000E7B89"/>
    <w:rsid w:val="000F21C1"/>
    <w:rsid w:val="000F29C1"/>
    <w:rsid w:val="001031F5"/>
    <w:rsid w:val="0010745C"/>
    <w:rsid w:val="00107E0A"/>
    <w:rsid w:val="0011242F"/>
    <w:rsid w:val="00122B6A"/>
    <w:rsid w:val="001244DA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4719"/>
    <w:rsid w:val="00286D02"/>
    <w:rsid w:val="00297ECB"/>
    <w:rsid w:val="002A506E"/>
    <w:rsid w:val="002A7BCF"/>
    <w:rsid w:val="002C3FD1"/>
    <w:rsid w:val="002D043A"/>
    <w:rsid w:val="002D266B"/>
    <w:rsid w:val="002D43A4"/>
    <w:rsid w:val="002D455F"/>
    <w:rsid w:val="002D6224"/>
    <w:rsid w:val="002D67E8"/>
    <w:rsid w:val="002F5727"/>
    <w:rsid w:val="003035DE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4349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67E3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5524"/>
    <w:rsid w:val="00607C3E"/>
    <w:rsid w:val="00620076"/>
    <w:rsid w:val="006224B1"/>
    <w:rsid w:val="0062438A"/>
    <w:rsid w:val="006251AB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2965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6D2D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4F5A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382A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201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1D46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09CB"/>
    <w:rsid w:val="00994EB3"/>
    <w:rsid w:val="00995433"/>
    <w:rsid w:val="009A7C1F"/>
    <w:rsid w:val="009C10D0"/>
    <w:rsid w:val="009C215C"/>
    <w:rsid w:val="009C3413"/>
    <w:rsid w:val="009D0C05"/>
    <w:rsid w:val="009F49B2"/>
    <w:rsid w:val="00A0441E"/>
    <w:rsid w:val="00A12128"/>
    <w:rsid w:val="00A127E7"/>
    <w:rsid w:val="00A22C98"/>
    <w:rsid w:val="00A231E2"/>
    <w:rsid w:val="00A252F1"/>
    <w:rsid w:val="00A33A6A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5C87"/>
    <w:rsid w:val="00AA2CB1"/>
    <w:rsid w:val="00AA7A1C"/>
    <w:rsid w:val="00AD175F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E775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1EC3"/>
    <w:rsid w:val="00C73B6F"/>
    <w:rsid w:val="00C7573B"/>
    <w:rsid w:val="00C96D4F"/>
    <w:rsid w:val="00C97A54"/>
    <w:rsid w:val="00CA0DE0"/>
    <w:rsid w:val="00CA5B23"/>
    <w:rsid w:val="00CB602E"/>
    <w:rsid w:val="00CB7E90"/>
    <w:rsid w:val="00CC0364"/>
    <w:rsid w:val="00CC0DAC"/>
    <w:rsid w:val="00CC27F8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54B2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852E4"/>
    <w:rsid w:val="00D91F10"/>
    <w:rsid w:val="00D93DB7"/>
    <w:rsid w:val="00D979C7"/>
    <w:rsid w:val="00DA186E"/>
    <w:rsid w:val="00DA4116"/>
    <w:rsid w:val="00DA56DD"/>
    <w:rsid w:val="00DB251C"/>
    <w:rsid w:val="00DB2C9E"/>
    <w:rsid w:val="00DB4630"/>
    <w:rsid w:val="00DC4F88"/>
    <w:rsid w:val="00DC51B5"/>
    <w:rsid w:val="00DC6440"/>
    <w:rsid w:val="00DD22E6"/>
    <w:rsid w:val="00DD2D35"/>
    <w:rsid w:val="00DD54CD"/>
    <w:rsid w:val="00DE107C"/>
    <w:rsid w:val="00DF2388"/>
    <w:rsid w:val="00E03C6B"/>
    <w:rsid w:val="00E05704"/>
    <w:rsid w:val="00E05CB5"/>
    <w:rsid w:val="00E13901"/>
    <w:rsid w:val="00E14961"/>
    <w:rsid w:val="00E23301"/>
    <w:rsid w:val="00E33196"/>
    <w:rsid w:val="00E338EF"/>
    <w:rsid w:val="00E365DE"/>
    <w:rsid w:val="00E544BB"/>
    <w:rsid w:val="00E5722B"/>
    <w:rsid w:val="00E6260D"/>
    <w:rsid w:val="00E70B60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B5CF3"/>
    <w:rsid w:val="00ED2BB6"/>
    <w:rsid w:val="00ED2BFB"/>
    <w:rsid w:val="00ED34E1"/>
    <w:rsid w:val="00ED3B8D"/>
    <w:rsid w:val="00ED7CB8"/>
    <w:rsid w:val="00EE5E36"/>
    <w:rsid w:val="00EF2E3A"/>
    <w:rsid w:val="00F02C7C"/>
    <w:rsid w:val="00F0723F"/>
    <w:rsid w:val="00F072A7"/>
    <w:rsid w:val="00F078DC"/>
    <w:rsid w:val="00F17CC6"/>
    <w:rsid w:val="00F26056"/>
    <w:rsid w:val="00F27438"/>
    <w:rsid w:val="00F32BA8"/>
    <w:rsid w:val="00F32EE0"/>
    <w:rsid w:val="00F349F1"/>
    <w:rsid w:val="00F4350D"/>
    <w:rsid w:val="00F479C4"/>
    <w:rsid w:val="00F567F7"/>
    <w:rsid w:val="00F6696E"/>
    <w:rsid w:val="00F6777A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216E"/>
    <w:rsid w:val="00FB5A08"/>
    <w:rsid w:val="00FC03F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5C87DB-4D1D-4FEE-B9AA-AA5AEBD0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11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CC27F8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CC27F8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Blocks">
    <w:name w:val="Blocks"/>
    <w:aliases w:val="bb"/>
    <w:basedOn w:val="Normal"/>
    <w:qFormat/>
    <w:rsid w:val="00CC27F8"/>
    <w:pPr>
      <w:spacing w:line="240" w:lineRule="auto"/>
    </w:pPr>
    <w:rPr>
      <w:rFonts w:eastAsia="Times New Roman" w:cs="Times New Roman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CC27F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SignCoverPageEnd">
    <w:name w:val="SignCoverPageEnd"/>
    <w:basedOn w:val="Normal"/>
    <w:next w:val="Normal"/>
    <w:rsid w:val="00CC27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C27F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27F8"/>
    <w:rPr>
      <w:rFonts w:eastAsia="Times New Roman" w:cs="Times New Roman"/>
      <w:sz w:val="22"/>
      <w:lang w:eastAsia="en-AU"/>
    </w:rPr>
  </w:style>
  <w:style w:type="paragraph" w:customStyle="1" w:styleId="LDBodyP1a">
    <w:name w:val="LDBodyP1(a)"/>
    <w:rsid w:val="00605524"/>
    <w:pPr>
      <w:tabs>
        <w:tab w:val="left" w:pos="567"/>
      </w:tabs>
      <w:spacing w:before="120"/>
      <w:ind w:left="567" w:hanging="425"/>
    </w:pPr>
    <w:rPr>
      <w:rFonts w:eastAsia="Times New Roman" w:cs="Times New Roman"/>
      <w:sz w:val="22"/>
      <w:szCs w:val="22"/>
    </w:rPr>
  </w:style>
  <w:style w:type="paragraph" w:customStyle="1" w:styleId="LDTitle">
    <w:name w:val="LDTitle"/>
    <w:rsid w:val="00CC0DA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character" w:customStyle="1" w:styleId="CharSectno">
    <w:name w:val="CharSectno"/>
    <w:basedOn w:val="DefaultParagraphFont"/>
    <w:rsid w:val="000A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267\AppData\Local\Temp\Temp1_Disaster%20templates.zip\Social%20Security%20(DRA)%20(Event%20Name)%20Determination%202022%20(No.%20)%20Exten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C4CE149-E7BC-459E-B398-30AEF39051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EFE8759B27C141BBEB3C826D40EC72" ma:contentTypeVersion="" ma:contentTypeDescription="PDMS Document Site Content Type" ma:contentTypeScope="" ma:versionID="d0cc40b00b89b66dd632310316e978f0">
  <xsd:schema xmlns:xsd="http://www.w3.org/2001/XMLSchema" xmlns:xs="http://www.w3.org/2001/XMLSchema" xmlns:p="http://schemas.microsoft.com/office/2006/metadata/properties" xmlns:ns2="0C4CE149-E7BC-459E-B398-30AEF390512E" targetNamespace="http://schemas.microsoft.com/office/2006/metadata/properties" ma:root="true" ma:fieldsID="b6b8b86a636f3a134bc8d74f1c8d5ac8" ns2:_="">
    <xsd:import namespace="0C4CE149-E7BC-459E-B398-30AEF39051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E149-E7BC-459E-B398-30AEF39051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0C4CE149-E7BC-459E-B398-30AEF39051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E0BCF0-91A4-456C-93AA-EB4E6CC2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CE149-E7BC-459E-B398-30AEF390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41C25-F2A7-4920-87CD-0923EB0A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(DRA) (Event Name) Determination 2022 (No. ) Extension template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Gibson, Wendy</dc:creator>
  <cp:lastModifiedBy>Carrie Coleman</cp:lastModifiedBy>
  <cp:revision>3</cp:revision>
  <cp:lastPrinted>2020-01-16T22:25:00Z</cp:lastPrinted>
  <dcterms:created xsi:type="dcterms:W3CDTF">2023-02-03T00:44:00Z</dcterms:created>
  <dcterms:modified xsi:type="dcterms:W3CDTF">2023-02-03T04:47:00Z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0x010100266966F133664895A6EE3632470D45F5005BEFE8759B27C141BBEB3C826D40EC72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