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CCBAC" w14:textId="77777777" w:rsidR="004C05CC" w:rsidRPr="00CB549B" w:rsidRDefault="004C05CC" w:rsidP="004C05CC">
      <w:pPr>
        <w:pStyle w:val="NormalBold"/>
        <w:jc w:val="center"/>
        <w:rPr>
          <w:rFonts w:ascii="Times New Roman" w:hAnsi="Times New Roman" w:cs="Times New Roman"/>
          <w:szCs w:val="24"/>
        </w:rPr>
      </w:pPr>
      <w:r w:rsidRPr="00CB549B">
        <w:rPr>
          <w:rFonts w:ascii="Times New Roman" w:hAnsi="Times New Roman" w:cs="Times New Roman"/>
          <w:szCs w:val="24"/>
        </w:rPr>
        <w:t>Explanatory Statement</w:t>
      </w:r>
    </w:p>
    <w:p w14:paraId="09FE5523" w14:textId="77777777" w:rsidR="004C05CC" w:rsidRPr="00CB549B" w:rsidRDefault="004C05CC" w:rsidP="004C05CC">
      <w:pPr>
        <w:jc w:val="center"/>
        <w:rPr>
          <w:rFonts w:ascii="Times New Roman" w:hAnsi="Times New Roman"/>
          <w:i/>
        </w:rPr>
      </w:pPr>
      <w:r w:rsidRPr="00CB549B">
        <w:rPr>
          <w:rFonts w:ascii="Times New Roman" w:hAnsi="Times New Roman"/>
          <w:i/>
        </w:rPr>
        <w:t>Telecommunications Act 1997</w:t>
      </w:r>
    </w:p>
    <w:p w14:paraId="7D14D669" w14:textId="77777777" w:rsidR="004C05CC" w:rsidRPr="00CB549B" w:rsidRDefault="004C05CC" w:rsidP="004C05CC">
      <w:pPr>
        <w:jc w:val="center"/>
        <w:rPr>
          <w:rFonts w:ascii="Times New Roman" w:hAnsi="Times New Roman"/>
          <w:b/>
        </w:rPr>
      </w:pPr>
      <w:r w:rsidRPr="00CB549B">
        <w:rPr>
          <w:rFonts w:ascii="Times New Roman" w:hAnsi="Times New Roman"/>
          <w:b/>
        </w:rPr>
        <w:t xml:space="preserve"> Telecommunications (Carrier Licence Conditions) Amendment (Networks supplying Superfast Carriage Services to Residential Customers) Instrument 2022</w:t>
      </w:r>
    </w:p>
    <w:p w14:paraId="23726AEA" w14:textId="77777777" w:rsidR="004C05CC" w:rsidRPr="00CB549B" w:rsidRDefault="004C05CC" w:rsidP="004C05CC">
      <w:pPr>
        <w:jc w:val="center"/>
        <w:rPr>
          <w:rFonts w:ascii="Times New Roman" w:hAnsi="Times New Roman"/>
        </w:rPr>
      </w:pPr>
      <w:r w:rsidRPr="00CB549B">
        <w:rPr>
          <w:rFonts w:ascii="Times New Roman" w:hAnsi="Times New Roman"/>
        </w:rPr>
        <w:t>Issued by the Authority of the Minister for Communications</w:t>
      </w:r>
    </w:p>
    <w:p w14:paraId="777C54B8" w14:textId="77777777" w:rsidR="004C05CC" w:rsidRPr="00CB549B" w:rsidRDefault="004C05CC" w:rsidP="004C05CC">
      <w:pPr>
        <w:tabs>
          <w:tab w:val="left" w:pos="7404"/>
        </w:tabs>
        <w:spacing w:before="240"/>
        <w:rPr>
          <w:rFonts w:ascii="Times New Roman" w:hAnsi="Times New Roman"/>
          <w:b/>
        </w:rPr>
      </w:pPr>
      <w:r w:rsidRPr="00CB549B">
        <w:rPr>
          <w:rFonts w:ascii="Times New Roman" w:hAnsi="Times New Roman"/>
          <w:b/>
        </w:rPr>
        <w:t xml:space="preserve">Purpose and operation of the Instrument </w:t>
      </w:r>
      <w:r w:rsidRPr="00CB549B">
        <w:rPr>
          <w:rFonts w:ascii="Times New Roman" w:hAnsi="Times New Roman"/>
          <w:b/>
        </w:rPr>
        <w:tab/>
      </w:r>
    </w:p>
    <w:p w14:paraId="77CAFC25" w14:textId="77777777" w:rsidR="004C05CC" w:rsidRPr="00CB549B" w:rsidRDefault="004C05CC" w:rsidP="004C05CC">
      <w:pPr>
        <w:spacing w:after="200"/>
        <w:rPr>
          <w:rFonts w:ascii="Times New Roman" w:hAnsi="Times New Roman"/>
        </w:rPr>
      </w:pPr>
      <w:r w:rsidRPr="00CB549B">
        <w:rPr>
          <w:rFonts w:ascii="Times New Roman" w:hAnsi="Times New Roman"/>
        </w:rPr>
        <w:t xml:space="preserve">The purpose of the </w:t>
      </w:r>
      <w:r w:rsidRPr="00CB549B">
        <w:rPr>
          <w:rFonts w:ascii="Times New Roman" w:hAnsi="Times New Roman"/>
          <w:i/>
        </w:rPr>
        <w:t xml:space="preserve">Telecommunications (Carrier Licence Conditions) Amendment (Networks supplying Superfast Carriage Services to Residential Customers) Instrument 2022 </w:t>
      </w:r>
      <w:r w:rsidRPr="00CB549B">
        <w:rPr>
          <w:rFonts w:ascii="Times New Roman" w:hAnsi="Times New Roman"/>
        </w:rPr>
        <w:t xml:space="preserve">(the ‘Amending Instrument’) is to amend the </w:t>
      </w:r>
      <w:r w:rsidRPr="00CB549B">
        <w:rPr>
          <w:rFonts w:ascii="Times New Roman" w:hAnsi="Times New Roman"/>
          <w:i/>
        </w:rPr>
        <w:t xml:space="preserve">Carrier Licence Conditions (Networks Supplying Superfast Carriage Services to Residential Customers) Declaration 2014 </w:t>
      </w:r>
      <w:r w:rsidRPr="00CB549B">
        <w:rPr>
          <w:rFonts w:ascii="Times New Roman" w:hAnsi="Times New Roman"/>
        </w:rPr>
        <w:t>as currently in force (the Declaration).</w:t>
      </w:r>
    </w:p>
    <w:p w14:paraId="41380776" w14:textId="77777777" w:rsidR="004C05CC" w:rsidRPr="00CB549B" w:rsidRDefault="004C05CC" w:rsidP="004C05CC">
      <w:pPr>
        <w:spacing w:after="200"/>
        <w:rPr>
          <w:rFonts w:ascii="Times New Roman" w:hAnsi="Times New Roman"/>
        </w:rPr>
      </w:pPr>
      <w:r w:rsidRPr="00CB549B">
        <w:rPr>
          <w:rFonts w:ascii="Times New Roman" w:hAnsi="Times New Roman"/>
        </w:rPr>
        <w:t xml:space="preserve">The Amending Instrument is made by the Minister for Communications (the Minister) under subsection 63(5) of the </w:t>
      </w:r>
      <w:r w:rsidRPr="00CB549B">
        <w:rPr>
          <w:rFonts w:ascii="Times New Roman" w:hAnsi="Times New Roman"/>
          <w:i/>
        </w:rPr>
        <w:t>Telecommunications Act 1997</w:t>
      </w:r>
      <w:r w:rsidRPr="00CB549B">
        <w:rPr>
          <w:rFonts w:ascii="Times New Roman" w:hAnsi="Times New Roman"/>
        </w:rPr>
        <w:t xml:space="preserve"> (the Act). The Amending Instrument is a legislative instrument for the purposes of the </w:t>
      </w:r>
      <w:r w:rsidRPr="00CB549B">
        <w:rPr>
          <w:rFonts w:ascii="Times New Roman" w:hAnsi="Times New Roman"/>
          <w:i/>
        </w:rPr>
        <w:t>Legislation Act 2003</w:t>
      </w:r>
      <w:r w:rsidRPr="00CB549B">
        <w:rPr>
          <w:rFonts w:ascii="Times New Roman" w:hAnsi="Times New Roman"/>
        </w:rPr>
        <w:t xml:space="preserve"> (subsection 8(2</w:t>
      </w:r>
      <w:r w:rsidRPr="00CB549B" w:rsidDel="00FF0D32">
        <w:rPr>
          <w:rFonts w:ascii="Times New Roman" w:hAnsi="Times New Roman"/>
        </w:rPr>
        <w:t>)</w:t>
      </w:r>
      <w:r w:rsidRPr="00CB549B" w:rsidDel="00B515C7">
        <w:rPr>
          <w:rFonts w:ascii="Times New Roman" w:hAnsi="Times New Roman"/>
        </w:rPr>
        <w:t>)</w:t>
      </w:r>
      <w:r w:rsidRPr="00CB549B">
        <w:rPr>
          <w:rFonts w:ascii="Times New Roman" w:hAnsi="Times New Roman"/>
        </w:rPr>
        <w:t xml:space="preserve">. </w:t>
      </w:r>
    </w:p>
    <w:p w14:paraId="1D8302A0" w14:textId="3A647F70" w:rsidR="004C05CC" w:rsidRPr="00CB549B" w:rsidRDefault="004C05CC" w:rsidP="004C05CC">
      <w:pPr>
        <w:spacing w:after="200"/>
        <w:rPr>
          <w:rFonts w:ascii="Times New Roman" w:hAnsi="Times New Roman"/>
        </w:rPr>
      </w:pPr>
      <w:r w:rsidRPr="00CB549B">
        <w:rPr>
          <w:rFonts w:ascii="Times New Roman" w:hAnsi="Times New Roman"/>
        </w:rPr>
        <w:t xml:space="preserve">The purpose of the amendments is to allow associates of a carrier that do not </w:t>
      </w:r>
      <w:r w:rsidR="002B2036" w:rsidRPr="00CB549B">
        <w:rPr>
          <w:rFonts w:ascii="Times New Roman" w:hAnsi="Times New Roman"/>
        </w:rPr>
        <w:t xml:space="preserve">supply </w:t>
      </w:r>
      <w:r w:rsidRPr="00CB549B">
        <w:rPr>
          <w:rFonts w:ascii="Times New Roman" w:hAnsi="Times New Roman"/>
        </w:rPr>
        <w:t>retail or wholesale</w:t>
      </w:r>
      <w:r w:rsidR="002B2036" w:rsidRPr="00CB549B">
        <w:rPr>
          <w:rFonts w:ascii="Times New Roman" w:hAnsi="Times New Roman"/>
        </w:rPr>
        <w:t xml:space="preserve"> superfast carriage services or</w:t>
      </w:r>
      <w:r w:rsidRPr="00CB549B">
        <w:rPr>
          <w:rFonts w:ascii="Times New Roman" w:hAnsi="Times New Roman"/>
        </w:rPr>
        <w:t xml:space="preserve"> </w:t>
      </w:r>
      <w:r w:rsidR="002B2036" w:rsidRPr="00CB549B">
        <w:rPr>
          <w:rFonts w:ascii="Times New Roman" w:hAnsi="Times New Roman"/>
        </w:rPr>
        <w:t xml:space="preserve">specified broadband services to residential customers </w:t>
      </w:r>
      <w:r w:rsidRPr="00CB549B">
        <w:rPr>
          <w:rFonts w:ascii="Times New Roman" w:hAnsi="Times New Roman"/>
        </w:rPr>
        <w:t xml:space="preserve">to be included in a Functional Separation Undertaking (FSU) for the purposes of the Declaration. </w:t>
      </w:r>
    </w:p>
    <w:p w14:paraId="460875E9" w14:textId="0E5C98A4" w:rsidR="004C05CC" w:rsidRPr="00CB549B" w:rsidRDefault="004C05CC" w:rsidP="004C05CC">
      <w:pPr>
        <w:tabs>
          <w:tab w:val="left" w:pos="2448"/>
        </w:tabs>
        <w:rPr>
          <w:rFonts w:ascii="Times New Roman" w:hAnsi="Times New Roman"/>
        </w:rPr>
      </w:pPr>
      <w:r w:rsidRPr="00CB549B">
        <w:rPr>
          <w:rFonts w:ascii="Times New Roman" w:hAnsi="Times New Roman"/>
        </w:rPr>
        <w:t xml:space="preserve">On 14 December 2014, the then Minister for Communications made the Declaration to impose functional separation and wholesale supply obligations on carriers that extended existing fixed-line networks to supply superfast carriage services </w:t>
      </w:r>
      <w:r w:rsidR="0033625E" w:rsidRPr="00CB549B">
        <w:rPr>
          <w:rFonts w:ascii="Times New Roman" w:hAnsi="Times New Roman"/>
        </w:rPr>
        <w:t>or</w:t>
      </w:r>
      <w:r w:rsidR="00C15E7E" w:rsidRPr="00CB549B">
        <w:rPr>
          <w:rFonts w:ascii="Times New Roman" w:hAnsi="Times New Roman"/>
        </w:rPr>
        <w:t xml:space="preserve"> </w:t>
      </w:r>
      <w:r w:rsidR="002B2036" w:rsidRPr="00CB549B">
        <w:rPr>
          <w:rFonts w:ascii="Times New Roman" w:hAnsi="Times New Roman"/>
        </w:rPr>
        <w:t xml:space="preserve">specified broadband services </w:t>
      </w:r>
      <w:r w:rsidRPr="00CB549B">
        <w:rPr>
          <w:rFonts w:ascii="Times New Roman" w:hAnsi="Times New Roman"/>
        </w:rPr>
        <w:t xml:space="preserve">to residential customers, but were not subject to similar obligations in Parts 7 and 8 of the Act. </w:t>
      </w:r>
    </w:p>
    <w:p w14:paraId="4DA057EA" w14:textId="77777777" w:rsidR="004C05CC" w:rsidRPr="00CB549B" w:rsidRDefault="004C05CC" w:rsidP="004C05CC">
      <w:pPr>
        <w:spacing w:after="200"/>
        <w:rPr>
          <w:rFonts w:ascii="Times New Roman" w:hAnsi="Times New Roman"/>
        </w:rPr>
      </w:pPr>
      <w:r w:rsidRPr="00CB549B">
        <w:rPr>
          <w:rFonts w:ascii="Times New Roman" w:hAnsi="Times New Roman"/>
        </w:rPr>
        <w:t>The Declaration closed a loophole that allowed carriers to</w:t>
      </w:r>
      <w:bookmarkStart w:id="0" w:name="_GoBack"/>
      <w:bookmarkEnd w:id="0"/>
      <w:r w:rsidRPr="00CB549B">
        <w:rPr>
          <w:rFonts w:ascii="Times New Roman" w:hAnsi="Times New Roman"/>
        </w:rPr>
        <w:t xml:space="preserve"> use an exemption in the Act to extend business networks by up to one kilometre into residential areas (particularly to multi</w:t>
      </w:r>
      <w:r w:rsidRPr="00CB549B">
        <w:rPr>
          <w:rFonts w:ascii="Times New Roman" w:hAnsi="Times New Roman"/>
        </w:rPr>
        <w:noBreakHyphen/>
        <w:t xml:space="preserve">dwelling units) and offer vertically integrated services. The Declaration addressed concerns that vertically integrated networks could create local access bottlenecks that impede effective retail competition and that such operations therefore have an unfair competitive advantage over other networks that are subject to the rules in the Act. </w:t>
      </w:r>
    </w:p>
    <w:p w14:paraId="1B5997E8" w14:textId="624EF262" w:rsidR="004C05CC" w:rsidRPr="00CB549B" w:rsidRDefault="004C05CC" w:rsidP="004C05CC">
      <w:pPr>
        <w:spacing w:after="200"/>
        <w:rPr>
          <w:rFonts w:ascii="Times New Roman" w:hAnsi="Times New Roman"/>
        </w:rPr>
      </w:pPr>
      <w:r w:rsidRPr="00CB549B">
        <w:rPr>
          <w:rFonts w:ascii="Times New Roman" w:hAnsi="Times New Roman"/>
        </w:rPr>
        <w:t xml:space="preserve">Paragraph 5(1)(c) of the Declaration allows the Declaration to fall away if </w:t>
      </w:r>
      <w:proofErr w:type="gramStart"/>
      <w:r w:rsidRPr="00CB549B">
        <w:rPr>
          <w:rFonts w:ascii="Times New Roman" w:hAnsi="Times New Roman"/>
        </w:rPr>
        <w:t>a</w:t>
      </w:r>
      <w:proofErr w:type="gramEnd"/>
      <w:r w:rsidRPr="00CB549B">
        <w:rPr>
          <w:rFonts w:ascii="Times New Roman" w:hAnsi="Times New Roman"/>
        </w:rPr>
        <w:t xml:space="preserve"> FSU given by a carrier is in force. However, </w:t>
      </w:r>
      <w:r w:rsidRPr="00CB549B">
        <w:rPr>
          <w:rFonts w:ascii="Times New Roman" w:hAnsi="Times New Roman"/>
          <w:bCs/>
        </w:rPr>
        <w:t xml:space="preserve">Paragraph </w:t>
      </w:r>
      <w:r w:rsidRPr="00CB549B">
        <w:rPr>
          <w:rFonts w:ascii="Times New Roman" w:hAnsi="Times New Roman"/>
        </w:rPr>
        <w:t xml:space="preserve">151C(2)(a) of the Act only allows entities that could be classified as a ‘retailer’ or a ‘wholesaler’ to give </w:t>
      </w:r>
      <w:proofErr w:type="gramStart"/>
      <w:r w:rsidRPr="00CB549B">
        <w:rPr>
          <w:rFonts w:ascii="Times New Roman" w:hAnsi="Times New Roman"/>
        </w:rPr>
        <w:t>a</w:t>
      </w:r>
      <w:proofErr w:type="gramEnd"/>
      <w:r w:rsidRPr="00CB549B">
        <w:rPr>
          <w:rFonts w:ascii="Times New Roman" w:hAnsi="Times New Roman"/>
        </w:rPr>
        <w:t xml:space="preserve"> FSU to the </w:t>
      </w:r>
      <w:r w:rsidR="004D5248" w:rsidRPr="00CB549B">
        <w:rPr>
          <w:rFonts w:ascii="Times New Roman" w:hAnsi="Times New Roman"/>
        </w:rPr>
        <w:t>Australian Competition and Consumer Commission (</w:t>
      </w:r>
      <w:r w:rsidRPr="00CB549B">
        <w:rPr>
          <w:rFonts w:ascii="Times New Roman" w:hAnsi="Times New Roman"/>
        </w:rPr>
        <w:t>ACCC</w:t>
      </w:r>
      <w:r w:rsidR="004D5248" w:rsidRPr="00CB549B">
        <w:rPr>
          <w:rFonts w:ascii="Times New Roman" w:hAnsi="Times New Roman"/>
        </w:rPr>
        <w:t>)</w:t>
      </w:r>
      <w:r w:rsidRPr="00CB549B">
        <w:rPr>
          <w:rFonts w:ascii="Times New Roman" w:hAnsi="Times New Roman"/>
        </w:rPr>
        <w:t xml:space="preserve">. </w:t>
      </w:r>
    </w:p>
    <w:p w14:paraId="57256856" w14:textId="1158874D" w:rsidR="004C05CC" w:rsidRPr="00CB549B" w:rsidRDefault="004C05CC" w:rsidP="004C05CC">
      <w:pPr>
        <w:spacing w:after="200"/>
        <w:rPr>
          <w:rFonts w:ascii="Times New Roman" w:hAnsi="Times New Roman"/>
        </w:rPr>
      </w:pPr>
      <w:r w:rsidRPr="00CB549B">
        <w:rPr>
          <w:rFonts w:ascii="Times New Roman" w:hAnsi="Times New Roman"/>
        </w:rPr>
        <w:t xml:space="preserve">Amendments to the Declaration to cover associates of the carrier are required to allow the Declaration to fall away in its entirety if </w:t>
      </w:r>
      <w:proofErr w:type="gramStart"/>
      <w:r w:rsidRPr="00CB549B">
        <w:rPr>
          <w:rFonts w:ascii="Times New Roman" w:hAnsi="Times New Roman"/>
        </w:rPr>
        <w:t>a</w:t>
      </w:r>
      <w:proofErr w:type="gramEnd"/>
      <w:r w:rsidRPr="00CB549B">
        <w:rPr>
          <w:rFonts w:ascii="Times New Roman" w:hAnsi="Times New Roman"/>
        </w:rPr>
        <w:t xml:space="preserve"> FSU was accepted by the ACCC. If not, a carrier could be in the position where it could be regulated under both the FSU and the Declaration which </w:t>
      </w:r>
      <w:r w:rsidR="004D5248" w:rsidRPr="00CB549B">
        <w:rPr>
          <w:rFonts w:ascii="Times New Roman" w:hAnsi="Times New Roman"/>
        </w:rPr>
        <w:t xml:space="preserve">would </w:t>
      </w:r>
      <w:r w:rsidRPr="00CB549B">
        <w:rPr>
          <w:rFonts w:ascii="Times New Roman" w:hAnsi="Times New Roman"/>
        </w:rPr>
        <w:t xml:space="preserve">duplicate </w:t>
      </w:r>
      <w:r w:rsidR="004D5248" w:rsidRPr="00CB549B">
        <w:rPr>
          <w:rFonts w:ascii="Times New Roman" w:hAnsi="Times New Roman"/>
        </w:rPr>
        <w:t xml:space="preserve">reporting and </w:t>
      </w:r>
      <w:r w:rsidRPr="00CB549B">
        <w:rPr>
          <w:rFonts w:ascii="Times New Roman" w:hAnsi="Times New Roman"/>
        </w:rPr>
        <w:t>regulatory effort by both the carrier and the ACCC.</w:t>
      </w:r>
    </w:p>
    <w:p w14:paraId="512088E7" w14:textId="0C4B3F89" w:rsidR="004C05CC" w:rsidRPr="00CB549B" w:rsidRDefault="004C05CC" w:rsidP="004C05CC">
      <w:pPr>
        <w:tabs>
          <w:tab w:val="left" w:pos="2448"/>
        </w:tabs>
        <w:rPr>
          <w:rFonts w:ascii="Times New Roman" w:hAnsi="Times New Roman"/>
        </w:rPr>
      </w:pPr>
      <w:r w:rsidRPr="00CB549B">
        <w:rPr>
          <w:rFonts w:ascii="Times New Roman" w:hAnsi="Times New Roman"/>
        </w:rPr>
        <w:t xml:space="preserve">The Amending Instrument aligns the language between the Declaration and amendments to the Act made by the </w:t>
      </w:r>
      <w:r w:rsidRPr="00CB549B">
        <w:rPr>
          <w:rFonts w:ascii="Times New Roman" w:hAnsi="Times New Roman"/>
          <w:i/>
          <w:color w:val="000000" w:themeColor="text1"/>
        </w:rPr>
        <w:t>Telecommunications Legislation Amendment (Competition and Consumer) Act 2020</w:t>
      </w:r>
      <w:r w:rsidRPr="00CB549B">
        <w:rPr>
          <w:rFonts w:ascii="Times New Roman" w:hAnsi="Times New Roman"/>
          <w:color w:val="000000" w:themeColor="text1"/>
        </w:rPr>
        <w:t xml:space="preserve"> (TLA Act)</w:t>
      </w:r>
      <w:r w:rsidRPr="00CB549B">
        <w:rPr>
          <w:rFonts w:ascii="Times New Roman" w:hAnsi="Times New Roman"/>
        </w:rPr>
        <w:t xml:space="preserve"> that provide detail on the submission and assessment of FSUs made by the </w:t>
      </w:r>
      <w:r w:rsidR="0011329C" w:rsidRPr="00CB549B">
        <w:rPr>
          <w:rFonts w:ascii="Times New Roman" w:hAnsi="Times New Roman"/>
        </w:rPr>
        <w:t>controllers</w:t>
      </w:r>
      <w:r w:rsidRPr="00CB549B">
        <w:rPr>
          <w:rFonts w:ascii="Times New Roman" w:hAnsi="Times New Roman"/>
        </w:rPr>
        <w:t xml:space="preserve"> of superfast broadband networks. </w:t>
      </w:r>
    </w:p>
    <w:p w14:paraId="6830E1B4" w14:textId="77777777" w:rsidR="004C05CC" w:rsidRPr="00CB549B" w:rsidRDefault="004C05CC" w:rsidP="004C05CC">
      <w:pPr>
        <w:tabs>
          <w:tab w:val="left" w:pos="2448"/>
        </w:tabs>
        <w:rPr>
          <w:rFonts w:ascii="Times New Roman" w:hAnsi="Times New Roman"/>
        </w:rPr>
      </w:pPr>
      <w:r w:rsidRPr="00CB549B">
        <w:rPr>
          <w:rFonts w:ascii="Times New Roman" w:hAnsi="Times New Roman"/>
        </w:rPr>
        <w:lastRenderedPageBreak/>
        <w:t>The Amending Instrument broadens the scope of the Declaration from the ‘carrier’ to the ‘carrier or any of its associates’. The change means that, in effect, the Declaration will not apply if an undertaking is given to the ACCC by not only a carrier, but also its associates.</w:t>
      </w:r>
    </w:p>
    <w:p w14:paraId="364FA3C9" w14:textId="77777777" w:rsidR="004C05CC" w:rsidRPr="00CB549B" w:rsidRDefault="004C05CC" w:rsidP="004C05CC">
      <w:pPr>
        <w:tabs>
          <w:tab w:val="left" w:pos="2448"/>
        </w:tabs>
        <w:rPr>
          <w:rFonts w:ascii="Times New Roman" w:hAnsi="Times New Roman"/>
        </w:rPr>
      </w:pPr>
      <w:r w:rsidRPr="00CB549B">
        <w:rPr>
          <w:rFonts w:ascii="Times New Roman" w:hAnsi="Times New Roman"/>
        </w:rPr>
        <w:t xml:space="preserve">Details of the accompanying amendments are set out in </w:t>
      </w:r>
      <w:r w:rsidRPr="00CB549B">
        <w:rPr>
          <w:rFonts w:ascii="Times New Roman" w:hAnsi="Times New Roman"/>
          <w:b/>
        </w:rPr>
        <w:t>Attachment A</w:t>
      </w:r>
      <w:r w:rsidRPr="00CB549B">
        <w:rPr>
          <w:rFonts w:ascii="Times New Roman" w:hAnsi="Times New Roman"/>
        </w:rPr>
        <w:t>.</w:t>
      </w:r>
    </w:p>
    <w:p w14:paraId="284B375A" w14:textId="77777777" w:rsidR="004C05CC" w:rsidRPr="00CB549B" w:rsidRDefault="004C05CC" w:rsidP="00DD1544">
      <w:pPr>
        <w:rPr>
          <w:rFonts w:ascii="Times New Roman" w:hAnsi="Times New Roman"/>
        </w:rPr>
      </w:pPr>
      <w:r w:rsidRPr="00CB549B">
        <w:rPr>
          <w:rFonts w:ascii="Times New Roman" w:hAnsi="Times New Roman"/>
          <w:b/>
        </w:rPr>
        <w:t>Consultation</w:t>
      </w:r>
    </w:p>
    <w:p w14:paraId="68974FA9" w14:textId="77777777" w:rsidR="004C05CC" w:rsidRPr="00CB549B" w:rsidRDefault="004C05CC" w:rsidP="004C05CC">
      <w:pPr>
        <w:spacing w:after="200"/>
        <w:rPr>
          <w:rFonts w:ascii="Times New Roman" w:hAnsi="Times New Roman"/>
        </w:rPr>
      </w:pPr>
      <w:r w:rsidRPr="00CB549B">
        <w:rPr>
          <w:rFonts w:ascii="Times New Roman" w:hAnsi="Times New Roman"/>
        </w:rPr>
        <w:t>Section 64 of the Act requires that before making an instrument under subsection 63(5) of the Act, the Minister must arrange for a draft version of the instrument to be provided to the licence holder and invite the holder to make a submission to the Minister on the draft.</w:t>
      </w:r>
    </w:p>
    <w:p w14:paraId="692C5F2C" w14:textId="6147FE49" w:rsidR="004C05CC" w:rsidRPr="00CB549B" w:rsidRDefault="004C05CC" w:rsidP="00BA589D">
      <w:pPr>
        <w:tabs>
          <w:tab w:val="left" w:pos="2448"/>
        </w:tabs>
        <w:rPr>
          <w:rFonts w:ascii="Times New Roman" w:hAnsi="Times New Roman"/>
        </w:rPr>
      </w:pPr>
      <w:r w:rsidRPr="00CB549B">
        <w:rPr>
          <w:rFonts w:ascii="Times New Roman" w:hAnsi="Times New Roman"/>
        </w:rPr>
        <w:t>On 17 December 2021, TPG requested the former Minister for Communications make amendments to the Declaration.</w:t>
      </w:r>
      <w:r w:rsidR="004D5248" w:rsidRPr="00CB549B">
        <w:rPr>
          <w:rFonts w:ascii="Times New Roman" w:hAnsi="Times New Roman"/>
        </w:rPr>
        <w:t xml:space="preserve"> </w:t>
      </w:r>
      <w:r w:rsidRPr="00CB549B">
        <w:rPr>
          <w:rFonts w:ascii="Times New Roman" w:hAnsi="Times New Roman"/>
        </w:rPr>
        <w:t xml:space="preserve">On 13 September 2022 the Minister wrote to TPG seeking its views on the Amended Instrument. The Department of Infrastructure, Transport, Regional Development, Communications and the Arts (the Department), on the Minister’s behalf, also undertook public consultation between 13 September 2022 and 13 October 2022 via the Department’s website. The Department also contacted the Australian Communications and Media Authority (ACMA), the ACCC, NBN Co and Communications Alliance and invited submissions. The ACMA, ACCC and NBN Co responded in support of the Amending Instrument. </w:t>
      </w:r>
    </w:p>
    <w:p w14:paraId="664C0634" w14:textId="77777777" w:rsidR="004C05CC" w:rsidRPr="00CB549B" w:rsidRDefault="004C05CC" w:rsidP="004C05CC">
      <w:pPr>
        <w:rPr>
          <w:rFonts w:ascii="Times New Roman" w:hAnsi="Times New Roman"/>
          <w:b/>
        </w:rPr>
      </w:pPr>
      <w:r w:rsidRPr="00CB549B">
        <w:rPr>
          <w:rFonts w:ascii="Times New Roman" w:hAnsi="Times New Roman"/>
          <w:b/>
        </w:rPr>
        <w:t>Impact Analysis</w:t>
      </w:r>
    </w:p>
    <w:p w14:paraId="0D96F653" w14:textId="77777777" w:rsidR="004C05CC" w:rsidRPr="00CB549B" w:rsidRDefault="004C05CC" w:rsidP="004C05CC">
      <w:pPr>
        <w:spacing w:after="200"/>
        <w:rPr>
          <w:rFonts w:ascii="Times New Roman" w:hAnsi="Times New Roman"/>
        </w:rPr>
      </w:pPr>
      <w:r w:rsidRPr="00CB549B">
        <w:rPr>
          <w:rFonts w:ascii="Times New Roman" w:hAnsi="Times New Roman"/>
        </w:rPr>
        <w:t xml:space="preserve">The Office of Impact Analysis (OIA) has advised an Impact Analysis is not required (OBPR22-03825). </w:t>
      </w:r>
    </w:p>
    <w:p w14:paraId="7374842C" w14:textId="77777777" w:rsidR="004C05CC" w:rsidRPr="00CB549B" w:rsidRDefault="004C05CC" w:rsidP="00DD1544">
      <w:pPr>
        <w:rPr>
          <w:rFonts w:ascii="Times New Roman" w:hAnsi="Times New Roman"/>
          <w:b/>
        </w:rPr>
      </w:pPr>
      <w:r w:rsidRPr="00CB549B">
        <w:rPr>
          <w:rFonts w:ascii="Times New Roman" w:hAnsi="Times New Roman"/>
          <w:b/>
        </w:rPr>
        <w:t xml:space="preserve">Statement of Compatibility with Human Rights </w:t>
      </w:r>
    </w:p>
    <w:p w14:paraId="57FF8AC3" w14:textId="77777777" w:rsidR="004C05CC" w:rsidRPr="00CB549B" w:rsidRDefault="004C05CC" w:rsidP="004C05CC">
      <w:pPr>
        <w:shd w:val="clear" w:color="auto" w:fill="FFFFFF"/>
        <w:spacing w:after="160" w:line="233" w:lineRule="atLeast"/>
        <w:rPr>
          <w:rFonts w:ascii="Calibri" w:hAnsi="Calibri" w:cs="Calibri"/>
          <w:color w:val="000000"/>
          <w:sz w:val="22"/>
          <w:szCs w:val="22"/>
        </w:rPr>
      </w:pPr>
      <w:r w:rsidRPr="00CB549B">
        <w:rPr>
          <w:rFonts w:ascii="Times New Roman" w:hAnsi="Times New Roman"/>
          <w:color w:val="000000"/>
        </w:rPr>
        <w:t>Subsection 9(1) of the </w:t>
      </w:r>
      <w:r w:rsidRPr="00CB549B">
        <w:rPr>
          <w:rFonts w:ascii="Times New Roman" w:hAnsi="Times New Roman"/>
          <w:i/>
          <w:iCs/>
          <w:color w:val="000000"/>
        </w:rPr>
        <w:t>Human Rights (Parliamentary Scrutiny) Act 2011</w:t>
      </w:r>
      <w:r w:rsidRPr="00CB549B">
        <w:rPr>
          <w:rFonts w:ascii="Times New Roman" w:hAnsi="Times New Roman"/>
          <w:color w:val="000000"/>
        </w:rPr>
        <w:t> requires the rule</w:t>
      </w:r>
      <w:r w:rsidRPr="00CB549B">
        <w:rPr>
          <w:rFonts w:ascii="Times New Roman" w:hAnsi="Times New Roman"/>
          <w:color w:val="000000"/>
        </w:rPr>
        <w:noBreakHyphen/>
        <w:t>maker in relation to a legislative instrument to which section 42 (disallowance) of the </w:t>
      </w:r>
      <w:r w:rsidRPr="00CB549B">
        <w:rPr>
          <w:rFonts w:ascii="Times New Roman" w:hAnsi="Times New Roman"/>
          <w:i/>
          <w:iCs/>
          <w:color w:val="000000"/>
        </w:rPr>
        <w:t>Legislation Act 2003</w:t>
      </w:r>
      <w:r w:rsidRPr="00CB549B">
        <w:rPr>
          <w:rFonts w:ascii="Times New Roman" w:hAnsi="Times New Roman"/>
          <w:color w:val="000000"/>
        </w:rPr>
        <w:t> applies to cause a statement of compatibility with human rights to be prepared in respect of that legislative instrument.</w:t>
      </w:r>
    </w:p>
    <w:p w14:paraId="017B4192" w14:textId="77777777" w:rsidR="004C05CC" w:rsidRPr="00CB549B" w:rsidRDefault="004C05CC" w:rsidP="004C05CC">
      <w:pPr>
        <w:shd w:val="clear" w:color="auto" w:fill="FFFFFF"/>
        <w:spacing w:after="160" w:line="233" w:lineRule="atLeast"/>
        <w:rPr>
          <w:rFonts w:ascii="Times New Roman" w:hAnsi="Times New Roman"/>
          <w:color w:val="000000"/>
        </w:rPr>
      </w:pPr>
      <w:r w:rsidRPr="00CB549B">
        <w:rPr>
          <w:rFonts w:ascii="Times New Roman" w:hAnsi="Times New Roman"/>
          <w:color w:val="000000"/>
        </w:rPr>
        <w:t>The statement of compatibility set out below has been prepared to meet that requirement.</w:t>
      </w:r>
    </w:p>
    <w:p w14:paraId="708F32A3" w14:textId="6CFB4832" w:rsidR="004C05CC" w:rsidRPr="00CB549B" w:rsidRDefault="004C05CC" w:rsidP="004C05CC">
      <w:pPr>
        <w:spacing w:after="200"/>
        <w:rPr>
          <w:rFonts w:ascii="Times New Roman" w:hAnsi="Times New Roman"/>
        </w:rPr>
      </w:pPr>
      <w:r w:rsidRPr="00CB549B">
        <w:rPr>
          <w:rFonts w:ascii="Times New Roman" w:hAnsi="Times New Roman"/>
        </w:rPr>
        <w:t xml:space="preserve">The Declaration imposes carrier licence conditions in respect of </w:t>
      </w:r>
      <w:r w:rsidR="004D5248" w:rsidRPr="00CB549B">
        <w:rPr>
          <w:rFonts w:ascii="Times New Roman" w:hAnsi="Times New Roman"/>
        </w:rPr>
        <w:t xml:space="preserve">certain </w:t>
      </w:r>
      <w:r w:rsidRPr="00CB549B">
        <w:rPr>
          <w:rFonts w:ascii="Times New Roman" w:hAnsi="Times New Roman"/>
        </w:rPr>
        <w:t>types of vertically integrated networks to address concerns that such networks, which would</w:t>
      </w:r>
      <w:r w:rsidRPr="00CB549B" w:rsidDel="00892A79">
        <w:rPr>
          <w:rFonts w:ascii="Times New Roman" w:hAnsi="Times New Roman"/>
        </w:rPr>
        <w:t xml:space="preserve"> </w:t>
      </w:r>
      <w:r w:rsidRPr="00CB549B">
        <w:rPr>
          <w:rFonts w:ascii="Times New Roman" w:hAnsi="Times New Roman"/>
        </w:rPr>
        <w:t xml:space="preserve">not otherwise be subject to the Layer 2 bitstream service supply requirements established under the former Part 7 of the Act and structural separation rules under Part 8 of the Act, could create local access bottlenecks that impede effective retail competition. </w:t>
      </w:r>
    </w:p>
    <w:p w14:paraId="409684B0" w14:textId="7F0DA6D0" w:rsidR="004C05CC" w:rsidRPr="00CB549B" w:rsidRDefault="004C05CC" w:rsidP="004C05CC">
      <w:pPr>
        <w:spacing w:after="200"/>
        <w:rPr>
          <w:rFonts w:ascii="Times New Roman" w:hAnsi="Times New Roman"/>
        </w:rPr>
      </w:pPr>
      <w:r w:rsidRPr="00CB549B">
        <w:rPr>
          <w:rFonts w:ascii="Times New Roman" w:hAnsi="Times New Roman"/>
        </w:rPr>
        <w:t xml:space="preserve">In 2020, the TLA Act amended the Act to allow </w:t>
      </w:r>
      <w:r w:rsidR="0011329C" w:rsidRPr="00CB549B">
        <w:rPr>
          <w:rFonts w:ascii="Times New Roman" w:hAnsi="Times New Roman"/>
        </w:rPr>
        <w:t>controllers</w:t>
      </w:r>
      <w:r w:rsidRPr="00CB549B">
        <w:rPr>
          <w:rFonts w:ascii="Times New Roman" w:hAnsi="Times New Roman"/>
        </w:rPr>
        <w:t xml:space="preserve"> of superfast broadband networks to obtain FSUs from the ACCC and operate at both the wholesale and retail levels. It is advantageous for entities to be regulated under the FSU rather than the Declaration because </w:t>
      </w:r>
      <w:proofErr w:type="gramStart"/>
      <w:r w:rsidRPr="00CB549B">
        <w:rPr>
          <w:rFonts w:ascii="Times New Roman" w:hAnsi="Times New Roman"/>
        </w:rPr>
        <w:t>a</w:t>
      </w:r>
      <w:proofErr w:type="gramEnd"/>
      <w:r w:rsidRPr="00CB549B">
        <w:rPr>
          <w:rFonts w:ascii="Times New Roman" w:hAnsi="Times New Roman"/>
        </w:rPr>
        <w:t xml:space="preserve"> FSU can be tailored to each entity’s specific circumstances. The Declaration can fall away if </w:t>
      </w:r>
      <w:proofErr w:type="gramStart"/>
      <w:r w:rsidRPr="00CB549B">
        <w:rPr>
          <w:rFonts w:ascii="Times New Roman" w:hAnsi="Times New Roman"/>
        </w:rPr>
        <w:t>a</w:t>
      </w:r>
      <w:proofErr w:type="gramEnd"/>
      <w:r w:rsidRPr="00CB549B">
        <w:rPr>
          <w:rFonts w:ascii="Times New Roman" w:hAnsi="Times New Roman"/>
        </w:rPr>
        <w:t xml:space="preserve"> FSU given by a carrier is in force. However, </w:t>
      </w:r>
      <w:r w:rsidRPr="00CB549B">
        <w:rPr>
          <w:rFonts w:ascii="Times New Roman" w:hAnsi="Times New Roman"/>
          <w:bCs/>
        </w:rPr>
        <w:t xml:space="preserve">Paragraph </w:t>
      </w:r>
      <w:r w:rsidRPr="00CB549B">
        <w:rPr>
          <w:rFonts w:ascii="Times New Roman" w:hAnsi="Times New Roman"/>
        </w:rPr>
        <w:t xml:space="preserve">151C(2)(a) of the Act only allows entities that could be classified as a ‘retailer’ or a ‘wholesaler’ to give </w:t>
      </w:r>
      <w:proofErr w:type="gramStart"/>
      <w:r w:rsidRPr="00CB549B">
        <w:rPr>
          <w:rFonts w:ascii="Times New Roman" w:hAnsi="Times New Roman"/>
        </w:rPr>
        <w:t>a</w:t>
      </w:r>
      <w:proofErr w:type="gramEnd"/>
      <w:r w:rsidRPr="00CB549B">
        <w:rPr>
          <w:rFonts w:ascii="Times New Roman" w:hAnsi="Times New Roman"/>
        </w:rPr>
        <w:t xml:space="preserve"> FSU to the ACCC. </w:t>
      </w:r>
    </w:p>
    <w:p w14:paraId="696D217C" w14:textId="77777777" w:rsidR="004C05CC" w:rsidRPr="00CB549B" w:rsidRDefault="004C05CC" w:rsidP="00DD1544">
      <w:pPr>
        <w:keepNext/>
        <w:spacing w:before="240" w:after="200"/>
        <w:rPr>
          <w:rFonts w:ascii="Times New Roman" w:hAnsi="Times New Roman"/>
        </w:rPr>
      </w:pPr>
      <w:r w:rsidRPr="00CB549B">
        <w:rPr>
          <w:rFonts w:ascii="Times New Roman" w:hAnsi="Times New Roman"/>
        </w:rPr>
        <w:t xml:space="preserve">The Amending Instrument allows associates of a carrier that do not provide retail or wholesale services to be included in </w:t>
      </w:r>
      <w:proofErr w:type="gramStart"/>
      <w:r w:rsidRPr="00CB549B">
        <w:rPr>
          <w:rFonts w:ascii="Times New Roman" w:hAnsi="Times New Roman"/>
        </w:rPr>
        <w:t>a</w:t>
      </w:r>
      <w:proofErr w:type="gramEnd"/>
      <w:r w:rsidRPr="00CB549B">
        <w:rPr>
          <w:rFonts w:ascii="Times New Roman" w:hAnsi="Times New Roman"/>
        </w:rPr>
        <w:t xml:space="preserve"> FSU for the purposes of the Declaration. This </w:t>
      </w:r>
      <w:r w:rsidRPr="00CB549B">
        <w:rPr>
          <w:rFonts w:ascii="Times New Roman" w:hAnsi="Times New Roman"/>
        </w:rPr>
        <w:lastRenderedPageBreak/>
        <w:t>amendment removes the potential for duplicative reporting and regulatory obligations on carriers captured by the Declaration and unnecessary enforcement costs for the ACCC.</w:t>
      </w:r>
    </w:p>
    <w:p w14:paraId="1AAA922D" w14:textId="77777777" w:rsidR="004C05CC" w:rsidRPr="00CB549B" w:rsidRDefault="004C05CC" w:rsidP="00DD1544">
      <w:pPr>
        <w:keepNext/>
        <w:spacing w:after="200"/>
        <w:rPr>
          <w:rFonts w:ascii="Times New Roman" w:hAnsi="Times New Roman"/>
          <w:b/>
        </w:rPr>
      </w:pPr>
      <w:r w:rsidRPr="00CB549B">
        <w:rPr>
          <w:rFonts w:ascii="Times New Roman" w:hAnsi="Times New Roman"/>
          <w:i/>
        </w:rPr>
        <w:t>Human rights implications</w:t>
      </w:r>
    </w:p>
    <w:p w14:paraId="1CB6930E" w14:textId="77777777" w:rsidR="004C05CC" w:rsidRPr="00CB549B" w:rsidRDefault="004C05CC" w:rsidP="004C05CC">
      <w:pPr>
        <w:spacing w:after="200"/>
        <w:rPr>
          <w:rFonts w:ascii="Times New Roman" w:hAnsi="Times New Roman"/>
        </w:rPr>
      </w:pPr>
      <w:r w:rsidRPr="00CB549B">
        <w:rPr>
          <w:rFonts w:ascii="Times New Roman" w:hAnsi="Times New Roman"/>
        </w:rPr>
        <w:t>The Amending Instrument does not engage any of the applicable rights or freedoms.</w:t>
      </w:r>
    </w:p>
    <w:p w14:paraId="2334373C" w14:textId="77777777" w:rsidR="004C05CC" w:rsidRPr="00CB549B" w:rsidRDefault="004C05CC" w:rsidP="00DD1544">
      <w:pPr>
        <w:keepNext/>
        <w:spacing w:before="240" w:after="200"/>
        <w:rPr>
          <w:rFonts w:ascii="Times New Roman" w:hAnsi="Times New Roman"/>
          <w:i/>
        </w:rPr>
      </w:pPr>
      <w:r w:rsidRPr="00CB549B">
        <w:rPr>
          <w:rFonts w:ascii="Times New Roman" w:hAnsi="Times New Roman"/>
          <w:i/>
        </w:rPr>
        <w:t>Conclusion</w:t>
      </w:r>
    </w:p>
    <w:p w14:paraId="2537C6A6" w14:textId="77777777" w:rsidR="004C05CC" w:rsidRPr="00CB549B" w:rsidRDefault="004C05CC" w:rsidP="0002668C">
      <w:pPr>
        <w:spacing w:before="120"/>
        <w:rPr>
          <w:rFonts w:ascii="Times New Roman" w:hAnsi="Times New Roman"/>
        </w:rPr>
      </w:pPr>
      <w:r w:rsidRPr="00CB549B">
        <w:rPr>
          <w:rFonts w:ascii="Times New Roman" w:hAnsi="Times New Roman"/>
        </w:rPr>
        <w:t xml:space="preserve">The Amending Instrument is compatible with human rights as it does not raise any human rights issues. </w:t>
      </w:r>
    </w:p>
    <w:p w14:paraId="67CC9D94" w14:textId="77777777" w:rsidR="004C05CC" w:rsidRPr="00CB549B" w:rsidRDefault="004C05CC" w:rsidP="004C05CC">
      <w:pPr>
        <w:spacing w:after="200"/>
        <w:rPr>
          <w:rFonts w:ascii="Times New Roman" w:hAnsi="Times New Roman"/>
        </w:rPr>
      </w:pPr>
    </w:p>
    <w:p w14:paraId="2FC61759" w14:textId="77777777" w:rsidR="004C05CC" w:rsidRPr="00CB549B" w:rsidRDefault="004C05CC" w:rsidP="004C05CC">
      <w:pPr>
        <w:spacing w:after="200"/>
        <w:rPr>
          <w:rFonts w:ascii="Times New Roman" w:hAnsi="Times New Roman"/>
        </w:rPr>
      </w:pPr>
    </w:p>
    <w:p w14:paraId="5D7A9057" w14:textId="77777777" w:rsidR="004C05CC" w:rsidRPr="00CB549B" w:rsidRDefault="004C05CC" w:rsidP="004C05CC">
      <w:pPr>
        <w:ind w:right="91"/>
        <w:rPr>
          <w:rFonts w:ascii="Times New Roman" w:hAnsi="Times New Roman"/>
        </w:rPr>
      </w:pPr>
    </w:p>
    <w:p w14:paraId="42003FBC" w14:textId="77777777" w:rsidR="004C05CC" w:rsidRPr="00CB549B" w:rsidRDefault="004C05CC" w:rsidP="004C05CC">
      <w:pPr>
        <w:ind w:right="91"/>
        <w:jc w:val="right"/>
        <w:rPr>
          <w:rFonts w:ascii="Times New Roman" w:hAnsi="Times New Roman"/>
          <w:b/>
        </w:rPr>
      </w:pPr>
      <w:r w:rsidRPr="00CB549B">
        <w:rPr>
          <w:rFonts w:ascii="Times New Roman" w:hAnsi="Times New Roman"/>
        </w:rPr>
        <w:br w:type="column"/>
      </w:r>
      <w:r w:rsidRPr="00CB549B">
        <w:rPr>
          <w:rFonts w:ascii="Times New Roman" w:hAnsi="Times New Roman"/>
          <w:b/>
        </w:rPr>
        <w:lastRenderedPageBreak/>
        <w:t>Attachment A</w:t>
      </w:r>
    </w:p>
    <w:p w14:paraId="1E99D8E1" w14:textId="77777777" w:rsidR="004C05CC" w:rsidRPr="00CB549B" w:rsidRDefault="004C05CC" w:rsidP="004C05CC">
      <w:pPr>
        <w:ind w:right="91"/>
        <w:jc w:val="center"/>
        <w:rPr>
          <w:rFonts w:ascii="Times New Roman" w:hAnsi="Times New Roman"/>
          <w:b/>
        </w:rPr>
      </w:pPr>
      <w:r w:rsidRPr="00CB549B">
        <w:rPr>
          <w:rFonts w:ascii="Times New Roman" w:hAnsi="Times New Roman"/>
          <w:b/>
        </w:rPr>
        <w:t>Notes on Sections</w:t>
      </w:r>
    </w:p>
    <w:p w14:paraId="0F21F174" w14:textId="77777777" w:rsidR="004C05CC" w:rsidRPr="00CB549B" w:rsidRDefault="004C05CC" w:rsidP="004C05CC">
      <w:pPr>
        <w:spacing w:after="120"/>
        <w:rPr>
          <w:rFonts w:ascii="Times New Roman" w:hAnsi="Times New Roman"/>
          <w:b/>
        </w:rPr>
      </w:pPr>
      <w:r w:rsidRPr="00CB549B">
        <w:rPr>
          <w:rFonts w:ascii="Times New Roman" w:hAnsi="Times New Roman"/>
          <w:b/>
        </w:rPr>
        <w:t xml:space="preserve">Section 1 </w:t>
      </w:r>
    </w:p>
    <w:p w14:paraId="2438AE15" w14:textId="77777777" w:rsidR="004C05CC" w:rsidRPr="00CB549B" w:rsidRDefault="004C05CC" w:rsidP="004C05CC">
      <w:pPr>
        <w:spacing w:after="120"/>
        <w:rPr>
          <w:rFonts w:ascii="Times New Roman" w:hAnsi="Times New Roman"/>
        </w:rPr>
      </w:pPr>
      <w:r w:rsidRPr="00CB549B">
        <w:rPr>
          <w:rFonts w:ascii="Times New Roman" w:hAnsi="Times New Roman"/>
        </w:rPr>
        <w:t xml:space="preserve">Section 1 provides that the name of the instrument is the </w:t>
      </w:r>
      <w:r w:rsidRPr="00CB549B">
        <w:rPr>
          <w:rFonts w:ascii="Times New Roman" w:hAnsi="Times New Roman"/>
          <w:i/>
        </w:rPr>
        <w:t>Telecommunications (Carrier Licence Conditions) Amendment (Networks supplying Superfast Carriage Services to Residential Customers) Instrument 2022</w:t>
      </w:r>
      <w:r w:rsidRPr="00CB549B">
        <w:rPr>
          <w:rFonts w:ascii="Times New Roman" w:hAnsi="Times New Roman"/>
        </w:rPr>
        <w:t xml:space="preserve"> (Amending Instrument).</w:t>
      </w:r>
    </w:p>
    <w:p w14:paraId="2D7B2549" w14:textId="77777777" w:rsidR="004C05CC" w:rsidRPr="00CB549B" w:rsidRDefault="004C05CC" w:rsidP="004C05CC">
      <w:pPr>
        <w:spacing w:after="120"/>
        <w:rPr>
          <w:rFonts w:ascii="Times New Roman" w:hAnsi="Times New Roman"/>
          <w:b/>
        </w:rPr>
      </w:pPr>
      <w:r w:rsidRPr="00CB549B">
        <w:rPr>
          <w:rFonts w:ascii="Times New Roman" w:hAnsi="Times New Roman"/>
          <w:b/>
        </w:rPr>
        <w:t xml:space="preserve">Section 2 </w:t>
      </w:r>
    </w:p>
    <w:p w14:paraId="68522A33" w14:textId="77777777" w:rsidR="004C05CC" w:rsidRPr="00CB549B" w:rsidRDefault="004C05CC" w:rsidP="004C05CC">
      <w:pPr>
        <w:spacing w:after="120"/>
        <w:rPr>
          <w:rFonts w:ascii="Times New Roman" w:hAnsi="Times New Roman"/>
        </w:rPr>
      </w:pPr>
      <w:r w:rsidRPr="00CB549B">
        <w:rPr>
          <w:rFonts w:ascii="Times New Roman" w:hAnsi="Times New Roman"/>
        </w:rPr>
        <w:t>Section 2 provides that the instrument will commence on the day after it is registered on the Federal Register of Legislation.</w:t>
      </w:r>
    </w:p>
    <w:p w14:paraId="3329C7B6" w14:textId="77777777" w:rsidR="004C05CC" w:rsidRPr="00CB549B" w:rsidRDefault="004C05CC" w:rsidP="004C05CC">
      <w:pPr>
        <w:spacing w:after="120"/>
        <w:ind w:right="91"/>
        <w:rPr>
          <w:rFonts w:ascii="Times New Roman" w:hAnsi="Times New Roman"/>
          <w:b/>
        </w:rPr>
      </w:pPr>
      <w:r w:rsidRPr="00CB549B">
        <w:rPr>
          <w:rFonts w:ascii="Times New Roman" w:hAnsi="Times New Roman"/>
          <w:b/>
        </w:rPr>
        <w:t xml:space="preserve">Section 3 </w:t>
      </w:r>
    </w:p>
    <w:p w14:paraId="64DF5B25" w14:textId="77777777" w:rsidR="004C05CC" w:rsidRPr="00CB549B" w:rsidRDefault="004C05CC" w:rsidP="004C05CC">
      <w:pPr>
        <w:spacing w:after="120"/>
        <w:rPr>
          <w:rFonts w:ascii="Times New Roman" w:hAnsi="Times New Roman"/>
        </w:rPr>
      </w:pPr>
      <w:r w:rsidRPr="00CB549B">
        <w:rPr>
          <w:rFonts w:ascii="Times New Roman" w:hAnsi="Times New Roman"/>
        </w:rPr>
        <w:t xml:space="preserve">Section 3 provides the legislative authority for the instrument. The Amending Instrument is made under subsection 63(5) of the </w:t>
      </w:r>
      <w:r w:rsidRPr="00CB549B">
        <w:rPr>
          <w:rFonts w:ascii="Times New Roman" w:hAnsi="Times New Roman"/>
          <w:i/>
        </w:rPr>
        <w:t>Telecommunications Act 1997</w:t>
      </w:r>
      <w:r w:rsidRPr="00CB549B">
        <w:rPr>
          <w:rFonts w:ascii="Times New Roman" w:hAnsi="Times New Roman"/>
        </w:rPr>
        <w:t>.</w:t>
      </w:r>
    </w:p>
    <w:p w14:paraId="67B885F6" w14:textId="77777777" w:rsidR="004C05CC" w:rsidRPr="00CB549B" w:rsidRDefault="004C05CC" w:rsidP="004C05CC">
      <w:pPr>
        <w:spacing w:after="120"/>
        <w:ind w:right="91"/>
        <w:rPr>
          <w:rFonts w:ascii="Times New Roman" w:hAnsi="Times New Roman"/>
          <w:b/>
        </w:rPr>
      </w:pPr>
      <w:r w:rsidRPr="00CB549B">
        <w:rPr>
          <w:rFonts w:ascii="Times New Roman" w:hAnsi="Times New Roman"/>
          <w:b/>
        </w:rPr>
        <w:t>Section 4</w:t>
      </w:r>
    </w:p>
    <w:p w14:paraId="2CF8214F" w14:textId="372AEDF8" w:rsidR="004C05CC" w:rsidRPr="00CB549B" w:rsidRDefault="004C05CC" w:rsidP="004C05CC">
      <w:pPr>
        <w:spacing w:after="120"/>
        <w:rPr>
          <w:rFonts w:ascii="Times New Roman" w:hAnsi="Times New Roman"/>
        </w:rPr>
      </w:pPr>
      <w:r w:rsidRPr="00CB549B">
        <w:rPr>
          <w:rFonts w:ascii="Times New Roman" w:hAnsi="Times New Roman"/>
        </w:rPr>
        <w:t>Section 4 of the Amending Instrument provides that the Declaration is varied in the terms set out in each Schedule to the Amending Instrument.</w:t>
      </w:r>
      <w:r w:rsidRPr="00CB549B" w:rsidDel="00D14A6B">
        <w:rPr>
          <w:rFonts w:ascii="Times New Roman" w:hAnsi="Times New Roman"/>
        </w:rPr>
        <w:t xml:space="preserve"> </w:t>
      </w:r>
      <w:r w:rsidRPr="00CB549B">
        <w:rPr>
          <w:rFonts w:ascii="Times New Roman" w:hAnsi="Times New Roman"/>
        </w:rPr>
        <w:t>There is one Schedule to the Amending Instrument.</w:t>
      </w:r>
    </w:p>
    <w:p w14:paraId="46229F9A" w14:textId="77777777" w:rsidR="004C05CC" w:rsidRPr="00CB549B" w:rsidRDefault="004C05CC" w:rsidP="004C05CC">
      <w:pPr>
        <w:spacing w:after="120"/>
        <w:rPr>
          <w:rFonts w:ascii="Times New Roman" w:hAnsi="Times New Roman"/>
          <w:b/>
        </w:rPr>
      </w:pPr>
      <w:r w:rsidRPr="00CB549B">
        <w:rPr>
          <w:rFonts w:ascii="Times New Roman" w:hAnsi="Times New Roman"/>
          <w:b/>
        </w:rPr>
        <w:t>Schedule 1 to the Amending Instrument</w:t>
      </w:r>
    </w:p>
    <w:p w14:paraId="3951B0DC" w14:textId="77777777" w:rsidR="004C05CC" w:rsidRPr="00CB549B" w:rsidRDefault="004C05CC" w:rsidP="004C05CC">
      <w:pPr>
        <w:spacing w:after="120"/>
        <w:rPr>
          <w:rFonts w:ascii="Times New Roman" w:hAnsi="Times New Roman"/>
          <w:b/>
        </w:rPr>
      </w:pPr>
      <w:r w:rsidRPr="00CB549B">
        <w:rPr>
          <w:rFonts w:ascii="Times New Roman" w:hAnsi="Times New Roman"/>
          <w:b/>
        </w:rPr>
        <w:t xml:space="preserve">Item 1 </w:t>
      </w:r>
    </w:p>
    <w:p w14:paraId="6BDA07BA" w14:textId="09464173" w:rsidR="004C05CC" w:rsidRPr="00CB549B" w:rsidRDefault="004C05CC" w:rsidP="004C05CC">
      <w:pPr>
        <w:spacing w:after="120"/>
        <w:rPr>
          <w:rFonts w:ascii="Times New Roman" w:hAnsi="Times New Roman"/>
        </w:rPr>
      </w:pPr>
      <w:r w:rsidRPr="00CB549B">
        <w:rPr>
          <w:rFonts w:ascii="Times New Roman" w:hAnsi="Times New Roman"/>
        </w:rPr>
        <w:t>Item 1 omits paragraph 5(1)(c) of the Declaration and replaces it with a new paragraph</w:t>
      </w:r>
      <w:r w:rsidR="004D5248" w:rsidRPr="00CB549B">
        <w:rPr>
          <w:rFonts w:ascii="Times New Roman" w:hAnsi="Times New Roman"/>
        </w:rPr>
        <w:t xml:space="preserve">. </w:t>
      </w:r>
      <w:r w:rsidRPr="00CB549B">
        <w:rPr>
          <w:rFonts w:ascii="Times New Roman" w:hAnsi="Times New Roman"/>
        </w:rPr>
        <w:t>Th</w:t>
      </w:r>
      <w:r w:rsidR="004D5248" w:rsidRPr="00CB549B">
        <w:rPr>
          <w:rFonts w:ascii="Times New Roman" w:hAnsi="Times New Roman"/>
        </w:rPr>
        <w:t>e</w:t>
      </w:r>
      <w:r w:rsidRPr="00CB549B">
        <w:rPr>
          <w:rFonts w:ascii="Times New Roman" w:hAnsi="Times New Roman"/>
        </w:rPr>
        <w:t xml:space="preserve"> change will allow associates of a carrier that do not provide retail or wholesale services to be included in a Functional Separation Undertaking (FSU) for the purposes of the Declaration. </w:t>
      </w:r>
      <w:r w:rsidR="004D5248" w:rsidRPr="00CB549B">
        <w:rPr>
          <w:rFonts w:ascii="Times New Roman" w:hAnsi="Times New Roman"/>
        </w:rPr>
        <w:t>If</w:t>
      </w:r>
      <w:r w:rsidRPr="00CB549B">
        <w:rPr>
          <w:rFonts w:ascii="Times New Roman" w:hAnsi="Times New Roman"/>
        </w:rPr>
        <w:t xml:space="preserve"> this occurs, the l</w:t>
      </w:r>
      <w:r w:rsidRPr="00CB549B">
        <w:rPr>
          <w:rFonts w:ascii="Times New Roman" w:hAnsi="Times New Roman"/>
          <w:iCs/>
        </w:rPr>
        <w:t xml:space="preserve">icence conditions provided for under Part 6 of the Declaration do not apply </w:t>
      </w:r>
      <w:r w:rsidRPr="00CB549B">
        <w:rPr>
          <w:rFonts w:ascii="Times New Roman" w:hAnsi="Times New Roman"/>
        </w:rPr>
        <w:t>to either a specified carrier or any of its associates, removing the potential for duplicative reporting and regulatory obligations on carriers captured by the Declaration.</w:t>
      </w:r>
    </w:p>
    <w:p w14:paraId="2667592B" w14:textId="77777777" w:rsidR="004C05CC" w:rsidRPr="00CB549B" w:rsidRDefault="004C05CC" w:rsidP="004C05CC">
      <w:pPr>
        <w:spacing w:after="120"/>
        <w:rPr>
          <w:rFonts w:ascii="Times New Roman" w:hAnsi="Times New Roman"/>
          <w:b/>
        </w:rPr>
      </w:pPr>
      <w:r w:rsidRPr="00CB549B">
        <w:rPr>
          <w:rFonts w:ascii="Times New Roman" w:hAnsi="Times New Roman"/>
          <w:b/>
        </w:rPr>
        <w:t>Item 2</w:t>
      </w:r>
    </w:p>
    <w:p w14:paraId="68BA74DD" w14:textId="29AFD894" w:rsidR="003D6754" w:rsidRPr="00CB549B" w:rsidRDefault="004C05CC" w:rsidP="00E53EED">
      <w:pPr>
        <w:spacing w:after="120"/>
        <w:rPr>
          <w:rFonts w:ascii="Times New Roman" w:hAnsi="Times New Roman"/>
          <w:iCs/>
        </w:rPr>
      </w:pPr>
      <w:r w:rsidRPr="00CB549B">
        <w:rPr>
          <w:rFonts w:ascii="Times New Roman" w:hAnsi="Times New Roman"/>
        </w:rPr>
        <w:t>Item 2 omits subsection 5(2) of the Declaration and replaces it with a new paragraph</w:t>
      </w:r>
      <w:r w:rsidR="004D5248" w:rsidRPr="00CB549B">
        <w:rPr>
          <w:rFonts w:ascii="Times New Roman" w:hAnsi="Times New Roman"/>
        </w:rPr>
        <w:t xml:space="preserve">. </w:t>
      </w:r>
      <w:r w:rsidRPr="00CB549B">
        <w:rPr>
          <w:rFonts w:ascii="Times New Roman" w:hAnsi="Times New Roman"/>
        </w:rPr>
        <w:t>This represents a consequential change stemming from the insertion of new paragraph 5(1)(c) of the Declaration. It extends the application of subsection 5(2) of the Declaration to an associate of a specified carrier, as well as to the specified carrier itself.</w:t>
      </w:r>
      <w:r w:rsidR="004D5248" w:rsidRPr="00CB549B">
        <w:rPr>
          <w:rFonts w:ascii="Times New Roman" w:hAnsi="Times New Roman"/>
        </w:rPr>
        <w:t xml:space="preserve"> Subsection 5(2) allows FSUs to be given alon</w:t>
      </w:r>
      <w:r w:rsidR="006653FC" w:rsidRPr="00CB549B">
        <w:rPr>
          <w:rFonts w:ascii="Times New Roman" w:hAnsi="Times New Roman"/>
        </w:rPr>
        <w:t>e</w:t>
      </w:r>
      <w:r w:rsidR="004D5248" w:rsidRPr="00CB549B">
        <w:rPr>
          <w:rFonts w:ascii="Times New Roman" w:hAnsi="Times New Roman"/>
        </w:rPr>
        <w:t xml:space="preserve"> or jointly with other persons.</w:t>
      </w:r>
    </w:p>
    <w:sectPr w:rsidR="003D6754" w:rsidRPr="00CB549B" w:rsidSect="00DD4B6C">
      <w:head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6BC4" w14:textId="77777777" w:rsidR="00017389" w:rsidRDefault="00017389" w:rsidP="009A5536">
      <w:r>
        <w:separator/>
      </w:r>
    </w:p>
  </w:endnote>
  <w:endnote w:type="continuationSeparator" w:id="0">
    <w:p w14:paraId="4D58B56A" w14:textId="77777777" w:rsidR="00017389" w:rsidRDefault="00017389" w:rsidP="009A5536">
      <w:r>
        <w:continuationSeparator/>
      </w:r>
    </w:p>
  </w:endnote>
  <w:endnote w:type="continuationNotice" w:id="1">
    <w:p w14:paraId="7CC4E4F9" w14:textId="77777777" w:rsidR="00017389" w:rsidRDefault="000173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7E7C" w14:textId="77777777" w:rsidR="00192E3F" w:rsidRDefault="00192E3F">
    <w:pPr>
      <w:pStyle w:val="Footer"/>
    </w:pPr>
  </w:p>
  <w:p w14:paraId="662B04B4" w14:textId="77777777" w:rsidR="00192E3F" w:rsidRDefault="0019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7B4F" w14:textId="77777777" w:rsidR="00017389" w:rsidRDefault="00017389" w:rsidP="009A5536">
      <w:r>
        <w:separator/>
      </w:r>
    </w:p>
  </w:footnote>
  <w:footnote w:type="continuationSeparator" w:id="0">
    <w:p w14:paraId="107674C9" w14:textId="77777777" w:rsidR="00017389" w:rsidRDefault="00017389" w:rsidP="009A5536">
      <w:r>
        <w:continuationSeparator/>
      </w:r>
    </w:p>
  </w:footnote>
  <w:footnote w:type="continuationNotice" w:id="1">
    <w:p w14:paraId="41095D1C" w14:textId="77777777" w:rsidR="00017389" w:rsidRDefault="000173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5958" w14:textId="77777777" w:rsidR="00192E3F" w:rsidRPr="00AF72F4" w:rsidRDefault="00192E3F">
    <w:pPr>
      <w:pStyle w:val="Header"/>
      <w:rPr>
        <w:rFonts w:ascii="Times New Roman" w:hAnsi="Times New Roman"/>
      </w:rPr>
    </w:pPr>
    <w:r>
      <w:tab/>
    </w:r>
    <w:r w:rsidRPr="00AF72F4">
      <w:rPr>
        <w:rStyle w:val="PageNumber"/>
        <w:rFonts w:ascii="Times New Roman" w:hAnsi="Times New Roman"/>
      </w:rPr>
      <w:fldChar w:fldCharType="begin"/>
    </w:r>
    <w:r w:rsidRPr="00AF72F4">
      <w:rPr>
        <w:rStyle w:val="PageNumber"/>
        <w:rFonts w:ascii="Times New Roman" w:hAnsi="Times New Roman"/>
      </w:rPr>
      <w:instrText xml:space="preserve"> PAGE </w:instrText>
    </w:r>
    <w:r w:rsidRPr="00AF72F4">
      <w:rPr>
        <w:rStyle w:val="PageNumber"/>
        <w:rFonts w:ascii="Times New Roman" w:hAnsi="Times New Roman"/>
      </w:rPr>
      <w:fldChar w:fldCharType="separate"/>
    </w:r>
    <w:r w:rsidR="00AA5AEA">
      <w:rPr>
        <w:rStyle w:val="PageNumber"/>
        <w:rFonts w:ascii="Times New Roman" w:hAnsi="Times New Roman"/>
        <w:noProof/>
      </w:rPr>
      <w:t>22</w:t>
    </w:r>
    <w:r w:rsidRPr="00AF72F4">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1FF4EF4"/>
    <w:multiLevelType w:val="hybridMultilevel"/>
    <w:tmpl w:val="E77E52A6"/>
    <w:lvl w:ilvl="0" w:tplc="0C090001">
      <w:start w:val="1"/>
      <w:numFmt w:val="bullet"/>
      <w:lvlText w:val=""/>
      <w:lvlJc w:val="left"/>
      <w:pPr>
        <w:ind w:left="4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3C1031"/>
    <w:multiLevelType w:val="hybridMultilevel"/>
    <w:tmpl w:val="5C80FD8E"/>
    <w:lvl w:ilvl="0" w:tplc="E3721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FE012C"/>
    <w:multiLevelType w:val="hybridMultilevel"/>
    <w:tmpl w:val="ABD69B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0E0341"/>
    <w:multiLevelType w:val="hybridMultilevel"/>
    <w:tmpl w:val="F000B57E"/>
    <w:lvl w:ilvl="0" w:tplc="FB4AD232">
      <w:start w:val="1"/>
      <w:numFmt w:val="bullet"/>
      <w:lvlText w:val="•"/>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8E0E47"/>
    <w:multiLevelType w:val="hybridMultilevel"/>
    <w:tmpl w:val="DD20CD20"/>
    <w:lvl w:ilvl="0" w:tplc="717032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981C90"/>
    <w:multiLevelType w:val="hybridMultilevel"/>
    <w:tmpl w:val="ED1AA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8E3B6A"/>
    <w:multiLevelType w:val="hybridMultilevel"/>
    <w:tmpl w:val="08D066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F4B4A74"/>
    <w:multiLevelType w:val="hybridMultilevel"/>
    <w:tmpl w:val="616AA9D2"/>
    <w:lvl w:ilvl="0" w:tplc="3DCE90DC">
      <w:start w:val="1"/>
      <w:numFmt w:val="decimal"/>
      <w:lvlText w:val="%1."/>
      <w:lvlJc w:val="left"/>
      <w:pPr>
        <w:ind w:left="360" w:hanging="360"/>
      </w:pPr>
      <w:rPr>
        <w:rFonts w:ascii="Times New Roman" w:hAnsi="Times New Roman" w:cs="Times New Roman" w:hint="default"/>
        <w:b w:val="0"/>
      </w:rPr>
    </w:lvl>
    <w:lvl w:ilvl="1" w:tplc="F4FADEA8" w:tentative="1">
      <w:start w:val="1"/>
      <w:numFmt w:val="lowerLetter"/>
      <w:lvlText w:val="%2."/>
      <w:lvlJc w:val="left"/>
      <w:pPr>
        <w:ind w:left="1080" w:hanging="360"/>
      </w:pPr>
    </w:lvl>
    <w:lvl w:ilvl="2" w:tplc="62DE5E90" w:tentative="1">
      <w:start w:val="1"/>
      <w:numFmt w:val="lowerRoman"/>
      <w:lvlText w:val="%3."/>
      <w:lvlJc w:val="right"/>
      <w:pPr>
        <w:ind w:left="1800" w:hanging="180"/>
      </w:pPr>
    </w:lvl>
    <w:lvl w:ilvl="3" w:tplc="23DAABA0" w:tentative="1">
      <w:start w:val="1"/>
      <w:numFmt w:val="decimal"/>
      <w:lvlText w:val="%4."/>
      <w:lvlJc w:val="left"/>
      <w:pPr>
        <w:ind w:left="2520" w:hanging="360"/>
      </w:pPr>
    </w:lvl>
    <w:lvl w:ilvl="4" w:tplc="906CF176" w:tentative="1">
      <w:start w:val="1"/>
      <w:numFmt w:val="lowerLetter"/>
      <w:lvlText w:val="%5."/>
      <w:lvlJc w:val="left"/>
      <w:pPr>
        <w:ind w:left="3240" w:hanging="360"/>
      </w:pPr>
    </w:lvl>
    <w:lvl w:ilvl="5" w:tplc="CE5A10F0" w:tentative="1">
      <w:start w:val="1"/>
      <w:numFmt w:val="lowerRoman"/>
      <w:lvlText w:val="%6."/>
      <w:lvlJc w:val="right"/>
      <w:pPr>
        <w:ind w:left="3960" w:hanging="180"/>
      </w:pPr>
    </w:lvl>
    <w:lvl w:ilvl="6" w:tplc="3938A18C" w:tentative="1">
      <w:start w:val="1"/>
      <w:numFmt w:val="decimal"/>
      <w:lvlText w:val="%7."/>
      <w:lvlJc w:val="left"/>
      <w:pPr>
        <w:ind w:left="4680" w:hanging="360"/>
      </w:pPr>
    </w:lvl>
    <w:lvl w:ilvl="7" w:tplc="10389DAA" w:tentative="1">
      <w:start w:val="1"/>
      <w:numFmt w:val="lowerLetter"/>
      <w:lvlText w:val="%8."/>
      <w:lvlJc w:val="left"/>
      <w:pPr>
        <w:ind w:left="5400" w:hanging="360"/>
      </w:pPr>
    </w:lvl>
    <w:lvl w:ilvl="8" w:tplc="05004288" w:tentative="1">
      <w:start w:val="1"/>
      <w:numFmt w:val="lowerRoman"/>
      <w:lvlText w:val="%9."/>
      <w:lvlJc w:val="right"/>
      <w:pPr>
        <w:ind w:left="6120" w:hanging="180"/>
      </w:pPr>
    </w:lvl>
  </w:abstractNum>
  <w:abstractNum w:abstractNumId="15" w15:restartNumberingAfterBreak="0">
    <w:nsid w:val="21A60E2D"/>
    <w:multiLevelType w:val="hybridMultilevel"/>
    <w:tmpl w:val="F56C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8461FF"/>
    <w:multiLevelType w:val="hybridMultilevel"/>
    <w:tmpl w:val="BB8E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4109C"/>
    <w:multiLevelType w:val="hybridMultilevel"/>
    <w:tmpl w:val="AEC69026"/>
    <w:lvl w:ilvl="0" w:tplc="8144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C72AC"/>
    <w:multiLevelType w:val="hybridMultilevel"/>
    <w:tmpl w:val="6BE22296"/>
    <w:lvl w:ilvl="0" w:tplc="5EB480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861AB"/>
    <w:multiLevelType w:val="hybridMultilevel"/>
    <w:tmpl w:val="6D5A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D7357"/>
    <w:multiLevelType w:val="hybridMultilevel"/>
    <w:tmpl w:val="BF68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DD6187"/>
    <w:multiLevelType w:val="hybridMultilevel"/>
    <w:tmpl w:val="712E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144D8"/>
    <w:multiLevelType w:val="hybridMultilevel"/>
    <w:tmpl w:val="D0DA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737927"/>
    <w:multiLevelType w:val="hybridMultilevel"/>
    <w:tmpl w:val="58A2B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8" w15:restartNumberingAfterBreak="0">
    <w:nsid w:val="4AB00420"/>
    <w:multiLevelType w:val="hybridMultilevel"/>
    <w:tmpl w:val="FBBC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9D13A0"/>
    <w:multiLevelType w:val="hybridMultilevel"/>
    <w:tmpl w:val="6192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AF6F10"/>
    <w:multiLevelType w:val="hybridMultilevel"/>
    <w:tmpl w:val="16B6C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1B04BE"/>
    <w:multiLevelType w:val="hybridMultilevel"/>
    <w:tmpl w:val="D310C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34" w15:restartNumberingAfterBreak="0">
    <w:nsid w:val="7CA47F89"/>
    <w:multiLevelType w:val="hybridMultilevel"/>
    <w:tmpl w:val="E5F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
  </w:num>
  <w:num w:numId="8">
    <w:abstractNumId w:val="2"/>
  </w:num>
  <w:num w:numId="9">
    <w:abstractNumId w:val="1"/>
  </w:num>
  <w:num w:numId="10">
    <w:abstractNumId w:val="22"/>
  </w:num>
  <w:num w:numId="11">
    <w:abstractNumId w:val="0"/>
  </w:num>
  <w:num w:numId="12">
    <w:abstractNumId w:val="0"/>
  </w:num>
  <w:num w:numId="13">
    <w:abstractNumId w:val="12"/>
  </w:num>
  <w:num w:numId="14">
    <w:abstractNumId w:val="27"/>
  </w:num>
  <w:num w:numId="15">
    <w:abstractNumId w:val="8"/>
  </w:num>
  <w:num w:numId="16">
    <w:abstractNumId w:val="7"/>
  </w:num>
  <w:num w:numId="17">
    <w:abstractNumId w:val="27"/>
  </w:num>
  <w:num w:numId="18">
    <w:abstractNumId w:val="27"/>
  </w:num>
  <w:num w:numId="19">
    <w:abstractNumId w:val="33"/>
  </w:num>
  <w:num w:numId="20">
    <w:abstractNumId w:val="5"/>
  </w:num>
  <w:num w:numId="21">
    <w:abstractNumId w:val="9"/>
  </w:num>
  <w:num w:numId="22">
    <w:abstractNumId w:val="6"/>
  </w:num>
  <w:num w:numId="23">
    <w:abstractNumId w:val="26"/>
  </w:num>
  <w:num w:numId="24">
    <w:abstractNumId w:val="11"/>
  </w:num>
  <w:num w:numId="25">
    <w:abstractNumId w:val="24"/>
  </w:num>
  <w:num w:numId="26">
    <w:abstractNumId w:val="34"/>
  </w:num>
  <w:num w:numId="27">
    <w:abstractNumId w:val="20"/>
  </w:num>
  <w:num w:numId="28">
    <w:abstractNumId w:val="13"/>
  </w:num>
  <w:num w:numId="29">
    <w:abstractNumId w:val="28"/>
  </w:num>
  <w:num w:numId="30">
    <w:abstractNumId w:val="25"/>
  </w:num>
  <w:num w:numId="31">
    <w:abstractNumId w:val="32"/>
  </w:num>
  <w:num w:numId="32">
    <w:abstractNumId w:val="30"/>
  </w:num>
  <w:num w:numId="33">
    <w:abstractNumId w:val="21"/>
  </w:num>
  <w:num w:numId="34">
    <w:abstractNumId w:val="4"/>
  </w:num>
  <w:num w:numId="35">
    <w:abstractNumId w:val="29"/>
  </w:num>
  <w:num w:numId="36">
    <w:abstractNumId w:val="18"/>
  </w:num>
  <w:num w:numId="37">
    <w:abstractNumId w:val="23"/>
  </w:num>
  <w:num w:numId="38">
    <w:abstractNumId w:val="31"/>
  </w:num>
  <w:num w:numId="39">
    <w:abstractNumId w:val="15"/>
  </w:num>
  <w:num w:numId="40">
    <w:abstractNumId w:val="10"/>
  </w:num>
  <w:num w:numId="41">
    <w:abstractNumId w:val="17"/>
  </w:num>
  <w:num w:numId="42">
    <w:abstractNumId w:val="19"/>
  </w:num>
  <w:num w:numId="43">
    <w:abstractNumId w:val="1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E9"/>
    <w:rsid w:val="0000422E"/>
    <w:rsid w:val="00005672"/>
    <w:rsid w:val="00014D0F"/>
    <w:rsid w:val="0001526A"/>
    <w:rsid w:val="00017389"/>
    <w:rsid w:val="0002668C"/>
    <w:rsid w:val="00032A25"/>
    <w:rsid w:val="00040ED3"/>
    <w:rsid w:val="00046CB7"/>
    <w:rsid w:val="00052478"/>
    <w:rsid w:val="00065CC7"/>
    <w:rsid w:val="00073B4B"/>
    <w:rsid w:val="000748D2"/>
    <w:rsid w:val="000827DC"/>
    <w:rsid w:val="0009720F"/>
    <w:rsid w:val="000A704C"/>
    <w:rsid w:val="000C2BDF"/>
    <w:rsid w:val="000D3DBB"/>
    <w:rsid w:val="000D6A04"/>
    <w:rsid w:val="000E2948"/>
    <w:rsid w:val="000E508F"/>
    <w:rsid w:val="000E68D2"/>
    <w:rsid w:val="000F00D4"/>
    <w:rsid w:val="000F51C5"/>
    <w:rsid w:val="000F6AF9"/>
    <w:rsid w:val="001013DD"/>
    <w:rsid w:val="001025F0"/>
    <w:rsid w:val="00103DE9"/>
    <w:rsid w:val="0011329C"/>
    <w:rsid w:val="00113F27"/>
    <w:rsid w:val="0012015C"/>
    <w:rsid w:val="0012623C"/>
    <w:rsid w:val="001300C4"/>
    <w:rsid w:val="00136308"/>
    <w:rsid w:val="00136D23"/>
    <w:rsid w:val="00142788"/>
    <w:rsid w:val="0014740A"/>
    <w:rsid w:val="0014775C"/>
    <w:rsid w:val="00153B3C"/>
    <w:rsid w:val="00154B96"/>
    <w:rsid w:val="00156067"/>
    <w:rsid w:val="00167F68"/>
    <w:rsid w:val="0017202F"/>
    <w:rsid w:val="0017677A"/>
    <w:rsid w:val="001811FE"/>
    <w:rsid w:val="0018220D"/>
    <w:rsid w:val="00192E3F"/>
    <w:rsid w:val="001969A7"/>
    <w:rsid w:val="001A13E8"/>
    <w:rsid w:val="001A2605"/>
    <w:rsid w:val="001A4D94"/>
    <w:rsid w:val="001B341A"/>
    <w:rsid w:val="001C1979"/>
    <w:rsid w:val="001C2821"/>
    <w:rsid w:val="001C6DC2"/>
    <w:rsid w:val="001D3DC9"/>
    <w:rsid w:val="001E1FF3"/>
    <w:rsid w:val="001E2EA5"/>
    <w:rsid w:val="001F173F"/>
    <w:rsid w:val="001F5817"/>
    <w:rsid w:val="001F5A6D"/>
    <w:rsid w:val="001F68DD"/>
    <w:rsid w:val="002025A5"/>
    <w:rsid w:val="00203EBE"/>
    <w:rsid w:val="002131AC"/>
    <w:rsid w:val="00221130"/>
    <w:rsid w:val="00223A0F"/>
    <w:rsid w:val="002309C5"/>
    <w:rsid w:val="002342B4"/>
    <w:rsid w:val="0023462D"/>
    <w:rsid w:val="00234D7D"/>
    <w:rsid w:val="002568B3"/>
    <w:rsid w:val="0026336A"/>
    <w:rsid w:val="002817A8"/>
    <w:rsid w:val="00285612"/>
    <w:rsid w:val="00290188"/>
    <w:rsid w:val="00294547"/>
    <w:rsid w:val="00297734"/>
    <w:rsid w:val="002A2C10"/>
    <w:rsid w:val="002B2036"/>
    <w:rsid w:val="002C0CD5"/>
    <w:rsid w:val="002C2DBC"/>
    <w:rsid w:val="002C53F1"/>
    <w:rsid w:val="002D0F74"/>
    <w:rsid w:val="002D1A57"/>
    <w:rsid w:val="002D1A77"/>
    <w:rsid w:val="002D38AC"/>
    <w:rsid w:val="002D3F67"/>
    <w:rsid w:val="002E277F"/>
    <w:rsid w:val="002E59BE"/>
    <w:rsid w:val="002F2C3B"/>
    <w:rsid w:val="002F4E99"/>
    <w:rsid w:val="002F64C5"/>
    <w:rsid w:val="00300D7D"/>
    <w:rsid w:val="00302B34"/>
    <w:rsid w:val="00305944"/>
    <w:rsid w:val="003173C2"/>
    <w:rsid w:val="0033625E"/>
    <w:rsid w:val="0034112F"/>
    <w:rsid w:val="0034299C"/>
    <w:rsid w:val="003431F5"/>
    <w:rsid w:val="00362FC5"/>
    <w:rsid w:val="00390DE4"/>
    <w:rsid w:val="003939D3"/>
    <w:rsid w:val="00395FE5"/>
    <w:rsid w:val="003A1A35"/>
    <w:rsid w:val="003A39A2"/>
    <w:rsid w:val="003A6BFE"/>
    <w:rsid w:val="003B185C"/>
    <w:rsid w:val="003C0BE1"/>
    <w:rsid w:val="003C0CA2"/>
    <w:rsid w:val="003C30A7"/>
    <w:rsid w:val="003C39A0"/>
    <w:rsid w:val="003C5EA2"/>
    <w:rsid w:val="003D2CF4"/>
    <w:rsid w:val="003D6754"/>
    <w:rsid w:val="003D7746"/>
    <w:rsid w:val="003E2221"/>
    <w:rsid w:val="003F6ABB"/>
    <w:rsid w:val="00401832"/>
    <w:rsid w:val="00405662"/>
    <w:rsid w:val="00411206"/>
    <w:rsid w:val="00413CF4"/>
    <w:rsid w:val="0041776D"/>
    <w:rsid w:val="004222FE"/>
    <w:rsid w:val="00434763"/>
    <w:rsid w:val="004352DC"/>
    <w:rsid w:val="00441A1B"/>
    <w:rsid w:val="00442A12"/>
    <w:rsid w:val="00450174"/>
    <w:rsid w:val="00452441"/>
    <w:rsid w:val="004545F7"/>
    <w:rsid w:val="00463EC0"/>
    <w:rsid w:val="00466343"/>
    <w:rsid w:val="0047601F"/>
    <w:rsid w:val="00480975"/>
    <w:rsid w:val="00483292"/>
    <w:rsid w:val="00485E9A"/>
    <w:rsid w:val="00493CD6"/>
    <w:rsid w:val="00497F62"/>
    <w:rsid w:val="004A0155"/>
    <w:rsid w:val="004A0477"/>
    <w:rsid w:val="004A19EE"/>
    <w:rsid w:val="004A1FAB"/>
    <w:rsid w:val="004A2AE8"/>
    <w:rsid w:val="004B3DAC"/>
    <w:rsid w:val="004B5474"/>
    <w:rsid w:val="004B5A4E"/>
    <w:rsid w:val="004B75EA"/>
    <w:rsid w:val="004C05CC"/>
    <w:rsid w:val="004C6705"/>
    <w:rsid w:val="004D15C1"/>
    <w:rsid w:val="004D2B01"/>
    <w:rsid w:val="004D5004"/>
    <w:rsid w:val="004D5248"/>
    <w:rsid w:val="004D55A3"/>
    <w:rsid w:val="004E4107"/>
    <w:rsid w:val="004E46E2"/>
    <w:rsid w:val="004F615E"/>
    <w:rsid w:val="00501EB5"/>
    <w:rsid w:val="005051A9"/>
    <w:rsid w:val="005112E5"/>
    <w:rsid w:val="00515A67"/>
    <w:rsid w:val="00516625"/>
    <w:rsid w:val="00517442"/>
    <w:rsid w:val="00517B36"/>
    <w:rsid w:val="00517BA8"/>
    <w:rsid w:val="00521C7B"/>
    <w:rsid w:val="00530BA2"/>
    <w:rsid w:val="00531F51"/>
    <w:rsid w:val="005354F0"/>
    <w:rsid w:val="00536032"/>
    <w:rsid w:val="005405A1"/>
    <w:rsid w:val="00541AD4"/>
    <w:rsid w:val="00545A5E"/>
    <w:rsid w:val="005469B4"/>
    <w:rsid w:val="0054748A"/>
    <w:rsid w:val="005534C1"/>
    <w:rsid w:val="0055586C"/>
    <w:rsid w:val="005562D0"/>
    <w:rsid w:val="0056157E"/>
    <w:rsid w:val="005618AE"/>
    <w:rsid w:val="0056237D"/>
    <w:rsid w:val="005627A9"/>
    <w:rsid w:val="00565C39"/>
    <w:rsid w:val="005704CF"/>
    <w:rsid w:val="00573EA4"/>
    <w:rsid w:val="00574850"/>
    <w:rsid w:val="00575896"/>
    <w:rsid w:val="00575985"/>
    <w:rsid w:val="005869B3"/>
    <w:rsid w:val="005912EA"/>
    <w:rsid w:val="00593078"/>
    <w:rsid w:val="00594874"/>
    <w:rsid w:val="005962E1"/>
    <w:rsid w:val="005A03F1"/>
    <w:rsid w:val="005A39C8"/>
    <w:rsid w:val="005A77E8"/>
    <w:rsid w:val="005B1E56"/>
    <w:rsid w:val="005B34AD"/>
    <w:rsid w:val="005C1BA2"/>
    <w:rsid w:val="005C5721"/>
    <w:rsid w:val="005C5940"/>
    <w:rsid w:val="005D6D6F"/>
    <w:rsid w:val="005D7F5D"/>
    <w:rsid w:val="005E26DD"/>
    <w:rsid w:val="006131AB"/>
    <w:rsid w:val="00621E12"/>
    <w:rsid w:val="00623534"/>
    <w:rsid w:val="006302E7"/>
    <w:rsid w:val="006364D9"/>
    <w:rsid w:val="006369D3"/>
    <w:rsid w:val="00643CEF"/>
    <w:rsid w:val="006528E9"/>
    <w:rsid w:val="00661638"/>
    <w:rsid w:val="006653FC"/>
    <w:rsid w:val="006668DC"/>
    <w:rsid w:val="00667D50"/>
    <w:rsid w:val="00686F31"/>
    <w:rsid w:val="00692565"/>
    <w:rsid w:val="00695054"/>
    <w:rsid w:val="00695DF1"/>
    <w:rsid w:val="00696DED"/>
    <w:rsid w:val="006A34D5"/>
    <w:rsid w:val="006A662A"/>
    <w:rsid w:val="006B0888"/>
    <w:rsid w:val="006C1049"/>
    <w:rsid w:val="006C5D68"/>
    <w:rsid w:val="006D0DDF"/>
    <w:rsid w:val="006D3B19"/>
    <w:rsid w:val="006E201C"/>
    <w:rsid w:val="006E2969"/>
    <w:rsid w:val="006F2B2F"/>
    <w:rsid w:val="006F58CE"/>
    <w:rsid w:val="006F5E91"/>
    <w:rsid w:val="0071248B"/>
    <w:rsid w:val="007169A2"/>
    <w:rsid w:val="007206B3"/>
    <w:rsid w:val="007306D4"/>
    <w:rsid w:val="00746C0E"/>
    <w:rsid w:val="007515E8"/>
    <w:rsid w:val="00762673"/>
    <w:rsid w:val="007744AE"/>
    <w:rsid w:val="007747B8"/>
    <w:rsid w:val="00775701"/>
    <w:rsid w:val="0078195C"/>
    <w:rsid w:val="00786989"/>
    <w:rsid w:val="00787451"/>
    <w:rsid w:val="00787636"/>
    <w:rsid w:val="0079088F"/>
    <w:rsid w:val="0079346D"/>
    <w:rsid w:val="00795426"/>
    <w:rsid w:val="007A6680"/>
    <w:rsid w:val="007B12FF"/>
    <w:rsid w:val="007C35A7"/>
    <w:rsid w:val="007C377C"/>
    <w:rsid w:val="007C4162"/>
    <w:rsid w:val="007C47EA"/>
    <w:rsid w:val="007C6273"/>
    <w:rsid w:val="007C7496"/>
    <w:rsid w:val="007D0C63"/>
    <w:rsid w:val="007E0BA1"/>
    <w:rsid w:val="007F05F6"/>
    <w:rsid w:val="007F6FF7"/>
    <w:rsid w:val="008022DF"/>
    <w:rsid w:val="00803636"/>
    <w:rsid w:val="00806F4C"/>
    <w:rsid w:val="00807748"/>
    <w:rsid w:val="00852708"/>
    <w:rsid w:val="008642D6"/>
    <w:rsid w:val="00866F15"/>
    <w:rsid w:val="00867863"/>
    <w:rsid w:val="00870B67"/>
    <w:rsid w:val="00880EA1"/>
    <w:rsid w:val="00883119"/>
    <w:rsid w:val="00884CA9"/>
    <w:rsid w:val="00890C86"/>
    <w:rsid w:val="00893980"/>
    <w:rsid w:val="008B1988"/>
    <w:rsid w:val="008B7C74"/>
    <w:rsid w:val="008C054F"/>
    <w:rsid w:val="008C1030"/>
    <w:rsid w:val="008C219A"/>
    <w:rsid w:val="008C4988"/>
    <w:rsid w:val="008D00DD"/>
    <w:rsid w:val="008D3EF0"/>
    <w:rsid w:val="008D6495"/>
    <w:rsid w:val="008E4CCB"/>
    <w:rsid w:val="008E6117"/>
    <w:rsid w:val="008F0EB7"/>
    <w:rsid w:val="008F6219"/>
    <w:rsid w:val="00901051"/>
    <w:rsid w:val="00905707"/>
    <w:rsid w:val="00907575"/>
    <w:rsid w:val="00921206"/>
    <w:rsid w:val="00925446"/>
    <w:rsid w:val="009302AC"/>
    <w:rsid w:val="00931AE8"/>
    <w:rsid w:val="00941A7E"/>
    <w:rsid w:val="0094563E"/>
    <w:rsid w:val="00951AE3"/>
    <w:rsid w:val="00952E77"/>
    <w:rsid w:val="00952EEE"/>
    <w:rsid w:val="0095484A"/>
    <w:rsid w:val="0098462F"/>
    <w:rsid w:val="00990F64"/>
    <w:rsid w:val="00994EF4"/>
    <w:rsid w:val="009976CD"/>
    <w:rsid w:val="009A49D8"/>
    <w:rsid w:val="009A5536"/>
    <w:rsid w:val="009B4C72"/>
    <w:rsid w:val="009C1FA2"/>
    <w:rsid w:val="009C3344"/>
    <w:rsid w:val="009D7930"/>
    <w:rsid w:val="009F630F"/>
    <w:rsid w:val="00A04EB8"/>
    <w:rsid w:val="00A15647"/>
    <w:rsid w:val="00A229C7"/>
    <w:rsid w:val="00A22D9D"/>
    <w:rsid w:val="00A23A38"/>
    <w:rsid w:val="00A2416B"/>
    <w:rsid w:val="00A62394"/>
    <w:rsid w:val="00A63310"/>
    <w:rsid w:val="00A661AA"/>
    <w:rsid w:val="00A7047D"/>
    <w:rsid w:val="00A72D46"/>
    <w:rsid w:val="00A84164"/>
    <w:rsid w:val="00A85F74"/>
    <w:rsid w:val="00A9137B"/>
    <w:rsid w:val="00A96997"/>
    <w:rsid w:val="00AA5AEA"/>
    <w:rsid w:val="00AA636D"/>
    <w:rsid w:val="00AB243A"/>
    <w:rsid w:val="00AC00C5"/>
    <w:rsid w:val="00AC0C85"/>
    <w:rsid w:val="00AC7006"/>
    <w:rsid w:val="00AD03A9"/>
    <w:rsid w:val="00AD1746"/>
    <w:rsid w:val="00AD1BB4"/>
    <w:rsid w:val="00AD3C66"/>
    <w:rsid w:val="00AF72F4"/>
    <w:rsid w:val="00B0658A"/>
    <w:rsid w:val="00B1639B"/>
    <w:rsid w:val="00B20910"/>
    <w:rsid w:val="00B211FB"/>
    <w:rsid w:val="00B324B6"/>
    <w:rsid w:val="00B33CFF"/>
    <w:rsid w:val="00B3772E"/>
    <w:rsid w:val="00B47512"/>
    <w:rsid w:val="00B539AF"/>
    <w:rsid w:val="00B551AA"/>
    <w:rsid w:val="00B61477"/>
    <w:rsid w:val="00B66537"/>
    <w:rsid w:val="00B74E43"/>
    <w:rsid w:val="00B75824"/>
    <w:rsid w:val="00B77096"/>
    <w:rsid w:val="00B818F3"/>
    <w:rsid w:val="00B845F6"/>
    <w:rsid w:val="00B87E97"/>
    <w:rsid w:val="00B90E97"/>
    <w:rsid w:val="00B94CF2"/>
    <w:rsid w:val="00BA589D"/>
    <w:rsid w:val="00BB3ACB"/>
    <w:rsid w:val="00BB5279"/>
    <w:rsid w:val="00BC67E4"/>
    <w:rsid w:val="00BD0571"/>
    <w:rsid w:val="00BD175A"/>
    <w:rsid w:val="00BD4974"/>
    <w:rsid w:val="00BD7881"/>
    <w:rsid w:val="00BE5BF7"/>
    <w:rsid w:val="00BF014E"/>
    <w:rsid w:val="00BF4247"/>
    <w:rsid w:val="00BF6B62"/>
    <w:rsid w:val="00BF788E"/>
    <w:rsid w:val="00C1272C"/>
    <w:rsid w:val="00C15E7E"/>
    <w:rsid w:val="00C206DD"/>
    <w:rsid w:val="00C20849"/>
    <w:rsid w:val="00C26BD4"/>
    <w:rsid w:val="00C30003"/>
    <w:rsid w:val="00C354B3"/>
    <w:rsid w:val="00C43C9A"/>
    <w:rsid w:val="00C47D42"/>
    <w:rsid w:val="00C53D90"/>
    <w:rsid w:val="00C55C56"/>
    <w:rsid w:val="00C55D17"/>
    <w:rsid w:val="00C639BF"/>
    <w:rsid w:val="00C646F6"/>
    <w:rsid w:val="00C6762E"/>
    <w:rsid w:val="00C7008B"/>
    <w:rsid w:val="00C70E91"/>
    <w:rsid w:val="00C90422"/>
    <w:rsid w:val="00C9128D"/>
    <w:rsid w:val="00C939A9"/>
    <w:rsid w:val="00CB549B"/>
    <w:rsid w:val="00CB62BA"/>
    <w:rsid w:val="00CC27D8"/>
    <w:rsid w:val="00CC4ABB"/>
    <w:rsid w:val="00CC4BAE"/>
    <w:rsid w:val="00CD2FC9"/>
    <w:rsid w:val="00CD3ECA"/>
    <w:rsid w:val="00CD5B9D"/>
    <w:rsid w:val="00CD722C"/>
    <w:rsid w:val="00CE05BE"/>
    <w:rsid w:val="00CE21C9"/>
    <w:rsid w:val="00CF585A"/>
    <w:rsid w:val="00D021EA"/>
    <w:rsid w:val="00D05644"/>
    <w:rsid w:val="00D062F3"/>
    <w:rsid w:val="00D143D2"/>
    <w:rsid w:val="00D22C68"/>
    <w:rsid w:val="00D22FDE"/>
    <w:rsid w:val="00D2422B"/>
    <w:rsid w:val="00D3051E"/>
    <w:rsid w:val="00D326BF"/>
    <w:rsid w:val="00D35088"/>
    <w:rsid w:val="00D505EA"/>
    <w:rsid w:val="00D54AB9"/>
    <w:rsid w:val="00D67CB2"/>
    <w:rsid w:val="00D70339"/>
    <w:rsid w:val="00D70CA8"/>
    <w:rsid w:val="00D75085"/>
    <w:rsid w:val="00D7685B"/>
    <w:rsid w:val="00D800FE"/>
    <w:rsid w:val="00D81132"/>
    <w:rsid w:val="00D8622C"/>
    <w:rsid w:val="00D92DFD"/>
    <w:rsid w:val="00DA151F"/>
    <w:rsid w:val="00DA72D3"/>
    <w:rsid w:val="00DB12C6"/>
    <w:rsid w:val="00DB1D2E"/>
    <w:rsid w:val="00DB60F9"/>
    <w:rsid w:val="00DC0F57"/>
    <w:rsid w:val="00DC1947"/>
    <w:rsid w:val="00DC61AE"/>
    <w:rsid w:val="00DC7CA9"/>
    <w:rsid w:val="00DD1544"/>
    <w:rsid w:val="00DD2226"/>
    <w:rsid w:val="00DD4B6C"/>
    <w:rsid w:val="00DD501A"/>
    <w:rsid w:val="00DF2DAD"/>
    <w:rsid w:val="00E00000"/>
    <w:rsid w:val="00E00750"/>
    <w:rsid w:val="00E02107"/>
    <w:rsid w:val="00E02AEF"/>
    <w:rsid w:val="00E068D6"/>
    <w:rsid w:val="00E1008D"/>
    <w:rsid w:val="00E11891"/>
    <w:rsid w:val="00E17DD6"/>
    <w:rsid w:val="00E20BF7"/>
    <w:rsid w:val="00E2167F"/>
    <w:rsid w:val="00E233B7"/>
    <w:rsid w:val="00E24D79"/>
    <w:rsid w:val="00E272D0"/>
    <w:rsid w:val="00E32F6F"/>
    <w:rsid w:val="00E334E7"/>
    <w:rsid w:val="00E347BC"/>
    <w:rsid w:val="00E47307"/>
    <w:rsid w:val="00E47933"/>
    <w:rsid w:val="00E53EED"/>
    <w:rsid w:val="00E62C7D"/>
    <w:rsid w:val="00E65C61"/>
    <w:rsid w:val="00E77711"/>
    <w:rsid w:val="00E80C4F"/>
    <w:rsid w:val="00E85A7F"/>
    <w:rsid w:val="00E875AE"/>
    <w:rsid w:val="00EA15B8"/>
    <w:rsid w:val="00EA2482"/>
    <w:rsid w:val="00EA58B4"/>
    <w:rsid w:val="00EA7478"/>
    <w:rsid w:val="00EB02B1"/>
    <w:rsid w:val="00EB258C"/>
    <w:rsid w:val="00EC7A77"/>
    <w:rsid w:val="00ED3289"/>
    <w:rsid w:val="00ED7591"/>
    <w:rsid w:val="00EE4315"/>
    <w:rsid w:val="00F00611"/>
    <w:rsid w:val="00F01F8A"/>
    <w:rsid w:val="00F027EE"/>
    <w:rsid w:val="00F10664"/>
    <w:rsid w:val="00F11773"/>
    <w:rsid w:val="00F14779"/>
    <w:rsid w:val="00F17CED"/>
    <w:rsid w:val="00F2250C"/>
    <w:rsid w:val="00F2257C"/>
    <w:rsid w:val="00F43991"/>
    <w:rsid w:val="00F5065D"/>
    <w:rsid w:val="00F53C45"/>
    <w:rsid w:val="00F54B68"/>
    <w:rsid w:val="00F600C5"/>
    <w:rsid w:val="00F670AB"/>
    <w:rsid w:val="00F73767"/>
    <w:rsid w:val="00F82F79"/>
    <w:rsid w:val="00F95342"/>
    <w:rsid w:val="00F95AFA"/>
    <w:rsid w:val="00FA2D6C"/>
    <w:rsid w:val="00FA48FE"/>
    <w:rsid w:val="00FA5660"/>
    <w:rsid w:val="00FA7522"/>
    <w:rsid w:val="00FC1B28"/>
    <w:rsid w:val="00FC28CC"/>
    <w:rsid w:val="00FC5DAE"/>
    <w:rsid w:val="00FC63B3"/>
    <w:rsid w:val="00FD6285"/>
    <w:rsid w:val="00FE6E75"/>
    <w:rsid w:val="00FF100A"/>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5DDA704"/>
  <w15:docId w15:val="{6CD796C1-E701-423F-AE45-F972A6A2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DD4B6C"/>
    <w:pPr>
      <w:keepNext/>
      <w:spacing w:before="240"/>
      <w:outlineLvl w:val="0"/>
    </w:pPr>
    <w:rPr>
      <w:b/>
      <w:szCs w:val="20"/>
    </w:rPr>
  </w:style>
  <w:style w:type="paragraph" w:styleId="Heading2">
    <w:name w:val="heading 2"/>
    <w:basedOn w:val="Normal"/>
    <w:next w:val="Heading3"/>
    <w:link w:val="Heading2Char"/>
    <w:uiPriority w:val="9"/>
    <w:qFormat/>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link w:val="ListParagraphChar"/>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03A9"/>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D03A9"/>
    <w:rPr>
      <w:sz w:val="20"/>
      <w:szCs w:val="20"/>
    </w:rPr>
  </w:style>
  <w:style w:type="character" w:styleId="FootnoteReference">
    <w:name w:val="footnote reference"/>
    <w:basedOn w:val="DefaultParagraphFont"/>
    <w:uiPriority w:val="99"/>
    <w:semiHidden/>
    <w:unhideWhenUsed/>
    <w:rsid w:val="00AD03A9"/>
    <w:rPr>
      <w:vertAlign w:val="superscript"/>
    </w:rPr>
  </w:style>
  <w:style w:type="table" w:customStyle="1" w:styleId="ListTable3-Accent11">
    <w:name w:val="List Table 3 - Accent 11"/>
    <w:basedOn w:val="TableNormal"/>
    <w:uiPriority w:val="48"/>
    <w:rsid w:val="006302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6302E7"/>
    <w:rPr>
      <w:i/>
      <w:iCs/>
    </w:rPr>
  </w:style>
  <w:style w:type="paragraph" w:styleId="NormalWeb">
    <w:name w:val="Normal (Web)"/>
    <w:basedOn w:val="Normal"/>
    <w:uiPriority w:val="99"/>
    <w:semiHidden/>
    <w:unhideWhenUsed/>
    <w:rsid w:val="006302E7"/>
    <w:pPr>
      <w:spacing w:after="150"/>
    </w:pPr>
    <w:rPr>
      <w:rFonts w:ascii="Times New Roman" w:hAnsi="Times New Roman"/>
    </w:rPr>
  </w:style>
  <w:style w:type="paragraph" w:styleId="Revision">
    <w:name w:val="Revision"/>
    <w:hidden/>
    <w:uiPriority w:val="99"/>
    <w:semiHidden/>
    <w:rsid w:val="006302E7"/>
    <w:pPr>
      <w:spacing w:after="0" w:line="240" w:lineRule="auto"/>
    </w:pPr>
  </w:style>
  <w:style w:type="character" w:customStyle="1" w:styleId="ListParagraphChar">
    <w:name w:val="List Paragraph Char"/>
    <w:basedOn w:val="DefaultParagraphFont"/>
    <w:link w:val="ListParagraph"/>
    <w:uiPriority w:val="34"/>
    <w:rsid w:val="00E77711"/>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9264">
      <w:bodyDiv w:val="1"/>
      <w:marLeft w:val="0"/>
      <w:marRight w:val="0"/>
      <w:marTop w:val="0"/>
      <w:marBottom w:val="0"/>
      <w:divBdr>
        <w:top w:val="none" w:sz="0" w:space="0" w:color="auto"/>
        <w:left w:val="none" w:sz="0" w:space="0" w:color="auto"/>
        <w:bottom w:val="none" w:sz="0" w:space="0" w:color="auto"/>
        <w:right w:val="none" w:sz="0" w:space="0" w:color="auto"/>
      </w:divBdr>
      <w:divsChild>
        <w:div w:id="713502113">
          <w:marLeft w:val="0"/>
          <w:marRight w:val="0"/>
          <w:marTop w:val="0"/>
          <w:marBottom w:val="0"/>
          <w:divBdr>
            <w:top w:val="none" w:sz="0" w:space="0" w:color="auto"/>
            <w:left w:val="none" w:sz="0" w:space="0" w:color="auto"/>
            <w:bottom w:val="none" w:sz="0" w:space="0" w:color="auto"/>
            <w:right w:val="none" w:sz="0" w:space="0" w:color="auto"/>
          </w:divBdr>
          <w:divsChild>
            <w:div w:id="523322184">
              <w:marLeft w:val="0"/>
              <w:marRight w:val="0"/>
              <w:marTop w:val="0"/>
              <w:marBottom w:val="0"/>
              <w:divBdr>
                <w:top w:val="none" w:sz="0" w:space="0" w:color="auto"/>
                <w:left w:val="none" w:sz="0" w:space="0" w:color="auto"/>
                <w:bottom w:val="none" w:sz="0" w:space="0" w:color="auto"/>
                <w:right w:val="none" w:sz="0" w:space="0" w:color="auto"/>
              </w:divBdr>
              <w:divsChild>
                <w:div w:id="2022970951">
                  <w:marLeft w:val="0"/>
                  <w:marRight w:val="0"/>
                  <w:marTop w:val="0"/>
                  <w:marBottom w:val="0"/>
                  <w:divBdr>
                    <w:top w:val="none" w:sz="0" w:space="0" w:color="auto"/>
                    <w:left w:val="none" w:sz="0" w:space="0" w:color="auto"/>
                    <w:bottom w:val="none" w:sz="0" w:space="0" w:color="auto"/>
                    <w:right w:val="none" w:sz="0" w:space="0" w:color="auto"/>
                  </w:divBdr>
                  <w:divsChild>
                    <w:div w:id="985008065">
                      <w:marLeft w:val="0"/>
                      <w:marRight w:val="0"/>
                      <w:marTop w:val="0"/>
                      <w:marBottom w:val="0"/>
                      <w:divBdr>
                        <w:top w:val="none" w:sz="0" w:space="0" w:color="auto"/>
                        <w:left w:val="none" w:sz="0" w:space="0" w:color="auto"/>
                        <w:bottom w:val="none" w:sz="0" w:space="0" w:color="auto"/>
                        <w:right w:val="none" w:sz="0" w:space="0" w:color="auto"/>
                      </w:divBdr>
                      <w:divsChild>
                        <w:div w:id="906913080">
                          <w:marLeft w:val="0"/>
                          <w:marRight w:val="0"/>
                          <w:marTop w:val="0"/>
                          <w:marBottom w:val="0"/>
                          <w:divBdr>
                            <w:top w:val="none" w:sz="0" w:space="0" w:color="auto"/>
                            <w:left w:val="none" w:sz="0" w:space="0" w:color="auto"/>
                            <w:bottom w:val="none" w:sz="0" w:space="0" w:color="auto"/>
                            <w:right w:val="none" w:sz="0" w:space="0" w:color="auto"/>
                          </w:divBdr>
                          <w:divsChild>
                            <w:div w:id="674504264">
                              <w:marLeft w:val="0"/>
                              <w:marRight w:val="0"/>
                              <w:marTop w:val="0"/>
                              <w:marBottom w:val="0"/>
                              <w:divBdr>
                                <w:top w:val="none" w:sz="0" w:space="0" w:color="auto"/>
                                <w:left w:val="none" w:sz="0" w:space="0" w:color="auto"/>
                                <w:bottom w:val="none" w:sz="0" w:space="0" w:color="auto"/>
                                <w:right w:val="none" w:sz="0" w:space="0" w:color="auto"/>
                              </w:divBdr>
                              <w:divsChild>
                                <w:div w:id="2023824630">
                                  <w:marLeft w:val="0"/>
                                  <w:marRight w:val="0"/>
                                  <w:marTop w:val="0"/>
                                  <w:marBottom w:val="0"/>
                                  <w:divBdr>
                                    <w:top w:val="none" w:sz="0" w:space="0" w:color="auto"/>
                                    <w:left w:val="none" w:sz="0" w:space="0" w:color="auto"/>
                                    <w:bottom w:val="none" w:sz="0" w:space="0" w:color="auto"/>
                                    <w:right w:val="none" w:sz="0" w:space="0" w:color="auto"/>
                                  </w:divBdr>
                                  <w:divsChild>
                                    <w:div w:id="1888953430">
                                      <w:marLeft w:val="0"/>
                                      <w:marRight w:val="0"/>
                                      <w:marTop w:val="0"/>
                                      <w:marBottom w:val="0"/>
                                      <w:divBdr>
                                        <w:top w:val="none" w:sz="0" w:space="0" w:color="auto"/>
                                        <w:left w:val="none" w:sz="0" w:space="0" w:color="auto"/>
                                        <w:bottom w:val="none" w:sz="0" w:space="0" w:color="auto"/>
                                        <w:right w:val="none" w:sz="0" w:space="0" w:color="auto"/>
                                      </w:divBdr>
                                      <w:divsChild>
                                        <w:div w:id="1200437839">
                                          <w:marLeft w:val="0"/>
                                          <w:marRight w:val="0"/>
                                          <w:marTop w:val="0"/>
                                          <w:marBottom w:val="0"/>
                                          <w:divBdr>
                                            <w:top w:val="none" w:sz="0" w:space="0" w:color="auto"/>
                                            <w:left w:val="none" w:sz="0" w:space="0" w:color="auto"/>
                                            <w:bottom w:val="none" w:sz="0" w:space="0" w:color="auto"/>
                                            <w:right w:val="none" w:sz="0" w:space="0" w:color="auto"/>
                                          </w:divBdr>
                                          <w:divsChild>
                                            <w:div w:id="2039431968">
                                              <w:marLeft w:val="0"/>
                                              <w:marRight w:val="0"/>
                                              <w:marTop w:val="0"/>
                                              <w:marBottom w:val="0"/>
                                              <w:divBdr>
                                                <w:top w:val="none" w:sz="0" w:space="0" w:color="auto"/>
                                                <w:left w:val="none" w:sz="0" w:space="0" w:color="auto"/>
                                                <w:bottom w:val="none" w:sz="0" w:space="0" w:color="auto"/>
                                                <w:right w:val="none" w:sz="0" w:space="0" w:color="auto"/>
                                              </w:divBdr>
                                              <w:divsChild>
                                                <w:div w:id="233318242">
                                                  <w:marLeft w:val="0"/>
                                                  <w:marRight w:val="0"/>
                                                  <w:marTop w:val="0"/>
                                                  <w:marBottom w:val="0"/>
                                                  <w:divBdr>
                                                    <w:top w:val="none" w:sz="0" w:space="0" w:color="auto"/>
                                                    <w:left w:val="none" w:sz="0" w:space="0" w:color="auto"/>
                                                    <w:bottom w:val="none" w:sz="0" w:space="0" w:color="auto"/>
                                                    <w:right w:val="none" w:sz="0" w:space="0" w:color="auto"/>
                                                  </w:divBdr>
                                                  <w:divsChild>
                                                    <w:div w:id="632755689">
                                                      <w:marLeft w:val="0"/>
                                                      <w:marRight w:val="0"/>
                                                      <w:marTop w:val="0"/>
                                                      <w:marBottom w:val="0"/>
                                                      <w:divBdr>
                                                        <w:top w:val="none" w:sz="0" w:space="0" w:color="auto"/>
                                                        <w:left w:val="none" w:sz="0" w:space="0" w:color="auto"/>
                                                        <w:bottom w:val="none" w:sz="0" w:space="0" w:color="auto"/>
                                                        <w:right w:val="none" w:sz="0" w:space="0" w:color="auto"/>
                                                      </w:divBdr>
                                                      <w:divsChild>
                                                        <w:div w:id="230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68259625">
      <w:bodyDiv w:val="1"/>
      <w:marLeft w:val="0"/>
      <w:marRight w:val="0"/>
      <w:marTop w:val="0"/>
      <w:marBottom w:val="0"/>
      <w:divBdr>
        <w:top w:val="none" w:sz="0" w:space="0" w:color="auto"/>
        <w:left w:val="none" w:sz="0" w:space="0" w:color="auto"/>
        <w:bottom w:val="none" w:sz="0" w:space="0" w:color="auto"/>
        <w:right w:val="none" w:sz="0" w:space="0" w:color="auto"/>
      </w:divBdr>
      <w:divsChild>
        <w:div w:id="1157965464">
          <w:marLeft w:val="0"/>
          <w:marRight w:val="0"/>
          <w:marTop w:val="0"/>
          <w:marBottom w:val="0"/>
          <w:divBdr>
            <w:top w:val="none" w:sz="0" w:space="0" w:color="auto"/>
            <w:left w:val="none" w:sz="0" w:space="0" w:color="auto"/>
            <w:bottom w:val="none" w:sz="0" w:space="0" w:color="auto"/>
            <w:right w:val="none" w:sz="0" w:space="0" w:color="auto"/>
          </w:divBdr>
          <w:divsChild>
            <w:div w:id="1206334266">
              <w:marLeft w:val="0"/>
              <w:marRight w:val="0"/>
              <w:marTop w:val="0"/>
              <w:marBottom w:val="0"/>
              <w:divBdr>
                <w:top w:val="none" w:sz="0" w:space="0" w:color="auto"/>
                <w:left w:val="none" w:sz="0" w:space="0" w:color="auto"/>
                <w:bottom w:val="none" w:sz="0" w:space="0" w:color="auto"/>
                <w:right w:val="none" w:sz="0" w:space="0" w:color="auto"/>
              </w:divBdr>
              <w:divsChild>
                <w:div w:id="2129541199">
                  <w:marLeft w:val="0"/>
                  <w:marRight w:val="0"/>
                  <w:marTop w:val="0"/>
                  <w:marBottom w:val="0"/>
                  <w:divBdr>
                    <w:top w:val="none" w:sz="0" w:space="0" w:color="auto"/>
                    <w:left w:val="none" w:sz="0" w:space="0" w:color="auto"/>
                    <w:bottom w:val="none" w:sz="0" w:space="0" w:color="auto"/>
                    <w:right w:val="none" w:sz="0" w:space="0" w:color="auto"/>
                  </w:divBdr>
                  <w:divsChild>
                    <w:div w:id="1722050547">
                      <w:marLeft w:val="0"/>
                      <w:marRight w:val="0"/>
                      <w:marTop w:val="0"/>
                      <w:marBottom w:val="0"/>
                      <w:divBdr>
                        <w:top w:val="none" w:sz="0" w:space="0" w:color="auto"/>
                        <w:left w:val="none" w:sz="0" w:space="0" w:color="auto"/>
                        <w:bottom w:val="none" w:sz="0" w:space="0" w:color="auto"/>
                        <w:right w:val="none" w:sz="0" w:space="0" w:color="auto"/>
                      </w:divBdr>
                      <w:divsChild>
                        <w:div w:id="739518319">
                          <w:marLeft w:val="0"/>
                          <w:marRight w:val="0"/>
                          <w:marTop w:val="0"/>
                          <w:marBottom w:val="0"/>
                          <w:divBdr>
                            <w:top w:val="none" w:sz="0" w:space="0" w:color="auto"/>
                            <w:left w:val="none" w:sz="0" w:space="0" w:color="auto"/>
                            <w:bottom w:val="none" w:sz="0" w:space="0" w:color="auto"/>
                            <w:right w:val="none" w:sz="0" w:space="0" w:color="auto"/>
                          </w:divBdr>
                          <w:divsChild>
                            <w:div w:id="515311798">
                              <w:marLeft w:val="0"/>
                              <w:marRight w:val="0"/>
                              <w:marTop w:val="0"/>
                              <w:marBottom w:val="0"/>
                              <w:divBdr>
                                <w:top w:val="none" w:sz="0" w:space="0" w:color="auto"/>
                                <w:left w:val="none" w:sz="0" w:space="0" w:color="auto"/>
                                <w:bottom w:val="none" w:sz="0" w:space="0" w:color="auto"/>
                                <w:right w:val="none" w:sz="0" w:space="0" w:color="auto"/>
                              </w:divBdr>
                              <w:divsChild>
                                <w:div w:id="699166608">
                                  <w:marLeft w:val="0"/>
                                  <w:marRight w:val="0"/>
                                  <w:marTop w:val="0"/>
                                  <w:marBottom w:val="0"/>
                                  <w:divBdr>
                                    <w:top w:val="none" w:sz="0" w:space="0" w:color="auto"/>
                                    <w:left w:val="none" w:sz="0" w:space="0" w:color="auto"/>
                                    <w:bottom w:val="none" w:sz="0" w:space="0" w:color="auto"/>
                                    <w:right w:val="none" w:sz="0" w:space="0" w:color="auto"/>
                                  </w:divBdr>
                                  <w:divsChild>
                                    <w:div w:id="274096416">
                                      <w:marLeft w:val="0"/>
                                      <w:marRight w:val="0"/>
                                      <w:marTop w:val="0"/>
                                      <w:marBottom w:val="0"/>
                                      <w:divBdr>
                                        <w:top w:val="none" w:sz="0" w:space="0" w:color="auto"/>
                                        <w:left w:val="none" w:sz="0" w:space="0" w:color="auto"/>
                                        <w:bottom w:val="none" w:sz="0" w:space="0" w:color="auto"/>
                                        <w:right w:val="none" w:sz="0" w:space="0" w:color="auto"/>
                                      </w:divBdr>
                                      <w:divsChild>
                                        <w:div w:id="1305815333">
                                          <w:marLeft w:val="0"/>
                                          <w:marRight w:val="0"/>
                                          <w:marTop w:val="0"/>
                                          <w:marBottom w:val="0"/>
                                          <w:divBdr>
                                            <w:top w:val="none" w:sz="0" w:space="0" w:color="auto"/>
                                            <w:left w:val="none" w:sz="0" w:space="0" w:color="auto"/>
                                            <w:bottom w:val="none" w:sz="0" w:space="0" w:color="auto"/>
                                            <w:right w:val="none" w:sz="0" w:space="0" w:color="auto"/>
                                          </w:divBdr>
                                          <w:divsChild>
                                            <w:div w:id="1440682611">
                                              <w:marLeft w:val="0"/>
                                              <w:marRight w:val="0"/>
                                              <w:marTop w:val="0"/>
                                              <w:marBottom w:val="0"/>
                                              <w:divBdr>
                                                <w:top w:val="none" w:sz="0" w:space="0" w:color="auto"/>
                                                <w:left w:val="none" w:sz="0" w:space="0" w:color="auto"/>
                                                <w:bottom w:val="none" w:sz="0" w:space="0" w:color="auto"/>
                                                <w:right w:val="none" w:sz="0" w:space="0" w:color="auto"/>
                                              </w:divBdr>
                                              <w:divsChild>
                                                <w:div w:id="1775402565">
                                                  <w:marLeft w:val="0"/>
                                                  <w:marRight w:val="0"/>
                                                  <w:marTop w:val="0"/>
                                                  <w:marBottom w:val="0"/>
                                                  <w:divBdr>
                                                    <w:top w:val="none" w:sz="0" w:space="0" w:color="auto"/>
                                                    <w:left w:val="none" w:sz="0" w:space="0" w:color="auto"/>
                                                    <w:bottom w:val="none" w:sz="0" w:space="0" w:color="auto"/>
                                                    <w:right w:val="none" w:sz="0" w:space="0" w:color="auto"/>
                                                  </w:divBdr>
                                                  <w:divsChild>
                                                    <w:div w:id="2133548838">
                                                      <w:marLeft w:val="0"/>
                                                      <w:marRight w:val="0"/>
                                                      <w:marTop w:val="0"/>
                                                      <w:marBottom w:val="0"/>
                                                      <w:divBdr>
                                                        <w:top w:val="none" w:sz="0" w:space="0" w:color="auto"/>
                                                        <w:left w:val="none" w:sz="0" w:space="0" w:color="auto"/>
                                                        <w:bottom w:val="none" w:sz="0" w:space="0" w:color="auto"/>
                                                        <w:right w:val="none" w:sz="0" w:space="0" w:color="auto"/>
                                                      </w:divBdr>
                                                      <w:divsChild>
                                                        <w:div w:id="816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0415830">
      <w:bodyDiv w:val="1"/>
      <w:marLeft w:val="0"/>
      <w:marRight w:val="0"/>
      <w:marTop w:val="0"/>
      <w:marBottom w:val="0"/>
      <w:divBdr>
        <w:top w:val="none" w:sz="0" w:space="0" w:color="auto"/>
        <w:left w:val="none" w:sz="0" w:space="0" w:color="auto"/>
        <w:bottom w:val="none" w:sz="0" w:space="0" w:color="auto"/>
        <w:right w:val="none" w:sz="0" w:space="0" w:color="auto"/>
      </w:divBdr>
    </w:div>
    <w:div w:id="592930745">
      <w:bodyDiv w:val="1"/>
      <w:marLeft w:val="0"/>
      <w:marRight w:val="0"/>
      <w:marTop w:val="0"/>
      <w:marBottom w:val="0"/>
      <w:divBdr>
        <w:top w:val="none" w:sz="0" w:space="0" w:color="auto"/>
        <w:left w:val="none" w:sz="0" w:space="0" w:color="auto"/>
        <w:bottom w:val="none" w:sz="0" w:space="0" w:color="auto"/>
        <w:right w:val="none" w:sz="0" w:space="0" w:color="auto"/>
      </w:divBdr>
    </w:div>
    <w:div w:id="602568081">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66025525">
      <w:bodyDiv w:val="1"/>
      <w:marLeft w:val="0"/>
      <w:marRight w:val="0"/>
      <w:marTop w:val="0"/>
      <w:marBottom w:val="0"/>
      <w:divBdr>
        <w:top w:val="none" w:sz="0" w:space="0" w:color="auto"/>
        <w:left w:val="none" w:sz="0" w:space="0" w:color="auto"/>
        <w:bottom w:val="none" w:sz="0" w:space="0" w:color="auto"/>
        <w:right w:val="none" w:sz="0" w:space="0" w:color="auto"/>
      </w:divBdr>
      <w:divsChild>
        <w:div w:id="1893731994">
          <w:marLeft w:val="0"/>
          <w:marRight w:val="0"/>
          <w:marTop w:val="0"/>
          <w:marBottom w:val="0"/>
          <w:divBdr>
            <w:top w:val="none" w:sz="0" w:space="0" w:color="auto"/>
            <w:left w:val="none" w:sz="0" w:space="0" w:color="auto"/>
            <w:bottom w:val="none" w:sz="0" w:space="0" w:color="auto"/>
            <w:right w:val="none" w:sz="0" w:space="0" w:color="auto"/>
          </w:divBdr>
          <w:divsChild>
            <w:div w:id="1890260309">
              <w:marLeft w:val="0"/>
              <w:marRight w:val="0"/>
              <w:marTop w:val="0"/>
              <w:marBottom w:val="0"/>
              <w:divBdr>
                <w:top w:val="none" w:sz="0" w:space="0" w:color="auto"/>
                <w:left w:val="none" w:sz="0" w:space="0" w:color="auto"/>
                <w:bottom w:val="none" w:sz="0" w:space="0" w:color="auto"/>
                <w:right w:val="none" w:sz="0" w:space="0" w:color="auto"/>
              </w:divBdr>
              <w:divsChild>
                <w:div w:id="650867583">
                  <w:marLeft w:val="0"/>
                  <w:marRight w:val="0"/>
                  <w:marTop w:val="0"/>
                  <w:marBottom w:val="0"/>
                  <w:divBdr>
                    <w:top w:val="none" w:sz="0" w:space="0" w:color="auto"/>
                    <w:left w:val="none" w:sz="0" w:space="0" w:color="auto"/>
                    <w:bottom w:val="none" w:sz="0" w:space="0" w:color="auto"/>
                    <w:right w:val="none" w:sz="0" w:space="0" w:color="auto"/>
                  </w:divBdr>
                  <w:divsChild>
                    <w:div w:id="318507597">
                      <w:marLeft w:val="0"/>
                      <w:marRight w:val="0"/>
                      <w:marTop w:val="0"/>
                      <w:marBottom w:val="0"/>
                      <w:divBdr>
                        <w:top w:val="none" w:sz="0" w:space="0" w:color="auto"/>
                        <w:left w:val="none" w:sz="0" w:space="0" w:color="auto"/>
                        <w:bottom w:val="none" w:sz="0" w:space="0" w:color="auto"/>
                        <w:right w:val="none" w:sz="0" w:space="0" w:color="auto"/>
                      </w:divBdr>
                      <w:divsChild>
                        <w:div w:id="1830250370">
                          <w:marLeft w:val="0"/>
                          <w:marRight w:val="0"/>
                          <w:marTop w:val="0"/>
                          <w:marBottom w:val="0"/>
                          <w:divBdr>
                            <w:top w:val="none" w:sz="0" w:space="0" w:color="auto"/>
                            <w:left w:val="none" w:sz="0" w:space="0" w:color="auto"/>
                            <w:bottom w:val="none" w:sz="0" w:space="0" w:color="auto"/>
                            <w:right w:val="none" w:sz="0" w:space="0" w:color="auto"/>
                          </w:divBdr>
                          <w:divsChild>
                            <w:div w:id="915434900">
                              <w:marLeft w:val="0"/>
                              <w:marRight w:val="0"/>
                              <w:marTop w:val="0"/>
                              <w:marBottom w:val="0"/>
                              <w:divBdr>
                                <w:top w:val="none" w:sz="0" w:space="0" w:color="auto"/>
                                <w:left w:val="none" w:sz="0" w:space="0" w:color="auto"/>
                                <w:bottom w:val="none" w:sz="0" w:space="0" w:color="auto"/>
                                <w:right w:val="none" w:sz="0" w:space="0" w:color="auto"/>
                              </w:divBdr>
                              <w:divsChild>
                                <w:div w:id="1624388610">
                                  <w:marLeft w:val="0"/>
                                  <w:marRight w:val="0"/>
                                  <w:marTop w:val="0"/>
                                  <w:marBottom w:val="0"/>
                                  <w:divBdr>
                                    <w:top w:val="none" w:sz="0" w:space="0" w:color="auto"/>
                                    <w:left w:val="none" w:sz="0" w:space="0" w:color="auto"/>
                                    <w:bottom w:val="none" w:sz="0" w:space="0" w:color="auto"/>
                                    <w:right w:val="none" w:sz="0" w:space="0" w:color="auto"/>
                                  </w:divBdr>
                                  <w:divsChild>
                                    <w:div w:id="1884706431">
                                      <w:marLeft w:val="0"/>
                                      <w:marRight w:val="0"/>
                                      <w:marTop w:val="0"/>
                                      <w:marBottom w:val="0"/>
                                      <w:divBdr>
                                        <w:top w:val="none" w:sz="0" w:space="0" w:color="auto"/>
                                        <w:left w:val="none" w:sz="0" w:space="0" w:color="auto"/>
                                        <w:bottom w:val="none" w:sz="0" w:space="0" w:color="auto"/>
                                        <w:right w:val="none" w:sz="0" w:space="0" w:color="auto"/>
                                      </w:divBdr>
                                      <w:divsChild>
                                        <w:div w:id="1434859900">
                                          <w:marLeft w:val="0"/>
                                          <w:marRight w:val="0"/>
                                          <w:marTop w:val="0"/>
                                          <w:marBottom w:val="0"/>
                                          <w:divBdr>
                                            <w:top w:val="none" w:sz="0" w:space="0" w:color="auto"/>
                                            <w:left w:val="none" w:sz="0" w:space="0" w:color="auto"/>
                                            <w:bottom w:val="none" w:sz="0" w:space="0" w:color="auto"/>
                                            <w:right w:val="none" w:sz="0" w:space="0" w:color="auto"/>
                                          </w:divBdr>
                                          <w:divsChild>
                                            <w:div w:id="1426995339">
                                              <w:marLeft w:val="0"/>
                                              <w:marRight w:val="0"/>
                                              <w:marTop w:val="0"/>
                                              <w:marBottom w:val="0"/>
                                              <w:divBdr>
                                                <w:top w:val="none" w:sz="0" w:space="0" w:color="auto"/>
                                                <w:left w:val="none" w:sz="0" w:space="0" w:color="auto"/>
                                                <w:bottom w:val="none" w:sz="0" w:space="0" w:color="auto"/>
                                                <w:right w:val="none" w:sz="0" w:space="0" w:color="auto"/>
                                              </w:divBdr>
                                              <w:divsChild>
                                                <w:div w:id="1365323054">
                                                  <w:marLeft w:val="0"/>
                                                  <w:marRight w:val="0"/>
                                                  <w:marTop w:val="0"/>
                                                  <w:marBottom w:val="0"/>
                                                  <w:divBdr>
                                                    <w:top w:val="none" w:sz="0" w:space="0" w:color="auto"/>
                                                    <w:left w:val="none" w:sz="0" w:space="0" w:color="auto"/>
                                                    <w:bottom w:val="none" w:sz="0" w:space="0" w:color="auto"/>
                                                    <w:right w:val="none" w:sz="0" w:space="0" w:color="auto"/>
                                                  </w:divBdr>
                                                  <w:divsChild>
                                                    <w:div w:id="941494162">
                                                      <w:marLeft w:val="0"/>
                                                      <w:marRight w:val="0"/>
                                                      <w:marTop w:val="0"/>
                                                      <w:marBottom w:val="0"/>
                                                      <w:divBdr>
                                                        <w:top w:val="none" w:sz="0" w:space="0" w:color="auto"/>
                                                        <w:left w:val="none" w:sz="0" w:space="0" w:color="auto"/>
                                                        <w:bottom w:val="none" w:sz="0" w:space="0" w:color="auto"/>
                                                        <w:right w:val="none" w:sz="0" w:space="0" w:color="auto"/>
                                                      </w:divBdr>
                                                      <w:divsChild>
                                                        <w:div w:id="897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530984">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72D8D85-6B48-4482-BDEB-C121850591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D075BE553FA3468BEF58A00A9385C9" ma:contentTypeVersion="" ma:contentTypeDescription="PDMS Document Site Content Type" ma:contentTypeScope="" ma:versionID="769d4a38f1e72177d8ca19b590c75f90">
  <xsd:schema xmlns:xsd="http://www.w3.org/2001/XMLSchema" xmlns:xs="http://www.w3.org/2001/XMLSchema" xmlns:p="http://schemas.microsoft.com/office/2006/metadata/properties" xmlns:ns2="A72D8D85-6B48-4482-BDEB-C1218505910F" targetNamespace="http://schemas.microsoft.com/office/2006/metadata/properties" ma:root="true" ma:fieldsID="a16b40ac3971fc38d1076c40a9796dd8" ns2:_="">
    <xsd:import namespace="A72D8D85-6B48-4482-BDEB-C121850591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D8D85-6B48-4482-BDEB-C121850591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2C832-9A17-4DE8-9EE5-78F12A2A5F2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2D8D85-6B48-4482-BDEB-C1218505910F"/>
    <ds:schemaRef ds:uri="http://www.w3.org/XML/1998/namespace"/>
  </ds:schemaRefs>
</ds:datastoreItem>
</file>

<file path=customXml/itemProps2.xml><?xml version="1.0" encoding="utf-8"?>
<ds:datastoreItem xmlns:ds="http://schemas.openxmlformats.org/officeDocument/2006/customXml" ds:itemID="{29DA4204-ED4C-46CD-921E-AADEE5A31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D8D85-6B48-4482-BDEB-C1218505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4.xml><?xml version="1.0" encoding="utf-8"?>
<ds:datastoreItem xmlns:ds="http://schemas.openxmlformats.org/officeDocument/2006/customXml" ds:itemID="{94927A1B-B128-4ACA-981E-6A18972C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MCGURGAN Danielle</cp:lastModifiedBy>
  <cp:revision>3</cp:revision>
  <cp:lastPrinted>2023-01-17T01:59:00Z</cp:lastPrinted>
  <dcterms:created xsi:type="dcterms:W3CDTF">2023-01-17T23:15:00Z</dcterms:created>
  <dcterms:modified xsi:type="dcterms:W3CDTF">2023-02-08T23:04:00Z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0x010100266966F133664895A6EE3632470D45F50078D075BE553FA3468BEF58A00A9385C9</vt:lpwstr>
  </property>
  <property fmtid="{D5CDD505-2E9C-101B-9397-08002B2CF9AE}" pid="3" name="TrimRevisionNumber">
    <vt:i4>17</vt:i4>
  </property>
  <property fmtid="{D5CDD505-2E9C-101B-9397-08002B2CF9AE}" pid="4" name="trimRootDocClassification">
    <vt:lpwstr/>
  </property>
  <property fmtid="{D5CDD505-2E9C-101B-9397-08002B2CF9AE}" pid="5" name="trimRootDocAssigneeLocation">
    <vt:lpwstr>1375;#Metschke, Bernadette [Person - BMETSCHKE] [internal] [23089]|14c4c4ea-7d5b-42a0-88f0-64aed0c65d50</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uri">
    <vt:lpwstr>2948986</vt:lpwstr>
  </property>
  <property fmtid="{D5CDD505-2E9C-101B-9397-08002B2CF9AE}" pid="12" name="trimRootDocACLCanViewDocument_List">
    <vt:lpwstr/>
  </property>
  <property fmtid="{D5CDD505-2E9C-101B-9397-08002B2CF9AE}" pid="13" name="trimRootDocOwnerLocation">
    <vt:lpwstr>54;#Legal Practice Unit [Organization] [internal] [39804]|3601d318-3562-4026-bcf3-e3d37a91abed</vt:lpwstr>
  </property>
  <property fmtid="{D5CDD505-2E9C-101B-9397-08002B2CF9AE}" pid="14" name="trimRootDocACLCanContributeDocuments_List">
    <vt:lpwstr/>
  </property>
</Properties>
</file>