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B6394" w14:textId="77777777" w:rsidR="00FB640B" w:rsidRPr="008B24C8" w:rsidRDefault="0057002B" w:rsidP="00BB0CF2">
      <w:pPr>
        <w:pStyle w:val="ESTitleHeader"/>
      </w:pPr>
      <w:r w:rsidRPr="008B24C8">
        <w:t>EXPLANATORY STATEMENT</w:t>
      </w:r>
    </w:p>
    <w:p w14:paraId="3B07F577" w14:textId="77777777" w:rsidR="0057002B" w:rsidRPr="008B24C8" w:rsidRDefault="0057002B" w:rsidP="00BB0CF2">
      <w:pPr>
        <w:pStyle w:val="ESTitleDecisionMaker"/>
      </w:pPr>
      <w:r w:rsidRPr="008B24C8">
        <w:t xml:space="preserve">Issued by authority of the </w:t>
      </w:r>
      <w:r w:rsidR="00F93DD9">
        <w:t>Minister for Immigration, Citizenship and Multicultural Affairs</w:t>
      </w:r>
    </w:p>
    <w:p w14:paraId="3B60A1C2" w14:textId="77777777" w:rsidR="0057002B" w:rsidRPr="008B24C8" w:rsidRDefault="00F93DD9" w:rsidP="00BB0CF2">
      <w:pPr>
        <w:pStyle w:val="ESTitleEnablingLegislation"/>
      </w:pPr>
      <w:r>
        <w:t>Migration Regulations 1994</w:t>
      </w:r>
    </w:p>
    <w:p w14:paraId="052A6CEB" w14:textId="77777777" w:rsidR="0057002B" w:rsidRPr="008B24C8" w:rsidRDefault="00F93DD9" w:rsidP="00BB0CF2">
      <w:pPr>
        <w:pStyle w:val="ESTitleInstrumentName"/>
      </w:pPr>
      <w:r>
        <w:t>Migration (Arrangements for Bridging visa applications) Amendment Instrument 2023</w:t>
      </w:r>
    </w:p>
    <w:p w14:paraId="47A113E4" w14:textId="77777777" w:rsidR="0057002B" w:rsidRPr="008B24C8" w:rsidRDefault="0057002B" w:rsidP="002D167E">
      <w:pPr>
        <w:pStyle w:val="ESPara"/>
      </w:pPr>
      <w:r w:rsidRPr="008B24C8">
        <w:t>The inst</w:t>
      </w:r>
      <w:r w:rsidR="00F93DD9">
        <w:t xml:space="preserve">rument, Departmental reference </w:t>
      </w:r>
      <w:r w:rsidRPr="008B24C8">
        <w:t>LIN</w:t>
      </w:r>
      <w:r w:rsidR="00F93DD9">
        <w:t xml:space="preserve"> 23/019, is made under subregulation 2.07(5) of the</w:t>
      </w:r>
      <w:r w:rsidRPr="008B24C8">
        <w:t xml:space="preserve"> </w:t>
      </w:r>
      <w:r w:rsidRPr="008B24C8">
        <w:rPr>
          <w:i/>
        </w:rPr>
        <w:t>Migration Regulations 1994</w:t>
      </w:r>
      <w:r w:rsidR="00F93DD9">
        <w:t xml:space="preserve"> (the Migration Regulations). </w:t>
      </w:r>
    </w:p>
    <w:p w14:paraId="0984E53A" w14:textId="7756EA23" w:rsidR="00EA12C9" w:rsidRPr="008B24C8" w:rsidRDefault="00EA12C9" w:rsidP="00F93DD9">
      <w:pPr>
        <w:pStyle w:val="ESPara"/>
      </w:pPr>
      <w:r w:rsidRPr="008B24C8">
        <w:t xml:space="preserve">The instrument </w:t>
      </w:r>
      <w:r w:rsidR="00F93DD9">
        <w:t xml:space="preserve">amends </w:t>
      </w:r>
      <w:r w:rsidR="00F93DD9">
        <w:rPr>
          <w:rStyle w:val="LDItal"/>
        </w:rPr>
        <w:t>Migration (Arrangements for Bridging visa applications) Instrument (LIN 21/045) 2021</w:t>
      </w:r>
      <w:r w:rsidR="00BD598E" w:rsidRPr="008B24C8">
        <w:t xml:space="preserve"> </w:t>
      </w:r>
      <w:r w:rsidR="00F93DD9">
        <w:t>(</w:t>
      </w:r>
      <w:r w:rsidR="00F93DD9" w:rsidRPr="00F93DD9">
        <w:t>F2022C00774</w:t>
      </w:r>
      <w:r w:rsidR="00F93DD9">
        <w:t xml:space="preserve">) </w:t>
      </w:r>
      <w:r w:rsidR="00B75478">
        <w:t>(</w:t>
      </w:r>
      <w:r w:rsidR="00F93DD9" w:rsidRPr="00F93DD9">
        <w:t>LIN 21/045</w:t>
      </w:r>
      <w:r w:rsidR="00B75478">
        <w:t xml:space="preserve">) </w:t>
      </w:r>
      <w:r w:rsidRPr="008B24C8">
        <w:t xml:space="preserve">in accordance with subsection 33(3) of the </w:t>
      </w:r>
      <w:r w:rsidRPr="008B24C8">
        <w:rPr>
          <w:i/>
        </w:rPr>
        <w:t>Acts Interpretation Act 1901</w:t>
      </w:r>
      <w:r w:rsidR="005B79C2">
        <w:t>.</w:t>
      </w:r>
      <w:r w:rsidRPr="008B24C8">
        <w:t xml:space="preserve"> That subsection provides that </w:t>
      </w:r>
      <w:r w:rsidR="00100DFC">
        <w:t>a power to make a legislative instrument includes a power to amend or repeal that instrument in the same manner, and subject to the same conditions, as the power to make the instrument</w:t>
      </w:r>
      <w:r w:rsidR="00F93DD9">
        <w:t>. This means that subregulation</w:t>
      </w:r>
      <w:r w:rsidR="0048672F">
        <w:t> </w:t>
      </w:r>
      <w:r w:rsidR="00F93DD9">
        <w:t>2.07(5) of the Regulations also includes a power to amend or repeal an instrument made under that provision.</w:t>
      </w:r>
    </w:p>
    <w:p w14:paraId="4A5A9BEA" w14:textId="340D2C31" w:rsidR="00BD598E" w:rsidRPr="008B24C8" w:rsidRDefault="00F93DD9" w:rsidP="002D167E">
      <w:pPr>
        <w:pStyle w:val="ESPara"/>
      </w:pPr>
      <w:r>
        <w:t xml:space="preserve">The instrument commences </w:t>
      </w:r>
      <w:r w:rsidR="00702B79">
        <w:t>on the day after it is registered</w:t>
      </w:r>
      <w:r w:rsidR="00AA4557">
        <w:t>, and i</w:t>
      </w:r>
      <w:r w:rsidR="00BD598E" w:rsidRPr="008B24C8">
        <w:t xml:space="preserve">s a </w:t>
      </w:r>
      <w:r w:rsidR="00AA4557"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>
        <w:rPr>
          <w:i/>
        </w:rPr>
        <w:t>Legislation Act 2003</w:t>
      </w:r>
      <w:r w:rsidR="00100DFC">
        <w:t xml:space="preserve"> (the Legislation Act)</w:t>
      </w:r>
      <w:r w:rsidR="00BD598E" w:rsidRPr="008B24C8">
        <w:t xml:space="preserve">.  </w:t>
      </w:r>
    </w:p>
    <w:p w14:paraId="111C428B" w14:textId="110A4B2F" w:rsidR="00EA12C9" w:rsidRPr="00BB0CF2" w:rsidRDefault="00BD598E" w:rsidP="00100DFC">
      <w:pPr>
        <w:pStyle w:val="ESHeading"/>
        <w:rPr>
          <w:color w:val="FF0000"/>
        </w:rPr>
      </w:pPr>
      <w:r w:rsidRPr="008B24C8">
        <w:t>Purpose</w:t>
      </w:r>
    </w:p>
    <w:p w14:paraId="6E2CEFF2" w14:textId="786515E2" w:rsidR="00A922F0" w:rsidRDefault="00A922F0" w:rsidP="00A922F0">
      <w:pPr>
        <w:pStyle w:val="ESPara"/>
      </w:pPr>
      <w:r>
        <w:t>The instrument operates to specify arrangements for making bridging visa applications. Subregulation 2.07(5) of the Regulations provides that if an item of Schedule</w:t>
      </w:r>
      <w:r w:rsidR="0048672F">
        <w:t> </w:t>
      </w:r>
      <w:r>
        <w:t>1 to the Regulations prescribes criteria or requirements by reference to a legislative instrument made under subregulation</w:t>
      </w:r>
      <w:r w:rsidR="00B32D4B">
        <w:t xml:space="preserve"> 2.07(5)</w:t>
      </w:r>
      <w:r>
        <w:t>, the Minister may, by legislative instrument, specify the following:</w:t>
      </w:r>
    </w:p>
    <w:p w14:paraId="31CA7FE3" w14:textId="09D79F93" w:rsidR="00A922F0" w:rsidRDefault="00A922F0" w:rsidP="00A922F0">
      <w:pPr>
        <w:pStyle w:val="ESParagraph"/>
        <w:numPr>
          <w:ilvl w:val="0"/>
          <w:numId w:val="5"/>
        </w:numPr>
      </w:pPr>
      <w:r>
        <w:t>an approved form for making an application for a visa of a specified class;</w:t>
      </w:r>
    </w:p>
    <w:p w14:paraId="30116F7E" w14:textId="528C65E4" w:rsidR="00A922F0" w:rsidRDefault="00A922F0" w:rsidP="00A922F0">
      <w:pPr>
        <w:pStyle w:val="ESParagraph"/>
        <w:numPr>
          <w:ilvl w:val="0"/>
          <w:numId w:val="5"/>
        </w:numPr>
      </w:pPr>
      <w:r>
        <w:t>the way in which an application for a visa of a specified class must be made;</w:t>
      </w:r>
    </w:p>
    <w:p w14:paraId="6F2DBB6F" w14:textId="7DFE7E7A" w:rsidR="00A922F0" w:rsidRDefault="00A922F0" w:rsidP="00A922F0">
      <w:pPr>
        <w:pStyle w:val="ESParagraph"/>
        <w:numPr>
          <w:ilvl w:val="0"/>
          <w:numId w:val="5"/>
        </w:numPr>
      </w:pPr>
      <w:r>
        <w:t>the place at which an application for a visa of a specified class must be made.</w:t>
      </w:r>
    </w:p>
    <w:p w14:paraId="04A94B40" w14:textId="747ECF65" w:rsidR="00D87718" w:rsidRDefault="00A922F0" w:rsidP="0022535B">
      <w:pPr>
        <w:pStyle w:val="ESPara"/>
      </w:pPr>
      <w:r>
        <w:t>The purpose</w:t>
      </w:r>
      <w:r w:rsidR="00D87718">
        <w:t>s</w:t>
      </w:r>
      <w:r>
        <w:t xml:space="preserve"> of the instrument </w:t>
      </w:r>
      <w:r w:rsidR="00D87718">
        <w:t xml:space="preserve">are </w:t>
      </w:r>
      <w:r>
        <w:t>to</w:t>
      </w:r>
      <w:r w:rsidR="00E654C6">
        <w:t xml:space="preserve"> update LIN 21/045, to</w:t>
      </w:r>
      <w:r w:rsidR="00EF4437">
        <w:t xml:space="preserve"> prescribe</w:t>
      </w:r>
      <w:r w:rsidR="00E654C6">
        <w:t xml:space="preserve"> </w:t>
      </w:r>
      <w:r w:rsidR="00EF4437" w:rsidRPr="00EF4437">
        <w:t>Form</w:t>
      </w:r>
      <w:r w:rsidR="0048672F">
        <w:t> </w:t>
      </w:r>
      <w:r w:rsidR="00EF4437" w:rsidRPr="00EF4437">
        <w:t>1364 (Internet) for online</w:t>
      </w:r>
      <w:r w:rsidR="00EF4437">
        <w:t xml:space="preserve"> application </w:t>
      </w:r>
      <w:r w:rsidR="009E0D80">
        <w:t xml:space="preserve">for </w:t>
      </w:r>
      <w:r w:rsidR="00EF4437">
        <w:t>a Bridging</w:t>
      </w:r>
      <w:r w:rsidR="009E0D80">
        <w:t xml:space="preserve"> A (Class WA)</w:t>
      </w:r>
      <w:r w:rsidR="00EF4437">
        <w:t xml:space="preserve"> visa (BVA</w:t>
      </w:r>
      <w:r w:rsidR="009E0D80">
        <w:t>)</w:t>
      </w:r>
      <w:r w:rsidR="00EF4437">
        <w:t xml:space="preserve">, </w:t>
      </w:r>
      <w:r w:rsidR="009E0D80">
        <w:t xml:space="preserve">a Bridging </w:t>
      </w:r>
      <w:r w:rsidR="00EF4437">
        <w:t>C</w:t>
      </w:r>
      <w:r w:rsidR="009E0D80">
        <w:t xml:space="preserve"> (Class WC) visa (BVC),</w:t>
      </w:r>
      <w:r w:rsidR="00EF4437">
        <w:t xml:space="preserve"> and </w:t>
      </w:r>
      <w:r w:rsidR="009E0D80">
        <w:t xml:space="preserve">a Bridging </w:t>
      </w:r>
      <w:r w:rsidR="00EF4437">
        <w:t>E</w:t>
      </w:r>
      <w:r w:rsidR="009E0D80">
        <w:t xml:space="preserve"> (Class WE) visa (BVE)</w:t>
      </w:r>
      <w:r w:rsidR="00D87718">
        <w:t xml:space="preserve">; and to make amendments consequential to the making of the </w:t>
      </w:r>
      <w:r w:rsidR="00D87718">
        <w:rPr>
          <w:i/>
        </w:rPr>
        <w:t xml:space="preserve">Migration Amendment (Transitioning TPV/SHEV Holders to Resolution of Status Visas) Regulations 2023 </w:t>
      </w:r>
      <w:r w:rsidR="00D87718">
        <w:t>(the Amendment Regulations)</w:t>
      </w:r>
      <w:r w:rsidR="00EF4437">
        <w:t xml:space="preserve">. </w:t>
      </w:r>
    </w:p>
    <w:p w14:paraId="3783EA15" w14:textId="2A2F4F58" w:rsidR="002461ED" w:rsidRDefault="002461ED" w:rsidP="0022535B">
      <w:pPr>
        <w:pStyle w:val="ESPara"/>
      </w:pPr>
      <w:r>
        <w:t xml:space="preserve">Currently, applicants for a </w:t>
      </w:r>
      <w:r w:rsidR="009E0D80">
        <w:t>Subclass 851 (</w:t>
      </w:r>
      <w:r>
        <w:t>Resolution of Status</w:t>
      </w:r>
      <w:r w:rsidR="009E0D80">
        <w:t>)</w:t>
      </w:r>
      <w:r>
        <w:t xml:space="preserve"> visa (RoS) using paper Form</w:t>
      </w:r>
      <w:r w:rsidR="0048672F">
        <w:t> </w:t>
      </w:r>
      <w:r>
        <w:t xml:space="preserve">1364 also make an application for a </w:t>
      </w:r>
      <w:r w:rsidR="009E0D80">
        <w:t>BVA, BVC, and BVE using that form</w:t>
      </w:r>
      <w:r w:rsidR="00EF4437">
        <w:t>. Form</w:t>
      </w:r>
      <w:r w:rsidR="0048672F">
        <w:t> </w:t>
      </w:r>
      <w:r w:rsidR="00EF4437">
        <w:t xml:space="preserve">1364 (Internet) will be included </w:t>
      </w:r>
      <w:r w:rsidR="009E0D80">
        <w:t>as a</w:t>
      </w:r>
      <w:r w:rsidR="00EF4437">
        <w:t xml:space="preserve"> prescribed Internet form to enable online lodgement. </w:t>
      </w:r>
    </w:p>
    <w:p w14:paraId="6229EF83" w14:textId="7403A0DB" w:rsidR="006925ED" w:rsidRDefault="007949C9" w:rsidP="00A922F0">
      <w:pPr>
        <w:pStyle w:val="ESPara"/>
      </w:pPr>
      <w:r>
        <w:t xml:space="preserve">Prescribing </w:t>
      </w:r>
      <w:r w:rsidR="00EF4437" w:rsidRPr="00EF4437">
        <w:t>F</w:t>
      </w:r>
      <w:r w:rsidRPr="00EF4437">
        <w:t>orm</w:t>
      </w:r>
      <w:r w:rsidR="0048672F">
        <w:t> </w:t>
      </w:r>
      <w:r w:rsidRPr="00EF4437">
        <w:t xml:space="preserve">1364 </w:t>
      </w:r>
      <w:r w:rsidR="00EF4437" w:rsidRPr="00EF4437">
        <w:t xml:space="preserve">(Internet) </w:t>
      </w:r>
      <w:r w:rsidRPr="00EF4437">
        <w:t>for online lodgement</w:t>
      </w:r>
      <w:r>
        <w:t xml:space="preserve"> will </w:t>
      </w:r>
      <w:r w:rsidR="00EF4437">
        <w:t>align the paper and internet Form</w:t>
      </w:r>
      <w:r w:rsidR="0048672F">
        <w:t> </w:t>
      </w:r>
      <w:r w:rsidR="00EF4437">
        <w:t xml:space="preserve">1364, </w:t>
      </w:r>
      <w:r>
        <w:t xml:space="preserve">reduce processing delays and </w:t>
      </w:r>
      <w:r w:rsidR="009E0D80">
        <w:t>ensure that RoS applicants are taken to have applied for a BVA, BVC and BVE where appropriate</w:t>
      </w:r>
      <w:r>
        <w:t>.</w:t>
      </w:r>
    </w:p>
    <w:p w14:paraId="07C6EE83" w14:textId="6C015542" w:rsidR="006925ED" w:rsidRDefault="006925ED" w:rsidP="00A922F0">
      <w:pPr>
        <w:pStyle w:val="ESPara"/>
      </w:pPr>
      <w:r>
        <w:t>Howev</w:t>
      </w:r>
      <w:r w:rsidR="001C75C5">
        <w:t>er, if an application for a BVA</w:t>
      </w:r>
      <w:r w:rsidR="006D1779">
        <w:t>,</w:t>
      </w:r>
      <w:r>
        <w:t xml:space="preserve"> BVC</w:t>
      </w:r>
      <w:r w:rsidR="006D1779">
        <w:t xml:space="preserve"> or BVE</w:t>
      </w:r>
      <w:r>
        <w:t xml:space="preserve"> cannot be made in ImmiAccount or the online portal, it may be made using an approved paper form by email to </w:t>
      </w:r>
      <w:hyperlink r:id="rId5" w:history="1">
        <w:r w:rsidRPr="00C470F7">
          <w:rPr>
            <w:rStyle w:val="Hyperlink"/>
          </w:rPr>
          <w:t>bv.abc.lodgement@homeaffairs.gov.au</w:t>
        </w:r>
      </w:hyperlink>
      <w:r>
        <w:t>, if the applicant has received a written notice from the Department authorising the applicant to do so. In which case, the application must attach the written notice to the application and must submit the application within 7 calendar days after the written notice was sent.</w:t>
      </w:r>
    </w:p>
    <w:p w14:paraId="74109EAF" w14:textId="7E91DA0C" w:rsidR="006925ED" w:rsidRDefault="00EF4437" w:rsidP="00A922F0">
      <w:pPr>
        <w:pStyle w:val="ESPara"/>
      </w:pPr>
      <w:r>
        <w:t>This change</w:t>
      </w:r>
      <w:r w:rsidR="006925ED">
        <w:t xml:space="preserve"> only applies to BVA, </w:t>
      </w:r>
      <w:r w:rsidR="006D1779">
        <w:t xml:space="preserve">BVC </w:t>
      </w:r>
      <w:r w:rsidR="006925ED">
        <w:t xml:space="preserve">or </w:t>
      </w:r>
      <w:r w:rsidR="006D1779">
        <w:t xml:space="preserve">BVE </w:t>
      </w:r>
      <w:r w:rsidR="006925ED">
        <w:t xml:space="preserve">visa applications. It does not affect the current lodgement options for </w:t>
      </w:r>
      <w:r w:rsidR="006D1779">
        <w:t xml:space="preserve">Bridging B (Class WB) visa, </w:t>
      </w:r>
      <w:r w:rsidR="006925ED">
        <w:t xml:space="preserve">Bridging D (Class WD) </w:t>
      </w:r>
      <w:r w:rsidR="006D1779">
        <w:t>visa</w:t>
      </w:r>
      <w:r w:rsidR="006925ED">
        <w:t>, , or Bridging F (Class WF) visa applicants.</w:t>
      </w:r>
    </w:p>
    <w:p w14:paraId="6A3AB9F9" w14:textId="7EA0AFDE" w:rsidR="00EF4437" w:rsidRDefault="00D87718" w:rsidP="00A922F0">
      <w:pPr>
        <w:pStyle w:val="ESPara"/>
      </w:pPr>
      <w:r>
        <w:t>Following amendments to the Regulations made by the Amending Regulations</w:t>
      </w:r>
      <w:r w:rsidR="00CB1729">
        <w:t xml:space="preserve">, </w:t>
      </w:r>
      <w:r>
        <w:t xml:space="preserve">certain persons who hold a Subclass 785 (Temporary Protection) visa (TPV) or a Subclass 790 (Safe Haven Enterprise) visa (SHEV) will be able to make a valid application for a RoS. A TPV or a SHEV </w:t>
      </w:r>
      <w:r w:rsidR="00CB1729">
        <w:t>held by</w:t>
      </w:r>
      <w:r>
        <w:t xml:space="preserve"> a member of</w:t>
      </w:r>
      <w:r w:rsidR="00CB1729">
        <w:t xml:space="preserve"> the</w:t>
      </w:r>
      <w:r w:rsidR="00D56FA6">
        <w:t xml:space="preserve"> </w:t>
      </w:r>
      <w:r w:rsidR="00CB1729">
        <w:t xml:space="preserve">affected </w:t>
      </w:r>
      <w:r w:rsidR="00D56FA6">
        <w:t>cohort will not expire upon lodgement of a RoS application</w:t>
      </w:r>
      <w:r>
        <w:t xml:space="preserve">, but </w:t>
      </w:r>
      <w:r w:rsidR="00D56FA6">
        <w:t>will</w:t>
      </w:r>
      <w:r>
        <w:t xml:space="preserve"> instead</w:t>
      </w:r>
      <w:r w:rsidR="00D56FA6">
        <w:t xml:space="preserve"> remain in effect until the RoS application is decided. As a BV is not required for this cohort of applicants</w:t>
      </w:r>
      <w:r>
        <w:t xml:space="preserve"> to maintain their status as lawful non-citizens</w:t>
      </w:r>
      <w:r w:rsidR="00D56FA6">
        <w:t>, they will be excluded from the instrument. Therefore, Form</w:t>
      </w:r>
      <w:r w:rsidR="0048672F">
        <w:t> </w:t>
      </w:r>
      <w:r w:rsidR="00D56FA6">
        <w:t>1364 and Form</w:t>
      </w:r>
      <w:r w:rsidR="0048672F">
        <w:t> </w:t>
      </w:r>
      <w:r w:rsidR="00D56FA6">
        <w:t xml:space="preserve">1364 (Internet) will not be taken to be an application for a BVA, BVC, or BVE for </w:t>
      </w:r>
      <w:r>
        <w:t>a person who holds either a TPV or a SHEV</w:t>
      </w:r>
      <w:r w:rsidR="00D56FA6">
        <w:t>.</w:t>
      </w:r>
    </w:p>
    <w:p w14:paraId="4BB0323A" w14:textId="77777777" w:rsidR="008B24C8" w:rsidRDefault="008B24C8" w:rsidP="00100DFC">
      <w:pPr>
        <w:pStyle w:val="ESHeading"/>
      </w:pPr>
      <w:r w:rsidRPr="008B24C8">
        <w:t>Consultation</w:t>
      </w:r>
    </w:p>
    <w:p w14:paraId="747E034A" w14:textId="18986BE4" w:rsidR="005A3733" w:rsidRDefault="005A3733" w:rsidP="005A3733">
      <w:pPr>
        <w:pStyle w:val="ESPara"/>
      </w:pPr>
      <w:r>
        <w:t>No consultation was done for thi</w:t>
      </w:r>
      <w:r w:rsidR="00A8765A">
        <w:t>s instrument. This is because it concerns matters of an administrative nature.</w:t>
      </w:r>
    </w:p>
    <w:p w14:paraId="2A6FCC84" w14:textId="5BD760E2" w:rsidR="003A42F7" w:rsidRDefault="003A42F7" w:rsidP="003A42F7">
      <w:pPr>
        <w:pStyle w:val="ESPara"/>
      </w:pPr>
      <w:r>
        <w:t xml:space="preserve">The Office of Impact Analysis (OIA) was consulted and considered that the instrument dealt with matters of a minor or machinery nature and no impact analysis was required. The OIA reference number is </w:t>
      </w:r>
      <w:r w:rsidRPr="003A42F7">
        <w:t>OBPR22-02182</w:t>
      </w:r>
      <w:r>
        <w:t xml:space="preserve">. </w:t>
      </w:r>
      <w:bookmarkStart w:id="0" w:name="_GoBack"/>
      <w:bookmarkEnd w:id="0"/>
    </w:p>
    <w:p w14:paraId="3F4597A3" w14:textId="77777777" w:rsidR="00AA4557" w:rsidRDefault="00464080" w:rsidP="00100DFC">
      <w:pPr>
        <w:pStyle w:val="ESHeading"/>
      </w:pPr>
      <w:r>
        <w:t>Details</w:t>
      </w:r>
      <w:r w:rsidR="00AA4557">
        <w:t xml:space="preserve"> of the instrument</w:t>
      </w:r>
    </w:p>
    <w:p w14:paraId="6BD7262C" w14:textId="77777777" w:rsidR="00AA4557" w:rsidRDefault="00AA4557" w:rsidP="002D167E">
      <w:pPr>
        <w:pStyle w:val="ESPara"/>
      </w:pPr>
      <w:r>
        <w:t>Section 1 sets out</w:t>
      </w:r>
      <w:r w:rsidR="00E03DCC">
        <w:t xml:space="preserve"> the name of the instrument. </w:t>
      </w:r>
    </w:p>
    <w:p w14:paraId="37E05DA5" w14:textId="4148AD30" w:rsidR="00AA4557" w:rsidRDefault="00AA4557" w:rsidP="002D167E">
      <w:pPr>
        <w:pStyle w:val="ESPara"/>
      </w:pPr>
      <w:r>
        <w:t xml:space="preserve">Section 2 provides for the commencement of the instrument on </w:t>
      </w:r>
      <w:r w:rsidR="00702B79">
        <w:t>the day after it is registered</w:t>
      </w:r>
      <w:r>
        <w:t>.</w:t>
      </w:r>
    </w:p>
    <w:p w14:paraId="35755FEE" w14:textId="77777777" w:rsidR="00AA4F77" w:rsidRDefault="00AA4F77" w:rsidP="00AA4F77">
      <w:pPr>
        <w:pStyle w:val="ESPara"/>
      </w:pPr>
      <w:r>
        <w:t xml:space="preserve">Section 3 </w:t>
      </w:r>
      <w:r w:rsidR="0053025D">
        <w:t>provides that LIN 21/045 (</w:t>
      </w:r>
      <w:r w:rsidR="0053025D" w:rsidRPr="00F93DD9">
        <w:t>F2022C00774</w:t>
      </w:r>
      <w:r w:rsidR="0053025D">
        <w:t>) is amended as set out in Schedule 1 to the instrument</w:t>
      </w:r>
      <w:r>
        <w:t xml:space="preserve">. </w:t>
      </w:r>
    </w:p>
    <w:p w14:paraId="72EDF0E5" w14:textId="4D4F07F6" w:rsidR="0053025D" w:rsidRDefault="0053025D" w:rsidP="00AA4F77">
      <w:pPr>
        <w:pStyle w:val="ESPara"/>
      </w:pPr>
      <w:r>
        <w:t xml:space="preserve">Item 1 of Schedule 1 to the instrument </w:t>
      </w:r>
      <w:r w:rsidR="00D8550B">
        <w:t>amends</w:t>
      </w:r>
      <w:r>
        <w:t xml:space="preserve"> section </w:t>
      </w:r>
      <w:r w:rsidR="00D87718">
        <w:t xml:space="preserve">4 </w:t>
      </w:r>
      <w:r w:rsidR="00D8550B">
        <w:t>of LIN 21/045. It inserts a new subsection</w:t>
      </w:r>
      <w:r w:rsidR="00D87718">
        <w:t xml:space="preserve"> 4(5)</w:t>
      </w:r>
      <w:r w:rsidR="00D8550B">
        <w:t xml:space="preserve"> to exclude</w:t>
      </w:r>
      <w:r w:rsidR="009000B9">
        <w:t xml:space="preserve"> potential applicants holding a </w:t>
      </w:r>
      <w:r w:rsidR="00D87718">
        <w:t>TPV</w:t>
      </w:r>
      <w:r w:rsidR="009000B9">
        <w:t xml:space="preserve"> or </w:t>
      </w:r>
      <w:r w:rsidR="00D87718">
        <w:t>SHEV</w:t>
      </w:r>
      <w:r w:rsidR="003648FD">
        <w:t xml:space="preserve"> from using </w:t>
      </w:r>
      <w:r w:rsidR="0048672F">
        <w:t>F</w:t>
      </w:r>
      <w:r w:rsidR="003648FD">
        <w:t>orm</w:t>
      </w:r>
      <w:r w:rsidR="0048672F">
        <w:t> </w:t>
      </w:r>
      <w:r w:rsidR="003648FD">
        <w:t xml:space="preserve">1364 and </w:t>
      </w:r>
      <w:r w:rsidR="0048672F">
        <w:t>F</w:t>
      </w:r>
      <w:r w:rsidR="003648FD">
        <w:t>orm</w:t>
      </w:r>
      <w:r w:rsidR="0048672F">
        <w:t> </w:t>
      </w:r>
      <w:r w:rsidR="003648FD">
        <w:t xml:space="preserve">1364 (Internet) to apply for </w:t>
      </w:r>
      <w:r w:rsidR="00D87718">
        <w:t>a BVA, BVC or BVE</w:t>
      </w:r>
      <w:r w:rsidR="003648FD">
        <w:t>.</w:t>
      </w:r>
    </w:p>
    <w:p w14:paraId="50DFBB59" w14:textId="2AB6AB38" w:rsidR="00AA4F77" w:rsidRDefault="00D8550B" w:rsidP="00AA4F77">
      <w:pPr>
        <w:pStyle w:val="ESPara"/>
      </w:pPr>
      <w:r>
        <w:t>Item 1 of Schedule 1 to the instrument amends the table in Schedule</w:t>
      </w:r>
      <w:r w:rsidR="0048672F">
        <w:t> </w:t>
      </w:r>
      <w:r>
        <w:t xml:space="preserve">1 to LIN 21/045, to provide </w:t>
      </w:r>
      <w:r w:rsidR="005F0273">
        <w:t xml:space="preserve">that Internet </w:t>
      </w:r>
      <w:r w:rsidR="0048672F">
        <w:t>F</w:t>
      </w:r>
      <w:r w:rsidR="005F0273">
        <w:t>orm</w:t>
      </w:r>
      <w:r w:rsidR="0048672F">
        <w:t> </w:t>
      </w:r>
      <w:r w:rsidR="005F0273">
        <w:t>1364 (Internet)</w:t>
      </w:r>
      <w:r>
        <w:t xml:space="preserve"> </w:t>
      </w:r>
      <w:r w:rsidR="005F0273">
        <w:t xml:space="preserve">is </w:t>
      </w:r>
      <w:r w:rsidR="008B6F34">
        <w:t>an</w:t>
      </w:r>
      <w:r w:rsidR="005F0273">
        <w:t xml:space="preserve"> approved form</w:t>
      </w:r>
      <w:r>
        <w:t xml:space="preserve"> for </w:t>
      </w:r>
      <w:r w:rsidRPr="005F0273">
        <w:t>BVA</w:t>
      </w:r>
      <w:r>
        <w:t xml:space="preserve">, </w:t>
      </w:r>
      <w:r w:rsidRPr="005F0273">
        <w:t>BV</w:t>
      </w:r>
      <w:r w:rsidR="005F0273" w:rsidRPr="005F0273">
        <w:t>C</w:t>
      </w:r>
      <w:r>
        <w:t xml:space="preserve"> or </w:t>
      </w:r>
      <w:r w:rsidRPr="005F0273">
        <w:t>BV</w:t>
      </w:r>
      <w:r w:rsidR="005F0273" w:rsidRPr="005F0273">
        <w:t>E</w:t>
      </w:r>
      <w:r>
        <w:t xml:space="preserve"> visa applications.</w:t>
      </w:r>
      <w:r w:rsidR="00AA4F77">
        <w:t xml:space="preserve"> </w:t>
      </w:r>
    </w:p>
    <w:p w14:paraId="32231E46" w14:textId="77777777" w:rsidR="00AA4557" w:rsidRPr="00AA4557" w:rsidRDefault="00AA4557" w:rsidP="00100DFC">
      <w:pPr>
        <w:pStyle w:val="ESHeading"/>
      </w:pPr>
      <w:r>
        <w:t xml:space="preserve">Parliamentary scrutiny etc.  </w:t>
      </w:r>
    </w:p>
    <w:p w14:paraId="084D2E36" w14:textId="42503B62" w:rsidR="00E03DCC" w:rsidRDefault="00E03DCC" w:rsidP="002D167E">
      <w:pPr>
        <w:pStyle w:val="ESPara"/>
      </w:pPr>
      <w:r>
        <w:t>The instrument is exempt from disallowance under section 42 of the Leg</w:t>
      </w:r>
      <w:r w:rsidR="00441148">
        <w:t>islation A</w:t>
      </w:r>
      <w:r w:rsidR="0048672F">
        <w:t xml:space="preserve">ct. </w:t>
      </w:r>
      <w:r w:rsidR="00441148">
        <w:t>This is because it is an instrument made under subregulation</w:t>
      </w:r>
      <w:r w:rsidR="0048672F">
        <w:t> </w:t>
      </w:r>
      <w:r w:rsidR="00441148">
        <w:t xml:space="preserve">2.07(5) of the Regulations, which is exempt from disallowance under paragraph (b) of item 20 in section 10 </w:t>
      </w:r>
      <w:r>
        <w:t xml:space="preserve">of the </w:t>
      </w:r>
      <w:r>
        <w:rPr>
          <w:i/>
        </w:rPr>
        <w:t>Legislation (Exemptions and Other Matters) Regulation 2015</w:t>
      </w:r>
      <w:r w:rsidR="00441148">
        <w:t>.</w:t>
      </w:r>
      <w:r>
        <w:t xml:space="preserve"> </w:t>
      </w:r>
    </w:p>
    <w:p w14:paraId="5AE77506" w14:textId="52776856" w:rsidR="00B75478" w:rsidRDefault="00B75478" w:rsidP="002D167E">
      <w:pPr>
        <w:pStyle w:val="ESPara"/>
      </w:pPr>
      <w:r w:rsidRPr="00B75478">
        <w:lastRenderedPageBreak/>
        <w:t xml:space="preserve">The </w:t>
      </w:r>
      <w:r w:rsidR="00441148">
        <w:t>instrument was made by a delegate of the Minister, in accordance with subregulation</w:t>
      </w:r>
      <w:r w:rsidR="0048672F">
        <w:t> </w:t>
      </w:r>
      <w:r w:rsidR="00441148">
        <w:t>2.07(5) of the Regulations.</w:t>
      </w:r>
    </w:p>
    <w:p w14:paraId="7C815D30" w14:textId="77777777" w:rsidR="00915032" w:rsidRPr="00915032" w:rsidRDefault="00915032" w:rsidP="00100DFC">
      <w:pPr>
        <w:pStyle w:val="ESAttNormal"/>
        <w:rPr>
          <w:b/>
        </w:rPr>
      </w:pPr>
    </w:p>
    <w:sectPr w:rsidR="00915032" w:rsidRPr="00915032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C655A"/>
    <w:multiLevelType w:val="hybridMultilevel"/>
    <w:tmpl w:val="6CBCD608"/>
    <w:lvl w:ilvl="0" w:tplc="B0E82F2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D9"/>
    <w:rsid w:val="000D014F"/>
    <w:rsid w:val="00100DFC"/>
    <w:rsid w:val="0019164E"/>
    <w:rsid w:val="001C75C5"/>
    <w:rsid w:val="002402E0"/>
    <w:rsid w:val="002461ED"/>
    <w:rsid w:val="002D167E"/>
    <w:rsid w:val="003648FD"/>
    <w:rsid w:val="003A42F7"/>
    <w:rsid w:val="003A6CDA"/>
    <w:rsid w:val="00441148"/>
    <w:rsid w:val="00457D4A"/>
    <w:rsid w:val="00464080"/>
    <w:rsid w:val="0048672F"/>
    <w:rsid w:val="004F5CE4"/>
    <w:rsid w:val="0053025D"/>
    <w:rsid w:val="00560B24"/>
    <w:rsid w:val="0057002B"/>
    <w:rsid w:val="005A3733"/>
    <w:rsid w:val="005B79C2"/>
    <w:rsid w:val="005F0273"/>
    <w:rsid w:val="005F6193"/>
    <w:rsid w:val="00604E06"/>
    <w:rsid w:val="006925ED"/>
    <w:rsid w:val="006D1779"/>
    <w:rsid w:val="00702B79"/>
    <w:rsid w:val="007949C9"/>
    <w:rsid w:val="007E4691"/>
    <w:rsid w:val="0088407D"/>
    <w:rsid w:val="008B24C8"/>
    <w:rsid w:val="008B6F34"/>
    <w:rsid w:val="009000B9"/>
    <w:rsid w:val="00915032"/>
    <w:rsid w:val="00965635"/>
    <w:rsid w:val="009E0D80"/>
    <w:rsid w:val="00A36730"/>
    <w:rsid w:val="00A8765A"/>
    <w:rsid w:val="00A922F0"/>
    <w:rsid w:val="00AA4557"/>
    <w:rsid w:val="00AA4F77"/>
    <w:rsid w:val="00B32D4B"/>
    <w:rsid w:val="00B445D9"/>
    <w:rsid w:val="00B65A06"/>
    <w:rsid w:val="00B75478"/>
    <w:rsid w:val="00BB0CF2"/>
    <w:rsid w:val="00BD598E"/>
    <w:rsid w:val="00BE3E7F"/>
    <w:rsid w:val="00C81A5E"/>
    <w:rsid w:val="00C930F2"/>
    <w:rsid w:val="00CB1729"/>
    <w:rsid w:val="00D40E1E"/>
    <w:rsid w:val="00D56FA6"/>
    <w:rsid w:val="00D8550B"/>
    <w:rsid w:val="00D87718"/>
    <w:rsid w:val="00DF71DB"/>
    <w:rsid w:val="00E03DCC"/>
    <w:rsid w:val="00E45FE2"/>
    <w:rsid w:val="00E654C6"/>
    <w:rsid w:val="00EA12C9"/>
    <w:rsid w:val="00EF4437"/>
    <w:rsid w:val="00F93DD9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1269"/>
  <w15:chartTrackingRefBased/>
  <w15:docId w15:val="{46597F86-B9EA-47EA-A3C0-EBAD1040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D9"/>
    <w:rPr>
      <w:rFonts w:ascii="Segoe UI" w:hAnsi="Segoe UI" w:cs="Segoe UI"/>
      <w:sz w:val="18"/>
      <w:szCs w:val="18"/>
    </w:rPr>
  </w:style>
  <w:style w:type="character" w:customStyle="1" w:styleId="LDItal">
    <w:name w:val="LDItal"/>
    <w:basedOn w:val="DefaultParagraphFont"/>
    <w:uiPriority w:val="1"/>
    <w:rsid w:val="00F93DD9"/>
    <w:rPr>
      <w:i/>
    </w:rPr>
  </w:style>
  <w:style w:type="character" w:styleId="Hyperlink">
    <w:name w:val="Hyperlink"/>
    <w:basedOn w:val="DefaultParagraphFont"/>
    <w:uiPriority w:val="99"/>
    <w:unhideWhenUsed/>
    <w:rsid w:val="006925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v.abc.lodgement@homeaffairs.gov.a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87LV\AppData\Local\Microsoft\Windows\INetCache\Content.Outlook\QTTVQPI5\ES%20template%202112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 template 211208</Template>
  <TotalTime>1</TotalTime>
  <Pages>3</Pages>
  <Words>831</Words>
  <Characters>4742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Benjamin</dc:creator>
  <cp:keywords/>
  <dc:description/>
  <cp:lastModifiedBy>Iliya BOULOS</cp:lastModifiedBy>
  <cp:revision>2</cp:revision>
  <dcterms:created xsi:type="dcterms:W3CDTF">2023-02-11T00:30:00Z</dcterms:created>
  <dcterms:modified xsi:type="dcterms:W3CDTF">2023-02-11T00:30:00Z</dcterms:modified>
</cp:coreProperties>
</file>