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17CC6" w:rsidRDefault="00A774B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69E15E" wp14:editId="2FF78BF2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A2B" w:rsidRPr="000A3524" w:rsidRDefault="007D5A2B" w:rsidP="007D5A2B">
      <w:pPr>
        <w:pStyle w:val="LDTitle"/>
      </w:pPr>
      <w:bookmarkStart w:id="0" w:name="LIN"/>
      <w:r>
        <w:t>LIN 2</w:t>
      </w:r>
      <w:r w:rsidR="00B37C35">
        <w:t>3</w:t>
      </w:r>
      <w:r>
        <w:t>/0</w:t>
      </w:r>
      <w:r w:rsidR="00B37C35">
        <w:t>06</w:t>
      </w:r>
      <w:bookmarkEnd w:id="0"/>
    </w:p>
    <w:p w:rsidR="007D5A2B" w:rsidRPr="00E171A2" w:rsidRDefault="007D5A2B" w:rsidP="007D5A2B">
      <w:pPr>
        <w:pStyle w:val="LDDescription"/>
      </w:pPr>
      <w:bookmarkStart w:id="1" w:name="Title"/>
      <w:r w:rsidRPr="00E9655A">
        <w:t>Securi</w:t>
      </w:r>
      <w:r>
        <w:t>ty of Critical Infrastructure (Critical infrastructure risk management p</w:t>
      </w:r>
      <w:r w:rsidRPr="00E9655A">
        <w:t xml:space="preserve">rogram) </w:t>
      </w:r>
      <w:r>
        <w:t>Rules (LIN 2</w:t>
      </w:r>
      <w:r w:rsidR="00B37C35">
        <w:t>3</w:t>
      </w:r>
      <w:r>
        <w:t>/0</w:t>
      </w:r>
      <w:r w:rsidR="00B37C35">
        <w:t>06</w:t>
      </w:r>
      <w:r>
        <w:t>) 202</w:t>
      </w:r>
      <w:r w:rsidR="00B37C35">
        <w:t>3</w:t>
      </w:r>
      <w:bookmarkEnd w:id="1"/>
    </w:p>
    <w:p w:rsidR="007D5A2B" w:rsidRDefault="007D5A2B" w:rsidP="007D5A2B">
      <w:pPr>
        <w:pStyle w:val="LDBodytext"/>
      </w:pPr>
      <w:r w:rsidRPr="00851663">
        <w:t xml:space="preserve">I, </w:t>
      </w:r>
      <w:r w:rsidR="008D13EF" w:rsidRPr="00851663">
        <w:rPr>
          <w:szCs w:val="22"/>
        </w:rPr>
        <w:t>Clare O’Neil</w:t>
      </w:r>
      <w:r w:rsidRPr="00851663">
        <w:rPr>
          <w:szCs w:val="22"/>
        </w:rPr>
        <w:t>, Minister for Home Affairs</w:t>
      </w:r>
      <w:r w:rsidRPr="00851663">
        <w:t xml:space="preserve">, make this instrument under section 61 of the </w:t>
      </w:r>
      <w:r w:rsidRPr="00851663">
        <w:rPr>
          <w:i/>
        </w:rPr>
        <w:t>Security of Critical Infrastructure Act 2018</w:t>
      </w:r>
      <w:r w:rsidRPr="00851663">
        <w:t xml:space="preserve"> (the </w:t>
      </w:r>
      <w:r w:rsidRPr="00851663">
        <w:rPr>
          <w:rStyle w:val="LDBoldItal"/>
        </w:rPr>
        <w:t>Act</w:t>
      </w:r>
      <w:r w:rsidRPr="00851663">
        <w:t>)</w:t>
      </w:r>
      <w:r w:rsidRPr="00851663">
        <w:rPr>
          <w:i/>
        </w:rPr>
        <w:t>.</w:t>
      </w:r>
    </w:p>
    <w:p w:rsidR="007D5A2B" w:rsidRPr="00F17CC6" w:rsidRDefault="007D5A2B" w:rsidP="007D5A2B">
      <w:pPr>
        <w:pStyle w:val="LDDate"/>
        <w:rPr>
          <w:szCs w:val="22"/>
        </w:rPr>
      </w:pPr>
      <w:r w:rsidRPr="000B14AD">
        <w:t>Dated</w:t>
      </w:r>
      <w:r w:rsidR="00F112AC">
        <w:rPr>
          <w:szCs w:val="22"/>
        </w:rPr>
        <w:t xml:space="preserve"> 31 January </w:t>
      </w:r>
      <w:r>
        <w:rPr>
          <w:szCs w:val="22"/>
        </w:rPr>
        <w:t>202</w:t>
      </w:r>
      <w:r w:rsidR="00B37C35">
        <w:rPr>
          <w:szCs w:val="22"/>
        </w:rPr>
        <w:t>3</w:t>
      </w:r>
    </w:p>
    <w:p w:rsidR="007D5A2B" w:rsidRPr="000E7118" w:rsidRDefault="00F112AC" w:rsidP="007D5A2B">
      <w:pPr>
        <w:pStyle w:val="LDSign"/>
      </w:pPr>
      <w:r>
        <w:t>Clare O’Neil</w:t>
      </w:r>
      <w:bookmarkStart w:id="2" w:name="_GoBack"/>
      <w:bookmarkEnd w:id="2"/>
    </w:p>
    <w:p w:rsidR="00554826" w:rsidRPr="00F17CC6" w:rsidRDefault="007D5A2B" w:rsidP="00365E41">
      <w:pPr>
        <w:pStyle w:val="LDBodytext"/>
      </w:pPr>
      <w:r>
        <w:rPr>
          <w:szCs w:val="22"/>
        </w:rPr>
        <w:t>Minister for Home Affairs</w:t>
      </w:r>
    </w:p>
    <w:p w:rsidR="00F6696E" w:rsidRDefault="00F6696E" w:rsidP="006534D1">
      <w:pPr>
        <w:pStyle w:val="LDLine"/>
      </w:pPr>
    </w:p>
    <w:p w:rsidR="006534D1" w:rsidRPr="00F17CC6" w:rsidRDefault="006534D1" w:rsidP="006534D1">
      <w:pPr>
        <w:pStyle w:val="LDLine"/>
        <w:sectPr w:rsidR="006534D1" w:rsidRPr="00F17CC6" w:rsidSect="00AB474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2259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:rsidR="00CF0F68" w:rsidRDefault="00CF0F68" w:rsidP="00CF0F68">
      <w:pPr>
        <w:pStyle w:val="LDPartHead"/>
      </w:pPr>
      <w:bookmarkStart w:id="3" w:name="_Toc23422564"/>
      <w:bookmarkStart w:id="4" w:name="_Toc94781082"/>
      <w:bookmarkStart w:id="5" w:name="_Toc120879057"/>
      <w:bookmarkStart w:id="6" w:name="_Toc454512513"/>
      <w:bookmarkStart w:id="7" w:name="_Toc454512517"/>
      <w:r w:rsidRPr="00820EB4">
        <w:lastRenderedPageBreak/>
        <w:t xml:space="preserve">Part </w:t>
      </w:r>
      <w:bookmarkStart w:id="8" w:name="PtPrelim"/>
      <w:r w:rsidR="00FC6E9F">
        <w:rPr>
          <w:noProof/>
        </w:rPr>
        <w:t>1</w:t>
      </w:r>
      <w:bookmarkEnd w:id="8"/>
      <w:r w:rsidRPr="00820EB4">
        <w:tab/>
      </w:r>
      <w:bookmarkEnd w:id="3"/>
      <w:r w:rsidR="001B63C2">
        <w:t>Preliminary</w:t>
      </w:r>
      <w:bookmarkEnd w:id="4"/>
      <w:bookmarkEnd w:id="5"/>
    </w:p>
    <w:bookmarkStart w:id="9" w:name="_Toc94781083"/>
    <w:p w:rsidR="003B3646" w:rsidRDefault="00424DDF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120879058"/>
      <w:r w:rsidR="00EF61EA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6"/>
      <w:bookmarkEnd w:id="9"/>
      <w:bookmarkEnd w:id="10"/>
    </w:p>
    <w:p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FC6E9F" w:rsidRPr="00FC6E9F">
        <w:rPr>
          <w:rStyle w:val="LDItal"/>
        </w:rPr>
        <w:t>Security of Critical Infrastructure (Critical infrastructure risk management program) Rules (LIN 2</w:t>
      </w:r>
      <w:r w:rsidR="00B37C35">
        <w:rPr>
          <w:rStyle w:val="LDItal"/>
        </w:rPr>
        <w:t>3</w:t>
      </w:r>
      <w:r w:rsidR="00FC6E9F" w:rsidRPr="00FC6E9F">
        <w:rPr>
          <w:rStyle w:val="LDItal"/>
        </w:rPr>
        <w:t>/0</w:t>
      </w:r>
      <w:r w:rsidR="00B37C35">
        <w:rPr>
          <w:rStyle w:val="LDItal"/>
        </w:rPr>
        <w:t>06</w:t>
      </w:r>
      <w:r w:rsidR="00FC6E9F" w:rsidRPr="00FC6E9F">
        <w:rPr>
          <w:rStyle w:val="LDItal"/>
        </w:rPr>
        <w:t>)</w:t>
      </w:r>
      <w:r w:rsidR="00FC6E9F">
        <w:t> </w:t>
      </w:r>
      <w:r w:rsidR="00FC6E9F" w:rsidRPr="00A2403F">
        <w:rPr>
          <w:i/>
        </w:rPr>
        <w:t>202</w:t>
      </w:r>
      <w:r w:rsidR="00B37C35">
        <w:rPr>
          <w:i/>
        </w:rPr>
        <w:t>3</w:t>
      </w:r>
      <w:r>
        <w:t>.</w:t>
      </w:r>
    </w:p>
    <w:bookmarkStart w:id="11" w:name="_Toc454512514"/>
    <w:bookmarkStart w:id="12" w:name="_Toc94781084"/>
    <w:p w:rsidR="003B3646" w:rsidRPr="007E11B9" w:rsidRDefault="00424DDF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3" w:name="_Toc120879059"/>
      <w:r w:rsidR="00EF61EA">
        <w:rPr>
          <w:noProof/>
        </w:rPr>
        <w:t>2</w:t>
      </w:r>
      <w:r>
        <w:rPr>
          <w:noProof/>
        </w:rPr>
        <w:fldChar w:fldCharType="end"/>
      </w:r>
      <w:r w:rsidR="000B14AD">
        <w:tab/>
      </w:r>
      <w:r w:rsidR="003B3646" w:rsidRPr="00F17CC6">
        <w:t>Commencement</w:t>
      </w:r>
      <w:bookmarkEnd w:id="11"/>
      <w:bookmarkEnd w:id="12"/>
      <w:bookmarkEnd w:id="13"/>
    </w:p>
    <w:p w:rsidR="00E17CA5" w:rsidRDefault="000B14AD" w:rsidP="000B14AD">
      <w:pPr>
        <w:pStyle w:val="LDSec1"/>
      </w:pPr>
      <w:bookmarkStart w:id="14" w:name="_Toc454512515"/>
      <w:r>
        <w:tab/>
      </w:r>
      <w:r>
        <w:tab/>
      </w:r>
      <w:r w:rsidR="003B3646" w:rsidRPr="00F17CC6">
        <w:t xml:space="preserve">This instrument commences </w:t>
      </w:r>
      <w:r w:rsidR="007D5A2B">
        <w:t>on the</w:t>
      </w:r>
      <w:r w:rsidR="00E17CA5">
        <w:t xml:space="preserve"> later of:</w:t>
      </w:r>
    </w:p>
    <w:p w:rsidR="00E17CA5" w:rsidRDefault="00E17CA5" w:rsidP="00842AF5">
      <w:pPr>
        <w:pStyle w:val="LDP1a"/>
      </w:pPr>
      <w:r>
        <w:t>(a)</w:t>
      </w:r>
      <w:r>
        <w:tab/>
      </w:r>
      <w:proofErr w:type="gramStart"/>
      <w:r>
        <w:t>immediately</w:t>
      </w:r>
      <w:proofErr w:type="gramEnd"/>
      <w:r>
        <w:t xml:space="preserve"> after the </w:t>
      </w:r>
      <w:r w:rsidRPr="00842AF5">
        <w:rPr>
          <w:i/>
        </w:rPr>
        <w:t>AusCheck Legislation Amendment (Critical Infrastructure Background Check) Regulations 202</w:t>
      </w:r>
      <w:r w:rsidR="00B37C35">
        <w:rPr>
          <w:i/>
        </w:rPr>
        <w:t>3</w:t>
      </w:r>
      <w:r>
        <w:t xml:space="preserve"> commence; and </w:t>
      </w:r>
    </w:p>
    <w:p w:rsidR="003B3646" w:rsidRDefault="00E17CA5" w:rsidP="00842AF5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 w:rsidR="007D5A2B">
        <w:t xml:space="preserve"> day after registration</w:t>
      </w:r>
      <w:r w:rsidR="003B3646" w:rsidRPr="00F17CC6">
        <w:t>.</w:t>
      </w:r>
    </w:p>
    <w:bookmarkStart w:id="15" w:name="_Toc454512516"/>
    <w:bookmarkStart w:id="16" w:name="_Toc94781085"/>
    <w:bookmarkEnd w:id="14"/>
    <w:p w:rsidR="003B3646" w:rsidRPr="00F17CC6" w:rsidRDefault="00424DDF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7" w:name="_Toc120879060"/>
      <w:r w:rsidR="00EF61EA">
        <w:rPr>
          <w:noProof/>
        </w:rPr>
        <w:t>3</w:t>
      </w:r>
      <w:r>
        <w:rPr>
          <w:noProof/>
        </w:rPr>
        <w:fldChar w:fldCharType="end"/>
      </w:r>
      <w:r w:rsidR="000B14AD">
        <w:tab/>
      </w:r>
      <w:r w:rsidR="003B3646" w:rsidRPr="00F17CC6">
        <w:t>Definitions</w:t>
      </w:r>
      <w:bookmarkEnd w:id="15"/>
      <w:bookmarkEnd w:id="16"/>
      <w:bookmarkEnd w:id="17"/>
    </w:p>
    <w:p w:rsidR="00A32EFD" w:rsidRDefault="00A32EFD" w:rsidP="00A32EFD">
      <w:pPr>
        <w:pStyle w:val="LDNote"/>
        <w:keepNext/>
      </w:pPr>
      <w:r w:rsidRPr="000B14AD">
        <w:rPr>
          <w:rStyle w:val="LDItal"/>
        </w:rPr>
        <w:t>Note</w:t>
      </w:r>
      <w:r>
        <w:tab/>
        <w:t>A number of phrases used in this instrument are defined in the Act, including:</w:t>
      </w:r>
    </w:p>
    <w:p w:rsidR="00A32EFD" w:rsidRDefault="00A325B5" w:rsidP="006D2C91">
      <w:pPr>
        <w:pStyle w:val="LDNoteP1a"/>
        <w:numPr>
          <w:ilvl w:val="0"/>
          <w:numId w:val="28"/>
        </w:numPr>
      </w:pPr>
      <w:r>
        <w:t>critical component</w:t>
      </w:r>
      <w:r w:rsidR="007F45FF">
        <w:t>;</w:t>
      </w:r>
    </w:p>
    <w:p w:rsidR="00A325B5" w:rsidRDefault="00A325B5" w:rsidP="006D2C91">
      <w:pPr>
        <w:pStyle w:val="LDNoteP1a"/>
        <w:numPr>
          <w:ilvl w:val="0"/>
          <w:numId w:val="28"/>
        </w:numPr>
      </w:pPr>
      <w:r>
        <w:t>critical infrastructure asset;</w:t>
      </w:r>
    </w:p>
    <w:p w:rsidR="00A006AF" w:rsidRDefault="00A006AF" w:rsidP="006D2C91">
      <w:pPr>
        <w:pStyle w:val="LDNoteP1a"/>
        <w:numPr>
          <w:ilvl w:val="0"/>
          <w:numId w:val="28"/>
        </w:numPr>
      </w:pPr>
      <w:r>
        <w:t>critical hospital;</w:t>
      </w:r>
    </w:p>
    <w:p w:rsidR="00A325B5" w:rsidRDefault="00A325B5" w:rsidP="006D2C91">
      <w:pPr>
        <w:pStyle w:val="LDNoteP1a"/>
        <w:numPr>
          <w:ilvl w:val="0"/>
          <w:numId w:val="28"/>
        </w:numPr>
      </w:pPr>
      <w:r>
        <w:t>critical worker;</w:t>
      </w:r>
    </w:p>
    <w:p w:rsidR="00A32EFD" w:rsidRDefault="006D2C91" w:rsidP="00A32EFD">
      <w:pPr>
        <w:pStyle w:val="LDNoteP1a"/>
      </w:pPr>
      <w:r>
        <w:t>(d</w:t>
      </w:r>
      <w:r w:rsidR="00A32EFD">
        <w:t>)</w:t>
      </w:r>
      <w:r w:rsidR="00A32EFD">
        <w:tab/>
      </w:r>
      <w:proofErr w:type="gramStart"/>
      <w:r w:rsidR="00A27B0C">
        <w:t>relevant</w:t>
      </w:r>
      <w:proofErr w:type="gramEnd"/>
      <w:r w:rsidR="00A27B0C">
        <w:t xml:space="preserve"> impact;</w:t>
      </w:r>
    </w:p>
    <w:p w:rsidR="00806A12" w:rsidRDefault="006D2C91" w:rsidP="003041F7">
      <w:pPr>
        <w:pStyle w:val="LDNoteP1a"/>
        <w:ind w:left="993" w:firstLine="0"/>
      </w:pPr>
      <w:r>
        <w:t>(e</w:t>
      </w:r>
      <w:r w:rsidR="00A32EFD">
        <w:t>)</w:t>
      </w:r>
      <w:r w:rsidR="00A32EFD">
        <w:tab/>
      </w:r>
      <w:proofErr w:type="gramStart"/>
      <w:r w:rsidR="00A27B0C">
        <w:t>responsible</w:t>
      </w:r>
      <w:proofErr w:type="gramEnd"/>
      <w:r w:rsidR="00A27B0C">
        <w:t xml:space="preserve"> entity</w:t>
      </w:r>
      <w:r w:rsidR="00806A12">
        <w:t>;</w:t>
      </w:r>
    </w:p>
    <w:p w:rsidR="00A32EFD" w:rsidRDefault="001F7C87" w:rsidP="003041F7">
      <w:pPr>
        <w:pStyle w:val="LDNoteP1a"/>
        <w:ind w:left="993" w:firstLine="0"/>
      </w:pPr>
      <w:r>
        <w:t>(f)</w:t>
      </w:r>
      <w:r>
        <w:tab/>
      </w:r>
      <w:proofErr w:type="gramStart"/>
      <w:r w:rsidR="00806A12" w:rsidRPr="003059D7">
        <w:t>security</w:t>
      </w:r>
      <w:proofErr w:type="gramEnd"/>
      <w:r w:rsidR="00863738" w:rsidRPr="00837F4A">
        <w:t>.</w:t>
      </w:r>
      <w:r w:rsidR="001D3F82">
        <w:t xml:space="preserve"> </w:t>
      </w:r>
    </w:p>
    <w:p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:rsidR="00550579" w:rsidRDefault="00550579" w:rsidP="000F4216">
      <w:pPr>
        <w:pStyle w:val="LDdefinition"/>
        <w:keepNext w:val="0"/>
        <w:spacing w:before="60" w:after="60"/>
        <w:rPr>
          <w:b/>
          <w:i/>
        </w:rPr>
      </w:pPr>
      <w:r w:rsidRPr="002E69BA">
        <w:rPr>
          <w:b/>
          <w:i/>
        </w:rPr>
        <w:t>AusCheck Act</w:t>
      </w:r>
      <w:r>
        <w:rPr>
          <w:i/>
        </w:rPr>
        <w:t xml:space="preserve"> </w:t>
      </w:r>
      <w:r w:rsidRPr="002E69BA">
        <w:t>means the</w:t>
      </w:r>
      <w:r>
        <w:rPr>
          <w:i/>
        </w:rPr>
        <w:t xml:space="preserve"> AusCheck Act 2007</w:t>
      </w:r>
      <w:r>
        <w:t xml:space="preserve">.  </w:t>
      </w:r>
    </w:p>
    <w:p w:rsidR="000F4216" w:rsidRDefault="000F4216" w:rsidP="000F4216">
      <w:pPr>
        <w:pStyle w:val="LDdefinition"/>
        <w:keepNext w:val="0"/>
        <w:spacing w:before="60" w:after="60"/>
      </w:pPr>
      <w:r>
        <w:rPr>
          <w:b/>
          <w:i/>
        </w:rPr>
        <w:t>AusCheck Regulations</w:t>
      </w:r>
      <w:r>
        <w:t xml:space="preserve"> means the </w:t>
      </w:r>
      <w:r>
        <w:rPr>
          <w:i/>
        </w:rPr>
        <w:t>AusCheck Regulations 2017</w:t>
      </w:r>
      <w:r>
        <w:t xml:space="preserve">.  </w:t>
      </w:r>
    </w:p>
    <w:p w:rsidR="003041F7" w:rsidRDefault="003041F7" w:rsidP="003041F7">
      <w:pPr>
        <w:pStyle w:val="LDdefinition"/>
        <w:spacing w:before="60" w:after="60"/>
      </w:pPr>
      <w:proofErr w:type="gramStart"/>
      <w:r>
        <w:rPr>
          <w:b/>
          <w:i/>
        </w:rPr>
        <w:t>background</w:t>
      </w:r>
      <w:proofErr w:type="gramEnd"/>
      <w:r>
        <w:rPr>
          <w:b/>
          <w:i/>
        </w:rPr>
        <w:t xml:space="preserve"> check</w:t>
      </w:r>
      <w:r>
        <w:t xml:space="preserve"> means a background check under the </w:t>
      </w:r>
      <w:r w:rsidR="000F4216" w:rsidRPr="00837F4A">
        <w:t>AusCheck Act</w:t>
      </w:r>
      <w:r w:rsidR="001942EC">
        <w:t>.</w:t>
      </w:r>
      <w:r>
        <w:t xml:space="preserve">  </w:t>
      </w:r>
    </w:p>
    <w:p w:rsidR="00550579" w:rsidRDefault="005A07DF" w:rsidP="00550579">
      <w:pPr>
        <w:pStyle w:val="LDdefinition"/>
        <w:keepNext w:val="0"/>
        <w:spacing w:before="60" w:after="60"/>
      </w:pPr>
      <w:r w:rsidRPr="002E69BA">
        <w:rPr>
          <w:b/>
          <w:i/>
        </w:rPr>
        <w:t>CI asset</w:t>
      </w:r>
      <w:r w:rsidRPr="002E69BA">
        <w:t xml:space="preserve"> </w:t>
      </w:r>
      <w:r w:rsidR="003041F7" w:rsidRPr="002E69BA">
        <w:t xml:space="preserve">means </w:t>
      </w:r>
      <w:r w:rsidR="008F185B">
        <w:t xml:space="preserve">a </w:t>
      </w:r>
      <w:r w:rsidRPr="002E69BA">
        <w:t>critical infrastructure asset.</w:t>
      </w:r>
      <w:r w:rsidR="003041F7" w:rsidRPr="002E69BA">
        <w:t xml:space="preserve"> </w:t>
      </w:r>
    </w:p>
    <w:p w:rsidR="00550579" w:rsidRDefault="00550579" w:rsidP="00550579">
      <w:pPr>
        <w:pStyle w:val="LDdefinition"/>
        <w:keepNext w:val="0"/>
        <w:spacing w:before="60" w:after="60"/>
      </w:pPr>
      <w:r>
        <w:rPr>
          <w:b/>
          <w:i/>
        </w:rPr>
        <w:t>CIRMP</w:t>
      </w:r>
      <w:r w:rsidRPr="003041F7">
        <w:rPr>
          <w:b/>
          <w:i/>
        </w:rPr>
        <w:t xml:space="preserve"> </w:t>
      </w:r>
      <w:r w:rsidRPr="003F5D23">
        <w:t>is short for critical infrastructure risk management program.</w:t>
      </w:r>
    </w:p>
    <w:p w:rsidR="00550579" w:rsidRDefault="00550579" w:rsidP="00550579">
      <w:pPr>
        <w:pStyle w:val="LDdefinition"/>
        <w:keepNext w:val="0"/>
        <w:spacing w:before="60" w:after="60"/>
        <w:rPr>
          <w:i/>
        </w:rPr>
      </w:pPr>
      <w:r>
        <w:rPr>
          <w:b/>
          <w:i/>
        </w:rPr>
        <w:t>CIRMP</w:t>
      </w:r>
      <w:r>
        <w:rPr>
          <w:b/>
        </w:rPr>
        <w:t xml:space="preserve"> </w:t>
      </w:r>
      <w:r>
        <w:rPr>
          <w:b/>
          <w:i/>
        </w:rPr>
        <w:t xml:space="preserve">criminal record </w:t>
      </w:r>
      <w:r>
        <w:t>has the same meaning as</w:t>
      </w:r>
      <w:r w:rsidR="001942EC">
        <w:t xml:space="preserve"> defined in</w:t>
      </w:r>
      <w:r>
        <w:t xml:space="preserve"> the </w:t>
      </w:r>
      <w:r w:rsidRPr="0080384A">
        <w:t>AusCheck Regulations</w:t>
      </w:r>
      <w:r>
        <w:rPr>
          <w:i/>
        </w:rPr>
        <w:t>.</w:t>
      </w:r>
    </w:p>
    <w:p w:rsidR="005A07DF" w:rsidRDefault="005A07DF" w:rsidP="005A07DF">
      <w:pPr>
        <w:pStyle w:val="LDP1a"/>
      </w:pPr>
      <w:proofErr w:type="gramStart"/>
      <w:r>
        <w:rPr>
          <w:b/>
          <w:i/>
        </w:rPr>
        <w:t>criminal</w:t>
      </w:r>
      <w:proofErr w:type="gramEnd"/>
      <w:r>
        <w:rPr>
          <w:b/>
          <w:i/>
        </w:rPr>
        <w:t xml:space="preserve"> history criteria </w:t>
      </w:r>
      <w:r>
        <w:t>means the assessment of:</w:t>
      </w:r>
    </w:p>
    <w:p w:rsidR="005A07DF" w:rsidRDefault="005A07DF" w:rsidP="005A07DF">
      <w:pPr>
        <w:pStyle w:val="LDP1a"/>
        <w:numPr>
          <w:ilvl w:val="0"/>
          <w:numId w:val="30"/>
        </w:numPr>
        <w:rPr>
          <w:b/>
          <w:i/>
        </w:rPr>
      </w:pPr>
      <w:r>
        <w:t>whether the person has a CIRMP criminal record; and</w:t>
      </w:r>
    </w:p>
    <w:p w:rsidR="005A07DF" w:rsidRPr="00293923" w:rsidRDefault="005A07DF" w:rsidP="005A07DF">
      <w:pPr>
        <w:pStyle w:val="LDP1a"/>
        <w:numPr>
          <w:ilvl w:val="0"/>
          <w:numId w:val="30"/>
        </w:numPr>
        <w:rPr>
          <w:b/>
          <w:i/>
        </w:rPr>
      </w:pPr>
      <w:proofErr w:type="gramStart"/>
      <w:r>
        <w:t>the</w:t>
      </w:r>
      <w:proofErr w:type="gramEnd"/>
      <w:r>
        <w:t xml:space="preserve"> nature of the offence</w:t>
      </w:r>
      <w:r w:rsidR="00550579">
        <w:t>.</w:t>
      </w:r>
    </w:p>
    <w:p w:rsidR="005E276D" w:rsidRDefault="007F45FF" w:rsidP="00EB4B6C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cyber</w:t>
      </w:r>
      <w:proofErr w:type="gramEnd"/>
      <w:r>
        <w:rPr>
          <w:b/>
          <w:i/>
        </w:rPr>
        <w:t xml:space="preserve"> and information security hazard</w:t>
      </w:r>
      <w:r>
        <w:t xml:space="preserve"> includes </w:t>
      </w:r>
      <w:r w:rsidR="001A583E">
        <w:t>where a person, whether authorised or not</w:t>
      </w:r>
      <w:r w:rsidR="005E276D">
        <w:t>:</w:t>
      </w:r>
    </w:p>
    <w:p w:rsidR="005E276D" w:rsidRDefault="005E276D" w:rsidP="00EC150C">
      <w:pPr>
        <w:pStyle w:val="LDP1a"/>
      </w:pPr>
      <w:r w:rsidRPr="00EC150C">
        <w:t>(a)</w:t>
      </w:r>
      <w:r>
        <w:tab/>
      </w:r>
      <w:proofErr w:type="gramStart"/>
      <w:r w:rsidR="001A583E">
        <w:t>improperly</w:t>
      </w:r>
      <w:proofErr w:type="gramEnd"/>
      <w:r w:rsidR="001A583E">
        <w:t xml:space="preserve"> accesses or misuses information or computer systems about or related to the </w:t>
      </w:r>
      <w:r w:rsidR="00972AF8">
        <w:t xml:space="preserve">CI </w:t>
      </w:r>
      <w:r w:rsidR="001A583E">
        <w:t>asset</w:t>
      </w:r>
      <w:r w:rsidR="001D3F82">
        <w:t xml:space="preserve">; </w:t>
      </w:r>
      <w:r w:rsidR="001A583E">
        <w:t>or</w:t>
      </w:r>
    </w:p>
    <w:p w:rsidR="007F45FF" w:rsidRPr="007F45FF" w:rsidRDefault="005E276D" w:rsidP="00EC150C">
      <w:pPr>
        <w:pStyle w:val="LDP1a"/>
      </w:pPr>
      <w:r>
        <w:t>(b)</w:t>
      </w:r>
      <w:r>
        <w:tab/>
      </w:r>
      <w:proofErr w:type="gramStart"/>
      <w:r w:rsidR="001A583E">
        <w:t>use</w:t>
      </w:r>
      <w:r w:rsidR="00826B20">
        <w:t>s</w:t>
      </w:r>
      <w:proofErr w:type="gramEnd"/>
      <w:r w:rsidR="001A583E">
        <w:t xml:space="preserve"> a computer system</w:t>
      </w:r>
      <w:r w:rsidR="00826B20">
        <w:t xml:space="preserve"> to</w:t>
      </w:r>
      <w:r w:rsidR="001A583E">
        <w:t xml:space="preserve"> obtain unauthorised control of</w:t>
      </w:r>
      <w:r w:rsidR="00826B20">
        <w:t>,</w:t>
      </w:r>
      <w:r w:rsidR="001A583E">
        <w:t xml:space="preserve"> or access to </w:t>
      </w:r>
      <w:r w:rsidR="00826B20">
        <w:t xml:space="preserve">the </w:t>
      </w:r>
      <w:r w:rsidR="006D2D63">
        <w:t>CI asset</w:t>
      </w:r>
      <w:r w:rsidR="00826B20">
        <w:t xml:space="preserve"> that might impair its</w:t>
      </w:r>
      <w:r w:rsidR="001A583E">
        <w:t xml:space="preserve"> proper functioning.  </w:t>
      </w:r>
    </w:p>
    <w:p w:rsidR="00A006AF" w:rsidRDefault="00A006AF" w:rsidP="00A006AF">
      <w:pPr>
        <w:pStyle w:val="LDdefinition"/>
        <w:keepNext w:val="0"/>
      </w:pPr>
      <w:proofErr w:type="gramStart"/>
      <w:r>
        <w:rPr>
          <w:b/>
          <w:i/>
        </w:rPr>
        <w:t>designated</w:t>
      </w:r>
      <w:proofErr w:type="gramEnd"/>
      <w:r>
        <w:rPr>
          <w:b/>
          <w:i/>
        </w:rPr>
        <w:t xml:space="preserve"> hospital</w:t>
      </w:r>
      <w:r>
        <w:t xml:space="preserve"> means a critical hospital mentioned in Schedule </w:t>
      </w:r>
      <w:r w:rsidR="003F6CF7">
        <w:t>1</w:t>
      </w:r>
      <w:r>
        <w:t xml:space="preserve">.  </w:t>
      </w:r>
    </w:p>
    <w:p w:rsidR="000E45DC" w:rsidRDefault="00826B20" w:rsidP="00EB4B6C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major</w:t>
      </w:r>
      <w:proofErr w:type="gramEnd"/>
      <w:r>
        <w:rPr>
          <w:b/>
          <w:i/>
        </w:rPr>
        <w:t xml:space="preserve"> supplier</w:t>
      </w:r>
      <w:r w:rsidR="003369FE">
        <w:t xml:space="preserve"> means </w:t>
      </w:r>
      <w:r w:rsidR="003369FE" w:rsidRPr="003369FE">
        <w:t>any vendor that by nature of the product or service they offer, has a significant influence over the security of a</w:t>
      </w:r>
      <w:r w:rsidR="005E276D">
        <w:t xml:space="preserve"> responsible</w:t>
      </w:r>
      <w:r w:rsidR="003369FE" w:rsidRPr="003369FE">
        <w:t xml:space="preserve"> entity’s </w:t>
      </w:r>
      <w:r w:rsidR="006D2D63">
        <w:t>CI asset</w:t>
      </w:r>
      <w:r w:rsidR="000E45DC">
        <w:t xml:space="preserve">.  </w:t>
      </w:r>
    </w:p>
    <w:p w:rsidR="00B8295B" w:rsidRDefault="00B8295B" w:rsidP="00B8295B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natural</w:t>
      </w:r>
      <w:proofErr w:type="gramEnd"/>
      <w:r>
        <w:rPr>
          <w:b/>
          <w:i/>
        </w:rPr>
        <w:t xml:space="preserve"> hazard</w:t>
      </w:r>
      <w:r>
        <w:t xml:space="preserve"> includes fire, flood, cyclone, storm, heatwave, earthquake, tsunami</w:t>
      </w:r>
      <w:r w:rsidR="009C3755">
        <w:t>, space weather</w:t>
      </w:r>
      <w:r>
        <w:t xml:space="preserve"> or </w:t>
      </w:r>
      <w:r w:rsidR="00826B20">
        <w:t xml:space="preserve">biological </w:t>
      </w:r>
      <w:r>
        <w:t xml:space="preserve">health hazard (such as a pandemic).  </w:t>
      </w:r>
    </w:p>
    <w:p w:rsidR="005E276D" w:rsidRDefault="00A6673B" w:rsidP="00A6673B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lastRenderedPageBreak/>
        <w:t>personnel</w:t>
      </w:r>
      <w:proofErr w:type="gramEnd"/>
      <w:r>
        <w:rPr>
          <w:b/>
          <w:i/>
        </w:rPr>
        <w:t xml:space="preserve"> hazard</w:t>
      </w:r>
      <w:r>
        <w:t xml:space="preserve"> includes </w:t>
      </w:r>
      <w:r w:rsidR="001A583E">
        <w:t>where a critical worker acts, through malice</w:t>
      </w:r>
      <w:r w:rsidR="00DE3A66">
        <w:t xml:space="preserve"> or </w:t>
      </w:r>
      <w:r w:rsidR="001A583E">
        <w:t>negligence</w:t>
      </w:r>
      <w:r w:rsidR="005E276D">
        <w:t>:</w:t>
      </w:r>
    </w:p>
    <w:p w:rsidR="005E276D" w:rsidRPr="00B37C35" w:rsidRDefault="005E276D" w:rsidP="00EC150C">
      <w:pPr>
        <w:pStyle w:val="LDP1a"/>
      </w:pPr>
      <w:r w:rsidRPr="00B37C35">
        <w:t>(a)</w:t>
      </w:r>
      <w:r w:rsidRPr="00B37C35">
        <w:tab/>
      </w:r>
      <w:proofErr w:type="gramStart"/>
      <w:r w:rsidR="001A583E" w:rsidRPr="00B37C35">
        <w:t>to</w:t>
      </w:r>
      <w:proofErr w:type="gramEnd"/>
      <w:r w:rsidR="001A583E" w:rsidRPr="00B37C35">
        <w:t xml:space="preserve"> compromise the proper function of the asset</w:t>
      </w:r>
      <w:r w:rsidR="007F73A5" w:rsidRPr="00B37C35">
        <w:t>;</w:t>
      </w:r>
      <w:r w:rsidR="001A583E" w:rsidRPr="00B37C35">
        <w:t xml:space="preserve"> or </w:t>
      </w:r>
    </w:p>
    <w:p w:rsidR="00D819D9" w:rsidRPr="00AF6774" w:rsidRDefault="005E276D" w:rsidP="002E69BA">
      <w:pPr>
        <w:pStyle w:val="LDP1a"/>
        <w:rPr>
          <w:i/>
        </w:rPr>
      </w:pPr>
      <w:r w:rsidRPr="00B37C35">
        <w:t>(b)</w:t>
      </w:r>
      <w:r w:rsidRPr="00B37C35">
        <w:tab/>
      </w:r>
      <w:proofErr w:type="gramStart"/>
      <w:r w:rsidRPr="00B37C35">
        <w:t>to</w:t>
      </w:r>
      <w:proofErr w:type="gramEnd"/>
      <w:r w:rsidRPr="00B37C35">
        <w:t xml:space="preserve"> </w:t>
      </w:r>
      <w:r w:rsidR="001A583E" w:rsidRPr="00B37C35">
        <w:t>cause significant damage to the asset</w:t>
      </w:r>
      <w:r w:rsidR="00D819D9" w:rsidRPr="00B37C35">
        <w:t>.</w:t>
      </w:r>
      <w:r w:rsidR="001A583E" w:rsidRPr="00B37C35">
        <w:t xml:space="preserve"> </w:t>
      </w:r>
    </w:p>
    <w:p w:rsidR="00BF0D1D" w:rsidRDefault="00B8295B" w:rsidP="00EB4B6C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physical</w:t>
      </w:r>
      <w:proofErr w:type="gramEnd"/>
      <w:r>
        <w:rPr>
          <w:b/>
          <w:i/>
        </w:rPr>
        <w:t xml:space="preserve"> </w:t>
      </w:r>
      <w:r w:rsidR="00381F45">
        <w:rPr>
          <w:b/>
          <w:i/>
        </w:rPr>
        <w:t xml:space="preserve">security </w:t>
      </w:r>
      <w:r>
        <w:rPr>
          <w:b/>
          <w:i/>
        </w:rPr>
        <w:t>hazard</w:t>
      </w:r>
      <w:r>
        <w:t xml:space="preserve"> includes </w:t>
      </w:r>
      <w:r w:rsidR="001A583E">
        <w:t>the unauthorised access</w:t>
      </w:r>
      <w:r w:rsidR="005E276D">
        <w:t xml:space="preserve"> to</w:t>
      </w:r>
      <w:r w:rsidR="001A583E">
        <w:t>, interference</w:t>
      </w:r>
      <w:r w:rsidR="005E276D">
        <w:t xml:space="preserve"> with</w:t>
      </w:r>
      <w:r w:rsidR="001A583E">
        <w:t xml:space="preserve">, or control of </w:t>
      </w:r>
      <w:r w:rsidR="006D2D63">
        <w:t>CI asset</w:t>
      </w:r>
      <w:r w:rsidR="001A583E">
        <w:t>s, to compromise the proper function of the asset or cause significant damage to the asset</w:t>
      </w:r>
      <w:r w:rsidR="00826B20">
        <w:t>.</w:t>
      </w:r>
      <w:r w:rsidR="001A583E">
        <w:t xml:space="preserve"> </w:t>
      </w:r>
    </w:p>
    <w:p w:rsidR="00BF0D1D" w:rsidRDefault="00BF0D1D" w:rsidP="00EB4B6C">
      <w:pPr>
        <w:pStyle w:val="LDdefinition"/>
        <w:keepNext w:val="0"/>
        <w:spacing w:before="60" w:after="60"/>
      </w:pPr>
      <w:r>
        <w:rPr>
          <w:b/>
          <w:i/>
        </w:rPr>
        <w:t xml:space="preserve">Secretary </w:t>
      </w:r>
      <w:r>
        <w:t xml:space="preserve">has the same meaning as </w:t>
      </w:r>
      <w:r w:rsidR="001942EC">
        <w:t xml:space="preserve">defined in </w:t>
      </w:r>
      <w:r>
        <w:t xml:space="preserve">the </w:t>
      </w:r>
      <w:r w:rsidRPr="00837F4A">
        <w:t>AusCheck Act</w:t>
      </w:r>
      <w:r>
        <w:t xml:space="preserve">. </w:t>
      </w:r>
    </w:p>
    <w:p w:rsidR="00B8295B" w:rsidRPr="00B8295B" w:rsidRDefault="00607E7C">
      <w:pPr>
        <w:pStyle w:val="LDdefinition"/>
        <w:keepNext w:val="0"/>
        <w:spacing w:before="60" w:after="60"/>
      </w:pPr>
      <w:proofErr w:type="gramStart"/>
      <w:r w:rsidRPr="00842AF5">
        <w:rPr>
          <w:b/>
          <w:i/>
          <w:color w:val="000000"/>
        </w:rPr>
        <w:t>supply</w:t>
      </w:r>
      <w:proofErr w:type="gramEnd"/>
      <w:r w:rsidRPr="00842AF5">
        <w:rPr>
          <w:b/>
          <w:i/>
          <w:color w:val="000000"/>
        </w:rPr>
        <w:t xml:space="preserve"> chain hazard</w:t>
      </w:r>
      <w:r>
        <w:rPr>
          <w:color w:val="000000"/>
        </w:rPr>
        <w:t xml:space="preserve"> includes malicious people both internal and external exploiting, misusing, accessing or disrupting the supply chain and over-reliance on particular suppliers.</w:t>
      </w:r>
    </w:p>
    <w:p w:rsidR="001E0CD8" w:rsidRDefault="00534BBB" w:rsidP="001E0CD8">
      <w:pPr>
        <w:pStyle w:val="LDSecHead"/>
      </w:pPr>
      <w:fldSimple w:instr=" SEQ SecNo \* MERGEFORMAT ">
        <w:bookmarkStart w:id="18" w:name="_Toc120879061"/>
        <w:r w:rsidR="00EF61EA">
          <w:rPr>
            <w:noProof/>
          </w:rPr>
          <w:t>4</w:t>
        </w:r>
      </w:fldSimple>
      <w:r w:rsidR="001E0CD8">
        <w:tab/>
      </w:r>
      <w:r w:rsidR="001E0CD8" w:rsidRPr="00694035">
        <w:t>Application of Part 2A of the Act</w:t>
      </w:r>
      <w:bookmarkEnd w:id="18"/>
    </w:p>
    <w:p w:rsidR="001E0CD8" w:rsidRPr="00694035" w:rsidRDefault="001E0CD8" w:rsidP="00054D69">
      <w:pPr>
        <w:pStyle w:val="LDSec1"/>
      </w:pPr>
      <w:r w:rsidRPr="00694035">
        <w:tab/>
        <w:t>(</w:t>
      </w:r>
      <w:r w:rsidR="0070497A">
        <w:t>1</w:t>
      </w:r>
      <w:r w:rsidRPr="00694035">
        <w:t>)</w:t>
      </w:r>
      <w:r w:rsidRPr="00694035">
        <w:tab/>
        <w:t>For paragraph</w:t>
      </w:r>
      <w:r>
        <w:t> </w:t>
      </w:r>
      <w:proofErr w:type="gramStart"/>
      <w:r w:rsidRPr="00694035">
        <w:t>30AB(</w:t>
      </w:r>
      <w:proofErr w:type="gramEnd"/>
      <w:r w:rsidRPr="00694035">
        <w:t>1)(a) of the Act, each of the following is specified:</w:t>
      </w:r>
    </w:p>
    <w:p w:rsidR="001E0CD8" w:rsidRPr="00694035" w:rsidRDefault="001E0CD8" w:rsidP="00054D69">
      <w:pPr>
        <w:pStyle w:val="LDP1a"/>
      </w:pPr>
      <w:r w:rsidRPr="00694035">
        <w:t>(a)</w:t>
      </w:r>
      <w:r w:rsidRPr="00694035">
        <w:tab/>
      </w:r>
      <w:proofErr w:type="gramStart"/>
      <w:r w:rsidRPr="00694035">
        <w:t>a</w:t>
      </w:r>
      <w:proofErr w:type="gramEnd"/>
      <w:r w:rsidRPr="00694035">
        <w:t xml:space="preserve"> critical broadcasting asset;</w:t>
      </w:r>
    </w:p>
    <w:p w:rsidR="001E0CD8" w:rsidRPr="00694035" w:rsidRDefault="001E0CD8" w:rsidP="00054D69">
      <w:pPr>
        <w:pStyle w:val="LDP1a"/>
      </w:pPr>
      <w:r w:rsidRPr="00694035">
        <w:t>(b)</w:t>
      </w:r>
      <w:r w:rsidRPr="00694035">
        <w:tab/>
      </w:r>
      <w:proofErr w:type="gramStart"/>
      <w:r w:rsidRPr="00694035">
        <w:t>a</w:t>
      </w:r>
      <w:proofErr w:type="gramEnd"/>
      <w:r w:rsidRPr="00694035">
        <w:t xml:space="preserve"> critical domain name system;</w:t>
      </w:r>
    </w:p>
    <w:p w:rsidR="001E0CD8" w:rsidRPr="00694035" w:rsidRDefault="001E0CD8" w:rsidP="00054D69">
      <w:pPr>
        <w:pStyle w:val="LDP1a"/>
      </w:pPr>
      <w:r w:rsidRPr="00694035">
        <w:t>(c)</w:t>
      </w:r>
      <w:r w:rsidRPr="00694035">
        <w:tab/>
      </w:r>
      <w:proofErr w:type="gramStart"/>
      <w:r w:rsidRPr="00694035">
        <w:t>a</w:t>
      </w:r>
      <w:proofErr w:type="gramEnd"/>
      <w:r w:rsidRPr="00694035">
        <w:t xml:space="preserve"> critical data storage or processing asset;</w:t>
      </w:r>
    </w:p>
    <w:p w:rsidR="001E0CD8" w:rsidRPr="00694035" w:rsidRDefault="001E0CD8" w:rsidP="00054D69">
      <w:pPr>
        <w:pStyle w:val="LDP1a"/>
      </w:pPr>
      <w:r w:rsidRPr="00694035">
        <w:t>(d)</w:t>
      </w:r>
      <w:r w:rsidRPr="00694035">
        <w:tab/>
      </w:r>
      <w:proofErr w:type="gramStart"/>
      <w:r w:rsidRPr="00694035">
        <w:t>a</w:t>
      </w:r>
      <w:proofErr w:type="gramEnd"/>
      <w:r w:rsidRPr="00694035">
        <w:t xml:space="preserve"> critical electricity asset;</w:t>
      </w:r>
    </w:p>
    <w:p w:rsidR="001E0CD8" w:rsidRPr="00694035" w:rsidRDefault="001E0CD8" w:rsidP="00054D69">
      <w:pPr>
        <w:pStyle w:val="LDP1a"/>
      </w:pPr>
      <w:r w:rsidRPr="00694035">
        <w:t>(e)</w:t>
      </w:r>
      <w:r w:rsidRPr="00694035">
        <w:tab/>
      </w:r>
      <w:proofErr w:type="gramStart"/>
      <w:r w:rsidRPr="00694035">
        <w:t>a</w:t>
      </w:r>
      <w:proofErr w:type="gramEnd"/>
      <w:r w:rsidRPr="00694035">
        <w:t xml:space="preserve"> critical energy market operator asset;</w:t>
      </w:r>
    </w:p>
    <w:p w:rsidR="001E0CD8" w:rsidRPr="00694035" w:rsidRDefault="001E0CD8" w:rsidP="00054D69">
      <w:pPr>
        <w:pStyle w:val="LDP1a"/>
      </w:pPr>
      <w:r w:rsidRPr="00694035">
        <w:t>(f)</w:t>
      </w:r>
      <w:r w:rsidRPr="00694035">
        <w:tab/>
      </w:r>
      <w:proofErr w:type="gramStart"/>
      <w:r w:rsidRPr="00694035">
        <w:t>a</w:t>
      </w:r>
      <w:proofErr w:type="gramEnd"/>
      <w:r w:rsidRPr="00694035">
        <w:t xml:space="preserve"> critical gas asset;</w:t>
      </w:r>
    </w:p>
    <w:p w:rsidR="001E0CD8" w:rsidRPr="00694035" w:rsidRDefault="001E0CD8" w:rsidP="00054D69">
      <w:pPr>
        <w:pStyle w:val="LDP1a"/>
      </w:pPr>
      <w:r w:rsidRPr="00694035">
        <w:t>(g)</w:t>
      </w:r>
      <w:r w:rsidRPr="00694035">
        <w:tab/>
      </w:r>
      <w:proofErr w:type="gramStart"/>
      <w:r w:rsidRPr="00694035">
        <w:t>a</w:t>
      </w:r>
      <w:proofErr w:type="gramEnd"/>
      <w:r w:rsidRPr="00694035">
        <w:t xml:space="preserve"> </w:t>
      </w:r>
      <w:r w:rsidR="00A006AF">
        <w:t xml:space="preserve">designated </w:t>
      </w:r>
      <w:r w:rsidRPr="00694035">
        <w:t>hospital;</w:t>
      </w:r>
    </w:p>
    <w:p w:rsidR="001E0CD8" w:rsidRDefault="001E0CD8" w:rsidP="00054D69">
      <w:pPr>
        <w:pStyle w:val="LDP1a"/>
      </w:pPr>
      <w:r w:rsidRPr="00694035">
        <w:t>(h)</w:t>
      </w:r>
      <w:r w:rsidRPr="00694035">
        <w:tab/>
      </w:r>
      <w:proofErr w:type="gramStart"/>
      <w:r>
        <w:t>a</w:t>
      </w:r>
      <w:proofErr w:type="gramEnd"/>
      <w:r>
        <w:t xml:space="preserve"> critical food and grocery asset; </w:t>
      </w:r>
    </w:p>
    <w:p w:rsidR="001E0CD8" w:rsidRDefault="001E0CD8" w:rsidP="00054D69">
      <w:pPr>
        <w:pStyle w:val="LDP1a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critical freight infrastructure asset;</w:t>
      </w:r>
    </w:p>
    <w:p w:rsidR="001E0CD8" w:rsidRDefault="001E0CD8" w:rsidP="00054D69">
      <w:pPr>
        <w:pStyle w:val="LDP1a"/>
      </w:pPr>
      <w:r>
        <w:t>(j)</w:t>
      </w:r>
      <w:r>
        <w:tab/>
      </w:r>
      <w:proofErr w:type="gramStart"/>
      <w:r>
        <w:t>a</w:t>
      </w:r>
      <w:proofErr w:type="gramEnd"/>
      <w:r>
        <w:t xml:space="preserve"> critical freight services asset; </w:t>
      </w:r>
    </w:p>
    <w:p w:rsidR="001E0CD8" w:rsidRPr="00694035" w:rsidRDefault="001E0CD8" w:rsidP="00054D69">
      <w:pPr>
        <w:pStyle w:val="LDP1a"/>
      </w:pPr>
      <w:r>
        <w:t>(k)</w:t>
      </w:r>
      <w:r>
        <w:tab/>
      </w:r>
      <w:proofErr w:type="gramStart"/>
      <w:r w:rsidRPr="00694035">
        <w:t>a</w:t>
      </w:r>
      <w:proofErr w:type="gramEnd"/>
      <w:r w:rsidRPr="00694035">
        <w:t xml:space="preserve"> critical liquid fuel asset;</w:t>
      </w:r>
    </w:p>
    <w:p w:rsidR="001E0CD8" w:rsidRPr="00694035" w:rsidRDefault="001E0CD8" w:rsidP="00054D69">
      <w:pPr>
        <w:pStyle w:val="LDP1a"/>
      </w:pPr>
      <w:r>
        <w:t>(l</w:t>
      </w:r>
      <w:r w:rsidRPr="00694035">
        <w:t>)</w:t>
      </w:r>
      <w:r w:rsidRPr="00694035">
        <w:tab/>
      </w:r>
      <w:proofErr w:type="gramStart"/>
      <w:r w:rsidRPr="00694035">
        <w:t>a</w:t>
      </w:r>
      <w:proofErr w:type="gramEnd"/>
      <w:r w:rsidRPr="00694035">
        <w:t xml:space="preserve"> critical financial market infrastructure asset </w:t>
      </w:r>
      <w:r w:rsidR="00C91FB6">
        <w:t>mentioned in paragraph</w:t>
      </w:r>
      <w:r w:rsidR="00C76CAB">
        <w:t> </w:t>
      </w:r>
      <w:r w:rsidR="00C91FB6">
        <w:t>12D(1)(</w:t>
      </w:r>
      <w:proofErr w:type="spellStart"/>
      <w:r w:rsidR="00C91FB6">
        <w:t>i</w:t>
      </w:r>
      <w:proofErr w:type="spellEnd"/>
      <w:r w:rsidR="00C91FB6">
        <w:t xml:space="preserve">) of the Act; </w:t>
      </w:r>
    </w:p>
    <w:p w:rsidR="001E0CD8" w:rsidRDefault="001E0CD8" w:rsidP="00054D69">
      <w:pPr>
        <w:pStyle w:val="LDP1a"/>
      </w:pPr>
      <w:r>
        <w:t>(m)</w:t>
      </w:r>
      <w:r>
        <w:tab/>
      </w:r>
      <w:proofErr w:type="gramStart"/>
      <w:r>
        <w:t>a</w:t>
      </w:r>
      <w:proofErr w:type="gramEnd"/>
      <w:r>
        <w:t xml:space="preserve"> critical water asset.  </w:t>
      </w:r>
    </w:p>
    <w:p w:rsidR="00C92D83" w:rsidRDefault="001E0CD8" w:rsidP="006329E9">
      <w:pPr>
        <w:pStyle w:val="LDSec1"/>
      </w:pPr>
      <w:r w:rsidRPr="00694035">
        <w:tab/>
        <w:t>(</w:t>
      </w:r>
      <w:r w:rsidR="0070497A">
        <w:t>2</w:t>
      </w:r>
      <w:r w:rsidRPr="00694035">
        <w:t>)</w:t>
      </w:r>
      <w:r w:rsidRPr="00694035">
        <w:tab/>
        <w:t>For subsection</w:t>
      </w:r>
      <w:r>
        <w:t> </w:t>
      </w:r>
      <w:r w:rsidRPr="00694035">
        <w:t>30AB(3) of the Act, Part</w:t>
      </w:r>
      <w:r>
        <w:t> </w:t>
      </w:r>
      <w:r w:rsidRPr="00694035">
        <w:t>2A of the Act does not apply to</w:t>
      </w:r>
      <w:r w:rsidR="00C92D83">
        <w:t xml:space="preserve"> </w:t>
      </w:r>
      <w:r w:rsidRPr="00694035">
        <w:t>a</w:t>
      </w:r>
      <w:r w:rsidR="00FC6313">
        <w:t xml:space="preserve"> </w:t>
      </w:r>
      <w:r w:rsidR="006D2D63">
        <w:t>CI asset</w:t>
      </w:r>
      <w:r w:rsidRPr="00694035">
        <w:t xml:space="preserve"> mentioned in subsection</w:t>
      </w:r>
      <w:r w:rsidR="00916BB2">
        <w:t> </w:t>
      </w:r>
      <w:r w:rsidR="00CB7FBA">
        <w:t>4</w:t>
      </w:r>
      <w:r w:rsidRPr="00694035">
        <w:t>(</w:t>
      </w:r>
      <w:r w:rsidR="0070497A">
        <w:t>1</w:t>
      </w:r>
      <w:r w:rsidR="00753D22">
        <w:t>)</w:t>
      </w:r>
      <w:r w:rsidR="00BF28B7">
        <w:t xml:space="preserve"> </w:t>
      </w:r>
      <w:r w:rsidR="002F4AB6" w:rsidRPr="00694035">
        <w:t>during the period</w:t>
      </w:r>
      <w:r w:rsidR="002F4AB6">
        <w:t xml:space="preserve"> </w:t>
      </w:r>
      <w:r w:rsidR="002F4AB6" w:rsidRPr="00AF7029">
        <w:t xml:space="preserve">beginning when the asset became a </w:t>
      </w:r>
      <w:r w:rsidR="002F4AB6">
        <w:t>CI asset</w:t>
      </w:r>
      <w:r w:rsidR="002F4AB6" w:rsidRPr="00AF7029">
        <w:t xml:space="preserve"> and ending the later of:</w:t>
      </w:r>
      <w:r w:rsidR="002F4AB6" w:rsidRPr="00AF7029" w:rsidDel="00916BB2">
        <w:t xml:space="preserve"> </w:t>
      </w:r>
    </w:p>
    <w:p w:rsidR="00C92D83" w:rsidRDefault="00C92D83" w:rsidP="006329E9">
      <w:pPr>
        <w:pStyle w:val="LDP1a"/>
      </w:pPr>
      <w:r>
        <w:t>(a)</w:t>
      </w:r>
      <w:r>
        <w:tab/>
      </w:r>
      <w:r w:rsidR="002F4AB6" w:rsidRPr="00AF7029">
        <w:t>6 months after the commencement of this instrument; and</w:t>
      </w:r>
      <w:r w:rsidR="002F4AB6" w:rsidRPr="00AF7029" w:rsidDel="00AF7029">
        <w:t xml:space="preserve"> </w:t>
      </w:r>
    </w:p>
    <w:p w:rsidR="001E0CD8" w:rsidRDefault="00C92D83" w:rsidP="006329E9">
      <w:pPr>
        <w:pStyle w:val="LDP1a"/>
        <w:rPr>
          <w:rFonts w:ascii="Segoe UI" w:hAnsi="Segoe UI" w:cs="Segoe UI"/>
          <w:color w:val="000000"/>
          <w:sz w:val="20"/>
          <w:szCs w:val="20"/>
        </w:rPr>
      </w:pPr>
      <w:r>
        <w:t>(b)</w:t>
      </w:r>
      <w:r>
        <w:tab/>
      </w:r>
      <w:r w:rsidR="002F4AB6">
        <w:t>6 months after the asset became a CI asset</w:t>
      </w:r>
      <w:r>
        <w:t>.</w:t>
      </w:r>
    </w:p>
    <w:p w:rsidR="00BF28B7" w:rsidRDefault="00AB41B9" w:rsidP="006329E9">
      <w:pPr>
        <w:pStyle w:val="LDSec1"/>
      </w:pPr>
      <w:r>
        <w:tab/>
      </w:r>
      <w:r w:rsidR="0070497A" w:rsidRPr="002E69BA">
        <w:t>(3)</w:t>
      </w:r>
      <w:r w:rsidR="0070497A" w:rsidRPr="002E69BA">
        <w:tab/>
      </w:r>
      <w:r w:rsidR="00AA55F9" w:rsidRPr="00AA55F9">
        <w:t xml:space="preserve">The requirements specified in </w:t>
      </w:r>
      <w:r w:rsidR="007328FA">
        <w:t>this instrument</w:t>
      </w:r>
      <w:r w:rsidR="00AA55F9" w:rsidRPr="00AA55F9">
        <w:t xml:space="preserve"> for paragraph </w:t>
      </w:r>
      <w:proofErr w:type="gramStart"/>
      <w:r w:rsidR="00AA55F9" w:rsidRPr="00AA55F9">
        <w:t>30AH(</w:t>
      </w:r>
      <w:proofErr w:type="gramEnd"/>
      <w:r w:rsidR="00AA55F9" w:rsidRPr="00AA55F9">
        <w:t>1)(c)</w:t>
      </w:r>
      <w:r w:rsidR="007328FA">
        <w:t xml:space="preserve">, and subsections </w:t>
      </w:r>
      <w:r w:rsidR="007328FA" w:rsidRPr="00AA55F9">
        <w:t xml:space="preserve">30AKA(1), (3) and </w:t>
      </w:r>
      <w:r w:rsidR="007328FA">
        <w:t>(5)</w:t>
      </w:r>
      <w:r w:rsidR="00AA55F9" w:rsidRPr="00AA55F9">
        <w:t xml:space="preserve"> of the Act, </w:t>
      </w:r>
      <w:r w:rsidR="00AA55F9">
        <w:t>apply to</w:t>
      </w:r>
      <w:r>
        <w:t xml:space="preserve"> a</w:t>
      </w:r>
      <w:r w:rsidR="003C10E0">
        <w:t xml:space="preserve"> </w:t>
      </w:r>
      <w:r>
        <w:t xml:space="preserve">CI </w:t>
      </w:r>
      <w:r w:rsidR="003C10E0">
        <w:t>asset</w:t>
      </w:r>
      <w:r>
        <w:t>:</w:t>
      </w:r>
    </w:p>
    <w:p w:rsidR="003C5917" w:rsidRDefault="00BF28B7" w:rsidP="006329E9">
      <w:pPr>
        <w:pStyle w:val="LDP1a"/>
      </w:pPr>
      <w:r>
        <w:t>(</w:t>
      </w:r>
      <w:r w:rsidR="00AB41B9">
        <w:t>a</w:t>
      </w:r>
      <w:r>
        <w:t>)</w:t>
      </w:r>
      <w:r>
        <w:tab/>
      </w:r>
      <w:proofErr w:type="gramStart"/>
      <w:r w:rsidR="003C5917">
        <w:t>that</w:t>
      </w:r>
      <w:proofErr w:type="gramEnd"/>
      <w:r w:rsidR="003C5917">
        <w:t xml:space="preserve"> is:</w:t>
      </w:r>
    </w:p>
    <w:p w:rsidR="003C5917" w:rsidRDefault="003C5917" w:rsidP="003C5917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17517A">
        <w:t>specified</w:t>
      </w:r>
      <w:proofErr w:type="gramEnd"/>
      <w:r w:rsidR="0017517A">
        <w:t xml:space="preserve"> in subsection 4(1); and</w:t>
      </w:r>
    </w:p>
    <w:p w:rsidR="00707EC5" w:rsidRDefault="003C5917" w:rsidP="003C5917">
      <w:pPr>
        <w:pStyle w:val="LDP2i"/>
      </w:pPr>
      <w:r>
        <w:tab/>
        <w:t>(ii)</w:t>
      </w:r>
      <w:r>
        <w:tab/>
      </w:r>
      <w:proofErr w:type="gramStart"/>
      <w:r w:rsidR="0017517A">
        <w:t>not</w:t>
      </w:r>
      <w:proofErr w:type="gramEnd"/>
      <w:r w:rsidR="0017517A">
        <w:t xml:space="preserve"> specified in </w:t>
      </w:r>
      <w:r w:rsidR="00A95A41">
        <w:t xml:space="preserve">another instrument </w:t>
      </w:r>
      <w:r w:rsidR="0017517A">
        <w:t>for paragraph 30AB(1)(a) of the Act</w:t>
      </w:r>
      <w:r>
        <w:t xml:space="preserve">; or </w:t>
      </w:r>
    </w:p>
    <w:p w:rsidR="003C5917" w:rsidRDefault="003C5917" w:rsidP="003C5917">
      <w:pPr>
        <w:pStyle w:val="LDP1a"/>
      </w:pPr>
      <w:r>
        <w:t>(b)</w:t>
      </w:r>
      <w:r>
        <w:tab/>
      </w:r>
      <w:proofErr w:type="gramStart"/>
      <w:r>
        <w:t>referred</w:t>
      </w:r>
      <w:proofErr w:type="gramEnd"/>
      <w:r>
        <w:t xml:space="preserve"> to in paragraph 30AB(1)(b) of the Act.</w:t>
      </w:r>
    </w:p>
    <w:p w:rsidR="008D7C7C" w:rsidRDefault="008D7C7C" w:rsidP="002E69BA">
      <w:pPr>
        <w:pStyle w:val="LDP1a"/>
      </w:pPr>
    </w:p>
    <w:p w:rsidR="00074366" w:rsidRDefault="00534BBB" w:rsidP="00074366">
      <w:pPr>
        <w:pStyle w:val="LDSecHead"/>
      </w:pPr>
      <w:fldSimple w:instr=" SEQ SecNo \* MERGEFORMAT ">
        <w:bookmarkStart w:id="19" w:name="_Toc120879062"/>
        <w:r w:rsidR="00EF61EA">
          <w:rPr>
            <w:noProof/>
          </w:rPr>
          <w:t>5</w:t>
        </w:r>
      </w:fldSimple>
      <w:r w:rsidR="00074366">
        <w:tab/>
        <w:t>Relevant Commonwealth regulator</w:t>
      </w:r>
      <w:bookmarkEnd w:id="19"/>
    </w:p>
    <w:p w:rsidR="00A5200A" w:rsidRDefault="00074366" w:rsidP="003059D7">
      <w:pPr>
        <w:pStyle w:val="LDSec1"/>
      </w:pPr>
      <w:r>
        <w:tab/>
      </w:r>
      <w:r>
        <w:tab/>
        <w:t xml:space="preserve">For </w:t>
      </w:r>
      <w:r w:rsidR="00424DDF">
        <w:t>sub</w:t>
      </w:r>
      <w:r>
        <w:t>paragraph </w:t>
      </w:r>
      <w:r w:rsidR="00424DDF">
        <w:t xml:space="preserve">(b)(ii) of the definition of </w:t>
      </w:r>
      <w:r w:rsidR="00424DDF">
        <w:rPr>
          <w:b/>
          <w:i/>
        </w:rPr>
        <w:t>relevant Commonwealth regulator</w:t>
      </w:r>
      <w:r w:rsidR="00424DDF">
        <w:t xml:space="preserve"> in section 5 of the Act, the Reserve Bank of Australia is </w:t>
      </w:r>
      <w:r w:rsidR="00054D69">
        <w:t xml:space="preserve">specified </w:t>
      </w:r>
      <w:r w:rsidR="00424DDF">
        <w:t xml:space="preserve">for a critical financial market infrastructure asset </w:t>
      </w:r>
      <w:r w:rsidR="00C91FB6">
        <w:t>mentioned</w:t>
      </w:r>
      <w:r w:rsidR="00054D69">
        <w:t xml:space="preserve"> in paragraph 12D(1)(</w:t>
      </w:r>
      <w:proofErr w:type="spellStart"/>
      <w:r w:rsidR="00054D69">
        <w:t>i</w:t>
      </w:r>
      <w:proofErr w:type="spellEnd"/>
      <w:r w:rsidR="00054D69">
        <w:t>) of the Act</w:t>
      </w:r>
      <w:r w:rsidR="00424DDF">
        <w:t>.</w:t>
      </w:r>
    </w:p>
    <w:p w:rsidR="00A5200A" w:rsidRDefault="00A5200A">
      <w:pPr>
        <w:spacing w:line="240" w:lineRule="auto"/>
        <w:rPr>
          <w:rFonts w:eastAsia="Times New Roman" w:cs="Times New Roman"/>
          <w:sz w:val="24"/>
          <w:szCs w:val="24"/>
        </w:rPr>
      </w:pPr>
      <w:r>
        <w:br w:type="page"/>
      </w:r>
    </w:p>
    <w:p w:rsidR="0079511D" w:rsidRDefault="0079511D" w:rsidP="0079511D">
      <w:pPr>
        <w:pStyle w:val="LDPartHead"/>
        <w:pageBreakBefore/>
      </w:pPr>
      <w:bookmarkStart w:id="20" w:name="_Toc94781087"/>
      <w:bookmarkStart w:id="21" w:name="_Toc120879063"/>
      <w:r w:rsidRPr="00820EB4">
        <w:lastRenderedPageBreak/>
        <w:t xml:space="preserve">Part </w:t>
      </w:r>
      <w:r w:rsidR="00FC6E9F">
        <w:rPr>
          <w:noProof/>
        </w:rPr>
        <w:t>2</w:t>
      </w:r>
      <w:r w:rsidRPr="00820EB4">
        <w:tab/>
      </w:r>
      <w:r w:rsidR="003C6021">
        <w:t>Requirements</w:t>
      </w:r>
      <w:r w:rsidR="004C68EC">
        <w:t xml:space="preserve"> </w:t>
      </w:r>
      <w:r>
        <w:t>for a critical infrastructure risk management program</w:t>
      </w:r>
      <w:bookmarkEnd w:id="20"/>
      <w:bookmarkEnd w:id="21"/>
    </w:p>
    <w:bookmarkStart w:id="22" w:name="_Toc94781088"/>
    <w:p w:rsidR="002E69BA" w:rsidRDefault="00424DDF" w:rsidP="002E69BA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23" w:name="_Toc120879064"/>
      <w:r w:rsidR="00EF61EA">
        <w:rPr>
          <w:noProof/>
        </w:rPr>
        <w:t>6</w:t>
      </w:r>
      <w:r>
        <w:rPr>
          <w:noProof/>
        </w:rPr>
        <w:fldChar w:fldCharType="end"/>
      </w:r>
      <w:r w:rsidR="00444CE6">
        <w:tab/>
      </w:r>
      <w:r w:rsidR="002E69BA">
        <w:t>Material risk</w:t>
      </w:r>
      <w:bookmarkEnd w:id="23"/>
    </w:p>
    <w:p w:rsidR="002E69BA" w:rsidRDefault="002E69BA" w:rsidP="002E69BA">
      <w:pPr>
        <w:pStyle w:val="LDSec1"/>
      </w:pPr>
      <w:r>
        <w:tab/>
      </w:r>
      <w:r>
        <w:tab/>
        <w:t>For subsection </w:t>
      </w:r>
      <w:proofErr w:type="gramStart"/>
      <w:r>
        <w:t>30AH(</w:t>
      </w:r>
      <w:proofErr w:type="gramEnd"/>
      <w:r>
        <w:t xml:space="preserve">8) of the Act, material risk includes: </w:t>
      </w:r>
    </w:p>
    <w:p w:rsidR="002E69BA" w:rsidRDefault="002E69BA" w:rsidP="002E69BA">
      <w:pPr>
        <w:pStyle w:val="LDP1a"/>
      </w:pPr>
      <w:r>
        <w:t>(a)</w:t>
      </w:r>
      <w:r>
        <w:tab/>
      </w:r>
      <w:proofErr w:type="gramStart"/>
      <w:r>
        <w:t>a</w:t>
      </w:r>
      <w:proofErr w:type="gramEnd"/>
      <w:r>
        <w:t xml:space="preserve"> stoppage or major slowdown of the CI asset’s function for an unmanageable period; </w:t>
      </w:r>
    </w:p>
    <w:p w:rsidR="002E69BA" w:rsidRDefault="002E69BA" w:rsidP="002E69BA">
      <w:pPr>
        <w:pStyle w:val="LDP1a"/>
      </w:pPr>
      <w:r>
        <w:t>(b)</w:t>
      </w:r>
      <w:r>
        <w:tab/>
      </w:r>
      <w:proofErr w:type="gramStart"/>
      <w:r>
        <w:t>a</w:t>
      </w:r>
      <w:proofErr w:type="gramEnd"/>
      <w:r>
        <w:t xml:space="preserve"> substantive loss of access to, or deliberate or accidental manipulation of, a critical component of the CI asset; </w:t>
      </w:r>
    </w:p>
    <w:p w:rsidR="002E69BA" w:rsidRDefault="002E69BA" w:rsidP="002E69BA">
      <w:pPr>
        <w:pStyle w:val="LDNote"/>
      </w:pPr>
      <w:r>
        <w:rPr>
          <w:i/>
        </w:rPr>
        <w:t>Example</w:t>
      </w:r>
      <w:r>
        <w:tab/>
        <w:t>The position, navigation and timing systems affecting provision of service or functioning of the asset.</w:t>
      </w:r>
    </w:p>
    <w:p w:rsidR="002E69BA" w:rsidRDefault="002E69BA" w:rsidP="002E69BA">
      <w:pPr>
        <w:pStyle w:val="LDP1a"/>
      </w:pPr>
      <w:r>
        <w:t>(c)</w:t>
      </w:r>
      <w:r>
        <w:tab/>
      </w:r>
      <w:proofErr w:type="gramStart"/>
      <w:r>
        <w:t>an</w:t>
      </w:r>
      <w:proofErr w:type="gramEnd"/>
      <w:r>
        <w:t xml:space="preserve"> interference with the CI asset’s operation</w:t>
      </w:r>
      <w:r w:rsidR="00B37C35">
        <w:t>al</w:t>
      </w:r>
      <w:r>
        <w:t xml:space="preserve"> technology or information communication technology essential to the functioning of the asset; </w:t>
      </w:r>
    </w:p>
    <w:p w:rsidR="002E69BA" w:rsidRDefault="002E69BA" w:rsidP="002E69BA">
      <w:pPr>
        <w:pStyle w:val="LDNote"/>
      </w:pPr>
      <w:r>
        <w:rPr>
          <w:i/>
        </w:rPr>
        <w:t>Example</w:t>
      </w:r>
      <w:r>
        <w:tab/>
        <w:t xml:space="preserve">A Supervisory Control and Data Acquisition (SCADA) system.  </w:t>
      </w:r>
    </w:p>
    <w:p w:rsidR="002E69BA" w:rsidRDefault="002E69BA" w:rsidP="002E69BA">
      <w:pPr>
        <w:pStyle w:val="LDP1a"/>
      </w:pPr>
      <w:r>
        <w:t>(d)</w:t>
      </w:r>
      <w:r>
        <w:tab/>
      </w:r>
      <w:proofErr w:type="gramStart"/>
      <w:r>
        <w:t>the</w:t>
      </w:r>
      <w:proofErr w:type="gramEnd"/>
      <w:r>
        <w:t xml:space="preserve"> storage, transmission or processing of sensitive operational information outside Australia, which includes: </w:t>
      </w:r>
    </w:p>
    <w:p w:rsidR="002E69BA" w:rsidRDefault="002E69BA" w:rsidP="002E69BA">
      <w:pPr>
        <w:pStyle w:val="LDP2i"/>
      </w:pPr>
      <w:r>
        <w:rPr>
          <w:b/>
          <w:i/>
        </w:rPr>
        <w:tab/>
      </w: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layout</w:t>
      </w:r>
      <w:proofErr w:type="gramEnd"/>
      <w:r>
        <w:t xml:space="preserve"> diagrams; </w:t>
      </w:r>
    </w:p>
    <w:p w:rsidR="002E69BA" w:rsidRDefault="002E69BA" w:rsidP="002E69BA">
      <w:pPr>
        <w:pStyle w:val="LDP2i"/>
      </w:pPr>
      <w:r>
        <w:tab/>
        <w:t>(ii)</w:t>
      </w:r>
      <w:r>
        <w:tab/>
      </w:r>
      <w:proofErr w:type="gramStart"/>
      <w:r>
        <w:t>schematics</w:t>
      </w:r>
      <w:proofErr w:type="gramEnd"/>
      <w:r>
        <w:t xml:space="preserve">; </w:t>
      </w:r>
    </w:p>
    <w:p w:rsidR="002E69BA" w:rsidRDefault="002E69BA" w:rsidP="002E69BA">
      <w:pPr>
        <w:pStyle w:val="LDP2i"/>
      </w:pPr>
      <w:r>
        <w:tab/>
        <w:t>(iii)</w:t>
      </w:r>
      <w:r>
        <w:tab/>
      </w:r>
      <w:proofErr w:type="gramStart"/>
      <w:r>
        <w:t>geospatial</w:t>
      </w:r>
      <w:proofErr w:type="gramEnd"/>
      <w:r>
        <w:t xml:space="preserve"> information; </w:t>
      </w:r>
    </w:p>
    <w:p w:rsidR="002E69BA" w:rsidRDefault="002E69BA" w:rsidP="002E69BA">
      <w:pPr>
        <w:pStyle w:val="LDP2i"/>
      </w:pPr>
      <w:r>
        <w:tab/>
        <w:t>(iv)</w:t>
      </w:r>
      <w:r>
        <w:tab/>
      </w:r>
      <w:proofErr w:type="gramStart"/>
      <w:r>
        <w:t>configuration</w:t>
      </w:r>
      <w:proofErr w:type="gramEnd"/>
      <w:r>
        <w:t xml:space="preserve"> information; </w:t>
      </w:r>
    </w:p>
    <w:p w:rsidR="002E69BA" w:rsidRDefault="002E69BA" w:rsidP="002E69BA">
      <w:pPr>
        <w:pStyle w:val="LDP2i"/>
      </w:pPr>
      <w:r>
        <w:tab/>
        <w:t>(v)</w:t>
      </w:r>
      <w:r>
        <w:tab/>
      </w:r>
      <w:proofErr w:type="gramStart"/>
      <w:r>
        <w:t>operational</w:t>
      </w:r>
      <w:proofErr w:type="gramEnd"/>
      <w:r>
        <w:t xml:space="preserve"> constraints or tolerances information; </w:t>
      </w:r>
    </w:p>
    <w:p w:rsidR="002E69BA" w:rsidRDefault="002E69BA" w:rsidP="002E69BA">
      <w:pPr>
        <w:pStyle w:val="LDP2i"/>
      </w:pPr>
      <w:r>
        <w:tab/>
        <w:t>(vi)</w:t>
      </w:r>
      <w:r>
        <w:tab/>
      </w:r>
      <w:proofErr w:type="gramStart"/>
      <w:r>
        <w:t>data</w:t>
      </w:r>
      <w:proofErr w:type="gramEnd"/>
      <w:r>
        <w:t xml:space="preserve"> that a reasonable person would consider to be confidential or sensitive about the asset; </w:t>
      </w:r>
      <w:r w:rsidDel="003C6504">
        <w:t xml:space="preserve"> </w:t>
      </w:r>
    </w:p>
    <w:p w:rsidR="002E69BA" w:rsidRDefault="002E69BA" w:rsidP="002E69BA">
      <w:pPr>
        <w:pStyle w:val="LDP1a"/>
      </w:pPr>
      <w:r w:rsidRPr="005363C3">
        <w:t>(e</w:t>
      </w:r>
      <w:r>
        <w:t>)</w:t>
      </w:r>
      <w:r>
        <w:tab/>
      </w:r>
      <w:proofErr w:type="gramStart"/>
      <w:r>
        <w:t>remote</w:t>
      </w:r>
      <w:proofErr w:type="gramEnd"/>
      <w:r>
        <w:t xml:space="preserve"> access to operational control or operational monitoring systems of the CI asset.</w:t>
      </w:r>
    </w:p>
    <w:bookmarkEnd w:id="22"/>
    <w:p w:rsidR="002E69BA" w:rsidRDefault="00CB7FBA" w:rsidP="002E69BA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24" w:name="_Toc120879065"/>
      <w:r w:rsidR="00EF61EA">
        <w:rPr>
          <w:noProof/>
        </w:rPr>
        <w:t>7</w:t>
      </w:r>
      <w:r>
        <w:rPr>
          <w:noProof/>
        </w:rPr>
        <w:fldChar w:fldCharType="end"/>
      </w:r>
      <w:r w:rsidR="007976D6">
        <w:tab/>
      </w:r>
      <w:r w:rsidR="002E69BA">
        <w:t>General—all hazards</w:t>
      </w:r>
      <w:bookmarkEnd w:id="24"/>
      <w:r w:rsidR="002E69BA">
        <w:t xml:space="preserve"> </w:t>
      </w:r>
    </w:p>
    <w:p w:rsidR="002E69BA" w:rsidRDefault="002E69BA" w:rsidP="002E69BA">
      <w:pPr>
        <w:pStyle w:val="LDSec1"/>
      </w:pPr>
      <w:r>
        <w:tab/>
        <w:t>(1)</w:t>
      </w:r>
      <w:r>
        <w:tab/>
        <w:t>For paragraph </w:t>
      </w:r>
      <w:proofErr w:type="gramStart"/>
      <w:r>
        <w:t>30AH(</w:t>
      </w:r>
      <w:proofErr w:type="gramEnd"/>
      <w:r>
        <w:t xml:space="preserve">1)(c) of the Act, a responsible entity must establish and maintain a process or system in </w:t>
      </w:r>
      <w:r w:rsidR="00845ABE">
        <w:t xml:space="preserve">the entity’s </w:t>
      </w:r>
      <w:r>
        <w:t>CIRMP:</w:t>
      </w:r>
    </w:p>
    <w:p w:rsidR="002E69BA" w:rsidRDefault="002E69BA" w:rsidP="002E69BA">
      <w:pPr>
        <w:pStyle w:val="LDP1a"/>
      </w:pPr>
      <w:r>
        <w:t>(a)</w:t>
      </w:r>
      <w:r>
        <w:tab/>
      </w:r>
      <w:proofErr w:type="gramStart"/>
      <w:r>
        <w:t>to</w:t>
      </w:r>
      <w:proofErr w:type="gramEnd"/>
      <w:r>
        <w:t xml:space="preserve"> identify the operational context of </w:t>
      </w:r>
      <w:r w:rsidR="00845ABE">
        <w:t xml:space="preserve">the </w:t>
      </w:r>
      <w:r>
        <w:t xml:space="preserve">CI asset; and </w:t>
      </w:r>
    </w:p>
    <w:p w:rsidR="002E69BA" w:rsidRDefault="002E69BA" w:rsidP="002E69BA">
      <w:pPr>
        <w:pStyle w:val="LDP1a"/>
      </w:pPr>
      <w:r>
        <w:t>(b)</w:t>
      </w:r>
      <w:r>
        <w:tab/>
      </w:r>
      <w:proofErr w:type="gramStart"/>
      <w:r>
        <w:t>to</w:t>
      </w:r>
      <w:proofErr w:type="gramEnd"/>
      <w:r>
        <w:t xml:space="preserve"> identify the material risks to the </w:t>
      </w:r>
      <w:r w:rsidR="00707EC5">
        <w:t xml:space="preserve">CI </w:t>
      </w:r>
      <w:r>
        <w:t xml:space="preserve">asset; and </w:t>
      </w:r>
    </w:p>
    <w:p w:rsidR="002E69BA" w:rsidRDefault="002E69BA" w:rsidP="002E69BA">
      <w:pPr>
        <w:pStyle w:val="LDP1a"/>
      </w:pPr>
      <w:r>
        <w:t>(</w:t>
      </w:r>
      <w:proofErr w:type="gramStart"/>
      <w:r>
        <w:t>c</w:t>
      </w:r>
      <w:proofErr w:type="gramEnd"/>
      <w:r>
        <w:t>)</w:t>
      </w:r>
      <w:r>
        <w:tab/>
        <w:t>as far as it is reasonably practicable to do so:</w:t>
      </w:r>
    </w:p>
    <w:p w:rsidR="002E69BA" w:rsidRDefault="002E69BA" w:rsidP="002E69BA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to</w:t>
      </w:r>
      <w:proofErr w:type="gramEnd"/>
      <w:r>
        <w:t xml:space="preserve"> minimise or eliminate the material risks, </w:t>
      </w:r>
      <w:r w:rsidRPr="00192CA0">
        <w:t>which may include those mentioned in section 6; and</w:t>
      </w:r>
      <w:r>
        <w:t xml:space="preserve"> </w:t>
      </w:r>
    </w:p>
    <w:p w:rsidR="002E69BA" w:rsidRDefault="002E69BA" w:rsidP="002E69BA">
      <w:pPr>
        <w:pStyle w:val="LDP2i"/>
      </w:pPr>
      <w:r>
        <w:tab/>
        <w:t>(ii)</w:t>
      </w:r>
      <w:r>
        <w:tab/>
      </w:r>
      <w:proofErr w:type="gramStart"/>
      <w:r>
        <w:t>to</w:t>
      </w:r>
      <w:proofErr w:type="gramEnd"/>
      <w:r>
        <w:t xml:space="preserve"> mitigate the relevant impact of each hazard on the </w:t>
      </w:r>
      <w:r w:rsidR="00707EC5">
        <w:t xml:space="preserve">CI </w:t>
      </w:r>
      <w:r>
        <w:t xml:space="preserve">asset; and </w:t>
      </w:r>
    </w:p>
    <w:p w:rsidR="002E69BA" w:rsidRPr="002A0FAB" w:rsidRDefault="002E69BA" w:rsidP="002E69BA">
      <w:pPr>
        <w:pStyle w:val="LDP1a"/>
      </w:pPr>
      <w:r>
        <w:t>(</w:t>
      </w:r>
      <w:r w:rsidR="00F35569">
        <w:t>d</w:t>
      </w:r>
      <w:r>
        <w:t>)</w:t>
      </w:r>
      <w:r>
        <w:tab/>
      </w:r>
      <w:proofErr w:type="gramStart"/>
      <w:r>
        <w:t>to</w:t>
      </w:r>
      <w:proofErr w:type="gramEnd"/>
      <w:r>
        <w:t xml:space="preserve"> review the CIRMP to ensure compliance with section 30AE of the Act; and </w:t>
      </w:r>
    </w:p>
    <w:p w:rsidR="002E69BA" w:rsidRDefault="002E69BA" w:rsidP="002E69BA">
      <w:pPr>
        <w:pStyle w:val="LDP1a"/>
      </w:pPr>
      <w:r>
        <w:t>(</w:t>
      </w:r>
      <w:r w:rsidR="00F35569">
        <w:t>e</w:t>
      </w:r>
      <w:r>
        <w:t>)</w:t>
      </w:r>
      <w:r>
        <w:tab/>
      </w:r>
      <w:proofErr w:type="gramStart"/>
      <w:r>
        <w:t>to</w:t>
      </w:r>
      <w:proofErr w:type="gramEnd"/>
      <w:r>
        <w:t xml:space="preserve"> keep the CIRMP current to ensure it complies with section 30AF of the Act.</w:t>
      </w:r>
    </w:p>
    <w:p w:rsidR="002E69BA" w:rsidRDefault="002E69BA" w:rsidP="002E69BA">
      <w:pPr>
        <w:pStyle w:val="LDSec1"/>
      </w:pPr>
      <w:r>
        <w:tab/>
        <w:t>(2)</w:t>
      </w:r>
      <w:r>
        <w:tab/>
        <w:t>For subsections </w:t>
      </w:r>
      <w:proofErr w:type="gramStart"/>
      <w:r>
        <w:t>30AKA(</w:t>
      </w:r>
      <w:proofErr w:type="gramEnd"/>
      <w:r>
        <w:t>1), (3) and (5) of the Act,</w:t>
      </w:r>
      <w:r w:rsidDel="00915BD5">
        <w:t xml:space="preserve"> </w:t>
      </w:r>
      <w:r>
        <w:t xml:space="preserve">a responsible entity must have regard to whether the </w:t>
      </w:r>
      <w:r w:rsidR="00845ABE">
        <w:t xml:space="preserve">entity’s </w:t>
      </w:r>
      <w:r>
        <w:t>CIRMP:</w:t>
      </w:r>
    </w:p>
    <w:p w:rsidR="002E69BA" w:rsidRDefault="002E69BA" w:rsidP="002E69BA">
      <w:pPr>
        <w:pStyle w:val="LDP1a"/>
      </w:pPr>
      <w:r>
        <w:t>(a)</w:t>
      </w:r>
      <w:r>
        <w:tab/>
      </w:r>
      <w:proofErr w:type="gramStart"/>
      <w:r>
        <w:t>describes</w:t>
      </w:r>
      <w:proofErr w:type="gramEnd"/>
      <w:r>
        <w:t xml:space="preserve"> the outcome of the process or system mentioned in paragraph (1)(a); </w:t>
      </w:r>
    </w:p>
    <w:p w:rsidR="002E69BA" w:rsidRDefault="002E69BA" w:rsidP="002E69BA">
      <w:pPr>
        <w:pStyle w:val="LDP1a"/>
      </w:pPr>
      <w:r>
        <w:t>(</w:t>
      </w:r>
      <w:proofErr w:type="gramStart"/>
      <w:r>
        <w:t>b</w:t>
      </w:r>
      <w:proofErr w:type="gramEnd"/>
      <w:r>
        <w:t>)</w:t>
      </w:r>
      <w:r>
        <w:tab/>
        <w:t xml:space="preserve">describes interdependencies between the entity’s CI asset and other CI assets; </w:t>
      </w:r>
    </w:p>
    <w:p w:rsidR="008D7C7C" w:rsidRDefault="008D7C7C" w:rsidP="002E69BA">
      <w:pPr>
        <w:pStyle w:val="LDP1a"/>
      </w:pPr>
    </w:p>
    <w:p w:rsidR="002E69BA" w:rsidRDefault="002E69BA" w:rsidP="002E69BA">
      <w:pPr>
        <w:pStyle w:val="LDP1a"/>
      </w:pPr>
      <w:r>
        <w:lastRenderedPageBreak/>
        <w:t>(c)</w:t>
      </w:r>
      <w:r>
        <w:tab/>
      </w:r>
      <w:proofErr w:type="gramStart"/>
      <w:r>
        <w:t>identifies</w:t>
      </w:r>
      <w:proofErr w:type="gramEnd"/>
      <w:r>
        <w:t xml:space="preserve"> each position within the entity: </w:t>
      </w:r>
    </w:p>
    <w:p w:rsidR="002E69BA" w:rsidRDefault="002E69BA" w:rsidP="002E69BA">
      <w:pPr>
        <w:pStyle w:val="LDP2i"/>
      </w:pP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  <w:t xml:space="preserve">that is responsible for developing and implementing the CIRMP; and </w:t>
      </w:r>
    </w:p>
    <w:p w:rsidR="002E69BA" w:rsidRDefault="002E69BA" w:rsidP="002E69BA">
      <w:pPr>
        <w:pStyle w:val="LDP2i"/>
      </w:pPr>
      <w:r>
        <w:tab/>
        <w:t>(ii)</w:t>
      </w:r>
      <w:r>
        <w:tab/>
      </w:r>
      <w:proofErr w:type="gramStart"/>
      <w:r>
        <w:t>for</w:t>
      </w:r>
      <w:proofErr w:type="gramEnd"/>
      <w:r>
        <w:t xml:space="preserve"> the processes mentioned in paragraph (1)(d)—that is responsible for reviewing the CIRMP or keeping the CIRMP up to date; </w:t>
      </w:r>
    </w:p>
    <w:p w:rsidR="002E69BA" w:rsidRDefault="002E69BA" w:rsidP="002E69BA">
      <w:pPr>
        <w:pStyle w:val="LDP1a"/>
      </w:pPr>
      <w:r>
        <w:t>(</w:t>
      </w:r>
      <w:proofErr w:type="gramStart"/>
      <w:r>
        <w:t>d</w:t>
      </w:r>
      <w:proofErr w:type="gramEnd"/>
      <w:r>
        <w:t>)</w:t>
      </w:r>
      <w:r>
        <w:tab/>
        <w:t xml:space="preserve">contains the contact details for the positions described under paragraph (c); </w:t>
      </w:r>
    </w:p>
    <w:p w:rsidR="002E69BA" w:rsidRDefault="002E69BA" w:rsidP="002E69BA">
      <w:pPr>
        <w:pStyle w:val="LDP1a"/>
      </w:pPr>
      <w:r>
        <w:t>(</w:t>
      </w:r>
      <w:proofErr w:type="gramStart"/>
      <w:r>
        <w:t>e</w:t>
      </w:r>
      <w:proofErr w:type="gramEnd"/>
      <w:r>
        <w:t>)</w:t>
      </w:r>
      <w:r>
        <w:tab/>
        <w:t xml:space="preserve">contains a risk management methodology; </w:t>
      </w:r>
    </w:p>
    <w:p w:rsidR="00E61823" w:rsidRDefault="002E69BA" w:rsidP="002E69BA">
      <w:pPr>
        <w:pStyle w:val="LDP1a"/>
      </w:pPr>
      <w:r>
        <w:t>(f)</w:t>
      </w:r>
      <w:r>
        <w:tab/>
      </w:r>
      <w:proofErr w:type="gramStart"/>
      <w:r>
        <w:t>describes</w:t>
      </w:r>
      <w:proofErr w:type="gramEnd"/>
      <w:r>
        <w:t xml:space="preserve"> the circumstances in which the entity will review the CIRMP. </w:t>
      </w:r>
    </w:p>
    <w:bookmarkStart w:id="25" w:name="_Toc94781089"/>
    <w:p w:rsidR="00444CE6" w:rsidRDefault="00424DDF" w:rsidP="00520D19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26" w:name="_Toc120879066"/>
      <w:r w:rsidR="00EF61EA">
        <w:rPr>
          <w:noProof/>
        </w:rPr>
        <w:t>8</w:t>
      </w:r>
      <w:r>
        <w:rPr>
          <w:noProof/>
        </w:rPr>
        <w:fldChar w:fldCharType="end"/>
      </w:r>
      <w:r w:rsidR="00520D19">
        <w:tab/>
      </w:r>
      <w:r w:rsidR="00835459">
        <w:t>Cyber and information security</w:t>
      </w:r>
      <w:bookmarkEnd w:id="25"/>
      <w:r w:rsidR="00531108">
        <w:t xml:space="preserve"> hazards</w:t>
      </w:r>
      <w:bookmarkEnd w:id="26"/>
    </w:p>
    <w:p w:rsidR="00957B76" w:rsidRDefault="008B6533">
      <w:pPr>
        <w:pStyle w:val="LDSec1"/>
      </w:pPr>
      <w:r w:rsidRPr="00807F7D">
        <w:tab/>
        <w:t>(1)</w:t>
      </w:r>
      <w:r w:rsidRPr="00807F7D">
        <w:tab/>
      </w:r>
      <w:r w:rsidR="007C38C9" w:rsidRPr="00807F7D">
        <w:t>For paragraph </w:t>
      </w:r>
      <w:proofErr w:type="gramStart"/>
      <w:r w:rsidR="007C38C9" w:rsidRPr="00807F7D">
        <w:t>30AH(</w:t>
      </w:r>
      <w:proofErr w:type="gramEnd"/>
      <w:r w:rsidR="007F2C42" w:rsidRPr="00807F7D">
        <w:t>1</w:t>
      </w:r>
      <w:r w:rsidR="007C38C9" w:rsidRPr="00101F00">
        <w:t xml:space="preserve">)(c) of the Act, </w:t>
      </w:r>
      <w:r w:rsidR="00957B76">
        <w:t xml:space="preserve">subsections (2) and (3) specify requirements for cyber and information security hazards. </w:t>
      </w:r>
    </w:p>
    <w:p w:rsidR="00957B76" w:rsidRDefault="00957B76" w:rsidP="00957B76">
      <w:pPr>
        <w:pStyle w:val="LDSec1"/>
      </w:pPr>
      <w:r>
        <w:tab/>
        <w:t>(2)</w:t>
      </w:r>
      <w:r>
        <w:tab/>
      </w:r>
      <w:r w:rsidR="00845ABE">
        <w:t xml:space="preserve">A </w:t>
      </w:r>
      <w:r>
        <w:t>responsible entity must establish and maintain a process or system</w:t>
      </w:r>
      <w:r w:rsidRPr="00CF10B1">
        <w:t xml:space="preserve"> </w:t>
      </w:r>
      <w:r>
        <w:t>in the CIRMP</w:t>
      </w:r>
      <w:r w:rsidR="00E310CA">
        <w:t xml:space="preserve"> to</w:t>
      </w:r>
      <w:r w:rsidR="00526C5A">
        <w:t>—as far as it is reasonably practicable to do so</w:t>
      </w:r>
      <w:r>
        <w:t xml:space="preserve">: </w:t>
      </w:r>
    </w:p>
    <w:p w:rsidR="00957B76" w:rsidRDefault="00957B76" w:rsidP="00957B76">
      <w:pPr>
        <w:pStyle w:val="LDP1a"/>
      </w:pPr>
      <w:r>
        <w:t>(a)</w:t>
      </w:r>
      <w:r>
        <w:tab/>
      </w:r>
      <w:proofErr w:type="gramStart"/>
      <w:r>
        <w:t>minimise</w:t>
      </w:r>
      <w:proofErr w:type="gramEnd"/>
      <w:r>
        <w:t xml:space="preserve"> or eliminate a</w:t>
      </w:r>
      <w:r w:rsidR="00D166B1">
        <w:t>ny</w:t>
      </w:r>
      <w:r>
        <w:t xml:space="preserve"> material risk </w:t>
      </w:r>
      <w:r w:rsidR="00D166B1">
        <w:t>of</w:t>
      </w:r>
      <w:r>
        <w:t xml:space="preserve"> a cyber and information security hazard </w:t>
      </w:r>
      <w:r w:rsidR="00D166B1">
        <w:t>occurring</w:t>
      </w:r>
      <w:r>
        <w:t xml:space="preserve">; and </w:t>
      </w:r>
    </w:p>
    <w:p w:rsidR="00957B76" w:rsidRDefault="00957B76" w:rsidP="00957B76">
      <w:pPr>
        <w:pStyle w:val="LDP1a"/>
      </w:pPr>
      <w:r>
        <w:t>(b)</w:t>
      </w:r>
      <w:r>
        <w:tab/>
      </w:r>
      <w:proofErr w:type="gramStart"/>
      <w:r>
        <w:t>mitigate</w:t>
      </w:r>
      <w:proofErr w:type="gramEnd"/>
      <w:r>
        <w:t xml:space="preserve"> the relevant impact of a cyber and information security hazard on the </w:t>
      </w:r>
      <w:r w:rsidR="00707EC5">
        <w:t xml:space="preserve">CI </w:t>
      </w:r>
      <w:r>
        <w:t xml:space="preserve">asset.  </w:t>
      </w:r>
    </w:p>
    <w:p w:rsidR="00957B76" w:rsidRDefault="00957B76">
      <w:pPr>
        <w:pStyle w:val="LDSec1"/>
      </w:pPr>
      <w:r>
        <w:tab/>
        <w:t>(3)</w:t>
      </w:r>
      <w:r>
        <w:tab/>
        <w:t>Wi</w:t>
      </w:r>
      <w:r w:rsidRPr="00957B76">
        <w:t>thin 12 months after the</w:t>
      </w:r>
      <w:r w:rsidR="00AE63A8">
        <w:t xml:space="preserve"> end of the applicable</w:t>
      </w:r>
      <w:r w:rsidRPr="00957B76">
        <w:t xml:space="preserve"> </w:t>
      </w:r>
      <w:r>
        <w:t>period mentioned in subsection 4(</w:t>
      </w:r>
      <w:r w:rsidR="00E310CA">
        <w:t>2</w:t>
      </w:r>
      <w:r w:rsidRPr="00957B76">
        <w:t>), a responsible entity</w:t>
      </w:r>
      <w:r>
        <w:t xml:space="preserve"> must comply with subsection</w:t>
      </w:r>
      <w:r w:rsidR="007976D6">
        <w:t> </w:t>
      </w:r>
      <w:r>
        <w:t>(4</w:t>
      </w:r>
      <w:r w:rsidRPr="00957B76">
        <w:t xml:space="preserve">) </w:t>
      </w:r>
      <w:r>
        <w:t>or (5</w:t>
      </w:r>
      <w:r w:rsidRPr="00957B76">
        <w:t>).</w:t>
      </w:r>
    </w:p>
    <w:p w:rsidR="00444CE6" w:rsidRDefault="00444CE6" w:rsidP="00842AF5">
      <w:pPr>
        <w:pStyle w:val="LDSec1"/>
      </w:pPr>
      <w:r>
        <w:tab/>
        <w:t>(</w:t>
      </w:r>
      <w:r w:rsidR="00957B76">
        <w:t>4</w:t>
      </w:r>
      <w:r>
        <w:t>)</w:t>
      </w:r>
      <w:r>
        <w:tab/>
      </w:r>
      <w:r w:rsidR="00707EC5">
        <w:t xml:space="preserve">A </w:t>
      </w:r>
      <w:r w:rsidR="00B64FB9">
        <w:t>responsible</w:t>
      </w:r>
      <w:r w:rsidR="001D6BB2">
        <w:t xml:space="preserve"> </w:t>
      </w:r>
      <w:r>
        <w:t xml:space="preserve">entity </w:t>
      </w:r>
      <w:r w:rsidR="00842AF5">
        <w:t>must establish and maintain a process or system</w:t>
      </w:r>
      <w:r w:rsidR="00842AF5" w:rsidRPr="00CF10B1">
        <w:t xml:space="preserve"> </w:t>
      </w:r>
      <w:r w:rsidR="00842AF5">
        <w:t xml:space="preserve">in the </w:t>
      </w:r>
      <w:r w:rsidR="00842AF5" w:rsidRPr="00842AF5">
        <w:t>CIRMP</w:t>
      </w:r>
      <w:r w:rsidR="00842AF5" w:rsidDel="00842AF5">
        <w:t xml:space="preserve"> </w:t>
      </w:r>
      <w:r w:rsidR="00842AF5">
        <w:t>to</w:t>
      </w:r>
      <w:r>
        <w:t>:</w:t>
      </w:r>
    </w:p>
    <w:p w:rsidR="00835459" w:rsidRDefault="00835459" w:rsidP="00835459">
      <w:pPr>
        <w:pStyle w:val="LDP1a"/>
      </w:pPr>
      <w:r>
        <w:t>(a)</w:t>
      </w:r>
      <w:r>
        <w:tab/>
      </w:r>
      <w:proofErr w:type="gramStart"/>
      <w:r>
        <w:t>comply</w:t>
      </w:r>
      <w:proofErr w:type="gramEnd"/>
      <w:r>
        <w:t xml:space="preserve"> with a framework contained in a document </w:t>
      </w:r>
      <w:r w:rsidR="00DE7650">
        <w:t>mentioned</w:t>
      </w:r>
      <w:r>
        <w:t xml:space="preserve"> in the following table</w:t>
      </w:r>
      <w:r w:rsidR="006D178E">
        <w:t xml:space="preserve"> as in force from time to time</w:t>
      </w:r>
      <w:r>
        <w:t xml:space="preserve">; and </w:t>
      </w:r>
    </w:p>
    <w:p w:rsidR="00835459" w:rsidRDefault="00835459" w:rsidP="00835459">
      <w:pPr>
        <w:pStyle w:val="LDP1a"/>
      </w:pPr>
      <w:r>
        <w:t>(b)</w:t>
      </w:r>
      <w:r>
        <w:tab/>
      </w:r>
      <w:proofErr w:type="gramStart"/>
      <w:r w:rsidR="000F66CC">
        <w:t>meet</w:t>
      </w:r>
      <w:proofErr w:type="gramEnd"/>
      <w:r w:rsidR="000F66CC">
        <w:t xml:space="preserve"> any</w:t>
      </w:r>
      <w:r>
        <w:t xml:space="preserve"> conditions mentioned </w:t>
      </w:r>
      <w:r w:rsidR="000F66CC">
        <w:t xml:space="preserve">in the table </w:t>
      </w:r>
      <w:r w:rsidR="00DE7650">
        <w:t>for the document</w:t>
      </w:r>
      <w:r>
        <w:t xml:space="preserve">.  </w:t>
      </w:r>
    </w:p>
    <w:tbl>
      <w:tblPr>
        <w:tblStyle w:val="TableGrid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75"/>
        <w:gridCol w:w="3475"/>
      </w:tblGrid>
      <w:tr w:rsidR="00835459" w:rsidRPr="000D081D" w:rsidTr="004C68EC">
        <w:trPr>
          <w:cantSplit/>
          <w:tblHeader/>
        </w:trPr>
        <w:tc>
          <w:tcPr>
            <w:tcW w:w="818" w:type="dxa"/>
            <w:tcBorders>
              <w:bottom w:val="single" w:sz="4" w:space="0" w:color="auto"/>
            </w:tcBorders>
          </w:tcPr>
          <w:p w:rsidR="00835459" w:rsidRPr="000D081D" w:rsidRDefault="00835459" w:rsidP="00567EB5">
            <w:pPr>
              <w:pStyle w:val="LDTableheading"/>
            </w:pPr>
            <w:r w:rsidRPr="000D081D">
              <w:t>Item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835459" w:rsidRPr="000D081D" w:rsidRDefault="00835459" w:rsidP="00567EB5">
            <w:pPr>
              <w:pStyle w:val="LDTableheading"/>
            </w:pPr>
            <w:r>
              <w:t>Document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835459" w:rsidRPr="000D081D" w:rsidRDefault="00835459" w:rsidP="00567EB5">
            <w:pPr>
              <w:pStyle w:val="LDTableheading"/>
            </w:pPr>
            <w:r>
              <w:t>Condition</w:t>
            </w:r>
          </w:p>
        </w:tc>
      </w:tr>
      <w:tr w:rsidR="00276536" w:rsidRPr="0059331C" w:rsidTr="004C68EC">
        <w:trPr>
          <w:cantSplit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59331C" w:rsidRDefault="00276536" w:rsidP="00276536">
            <w:pPr>
              <w:pStyle w:val="LDTabletext"/>
            </w:pPr>
            <w:r>
              <w:t>1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Default="00276536" w:rsidP="00276536">
            <w:pPr>
              <w:pStyle w:val="LDTabletext"/>
              <w:rPr>
                <w:i/>
              </w:rPr>
            </w:pPr>
            <w:r>
              <w:t xml:space="preserve">Australian Standard </w:t>
            </w:r>
            <w:r>
              <w:rPr>
                <w:i/>
              </w:rPr>
              <w:t>AS ISO/IEC 27001:2015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Default="00276536" w:rsidP="00276536">
            <w:pPr>
              <w:pStyle w:val="LDTabletext"/>
            </w:pPr>
          </w:p>
        </w:tc>
      </w:tr>
      <w:tr w:rsidR="00276536" w:rsidRPr="0059331C" w:rsidTr="004C68EC">
        <w:trPr>
          <w:cantSplit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59331C" w:rsidRDefault="00276536" w:rsidP="00276536">
            <w:pPr>
              <w:pStyle w:val="LDTabletext"/>
            </w:pPr>
            <w:r>
              <w:t>2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835459" w:rsidRDefault="00276536" w:rsidP="00276536">
            <w:pPr>
              <w:pStyle w:val="LDTabletext"/>
            </w:pPr>
            <w:r>
              <w:rPr>
                <w:i/>
              </w:rPr>
              <w:t>Essential Eight Maturity Model</w:t>
            </w:r>
            <w:r>
              <w:t xml:space="preserve"> published by the Australian Signals Directorate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59331C" w:rsidRDefault="000F66CC" w:rsidP="00363437">
            <w:pPr>
              <w:pStyle w:val="LDTabletext"/>
            </w:pPr>
            <w:r>
              <w:t>M</w:t>
            </w:r>
            <w:r w:rsidR="00276536">
              <w:t>eet maturity level one as indicated in the document</w:t>
            </w:r>
          </w:p>
        </w:tc>
      </w:tr>
      <w:tr w:rsidR="00276536" w:rsidRPr="000D081D" w:rsidTr="004C68EC">
        <w:trPr>
          <w:cantSplit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0D081D" w:rsidRDefault="00276536" w:rsidP="00276536">
            <w:pPr>
              <w:pStyle w:val="LDTabletext"/>
            </w:pPr>
            <w:r>
              <w:t>3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6D178E" w:rsidRDefault="00276536" w:rsidP="00276536">
            <w:pPr>
              <w:pStyle w:val="LDTabletext"/>
            </w:pPr>
            <w:r>
              <w:rPr>
                <w:i/>
              </w:rPr>
              <w:t>Framework for Improving Critical Infrastructure Cybersecurity</w:t>
            </w:r>
            <w:r>
              <w:t xml:space="preserve"> published by the National Institute of Standards and Technology of the United States of America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0D081D" w:rsidRDefault="00276536" w:rsidP="00276536">
            <w:pPr>
              <w:pStyle w:val="LDTabletext"/>
            </w:pPr>
          </w:p>
        </w:tc>
      </w:tr>
      <w:tr w:rsidR="00276536" w:rsidRPr="000D081D" w:rsidTr="004C68EC">
        <w:trPr>
          <w:cantSplit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0D081D" w:rsidRDefault="00276536" w:rsidP="00276536">
            <w:pPr>
              <w:pStyle w:val="LDTabletext"/>
            </w:pPr>
            <w:r>
              <w:t>4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0D081D" w:rsidRDefault="00276536" w:rsidP="00276536">
            <w:pPr>
              <w:pStyle w:val="LDTabletext"/>
            </w:pPr>
            <w:r w:rsidRPr="004C68EC">
              <w:rPr>
                <w:i/>
              </w:rPr>
              <w:t>Cybersecurity Capability Maturity Model</w:t>
            </w:r>
            <w:r w:rsidRPr="004C68EC">
              <w:t xml:space="preserve"> published by the Department of Energy of the United States of America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0D081D" w:rsidRDefault="000F66CC" w:rsidP="00276536">
            <w:pPr>
              <w:pStyle w:val="LDTabletext"/>
            </w:pPr>
            <w:r>
              <w:t>M</w:t>
            </w:r>
            <w:r w:rsidR="00276536">
              <w:t>eet Maturity Indicator Level 1 as indicated in the document</w:t>
            </w:r>
          </w:p>
        </w:tc>
      </w:tr>
      <w:tr w:rsidR="00276536" w:rsidRPr="000D081D" w:rsidTr="004C68EC">
        <w:trPr>
          <w:cantSplit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0D081D" w:rsidRDefault="00276536" w:rsidP="00276536">
            <w:pPr>
              <w:pStyle w:val="LDTabletext"/>
            </w:pPr>
            <w:r>
              <w:t>5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6D178E" w:rsidRDefault="00276536" w:rsidP="00276536">
            <w:pPr>
              <w:pStyle w:val="LDTabletext"/>
            </w:pPr>
            <w:r>
              <w:rPr>
                <w:i/>
              </w:rPr>
              <w:t>The 2020</w:t>
            </w:r>
            <w:r>
              <w:rPr>
                <w:i/>
              </w:rPr>
              <w:noBreakHyphen/>
              <w:t>21 AESCSF Framework Core</w:t>
            </w:r>
            <w:r>
              <w:t xml:space="preserve"> published by Australian Energy Market Operator Limited (ACN 072 010 327)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276536" w:rsidRPr="000D081D" w:rsidRDefault="000F66CC" w:rsidP="00276536">
            <w:pPr>
              <w:pStyle w:val="LDTabletext"/>
            </w:pPr>
            <w:r>
              <w:t>M</w:t>
            </w:r>
            <w:r w:rsidR="00276536">
              <w:t>eet Security Profile 1 as indicated in the document</w:t>
            </w:r>
          </w:p>
        </w:tc>
      </w:tr>
    </w:tbl>
    <w:p w:rsidR="006D178E" w:rsidRPr="006D178E" w:rsidRDefault="006D178E" w:rsidP="006D178E">
      <w:pPr>
        <w:pStyle w:val="LDNote"/>
      </w:pPr>
      <w:r>
        <w:rPr>
          <w:i/>
        </w:rPr>
        <w:t>Note</w:t>
      </w:r>
      <w:r>
        <w:rPr>
          <w:i/>
        </w:rPr>
        <w:tab/>
      </w:r>
      <w:r>
        <w:t xml:space="preserve">Sections 30AN and 30ANA of the Act provide for the incorporation of the documents mentioned in this subsection as in force from time to time.  </w:t>
      </w:r>
    </w:p>
    <w:p w:rsidR="00444CE6" w:rsidRDefault="00444CE6" w:rsidP="0079511D">
      <w:pPr>
        <w:pStyle w:val="LDSec1"/>
      </w:pPr>
      <w:r>
        <w:lastRenderedPageBreak/>
        <w:tab/>
        <w:t>(</w:t>
      </w:r>
      <w:r w:rsidR="00957B76">
        <w:t>5</w:t>
      </w:r>
      <w:r>
        <w:t>)</w:t>
      </w:r>
      <w:r>
        <w:tab/>
      </w:r>
      <w:r w:rsidR="00707EC5">
        <w:t xml:space="preserve">A </w:t>
      </w:r>
      <w:r w:rsidR="00336F37">
        <w:t xml:space="preserve">responsible </w:t>
      </w:r>
      <w:r>
        <w:t xml:space="preserve">entity must </w:t>
      </w:r>
      <w:r w:rsidR="00AE63A8">
        <w:t>establish and maintain a process or system</w:t>
      </w:r>
      <w:r w:rsidR="00AE63A8" w:rsidRPr="00CF10B1">
        <w:t xml:space="preserve"> </w:t>
      </w:r>
      <w:r w:rsidR="00AE63A8">
        <w:t xml:space="preserve">in the </w:t>
      </w:r>
      <w:r w:rsidR="00845ABE">
        <w:t xml:space="preserve">entity’s </w:t>
      </w:r>
      <w:r w:rsidR="00AE63A8" w:rsidRPr="00842AF5">
        <w:t>CIRMP</w:t>
      </w:r>
      <w:r w:rsidR="00AE63A8" w:rsidDel="00842AF5">
        <w:t xml:space="preserve"> </w:t>
      </w:r>
      <w:r w:rsidR="00AE63A8">
        <w:t xml:space="preserve">to </w:t>
      </w:r>
      <w:r>
        <w:t>comply with a framework that is equivalent to a framework in a document mentioned in subsection (</w:t>
      </w:r>
      <w:r w:rsidR="00D166B1">
        <w:t>4</w:t>
      </w:r>
      <w:r>
        <w:t>), including a</w:t>
      </w:r>
      <w:r w:rsidR="00631236">
        <w:t>ny</w:t>
      </w:r>
      <w:r>
        <w:t xml:space="preserve"> condition</w:t>
      </w:r>
      <w:r w:rsidR="00631236">
        <w:t>s</w:t>
      </w:r>
      <w:r>
        <w:t xml:space="preserve">.  </w:t>
      </w:r>
    </w:p>
    <w:p w:rsidR="008F185B" w:rsidRDefault="006534D1">
      <w:pPr>
        <w:pStyle w:val="LDSec1"/>
      </w:pPr>
      <w:r>
        <w:tab/>
        <w:t>(</w:t>
      </w:r>
      <w:r w:rsidR="00957B76">
        <w:t>6</w:t>
      </w:r>
      <w:r>
        <w:t>)</w:t>
      </w:r>
      <w:r>
        <w:tab/>
      </w:r>
      <w:r w:rsidR="002F04D4">
        <w:t>For subsections </w:t>
      </w:r>
      <w:proofErr w:type="gramStart"/>
      <w:r w:rsidR="002F04D4">
        <w:t>30AKA(</w:t>
      </w:r>
      <w:proofErr w:type="gramEnd"/>
      <w:r w:rsidR="002F04D4">
        <w:t>1), (3) and (5) of the Act,</w:t>
      </w:r>
      <w:r w:rsidR="002F04D4" w:rsidDel="00915BD5">
        <w:t xml:space="preserve"> </w:t>
      </w:r>
      <w:r w:rsidR="002F04D4">
        <w:t xml:space="preserve">a responsible entity must have regard to whether the </w:t>
      </w:r>
      <w:r w:rsidR="00845ABE">
        <w:t xml:space="preserve">entity’s </w:t>
      </w:r>
      <w:r w:rsidR="006D2D63">
        <w:t>CIRMP</w:t>
      </w:r>
      <w:r w:rsidR="002F04D4">
        <w:t xml:space="preserve"> describes </w:t>
      </w:r>
      <w:r>
        <w:t xml:space="preserve">the cyber and information security </w:t>
      </w:r>
      <w:r w:rsidR="00806E9B">
        <w:t>hazard</w:t>
      </w:r>
      <w:r>
        <w:t xml:space="preserve">s </w:t>
      </w:r>
      <w:r w:rsidR="00B019CA">
        <w:t xml:space="preserve">that </w:t>
      </w:r>
      <w:r>
        <w:t xml:space="preserve">could have a relevant impact on the asset.  </w:t>
      </w:r>
    </w:p>
    <w:bookmarkStart w:id="27" w:name="_Toc94781090"/>
    <w:p w:rsidR="00377353" w:rsidRDefault="00424DDF" w:rsidP="00377353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28" w:name="_Toc120879067"/>
      <w:r w:rsidR="00EF61EA">
        <w:rPr>
          <w:noProof/>
        </w:rPr>
        <w:t>9</w:t>
      </w:r>
      <w:r>
        <w:rPr>
          <w:noProof/>
        </w:rPr>
        <w:fldChar w:fldCharType="end"/>
      </w:r>
      <w:r w:rsidR="00377353">
        <w:rPr>
          <w:noProof/>
        </w:rPr>
        <w:tab/>
        <w:t>Personnel</w:t>
      </w:r>
      <w:r w:rsidR="007E572A">
        <w:rPr>
          <w:noProof/>
        </w:rPr>
        <w:t xml:space="preserve"> hazards</w:t>
      </w:r>
      <w:bookmarkEnd w:id="27"/>
      <w:bookmarkEnd w:id="28"/>
    </w:p>
    <w:p w:rsidR="00336F37" w:rsidRDefault="00B64FB9" w:rsidP="00336F37">
      <w:pPr>
        <w:pStyle w:val="LDSec1"/>
        <w:keepNext/>
      </w:pPr>
      <w:r>
        <w:tab/>
        <w:t>(1)</w:t>
      </w:r>
      <w:r>
        <w:tab/>
        <w:t>For paragraph </w:t>
      </w:r>
      <w:proofErr w:type="gramStart"/>
      <w:r>
        <w:t>30AH(</w:t>
      </w:r>
      <w:proofErr w:type="gramEnd"/>
      <w:r>
        <w:t xml:space="preserve">1)(c) of the Act, </w:t>
      </w:r>
      <w:r w:rsidR="00336F37">
        <w:t xml:space="preserve">for personnel hazards, a responsible entity must establish and maintain a process or system in the entity’s </w:t>
      </w:r>
      <w:r w:rsidR="006D2D63">
        <w:t>CIRMP</w:t>
      </w:r>
      <w:r w:rsidR="00336F37">
        <w:t xml:space="preserve">: </w:t>
      </w:r>
    </w:p>
    <w:p w:rsidR="00336F37" w:rsidRDefault="00336F37" w:rsidP="00336F37">
      <w:pPr>
        <w:pStyle w:val="LDP1a"/>
      </w:pPr>
      <w:r>
        <w:t>(a)</w:t>
      </w:r>
      <w:r>
        <w:tab/>
      </w:r>
      <w:proofErr w:type="gramStart"/>
      <w:r w:rsidR="00807F7D">
        <w:t>to</w:t>
      </w:r>
      <w:proofErr w:type="gramEnd"/>
      <w:r w:rsidR="00807F7D">
        <w:t xml:space="preserve"> </w:t>
      </w:r>
      <w:r>
        <w:t xml:space="preserve">identify the entity’s critical workers; and </w:t>
      </w:r>
    </w:p>
    <w:p w:rsidR="00336F37" w:rsidRDefault="00336F37" w:rsidP="00336F37">
      <w:pPr>
        <w:pStyle w:val="LDP1a"/>
      </w:pPr>
      <w:r>
        <w:t>(b)</w:t>
      </w:r>
      <w:r>
        <w:tab/>
      </w:r>
      <w:proofErr w:type="gramStart"/>
      <w:r w:rsidR="00807F7D">
        <w:t>to</w:t>
      </w:r>
      <w:proofErr w:type="gramEnd"/>
      <w:r w:rsidR="00807F7D">
        <w:t xml:space="preserve"> </w:t>
      </w:r>
      <w:r w:rsidR="00D24BB3">
        <w:t>permit</w:t>
      </w:r>
      <w:r>
        <w:t xml:space="preserve"> a critical worker access to critical components of the </w:t>
      </w:r>
      <w:r w:rsidR="006D2D63">
        <w:t>CI asset</w:t>
      </w:r>
      <w:r w:rsidR="00D24BB3">
        <w:t xml:space="preserve"> only where the critical worker has been assessed to be suitable to have such access</w:t>
      </w:r>
      <w:r>
        <w:t>; and</w:t>
      </w:r>
    </w:p>
    <w:p w:rsidR="00C30BFD" w:rsidRDefault="00336F37" w:rsidP="00336F37">
      <w:pPr>
        <w:pStyle w:val="LDP1a"/>
      </w:pPr>
      <w:r>
        <w:t>(</w:t>
      </w:r>
      <w:proofErr w:type="gramStart"/>
      <w:r>
        <w:t>c</w:t>
      </w:r>
      <w:proofErr w:type="gramEnd"/>
      <w:r>
        <w:t>)</w:t>
      </w:r>
      <w:r>
        <w:tab/>
      </w:r>
      <w:r w:rsidR="00D429D4">
        <w:t>as far as it is reasonably practicable to do so—</w:t>
      </w:r>
      <w:r w:rsidR="00807F7D">
        <w:t xml:space="preserve">to </w:t>
      </w:r>
      <w:r>
        <w:t xml:space="preserve">minimise or eliminate </w:t>
      </w:r>
      <w:r w:rsidR="0027745E">
        <w:t xml:space="preserve">the following </w:t>
      </w:r>
      <w:r>
        <w:t>material risks</w:t>
      </w:r>
      <w:r w:rsidR="00C30BFD">
        <w:t>:</w:t>
      </w:r>
    </w:p>
    <w:p w:rsidR="00C30BFD" w:rsidRDefault="00C30BFD" w:rsidP="002E69BA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5630A3">
        <w:t>arising</w:t>
      </w:r>
      <w:proofErr w:type="gramEnd"/>
      <w:r w:rsidR="005630A3">
        <w:t xml:space="preserve"> from </w:t>
      </w:r>
      <w:r w:rsidR="005363C3">
        <w:t xml:space="preserve">malicious or </w:t>
      </w:r>
      <w:r w:rsidR="00336F37">
        <w:t>negligent employees</w:t>
      </w:r>
      <w:r w:rsidR="00A84214">
        <w:t xml:space="preserve"> or</w:t>
      </w:r>
      <w:r w:rsidR="00D166B1">
        <w:t xml:space="preserve"> </w:t>
      </w:r>
      <w:r w:rsidR="00D166B1" w:rsidRPr="003059D7">
        <w:t>contractors</w:t>
      </w:r>
      <w:r w:rsidR="00D166B1" w:rsidRPr="00E605D7">
        <w:t>;</w:t>
      </w:r>
      <w:r w:rsidR="00D166B1">
        <w:t xml:space="preserve"> </w:t>
      </w:r>
      <w:r w:rsidR="00336F37">
        <w:t>and</w:t>
      </w:r>
    </w:p>
    <w:p w:rsidR="00BF0D1D" w:rsidRPr="008D7C7C" w:rsidRDefault="00C30BFD" w:rsidP="002E69BA">
      <w:pPr>
        <w:pStyle w:val="LDP2i"/>
        <w:rPr>
          <w:i/>
        </w:rPr>
      </w:pPr>
      <w:r>
        <w:tab/>
        <w:t>(ii)</w:t>
      </w:r>
      <w:r>
        <w:tab/>
      </w:r>
      <w:proofErr w:type="gramStart"/>
      <w:r w:rsidR="005630A3">
        <w:t>arising</w:t>
      </w:r>
      <w:proofErr w:type="gramEnd"/>
      <w:r w:rsidR="005630A3">
        <w:t xml:space="preserve"> from </w:t>
      </w:r>
      <w:r>
        <w:t>the off-boarding process for outgoing employees and contractors</w:t>
      </w:r>
      <w:r w:rsidR="00D24BB3" w:rsidRPr="008D7C7C">
        <w:t>.</w:t>
      </w:r>
      <w:r w:rsidR="001A5C12" w:rsidRPr="008D7C7C">
        <w:tab/>
      </w:r>
    </w:p>
    <w:p w:rsidR="000F66CC" w:rsidRDefault="00336F37" w:rsidP="00377353">
      <w:pPr>
        <w:pStyle w:val="LDSec1"/>
      </w:pPr>
      <w:r w:rsidRPr="00EC150C">
        <w:tab/>
        <w:t>(2</w:t>
      </w:r>
      <w:r w:rsidR="000F66CC" w:rsidRPr="00807F7D">
        <w:t>)</w:t>
      </w:r>
      <w:r w:rsidR="000F66CC" w:rsidRPr="00807F7D">
        <w:tab/>
      </w:r>
      <w:r w:rsidRPr="00EC150C">
        <w:t>For paragraph (1</w:t>
      </w:r>
      <w:proofErr w:type="gramStart"/>
      <w:r w:rsidR="000F66CC" w:rsidRPr="00807F7D">
        <w:t>)(</w:t>
      </w:r>
      <w:proofErr w:type="gramEnd"/>
      <w:r w:rsidR="000F66CC" w:rsidRPr="00807F7D">
        <w:t>b) and paragraph 30AH(4)(a) of the Act</w:t>
      </w:r>
      <w:r w:rsidR="00363437" w:rsidRPr="00807F7D">
        <w:t>,</w:t>
      </w:r>
      <w:r w:rsidR="006B2907">
        <w:t xml:space="preserve"> the process </w:t>
      </w:r>
      <w:r w:rsidR="008F185B">
        <w:t xml:space="preserve">or </w:t>
      </w:r>
      <w:r w:rsidR="006B2907">
        <w:t>system for assessing the suitability of a critical worker may</w:t>
      </w:r>
      <w:r w:rsidR="00363437" w:rsidRPr="00807F7D">
        <w:t xml:space="preserve"> </w:t>
      </w:r>
      <w:r w:rsidR="00842AF5">
        <w:t xml:space="preserve">be </w:t>
      </w:r>
      <w:r w:rsidR="00363437" w:rsidRPr="00807F7D">
        <w:t>a background check</w:t>
      </w:r>
      <w:r w:rsidR="00363437" w:rsidRPr="00EC150C">
        <w:t xml:space="preserve"> </w:t>
      </w:r>
      <w:r w:rsidR="00363437" w:rsidRPr="00807F7D">
        <w:t xml:space="preserve">conducted under the </w:t>
      </w:r>
      <w:r w:rsidR="00363437" w:rsidRPr="00101F00">
        <w:t xml:space="preserve">AusCheck </w:t>
      </w:r>
      <w:r w:rsidR="00845ABE">
        <w:t>scheme</w:t>
      </w:r>
      <w:r w:rsidR="00363437" w:rsidRPr="00101F00">
        <w:t xml:space="preserve">. </w:t>
      </w:r>
    </w:p>
    <w:p w:rsidR="002613AE" w:rsidRPr="00101F00" w:rsidRDefault="006B2907" w:rsidP="00842AF5">
      <w:pPr>
        <w:pStyle w:val="LDNote"/>
      </w:pPr>
      <w:r w:rsidRPr="00842AF5">
        <w:rPr>
          <w:i/>
        </w:rPr>
        <w:t>N</w:t>
      </w:r>
      <w:r w:rsidR="00806E9B" w:rsidRPr="00842AF5">
        <w:rPr>
          <w:i/>
        </w:rPr>
        <w:t>ote</w:t>
      </w:r>
      <w:r w:rsidR="00806E9B" w:rsidRPr="00842AF5">
        <w:tab/>
        <w:t xml:space="preserve">Responsible </w:t>
      </w:r>
      <w:r w:rsidRPr="00525E55">
        <w:t>entities</w:t>
      </w:r>
      <w:r w:rsidR="00806E9B" w:rsidRPr="00842AF5">
        <w:t xml:space="preserve"> are not </w:t>
      </w:r>
      <w:r w:rsidRPr="00525E55">
        <w:t>required</w:t>
      </w:r>
      <w:r w:rsidR="00806E9B" w:rsidRPr="00842AF5">
        <w:t xml:space="preserve"> to u</w:t>
      </w:r>
      <w:r w:rsidRPr="00525E55">
        <w:t xml:space="preserve">se the AusCheck scheme to assess the suitability of </w:t>
      </w:r>
      <w:r w:rsidRPr="00957B76">
        <w:t>critical</w:t>
      </w:r>
      <w:r w:rsidRPr="00525E55">
        <w:t xml:space="preserve"> workers. It is open for </w:t>
      </w:r>
      <w:r w:rsidRPr="00957B76">
        <w:t xml:space="preserve">responsible entities to use other </w:t>
      </w:r>
      <w:r w:rsidR="00842AF5">
        <w:t>measures</w:t>
      </w:r>
      <w:r w:rsidR="00842AF5" w:rsidRPr="00957B76">
        <w:t xml:space="preserve"> </w:t>
      </w:r>
      <w:r w:rsidRPr="00957B76">
        <w:t xml:space="preserve">to assess the suitability of critical workers. That process </w:t>
      </w:r>
      <w:r w:rsidR="008F185B">
        <w:t xml:space="preserve">or system must </w:t>
      </w:r>
      <w:r w:rsidRPr="00957B76">
        <w:t>be included in the CIRMP.</w:t>
      </w:r>
      <w:r>
        <w:t xml:space="preserve"> </w:t>
      </w:r>
    </w:p>
    <w:p w:rsidR="00EF1319" w:rsidRDefault="00EF1319" w:rsidP="002E69BA">
      <w:pPr>
        <w:pStyle w:val="LDSec1"/>
      </w:pPr>
      <w:r>
        <w:tab/>
        <w:t>(</w:t>
      </w:r>
      <w:r w:rsidR="00336F37">
        <w:t>3</w:t>
      </w:r>
      <w:r>
        <w:t>)</w:t>
      </w:r>
      <w:r>
        <w:tab/>
      </w:r>
      <w:r w:rsidR="001660CC">
        <w:t xml:space="preserve">If a CIRMP permits a </w:t>
      </w:r>
      <w:r>
        <w:t xml:space="preserve">background check </w:t>
      </w:r>
      <w:r w:rsidR="001660CC">
        <w:t>to be conducted under subsection (2), the background check</w:t>
      </w:r>
      <w:r w:rsidR="00A93E06" w:rsidRPr="00A93E06">
        <w:t xml:space="preserve"> </w:t>
      </w:r>
      <w:r w:rsidR="00A93E06">
        <w:t xml:space="preserve">must include assessment of information relating to the matters mentioned in paragraphs 5(a), (b), (c) and (d) of the </w:t>
      </w:r>
      <w:r w:rsidR="00A93E06" w:rsidRPr="00A84214">
        <w:t>AusCheck Act</w:t>
      </w:r>
      <w:r w:rsidR="00A93E06">
        <w:t>; and</w:t>
      </w:r>
      <w:r w:rsidR="00A901B9">
        <w:t xml:space="preserve"> </w:t>
      </w:r>
    </w:p>
    <w:p w:rsidR="00EF1319" w:rsidRDefault="00EF1319" w:rsidP="00D34276">
      <w:pPr>
        <w:pStyle w:val="LDP1a"/>
      </w:pPr>
      <w:r>
        <w:t>(</w:t>
      </w:r>
      <w:r w:rsidR="00D34276">
        <w:t>a</w:t>
      </w:r>
      <w:r>
        <w:t>)</w:t>
      </w:r>
      <w:r>
        <w:tab/>
      </w:r>
      <w:proofErr w:type="gramStart"/>
      <w:r>
        <w:t>for</w:t>
      </w:r>
      <w:proofErr w:type="gramEnd"/>
      <w:r>
        <w:t xml:space="preserve"> paragraph 30AH(4)(c) of the Act</w:t>
      </w:r>
      <w:r w:rsidR="00A93E06">
        <w:t>—</w:t>
      </w:r>
      <w:r w:rsidR="00A901B9">
        <w:t xml:space="preserve">the criteria against which </w:t>
      </w:r>
      <w:r w:rsidR="00DA7C47">
        <w:t>the</w:t>
      </w:r>
      <w:r w:rsidR="00A901B9">
        <w:t xml:space="preserve"> information must be assessed are </w:t>
      </w:r>
      <w:r w:rsidR="005A07DF">
        <w:t>the criminal history criteria</w:t>
      </w:r>
      <w:r w:rsidR="00A901B9">
        <w:t xml:space="preserve">; and </w:t>
      </w:r>
    </w:p>
    <w:p w:rsidR="003B11B5" w:rsidRDefault="00A901B9">
      <w:pPr>
        <w:pStyle w:val="LDP1a"/>
      </w:pPr>
      <w:r>
        <w:t>(</w:t>
      </w:r>
      <w:r w:rsidR="00D34276">
        <w:t>b</w:t>
      </w:r>
      <w:r>
        <w:t>)</w:t>
      </w:r>
      <w:r>
        <w:tab/>
      </w:r>
      <w:proofErr w:type="gramStart"/>
      <w:r>
        <w:t>for</w:t>
      </w:r>
      <w:proofErr w:type="gramEnd"/>
      <w:r>
        <w:t xml:space="preserve"> paragraph 30AH(4)(d) of the Act</w:t>
      </w:r>
      <w:r w:rsidR="00A93E06">
        <w:t>—</w:t>
      </w:r>
      <w:r>
        <w:t xml:space="preserve">the assessment must consist of both an electronic identity verification check and an in person identity verification check.  </w:t>
      </w:r>
    </w:p>
    <w:p w:rsidR="00681E17" w:rsidRDefault="000300BE" w:rsidP="00842AF5">
      <w:pPr>
        <w:pStyle w:val="LDSec1"/>
      </w:pPr>
      <w:r>
        <w:tab/>
      </w:r>
      <w:r w:rsidR="00681E17">
        <w:t>(4)</w:t>
      </w:r>
      <w:r w:rsidR="00681E17" w:rsidRPr="00550579">
        <w:tab/>
        <w:t xml:space="preserve">A responsible entity must notify the Secretary if a background check is no longer required for a </w:t>
      </w:r>
      <w:r w:rsidR="00681E17">
        <w:t>critical worker</w:t>
      </w:r>
      <w:r w:rsidR="00681E17" w:rsidRPr="00550579">
        <w:t xml:space="preserve">.  </w:t>
      </w:r>
    </w:p>
    <w:p w:rsidR="000300BE" w:rsidRDefault="00C31C31" w:rsidP="00842AF5">
      <w:pPr>
        <w:pStyle w:val="LDSec1"/>
      </w:pPr>
      <w:r>
        <w:tab/>
        <w:t>(</w:t>
      </w:r>
      <w:r w:rsidR="00D24BB3">
        <w:t>5</w:t>
      </w:r>
      <w:r>
        <w:t>)</w:t>
      </w:r>
      <w:r>
        <w:tab/>
        <w:t xml:space="preserve">In making a suitability assessment </w:t>
      </w:r>
      <w:r w:rsidR="001660CC">
        <w:t xml:space="preserve">mentioned in </w:t>
      </w:r>
      <w:r w:rsidR="00D24BB3">
        <w:t>paragraph</w:t>
      </w:r>
      <w:r w:rsidR="001660CC">
        <w:t> </w:t>
      </w:r>
      <w:r w:rsidR="00B019CA">
        <w:t>(</w:t>
      </w:r>
      <w:r w:rsidR="00D24BB3">
        <w:t>1</w:t>
      </w:r>
      <w:proofErr w:type="gramStart"/>
      <w:r w:rsidR="00B019CA">
        <w:t>)</w:t>
      </w:r>
      <w:r w:rsidR="00D24BB3">
        <w:t>(</w:t>
      </w:r>
      <w:proofErr w:type="gramEnd"/>
      <w:r w:rsidR="00D24BB3">
        <w:t>b</w:t>
      </w:r>
      <w:r>
        <w:t>), a responsible entity must consider the following:</w:t>
      </w:r>
    </w:p>
    <w:p w:rsidR="003041F7" w:rsidRDefault="00C94456">
      <w:pPr>
        <w:pStyle w:val="LDP1a"/>
      </w:pPr>
      <w:r>
        <w:t>(a)</w:t>
      </w:r>
      <w:r>
        <w:tab/>
      </w:r>
      <w:proofErr w:type="gramStart"/>
      <w:r w:rsidR="003041F7">
        <w:t>any</w:t>
      </w:r>
      <w:proofErr w:type="gramEnd"/>
      <w:r w:rsidR="003041F7">
        <w:t xml:space="preserve"> advice from the Secretary under the following provisions of the AusCheck Regulations:</w:t>
      </w:r>
    </w:p>
    <w:p w:rsidR="003041F7" w:rsidRDefault="003041F7" w:rsidP="002E69BA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D429D4">
        <w:t>paragraph</w:t>
      </w:r>
      <w:proofErr w:type="gramEnd"/>
      <w:r w:rsidR="00D429D4">
        <w:t> </w:t>
      </w:r>
      <w:r>
        <w:t>21DA(2)(a);</w:t>
      </w:r>
    </w:p>
    <w:p w:rsidR="003041F7" w:rsidRDefault="003041F7" w:rsidP="002E69BA">
      <w:pPr>
        <w:pStyle w:val="LDP2i"/>
      </w:pPr>
      <w:r>
        <w:tab/>
        <w:t>(ii)</w:t>
      </w:r>
      <w:r>
        <w:tab/>
      </w:r>
      <w:proofErr w:type="gramStart"/>
      <w:r w:rsidR="00D429D4">
        <w:t>paragraph</w:t>
      </w:r>
      <w:proofErr w:type="gramEnd"/>
      <w:r w:rsidR="00D429D4">
        <w:t> </w:t>
      </w:r>
      <w:r>
        <w:t>21DA(2)(b);</w:t>
      </w:r>
    </w:p>
    <w:p w:rsidR="00C31C31" w:rsidRDefault="003041F7" w:rsidP="002E69BA">
      <w:pPr>
        <w:pStyle w:val="LDP2i"/>
      </w:pPr>
      <w:r>
        <w:tab/>
        <w:t>(iii)</w:t>
      </w:r>
      <w:r>
        <w:tab/>
      </w:r>
      <w:proofErr w:type="gramStart"/>
      <w:r>
        <w:t>subsection</w:t>
      </w:r>
      <w:proofErr w:type="gramEnd"/>
      <w:r w:rsidR="00D429D4">
        <w:t> </w:t>
      </w:r>
      <w:r>
        <w:t>21DA(4);</w:t>
      </w:r>
    </w:p>
    <w:p w:rsidR="003041F7" w:rsidRDefault="00C31C31" w:rsidP="002E69BA">
      <w:pPr>
        <w:pStyle w:val="LDP2i"/>
      </w:pPr>
      <w:r>
        <w:tab/>
        <w:t>(iv)</w:t>
      </w:r>
      <w:r>
        <w:tab/>
      </w:r>
      <w:proofErr w:type="gramStart"/>
      <w:r>
        <w:t>subsection</w:t>
      </w:r>
      <w:proofErr w:type="gramEnd"/>
      <w:r>
        <w:t> 21DA(5); and</w:t>
      </w:r>
    </w:p>
    <w:p w:rsidR="00D24BB3" w:rsidRDefault="00D24BB3">
      <w:pPr>
        <w:pStyle w:val="LDP1a"/>
      </w:pPr>
      <w:r>
        <w:t>(b)</w:t>
      </w:r>
      <w:r>
        <w:tab/>
      </w:r>
      <w:proofErr w:type="gramStart"/>
      <w:r>
        <w:t>whether</w:t>
      </w:r>
      <w:proofErr w:type="gramEnd"/>
      <w:r>
        <w:t xml:space="preserve"> permitting a critical worker to have access to critical components of the CI asset would be prejudicial to security; and</w:t>
      </w:r>
    </w:p>
    <w:p w:rsidR="00C94456" w:rsidRDefault="00C94456">
      <w:pPr>
        <w:pStyle w:val="LDP1a"/>
      </w:pPr>
      <w:r>
        <w:t>(</w:t>
      </w:r>
      <w:r w:rsidR="00DC2316">
        <w:t>c</w:t>
      </w:r>
      <w:r>
        <w:t>)</w:t>
      </w:r>
      <w:r>
        <w:tab/>
      </w:r>
      <w:proofErr w:type="gramStart"/>
      <w:r>
        <w:t>any</w:t>
      </w:r>
      <w:proofErr w:type="gramEnd"/>
      <w:r>
        <w:t xml:space="preserve"> other information that may affect the person’s suitability to have access to</w:t>
      </w:r>
      <w:r w:rsidR="00524169">
        <w:t xml:space="preserve"> the</w:t>
      </w:r>
      <w:r>
        <w:t xml:space="preserve"> critical components of the </w:t>
      </w:r>
      <w:r w:rsidR="006D2D63">
        <w:t>CI asset</w:t>
      </w:r>
      <w:r>
        <w:t xml:space="preserve">. </w:t>
      </w:r>
    </w:p>
    <w:p w:rsidR="00F37941" w:rsidRPr="0007745E" w:rsidRDefault="00F37941" w:rsidP="00F37941">
      <w:pPr>
        <w:pStyle w:val="LDNote"/>
        <w:rPr>
          <w:i/>
        </w:rPr>
      </w:pPr>
      <w:r>
        <w:rPr>
          <w:i/>
        </w:rPr>
        <w:lastRenderedPageBreak/>
        <w:t>Note</w:t>
      </w:r>
      <w:r>
        <w:rPr>
          <w:i/>
        </w:rPr>
        <w:tab/>
      </w:r>
      <w:r w:rsidRPr="00152CDA">
        <w:t xml:space="preserve">A responsible entity may be required to </w:t>
      </w:r>
      <w:r w:rsidRPr="0007745E">
        <w:t>inform the Secretary of a decision to grant or revoke access to a critical infrastructure asset, in certain circumstances—see AusCheck Regulation</w:t>
      </w:r>
      <w:r w:rsidR="00BF28B7">
        <w:t>s</w:t>
      </w:r>
      <w:r w:rsidRPr="0007745E">
        <w:t>, s</w:t>
      </w:r>
      <w:r w:rsidR="00DE1606">
        <w:t>ection</w:t>
      </w:r>
      <w:r>
        <w:t> </w:t>
      </w:r>
      <w:r w:rsidRPr="00152CDA">
        <w:t>21ZA.</w:t>
      </w:r>
    </w:p>
    <w:p w:rsidR="003B11B5" w:rsidRDefault="00336F37">
      <w:pPr>
        <w:pStyle w:val="LDSec1"/>
      </w:pPr>
      <w:r>
        <w:tab/>
        <w:t>(</w:t>
      </w:r>
      <w:r w:rsidR="00D24BB3">
        <w:t>6</w:t>
      </w:r>
      <w:r w:rsidR="003B11B5">
        <w:t>)</w:t>
      </w:r>
      <w:r w:rsidR="003B11B5">
        <w:tab/>
        <w:t>For subsections </w:t>
      </w:r>
      <w:proofErr w:type="gramStart"/>
      <w:r w:rsidR="003B11B5">
        <w:t>30AKA(</w:t>
      </w:r>
      <w:proofErr w:type="gramEnd"/>
      <w:r w:rsidR="003B11B5">
        <w:t>1), (3) and (5) of the Act,</w:t>
      </w:r>
      <w:r w:rsidR="003B11B5" w:rsidDel="00915BD5">
        <w:t xml:space="preserve"> </w:t>
      </w:r>
      <w:r w:rsidR="003B11B5">
        <w:t>a responsible entity must have regard</w:t>
      </w:r>
      <w:r w:rsidR="0084704C">
        <w:t>:</w:t>
      </w:r>
    </w:p>
    <w:p w:rsidR="0084704C" w:rsidRDefault="0084704C" w:rsidP="0084704C">
      <w:pPr>
        <w:pStyle w:val="LDP1a"/>
      </w:pPr>
      <w:r>
        <w:t>(a)</w:t>
      </w:r>
      <w:r>
        <w:tab/>
      </w:r>
      <w:proofErr w:type="gramStart"/>
      <w:r w:rsidR="00807F7D">
        <w:t>to</w:t>
      </w:r>
      <w:proofErr w:type="gramEnd"/>
      <w:r w:rsidR="00807F7D">
        <w:t xml:space="preserve"> whether</w:t>
      </w:r>
      <w:r w:rsidR="00807F7D" w:rsidDel="0084704C">
        <w:t xml:space="preserve"> </w:t>
      </w:r>
      <w:r>
        <w:t xml:space="preserve">the </w:t>
      </w:r>
      <w:r w:rsidR="006D2D63">
        <w:t>CIRMP</w:t>
      </w:r>
      <w:r>
        <w:t xml:space="preserve"> lists the entity’s critical workers; and </w:t>
      </w:r>
    </w:p>
    <w:p w:rsidR="0084704C" w:rsidRDefault="00824501">
      <w:pPr>
        <w:pStyle w:val="LDP1a"/>
      </w:pPr>
      <w:r>
        <w:t>(</w:t>
      </w:r>
      <w:r w:rsidR="00842AF5">
        <w:t>b</w:t>
      </w:r>
      <w:r w:rsidR="0084704C">
        <w:t>)</w:t>
      </w:r>
      <w:r w:rsidR="0084704C">
        <w:tab/>
      </w:r>
      <w:proofErr w:type="gramStart"/>
      <w:r w:rsidR="00807F7D">
        <w:t>to</w:t>
      </w:r>
      <w:proofErr w:type="gramEnd"/>
      <w:r w:rsidR="00807F7D">
        <w:t xml:space="preserve"> whether </w:t>
      </w:r>
      <w:r w:rsidR="0084704C">
        <w:t xml:space="preserve">the </w:t>
      </w:r>
      <w:r w:rsidR="006D2D63">
        <w:t>CIRMP</w:t>
      </w:r>
      <w:r w:rsidR="0084704C">
        <w:t xml:space="preserve"> describes</w:t>
      </w:r>
      <w:r w:rsidR="0084704C" w:rsidRPr="0084704C">
        <w:t xml:space="preserve"> </w:t>
      </w:r>
      <w:r w:rsidR="0084704C">
        <w:t xml:space="preserve">the personnel risks, the occurrence of which could have a relevant impact on the asset.  </w:t>
      </w:r>
    </w:p>
    <w:bookmarkStart w:id="29" w:name="_Toc94781091"/>
    <w:p w:rsidR="00A901B9" w:rsidRDefault="00424DDF" w:rsidP="00A901B9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30" w:name="_Toc120879068"/>
      <w:r w:rsidR="00EF61EA">
        <w:rPr>
          <w:noProof/>
        </w:rPr>
        <w:t>10</w:t>
      </w:r>
      <w:r>
        <w:rPr>
          <w:noProof/>
        </w:rPr>
        <w:fldChar w:fldCharType="end"/>
      </w:r>
      <w:r w:rsidR="00A901B9">
        <w:rPr>
          <w:noProof/>
        </w:rPr>
        <w:tab/>
        <w:t>Supply chain</w:t>
      </w:r>
      <w:bookmarkEnd w:id="29"/>
      <w:r w:rsidR="007E572A">
        <w:rPr>
          <w:noProof/>
        </w:rPr>
        <w:t xml:space="preserve"> </w:t>
      </w:r>
      <w:r w:rsidR="00BC2F07">
        <w:rPr>
          <w:noProof/>
        </w:rPr>
        <w:t>hazards</w:t>
      </w:r>
      <w:bookmarkEnd w:id="30"/>
      <w:r w:rsidR="00BC2F07">
        <w:rPr>
          <w:noProof/>
        </w:rPr>
        <w:t xml:space="preserve"> </w:t>
      </w:r>
    </w:p>
    <w:p w:rsidR="00750B9C" w:rsidRDefault="00BC2F07" w:rsidP="002E69BA">
      <w:pPr>
        <w:pStyle w:val="LDSec1"/>
        <w:keepNext/>
        <w:numPr>
          <w:ilvl w:val="0"/>
          <w:numId w:val="31"/>
        </w:numPr>
      </w:pPr>
      <w:r>
        <w:t xml:space="preserve">For paragraph 30AH(1)(c) of the Act, </w:t>
      </w:r>
      <w:r w:rsidR="00790B55">
        <w:t>for supply chain hazards</w:t>
      </w:r>
      <w:r w:rsidR="001F73C9">
        <w:t>,</w:t>
      </w:r>
      <w:r w:rsidR="00790B55">
        <w:t xml:space="preserve"> a</w:t>
      </w:r>
      <w:r w:rsidR="00790B55" w:rsidRPr="00790B55">
        <w:t xml:space="preserve"> </w:t>
      </w:r>
      <w:r w:rsidR="00790B55">
        <w:t xml:space="preserve">responsible entity must establish and maintain in the entity’s </w:t>
      </w:r>
      <w:r w:rsidR="006D2D63">
        <w:t>CIRMP</w:t>
      </w:r>
      <w:r w:rsidR="00790B55">
        <w:t xml:space="preserve"> a process or system</w:t>
      </w:r>
      <w:r w:rsidR="00750B9C">
        <w:t xml:space="preserve"> to:</w:t>
      </w:r>
    </w:p>
    <w:p w:rsidR="00790B55" w:rsidRDefault="001F7C87" w:rsidP="002E69BA">
      <w:pPr>
        <w:pStyle w:val="LDP1a"/>
      </w:pPr>
      <w:r>
        <w:t>(a)</w:t>
      </w:r>
      <w:r>
        <w:tab/>
      </w:r>
      <w:proofErr w:type="gramStart"/>
      <w:r w:rsidR="00750B9C">
        <w:t>as</w:t>
      </w:r>
      <w:proofErr w:type="gramEnd"/>
      <w:r w:rsidR="00750B9C">
        <w:t xml:space="preserve"> far as it is reasonably practicable to do so—</w:t>
      </w:r>
      <w:r w:rsidR="00790B55">
        <w:t>minimise or eliminate the</w:t>
      </w:r>
      <w:r w:rsidR="0027745E">
        <w:t xml:space="preserve"> following</w:t>
      </w:r>
      <w:r w:rsidR="00790B55">
        <w:t xml:space="preserve"> material risk</w:t>
      </w:r>
      <w:r w:rsidR="00750B9C">
        <w:t>s:</w:t>
      </w:r>
    </w:p>
    <w:p w:rsidR="00790B55" w:rsidRDefault="00750B9C" w:rsidP="002E69BA">
      <w:pPr>
        <w:pStyle w:val="LDP2i"/>
      </w:pPr>
      <w:r>
        <w:tab/>
      </w:r>
      <w:r w:rsidR="00790B55">
        <w:t>(</w:t>
      </w:r>
      <w:proofErr w:type="spellStart"/>
      <w:r>
        <w:t>i</w:t>
      </w:r>
      <w:proofErr w:type="spellEnd"/>
      <w:r w:rsidR="00790B55">
        <w:t>)</w:t>
      </w:r>
      <w:r w:rsidR="00790B55">
        <w:tab/>
      </w:r>
      <w:proofErr w:type="gramStart"/>
      <w:r w:rsidR="00790B55">
        <w:t>unauthorised</w:t>
      </w:r>
      <w:proofErr w:type="gramEnd"/>
      <w:r w:rsidR="00790B55">
        <w:t xml:space="preserve"> access, interference or exploitation of the asset’s supply chain; and </w:t>
      </w:r>
    </w:p>
    <w:p w:rsidR="00790B55" w:rsidRPr="00F705BD" w:rsidRDefault="00750B9C" w:rsidP="002E69BA">
      <w:pPr>
        <w:pStyle w:val="LDP2i"/>
      </w:pPr>
      <w:r>
        <w:tab/>
      </w:r>
      <w:r w:rsidR="00790B55">
        <w:t>(</w:t>
      </w:r>
      <w:r>
        <w:t>ii</w:t>
      </w:r>
      <w:r w:rsidR="00790B55" w:rsidRPr="00F705BD">
        <w:t>)</w:t>
      </w:r>
      <w:r w:rsidR="00790B55">
        <w:tab/>
      </w:r>
      <w:proofErr w:type="gramStart"/>
      <w:r w:rsidR="00790B55">
        <w:t>misuse</w:t>
      </w:r>
      <w:proofErr w:type="gramEnd"/>
      <w:r w:rsidR="00790B55">
        <w:t xml:space="preserve"> of </w:t>
      </w:r>
      <w:r w:rsidR="00790B55" w:rsidRPr="00F705BD">
        <w:t>privileged access to the asset by a</w:t>
      </w:r>
      <w:r w:rsidR="00790B55">
        <w:t>ny</w:t>
      </w:r>
      <w:r w:rsidR="00790B55" w:rsidRPr="00F705BD">
        <w:t xml:space="preserve"> provider in the supply</w:t>
      </w:r>
      <w:r w:rsidR="00790B55">
        <w:t xml:space="preserve"> </w:t>
      </w:r>
      <w:r w:rsidR="00790B55" w:rsidRPr="00F705BD">
        <w:t>chain;</w:t>
      </w:r>
      <w:r w:rsidR="00790B55">
        <w:t xml:space="preserve"> and </w:t>
      </w:r>
    </w:p>
    <w:p w:rsidR="00790B55" w:rsidRPr="00F705BD" w:rsidRDefault="00750B9C" w:rsidP="002E69BA">
      <w:pPr>
        <w:pStyle w:val="LDP2i"/>
      </w:pPr>
      <w:r>
        <w:tab/>
      </w:r>
      <w:r w:rsidR="00790B55">
        <w:t>(</w:t>
      </w:r>
      <w:r>
        <w:t>iii</w:t>
      </w:r>
      <w:r w:rsidR="00790B55" w:rsidRPr="00F705BD">
        <w:t>)</w:t>
      </w:r>
      <w:r w:rsidR="00790B55">
        <w:tab/>
      </w:r>
      <w:proofErr w:type="gramStart"/>
      <w:r w:rsidR="00790B55" w:rsidRPr="00F705BD">
        <w:t>disruption</w:t>
      </w:r>
      <w:proofErr w:type="gramEnd"/>
      <w:r w:rsidR="00790B55" w:rsidRPr="00F705BD">
        <w:t xml:space="preserve"> of the asset due to an issue in the</w:t>
      </w:r>
      <w:r w:rsidR="00790B55">
        <w:t xml:space="preserve"> </w:t>
      </w:r>
      <w:r w:rsidR="00790B55" w:rsidRPr="00F705BD">
        <w:t>supply chain;</w:t>
      </w:r>
      <w:r w:rsidR="00790B55">
        <w:t xml:space="preserve"> and</w:t>
      </w:r>
    </w:p>
    <w:p w:rsidR="00790B55" w:rsidRPr="00F705BD" w:rsidRDefault="00750B9C" w:rsidP="002E69BA">
      <w:pPr>
        <w:pStyle w:val="LDP2i"/>
      </w:pPr>
      <w:r>
        <w:tab/>
      </w:r>
      <w:r w:rsidR="00790B55">
        <w:t>(</w:t>
      </w:r>
      <w:r>
        <w:t>iv</w:t>
      </w:r>
      <w:r w:rsidR="00790B55">
        <w:t>)</w:t>
      </w:r>
      <w:r w:rsidR="00790B55">
        <w:tab/>
      </w:r>
      <w:r w:rsidR="005630A3">
        <w:t xml:space="preserve">arising from </w:t>
      </w:r>
      <w:r w:rsidR="00790B55" w:rsidRPr="00F705BD">
        <w:t>threats to people, assets, equipment, products, services, distribution and intellectual</w:t>
      </w:r>
      <w:r w:rsidR="00790B55">
        <w:t xml:space="preserve"> </w:t>
      </w:r>
      <w:r w:rsidR="00790B55" w:rsidRPr="00F705BD">
        <w:t>property within supply chains;</w:t>
      </w:r>
      <w:r w:rsidR="00790B55">
        <w:t xml:space="preserve"> and </w:t>
      </w:r>
    </w:p>
    <w:p w:rsidR="00790B55" w:rsidRPr="00F705BD" w:rsidRDefault="00750B9C" w:rsidP="002E69BA">
      <w:pPr>
        <w:pStyle w:val="LDP2i"/>
      </w:pPr>
      <w:r>
        <w:tab/>
      </w:r>
      <w:r w:rsidR="00790B55">
        <w:t>(</w:t>
      </w:r>
      <w:r>
        <w:t>v</w:t>
      </w:r>
      <w:r w:rsidR="00790B55" w:rsidRPr="00F705BD">
        <w:t>)</w:t>
      </w:r>
      <w:r w:rsidR="00790B55">
        <w:tab/>
      </w:r>
      <w:proofErr w:type="gramStart"/>
      <w:r w:rsidR="005630A3">
        <w:t>arising</w:t>
      </w:r>
      <w:proofErr w:type="gramEnd"/>
      <w:r w:rsidR="005630A3">
        <w:t xml:space="preserve"> from </w:t>
      </w:r>
      <w:r w:rsidR="006B2907">
        <w:t>major suppliers</w:t>
      </w:r>
      <w:r w:rsidR="00790B55">
        <w:t>; and</w:t>
      </w:r>
    </w:p>
    <w:p w:rsidR="00750B9C" w:rsidRDefault="00750B9C" w:rsidP="002E69BA">
      <w:pPr>
        <w:pStyle w:val="LDP2i"/>
      </w:pPr>
      <w:r>
        <w:tab/>
      </w:r>
      <w:r w:rsidR="00790B55">
        <w:t>(</w:t>
      </w:r>
      <w:r>
        <w:t>vi</w:t>
      </w:r>
      <w:r w:rsidR="00790B55" w:rsidRPr="00F705BD">
        <w:t>)</w:t>
      </w:r>
      <w:r w:rsidR="00790B55">
        <w:tab/>
      </w:r>
      <w:proofErr w:type="gramStart"/>
      <w:r w:rsidR="00790B55">
        <w:t>any</w:t>
      </w:r>
      <w:proofErr w:type="gramEnd"/>
      <w:r w:rsidR="00790B55">
        <w:t xml:space="preserve"> failure or lowered capacity of other assets and entities in the entity’s supply chain</w:t>
      </w:r>
      <w:r>
        <w:t>; and</w:t>
      </w:r>
    </w:p>
    <w:p w:rsidR="00957F1F" w:rsidRDefault="00750B9C" w:rsidP="002E69BA">
      <w:pPr>
        <w:pStyle w:val="LDP1a"/>
      </w:pPr>
      <w:r>
        <w:t>(b)</w:t>
      </w:r>
      <w:r>
        <w:tab/>
      </w:r>
      <w:proofErr w:type="gramStart"/>
      <w:r>
        <w:t>as</w:t>
      </w:r>
      <w:proofErr w:type="gramEnd"/>
      <w:r>
        <w:t xml:space="preserve"> far as it is reasonably practicable to do so—mitigate the relevant impact of a supply chain hazard on the asset.</w:t>
      </w:r>
    </w:p>
    <w:p w:rsidR="000E45DC" w:rsidRDefault="00957F1F" w:rsidP="00EC150C">
      <w:pPr>
        <w:pStyle w:val="LDSec1"/>
        <w:keepNext/>
      </w:pPr>
      <w:r>
        <w:tab/>
        <w:t>(2)</w:t>
      </w:r>
      <w:r>
        <w:tab/>
      </w:r>
      <w:r w:rsidR="00790B55">
        <w:t>For subsections </w:t>
      </w:r>
      <w:proofErr w:type="gramStart"/>
      <w:r w:rsidR="00790B55">
        <w:t>30AKA(</w:t>
      </w:r>
      <w:proofErr w:type="gramEnd"/>
      <w:r w:rsidR="00790B55">
        <w:t>1), (3) and (5) of the Act,</w:t>
      </w:r>
      <w:r w:rsidR="00790B55" w:rsidDel="00915BD5">
        <w:t xml:space="preserve"> </w:t>
      </w:r>
      <w:r w:rsidR="00790B55">
        <w:t>a respon</w:t>
      </w:r>
      <w:r w:rsidR="00807F7D">
        <w:t>sible entity must have regard</w:t>
      </w:r>
      <w:r w:rsidR="00790B55">
        <w:t>:</w:t>
      </w:r>
      <w:r w:rsidR="006B2907">
        <w:t xml:space="preserve"> </w:t>
      </w:r>
    </w:p>
    <w:p w:rsidR="006B2907" w:rsidRPr="006B2907" w:rsidRDefault="006B2907" w:rsidP="000B3279">
      <w:pPr>
        <w:pStyle w:val="LDP1a"/>
      </w:pPr>
      <w:r w:rsidRPr="006B2907">
        <w:t>(a)</w:t>
      </w:r>
      <w:r w:rsidRPr="006B2907">
        <w:tab/>
      </w:r>
      <w:proofErr w:type="gramStart"/>
      <w:r w:rsidRPr="006B2907">
        <w:t>to</w:t>
      </w:r>
      <w:proofErr w:type="gramEnd"/>
      <w:r w:rsidRPr="006B2907">
        <w:t xml:space="preserve"> whether</w:t>
      </w:r>
      <w:r w:rsidRPr="006B2907" w:rsidDel="0084704C">
        <w:t xml:space="preserve"> </w:t>
      </w:r>
      <w:r w:rsidRPr="006B2907">
        <w:t xml:space="preserve">the </w:t>
      </w:r>
      <w:r w:rsidR="006D2D63">
        <w:t>CIRMP</w:t>
      </w:r>
      <w:r w:rsidRPr="006B2907">
        <w:t xml:space="preserve"> lists the entity’s </w:t>
      </w:r>
      <w:r w:rsidR="003B386D">
        <w:t>major suppliers</w:t>
      </w:r>
      <w:r w:rsidRPr="006B2907">
        <w:t xml:space="preserve">; and </w:t>
      </w:r>
    </w:p>
    <w:p w:rsidR="006B2907" w:rsidRPr="006B2907" w:rsidRDefault="006B2907">
      <w:pPr>
        <w:pStyle w:val="LDP1a"/>
      </w:pPr>
      <w:r>
        <w:t>(b)</w:t>
      </w:r>
      <w:r>
        <w:tab/>
      </w:r>
      <w:proofErr w:type="gramStart"/>
      <w:r w:rsidRPr="006B2907">
        <w:t>to</w:t>
      </w:r>
      <w:proofErr w:type="gramEnd"/>
      <w:r w:rsidRPr="006B2907">
        <w:t xml:space="preserve"> whether</w:t>
      </w:r>
      <w:r w:rsidRPr="006B2907" w:rsidDel="0084704C">
        <w:t xml:space="preserve"> </w:t>
      </w:r>
      <w:r w:rsidRPr="006B2907">
        <w:t xml:space="preserve">the </w:t>
      </w:r>
      <w:r w:rsidR="003A13B7">
        <w:t xml:space="preserve">CIRMP describes the </w:t>
      </w:r>
      <w:r w:rsidRPr="006B2907">
        <w:t xml:space="preserve">supply chain hazards, which could have a relevant impact on the asset.  </w:t>
      </w:r>
    </w:p>
    <w:bookmarkStart w:id="31" w:name="_Toc94781092"/>
    <w:p w:rsidR="007E572A" w:rsidRDefault="00424DDF" w:rsidP="007E572A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32" w:name="_Toc120879069"/>
      <w:r w:rsidR="00EF61EA">
        <w:rPr>
          <w:noProof/>
        </w:rPr>
        <w:t>11</w:t>
      </w:r>
      <w:r>
        <w:rPr>
          <w:noProof/>
        </w:rPr>
        <w:fldChar w:fldCharType="end"/>
      </w:r>
      <w:r w:rsidR="007E572A">
        <w:rPr>
          <w:noProof/>
        </w:rPr>
        <w:tab/>
        <w:t xml:space="preserve">Physical </w:t>
      </w:r>
      <w:r w:rsidR="00381F45">
        <w:rPr>
          <w:noProof/>
        </w:rPr>
        <w:t xml:space="preserve">security hazards </w:t>
      </w:r>
      <w:r w:rsidR="007E572A">
        <w:rPr>
          <w:noProof/>
        </w:rPr>
        <w:t>and natural hazards</w:t>
      </w:r>
      <w:bookmarkEnd w:id="31"/>
      <w:bookmarkEnd w:id="32"/>
    </w:p>
    <w:p w:rsidR="00790B55" w:rsidRDefault="0023602C" w:rsidP="00790B55">
      <w:pPr>
        <w:pStyle w:val="LDSec1"/>
        <w:keepNext/>
      </w:pPr>
      <w:r>
        <w:tab/>
        <w:t>(1)</w:t>
      </w:r>
      <w:r>
        <w:tab/>
        <w:t>For paragraph </w:t>
      </w:r>
      <w:proofErr w:type="gramStart"/>
      <w:r>
        <w:t>30AH(</w:t>
      </w:r>
      <w:proofErr w:type="gramEnd"/>
      <w:r>
        <w:t>1)(c) of the Act, for physical secur</w:t>
      </w:r>
      <w:r w:rsidR="00790B55">
        <w:t xml:space="preserve">ity hazards and natural hazards, a responsible entity must establish and maintain a process or system in the entity’s </w:t>
      </w:r>
      <w:r w:rsidR="006D2D63">
        <w:t>CIRMP</w:t>
      </w:r>
      <w:r w:rsidR="00790B55">
        <w:t>:</w:t>
      </w:r>
    </w:p>
    <w:p w:rsidR="00790B55" w:rsidRDefault="00790B55" w:rsidP="00790B55">
      <w:pPr>
        <w:pStyle w:val="LDP1a"/>
      </w:pPr>
      <w:r>
        <w:t>(a)</w:t>
      </w:r>
      <w:r>
        <w:tab/>
      </w:r>
      <w:proofErr w:type="gramStart"/>
      <w:r>
        <w:t>to</w:t>
      </w:r>
      <w:proofErr w:type="gramEnd"/>
      <w:r>
        <w:t xml:space="preserve"> identify the</w:t>
      </w:r>
      <w:r w:rsidR="00B865FC">
        <w:t xml:space="preserve"> physical</w:t>
      </w:r>
      <w:r>
        <w:t xml:space="preserve"> critical components of the </w:t>
      </w:r>
      <w:r w:rsidR="006D2D63">
        <w:t>CI asset</w:t>
      </w:r>
      <w:r>
        <w:t xml:space="preserve">; and </w:t>
      </w:r>
    </w:p>
    <w:p w:rsidR="00700203" w:rsidRDefault="00790B55" w:rsidP="00790B55">
      <w:pPr>
        <w:pStyle w:val="LDP1a"/>
      </w:pPr>
      <w:r>
        <w:t>(b)</w:t>
      </w:r>
      <w:r>
        <w:tab/>
      </w:r>
      <w:proofErr w:type="gramStart"/>
      <w:r w:rsidR="00466020">
        <w:t>as</w:t>
      </w:r>
      <w:proofErr w:type="gramEnd"/>
      <w:r w:rsidR="00466020">
        <w:t xml:space="preserve"> far as it is reasonably practicable to do so—</w:t>
      </w:r>
      <w:r>
        <w:t xml:space="preserve">to minimise or eliminate a material risk, </w:t>
      </w:r>
      <w:r w:rsidR="00700203">
        <w:t xml:space="preserve">and </w:t>
      </w:r>
      <w:r>
        <w:t>mitigate a relevant impact</w:t>
      </w:r>
      <w:r w:rsidR="00700203">
        <w:t>,</w:t>
      </w:r>
      <w:r>
        <w:t xml:space="preserve"> of</w:t>
      </w:r>
      <w:r w:rsidR="00700203">
        <w:t>:</w:t>
      </w:r>
    </w:p>
    <w:p w:rsidR="00700203" w:rsidRDefault="00700203" w:rsidP="002E69BA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790B55">
        <w:t>a</w:t>
      </w:r>
      <w:proofErr w:type="gramEnd"/>
      <w:r w:rsidR="00790B55">
        <w:t xml:space="preserve"> physical security hazard on a </w:t>
      </w:r>
      <w:r w:rsidR="00B865FC">
        <w:t xml:space="preserve">physical </w:t>
      </w:r>
      <w:r w:rsidR="00790B55">
        <w:t xml:space="preserve">critical </w:t>
      </w:r>
      <w:r w:rsidR="000179AA">
        <w:t>component</w:t>
      </w:r>
      <w:r w:rsidR="00790B55">
        <w:t>; and</w:t>
      </w:r>
    </w:p>
    <w:p w:rsidR="00790B55" w:rsidRDefault="00700203" w:rsidP="002E69BA">
      <w:pPr>
        <w:pStyle w:val="LDP2i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natural hazard on the </w:t>
      </w:r>
      <w:r w:rsidR="009E0580">
        <w:t xml:space="preserve">CI </w:t>
      </w:r>
      <w:r>
        <w:t>asset; and</w:t>
      </w:r>
      <w:r w:rsidR="00790B55">
        <w:t xml:space="preserve"> </w:t>
      </w:r>
    </w:p>
    <w:p w:rsidR="00790B55" w:rsidRDefault="00790B55" w:rsidP="00790B55">
      <w:pPr>
        <w:pStyle w:val="LDP1a"/>
      </w:pPr>
      <w:r>
        <w:t>(c)</w:t>
      </w:r>
      <w:r>
        <w:tab/>
      </w:r>
      <w:proofErr w:type="gramStart"/>
      <w:r>
        <w:t>to</w:t>
      </w:r>
      <w:proofErr w:type="gramEnd"/>
      <w:r>
        <w:t xml:space="preserve"> respond to incidents where unauthorised access to a </w:t>
      </w:r>
      <w:r w:rsidR="00B865FC">
        <w:t xml:space="preserve">physical </w:t>
      </w:r>
      <w:r>
        <w:t xml:space="preserve">critical </w:t>
      </w:r>
      <w:r w:rsidR="000179AA">
        <w:t>component</w:t>
      </w:r>
      <w:r>
        <w:t xml:space="preserve"> occurs; and </w:t>
      </w:r>
    </w:p>
    <w:p w:rsidR="00790B55" w:rsidRDefault="00790B55" w:rsidP="00790B55">
      <w:pPr>
        <w:pStyle w:val="LDP1a"/>
      </w:pPr>
      <w:r>
        <w:t>(d)</w:t>
      </w:r>
      <w:r>
        <w:tab/>
      </w:r>
      <w:proofErr w:type="gramStart"/>
      <w:r>
        <w:t>to</w:t>
      </w:r>
      <w:proofErr w:type="gramEnd"/>
      <w:r>
        <w:t xml:space="preserve"> control access to</w:t>
      </w:r>
      <w:r w:rsidR="00B865FC">
        <w:t xml:space="preserve"> physical</w:t>
      </w:r>
      <w:r>
        <w:t xml:space="preserve"> critical </w:t>
      </w:r>
      <w:r w:rsidR="000179AA">
        <w:t>components</w:t>
      </w:r>
      <w:r>
        <w:t xml:space="preserve">, including restricting access to only those individuals who are critical workers or accompanied visitors; and </w:t>
      </w:r>
    </w:p>
    <w:p w:rsidR="00790B55" w:rsidRDefault="00790B55" w:rsidP="00790B55">
      <w:pPr>
        <w:pStyle w:val="LDP1a"/>
      </w:pPr>
      <w:r>
        <w:lastRenderedPageBreak/>
        <w:t>(e)</w:t>
      </w:r>
      <w:r>
        <w:tab/>
      </w:r>
      <w:proofErr w:type="gramStart"/>
      <w:r>
        <w:t>to</w:t>
      </w:r>
      <w:proofErr w:type="gramEnd"/>
      <w:r>
        <w:t xml:space="preserve"> test that security arrangements for the asset are effective and appropriate to detect, delay, deter, respond to and recover from a breach in the arrangements</w:t>
      </w:r>
      <w:r w:rsidR="00700203">
        <w:t xml:space="preserve">. </w:t>
      </w:r>
    </w:p>
    <w:p w:rsidR="00B8295B" w:rsidRDefault="00B8295B" w:rsidP="00957F1F">
      <w:pPr>
        <w:pStyle w:val="LDSec1"/>
        <w:keepNext/>
      </w:pPr>
      <w:r>
        <w:tab/>
        <w:t>(</w:t>
      </w:r>
      <w:r w:rsidR="00790B55">
        <w:t>2</w:t>
      </w:r>
      <w:r>
        <w:t>)</w:t>
      </w:r>
      <w:r>
        <w:tab/>
      </w:r>
      <w:r w:rsidR="00790B55">
        <w:t>For subsections </w:t>
      </w:r>
      <w:proofErr w:type="gramStart"/>
      <w:r w:rsidR="00790B55">
        <w:t>30AKA(</w:t>
      </w:r>
      <w:proofErr w:type="gramEnd"/>
      <w:r w:rsidR="00790B55">
        <w:t>1), (3) and (5) of the Act,</w:t>
      </w:r>
      <w:r w:rsidR="00790B55" w:rsidDel="00915BD5">
        <w:t xml:space="preserve"> </w:t>
      </w:r>
      <w:r w:rsidR="00790B55">
        <w:t>a responsible entity must have regard</w:t>
      </w:r>
      <w:r w:rsidR="00AF7029">
        <w:t xml:space="preserve"> to whether</w:t>
      </w:r>
      <w:r w:rsidR="00790B55">
        <w:t>:</w:t>
      </w:r>
    </w:p>
    <w:p w:rsidR="00B8295B" w:rsidRDefault="00DC7080" w:rsidP="00B8295B">
      <w:pPr>
        <w:pStyle w:val="LDP1a"/>
      </w:pPr>
      <w:r>
        <w:t>(</w:t>
      </w:r>
      <w:r w:rsidR="00790B55">
        <w:t>a</w:t>
      </w:r>
      <w:r>
        <w:t>)</w:t>
      </w:r>
      <w:r>
        <w:tab/>
      </w:r>
      <w:proofErr w:type="gramStart"/>
      <w:r>
        <w:t>the</w:t>
      </w:r>
      <w:proofErr w:type="gramEnd"/>
      <w:r>
        <w:t xml:space="preserve"> asset’s critical </w:t>
      </w:r>
      <w:r w:rsidR="00AF7029">
        <w:t xml:space="preserve">components </w:t>
      </w:r>
      <w:r>
        <w:t xml:space="preserve">are described in the </w:t>
      </w:r>
      <w:r w:rsidR="006D2D63">
        <w:t>CIRMP</w:t>
      </w:r>
      <w:r>
        <w:t xml:space="preserve">; </w:t>
      </w:r>
      <w:r w:rsidR="001660CC">
        <w:t xml:space="preserve">and </w:t>
      </w:r>
    </w:p>
    <w:p w:rsidR="00DC7080" w:rsidRDefault="00DC7080" w:rsidP="00B8295B">
      <w:pPr>
        <w:pStyle w:val="LDP1a"/>
      </w:pPr>
      <w:r>
        <w:t>(</w:t>
      </w:r>
      <w:r w:rsidR="00790B55">
        <w:t>b</w:t>
      </w:r>
      <w:r>
        <w:t>)</w:t>
      </w:r>
      <w:r>
        <w:tab/>
      </w:r>
      <w:proofErr w:type="gramStart"/>
      <w:r w:rsidR="00294E9C">
        <w:t>the</w:t>
      </w:r>
      <w:proofErr w:type="gramEnd"/>
      <w:r w:rsidR="00294E9C">
        <w:t xml:space="preserve"> physical </w:t>
      </w:r>
      <w:r w:rsidR="00381F45">
        <w:t xml:space="preserve">security </w:t>
      </w:r>
      <w:r w:rsidR="00294E9C">
        <w:t xml:space="preserve">hazards, the occurrence of which could have a relevant impact on </w:t>
      </w:r>
      <w:r w:rsidR="00667652">
        <w:t xml:space="preserve">a </w:t>
      </w:r>
      <w:r w:rsidR="000B3279">
        <w:t xml:space="preserve">physical </w:t>
      </w:r>
      <w:r w:rsidR="00667652">
        <w:t xml:space="preserve">critical </w:t>
      </w:r>
      <w:r w:rsidR="000B3279">
        <w:t>component</w:t>
      </w:r>
      <w:r w:rsidR="00294E9C">
        <w:t xml:space="preserve">, are described in the </w:t>
      </w:r>
      <w:r w:rsidR="006D2D63">
        <w:t>CIRMP</w:t>
      </w:r>
      <w:r w:rsidR="00294E9C">
        <w:t xml:space="preserve">; </w:t>
      </w:r>
      <w:r w:rsidR="001660CC">
        <w:t xml:space="preserve">and </w:t>
      </w:r>
    </w:p>
    <w:p w:rsidR="00667652" w:rsidRDefault="00294E9C" w:rsidP="00D27EB7">
      <w:pPr>
        <w:pStyle w:val="LDP1a"/>
      </w:pPr>
      <w:r>
        <w:t>(</w:t>
      </w:r>
      <w:r w:rsidR="00790B55">
        <w:t>c</w:t>
      </w:r>
      <w:r>
        <w:t>)</w:t>
      </w:r>
      <w:r>
        <w:tab/>
      </w:r>
      <w:proofErr w:type="gramStart"/>
      <w:r>
        <w:t>the</w:t>
      </w:r>
      <w:proofErr w:type="gramEnd"/>
      <w:r>
        <w:t xml:space="preserve"> security </w:t>
      </w:r>
      <w:r w:rsidR="00D27EB7">
        <w:t>arrangements</w:t>
      </w:r>
      <w:r>
        <w:t xml:space="preserve"> for the asset </w:t>
      </w:r>
      <w:r w:rsidR="00D27EB7">
        <w:t xml:space="preserve">are described in the </w:t>
      </w:r>
      <w:r w:rsidR="000B3279">
        <w:t>CIRMP</w:t>
      </w:r>
      <w:r w:rsidR="00667652">
        <w:t xml:space="preserve">; </w:t>
      </w:r>
      <w:r w:rsidR="001660CC">
        <w:t xml:space="preserve">and </w:t>
      </w:r>
    </w:p>
    <w:p w:rsidR="009E0580" w:rsidRDefault="00667652" w:rsidP="00D27EB7">
      <w:pPr>
        <w:pStyle w:val="LDP1a"/>
      </w:pPr>
      <w:r>
        <w:t>(</w:t>
      </w:r>
      <w:r w:rsidR="00790B55">
        <w:t>d</w:t>
      </w:r>
      <w:r>
        <w:t>)</w:t>
      </w:r>
      <w:r>
        <w:tab/>
      </w:r>
      <w:proofErr w:type="gramStart"/>
      <w:r w:rsidR="009E0580">
        <w:t>the</w:t>
      </w:r>
      <w:proofErr w:type="gramEnd"/>
      <w:r w:rsidR="009E0580">
        <w:t xml:space="preserve"> CIRMP describes </w:t>
      </w:r>
      <w:r>
        <w:t xml:space="preserve">the natural hazards, the occurrence of which could have a relevant impact on the </w:t>
      </w:r>
      <w:r w:rsidR="000B3279">
        <w:t>physical critical component</w:t>
      </w:r>
      <w:r>
        <w:t xml:space="preserve">.  </w:t>
      </w:r>
    </w:p>
    <w:p w:rsidR="001E0CD8" w:rsidRDefault="003F6CF7" w:rsidP="003F6CF7">
      <w:pPr>
        <w:pStyle w:val="LDSchedule"/>
        <w:pageBreakBefore/>
      </w:pPr>
      <w:bookmarkStart w:id="33" w:name="_Toc120879070"/>
      <w:bookmarkEnd w:id="7"/>
      <w:r>
        <w:lastRenderedPageBreak/>
        <w:t xml:space="preserve">Schedule </w:t>
      </w:r>
      <w:fldSimple w:instr=" SEQ SchedNo \* MERGEFORMAT ">
        <w:r w:rsidR="00EF61EA">
          <w:rPr>
            <w:noProof/>
          </w:rPr>
          <w:t>1</w:t>
        </w:r>
      </w:fldSimple>
      <w:r>
        <w:tab/>
      </w:r>
      <w:r w:rsidR="00EC150C">
        <w:t>Designated</w:t>
      </w:r>
      <w:r w:rsidR="001E0CD8">
        <w:t xml:space="preserve"> hospitals</w:t>
      </w:r>
      <w:bookmarkEnd w:id="33"/>
    </w:p>
    <w:p w:rsidR="001E0CD8" w:rsidRDefault="001E0CD8" w:rsidP="001E0CD8">
      <w:pPr>
        <w:pStyle w:val="LDSchedref"/>
        <w:keepNext/>
      </w:pPr>
      <w:r>
        <w:t>(</w:t>
      </w:r>
      <w:proofErr w:type="gramStart"/>
      <w:r>
        <w:t>section</w:t>
      </w:r>
      <w:proofErr w:type="gramEnd"/>
      <w:r>
        <w:t xml:space="preserve"> 3</w:t>
      </w:r>
      <w:r w:rsidRPr="00A252F1">
        <w:t>)</w:t>
      </w:r>
    </w:p>
    <w:p w:rsidR="001E0CD8" w:rsidRDefault="001E0CD8" w:rsidP="001E0CD8">
      <w:pPr>
        <w:pStyle w:val="LDSec1"/>
        <w:keepNext/>
      </w:pPr>
      <w:r w:rsidRPr="00902E57">
        <w:tab/>
      </w:r>
      <w:r w:rsidRPr="00902E57">
        <w:tab/>
      </w:r>
      <w:r>
        <w:t xml:space="preserve">A </w:t>
      </w:r>
      <w:r w:rsidR="00A006AF">
        <w:t xml:space="preserve">designated </w:t>
      </w:r>
      <w:r>
        <w:t xml:space="preserve">hospital means a critical hospital mentioned in an item </w:t>
      </w:r>
      <w:r w:rsidR="00A006AF">
        <w:t xml:space="preserve">in </w:t>
      </w:r>
      <w:r w:rsidR="00BC0252">
        <w:t xml:space="preserve">the following table </w:t>
      </w:r>
      <w:r w:rsidR="00CE4C4E">
        <w:t>located in the</w:t>
      </w:r>
      <w:r w:rsidR="00A006AF">
        <w:t xml:space="preserve"> State or Territory </w:t>
      </w:r>
      <w:r>
        <w:t xml:space="preserve">mentioned </w:t>
      </w:r>
      <w:r w:rsidR="008F185B">
        <w:t>in</w:t>
      </w:r>
      <w:r w:rsidR="00A006AF">
        <w:t xml:space="preserve"> </w:t>
      </w:r>
      <w:r>
        <w:t xml:space="preserve">the item.  </w:t>
      </w:r>
    </w:p>
    <w:tbl>
      <w:tblPr>
        <w:tblStyle w:val="TableGrid0"/>
        <w:tblW w:w="7881" w:type="dxa"/>
        <w:tblInd w:w="72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4952"/>
        <w:gridCol w:w="2080"/>
      </w:tblGrid>
      <w:tr w:rsidR="00A006AF" w:rsidTr="002C52F9">
        <w:trPr>
          <w:trHeight w:val="308"/>
          <w:tblHeader/>
        </w:trPr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heading"/>
            </w:pPr>
            <w:r>
              <w:rPr>
                <w:rFonts w:eastAsia="Arial"/>
              </w:rPr>
              <w:t xml:space="preserve">Item 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heading"/>
            </w:pPr>
            <w:r>
              <w:rPr>
                <w:rFonts w:eastAsia="Arial"/>
              </w:rPr>
              <w:t xml:space="preserve">Hospital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heading"/>
              <w:rPr>
                <w:rFonts w:eastAsia="Arial"/>
              </w:rPr>
            </w:pPr>
            <w:r>
              <w:rPr>
                <w:rFonts w:eastAsia="Arial"/>
              </w:rPr>
              <w:t xml:space="preserve">State or Territory </w:t>
            </w:r>
          </w:p>
        </w:tc>
      </w:tr>
      <w:tr w:rsidR="00A006AF" w:rsidTr="00EC150C">
        <w:trPr>
          <w:trHeight w:val="352"/>
        </w:trPr>
        <w:tc>
          <w:tcPr>
            <w:tcW w:w="849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A006AF" w:rsidRDefault="00A006AF" w:rsidP="00FF5F26">
            <w:pPr>
              <w:pStyle w:val="LDTabletext"/>
            </w:pPr>
            <w:r>
              <w:rPr>
                <w:rFonts w:eastAsia="Arial"/>
              </w:rPr>
              <w:t xml:space="preserve">1 </w:t>
            </w:r>
          </w:p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Bankstown-Lidcombe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Blacktown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Calvary Mater Newcastle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Camp</w:t>
            </w:r>
            <w:r w:rsidR="00E605D7" w:rsidRPr="00FF5F26">
              <w:rPr>
                <w:rFonts w:eastAsia="Arial"/>
              </w:rPr>
              <w:t>b</w:t>
            </w:r>
            <w:r w:rsidRPr="00FF5F26">
              <w:rPr>
                <w:rFonts w:eastAsia="Arial"/>
              </w:rPr>
              <w:t>elltown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Children's Hospital Westmead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Coffs Harbour Health Campus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Concord Repatriation General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Dubbo Base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Gosford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Hornsby Ku-Ring-Gai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John Hunter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Lake Macquarie </w:t>
            </w:r>
            <w:r w:rsidR="00B019CA">
              <w:rPr>
                <w:rFonts w:eastAsia="Arial"/>
              </w:rPr>
              <w:t>P</w:t>
            </w:r>
            <w:r w:rsidRPr="00FF5F26">
              <w:rPr>
                <w:rFonts w:eastAsia="Arial"/>
              </w:rPr>
              <w:t>rivate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Lismore Base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Liverpool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Nepean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Northern Beaches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  <w:szCs w:val="20"/>
                <w:lang w:eastAsia="en-US"/>
              </w:rPr>
            </w:pPr>
            <w:r w:rsidRPr="00FF5F26">
              <w:rPr>
                <w:rFonts w:eastAsia="Arial"/>
              </w:rPr>
              <w:t>Northern Beaches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Orange Base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Port Macquarie Base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Prince of Wales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Royal North Shore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Royal Prince Alfred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St George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St Vincent's Hospital (Darlinghurst)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Sydney Children's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Tamworth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The Sutherland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The Tweed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Wagga Wagga Base Hospital</w:t>
            </w:r>
          </w:p>
          <w:p w:rsidR="00B875EC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Westmead Hospital</w:t>
            </w:r>
          </w:p>
          <w:p w:rsidR="00A006AF" w:rsidRPr="00FF5F26" w:rsidRDefault="00B875EC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Wollongong Hospital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A006AF" w:rsidRPr="00E942E4" w:rsidRDefault="00A006AF" w:rsidP="00FF5F26">
            <w:pPr>
              <w:pStyle w:val="LDTabletext"/>
              <w:rPr>
                <w:rFonts w:eastAsia="Arial"/>
                <w:i/>
              </w:rPr>
            </w:pPr>
            <w:r>
              <w:rPr>
                <w:rFonts w:eastAsia="Arial"/>
              </w:rPr>
              <w:t xml:space="preserve">New South Wales </w:t>
            </w:r>
          </w:p>
        </w:tc>
      </w:tr>
      <w:tr w:rsidR="00A006AF" w:rsidTr="00EC150C">
        <w:trPr>
          <w:trHeight w:val="368"/>
        </w:trPr>
        <w:tc>
          <w:tcPr>
            <w:tcW w:w="849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text"/>
            </w:pPr>
            <w:r>
              <w:rPr>
                <w:rFonts w:eastAsia="Arial"/>
              </w:rPr>
              <w:t xml:space="preserve">2 </w:t>
            </w:r>
          </w:p>
        </w:tc>
        <w:tc>
          <w:tcPr>
            <w:tcW w:w="4952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Austin Hospital</w:t>
            </w:r>
            <w:r w:rsidR="00955C39">
              <w:rPr>
                <w:rFonts w:eastAsia="Arial"/>
              </w:rPr>
              <w:t xml:space="preserve"> – </w:t>
            </w:r>
            <w:r w:rsidRPr="00FF5F26">
              <w:rPr>
                <w:rFonts w:eastAsia="Arial"/>
              </w:rPr>
              <w:t xml:space="preserve">Austin Health 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Box Hill Hospital </w:t>
            </w:r>
            <w:r w:rsidR="00955C39">
              <w:rPr>
                <w:rFonts w:eastAsia="Arial"/>
              </w:rPr>
              <w:t xml:space="preserve">– </w:t>
            </w:r>
            <w:r w:rsidRPr="00FF5F26">
              <w:rPr>
                <w:rFonts w:eastAsia="Arial"/>
              </w:rPr>
              <w:t>Eastern Health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Cabrini Malvern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Dandenong Hospital </w:t>
            </w:r>
            <w:r w:rsidR="00955C39">
              <w:rPr>
                <w:rFonts w:eastAsia="Arial"/>
              </w:rPr>
              <w:t xml:space="preserve">– </w:t>
            </w:r>
            <w:r w:rsidRPr="00FF5F26">
              <w:rPr>
                <w:rFonts w:eastAsia="Arial"/>
              </w:rPr>
              <w:t xml:space="preserve">Monash Health 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Frankston Hospital </w:t>
            </w:r>
            <w:r w:rsidR="00955C39">
              <w:rPr>
                <w:rFonts w:eastAsia="Arial"/>
              </w:rPr>
              <w:t xml:space="preserve">– </w:t>
            </w:r>
            <w:r w:rsidRPr="00FF5F26">
              <w:rPr>
                <w:rFonts w:eastAsia="Arial"/>
              </w:rPr>
              <w:t xml:space="preserve">Peninsula Health 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  <w:szCs w:val="20"/>
                <w:lang w:eastAsia="en-US"/>
              </w:rPr>
            </w:pPr>
            <w:r w:rsidRPr="00FF5F26">
              <w:rPr>
                <w:rFonts w:eastAsia="Arial"/>
              </w:rPr>
              <w:t>Knox Private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Monash Children’s Hospital </w:t>
            </w:r>
            <w:r w:rsidR="00955C39">
              <w:rPr>
                <w:rFonts w:eastAsia="Arial"/>
              </w:rPr>
              <w:t xml:space="preserve">– </w:t>
            </w:r>
            <w:r w:rsidRPr="00FF5F26">
              <w:rPr>
                <w:rFonts w:eastAsia="Arial"/>
              </w:rPr>
              <w:t xml:space="preserve">Monash Health 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Monash Medical Centre (Clayton) </w:t>
            </w:r>
            <w:r w:rsidR="00955C39">
              <w:rPr>
                <w:rFonts w:eastAsia="Arial"/>
              </w:rPr>
              <w:t xml:space="preserve">– </w:t>
            </w:r>
            <w:r w:rsidRPr="00FF5F26">
              <w:rPr>
                <w:rFonts w:eastAsia="Arial"/>
              </w:rPr>
              <w:t xml:space="preserve">Monash Health 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Northern Hospital </w:t>
            </w:r>
            <w:r w:rsidR="00955C39">
              <w:rPr>
                <w:rFonts w:eastAsia="Arial"/>
              </w:rPr>
              <w:t xml:space="preserve">– </w:t>
            </w:r>
            <w:r w:rsidRPr="00FF5F26">
              <w:rPr>
                <w:rFonts w:eastAsia="Arial"/>
              </w:rPr>
              <w:t xml:space="preserve">Northern Health 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Royal Melbourne Hospital </w:t>
            </w:r>
            <w:r w:rsidR="00955C39">
              <w:rPr>
                <w:rFonts w:eastAsia="Arial"/>
              </w:rPr>
              <w:t xml:space="preserve">– </w:t>
            </w:r>
            <w:r w:rsidRPr="00FF5F26">
              <w:rPr>
                <w:rFonts w:eastAsia="Arial"/>
              </w:rPr>
              <w:t xml:space="preserve">Melbourne Health </w:t>
            </w:r>
          </w:p>
          <w:p w:rsidR="00B37C35" w:rsidRDefault="00B37C35" w:rsidP="00FF5F26">
            <w:pPr>
              <w:pStyle w:val="LDTabletext"/>
              <w:rPr>
                <w:rFonts w:eastAsia="Arial"/>
              </w:rPr>
            </w:pPr>
            <w:r w:rsidRPr="00B37C35">
              <w:rPr>
                <w:rFonts w:eastAsia="Arial"/>
              </w:rPr>
              <w:lastRenderedPageBreak/>
              <w:t>St Vincent’s Hospital (Melbourne) Limited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The Alfred </w:t>
            </w:r>
            <w:r w:rsidR="00955C39">
              <w:rPr>
                <w:rFonts w:eastAsia="Arial"/>
              </w:rPr>
              <w:t xml:space="preserve">– </w:t>
            </w:r>
            <w:r w:rsidRPr="00FF5F26">
              <w:rPr>
                <w:rFonts w:eastAsia="Arial"/>
              </w:rPr>
              <w:t xml:space="preserve">Alfred Health 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The Royal Children's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The Royal Women's Hospital</w:t>
            </w:r>
          </w:p>
          <w:p w:rsidR="00A006AF" w:rsidRPr="00FF5F26" w:rsidRDefault="00A01F32" w:rsidP="006329E9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University Hospital (Geelong) </w:t>
            </w:r>
            <w:r w:rsidR="00955C39">
              <w:rPr>
                <w:rFonts w:eastAsia="Arial"/>
              </w:rPr>
              <w:t xml:space="preserve">– </w:t>
            </w:r>
            <w:r w:rsidRPr="00FF5F26">
              <w:rPr>
                <w:rFonts w:eastAsia="Arial"/>
              </w:rPr>
              <w:t xml:space="preserve">Barwon Health </w:t>
            </w:r>
          </w:p>
        </w:tc>
        <w:tc>
          <w:tcPr>
            <w:tcW w:w="2080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A006AF" w:rsidRPr="00E942E4" w:rsidRDefault="00A006AF" w:rsidP="00FF5F26">
            <w:pPr>
              <w:pStyle w:val="LDTabletext"/>
              <w:rPr>
                <w:rFonts w:eastAsia="Arial"/>
                <w:i/>
              </w:rPr>
            </w:pPr>
            <w:r>
              <w:rPr>
                <w:rFonts w:eastAsia="Arial"/>
              </w:rPr>
              <w:lastRenderedPageBreak/>
              <w:t xml:space="preserve">Victoria </w:t>
            </w:r>
          </w:p>
        </w:tc>
      </w:tr>
      <w:tr w:rsidR="00A006AF" w:rsidTr="00EC150C">
        <w:trPr>
          <w:trHeight w:val="353"/>
        </w:trPr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text"/>
            </w:pPr>
            <w:r>
              <w:rPr>
                <w:rFonts w:eastAsia="Arial"/>
              </w:rPr>
              <w:t xml:space="preserve">3 </w:t>
            </w:r>
          </w:p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Bundaberg Base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Caboolture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Cairns Base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Gold Coast University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Greenslopes Private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Hervey Bay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Ipswich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Logan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Mackay Base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Mater Adult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Mater Hospital Brisbane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Princess Alexandra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Queen Elizabeth II Jubilee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Queensland Children's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Redcliffe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Robina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Rockhampton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Royal Brisbane &amp; Women's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Sunshine Coast Public University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The Prince Charles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  <w:szCs w:val="20"/>
                <w:lang w:eastAsia="en-US"/>
              </w:rPr>
            </w:pPr>
            <w:r w:rsidRPr="00FF5F26">
              <w:rPr>
                <w:rFonts w:eastAsia="Arial"/>
              </w:rPr>
              <w:t>The Wesley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Toowoomba Hospital</w:t>
            </w:r>
          </w:p>
          <w:p w:rsidR="00A006AF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Townsville University Hospital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Pr="00E942E4" w:rsidRDefault="00A006AF" w:rsidP="00FF5F26">
            <w:pPr>
              <w:pStyle w:val="LDTabletext"/>
              <w:rPr>
                <w:rFonts w:eastAsia="Arial"/>
                <w:i/>
              </w:rPr>
            </w:pPr>
            <w:r>
              <w:rPr>
                <w:rFonts w:eastAsia="Arial"/>
              </w:rPr>
              <w:t xml:space="preserve">Queensland </w:t>
            </w:r>
          </w:p>
        </w:tc>
      </w:tr>
      <w:tr w:rsidR="00A006AF" w:rsidTr="00EC150C">
        <w:trPr>
          <w:trHeight w:val="368"/>
        </w:trPr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text"/>
            </w:pPr>
            <w:r>
              <w:rPr>
                <w:rFonts w:eastAsia="Arial"/>
              </w:rPr>
              <w:t xml:space="preserve">4 </w:t>
            </w:r>
          </w:p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Armadale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Bunbury Regional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Fiona Stanley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Hollywood Private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Joondalup Health Campus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  <w:szCs w:val="20"/>
                <w:lang w:eastAsia="en-US"/>
              </w:rPr>
            </w:pPr>
            <w:r w:rsidRPr="00FF5F26">
              <w:rPr>
                <w:rFonts w:eastAsia="Arial"/>
              </w:rPr>
              <w:t>Joondalup Health Campus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King Edward Memorial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Perth's Children’s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Rockingham General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Royal Perth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Sir Charles Gairdner Hospital</w:t>
            </w:r>
          </w:p>
          <w:p w:rsidR="00A006AF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St John of God Midland Public Hospital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Pr="00E942E4" w:rsidRDefault="00A006AF" w:rsidP="00FF5F26">
            <w:pPr>
              <w:pStyle w:val="LDTabletext"/>
              <w:rPr>
                <w:rFonts w:eastAsia="Arial"/>
                <w:i/>
              </w:rPr>
            </w:pPr>
            <w:r>
              <w:rPr>
                <w:rFonts w:eastAsia="Arial"/>
              </w:rPr>
              <w:t xml:space="preserve">Western Australia </w:t>
            </w:r>
          </w:p>
        </w:tc>
      </w:tr>
      <w:tr w:rsidR="00A006AF" w:rsidTr="00EC150C">
        <w:trPr>
          <w:trHeight w:val="352"/>
        </w:trPr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text"/>
            </w:pPr>
            <w:r>
              <w:rPr>
                <w:rFonts w:eastAsia="Arial"/>
              </w:rPr>
              <w:t xml:space="preserve">5 </w:t>
            </w:r>
          </w:p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1F32" w:rsidRPr="00FF5F26" w:rsidRDefault="00A01F32" w:rsidP="00FF5F26">
            <w:pPr>
              <w:pStyle w:val="LDTabletext"/>
              <w:rPr>
                <w:rFonts w:eastAsia="Arial"/>
                <w:szCs w:val="20"/>
                <w:lang w:eastAsia="en-US"/>
              </w:rPr>
            </w:pPr>
            <w:r w:rsidRPr="00FF5F26">
              <w:rPr>
                <w:rFonts w:eastAsia="Arial"/>
              </w:rPr>
              <w:t>Calvary Hospital Adelaide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Flinders Medical Centre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 xml:space="preserve">Lyell </w:t>
            </w:r>
            <w:proofErr w:type="spellStart"/>
            <w:r w:rsidRPr="00FF5F26">
              <w:rPr>
                <w:rFonts w:eastAsia="Arial"/>
              </w:rPr>
              <w:t>McEwin</w:t>
            </w:r>
            <w:proofErr w:type="spellEnd"/>
            <w:r w:rsidRPr="00FF5F26">
              <w:rPr>
                <w:rFonts w:eastAsia="Arial"/>
              </w:rPr>
              <w:t xml:space="preserve">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Royal Adelaide Hospital</w:t>
            </w:r>
          </w:p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The Queen Elizabeth Hospital</w:t>
            </w:r>
          </w:p>
          <w:p w:rsidR="00A006AF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lastRenderedPageBreak/>
              <w:t>Women's and Children's Hospital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Pr="00E942E4" w:rsidRDefault="00A006AF" w:rsidP="00FF5F26">
            <w:pPr>
              <w:pStyle w:val="LDTabletext"/>
              <w:rPr>
                <w:rFonts w:eastAsia="Arial"/>
                <w:i/>
              </w:rPr>
            </w:pPr>
            <w:r>
              <w:rPr>
                <w:rFonts w:eastAsia="Arial"/>
              </w:rPr>
              <w:lastRenderedPageBreak/>
              <w:t xml:space="preserve">South Australia </w:t>
            </w:r>
          </w:p>
        </w:tc>
      </w:tr>
      <w:tr w:rsidR="00A006AF" w:rsidTr="00EC150C">
        <w:trPr>
          <w:trHeight w:val="369"/>
        </w:trPr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text"/>
            </w:pPr>
            <w:r>
              <w:rPr>
                <w:rFonts w:eastAsia="Arial"/>
              </w:rPr>
              <w:t xml:space="preserve">6 </w:t>
            </w:r>
          </w:p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1F32" w:rsidRPr="00FF5F26" w:rsidRDefault="00A01F32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Launceston General Hospital</w:t>
            </w:r>
          </w:p>
          <w:p w:rsidR="00A006AF" w:rsidRPr="00FF5F26" w:rsidRDefault="00A01F32" w:rsidP="00FF5F26">
            <w:pPr>
              <w:pStyle w:val="LDTabletext"/>
            </w:pPr>
            <w:r w:rsidRPr="00FF5F26">
              <w:rPr>
                <w:rFonts w:eastAsia="Arial"/>
              </w:rPr>
              <w:t>Royal Hobart Hospital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Pr="00E942E4" w:rsidRDefault="00A006AF" w:rsidP="00FF5F26">
            <w:pPr>
              <w:pStyle w:val="LDTabletext"/>
              <w:rPr>
                <w:rFonts w:eastAsia="Arial"/>
                <w:i/>
              </w:rPr>
            </w:pPr>
            <w:r>
              <w:rPr>
                <w:rFonts w:eastAsia="Arial"/>
              </w:rPr>
              <w:t xml:space="preserve">Tasmania </w:t>
            </w:r>
          </w:p>
        </w:tc>
      </w:tr>
      <w:tr w:rsidR="00A006AF" w:rsidTr="00EC150C">
        <w:trPr>
          <w:trHeight w:val="592"/>
        </w:trPr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text"/>
            </w:pPr>
            <w:r>
              <w:rPr>
                <w:rFonts w:eastAsia="Arial"/>
              </w:rPr>
              <w:t xml:space="preserve">7 </w:t>
            </w:r>
          </w:p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Pr="00FF5F26" w:rsidRDefault="00A006AF" w:rsidP="00FF5F26">
            <w:pPr>
              <w:pStyle w:val="LDTabletext"/>
            </w:pPr>
            <w:r w:rsidRPr="00FF5F26">
              <w:rPr>
                <w:rFonts w:eastAsia="Arial"/>
              </w:rPr>
              <w:t xml:space="preserve">Canberra Hospital 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Pr="00E942E4" w:rsidRDefault="00A006AF" w:rsidP="00FF5F26">
            <w:pPr>
              <w:pStyle w:val="LDTabletext"/>
              <w:rPr>
                <w:rFonts w:eastAsia="Arial"/>
                <w:i/>
              </w:rPr>
            </w:pPr>
            <w:r>
              <w:rPr>
                <w:rFonts w:eastAsia="Arial"/>
              </w:rPr>
              <w:t xml:space="preserve">Australian Capital Territory </w:t>
            </w:r>
          </w:p>
        </w:tc>
      </w:tr>
      <w:tr w:rsidR="00A006AF" w:rsidTr="00EC150C">
        <w:trPr>
          <w:trHeight w:val="353"/>
        </w:trPr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Default="00A006AF" w:rsidP="00FF5F26">
            <w:pPr>
              <w:pStyle w:val="LDTabletext"/>
            </w:pPr>
            <w:r>
              <w:rPr>
                <w:rFonts w:eastAsia="Arial"/>
              </w:rPr>
              <w:t xml:space="preserve">8 </w:t>
            </w:r>
          </w:p>
        </w:tc>
        <w:tc>
          <w:tcPr>
            <w:tcW w:w="49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Pr="00FF5F26" w:rsidRDefault="00A006AF" w:rsidP="00FF5F26">
            <w:pPr>
              <w:pStyle w:val="LDTabletext"/>
              <w:rPr>
                <w:rFonts w:eastAsia="Arial"/>
              </w:rPr>
            </w:pPr>
            <w:r w:rsidRPr="00FF5F26">
              <w:rPr>
                <w:rFonts w:eastAsia="Arial"/>
              </w:rPr>
              <w:t>Alice Springs Hospital</w:t>
            </w:r>
          </w:p>
          <w:p w:rsidR="00A006AF" w:rsidRPr="00FF5F26" w:rsidRDefault="00A006AF" w:rsidP="00FF5F26">
            <w:pPr>
              <w:pStyle w:val="LDTabletext"/>
            </w:pPr>
            <w:r w:rsidRPr="00FF5F26">
              <w:rPr>
                <w:rFonts w:eastAsia="Arial"/>
              </w:rPr>
              <w:t>Royal Darwin Hospital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06AF" w:rsidRPr="00E942E4" w:rsidRDefault="00A006AF" w:rsidP="00FF5F26">
            <w:pPr>
              <w:pStyle w:val="LDTabletext"/>
              <w:rPr>
                <w:rFonts w:eastAsia="Arial"/>
                <w:i/>
              </w:rPr>
            </w:pPr>
            <w:r>
              <w:rPr>
                <w:rFonts w:eastAsia="Arial"/>
              </w:rPr>
              <w:t xml:space="preserve">Northern Territory </w:t>
            </w:r>
          </w:p>
        </w:tc>
      </w:tr>
    </w:tbl>
    <w:p w:rsidR="001D6BB2" w:rsidRDefault="001D6BB2" w:rsidP="001D6BB2">
      <w:pPr>
        <w:pStyle w:val="LDSchedule"/>
      </w:pPr>
    </w:p>
    <w:p w:rsidR="00C562C7" w:rsidRDefault="00C562C7" w:rsidP="001D6BB2">
      <w:pPr>
        <w:pStyle w:val="LDSign"/>
      </w:pPr>
    </w:p>
    <w:sectPr w:rsidR="00C562C7" w:rsidSect="00723EF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1702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7B" w:rsidRDefault="00D23D7B" w:rsidP="00715914">
      <w:pPr>
        <w:spacing w:line="240" w:lineRule="auto"/>
      </w:pPr>
      <w:r>
        <w:separator/>
      </w:r>
    </w:p>
    <w:p w:rsidR="00D23D7B" w:rsidRDefault="00D23D7B"/>
    <w:p w:rsidR="00D23D7B" w:rsidRDefault="00D23D7B"/>
  </w:endnote>
  <w:endnote w:type="continuationSeparator" w:id="0">
    <w:p w:rsidR="00D23D7B" w:rsidRDefault="00D23D7B" w:rsidP="00715914">
      <w:pPr>
        <w:spacing w:line="240" w:lineRule="auto"/>
      </w:pPr>
      <w:r>
        <w:continuationSeparator/>
      </w:r>
    </w:p>
    <w:p w:rsidR="00D23D7B" w:rsidRDefault="00D23D7B"/>
    <w:p w:rsidR="00D23D7B" w:rsidRDefault="00D23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Pr="00E33C1C" w:rsidRDefault="00707EC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7EC5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07EC5" w:rsidRDefault="00707EC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07EC5" w:rsidRPr="004E1307" w:rsidRDefault="00707EC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61EA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07EC5" w:rsidRDefault="00707EC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07EC5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07EC5" w:rsidRDefault="00707EC5" w:rsidP="00A369E3">
          <w:pPr>
            <w:jc w:val="right"/>
            <w:rPr>
              <w:sz w:val="18"/>
            </w:rPr>
          </w:pPr>
        </w:p>
      </w:tc>
    </w:tr>
  </w:tbl>
  <w:p w:rsidR="00707EC5" w:rsidRPr="00ED79B6" w:rsidRDefault="00707EC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Pr="00E33C1C" w:rsidRDefault="00707EC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07EC5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07EC5" w:rsidRDefault="00707EC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07EC5" w:rsidRDefault="00707EC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07EC5" w:rsidRDefault="00707EC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07EC5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07EC5" w:rsidRDefault="00707EC5" w:rsidP="00A369E3">
          <w:pPr>
            <w:rPr>
              <w:sz w:val="18"/>
            </w:rPr>
          </w:pPr>
        </w:p>
      </w:tc>
    </w:tr>
  </w:tbl>
  <w:p w:rsidR="00707EC5" w:rsidRPr="00ED79B6" w:rsidRDefault="00707EC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Pr="002B0EA5" w:rsidRDefault="00707EC5" w:rsidP="00567E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07EC5" w:rsidTr="00567EB5">
      <w:tc>
        <w:tcPr>
          <w:tcW w:w="365" w:type="pct"/>
        </w:tcPr>
        <w:p w:rsidR="00707EC5" w:rsidRDefault="00707EC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07EC5" w:rsidRDefault="00707EC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EF61EA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:rsidR="00707EC5" w:rsidRDefault="00707EC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707EC5" w:rsidTr="00567EB5">
      <w:tc>
        <w:tcPr>
          <w:tcW w:w="5000" w:type="pct"/>
          <w:gridSpan w:val="3"/>
        </w:tcPr>
        <w:p w:rsidR="00707EC5" w:rsidRDefault="00707EC5" w:rsidP="006504D5">
          <w:pPr>
            <w:jc w:val="right"/>
            <w:rPr>
              <w:sz w:val="18"/>
            </w:rPr>
          </w:pPr>
        </w:p>
      </w:tc>
    </w:tr>
  </w:tbl>
  <w:p w:rsidR="00707EC5" w:rsidRPr="00ED79B6" w:rsidRDefault="00707EC5" w:rsidP="00567EB5">
    <w:pPr>
      <w:rPr>
        <w:i/>
        <w:sz w:val="18"/>
      </w:rPr>
    </w:pPr>
  </w:p>
  <w:p w:rsidR="00707EC5" w:rsidRDefault="00707EC5"/>
  <w:p w:rsidR="00707EC5" w:rsidRDefault="00707EC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Pr="007C5FDD" w:rsidRDefault="00707EC5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EF61EA" w:rsidRPr="00EF61EA">
      <w:rPr>
        <w:rStyle w:val="LDItal"/>
      </w:rPr>
      <w:t>Security of Critical Infrastructure (Critical infrastructure risk management program) Rules (LIN 23/006)</w:t>
    </w:r>
    <w:r w:rsidR="00EF61EA">
      <w:t> 2023</w:t>
    </w:r>
    <w:r w:rsidRPr="007C5FDD">
      <w:rPr>
        <w:rStyle w:val="LDItal"/>
      </w:rPr>
      <w:fldChar w:fldCharType="end"/>
    </w:r>
  </w:p>
  <w:p w:rsidR="00707EC5" w:rsidRPr="007C5FDD" w:rsidRDefault="00707EC5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EF61EA">
      <w:t>LIN 23/006</w:t>
    </w:r>
    <w: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112AC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7B" w:rsidRDefault="00D23D7B" w:rsidP="00715914">
      <w:pPr>
        <w:spacing w:line="240" w:lineRule="auto"/>
      </w:pPr>
      <w:r>
        <w:separator/>
      </w:r>
    </w:p>
    <w:p w:rsidR="00D23D7B" w:rsidRDefault="00D23D7B"/>
    <w:p w:rsidR="00D23D7B" w:rsidRDefault="00D23D7B"/>
  </w:footnote>
  <w:footnote w:type="continuationSeparator" w:id="0">
    <w:p w:rsidR="00D23D7B" w:rsidRDefault="00D23D7B" w:rsidP="00715914">
      <w:pPr>
        <w:spacing w:line="240" w:lineRule="auto"/>
      </w:pPr>
      <w:r>
        <w:continuationSeparator/>
      </w:r>
    </w:p>
    <w:p w:rsidR="00D23D7B" w:rsidRDefault="00D23D7B"/>
    <w:p w:rsidR="00D23D7B" w:rsidRDefault="00D23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Pr="005F1388" w:rsidRDefault="00707EC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Pr="005F1388" w:rsidRDefault="00707EC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Pr="000B1501" w:rsidRDefault="00707EC5" w:rsidP="00FB5FDF">
    <w:pPr>
      <w:pStyle w:val="Header"/>
      <w:keepNext w:val="0"/>
      <w:spacing w:line="240" w:lineRule="auto"/>
      <w:jc w:val="center"/>
      <w:rPr>
        <w:rFonts w:ascii="Arial" w:hAnsi="Arial" w:cs="Arial"/>
        <w:b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Default="00707EC5" w:rsidP="00715914">
    <w:pPr>
      <w:rPr>
        <w:sz w:val="20"/>
      </w:rPr>
    </w:pPr>
  </w:p>
  <w:p w:rsidR="00707EC5" w:rsidRDefault="00707EC5" w:rsidP="00715914">
    <w:pPr>
      <w:rPr>
        <w:sz w:val="20"/>
      </w:rPr>
    </w:pPr>
  </w:p>
  <w:p w:rsidR="00707EC5" w:rsidRPr="007A1328" w:rsidRDefault="00707EC5" w:rsidP="00715914">
    <w:pPr>
      <w:rPr>
        <w:sz w:val="20"/>
      </w:rPr>
    </w:pPr>
  </w:p>
  <w:p w:rsidR="00707EC5" w:rsidRPr="007A1328" w:rsidRDefault="00707EC5" w:rsidP="00715914">
    <w:pPr>
      <w:rPr>
        <w:b/>
        <w:sz w:val="24"/>
      </w:rPr>
    </w:pPr>
  </w:p>
  <w:p w:rsidR="00707EC5" w:rsidRPr="007A1328" w:rsidRDefault="00707EC5" w:rsidP="00D6537E">
    <w:pPr>
      <w:pBdr>
        <w:bottom w:val="single" w:sz="6" w:space="1" w:color="auto"/>
      </w:pBdr>
      <w:spacing w:after="120"/>
      <w:rPr>
        <w:sz w:val="24"/>
      </w:rPr>
    </w:pPr>
  </w:p>
  <w:p w:rsidR="00707EC5" w:rsidRDefault="00707EC5"/>
  <w:p w:rsidR="00707EC5" w:rsidRDefault="00707EC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Pr="002F0401" w:rsidRDefault="00707EC5" w:rsidP="002F040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5" w:rsidRDefault="0070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BC3552"/>
    <w:multiLevelType w:val="hybridMultilevel"/>
    <w:tmpl w:val="9C2A6CB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4337E5C"/>
    <w:multiLevelType w:val="hybridMultilevel"/>
    <w:tmpl w:val="16D43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ED7404"/>
    <w:multiLevelType w:val="hybridMultilevel"/>
    <w:tmpl w:val="32A8DC4E"/>
    <w:lvl w:ilvl="0" w:tplc="2CA65C9C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7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8" w15:restartNumberingAfterBreak="0">
    <w:nsid w:val="73137938"/>
    <w:multiLevelType w:val="hybridMultilevel"/>
    <w:tmpl w:val="6AA6C5A2"/>
    <w:lvl w:ilvl="0" w:tplc="7278E4C8">
      <w:start w:val="1"/>
      <w:numFmt w:val="lowerLetter"/>
      <w:lvlText w:val="(%1)"/>
      <w:lvlJc w:val="left"/>
      <w:pPr>
        <w:ind w:left="109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786E78BC"/>
    <w:multiLevelType w:val="hybridMultilevel"/>
    <w:tmpl w:val="6220DFA0"/>
    <w:lvl w:ilvl="0" w:tplc="E4FC3E2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1" w15:restartNumberingAfterBreak="0">
    <w:nsid w:val="7EB075AF"/>
    <w:multiLevelType w:val="hybridMultilevel"/>
    <w:tmpl w:val="07106E98"/>
    <w:lvl w:ilvl="0" w:tplc="0CCE7EEE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2"/>
  </w:num>
  <w:num w:numId="19">
    <w:abstractNumId w:val="10"/>
  </w:num>
  <w:num w:numId="20">
    <w:abstractNumId w:val="30"/>
  </w:num>
  <w:num w:numId="21">
    <w:abstractNumId w:val="17"/>
  </w:num>
  <w:num w:numId="22">
    <w:abstractNumId w:val="21"/>
  </w:num>
  <w:num w:numId="23">
    <w:abstractNumId w:val="25"/>
  </w:num>
  <w:num w:numId="24">
    <w:abstractNumId w:val="27"/>
  </w:num>
  <w:num w:numId="25">
    <w:abstractNumId w:val="12"/>
  </w:num>
  <w:num w:numId="26">
    <w:abstractNumId w:val="24"/>
  </w:num>
  <w:num w:numId="27">
    <w:abstractNumId w:val="31"/>
  </w:num>
  <w:num w:numId="28">
    <w:abstractNumId w:val="29"/>
  </w:num>
  <w:num w:numId="29">
    <w:abstractNumId w:val="23"/>
  </w:num>
  <w:num w:numId="30">
    <w:abstractNumId w:val="2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2B"/>
    <w:rsid w:val="00000F86"/>
    <w:rsid w:val="00002B6B"/>
    <w:rsid w:val="00004174"/>
    <w:rsid w:val="00004470"/>
    <w:rsid w:val="0000660A"/>
    <w:rsid w:val="000102EE"/>
    <w:rsid w:val="000136AF"/>
    <w:rsid w:val="00013C5B"/>
    <w:rsid w:val="00014524"/>
    <w:rsid w:val="000179AA"/>
    <w:rsid w:val="00024496"/>
    <w:rsid w:val="000258B1"/>
    <w:rsid w:val="00026504"/>
    <w:rsid w:val="000300BE"/>
    <w:rsid w:val="000312E1"/>
    <w:rsid w:val="000352C3"/>
    <w:rsid w:val="00040A89"/>
    <w:rsid w:val="000437C1"/>
    <w:rsid w:val="0004455A"/>
    <w:rsid w:val="00045260"/>
    <w:rsid w:val="0005365D"/>
    <w:rsid w:val="00054469"/>
    <w:rsid w:val="00054D69"/>
    <w:rsid w:val="0005691F"/>
    <w:rsid w:val="000614BF"/>
    <w:rsid w:val="000660EC"/>
    <w:rsid w:val="0006709C"/>
    <w:rsid w:val="00074366"/>
    <w:rsid w:val="00074376"/>
    <w:rsid w:val="0007722C"/>
    <w:rsid w:val="000906A9"/>
    <w:rsid w:val="000978F5"/>
    <w:rsid w:val="000A3E46"/>
    <w:rsid w:val="000B14AD"/>
    <w:rsid w:val="000B1501"/>
    <w:rsid w:val="000B15CD"/>
    <w:rsid w:val="000B19C5"/>
    <w:rsid w:val="000B3279"/>
    <w:rsid w:val="000B35EB"/>
    <w:rsid w:val="000B3719"/>
    <w:rsid w:val="000D05EF"/>
    <w:rsid w:val="000D081D"/>
    <w:rsid w:val="000E0BC4"/>
    <w:rsid w:val="000E0FA2"/>
    <w:rsid w:val="000E2261"/>
    <w:rsid w:val="000E45DC"/>
    <w:rsid w:val="000E7118"/>
    <w:rsid w:val="000E78B7"/>
    <w:rsid w:val="000F21C1"/>
    <w:rsid w:val="000F29C1"/>
    <w:rsid w:val="000F418A"/>
    <w:rsid w:val="000F4216"/>
    <w:rsid w:val="000F5B84"/>
    <w:rsid w:val="000F66CC"/>
    <w:rsid w:val="00101F00"/>
    <w:rsid w:val="001031F5"/>
    <w:rsid w:val="0010626F"/>
    <w:rsid w:val="0010745C"/>
    <w:rsid w:val="0011242F"/>
    <w:rsid w:val="001244DA"/>
    <w:rsid w:val="0012522D"/>
    <w:rsid w:val="00132CEB"/>
    <w:rsid w:val="001339B0"/>
    <w:rsid w:val="00134429"/>
    <w:rsid w:val="00140D2E"/>
    <w:rsid w:val="00142B62"/>
    <w:rsid w:val="001441B7"/>
    <w:rsid w:val="001446F7"/>
    <w:rsid w:val="00150195"/>
    <w:rsid w:val="001516CB"/>
    <w:rsid w:val="00152122"/>
    <w:rsid w:val="00152336"/>
    <w:rsid w:val="00157B8B"/>
    <w:rsid w:val="001660CC"/>
    <w:rsid w:val="00166C2F"/>
    <w:rsid w:val="001735AE"/>
    <w:rsid w:val="00173E06"/>
    <w:rsid w:val="0017517A"/>
    <w:rsid w:val="001765B1"/>
    <w:rsid w:val="0018095F"/>
    <w:rsid w:val="001809D7"/>
    <w:rsid w:val="00182C05"/>
    <w:rsid w:val="00182EAC"/>
    <w:rsid w:val="00191881"/>
    <w:rsid w:val="00191AFE"/>
    <w:rsid w:val="00192167"/>
    <w:rsid w:val="00192CA0"/>
    <w:rsid w:val="001939E1"/>
    <w:rsid w:val="001942EC"/>
    <w:rsid w:val="00194C3E"/>
    <w:rsid w:val="00195382"/>
    <w:rsid w:val="001979C7"/>
    <w:rsid w:val="001A28DA"/>
    <w:rsid w:val="001A3223"/>
    <w:rsid w:val="001A583E"/>
    <w:rsid w:val="001A5C12"/>
    <w:rsid w:val="001A7E21"/>
    <w:rsid w:val="001B2CB6"/>
    <w:rsid w:val="001B3A94"/>
    <w:rsid w:val="001B3DB9"/>
    <w:rsid w:val="001B63C2"/>
    <w:rsid w:val="001C1715"/>
    <w:rsid w:val="001C61C5"/>
    <w:rsid w:val="001C6494"/>
    <w:rsid w:val="001C69C4"/>
    <w:rsid w:val="001D1C8A"/>
    <w:rsid w:val="001D37EF"/>
    <w:rsid w:val="001D3F82"/>
    <w:rsid w:val="001D681A"/>
    <w:rsid w:val="001D6BB2"/>
    <w:rsid w:val="001D729F"/>
    <w:rsid w:val="001E0BD6"/>
    <w:rsid w:val="001E0CD8"/>
    <w:rsid w:val="001E3590"/>
    <w:rsid w:val="001E48E3"/>
    <w:rsid w:val="001E7407"/>
    <w:rsid w:val="001F5B44"/>
    <w:rsid w:val="001F5D5E"/>
    <w:rsid w:val="001F6219"/>
    <w:rsid w:val="001F6CD4"/>
    <w:rsid w:val="001F73C9"/>
    <w:rsid w:val="001F7C87"/>
    <w:rsid w:val="002029EE"/>
    <w:rsid w:val="00206C4D"/>
    <w:rsid w:val="00215AF1"/>
    <w:rsid w:val="002200EA"/>
    <w:rsid w:val="0022370F"/>
    <w:rsid w:val="00226296"/>
    <w:rsid w:val="002321E8"/>
    <w:rsid w:val="00232984"/>
    <w:rsid w:val="0023602C"/>
    <w:rsid w:val="00237C31"/>
    <w:rsid w:val="0024010F"/>
    <w:rsid w:val="00240749"/>
    <w:rsid w:val="00243018"/>
    <w:rsid w:val="00255F22"/>
    <w:rsid w:val="002564A4"/>
    <w:rsid w:val="002613AE"/>
    <w:rsid w:val="00261F44"/>
    <w:rsid w:val="00262B56"/>
    <w:rsid w:val="0026736C"/>
    <w:rsid w:val="002707CD"/>
    <w:rsid w:val="0027325B"/>
    <w:rsid w:val="00275FAB"/>
    <w:rsid w:val="00276536"/>
    <w:rsid w:val="0027745E"/>
    <w:rsid w:val="0028068A"/>
    <w:rsid w:val="00281308"/>
    <w:rsid w:val="00281AEE"/>
    <w:rsid w:val="00284719"/>
    <w:rsid w:val="002868EF"/>
    <w:rsid w:val="00294E9C"/>
    <w:rsid w:val="002950C4"/>
    <w:rsid w:val="00297ECB"/>
    <w:rsid w:val="002A14E1"/>
    <w:rsid w:val="002A506E"/>
    <w:rsid w:val="002A7BCF"/>
    <w:rsid w:val="002B5E95"/>
    <w:rsid w:val="002C2B6F"/>
    <w:rsid w:val="002C3FD1"/>
    <w:rsid w:val="002C52F9"/>
    <w:rsid w:val="002D043A"/>
    <w:rsid w:val="002D266B"/>
    <w:rsid w:val="002D43A4"/>
    <w:rsid w:val="002D5C23"/>
    <w:rsid w:val="002D6224"/>
    <w:rsid w:val="002D67E8"/>
    <w:rsid w:val="002E69BA"/>
    <w:rsid w:val="002F0401"/>
    <w:rsid w:val="002F04D4"/>
    <w:rsid w:val="002F121E"/>
    <w:rsid w:val="002F4AB6"/>
    <w:rsid w:val="002F5727"/>
    <w:rsid w:val="00303646"/>
    <w:rsid w:val="003041F7"/>
    <w:rsid w:val="00304F8B"/>
    <w:rsid w:val="00305138"/>
    <w:rsid w:val="003059D7"/>
    <w:rsid w:val="00316BD4"/>
    <w:rsid w:val="003218F9"/>
    <w:rsid w:val="00321D83"/>
    <w:rsid w:val="00334151"/>
    <w:rsid w:val="00335BC6"/>
    <w:rsid w:val="003369FE"/>
    <w:rsid w:val="00336F37"/>
    <w:rsid w:val="003415D3"/>
    <w:rsid w:val="00343D01"/>
    <w:rsid w:val="00344338"/>
    <w:rsid w:val="00344701"/>
    <w:rsid w:val="00352B0F"/>
    <w:rsid w:val="003551C7"/>
    <w:rsid w:val="00355410"/>
    <w:rsid w:val="00360459"/>
    <w:rsid w:val="003622B1"/>
    <w:rsid w:val="00363437"/>
    <w:rsid w:val="00365E41"/>
    <w:rsid w:val="00367FF7"/>
    <w:rsid w:val="00377353"/>
    <w:rsid w:val="0038049F"/>
    <w:rsid w:val="00381F45"/>
    <w:rsid w:val="00397385"/>
    <w:rsid w:val="003A13B7"/>
    <w:rsid w:val="003A3781"/>
    <w:rsid w:val="003B11B5"/>
    <w:rsid w:val="003B3646"/>
    <w:rsid w:val="003B386D"/>
    <w:rsid w:val="003C10E0"/>
    <w:rsid w:val="003C12FE"/>
    <w:rsid w:val="003C5917"/>
    <w:rsid w:val="003C6021"/>
    <w:rsid w:val="003C6231"/>
    <w:rsid w:val="003C6504"/>
    <w:rsid w:val="003C7F9F"/>
    <w:rsid w:val="003D0BFE"/>
    <w:rsid w:val="003D3084"/>
    <w:rsid w:val="003D34D7"/>
    <w:rsid w:val="003D3E37"/>
    <w:rsid w:val="003D4259"/>
    <w:rsid w:val="003D5700"/>
    <w:rsid w:val="003E183E"/>
    <w:rsid w:val="003E32DF"/>
    <w:rsid w:val="003E341B"/>
    <w:rsid w:val="003E4D00"/>
    <w:rsid w:val="003E7132"/>
    <w:rsid w:val="003F28BC"/>
    <w:rsid w:val="003F5D23"/>
    <w:rsid w:val="003F6CF7"/>
    <w:rsid w:val="003F6D4F"/>
    <w:rsid w:val="00401FA8"/>
    <w:rsid w:val="004115F7"/>
    <w:rsid w:val="004116CD"/>
    <w:rsid w:val="00415626"/>
    <w:rsid w:val="00417EB9"/>
    <w:rsid w:val="00424CA9"/>
    <w:rsid w:val="00424DDF"/>
    <w:rsid w:val="00426959"/>
    <w:rsid w:val="004276DF"/>
    <w:rsid w:val="00431E9B"/>
    <w:rsid w:val="00434769"/>
    <w:rsid w:val="004379E3"/>
    <w:rsid w:val="0044015E"/>
    <w:rsid w:val="004413B0"/>
    <w:rsid w:val="0044291A"/>
    <w:rsid w:val="00444CE6"/>
    <w:rsid w:val="00447809"/>
    <w:rsid w:val="0045264C"/>
    <w:rsid w:val="00457979"/>
    <w:rsid w:val="00466020"/>
    <w:rsid w:val="0046679D"/>
    <w:rsid w:val="00467661"/>
    <w:rsid w:val="00472DBE"/>
    <w:rsid w:val="00474A19"/>
    <w:rsid w:val="004770F9"/>
    <w:rsid w:val="00477830"/>
    <w:rsid w:val="00480BB0"/>
    <w:rsid w:val="00484CDB"/>
    <w:rsid w:val="00487764"/>
    <w:rsid w:val="00490D54"/>
    <w:rsid w:val="00494305"/>
    <w:rsid w:val="004951EF"/>
    <w:rsid w:val="00496F97"/>
    <w:rsid w:val="004A22B0"/>
    <w:rsid w:val="004A23DC"/>
    <w:rsid w:val="004A6921"/>
    <w:rsid w:val="004A78E0"/>
    <w:rsid w:val="004B6C48"/>
    <w:rsid w:val="004C3385"/>
    <w:rsid w:val="004C47AF"/>
    <w:rsid w:val="004C4E59"/>
    <w:rsid w:val="004C6809"/>
    <w:rsid w:val="004C68EC"/>
    <w:rsid w:val="004C6C2C"/>
    <w:rsid w:val="004D4B19"/>
    <w:rsid w:val="004D6E62"/>
    <w:rsid w:val="004E063A"/>
    <w:rsid w:val="004E1307"/>
    <w:rsid w:val="004E1408"/>
    <w:rsid w:val="004E498B"/>
    <w:rsid w:val="004E61D4"/>
    <w:rsid w:val="004E7BEC"/>
    <w:rsid w:val="004F3441"/>
    <w:rsid w:val="004F3A8C"/>
    <w:rsid w:val="004F3E0C"/>
    <w:rsid w:val="00505D3D"/>
    <w:rsid w:val="00506AF6"/>
    <w:rsid w:val="005115C2"/>
    <w:rsid w:val="0051232F"/>
    <w:rsid w:val="00516B8D"/>
    <w:rsid w:val="00520D19"/>
    <w:rsid w:val="00524169"/>
    <w:rsid w:val="00525780"/>
    <w:rsid w:val="00525E55"/>
    <w:rsid w:val="00526626"/>
    <w:rsid w:val="00526C5A"/>
    <w:rsid w:val="005303C8"/>
    <w:rsid w:val="00531108"/>
    <w:rsid w:val="00534BBB"/>
    <w:rsid w:val="005363C3"/>
    <w:rsid w:val="005374A9"/>
    <w:rsid w:val="00537FBC"/>
    <w:rsid w:val="00541EBC"/>
    <w:rsid w:val="00550579"/>
    <w:rsid w:val="00554826"/>
    <w:rsid w:val="00556A61"/>
    <w:rsid w:val="00562877"/>
    <w:rsid w:val="005630A3"/>
    <w:rsid w:val="00565AC5"/>
    <w:rsid w:val="00567EB5"/>
    <w:rsid w:val="0057288C"/>
    <w:rsid w:val="005734D4"/>
    <w:rsid w:val="005756C1"/>
    <w:rsid w:val="005765F3"/>
    <w:rsid w:val="00576783"/>
    <w:rsid w:val="005801D9"/>
    <w:rsid w:val="00580C9B"/>
    <w:rsid w:val="005816E4"/>
    <w:rsid w:val="00584811"/>
    <w:rsid w:val="00585784"/>
    <w:rsid w:val="0058793E"/>
    <w:rsid w:val="0059049F"/>
    <w:rsid w:val="005911D7"/>
    <w:rsid w:val="005913F8"/>
    <w:rsid w:val="00591E31"/>
    <w:rsid w:val="0059331C"/>
    <w:rsid w:val="00593AA6"/>
    <w:rsid w:val="00594161"/>
    <w:rsid w:val="00594749"/>
    <w:rsid w:val="00594E31"/>
    <w:rsid w:val="0059730E"/>
    <w:rsid w:val="005A07DF"/>
    <w:rsid w:val="005A2ACC"/>
    <w:rsid w:val="005A3A6F"/>
    <w:rsid w:val="005A65D5"/>
    <w:rsid w:val="005B13C9"/>
    <w:rsid w:val="005B2201"/>
    <w:rsid w:val="005B4067"/>
    <w:rsid w:val="005C2C89"/>
    <w:rsid w:val="005C2D26"/>
    <w:rsid w:val="005C3F41"/>
    <w:rsid w:val="005C48B1"/>
    <w:rsid w:val="005D1D92"/>
    <w:rsid w:val="005D2D09"/>
    <w:rsid w:val="005E276D"/>
    <w:rsid w:val="005F61C3"/>
    <w:rsid w:val="00600219"/>
    <w:rsid w:val="00604F2A"/>
    <w:rsid w:val="00607C3E"/>
    <w:rsid w:val="00607E7C"/>
    <w:rsid w:val="00611DBD"/>
    <w:rsid w:val="00620076"/>
    <w:rsid w:val="006224B1"/>
    <w:rsid w:val="0062438A"/>
    <w:rsid w:val="006273BE"/>
    <w:rsid w:val="00627E0A"/>
    <w:rsid w:val="006303E3"/>
    <w:rsid w:val="00631236"/>
    <w:rsid w:val="006329E9"/>
    <w:rsid w:val="006504D5"/>
    <w:rsid w:val="006534D1"/>
    <w:rsid w:val="0065488B"/>
    <w:rsid w:val="00657754"/>
    <w:rsid w:val="00667652"/>
    <w:rsid w:val="006707B2"/>
    <w:rsid w:val="00670EA1"/>
    <w:rsid w:val="00677CC2"/>
    <w:rsid w:val="0068123B"/>
    <w:rsid w:val="00681E17"/>
    <w:rsid w:val="00681F8B"/>
    <w:rsid w:val="00683514"/>
    <w:rsid w:val="0068494C"/>
    <w:rsid w:val="00684D78"/>
    <w:rsid w:val="0068744B"/>
    <w:rsid w:val="006905DE"/>
    <w:rsid w:val="00690EE2"/>
    <w:rsid w:val="0069207B"/>
    <w:rsid w:val="00692BFD"/>
    <w:rsid w:val="0069408C"/>
    <w:rsid w:val="00694E6D"/>
    <w:rsid w:val="00695A3E"/>
    <w:rsid w:val="006A154F"/>
    <w:rsid w:val="006A1CDC"/>
    <w:rsid w:val="006A437B"/>
    <w:rsid w:val="006A51C1"/>
    <w:rsid w:val="006B2907"/>
    <w:rsid w:val="006B5789"/>
    <w:rsid w:val="006B64CD"/>
    <w:rsid w:val="006C16C7"/>
    <w:rsid w:val="006C30C5"/>
    <w:rsid w:val="006C507A"/>
    <w:rsid w:val="006C5CDD"/>
    <w:rsid w:val="006C7F8C"/>
    <w:rsid w:val="006D178E"/>
    <w:rsid w:val="006D2C91"/>
    <w:rsid w:val="006D2D63"/>
    <w:rsid w:val="006E2E1C"/>
    <w:rsid w:val="006E6246"/>
    <w:rsid w:val="006E69C2"/>
    <w:rsid w:val="006E6DCC"/>
    <w:rsid w:val="006E6E00"/>
    <w:rsid w:val="006F0E8D"/>
    <w:rsid w:val="006F318F"/>
    <w:rsid w:val="006F595B"/>
    <w:rsid w:val="006F7D48"/>
    <w:rsid w:val="0070017E"/>
    <w:rsid w:val="00700203"/>
    <w:rsid w:val="00700B2C"/>
    <w:rsid w:val="0070497A"/>
    <w:rsid w:val="007050A2"/>
    <w:rsid w:val="00707EC5"/>
    <w:rsid w:val="00713084"/>
    <w:rsid w:val="0071448F"/>
    <w:rsid w:val="00714F20"/>
    <w:rsid w:val="0071590F"/>
    <w:rsid w:val="00715914"/>
    <w:rsid w:val="00715D5E"/>
    <w:rsid w:val="0071619C"/>
    <w:rsid w:val="00717276"/>
    <w:rsid w:val="00720938"/>
    <w:rsid w:val="0072147A"/>
    <w:rsid w:val="00723791"/>
    <w:rsid w:val="00723EF5"/>
    <w:rsid w:val="0072416A"/>
    <w:rsid w:val="007253B8"/>
    <w:rsid w:val="007268E9"/>
    <w:rsid w:val="00730942"/>
    <w:rsid w:val="00731E00"/>
    <w:rsid w:val="007328FA"/>
    <w:rsid w:val="00742853"/>
    <w:rsid w:val="007440B7"/>
    <w:rsid w:val="00745E80"/>
    <w:rsid w:val="007500C8"/>
    <w:rsid w:val="00750B9C"/>
    <w:rsid w:val="007531CD"/>
    <w:rsid w:val="00753D22"/>
    <w:rsid w:val="00754711"/>
    <w:rsid w:val="00756272"/>
    <w:rsid w:val="00762D38"/>
    <w:rsid w:val="007715C9"/>
    <w:rsid w:val="00771613"/>
    <w:rsid w:val="00774EDD"/>
    <w:rsid w:val="007757EC"/>
    <w:rsid w:val="0078011C"/>
    <w:rsid w:val="00783E89"/>
    <w:rsid w:val="00790B55"/>
    <w:rsid w:val="00793263"/>
    <w:rsid w:val="00793915"/>
    <w:rsid w:val="0079511D"/>
    <w:rsid w:val="00795866"/>
    <w:rsid w:val="007976D6"/>
    <w:rsid w:val="007A6362"/>
    <w:rsid w:val="007A656F"/>
    <w:rsid w:val="007B13E2"/>
    <w:rsid w:val="007B3652"/>
    <w:rsid w:val="007B3795"/>
    <w:rsid w:val="007B66E6"/>
    <w:rsid w:val="007B672F"/>
    <w:rsid w:val="007C2253"/>
    <w:rsid w:val="007C343A"/>
    <w:rsid w:val="007C38C9"/>
    <w:rsid w:val="007C3ADF"/>
    <w:rsid w:val="007C43E4"/>
    <w:rsid w:val="007C5FDD"/>
    <w:rsid w:val="007D1046"/>
    <w:rsid w:val="007D5A2B"/>
    <w:rsid w:val="007D7671"/>
    <w:rsid w:val="007D7911"/>
    <w:rsid w:val="007E11B9"/>
    <w:rsid w:val="007E163D"/>
    <w:rsid w:val="007E572A"/>
    <w:rsid w:val="007E667A"/>
    <w:rsid w:val="007E712B"/>
    <w:rsid w:val="007F28C9"/>
    <w:rsid w:val="007F2C42"/>
    <w:rsid w:val="007F45FF"/>
    <w:rsid w:val="007F51B2"/>
    <w:rsid w:val="007F73A5"/>
    <w:rsid w:val="0080349D"/>
    <w:rsid w:val="0080359A"/>
    <w:rsid w:val="008040DD"/>
    <w:rsid w:val="00806A12"/>
    <w:rsid w:val="00806E9B"/>
    <w:rsid w:val="00807D62"/>
    <w:rsid w:val="00807F7D"/>
    <w:rsid w:val="008117E9"/>
    <w:rsid w:val="00817A52"/>
    <w:rsid w:val="00821579"/>
    <w:rsid w:val="00824498"/>
    <w:rsid w:val="00824501"/>
    <w:rsid w:val="00825587"/>
    <w:rsid w:val="00826B20"/>
    <w:rsid w:val="00826BD1"/>
    <w:rsid w:val="008313DD"/>
    <w:rsid w:val="00832267"/>
    <w:rsid w:val="00833B67"/>
    <w:rsid w:val="00835459"/>
    <w:rsid w:val="00837F4A"/>
    <w:rsid w:val="008409FE"/>
    <w:rsid w:val="0084208C"/>
    <w:rsid w:val="00842AF5"/>
    <w:rsid w:val="00845ABE"/>
    <w:rsid w:val="0084704C"/>
    <w:rsid w:val="00850046"/>
    <w:rsid w:val="00851663"/>
    <w:rsid w:val="00854D0B"/>
    <w:rsid w:val="00856A31"/>
    <w:rsid w:val="00860B4E"/>
    <w:rsid w:val="00861378"/>
    <w:rsid w:val="00863738"/>
    <w:rsid w:val="00867999"/>
    <w:rsid w:val="00867B37"/>
    <w:rsid w:val="008701A2"/>
    <w:rsid w:val="008754D0"/>
    <w:rsid w:val="00875D13"/>
    <w:rsid w:val="00881923"/>
    <w:rsid w:val="008855C9"/>
    <w:rsid w:val="00886456"/>
    <w:rsid w:val="0089029F"/>
    <w:rsid w:val="0089466A"/>
    <w:rsid w:val="00896176"/>
    <w:rsid w:val="008A12F5"/>
    <w:rsid w:val="008A23E1"/>
    <w:rsid w:val="008A46E1"/>
    <w:rsid w:val="008A4F43"/>
    <w:rsid w:val="008A75B6"/>
    <w:rsid w:val="008B16EF"/>
    <w:rsid w:val="008B2706"/>
    <w:rsid w:val="008B3706"/>
    <w:rsid w:val="008B4BA0"/>
    <w:rsid w:val="008B6533"/>
    <w:rsid w:val="008C25AE"/>
    <w:rsid w:val="008C2EAC"/>
    <w:rsid w:val="008C3379"/>
    <w:rsid w:val="008C5A19"/>
    <w:rsid w:val="008C6E72"/>
    <w:rsid w:val="008D0EE0"/>
    <w:rsid w:val="008D13EF"/>
    <w:rsid w:val="008D3840"/>
    <w:rsid w:val="008D7C7C"/>
    <w:rsid w:val="008E0027"/>
    <w:rsid w:val="008E31A1"/>
    <w:rsid w:val="008E39BB"/>
    <w:rsid w:val="008E408F"/>
    <w:rsid w:val="008E5C3E"/>
    <w:rsid w:val="008E6067"/>
    <w:rsid w:val="008E7C88"/>
    <w:rsid w:val="008F185B"/>
    <w:rsid w:val="008F3675"/>
    <w:rsid w:val="008F54E7"/>
    <w:rsid w:val="00902E57"/>
    <w:rsid w:val="00903422"/>
    <w:rsid w:val="00905A44"/>
    <w:rsid w:val="00906CEE"/>
    <w:rsid w:val="00915BD5"/>
    <w:rsid w:val="00916BB2"/>
    <w:rsid w:val="00916E8D"/>
    <w:rsid w:val="00922771"/>
    <w:rsid w:val="009228CB"/>
    <w:rsid w:val="00922BC7"/>
    <w:rsid w:val="00923013"/>
    <w:rsid w:val="009254C3"/>
    <w:rsid w:val="00932377"/>
    <w:rsid w:val="009333E7"/>
    <w:rsid w:val="00941236"/>
    <w:rsid w:val="009420F1"/>
    <w:rsid w:val="00943FD5"/>
    <w:rsid w:val="009464C5"/>
    <w:rsid w:val="00947D5A"/>
    <w:rsid w:val="009532A5"/>
    <w:rsid w:val="009545BD"/>
    <w:rsid w:val="00955C39"/>
    <w:rsid w:val="00956779"/>
    <w:rsid w:val="00957B76"/>
    <w:rsid w:val="00957F1F"/>
    <w:rsid w:val="00964CF0"/>
    <w:rsid w:val="0096562E"/>
    <w:rsid w:val="009713DE"/>
    <w:rsid w:val="009719C2"/>
    <w:rsid w:val="00972AF8"/>
    <w:rsid w:val="00973DC6"/>
    <w:rsid w:val="00977743"/>
    <w:rsid w:val="00977806"/>
    <w:rsid w:val="00982242"/>
    <w:rsid w:val="009868E9"/>
    <w:rsid w:val="009900A3"/>
    <w:rsid w:val="0099269B"/>
    <w:rsid w:val="00994EB3"/>
    <w:rsid w:val="00995433"/>
    <w:rsid w:val="009A0476"/>
    <w:rsid w:val="009A7C1F"/>
    <w:rsid w:val="009B1E92"/>
    <w:rsid w:val="009B7367"/>
    <w:rsid w:val="009C215C"/>
    <w:rsid w:val="009C3413"/>
    <w:rsid w:val="009C3755"/>
    <w:rsid w:val="009C3ACA"/>
    <w:rsid w:val="009D0C05"/>
    <w:rsid w:val="009D53FF"/>
    <w:rsid w:val="009D76CD"/>
    <w:rsid w:val="009D7B78"/>
    <w:rsid w:val="009E0580"/>
    <w:rsid w:val="009E2DF8"/>
    <w:rsid w:val="009E3D4E"/>
    <w:rsid w:val="009F13F4"/>
    <w:rsid w:val="009F49B2"/>
    <w:rsid w:val="009F69F1"/>
    <w:rsid w:val="00A006AF"/>
    <w:rsid w:val="00A0139B"/>
    <w:rsid w:val="00A01F32"/>
    <w:rsid w:val="00A0219B"/>
    <w:rsid w:val="00A024D0"/>
    <w:rsid w:val="00A0441E"/>
    <w:rsid w:val="00A06CA5"/>
    <w:rsid w:val="00A12128"/>
    <w:rsid w:val="00A127E7"/>
    <w:rsid w:val="00A14955"/>
    <w:rsid w:val="00A17282"/>
    <w:rsid w:val="00A21B5F"/>
    <w:rsid w:val="00A21E87"/>
    <w:rsid w:val="00A21F05"/>
    <w:rsid w:val="00A22C98"/>
    <w:rsid w:val="00A231E2"/>
    <w:rsid w:val="00A2403F"/>
    <w:rsid w:val="00A252F1"/>
    <w:rsid w:val="00A27B0C"/>
    <w:rsid w:val="00A325B5"/>
    <w:rsid w:val="00A32EFD"/>
    <w:rsid w:val="00A369E3"/>
    <w:rsid w:val="00A45132"/>
    <w:rsid w:val="00A47012"/>
    <w:rsid w:val="00A5200A"/>
    <w:rsid w:val="00A57600"/>
    <w:rsid w:val="00A60536"/>
    <w:rsid w:val="00A64396"/>
    <w:rsid w:val="00A64912"/>
    <w:rsid w:val="00A6673B"/>
    <w:rsid w:val="00A70A74"/>
    <w:rsid w:val="00A72548"/>
    <w:rsid w:val="00A75A0B"/>
    <w:rsid w:val="00A75FE9"/>
    <w:rsid w:val="00A771FC"/>
    <w:rsid w:val="00A774BD"/>
    <w:rsid w:val="00A800DE"/>
    <w:rsid w:val="00A80E28"/>
    <w:rsid w:val="00A8241B"/>
    <w:rsid w:val="00A84214"/>
    <w:rsid w:val="00A901B9"/>
    <w:rsid w:val="00A93E06"/>
    <w:rsid w:val="00A94216"/>
    <w:rsid w:val="00A95A41"/>
    <w:rsid w:val="00AA156B"/>
    <w:rsid w:val="00AA2CB1"/>
    <w:rsid w:val="00AA55F9"/>
    <w:rsid w:val="00AA6455"/>
    <w:rsid w:val="00AA7A1C"/>
    <w:rsid w:val="00AB16B7"/>
    <w:rsid w:val="00AB41B9"/>
    <w:rsid w:val="00AB4740"/>
    <w:rsid w:val="00AC7B08"/>
    <w:rsid w:val="00AD53CC"/>
    <w:rsid w:val="00AD5641"/>
    <w:rsid w:val="00AD7A13"/>
    <w:rsid w:val="00AE5AF3"/>
    <w:rsid w:val="00AE63A8"/>
    <w:rsid w:val="00AE6A5E"/>
    <w:rsid w:val="00AF06CF"/>
    <w:rsid w:val="00AF6774"/>
    <w:rsid w:val="00AF7029"/>
    <w:rsid w:val="00B019CA"/>
    <w:rsid w:val="00B02230"/>
    <w:rsid w:val="00B05B24"/>
    <w:rsid w:val="00B05E22"/>
    <w:rsid w:val="00B07CDB"/>
    <w:rsid w:val="00B14A2D"/>
    <w:rsid w:val="00B16A31"/>
    <w:rsid w:val="00B16C72"/>
    <w:rsid w:val="00B17DFD"/>
    <w:rsid w:val="00B21768"/>
    <w:rsid w:val="00B25306"/>
    <w:rsid w:val="00B2759E"/>
    <w:rsid w:val="00B27831"/>
    <w:rsid w:val="00B308FE"/>
    <w:rsid w:val="00B31F5F"/>
    <w:rsid w:val="00B32A82"/>
    <w:rsid w:val="00B33709"/>
    <w:rsid w:val="00B33B3C"/>
    <w:rsid w:val="00B36392"/>
    <w:rsid w:val="00B37C35"/>
    <w:rsid w:val="00B418CB"/>
    <w:rsid w:val="00B4644E"/>
    <w:rsid w:val="00B47444"/>
    <w:rsid w:val="00B50ADC"/>
    <w:rsid w:val="00B51852"/>
    <w:rsid w:val="00B528A6"/>
    <w:rsid w:val="00B566B1"/>
    <w:rsid w:val="00B601A4"/>
    <w:rsid w:val="00B62662"/>
    <w:rsid w:val="00B63834"/>
    <w:rsid w:val="00B64FB9"/>
    <w:rsid w:val="00B661D6"/>
    <w:rsid w:val="00B70357"/>
    <w:rsid w:val="00B70CE2"/>
    <w:rsid w:val="00B714F2"/>
    <w:rsid w:val="00B73647"/>
    <w:rsid w:val="00B80199"/>
    <w:rsid w:val="00B8295B"/>
    <w:rsid w:val="00B83204"/>
    <w:rsid w:val="00B856E7"/>
    <w:rsid w:val="00B865FC"/>
    <w:rsid w:val="00B869EF"/>
    <w:rsid w:val="00B875EC"/>
    <w:rsid w:val="00B87718"/>
    <w:rsid w:val="00B97BDE"/>
    <w:rsid w:val="00BA0E24"/>
    <w:rsid w:val="00BA220B"/>
    <w:rsid w:val="00BA3A57"/>
    <w:rsid w:val="00BA478E"/>
    <w:rsid w:val="00BA6954"/>
    <w:rsid w:val="00BA7079"/>
    <w:rsid w:val="00BA72C4"/>
    <w:rsid w:val="00BB1533"/>
    <w:rsid w:val="00BB29D5"/>
    <w:rsid w:val="00BB4E1A"/>
    <w:rsid w:val="00BB6030"/>
    <w:rsid w:val="00BB724E"/>
    <w:rsid w:val="00BC015E"/>
    <w:rsid w:val="00BC0252"/>
    <w:rsid w:val="00BC2F07"/>
    <w:rsid w:val="00BC76AC"/>
    <w:rsid w:val="00BD08C0"/>
    <w:rsid w:val="00BD0ECB"/>
    <w:rsid w:val="00BE2155"/>
    <w:rsid w:val="00BE22CF"/>
    <w:rsid w:val="00BE4337"/>
    <w:rsid w:val="00BE719A"/>
    <w:rsid w:val="00BE720A"/>
    <w:rsid w:val="00BF0D1D"/>
    <w:rsid w:val="00BF0D73"/>
    <w:rsid w:val="00BF2465"/>
    <w:rsid w:val="00BF28B7"/>
    <w:rsid w:val="00BF4EB8"/>
    <w:rsid w:val="00BF71C9"/>
    <w:rsid w:val="00C0212B"/>
    <w:rsid w:val="00C05287"/>
    <w:rsid w:val="00C06FBA"/>
    <w:rsid w:val="00C16619"/>
    <w:rsid w:val="00C20204"/>
    <w:rsid w:val="00C22720"/>
    <w:rsid w:val="00C25E7F"/>
    <w:rsid w:val="00C2746F"/>
    <w:rsid w:val="00C30BFD"/>
    <w:rsid w:val="00C31C31"/>
    <w:rsid w:val="00C323D6"/>
    <w:rsid w:val="00C324A0"/>
    <w:rsid w:val="00C3451E"/>
    <w:rsid w:val="00C42BF8"/>
    <w:rsid w:val="00C50043"/>
    <w:rsid w:val="00C504C8"/>
    <w:rsid w:val="00C5507D"/>
    <w:rsid w:val="00C562C7"/>
    <w:rsid w:val="00C642F9"/>
    <w:rsid w:val="00C66322"/>
    <w:rsid w:val="00C73B6F"/>
    <w:rsid w:val="00C7573B"/>
    <w:rsid w:val="00C76CAB"/>
    <w:rsid w:val="00C829D3"/>
    <w:rsid w:val="00C91FB6"/>
    <w:rsid w:val="00C92D83"/>
    <w:rsid w:val="00C94456"/>
    <w:rsid w:val="00C96D4F"/>
    <w:rsid w:val="00C96FED"/>
    <w:rsid w:val="00C973C7"/>
    <w:rsid w:val="00C9763E"/>
    <w:rsid w:val="00C97956"/>
    <w:rsid w:val="00C97A54"/>
    <w:rsid w:val="00CA5B23"/>
    <w:rsid w:val="00CB2986"/>
    <w:rsid w:val="00CB602E"/>
    <w:rsid w:val="00CB7E90"/>
    <w:rsid w:val="00CB7FBA"/>
    <w:rsid w:val="00CC0F5A"/>
    <w:rsid w:val="00CC5D26"/>
    <w:rsid w:val="00CC6838"/>
    <w:rsid w:val="00CC77B2"/>
    <w:rsid w:val="00CD0A7C"/>
    <w:rsid w:val="00CD3A74"/>
    <w:rsid w:val="00CD757E"/>
    <w:rsid w:val="00CE051D"/>
    <w:rsid w:val="00CE1335"/>
    <w:rsid w:val="00CE1A56"/>
    <w:rsid w:val="00CE1CF1"/>
    <w:rsid w:val="00CE2CB0"/>
    <w:rsid w:val="00CE493D"/>
    <w:rsid w:val="00CE4C4E"/>
    <w:rsid w:val="00CF008D"/>
    <w:rsid w:val="00CF07FA"/>
    <w:rsid w:val="00CF0BB2"/>
    <w:rsid w:val="00CF0CFA"/>
    <w:rsid w:val="00CF0F5C"/>
    <w:rsid w:val="00CF0F68"/>
    <w:rsid w:val="00CF10B1"/>
    <w:rsid w:val="00CF269A"/>
    <w:rsid w:val="00CF3EE8"/>
    <w:rsid w:val="00CF42AA"/>
    <w:rsid w:val="00D13441"/>
    <w:rsid w:val="00D14558"/>
    <w:rsid w:val="00D150E7"/>
    <w:rsid w:val="00D15B3B"/>
    <w:rsid w:val="00D166B1"/>
    <w:rsid w:val="00D17DAC"/>
    <w:rsid w:val="00D205E5"/>
    <w:rsid w:val="00D23D7B"/>
    <w:rsid w:val="00D24BB3"/>
    <w:rsid w:val="00D27EB7"/>
    <w:rsid w:val="00D32EA1"/>
    <w:rsid w:val="00D34276"/>
    <w:rsid w:val="00D36578"/>
    <w:rsid w:val="00D4018F"/>
    <w:rsid w:val="00D429D4"/>
    <w:rsid w:val="00D45194"/>
    <w:rsid w:val="00D51403"/>
    <w:rsid w:val="00D52DC2"/>
    <w:rsid w:val="00D53BCC"/>
    <w:rsid w:val="00D54C9E"/>
    <w:rsid w:val="00D56422"/>
    <w:rsid w:val="00D572CC"/>
    <w:rsid w:val="00D6537E"/>
    <w:rsid w:val="00D65818"/>
    <w:rsid w:val="00D67F92"/>
    <w:rsid w:val="00D70DFB"/>
    <w:rsid w:val="00D766DF"/>
    <w:rsid w:val="00D819D9"/>
    <w:rsid w:val="00D8206C"/>
    <w:rsid w:val="00D910DF"/>
    <w:rsid w:val="00D91F10"/>
    <w:rsid w:val="00D93DB7"/>
    <w:rsid w:val="00D952B4"/>
    <w:rsid w:val="00D96429"/>
    <w:rsid w:val="00D979C7"/>
    <w:rsid w:val="00DA186E"/>
    <w:rsid w:val="00DA4116"/>
    <w:rsid w:val="00DA56DD"/>
    <w:rsid w:val="00DA7263"/>
    <w:rsid w:val="00DA7C47"/>
    <w:rsid w:val="00DB251C"/>
    <w:rsid w:val="00DB2569"/>
    <w:rsid w:val="00DB2C9E"/>
    <w:rsid w:val="00DB4630"/>
    <w:rsid w:val="00DC2316"/>
    <w:rsid w:val="00DC3E56"/>
    <w:rsid w:val="00DC4F88"/>
    <w:rsid w:val="00DC4F9B"/>
    <w:rsid w:val="00DC51B5"/>
    <w:rsid w:val="00DC7080"/>
    <w:rsid w:val="00DD0FEC"/>
    <w:rsid w:val="00DD22E6"/>
    <w:rsid w:val="00DD2D35"/>
    <w:rsid w:val="00DD39E7"/>
    <w:rsid w:val="00DD3FBA"/>
    <w:rsid w:val="00DD54CD"/>
    <w:rsid w:val="00DD699E"/>
    <w:rsid w:val="00DE08BC"/>
    <w:rsid w:val="00DE107C"/>
    <w:rsid w:val="00DE1606"/>
    <w:rsid w:val="00DE3A66"/>
    <w:rsid w:val="00DE7650"/>
    <w:rsid w:val="00DF2388"/>
    <w:rsid w:val="00E04288"/>
    <w:rsid w:val="00E05704"/>
    <w:rsid w:val="00E05CB5"/>
    <w:rsid w:val="00E067BA"/>
    <w:rsid w:val="00E1319F"/>
    <w:rsid w:val="00E13901"/>
    <w:rsid w:val="00E14961"/>
    <w:rsid w:val="00E167B6"/>
    <w:rsid w:val="00E171A2"/>
    <w:rsid w:val="00E17CA5"/>
    <w:rsid w:val="00E23301"/>
    <w:rsid w:val="00E25DA7"/>
    <w:rsid w:val="00E310CA"/>
    <w:rsid w:val="00E32E71"/>
    <w:rsid w:val="00E33196"/>
    <w:rsid w:val="00E338EF"/>
    <w:rsid w:val="00E544BB"/>
    <w:rsid w:val="00E54E05"/>
    <w:rsid w:val="00E5722B"/>
    <w:rsid w:val="00E605D7"/>
    <w:rsid w:val="00E61823"/>
    <w:rsid w:val="00E6192B"/>
    <w:rsid w:val="00E6260D"/>
    <w:rsid w:val="00E70F7B"/>
    <w:rsid w:val="00E7141B"/>
    <w:rsid w:val="00E74DC7"/>
    <w:rsid w:val="00E8075A"/>
    <w:rsid w:val="00E80F65"/>
    <w:rsid w:val="00E85F33"/>
    <w:rsid w:val="00E91D70"/>
    <w:rsid w:val="00E940D8"/>
    <w:rsid w:val="00E94D5E"/>
    <w:rsid w:val="00E97800"/>
    <w:rsid w:val="00EA031F"/>
    <w:rsid w:val="00EA4D9D"/>
    <w:rsid w:val="00EA7100"/>
    <w:rsid w:val="00EA74EE"/>
    <w:rsid w:val="00EA7F9F"/>
    <w:rsid w:val="00EB1274"/>
    <w:rsid w:val="00EB4B6C"/>
    <w:rsid w:val="00EB6695"/>
    <w:rsid w:val="00EB7A6F"/>
    <w:rsid w:val="00EC150C"/>
    <w:rsid w:val="00EC2FA8"/>
    <w:rsid w:val="00EC5A25"/>
    <w:rsid w:val="00ED2BB6"/>
    <w:rsid w:val="00ED2BFB"/>
    <w:rsid w:val="00ED34E1"/>
    <w:rsid w:val="00ED3B8D"/>
    <w:rsid w:val="00ED429A"/>
    <w:rsid w:val="00EE437F"/>
    <w:rsid w:val="00EE5E36"/>
    <w:rsid w:val="00EF1319"/>
    <w:rsid w:val="00EF2E3A"/>
    <w:rsid w:val="00EF61EA"/>
    <w:rsid w:val="00EF744E"/>
    <w:rsid w:val="00F02C7C"/>
    <w:rsid w:val="00F072A7"/>
    <w:rsid w:val="00F078DC"/>
    <w:rsid w:val="00F112AC"/>
    <w:rsid w:val="00F16327"/>
    <w:rsid w:val="00F17CC6"/>
    <w:rsid w:val="00F27438"/>
    <w:rsid w:val="00F32BA8"/>
    <w:rsid w:val="00F32EE0"/>
    <w:rsid w:val="00F349F1"/>
    <w:rsid w:val="00F35569"/>
    <w:rsid w:val="00F37941"/>
    <w:rsid w:val="00F43496"/>
    <w:rsid w:val="00F4350D"/>
    <w:rsid w:val="00F479C4"/>
    <w:rsid w:val="00F518A6"/>
    <w:rsid w:val="00F567F7"/>
    <w:rsid w:val="00F6696E"/>
    <w:rsid w:val="00F70F92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0B6E"/>
    <w:rsid w:val="00FB5A08"/>
    <w:rsid w:val="00FB5FDF"/>
    <w:rsid w:val="00FC0830"/>
    <w:rsid w:val="00FC3027"/>
    <w:rsid w:val="00FC3B35"/>
    <w:rsid w:val="00FC6313"/>
    <w:rsid w:val="00FC6A80"/>
    <w:rsid w:val="00FC6E9F"/>
    <w:rsid w:val="00FD227E"/>
    <w:rsid w:val="00FD37F4"/>
    <w:rsid w:val="00FD7481"/>
    <w:rsid w:val="00FE40FE"/>
    <w:rsid w:val="00FE4688"/>
    <w:rsid w:val="00FF5704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CA121F"/>
  <w15:docId w15:val="{B2E437B1-D3B0-45D7-94FF-019AA5DD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Revision">
    <w:name w:val="Revision"/>
    <w:hidden/>
    <w:uiPriority w:val="99"/>
    <w:semiHidden/>
    <w:rsid w:val="006534D1"/>
    <w:rPr>
      <w:sz w:val="22"/>
    </w:rPr>
  </w:style>
  <w:style w:type="paragraph" w:styleId="ListParagraph">
    <w:name w:val="List Paragraph"/>
    <w:basedOn w:val="Normal"/>
    <w:uiPriority w:val="34"/>
    <w:qFormat/>
    <w:rsid w:val="004F3E0C"/>
    <w:pPr>
      <w:spacing w:line="240" w:lineRule="auto"/>
      <w:ind w:left="720"/>
    </w:pPr>
    <w:rPr>
      <w:rFonts w:ascii="Calibri" w:hAnsi="Calibri" w:cs="Calibri"/>
      <w:szCs w:val="22"/>
    </w:rPr>
  </w:style>
  <w:style w:type="table" w:customStyle="1" w:styleId="TableGrid0">
    <w:name w:val="TableGrid"/>
    <w:rsid w:val="00A006AF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inition">
    <w:name w:val="Definition"/>
    <w:aliases w:val="dd"/>
    <w:basedOn w:val="Normal"/>
    <w:rsid w:val="003F5D23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chunk">
    <w:name w:val="chunk"/>
    <w:basedOn w:val="Normal"/>
    <w:rsid w:val="00C96F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96FED"/>
    <w:rPr>
      <w:i/>
      <w:iCs/>
    </w:rPr>
  </w:style>
  <w:style w:type="character" w:styleId="Strong">
    <w:name w:val="Strong"/>
    <w:basedOn w:val="DefaultParagraphFont"/>
    <w:uiPriority w:val="22"/>
    <w:qFormat/>
    <w:rsid w:val="00C96FED"/>
    <w:rPr>
      <w:b/>
      <w:bCs/>
    </w:rPr>
  </w:style>
  <w:style w:type="paragraph" w:customStyle="1" w:styleId="def">
    <w:name w:val="def"/>
    <w:basedOn w:val="Normal"/>
    <w:rsid w:val="00C96F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6329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329E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9D0E1668-83BF-4573-8A8D-7850E6D93ED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8F804-D089-4A24-9C6F-BDC01CF0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Thomas BURBURY</cp:lastModifiedBy>
  <cp:revision>4</cp:revision>
  <cp:lastPrinted>2023-01-11T03:09:00Z</cp:lastPrinted>
  <dcterms:created xsi:type="dcterms:W3CDTF">2023-01-11T03:09:00Z</dcterms:created>
  <dcterms:modified xsi:type="dcterms:W3CDTF">2023-02-08T05:10:00Z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