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1FADE" w14:textId="77777777"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EXPLANATORY STATEMENT</w:t>
      </w:r>
    </w:p>
    <w:p w14:paraId="19E1CCC0" w14:textId="77777777" w:rsidR="004C58B9" w:rsidRDefault="004C58B9" w:rsidP="004C58B9">
      <w:pPr>
        <w:jc w:val="center"/>
        <w:rPr>
          <w:rFonts w:ascii="Times New Roman" w:hAnsi="Times New Roman" w:cs="Times New Roman"/>
        </w:rPr>
      </w:pPr>
      <w:r>
        <w:rPr>
          <w:rFonts w:ascii="Times New Roman" w:hAnsi="Times New Roman" w:cs="Times New Roman"/>
        </w:rPr>
        <w:t>Approved by the Australian Communications and Media Authority</w:t>
      </w:r>
    </w:p>
    <w:p w14:paraId="1965FDDA" w14:textId="77777777" w:rsidR="00BF647F" w:rsidRDefault="00BF647F" w:rsidP="004C58B9">
      <w:pPr>
        <w:jc w:val="center"/>
        <w:rPr>
          <w:rFonts w:ascii="Times New Roman" w:hAnsi="Times New Roman" w:cs="Times New Roman"/>
          <w:i/>
        </w:rPr>
      </w:pPr>
      <w:r w:rsidRPr="00BF647F">
        <w:rPr>
          <w:rFonts w:ascii="Times New Roman" w:hAnsi="Times New Roman" w:cs="Times New Roman"/>
          <w:i/>
        </w:rPr>
        <w:t>Radiocommunications Act 1992</w:t>
      </w:r>
    </w:p>
    <w:p w14:paraId="5BD65A2C" w14:textId="143642E7" w:rsidR="004C58B9" w:rsidRDefault="008C5637" w:rsidP="004C58B9">
      <w:pPr>
        <w:jc w:val="center"/>
        <w:rPr>
          <w:rFonts w:ascii="Times New Roman" w:hAnsi="Times New Roman" w:cs="Times New Roman"/>
          <w:b/>
          <w:i/>
        </w:rPr>
      </w:pPr>
      <w:r w:rsidRPr="008C5637">
        <w:rPr>
          <w:rFonts w:ascii="Times New Roman" w:hAnsi="Times New Roman" w:cs="Times New Roman"/>
          <w:b/>
          <w:i/>
        </w:rPr>
        <w:t>Radiocommunications (Trading Rules for Spectrum Licences) Determination 20</w:t>
      </w:r>
      <w:r>
        <w:rPr>
          <w:rFonts w:ascii="Times New Roman" w:hAnsi="Times New Roman" w:cs="Times New Roman"/>
          <w:b/>
          <w:i/>
        </w:rPr>
        <w:t>2</w:t>
      </w:r>
      <w:r w:rsidR="00E53250">
        <w:rPr>
          <w:rFonts w:ascii="Times New Roman" w:hAnsi="Times New Roman" w:cs="Times New Roman"/>
          <w:b/>
          <w:i/>
        </w:rPr>
        <w:t>3</w:t>
      </w:r>
    </w:p>
    <w:p w14:paraId="494E2552" w14:textId="77777777" w:rsidR="004C58B9" w:rsidRDefault="004C58B9" w:rsidP="004C58B9">
      <w:pPr>
        <w:spacing w:before="280"/>
        <w:rPr>
          <w:rFonts w:ascii="Times New Roman" w:hAnsi="Times New Roman" w:cs="Times New Roman"/>
          <w:b/>
        </w:rPr>
      </w:pPr>
      <w:r>
        <w:rPr>
          <w:rFonts w:ascii="Times New Roman" w:hAnsi="Times New Roman" w:cs="Times New Roman"/>
          <w:b/>
        </w:rPr>
        <w:t>Authority</w:t>
      </w:r>
    </w:p>
    <w:p w14:paraId="55FAA4BD" w14:textId="5247A5B3" w:rsidR="004C58B9" w:rsidRDefault="004C58B9" w:rsidP="004C58B9">
      <w:pPr>
        <w:rPr>
          <w:rFonts w:ascii="Times New Roman" w:hAnsi="Times New Roman" w:cs="Times New Roman"/>
        </w:rPr>
      </w:pPr>
      <w:r w:rsidRPr="0433CDF4">
        <w:rPr>
          <w:rFonts w:ascii="Times New Roman" w:hAnsi="Times New Roman" w:cs="Times New Roman"/>
        </w:rPr>
        <w:t>The Australian Communications and Media Authority (</w:t>
      </w:r>
      <w:r w:rsidRPr="0433CDF4">
        <w:rPr>
          <w:rFonts w:ascii="Times New Roman" w:hAnsi="Times New Roman" w:cs="Times New Roman"/>
          <w:b/>
          <w:bCs/>
        </w:rPr>
        <w:t>the ACMA</w:t>
      </w:r>
      <w:r w:rsidRPr="0433CDF4">
        <w:rPr>
          <w:rFonts w:ascii="Times New Roman" w:hAnsi="Times New Roman" w:cs="Times New Roman"/>
        </w:rPr>
        <w:t xml:space="preserve">) has made the </w:t>
      </w:r>
      <w:r w:rsidR="66E8207A" w:rsidRPr="0433CDF4">
        <w:rPr>
          <w:rFonts w:ascii="Times New Roman" w:hAnsi="Times New Roman" w:cs="Times New Roman"/>
          <w:i/>
          <w:iCs/>
        </w:rPr>
        <w:t>Radiocommunications (Trading Rules for Spectrum Licences) Determination 202</w:t>
      </w:r>
      <w:r w:rsidR="00E53250">
        <w:rPr>
          <w:rFonts w:ascii="Times New Roman" w:hAnsi="Times New Roman" w:cs="Times New Roman"/>
          <w:i/>
          <w:iCs/>
        </w:rPr>
        <w:t>3</w:t>
      </w:r>
      <w:r w:rsidRPr="0433CDF4">
        <w:rPr>
          <w:rFonts w:ascii="Times New Roman" w:hAnsi="Times New Roman" w:cs="Times New Roman"/>
          <w:i/>
          <w:iCs/>
        </w:rPr>
        <w:t xml:space="preserve"> </w:t>
      </w:r>
      <w:r w:rsidRPr="0433CDF4">
        <w:rPr>
          <w:rFonts w:ascii="Times New Roman" w:hAnsi="Times New Roman" w:cs="Times New Roman"/>
        </w:rPr>
        <w:t>(</w:t>
      </w:r>
      <w:r w:rsidRPr="0433CDF4">
        <w:rPr>
          <w:rFonts w:ascii="Times New Roman" w:hAnsi="Times New Roman" w:cs="Times New Roman"/>
          <w:b/>
          <w:bCs/>
        </w:rPr>
        <w:t>the instrument</w:t>
      </w:r>
      <w:r w:rsidRPr="0433CDF4">
        <w:rPr>
          <w:rFonts w:ascii="Times New Roman" w:hAnsi="Times New Roman" w:cs="Times New Roman"/>
        </w:rPr>
        <w:t xml:space="preserve">) under </w:t>
      </w:r>
      <w:r w:rsidR="67AE2721" w:rsidRPr="0433CDF4">
        <w:rPr>
          <w:rFonts w:ascii="Times New Roman" w:hAnsi="Times New Roman" w:cs="Times New Roman"/>
        </w:rPr>
        <w:t>sub</w:t>
      </w:r>
      <w:r w:rsidR="0202499F" w:rsidRPr="0433CDF4">
        <w:rPr>
          <w:rFonts w:ascii="Times New Roman" w:hAnsi="Times New Roman" w:cs="Times New Roman"/>
        </w:rPr>
        <w:t>section 88</w:t>
      </w:r>
      <w:r w:rsidR="67AE2721" w:rsidRPr="0433CDF4">
        <w:rPr>
          <w:rFonts w:ascii="Times New Roman" w:hAnsi="Times New Roman" w:cs="Times New Roman"/>
        </w:rPr>
        <w:t>(1)</w:t>
      </w:r>
      <w:r w:rsidRPr="0433CDF4">
        <w:rPr>
          <w:rFonts w:ascii="Times New Roman" w:hAnsi="Times New Roman" w:cs="Times New Roman"/>
        </w:rPr>
        <w:t xml:space="preserve"> of the </w:t>
      </w:r>
      <w:r w:rsidR="6159714B" w:rsidRPr="0433CDF4">
        <w:rPr>
          <w:rFonts w:ascii="Times New Roman" w:hAnsi="Times New Roman" w:cs="Times New Roman"/>
          <w:i/>
          <w:iCs/>
        </w:rPr>
        <w:t xml:space="preserve">Radiocommunications Act 1992 </w:t>
      </w:r>
      <w:r w:rsidR="6159714B" w:rsidRPr="0433CDF4">
        <w:rPr>
          <w:rFonts w:ascii="Times New Roman" w:hAnsi="Times New Roman" w:cs="Times New Roman"/>
        </w:rPr>
        <w:t>(</w:t>
      </w:r>
      <w:r w:rsidR="6159714B" w:rsidRPr="0433CDF4">
        <w:rPr>
          <w:rFonts w:ascii="Times New Roman" w:hAnsi="Times New Roman" w:cs="Times New Roman"/>
          <w:b/>
          <w:bCs/>
        </w:rPr>
        <w:t>the Act</w:t>
      </w:r>
      <w:r w:rsidR="6159714B" w:rsidRPr="0433CDF4">
        <w:rPr>
          <w:rFonts w:ascii="Times New Roman" w:hAnsi="Times New Roman" w:cs="Times New Roman"/>
        </w:rPr>
        <w:t>)</w:t>
      </w:r>
      <w:r w:rsidR="6591CA82">
        <w:t xml:space="preserve"> </w:t>
      </w:r>
      <w:r w:rsidR="6591CA82" w:rsidRPr="0433CDF4">
        <w:rPr>
          <w:rFonts w:ascii="Times New Roman" w:hAnsi="Times New Roman" w:cs="Times New Roman"/>
        </w:rPr>
        <w:t xml:space="preserve">and subsection 33(3) of the </w:t>
      </w:r>
      <w:r w:rsidR="6591CA82" w:rsidRPr="0433CDF4">
        <w:rPr>
          <w:rFonts w:ascii="Times New Roman" w:hAnsi="Times New Roman" w:cs="Times New Roman"/>
          <w:i/>
          <w:iCs/>
        </w:rPr>
        <w:t>Acts Interpretation Act 1901</w:t>
      </w:r>
      <w:r w:rsidR="6591CA82" w:rsidRPr="0433CDF4">
        <w:rPr>
          <w:rFonts w:ascii="Times New Roman" w:hAnsi="Times New Roman" w:cs="Times New Roman"/>
        </w:rPr>
        <w:t xml:space="preserve"> (</w:t>
      </w:r>
      <w:r w:rsidR="6591CA82" w:rsidRPr="00E53250">
        <w:rPr>
          <w:rFonts w:ascii="Times New Roman" w:hAnsi="Times New Roman" w:cs="Times New Roman"/>
          <w:b/>
          <w:bCs/>
        </w:rPr>
        <w:t>the AIA</w:t>
      </w:r>
      <w:r w:rsidR="6591CA82" w:rsidRPr="0433CDF4">
        <w:rPr>
          <w:rFonts w:ascii="Times New Roman" w:hAnsi="Times New Roman" w:cs="Times New Roman"/>
        </w:rPr>
        <w:t>).</w:t>
      </w:r>
      <w:r w:rsidR="00484606">
        <w:rPr>
          <w:rFonts w:ascii="Times New Roman" w:hAnsi="Times New Roman" w:cs="Times New Roman"/>
        </w:rPr>
        <w:t xml:space="preserve"> </w:t>
      </w:r>
    </w:p>
    <w:p w14:paraId="0B8EBA5C" w14:textId="211B03BE" w:rsidR="004C58B9" w:rsidRDefault="00F41249" w:rsidP="004C58B9">
      <w:pPr>
        <w:rPr>
          <w:rFonts w:ascii="Times New Roman" w:hAnsi="Times New Roman" w:cs="Times New Roman"/>
        </w:rPr>
      </w:pPr>
      <w:r w:rsidRPr="571FC1D7">
        <w:rPr>
          <w:rFonts w:ascii="Times New Roman" w:hAnsi="Times New Roman" w:cs="Times New Roman"/>
        </w:rPr>
        <w:t>Subs</w:t>
      </w:r>
      <w:r w:rsidR="005947A6" w:rsidRPr="571FC1D7">
        <w:rPr>
          <w:rFonts w:ascii="Times New Roman" w:hAnsi="Times New Roman" w:cs="Times New Roman"/>
        </w:rPr>
        <w:t>ection</w:t>
      </w:r>
      <w:r w:rsidR="005947A6" w:rsidRPr="005947A6">
        <w:rPr>
          <w:rFonts w:ascii="Times New Roman" w:hAnsi="Times New Roman" w:cs="Times New Roman"/>
        </w:rPr>
        <w:t xml:space="preserve"> 88</w:t>
      </w:r>
      <w:r>
        <w:rPr>
          <w:rFonts w:ascii="Times New Roman" w:hAnsi="Times New Roman" w:cs="Times New Roman"/>
        </w:rPr>
        <w:t>(1)</w:t>
      </w:r>
      <w:r w:rsidR="005947A6" w:rsidRPr="005947A6">
        <w:rPr>
          <w:rFonts w:ascii="Times New Roman" w:hAnsi="Times New Roman" w:cs="Times New Roman"/>
        </w:rPr>
        <w:t xml:space="preserve"> of the Act provides that the ACMA may determine rules for assignments of spectrum licences, and rules setting out the circumstances in which licences can be varied, </w:t>
      </w:r>
      <w:proofErr w:type="gramStart"/>
      <w:r w:rsidR="005947A6" w:rsidRPr="005947A6">
        <w:rPr>
          <w:rFonts w:ascii="Times New Roman" w:hAnsi="Times New Roman" w:cs="Times New Roman"/>
        </w:rPr>
        <w:t>issued</w:t>
      </w:r>
      <w:proofErr w:type="gramEnd"/>
      <w:r w:rsidR="005947A6" w:rsidRPr="005947A6">
        <w:rPr>
          <w:rFonts w:ascii="Times New Roman" w:hAnsi="Times New Roman" w:cs="Times New Roman"/>
        </w:rPr>
        <w:t xml:space="preserve"> or cancelled as the result of an assignment.</w:t>
      </w:r>
    </w:p>
    <w:p w14:paraId="6E903288" w14:textId="41BE869C" w:rsidR="00E94EBC" w:rsidRDefault="12280CD5" w:rsidP="004C58B9">
      <w:pPr>
        <w:rPr>
          <w:rFonts w:ascii="Times New Roman" w:hAnsi="Times New Roman" w:cs="Times New Roman"/>
        </w:rPr>
      </w:pPr>
      <w:r w:rsidRPr="0433CDF4">
        <w:rPr>
          <w:rFonts w:ascii="Times New Roman" w:hAnsi="Times New Roman" w:cs="Times New Roman"/>
        </w:rPr>
        <w:t>Subsection 33(3) of the AIA relevantly provides that where an Act confers a power to make a legislative instrument, the power shall be construed as including a power exercisable in the like manner and subject to the like conditions (if any) to repeal, rescind, revoke, amend or vary any such instrument.</w:t>
      </w:r>
    </w:p>
    <w:p w14:paraId="7D900AC6" w14:textId="77777777" w:rsidR="004C58B9" w:rsidRDefault="004C58B9" w:rsidP="004C58B9">
      <w:pPr>
        <w:rPr>
          <w:rFonts w:ascii="Times New Roman" w:hAnsi="Times New Roman" w:cs="Times New Roman"/>
          <w:b/>
        </w:rPr>
      </w:pPr>
      <w:r>
        <w:rPr>
          <w:rFonts w:ascii="Times New Roman" w:hAnsi="Times New Roman" w:cs="Times New Roman"/>
          <w:b/>
        </w:rPr>
        <w:t>Purpose and operation of the instrument</w:t>
      </w:r>
    </w:p>
    <w:p w14:paraId="345219FC" w14:textId="2C7B154E" w:rsidR="000D20B6" w:rsidRDefault="007D5314" w:rsidP="00E53250">
      <w:pPr>
        <w:rPr>
          <w:rFonts w:ascii="Times New Roman" w:hAnsi="Times New Roman" w:cs="Times New Roman"/>
        </w:rPr>
      </w:pPr>
      <w:r>
        <w:rPr>
          <w:rFonts w:ascii="Times New Roman" w:hAnsi="Times New Roman" w:cs="Times New Roman"/>
        </w:rPr>
        <w:t>T</w:t>
      </w:r>
      <w:r w:rsidRPr="007D5314">
        <w:rPr>
          <w:rFonts w:ascii="Times New Roman" w:hAnsi="Times New Roman" w:cs="Times New Roman"/>
        </w:rPr>
        <w:t xml:space="preserve">he </w:t>
      </w:r>
      <w:r w:rsidR="00D76A1A">
        <w:rPr>
          <w:rFonts w:ascii="Times New Roman" w:hAnsi="Times New Roman" w:cs="Times New Roman"/>
        </w:rPr>
        <w:t>instrument</w:t>
      </w:r>
      <w:r w:rsidR="00D76A1A" w:rsidRPr="007D5314">
        <w:rPr>
          <w:rFonts w:ascii="Times New Roman" w:hAnsi="Times New Roman" w:cs="Times New Roman"/>
        </w:rPr>
        <w:t xml:space="preserve"> </w:t>
      </w:r>
      <w:r w:rsidRPr="007D5314">
        <w:rPr>
          <w:rFonts w:ascii="Times New Roman" w:hAnsi="Times New Roman" w:cs="Times New Roman"/>
        </w:rPr>
        <w:t>sets out the rules for</w:t>
      </w:r>
      <w:r w:rsidR="001704A5">
        <w:rPr>
          <w:rFonts w:ascii="Times New Roman" w:hAnsi="Times New Roman" w:cs="Times New Roman"/>
        </w:rPr>
        <w:t xml:space="preserve"> the</w:t>
      </w:r>
      <w:r w:rsidRPr="007D5314">
        <w:rPr>
          <w:rFonts w:ascii="Times New Roman" w:hAnsi="Times New Roman" w:cs="Times New Roman"/>
        </w:rPr>
        <w:t xml:space="preserve"> </w:t>
      </w:r>
      <w:r w:rsidR="00256A5B">
        <w:rPr>
          <w:rFonts w:ascii="Times New Roman" w:hAnsi="Times New Roman" w:cs="Times New Roman"/>
        </w:rPr>
        <w:t>trading</w:t>
      </w:r>
      <w:r w:rsidRPr="007D5314">
        <w:rPr>
          <w:rFonts w:ascii="Times New Roman" w:hAnsi="Times New Roman" w:cs="Times New Roman"/>
        </w:rPr>
        <w:t xml:space="preserve"> of spectrum licences, in accordance with section 88 of the Act.</w:t>
      </w:r>
      <w:r w:rsidR="008574B3">
        <w:rPr>
          <w:rFonts w:ascii="Times New Roman" w:hAnsi="Times New Roman" w:cs="Times New Roman"/>
        </w:rPr>
        <w:t xml:space="preserve"> </w:t>
      </w:r>
    </w:p>
    <w:p w14:paraId="7064C32A" w14:textId="129A87B0" w:rsidR="0069396C" w:rsidRDefault="008D1E5F" w:rsidP="00D76A1A">
      <w:pPr>
        <w:rPr>
          <w:rFonts w:ascii="Times New Roman" w:hAnsi="Times New Roman" w:cs="Times New Roman"/>
        </w:rPr>
      </w:pPr>
      <w:r>
        <w:rPr>
          <w:rFonts w:ascii="Times New Roman" w:hAnsi="Times New Roman" w:cs="Times New Roman"/>
        </w:rPr>
        <w:t xml:space="preserve">A spectrum licence authorises the licensee to operate radiocommunications devices in the parts of the spectrum, and the geographic areas, specified in the conditions of the licence. </w:t>
      </w:r>
      <w:r w:rsidR="000A4771">
        <w:rPr>
          <w:rFonts w:ascii="Times New Roman" w:hAnsi="Times New Roman" w:cs="Times New Roman"/>
        </w:rPr>
        <w:t>Subsection 85(1) of the Act provides that the licensee of a spectrum licence may assign, or otherwise deal with, the whole or any part of the licence. Subsection 85(2) provides that an assignment must comply with any rules made under section 88 of the Act.</w:t>
      </w:r>
    </w:p>
    <w:p w14:paraId="72AADEDE" w14:textId="78AAA340" w:rsidR="00C246C7" w:rsidRDefault="00457890" w:rsidP="000A4771">
      <w:pPr>
        <w:rPr>
          <w:rFonts w:ascii="Times New Roman" w:hAnsi="Times New Roman" w:cs="Times New Roman"/>
        </w:rPr>
      </w:pPr>
      <w:r w:rsidRPr="00457890">
        <w:rPr>
          <w:rFonts w:ascii="Times New Roman" w:hAnsi="Times New Roman" w:cs="Times New Roman"/>
        </w:rPr>
        <w:t xml:space="preserve">The </w:t>
      </w:r>
      <w:r w:rsidRPr="00457890">
        <w:rPr>
          <w:rFonts w:ascii="Times New Roman" w:hAnsi="Times New Roman" w:cs="Times New Roman"/>
          <w:i/>
          <w:iCs/>
        </w:rPr>
        <w:t>Radiocommunications (Trading Rules for Spectrum Licences) Determination 2012</w:t>
      </w:r>
      <w:r w:rsidR="00185C44">
        <w:rPr>
          <w:rFonts w:ascii="Times New Roman" w:hAnsi="Times New Roman" w:cs="Times New Roman"/>
        </w:rPr>
        <w:t xml:space="preserve"> </w:t>
      </w:r>
      <w:r w:rsidR="00EA52DA">
        <w:rPr>
          <w:rFonts w:ascii="Times New Roman" w:hAnsi="Times New Roman" w:cs="Times New Roman"/>
        </w:rPr>
        <w:t>(</w:t>
      </w:r>
      <w:r w:rsidR="00EA52DA" w:rsidRPr="00E53250">
        <w:rPr>
          <w:rFonts w:ascii="Times New Roman" w:hAnsi="Times New Roman" w:cs="Times New Roman"/>
          <w:b/>
          <w:bCs/>
        </w:rPr>
        <w:t>the 2012 instrument</w:t>
      </w:r>
      <w:r w:rsidR="00EA52DA">
        <w:rPr>
          <w:rFonts w:ascii="Times New Roman" w:hAnsi="Times New Roman" w:cs="Times New Roman"/>
        </w:rPr>
        <w:t xml:space="preserve">) </w:t>
      </w:r>
      <w:r w:rsidR="00185C44">
        <w:rPr>
          <w:rFonts w:ascii="Times New Roman" w:hAnsi="Times New Roman" w:cs="Times New Roman"/>
        </w:rPr>
        <w:t xml:space="preserve">was made under section 88 of the </w:t>
      </w:r>
      <w:proofErr w:type="gramStart"/>
      <w:r w:rsidR="00185C44">
        <w:rPr>
          <w:rFonts w:ascii="Times New Roman" w:hAnsi="Times New Roman" w:cs="Times New Roman"/>
        </w:rPr>
        <w:t>Act, and</w:t>
      </w:r>
      <w:proofErr w:type="gramEnd"/>
      <w:r w:rsidR="00185C44">
        <w:rPr>
          <w:rFonts w:ascii="Times New Roman" w:hAnsi="Times New Roman" w:cs="Times New Roman"/>
        </w:rPr>
        <w:t xml:space="preserve"> set rules for the assignment of spectrum licences. </w:t>
      </w:r>
      <w:r>
        <w:rPr>
          <w:rFonts w:ascii="Times New Roman" w:hAnsi="Times New Roman" w:cs="Times New Roman"/>
        </w:rPr>
        <w:t xml:space="preserve"> </w:t>
      </w:r>
      <w:r w:rsidR="00EA52DA">
        <w:rPr>
          <w:rFonts w:ascii="Times New Roman" w:hAnsi="Times New Roman" w:cs="Times New Roman"/>
        </w:rPr>
        <w:t xml:space="preserve">The instrument revoked the 2012 instrument, </w:t>
      </w:r>
      <w:r>
        <w:rPr>
          <w:rFonts w:ascii="Times New Roman" w:hAnsi="Times New Roman" w:cs="Times New Roman"/>
        </w:rPr>
        <w:t xml:space="preserve">which </w:t>
      </w:r>
      <w:r w:rsidR="00EA52DA">
        <w:rPr>
          <w:rFonts w:ascii="Times New Roman" w:hAnsi="Times New Roman" w:cs="Times New Roman"/>
        </w:rPr>
        <w:t>wa</w:t>
      </w:r>
      <w:r>
        <w:rPr>
          <w:rFonts w:ascii="Times New Roman" w:hAnsi="Times New Roman" w:cs="Times New Roman"/>
        </w:rPr>
        <w:t xml:space="preserve">s due to sunset </w:t>
      </w:r>
      <w:r w:rsidR="00AE08B3">
        <w:rPr>
          <w:rFonts w:ascii="Times New Roman" w:hAnsi="Times New Roman" w:cs="Times New Roman"/>
        </w:rPr>
        <w:t xml:space="preserve">on </w:t>
      </w:r>
      <w:r w:rsidR="00AE08B3" w:rsidRPr="571FC1D7">
        <w:rPr>
          <w:rFonts w:ascii="Times New Roman" w:hAnsi="Times New Roman" w:cs="Times New Roman"/>
        </w:rPr>
        <w:t>1</w:t>
      </w:r>
      <w:r w:rsidR="001A0221">
        <w:rPr>
          <w:rFonts w:ascii="Times New Roman" w:hAnsi="Times New Roman" w:cs="Times New Roman"/>
        </w:rPr>
        <w:t xml:space="preserve"> April 2023. </w:t>
      </w:r>
    </w:p>
    <w:p w14:paraId="302B12D1" w14:textId="1303E2DA" w:rsidR="00677AE5" w:rsidRDefault="00677AE5" w:rsidP="00677AE5">
      <w:pPr>
        <w:rPr>
          <w:rFonts w:ascii="Times New Roman" w:hAnsi="Times New Roman" w:cs="Times New Roman"/>
        </w:rPr>
      </w:pPr>
      <w:r>
        <w:rPr>
          <w:rFonts w:ascii="Times New Roman" w:hAnsi="Times New Roman" w:cs="Times New Roman"/>
        </w:rPr>
        <w:t xml:space="preserve">The rules for assignments set </w:t>
      </w:r>
      <w:r w:rsidR="00981D59">
        <w:rPr>
          <w:rFonts w:ascii="Times New Roman" w:hAnsi="Times New Roman" w:cs="Times New Roman"/>
        </w:rPr>
        <w:t>by the</w:t>
      </w:r>
      <w:r>
        <w:rPr>
          <w:rFonts w:ascii="Times New Roman" w:hAnsi="Times New Roman" w:cs="Times New Roman"/>
        </w:rPr>
        <w:t xml:space="preserve"> 2012 instrument </w:t>
      </w:r>
      <w:r w:rsidRPr="008574B3">
        <w:rPr>
          <w:rFonts w:ascii="Times New Roman" w:hAnsi="Times New Roman" w:cs="Times New Roman"/>
        </w:rPr>
        <w:t>includ</w:t>
      </w:r>
      <w:r w:rsidR="00981D59">
        <w:rPr>
          <w:rFonts w:ascii="Times New Roman" w:hAnsi="Times New Roman" w:cs="Times New Roman"/>
        </w:rPr>
        <w:t>ed</w:t>
      </w:r>
      <w:r w:rsidRPr="008574B3">
        <w:rPr>
          <w:rFonts w:ascii="Times New Roman" w:hAnsi="Times New Roman" w:cs="Times New Roman"/>
        </w:rPr>
        <w:t xml:space="preserve"> </w:t>
      </w:r>
      <w:r w:rsidR="00981D59">
        <w:rPr>
          <w:rFonts w:ascii="Times New Roman" w:hAnsi="Times New Roman" w:cs="Times New Roman"/>
        </w:rPr>
        <w:t>a</w:t>
      </w:r>
      <w:r w:rsidRPr="008574B3">
        <w:rPr>
          <w:rFonts w:ascii="Times New Roman" w:hAnsi="Times New Roman" w:cs="Times New Roman"/>
        </w:rPr>
        <w:t xml:space="preserve"> requirement to trade in defined </w:t>
      </w:r>
      <w:r w:rsidR="00981D59">
        <w:rPr>
          <w:rFonts w:ascii="Times New Roman" w:hAnsi="Times New Roman" w:cs="Times New Roman"/>
        </w:rPr>
        <w:t>“</w:t>
      </w:r>
      <w:r w:rsidR="004C7AEB">
        <w:rPr>
          <w:rFonts w:ascii="Times New Roman" w:hAnsi="Times New Roman" w:cs="Times New Roman"/>
        </w:rPr>
        <w:t xml:space="preserve">standard </w:t>
      </w:r>
      <w:r>
        <w:rPr>
          <w:rFonts w:ascii="Times New Roman" w:hAnsi="Times New Roman" w:cs="Times New Roman"/>
        </w:rPr>
        <w:t>trading units</w:t>
      </w:r>
      <w:r w:rsidR="00981D59">
        <w:rPr>
          <w:rFonts w:ascii="Times New Roman" w:hAnsi="Times New Roman" w:cs="Times New Roman"/>
        </w:rPr>
        <w:t>”</w:t>
      </w:r>
      <w:r w:rsidR="00CA1AD0">
        <w:rPr>
          <w:rFonts w:ascii="Times New Roman" w:hAnsi="Times New Roman" w:cs="Times New Roman"/>
        </w:rPr>
        <w:t>,</w:t>
      </w:r>
      <w:r w:rsidRPr="008574B3">
        <w:rPr>
          <w:rFonts w:ascii="Times New Roman" w:hAnsi="Times New Roman" w:cs="Times New Roman"/>
        </w:rPr>
        <w:t xml:space="preserve"> and </w:t>
      </w:r>
      <w:r w:rsidR="00981D59">
        <w:rPr>
          <w:rFonts w:ascii="Times New Roman" w:hAnsi="Times New Roman" w:cs="Times New Roman"/>
        </w:rPr>
        <w:t xml:space="preserve">for assignments </w:t>
      </w:r>
      <w:r w:rsidRPr="008574B3">
        <w:rPr>
          <w:rFonts w:ascii="Times New Roman" w:hAnsi="Times New Roman" w:cs="Times New Roman"/>
        </w:rPr>
        <w:t>to preserve a specified minimum contiguous bandwidth (</w:t>
      </w:r>
      <w:r w:rsidRPr="00441D46">
        <w:rPr>
          <w:rFonts w:ascii="Times New Roman" w:hAnsi="Times New Roman" w:cs="Times New Roman"/>
          <w:b/>
          <w:bCs/>
        </w:rPr>
        <w:t>MCB</w:t>
      </w:r>
      <w:r w:rsidRPr="008574B3">
        <w:rPr>
          <w:rFonts w:ascii="Times New Roman" w:hAnsi="Times New Roman" w:cs="Times New Roman"/>
        </w:rPr>
        <w:t>)</w:t>
      </w:r>
      <w:r w:rsidR="00981D59">
        <w:rPr>
          <w:rFonts w:ascii="Times New Roman" w:hAnsi="Times New Roman" w:cs="Times New Roman"/>
        </w:rPr>
        <w:t xml:space="preserve">, unless permission were granted by </w:t>
      </w:r>
      <w:r w:rsidR="00B6772D">
        <w:rPr>
          <w:rFonts w:ascii="Times New Roman" w:hAnsi="Times New Roman" w:cs="Times New Roman"/>
        </w:rPr>
        <w:t>the ACMA</w:t>
      </w:r>
      <w:r w:rsidRPr="008574B3">
        <w:rPr>
          <w:rFonts w:ascii="Times New Roman" w:hAnsi="Times New Roman" w:cs="Times New Roman"/>
        </w:rPr>
        <w:t>.</w:t>
      </w:r>
      <w:r>
        <w:rPr>
          <w:rFonts w:ascii="Times New Roman" w:hAnsi="Times New Roman" w:cs="Times New Roman"/>
        </w:rPr>
        <w:t xml:space="preserve"> </w:t>
      </w:r>
      <w:r w:rsidR="00CA1AD0">
        <w:rPr>
          <w:rFonts w:ascii="Times New Roman" w:hAnsi="Times New Roman" w:cs="Times New Roman"/>
        </w:rPr>
        <w:t>The 2012 instrument also</w:t>
      </w:r>
      <w:r>
        <w:rPr>
          <w:rFonts w:ascii="Times New Roman" w:hAnsi="Times New Roman" w:cs="Times New Roman"/>
        </w:rPr>
        <w:t xml:space="preserve"> set out the </w:t>
      </w:r>
      <w:r w:rsidRPr="008574B3">
        <w:rPr>
          <w:rFonts w:ascii="Times New Roman" w:hAnsi="Times New Roman" w:cs="Times New Roman"/>
        </w:rPr>
        <w:t xml:space="preserve">substance and format of information that must be provided to </w:t>
      </w:r>
      <w:r>
        <w:rPr>
          <w:rFonts w:ascii="Times New Roman" w:hAnsi="Times New Roman" w:cs="Times New Roman"/>
        </w:rPr>
        <w:t>the ACMA</w:t>
      </w:r>
      <w:r w:rsidRPr="008574B3">
        <w:rPr>
          <w:rFonts w:ascii="Times New Roman" w:hAnsi="Times New Roman" w:cs="Times New Roman"/>
        </w:rPr>
        <w:t xml:space="preserve"> when </w:t>
      </w:r>
      <w:r w:rsidR="00CA1AD0">
        <w:rPr>
          <w:rFonts w:ascii="Times New Roman" w:hAnsi="Times New Roman" w:cs="Times New Roman"/>
        </w:rPr>
        <w:t>assignment</w:t>
      </w:r>
      <w:r w:rsidRPr="008574B3">
        <w:rPr>
          <w:rFonts w:ascii="Times New Roman" w:hAnsi="Times New Roman" w:cs="Times New Roman"/>
        </w:rPr>
        <w:t xml:space="preserve"> </w:t>
      </w:r>
      <w:r w:rsidR="00B872D8">
        <w:rPr>
          <w:rFonts w:ascii="Times New Roman" w:hAnsi="Times New Roman" w:cs="Times New Roman"/>
        </w:rPr>
        <w:t xml:space="preserve">of </w:t>
      </w:r>
      <w:r w:rsidRPr="008574B3">
        <w:rPr>
          <w:rFonts w:ascii="Times New Roman" w:hAnsi="Times New Roman" w:cs="Times New Roman"/>
        </w:rPr>
        <w:t>a spectrum licence</w:t>
      </w:r>
      <w:r w:rsidR="005C14D9">
        <w:rPr>
          <w:rFonts w:ascii="Times New Roman" w:hAnsi="Times New Roman" w:cs="Times New Roman"/>
        </w:rPr>
        <w:t xml:space="preserve"> occurs</w:t>
      </w:r>
      <w:r w:rsidRPr="008574B3">
        <w:rPr>
          <w:rFonts w:ascii="Times New Roman" w:hAnsi="Times New Roman" w:cs="Times New Roman"/>
        </w:rPr>
        <w:t>.</w:t>
      </w:r>
      <w:r>
        <w:rPr>
          <w:rFonts w:ascii="Times New Roman" w:hAnsi="Times New Roman" w:cs="Times New Roman"/>
        </w:rPr>
        <w:t xml:space="preserve"> It also establishe</w:t>
      </w:r>
      <w:r w:rsidR="00A654CC">
        <w:rPr>
          <w:rFonts w:ascii="Times New Roman" w:hAnsi="Times New Roman" w:cs="Times New Roman"/>
        </w:rPr>
        <w:t>d</w:t>
      </w:r>
      <w:r>
        <w:rPr>
          <w:rFonts w:ascii="Times New Roman" w:hAnsi="Times New Roman" w:cs="Times New Roman"/>
        </w:rPr>
        <w:t xml:space="preserve"> t</w:t>
      </w:r>
      <w:r w:rsidRPr="008574B3">
        <w:rPr>
          <w:rFonts w:ascii="Times New Roman" w:hAnsi="Times New Roman" w:cs="Times New Roman"/>
        </w:rPr>
        <w:t>he process for the ACMA to consider an application to undertake a spectrum licence trade that would result in a holding of less than the MCB.</w:t>
      </w:r>
    </w:p>
    <w:p w14:paraId="6569C160" w14:textId="74DD40A3" w:rsidR="0078659B" w:rsidRDefault="001A0221" w:rsidP="00E53250">
      <w:pPr>
        <w:rPr>
          <w:rFonts w:ascii="Times New Roman" w:hAnsi="Times New Roman" w:cs="Times New Roman"/>
        </w:rPr>
      </w:pPr>
      <w:r>
        <w:rPr>
          <w:rFonts w:ascii="Times New Roman" w:hAnsi="Times New Roman" w:cs="Times New Roman"/>
        </w:rPr>
        <w:t xml:space="preserve">The </w:t>
      </w:r>
      <w:r w:rsidR="00EA52DA">
        <w:rPr>
          <w:rFonts w:ascii="Times New Roman" w:hAnsi="Times New Roman" w:cs="Times New Roman"/>
        </w:rPr>
        <w:t xml:space="preserve">instrument </w:t>
      </w:r>
      <w:r w:rsidR="00C246C7">
        <w:rPr>
          <w:rFonts w:ascii="Times New Roman" w:hAnsi="Times New Roman" w:cs="Times New Roman"/>
        </w:rPr>
        <w:t>largely replicates the substance of the 2012 instrument, but</w:t>
      </w:r>
      <w:r w:rsidR="00EA52DA">
        <w:rPr>
          <w:rFonts w:ascii="Times New Roman" w:hAnsi="Times New Roman" w:cs="Times New Roman"/>
        </w:rPr>
        <w:t xml:space="preserve"> </w:t>
      </w:r>
      <w:r w:rsidR="00D420AD">
        <w:rPr>
          <w:rFonts w:ascii="Times New Roman" w:hAnsi="Times New Roman" w:cs="Times New Roman"/>
        </w:rPr>
        <w:t xml:space="preserve">introduces </w:t>
      </w:r>
      <w:r w:rsidR="0078659B" w:rsidRPr="0078659B">
        <w:rPr>
          <w:rFonts w:ascii="Times New Roman" w:hAnsi="Times New Roman" w:cs="Times New Roman"/>
        </w:rPr>
        <w:t>minor administrative and structural changes</w:t>
      </w:r>
      <w:r w:rsidR="0078659B">
        <w:rPr>
          <w:rFonts w:ascii="Times New Roman" w:hAnsi="Times New Roman" w:cs="Times New Roman"/>
        </w:rPr>
        <w:t>, including:</w:t>
      </w:r>
    </w:p>
    <w:p w14:paraId="443368E4" w14:textId="02EDFA9D" w:rsidR="004C2765" w:rsidRDefault="007D5428" w:rsidP="00261C38">
      <w:pPr>
        <w:pStyle w:val="ListParagraph"/>
        <w:numPr>
          <w:ilvl w:val="0"/>
          <w:numId w:val="18"/>
        </w:numPr>
        <w:spacing w:after="40"/>
        <w:rPr>
          <w:rFonts w:ascii="Times New Roman" w:hAnsi="Times New Roman" w:cs="Times New Roman"/>
        </w:rPr>
      </w:pPr>
      <w:r w:rsidRPr="007D5428">
        <w:rPr>
          <w:rFonts w:ascii="Times New Roman" w:hAnsi="Times New Roman" w:cs="Times New Roman"/>
        </w:rPr>
        <w:t>replac</w:t>
      </w:r>
      <w:r>
        <w:rPr>
          <w:rFonts w:ascii="Times New Roman" w:hAnsi="Times New Roman" w:cs="Times New Roman"/>
        </w:rPr>
        <w:t>ing</w:t>
      </w:r>
      <w:r w:rsidRPr="007D5428">
        <w:rPr>
          <w:rFonts w:ascii="Times New Roman" w:hAnsi="Times New Roman" w:cs="Times New Roman"/>
        </w:rPr>
        <w:t xml:space="preserve"> the list of MCBs in specified bands in Schedule 1</w:t>
      </w:r>
      <w:r w:rsidR="00BB0DF6">
        <w:rPr>
          <w:rFonts w:ascii="Times New Roman" w:hAnsi="Times New Roman" w:cs="Times New Roman"/>
        </w:rPr>
        <w:t xml:space="preserve"> to the instrument</w:t>
      </w:r>
      <w:r w:rsidRPr="007D5428">
        <w:rPr>
          <w:rFonts w:ascii="Times New Roman" w:hAnsi="Times New Roman" w:cs="Times New Roman"/>
        </w:rPr>
        <w:t xml:space="preserve"> with a </w:t>
      </w:r>
      <w:r w:rsidR="00F024C0">
        <w:rPr>
          <w:rFonts w:ascii="Times New Roman" w:hAnsi="Times New Roman" w:cs="Times New Roman"/>
        </w:rPr>
        <w:t>default</w:t>
      </w:r>
      <w:r w:rsidR="00F024C0" w:rsidRPr="007D5428">
        <w:rPr>
          <w:rFonts w:ascii="Times New Roman" w:hAnsi="Times New Roman" w:cs="Times New Roman"/>
        </w:rPr>
        <w:t xml:space="preserve"> </w:t>
      </w:r>
      <w:r w:rsidRPr="007D5428">
        <w:rPr>
          <w:rFonts w:ascii="Times New Roman" w:hAnsi="Times New Roman" w:cs="Times New Roman"/>
        </w:rPr>
        <w:t>MCB of 5 MHz and a list of exceptions for</w:t>
      </w:r>
      <w:r w:rsidR="00261C38">
        <w:rPr>
          <w:rFonts w:ascii="Times New Roman" w:hAnsi="Times New Roman" w:cs="Times New Roman"/>
        </w:rPr>
        <w:t xml:space="preserve"> </w:t>
      </w:r>
      <w:r w:rsidRPr="00261C38">
        <w:rPr>
          <w:rFonts w:ascii="Times New Roman" w:hAnsi="Times New Roman" w:cs="Times New Roman"/>
        </w:rPr>
        <w:t>certain bands</w:t>
      </w:r>
      <w:r w:rsidR="00261C38">
        <w:rPr>
          <w:rFonts w:ascii="Times New Roman" w:hAnsi="Times New Roman" w:cs="Times New Roman"/>
        </w:rPr>
        <w:t xml:space="preserve">; </w:t>
      </w:r>
    </w:p>
    <w:p w14:paraId="72845C72" w14:textId="6133A419" w:rsidR="0078659B" w:rsidRDefault="004C2765" w:rsidP="00261C38">
      <w:pPr>
        <w:pStyle w:val="ListParagraph"/>
        <w:numPr>
          <w:ilvl w:val="0"/>
          <w:numId w:val="18"/>
        </w:numPr>
        <w:spacing w:after="40"/>
        <w:rPr>
          <w:rFonts w:ascii="Times New Roman" w:hAnsi="Times New Roman" w:cs="Times New Roman"/>
        </w:rPr>
      </w:pPr>
      <w:r>
        <w:rPr>
          <w:rFonts w:ascii="Times New Roman" w:hAnsi="Times New Roman" w:cs="Times New Roman"/>
        </w:rPr>
        <w:t>provid</w:t>
      </w:r>
      <w:r w:rsidR="00BB0DF6">
        <w:rPr>
          <w:rFonts w:ascii="Times New Roman" w:hAnsi="Times New Roman" w:cs="Times New Roman"/>
        </w:rPr>
        <w:t>ing</w:t>
      </w:r>
      <w:r>
        <w:rPr>
          <w:rFonts w:ascii="Times New Roman" w:hAnsi="Times New Roman" w:cs="Times New Roman"/>
        </w:rPr>
        <w:t xml:space="preserve"> timeframes </w:t>
      </w:r>
      <w:r w:rsidR="00046B49">
        <w:rPr>
          <w:rFonts w:ascii="Times New Roman" w:hAnsi="Times New Roman" w:cs="Times New Roman"/>
        </w:rPr>
        <w:t xml:space="preserve">relating to applications for approval for </w:t>
      </w:r>
      <w:r w:rsidR="00BB0DF6">
        <w:rPr>
          <w:rFonts w:ascii="Times New Roman" w:hAnsi="Times New Roman" w:cs="Times New Roman"/>
        </w:rPr>
        <w:t xml:space="preserve">assignments </w:t>
      </w:r>
      <w:r w:rsidR="00046B49">
        <w:rPr>
          <w:rFonts w:ascii="Times New Roman" w:hAnsi="Times New Roman" w:cs="Times New Roman"/>
        </w:rPr>
        <w:t>resulting in less than the MCB;</w:t>
      </w:r>
      <w:r>
        <w:rPr>
          <w:rFonts w:ascii="Times New Roman" w:hAnsi="Times New Roman" w:cs="Times New Roman"/>
        </w:rPr>
        <w:t xml:space="preserve"> </w:t>
      </w:r>
      <w:r w:rsidR="00261C38">
        <w:rPr>
          <w:rFonts w:ascii="Times New Roman" w:hAnsi="Times New Roman" w:cs="Times New Roman"/>
        </w:rPr>
        <w:t>and</w:t>
      </w:r>
    </w:p>
    <w:p w14:paraId="216B0DEA" w14:textId="69424934" w:rsidR="00261C38" w:rsidRPr="00261C38" w:rsidRDefault="00545DBA" w:rsidP="00261C38">
      <w:pPr>
        <w:pStyle w:val="ListParagraph"/>
        <w:numPr>
          <w:ilvl w:val="0"/>
          <w:numId w:val="18"/>
        </w:numPr>
        <w:spacing w:after="40"/>
        <w:rPr>
          <w:rFonts w:ascii="Times New Roman" w:hAnsi="Times New Roman" w:cs="Times New Roman"/>
        </w:rPr>
      </w:pPr>
      <w:r>
        <w:rPr>
          <w:rFonts w:ascii="Times New Roman" w:hAnsi="Times New Roman" w:cs="Times New Roman"/>
        </w:rPr>
        <w:t xml:space="preserve">making </w:t>
      </w:r>
      <w:r w:rsidR="009C3A9B" w:rsidRPr="009C3A9B">
        <w:rPr>
          <w:rFonts w:ascii="Times New Roman" w:hAnsi="Times New Roman" w:cs="Times New Roman"/>
        </w:rPr>
        <w:t xml:space="preserve">a number of minor changes to align the </w:t>
      </w:r>
      <w:r w:rsidR="00BB0DF6">
        <w:rPr>
          <w:rFonts w:ascii="Times New Roman" w:hAnsi="Times New Roman" w:cs="Times New Roman"/>
        </w:rPr>
        <w:t>instrument</w:t>
      </w:r>
      <w:r w:rsidR="00BB0DF6" w:rsidRPr="009C3A9B">
        <w:rPr>
          <w:rFonts w:ascii="Times New Roman" w:hAnsi="Times New Roman" w:cs="Times New Roman"/>
        </w:rPr>
        <w:t xml:space="preserve"> </w:t>
      </w:r>
      <w:r w:rsidR="009C3A9B" w:rsidRPr="009C3A9B">
        <w:rPr>
          <w:rFonts w:ascii="Times New Roman" w:hAnsi="Times New Roman" w:cs="Times New Roman"/>
        </w:rPr>
        <w:t xml:space="preserve">with </w:t>
      </w:r>
      <w:r w:rsidR="00BB0DF6">
        <w:rPr>
          <w:rFonts w:ascii="Times New Roman" w:hAnsi="Times New Roman" w:cs="Times New Roman"/>
        </w:rPr>
        <w:t>other legislative instruments made under the Act,</w:t>
      </w:r>
      <w:r w:rsidR="009C3A9B" w:rsidRPr="009C3A9B">
        <w:rPr>
          <w:rFonts w:ascii="Times New Roman" w:hAnsi="Times New Roman" w:cs="Times New Roman"/>
        </w:rPr>
        <w:t xml:space="preserve"> and </w:t>
      </w:r>
      <w:r>
        <w:rPr>
          <w:rFonts w:ascii="Times New Roman" w:hAnsi="Times New Roman" w:cs="Times New Roman"/>
        </w:rPr>
        <w:t xml:space="preserve">to </w:t>
      </w:r>
      <w:r w:rsidR="009C3A9B" w:rsidRPr="009C3A9B">
        <w:rPr>
          <w:rFonts w:ascii="Times New Roman" w:hAnsi="Times New Roman" w:cs="Times New Roman"/>
        </w:rPr>
        <w:t xml:space="preserve">provide more clarity around the trading </w:t>
      </w:r>
      <w:r w:rsidR="009C3A9B">
        <w:rPr>
          <w:rFonts w:ascii="Times New Roman" w:hAnsi="Times New Roman" w:cs="Times New Roman"/>
        </w:rPr>
        <w:t>and review process.</w:t>
      </w:r>
    </w:p>
    <w:p w14:paraId="1D863744" w14:textId="1BFFEDF2" w:rsidR="00882F17" w:rsidRDefault="00882F17" w:rsidP="004C58B9">
      <w:pPr>
        <w:rPr>
          <w:rFonts w:ascii="Times New Roman" w:hAnsi="Times New Roman" w:cs="Times New Roman"/>
        </w:rPr>
      </w:pPr>
      <w:r w:rsidRPr="00882F17">
        <w:rPr>
          <w:rFonts w:ascii="Times New Roman" w:hAnsi="Times New Roman" w:cs="Times New Roman"/>
        </w:rPr>
        <w:lastRenderedPageBreak/>
        <w:t xml:space="preserve">To the extent the instrument deals with spectrum licences in the 3.4 GHz to 4 GHz frequency band, the ACMA had regard to the </w:t>
      </w:r>
      <w:r w:rsidRPr="00882F17">
        <w:rPr>
          <w:rFonts w:ascii="Times New Roman" w:hAnsi="Times New Roman" w:cs="Times New Roman"/>
          <w:i/>
          <w:iCs/>
        </w:rPr>
        <w:t>Radiocommunications (Ministerial Policy Statement – 3.4-4.0 GHz) Instrument 2022</w:t>
      </w:r>
      <w:r w:rsidRPr="00882F17">
        <w:rPr>
          <w:rFonts w:ascii="Times New Roman" w:hAnsi="Times New Roman" w:cs="Times New Roman"/>
        </w:rPr>
        <w:t>, as required by section 28C of the Act.</w:t>
      </w:r>
    </w:p>
    <w:p w14:paraId="62529848" w14:textId="018D1C60" w:rsidR="004C58B9" w:rsidRDefault="004C58B9" w:rsidP="004C58B9">
      <w:pPr>
        <w:rPr>
          <w:rFonts w:ascii="Times New Roman" w:hAnsi="Times New Roman" w:cs="Times New Roman"/>
        </w:rPr>
      </w:pPr>
      <w:r>
        <w:rPr>
          <w:rFonts w:ascii="Times New Roman" w:hAnsi="Times New Roman" w:cs="Times New Roman"/>
        </w:rPr>
        <w:t xml:space="preserve">A provision-by-provision description of the </w:t>
      </w:r>
      <w:r w:rsidR="00545DBA">
        <w:rPr>
          <w:rFonts w:ascii="Times New Roman" w:hAnsi="Times New Roman" w:cs="Times New Roman"/>
        </w:rPr>
        <w:t xml:space="preserve">instrument </w:t>
      </w:r>
      <w:r>
        <w:rPr>
          <w:rFonts w:ascii="Times New Roman" w:hAnsi="Times New Roman" w:cs="Times New Roman"/>
        </w:rPr>
        <w:t xml:space="preserve">is set out in the notes at </w:t>
      </w:r>
      <w:r>
        <w:rPr>
          <w:rFonts w:ascii="Times New Roman" w:hAnsi="Times New Roman" w:cs="Times New Roman"/>
          <w:b/>
        </w:rPr>
        <w:t>Attachment A</w:t>
      </w:r>
      <w:r>
        <w:rPr>
          <w:rFonts w:ascii="Times New Roman" w:hAnsi="Times New Roman" w:cs="Times New Roman"/>
        </w:rPr>
        <w:t>.</w:t>
      </w:r>
    </w:p>
    <w:p w14:paraId="15A8EB95" w14:textId="102826E1" w:rsidR="004C58B9" w:rsidRDefault="004C58B9" w:rsidP="004C58B9">
      <w:pPr>
        <w:rPr>
          <w:rFonts w:ascii="Times New Roman" w:hAnsi="Times New Roman" w:cs="Times New Roman"/>
        </w:rPr>
      </w:pPr>
      <w:r>
        <w:rPr>
          <w:rFonts w:ascii="Times New Roman" w:hAnsi="Times New Roman" w:cs="Times New Roman"/>
        </w:rPr>
        <w:t xml:space="preserve">The instrument is a </w:t>
      </w:r>
      <w:r w:rsidR="00545DBA">
        <w:rPr>
          <w:rFonts w:ascii="Times New Roman" w:hAnsi="Times New Roman" w:cs="Times New Roman"/>
        </w:rPr>
        <w:t xml:space="preserve">disallowable </w:t>
      </w:r>
      <w:r>
        <w:rPr>
          <w:rFonts w:ascii="Times New Roman" w:hAnsi="Times New Roman" w:cs="Times New Roman"/>
        </w:rPr>
        <w:t xml:space="preserve">legislative instrument for the purposes of the </w:t>
      </w:r>
      <w:r>
        <w:rPr>
          <w:rFonts w:ascii="Times New Roman" w:hAnsi="Times New Roman" w:cs="Times New Roman"/>
          <w:i/>
        </w:rPr>
        <w:t xml:space="preserve">Legislation Act 2003 </w:t>
      </w:r>
      <w:r>
        <w:rPr>
          <w:rFonts w:ascii="Times New Roman" w:hAnsi="Times New Roman" w:cs="Times New Roman"/>
        </w:rPr>
        <w:t>(</w:t>
      </w:r>
      <w:r>
        <w:rPr>
          <w:rFonts w:ascii="Times New Roman" w:hAnsi="Times New Roman" w:cs="Times New Roman"/>
          <w:b/>
        </w:rPr>
        <w:t>the LA</w:t>
      </w:r>
      <w:r>
        <w:rPr>
          <w:rFonts w:ascii="Times New Roman" w:hAnsi="Times New Roman" w:cs="Times New Roman"/>
        </w:rPr>
        <w:t xml:space="preserve">). </w:t>
      </w:r>
      <w:r w:rsidR="00545DBA">
        <w:rPr>
          <w:rFonts w:ascii="Times New Roman" w:hAnsi="Times New Roman" w:cs="Times New Roman"/>
        </w:rPr>
        <w:t>The instrument is subject to the sunsetting provisions of the LA.</w:t>
      </w:r>
    </w:p>
    <w:p w14:paraId="0C627C6A" w14:textId="77777777" w:rsidR="004C58B9" w:rsidRDefault="004C58B9" w:rsidP="004C58B9">
      <w:pPr>
        <w:rPr>
          <w:rFonts w:ascii="Times New Roman" w:hAnsi="Times New Roman" w:cs="Times New Roman"/>
          <w:b/>
        </w:rPr>
      </w:pPr>
      <w:r>
        <w:rPr>
          <w:rFonts w:ascii="Times New Roman" w:hAnsi="Times New Roman" w:cs="Times New Roman"/>
          <w:b/>
        </w:rPr>
        <w:t>Documents incorporated by reference</w:t>
      </w:r>
    </w:p>
    <w:p w14:paraId="3C07E995" w14:textId="7BE234BA" w:rsidR="007736AB" w:rsidRDefault="007736AB" w:rsidP="004C58B9">
      <w:pPr>
        <w:rPr>
          <w:rFonts w:ascii="Times New Roman" w:hAnsi="Times New Roman" w:cs="Times New Roman"/>
        </w:rPr>
      </w:pPr>
      <w:r>
        <w:rPr>
          <w:rFonts w:ascii="Times New Roman" w:hAnsi="Times New Roman" w:cs="Times New Roman"/>
        </w:rPr>
        <w:t>S</w:t>
      </w:r>
      <w:r w:rsidR="0084328D">
        <w:rPr>
          <w:rFonts w:ascii="Times New Roman" w:hAnsi="Times New Roman" w:cs="Times New Roman"/>
        </w:rPr>
        <w:t>ubs</w:t>
      </w:r>
      <w:r>
        <w:rPr>
          <w:rFonts w:ascii="Times New Roman" w:hAnsi="Times New Roman" w:cs="Times New Roman"/>
        </w:rPr>
        <w:t>ection 314</w:t>
      </w:r>
      <w:proofErr w:type="gramStart"/>
      <w:r>
        <w:rPr>
          <w:rFonts w:ascii="Times New Roman" w:hAnsi="Times New Roman" w:cs="Times New Roman"/>
        </w:rPr>
        <w:t>A</w:t>
      </w:r>
      <w:r w:rsidR="0084328D">
        <w:rPr>
          <w:rFonts w:ascii="Times New Roman" w:hAnsi="Times New Roman" w:cs="Times New Roman"/>
        </w:rPr>
        <w:t>(</w:t>
      </w:r>
      <w:proofErr w:type="gramEnd"/>
      <w:r w:rsidR="0084328D">
        <w:rPr>
          <w:rFonts w:ascii="Times New Roman" w:hAnsi="Times New Roman" w:cs="Times New Roman"/>
        </w:rPr>
        <w:t>1)</w:t>
      </w:r>
      <w:r>
        <w:rPr>
          <w:rFonts w:ascii="Times New Roman" w:hAnsi="Times New Roman" w:cs="Times New Roman"/>
        </w:rPr>
        <w:t xml:space="preserve"> of the Act provides that an instrument under the Act may make provision in relation to a matter by applying, adopting or incorporating (with or without modifications) matters contained in any Act or any other instrument or writing as in force or existing at a particular time or from time to time.</w:t>
      </w:r>
    </w:p>
    <w:p w14:paraId="1A241904" w14:textId="77777777" w:rsidR="0028666D" w:rsidRDefault="007736AB" w:rsidP="004C58B9">
      <w:pPr>
        <w:rPr>
          <w:rFonts w:ascii="Times New Roman" w:hAnsi="Times New Roman" w:cs="Times New Roman"/>
        </w:rPr>
      </w:pPr>
      <w:r>
        <w:rPr>
          <w:rFonts w:ascii="Times New Roman" w:hAnsi="Times New Roman" w:cs="Times New Roman"/>
        </w:rPr>
        <w:t>The instrument incorporates</w:t>
      </w:r>
      <w:r w:rsidR="0028666D">
        <w:rPr>
          <w:rFonts w:ascii="Times New Roman" w:hAnsi="Times New Roman" w:cs="Times New Roman"/>
        </w:rPr>
        <w:t>:</w:t>
      </w:r>
    </w:p>
    <w:p w14:paraId="22EBBE28" w14:textId="49588B56" w:rsidR="007736AB" w:rsidRDefault="0028666D" w:rsidP="0028666D">
      <w:pPr>
        <w:pStyle w:val="ListParagraph"/>
        <w:numPr>
          <w:ilvl w:val="0"/>
          <w:numId w:val="20"/>
        </w:numPr>
        <w:rPr>
          <w:rFonts w:ascii="Times New Roman" w:hAnsi="Times New Roman" w:cs="Times New Roman"/>
        </w:rPr>
      </w:pPr>
      <w:r>
        <w:rPr>
          <w:rFonts w:ascii="Times New Roman" w:hAnsi="Times New Roman" w:cs="Times New Roman"/>
        </w:rPr>
        <w:t xml:space="preserve">a form approved by the ACMA under </w:t>
      </w:r>
      <w:r w:rsidR="007736AB" w:rsidRPr="0028666D">
        <w:rPr>
          <w:rFonts w:ascii="Times New Roman" w:hAnsi="Times New Roman" w:cs="Times New Roman"/>
        </w:rPr>
        <w:t xml:space="preserve">the 2012 instrument, as </w:t>
      </w:r>
      <w:r>
        <w:rPr>
          <w:rFonts w:ascii="Times New Roman" w:hAnsi="Times New Roman" w:cs="Times New Roman"/>
        </w:rPr>
        <w:t>existing immediately before the 2012 instrument was revoked; and</w:t>
      </w:r>
    </w:p>
    <w:p w14:paraId="64E636FC" w14:textId="261CC4A5" w:rsidR="0028666D" w:rsidRPr="0028666D" w:rsidRDefault="0028666D" w:rsidP="0028666D">
      <w:pPr>
        <w:pStyle w:val="ListParagraph"/>
        <w:numPr>
          <w:ilvl w:val="0"/>
          <w:numId w:val="20"/>
        </w:numPr>
        <w:rPr>
          <w:rFonts w:ascii="Times New Roman" w:hAnsi="Times New Roman" w:cs="Times New Roman"/>
        </w:rPr>
      </w:pPr>
      <w:r>
        <w:rPr>
          <w:rFonts w:ascii="Times New Roman" w:hAnsi="Times New Roman" w:cs="Times New Roman"/>
        </w:rPr>
        <w:t xml:space="preserve">the </w:t>
      </w:r>
      <w:r w:rsidR="00BC112B">
        <w:rPr>
          <w:rFonts w:ascii="Times New Roman" w:hAnsi="Times New Roman" w:cs="Times New Roman"/>
        </w:rPr>
        <w:t>Australian Spectrum Map Grid 2012, as existing from time to time.</w:t>
      </w:r>
    </w:p>
    <w:p w14:paraId="1E3A33FA" w14:textId="7F7C6BA3" w:rsidR="00E9539C" w:rsidRDefault="00BC112B" w:rsidP="004C58B9">
      <w:pPr>
        <w:rPr>
          <w:rFonts w:ascii="Times New Roman" w:hAnsi="Times New Roman" w:cs="Times New Roman"/>
        </w:rPr>
      </w:pPr>
      <w:r>
        <w:rPr>
          <w:rFonts w:ascii="Times New Roman" w:hAnsi="Times New Roman" w:cs="Times New Roman"/>
        </w:rPr>
        <w:t>Both the form and the Australian Spectrum Map Grid 2012 are</w:t>
      </w:r>
      <w:r w:rsidR="00986186">
        <w:rPr>
          <w:rFonts w:ascii="Times New Roman" w:hAnsi="Times New Roman" w:cs="Times New Roman"/>
        </w:rPr>
        <w:t xml:space="preserve"> published by the ACMA and </w:t>
      </w:r>
      <w:r>
        <w:rPr>
          <w:rFonts w:ascii="Times New Roman" w:hAnsi="Times New Roman" w:cs="Times New Roman"/>
        </w:rPr>
        <w:t>are available, free of charge, on</w:t>
      </w:r>
      <w:r w:rsidR="006B4E64">
        <w:rPr>
          <w:rFonts w:ascii="Times New Roman" w:hAnsi="Times New Roman" w:cs="Times New Roman"/>
        </w:rPr>
        <w:t xml:space="preserve"> the ACMA</w:t>
      </w:r>
      <w:r>
        <w:rPr>
          <w:rFonts w:ascii="Times New Roman" w:hAnsi="Times New Roman" w:cs="Times New Roman"/>
        </w:rPr>
        <w:t>’s</w:t>
      </w:r>
      <w:r w:rsidR="006B4E64">
        <w:rPr>
          <w:rFonts w:ascii="Times New Roman" w:hAnsi="Times New Roman" w:cs="Times New Roman"/>
        </w:rPr>
        <w:t xml:space="preserve"> website</w:t>
      </w:r>
      <w:r>
        <w:rPr>
          <w:rFonts w:ascii="Times New Roman" w:hAnsi="Times New Roman" w:cs="Times New Roman"/>
        </w:rPr>
        <w:t xml:space="preserve"> at </w:t>
      </w:r>
      <w:hyperlink r:id="rId11" w:history="1">
        <w:r w:rsidRPr="00EC1D18">
          <w:rPr>
            <w:rStyle w:val="Hyperlink"/>
            <w:rFonts w:ascii="Times New Roman" w:hAnsi="Times New Roman" w:cs="Times New Roman"/>
          </w:rPr>
          <w:t>www.acma.gov.au</w:t>
        </w:r>
      </w:hyperlink>
      <w:r w:rsidR="006B4E64">
        <w:rPr>
          <w:rFonts w:ascii="Times New Roman" w:hAnsi="Times New Roman" w:cs="Times New Roman"/>
        </w:rPr>
        <w:t>.</w:t>
      </w:r>
      <w:r w:rsidR="00185369">
        <w:rPr>
          <w:rFonts w:ascii="Times New Roman" w:hAnsi="Times New Roman" w:cs="Times New Roman"/>
        </w:rPr>
        <w:t xml:space="preserve"> </w:t>
      </w:r>
    </w:p>
    <w:p w14:paraId="3FB928D1" w14:textId="3BA7C49F" w:rsidR="004D109B" w:rsidRDefault="004D109B" w:rsidP="004C58B9">
      <w:pPr>
        <w:rPr>
          <w:rFonts w:ascii="Times New Roman" w:hAnsi="Times New Roman" w:cs="Times New Roman"/>
        </w:rPr>
      </w:pPr>
      <w:r w:rsidRPr="00A6738D">
        <w:rPr>
          <w:rFonts w:ascii="Times New Roman" w:hAnsi="Times New Roman" w:cs="Times New Roman"/>
        </w:rPr>
        <w:t>The instrument contains provisions and notes that refer to the Act</w:t>
      </w:r>
      <w:r>
        <w:rPr>
          <w:rFonts w:ascii="Times New Roman" w:hAnsi="Times New Roman" w:cs="Times New Roman"/>
        </w:rPr>
        <w:t xml:space="preserve">, the LA, the AIA and the </w:t>
      </w:r>
      <w:r>
        <w:rPr>
          <w:rFonts w:ascii="Times New Roman" w:hAnsi="Times New Roman" w:cs="Times New Roman"/>
          <w:i/>
          <w:iCs/>
        </w:rPr>
        <w:t>Australian Communications and Media Authority Act 2005</w:t>
      </w:r>
      <w:r>
        <w:rPr>
          <w:rFonts w:ascii="Times New Roman" w:hAnsi="Times New Roman" w:cs="Times New Roman"/>
        </w:rPr>
        <w:t>. These references do not, however, incorporate those Acts.</w:t>
      </w:r>
    </w:p>
    <w:p w14:paraId="2EFDFDBF" w14:textId="5A92DD5D" w:rsidR="004C58B9" w:rsidRDefault="004C58B9" w:rsidP="004C58B9">
      <w:pPr>
        <w:rPr>
          <w:rFonts w:ascii="Times New Roman" w:hAnsi="Times New Roman" w:cs="Times New Roman"/>
          <w:b/>
        </w:rPr>
      </w:pPr>
      <w:r>
        <w:rPr>
          <w:rFonts w:ascii="Times New Roman" w:hAnsi="Times New Roman" w:cs="Times New Roman"/>
          <w:b/>
        </w:rPr>
        <w:t>Consultation</w:t>
      </w:r>
    </w:p>
    <w:p w14:paraId="4DAA6404" w14:textId="3B4ABC54" w:rsidR="004C58B9" w:rsidRDefault="371F11BD" w:rsidP="4A9775EB">
      <w:pPr>
        <w:rPr>
          <w:rFonts w:ascii="Times New Roman" w:hAnsi="Times New Roman" w:cs="Times New Roman"/>
        </w:rPr>
      </w:pPr>
      <w:r w:rsidRPr="4A9775EB">
        <w:rPr>
          <w:rFonts w:ascii="Times New Roman" w:hAnsi="Times New Roman" w:cs="Times New Roman"/>
        </w:rPr>
        <w:t xml:space="preserve">Before the instrument was made, the ACMA was satisfied that consultation was undertaken to the extent appropriate and reasonably practicable, in accordance with section 17 of the LA.  </w:t>
      </w:r>
    </w:p>
    <w:p w14:paraId="51A99896" w14:textId="5F3D8C4C" w:rsidR="004C58B9" w:rsidRDefault="442EAC5C" w:rsidP="4A9775EB">
      <w:pPr>
        <w:rPr>
          <w:rFonts w:ascii="Times New Roman" w:hAnsi="Times New Roman" w:cs="Times New Roman"/>
        </w:rPr>
      </w:pPr>
      <w:r w:rsidRPr="4A9775EB">
        <w:rPr>
          <w:rFonts w:ascii="Times New Roman" w:hAnsi="Times New Roman" w:cs="Times New Roman"/>
        </w:rPr>
        <w:t>In October 2022, the ACMA released a consultation paper that outlined the reasons for continuing the substance of the 2012 instrument, as well as the proposed changes to the 2012 instrument.</w:t>
      </w:r>
    </w:p>
    <w:p w14:paraId="26C313EF" w14:textId="71E46601" w:rsidR="004C58B9" w:rsidRDefault="721CCDEA" w:rsidP="4A9775EB">
      <w:pPr>
        <w:rPr>
          <w:rFonts w:ascii="Times New Roman" w:hAnsi="Times New Roman" w:cs="Times New Roman"/>
        </w:rPr>
      </w:pPr>
      <w:r w:rsidRPr="54570112">
        <w:rPr>
          <w:rFonts w:ascii="Times New Roman" w:hAnsi="Times New Roman" w:cs="Times New Roman"/>
        </w:rPr>
        <w:t xml:space="preserve">Three submissions were received. </w:t>
      </w:r>
      <w:r w:rsidR="442EAC5C" w:rsidRPr="54570112">
        <w:rPr>
          <w:rFonts w:ascii="Times New Roman" w:hAnsi="Times New Roman" w:cs="Times New Roman"/>
        </w:rPr>
        <w:t>Submissions supported remaking the instrument and were generally supportive of the proposed changes. Submissions also proposed several additional changes, these were:</w:t>
      </w:r>
    </w:p>
    <w:p w14:paraId="0B241BB3" w14:textId="54581A6C" w:rsidR="004C58B9" w:rsidRDefault="442EAC5C" w:rsidP="4A9775EB">
      <w:pPr>
        <w:pStyle w:val="ListParagraph"/>
        <w:numPr>
          <w:ilvl w:val="0"/>
          <w:numId w:val="21"/>
        </w:numPr>
        <w:rPr>
          <w:rFonts w:ascii="Times New Roman" w:hAnsi="Times New Roman" w:cs="Times New Roman"/>
        </w:rPr>
      </w:pPr>
      <w:r w:rsidRPr="4A9775EB">
        <w:rPr>
          <w:rFonts w:ascii="Times New Roman" w:hAnsi="Times New Roman" w:cs="Times New Roman"/>
        </w:rPr>
        <w:t>geographic trading restrictions, similar to existing MCB restrictions;</w:t>
      </w:r>
    </w:p>
    <w:p w14:paraId="5C938F88" w14:textId="77777777" w:rsidR="00CB22A9" w:rsidRDefault="00CB22A9" w:rsidP="00CB22A9">
      <w:pPr>
        <w:pStyle w:val="ListParagraph"/>
        <w:numPr>
          <w:ilvl w:val="0"/>
          <w:numId w:val="21"/>
        </w:numPr>
        <w:rPr>
          <w:rFonts w:ascii="Times New Roman" w:hAnsi="Times New Roman" w:cs="Times New Roman"/>
        </w:rPr>
      </w:pPr>
      <w:r w:rsidRPr="4A9775EB">
        <w:rPr>
          <w:rFonts w:ascii="Times New Roman" w:hAnsi="Times New Roman" w:cs="Times New Roman"/>
        </w:rPr>
        <w:t xml:space="preserve">inclusion of </w:t>
      </w:r>
      <w:r>
        <w:rPr>
          <w:rFonts w:ascii="Times New Roman" w:hAnsi="Times New Roman" w:cs="Times New Roman"/>
        </w:rPr>
        <w:t xml:space="preserve">adjacent licences held by </w:t>
      </w:r>
      <w:r w:rsidRPr="4A9775EB">
        <w:rPr>
          <w:rFonts w:ascii="Times New Roman" w:hAnsi="Times New Roman" w:cs="Times New Roman"/>
        </w:rPr>
        <w:t>related bod</w:t>
      </w:r>
      <w:r>
        <w:rPr>
          <w:rFonts w:ascii="Times New Roman" w:hAnsi="Times New Roman" w:cs="Times New Roman"/>
        </w:rPr>
        <w:t>y corporates,</w:t>
      </w:r>
      <w:r w:rsidRPr="4A9775EB">
        <w:rPr>
          <w:rFonts w:ascii="Times New Roman" w:hAnsi="Times New Roman" w:cs="Times New Roman"/>
        </w:rPr>
        <w:t xml:space="preserve"> and </w:t>
      </w:r>
      <w:r>
        <w:rPr>
          <w:rFonts w:ascii="Times New Roman" w:hAnsi="Times New Roman" w:cs="Times New Roman"/>
        </w:rPr>
        <w:t>adjacent apparatus licences held by spectrum licensees,</w:t>
      </w:r>
      <w:r w:rsidRPr="4A9775EB">
        <w:rPr>
          <w:rFonts w:ascii="Times New Roman" w:hAnsi="Times New Roman" w:cs="Times New Roman"/>
        </w:rPr>
        <w:t xml:space="preserve"> in assessing MCB;</w:t>
      </w:r>
    </w:p>
    <w:p w14:paraId="53EC9F23" w14:textId="103E9146" w:rsidR="004C58B9" w:rsidRDefault="442EAC5C" w:rsidP="4A9775EB">
      <w:pPr>
        <w:pStyle w:val="ListParagraph"/>
        <w:numPr>
          <w:ilvl w:val="0"/>
          <w:numId w:val="21"/>
        </w:numPr>
        <w:rPr>
          <w:rFonts w:ascii="Times New Roman" w:hAnsi="Times New Roman" w:cs="Times New Roman"/>
        </w:rPr>
      </w:pPr>
      <w:r w:rsidRPr="4A9775EB">
        <w:rPr>
          <w:rFonts w:ascii="Times New Roman" w:hAnsi="Times New Roman" w:cs="Times New Roman"/>
        </w:rPr>
        <w:t>mechanisms for expediting the ACMA’s decision-making processes; and</w:t>
      </w:r>
    </w:p>
    <w:p w14:paraId="4DB0AFE2" w14:textId="734D0A5B" w:rsidR="004C58B9" w:rsidRDefault="442EAC5C" w:rsidP="4A9775EB">
      <w:pPr>
        <w:pStyle w:val="ListParagraph"/>
        <w:numPr>
          <w:ilvl w:val="0"/>
          <w:numId w:val="21"/>
        </w:numPr>
        <w:rPr>
          <w:rFonts w:ascii="Times New Roman" w:hAnsi="Times New Roman" w:cs="Times New Roman"/>
        </w:rPr>
      </w:pPr>
      <w:r w:rsidRPr="4A9775EB">
        <w:rPr>
          <w:rFonts w:ascii="Times New Roman" w:hAnsi="Times New Roman" w:cs="Times New Roman"/>
        </w:rPr>
        <w:t>delegating the decision to give permission for a trade to ACMA staff under certain circumstances.</w:t>
      </w:r>
    </w:p>
    <w:p w14:paraId="4FAF2074" w14:textId="77777777" w:rsidR="00B008BB" w:rsidRDefault="442EAC5C" w:rsidP="4A9775EB">
      <w:pPr>
        <w:rPr>
          <w:rFonts w:ascii="Times New Roman" w:hAnsi="Times New Roman" w:cs="Times New Roman"/>
        </w:rPr>
      </w:pPr>
      <w:r w:rsidRPr="4A9775EB">
        <w:rPr>
          <w:rFonts w:ascii="Times New Roman" w:hAnsi="Times New Roman" w:cs="Times New Roman"/>
        </w:rPr>
        <w:t xml:space="preserve">The ACMA had regard to these submissions in remaking the instrument. </w:t>
      </w:r>
    </w:p>
    <w:p w14:paraId="7910DAEE" w14:textId="77777777" w:rsidR="00B008BB" w:rsidRDefault="00B008BB" w:rsidP="00B008BB">
      <w:pPr>
        <w:rPr>
          <w:rFonts w:ascii="Times New Roman" w:hAnsi="Times New Roman" w:cs="Times New Roman"/>
        </w:rPr>
      </w:pPr>
      <w:r>
        <w:rPr>
          <w:rFonts w:ascii="Times New Roman" w:hAnsi="Times New Roman" w:cs="Times New Roman"/>
        </w:rPr>
        <w:t>The ACMA did not make any of the suggested changes. The ACMA considered that:</w:t>
      </w:r>
    </w:p>
    <w:p w14:paraId="16ABCDAE" w14:textId="77777777" w:rsidR="00B008BB" w:rsidRDefault="00B008BB" w:rsidP="00B008BB">
      <w:pPr>
        <w:pStyle w:val="ListParagraph"/>
        <w:numPr>
          <w:ilvl w:val="0"/>
          <w:numId w:val="21"/>
        </w:numPr>
        <w:rPr>
          <w:rFonts w:ascii="Times New Roman" w:hAnsi="Times New Roman" w:cs="Times New Roman"/>
        </w:rPr>
      </w:pPr>
      <w:r>
        <w:rPr>
          <w:rFonts w:ascii="Times New Roman" w:hAnsi="Times New Roman" w:cs="Times New Roman"/>
        </w:rPr>
        <w:t>it is impractical to impose geographic trading restrictions, beyond the “standard trading unit” concept;</w:t>
      </w:r>
    </w:p>
    <w:p w14:paraId="57FE515E" w14:textId="77777777" w:rsidR="00B008BB" w:rsidRDefault="00B008BB" w:rsidP="00B008BB">
      <w:pPr>
        <w:pStyle w:val="ListParagraph"/>
        <w:numPr>
          <w:ilvl w:val="0"/>
          <w:numId w:val="21"/>
        </w:numPr>
        <w:rPr>
          <w:rFonts w:ascii="Times New Roman" w:hAnsi="Times New Roman" w:cs="Times New Roman"/>
        </w:rPr>
      </w:pPr>
      <w:r>
        <w:rPr>
          <w:rFonts w:ascii="Times New Roman" w:hAnsi="Times New Roman" w:cs="Times New Roman"/>
        </w:rPr>
        <w:lastRenderedPageBreak/>
        <w:t>rather than change the instrument to provide for the inclusion of licences held by related body corporates and apparatus licences held by spectrum licensees, these matters could be considered by the ACMA when deciding whether to give permission to an assignment that would result in a spectrum licence of less than the MCB;</w:t>
      </w:r>
    </w:p>
    <w:p w14:paraId="52847616" w14:textId="70FDAE58" w:rsidR="00B008BB" w:rsidRDefault="00B008BB" w:rsidP="00B008BB">
      <w:pPr>
        <w:pStyle w:val="ListParagraph"/>
        <w:numPr>
          <w:ilvl w:val="0"/>
          <w:numId w:val="21"/>
        </w:numPr>
        <w:rPr>
          <w:rFonts w:ascii="Times New Roman" w:hAnsi="Times New Roman" w:cs="Times New Roman"/>
        </w:rPr>
      </w:pPr>
      <w:r>
        <w:rPr>
          <w:rFonts w:ascii="Times New Roman" w:hAnsi="Times New Roman" w:cs="Times New Roman"/>
        </w:rPr>
        <w:t xml:space="preserve">the </w:t>
      </w:r>
      <w:proofErr w:type="gramStart"/>
      <w:r>
        <w:rPr>
          <w:rFonts w:ascii="Times New Roman" w:hAnsi="Times New Roman" w:cs="Times New Roman"/>
        </w:rPr>
        <w:t>90 day</w:t>
      </w:r>
      <w:proofErr w:type="gramEnd"/>
      <w:r>
        <w:rPr>
          <w:rFonts w:ascii="Times New Roman" w:hAnsi="Times New Roman" w:cs="Times New Roman"/>
        </w:rPr>
        <w:t xml:space="preserve"> period for decisions on permission is a maximum time</w:t>
      </w:r>
      <w:r w:rsidR="00A06882">
        <w:rPr>
          <w:rFonts w:ascii="Times New Roman" w:hAnsi="Times New Roman" w:cs="Times New Roman"/>
        </w:rPr>
        <w:t xml:space="preserve"> and is consistent with section 286 of the Act</w:t>
      </w:r>
      <w:r>
        <w:rPr>
          <w:rFonts w:ascii="Times New Roman" w:hAnsi="Times New Roman" w:cs="Times New Roman"/>
        </w:rPr>
        <w:t>, and the ACMA expects usually to make decisions in a shorter period than provided for; and</w:t>
      </w:r>
    </w:p>
    <w:p w14:paraId="3EB31C42" w14:textId="77777777" w:rsidR="00B008BB" w:rsidRDefault="00B008BB" w:rsidP="00B008BB">
      <w:pPr>
        <w:pStyle w:val="ListParagraph"/>
        <w:numPr>
          <w:ilvl w:val="0"/>
          <w:numId w:val="21"/>
        </w:numPr>
        <w:rPr>
          <w:rFonts w:ascii="Times New Roman" w:hAnsi="Times New Roman" w:cs="Times New Roman"/>
        </w:rPr>
      </w:pPr>
      <w:r>
        <w:rPr>
          <w:rFonts w:ascii="Times New Roman" w:hAnsi="Times New Roman" w:cs="Times New Roman"/>
        </w:rPr>
        <w:t>the delegation of powers conferred on the instrument is not a matter for the instrument.</w:t>
      </w:r>
    </w:p>
    <w:p w14:paraId="2CF61F05" w14:textId="784FE9E3" w:rsidR="00B008BB" w:rsidRDefault="00B008BB" w:rsidP="00B008BB">
      <w:pPr>
        <w:rPr>
          <w:rFonts w:ascii="Times New Roman" w:hAnsi="Times New Roman" w:cs="Times New Roman"/>
        </w:rPr>
      </w:pPr>
      <w:r w:rsidRPr="4A9775EB">
        <w:rPr>
          <w:rFonts w:ascii="Times New Roman" w:hAnsi="Times New Roman" w:cs="Times New Roman"/>
        </w:rPr>
        <w:t>A more detailed outline of the outcomes of the consultation is available on the ACMA’s website.</w:t>
      </w:r>
    </w:p>
    <w:p w14:paraId="2E01E108" w14:textId="77777777" w:rsidR="004C58B9" w:rsidRDefault="004C58B9" w:rsidP="004C58B9">
      <w:pPr>
        <w:rPr>
          <w:rFonts w:ascii="Times New Roman" w:hAnsi="Times New Roman" w:cs="Times New Roman"/>
          <w:b/>
        </w:rPr>
      </w:pPr>
      <w:r>
        <w:rPr>
          <w:rFonts w:ascii="Times New Roman" w:hAnsi="Times New Roman" w:cs="Times New Roman"/>
          <w:b/>
        </w:rPr>
        <w:t>Regulatory impact assessment</w:t>
      </w:r>
    </w:p>
    <w:p w14:paraId="0A09BC35" w14:textId="77777777" w:rsidR="00AD1279" w:rsidRDefault="00AD1279" w:rsidP="00AD1279">
      <w:pPr>
        <w:rPr>
          <w:rFonts w:ascii="Times New Roman" w:hAnsi="Times New Roman" w:cs="Times New Roman"/>
        </w:rPr>
      </w:pPr>
      <w:r w:rsidRPr="0006495F">
        <w:rPr>
          <w:rFonts w:ascii="Times New Roman" w:hAnsi="Times New Roman" w:cs="Times New Roman"/>
        </w:rPr>
        <w:t xml:space="preserve">A preliminary assessment of the proposal to make the instrument was conducted by the </w:t>
      </w:r>
      <w:r>
        <w:rPr>
          <w:rFonts w:ascii="Times New Roman" w:hAnsi="Times New Roman" w:cs="Times New Roman"/>
        </w:rPr>
        <w:t>Office of Impact Analysis (</w:t>
      </w:r>
      <w:r w:rsidRPr="0073562A">
        <w:rPr>
          <w:rFonts w:ascii="Times New Roman" w:hAnsi="Times New Roman" w:cs="Times New Roman"/>
          <w:b/>
          <w:bCs/>
        </w:rPr>
        <w:t>OIA</w:t>
      </w:r>
      <w:r>
        <w:rPr>
          <w:rFonts w:ascii="Times New Roman" w:hAnsi="Times New Roman" w:cs="Times New Roman"/>
        </w:rPr>
        <w:t xml:space="preserve">) (formerly the </w:t>
      </w:r>
      <w:r w:rsidRPr="0006495F">
        <w:rPr>
          <w:rFonts w:ascii="Times New Roman" w:hAnsi="Times New Roman" w:cs="Times New Roman"/>
        </w:rPr>
        <w:t>Office of Best Practice Regulation (</w:t>
      </w:r>
      <w:r w:rsidRPr="00E53250">
        <w:rPr>
          <w:rFonts w:ascii="Times New Roman" w:hAnsi="Times New Roman" w:cs="Times New Roman"/>
          <w:b/>
          <w:bCs/>
        </w:rPr>
        <w:t>OBPR</w:t>
      </w:r>
      <w:r w:rsidRPr="0006495F">
        <w:rPr>
          <w:rFonts w:ascii="Times New Roman" w:hAnsi="Times New Roman" w:cs="Times New Roman"/>
        </w:rPr>
        <w:t>)</w:t>
      </w:r>
      <w:r>
        <w:rPr>
          <w:rFonts w:ascii="Times New Roman" w:hAnsi="Times New Roman" w:cs="Times New Roman"/>
        </w:rPr>
        <w:t>)</w:t>
      </w:r>
      <w:r w:rsidRPr="0006495F">
        <w:rPr>
          <w:rFonts w:ascii="Times New Roman" w:hAnsi="Times New Roman" w:cs="Times New Roman"/>
        </w:rPr>
        <w:t>, based on information provided by the ACMA, for the purposes of determining whether a Regulation Impact Statement (</w:t>
      </w:r>
      <w:r w:rsidRPr="00E53250">
        <w:rPr>
          <w:rFonts w:ascii="Times New Roman" w:hAnsi="Times New Roman" w:cs="Times New Roman"/>
          <w:b/>
          <w:bCs/>
        </w:rPr>
        <w:t>RIS</w:t>
      </w:r>
      <w:r w:rsidRPr="0006495F">
        <w:rPr>
          <w:rFonts w:ascii="Times New Roman" w:hAnsi="Times New Roman" w:cs="Times New Roman"/>
        </w:rPr>
        <w:t xml:space="preserve">) would be required.  </w:t>
      </w:r>
      <w:r>
        <w:rPr>
          <w:rFonts w:ascii="Times New Roman" w:hAnsi="Times New Roman" w:cs="Times New Roman"/>
        </w:rPr>
        <w:t>OIA</w:t>
      </w:r>
      <w:r w:rsidRPr="0006495F">
        <w:rPr>
          <w:rFonts w:ascii="Times New Roman" w:hAnsi="Times New Roman" w:cs="Times New Roman"/>
        </w:rPr>
        <w:t xml:space="preserve"> advised that a RIS would not be required because the instrument </w:t>
      </w:r>
      <w:r w:rsidRPr="005F4960">
        <w:rPr>
          <w:rFonts w:ascii="Times New Roman" w:hAnsi="Times New Roman" w:cs="Times New Roman"/>
        </w:rPr>
        <w:t>is</w:t>
      </w:r>
      <w:r w:rsidRPr="0006495F">
        <w:rPr>
          <w:rFonts w:ascii="Times New Roman" w:hAnsi="Times New Roman" w:cs="Times New Roman"/>
        </w:rPr>
        <w:t xml:space="preserve"> expected to </w:t>
      </w:r>
      <w:r w:rsidRPr="005F4960">
        <w:rPr>
          <w:rFonts w:ascii="Times New Roman" w:hAnsi="Times New Roman" w:cs="Times New Roman"/>
        </w:rPr>
        <w:t xml:space="preserve">only </w:t>
      </w:r>
      <w:r w:rsidRPr="0006495F">
        <w:rPr>
          <w:rFonts w:ascii="Times New Roman" w:hAnsi="Times New Roman" w:cs="Times New Roman"/>
        </w:rPr>
        <w:t xml:space="preserve">have </w:t>
      </w:r>
      <w:r w:rsidRPr="005F4960">
        <w:rPr>
          <w:rFonts w:ascii="Times New Roman" w:hAnsi="Times New Roman" w:cs="Times New Roman"/>
        </w:rPr>
        <w:t>minor</w:t>
      </w:r>
      <w:r w:rsidRPr="0006495F">
        <w:rPr>
          <w:rFonts w:ascii="Times New Roman" w:hAnsi="Times New Roman" w:cs="Times New Roman"/>
        </w:rPr>
        <w:t xml:space="preserve"> or </w:t>
      </w:r>
      <w:r w:rsidRPr="005F4960">
        <w:rPr>
          <w:rFonts w:ascii="Times New Roman" w:hAnsi="Times New Roman" w:cs="Times New Roman"/>
        </w:rPr>
        <w:t>machinery impacts</w:t>
      </w:r>
      <w:r w:rsidRPr="0006495F">
        <w:rPr>
          <w:rFonts w:ascii="Times New Roman" w:hAnsi="Times New Roman" w:cs="Times New Roman"/>
        </w:rPr>
        <w:t xml:space="preserve"> (</w:t>
      </w:r>
      <w:r>
        <w:rPr>
          <w:rFonts w:ascii="Times New Roman" w:hAnsi="Times New Roman" w:cs="Times New Roman"/>
        </w:rPr>
        <w:t>OIA</w:t>
      </w:r>
      <w:r w:rsidRPr="0006495F">
        <w:rPr>
          <w:rFonts w:ascii="Times New Roman" w:hAnsi="Times New Roman" w:cs="Times New Roman"/>
        </w:rPr>
        <w:t xml:space="preserve"> reference number </w:t>
      </w:r>
      <w:r w:rsidRPr="0089703F">
        <w:rPr>
          <w:rFonts w:ascii="Times New Roman" w:hAnsi="Times New Roman" w:cs="Times New Roman"/>
        </w:rPr>
        <w:t>OBPR22-03221</w:t>
      </w:r>
      <w:r w:rsidRPr="0006495F">
        <w:rPr>
          <w:rFonts w:ascii="Times New Roman" w:hAnsi="Times New Roman" w:cs="Times New Roman"/>
        </w:rPr>
        <w:t>).</w:t>
      </w:r>
    </w:p>
    <w:p w14:paraId="645DD02E" w14:textId="2E53D629" w:rsidR="004C58B9" w:rsidRDefault="004C58B9" w:rsidP="004C58B9">
      <w:pPr>
        <w:rPr>
          <w:rFonts w:ascii="Times New Roman" w:hAnsi="Times New Roman" w:cs="Times New Roman"/>
          <w:b/>
        </w:rPr>
      </w:pPr>
      <w:r>
        <w:rPr>
          <w:rFonts w:ascii="Times New Roman" w:hAnsi="Times New Roman" w:cs="Times New Roman"/>
          <w:b/>
        </w:rPr>
        <w:t>Statement of compatibility with human rights</w:t>
      </w:r>
    </w:p>
    <w:p w14:paraId="7E0868EC" w14:textId="4A719FF5" w:rsidR="004C58B9" w:rsidRDefault="004C58B9" w:rsidP="004C58B9">
      <w:pPr>
        <w:rPr>
          <w:rFonts w:ascii="Times New Roman" w:hAnsi="Times New Roman" w:cs="Times New Roman"/>
        </w:rPr>
      </w:pPr>
      <w:r>
        <w:rPr>
          <w:rFonts w:ascii="Times New Roman" w:hAnsi="Times New Roman" w:cs="Times New Roman"/>
        </w:rPr>
        <w:t xml:space="preserve">Subsection 9(1) of the </w:t>
      </w:r>
      <w:r>
        <w:rPr>
          <w:rFonts w:ascii="Times New Roman" w:hAnsi="Times New Roman" w:cs="Times New Roman"/>
          <w:i/>
        </w:rPr>
        <w:t>Human Rights (Parliamentary Scrutiny) Act 2011</w:t>
      </w:r>
      <w:r>
        <w:rPr>
          <w:rFonts w:ascii="Times New Roman" w:hAnsi="Times New Roman" w:cs="Times New Roman"/>
        </w:rPr>
        <w:t xml:space="preserve"> requires the rule-maker in relation to a legislative instrument to which section 42 (disallowance) of the LA applies to cause a statement of compatibility </w:t>
      </w:r>
      <w:r w:rsidR="00A06882">
        <w:rPr>
          <w:rFonts w:ascii="Times New Roman" w:hAnsi="Times New Roman" w:cs="Times New Roman"/>
        </w:rPr>
        <w:t xml:space="preserve">with human rights </w:t>
      </w:r>
      <w:r>
        <w:rPr>
          <w:rFonts w:ascii="Times New Roman" w:hAnsi="Times New Roman" w:cs="Times New Roman"/>
        </w:rPr>
        <w:t xml:space="preserve">to be prepared in respect of that legislative instrument.  </w:t>
      </w:r>
    </w:p>
    <w:p w14:paraId="23AE1B60" w14:textId="77777777" w:rsidR="004C58B9" w:rsidRDefault="004C58B9" w:rsidP="004C58B9">
      <w:pPr>
        <w:rPr>
          <w:rFonts w:ascii="Times New Roman" w:hAnsi="Times New Roman" w:cs="Times New Roman"/>
        </w:rPr>
      </w:pPr>
      <w:r>
        <w:rPr>
          <w:rFonts w:ascii="Times New Roman" w:hAnsi="Times New Roman" w:cs="Times New Roman"/>
        </w:rPr>
        <w:t>The statement of compatibility set out below has been prepared to meet that requirement.</w:t>
      </w:r>
    </w:p>
    <w:p w14:paraId="695CEC3E" w14:textId="77777777" w:rsidR="004C58B9" w:rsidRDefault="004C58B9" w:rsidP="004C58B9">
      <w:pPr>
        <w:rPr>
          <w:rFonts w:ascii="Times New Roman" w:hAnsi="Times New Roman" w:cs="Times New Roman"/>
          <w:b/>
          <w:i/>
        </w:rPr>
      </w:pPr>
      <w:r>
        <w:rPr>
          <w:rFonts w:ascii="Times New Roman" w:hAnsi="Times New Roman" w:cs="Times New Roman"/>
          <w:b/>
          <w:i/>
        </w:rPr>
        <w:t>Overview of the instrument</w:t>
      </w:r>
    </w:p>
    <w:p w14:paraId="26F38111" w14:textId="4FAF09E4" w:rsidR="0042158E" w:rsidRDefault="0042158E" w:rsidP="00E53250">
      <w:pPr>
        <w:rPr>
          <w:rFonts w:ascii="Times New Roman" w:hAnsi="Times New Roman" w:cs="Times New Roman"/>
        </w:rPr>
      </w:pPr>
      <w:r>
        <w:rPr>
          <w:rFonts w:ascii="Times New Roman" w:hAnsi="Times New Roman" w:cs="Times New Roman"/>
        </w:rPr>
        <w:t>T</w:t>
      </w:r>
      <w:r w:rsidRPr="007D5314">
        <w:rPr>
          <w:rFonts w:ascii="Times New Roman" w:hAnsi="Times New Roman" w:cs="Times New Roman"/>
        </w:rPr>
        <w:t xml:space="preserve">he </w:t>
      </w:r>
      <w:r w:rsidR="00A05803">
        <w:rPr>
          <w:rFonts w:ascii="Times New Roman" w:hAnsi="Times New Roman" w:cs="Times New Roman"/>
        </w:rPr>
        <w:t>instrument</w:t>
      </w:r>
      <w:r w:rsidR="00A05803" w:rsidRPr="007D5314">
        <w:rPr>
          <w:rFonts w:ascii="Times New Roman" w:hAnsi="Times New Roman" w:cs="Times New Roman"/>
        </w:rPr>
        <w:t xml:space="preserve"> </w:t>
      </w:r>
      <w:r w:rsidRPr="007D5314">
        <w:rPr>
          <w:rFonts w:ascii="Times New Roman" w:hAnsi="Times New Roman" w:cs="Times New Roman"/>
        </w:rPr>
        <w:t>sets out the rules for</w:t>
      </w:r>
      <w:r>
        <w:rPr>
          <w:rFonts w:ascii="Times New Roman" w:hAnsi="Times New Roman" w:cs="Times New Roman"/>
        </w:rPr>
        <w:t xml:space="preserve"> the</w:t>
      </w:r>
      <w:r w:rsidRPr="007D5314">
        <w:rPr>
          <w:rFonts w:ascii="Times New Roman" w:hAnsi="Times New Roman" w:cs="Times New Roman"/>
        </w:rPr>
        <w:t xml:space="preserve"> </w:t>
      </w:r>
      <w:r>
        <w:rPr>
          <w:rFonts w:ascii="Times New Roman" w:hAnsi="Times New Roman" w:cs="Times New Roman"/>
        </w:rPr>
        <w:t>trading</w:t>
      </w:r>
      <w:r w:rsidRPr="007D5314">
        <w:rPr>
          <w:rFonts w:ascii="Times New Roman" w:hAnsi="Times New Roman" w:cs="Times New Roman"/>
        </w:rPr>
        <w:t xml:space="preserve"> of spectrum licences, in accordance with section 88 of the Act.</w:t>
      </w:r>
      <w:r>
        <w:rPr>
          <w:rFonts w:ascii="Times New Roman" w:hAnsi="Times New Roman" w:cs="Times New Roman"/>
        </w:rPr>
        <w:t xml:space="preserve"> </w:t>
      </w:r>
    </w:p>
    <w:p w14:paraId="757FD58F" w14:textId="504D3C62" w:rsidR="00A05803" w:rsidRDefault="00A05803" w:rsidP="00A05803">
      <w:pPr>
        <w:rPr>
          <w:rFonts w:ascii="Times New Roman" w:hAnsi="Times New Roman" w:cs="Times New Roman"/>
        </w:rPr>
      </w:pPr>
      <w:r w:rsidRPr="00457890">
        <w:rPr>
          <w:rFonts w:ascii="Times New Roman" w:hAnsi="Times New Roman" w:cs="Times New Roman"/>
        </w:rPr>
        <w:t>The</w:t>
      </w:r>
      <w:r>
        <w:rPr>
          <w:rFonts w:ascii="Times New Roman" w:hAnsi="Times New Roman" w:cs="Times New Roman"/>
        </w:rPr>
        <w:t xml:space="preserve"> 2012 instrument was made under section 88 of the </w:t>
      </w:r>
      <w:proofErr w:type="gramStart"/>
      <w:r>
        <w:rPr>
          <w:rFonts w:ascii="Times New Roman" w:hAnsi="Times New Roman" w:cs="Times New Roman"/>
        </w:rPr>
        <w:t>Act, and</w:t>
      </w:r>
      <w:proofErr w:type="gramEnd"/>
      <w:r>
        <w:rPr>
          <w:rFonts w:ascii="Times New Roman" w:hAnsi="Times New Roman" w:cs="Times New Roman"/>
        </w:rPr>
        <w:t xml:space="preserve"> set rules for the assignment of spectrum licences. The instrument revoked the 2012 instrument, which was due to sunset on </w:t>
      </w:r>
      <w:r w:rsidRPr="571FC1D7">
        <w:rPr>
          <w:rFonts w:ascii="Times New Roman" w:hAnsi="Times New Roman" w:cs="Times New Roman"/>
        </w:rPr>
        <w:t>1</w:t>
      </w:r>
      <w:r>
        <w:rPr>
          <w:rFonts w:ascii="Times New Roman" w:hAnsi="Times New Roman" w:cs="Times New Roman"/>
        </w:rPr>
        <w:t xml:space="preserve"> April 2023. </w:t>
      </w:r>
    </w:p>
    <w:p w14:paraId="5443E5B5" w14:textId="23139948" w:rsidR="0068753D" w:rsidRDefault="0068753D" w:rsidP="0068753D">
      <w:pPr>
        <w:rPr>
          <w:rFonts w:ascii="Times New Roman" w:hAnsi="Times New Roman" w:cs="Times New Roman"/>
        </w:rPr>
      </w:pPr>
      <w:r>
        <w:rPr>
          <w:rFonts w:ascii="Times New Roman" w:hAnsi="Times New Roman" w:cs="Times New Roman"/>
        </w:rPr>
        <w:t xml:space="preserve">The rules for assignments set by the 2012 instrument </w:t>
      </w:r>
      <w:r w:rsidRPr="008574B3">
        <w:rPr>
          <w:rFonts w:ascii="Times New Roman" w:hAnsi="Times New Roman" w:cs="Times New Roman"/>
        </w:rPr>
        <w:t>includ</w:t>
      </w:r>
      <w:r>
        <w:rPr>
          <w:rFonts w:ascii="Times New Roman" w:hAnsi="Times New Roman" w:cs="Times New Roman"/>
        </w:rPr>
        <w:t>ed</w:t>
      </w:r>
      <w:r w:rsidRPr="008574B3">
        <w:rPr>
          <w:rFonts w:ascii="Times New Roman" w:hAnsi="Times New Roman" w:cs="Times New Roman"/>
        </w:rPr>
        <w:t xml:space="preserve"> </w:t>
      </w:r>
      <w:r>
        <w:rPr>
          <w:rFonts w:ascii="Times New Roman" w:hAnsi="Times New Roman" w:cs="Times New Roman"/>
        </w:rPr>
        <w:t>a</w:t>
      </w:r>
      <w:r w:rsidRPr="008574B3">
        <w:rPr>
          <w:rFonts w:ascii="Times New Roman" w:hAnsi="Times New Roman" w:cs="Times New Roman"/>
        </w:rPr>
        <w:t xml:space="preserve"> requirement to trade in defined </w:t>
      </w:r>
      <w:r>
        <w:rPr>
          <w:rFonts w:ascii="Times New Roman" w:hAnsi="Times New Roman" w:cs="Times New Roman"/>
        </w:rPr>
        <w:t>“</w:t>
      </w:r>
      <w:r w:rsidRPr="008574B3">
        <w:rPr>
          <w:rFonts w:ascii="Times New Roman" w:hAnsi="Times New Roman" w:cs="Times New Roman"/>
        </w:rPr>
        <w:t>s</w:t>
      </w:r>
      <w:r>
        <w:rPr>
          <w:rFonts w:ascii="Times New Roman" w:hAnsi="Times New Roman" w:cs="Times New Roman"/>
        </w:rPr>
        <w:t>tandard trading units”,</w:t>
      </w:r>
      <w:r w:rsidRPr="008574B3">
        <w:rPr>
          <w:rFonts w:ascii="Times New Roman" w:hAnsi="Times New Roman" w:cs="Times New Roman"/>
        </w:rPr>
        <w:t xml:space="preserve"> and </w:t>
      </w:r>
      <w:r>
        <w:rPr>
          <w:rFonts w:ascii="Times New Roman" w:hAnsi="Times New Roman" w:cs="Times New Roman"/>
        </w:rPr>
        <w:t xml:space="preserve">for assignments </w:t>
      </w:r>
      <w:r w:rsidRPr="008574B3">
        <w:rPr>
          <w:rFonts w:ascii="Times New Roman" w:hAnsi="Times New Roman" w:cs="Times New Roman"/>
        </w:rPr>
        <w:t>to preserve a specified MCB</w:t>
      </w:r>
      <w:r>
        <w:rPr>
          <w:rFonts w:ascii="Times New Roman" w:hAnsi="Times New Roman" w:cs="Times New Roman"/>
        </w:rPr>
        <w:t>, unless permission were granted by the ACMA</w:t>
      </w:r>
      <w:r w:rsidRPr="008574B3">
        <w:rPr>
          <w:rFonts w:ascii="Times New Roman" w:hAnsi="Times New Roman" w:cs="Times New Roman"/>
        </w:rPr>
        <w:t>.</w:t>
      </w:r>
      <w:r>
        <w:rPr>
          <w:rFonts w:ascii="Times New Roman" w:hAnsi="Times New Roman" w:cs="Times New Roman"/>
        </w:rPr>
        <w:t xml:space="preserve"> The 2012 instrument also set out the </w:t>
      </w:r>
      <w:r w:rsidRPr="008574B3">
        <w:rPr>
          <w:rFonts w:ascii="Times New Roman" w:hAnsi="Times New Roman" w:cs="Times New Roman"/>
        </w:rPr>
        <w:t xml:space="preserve">substance and format of information that must be provided to </w:t>
      </w:r>
      <w:r>
        <w:rPr>
          <w:rFonts w:ascii="Times New Roman" w:hAnsi="Times New Roman" w:cs="Times New Roman"/>
        </w:rPr>
        <w:t>the ACMA</w:t>
      </w:r>
      <w:r w:rsidRPr="008574B3">
        <w:rPr>
          <w:rFonts w:ascii="Times New Roman" w:hAnsi="Times New Roman" w:cs="Times New Roman"/>
        </w:rPr>
        <w:t xml:space="preserve"> when </w:t>
      </w:r>
      <w:r>
        <w:rPr>
          <w:rFonts w:ascii="Times New Roman" w:hAnsi="Times New Roman" w:cs="Times New Roman"/>
        </w:rPr>
        <w:t>assignment</w:t>
      </w:r>
      <w:r w:rsidRPr="008574B3">
        <w:rPr>
          <w:rFonts w:ascii="Times New Roman" w:hAnsi="Times New Roman" w:cs="Times New Roman"/>
        </w:rPr>
        <w:t xml:space="preserve"> </w:t>
      </w:r>
      <w:r>
        <w:rPr>
          <w:rFonts w:ascii="Times New Roman" w:hAnsi="Times New Roman" w:cs="Times New Roman"/>
        </w:rPr>
        <w:t xml:space="preserve">of </w:t>
      </w:r>
      <w:r w:rsidRPr="008574B3">
        <w:rPr>
          <w:rFonts w:ascii="Times New Roman" w:hAnsi="Times New Roman" w:cs="Times New Roman"/>
        </w:rPr>
        <w:t>a spectrum licence</w:t>
      </w:r>
      <w:r>
        <w:rPr>
          <w:rFonts w:ascii="Times New Roman" w:hAnsi="Times New Roman" w:cs="Times New Roman"/>
        </w:rPr>
        <w:t xml:space="preserve"> occurs</w:t>
      </w:r>
      <w:r w:rsidRPr="008574B3">
        <w:rPr>
          <w:rFonts w:ascii="Times New Roman" w:hAnsi="Times New Roman" w:cs="Times New Roman"/>
        </w:rPr>
        <w:t>.</w:t>
      </w:r>
      <w:r>
        <w:rPr>
          <w:rFonts w:ascii="Times New Roman" w:hAnsi="Times New Roman" w:cs="Times New Roman"/>
        </w:rPr>
        <w:t xml:space="preserve"> It also establishe</w:t>
      </w:r>
      <w:r w:rsidR="00A06882">
        <w:rPr>
          <w:rFonts w:ascii="Times New Roman" w:hAnsi="Times New Roman" w:cs="Times New Roman"/>
        </w:rPr>
        <w:t>d</w:t>
      </w:r>
      <w:r>
        <w:rPr>
          <w:rFonts w:ascii="Times New Roman" w:hAnsi="Times New Roman" w:cs="Times New Roman"/>
        </w:rPr>
        <w:t xml:space="preserve"> t</w:t>
      </w:r>
      <w:r w:rsidRPr="008574B3">
        <w:rPr>
          <w:rFonts w:ascii="Times New Roman" w:hAnsi="Times New Roman" w:cs="Times New Roman"/>
        </w:rPr>
        <w:t>he process for the ACMA to consider an application to undertake a spectrum licence trade that would result in a holding of less than the MCB.</w:t>
      </w:r>
    </w:p>
    <w:p w14:paraId="1D0C9993" w14:textId="77777777" w:rsidR="00A05803" w:rsidRDefault="00A05803" w:rsidP="00A05803">
      <w:pPr>
        <w:rPr>
          <w:rFonts w:ascii="Times New Roman" w:hAnsi="Times New Roman" w:cs="Times New Roman"/>
        </w:rPr>
      </w:pPr>
      <w:r>
        <w:rPr>
          <w:rFonts w:ascii="Times New Roman" w:hAnsi="Times New Roman" w:cs="Times New Roman"/>
        </w:rPr>
        <w:t xml:space="preserve">The instrument largely replicates the substance of the 2012 instrument, but introduces </w:t>
      </w:r>
      <w:r w:rsidRPr="0078659B">
        <w:rPr>
          <w:rFonts w:ascii="Times New Roman" w:hAnsi="Times New Roman" w:cs="Times New Roman"/>
        </w:rPr>
        <w:t>minor administrative and structural changes</w:t>
      </w:r>
      <w:r>
        <w:rPr>
          <w:rFonts w:ascii="Times New Roman" w:hAnsi="Times New Roman" w:cs="Times New Roman"/>
        </w:rPr>
        <w:t>, including:</w:t>
      </w:r>
    </w:p>
    <w:p w14:paraId="076C5367" w14:textId="77777777" w:rsidR="00A05803" w:rsidRDefault="00A05803" w:rsidP="00A05803">
      <w:pPr>
        <w:pStyle w:val="ListParagraph"/>
        <w:numPr>
          <w:ilvl w:val="0"/>
          <w:numId w:val="18"/>
        </w:numPr>
        <w:spacing w:after="40"/>
        <w:rPr>
          <w:rFonts w:ascii="Times New Roman" w:hAnsi="Times New Roman" w:cs="Times New Roman"/>
        </w:rPr>
      </w:pPr>
      <w:r w:rsidRPr="007D5428">
        <w:rPr>
          <w:rFonts w:ascii="Times New Roman" w:hAnsi="Times New Roman" w:cs="Times New Roman"/>
        </w:rPr>
        <w:t>replac</w:t>
      </w:r>
      <w:r>
        <w:rPr>
          <w:rFonts w:ascii="Times New Roman" w:hAnsi="Times New Roman" w:cs="Times New Roman"/>
        </w:rPr>
        <w:t>ing</w:t>
      </w:r>
      <w:r w:rsidRPr="007D5428">
        <w:rPr>
          <w:rFonts w:ascii="Times New Roman" w:hAnsi="Times New Roman" w:cs="Times New Roman"/>
        </w:rPr>
        <w:t xml:space="preserve"> the list of MCBs in specified bands in Schedule 1</w:t>
      </w:r>
      <w:r>
        <w:rPr>
          <w:rFonts w:ascii="Times New Roman" w:hAnsi="Times New Roman" w:cs="Times New Roman"/>
        </w:rPr>
        <w:t xml:space="preserve"> to the instrument</w:t>
      </w:r>
      <w:r w:rsidRPr="007D5428">
        <w:rPr>
          <w:rFonts w:ascii="Times New Roman" w:hAnsi="Times New Roman" w:cs="Times New Roman"/>
        </w:rPr>
        <w:t xml:space="preserve"> with a </w:t>
      </w:r>
      <w:r>
        <w:rPr>
          <w:rFonts w:ascii="Times New Roman" w:hAnsi="Times New Roman" w:cs="Times New Roman"/>
        </w:rPr>
        <w:t>default</w:t>
      </w:r>
      <w:r w:rsidRPr="007D5428">
        <w:rPr>
          <w:rFonts w:ascii="Times New Roman" w:hAnsi="Times New Roman" w:cs="Times New Roman"/>
        </w:rPr>
        <w:t xml:space="preserve"> MCB of 5 MHz and a list of exceptions for</w:t>
      </w:r>
      <w:r>
        <w:rPr>
          <w:rFonts w:ascii="Times New Roman" w:hAnsi="Times New Roman" w:cs="Times New Roman"/>
        </w:rPr>
        <w:t xml:space="preserve"> </w:t>
      </w:r>
      <w:r w:rsidRPr="00261C38">
        <w:rPr>
          <w:rFonts w:ascii="Times New Roman" w:hAnsi="Times New Roman" w:cs="Times New Roman"/>
        </w:rPr>
        <w:t>certain bands</w:t>
      </w:r>
      <w:r>
        <w:rPr>
          <w:rFonts w:ascii="Times New Roman" w:hAnsi="Times New Roman" w:cs="Times New Roman"/>
        </w:rPr>
        <w:t xml:space="preserve">; </w:t>
      </w:r>
    </w:p>
    <w:p w14:paraId="61C85654" w14:textId="77777777" w:rsidR="00A05803" w:rsidRDefault="00A05803" w:rsidP="00A05803">
      <w:pPr>
        <w:pStyle w:val="ListParagraph"/>
        <w:numPr>
          <w:ilvl w:val="0"/>
          <w:numId w:val="18"/>
        </w:numPr>
        <w:spacing w:after="40"/>
        <w:rPr>
          <w:rFonts w:ascii="Times New Roman" w:hAnsi="Times New Roman" w:cs="Times New Roman"/>
        </w:rPr>
      </w:pPr>
      <w:r>
        <w:rPr>
          <w:rFonts w:ascii="Times New Roman" w:hAnsi="Times New Roman" w:cs="Times New Roman"/>
        </w:rPr>
        <w:t>providing timeframes relating to applications for approval for assignments resulting in less than the MCB; and</w:t>
      </w:r>
    </w:p>
    <w:p w14:paraId="5DA4D265" w14:textId="77777777" w:rsidR="00A05803" w:rsidRPr="00261C38" w:rsidRDefault="00A05803" w:rsidP="00A05803">
      <w:pPr>
        <w:pStyle w:val="ListParagraph"/>
        <w:numPr>
          <w:ilvl w:val="0"/>
          <w:numId w:val="18"/>
        </w:numPr>
        <w:spacing w:after="40"/>
        <w:rPr>
          <w:rFonts w:ascii="Times New Roman" w:hAnsi="Times New Roman" w:cs="Times New Roman"/>
        </w:rPr>
      </w:pPr>
      <w:r>
        <w:rPr>
          <w:rFonts w:ascii="Times New Roman" w:hAnsi="Times New Roman" w:cs="Times New Roman"/>
        </w:rPr>
        <w:t xml:space="preserve">making </w:t>
      </w:r>
      <w:r w:rsidRPr="009C3A9B">
        <w:rPr>
          <w:rFonts w:ascii="Times New Roman" w:hAnsi="Times New Roman" w:cs="Times New Roman"/>
        </w:rPr>
        <w:t xml:space="preserve">a number of minor changes to align the </w:t>
      </w:r>
      <w:r>
        <w:rPr>
          <w:rFonts w:ascii="Times New Roman" w:hAnsi="Times New Roman" w:cs="Times New Roman"/>
        </w:rPr>
        <w:t>instrument</w:t>
      </w:r>
      <w:r w:rsidRPr="009C3A9B">
        <w:rPr>
          <w:rFonts w:ascii="Times New Roman" w:hAnsi="Times New Roman" w:cs="Times New Roman"/>
        </w:rPr>
        <w:t xml:space="preserve"> with </w:t>
      </w:r>
      <w:r>
        <w:rPr>
          <w:rFonts w:ascii="Times New Roman" w:hAnsi="Times New Roman" w:cs="Times New Roman"/>
        </w:rPr>
        <w:t>other legislative instruments made under the Act,</w:t>
      </w:r>
      <w:r w:rsidRPr="009C3A9B">
        <w:rPr>
          <w:rFonts w:ascii="Times New Roman" w:hAnsi="Times New Roman" w:cs="Times New Roman"/>
        </w:rPr>
        <w:t xml:space="preserve"> and </w:t>
      </w:r>
      <w:r>
        <w:rPr>
          <w:rFonts w:ascii="Times New Roman" w:hAnsi="Times New Roman" w:cs="Times New Roman"/>
        </w:rPr>
        <w:t xml:space="preserve">to </w:t>
      </w:r>
      <w:r w:rsidRPr="009C3A9B">
        <w:rPr>
          <w:rFonts w:ascii="Times New Roman" w:hAnsi="Times New Roman" w:cs="Times New Roman"/>
        </w:rPr>
        <w:t xml:space="preserve">provide more clarity around the trading </w:t>
      </w:r>
      <w:r>
        <w:rPr>
          <w:rFonts w:ascii="Times New Roman" w:hAnsi="Times New Roman" w:cs="Times New Roman"/>
        </w:rPr>
        <w:t>and review process.</w:t>
      </w:r>
    </w:p>
    <w:p w14:paraId="640886BC" w14:textId="77777777" w:rsidR="00C344F7" w:rsidRPr="00F459E2" w:rsidRDefault="00C344F7" w:rsidP="00F459E2">
      <w:pPr>
        <w:spacing w:after="40"/>
        <w:rPr>
          <w:rFonts w:ascii="Times New Roman" w:hAnsi="Times New Roman" w:cs="Times New Roman"/>
        </w:rPr>
      </w:pPr>
    </w:p>
    <w:p w14:paraId="62B66CB7" w14:textId="77777777" w:rsidR="004C58B9" w:rsidRDefault="004C58B9" w:rsidP="004C58B9">
      <w:pPr>
        <w:rPr>
          <w:rFonts w:ascii="Times New Roman" w:hAnsi="Times New Roman" w:cs="Times New Roman"/>
          <w:b/>
          <w:i/>
        </w:rPr>
      </w:pPr>
      <w:r>
        <w:rPr>
          <w:rFonts w:ascii="Times New Roman" w:hAnsi="Times New Roman" w:cs="Times New Roman"/>
          <w:b/>
          <w:i/>
        </w:rPr>
        <w:t>Human rights implications</w:t>
      </w:r>
    </w:p>
    <w:p w14:paraId="0B759C40" w14:textId="77777777" w:rsidR="004C58B9" w:rsidRDefault="004C58B9" w:rsidP="004C58B9">
      <w:pPr>
        <w:rPr>
          <w:rFonts w:ascii="Times New Roman" w:hAnsi="Times New Roman" w:cs="Times New Roman"/>
        </w:rPr>
      </w:pPr>
      <w:r>
        <w:rPr>
          <w:rFonts w:ascii="Times New Roman" w:hAnsi="Times New Roman" w:cs="Times New Roman"/>
        </w:rPr>
        <w:t>The ACMA has assessed whether the instrument is compatible with human rights, being the rights and freedoms recognised or declared by the international instruments listed in subsection 3(1) of the</w:t>
      </w:r>
      <w:r>
        <w:rPr>
          <w:rFonts w:ascii="Times New Roman" w:hAnsi="Times New Roman" w:cs="Times New Roman"/>
          <w:i/>
        </w:rPr>
        <w:t xml:space="preserve"> Human Rights (Parliamentary Scrutiny) Act 2011 </w:t>
      </w:r>
      <w:r>
        <w:rPr>
          <w:rFonts w:ascii="Times New Roman" w:hAnsi="Times New Roman" w:cs="Times New Roman"/>
        </w:rPr>
        <w:t xml:space="preserve">as they apply to Australia. </w:t>
      </w:r>
    </w:p>
    <w:p w14:paraId="39F7E8B7" w14:textId="77777777" w:rsidR="004C58B9" w:rsidRDefault="004C58B9" w:rsidP="004C58B9">
      <w:pPr>
        <w:rPr>
          <w:rFonts w:ascii="Times New Roman" w:hAnsi="Times New Roman" w:cs="Times New Roman"/>
        </w:rPr>
      </w:pPr>
      <w:r>
        <w:rPr>
          <w:rFonts w:ascii="Times New Roman" w:hAnsi="Times New Roman" w:cs="Times New Roman"/>
        </w:rPr>
        <w:t xml:space="preserve">Having considered the likely impact of the instrument and the nature of the applicable rights and freedoms, the ACMA has formed the view that the instrument does not engage any of those rights or freedoms.  </w:t>
      </w:r>
    </w:p>
    <w:p w14:paraId="76A7876C" w14:textId="77777777" w:rsidR="004C58B9" w:rsidRDefault="004C58B9" w:rsidP="004C58B9">
      <w:pPr>
        <w:rPr>
          <w:rFonts w:ascii="Times New Roman" w:hAnsi="Times New Roman" w:cs="Times New Roman"/>
          <w:b/>
          <w:i/>
        </w:rPr>
      </w:pPr>
      <w:r>
        <w:rPr>
          <w:rFonts w:ascii="Times New Roman" w:hAnsi="Times New Roman" w:cs="Times New Roman"/>
          <w:b/>
          <w:i/>
        </w:rPr>
        <w:t>Conclusion</w:t>
      </w:r>
    </w:p>
    <w:p w14:paraId="14033D5D" w14:textId="77777777" w:rsidR="004C58B9" w:rsidRDefault="004C58B9" w:rsidP="004C58B9">
      <w:pPr>
        <w:rPr>
          <w:rFonts w:ascii="Times New Roman" w:hAnsi="Times New Roman" w:cs="Times New Roman"/>
        </w:rPr>
      </w:pPr>
      <w:r>
        <w:rPr>
          <w:rFonts w:ascii="Times New Roman" w:hAnsi="Times New Roman" w:cs="Times New Roman"/>
        </w:rPr>
        <w:t>The instrument is compatible with human rights as it does not raise any human rights issues.</w:t>
      </w:r>
    </w:p>
    <w:p w14:paraId="5B55C777" w14:textId="77777777" w:rsidR="004C58B9" w:rsidRDefault="004C58B9" w:rsidP="004C58B9">
      <w:pPr>
        <w:rPr>
          <w:rFonts w:ascii="Times New Roman" w:hAnsi="Times New Roman" w:cs="Times New Roman"/>
        </w:rPr>
      </w:pPr>
    </w:p>
    <w:p w14:paraId="04D2004B" w14:textId="77777777" w:rsidR="004C58B9" w:rsidRDefault="004C58B9" w:rsidP="004C58B9">
      <w:pPr>
        <w:rPr>
          <w:rFonts w:ascii="Times New Roman" w:hAnsi="Times New Roman" w:cs="Times New Roman"/>
        </w:rPr>
      </w:pPr>
    </w:p>
    <w:p w14:paraId="0761EB7B" w14:textId="77777777" w:rsidR="004C58B9" w:rsidRDefault="004C58B9" w:rsidP="004C58B9">
      <w:pPr>
        <w:rPr>
          <w:rFonts w:ascii="Times New Roman" w:hAnsi="Times New Roman" w:cs="Times New Roman"/>
        </w:rPr>
      </w:pPr>
    </w:p>
    <w:p w14:paraId="529383EE" w14:textId="77777777" w:rsidR="004C58B9" w:rsidRDefault="004C58B9" w:rsidP="004C58B9">
      <w:pPr>
        <w:rPr>
          <w:rFonts w:ascii="Times New Roman" w:hAnsi="Times New Roman" w:cs="Times New Roman"/>
          <w:b/>
        </w:rPr>
      </w:pPr>
      <w:r>
        <w:rPr>
          <w:rFonts w:ascii="Times New Roman" w:hAnsi="Times New Roman" w:cs="Times New Roman"/>
          <w:b/>
        </w:rPr>
        <w:br w:type="page"/>
      </w:r>
    </w:p>
    <w:p w14:paraId="00392EC9" w14:textId="77777777" w:rsidR="004C58B9" w:rsidRDefault="004C58B9" w:rsidP="004C58B9">
      <w:pPr>
        <w:jc w:val="right"/>
        <w:rPr>
          <w:rFonts w:ascii="Times New Roman" w:hAnsi="Times New Roman" w:cs="Times New Roman"/>
          <w:b/>
          <w:sz w:val="28"/>
          <w:szCs w:val="28"/>
        </w:rPr>
      </w:pPr>
      <w:r>
        <w:rPr>
          <w:rFonts w:ascii="Times New Roman" w:hAnsi="Times New Roman" w:cs="Times New Roman"/>
          <w:b/>
          <w:sz w:val="28"/>
          <w:szCs w:val="28"/>
        </w:rPr>
        <w:lastRenderedPageBreak/>
        <w:t>Attachment A</w:t>
      </w:r>
    </w:p>
    <w:p w14:paraId="2CC48905" w14:textId="4DFDB452"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 xml:space="preserve">Notes to the </w:t>
      </w:r>
      <w:r w:rsidR="00CB64E6" w:rsidRPr="00CB64E6">
        <w:rPr>
          <w:rFonts w:ascii="Times New Roman" w:hAnsi="Times New Roman" w:cs="Times New Roman"/>
          <w:b/>
          <w:i/>
          <w:sz w:val="28"/>
          <w:szCs w:val="28"/>
        </w:rPr>
        <w:t>Radiocommunications (Trading Rules for Spectrum Licences) Determination 202</w:t>
      </w:r>
      <w:r w:rsidR="005C14D9">
        <w:rPr>
          <w:rFonts w:ascii="Times New Roman" w:hAnsi="Times New Roman" w:cs="Times New Roman"/>
          <w:b/>
          <w:i/>
          <w:sz w:val="28"/>
          <w:szCs w:val="28"/>
        </w:rPr>
        <w:t>3</w:t>
      </w:r>
    </w:p>
    <w:p w14:paraId="6A976F35" w14:textId="77777777" w:rsidR="004C58B9" w:rsidRDefault="004C58B9" w:rsidP="004C58B9">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79A86F52" w14:textId="2FB9A871" w:rsidR="00C93359" w:rsidRDefault="004C58B9" w:rsidP="0433CDF4">
      <w:pPr>
        <w:rPr>
          <w:rFonts w:ascii="Times New Roman" w:hAnsi="Times New Roman" w:cs="Times New Roman"/>
          <w:i/>
          <w:iCs/>
        </w:rPr>
      </w:pPr>
      <w:r w:rsidRPr="0433CDF4">
        <w:rPr>
          <w:rFonts w:ascii="Times New Roman" w:hAnsi="Times New Roman" w:cs="Times New Roman"/>
        </w:rPr>
        <w:t xml:space="preserve">This section provides </w:t>
      </w:r>
      <w:r w:rsidR="0032188D">
        <w:rPr>
          <w:rFonts w:ascii="Times New Roman" w:hAnsi="Times New Roman" w:cs="Times New Roman"/>
        </w:rPr>
        <w:t xml:space="preserve">for </w:t>
      </w:r>
      <w:r w:rsidR="005834BC" w:rsidRPr="0433CDF4">
        <w:rPr>
          <w:rFonts w:ascii="Times New Roman" w:hAnsi="Times New Roman" w:cs="Times New Roman"/>
        </w:rPr>
        <w:t xml:space="preserve">the </w:t>
      </w:r>
      <w:r w:rsidRPr="0433CDF4">
        <w:rPr>
          <w:rFonts w:ascii="Times New Roman" w:hAnsi="Times New Roman" w:cs="Times New Roman"/>
        </w:rPr>
        <w:t xml:space="preserve">instrument </w:t>
      </w:r>
      <w:r w:rsidR="00206782">
        <w:rPr>
          <w:rFonts w:ascii="Times New Roman" w:hAnsi="Times New Roman" w:cs="Times New Roman"/>
        </w:rPr>
        <w:t>to be cited as</w:t>
      </w:r>
      <w:r w:rsidRPr="0433CDF4">
        <w:rPr>
          <w:rFonts w:ascii="Times New Roman" w:hAnsi="Times New Roman" w:cs="Times New Roman"/>
        </w:rPr>
        <w:t xml:space="preserve"> the </w:t>
      </w:r>
      <w:r w:rsidR="00C93359" w:rsidRPr="0433CDF4">
        <w:rPr>
          <w:rFonts w:ascii="Times New Roman" w:hAnsi="Times New Roman" w:cs="Times New Roman"/>
          <w:i/>
          <w:iCs/>
        </w:rPr>
        <w:t>Radiocommunications (Trading Rules for Spectrum Licences) Determination 202</w:t>
      </w:r>
      <w:r w:rsidR="005C14D9">
        <w:rPr>
          <w:rFonts w:ascii="Times New Roman" w:hAnsi="Times New Roman" w:cs="Times New Roman"/>
          <w:i/>
          <w:iCs/>
        </w:rPr>
        <w:t>3</w:t>
      </w:r>
      <w:r w:rsidR="00C93359" w:rsidRPr="0433CDF4">
        <w:rPr>
          <w:rFonts w:ascii="Times New Roman" w:hAnsi="Times New Roman" w:cs="Times New Roman"/>
        </w:rPr>
        <w:t>.</w:t>
      </w:r>
    </w:p>
    <w:p w14:paraId="5A4825F8" w14:textId="1B53D1E8" w:rsidR="004C58B9" w:rsidRDefault="004C58B9" w:rsidP="004C58B9">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1CE591DC" w14:textId="77777777" w:rsidR="004C58B9" w:rsidRDefault="004C58B9" w:rsidP="004C58B9">
      <w:pPr>
        <w:rPr>
          <w:rFonts w:ascii="Times New Roman" w:hAnsi="Times New Roman" w:cs="Times New Roman"/>
        </w:rPr>
      </w:pPr>
      <w:r>
        <w:rPr>
          <w:rFonts w:ascii="Times New Roman" w:hAnsi="Times New Roman" w:cs="Times New Roman"/>
        </w:rPr>
        <w:t xml:space="preserve">This section provides for the instrument to commence at the start of the day after the day it is registered on the Federal Register of Legislation.  </w:t>
      </w:r>
    </w:p>
    <w:p w14:paraId="1CCE7953" w14:textId="77777777" w:rsidR="004C58B9" w:rsidRDefault="004C58B9" w:rsidP="004C58B9">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38112A89" w14:textId="76FB65EE" w:rsidR="004C58B9" w:rsidRDefault="004C58B9" w:rsidP="004C58B9">
      <w:pPr>
        <w:rPr>
          <w:rFonts w:ascii="Times New Roman" w:hAnsi="Times New Roman" w:cs="Times New Roman"/>
        </w:rPr>
      </w:pPr>
      <w:r>
        <w:rPr>
          <w:rFonts w:ascii="Times New Roman" w:hAnsi="Times New Roman" w:cs="Times New Roman"/>
        </w:rPr>
        <w:t xml:space="preserve">This section identifies the provision of the Act that authorises the making of the instrument, namely </w:t>
      </w:r>
      <w:r w:rsidR="00D94CC3">
        <w:rPr>
          <w:rFonts w:ascii="Times New Roman" w:hAnsi="Times New Roman" w:cs="Times New Roman"/>
        </w:rPr>
        <w:t>subsection 88(1)</w:t>
      </w:r>
      <w:r>
        <w:rPr>
          <w:rFonts w:ascii="Times New Roman" w:hAnsi="Times New Roman" w:cs="Times New Roman"/>
        </w:rPr>
        <w:t xml:space="preserve"> of the</w:t>
      </w:r>
      <w:r w:rsidR="00206782">
        <w:rPr>
          <w:rFonts w:ascii="Times New Roman" w:hAnsi="Times New Roman" w:cs="Times New Roman"/>
        </w:rPr>
        <w:t xml:space="preserve"> Act</w:t>
      </w:r>
      <w:r>
        <w:rPr>
          <w:rFonts w:ascii="Times New Roman" w:hAnsi="Times New Roman" w:cs="Times New Roman"/>
        </w:rPr>
        <w:t>.</w:t>
      </w:r>
    </w:p>
    <w:p w14:paraId="0599AB41" w14:textId="12D8938B" w:rsidR="004C58B9" w:rsidRDefault="004C58B9" w:rsidP="004C58B9">
      <w:pPr>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t>Repeal</w:t>
      </w:r>
    </w:p>
    <w:p w14:paraId="734B9C26" w14:textId="7F4C1AA9" w:rsidR="004C58B9" w:rsidRDefault="004C58B9" w:rsidP="004C58B9">
      <w:pPr>
        <w:rPr>
          <w:rFonts w:ascii="Times New Roman" w:hAnsi="Times New Roman" w:cs="Times New Roman"/>
        </w:rPr>
      </w:pPr>
      <w:r w:rsidRPr="0433CDF4">
        <w:rPr>
          <w:rFonts w:ascii="Times New Roman" w:hAnsi="Times New Roman" w:cs="Times New Roman"/>
        </w:rPr>
        <w:t xml:space="preserve">This section </w:t>
      </w:r>
      <w:r w:rsidR="00121965" w:rsidRPr="0433CDF4">
        <w:rPr>
          <w:rFonts w:ascii="Times New Roman" w:hAnsi="Times New Roman" w:cs="Times New Roman"/>
        </w:rPr>
        <w:t>repeals</w:t>
      </w:r>
      <w:r w:rsidRPr="0433CDF4">
        <w:rPr>
          <w:rFonts w:ascii="Times New Roman" w:hAnsi="Times New Roman" w:cs="Times New Roman"/>
        </w:rPr>
        <w:t xml:space="preserve"> the </w:t>
      </w:r>
      <w:r w:rsidR="00DC325E" w:rsidRPr="0433CDF4">
        <w:rPr>
          <w:rFonts w:ascii="Times New Roman" w:hAnsi="Times New Roman" w:cs="Times New Roman"/>
          <w:i/>
          <w:iCs/>
        </w:rPr>
        <w:t xml:space="preserve">Radiocommunications (Trading Rules for Spectrum Licences) Determination 2012 </w:t>
      </w:r>
      <w:r w:rsidR="006C2573" w:rsidRPr="0433CDF4">
        <w:rPr>
          <w:rFonts w:ascii="Times New Roman" w:hAnsi="Times New Roman" w:cs="Times New Roman"/>
        </w:rPr>
        <w:t>[</w:t>
      </w:r>
      <w:r w:rsidR="00DC325E" w:rsidRPr="0433CDF4">
        <w:rPr>
          <w:rFonts w:ascii="Times New Roman" w:hAnsi="Times New Roman" w:cs="Times New Roman"/>
        </w:rPr>
        <w:t>F2012L01718</w:t>
      </w:r>
      <w:r w:rsidR="006C2573" w:rsidRPr="0433CDF4">
        <w:rPr>
          <w:rFonts w:ascii="Times New Roman" w:hAnsi="Times New Roman" w:cs="Times New Roman"/>
        </w:rPr>
        <w:t>]</w:t>
      </w:r>
      <w:r w:rsidRPr="0433CDF4">
        <w:rPr>
          <w:rFonts w:ascii="Times New Roman" w:hAnsi="Times New Roman" w:cs="Times New Roman"/>
        </w:rPr>
        <w:t>.</w:t>
      </w:r>
    </w:p>
    <w:p w14:paraId="092F5492" w14:textId="1031BB42" w:rsidR="004C58B9" w:rsidRDefault="004C58B9" w:rsidP="004C58B9">
      <w:pPr>
        <w:rPr>
          <w:rFonts w:ascii="Times New Roman" w:hAnsi="Times New Roman" w:cs="Times New Roman"/>
          <w:b/>
        </w:rPr>
      </w:pPr>
      <w:r>
        <w:rPr>
          <w:rFonts w:ascii="Times New Roman" w:hAnsi="Times New Roman" w:cs="Times New Roman"/>
          <w:b/>
        </w:rPr>
        <w:t xml:space="preserve">Section </w:t>
      </w:r>
      <w:r w:rsidR="002915F8">
        <w:rPr>
          <w:rFonts w:ascii="Times New Roman" w:hAnsi="Times New Roman" w:cs="Times New Roman"/>
          <w:b/>
        </w:rPr>
        <w:t>5</w:t>
      </w:r>
      <w:r>
        <w:rPr>
          <w:rFonts w:ascii="Times New Roman" w:hAnsi="Times New Roman" w:cs="Times New Roman"/>
          <w:b/>
        </w:rPr>
        <w:tab/>
      </w:r>
      <w:r w:rsidR="002915F8" w:rsidRPr="002915F8">
        <w:rPr>
          <w:rFonts w:ascii="Times New Roman" w:hAnsi="Times New Roman" w:cs="Times New Roman"/>
          <w:b/>
        </w:rPr>
        <w:t>Interpretation</w:t>
      </w:r>
    </w:p>
    <w:p w14:paraId="6A65622D" w14:textId="7438CCAC" w:rsidR="004C58B9" w:rsidRDefault="004C58B9" w:rsidP="004C58B9">
      <w:pPr>
        <w:rPr>
          <w:rFonts w:ascii="Times New Roman" w:hAnsi="Times New Roman" w:cs="Times New Roman"/>
        </w:rPr>
      </w:pPr>
      <w:r>
        <w:rPr>
          <w:rFonts w:ascii="Times New Roman" w:hAnsi="Times New Roman" w:cs="Times New Roman"/>
        </w:rPr>
        <w:t xml:space="preserve">This section defines a number of key terms used throughout the </w:t>
      </w:r>
      <w:r w:rsidR="007C2A50">
        <w:rPr>
          <w:rFonts w:ascii="Times New Roman" w:hAnsi="Times New Roman" w:cs="Times New Roman"/>
        </w:rPr>
        <w:t>instrument</w:t>
      </w:r>
      <w:r>
        <w:rPr>
          <w:rFonts w:ascii="Times New Roman" w:hAnsi="Times New Roman" w:cs="Times New Roman"/>
        </w:rPr>
        <w:t>. A number of other expressions used in the instrument are defined in the Act.</w:t>
      </w:r>
    </w:p>
    <w:p w14:paraId="4E744EA9" w14:textId="64364215" w:rsidR="004C58B9" w:rsidRDefault="004C58B9" w:rsidP="004C58B9">
      <w:pPr>
        <w:rPr>
          <w:rFonts w:ascii="Times New Roman" w:hAnsi="Times New Roman" w:cs="Times New Roman"/>
          <w:b/>
        </w:rPr>
      </w:pPr>
      <w:r>
        <w:rPr>
          <w:rFonts w:ascii="Times New Roman" w:hAnsi="Times New Roman" w:cs="Times New Roman"/>
          <w:b/>
        </w:rPr>
        <w:t xml:space="preserve">Section </w:t>
      </w:r>
      <w:r w:rsidR="00115DAF">
        <w:rPr>
          <w:rFonts w:ascii="Times New Roman" w:hAnsi="Times New Roman" w:cs="Times New Roman"/>
          <w:b/>
        </w:rPr>
        <w:t>6</w:t>
      </w:r>
      <w:r>
        <w:rPr>
          <w:rFonts w:ascii="Times New Roman" w:hAnsi="Times New Roman" w:cs="Times New Roman"/>
          <w:b/>
        </w:rPr>
        <w:tab/>
        <w:t>References to other instruments</w:t>
      </w:r>
    </w:p>
    <w:p w14:paraId="5EFA7BF7" w14:textId="4210E72F" w:rsidR="004C58B9" w:rsidRDefault="004C58B9" w:rsidP="004C58B9">
      <w:pPr>
        <w:spacing w:after="40"/>
        <w:rPr>
          <w:rFonts w:ascii="Times New Roman" w:hAnsi="Times New Roman" w:cs="Times New Roman"/>
        </w:rPr>
      </w:pPr>
      <w:r>
        <w:rPr>
          <w:rFonts w:ascii="Times New Roman" w:hAnsi="Times New Roman" w:cs="Times New Roman"/>
        </w:rPr>
        <w:t xml:space="preserve">This section provides that in the </w:t>
      </w:r>
      <w:r w:rsidR="00665E9B">
        <w:rPr>
          <w:rFonts w:ascii="Times New Roman" w:hAnsi="Times New Roman" w:cs="Times New Roman"/>
        </w:rPr>
        <w:t>instrument</w:t>
      </w:r>
      <w:r>
        <w:rPr>
          <w:rFonts w:ascii="Times New Roman" w:hAnsi="Times New Roman" w:cs="Times New Roman"/>
        </w:rPr>
        <w:t>, unless the contrary intention appears:</w:t>
      </w:r>
    </w:p>
    <w:p w14:paraId="4A729303" w14:textId="77777777" w:rsidR="004C58B9" w:rsidRDefault="004C58B9" w:rsidP="004C58B9">
      <w:pPr>
        <w:pStyle w:val="ListParagraph"/>
        <w:numPr>
          <w:ilvl w:val="0"/>
          <w:numId w:val="15"/>
        </w:numPr>
        <w:rPr>
          <w:rFonts w:ascii="Times New Roman" w:hAnsi="Times New Roman" w:cs="Times New Roman"/>
        </w:rPr>
      </w:pPr>
      <w:r>
        <w:rPr>
          <w:rFonts w:ascii="Times New Roman" w:hAnsi="Times New Roman" w:cs="Times New Roman"/>
        </w:rPr>
        <w:t>a reference to any other legislative instrument is a reference to that other legislative instrument as in force from time to time; and</w:t>
      </w:r>
    </w:p>
    <w:p w14:paraId="287EC397" w14:textId="1083ECD0" w:rsidR="004C58B9" w:rsidRDefault="004C58B9" w:rsidP="004C58B9">
      <w:pPr>
        <w:pStyle w:val="ListParagraph"/>
        <w:numPr>
          <w:ilvl w:val="0"/>
          <w:numId w:val="15"/>
        </w:numPr>
        <w:rPr>
          <w:rFonts w:ascii="Times New Roman" w:hAnsi="Times New Roman" w:cs="Times New Roman"/>
        </w:rPr>
      </w:pPr>
      <w:r w:rsidRPr="0433CDF4">
        <w:rPr>
          <w:rFonts w:ascii="Times New Roman" w:hAnsi="Times New Roman" w:cs="Times New Roman"/>
        </w:rPr>
        <w:t xml:space="preserve">a reference to any other kind of instrument </w:t>
      </w:r>
      <w:r w:rsidR="000B71C4" w:rsidRPr="0433CDF4">
        <w:rPr>
          <w:rFonts w:ascii="Times New Roman" w:hAnsi="Times New Roman" w:cs="Times New Roman"/>
        </w:rPr>
        <w:t xml:space="preserve">or writing </w:t>
      </w:r>
      <w:r w:rsidRPr="0433CDF4">
        <w:rPr>
          <w:rFonts w:ascii="Times New Roman" w:hAnsi="Times New Roman" w:cs="Times New Roman"/>
        </w:rPr>
        <w:t xml:space="preserve">is a reference to that other instrument </w:t>
      </w:r>
      <w:r w:rsidR="00AC6D92" w:rsidRPr="0433CDF4">
        <w:rPr>
          <w:rFonts w:ascii="Times New Roman" w:hAnsi="Times New Roman" w:cs="Times New Roman"/>
        </w:rPr>
        <w:t xml:space="preserve">or writing </w:t>
      </w:r>
      <w:r w:rsidRPr="0433CDF4">
        <w:rPr>
          <w:rFonts w:ascii="Times New Roman" w:hAnsi="Times New Roman" w:cs="Times New Roman"/>
        </w:rPr>
        <w:t>as in force</w:t>
      </w:r>
      <w:r w:rsidR="00AC6D92" w:rsidRPr="0433CDF4">
        <w:rPr>
          <w:rFonts w:ascii="Times New Roman" w:hAnsi="Times New Roman" w:cs="Times New Roman"/>
        </w:rPr>
        <w:t xml:space="preserve"> or </w:t>
      </w:r>
      <w:r w:rsidR="00011565" w:rsidRPr="0433CDF4">
        <w:rPr>
          <w:rFonts w:ascii="Times New Roman" w:hAnsi="Times New Roman" w:cs="Times New Roman"/>
        </w:rPr>
        <w:t>existing</w:t>
      </w:r>
      <w:r w:rsidRPr="0433CDF4">
        <w:rPr>
          <w:rFonts w:ascii="Times New Roman" w:hAnsi="Times New Roman" w:cs="Times New Roman"/>
        </w:rPr>
        <w:t xml:space="preserve"> from time to time.</w:t>
      </w:r>
    </w:p>
    <w:p w14:paraId="1834FBE4" w14:textId="3805B8D2" w:rsidR="004C58B9" w:rsidRDefault="004C58B9" w:rsidP="004C58B9">
      <w:pPr>
        <w:rPr>
          <w:rFonts w:ascii="Times New Roman" w:hAnsi="Times New Roman" w:cs="Times New Roman"/>
          <w:b/>
        </w:rPr>
      </w:pPr>
      <w:r>
        <w:rPr>
          <w:rFonts w:ascii="Times New Roman" w:hAnsi="Times New Roman" w:cs="Times New Roman"/>
          <w:b/>
        </w:rPr>
        <w:t xml:space="preserve">Section </w:t>
      </w:r>
      <w:r w:rsidR="00DA5A98">
        <w:rPr>
          <w:rFonts w:ascii="Times New Roman" w:hAnsi="Times New Roman" w:cs="Times New Roman"/>
          <w:b/>
        </w:rPr>
        <w:t>7</w:t>
      </w:r>
      <w:r>
        <w:rPr>
          <w:rFonts w:ascii="Times New Roman" w:hAnsi="Times New Roman" w:cs="Times New Roman"/>
          <w:b/>
        </w:rPr>
        <w:tab/>
      </w:r>
      <w:r w:rsidR="00DA5A98" w:rsidRPr="00DA5A98">
        <w:rPr>
          <w:rFonts w:ascii="Times New Roman" w:hAnsi="Times New Roman" w:cs="Times New Roman"/>
          <w:b/>
        </w:rPr>
        <w:t>Application</w:t>
      </w:r>
    </w:p>
    <w:p w14:paraId="4987C074" w14:textId="65A8548C" w:rsidR="00454A0D" w:rsidRDefault="00454A0D" w:rsidP="004C58B9">
      <w:pPr>
        <w:rPr>
          <w:rFonts w:ascii="Times New Roman" w:hAnsi="Times New Roman" w:cs="Times New Roman"/>
        </w:rPr>
      </w:pPr>
      <w:r w:rsidRPr="0433CDF4">
        <w:rPr>
          <w:rFonts w:ascii="Times New Roman" w:hAnsi="Times New Roman" w:cs="Times New Roman"/>
        </w:rPr>
        <w:t xml:space="preserve">This section provides that </w:t>
      </w:r>
      <w:r w:rsidR="001630CE" w:rsidRPr="0433CDF4">
        <w:rPr>
          <w:rFonts w:ascii="Times New Roman" w:hAnsi="Times New Roman" w:cs="Times New Roman"/>
        </w:rPr>
        <w:t xml:space="preserve">the </w:t>
      </w:r>
      <w:r w:rsidR="00665E9B">
        <w:rPr>
          <w:rFonts w:ascii="Times New Roman" w:hAnsi="Times New Roman" w:cs="Times New Roman"/>
        </w:rPr>
        <w:t>instrument</w:t>
      </w:r>
      <w:r w:rsidR="00665E9B" w:rsidRPr="0433CDF4">
        <w:rPr>
          <w:rFonts w:ascii="Times New Roman" w:hAnsi="Times New Roman" w:cs="Times New Roman"/>
        </w:rPr>
        <w:t xml:space="preserve"> </w:t>
      </w:r>
      <w:r w:rsidR="006428E0" w:rsidRPr="0433CDF4">
        <w:rPr>
          <w:rFonts w:ascii="Times New Roman" w:hAnsi="Times New Roman" w:cs="Times New Roman"/>
        </w:rPr>
        <w:t>does not apply to the assignment of certain spectrum licences</w:t>
      </w:r>
      <w:r w:rsidR="00034A77" w:rsidRPr="0433CDF4">
        <w:rPr>
          <w:rFonts w:ascii="Times New Roman" w:hAnsi="Times New Roman" w:cs="Times New Roman"/>
        </w:rPr>
        <w:t xml:space="preserve"> issued to the Department of Defence. </w:t>
      </w:r>
      <w:r w:rsidR="00360916">
        <w:rPr>
          <w:rFonts w:ascii="Times New Roman" w:hAnsi="Times New Roman" w:cs="Times New Roman"/>
        </w:rPr>
        <w:t>At the time the instrument was made, t</w:t>
      </w:r>
      <w:r w:rsidR="00980A8A" w:rsidRPr="0433CDF4">
        <w:rPr>
          <w:rFonts w:ascii="Times New Roman" w:hAnsi="Times New Roman" w:cs="Times New Roman"/>
        </w:rPr>
        <w:t xml:space="preserve">rading </w:t>
      </w:r>
      <w:r w:rsidR="009911FF" w:rsidRPr="0433CDF4">
        <w:rPr>
          <w:rFonts w:ascii="Times New Roman" w:hAnsi="Times New Roman" w:cs="Times New Roman"/>
        </w:rPr>
        <w:t>rules for</w:t>
      </w:r>
      <w:r w:rsidR="00980A8A" w:rsidRPr="0433CDF4">
        <w:rPr>
          <w:rFonts w:ascii="Times New Roman" w:hAnsi="Times New Roman" w:cs="Times New Roman"/>
        </w:rPr>
        <w:t xml:space="preserve"> those spectrum licences </w:t>
      </w:r>
      <w:r w:rsidR="00A06882">
        <w:rPr>
          <w:rFonts w:ascii="Times New Roman" w:hAnsi="Times New Roman" w:cs="Times New Roman"/>
        </w:rPr>
        <w:t>we</w:t>
      </w:r>
      <w:r w:rsidR="009911FF" w:rsidRPr="0433CDF4">
        <w:rPr>
          <w:rFonts w:ascii="Times New Roman" w:hAnsi="Times New Roman" w:cs="Times New Roman"/>
        </w:rPr>
        <w:t>re</w:t>
      </w:r>
      <w:r w:rsidR="00980A8A" w:rsidRPr="0433CDF4">
        <w:rPr>
          <w:rFonts w:ascii="Times New Roman" w:hAnsi="Times New Roman" w:cs="Times New Roman"/>
        </w:rPr>
        <w:t xml:space="preserve"> </w:t>
      </w:r>
      <w:r w:rsidR="009911FF" w:rsidRPr="0433CDF4">
        <w:rPr>
          <w:rFonts w:ascii="Times New Roman" w:hAnsi="Times New Roman" w:cs="Times New Roman"/>
        </w:rPr>
        <w:t>specified</w:t>
      </w:r>
      <w:r w:rsidR="00980A8A" w:rsidRPr="0433CDF4">
        <w:rPr>
          <w:rFonts w:ascii="Times New Roman" w:hAnsi="Times New Roman" w:cs="Times New Roman"/>
        </w:rPr>
        <w:t xml:space="preserve"> </w:t>
      </w:r>
      <w:r w:rsidR="009911FF" w:rsidRPr="0433CDF4">
        <w:rPr>
          <w:rFonts w:ascii="Times New Roman" w:hAnsi="Times New Roman" w:cs="Times New Roman"/>
        </w:rPr>
        <w:t xml:space="preserve">in </w:t>
      </w:r>
      <w:r w:rsidR="00980A8A" w:rsidRPr="0433CDF4">
        <w:rPr>
          <w:rFonts w:ascii="Times New Roman" w:hAnsi="Times New Roman" w:cs="Times New Roman"/>
        </w:rPr>
        <w:t xml:space="preserve">the </w:t>
      </w:r>
      <w:r w:rsidR="0089685B" w:rsidRPr="0433CDF4">
        <w:rPr>
          <w:rFonts w:ascii="Times New Roman" w:hAnsi="Times New Roman" w:cs="Times New Roman"/>
          <w:i/>
          <w:iCs/>
        </w:rPr>
        <w:t>Radiocommunications (Trading Rules for Defence Spectrum Licences) Determination 2015</w:t>
      </w:r>
      <w:r w:rsidR="0089685B" w:rsidRPr="0433CDF4">
        <w:rPr>
          <w:rFonts w:ascii="Times New Roman" w:hAnsi="Times New Roman" w:cs="Times New Roman"/>
        </w:rPr>
        <w:t>.</w:t>
      </w:r>
    </w:p>
    <w:p w14:paraId="5839CA1F" w14:textId="56333489" w:rsidR="004C58B9" w:rsidRDefault="004C58B9" w:rsidP="004C58B9">
      <w:pPr>
        <w:rPr>
          <w:rFonts w:ascii="Times New Roman" w:hAnsi="Times New Roman" w:cs="Times New Roman"/>
          <w:b/>
        </w:rPr>
      </w:pPr>
      <w:r>
        <w:rPr>
          <w:rFonts w:ascii="Times New Roman" w:hAnsi="Times New Roman" w:cs="Times New Roman"/>
          <w:b/>
        </w:rPr>
        <w:t xml:space="preserve">Section </w:t>
      </w:r>
      <w:r w:rsidR="00115DAF">
        <w:rPr>
          <w:rFonts w:ascii="Times New Roman" w:hAnsi="Times New Roman" w:cs="Times New Roman"/>
          <w:b/>
        </w:rPr>
        <w:t>8</w:t>
      </w:r>
      <w:r>
        <w:rPr>
          <w:rFonts w:ascii="Times New Roman" w:hAnsi="Times New Roman" w:cs="Times New Roman"/>
          <w:b/>
        </w:rPr>
        <w:tab/>
      </w:r>
      <w:r w:rsidR="00115DAF" w:rsidRPr="00115DAF">
        <w:rPr>
          <w:rFonts w:ascii="Times New Roman" w:hAnsi="Times New Roman" w:cs="Times New Roman"/>
          <w:b/>
        </w:rPr>
        <w:t>Provision of information about assignments</w:t>
      </w:r>
    </w:p>
    <w:p w14:paraId="30FADAC5" w14:textId="71EFF7EB" w:rsidR="004C58B9" w:rsidRDefault="00922FBF" w:rsidP="0433CDF4">
      <w:pPr>
        <w:rPr>
          <w:rFonts w:ascii="Times New Roman" w:hAnsi="Times New Roman" w:cs="Times New Roman"/>
          <w:b/>
          <w:bCs/>
        </w:rPr>
      </w:pPr>
      <w:r w:rsidRPr="0433CDF4">
        <w:rPr>
          <w:rFonts w:ascii="Times New Roman" w:hAnsi="Times New Roman" w:cs="Times New Roman"/>
        </w:rPr>
        <w:t xml:space="preserve">This section </w:t>
      </w:r>
      <w:r w:rsidR="000300E0" w:rsidRPr="0433CDF4">
        <w:rPr>
          <w:rFonts w:ascii="Times New Roman" w:hAnsi="Times New Roman" w:cs="Times New Roman"/>
        </w:rPr>
        <w:t xml:space="preserve">provides </w:t>
      </w:r>
      <w:r w:rsidR="005E6B55" w:rsidRPr="0433CDF4">
        <w:rPr>
          <w:rFonts w:ascii="Times New Roman" w:hAnsi="Times New Roman" w:cs="Times New Roman"/>
        </w:rPr>
        <w:t xml:space="preserve">that </w:t>
      </w:r>
      <w:r w:rsidR="009B7961" w:rsidRPr="0433CDF4">
        <w:rPr>
          <w:rFonts w:ascii="Times New Roman" w:hAnsi="Times New Roman" w:cs="Times New Roman"/>
        </w:rPr>
        <w:t>the ACMA must approve a form</w:t>
      </w:r>
      <w:r w:rsidR="00360916">
        <w:rPr>
          <w:rFonts w:ascii="Times New Roman" w:hAnsi="Times New Roman" w:cs="Times New Roman"/>
        </w:rPr>
        <w:t xml:space="preserve"> to be used by parties to an assignment of a spectrum </w:t>
      </w:r>
      <w:proofErr w:type="gramStart"/>
      <w:r w:rsidR="00360916">
        <w:rPr>
          <w:rFonts w:ascii="Times New Roman" w:hAnsi="Times New Roman" w:cs="Times New Roman"/>
        </w:rPr>
        <w:t>licence,</w:t>
      </w:r>
      <w:r w:rsidR="005E6B55" w:rsidRPr="0433CDF4">
        <w:rPr>
          <w:rFonts w:ascii="Times New Roman" w:hAnsi="Times New Roman" w:cs="Times New Roman"/>
        </w:rPr>
        <w:t xml:space="preserve"> and</w:t>
      </w:r>
      <w:proofErr w:type="gramEnd"/>
      <w:r w:rsidR="005E6B55" w:rsidRPr="0433CDF4">
        <w:rPr>
          <w:rFonts w:ascii="Times New Roman" w:hAnsi="Times New Roman" w:cs="Times New Roman"/>
        </w:rPr>
        <w:t xml:space="preserve"> outlines the kinds of information that must be included in </w:t>
      </w:r>
      <w:r w:rsidR="00927B69" w:rsidRPr="0433CDF4">
        <w:rPr>
          <w:rFonts w:ascii="Times New Roman" w:hAnsi="Times New Roman" w:cs="Times New Roman"/>
        </w:rPr>
        <w:t>the</w:t>
      </w:r>
      <w:r w:rsidR="005E6B55" w:rsidRPr="0433CDF4">
        <w:rPr>
          <w:rFonts w:ascii="Times New Roman" w:hAnsi="Times New Roman" w:cs="Times New Roman"/>
        </w:rPr>
        <w:t xml:space="preserve"> </w:t>
      </w:r>
      <w:r w:rsidR="00511F89">
        <w:rPr>
          <w:rFonts w:ascii="Times New Roman" w:hAnsi="Times New Roman" w:cs="Times New Roman"/>
        </w:rPr>
        <w:t xml:space="preserve">trading </w:t>
      </w:r>
      <w:r w:rsidR="005E6B55" w:rsidRPr="0433CDF4">
        <w:rPr>
          <w:rFonts w:ascii="Times New Roman" w:hAnsi="Times New Roman" w:cs="Times New Roman"/>
        </w:rPr>
        <w:t>form.</w:t>
      </w:r>
      <w:r w:rsidR="00927B69" w:rsidRPr="0433CDF4">
        <w:rPr>
          <w:rFonts w:ascii="Times New Roman" w:hAnsi="Times New Roman" w:cs="Times New Roman"/>
        </w:rPr>
        <w:t xml:space="preserve"> The parties to a</w:t>
      </w:r>
      <w:r w:rsidR="00360916">
        <w:rPr>
          <w:rFonts w:ascii="Times New Roman" w:hAnsi="Times New Roman" w:cs="Times New Roman"/>
        </w:rPr>
        <w:t>n assignment</w:t>
      </w:r>
      <w:r w:rsidR="00927B69" w:rsidRPr="0433CDF4">
        <w:rPr>
          <w:rFonts w:ascii="Times New Roman" w:hAnsi="Times New Roman" w:cs="Times New Roman"/>
        </w:rPr>
        <w:t xml:space="preserve"> must give the ACMA </w:t>
      </w:r>
      <w:r w:rsidR="001B084E" w:rsidRPr="0433CDF4">
        <w:rPr>
          <w:rFonts w:ascii="Times New Roman" w:hAnsi="Times New Roman" w:cs="Times New Roman"/>
        </w:rPr>
        <w:t xml:space="preserve">a copy of the </w:t>
      </w:r>
      <w:r w:rsidR="00927B69" w:rsidRPr="0433CDF4">
        <w:rPr>
          <w:rFonts w:ascii="Times New Roman" w:hAnsi="Times New Roman" w:cs="Times New Roman"/>
        </w:rPr>
        <w:t>trading form</w:t>
      </w:r>
      <w:r w:rsidR="00FF1A28" w:rsidRPr="0433CDF4">
        <w:rPr>
          <w:rFonts w:ascii="Times New Roman" w:hAnsi="Times New Roman" w:cs="Times New Roman"/>
        </w:rPr>
        <w:t xml:space="preserve"> with the required information. It also includes transitional provisions </w:t>
      </w:r>
      <w:r w:rsidR="00360916">
        <w:rPr>
          <w:rFonts w:ascii="Times New Roman" w:hAnsi="Times New Roman" w:cs="Times New Roman"/>
        </w:rPr>
        <w:t>that allow the parties to</w:t>
      </w:r>
      <w:r w:rsidR="00CF435D" w:rsidRPr="0433CDF4">
        <w:rPr>
          <w:rFonts w:ascii="Times New Roman" w:hAnsi="Times New Roman" w:cs="Times New Roman"/>
        </w:rPr>
        <w:t xml:space="preserve"> use</w:t>
      </w:r>
      <w:r w:rsidR="005C14D9">
        <w:rPr>
          <w:rFonts w:ascii="Times New Roman" w:hAnsi="Times New Roman" w:cs="Times New Roman"/>
        </w:rPr>
        <w:t xml:space="preserve"> the</w:t>
      </w:r>
      <w:r w:rsidR="00CF435D" w:rsidRPr="0433CDF4">
        <w:rPr>
          <w:rFonts w:ascii="Times New Roman" w:hAnsi="Times New Roman" w:cs="Times New Roman"/>
        </w:rPr>
        <w:t xml:space="preserve"> form </w:t>
      </w:r>
      <w:r w:rsidR="00360916">
        <w:rPr>
          <w:rFonts w:ascii="Times New Roman" w:hAnsi="Times New Roman" w:cs="Times New Roman"/>
        </w:rPr>
        <w:t xml:space="preserve">approved under the 2012 instrument, </w:t>
      </w:r>
      <w:r w:rsidR="00CF435D" w:rsidRPr="0433CDF4">
        <w:rPr>
          <w:rFonts w:ascii="Times New Roman" w:hAnsi="Times New Roman" w:cs="Times New Roman"/>
        </w:rPr>
        <w:t xml:space="preserve">until the new form is </w:t>
      </w:r>
      <w:r w:rsidR="00360916">
        <w:rPr>
          <w:rFonts w:ascii="Times New Roman" w:hAnsi="Times New Roman" w:cs="Times New Roman"/>
        </w:rPr>
        <w:t>approved</w:t>
      </w:r>
      <w:r w:rsidR="00CF435D" w:rsidRPr="0433CDF4">
        <w:rPr>
          <w:rFonts w:ascii="Times New Roman" w:hAnsi="Times New Roman" w:cs="Times New Roman"/>
        </w:rPr>
        <w:t>.</w:t>
      </w:r>
    </w:p>
    <w:p w14:paraId="22A78EDC" w14:textId="447E6A39" w:rsidR="004C58B9" w:rsidRDefault="004C58B9" w:rsidP="001B5C52">
      <w:pPr>
        <w:keepNext/>
        <w:spacing w:line="257" w:lineRule="auto"/>
        <w:rPr>
          <w:rFonts w:ascii="Times New Roman" w:hAnsi="Times New Roman" w:cs="Times New Roman"/>
          <w:b/>
        </w:rPr>
      </w:pPr>
      <w:r>
        <w:rPr>
          <w:rFonts w:ascii="Times New Roman" w:hAnsi="Times New Roman" w:cs="Times New Roman"/>
          <w:b/>
        </w:rPr>
        <w:lastRenderedPageBreak/>
        <w:t xml:space="preserve">Section </w:t>
      </w:r>
      <w:r w:rsidR="001F34E6">
        <w:rPr>
          <w:rFonts w:ascii="Times New Roman" w:hAnsi="Times New Roman" w:cs="Times New Roman"/>
          <w:b/>
        </w:rPr>
        <w:t>9</w:t>
      </w:r>
      <w:r>
        <w:rPr>
          <w:rFonts w:ascii="Times New Roman" w:hAnsi="Times New Roman" w:cs="Times New Roman"/>
          <w:b/>
        </w:rPr>
        <w:tab/>
      </w:r>
      <w:r w:rsidR="001F34E6" w:rsidRPr="001F34E6">
        <w:rPr>
          <w:rFonts w:ascii="Times New Roman" w:hAnsi="Times New Roman" w:cs="Times New Roman"/>
          <w:b/>
        </w:rPr>
        <w:t>Rules about assignments</w:t>
      </w:r>
    </w:p>
    <w:p w14:paraId="2705D123" w14:textId="4C6F4DA0" w:rsidR="008A4FAE" w:rsidRDefault="008A4FAE" w:rsidP="004C58B9">
      <w:pPr>
        <w:rPr>
          <w:rFonts w:ascii="Times New Roman" w:hAnsi="Times New Roman" w:cs="Times New Roman"/>
        </w:rPr>
      </w:pPr>
      <w:r>
        <w:rPr>
          <w:rFonts w:ascii="Times New Roman" w:hAnsi="Times New Roman" w:cs="Times New Roman"/>
        </w:rPr>
        <w:t>This section sets out the rules that an assignment of a spectrum licence</w:t>
      </w:r>
      <w:r w:rsidR="0094572D">
        <w:rPr>
          <w:rFonts w:ascii="Times New Roman" w:hAnsi="Times New Roman" w:cs="Times New Roman"/>
        </w:rPr>
        <w:t xml:space="preserve"> must comply with, as required by subsection 85(2) of the Act.</w:t>
      </w:r>
    </w:p>
    <w:p w14:paraId="2E9CC0B1" w14:textId="207D53FC" w:rsidR="00653827" w:rsidRDefault="6481F87C" w:rsidP="004C58B9">
      <w:pPr>
        <w:rPr>
          <w:rFonts w:ascii="Times New Roman" w:hAnsi="Times New Roman" w:cs="Times New Roman"/>
        </w:rPr>
      </w:pPr>
      <w:r w:rsidRPr="0433CDF4">
        <w:rPr>
          <w:rFonts w:ascii="Times New Roman" w:hAnsi="Times New Roman" w:cs="Times New Roman"/>
        </w:rPr>
        <w:t>Subsection (1)</w:t>
      </w:r>
      <w:r w:rsidR="001F34E6" w:rsidRPr="0433CDF4">
        <w:rPr>
          <w:rFonts w:ascii="Times New Roman" w:hAnsi="Times New Roman" w:cs="Times New Roman"/>
        </w:rPr>
        <w:t xml:space="preserve"> provides </w:t>
      </w:r>
      <w:r w:rsidR="4D5D0B06" w:rsidRPr="0433CDF4">
        <w:rPr>
          <w:rFonts w:ascii="Times New Roman" w:hAnsi="Times New Roman" w:cs="Times New Roman"/>
        </w:rPr>
        <w:t xml:space="preserve">that </w:t>
      </w:r>
      <w:r w:rsidR="00FB6603" w:rsidRPr="0433CDF4">
        <w:rPr>
          <w:rFonts w:ascii="Times New Roman" w:hAnsi="Times New Roman" w:cs="Times New Roman"/>
        </w:rPr>
        <w:t xml:space="preserve">the </w:t>
      </w:r>
      <w:r w:rsidR="49DCE877" w:rsidRPr="0433CDF4">
        <w:rPr>
          <w:rFonts w:ascii="Times New Roman" w:hAnsi="Times New Roman" w:cs="Times New Roman"/>
        </w:rPr>
        <w:t>assignment of part of a spectrum licence must be for one or more</w:t>
      </w:r>
      <w:r w:rsidR="2477EEDE" w:rsidRPr="0433CDF4">
        <w:rPr>
          <w:rFonts w:ascii="Times New Roman" w:hAnsi="Times New Roman" w:cs="Times New Roman"/>
        </w:rPr>
        <w:t xml:space="preserve"> standard trading unit</w:t>
      </w:r>
      <w:r w:rsidR="49DCE877" w:rsidRPr="0433CDF4">
        <w:rPr>
          <w:rFonts w:ascii="Times New Roman" w:hAnsi="Times New Roman" w:cs="Times New Roman"/>
        </w:rPr>
        <w:t xml:space="preserve">s, </w:t>
      </w:r>
      <w:r w:rsidR="00AB765A" w:rsidRPr="00AB765A">
        <w:rPr>
          <w:rFonts w:ascii="Times New Roman" w:hAnsi="Times New Roman" w:cs="Times New Roman"/>
        </w:rPr>
        <w:t xml:space="preserve">which is defined as part of the spectrum such that the lower limit is an </w:t>
      </w:r>
      <w:proofErr w:type="gramStart"/>
      <w:r w:rsidR="00AB765A" w:rsidRPr="00AB765A">
        <w:rPr>
          <w:rFonts w:ascii="Times New Roman" w:hAnsi="Times New Roman" w:cs="Times New Roman"/>
        </w:rPr>
        <w:t>integer</w:t>
      </w:r>
      <w:proofErr w:type="gramEnd"/>
      <w:r w:rsidR="00AB765A" w:rsidRPr="00AB765A">
        <w:rPr>
          <w:rFonts w:ascii="Times New Roman" w:hAnsi="Times New Roman" w:cs="Times New Roman"/>
        </w:rPr>
        <w:t xml:space="preserve"> and the upper limit is an integer, both expressed in Hertz</w:t>
      </w:r>
      <w:r w:rsidR="001E12E9">
        <w:rPr>
          <w:rFonts w:ascii="Times New Roman" w:hAnsi="Times New Roman" w:cs="Times New Roman"/>
        </w:rPr>
        <w:t>,</w:t>
      </w:r>
      <w:r w:rsidR="00AB765A" w:rsidRPr="00AB765A">
        <w:rPr>
          <w:rFonts w:ascii="Times New Roman" w:hAnsi="Times New Roman" w:cs="Times New Roman"/>
        </w:rPr>
        <w:t xml:space="preserve"> </w:t>
      </w:r>
      <w:r w:rsidR="1A03F0CC" w:rsidRPr="0433CDF4">
        <w:rPr>
          <w:rFonts w:ascii="Times New Roman" w:hAnsi="Times New Roman" w:cs="Times New Roman"/>
        </w:rPr>
        <w:t>and an HCIS Level 1 cell</w:t>
      </w:r>
      <w:r w:rsidR="00C6413B">
        <w:rPr>
          <w:rFonts w:ascii="Times New Roman" w:hAnsi="Times New Roman" w:cs="Times New Roman"/>
        </w:rPr>
        <w:t xml:space="preserve"> as specified in the </w:t>
      </w:r>
      <w:r w:rsidR="00C6413B" w:rsidRPr="005C14D9">
        <w:rPr>
          <w:rFonts w:ascii="Times New Roman" w:hAnsi="Times New Roman" w:cs="Times New Roman"/>
        </w:rPr>
        <w:t>Australian Spectrum Map Grid</w:t>
      </w:r>
      <w:r w:rsidR="0094572D">
        <w:rPr>
          <w:rFonts w:ascii="Times New Roman" w:hAnsi="Times New Roman" w:cs="Times New Roman"/>
        </w:rPr>
        <w:t xml:space="preserve"> 2012</w:t>
      </w:r>
      <w:r w:rsidR="1A03F0CC" w:rsidRPr="0433CDF4">
        <w:rPr>
          <w:rFonts w:ascii="Times New Roman" w:hAnsi="Times New Roman" w:cs="Times New Roman"/>
        </w:rPr>
        <w:t>.</w:t>
      </w:r>
    </w:p>
    <w:p w14:paraId="1EF1B440" w14:textId="6C3E8D8D" w:rsidR="00487046" w:rsidRDefault="6481F87C" w:rsidP="004C58B9">
      <w:pPr>
        <w:rPr>
          <w:rFonts w:ascii="Times New Roman" w:hAnsi="Times New Roman" w:cs="Times New Roman"/>
        </w:rPr>
      </w:pPr>
      <w:r w:rsidRPr="0433CDF4">
        <w:rPr>
          <w:rFonts w:ascii="Times New Roman" w:hAnsi="Times New Roman" w:cs="Times New Roman"/>
        </w:rPr>
        <w:t xml:space="preserve">Subsection (2) </w:t>
      </w:r>
      <w:r w:rsidR="0094572D">
        <w:rPr>
          <w:rFonts w:ascii="Times New Roman" w:hAnsi="Times New Roman" w:cs="Times New Roman"/>
        </w:rPr>
        <w:t xml:space="preserve">provides that an assignment of part of a spectrum licence must not result in a </w:t>
      </w:r>
      <w:r w:rsidR="00020501">
        <w:rPr>
          <w:rFonts w:ascii="Times New Roman" w:hAnsi="Times New Roman" w:cs="Times New Roman"/>
        </w:rPr>
        <w:t xml:space="preserve">spectrum </w:t>
      </w:r>
      <w:r w:rsidR="0094572D">
        <w:rPr>
          <w:rFonts w:ascii="Times New Roman" w:hAnsi="Times New Roman" w:cs="Times New Roman"/>
        </w:rPr>
        <w:t xml:space="preserve">licence that authorises the operation of radiocommunications devices in a part of </w:t>
      </w:r>
      <w:r w:rsidR="00CB0749">
        <w:rPr>
          <w:rFonts w:ascii="Times New Roman" w:hAnsi="Times New Roman" w:cs="Times New Roman"/>
        </w:rPr>
        <w:t>a</w:t>
      </w:r>
      <w:r w:rsidR="0094572D">
        <w:rPr>
          <w:rFonts w:ascii="Times New Roman" w:hAnsi="Times New Roman" w:cs="Times New Roman"/>
        </w:rPr>
        <w:t xml:space="preserve"> </w:t>
      </w:r>
      <w:r w:rsidR="00B3150B">
        <w:rPr>
          <w:rFonts w:ascii="Times New Roman" w:hAnsi="Times New Roman" w:cs="Times New Roman"/>
        </w:rPr>
        <w:t xml:space="preserve">frequency </w:t>
      </w:r>
      <w:r w:rsidR="0094572D">
        <w:rPr>
          <w:rFonts w:ascii="Times New Roman" w:hAnsi="Times New Roman" w:cs="Times New Roman"/>
        </w:rPr>
        <w:t>band that is less than the MCB</w:t>
      </w:r>
      <w:r w:rsidR="606FC1C5" w:rsidRPr="0433CDF4">
        <w:rPr>
          <w:rFonts w:ascii="Times New Roman" w:hAnsi="Times New Roman" w:cs="Times New Roman"/>
        </w:rPr>
        <w:t>.</w:t>
      </w:r>
      <w:r w:rsidR="0094572D">
        <w:rPr>
          <w:rFonts w:ascii="Times New Roman" w:hAnsi="Times New Roman" w:cs="Times New Roman"/>
        </w:rPr>
        <w:t xml:space="preserve"> The MCB is generally 5 MHz; </w:t>
      </w:r>
      <w:r w:rsidR="00487046">
        <w:rPr>
          <w:rFonts w:ascii="Times New Roman" w:hAnsi="Times New Roman" w:cs="Times New Roman"/>
        </w:rPr>
        <w:t xml:space="preserve">however, spectrum licences in </w:t>
      </w:r>
      <w:r w:rsidR="0094572D">
        <w:rPr>
          <w:rFonts w:ascii="Times New Roman" w:hAnsi="Times New Roman" w:cs="Times New Roman"/>
        </w:rPr>
        <w:t xml:space="preserve">some bands specified in Schedule 1 to the </w:t>
      </w:r>
      <w:r w:rsidR="00487046">
        <w:rPr>
          <w:rFonts w:ascii="Times New Roman" w:hAnsi="Times New Roman" w:cs="Times New Roman"/>
        </w:rPr>
        <w:t xml:space="preserve">instrument have an MCB of 10 MHz or 50 </w:t>
      </w:r>
      <w:proofErr w:type="spellStart"/>
      <w:r w:rsidR="00487046">
        <w:rPr>
          <w:rFonts w:ascii="Times New Roman" w:hAnsi="Times New Roman" w:cs="Times New Roman"/>
        </w:rPr>
        <w:t>MHz.</w:t>
      </w:r>
      <w:proofErr w:type="spellEnd"/>
    </w:p>
    <w:p w14:paraId="026B895B" w14:textId="76995E8C" w:rsidR="009A0BD5" w:rsidRDefault="606FC1C5" w:rsidP="004C58B9">
      <w:pPr>
        <w:rPr>
          <w:rFonts w:ascii="Times New Roman" w:hAnsi="Times New Roman" w:cs="Times New Roman"/>
        </w:rPr>
      </w:pPr>
      <w:r w:rsidRPr="0433CDF4">
        <w:rPr>
          <w:rFonts w:ascii="Times New Roman" w:hAnsi="Times New Roman" w:cs="Times New Roman"/>
        </w:rPr>
        <w:t xml:space="preserve">Subsection (3) provides that the </w:t>
      </w:r>
      <w:r w:rsidR="3CFFF7B1" w:rsidRPr="0433CDF4">
        <w:rPr>
          <w:rFonts w:ascii="Times New Roman" w:hAnsi="Times New Roman" w:cs="Times New Roman"/>
        </w:rPr>
        <w:t>ACMA</w:t>
      </w:r>
      <w:r w:rsidRPr="0433CDF4">
        <w:rPr>
          <w:rFonts w:ascii="Times New Roman" w:hAnsi="Times New Roman" w:cs="Times New Roman"/>
        </w:rPr>
        <w:t xml:space="preserve"> may </w:t>
      </w:r>
      <w:r w:rsidR="006E0E54">
        <w:rPr>
          <w:rFonts w:ascii="Times New Roman" w:hAnsi="Times New Roman" w:cs="Times New Roman"/>
        </w:rPr>
        <w:t xml:space="preserve">give permission for </w:t>
      </w:r>
      <w:r w:rsidR="3CFFF7B1" w:rsidRPr="0433CDF4">
        <w:rPr>
          <w:rFonts w:ascii="Times New Roman" w:hAnsi="Times New Roman" w:cs="Times New Roman"/>
        </w:rPr>
        <w:t xml:space="preserve">a licensee to assign part of a spectrum licence which would otherwise be </w:t>
      </w:r>
      <w:r w:rsidR="00AB23E5" w:rsidRPr="0433CDF4">
        <w:rPr>
          <w:rFonts w:ascii="Times New Roman" w:hAnsi="Times New Roman" w:cs="Times New Roman"/>
        </w:rPr>
        <w:t>prohibited under subsection (2).</w:t>
      </w:r>
    </w:p>
    <w:p w14:paraId="4C2A2EA2" w14:textId="75A31EE4" w:rsidR="00BB6F2E" w:rsidRDefault="6713762C" w:rsidP="4A9775EB">
      <w:pPr>
        <w:rPr>
          <w:rFonts w:ascii="Times New Roman" w:hAnsi="Times New Roman" w:cs="Times New Roman"/>
        </w:rPr>
      </w:pPr>
      <w:r w:rsidRPr="4A9775EB">
        <w:rPr>
          <w:rFonts w:ascii="Times New Roman" w:hAnsi="Times New Roman" w:cs="Times New Roman"/>
        </w:rPr>
        <w:t xml:space="preserve">Subsection (4) </w:t>
      </w:r>
      <w:r w:rsidR="748EF029" w:rsidRPr="4A9775EB">
        <w:rPr>
          <w:rFonts w:ascii="Times New Roman" w:hAnsi="Times New Roman" w:cs="Times New Roman"/>
        </w:rPr>
        <w:t>provides</w:t>
      </w:r>
      <w:r w:rsidRPr="4A9775EB">
        <w:rPr>
          <w:rFonts w:ascii="Times New Roman" w:hAnsi="Times New Roman" w:cs="Times New Roman"/>
        </w:rPr>
        <w:t xml:space="preserve"> </w:t>
      </w:r>
      <w:r w:rsidR="602610DA" w:rsidRPr="4A9775EB">
        <w:rPr>
          <w:rFonts w:ascii="Times New Roman" w:hAnsi="Times New Roman" w:cs="Times New Roman"/>
        </w:rPr>
        <w:t>that a licensee must not assign a spectrum licence</w:t>
      </w:r>
      <w:r w:rsidR="00145CB0">
        <w:rPr>
          <w:rFonts w:ascii="Times New Roman" w:hAnsi="Times New Roman" w:cs="Times New Roman"/>
        </w:rPr>
        <w:t>, or part of a spectrum licence,</w:t>
      </w:r>
      <w:r w:rsidR="602610DA" w:rsidRPr="4A9775EB">
        <w:rPr>
          <w:rFonts w:ascii="Times New Roman" w:hAnsi="Times New Roman" w:cs="Times New Roman"/>
        </w:rPr>
        <w:t xml:space="preserve"> for the purpose of providing security for a loan.</w:t>
      </w:r>
      <w:r w:rsidR="5F4E43E0" w:rsidRPr="4A9775EB">
        <w:rPr>
          <w:rFonts w:ascii="Times New Roman" w:hAnsi="Times New Roman" w:cs="Times New Roman"/>
        </w:rPr>
        <w:t xml:space="preserve"> </w:t>
      </w:r>
      <w:r w:rsidR="00A34374" w:rsidRPr="4A9775EB">
        <w:rPr>
          <w:rFonts w:ascii="Times New Roman" w:hAnsi="Times New Roman" w:cs="Times New Roman"/>
        </w:rPr>
        <w:t>This provision is intended to prevent a bank or financial institution from holding legal title to a spectrum licence</w:t>
      </w:r>
      <w:r w:rsidR="00A34374">
        <w:rPr>
          <w:rFonts w:ascii="Times New Roman" w:hAnsi="Times New Roman" w:cs="Times New Roman"/>
        </w:rPr>
        <w:t xml:space="preserve">, which would </w:t>
      </w:r>
      <w:r w:rsidR="00A34374" w:rsidRPr="4A9775EB">
        <w:rPr>
          <w:rFonts w:ascii="Times New Roman" w:hAnsi="Times New Roman" w:cs="Times New Roman"/>
        </w:rPr>
        <w:t>pose logistical challenges for spectrum management</w:t>
      </w:r>
      <w:r w:rsidR="00A34374">
        <w:rPr>
          <w:rFonts w:ascii="Times New Roman" w:hAnsi="Times New Roman" w:cs="Times New Roman"/>
        </w:rPr>
        <w:t xml:space="preserve">, </w:t>
      </w:r>
      <w:proofErr w:type="gramStart"/>
      <w:r w:rsidR="00A34374">
        <w:rPr>
          <w:rFonts w:ascii="Times New Roman" w:hAnsi="Times New Roman" w:cs="Times New Roman"/>
        </w:rPr>
        <w:t>compliance</w:t>
      </w:r>
      <w:proofErr w:type="gramEnd"/>
      <w:r w:rsidR="00A34374">
        <w:rPr>
          <w:rFonts w:ascii="Times New Roman" w:hAnsi="Times New Roman" w:cs="Times New Roman"/>
        </w:rPr>
        <w:t xml:space="preserve"> and enforcement.</w:t>
      </w:r>
    </w:p>
    <w:p w14:paraId="090D7013" w14:textId="759492B7" w:rsidR="00BB6F2E" w:rsidRDefault="08E8E259" w:rsidP="4A9775EB">
      <w:pPr>
        <w:rPr>
          <w:rFonts w:ascii="Times New Roman" w:hAnsi="Times New Roman" w:cs="Times New Roman"/>
          <w:b/>
          <w:bCs/>
        </w:rPr>
      </w:pPr>
      <w:r w:rsidRPr="4A9775EB">
        <w:rPr>
          <w:rFonts w:ascii="Times New Roman" w:hAnsi="Times New Roman" w:cs="Times New Roman"/>
          <w:b/>
          <w:bCs/>
        </w:rPr>
        <w:t>Section 10</w:t>
      </w:r>
      <w:r w:rsidR="001F34E6">
        <w:tab/>
      </w:r>
      <w:r w:rsidR="1A1AD5FE" w:rsidRPr="4A9775EB">
        <w:rPr>
          <w:rFonts w:ascii="Times New Roman" w:hAnsi="Times New Roman" w:cs="Times New Roman"/>
          <w:b/>
          <w:bCs/>
        </w:rPr>
        <w:t xml:space="preserve">Permission for assignment resulting in less than the minimum contiguous bandwidth </w:t>
      </w:r>
    </w:p>
    <w:p w14:paraId="3249EF85" w14:textId="46A7115B" w:rsidR="00646373" w:rsidRDefault="00BB6F2E" w:rsidP="00BB6F2E">
      <w:pPr>
        <w:rPr>
          <w:rFonts w:ascii="Times New Roman" w:hAnsi="Times New Roman" w:cs="Times New Roman"/>
        </w:rPr>
      </w:pPr>
      <w:r w:rsidRPr="0433CDF4">
        <w:rPr>
          <w:rFonts w:ascii="Times New Roman" w:hAnsi="Times New Roman" w:cs="Times New Roman"/>
        </w:rPr>
        <w:t xml:space="preserve">This section </w:t>
      </w:r>
      <w:r w:rsidR="00C305C3" w:rsidRPr="0433CDF4">
        <w:rPr>
          <w:rFonts w:ascii="Times New Roman" w:hAnsi="Times New Roman" w:cs="Times New Roman"/>
        </w:rPr>
        <w:t xml:space="preserve">outlines the </w:t>
      </w:r>
      <w:r w:rsidR="005A75F1" w:rsidRPr="0433CDF4">
        <w:rPr>
          <w:rFonts w:ascii="Times New Roman" w:hAnsi="Times New Roman" w:cs="Times New Roman"/>
        </w:rPr>
        <w:t>process</w:t>
      </w:r>
      <w:r w:rsidR="003931CC" w:rsidRPr="0433CDF4">
        <w:rPr>
          <w:rFonts w:ascii="Times New Roman" w:hAnsi="Times New Roman" w:cs="Times New Roman"/>
        </w:rPr>
        <w:t xml:space="preserve"> and timeframes</w:t>
      </w:r>
      <w:r w:rsidR="005A75F1" w:rsidRPr="0433CDF4">
        <w:rPr>
          <w:rFonts w:ascii="Times New Roman" w:hAnsi="Times New Roman" w:cs="Times New Roman"/>
        </w:rPr>
        <w:t xml:space="preserve"> for seeking </w:t>
      </w:r>
      <w:r w:rsidR="00697AE8">
        <w:rPr>
          <w:rFonts w:ascii="Times New Roman" w:hAnsi="Times New Roman" w:cs="Times New Roman"/>
        </w:rPr>
        <w:t>permission</w:t>
      </w:r>
      <w:r w:rsidR="00697AE8" w:rsidRPr="0433CDF4">
        <w:rPr>
          <w:rFonts w:ascii="Times New Roman" w:hAnsi="Times New Roman" w:cs="Times New Roman"/>
        </w:rPr>
        <w:t xml:space="preserve"> </w:t>
      </w:r>
      <w:r w:rsidR="00275260" w:rsidRPr="0433CDF4">
        <w:rPr>
          <w:rFonts w:ascii="Times New Roman" w:hAnsi="Times New Roman" w:cs="Times New Roman"/>
        </w:rPr>
        <w:t>for a</w:t>
      </w:r>
      <w:r w:rsidR="00697AE8">
        <w:rPr>
          <w:rFonts w:ascii="Times New Roman" w:hAnsi="Times New Roman" w:cs="Times New Roman"/>
        </w:rPr>
        <w:t>n assignment that would</w:t>
      </w:r>
      <w:r w:rsidR="00275260" w:rsidRPr="0433CDF4">
        <w:rPr>
          <w:rFonts w:ascii="Times New Roman" w:hAnsi="Times New Roman" w:cs="Times New Roman"/>
        </w:rPr>
        <w:t xml:space="preserve"> result in </w:t>
      </w:r>
      <w:r w:rsidR="00697AE8">
        <w:rPr>
          <w:rFonts w:ascii="Times New Roman" w:hAnsi="Times New Roman" w:cs="Times New Roman"/>
        </w:rPr>
        <w:t xml:space="preserve">a spectrum licence that authorises the operation of radiocommunications devices in a part of the spectrum </w:t>
      </w:r>
      <w:r w:rsidR="00275260" w:rsidRPr="0433CDF4">
        <w:rPr>
          <w:rFonts w:ascii="Times New Roman" w:hAnsi="Times New Roman" w:cs="Times New Roman"/>
        </w:rPr>
        <w:t xml:space="preserve">less than the MCB. </w:t>
      </w:r>
    </w:p>
    <w:p w14:paraId="35286AD8" w14:textId="25CD8F69" w:rsidR="00646373" w:rsidRPr="009936EA" w:rsidRDefault="009936EA" w:rsidP="00BB6F2E">
      <w:pPr>
        <w:rPr>
          <w:rFonts w:ascii="Times New Roman" w:hAnsi="Times New Roman" w:cs="Times New Roman"/>
        </w:rPr>
      </w:pPr>
      <w:r>
        <w:rPr>
          <w:rFonts w:ascii="Times New Roman" w:hAnsi="Times New Roman" w:cs="Times New Roman"/>
        </w:rPr>
        <w:t>Under s</w:t>
      </w:r>
      <w:r w:rsidR="3E6F0897" w:rsidRPr="0433CDF4">
        <w:rPr>
          <w:rFonts w:ascii="Times New Roman" w:hAnsi="Times New Roman" w:cs="Times New Roman"/>
        </w:rPr>
        <w:t>ubsections (1) to (4)</w:t>
      </w:r>
      <w:r>
        <w:rPr>
          <w:rFonts w:ascii="Times New Roman" w:hAnsi="Times New Roman" w:cs="Times New Roman"/>
        </w:rPr>
        <w:t xml:space="preserve">, the licensee may apply for permission, in writing in a form approved by the ACMA, and in a manner approved by the ACMA. A charge may apply, if set under section 60 of the </w:t>
      </w:r>
      <w:r>
        <w:rPr>
          <w:rFonts w:ascii="Times New Roman" w:hAnsi="Times New Roman" w:cs="Times New Roman"/>
          <w:i/>
          <w:iCs/>
        </w:rPr>
        <w:t>Australian Communications and Media Authority Act 2005</w:t>
      </w:r>
      <w:r>
        <w:rPr>
          <w:rFonts w:ascii="Times New Roman" w:hAnsi="Times New Roman" w:cs="Times New Roman"/>
        </w:rPr>
        <w:t>.</w:t>
      </w:r>
    </w:p>
    <w:p w14:paraId="7403E454" w14:textId="7C8DAB41" w:rsidR="002C4ABD" w:rsidRDefault="00587038" w:rsidP="00BB6F2E">
      <w:pPr>
        <w:rPr>
          <w:rFonts w:ascii="Times New Roman" w:hAnsi="Times New Roman" w:cs="Times New Roman"/>
        </w:rPr>
      </w:pPr>
      <w:r>
        <w:rPr>
          <w:rFonts w:ascii="Times New Roman" w:hAnsi="Times New Roman" w:cs="Times New Roman"/>
        </w:rPr>
        <w:t>Under s</w:t>
      </w:r>
      <w:r w:rsidR="73827884" w:rsidRPr="0433CDF4">
        <w:rPr>
          <w:rFonts w:ascii="Times New Roman" w:hAnsi="Times New Roman" w:cs="Times New Roman"/>
        </w:rPr>
        <w:t>ubsections (5) to (8)</w:t>
      </w:r>
      <w:r>
        <w:rPr>
          <w:rFonts w:ascii="Times New Roman" w:hAnsi="Times New Roman" w:cs="Times New Roman"/>
        </w:rPr>
        <w:t>, the ACMA has 90 days (or such longer time as agreed with the licensee) to decide whether to give permission. If the ACMA gives permission, it must specify a period</w:t>
      </w:r>
      <w:r w:rsidR="00024F80">
        <w:rPr>
          <w:rFonts w:ascii="Times New Roman" w:hAnsi="Times New Roman" w:cs="Times New Roman"/>
        </w:rPr>
        <w:t xml:space="preserve">, beginning </w:t>
      </w:r>
      <w:r w:rsidR="00AC38AA">
        <w:rPr>
          <w:rFonts w:ascii="Times New Roman" w:hAnsi="Times New Roman" w:cs="Times New Roman"/>
        </w:rPr>
        <w:t>from the date</w:t>
      </w:r>
      <w:r w:rsidR="00024F80">
        <w:rPr>
          <w:rFonts w:ascii="Times New Roman" w:hAnsi="Times New Roman" w:cs="Times New Roman"/>
        </w:rPr>
        <w:t xml:space="preserve"> permission is given,</w:t>
      </w:r>
      <w:r>
        <w:rPr>
          <w:rFonts w:ascii="Times New Roman" w:hAnsi="Times New Roman" w:cs="Times New Roman"/>
        </w:rPr>
        <w:t xml:space="preserve"> within which </w:t>
      </w:r>
      <w:r w:rsidR="00B6764E">
        <w:rPr>
          <w:rFonts w:ascii="Times New Roman" w:hAnsi="Times New Roman" w:cs="Times New Roman"/>
        </w:rPr>
        <w:t>the assignment must occur. The period may be between 45 days and 90 days long; however, the assignment can occur at any point during that period.</w:t>
      </w:r>
      <w:r w:rsidR="73827884" w:rsidRPr="0433CDF4">
        <w:rPr>
          <w:rFonts w:ascii="Times New Roman" w:hAnsi="Times New Roman" w:cs="Times New Roman"/>
        </w:rPr>
        <w:t xml:space="preserve"> </w:t>
      </w:r>
      <w:r w:rsidR="00B6764E">
        <w:rPr>
          <w:rFonts w:ascii="Times New Roman" w:hAnsi="Times New Roman" w:cs="Times New Roman"/>
        </w:rPr>
        <w:t xml:space="preserve">The ACMA must give the licensee written notice of its decision </w:t>
      </w:r>
      <w:r w:rsidR="00B82097">
        <w:rPr>
          <w:rFonts w:ascii="Times New Roman" w:hAnsi="Times New Roman" w:cs="Times New Roman"/>
        </w:rPr>
        <w:t>within 14 days after making the decision.</w:t>
      </w:r>
    </w:p>
    <w:p w14:paraId="0B664C42" w14:textId="0E481E3E" w:rsidR="007978A3" w:rsidRDefault="42F79001" w:rsidP="00BB6F2E">
      <w:pPr>
        <w:rPr>
          <w:rFonts w:ascii="Times New Roman" w:hAnsi="Times New Roman" w:cs="Times New Roman"/>
        </w:rPr>
      </w:pPr>
      <w:r w:rsidRPr="0433CDF4">
        <w:rPr>
          <w:rFonts w:ascii="Times New Roman" w:hAnsi="Times New Roman" w:cs="Times New Roman"/>
        </w:rPr>
        <w:t xml:space="preserve">Subsections (9) to (12) outline the process for a licensee to apply for the ACMA to reconsider a </w:t>
      </w:r>
      <w:r w:rsidR="00123DB6" w:rsidRPr="0433CDF4">
        <w:rPr>
          <w:rFonts w:ascii="Times New Roman" w:hAnsi="Times New Roman" w:cs="Times New Roman"/>
        </w:rPr>
        <w:t>decision to refuse permission</w:t>
      </w:r>
      <w:r w:rsidR="00B82097">
        <w:rPr>
          <w:rFonts w:ascii="Times New Roman" w:hAnsi="Times New Roman" w:cs="Times New Roman"/>
        </w:rPr>
        <w:t>,</w:t>
      </w:r>
      <w:r w:rsidR="00123DB6" w:rsidRPr="0433CDF4">
        <w:rPr>
          <w:rFonts w:ascii="Times New Roman" w:hAnsi="Times New Roman" w:cs="Times New Roman"/>
        </w:rPr>
        <w:t xml:space="preserve"> and </w:t>
      </w:r>
      <w:r w:rsidR="00B82097">
        <w:rPr>
          <w:rFonts w:ascii="Times New Roman" w:hAnsi="Times New Roman" w:cs="Times New Roman"/>
        </w:rPr>
        <w:t xml:space="preserve">the </w:t>
      </w:r>
      <w:r w:rsidR="00123DB6" w:rsidRPr="0433CDF4">
        <w:rPr>
          <w:rFonts w:ascii="Times New Roman" w:hAnsi="Times New Roman" w:cs="Times New Roman"/>
        </w:rPr>
        <w:t>timeframes which apply.</w:t>
      </w:r>
    </w:p>
    <w:p w14:paraId="14FFF909" w14:textId="012950A2" w:rsidR="00BB6F2E" w:rsidRDefault="00123DB6" w:rsidP="00BB6F2E">
      <w:pPr>
        <w:rPr>
          <w:rFonts w:ascii="Times New Roman" w:hAnsi="Times New Roman" w:cs="Times New Roman"/>
        </w:rPr>
      </w:pPr>
      <w:r w:rsidRPr="0433CDF4">
        <w:rPr>
          <w:rFonts w:ascii="Times New Roman" w:hAnsi="Times New Roman" w:cs="Times New Roman"/>
        </w:rPr>
        <w:t xml:space="preserve">Subsection (13) </w:t>
      </w:r>
      <w:r w:rsidR="008713E2" w:rsidRPr="0433CDF4">
        <w:rPr>
          <w:rFonts w:ascii="Times New Roman" w:hAnsi="Times New Roman" w:cs="Times New Roman"/>
        </w:rPr>
        <w:t xml:space="preserve">provides that if a decision to refuse permission is </w:t>
      </w:r>
      <w:r w:rsidR="00CD1FC7" w:rsidRPr="0433CDF4">
        <w:rPr>
          <w:rFonts w:ascii="Times New Roman" w:hAnsi="Times New Roman" w:cs="Times New Roman"/>
        </w:rPr>
        <w:t>affirmed, the</w:t>
      </w:r>
      <w:r w:rsidR="008713E2" w:rsidRPr="0433CDF4">
        <w:rPr>
          <w:rFonts w:ascii="Times New Roman" w:hAnsi="Times New Roman" w:cs="Times New Roman"/>
        </w:rPr>
        <w:t xml:space="preserve"> licensee may</w:t>
      </w:r>
      <w:r w:rsidR="00877B1D" w:rsidRPr="0433CDF4">
        <w:rPr>
          <w:rFonts w:ascii="Times New Roman" w:hAnsi="Times New Roman" w:cs="Times New Roman"/>
        </w:rPr>
        <w:t xml:space="preserve"> apply </w:t>
      </w:r>
      <w:r w:rsidR="00CD1FC7" w:rsidRPr="0433CDF4">
        <w:rPr>
          <w:rFonts w:ascii="Times New Roman" w:hAnsi="Times New Roman" w:cs="Times New Roman"/>
        </w:rPr>
        <w:t xml:space="preserve">to </w:t>
      </w:r>
      <w:r w:rsidR="00877B1D" w:rsidRPr="0433CDF4">
        <w:rPr>
          <w:rFonts w:ascii="Times New Roman" w:hAnsi="Times New Roman" w:cs="Times New Roman"/>
        </w:rPr>
        <w:t>the Administrative Appeals Tribunal</w:t>
      </w:r>
      <w:r w:rsidR="00CD1FC7" w:rsidRPr="0433CDF4">
        <w:rPr>
          <w:rFonts w:ascii="Times New Roman" w:hAnsi="Times New Roman" w:cs="Times New Roman"/>
        </w:rPr>
        <w:t xml:space="preserve"> for review of that decision.</w:t>
      </w:r>
    </w:p>
    <w:p w14:paraId="6EC7475F" w14:textId="6AB15F8F" w:rsidR="00BB6F2E" w:rsidRDefault="003931CC" w:rsidP="00024F80">
      <w:pPr>
        <w:keepNext/>
        <w:spacing w:line="257" w:lineRule="auto"/>
        <w:rPr>
          <w:rFonts w:ascii="Times New Roman" w:hAnsi="Times New Roman" w:cs="Times New Roman"/>
          <w:b/>
        </w:rPr>
      </w:pPr>
      <w:r>
        <w:rPr>
          <w:rFonts w:ascii="Times New Roman" w:hAnsi="Times New Roman" w:cs="Times New Roman"/>
          <w:b/>
        </w:rPr>
        <w:t>Schedule 1</w:t>
      </w:r>
      <w:r w:rsidR="00BB6F2E">
        <w:rPr>
          <w:rFonts w:ascii="Times New Roman" w:hAnsi="Times New Roman" w:cs="Times New Roman"/>
          <w:b/>
        </w:rPr>
        <w:t>–</w:t>
      </w:r>
      <w:r w:rsidR="006B0401" w:rsidRPr="006B0401">
        <w:rPr>
          <w:rFonts w:ascii="Times New Roman" w:hAnsi="Times New Roman" w:cs="Times New Roman"/>
          <w:b/>
          <w:bCs/>
        </w:rPr>
        <w:t xml:space="preserve"> </w:t>
      </w:r>
      <w:r w:rsidR="006B0401">
        <w:rPr>
          <w:rFonts w:ascii="Times New Roman" w:hAnsi="Times New Roman" w:cs="Times New Roman"/>
          <w:b/>
          <w:bCs/>
        </w:rPr>
        <w:t>Minimum contiguous bandwidth</w:t>
      </w:r>
    </w:p>
    <w:p w14:paraId="3B78010A" w14:textId="2C5085A9" w:rsidR="00BD7D73" w:rsidRDefault="006B0401" w:rsidP="004C58B9">
      <w:pPr>
        <w:rPr>
          <w:rFonts w:ascii="Times New Roman" w:hAnsi="Times New Roman" w:cs="Times New Roman"/>
        </w:rPr>
      </w:pPr>
      <w:r w:rsidRPr="0433CDF4">
        <w:rPr>
          <w:rFonts w:ascii="Times New Roman" w:hAnsi="Times New Roman" w:cs="Times New Roman"/>
        </w:rPr>
        <w:t xml:space="preserve">This schedule provides </w:t>
      </w:r>
      <w:r w:rsidR="00B82097">
        <w:rPr>
          <w:rFonts w:ascii="Times New Roman" w:hAnsi="Times New Roman" w:cs="Times New Roman"/>
        </w:rPr>
        <w:t>that the MCB is</w:t>
      </w:r>
      <w:r w:rsidR="00BD7D73" w:rsidRPr="0433CDF4">
        <w:rPr>
          <w:rFonts w:ascii="Times New Roman" w:hAnsi="Times New Roman" w:cs="Times New Roman"/>
        </w:rPr>
        <w:t xml:space="preserve"> 5 MHz, </w:t>
      </w:r>
      <w:r w:rsidR="00B82097">
        <w:rPr>
          <w:rFonts w:ascii="Times New Roman" w:hAnsi="Times New Roman" w:cs="Times New Roman"/>
        </w:rPr>
        <w:t>subject to</w:t>
      </w:r>
      <w:r w:rsidR="00BD7D73" w:rsidRPr="0433CDF4">
        <w:rPr>
          <w:rFonts w:ascii="Times New Roman" w:hAnsi="Times New Roman" w:cs="Times New Roman"/>
        </w:rPr>
        <w:t xml:space="preserve"> the following exceptions:</w:t>
      </w:r>
    </w:p>
    <w:p w14:paraId="195A26BA" w14:textId="74D066B2" w:rsidR="001F34E6" w:rsidRDefault="00BD7D73" w:rsidP="00BD7D73">
      <w:pPr>
        <w:pStyle w:val="ListParagraph"/>
        <w:numPr>
          <w:ilvl w:val="0"/>
          <w:numId w:val="19"/>
        </w:numPr>
        <w:rPr>
          <w:rFonts w:ascii="Times New Roman" w:hAnsi="Times New Roman" w:cs="Times New Roman"/>
        </w:rPr>
      </w:pPr>
      <w:r>
        <w:rPr>
          <w:rFonts w:ascii="Times New Roman" w:hAnsi="Times New Roman" w:cs="Times New Roman"/>
        </w:rPr>
        <w:t xml:space="preserve">10 MHz </w:t>
      </w:r>
      <w:r w:rsidR="00B82097">
        <w:rPr>
          <w:rFonts w:ascii="Times New Roman" w:hAnsi="Times New Roman" w:cs="Times New Roman"/>
        </w:rPr>
        <w:t xml:space="preserve">for spectrum licences </w:t>
      </w:r>
      <w:r>
        <w:rPr>
          <w:rFonts w:ascii="Times New Roman" w:hAnsi="Times New Roman" w:cs="Times New Roman"/>
        </w:rPr>
        <w:t xml:space="preserve">in 3400 MHz </w:t>
      </w:r>
      <w:r w:rsidR="00625BAF">
        <w:rPr>
          <w:rFonts w:ascii="Times New Roman" w:hAnsi="Times New Roman" w:cs="Times New Roman"/>
        </w:rPr>
        <w:t>to 3800 MHz; and</w:t>
      </w:r>
    </w:p>
    <w:p w14:paraId="458AF617" w14:textId="39BA7938" w:rsidR="00025ACE" w:rsidRPr="00625BAF" w:rsidRDefault="00625BAF" w:rsidP="004C58B9">
      <w:pPr>
        <w:pStyle w:val="ListParagraph"/>
        <w:numPr>
          <w:ilvl w:val="0"/>
          <w:numId w:val="19"/>
        </w:numPr>
        <w:rPr>
          <w:rFonts w:ascii="Times New Roman" w:hAnsi="Times New Roman" w:cs="Times New Roman"/>
        </w:rPr>
      </w:pPr>
      <w:r>
        <w:rPr>
          <w:rFonts w:ascii="Times New Roman" w:hAnsi="Times New Roman" w:cs="Times New Roman"/>
        </w:rPr>
        <w:t xml:space="preserve">50 MHz </w:t>
      </w:r>
      <w:r w:rsidR="00B82097">
        <w:rPr>
          <w:rFonts w:ascii="Times New Roman" w:hAnsi="Times New Roman" w:cs="Times New Roman"/>
        </w:rPr>
        <w:t xml:space="preserve">for spectrum licences </w:t>
      </w:r>
      <w:r>
        <w:rPr>
          <w:rFonts w:ascii="Times New Roman" w:hAnsi="Times New Roman" w:cs="Times New Roman"/>
        </w:rPr>
        <w:t xml:space="preserve">in 25100 MHz to 27500 </w:t>
      </w:r>
      <w:proofErr w:type="spellStart"/>
      <w:r>
        <w:rPr>
          <w:rFonts w:ascii="Times New Roman" w:hAnsi="Times New Roman" w:cs="Times New Roman"/>
        </w:rPr>
        <w:t>MHz.</w:t>
      </w:r>
      <w:proofErr w:type="spellEnd"/>
    </w:p>
    <w:sectPr w:rsidR="00025ACE" w:rsidRPr="00625BAF" w:rsidSect="00082354">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76A95" w14:textId="77777777" w:rsidR="00307286" w:rsidRDefault="00307286" w:rsidP="00025ACE">
      <w:pPr>
        <w:spacing w:after="0" w:line="240" w:lineRule="auto"/>
      </w:pPr>
      <w:r>
        <w:separator/>
      </w:r>
    </w:p>
  </w:endnote>
  <w:endnote w:type="continuationSeparator" w:id="0">
    <w:p w14:paraId="35951695" w14:textId="77777777" w:rsidR="00307286" w:rsidRDefault="00307286" w:rsidP="00025ACE">
      <w:pPr>
        <w:spacing w:after="0" w:line="240" w:lineRule="auto"/>
      </w:pPr>
      <w:r>
        <w:continuationSeparator/>
      </w:r>
    </w:p>
  </w:endnote>
  <w:endnote w:type="continuationNotice" w:id="1">
    <w:p w14:paraId="3C63E13C" w14:textId="77777777" w:rsidR="00307286" w:rsidRDefault="003072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
        <w:noProof/>
      </w:rPr>
    </w:sdtEndPr>
    <w:sdtContent>
      <w:p w14:paraId="1E27C0A2" w14:textId="77777777" w:rsidR="00AD3414" w:rsidRDefault="00AD3414" w:rsidP="00AD3414">
        <w:pPr>
          <w:pStyle w:val="Footer"/>
          <w:pBdr>
            <w:top w:val="single" w:sz="4" w:space="1" w:color="auto"/>
          </w:pBdr>
          <w:jc w:val="center"/>
        </w:pPr>
      </w:p>
      <w:p w14:paraId="7A9CDA51" w14:textId="04CC0292" w:rsidR="00AD3414" w:rsidRPr="00AD3414" w:rsidRDefault="00AD3414" w:rsidP="00AD3414">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00625BAF" w:rsidRPr="00625BAF">
          <w:rPr>
            <w:rFonts w:ascii="Times New Roman" w:hAnsi="Times New Roman" w:cs="Times New Roman"/>
            <w:i/>
          </w:rPr>
          <w:t>Radiocommunications (Trading Rules for Spectrum Licences) Determination 2</w:t>
        </w:r>
        <w:r w:rsidR="00625BAF" w:rsidRPr="007E63C5">
          <w:rPr>
            <w:rFonts w:ascii="Times New Roman" w:hAnsi="Times New Roman" w:cs="Times New Roman"/>
            <w:i/>
          </w:rPr>
          <w:t>02</w:t>
        </w:r>
        <w:r w:rsidR="00E53250" w:rsidRPr="007E63C5">
          <w:rPr>
            <w:rFonts w:ascii="Times New Roman" w:hAnsi="Times New Roman" w:cs="Times New Roman"/>
            <w:i/>
          </w:rPr>
          <w:t>3</w:t>
        </w:r>
      </w:p>
      <w:p w14:paraId="556B0C98" w14:textId="77777777" w:rsidR="00AD3414" w:rsidRDefault="00AD3414">
        <w:pPr>
          <w:pStyle w:val="Footer"/>
          <w:jc w:val="right"/>
        </w:pPr>
      </w:p>
      <w:p w14:paraId="4E36910F" w14:textId="06CF02C2" w:rsidR="00025ACE" w:rsidRPr="00AD3414" w:rsidRDefault="00025ACE">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D23BD5">
          <w:rPr>
            <w:rFonts w:ascii="Times New Roman" w:hAnsi="Times New Roman" w:cs="Times New Roman"/>
            <w:i/>
            <w:noProof/>
          </w:rPr>
          <w:t>6</w:t>
        </w:r>
        <w:r w:rsidRPr="00A07A2F">
          <w:rPr>
            <w:rFonts w:ascii="Times New Roman" w:hAnsi="Times New Roman" w:cs="Times New Roman"/>
            <w:i/>
            <w:noProof/>
          </w:rPr>
          <w:fldChar w:fldCharType="end"/>
        </w:r>
      </w:p>
    </w:sdtContent>
  </w:sdt>
  <w:p w14:paraId="180626A1" w14:textId="72B67B1A" w:rsidR="00025ACE" w:rsidRPr="00AD3414" w:rsidRDefault="00025ACE" w:rsidP="00AD341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65184" w14:textId="77777777" w:rsidR="00307286" w:rsidRDefault="00307286" w:rsidP="00025ACE">
      <w:pPr>
        <w:spacing w:after="0" w:line="240" w:lineRule="auto"/>
      </w:pPr>
      <w:r>
        <w:separator/>
      </w:r>
    </w:p>
  </w:footnote>
  <w:footnote w:type="continuationSeparator" w:id="0">
    <w:p w14:paraId="77135050" w14:textId="77777777" w:rsidR="00307286" w:rsidRDefault="00307286" w:rsidP="00025ACE">
      <w:pPr>
        <w:spacing w:after="0" w:line="240" w:lineRule="auto"/>
      </w:pPr>
      <w:r>
        <w:continuationSeparator/>
      </w:r>
    </w:p>
  </w:footnote>
  <w:footnote w:type="continuationNotice" w:id="1">
    <w:p w14:paraId="158EA282" w14:textId="77777777" w:rsidR="00307286" w:rsidRDefault="003072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4CED" w14:textId="77777777" w:rsidR="00025ACE" w:rsidRDefault="00025ACE">
    <w:pPr>
      <w:pStyle w:val="Header"/>
    </w:pPr>
  </w:p>
  <w:p w14:paraId="1FE48E17" w14:textId="77777777" w:rsidR="00025ACE" w:rsidRPr="00AD3414" w:rsidRDefault="00025ACE">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C193B"/>
    <w:multiLevelType w:val="hybridMultilevel"/>
    <w:tmpl w:val="61E6489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DA40E7"/>
    <w:multiLevelType w:val="hybridMultilevel"/>
    <w:tmpl w:val="5DC48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ADA2F3F"/>
    <w:multiLevelType w:val="hybridMultilevel"/>
    <w:tmpl w:val="63182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5DF3D6F"/>
    <w:multiLevelType w:val="hybridMultilevel"/>
    <w:tmpl w:val="0936AF6C"/>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num w:numId="1" w16cid:durableId="858548563">
    <w:abstractNumId w:val="9"/>
  </w:num>
  <w:num w:numId="2" w16cid:durableId="98767681">
    <w:abstractNumId w:val="7"/>
  </w:num>
  <w:num w:numId="3" w16cid:durableId="1103692003">
    <w:abstractNumId w:val="2"/>
  </w:num>
  <w:num w:numId="4" w16cid:durableId="1835535268">
    <w:abstractNumId w:val="6"/>
  </w:num>
  <w:num w:numId="5" w16cid:durableId="372580887">
    <w:abstractNumId w:val="5"/>
  </w:num>
  <w:num w:numId="6" w16cid:durableId="1841308964">
    <w:abstractNumId w:val="1"/>
  </w:num>
  <w:num w:numId="7" w16cid:durableId="1593513033">
    <w:abstractNumId w:val="4"/>
  </w:num>
  <w:num w:numId="8" w16cid:durableId="1120758443">
    <w:abstractNumId w:val="9"/>
  </w:num>
  <w:num w:numId="9" w16cid:durableId="1560901631">
    <w:abstractNumId w:val="2"/>
  </w:num>
  <w:num w:numId="10" w16cid:durableId="279725521">
    <w:abstractNumId w:val="4"/>
  </w:num>
  <w:num w:numId="11" w16cid:durableId="1564220456">
    <w:abstractNumId w:val="6"/>
  </w:num>
  <w:num w:numId="12" w16cid:durableId="2015330050">
    <w:abstractNumId w:val="5"/>
  </w:num>
  <w:num w:numId="13" w16cid:durableId="1509519734">
    <w:abstractNumId w:val="9"/>
  </w:num>
  <w:num w:numId="14" w16cid:durableId="1624965458">
    <w:abstractNumId w:val="2"/>
  </w:num>
  <w:num w:numId="15" w16cid:durableId="1649818828">
    <w:abstractNumId w:val="4"/>
  </w:num>
  <w:num w:numId="16" w16cid:durableId="342515944">
    <w:abstractNumId w:val="6"/>
  </w:num>
  <w:num w:numId="17" w16cid:durableId="717897207">
    <w:abstractNumId w:val="5"/>
  </w:num>
  <w:num w:numId="18" w16cid:durableId="480076786">
    <w:abstractNumId w:val="8"/>
  </w:num>
  <w:num w:numId="19" w16cid:durableId="720011197">
    <w:abstractNumId w:val="0"/>
  </w:num>
  <w:num w:numId="20" w16cid:durableId="1570647993">
    <w:abstractNumId w:val="10"/>
  </w:num>
  <w:num w:numId="21" w16cid:durableId="462575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2640"/>
    <w:rsid w:val="00003720"/>
    <w:rsid w:val="0000407D"/>
    <w:rsid w:val="00011565"/>
    <w:rsid w:val="000124F9"/>
    <w:rsid w:val="00013079"/>
    <w:rsid w:val="000173F3"/>
    <w:rsid w:val="00020501"/>
    <w:rsid w:val="000226A1"/>
    <w:rsid w:val="000244CA"/>
    <w:rsid w:val="00024F80"/>
    <w:rsid w:val="00025ACE"/>
    <w:rsid w:val="000300E0"/>
    <w:rsid w:val="00034A77"/>
    <w:rsid w:val="00037F0E"/>
    <w:rsid w:val="00042279"/>
    <w:rsid w:val="00042C3F"/>
    <w:rsid w:val="00046B49"/>
    <w:rsid w:val="00055A0F"/>
    <w:rsid w:val="0006495F"/>
    <w:rsid w:val="00070D91"/>
    <w:rsid w:val="000726C7"/>
    <w:rsid w:val="00074A8D"/>
    <w:rsid w:val="000779A0"/>
    <w:rsid w:val="00077B27"/>
    <w:rsid w:val="00082354"/>
    <w:rsid w:val="00095AB3"/>
    <w:rsid w:val="00096432"/>
    <w:rsid w:val="00097C7D"/>
    <w:rsid w:val="000A3A94"/>
    <w:rsid w:val="000A4771"/>
    <w:rsid w:val="000A636B"/>
    <w:rsid w:val="000B0BA7"/>
    <w:rsid w:val="000B2EB8"/>
    <w:rsid w:val="000B33B6"/>
    <w:rsid w:val="000B43C2"/>
    <w:rsid w:val="000B4B6C"/>
    <w:rsid w:val="000B71C4"/>
    <w:rsid w:val="000B7F2D"/>
    <w:rsid w:val="000C423B"/>
    <w:rsid w:val="000C51A8"/>
    <w:rsid w:val="000C6436"/>
    <w:rsid w:val="000D20B6"/>
    <w:rsid w:val="000D4ECE"/>
    <w:rsid w:val="000E38C9"/>
    <w:rsid w:val="000E6F58"/>
    <w:rsid w:val="000F5D7D"/>
    <w:rsid w:val="000F6255"/>
    <w:rsid w:val="00104130"/>
    <w:rsid w:val="00112987"/>
    <w:rsid w:val="001158DC"/>
    <w:rsid w:val="00115DAF"/>
    <w:rsid w:val="00117351"/>
    <w:rsid w:val="00120C17"/>
    <w:rsid w:val="00121965"/>
    <w:rsid w:val="00121B9E"/>
    <w:rsid w:val="00122072"/>
    <w:rsid w:val="00123DB6"/>
    <w:rsid w:val="001334C1"/>
    <w:rsid w:val="00134705"/>
    <w:rsid w:val="00145CB0"/>
    <w:rsid w:val="00146A0C"/>
    <w:rsid w:val="00161C73"/>
    <w:rsid w:val="001630CE"/>
    <w:rsid w:val="001704A5"/>
    <w:rsid w:val="001732F1"/>
    <w:rsid w:val="00185369"/>
    <w:rsid w:val="00185BDC"/>
    <w:rsid w:val="00185C44"/>
    <w:rsid w:val="00187449"/>
    <w:rsid w:val="00187F2C"/>
    <w:rsid w:val="001A0221"/>
    <w:rsid w:val="001B084E"/>
    <w:rsid w:val="001B5C52"/>
    <w:rsid w:val="001C4BF8"/>
    <w:rsid w:val="001C5421"/>
    <w:rsid w:val="001D5C25"/>
    <w:rsid w:val="001E0574"/>
    <w:rsid w:val="001E12E9"/>
    <w:rsid w:val="001E343E"/>
    <w:rsid w:val="001E357C"/>
    <w:rsid w:val="001F34E6"/>
    <w:rsid w:val="00206782"/>
    <w:rsid w:val="00212847"/>
    <w:rsid w:val="0022024B"/>
    <w:rsid w:val="002211E0"/>
    <w:rsid w:val="002508F7"/>
    <w:rsid w:val="002569A5"/>
    <w:rsid w:val="00256A5B"/>
    <w:rsid w:val="00261C38"/>
    <w:rsid w:val="002674E7"/>
    <w:rsid w:val="00275260"/>
    <w:rsid w:val="0028666D"/>
    <w:rsid w:val="002915F8"/>
    <w:rsid w:val="00293033"/>
    <w:rsid w:val="00296A33"/>
    <w:rsid w:val="002A602A"/>
    <w:rsid w:val="002B47D5"/>
    <w:rsid w:val="002B6699"/>
    <w:rsid w:val="002C2256"/>
    <w:rsid w:val="002C4ABD"/>
    <w:rsid w:val="002E1618"/>
    <w:rsid w:val="002E3B2A"/>
    <w:rsid w:val="002F2EA7"/>
    <w:rsid w:val="002F36E0"/>
    <w:rsid w:val="002F5CBE"/>
    <w:rsid w:val="003029F6"/>
    <w:rsid w:val="00307286"/>
    <w:rsid w:val="0031602E"/>
    <w:rsid w:val="0032188D"/>
    <w:rsid w:val="00340E18"/>
    <w:rsid w:val="003434D4"/>
    <w:rsid w:val="00345932"/>
    <w:rsid w:val="00346CC4"/>
    <w:rsid w:val="0035670E"/>
    <w:rsid w:val="00356FD7"/>
    <w:rsid w:val="00360916"/>
    <w:rsid w:val="0036752E"/>
    <w:rsid w:val="00370620"/>
    <w:rsid w:val="00375FA7"/>
    <w:rsid w:val="00385EF1"/>
    <w:rsid w:val="003931CC"/>
    <w:rsid w:val="003A0F6B"/>
    <w:rsid w:val="003A3635"/>
    <w:rsid w:val="003A7407"/>
    <w:rsid w:val="003B3D92"/>
    <w:rsid w:val="003B6412"/>
    <w:rsid w:val="003B6ADF"/>
    <w:rsid w:val="003C2F82"/>
    <w:rsid w:val="003C44B4"/>
    <w:rsid w:val="003D74BE"/>
    <w:rsid w:val="003F051B"/>
    <w:rsid w:val="003F3D0A"/>
    <w:rsid w:val="0041003E"/>
    <w:rsid w:val="0042158E"/>
    <w:rsid w:val="00431155"/>
    <w:rsid w:val="004362E3"/>
    <w:rsid w:val="00437692"/>
    <w:rsid w:val="004416EB"/>
    <w:rsid w:val="00441D46"/>
    <w:rsid w:val="00446CB7"/>
    <w:rsid w:val="00450F48"/>
    <w:rsid w:val="0045489F"/>
    <w:rsid w:val="00454A0D"/>
    <w:rsid w:val="004553AA"/>
    <w:rsid w:val="00457890"/>
    <w:rsid w:val="00474889"/>
    <w:rsid w:val="00480121"/>
    <w:rsid w:val="004826DD"/>
    <w:rsid w:val="00484606"/>
    <w:rsid w:val="00487046"/>
    <w:rsid w:val="004913D1"/>
    <w:rsid w:val="00493E93"/>
    <w:rsid w:val="004971D6"/>
    <w:rsid w:val="004A0929"/>
    <w:rsid w:val="004A1064"/>
    <w:rsid w:val="004A7618"/>
    <w:rsid w:val="004C2765"/>
    <w:rsid w:val="004C58B9"/>
    <w:rsid w:val="004C7AEB"/>
    <w:rsid w:val="004D109B"/>
    <w:rsid w:val="004D1473"/>
    <w:rsid w:val="004D2843"/>
    <w:rsid w:val="004E23C4"/>
    <w:rsid w:val="004E790E"/>
    <w:rsid w:val="004F7D8C"/>
    <w:rsid w:val="005015B4"/>
    <w:rsid w:val="0050389F"/>
    <w:rsid w:val="00505CD8"/>
    <w:rsid w:val="00511F89"/>
    <w:rsid w:val="0052687A"/>
    <w:rsid w:val="00527FD7"/>
    <w:rsid w:val="00545DBA"/>
    <w:rsid w:val="0055223A"/>
    <w:rsid w:val="00570974"/>
    <w:rsid w:val="005712CC"/>
    <w:rsid w:val="005834BC"/>
    <w:rsid w:val="00586304"/>
    <w:rsid w:val="00587038"/>
    <w:rsid w:val="0059449E"/>
    <w:rsid w:val="005947A6"/>
    <w:rsid w:val="005958D6"/>
    <w:rsid w:val="005964CF"/>
    <w:rsid w:val="005A398D"/>
    <w:rsid w:val="005A75F1"/>
    <w:rsid w:val="005C14D9"/>
    <w:rsid w:val="005C65EB"/>
    <w:rsid w:val="005D3698"/>
    <w:rsid w:val="005D398A"/>
    <w:rsid w:val="005E6B55"/>
    <w:rsid w:val="005F4960"/>
    <w:rsid w:val="005F5BE6"/>
    <w:rsid w:val="00603B3F"/>
    <w:rsid w:val="0061222A"/>
    <w:rsid w:val="006154AD"/>
    <w:rsid w:val="00625BAF"/>
    <w:rsid w:val="00641906"/>
    <w:rsid w:val="006428E0"/>
    <w:rsid w:val="00646373"/>
    <w:rsid w:val="00653827"/>
    <w:rsid w:val="0065618A"/>
    <w:rsid w:val="00657E52"/>
    <w:rsid w:val="00663AF2"/>
    <w:rsid w:val="00665D45"/>
    <w:rsid w:val="00665E9B"/>
    <w:rsid w:val="00666C42"/>
    <w:rsid w:val="00670716"/>
    <w:rsid w:val="00671216"/>
    <w:rsid w:val="0067221C"/>
    <w:rsid w:val="00677AE5"/>
    <w:rsid w:val="00681986"/>
    <w:rsid w:val="00683242"/>
    <w:rsid w:val="00686F06"/>
    <w:rsid w:val="00687290"/>
    <w:rsid w:val="0068753D"/>
    <w:rsid w:val="00690272"/>
    <w:rsid w:val="0069396C"/>
    <w:rsid w:val="006940DB"/>
    <w:rsid w:val="00696659"/>
    <w:rsid w:val="00697AE8"/>
    <w:rsid w:val="006A0BDF"/>
    <w:rsid w:val="006A53BB"/>
    <w:rsid w:val="006B00AB"/>
    <w:rsid w:val="006B0401"/>
    <w:rsid w:val="006B4E64"/>
    <w:rsid w:val="006B740A"/>
    <w:rsid w:val="006C2573"/>
    <w:rsid w:val="006C59D5"/>
    <w:rsid w:val="006D24BE"/>
    <w:rsid w:val="006D5795"/>
    <w:rsid w:val="006E0E54"/>
    <w:rsid w:val="006E0ECF"/>
    <w:rsid w:val="006E38E6"/>
    <w:rsid w:val="006F32BF"/>
    <w:rsid w:val="00706F43"/>
    <w:rsid w:val="007164B4"/>
    <w:rsid w:val="007169B1"/>
    <w:rsid w:val="00733D7F"/>
    <w:rsid w:val="0074661C"/>
    <w:rsid w:val="00750397"/>
    <w:rsid w:val="00766475"/>
    <w:rsid w:val="00771B20"/>
    <w:rsid w:val="0077364D"/>
    <w:rsid w:val="007736AB"/>
    <w:rsid w:val="00781619"/>
    <w:rsid w:val="0078659B"/>
    <w:rsid w:val="00794C5F"/>
    <w:rsid w:val="007978A3"/>
    <w:rsid w:val="007A0103"/>
    <w:rsid w:val="007A2277"/>
    <w:rsid w:val="007B23F6"/>
    <w:rsid w:val="007C2A50"/>
    <w:rsid w:val="007C4107"/>
    <w:rsid w:val="007D5314"/>
    <w:rsid w:val="007D5428"/>
    <w:rsid w:val="007E63C5"/>
    <w:rsid w:val="008047D9"/>
    <w:rsid w:val="00805358"/>
    <w:rsid w:val="008070A8"/>
    <w:rsid w:val="00810499"/>
    <w:rsid w:val="0081166D"/>
    <w:rsid w:val="0081203C"/>
    <w:rsid w:val="0082003B"/>
    <w:rsid w:val="00821F3F"/>
    <w:rsid w:val="00822257"/>
    <w:rsid w:val="0083276D"/>
    <w:rsid w:val="008420E8"/>
    <w:rsid w:val="0084328D"/>
    <w:rsid w:val="008441CF"/>
    <w:rsid w:val="0084470A"/>
    <w:rsid w:val="008574B3"/>
    <w:rsid w:val="00861D34"/>
    <w:rsid w:val="008713E2"/>
    <w:rsid w:val="00872E66"/>
    <w:rsid w:val="0087707C"/>
    <w:rsid w:val="00877B1D"/>
    <w:rsid w:val="00882F17"/>
    <w:rsid w:val="0089685B"/>
    <w:rsid w:val="0089703F"/>
    <w:rsid w:val="008A1FDF"/>
    <w:rsid w:val="008A282C"/>
    <w:rsid w:val="008A4FAE"/>
    <w:rsid w:val="008A56B7"/>
    <w:rsid w:val="008A7B29"/>
    <w:rsid w:val="008C5637"/>
    <w:rsid w:val="008C584E"/>
    <w:rsid w:val="008D1E5F"/>
    <w:rsid w:val="008D28F2"/>
    <w:rsid w:val="008D496C"/>
    <w:rsid w:val="008E3483"/>
    <w:rsid w:val="008E4C8A"/>
    <w:rsid w:val="008F39AA"/>
    <w:rsid w:val="008F4C58"/>
    <w:rsid w:val="0090572C"/>
    <w:rsid w:val="0091080B"/>
    <w:rsid w:val="009108B0"/>
    <w:rsid w:val="00922FBF"/>
    <w:rsid w:val="0092509B"/>
    <w:rsid w:val="009250AC"/>
    <w:rsid w:val="00926833"/>
    <w:rsid w:val="00927B69"/>
    <w:rsid w:val="0093727E"/>
    <w:rsid w:val="0094572D"/>
    <w:rsid w:val="00952B32"/>
    <w:rsid w:val="00956A7F"/>
    <w:rsid w:val="00960C98"/>
    <w:rsid w:val="009646F8"/>
    <w:rsid w:val="009670B7"/>
    <w:rsid w:val="009723D1"/>
    <w:rsid w:val="009732C1"/>
    <w:rsid w:val="00977705"/>
    <w:rsid w:val="00980A8A"/>
    <w:rsid w:val="00981D59"/>
    <w:rsid w:val="00986186"/>
    <w:rsid w:val="009911FF"/>
    <w:rsid w:val="009936EA"/>
    <w:rsid w:val="009A0BD5"/>
    <w:rsid w:val="009A2DEA"/>
    <w:rsid w:val="009A3153"/>
    <w:rsid w:val="009A6098"/>
    <w:rsid w:val="009B760E"/>
    <w:rsid w:val="009B7961"/>
    <w:rsid w:val="009C3A9B"/>
    <w:rsid w:val="009D47E7"/>
    <w:rsid w:val="009D5783"/>
    <w:rsid w:val="009D651A"/>
    <w:rsid w:val="009D67A8"/>
    <w:rsid w:val="009F7219"/>
    <w:rsid w:val="00A0546C"/>
    <w:rsid w:val="00A05803"/>
    <w:rsid w:val="00A06882"/>
    <w:rsid w:val="00A07A2F"/>
    <w:rsid w:val="00A11CD3"/>
    <w:rsid w:val="00A213A8"/>
    <w:rsid w:val="00A21E9C"/>
    <w:rsid w:val="00A21F3E"/>
    <w:rsid w:val="00A34374"/>
    <w:rsid w:val="00A64EC4"/>
    <w:rsid w:val="00A654CC"/>
    <w:rsid w:val="00A6738D"/>
    <w:rsid w:val="00A7023B"/>
    <w:rsid w:val="00A969A1"/>
    <w:rsid w:val="00AA36D8"/>
    <w:rsid w:val="00AA6088"/>
    <w:rsid w:val="00AB23E5"/>
    <w:rsid w:val="00AB65E7"/>
    <w:rsid w:val="00AB765A"/>
    <w:rsid w:val="00AC38AA"/>
    <w:rsid w:val="00AC69D5"/>
    <w:rsid w:val="00AC6D92"/>
    <w:rsid w:val="00AD1279"/>
    <w:rsid w:val="00AD3414"/>
    <w:rsid w:val="00AD500F"/>
    <w:rsid w:val="00AE08B3"/>
    <w:rsid w:val="00AE2CB4"/>
    <w:rsid w:val="00AE6898"/>
    <w:rsid w:val="00AF03FA"/>
    <w:rsid w:val="00AF080D"/>
    <w:rsid w:val="00AF6545"/>
    <w:rsid w:val="00B008BB"/>
    <w:rsid w:val="00B00FC3"/>
    <w:rsid w:val="00B0706B"/>
    <w:rsid w:val="00B07C4C"/>
    <w:rsid w:val="00B07D99"/>
    <w:rsid w:val="00B250D2"/>
    <w:rsid w:val="00B3150B"/>
    <w:rsid w:val="00B51248"/>
    <w:rsid w:val="00B52584"/>
    <w:rsid w:val="00B52F5E"/>
    <w:rsid w:val="00B6410D"/>
    <w:rsid w:val="00B665E6"/>
    <w:rsid w:val="00B67269"/>
    <w:rsid w:val="00B6764E"/>
    <w:rsid w:val="00B6772D"/>
    <w:rsid w:val="00B727F3"/>
    <w:rsid w:val="00B728F3"/>
    <w:rsid w:val="00B72E60"/>
    <w:rsid w:val="00B7378E"/>
    <w:rsid w:val="00B81D7E"/>
    <w:rsid w:val="00B82097"/>
    <w:rsid w:val="00B872D8"/>
    <w:rsid w:val="00B90F17"/>
    <w:rsid w:val="00B94011"/>
    <w:rsid w:val="00B94B30"/>
    <w:rsid w:val="00B95245"/>
    <w:rsid w:val="00BA16C1"/>
    <w:rsid w:val="00BA439F"/>
    <w:rsid w:val="00BA7D17"/>
    <w:rsid w:val="00BB076E"/>
    <w:rsid w:val="00BB0DF6"/>
    <w:rsid w:val="00BB1CF2"/>
    <w:rsid w:val="00BB6F2E"/>
    <w:rsid w:val="00BB7A25"/>
    <w:rsid w:val="00BC0A3C"/>
    <w:rsid w:val="00BC112B"/>
    <w:rsid w:val="00BC5916"/>
    <w:rsid w:val="00BC621F"/>
    <w:rsid w:val="00BC7A54"/>
    <w:rsid w:val="00BD6CC9"/>
    <w:rsid w:val="00BD7D73"/>
    <w:rsid w:val="00BF647F"/>
    <w:rsid w:val="00C032F0"/>
    <w:rsid w:val="00C03503"/>
    <w:rsid w:val="00C10E3A"/>
    <w:rsid w:val="00C11BDC"/>
    <w:rsid w:val="00C14388"/>
    <w:rsid w:val="00C15632"/>
    <w:rsid w:val="00C159BB"/>
    <w:rsid w:val="00C20621"/>
    <w:rsid w:val="00C21933"/>
    <w:rsid w:val="00C246C7"/>
    <w:rsid w:val="00C25CD8"/>
    <w:rsid w:val="00C27C8C"/>
    <w:rsid w:val="00C305C3"/>
    <w:rsid w:val="00C344F7"/>
    <w:rsid w:val="00C52681"/>
    <w:rsid w:val="00C533FB"/>
    <w:rsid w:val="00C57E29"/>
    <w:rsid w:val="00C63730"/>
    <w:rsid w:val="00C63E8C"/>
    <w:rsid w:val="00C6413B"/>
    <w:rsid w:val="00C659A7"/>
    <w:rsid w:val="00C76FFC"/>
    <w:rsid w:val="00C856FE"/>
    <w:rsid w:val="00C9259F"/>
    <w:rsid w:val="00C93359"/>
    <w:rsid w:val="00C9759B"/>
    <w:rsid w:val="00C97C86"/>
    <w:rsid w:val="00CA070C"/>
    <w:rsid w:val="00CA1AD0"/>
    <w:rsid w:val="00CA309A"/>
    <w:rsid w:val="00CA3398"/>
    <w:rsid w:val="00CA40FA"/>
    <w:rsid w:val="00CA6926"/>
    <w:rsid w:val="00CA735C"/>
    <w:rsid w:val="00CB0749"/>
    <w:rsid w:val="00CB22A9"/>
    <w:rsid w:val="00CB2B49"/>
    <w:rsid w:val="00CB3AD5"/>
    <w:rsid w:val="00CB4975"/>
    <w:rsid w:val="00CB64E6"/>
    <w:rsid w:val="00CD0D86"/>
    <w:rsid w:val="00CD1FC7"/>
    <w:rsid w:val="00CD71EB"/>
    <w:rsid w:val="00CE030C"/>
    <w:rsid w:val="00CE3CC8"/>
    <w:rsid w:val="00CE5861"/>
    <w:rsid w:val="00CF1A90"/>
    <w:rsid w:val="00CF435D"/>
    <w:rsid w:val="00CF4D15"/>
    <w:rsid w:val="00D13D39"/>
    <w:rsid w:val="00D23BD5"/>
    <w:rsid w:val="00D24E25"/>
    <w:rsid w:val="00D2518B"/>
    <w:rsid w:val="00D32E4E"/>
    <w:rsid w:val="00D3497B"/>
    <w:rsid w:val="00D34993"/>
    <w:rsid w:val="00D35790"/>
    <w:rsid w:val="00D420AD"/>
    <w:rsid w:val="00D42155"/>
    <w:rsid w:val="00D5385A"/>
    <w:rsid w:val="00D57387"/>
    <w:rsid w:val="00D66CE0"/>
    <w:rsid w:val="00D703D1"/>
    <w:rsid w:val="00D76A1A"/>
    <w:rsid w:val="00D920FD"/>
    <w:rsid w:val="00D92D7E"/>
    <w:rsid w:val="00D94CC3"/>
    <w:rsid w:val="00DA0D39"/>
    <w:rsid w:val="00DA3B02"/>
    <w:rsid w:val="00DA5A98"/>
    <w:rsid w:val="00DB1A59"/>
    <w:rsid w:val="00DB4A50"/>
    <w:rsid w:val="00DC325E"/>
    <w:rsid w:val="00DD3199"/>
    <w:rsid w:val="00DD6138"/>
    <w:rsid w:val="00DE5308"/>
    <w:rsid w:val="00DE5665"/>
    <w:rsid w:val="00DF2758"/>
    <w:rsid w:val="00E123A9"/>
    <w:rsid w:val="00E375BA"/>
    <w:rsid w:val="00E53250"/>
    <w:rsid w:val="00E71540"/>
    <w:rsid w:val="00E75D78"/>
    <w:rsid w:val="00E833DA"/>
    <w:rsid w:val="00E92C45"/>
    <w:rsid w:val="00E94EBC"/>
    <w:rsid w:val="00E9539C"/>
    <w:rsid w:val="00EA2035"/>
    <w:rsid w:val="00EA37F3"/>
    <w:rsid w:val="00EA52DA"/>
    <w:rsid w:val="00EB0C79"/>
    <w:rsid w:val="00EC10AF"/>
    <w:rsid w:val="00EC54C3"/>
    <w:rsid w:val="00EC76A0"/>
    <w:rsid w:val="00ED21CF"/>
    <w:rsid w:val="00EE5E7F"/>
    <w:rsid w:val="00EE6310"/>
    <w:rsid w:val="00F024C0"/>
    <w:rsid w:val="00F1638F"/>
    <w:rsid w:val="00F253DC"/>
    <w:rsid w:val="00F30C30"/>
    <w:rsid w:val="00F33BD8"/>
    <w:rsid w:val="00F406BB"/>
    <w:rsid w:val="00F41249"/>
    <w:rsid w:val="00F4170A"/>
    <w:rsid w:val="00F43274"/>
    <w:rsid w:val="00F4414D"/>
    <w:rsid w:val="00F459E2"/>
    <w:rsid w:val="00F675AA"/>
    <w:rsid w:val="00F70342"/>
    <w:rsid w:val="00F7070B"/>
    <w:rsid w:val="00F73AEA"/>
    <w:rsid w:val="00F76815"/>
    <w:rsid w:val="00F849B0"/>
    <w:rsid w:val="00FA1274"/>
    <w:rsid w:val="00FB39F8"/>
    <w:rsid w:val="00FB4437"/>
    <w:rsid w:val="00FB6603"/>
    <w:rsid w:val="00FC0BF3"/>
    <w:rsid w:val="00FC1C19"/>
    <w:rsid w:val="00FC67DA"/>
    <w:rsid w:val="00FD6A58"/>
    <w:rsid w:val="00FE7304"/>
    <w:rsid w:val="00FF1A28"/>
    <w:rsid w:val="00FF7255"/>
    <w:rsid w:val="01B1FB68"/>
    <w:rsid w:val="0202499F"/>
    <w:rsid w:val="0433CDF4"/>
    <w:rsid w:val="08E8E259"/>
    <w:rsid w:val="1178808A"/>
    <w:rsid w:val="12280CD5"/>
    <w:rsid w:val="1A03F0CC"/>
    <w:rsid w:val="1A1AD5FE"/>
    <w:rsid w:val="1B2B8C5A"/>
    <w:rsid w:val="1CC75CBB"/>
    <w:rsid w:val="2477EEDE"/>
    <w:rsid w:val="2C786ADD"/>
    <w:rsid w:val="302306EB"/>
    <w:rsid w:val="328B8C3E"/>
    <w:rsid w:val="357BEF5D"/>
    <w:rsid w:val="371F11BD"/>
    <w:rsid w:val="375EFD61"/>
    <w:rsid w:val="3CFFF7B1"/>
    <w:rsid w:val="3E6F0897"/>
    <w:rsid w:val="40507ED7"/>
    <w:rsid w:val="42F79001"/>
    <w:rsid w:val="442EAC5C"/>
    <w:rsid w:val="47BA5B68"/>
    <w:rsid w:val="49DCE877"/>
    <w:rsid w:val="49EB8C22"/>
    <w:rsid w:val="4A9775EB"/>
    <w:rsid w:val="4D5D0B06"/>
    <w:rsid w:val="54570112"/>
    <w:rsid w:val="571FC1D7"/>
    <w:rsid w:val="5F4E43E0"/>
    <w:rsid w:val="602610DA"/>
    <w:rsid w:val="606FC1C5"/>
    <w:rsid w:val="6159714B"/>
    <w:rsid w:val="6481F87C"/>
    <w:rsid w:val="6591CA82"/>
    <w:rsid w:val="66E8207A"/>
    <w:rsid w:val="6713762C"/>
    <w:rsid w:val="67AE2721"/>
    <w:rsid w:val="6CF9EF1D"/>
    <w:rsid w:val="6D9FE5A5"/>
    <w:rsid w:val="721CCDEA"/>
    <w:rsid w:val="73827884"/>
    <w:rsid w:val="748EF029"/>
    <w:rsid w:val="763D0E79"/>
    <w:rsid w:val="7DB13CC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93DF"/>
  <w15:chartTrackingRefBased/>
  <w15:docId w15:val="{7D947079-5F78-454F-9756-C1509BB03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CB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semiHidden/>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semiHidden/>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C112B"/>
    <w:rPr>
      <w:color w:val="605E5C"/>
      <w:shd w:val="clear" w:color="auto" w:fill="E1DFDD"/>
    </w:rPr>
  </w:style>
  <w:style w:type="paragraph" w:styleId="Revision">
    <w:name w:val="Revision"/>
    <w:hidden/>
    <w:uiPriority w:val="99"/>
    <w:semiHidden/>
    <w:rsid w:val="00A654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804908">
      <w:bodyDiv w:val="1"/>
      <w:marLeft w:val="0"/>
      <w:marRight w:val="0"/>
      <w:marTop w:val="0"/>
      <w:marBottom w:val="0"/>
      <w:divBdr>
        <w:top w:val="none" w:sz="0" w:space="0" w:color="auto"/>
        <w:left w:val="none" w:sz="0" w:space="0" w:color="auto"/>
        <w:bottom w:val="none" w:sz="0" w:space="0" w:color="auto"/>
        <w:right w:val="none" w:sz="0" w:space="0" w:color="auto"/>
      </w:divBdr>
    </w:div>
    <w:div w:id="1367409635">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ma.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3AEC83D6290E4FA39849FF7317AA86" ma:contentTypeVersion="15" ma:contentTypeDescription="Create a new document." ma:contentTypeScope="" ma:versionID="688675ff97cb69b2622df8c402ee0b5e">
  <xsd:schema xmlns:xsd="http://www.w3.org/2001/XMLSchema" xmlns:xs="http://www.w3.org/2001/XMLSchema" xmlns:p="http://schemas.microsoft.com/office/2006/metadata/properties" xmlns:ns2="92912565-4f5f-430c-b932-bdb12fa0756f" xmlns:ns3="07993959-e33e-4fc6-9c63-0586c429c85a" targetNamespace="http://schemas.microsoft.com/office/2006/metadata/properties" ma:root="true" ma:fieldsID="05f3009ce7f0e1e35cfb9497f2af20e3" ns2:_="" ns3:_="">
    <xsd:import namespace="92912565-4f5f-430c-b932-bdb12fa0756f"/>
    <xsd:import namespace="07993959-e33e-4fc6-9c63-0586c429c8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12565-4f5f-430c-b932-bdb12fa07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993959-e33e-4fc6-9c63-0586c429c8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99f45cc-18d3-4944-8a31-c15ae7910ce7}" ma:internalName="TaxCatchAll" ma:showField="CatchAllData" ma:web="07993959-e33e-4fc6-9c63-0586c429c8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2912565-4f5f-430c-b932-bdb12fa0756f">
      <Terms xmlns="http://schemas.microsoft.com/office/infopath/2007/PartnerControls"/>
    </lcf76f155ced4ddcb4097134ff3c332f>
    <TaxCatchAll xmlns="07993959-e33e-4fc6-9c63-0586c429c85a" xsi:nil="true"/>
    <SharedWithUsers xmlns="07993959-e33e-4fc6-9c63-0586c429c85a">
      <UserInfo>
        <DisplayName>Luke Altieri</DisplayName>
        <AccountId>22</AccountId>
        <AccountType/>
      </UserInfo>
      <UserInfo>
        <DisplayName>Emilia Nedic</DisplayName>
        <AccountId>45</AccountId>
        <AccountType/>
      </UserInfo>
      <UserInfo>
        <DisplayName>Rachel Blackwood</DisplayName>
        <AccountId>92</AccountId>
        <AccountType/>
      </UserInfo>
      <UserInfo>
        <DisplayName>Nicholas Brody</DisplayName>
        <AccountId>31</AccountId>
        <AccountType/>
      </UserInfo>
      <UserInfo>
        <DisplayName>Andrew Reid</DisplayName>
        <AccountId>17</AccountId>
        <AccountType/>
      </UserInfo>
      <UserInfo>
        <DisplayName>Belinda Hill</DisplayName>
        <AccountId>21</AccountId>
        <AccountType/>
      </UserInfo>
      <UserInfo>
        <DisplayName>Morgan Zhou</DisplayName>
        <AccountId>15</AccountId>
        <AccountType/>
      </UserInfo>
      <UserInfo>
        <DisplayName>Louise Wise</DisplayName>
        <AccountId>16</AccountId>
        <AccountType/>
      </UserInfo>
      <UserInfo>
        <DisplayName>Gina Hsu</DisplayName>
        <AccountId>13</AccountId>
        <AccountType/>
      </UserInfo>
      <UserInfo>
        <DisplayName>John Seddon</DisplayName>
        <AccountId>12</AccountId>
        <AccountType/>
      </UserInfo>
      <UserInfo>
        <DisplayName>Patrick Belton</DisplayName>
        <AccountId>159</AccountId>
        <AccountType/>
      </UserInfo>
      <UserInfo>
        <DisplayName>Linda Caruso</DisplayName>
        <AccountId>24</AccountId>
        <AccountType/>
      </UserInfo>
      <UserInfo>
        <DisplayName>Cath Doolan</DisplayName>
        <AccountId>43</AccountId>
        <AccountType/>
      </UserInfo>
      <UserInfo>
        <DisplayName>Alexandra Slack</DisplayName>
        <AccountId>42</AccountId>
        <AccountType/>
      </UserInfo>
      <UserInfo>
        <DisplayName>Alex Kidman-Jones</DisplayName>
        <AccountId>267</AccountId>
        <AccountType/>
      </UserInfo>
    </SharedWithUsers>
  </documentManagement>
</p:properties>
</file>

<file path=customXml/itemProps1.xml><?xml version="1.0" encoding="utf-8"?>
<ds:datastoreItem xmlns:ds="http://schemas.openxmlformats.org/officeDocument/2006/customXml" ds:itemID="{C1755BC8-2D12-49F5-88F1-90F6074E5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12565-4f5f-430c-b932-bdb12fa0756f"/>
    <ds:schemaRef ds:uri="07993959-e33e-4fc6-9c63-0586c429c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86D54D-3E66-4AF7-B83C-EBEE5F4E5980}">
  <ds:schemaRefs>
    <ds:schemaRef ds:uri="http://schemas.openxmlformats.org/officeDocument/2006/bibliography"/>
  </ds:schemaRefs>
</ds:datastoreItem>
</file>

<file path=customXml/itemProps3.xml><?xml version="1.0" encoding="utf-8"?>
<ds:datastoreItem xmlns:ds="http://schemas.openxmlformats.org/officeDocument/2006/customXml" ds:itemID="{C088E647-FB6C-49D4-8E75-03B5196F5AC8}">
  <ds:schemaRefs>
    <ds:schemaRef ds:uri="http://schemas.microsoft.com/sharepoint/v3/contenttype/forms"/>
  </ds:schemaRefs>
</ds:datastoreItem>
</file>

<file path=customXml/itemProps4.xml><?xml version="1.0" encoding="utf-8"?>
<ds:datastoreItem xmlns:ds="http://schemas.openxmlformats.org/officeDocument/2006/customXml" ds:itemID="{D84A20D3-5249-4064-B676-33B74048141D}">
  <ds:schemaRefs>
    <ds:schemaRef ds:uri="http://schemas.microsoft.com/office/2006/metadata/properties"/>
    <ds:schemaRef ds:uri="http://schemas.microsoft.com/office/infopath/2007/PartnerControls"/>
    <ds:schemaRef ds:uri="92912565-4f5f-430c-b932-bdb12fa0756f"/>
    <ds:schemaRef ds:uri="07993959-e33e-4fc6-9c63-0586c429c8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2349</Words>
  <Characters>12347</Characters>
  <Application>Microsoft Office Word</Application>
  <DocSecurity>0</DocSecurity>
  <Lines>208</Lines>
  <Paragraphs>96</Paragraphs>
  <ScaleCrop>false</ScaleCrop>
  <Company>Australian Communications and Media Authority</Company>
  <LinksUpToDate>false</LinksUpToDate>
  <CharactersWithSpaces>14643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Morgan Vaudrey</cp:lastModifiedBy>
  <cp:revision>4</cp:revision>
  <cp:lastPrinted>2016-07-24T07:08:00Z</cp:lastPrinted>
  <dcterms:created xsi:type="dcterms:W3CDTF">2023-02-09T06:28:00Z</dcterms:created>
  <dcterms:modified xsi:type="dcterms:W3CDTF">2023-02-16T02:17:00Z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0x010100FE3AEC83D6290E4FA39849FF7317AA86</vt:lpwstr>
  </property>
  <property fmtid="{D5CDD505-2E9C-101B-9397-08002B2CF9AE}" pid="3" name="_dlc_DocIdItemGuid">
    <vt:lpwstr>f16ee754-90b0-4beb-947f-379ec3d94164</vt:lpwstr>
  </property>
  <property fmtid="{D5CDD505-2E9C-101B-9397-08002B2CF9AE}" pid="4" name="MediaServiceImageTags">
    <vt:lpwstr/>
  </property>
</Properties>
</file>