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266A" w14:textId="77777777" w:rsidR="001F2A16" w:rsidRPr="00991605" w:rsidRDefault="001F2A16" w:rsidP="0039134F">
      <w:pPr>
        <w:pStyle w:val="Header"/>
        <w:pBdr>
          <w:top w:val="single" w:sz="8" w:space="1" w:color="auto"/>
          <w:bottom w:val="single" w:sz="8" w:space="1" w:color="auto"/>
        </w:pBdr>
        <w:tabs>
          <w:tab w:val="clear" w:pos="4153"/>
          <w:tab w:val="clear" w:pos="8306"/>
        </w:tabs>
        <w:spacing w:after="360"/>
        <w:jc w:val="center"/>
        <w:rPr>
          <w:rFonts w:ascii="Arial" w:hAnsi="Arial" w:cs="Arial"/>
          <w:sz w:val="34"/>
          <w:szCs w:val="34"/>
        </w:rPr>
      </w:pPr>
      <w:r w:rsidRPr="00991605">
        <w:rPr>
          <w:rFonts w:ascii="Arial" w:hAnsi="Arial" w:cs="Arial"/>
          <w:sz w:val="34"/>
          <w:szCs w:val="34"/>
        </w:rPr>
        <w:t>Explanatory Statement</w:t>
      </w:r>
    </w:p>
    <w:p w14:paraId="45D6A77E" w14:textId="77777777" w:rsidR="00B71C31" w:rsidRPr="00991605" w:rsidRDefault="00B71C31" w:rsidP="0039134F">
      <w:pPr>
        <w:pBdr>
          <w:top w:val="single" w:sz="8" w:space="1" w:color="auto"/>
          <w:bottom w:val="single" w:sz="8" w:space="1" w:color="auto"/>
        </w:pBdr>
        <w:spacing w:before="120" w:after="120"/>
        <w:jc w:val="center"/>
        <w:rPr>
          <w:rFonts w:ascii="Arial" w:hAnsi="Arial" w:cs="Arial"/>
          <w:sz w:val="34"/>
          <w:szCs w:val="34"/>
        </w:rPr>
      </w:pPr>
      <w:bookmarkStart w:id="0" w:name="_Hlk105162708"/>
      <w:r w:rsidRPr="00991605">
        <w:rPr>
          <w:rFonts w:ascii="Arial" w:hAnsi="Arial" w:cs="Arial"/>
          <w:sz w:val="34"/>
          <w:szCs w:val="34"/>
        </w:rPr>
        <w:t>Transitional Registry Data Standards and Disclosure Frameworks (Repeal)</w:t>
      </w:r>
      <w:r w:rsidR="00CC117B" w:rsidRPr="00991605">
        <w:rPr>
          <w:rFonts w:ascii="Arial" w:hAnsi="Arial" w:cs="Arial"/>
          <w:sz w:val="34"/>
          <w:szCs w:val="34"/>
        </w:rPr>
        <w:t xml:space="preserve"> Instrument</w:t>
      </w:r>
      <w:r w:rsidRPr="00991605">
        <w:rPr>
          <w:rFonts w:ascii="Arial" w:hAnsi="Arial" w:cs="Arial"/>
          <w:sz w:val="34"/>
          <w:szCs w:val="34"/>
        </w:rPr>
        <w:t xml:space="preserve"> 202</w:t>
      </w:r>
      <w:bookmarkEnd w:id="0"/>
      <w:r w:rsidR="00AA24B6" w:rsidRPr="00991605">
        <w:rPr>
          <w:rFonts w:ascii="Arial" w:hAnsi="Arial" w:cs="Arial"/>
          <w:sz w:val="34"/>
          <w:szCs w:val="34"/>
        </w:rPr>
        <w:t>3</w:t>
      </w:r>
    </w:p>
    <w:p w14:paraId="56E477B2" w14:textId="77777777" w:rsidR="0099555F" w:rsidRPr="00991605" w:rsidRDefault="0099555F" w:rsidP="0039134F">
      <w:pPr>
        <w:pStyle w:val="Header"/>
        <w:tabs>
          <w:tab w:val="clear" w:pos="4153"/>
          <w:tab w:val="clear" w:pos="8306"/>
        </w:tabs>
        <w:jc w:val="center"/>
        <w:rPr>
          <w:rFonts w:ascii="Arial" w:hAnsi="Arial" w:cs="Arial"/>
          <w:szCs w:val="24"/>
        </w:rPr>
      </w:pPr>
    </w:p>
    <w:p w14:paraId="15D0C939" w14:textId="77777777" w:rsidR="001F2A16" w:rsidRPr="00991605" w:rsidRDefault="001F2A16" w:rsidP="0039134F">
      <w:pPr>
        <w:pStyle w:val="Header"/>
        <w:tabs>
          <w:tab w:val="clear" w:pos="4153"/>
          <w:tab w:val="clear" w:pos="8306"/>
        </w:tabs>
        <w:jc w:val="center"/>
        <w:rPr>
          <w:rFonts w:ascii="Arial" w:hAnsi="Arial" w:cs="Arial"/>
          <w:szCs w:val="24"/>
        </w:rPr>
      </w:pPr>
    </w:p>
    <w:p w14:paraId="05C45638" w14:textId="77777777" w:rsidR="00486653" w:rsidRPr="00991605" w:rsidRDefault="00486653" w:rsidP="0039134F">
      <w:pPr>
        <w:pStyle w:val="Heading2"/>
      </w:pPr>
      <w:r w:rsidRPr="00991605">
        <w:t xml:space="preserve">General </w:t>
      </w:r>
      <w:r w:rsidR="00023B79" w:rsidRPr="00991605">
        <w:t>o</w:t>
      </w:r>
      <w:r w:rsidRPr="00991605">
        <w:t xml:space="preserve">utline of </w:t>
      </w:r>
      <w:r w:rsidR="00023B79" w:rsidRPr="00991605">
        <w:t>i</w:t>
      </w:r>
      <w:r w:rsidRPr="00991605">
        <w:t>nstrument</w:t>
      </w:r>
    </w:p>
    <w:p w14:paraId="582C52E5" w14:textId="77777777" w:rsidR="001506D8" w:rsidRPr="00991605" w:rsidRDefault="00AA766D" w:rsidP="0039134F">
      <w:pPr>
        <w:numPr>
          <w:ilvl w:val="0"/>
          <w:numId w:val="1"/>
        </w:numPr>
        <w:tabs>
          <w:tab w:val="clear" w:pos="4896"/>
        </w:tabs>
        <w:spacing w:after="120"/>
        <w:ind w:left="567" w:hanging="567"/>
        <w:rPr>
          <w:rFonts w:ascii="Arial" w:hAnsi="Arial" w:cs="Arial"/>
          <w:sz w:val="22"/>
          <w:szCs w:val="22"/>
        </w:rPr>
      </w:pPr>
      <w:bookmarkStart w:id="1" w:name="_Hlk112063640"/>
      <w:r w:rsidRPr="00991605">
        <w:rPr>
          <w:rFonts w:ascii="Arial" w:hAnsi="Arial" w:cs="Arial"/>
          <w:sz w:val="22"/>
          <w:szCs w:val="22"/>
        </w:rPr>
        <w:t>This instrument repeals</w:t>
      </w:r>
      <w:r w:rsidR="0008591C" w:rsidRPr="00991605">
        <w:rPr>
          <w:rFonts w:ascii="Arial" w:hAnsi="Arial" w:cs="Arial"/>
          <w:sz w:val="22"/>
          <w:szCs w:val="22"/>
        </w:rPr>
        <w:t xml:space="preserve"> five data standards and five disclosure frameworks made under </w:t>
      </w:r>
      <w:r w:rsidR="00811A32" w:rsidRPr="00991605">
        <w:rPr>
          <w:rFonts w:ascii="Arial" w:hAnsi="Arial" w:cs="Arial"/>
          <w:sz w:val="22"/>
          <w:szCs w:val="22"/>
        </w:rPr>
        <w:t xml:space="preserve">the </w:t>
      </w:r>
      <w:r w:rsidR="0008591C" w:rsidRPr="00991605">
        <w:rPr>
          <w:rFonts w:ascii="Arial" w:hAnsi="Arial" w:cs="Arial"/>
          <w:i/>
          <w:iCs/>
          <w:sz w:val="22"/>
          <w:szCs w:val="22"/>
        </w:rPr>
        <w:t>Business Names Registration Act 2011</w:t>
      </w:r>
      <w:r w:rsidR="0008591C" w:rsidRPr="00991605">
        <w:rPr>
          <w:rFonts w:ascii="Arial" w:hAnsi="Arial" w:cs="Arial"/>
          <w:sz w:val="22"/>
          <w:szCs w:val="22"/>
        </w:rPr>
        <w:t xml:space="preserve">, </w:t>
      </w:r>
      <w:r w:rsidR="0008591C" w:rsidRPr="00991605">
        <w:rPr>
          <w:rFonts w:ascii="Arial" w:hAnsi="Arial" w:cs="Arial"/>
          <w:i/>
          <w:iCs/>
          <w:sz w:val="22"/>
          <w:szCs w:val="22"/>
        </w:rPr>
        <w:t xml:space="preserve">Commonwealth Registers Act 2020, Corporations Act 2001 </w:t>
      </w:r>
      <w:r w:rsidR="0008591C" w:rsidRPr="00991605">
        <w:rPr>
          <w:rFonts w:ascii="Arial" w:hAnsi="Arial" w:cs="Arial"/>
          <w:sz w:val="22"/>
          <w:szCs w:val="22"/>
        </w:rPr>
        <w:t>and</w:t>
      </w:r>
      <w:r w:rsidR="0008591C" w:rsidRPr="00991605">
        <w:rPr>
          <w:rFonts w:ascii="Arial" w:hAnsi="Arial" w:cs="Arial"/>
          <w:i/>
          <w:iCs/>
          <w:sz w:val="22"/>
          <w:szCs w:val="22"/>
        </w:rPr>
        <w:t xml:space="preserve"> </w:t>
      </w:r>
      <w:r w:rsidR="0008591C" w:rsidRPr="00991605">
        <w:rPr>
          <w:rFonts w:ascii="Arial" w:hAnsi="Arial" w:cs="Arial"/>
          <w:sz w:val="22"/>
          <w:szCs w:val="22"/>
        </w:rPr>
        <w:t xml:space="preserve">the </w:t>
      </w:r>
      <w:r w:rsidR="0008591C" w:rsidRPr="00991605">
        <w:rPr>
          <w:rFonts w:ascii="Arial" w:hAnsi="Arial" w:cs="Arial"/>
          <w:i/>
          <w:iCs/>
          <w:sz w:val="22"/>
          <w:szCs w:val="22"/>
        </w:rPr>
        <w:t>National Consumer Credit Protection Act 2009</w:t>
      </w:r>
      <w:r w:rsidR="00C215FB" w:rsidRPr="00991605">
        <w:rPr>
          <w:rFonts w:ascii="Arial" w:hAnsi="Arial" w:cs="Arial"/>
          <w:sz w:val="22"/>
          <w:szCs w:val="22"/>
        </w:rPr>
        <w:t>.</w:t>
      </w:r>
    </w:p>
    <w:p w14:paraId="37751001" w14:textId="77777777" w:rsidR="00486653" w:rsidRPr="00991605" w:rsidRDefault="00486653" w:rsidP="0039134F">
      <w:pPr>
        <w:numPr>
          <w:ilvl w:val="0"/>
          <w:numId w:val="1"/>
        </w:numPr>
        <w:tabs>
          <w:tab w:val="clear" w:pos="4896"/>
        </w:tabs>
        <w:spacing w:after="120"/>
        <w:ind w:left="567" w:hanging="567"/>
        <w:rPr>
          <w:rFonts w:ascii="Arial" w:hAnsi="Arial" w:cs="Arial"/>
          <w:sz w:val="22"/>
          <w:szCs w:val="22"/>
        </w:rPr>
      </w:pPr>
      <w:bookmarkStart w:id="2" w:name="_Hlk112064093"/>
      <w:bookmarkEnd w:id="1"/>
      <w:r w:rsidRPr="00991605">
        <w:rPr>
          <w:rFonts w:ascii="Arial" w:hAnsi="Arial" w:cs="Arial"/>
          <w:sz w:val="22"/>
          <w:szCs w:val="22"/>
        </w:rPr>
        <w:t>Th</w:t>
      </w:r>
      <w:r w:rsidR="007005BA" w:rsidRPr="00991605">
        <w:rPr>
          <w:rFonts w:ascii="Arial" w:hAnsi="Arial" w:cs="Arial"/>
          <w:sz w:val="22"/>
          <w:szCs w:val="22"/>
        </w:rPr>
        <w:t>e</w:t>
      </w:r>
      <w:r w:rsidRPr="00991605">
        <w:rPr>
          <w:rFonts w:ascii="Arial" w:hAnsi="Arial" w:cs="Arial"/>
          <w:sz w:val="22"/>
          <w:szCs w:val="22"/>
        </w:rPr>
        <w:t xml:space="preserve"> </w:t>
      </w:r>
      <w:r w:rsidR="00653E01" w:rsidRPr="00991605">
        <w:rPr>
          <w:rFonts w:ascii="Arial" w:hAnsi="Arial" w:cs="Arial"/>
          <w:sz w:val="22"/>
          <w:szCs w:val="22"/>
        </w:rPr>
        <w:t xml:space="preserve">instrument </w:t>
      </w:r>
      <w:bookmarkEnd w:id="2"/>
      <w:r w:rsidR="00811A32" w:rsidRPr="00991605">
        <w:rPr>
          <w:rFonts w:ascii="Arial" w:hAnsi="Arial" w:cs="Arial"/>
          <w:sz w:val="22"/>
          <w:szCs w:val="22"/>
        </w:rPr>
        <w:t>is a</w:t>
      </w:r>
      <w:r w:rsidRPr="00991605">
        <w:rPr>
          <w:rFonts w:ascii="Arial" w:hAnsi="Arial" w:cs="Arial"/>
          <w:sz w:val="22"/>
          <w:szCs w:val="22"/>
        </w:rPr>
        <w:t xml:space="preserve"> </w:t>
      </w:r>
      <w:bookmarkStart w:id="3" w:name="_Hlk112064100"/>
      <w:r w:rsidRPr="00991605">
        <w:rPr>
          <w:rFonts w:ascii="Arial" w:hAnsi="Arial" w:cs="Arial"/>
          <w:sz w:val="22"/>
          <w:szCs w:val="22"/>
        </w:rPr>
        <w:t xml:space="preserve">legislative instrument for the purposes of the </w:t>
      </w:r>
      <w:r w:rsidR="00C4143E" w:rsidRPr="00991605">
        <w:rPr>
          <w:rFonts w:ascii="Arial" w:hAnsi="Arial" w:cs="Arial"/>
          <w:i/>
          <w:sz w:val="22"/>
          <w:szCs w:val="22"/>
        </w:rPr>
        <w:t xml:space="preserve">Legislation </w:t>
      </w:r>
      <w:r w:rsidRPr="00991605">
        <w:rPr>
          <w:rFonts w:ascii="Arial" w:hAnsi="Arial" w:cs="Arial"/>
          <w:i/>
          <w:sz w:val="22"/>
          <w:szCs w:val="22"/>
        </w:rPr>
        <w:t>Act 2003</w:t>
      </w:r>
      <w:r w:rsidRPr="00991605">
        <w:rPr>
          <w:rFonts w:ascii="Arial" w:hAnsi="Arial" w:cs="Arial"/>
          <w:sz w:val="22"/>
          <w:szCs w:val="22"/>
        </w:rPr>
        <w:t>.</w:t>
      </w:r>
      <w:bookmarkEnd w:id="3"/>
    </w:p>
    <w:p w14:paraId="20F3D706" w14:textId="77777777" w:rsidR="00B31550" w:rsidRPr="00991605" w:rsidRDefault="00B31550" w:rsidP="0039134F">
      <w:pPr>
        <w:numPr>
          <w:ilvl w:val="0"/>
          <w:numId w:val="1"/>
        </w:numPr>
        <w:tabs>
          <w:tab w:val="clear" w:pos="4896"/>
        </w:tabs>
        <w:spacing w:after="120"/>
        <w:ind w:left="567" w:hanging="567"/>
        <w:rPr>
          <w:rFonts w:ascii="Arial" w:hAnsi="Arial" w:cs="Arial"/>
          <w:sz w:val="22"/>
          <w:szCs w:val="22"/>
        </w:rPr>
      </w:pPr>
      <w:bookmarkStart w:id="4" w:name="_Hlk112064110"/>
      <w:r w:rsidRPr="00991605">
        <w:rPr>
          <w:rFonts w:ascii="Arial" w:hAnsi="Arial" w:cs="Arial"/>
          <w:sz w:val="22"/>
          <w:szCs w:val="22"/>
        </w:rPr>
        <w:t xml:space="preserve">Under subsection 33(3) of the </w:t>
      </w:r>
      <w:r w:rsidRPr="00991605">
        <w:rPr>
          <w:rFonts w:ascii="Arial" w:hAnsi="Arial" w:cs="Arial"/>
          <w:i/>
          <w:sz w:val="22"/>
          <w:szCs w:val="22"/>
        </w:rPr>
        <w:t>Acts Interpretation Act 1901</w:t>
      </w:r>
      <w:r w:rsidRPr="00991605">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bookmarkEnd w:id="4"/>
    </w:p>
    <w:p w14:paraId="458CC0CB" w14:textId="77777777" w:rsidR="00E829E3" w:rsidRPr="00991605" w:rsidRDefault="00E829E3" w:rsidP="00E829E3">
      <w:pPr>
        <w:spacing w:after="120"/>
        <w:rPr>
          <w:rFonts w:ascii="Arial" w:hAnsi="Arial" w:cs="Arial"/>
          <w:sz w:val="22"/>
          <w:szCs w:val="22"/>
        </w:rPr>
      </w:pPr>
    </w:p>
    <w:p w14:paraId="43CD0DC1" w14:textId="77777777" w:rsidR="001D02E6" w:rsidRPr="00991605" w:rsidRDefault="001D02E6" w:rsidP="0039134F">
      <w:pPr>
        <w:pStyle w:val="Heading2"/>
      </w:pPr>
      <w:r w:rsidRPr="00991605">
        <w:t>Date of effect</w:t>
      </w:r>
    </w:p>
    <w:p w14:paraId="2C956F12" w14:textId="77777777" w:rsidR="00FF1AAB" w:rsidRPr="00991605" w:rsidRDefault="00FF1AAB" w:rsidP="0039134F">
      <w:pPr>
        <w:numPr>
          <w:ilvl w:val="0"/>
          <w:numId w:val="1"/>
        </w:numPr>
        <w:tabs>
          <w:tab w:val="clear" w:pos="4896"/>
        </w:tabs>
        <w:spacing w:after="120"/>
        <w:ind w:left="567" w:hanging="567"/>
        <w:rPr>
          <w:rFonts w:ascii="Arial" w:hAnsi="Arial" w:cs="Arial"/>
          <w:sz w:val="22"/>
          <w:szCs w:val="22"/>
        </w:rPr>
      </w:pPr>
      <w:bookmarkStart w:id="5" w:name="_Ref105680960"/>
      <w:r w:rsidRPr="00991605">
        <w:rPr>
          <w:rFonts w:ascii="Arial" w:hAnsi="Arial" w:cs="Arial"/>
          <w:sz w:val="22"/>
          <w:szCs w:val="22"/>
        </w:rPr>
        <w:t>T</w:t>
      </w:r>
      <w:r w:rsidRPr="00991605">
        <w:rPr>
          <w:rFonts w:ascii="Arial" w:hAnsi="Arial" w:cs="Arial"/>
          <w:sz w:val="22"/>
          <w:szCs w:val="18"/>
        </w:rPr>
        <w:t xml:space="preserve">his instrument commences on the </w:t>
      </w:r>
      <w:r w:rsidR="0047064B" w:rsidRPr="00991605">
        <w:rPr>
          <w:rFonts w:ascii="Arial" w:hAnsi="Arial" w:cs="Arial"/>
          <w:sz w:val="22"/>
          <w:szCs w:val="22"/>
        </w:rPr>
        <w:t>day after it is registered on the Federal Register of Legislation</w:t>
      </w:r>
      <w:r w:rsidR="00541D7C" w:rsidRPr="00991605">
        <w:rPr>
          <w:rFonts w:ascii="Arial" w:hAnsi="Arial" w:cs="Arial"/>
          <w:sz w:val="22"/>
          <w:szCs w:val="22"/>
        </w:rPr>
        <w:t>.</w:t>
      </w:r>
    </w:p>
    <w:bookmarkEnd w:id="5"/>
    <w:p w14:paraId="7BD2C3BA" w14:textId="77777777" w:rsidR="00E829E3" w:rsidRPr="00991605" w:rsidRDefault="00E829E3" w:rsidP="00E829E3">
      <w:pPr>
        <w:spacing w:after="120"/>
        <w:rPr>
          <w:rFonts w:ascii="Arial" w:hAnsi="Arial" w:cs="Arial"/>
          <w:sz w:val="22"/>
          <w:szCs w:val="22"/>
        </w:rPr>
      </w:pPr>
    </w:p>
    <w:p w14:paraId="5FABADA1" w14:textId="77777777" w:rsidR="00486653" w:rsidRPr="00991605" w:rsidRDefault="00486653" w:rsidP="0039134F">
      <w:pPr>
        <w:pStyle w:val="Heading2"/>
      </w:pPr>
      <w:r w:rsidRPr="00991605">
        <w:t>What is the effect of this instrument</w:t>
      </w:r>
    </w:p>
    <w:p w14:paraId="5830EB74" w14:textId="77777777" w:rsidR="00E83D48" w:rsidRPr="00991605" w:rsidRDefault="005F0914" w:rsidP="0039134F">
      <w:pPr>
        <w:numPr>
          <w:ilvl w:val="0"/>
          <w:numId w:val="1"/>
        </w:numPr>
        <w:tabs>
          <w:tab w:val="clear" w:pos="4896"/>
        </w:tabs>
        <w:spacing w:after="120"/>
        <w:ind w:left="567" w:hanging="567"/>
        <w:rPr>
          <w:rFonts w:ascii="Arial" w:hAnsi="Arial" w:cs="Arial"/>
          <w:sz w:val="22"/>
          <w:szCs w:val="22"/>
        </w:rPr>
      </w:pPr>
      <w:r w:rsidRPr="00991605">
        <w:rPr>
          <w:rFonts w:ascii="Arial" w:hAnsi="Arial" w:cs="Arial"/>
          <w:sz w:val="22"/>
          <w:szCs w:val="22"/>
        </w:rPr>
        <w:t>This instrument repeals the</w:t>
      </w:r>
      <w:r w:rsidR="00CC117B" w:rsidRPr="00991605">
        <w:rPr>
          <w:rFonts w:ascii="Arial" w:hAnsi="Arial" w:cs="Arial"/>
          <w:sz w:val="22"/>
          <w:szCs w:val="22"/>
        </w:rPr>
        <w:t xml:space="preserve"> ten</w:t>
      </w:r>
      <w:r w:rsidRPr="00991605">
        <w:rPr>
          <w:rFonts w:ascii="Arial" w:hAnsi="Arial" w:cs="Arial"/>
          <w:sz w:val="22"/>
          <w:szCs w:val="22"/>
        </w:rPr>
        <w:t xml:space="preserve"> legislative instruments listed in </w:t>
      </w:r>
      <w:r w:rsidR="00E12471" w:rsidRPr="00991605">
        <w:rPr>
          <w:rFonts w:ascii="Arial" w:hAnsi="Arial" w:cs="Arial"/>
          <w:sz w:val="22"/>
          <w:szCs w:val="22"/>
        </w:rPr>
        <w:t xml:space="preserve">paragraph </w:t>
      </w:r>
      <w:r w:rsidR="00811A32" w:rsidRPr="00991605">
        <w:rPr>
          <w:rFonts w:ascii="Arial" w:hAnsi="Arial" w:cs="Arial"/>
          <w:sz w:val="22"/>
          <w:szCs w:val="22"/>
        </w:rPr>
        <w:t>11 below</w:t>
      </w:r>
      <w:r w:rsidR="00082F2C" w:rsidRPr="00991605">
        <w:rPr>
          <w:rFonts w:ascii="Arial" w:hAnsi="Arial" w:cs="Arial"/>
          <w:sz w:val="22"/>
          <w:szCs w:val="22"/>
        </w:rPr>
        <w:t>.</w:t>
      </w:r>
    </w:p>
    <w:p w14:paraId="67C5A58B" w14:textId="77777777" w:rsidR="00E829E3" w:rsidRPr="00991605" w:rsidRDefault="00E829E3" w:rsidP="00E829E3">
      <w:pPr>
        <w:spacing w:after="120"/>
        <w:rPr>
          <w:rFonts w:ascii="Arial" w:hAnsi="Arial" w:cs="Arial"/>
          <w:sz w:val="22"/>
          <w:szCs w:val="22"/>
        </w:rPr>
      </w:pPr>
    </w:p>
    <w:p w14:paraId="246CAE9F" w14:textId="77777777" w:rsidR="00CC117B" w:rsidRPr="00991605" w:rsidRDefault="00CC117B" w:rsidP="0039134F">
      <w:pPr>
        <w:pStyle w:val="Heading2"/>
      </w:pPr>
      <w:r w:rsidRPr="00991605">
        <w:t>Compliance cost assessment</w:t>
      </w:r>
    </w:p>
    <w:p w14:paraId="7873DD87" w14:textId="77777777" w:rsidR="00CC117B" w:rsidRPr="00991605" w:rsidRDefault="00CC117B" w:rsidP="0039134F">
      <w:pPr>
        <w:numPr>
          <w:ilvl w:val="0"/>
          <w:numId w:val="1"/>
        </w:numPr>
        <w:tabs>
          <w:tab w:val="clear" w:pos="4896"/>
        </w:tabs>
        <w:spacing w:after="120"/>
        <w:ind w:left="567" w:hanging="567"/>
        <w:rPr>
          <w:rFonts w:ascii="Arial" w:hAnsi="Arial" w:cs="Arial"/>
          <w:sz w:val="22"/>
          <w:szCs w:val="22"/>
        </w:rPr>
      </w:pPr>
      <w:r w:rsidRPr="00991605">
        <w:rPr>
          <w:rFonts w:ascii="Arial" w:hAnsi="Arial" w:cs="Arial"/>
          <w:sz w:val="22"/>
          <w:szCs w:val="22"/>
        </w:rPr>
        <w:t>Minor – there will be no additional regulatory impacts as the instrument is minor and machinery in nature OBPR22-03092.</w:t>
      </w:r>
    </w:p>
    <w:p w14:paraId="10068719" w14:textId="77777777" w:rsidR="00E829E3" w:rsidRPr="00991605" w:rsidRDefault="00E829E3" w:rsidP="00E829E3">
      <w:pPr>
        <w:spacing w:after="120"/>
        <w:rPr>
          <w:rFonts w:ascii="Arial" w:hAnsi="Arial" w:cs="Arial"/>
          <w:sz w:val="22"/>
          <w:szCs w:val="22"/>
        </w:rPr>
      </w:pPr>
      <w:bookmarkStart w:id="6" w:name="_Hlk112064168"/>
    </w:p>
    <w:p w14:paraId="657971B8" w14:textId="77777777" w:rsidR="00486653" w:rsidRPr="00991605" w:rsidRDefault="00486653" w:rsidP="0039134F">
      <w:pPr>
        <w:pStyle w:val="Heading2"/>
      </w:pPr>
      <w:r w:rsidRPr="00991605">
        <w:t>Background</w:t>
      </w:r>
    </w:p>
    <w:p w14:paraId="7F0C7D0D" w14:textId="77777777" w:rsidR="000D179E" w:rsidRPr="00991605" w:rsidRDefault="000D179E" w:rsidP="0039134F">
      <w:pPr>
        <w:pStyle w:val="ListParagraph"/>
        <w:numPr>
          <w:ilvl w:val="0"/>
          <w:numId w:val="1"/>
        </w:numPr>
        <w:tabs>
          <w:tab w:val="clear" w:pos="4896"/>
        </w:tabs>
        <w:spacing w:after="120" w:line="240" w:lineRule="auto"/>
        <w:ind w:left="567" w:hanging="567"/>
        <w:rPr>
          <w:rFonts w:ascii="Arial" w:hAnsi="Arial" w:cs="Arial"/>
        </w:rPr>
      </w:pPr>
      <w:r w:rsidRPr="00991605">
        <w:rPr>
          <w:rFonts w:ascii="Arial" w:hAnsi="Arial" w:cs="Arial"/>
        </w:rPr>
        <w:t xml:space="preserve">The </w:t>
      </w:r>
      <w:r w:rsidRPr="00991605">
        <w:rPr>
          <w:rFonts w:ascii="Arial" w:hAnsi="Arial" w:cs="Arial"/>
          <w:i/>
          <w:iCs/>
        </w:rPr>
        <w:t>Treasury Laws Amendment (Registries Modernisation and Other Measures) Act 2020</w:t>
      </w:r>
      <w:r w:rsidRPr="00991605">
        <w:rPr>
          <w:rFonts w:ascii="Arial" w:hAnsi="Arial" w:cs="Arial"/>
        </w:rPr>
        <w:t xml:space="preserve"> (Registries Modernisation Act)</w:t>
      </w:r>
      <w:r w:rsidRPr="00991605">
        <w:t xml:space="preserve"> </w:t>
      </w:r>
      <w:r w:rsidRPr="00991605">
        <w:rPr>
          <w:rFonts w:ascii="Arial" w:hAnsi="Arial" w:cs="Arial"/>
        </w:rPr>
        <w:t>provides for the transfer of registry functions and power</w:t>
      </w:r>
      <w:r w:rsidR="00692F08" w:rsidRPr="00991605">
        <w:rPr>
          <w:rFonts w:ascii="Arial" w:hAnsi="Arial" w:cs="Arial"/>
        </w:rPr>
        <w:t>s</w:t>
      </w:r>
      <w:r w:rsidRPr="00991605">
        <w:rPr>
          <w:rFonts w:ascii="Arial" w:hAnsi="Arial" w:cs="Arial"/>
        </w:rPr>
        <w:t xml:space="preserve"> from </w:t>
      </w:r>
      <w:r w:rsidR="00811A32" w:rsidRPr="00991605">
        <w:rPr>
          <w:rFonts w:ascii="Arial" w:hAnsi="Arial" w:cs="Arial"/>
        </w:rPr>
        <w:t xml:space="preserve">the Australian Securities and Investments Commission (ASIC) </w:t>
      </w:r>
      <w:r w:rsidR="00445812" w:rsidRPr="00991605">
        <w:rPr>
          <w:rFonts w:ascii="Arial" w:hAnsi="Arial" w:cs="Arial"/>
        </w:rPr>
        <w:t>and the</w:t>
      </w:r>
      <w:r w:rsidR="00811A32" w:rsidRPr="00991605">
        <w:rPr>
          <w:rFonts w:ascii="Arial" w:hAnsi="Arial" w:cs="Arial"/>
        </w:rPr>
        <w:t xml:space="preserve"> Registrar of the</w:t>
      </w:r>
      <w:r w:rsidR="00445812" w:rsidRPr="00991605">
        <w:rPr>
          <w:rFonts w:ascii="Arial" w:hAnsi="Arial" w:cs="Arial"/>
        </w:rPr>
        <w:t xml:space="preserve"> </w:t>
      </w:r>
      <w:r w:rsidR="00811A32" w:rsidRPr="00991605">
        <w:rPr>
          <w:rFonts w:ascii="Arial" w:hAnsi="Arial" w:cs="Arial"/>
        </w:rPr>
        <w:t xml:space="preserve">Australian Business Register (ABR Registrar) </w:t>
      </w:r>
      <w:r w:rsidRPr="00991605">
        <w:rPr>
          <w:rFonts w:ascii="Arial" w:hAnsi="Arial" w:cs="Arial"/>
        </w:rPr>
        <w:t xml:space="preserve">to the </w:t>
      </w:r>
      <w:r w:rsidR="00FE636C" w:rsidRPr="00991605">
        <w:rPr>
          <w:rFonts w:ascii="Arial" w:hAnsi="Arial" w:cs="Arial"/>
        </w:rPr>
        <w:t xml:space="preserve">Commonwealth </w:t>
      </w:r>
      <w:r w:rsidRPr="00991605">
        <w:rPr>
          <w:rFonts w:ascii="Arial" w:hAnsi="Arial" w:cs="Arial"/>
        </w:rPr>
        <w:t xml:space="preserve">Registrar, as well as other changes to modernise the registry law. </w:t>
      </w:r>
      <w:r w:rsidR="00C2375C" w:rsidRPr="00991605">
        <w:rPr>
          <w:rFonts w:ascii="Arial" w:hAnsi="Arial" w:cs="Arial"/>
        </w:rPr>
        <w:t>The amendments</w:t>
      </w:r>
      <w:r w:rsidRPr="00991605">
        <w:rPr>
          <w:rFonts w:ascii="Arial" w:hAnsi="Arial" w:cs="Arial"/>
        </w:rPr>
        <w:t xml:space="preserve"> in the Registries Modernisation Act commence</w:t>
      </w:r>
      <w:r w:rsidR="008703CE" w:rsidRPr="00991605">
        <w:rPr>
          <w:rFonts w:ascii="Arial" w:hAnsi="Arial" w:cs="Arial"/>
        </w:rPr>
        <w:t>d</w:t>
      </w:r>
      <w:r w:rsidRPr="00991605">
        <w:rPr>
          <w:rFonts w:ascii="Arial" w:hAnsi="Arial" w:cs="Arial"/>
        </w:rPr>
        <w:t xml:space="preserve"> </w:t>
      </w:r>
      <w:r w:rsidR="00A25FCF" w:rsidRPr="00991605">
        <w:rPr>
          <w:rFonts w:ascii="Arial" w:hAnsi="Arial" w:cs="Arial"/>
        </w:rPr>
        <w:t>on 22 June 2022</w:t>
      </w:r>
      <w:r w:rsidRPr="00991605">
        <w:rPr>
          <w:rFonts w:ascii="Arial" w:hAnsi="Arial" w:cs="Arial"/>
        </w:rPr>
        <w:t>.</w:t>
      </w:r>
    </w:p>
    <w:p w14:paraId="1D265A6E" w14:textId="77777777" w:rsidR="000D179E" w:rsidRPr="00991605" w:rsidRDefault="000D179E" w:rsidP="0039134F">
      <w:pPr>
        <w:pStyle w:val="ListParagraph"/>
        <w:numPr>
          <w:ilvl w:val="0"/>
          <w:numId w:val="1"/>
        </w:numPr>
        <w:tabs>
          <w:tab w:val="clear" w:pos="4896"/>
        </w:tabs>
        <w:spacing w:after="120" w:line="240" w:lineRule="auto"/>
        <w:ind w:left="567" w:hanging="567"/>
        <w:rPr>
          <w:rFonts w:ascii="Arial" w:hAnsi="Arial" w:cs="Arial"/>
        </w:rPr>
      </w:pPr>
      <w:r w:rsidRPr="00991605">
        <w:rPr>
          <w:rFonts w:ascii="Arial" w:hAnsi="Arial" w:cs="Arial"/>
        </w:rPr>
        <w:t xml:space="preserve">The inclusion of an auto-commencement date in the Registries Modernisation Act was a technical requirement designed to ensure that laws passed by Parliament are </w:t>
      </w:r>
      <w:r w:rsidR="00FE636C" w:rsidRPr="00991605">
        <w:rPr>
          <w:rFonts w:ascii="Arial" w:hAnsi="Arial" w:cs="Arial"/>
        </w:rPr>
        <w:t>actually commenced</w:t>
      </w:r>
      <w:r w:rsidRPr="00991605">
        <w:rPr>
          <w:rFonts w:ascii="Arial" w:hAnsi="Arial" w:cs="Arial"/>
        </w:rPr>
        <w:t xml:space="preserve"> </w:t>
      </w:r>
      <w:r w:rsidR="00063E04" w:rsidRPr="00991605">
        <w:rPr>
          <w:rFonts w:ascii="Arial" w:hAnsi="Arial" w:cs="Arial"/>
        </w:rPr>
        <w:t xml:space="preserve">if </w:t>
      </w:r>
      <w:r w:rsidRPr="00991605">
        <w:rPr>
          <w:rFonts w:ascii="Arial" w:hAnsi="Arial" w:cs="Arial"/>
        </w:rPr>
        <w:t>the amendments were never commenced by proclamation.</w:t>
      </w:r>
    </w:p>
    <w:p w14:paraId="6367E76E" w14:textId="77777777" w:rsidR="000D179E" w:rsidRPr="00991605" w:rsidRDefault="000D179E" w:rsidP="0039134F">
      <w:pPr>
        <w:pStyle w:val="ListParagraph"/>
        <w:numPr>
          <w:ilvl w:val="0"/>
          <w:numId w:val="1"/>
        </w:numPr>
        <w:tabs>
          <w:tab w:val="clear" w:pos="4896"/>
        </w:tabs>
        <w:spacing w:after="120" w:line="240" w:lineRule="auto"/>
        <w:ind w:left="567" w:hanging="567"/>
        <w:rPr>
          <w:rFonts w:ascii="Arial" w:hAnsi="Arial" w:cs="Arial"/>
        </w:rPr>
      </w:pPr>
      <w:r w:rsidRPr="00991605">
        <w:rPr>
          <w:rFonts w:ascii="Arial" w:hAnsi="Arial" w:cs="Arial"/>
        </w:rPr>
        <w:t>However, it was intended that the</w:t>
      </w:r>
      <w:r w:rsidR="00AD5122" w:rsidRPr="00991605">
        <w:rPr>
          <w:rFonts w:ascii="Arial" w:hAnsi="Arial" w:cs="Arial"/>
        </w:rPr>
        <w:t xml:space="preserve"> Commonwealth</w:t>
      </w:r>
      <w:r w:rsidRPr="00991605">
        <w:rPr>
          <w:rFonts w:ascii="Arial" w:hAnsi="Arial" w:cs="Arial"/>
        </w:rPr>
        <w:t xml:space="preserve"> Registrar would assume legal responsibility for registry functions and power</w:t>
      </w:r>
      <w:r w:rsidR="00CC117B" w:rsidRPr="00991605">
        <w:rPr>
          <w:rFonts w:ascii="Arial" w:hAnsi="Arial" w:cs="Arial"/>
        </w:rPr>
        <w:t>s</w:t>
      </w:r>
      <w:r w:rsidRPr="00991605">
        <w:rPr>
          <w:rFonts w:ascii="Arial" w:hAnsi="Arial" w:cs="Arial"/>
        </w:rPr>
        <w:t xml:space="preserve"> with the progressive transfer of the registers onto the new Australian Business Registry Services (ABRS) platform in line with the Modernising Business Registers (MBR) program delivery.</w:t>
      </w:r>
    </w:p>
    <w:p w14:paraId="24264D04" w14:textId="77777777" w:rsidR="00E829E3" w:rsidRPr="00991605" w:rsidRDefault="00CC117B" w:rsidP="0039134F">
      <w:pPr>
        <w:pStyle w:val="ListParagraph"/>
        <w:numPr>
          <w:ilvl w:val="0"/>
          <w:numId w:val="1"/>
        </w:numPr>
        <w:tabs>
          <w:tab w:val="clear" w:pos="4896"/>
        </w:tabs>
        <w:spacing w:after="120" w:line="240" w:lineRule="auto"/>
        <w:ind w:left="567" w:hanging="567"/>
        <w:rPr>
          <w:rFonts w:ascii="Arial" w:hAnsi="Arial" w:cs="Arial"/>
        </w:rPr>
      </w:pPr>
      <w:bookmarkStart w:id="7" w:name="_Hlk105415911"/>
      <w:r w:rsidRPr="00991605">
        <w:rPr>
          <w:rFonts w:ascii="Arial" w:hAnsi="Arial" w:cs="Arial"/>
        </w:rPr>
        <w:lastRenderedPageBreak/>
        <w:t xml:space="preserve">The </w:t>
      </w:r>
      <w:r w:rsidR="00CE532A" w:rsidRPr="00991605">
        <w:rPr>
          <w:rFonts w:ascii="Arial" w:hAnsi="Arial" w:cs="Arial"/>
        </w:rPr>
        <w:t>Treasury Laws Amendment (Enhancing Tax Integrity and Supporting Business Investment) Bill 2022 (Bill) was introduced in the previous parliament to defer the auto-commencement date until 1 July 2024 (or an earlier date specified by proclamation) and</w:t>
      </w:r>
      <w:r w:rsidR="00FF6D34" w:rsidRPr="00991605">
        <w:rPr>
          <w:rFonts w:ascii="Arial" w:hAnsi="Arial" w:cs="Arial"/>
        </w:rPr>
        <w:t xml:space="preserve"> to</w:t>
      </w:r>
      <w:r w:rsidR="00CE532A" w:rsidRPr="00991605">
        <w:rPr>
          <w:rFonts w:ascii="Arial" w:hAnsi="Arial" w:cs="Arial"/>
        </w:rPr>
        <w:t xml:space="preserve"> enable the progressive transfer of registers. However, the Bill lapsed when the</w:t>
      </w:r>
      <w:r w:rsidRPr="00991605">
        <w:rPr>
          <w:rFonts w:ascii="Arial" w:hAnsi="Arial" w:cs="Arial"/>
        </w:rPr>
        <w:t xml:space="preserve"> Parliament was prorogued prior to the</w:t>
      </w:r>
      <w:r w:rsidR="00CE532A" w:rsidRPr="00991605">
        <w:rPr>
          <w:rFonts w:ascii="Arial" w:hAnsi="Arial" w:cs="Arial"/>
        </w:rPr>
        <w:t xml:space="preserve"> federal election </w:t>
      </w:r>
      <w:r w:rsidRPr="00991605">
        <w:rPr>
          <w:rFonts w:ascii="Arial" w:hAnsi="Arial" w:cs="Arial"/>
        </w:rPr>
        <w:t xml:space="preserve">in </w:t>
      </w:r>
      <w:r w:rsidR="00CE532A" w:rsidRPr="00991605">
        <w:rPr>
          <w:rFonts w:ascii="Arial" w:hAnsi="Arial" w:cs="Arial"/>
        </w:rPr>
        <w:t>2022.</w:t>
      </w:r>
    </w:p>
    <w:p w14:paraId="6C655510" w14:textId="77777777" w:rsidR="00845952" w:rsidRPr="00991605" w:rsidRDefault="00845952" w:rsidP="0039134F">
      <w:pPr>
        <w:numPr>
          <w:ilvl w:val="0"/>
          <w:numId w:val="1"/>
        </w:numPr>
        <w:tabs>
          <w:tab w:val="clear" w:pos="4896"/>
        </w:tabs>
        <w:spacing w:after="120"/>
        <w:ind w:left="567" w:hanging="567"/>
        <w:rPr>
          <w:rFonts w:ascii="Arial" w:hAnsi="Arial" w:cs="Arial"/>
          <w:sz w:val="22"/>
          <w:szCs w:val="22"/>
        </w:rPr>
      </w:pPr>
      <w:r w:rsidRPr="00991605">
        <w:rPr>
          <w:rFonts w:ascii="Arial" w:hAnsi="Arial" w:cs="Arial"/>
          <w:sz w:val="22"/>
          <w:szCs w:val="22"/>
        </w:rPr>
        <w:t xml:space="preserve">To ensure business continuity, the following instruments were made by the </w:t>
      </w:r>
      <w:r w:rsidR="00AD5122" w:rsidRPr="00991605">
        <w:rPr>
          <w:rFonts w:ascii="Arial" w:hAnsi="Arial" w:cs="Arial"/>
          <w:sz w:val="22"/>
          <w:szCs w:val="22"/>
        </w:rPr>
        <w:t>Commonwealth</w:t>
      </w:r>
      <w:r w:rsidR="00AD5122" w:rsidRPr="00991605">
        <w:rPr>
          <w:rFonts w:ascii="Arial" w:hAnsi="Arial" w:cs="Arial"/>
        </w:rPr>
        <w:t xml:space="preserve"> </w:t>
      </w:r>
      <w:r w:rsidRPr="00991605">
        <w:rPr>
          <w:rFonts w:ascii="Arial" w:hAnsi="Arial" w:cs="Arial"/>
          <w:sz w:val="22"/>
          <w:szCs w:val="22"/>
        </w:rPr>
        <w:t>Registrar:</w:t>
      </w:r>
    </w:p>
    <w:p w14:paraId="067D3303" w14:textId="77777777" w:rsidR="00845952" w:rsidRPr="00991605" w:rsidRDefault="00845952" w:rsidP="00E829E3">
      <w:pPr>
        <w:numPr>
          <w:ilvl w:val="0"/>
          <w:numId w:val="23"/>
        </w:numPr>
        <w:spacing w:after="120"/>
        <w:ind w:left="1701" w:hanging="567"/>
        <w:rPr>
          <w:rFonts w:ascii="Arial" w:hAnsi="Arial" w:cs="Arial"/>
          <w:sz w:val="22"/>
          <w:szCs w:val="22"/>
        </w:rPr>
      </w:pPr>
      <w:r w:rsidRPr="00991605">
        <w:rPr>
          <w:rFonts w:ascii="Arial" w:hAnsi="Arial" w:cs="Arial"/>
          <w:i/>
          <w:iCs/>
          <w:sz w:val="22"/>
          <w:szCs w:val="22"/>
        </w:rPr>
        <w:t>Australian Business Register—Transitional Registry Disclosure Framework 2022</w:t>
      </w:r>
    </w:p>
    <w:p w14:paraId="0C1AB8A9" w14:textId="77777777" w:rsidR="00845952" w:rsidRPr="00991605" w:rsidRDefault="00845952" w:rsidP="00E829E3">
      <w:pPr>
        <w:numPr>
          <w:ilvl w:val="0"/>
          <w:numId w:val="23"/>
        </w:numPr>
        <w:spacing w:after="120"/>
        <w:ind w:left="1701" w:hanging="567"/>
        <w:rPr>
          <w:rFonts w:ascii="Arial" w:hAnsi="Arial" w:cs="Arial"/>
          <w:sz w:val="22"/>
          <w:szCs w:val="22"/>
        </w:rPr>
      </w:pPr>
      <w:r w:rsidRPr="00991605">
        <w:rPr>
          <w:rFonts w:ascii="Arial" w:hAnsi="Arial" w:cs="Arial"/>
          <w:i/>
          <w:iCs/>
          <w:sz w:val="22"/>
          <w:szCs w:val="22"/>
        </w:rPr>
        <w:t>Australian Business Register—Transitional Registry Operations Data Standard 2022</w:t>
      </w:r>
    </w:p>
    <w:p w14:paraId="782AD234" w14:textId="77777777" w:rsidR="00845952" w:rsidRPr="00991605" w:rsidRDefault="00845952" w:rsidP="00E829E3">
      <w:pPr>
        <w:numPr>
          <w:ilvl w:val="0"/>
          <w:numId w:val="23"/>
        </w:numPr>
        <w:spacing w:after="120"/>
        <w:ind w:left="1701" w:hanging="567"/>
        <w:rPr>
          <w:rFonts w:ascii="Arial" w:hAnsi="Arial" w:cs="Arial"/>
          <w:sz w:val="22"/>
          <w:szCs w:val="22"/>
        </w:rPr>
      </w:pPr>
      <w:r w:rsidRPr="00991605">
        <w:rPr>
          <w:rFonts w:ascii="Arial" w:hAnsi="Arial" w:cs="Arial"/>
          <w:i/>
          <w:iCs/>
          <w:sz w:val="22"/>
          <w:szCs w:val="22"/>
        </w:rPr>
        <w:t>Business Names Registration—Transitional Registry Disclosure Framework 2022</w:t>
      </w:r>
    </w:p>
    <w:p w14:paraId="1DCF188B" w14:textId="77777777" w:rsidR="00845952" w:rsidRPr="00991605" w:rsidRDefault="00845952" w:rsidP="00E829E3">
      <w:pPr>
        <w:numPr>
          <w:ilvl w:val="0"/>
          <w:numId w:val="23"/>
        </w:numPr>
        <w:spacing w:after="120"/>
        <w:ind w:left="1701" w:hanging="567"/>
        <w:rPr>
          <w:rFonts w:ascii="Arial" w:hAnsi="Arial" w:cs="Arial"/>
          <w:sz w:val="22"/>
          <w:szCs w:val="22"/>
        </w:rPr>
      </w:pPr>
      <w:r w:rsidRPr="00991605">
        <w:rPr>
          <w:rFonts w:ascii="Arial" w:hAnsi="Arial" w:cs="Arial"/>
          <w:i/>
          <w:iCs/>
          <w:sz w:val="22"/>
          <w:szCs w:val="22"/>
        </w:rPr>
        <w:t>Business Names Registration—Transitional Registry Operations Data Standard 2022</w:t>
      </w:r>
    </w:p>
    <w:p w14:paraId="2CED4585" w14:textId="77777777" w:rsidR="00845952" w:rsidRPr="00991605" w:rsidRDefault="00845952" w:rsidP="00E829E3">
      <w:pPr>
        <w:numPr>
          <w:ilvl w:val="0"/>
          <w:numId w:val="23"/>
        </w:numPr>
        <w:spacing w:after="120"/>
        <w:ind w:left="1701" w:hanging="567"/>
        <w:rPr>
          <w:rFonts w:ascii="Arial" w:hAnsi="Arial" w:cs="Arial"/>
          <w:sz w:val="22"/>
          <w:szCs w:val="22"/>
        </w:rPr>
      </w:pPr>
      <w:r w:rsidRPr="00991605">
        <w:rPr>
          <w:rFonts w:ascii="Arial" w:hAnsi="Arial" w:cs="Arial"/>
          <w:i/>
          <w:iCs/>
          <w:sz w:val="22"/>
          <w:szCs w:val="22"/>
        </w:rPr>
        <w:t>Corporations Act—Transitional Registry Disclosure Framework 2022</w:t>
      </w:r>
    </w:p>
    <w:p w14:paraId="2590BB90" w14:textId="77777777" w:rsidR="00845952" w:rsidRPr="00991605" w:rsidRDefault="00845952" w:rsidP="00E829E3">
      <w:pPr>
        <w:numPr>
          <w:ilvl w:val="0"/>
          <w:numId w:val="23"/>
        </w:numPr>
        <w:spacing w:after="120"/>
        <w:ind w:left="1701" w:hanging="567"/>
        <w:rPr>
          <w:rFonts w:ascii="Arial" w:hAnsi="Arial" w:cs="Arial"/>
          <w:sz w:val="22"/>
          <w:szCs w:val="22"/>
        </w:rPr>
      </w:pPr>
      <w:r w:rsidRPr="00991605">
        <w:rPr>
          <w:rFonts w:ascii="Arial" w:hAnsi="Arial" w:cs="Arial"/>
          <w:i/>
          <w:iCs/>
          <w:sz w:val="22"/>
          <w:szCs w:val="22"/>
        </w:rPr>
        <w:t>Corporations Act—Transitional Registry Operations Data Standard 2022</w:t>
      </w:r>
    </w:p>
    <w:p w14:paraId="3C78384A" w14:textId="77777777" w:rsidR="00845952" w:rsidRPr="00991605" w:rsidRDefault="00845952" w:rsidP="00E829E3">
      <w:pPr>
        <w:numPr>
          <w:ilvl w:val="0"/>
          <w:numId w:val="23"/>
        </w:numPr>
        <w:spacing w:after="120"/>
        <w:ind w:left="1701" w:hanging="567"/>
        <w:rPr>
          <w:rFonts w:ascii="Arial" w:hAnsi="Arial" w:cs="Arial"/>
          <w:sz w:val="22"/>
          <w:szCs w:val="22"/>
        </w:rPr>
      </w:pPr>
      <w:r w:rsidRPr="00991605">
        <w:rPr>
          <w:rFonts w:ascii="Arial" w:hAnsi="Arial" w:cs="Arial"/>
          <w:i/>
          <w:iCs/>
          <w:sz w:val="22"/>
          <w:szCs w:val="22"/>
        </w:rPr>
        <w:t>National Consumer Credit Protection—Transitional Registry Disclosure Framework 2022</w:t>
      </w:r>
    </w:p>
    <w:p w14:paraId="6B143277" w14:textId="77777777" w:rsidR="00845952" w:rsidRPr="00991605" w:rsidRDefault="00845952" w:rsidP="00E829E3">
      <w:pPr>
        <w:numPr>
          <w:ilvl w:val="0"/>
          <w:numId w:val="23"/>
        </w:numPr>
        <w:spacing w:after="120"/>
        <w:ind w:left="1701" w:hanging="567"/>
        <w:rPr>
          <w:rFonts w:ascii="Arial" w:hAnsi="Arial" w:cs="Arial"/>
          <w:sz w:val="22"/>
          <w:szCs w:val="22"/>
        </w:rPr>
      </w:pPr>
      <w:r w:rsidRPr="00991605">
        <w:rPr>
          <w:rFonts w:ascii="Arial" w:hAnsi="Arial" w:cs="Arial"/>
          <w:i/>
          <w:iCs/>
          <w:sz w:val="22"/>
          <w:szCs w:val="22"/>
        </w:rPr>
        <w:t>National Consumer Credit Protection—Transitional Registry Operations Data Standard 2022</w:t>
      </w:r>
    </w:p>
    <w:p w14:paraId="00E0F94B" w14:textId="77777777" w:rsidR="00845952" w:rsidRPr="00991605" w:rsidRDefault="00845952" w:rsidP="00E829E3">
      <w:pPr>
        <w:numPr>
          <w:ilvl w:val="0"/>
          <w:numId w:val="23"/>
        </w:numPr>
        <w:spacing w:after="120"/>
        <w:ind w:left="1701" w:hanging="567"/>
        <w:rPr>
          <w:rFonts w:ascii="Arial" w:hAnsi="Arial" w:cs="Arial"/>
          <w:sz w:val="22"/>
          <w:szCs w:val="22"/>
        </w:rPr>
      </w:pPr>
      <w:r w:rsidRPr="00991605">
        <w:rPr>
          <w:rFonts w:ascii="Arial" w:hAnsi="Arial" w:cs="Arial"/>
          <w:i/>
          <w:iCs/>
          <w:sz w:val="22"/>
          <w:szCs w:val="22"/>
        </w:rPr>
        <w:t>SMSF Approved Auditor—Transitional Registry Disclosure Framework 2022</w:t>
      </w:r>
    </w:p>
    <w:p w14:paraId="51C861AD" w14:textId="77777777" w:rsidR="00845952" w:rsidRPr="00991605" w:rsidRDefault="00845952" w:rsidP="00E829E3">
      <w:pPr>
        <w:numPr>
          <w:ilvl w:val="0"/>
          <w:numId w:val="23"/>
        </w:numPr>
        <w:spacing w:after="120"/>
        <w:ind w:left="1701" w:hanging="567"/>
        <w:rPr>
          <w:rFonts w:ascii="Arial" w:hAnsi="Arial" w:cs="Arial"/>
          <w:sz w:val="22"/>
          <w:szCs w:val="22"/>
        </w:rPr>
      </w:pPr>
      <w:r w:rsidRPr="00991605">
        <w:rPr>
          <w:rFonts w:ascii="Arial" w:hAnsi="Arial" w:cs="Arial"/>
          <w:i/>
          <w:iCs/>
          <w:sz w:val="22"/>
          <w:szCs w:val="22"/>
        </w:rPr>
        <w:t>SMSF Approved Auditor—Transitional Registry Operations Data Standard 2022</w:t>
      </w:r>
      <w:r w:rsidRPr="00991605">
        <w:rPr>
          <w:rFonts w:ascii="Arial" w:hAnsi="Arial" w:cs="Arial"/>
          <w:sz w:val="22"/>
          <w:szCs w:val="22"/>
        </w:rPr>
        <w:t>.</w:t>
      </w:r>
    </w:p>
    <w:p w14:paraId="0F5802DE" w14:textId="77777777" w:rsidR="00845952" w:rsidRPr="00991605" w:rsidRDefault="00845952" w:rsidP="009A35CA">
      <w:pPr>
        <w:spacing w:after="120"/>
        <w:ind w:left="1134"/>
        <w:rPr>
          <w:rFonts w:ascii="Arial" w:hAnsi="Arial" w:cs="Arial"/>
          <w:sz w:val="22"/>
          <w:szCs w:val="22"/>
        </w:rPr>
      </w:pPr>
      <w:r w:rsidRPr="00991605">
        <w:rPr>
          <w:rFonts w:ascii="Arial" w:hAnsi="Arial" w:cs="Arial"/>
          <w:sz w:val="22"/>
          <w:szCs w:val="22"/>
        </w:rPr>
        <w:t>(referred to</w:t>
      </w:r>
      <w:r w:rsidR="00CC117B" w:rsidRPr="00991605">
        <w:rPr>
          <w:rFonts w:ascii="Arial" w:hAnsi="Arial" w:cs="Arial"/>
          <w:sz w:val="22"/>
          <w:szCs w:val="22"/>
        </w:rPr>
        <w:t xml:space="preserve"> below</w:t>
      </w:r>
      <w:r w:rsidRPr="00991605">
        <w:rPr>
          <w:rFonts w:ascii="Arial" w:hAnsi="Arial" w:cs="Arial"/>
          <w:sz w:val="22"/>
          <w:szCs w:val="22"/>
        </w:rPr>
        <w:t xml:space="preserve"> as the ‘transitional instruments’)</w:t>
      </w:r>
    </w:p>
    <w:p w14:paraId="3E72B57F" w14:textId="77777777" w:rsidR="00845952" w:rsidRPr="00991605" w:rsidRDefault="00845952" w:rsidP="0039134F">
      <w:pPr>
        <w:numPr>
          <w:ilvl w:val="0"/>
          <w:numId w:val="1"/>
        </w:numPr>
        <w:tabs>
          <w:tab w:val="clear" w:pos="4896"/>
        </w:tabs>
        <w:spacing w:after="120"/>
        <w:ind w:left="567" w:hanging="567"/>
        <w:rPr>
          <w:rFonts w:ascii="Arial" w:hAnsi="Arial" w:cs="Arial"/>
          <w:sz w:val="22"/>
          <w:szCs w:val="22"/>
        </w:rPr>
      </w:pPr>
      <w:r w:rsidRPr="00991605">
        <w:rPr>
          <w:rFonts w:ascii="Arial" w:hAnsi="Arial" w:cs="Arial"/>
          <w:sz w:val="22"/>
          <w:szCs w:val="22"/>
        </w:rPr>
        <w:t>The transitional instruments provided for:</w:t>
      </w:r>
    </w:p>
    <w:p w14:paraId="51A9A17A" w14:textId="77777777" w:rsidR="00845952" w:rsidRPr="00991605" w:rsidRDefault="00845952" w:rsidP="009A35CA">
      <w:pPr>
        <w:numPr>
          <w:ilvl w:val="0"/>
          <w:numId w:val="24"/>
        </w:numPr>
        <w:spacing w:after="120"/>
        <w:ind w:left="1701" w:hanging="567"/>
        <w:rPr>
          <w:rFonts w:ascii="Arial" w:hAnsi="Arial" w:cs="Arial"/>
          <w:sz w:val="22"/>
          <w:szCs w:val="22"/>
        </w:rPr>
      </w:pPr>
      <w:r w:rsidRPr="00991605">
        <w:rPr>
          <w:rFonts w:ascii="Arial" w:hAnsi="Arial" w:cs="Arial"/>
          <w:sz w:val="22"/>
          <w:szCs w:val="22"/>
        </w:rPr>
        <w:t>disclosure frameworks relating to the continued disclosure of registry information under current practices i.e. through the Australian Business Register (ABR) and ASIC forms and systems</w:t>
      </w:r>
      <w:r w:rsidR="009A35CA" w:rsidRPr="00991605">
        <w:rPr>
          <w:rFonts w:ascii="Arial" w:hAnsi="Arial" w:cs="Arial"/>
          <w:sz w:val="22"/>
          <w:szCs w:val="22"/>
        </w:rPr>
        <w:t>,</w:t>
      </w:r>
      <w:r w:rsidRPr="00991605">
        <w:rPr>
          <w:rFonts w:ascii="Arial" w:hAnsi="Arial" w:cs="Arial"/>
          <w:sz w:val="22"/>
          <w:szCs w:val="22"/>
        </w:rPr>
        <w:t xml:space="preserve"> and</w:t>
      </w:r>
    </w:p>
    <w:p w14:paraId="73A4A513" w14:textId="77777777" w:rsidR="00845952" w:rsidRPr="00991605" w:rsidRDefault="00845952" w:rsidP="009A35CA">
      <w:pPr>
        <w:numPr>
          <w:ilvl w:val="0"/>
          <w:numId w:val="24"/>
        </w:numPr>
        <w:spacing w:after="120"/>
        <w:ind w:left="1701" w:hanging="567"/>
        <w:rPr>
          <w:rFonts w:ascii="Arial" w:hAnsi="Arial" w:cs="Arial"/>
          <w:sz w:val="22"/>
          <w:szCs w:val="22"/>
        </w:rPr>
      </w:pPr>
      <w:r w:rsidRPr="00991605">
        <w:rPr>
          <w:rFonts w:ascii="Arial" w:hAnsi="Arial" w:cs="Arial"/>
          <w:sz w:val="22"/>
          <w:szCs w:val="22"/>
        </w:rPr>
        <w:t xml:space="preserve">data standards relating to the functions and powers of the </w:t>
      </w:r>
      <w:r w:rsidR="00AD5122" w:rsidRPr="00991605">
        <w:rPr>
          <w:rFonts w:ascii="Arial" w:hAnsi="Arial" w:cs="Arial"/>
          <w:sz w:val="22"/>
          <w:szCs w:val="22"/>
        </w:rPr>
        <w:t>Commonwealth</w:t>
      </w:r>
      <w:r w:rsidR="00AD5122" w:rsidRPr="00991605">
        <w:rPr>
          <w:rFonts w:ascii="Arial" w:hAnsi="Arial" w:cs="Arial"/>
        </w:rPr>
        <w:t xml:space="preserve"> </w:t>
      </w:r>
      <w:r w:rsidRPr="00991605">
        <w:rPr>
          <w:rFonts w:ascii="Arial" w:hAnsi="Arial" w:cs="Arial"/>
          <w:sz w:val="22"/>
          <w:szCs w:val="22"/>
        </w:rPr>
        <w:t>Registrar in respect of registry operations and the continued operation of registry services under current practices i.e. through ABR and ASIC forms and systems.</w:t>
      </w:r>
    </w:p>
    <w:p w14:paraId="0E5DCF5A" w14:textId="77777777" w:rsidR="00845952" w:rsidRPr="00991605" w:rsidRDefault="00845952" w:rsidP="0039134F">
      <w:pPr>
        <w:pStyle w:val="ListParagraph"/>
        <w:numPr>
          <w:ilvl w:val="0"/>
          <w:numId w:val="1"/>
        </w:numPr>
        <w:tabs>
          <w:tab w:val="clear" w:pos="4896"/>
        </w:tabs>
        <w:spacing w:after="120" w:line="240" w:lineRule="auto"/>
        <w:ind w:left="567" w:hanging="567"/>
        <w:rPr>
          <w:rFonts w:ascii="Arial" w:hAnsi="Arial" w:cs="Arial"/>
        </w:rPr>
      </w:pPr>
      <w:r w:rsidRPr="00991605">
        <w:rPr>
          <w:rFonts w:ascii="Arial" w:hAnsi="Arial" w:cs="Arial"/>
        </w:rPr>
        <w:t>The transitional instruments were temporary in nature, to allow:</w:t>
      </w:r>
    </w:p>
    <w:p w14:paraId="3FE87681" w14:textId="77777777" w:rsidR="00845952" w:rsidRPr="00991605" w:rsidRDefault="00845952" w:rsidP="009A35CA">
      <w:pPr>
        <w:numPr>
          <w:ilvl w:val="0"/>
          <w:numId w:val="25"/>
        </w:numPr>
        <w:spacing w:after="120"/>
        <w:ind w:left="1701" w:hanging="567"/>
        <w:rPr>
          <w:rFonts w:ascii="Arial" w:hAnsi="Arial" w:cs="Arial"/>
          <w:sz w:val="22"/>
          <w:szCs w:val="22"/>
        </w:rPr>
      </w:pPr>
      <w:r w:rsidRPr="00991605">
        <w:rPr>
          <w:rFonts w:ascii="Arial" w:hAnsi="Arial" w:cs="Arial"/>
          <w:sz w:val="22"/>
          <w:szCs w:val="22"/>
        </w:rPr>
        <w:t>actions to be taken through ASIC and ABR notices, forms, or systems or any other means by which the action would have been done by ASIC and the ABR prior to the commencement of the transitional instruments</w:t>
      </w:r>
      <w:r w:rsidR="009A35CA" w:rsidRPr="00991605">
        <w:rPr>
          <w:rFonts w:ascii="Arial" w:hAnsi="Arial" w:cs="Arial"/>
          <w:sz w:val="22"/>
          <w:szCs w:val="22"/>
        </w:rPr>
        <w:t>,</w:t>
      </w:r>
      <w:r w:rsidRPr="00991605">
        <w:rPr>
          <w:rFonts w:ascii="Arial" w:hAnsi="Arial" w:cs="Arial"/>
          <w:sz w:val="22"/>
          <w:szCs w:val="22"/>
        </w:rPr>
        <w:t xml:space="preserve"> and</w:t>
      </w:r>
    </w:p>
    <w:p w14:paraId="5416FF4A" w14:textId="77777777" w:rsidR="00845952" w:rsidRPr="00991605" w:rsidRDefault="00845952" w:rsidP="009A35CA">
      <w:pPr>
        <w:numPr>
          <w:ilvl w:val="0"/>
          <w:numId w:val="25"/>
        </w:numPr>
        <w:spacing w:after="120"/>
        <w:ind w:left="1701" w:hanging="567"/>
        <w:rPr>
          <w:rFonts w:ascii="Arial" w:hAnsi="Arial" w:cs="Arial"/>
          <w:sz w:val="22"/>
          <w:szCs w:val="22"/>
        </w:rPr>
      </w:pPr>
      <w:r w:rsidRPr="00991605">
        <w:rPr>
          <w:rFonts w:ascii="Arial" w:hAnsi="Arial" w:cs="Arial"/>
          <w:sz w:val="22"/>
          <w:szCs w:val="22"/>
        </w:rPr>
        <w:t>for consideration to be given to legislative options to align the commencement of relevant law with the delivery of the MBR program.</w:t>
      </w:r>
    </w:p>
    <w:p w14:paraId="114C9E37" w14:textId="77777777" w:rsidR="00CE532A" w:rsidRPr="00991605" w:rsidRDefault="00B934CB" w:rsidP="0039134F">
      <w:pPr>
        <w:pStyle w:val="ListParagraph"/>
        <w:numPr>
          <w:ilvl w:val="0"/>
          <w:numId w:val="1"/>
        </w:numPr>
        <w:tabs>
          <w:tab w:val="clear" w:pos="4896"/>
        </w:tabs>
        <w:spacing w:after="120" w:line="240" w:lineRule="auto"/>
        <w:ind w:left="567" w:hanging="567"/>
        <w:rPr>
          <w:rFonts w:ascii="Arial" w:hAnsi="Arial" w:cs="Arial"/>
        </w:rPr>
      </w:pPr>
      <w:r w:rsidRPr="00991605">
        <w:rPr>
          <w:rFonts w:ascii="Arial" w:hAnsi="Arial" w:cs="Arial"/>
          <w:shd w:val="clear" w:color="auto" w:fill="FFFFFF"/>
        </w:rPr>
        <w:t xml:space="preserve">The </w:t>
      </w:r>
      <w:r w:rsidR="00063E04" w:rsidRPr="00991605">
        <w:rPr>
          <w:rFonts w:ascii="Arial" w:hAnsi="Arial" w:cs="Arial"/>
          <w:shd w:val="clear" w:color="auto" w:fill="FFFFFF"/>
        </w:rPr>
        <w:t xml:space="preserve">transitional </w:t>
      </w:r>
      <w:r w:rsidRPr="00991605">
        <w:rPr>
          <w:rFonts w:ascii="Arial" w:hAnsi="Arial" w:cs="Arial"/>
          <w:shd w:val="clear" w:color="auto" w:fill="FFFFFF"/>
        </w:rPr>
        <w:t xml:space="preserve">instruments operated until legislative changes to support the delivery of the MBR program </w:t>
      </w:r>
      <w:r w:rsidR="00AD38D1" w:rsidRPr="00991605">
        <w:rPr>
          <w:rFonts w:ascii="Arial" w:hAnsi="Arial" w:cs="Arial"/>
          <w:shd w:val="clear" w:color="auto" w:fill="FFFFFF"/>
        </w:rPr>
        <w:t>were</w:t>
      </w:r>
      <w:r w:rsidRPr="00991605">
        <w:rPr>
          <w:rFonts w:ascii="Arial" w:hAnsi="Arial" w:cs="Arial"/>
          <w:shd w:val="clear" w:color="auto" w:fill="FFFFFF"/>
        </w:rPr>
        <w:t xml:space="preserve"> in place, at which time it </w:t>
      </w:r>
      <w:r w:rsidR="000037F7" w:rsidRPr="00991605">
        <w:rPr>
          <w:rFonts w:ascii="Arial" w:hAnsi="Arial" w:cs="Arial"/>
          <w:shd w:val="clear" w:color="auto" w:fill="FFFFFF"/>
        </w:rPr>
        <w:t>was</w:t>
      </w:r>
      <w:r w:rsidRPr="00991605">
        <w:rPr>
          <w:rFonts w:ascii="Arial" w:hAnsi="Arial" w:cs="Arial"/>
          <w:shd w:val="clear" w:color="auto" w:fill="FFFFFF"/>
        </w:rPr>
        <w:t xml:space="preserve"> anticipated that </w:t>
      </w:r>
      <w:r w:rsidR="000037F7" w:rsidRPr="00991605">
        <w:rPr>
          <w:rFonts w:ascii="Arial" w:hAnsi="Arial" w:cs="Arial"/>
          <w:shd w:val="clear" w:color="auto" w:fill="FFFFFF"/>
        </w:rPr>
        <w:t>these</w:t>
      </w:r>
      <w:r w:rsidRPr="00991605">
        <w:rPr>
          <w:rFonts w:ascii="Arial" w:hAnsi="Arial" w:cs="Arial"/>
          <w:shd w:val="clear" w:color="auto" w:fill="FFFFFF"/>
        </w:rPr>
        <w:t xml:space="preserve"> instrument</w:t>
      </w:r>
      <w:r w:rsidR="000037F7" w:rsidRPr="00991605">
        <w:rPr>
          <w:rFonts w:ascii="Arial" w:hAnsi="Arial" w:cs="Arial"/>
          <w:shd w:val="clear" w:color="auto" w:fill="FFFFFF"/>
        </w:rPr>
        <w:t>s</w:t>
      </w:r>
      <w:r w:rsidRPr="00991605">
        <w:rPr>
          <w:rFonts w:ascii="Arial" w:hAnsi="Arial" w:cs="Arial"/>
          <w:shd w:val="clear" w:color="auto" w:fill="FFFFFF"/>
        </w:rPr>
        <w:t xml:space="preserve"> </w:t>
      </w:r>
      <w:r w:rsidR="000037F7" w:rsidRPr="00991605">
        <w:rPr>
          <w:rFonts w:ascii="Arial" w:hAnsi="Arial" w:cs="Arial"/>
          <w:shd w:val="clear" w:color="auto" w:fill="FFFFFF"/>
        </w:rPr>
        <w:t>would</w:t>
      </w:r>
      <w:r w:rsidRPr="00991605">
        <w:rPr>
          <w:rFonts w:ascii="Arial" w:hAnsi="Arial" w:cs="Arial"/>
          <w:shd w:val="clear" w:color="auto" w:fill="FFFFFF"/>
        </w:rPr>
        <w:t xml:space="preserve"> be repealed.</w:t>
      </w:r>
    </w:p>
    <w:p w14:paraId="435E5FC6" w14:textId="77777777" w:rsidR="00C215FB" w:rsidRPr="00991605" w:rsidRDefault="00CC117B" w:rsidP="0039134F">
      <w:pPr>
        <w:pStyle w:val="ListParagraph"/>
        <w:numPr>
          <w:ilvl w:val="0"/>
          <w:numId w:val="1"/>
        </w:numPr>
        <w:tabs>
          <w:tab w:val="clear" w:pos="4896"/>
        </w:tabs>
        <w:spacing w:after="120" w:line="240" w:lineRule="auto"/>
        <w:ind w:left="567" w:hanging="567"/>
        <w:rPr>
          <w:rFonts w:ascii="Arial" w:hAnsi="Arial" w:cs="Arial"/>
        </w:rPr>
      </w:pPr>
      <w:r w:rsidRPr="00991605">
        <w:rPr>
          <w:rFonts w:ascii="Arial" w:hAnsi="Arial" w:cs="Arial"/>
        </w:rPr>
        <w:t>Relevant</w:t>
      </w:r>
      <w:r w:rsidR="00E829E3" w:rsidRPr="00991605">
        <w:rPr>
          <w:rFonts w:ascii="Arial" w:hAnsi="Arial" w:cs="Arial"/>
        </w:rPr>
        <w:t xml:space="preserve"> </w:t>
      </w:r>
      <w:r w:rsidR="00C215FB" w:rsidRPr="00991605">
        <w:rPr>
          <w:rFonts w:ascii="Arial" w:hAnsi="Arial" w:cs="Arial"/>
        </w:rPr>
        <w:t>legislative changes</w:t>
      </w:r>
      <w:r w:rsidRPr="00991605">
        <w:rPr>
          <w:rFonts w:ascii="Arial" w:hAnsi="Arial" w:cs="Arial"/>
        </w:rPr>
        <w:t xml:space="preserve"> were given effect by the</w:t>
      </w:r>
      <w:r w:rsidR="00E829E3" w:rsidRPr="00991605">
        <w:rPr>
          <w:rFonts w:ascii="Arial" w:hAnsi="Arial" w:cs="Arial"/>
        </w:rPr>
        <w:t xml:space="preserve"> </w:t>
      </w:r>
      <w:r w:rsidR="00C215FB" w:rsidRPr="00991605">
        <w:rPr>
          <w:rFonts w:ascii="Arial" w:hAnsi="Arial" w:cs="Arial"/>
          <w:i/>
          <w:iCs/>
        </w:rPr>
        <w:t>Treasury Laws Amendment (2022</w:t>
      </w:r>
      <w:r w:rsidR="009A35CA" w:rsidRPr="00991605">
        <w:rPr>
          <w:rFonts w:ascii="Arial" w:hAnsi="Arial" w:cs="Arial"/>
          <w:i/>
          <w:iCs/>
        </w:rPr>
        <w:t> </w:t>
      </w:r>
      <w:r w:rsidR="00C215FB" w:rsidRPr="00991605">
        <w:rPr>
          <w:rFonts w:ascii="Arial" w:hAnsi="Arial" w:cs="Arial"/>
          <w:i/>
          <w:iCs/>
        </w:rPr>
        <w:t>Measures No. 1) Act 2022</w:t>
      </w:r>
      <w:r w:rsidR="00C215FB" w:rsidRPr="00991605">
        <w:rPr>
          <w:rFonts w:ascii="Arial" w:hAnsi="Arial" w:cs="Arial"/>
        </w:rPr>
        <w:t xml:space="preserve"> (Treasury Laws Amendment),</w:t>
      </w:r>
      <w:r w:rsidRPr="00991605">
        <w:rPr>
          <w:rFonts w:ascii="Arial" w:hAnsi="Arial" w:cs="Arial"/>
        </w:rPr>
        <w:t xml:space="preserve"> which</w:t>
      </w:r>
      <w:r w:rsidR="00C215FB" w:rsidRPr="00991605">
        <w:rPr>
          <w:rFonts w:ascii="Arial" w:hAnsi="Arial" w:cs="Arial"/>
        </w:rPr>
        <w:t xml:space="preserve"> commenced on 9</w:t>
      </w:r>
      <w:r w:rsidR="009A35CA" w:rsidRPr="00991605">
        <w:rPr>
          <w:rFonts w:ascii="Arial" w:hAnsi="Arial" w:cs="Arial"/>
        </w:rPr>
        <w:t> </w:t>
      </w:r>
      <w:r w:rsidR="00C215FB" w:rsidRPr="00991605">
        <w:rPr>
          <w:rFonts w:ascii="Arial" w:hAnsi="Arial" w:cs="Arial"/>
        </w:rPr>
        <w:t xml:space="preserve">August 2022. The Treasury Laws Amendment retrospectively delayed the automatic commencement of various provisions relating to the MBR program until 1 July 2026 </w:t>
      </w:r>
      <w:r w:rsidRPr="00991605">
        <w:rPr>
          <w:rFonts w:ascii="Arial" w:hAnsi="Arial" w:cs="Arial"/>
        </w:rPr>
        <w:t>(</w:t>
      </w:r>
      <w:r w:rsidR="00C215FB" w:rsidRPr="00991605">
        <w:rPr>
          <w:rFonts w:ascii="Arial" w:hAnsi="Arial" w:cs="Arial"/>
        </w:rPr>
        <w:t>or an earlier date if specified by Proclamation</w:t>
      </w:r>
      <w:r w:rsidRPr="00991605">
        <w:rPr>
          <w:rFonts w:ascii="Arial" w:hAnsi="Arial" w:cs="Arial"/>
        </w:rPr>
        <w:t>)</w:t>
      </w:r>
      <w:r w:rsidR="00C215FB" w:rsidRPr="00991605">
        <w:rPr>
          <w:rFonts w:ascii="Arial" w:hAnsi="Arial" w:cs="Arial"/>
        </w:rPr>
        <w:t>. The effect of this change is that the Registries Modernisation Act did not automatically commence on 22 June 2022. This enables the law to be commenced when IT systems supporting the MBR program are ready.</w:t>
      </w:r>
    </w:p>
    <w:bookmarkEnd w:id="6"/>
    <w:bookmarkEnd w:id="7"/>
    <w:p w14:paraId="168D06D3" w14:textId="77777777" w:rsidR="00E829E3" w:rsidRPr="00991605" w:rsidRDefault="00E829E3" w:rsidP="00E829E3">
      <w:pPr>
        <w:spacing w:after="120"/>
        <w:rPr>
          <w:rFonts w:ascii="Arial" w:hAnsi="Arial" w:cs="Arial"/>
          <w:sz w:val="22"/>
          <w:szCs w:val="22"/>
        </w:rPr>
      </w:pPr>
    </w:p>
    <w:p w14:paraId="3B4B829A" w14:textId="77777777" w:rsidR="00486653" w:rsidRPr="00991605" w:rsidRDefault="00E10B37" w:rsidP="0039134F">
      <w:pPr>
        <w:pStyle w:val="Heading2"/>
      </w:pPr>
      <w:r w:rsidRPr="00991605">
        <w:t>Consultation</w:t>
      </w:r>
    </w:p>
    <w:p w14:paraId="5ADE1F64" w14:textId="77777777" w:rsidR="00CE532A" w:rsidRPr="00991605" w:rsidRDefault="00CE532A" w:rsidP="0039134F">
      <w:pPr>
        <w:numPr>
          <w:ilvl w:val="0"/>
          <w:numId w:val="1"/>
        </w:numPr>
        <w:tabs>
          <w:tab w:val="clear" w:pos="4896"/>
        </w:tabs>
        <w:spacing w:after="120"/>
        <w:ind w:left="567" w:hanging="567"/>
        <w:rPr>
          <w:rFonts w:ascii="Arial" w:hAnsi="Arial" w:cs="Arial"/>
          <w:sz w:val="22"/>
          <w:szCs w:val="22"/>
        </w:rPr>
      </w:pPr>
      <w:bookmarkStart w:id="8" w:name="_Hlk105417093"/>
      <w:r w:rsidRPr="00991605">
        <w:rPr>
          <w:rFonts w:ascii="Arial" w:hAnsi="Arial" w:cs="Arial"/>
          <w:sz w:val="22"/>
          <w:szCs w:val="22"/>
        </w:rPr>
        <w:t>Subsection 17(1) of the</w:t>
      </w:r>
      <w:r w:rsidRPr="00991605">
        <w:rPr>
          <w:rFonts w:ascii="Arial" w:hAnsi="Arial" w:cs="Arial"/>
          <w:i/>
          <w:iCs/>
          <w:sz w:val="22"/>
          <w:szCs w:val="22"/>
        </w:rPr>
        <w:t xml:space="preserve"> Legislation Act 2003</w:t>
      </w:r>
      <w:r w:rsidRPr="00991605">
        <w:rPr>
          <w:rFonts w:ascii="Arial" w:hAnsi="Arial" w:cs="Arial"/>
          <w:sz w:val="22"/>
          <w:szCs w:val="22"/>
        </w:rPr>
        <w:t xml:space="preserve"> requires that the rule-maker undertake an appropriate level of consultation that is reasonably practicable to undertake before making a legislative instrument.</w:t>
      </w:r>
    </w:p>
    <w:p w14:paraId="16672A2E" w14:textId="77777777" w:rsidR="00CE532A" w:rsidRPr="00991605" w:rsidRDefault="00CE532A" w:rsidP="0039134F">
      <w:pPr>
        <w:numPr>
          <w:ilvl w:val="0"/>
          <w:numId w:val="1"/>
        </w:numPr>
        <w:tabs>
          <w:tab w:val="clear" w:pos="4896"/>
        </w:tabs>
        <w:spacing w:after="120"/>
        <w:ind w:left="567" w:hanging="567"/>
        <w:rPr>
          <w:rFonts w:ascii="Arial" w:hAnsi="Arial" w:cs="Arial"/>
          <w:sz w:val="22"/>
          <w:szCs w:val="22"/>
        </w:rPr>
      </w:pPr>
      <w:r w:rsidRPr="00991605">
        <w:rPr>
          <w:rFonts w:ascii="Arial" w:hAnsi="Arial" w:cs="Arial"/>
          <w:sz w:val="22"/>
          <w:szCs w:val="22"/>
        </w:rPr>
        <w:t>Targeted consultation on</w:t>
      </w:r>
      <w:r w:rsidR="0063121B" w:rsidRPr="00991605">
        <w:rPr>
          <w:rFonts w:ascii="Arial" w:hAnsi="Arial" w:cs="Arial"/>
          <w:sz w:val="22"/>
          <w:szCs w:val="22"/>
        </w:rPr>
        <w:t xml:space="preserve"> the</w:t>
      </w:r>
      <w:r w:rsidRPr="00991605">
        <w:rPr>
          <w:rFonts w:ascii="Arial" w:hAnsi="Arial" w:cs="Arial"/>
          <w:sz w:val="22"/>
          <w:szCs w:val="22"/>
        </w:rPr>
        <w:t xml:space="preserve"> draft </w:t>
      </w:r>
      <w:r w:rsidR="00217A40" w:rsidRPr="00991605">
        <w:rPr>
          <w:rFonts w:ascii="Arial" w:hAnsi="Arial" w:cs="Arial"/>
          <w:sz w:val="22"/>
          <w:szCs w:val="22"/>
        </w:rPr>
        <w:t>of th</w:t>
      </w:r>
      <w:r w:rsidR="00845952" w:rsidRPr="00991605">
        <w:rPr>
          <w:rFonts w:ascii="Arial" w:hAnsi="Arial" w:cs="Arial"/>
          <w:sz w:val="22"/>
          <w:szCs w:val="22"/>
        </w:rPr>
        <w:t>is</w:t>
      </w:r>
      <w:r w:rsidR="00217A40" w:rsidRPr="00991605">
        <w:rPr>
          <w:rFonts w:ascii="Arial" w:hAnsi="Arial" w:cs="Arial"/>
          <w:sz w:val="22"/>
          <w:szCs w:val="22"/>
        </w:rPr>
        <w:t xml:space="preserve"> </w:t>
      </w:r>
      <w:r w:rsidR="00456D5D" w:rsidRPr="00991605">
        <w:rPr>
          <w:rFonts w:ascii="Arial" w:hAnsi="Arial" w:cs="Arial"/>
          <w:sz w:val="22"/>
          <w:szCs w:val="22"/>
        </w:rPr>
        <w:t>instrument</w:t>
      </w:r>
      <w:r w:rsidR="00B205F4" w:rsidRPr="00991605">
        <w:rPr>
          <w:rFonts w:ascii="Arial" w:hAnsi="Arial" w:cs="Arial"/>
          <w:sz w:val="22"/>
          <w:szCs w:val="22"/>
        </w:rPr>
        <w:t xml:space="preserve"> and the explanatory statements</w:t>
      </w:r>
      <w:r w:rsidRPr="00991605">
        <w:rPr>
          <w:rFonts w:ascii="Arial" w:hAnsi="Arial" w:cs="Arial"/>
          <w:sz w:val="22"/>
          <w:szCs w:val="22"/>
        </w:rPr>
        <w:t xml:space="preserve"> was undertaken for a period of 2 weeks</w:t>
      </w:r>
      <w:r w:rsidRPr="00991605" w:rsidDel="006829B8">
        <w:rPr>
          <w:rFonts w:ascii="Arial" w:hAnsi="Arial" w:cs="Arial"/>
          <w:sz w:val="22"/>
          <w:szCs w:val="22"/>
        </w:rPr>
        <w:t xml:space="preserve"> </w:t>
      </w:r>
      <w:r w:rsidRPr="00991605">
        <w:rPr>
          <w:rFonts w:ascii="Arial" w:hAnsi="Arial" w:cs="Arial"/>
          <w:sz w:val="22"/>
          <w:szCs w:val="22"/>
        </w:rPr>
        <w:t xml:space="preserve">with the </w:t>
      </w:r>
      <w:r w:rsidR="00854236" w:rsidRPr="00991605">
        <w:rPr>
          <w:rFonts w:ascii="Arial" w:hAnsi="Arial" w:cs="Arial"/>
          <w:sz w:val="22"/>
          <w:szCs w:val="22"/>
        </w:rPr>
        <w:t>MBR</w:t>
      </w:r>
      <w:r w:rsidRPr="00991605">
        <w:rPr>
          <w:rFonts w:ascii="Arial" w:hAnsi="Arial" w:cs="Arial"/>
          <w:sz w:val="22"/>
          <w:szCs w:val="22"/>
        </w:rPr>
        <w:t xml:space="preserve"> Business Advisory Group.</w:t>
      </w:r>
      <w:r w:rsidRPr="00991605">
        <w:rPr>
          <w:rStyle w:val="FootnoteReference"/>
          <w:rFonts w:ascii="Arial" w:hAnsi="Arial" w:cs="Arial"/>
          <w:sz w:val="22"/>
          <w:szCs w:val="22"/>
        </w:rPr>
        <w:footnoteReference w:id="1"/>
      </w:r>
    </w:p>
    <w:bookmarkEnd w:id="8"/>
    <w:p w14:paraId="0EC9DAF0" w14:textId="77777777" w:rsidR="00DA66D3" w:rsidRPr="00991605" w:rsidRDefault="00DA66D3" w:rsidP="0039134F">
      <w:pPr>
        <w:numPr>
          <w:ilvl w:val="0"/>
          <w:numId w:val="1"/>
        </w:numPr>
        <w:tabs>
          <w:tab w:val="clear" w:pos="4896"/>
        </w:tabs>
        <w:spacing w:after="120"/>
        <w:ind w:left="567" w:hanging="567"/>
        <w:rPr>
          <w:rFonts w:ascii="Arial" w:hAnsi="Arial" w:cs="Arial"/>
          <w:sz w:val="22"/>
          <w:szCs w:val="22"/>
        </w:rPr>
      </w:pPr>
      <w:r w:rsidRPr="00991605">
        <w:rPr>
          <w:rFonts w:ascii="Arial" w:hAnsi="Arial" w:cs="Arial"/>
          <w:sz w:val="22"/>
          <w:szCs w:val="22"/>
        </w:rPr>
        <w:t xml:space="preserve">The explanatory statements for the transitional instruments highlighted the transitional nature of </w:t>
      </w:r>
      <w:proofErr w:type="gramStart"/>
      <w:r w:rsidRPr="00991605">
        <w:rPr>
          <w:rFonts w:ascii="Arial" w:hAnsi="Arial" w:cs="Arial"/>
          <w:sz w:val="22"/>
          <w:szCs w:val="22"/>
        </w:rPr>
        <w:t>the these</w:t>
      </w:r>
      <w:proofErr w:type="gramEnd"/>
      <w:r w:rsidRPr="00991605">
        <w:rPr>
          <w:rFonts w:ascii="Arial" w:hAnsi="Arial" w:cs="Arial"/>
          <w:sz w:val="22"/>
          <w:szCs w:val="22"/>
        </w:rPr>
        <w:t xml:space="preserve"> instruments and </w:t>
      </w:r>
      <w:r w:rsidR="00AF22E5" w:rsidRPr="00991605">
        <w:rPr>
          <w:rFonts w:ascii="Arial" w:hAnsi="Arial" w:cs="Arial"/>
          <w:sz w:val="22"/>
          <w:szCs w:val="22"/>
        </w:rPr>
        <w:t>indicated</w:t>
      </w:r>
      <w:r w:rsidRPr="00991605">
        <w:rPr>
          <w:rFonts w:ascii="Arial" w:hAnsi="Arial" w:cs="Arial"/>
          <w:sz w:val="22"/>
          <w:szCs w:val="22"/>
        </w:rPr>
        <w:t xml:space="preserve"> that they </w:t>
      </w:r>
      <w:r w:rsidR="00A66B49" w:rsidRPr="00991605">
        <w:rPr>
          <w:rFonts w:ascii="Arial" w:hAnsi="Arial" w:cs="Arial"/>
          <w:sz w:val="22"/>
          <w:szCs w:val="22"/>
        </w:rPr>
        <w:t xml:space="preserve">would be </w:t>
      </w:r>
      <w:r w:rsidRPr="00991605">
        <w:rPr>
          <w:rFonts w:ascii="Arial" w:hAnsi="Arial" w:cs="Arial"/>
          <w:sz w:val="22"/>
          <w:szCs w:val="22"/>
        </w:rPr>
        <w:t xml:space="preserve">repealed once legislative changes to support the delivery of the MBR program </w:t>
      </w:r>
      <w:r w:rsidR="00A66B49" w:rsidRPr="00991605">
        <w:rPr>
          <w:rFonts w:ascii="Arial" w:hAnsi="Arial" w:cs="Arial"/>
          <w:sz w:val="22"/>
          <w:szCs w:val="22"/>
        </w:rPr>
        <w:t xml:space="preserve">were </w:t>
      </w:r>
      <w:r w:rsidRPr="00991605">
        <w:rPr>
          <w:rFonts w:ascii="Arial" w:hAnsi="Arial" w:cs="Arial"/>
          <w:sz w:val="22"/>
          <w:szCs w:val="22"/>
        </w:rPr>
        <w:t>in place.</w:t>
      </w:r>
    </w:p>
    <w:p w14:paraId="70E0F3D0" w14:textId="77777777" w:rsidR="00DA66D3" w:rsidRPr="00991605" w:rsidRDefault="00A66B49" w:rsidP="0039134F">
      <w:pPr>
        <w:numPr>
          <w:ilvl w:val="0"/>
          <w:numId w:val="1"/>
        </w:numPr>
        <w:tabs>
          <w:tab w:val="clear" w:pos="4896"/>
        </w:tabs>
        <w:spacing w:after="120"/>
        <w:ind w:left="567" w:hanging="567"/>
        <w:rPr>
          <w:rFonts w:ascii="Arial" w:hAnsi="Arial" w:cs="Arial"/>
          <w:sz w:val="22"/>
          <w:szCs w:val="22"/>
        </w:rPr>
      </w:pPr>
      <w:r w:rsidRPr="00991605">
        <w:rPr>
          <w:rFonts w:ascii="Arial" w:hAnsi="Arial" w:cs="Arial"/>
          <w:sz w:val="22"/>
          <w:szCs w:val="22"/>
        </w:rPr>
        <w:t xml:space="preserve">Relevant </w:t>
      </w:r>
      <w:r w:rsidR="00DA66D3" w:rsidRPr="00991605">
        <w:rPr>
          <w:rFonts w:ascii="Arial" w:hAnsi="Arial" w:cs="Arial"/>
          <w:sz w:val="22"/>
          <w:szCs w:val="22"/>
        </w:rPr>
        <w:t xml:space="preserve">legislative changes have now occurred </w:t>
      </w:r>
      <w:r w:rsidRPr="00991605">
        <w:rPr>
          <w:rFonts w:ascii="Arial" w:hAnsi="Arial" w:cs="Arial"/>
          <w:sz w:val="22"/>
          <w:szCs w:val="22"/>
        </w:rPr>
        <w:t>via</w:t>
      </w:r>
      <w:r w:rsidR="00DA66D3" w:rsidRPr="00991605">
        <w:rPr>
          <w:rFonts w:ascii="Arial" w:hAnsi="Arial" w:cs="Arial"/>
          <w:sz w:val="22"/>
          <w:szCs w:val="22"/>
        </w:rPr>
        <w:t xml:space="preserve"> the Treasury Laws Amendment and as anticipated, this instrument now seeks to repeal the transitional instruments.</w:t>
      </w:r>
    </w:p>
    <w:p w14:paraId="00F66F79" w14:textId="77777777" w:rsidR="00DA66D3" w:rsidRPr="00991605" w:rsidRDefault="00DA66D3" w:rsidP="0039134F">
      <w:pPr>
        <w:numPr>
          <w:ilvl w:val="0"/>
          <w:numId w:val="1"/>
        </w:numPr>
        <w:tabs>
          <w:tab w:val="clear" w:pos="4896"/>
        </w:tabs>
        <w:spacing w:after="120"/>
        <w:ind w:left="567" w:hanging="567"/>
        <w:rPr>
          <w:rFonts w:ascii="Arial" w:hAnsi="Arial" w:cs="Arial"/>
          <w:sz w:val="22"/>
          <w:szCs w:val="22"/>
        </w:rPr>
      </w:pPr>
      <w:r w:rsidRPr="00991605">
        <w:rPr>
          <w:rFonts w:ascii="Arial" w:hAnsi="Arial" w:cs="Arial"/>
          <w:sz w:val="22"/>
          <w:szCs w:val="22"/>
        </w:rPr>
        <w:t>As such, further targeted consultation was not required for this instrument</w:t>
      </w:r>
      <w:r w:rsidR="00A66B49" w:rsidRPr="00991605">
        <w:rPr>
          <w:rFonts w:ascii="Arial" w:hAnsi="Arial" w:cs="Arial"/>
          <w:sz w:val="22"/>
          <w:szCs w:val="22"/>
        </w:rPr>
        <w:t>;</w:t>
      </w:r>
      <w:r w:rsidR="0039134F" w:rsidRPr="00991605">
        <w:rPr>
          <w:rFonts w:ascii="Arial" w:hAnsi="Arial" w:cs="Arial"/>
          <w:sz w:val="22"/>
          <w:szCs w:val="22"/>
        </w:rPr>
        <w:t xml:space="preserve"> it is of a minor or machinery nature and does not affect pre 22 June 2022 arrangements now restored by the Treasury Laws Amendment.</w:t>
      </w:r>
    </w:p>
    <w:p w14:paraId="091F20A5" w14:textId="77777777" w:rsidR="0039134F" w:rsidRPr="00991605" w:rsidRDefault="0039134F" w:rsidP="0039134F">
      <w:pPr>
        <w:spacing w:after="120"/>
        <w:rPr>
          <w:rFonts w:ascii="Arial" w:hAnsi="Arial" w:cs="Arial"/>
          <w:sz w:val="22"/>
          <w:szCs w:val="22"/>
        </w:rPr>
      </w:pPr>
    </w:p>
    <w:p w14:paraId="0A340973" w14:textId="77777777" w:rsidR="00E829E3" w:rsidRPr="00991605" w:rsidRDefault="00E829E3" w:rsidP="0039134F">
      <w:pPr>
        <w:spacing w:after="120"/>
        <w:rPr>
          <w:rFonts w:ascii="Arial" w:hAnsi="Arial" w:cs="Arial"/>
          <w:sz w:val="22"/>
          <w:szCs w:val="22"/>
        </w:rPr>
      </w:pPr>
    </w:p>
    <w:p w14:paraId="095B45E7" w14:textId="77777777" w:rsidR="00E829E3" w:rsidRPr="00991605" w:rsidRDefault="00E829E3" w:rsidP="0039134F">
      <w:pPr>
        <w:spacing w:after="120"/>
        <w:rPr>
          <w:rFonts w:ascii="Arial" w:hAnsi="Arial" w:cs="Arial"/>
          <w:sz w:val="22"/>
          <w:szCs w:val="22"/>
        </w:rPr>
      </w:pPr>
    </w:p>
    <w:p w14:paraId="0D9564D5" w14:textId="77777777" w:rsidR="00101CD5" w:rsidRPr="00991605" w:rsidRDefault="007E0A01" w:rsidP="0039134F">
      <w:pPr>
        <w:pStyle w:val="Heading3"/>
        <w:spacing w:before="0"/>
        <w:rPr>
          <w:i/>
          <w:sz w:val="20"/>
          <w:szCs w:val="20"/>
        </w:rPr>
      </w:pPr>
      <w:r w:rsidRPr="00991605">
        <w:rPr>
          <w:i/>
          <w:sz w:val="20"/>
          <w:szCs w:val="20"/>
        </w:rPr>
        <w:t>Legislative references</w:t>
      </w:r>
    </w:p>
    <w:p w14:paraId="3749FA29" w14:textId="77777777" w:rsidR="00F65FE9" w:rsidRPr="00991605" w:rsidRDefault="00F65FE9" w:rsidP="0039134F">
      <w:pPr>
        <w:rPr>
          <w:rFonts w:ascii="Arial" w:hAnsi="Arial" w:cs="Arial"/>
          <w:i/>
          <w:iCs/>
          <w:sz w:val="20"/>
        </w:rPr>
      </w:pPr>
      <w:r w:rsidRPr="00991605">
        <w:rPr>
          <w:rFonts w:ascii="Arial" w:hAnsi="Arial" w:cs="Arial"/>
          <w:i/>
          <w:sz w:val="20"/>
        </w:rPr>
        <w:t>Acts Interpretation Act 1901</w:t>
      </w:r>
    </w:p>
    <w:p w14:paraId="2C0ED09F" w14:textId="77777777" w:rsidR="00063E04" w:rsidRPr="00991605" w:rsidRDefault="00063E04" w:rsidP="0039134F">
      <w:pPr>
        <w:rPr>
          <w:rFonts w:ascii="Arial" w:hAnsi="Arial" w:cs="Arial"/>
          <w:i/>
          <w:iCs/>
          <w:sz w:val="20"/>
        </w:rPr>
      </w:pPr>
      <w:r w:rsidRPr="00991605">
        <w:rPr>
          <w:rFonts w:ascii="Arial" w:hAnsi="Arial" w:cs="Arial"/>
          <w:i/>
          <w:iCs/>
          <w:sz w:val="20"/>
        </w:rPr>
        <w:t>Business Names Registration Act 2011</w:t>
      </w:r>
    </w:p>
    <w:p w14:paraId="4F663E20" w14:textId="77777777" w:rsidR="00F65FE9" w:rsidRPr="00991605" w:rsidRDefault="00F65FE9" w:rsidP="0039134F">
      <w:pPr>
        <w:rPr>
          <w:rFonts w:ascii="Arial" w:hAnsi="Arial" w:cs="Arial"/>
          <w:i/>
          <w:sz w:val="20"/>
        </w:rPr>
      </w:pPr>
      <w:r w:rsidRPr="00991605">
        <w:rPr>
          <w:rFonts w:ascii="Arial" w:hAnsi="Arial" w:cs="Arial"/>
          <w:i/>
          <w:sz w:val="20"/>
        </w:rPr>
        <w:t>Commonwealth Registers Act 2020</w:t>
      </w:r>
    </w:p>
    <w:p w14:paraId="206A2DB7" w14:textId="77777777" w:rsidR="00063E04" w:rsidRPr="00991605" w:rsidRDefault="00063E04" w:rsidP="0039134F">
      <w:pPr>
        <w:rPr>
          <w:rFonts w:ascii="Arial" w:hAnsi="Arial" w:cs="Arial"/>
          <w:i/>
          <w:iCs/>
          <w:sz w:val="20"/>
        </w:rPr>
      </w:pPr>
      <w:r w:rsidRPr="00991605">
        <w:rPr>
          <w:rFonts w:ascii="Arial" w:hAnsi="Arial" w:cs="Arial"/>
          <w:i/>
          <w:iCs/>
          <w:sz w:val="20"/>
        </w:rPr>
        <w:t>Corporations Act 2001</w:t>
      </w:r>
    </w:p>
    <w:p w14:paraId="24688206" w14:textId="77777777" w:rsidR="00F65FE9" w:rsidRPr="00991605" w:rsidRDefault="00F65FE9" w:rsidP="0039134F">
      <w:pPr>
        <w:rPr>
          <w:rFonts w:ascii="Arial" w:hAnsi="Arial" w:cs="Arial"/>
          <w:i/>
          <w:sz w:val="20"/>
        </w:rPr>
      </w:pPr>
      <w:r w:rsidRPr="00991605">
        <w:rPr>
          <w:rFonts w:ascii="Arial" w:hAnsi="Arial" w:cs="Arial"/>
          <w:i/>
          <w:iCs/>
          <w:sz w:val="20"/>
        </w:rPr>
        <w:t>Human Rights (Parliamentary Scrutiny) Act 2011</w:t>
      </w:r>
    </w:p>
    <w:p w14:paraId="5850F107" w14:textId="77777777" w:rsidR="00910595" w:rsidRPr="00991605" w:rsidRDefault="008A2553" w:rsidP="0039134F">
      <w:pPr>
        <w:rPr>
          <w:rFonts w:ascii="Arial" w:hAnsi="Arial" w:cs="Arial"/>
          <w:i/>
          <w:sz w:val="20"/>
        </w:rPr>
      </w:pPr>
      <w:r w:rsidRPr="00991605">
        <w:rPr>
          <w:rFonts w:ascii="Arial" w:hAnsi="Arial" w:cs="Arial"/>
          <w:i/>
          <w:sz w:val="20"/>
        </w:rPr>
        <w:t>Legislation Act 2003</w:t>
      </w:r>
    </w:p>
    <w:p w14:paraId="343B7302" w14:textId="77777777" w:rsidR="00063E04" w:rsidRPr="00991605" w:rsidRDefault="00063E04" w:rsidP="0039134F">
      <w:pPr>
        <w:rPr>
          <w:rFonts w:ascii="Arial" w:hAnsi="Arial" w:cs="Arial"/>
          <w:i/>
          <w:iCs/>
          <w:sz w:val="20"/>
        </w:rPr>
      </w:pPr>
      <w:r w:rsidRPr="00991605">
        <w:rPr>
          <w:rFonts w:ascii="Arial" w:hAnsi="Arial" w:cs="Arial"/>
          <w:i/>
          <w:iCs/>
          <w:sz w:val="20"/>
        </w:rPr>
        <w:t>National Consumer Credit Protection Act 2009</w:t>
      </w:r>
    </w:p>
    <w:p w14:paraId="67B7E8EB" w14:textId="77777777" w:rsidR="008A2553" w:rsidRPr="00991605" w:rsidRDefault="008A2553" w:rsidP="0039134F">
      <w:pPr>
        <w:rPr>
          <w:rFonts w:ascii="Arial" w:hAnsi="Arial" w:cs="Arial"/>
          <w:i/>
          <w:sz w:val="20"/>
        </w:rPr>
      </w:pPr>
      <w:r w:rsidRPr="00991605">
        <w:rPr>
          <w:rFonts w:ascii="Arial" w:hAnsi="Arial" w:cs="Arial"/>
          <w:i/>
          <w:iCs/>
          <w:sz w:val="20"/>
        </w:rPr>
        <w:t>Treasury Laws Amendment (Registries Modernisation and Other Measures) Act 2020</w:t>
      </w:r>
    </w:p>
    <w:p w14:paraId="156F6D5E" w14:textId="77777777" w:rsidR="008A2553" w:rsidRPr="00991605" w:rsidRDefault="00047180" w:rsidP="0039134F">
      <w:pPr>
        <w:rPr>
          <w:rFonts w:ascii="Arial" w:hAnsi="Arial" w:cs="Arial"/>
          <w:i/>
          <w:sz w:val="20"/>
        </w:rPr>
      </w:pPr>
      <w:r w:rsidRPr="00991605">
        <w:rPr>
          <w:rFonts w:ascii="Arial" w:hAnsi="Arial" w:cs="Arial"/>
          <w:i/>
          <w:iCs/>
          <w:sz w:val="20"/>
        </w:rPr>
        <w:t>Treasury Laws Amendment (2022 Measures No. 1) Act 2022</w:t>
      </w:r>
    </w:p>
    <w:p w14:paraId="6EC37B7F" w14:textId="77777777" w:rsidR="00457BE4" w:rsidRPr="00991605" w:rsidRDefault="00457BE4" w:rsidP="0039134F">
      <w:pPr>
        <w:spacing w:after="120"/>
        <w:rPr>
          <w:rFonts w:ascii="Arial" w:hAnsi="Arial" w:cs="Arial"/>
          <w:b/>
          <w:bCs/>
          <w:szCs w:val="26"/>
        </w:rPr>
      </w:pPr>
      <w:r w:rsidRPr="00991605">
        <w:br w:type="page"/>
      </w:r>
    </w:p>
    <w:p w14:paraId="5C65BADC" w14:textId="77777777" w:rsidR="006428FA" w:rsidRPr="00991605" w:rsidRDefault="006428FA" w:rsidP="0039134F">
      <w:pPr>
        <w:pStyle w:val="Heading3"/>
        <w:spacing w:before="0" w:after="120"/>
        <w:jc w:val="center"/>
        <w:rPr>
          <w:sz w:val="24"/>
        </w:rPr>
      </w:pPr>
      <w:r w:rsidRPr="00991605">
        <w:rPr>
          <w:sz w:val="24"/>
        </w:rPr>
        <w:lastRenderedPageBreak/>
        <w:t>Statement of compatibility with Human Rights</w:t>
      </w:r>
    </w:p>
    <w:p w14:paraId="45BE7059" w14:textId="6A6D0DC6" w:rsidR="006428FA" w:rsidRPr="00991605" w:rsidRDefault="00653E01" w:rsidP="0039134F">
      <w:pPr>
        <w:pStyle w:val="Heading3"/>
        <w:spacing w:before="0" w:after="120"/>
        <w:rPr>
          <w:b w:val="0"/>
          <w:bCs w:val="0"/>
          <w:sz w:val="24"/>
        </w:rPr>
      </w:pPr>
      <w:r w:rsidRPr="00991605">
        <w:rPr>
          <w:b w:val="0"/>
          <w:sz w:val="22"/>
          <w:szCs w:val="20"/>
        </w:rPr>
        <w:t>This statement is p</w:t>
      </w:r>
      <w:r w:rsidR="006428FA" w:rsidRPr="00991605">
        <w:rPr>
          <w:b w:val="0"/>
          <w:sz w:val="22"/>
          <w:szCs w:val="20"/>
        </w:rPr>
        <w:t xml:space="preserve">repared in accordance with Part 3 of the </w:t>
      </w:r>
      <w:bookmarkStart w:id="9" w:name="_Hlk103784308"/>
      <w:r w:rsidR="006428FA" w:rsidRPr="00991605">
        <w:rPr>
          <w:b w:val="0"/>
          <w:i/>
          <w:sz w:val="22"/>
          <w:szCs w:val="20"/>
        </w:rPr>
        <w:t>Human Rights (Parliamentary Scrutiny) Act 2011</w:t>
      </w:r>
      <w:bookmarkEnd w:id="9"/>
    </w:p>
    <w:p w14:paraId="35E8EBC9" w14:textId="77777777" w:rsidR="006428FA" w:rsidRPr="00991605" w:rsidRDefault="006428FA" w:rsidP="0039134F">
      <w:pPr>
        <w:spacing w:after="120"/>
        <w:rPr>
          <w:rFonts w:ascii="Arial" w:hAnsi="Arial" w:cs="Arial"/>
          <w:sz w:val="22"/>
          <w:szCs w:val="22"/>
        </w:rPr>
      </w:pPr>
    </w:p>
    <w:p w14:paraId="43AA559C" w14:textId="02287723" w:rsidR="006428FA" w:rsidRPr="00991605" w:rsidRDefault="00653E01" w:rsidP="009A35CA">
      <w:pPr>
        <w:pStyle w:val="Heading2"/>
        <w:jc w:val="center"/>
        <w:rPr>
          <w:i/>
          <w:iCs/>
        </w:rPr>
      </w:pPr>
      <w:bookmarkStart w:id="10" w:name="_Hlk83896781"/>
      <w:r w:rsidRPr="00991605">
        <w:rPr>
          <w:i/>
          <w:iCs/>
        </w:rPr>
        <w:t>Transitional Registry Data Standards and Disclosure Frameworks (Repeal)</w:t>
      </w:r>
      <w:r w:rsidR="00FA0822" w:rsidRPr="00991605">
        <w:rPr>
          <w:i/>
          <w:iCs/>
        </w:rPr>
        <w:t xml:space="preserve"> Instrument</w:t>
      </w:r>
      <w:r w:rsidRPr="00991605">
        <w:rPr>
          <w:i/>
          <w:iCs/>
        </w:rPr>
        <w:t xml:space="preserve"> 202</w:t>
      </w:r>
      <w:r w:rsidR="002F4A99">
        <w:rPr>
          <w:i/>
          <w:iCs/>
        </w:rPr>
        <w:t>3</w:t>
      </w:r>
    </w:p>
    <w:bookmarkEnd w:id="10"/>
    <w:p w14:paraId="78A32878" w14:textId="77777777" w:rsidR="006428FA" w:rsidRPr="00991605" w:rsidRDefault="006428FA" w:rsidP="0039134F">
      <w:pPr>
        <w:autoSpaceDE w:val="0"/>
        <w:autoSpaceDN w:val="0"/>
        <w:adjustRightInd w:val="0"/>
        <w:spacing w:after="120"/>
        <w:rPr>
          <w:rFonts w:ascii="Arial" w:hAnsi="Arial" w:cs="Arial"/>
          <w:sz w:val="22"/>
        </w:rPr>
      </w:pPr>
      <w:r w:rsidRPr="00991605">
        <w:rPr>
          <w:rFonts w:ascii="Arial" w:hAnsi="Arial" w:cs="Arial"/>
          <w:sz w:val="22"/>
        </w:rPr>
        <w:t xml:space="preserve">This </w:t>
      </w:r>
      <w:r w:rsidR="00FA0822" w:rsidRPr="00991605">
        <w:rPr>
          <w:rFonts w:ascii="Arial" w:hAnsi="Arial" w:cs="Arial"/>
          <w:sz w:val="22"/>
        </w:rPr>
        <w:t>l</w:t>
      </w:r>
      <w:r w:rsidRPr="00991605">
        <w:rPr>
          <w:rFonts w:ascii="Arial" w:hAnsi="Arial" w:cs="Arial"/>
          <w:sz w:val="22"/>
        </w:rPr>
        <w:t xml:space="preserve">egislative </w:t>
      </w:r>
      <w:r w:rsidR="00FA0822" w:rsidRPr="00991605">
        <w:rPr>
          <w:rFonts w:ascii="Arial" w:hAnsi="Arial" w:cs="Arial"/>
          <w:sz w:val="22"/>
        </w:rPr>
        <w:t>i</w:t>
      </w:r>
      <w:r w:rsidRPr="00991605">
        <w:rPr>
          <w:rFonts w:ascii="Arial" w:hAnsi="Arial" w:cs="Arial"/>
          <w:sz w:val="22"/>
        </w:rPr>
        <w:t xml:space="preserve">nstrument is compatible with the human rights and freedoms recognised or declared in the international instruments listed in section 3 of the </w:t>
      </w:r>
      <w:r w:rsidRPr="00991605">
        <w:rPr>
          <w:rFonts w:ascii="Arial" w:hAnsi="Arial" w:cs="Arial"/>
          <w:i/>
          <w:sz w:val="22"/>
        </w:rPr>
        <w:t>Human Rights (Parliamentary Scrutiny) Act 2011.</w:t>
      </w:r>
    </w:p>
    <w:p w14:paraId="26548BE4" w14:textId="77777777" w:rsidR="00E829E3" w:rsidRPr="00991605" w:rsidRDefault="00E829E3" w:rsidP="00E829E3">
      <w:pPr>
        <w:spacing w:after="120"/>
        <w:rPr>
          <w:rFonts w:ascii="Arial" w:hAnsi="Arial" w:cs="Arial"/>
          <w:sz w:val="22"/>
          <w:szCs w:val="22"/>
        </w:rPr>
      </w:pPr>
    </w:p>
    <w:p w14:paraId="14876CE4" w14:textId="77777777" w:rsidR="006428FA" w:rsidRPr="00991605" w:rsidRDefault="006428FA" w:rsidP="0039134F">
      <w:pPr>
        <w:pStyle w:val="Heading2"/>
      </w:pPr>
      <w:r w:rsidRPr="00991605">
        <w:t>Overview of the Legislative Instrument</w:t>
      </w:r>
    </w:p>
    <w:p w14:paraId="2A69301C" w14:textId="77777777" w:rsidR="00653E01" w:rsidRPr="00991605" w:rsidRDefault="006428FA" w:rsidP="0039134F">
      <w:pPr>
        <w:spacing w:after="120"/>
        <w:rPr>
          <w:rFonts w:ascii="Arial" w:hAnsi="Arial" w:cs="Arial"/>
          <w:sz w:val="22"/>
          <w:szCs w:val="22"/>
        </w:rPr>
      </w:pPr>
      <w:r w:rsidRPr="00991605">
        <w:rPr>
          <w:rFonts w:ascii="Arial" w:hAnsi="Arial" w:cs="Arial"/>
          <w:bCs/>
          <w:sz w:val="22"/>
          <w:szCs w:val="22"/>
        </w:rPr>
        <w:t xml:space="preserve">This instrument </w:t>
      </w:r>
      <w:r w:rsidR="00653E01" w:rsidRPr="00991605">
        <w:rPr>
          <w:rFonts w:ascii="Arial" w:hAnsi="Arial" w:cs="Arial"/>
          <w:sz w:val="22"/>
          <w:szCs w:val="22"/>
        </w:rPr>
        <w:t>repeals the following instruments:</w:t>
      </w:r>
    </w:p>
    <w:p w14:paraId="20676E60" w14:textId="77777777" w:rsidR="009A35CA" w:rsidRPr="00991605" w:rsidRDefault="009A35CA" w:rsidP="009A35CA">
      <w:pPr>
        <w:numPr>
          <w:ilvl w:val="0"/>
          <w:numId w:val="26"/>
        </w:numPr>
        <w:spacing w:after="120"/>
        <w:ind w:left="1134" w:hanging="567"/>
        <w:rPr>
          <w:rFonts w:ascii="Arial" w:hAnsi="Arial" w:cs="Arial"/>
          <w:sz w:val="22"/>
          <w:szCs w:val="22"/>
        </w:rPr>
      </w:pPr>
      <w:r w:rsidRPr="00991605">
        <w:rPr>
          <w:rFonts w:ascii="Arial" w:hAnsi="Arial" w:cs="Arial"/>
          <w:i/>
          <w:iCs/>
          <w:sz w:val="22"/>
          <w:szCs w:val="22"/>
        </w:rPr>
        <w:t>Australian Business Register—Transitional Registry Disclosure Framework 2022</w:t>
      </w:r>
    </w:p>
    <w:p w14:paraId="3B02284D" w14:textId="77777777" w:rsidR="009A35CA" w:rsidRPr="00991605" w:rsidRDefault="009A35CA" w:rsidP="009A35CA">
      <w:pPr>
        <w:numPr>
          <w:ilvl w:val="0"/>
          <w:numId w:val="26"/>
        </w:numPr>
        <w:spacing w:after="120"/>
        <w:ind w:left="1134" w:hanging="567"/>
        <w:rPr>
          <w:rFonts w:ascii="Arial" w:hAnsi="Arial" w:cs="Arial"/>
          <w:sz w:val="22"/>
          <w:szCs w:val="22"/>
        </w:rPr>
      </w:pPr>
      <w:r w:rsidRPr="00991605">
        <w:rPr>
          <w:rFonts w:ascii="Arial" w:hAnsi="Arial" w:cs="Arial"/>
          <w:i/>
          <w:iCs/>
          <w:sz w:val="22"/>
          <w:szCs w:val="22"/>
        </w:rPr>
        <w:t>Australian Business Register—Transitional Registry Operations Data Standard 2022</w:t>
      </w:r>
    </w:p>
    <w:p w14:paraId="5CD0DA21" w14:textId="77777777" w:rsidR="009A35CA" w:rsidRPr="00991605" w:rsidRDefault="009A35CA" w:rsidP="009A35CA">
      <w:pPr>
        <w:numPr>
          <w:ilvl w:val="0"/>
          <w:numId w:val="26"/>
        </w:numPr>
        <w:spacing w:after="120"/>
        <w:ind w:left="1134" w:hanging="567"/>
        <w:rPr>
          <w:rFonts w:ascii="Arial" w:hAnsi="Arial" w:cs="Arial"/>
          <w:sz w:val="22"/>
          <w:szCs w:val="22"/>
        </w:rPr>
      </w:pPr>
      <w:r w:rsidRPr="00991605">
        <w:rPr>
          <w:rFonts w:ascii="Arial" w:hAnsi="Arial" w:cs="Arial"/>
          <w:i/>
          <w:iCs/>
          <w:sz w:val="22"/>
          <w:szCs w:val="22"/>
        </w:rPr>
        <w:t>Business Names Registration—Transitional Registry Disclosure Framework 2022</w:t>
      </w:r>
    </w:p>
    <w:p w14:paraId="534CFAC1" w14:textId="77777777" w:rsidR="009A35CA" w:rsidRPr="00991605" w:rsidRDefault="009A35CA" w:rsidP="009A35CA">
      <w:pPr>
        <w:numPr>
          <w:ilvl w:val="0"/>
          <w:numId w:val="26"/>
        </w:numPr>
        <w:spacing w:after="120"/>
        <w:ind w:left="1134" w:hanging="567"/>
        <w:rPr>
          <w:rFonts w:ascii="Arial" w:hAnsi="Arial" w:cs="Arial"/>
          <w:sz w:val="22"/>
          <w:szCs w:val="22"/>
        </w:rPr>
      </w:pPr>
      <w:r w:rsidRPr="00991605">
        <w:rPr>
          <w:rFonts w:ascii="Arial" w:hAnsi="Arial" w:cs="Arial"/>
          <w:i/>
          <w:iCs/>
          <w:sz w:val="22"/>
          <w:szCs w:val="22"/>
        </w:rPr>
        <w:t>Business Names Registration—Transitional Registry Operations Data Standard 2022</w:t>
      </w:r>
    </w:p>
    <w:p w14:paraId="4B3CA4FD" w14:textId="77777777" w:rsidR="009A35CA" w:rsidRPr="00991605" w:rsidRDefault="009A35CA" w:rsidP="009A35CA">
      <w:pPr>
        <w:numPr>
          <w:ilvl w:val="0"/>
          <w:numId w:val="26"/>
        </w:numPr>
        <w:spacing w:after="120"/>
        <w:ind w:left="1134" w:hanging="567"/>
        <w:rPr>
          <w:rFonts w:ascii="Arial" w:hAnsi="Arial" w:cs="Arial"/>
          <w:sz w:val="22"/>
          <w:szCs w:val="22"/>
        </w:rPr>
      </w:pPr>
      <w:r w:rsidRPr="00991605">
        <w:rPr>
          <w:rFonts w:ascii="Arial" w:hAnsi="Arial" w:cs="Arial"/>
          <w:i/>
          <w:iCs/>
          <w:sz w:val="22"/>
          <w:szCs w:val="22"/>
        </w:rPr>
        <w:t>Corporations Act—Transitional Registry Disclosure Framework 2022</w:t>
      </w:r>
    </w:p>
    <w:p w14:paraId="709266CF" w14:textId="77777777" w:rsidR="009A35CA" w:rsidRPr="00991605" w:rsidRDefault="009A35CA" w:rsidP="009A35CA">
      <w:pPr>
        <w:numPr>
          <w:ilvl w:val="0"/>
          <w:numId w:val="26"/>
        </w:numPr>
        <w:spacing w:after="120"/>
        <w:ind w:left="1134" w:hanging="567"/>
        <w:rPr>
          <w:rFonts w:ascii="Arial" w:hAnsi="Arial" w:cs="Arial"/>
          <w:sz w:val="22"/>
          <w:szCs w:val="22"/>
        </w:rPr>
      </w:pPr>
      <w:r w:rsidRPr="00991605">
        <w:rPr>
          <w:rFonts w:ascii="Arial" w:hAnsi="Arial" w:cs="Arial"/>
          <w:i/>
          <w:iCs/>
          <w:sz w:val="22"/>
          <w:szCs w:val="22"/>
        </w:rPr>
        <w:t>Corporations Act—Transitional Registry Operations Data Standard 2022</w:t>
      </w:r>
    </w:p>
    <w:p w14:paraId="3B7EF86E" w14:textId="77777777" w:rsidR="009A35CA" w:rsidRPr="00991605" w:rsidRDefault="009A35CA" w:rsidP="009A35CA">
      <w:pPr>
        <w:numPr>
          <w:ilvl w:val="0"/>
          <w:numId w:val="26"/>
        </w:numPr>
        <w:spacing w:after="120"/>
        <w:ind w:left="1134" w:hanging="567"/>
        <w:rPr>
          <w:rFonts w:ascii="Arial" w:hAnsi="Arial" w:cs="Arial"/>
          <w:sz w:val="22"/>
          <w:szCs w:val="22"/>
        </w:rPr>
      </w:pPr>
      <w:r w:rsidRPr="00991605">
        <w:rPr>
          <w:rFonts w:ascii="Arial" w:hAnsi="Arial" w:cs="Arial"/>
          <w:i/>
          <w:iCs/>
          <w:sz w:val="22"/>
          <w:szCs w:val="22"/>
        </w:rPr>
        <w:t>National Consumer Credit Protection—Transitional Registry Disclosure Framework 2022</w:t>
      </w:r>
    </w:p>
    <w:p w14:paraId="110D56BA" w14:textId="77777777" w:rsidR="009A35CA" w:rsidRPr="00991605" w:rsidRDefault="009A35CA" w:rsidP="009A35CA">
      <w:pPr>
        <w:numPr>
          <w:ilvl w:val="0"/>
          <w:numId w:val="26"/>
        </w:numPr>
        <w:spacing w:after="120"/>
        <w:ind w:left="1134" w:hanging="567"/>
        <w:rPr>
          <w:rFonts w:ascii="Arial" w:hAnsi="Arial" w:cs="Arial"/>
          <w:sz w:val="22"/>
          <w:szCs w:val="22"/>
        </w:rPr>
      </w:pPr>
      <w:r w:rsidRPr="00991605">
        <w:rPr>
          <w:rFonts w:ascii="Arial" w:hAnsi="Arial" w:cs="Arial"/>
          <w:i/>
          <w:iCs/>
          <w:sz w:val="22"/>
          <w:szCs w:val="22"/>
        </w:rPr>
        <w:t>National Consumer Credit Protection—Transitional Registry Operations Data Standard 2022</w:t>
      </w:r>
    </w:p>
    <w:p w14:paraId="47C4CAFA" w14:textId="77777777" w:rsidR="009A35CA" w:rsidRPr="00991605" w:rsidRDefault="009A35CA" w:rsidP="009A35CA">
      <w:pPr>
        <w:numPr>
          <w:ilvl w:val="0"/>
          <w:numId w:val="26"/>
        </w:numPr>
        <w:spacing w:after="120"/>
        <w:ind w:left="1134" w:hanging="567"/>
        <w:rPr>
          <w:rFonts w:ascii="Arial" w:hAnsi="Arial" w:cs="Arial"/>
          <w:sz w:val="22"/>
          <w:szCs w:val="22"/>
        </w:rPr>
      </w:pPr>
      <w:r w:rsidRPr="00991605">
        <w:rPr>
          <w:rFonts w:ascii="Arial" w:hAnsi="Arial" w:cs="Arial"/>
          <w:i/>
          <w:iCs/>
          <w:sz w:val="22"/>
          <w:szCs w:val="22"/>
        </w:rPr>
        <w:t>SMSF Approved Auditor—Transitional Registry Disclosure Framework 2022</w:t>
      </w:r>
    </w:p>
    <w:p w14:paraId="63ABB581" w14:textId="77777777" w:rsidR="009A35CA" w:rsidRPr="00991605" w:rsidRDefault="009A35CA" w:rsidP="009A35CA">
      <w:pPr>
        <w:numPr>
          <w:ilvl w:val="0"/>
          <w:numId w:val="26"/>
        </w:numPr>
        <w:spacing w:after="120"/>
        <w:ind w:left="1134" w:hanging="567"/>
        <w:rPr>
          <w:rFonts w:ascii="Arial" w:hAnsi="Arial" w:cs="Arial"/>
          <w:sz w:val="22"/>
          <w:szCs w:val="22"/>
        </w:rPr>
      </w:pPr>
      <w:r w:rsidRPr="00991605">
        <w:rPr>
          <w:rFonts w:ascii="Arial" w:hAnsi="Arial" w:cs="Arial"/>
          <w:i/>
          <w:iCs/>
          <w:sz w:val="22"/>
          <w:szCs w:val="22"/>
        </w:rPr>
        <w:t>SMSF Approved Auditor—Transitional Registry Operations Data Standard 2022</w:t>
      </w:r>
      <w:r w:rsidRPr="00991605">
        <w:rPr>
          <w:rFonts w:ascii="Arial" w:hAnsi="Arial" w:cs="Arial"/>
          <w:sz w:val="22"/>
          <w:szCs w:val="22"/>
        </w:rPr>
        <w:t>.</w:t>
      </w:r>
    </w:p>
    <w:p w14:paraId="4D5F0A27" w14:textId="77777777" w:rsidR="00E829E3" w:rsidRPr="00991605" w:rsidRDefault="00E829E3" w:rsidP="00E829E3">
      <w:pPr>
        <w:spacing w:after="120"/>
        <w:rPr>
          <w:rFonts w:ascii="Arial" w:hAnsi="Arial" w:cs="Arial"/>
          <w:sz w:val="22"/>
          <w:szCs w:val="22"/>
        </w:rPr>
      </w:pPr>
    </w:p>
    <w:p w14:paraId="52155069" w14:textId="77777777" w:rsidR="006428FA" w:rsidRPr="00991605" w:rsidRDefault="006428FA" w:rsidP="0039134F">
      <w:pPr>
        <w:pStyle w:val="Heading2"/>
      </w:pPr>
      <w:r w:rsidRPr="00991605">
        <w:t>Human rights implications</w:t>
      </w:r>
    </w:p>
    <w:p w14:paraId="16BAA89C" w14:textId="77777777" w:rsidR="006428FA" w:rsidRPr="00991605" w:rsidRDefault="0039134F" w:rsidP="0039134F">
      <w:pPr>
        <w:spacing w:after="120"/>
        <w:ind w:left="-5"/>
        <w:rPr>
          <w:b/>
          <w:bCs/>
        </w:rPr>
      </w:pPr>
      <w:r w:rsidRPr="00991605">
        <w:rPr>
          <w:rFonts w:ascii="Arial" w:hAnsi="Arial" w:cs="Arial"/>
          <w:sz w:val="22"/>
          <w:szCs w:val="22"/>
        </w:rPr>
        <w:t xml:space="preserve">This legislative instrument does not engage any of the applicable rights or freedoms because the new instrument is of a minor or machinery nature. It merely repeals transitional legislative instruments that were made redundant by the enactment of </w:t>
      </w:r>
      <w:r w:rsidRPr="00991605">
        <w:rPr>
          <w:rFonts w:ascii="Arial" w:hAnsi="Arial" w:cs="Arial"/>
          <w:i/>
          <w:iCs/>
          <w:sz w:val="22"/>
          <w:szCs w:val="22"/>
        </w:rPr>
        <w:t>Treasury Laws Amendment (2022 Measures No. 1) Act 2022</w:t>
      </w:r>
      <w:r w:rsidRPr="00991605">
        <w:rPr>
          <w:rFonts w:ascii="Arial" w:hAnsi="Arial" w:cs="Arial"/>
          <w:sz w:val="22"/>
          <w:szCs w:val="22"/>
        </w:rPr>
        <w:t>.</w:t>
      </w:r>
    </w:p>
    <w:p w14:paraId="11E321B2" w14:textId="77777777" w:rsidR="00E829E3" w:rsidRPr="00991605" w:rsidRDefault="00E829E3" w:rsidP="00E829E3">
      <w:pPr>
        <w:spacing w:after="120"/>
        <w:rPr>
          <w:rFonts w:ascii="Arial" w:hAnsi="Arial" w:cs="Arial"/>
          <w:sz w:val="22"/>
          <w:szCs w:val="22"/>
        </w:rPr>
      </w:pPr>
    </w:p>
    <w:p w14:paraId="519065E8" w14:textId="77777777" w:rsidR="006428FA" w:rsidRPr="00991605" w:rsidRDefault="006428FA" w:rsidP="0039134F">
      <w:pPr>
        <w:pStyle w:val="Heading2"/>
      </w:pPr>
      <w:r w:rsidRPr="00991605">
        <w:t>Conclusion</w:t>
      </w:r>
    </w:p>
    <w:p w14:paraId="2BA2509F" w14:textId="77777777" w:rsidR="0039134F" w:rsidRPr="0039134F" w:rsidRDefault="0039134F" w:rsidP="0039134F">
      <w:pPr>
        <w:spacing w:after="120"/>
        <w:ind w:left="-5"/>
        <w:rPr>
          <w:b/>
          <w:bCs/>
        </w:rPr>
      </w:pPr>
      <w:r w:rsidRPr="00991605">
        <w:rPr>
          <w:rFonts w:ascii="Arial" w:hAnsi="Arial" w:cs="Arial"/>
          <w:sz w:val="22"/>
          <w:szCs w:val="22"/>
        </w:rPr>
        <w:t>This legislative instrument is compatible with human rights as it does not raise any human rights issues.</w:t>
      </w:r>
    </w:p>
    <w:sectPr w:rsidR="0039134F" w:rsidRPr="0039134F" w:rsidSect="00081520">
      <w:headerReference w:type="even" r:id="rId8"/>
      <w:headerReference w:type="default" r:id="rId9"/>
      <w:footerReference w:type="even" r:id="rId10"/>
      <w:footerReference w:type="default" r:id="rId11"/>
      <w:headerReference w:type="first" r:id="rId12"/>
      <w:footerReference w:type="first" r:id="rId13"/>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87AF3" w14:textId="77777777" w:rsidR="00C16F39" w:rsidRDefault="00C16F39">
      <w:r>
        <w:separator/>
      </w:r>
    </w:p>
  </w:endnote>
  <w:endnote w:type="continuationSeparator" w:id="0">
    <w:p w14:paraId="1C9C9CCC" w14:textId="77777777" w:rsidR="00C16F39" w:rsidRDefault="00C1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1008" w14:textId="77777777" w:rsidR="00630DFA" w:rsidRDefault="00630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3AEC" w14:textId="77777777" w:rsidR="00630DFA" w:rsidRDefault="00630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78DD" w14:textId="77777777" w:rsidR="00630DFA" w:rsidRDefault="00630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B4A5" w14:textId="77777777" w:rsidR="00C16F39" w:rsidRDefault="00C16F39">
      <w:r>
        <w:separator/>
      </w:r>
    </w:p>
  </w:footnote>
  <w:footnote w:type="continuationSeparator" w:id="0">
    <w:p w14:paraId="3482E8C4" w14:textId="77777777" w:rsidR="00C16F39" w:rsidRDefault="00C16F39">
      <w:r>
        <w:continuationSeparator/>
      </w:r>
    </w:p>
  </w:footnote>
  <w:footnote w:id="1">
    <w:p w14:paraId="7B6834CA" w14:textId="77777777" w:rsidR="00CE532A" w:rsidRPr="009A35CA" w:rsidRDefault="00CE532A" w:rsidP="009A35CA">
      <w:pPr>
        <w:pStyle w:val="FootnoteText"/>
        <w:ind w:left="113" w:hanging="113"/>
        <w:rPr>
          <w:rFonts w:ascii="Arial" w:hAnsi="Arial" w:cs="Arial"/>
          <w:sz w:val="18"/>
          <w:szCs w:val="18"/>
        </w:rPr>
      </w:pPr>
      <w:r w:rsidRPr="009A35CA">
        <w:rPr>
          <w:rStyle w:val="FootnoteReference"/>
          <w:rFonts w:ascii="Arial" w:hAnsi="Arial" w:cs="Arial"/>
          <w:sz w:val="18"/>
          <w:szCs w:val="18"/>
        </w:rPr>
        <w:footnoteRef/>
      </w:r>
      <w:r w:rsidRPr="009A35CA">
        <w:rPr>
          <w:rFonts w:ascii="Arial" w:hAnsi="Arial" w:cs="Arial"/>
          <w:sz w:val="18"/>
          <w:szCs w:val="18"/>
        </w:rPr>
        <w:t xml:space="preserve"> See </w:t>
      </w:r>
      <w:hyperlink r:id="rId1" w:history="1">
        <w:r w:rsidRPr="009A35CA">
          <w:rPr>
            <w:rStyle w:val="Hyperlink"/>
            <w:rFonts w:ascii="Arial" w:hAnsi="Arial" w:cs="Arial"/>
            <w:sz w:val="18"/>
            <w:szCs w:val="18"/>
          </w:rPr>
          <w:t>Modernising Business Registers Business Advisory Group | Australian Taxation Office</w:t>
        </w:r>
      </w:hyperlink>
      <w:r w:rsidRPr="009A35CA">
        <w:rPr>
          <w:rFonts w:ascii="Arial" w:hAnsi="Arial" w:cs="Arial"/>
          <w:sz w:val="18"/>
          <w:szCs w:val="18"/>
        </w:rPr>
        <w:t xml:space="preserve"> (ato.gov.au) for complete list.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666D" w14:textId="77777777" w:rsidR="00630DFA" w:rsidRDefault="00630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7FFD"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278D" w14:textId="77777777" w:rsidR="00587C50" w:rsidRDefault="00DC795C" w:rsidP="001828A4">
    <w:pPr>
      <w:pStyle w:val="Header"/>
      <w:tabs>
        <w:tab w:val="clear" w:pos="4153"/>
        <w:tab w:val="clear" w:pos="8306"/>
      </w:tabs>
      <w:rPr>
        <w:rFonts w:ascii="Arial" w:hAnsi="Arial" w:cs="Arial"/>
        <w:sz w:val="20"/>
      </w:rPr>
    </w:pPr>
    <w:r>
      <w:rPr>
        <w:rFonts w:ascii="Arial" w:hAnsi="Arial" w:cs="Arial"/>
        <w:noProof/>
        <w:sz w:val="20"/>
      </w:rPr>
      <w:drawing>
        <wp:inline distT="0" distB="0" distL="0" distR="0" wp14:anchorId="1C750213" wp14:editId="4AFB393B">
          <wp:extent cx="2444400" cy="572400"/>
          <wp:effectExtent l="0" t="0" r="0" b="0"/>
          <wp:docPr id="1" name="Picture 1" descr="Australian Business Registry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Business Registry Service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4400" cy="572400"/>
                  </a:xfrm>
                  <a:prstGeom prst="rect">
                    <a:avLst/>
                  </a:prstGeom>
                  <a:noFill/>
                </pic:spPr>
              </pic:pic>
            </a:graphicData>
          </a:graphic>
        </wp:inline>
      </w:drawing>
    </w:r>
  </w:p>
  <w:p w14:paraId="61D1F9ED"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653D"/>
    <w:multiLevelType w:val="hybridMultilevel"/>
    <w:tmpl w:val="8E165B3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B6433D4"/>
    <w:multiLevelType w:val="hybridMultilevel"/>
    <w:tmpl w:val="2746148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4" w15:restartNumberingAfterBreak="0">
    <w:nsid w:val="1DE5222B"/>
    <w:multiLevelType w:val="hybridMultilevel"/>
    <w:tmpl w:val="8E165B3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1492296"/>
    <w:multiLevelType w:val="hybridMultilevel"/>
    <w:tmpl w:val="A9FEF69E"/>
    <w:lvl w:ilvl="0" w:tplc="0C090013">
      <w:start w:val="1"/>
      <w:numFmt w:val="upp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8B3281"/>
    <w:multiLevelType w:val="hybridMultilevel"/>
    <w:tmpl w:val="5C54996E"/>
    <w:lvl w:ilvl="0" w:tplc="987419D8">
      <w:start w:val="1"/>
      <w:numFmt w:val="decimal"/>
      <w:lvlText w:val="%1."/>
      <w:lvlJc w:val="left"/>
      <w:pPr>
        <w:tabs>
          <w:tab w:val="num" w:pos="360"/>
        </w:tabs>
        <w:ind w:left="360" w:hanging="360"/>
      </w:pPr>
      <w:rPr>
        <w:rFonts w:hint="default"/>
        <w:color w:val="auto"/>
        <w:sz w:val="22"/>
        <w:szCs w:val="22"/>
      </w:rPr>
    </w:lvl>
    <w:lvl w:ilvl="1" w:tplc="0C090017">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4265D9E"/>
    <w:multiLevelType w:val="hybridMultilevel"/>
    <w:tmpl w:val="AF4C7BC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8083E30"/>
    <w:multiLevelType w:val="hybridMultilevel"/>
    <w:tmpl w:val="D25E0612"/>
    <w:lvl w:ilvl="0" w:tplc="0C090017">
      <w:start w:val="1"/>
      <w:numFmt w:val="lowerLetter"/>
      <w:lvlText w:val="%1)"/>
      <w:lvlJc w:val="left"/>
      <w:pPr>
        <w:ind w:left="1069" w:hanging="360"/>
      </w:pPr>
      <w:rPr>
        <w:rFonts w:hint="default"/>
      </w:rPr>
    </w:lvl>
    <w:lvl w:ilvl="1" w:tplc="A64E933E">
      <w:start w:val="1"/>
      <w:numFmt w:val="lowerLetter"/>
      <w:lvlText w:val="(%2)"/>
      <w:lvlJc w:val="left"/>
      <w:pPr>
        <w:ind w:left="1789" w:hanging="360"/>
      </w:pPr>
      <w:rPr>
        <w:rFonts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15:restartNumberingAfterBreak="0">
    <w:nsid w:val="3FCC3903"/>
    <w:multiLevelType w:val="hybridMultilevel"/>
    <w:tmpl w:val="B6F6A172"/>
    <w:lvl w:ilvl="0" w:tplc="987419D8">
      <w:start w:val="1"/>
      <w:numFmt w:val="decimal"/>
      <w:lvlText w:val="%1."/>
      <w:lvlJc w:val="left"/>
      <w:pPr>
        <w:tabs>
          <w:tab w:val="num" w:pos="4896"/>
        </w:tabs>
        <w:ind w:left="4896" w:hanging="360"/>
      </w:pPr>
      <w:rPr>
        <w:rFonts w:hint="default"/>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59C2C3C"/>
    <w:multiLevelType w:val="hybridMultilevel"/>
    <w:tmpl w:val="8E165B3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78925CF"/>
    <w:multiLevelType w:val="hybridMultilevel"/>
    <w:tmpl w:val="BBE6157C"/>
    <w:lvl w:ilvl="0" w:tplc="C2ACD91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9755AC8"/>
    <w:multiLevelType w:val="hybridMultilevel"/>
    <w:tmpl w:val="EA9E618A"/>
    <w:lvl w:ilvl="0" w:tplc="C2ACD91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B693C81"/>
    <w:multiLevelType w:val="hybridMultilevel"/>
    <w:tmpl w:val="EA9E618A"/>
    <w:lvl w:ilvl="0" w:tplc="C2ACD91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11160C"/>
    <w:multiLevelType w:val="hybridMultilevel"/>
    <w:tmpl w:val="F530CD1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A9C5D0F"/>
    <w:multiLevelType w:val="hybridMultilevel"/>
    <w:tmpl w:val="88CA14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0DB0245"/>
    <w:multiLevelType w:val="hybridMultilevel"/>
    <w:tmpl w:val="AF4C7BC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7FC7FD9"/>
    <w:multiLevelType w:val="hybridMultilevel"/>
    <w:tmpl w:val="92F4020A"/>
    <w:lvl w:ilvl="0" w:tplc="0C090017">
      <w:start w:val="1"/>
      <w:numFmt w:val="lowerLetter"/>
      <w:lvlText w:val="%1)"/>
      <w:lvlJc w:val="left"/>
      <w:pPr>
        <w:tabs>
          <w:tab w:val="num" w:pos="720"/>
        </w:tabs>
        <w:ind w:left="720" w:hanging="360"/>
      </w:pPr>
      <w:rPr>
        <w:rFonts w:hint="default"/>
        <w:color w:val="auto"/>
        <w:sz w:val="22"/>
        <w:szCs w:val="22"/>
      </w:rPr>
    </w:lvl>
    <w:lvl w:ilvl="1" w:tplc="0C090001">
      <w:start w:val="1"/>
      <w:numFmt w:val="bullet"/>
      <w:lvlText w:val=""/>
      <w:lvlJc w:val="left"/>
      <w:pPr>
        <w:tabs>
          <w:tab w:val="num" w:pos="1800"/>
        </w:tabs>
        <w:ind w:left="1800" w:hanging="360"/>
      </w:pPr>
      <w:rPr>
        <w:rFonts w:ascii="Symbol" w:hAnsi="Symbol" w:hint="default"/>
      </w:rPr>
    </w:lvl>
    <w:lvl w:ilvl="2" w:tplc="C2ACD91E">
      <w:start w:val="1"/>
      <w:numFmt w:val="lowerLetter"/>
      <w:lvlText w:val="(%3)"/>
      <w:lvlJc w:val="left"/>
      <w:pPr>
        <w:tabs>
          <w:tab w:val="num" w:pos="2700"/>
        </w:tabs>
        <w:ind w:left="2700" w:hanging="36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9" w15:restartNumberingAfterBreak="0">
    <w:nsid w:val="6F893422"/>
    <w:multiLevelType w:val="hybridMultilevel"/>
    <w:tmpl w:val="751C28DE"/>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746A5756"/>
    <w:multiLevelType w:val="hybridMultilevel"/>
    <w:tmpl w:val="6BB44BE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7917306A"/>
    <w:multiLevelType w:val="hybridMultilevel"/>
    <w:tmpl w:val="88CA14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7CF6407A"/>
    <w:multiLevelType w:val="hybridMultilevel"/>
    <w:tmpl w:val="88CA14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7F0951EE"/>
    <w:multiLevelType w:val="hybridMultilevel"/>
    <w:tmpl w:val="BBE6157C"/>
    <w:lvl w:ilvl="0" w:tplc="C2ACD91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7F095BE4"/>
    <w:multiLevelType w:val="hybridMultilevel"/>
    <w:tmpl w:val="0EF2DA0C"/>
    <w:lvl w:ilvl="0" w:tplc="987419D8">
      <w:start w:val="1"/>
      <w:numFmt w:val="decimal"/>
      <w:lvlText w:val="%1."/>
      <w:lvlJc w:val="left"/>
      <w:pPr>
        <w:tabs>
          <w:tab w:val="num" w:pos="360"/>
        </w:tabs>
        <w:ind w:left="360" w:hanging="360"/>
      </w:pPr>
      <w:rPr>
        <w:rFonts w:hint="default"/>
        <w:color w:val="auto"/>
        <w:sz w:val="22"/>
        <w:szCs w:val="22"/>
      </w:rPr>
    </w:lvl>
    <w:lvl w:ilvl="1" w:tplc="0C090017">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7F507F00"/>
    <w:multiLevelType w:val="hybridMultilevel"/>
    <w:tmpl w:val="8E165B3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9"/>
  </w:num>
  <w:num w:numId="2">
    <w:abstractNumId w:val="14"/>
  </w:num>
  <w:num w:numId="3">
    <w:abstractNumId w:val="2"/>
  </w:num>
  <w:num w:numId="4">
    <w:abstractNumId w:val="24"/>
  </w:num>
  <w:num w:numId="5">
    <w:abstractNumId w:val="3"/>
  </w:num>
  <w:num w:numId="6">
    <w:abstractNumId w:val="8"/>
  </w:num>
  <w:num w:numId="7">
    <w:abstractNumId w:val="18"/>
  </w:num>
  <w:num w:numId="8">
    <w:abstractNumId w:val="5"/>
  </w:num>
  <w:num w:numId="9">
    <w:abstractNumId w:val="6"/>
  </w:num>
  <w:num w:numId="10">
    <w:abstractNumId w:val="16"/>
  </w:num>
  <w:num w:numId="11">
    <w:abstractNumId w:val="1"/>
  </w:num>
  <w:num w:numId="12">
    <w:abstractNumId w:val="17"/>
  </w:num>
  <w:num w:numId="13">
    <w:abstractNumId w:val="15"/>
  </w:num>
  <w:num w:numId="14">
    <w:abstractNumId w:val="19"/>
  </w:num>
  <w:num w:numId="15">
    <w:abstractNumId w:val="20"/>
  </w:num>
  <w:num w:numId="16">
    <w:abstractNumId w:val="10"/>
  </w:num>
  <w:num w:numId="17">
    <w:abstractNumId w:val="7"/>
  </w:num>
  <w:num w:numId="18">
    <w:abstractNumId w:val="22"/>
  </w:num>
  <w:num w:numId="19">
    <w:abstractNumId w:val="21"/>
  </w:num>
  <w:num w:numId="20">
    <w:abstractNumId w:val="0"/>
  </w:num>
  <w:num w:numId="21">
    <w:abstractNumId w:val="25"/>
  </w:num>
  <w:num w:numId="22">
    <w:abstractNumId w:val="4"/>
  </w:num>
  <w:num w:numId="23">
    <w:abstractNumId w:val="12"/>
  </w:num>
  <w:num w:numId="24">
    <w:abstractNumId w:val="23"/>
  </w:num>
  <w:num w:numId="25">
    <w:abstractNumId w:val="11"/>
  </w:num>
  <w:num w:numId="2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37F7"/>
    <w:rsid w:val="000050BF"/>
    <w:rsid w:val="000117B2"/>
    <w:rsid w:val="0001796D"/>
    <w:rsid w:val="00017BF0"/>
    <w:rsid w:val="00023B79"/>
    <w:rsid w:val="0002568B"/>
    <w:rsid w:val="0003239B"/>
    <w:rsid w:val="000330C3"/>
    <w:rsid w:val="0003536F"/>
    <w:rsid w:val="00043FA7"/>
    <w:rsid w:val="00044022"/>
    <w:rsid w:val="00045B79"/>
    <w:rsid w:val="00047180"/>
    <w:rsid w:val="00052E5B"/>
    <w:rsid w:val="000552E8"/>
    <w:rsid w:val="00056585"/>
    <w:rsid w:val="0005674F"/>
    <w:rsid w:val="00063E04"/>
    <w:rsid w:val="00065C6E"/>
    <w:rsid w:val="00072E6E"/>
    <w:rsid w:val="00073F1B"/>
    <w:rsid w:val="00075B58"/>
    <w:rsid w:val="00076263"/>
    <w:rsid w:val="00081520"/>
    <w:rsid w:val="00082F2C"/>
    <w:rsid w:val="0008591C"/>
    <w:rsid w:val="000B11DD"/>
    <w:rsid w:val="000B1785"/>
    <w:rsid w:val="000C2B95"/>
    <w:rsid w:val="000C390A"/>
    <w:rsid w:val="000C77DD"/>
    <w:rsid w:val="000D179E"/>
    <w:rsid w:val="000E295B"/>
    <w:rsid w:val="000E3FA0"/>
    <w:rsid w:val="000E45A0"/>
    <w:rsid w:val="00101CD5"/>
    <w:rsid w:val="00107460"/>
    <w:rsid w:val="00112415"/>
    <w:rsid w:val="0012364B"/>
    <w:rsid w:val="0013678D"/>
    <w:rsid w:val="00140A34"/>
    <w:rsid w:val="00146ED8"/>
    <w:rsid w:val="001506D8"/>
    <w:rsid w:val="00150B41"/>
    <w:rsid w:val="0015273C"/>
    <w:rsid w:val="00166CD8"/>
    <w:rsid w:val="00167202"/>
    <w:rsid w:val="001828A4"/>
    <w:rsid w:val="001A13A2"/>
    <w:rsid w:val="001A17E3"/>
    <w:rsid w:val="001A3BE2"/>
    <w:rsid w:val="001C35E7"/>
    <w:rsid w:val="001C4578"/>
    <w:rsid w:val="001D02E6"/>
    <w:rsid w:val="001D1688"/>
    <w:rsid w:val="001F0184"/>
    <w:rsid w:val="001F1BB5"/>
    <w:rsid w:val="001F28A6"/>
    <w:rsid w:val="001F2A16"/>
    <w:rsid w:val="001F6921"/>
    <w:rsid w:val="001F7C3E"/>
    <w:rsid w:val="00201969"/>
    <w:rsid w:val="0021222C"/>
    <w:rsid w:val="00213994"/>
    <w:rsid w:val="00213FA5"/>
    <w:rsid w:val="0021496E"/>
    <w:rsid w:val="00217A40"/>
    <w:rsid w:val="00222AFB"/>
    <w:rsid w:val="0022468F"/>
    <w:rsid w:val="0023733A"/>
    <w:rsid w:val="0024044F"/>
    <w:rsid w:val="00240CFB"/>
    <w:rsid w:val="00245D00"/>
    <w:rsid w:val="00257F2D"/>
    <w:rsid w:val="00262F9F"/>
    <w:rsid w:val="002630E2"/>
    <w:rsid w:val="00266D2D"/>
    <w:rsid w:val="00271F03"/>
    <w:rsid w:val="0027331F"/>
    <w:rsid w:val="0028334A"/>
    <w:rsid w:val="00285E76"/>
    <w:rsid w:val="002949C3"/>
    <w:rsid w:val="002A10A4"/>
    <w:rsid w:val="002A26FE"/>
    <w:rsid w:val="002A41D6"/>
    <w:rsid w:val="002B1423"/>
    <w:rsid w:val="002F1257"/>
    <w:rsid w:val="002F4A99"/>
    <w:rsid w:val="0030733A"/>
    <w:rsid w:val="00310C61"/>
    <w:rsid w:val="003171B3"/>
    <w:rsid w:val="0032559D"/>
    <w:rsid w:val="00331616"/>
    <w:rsid w:val="00333567"/>
    <w:rsid w:val="00344575"/>
    <w:rsid w:val="0035113C"/>
    <w:rsid w:val="00354525"/>
    <w:rsid w:val="00374385"/>
    <w:rsid w:val="00374AF9"/>
    <w:rsid w:val="00380CC4"/>
    <w:rsid w:val="0039134F"/>
    <w:rsid w:val="003C0686"/>
    <w:rsid w:val="003C43A0"/>
    <w:rsid w:val="003D08CF"/>
    <w:rsid w:val="003D0CBA"/>
    <w:rsid w:val="003D0F6A"/>
    <w:rsid w:val="003D4BA8"/>
    <w:rsid w:val="003E5269"/>
    <w:rsid w:val="00405394"/>
    <w:rsid w:val="00405F86"/>
    <w:rsid w:val="004066E4"/>
    <w:rsid w:val="0040680B"/>
    <w:rsid w:val="00407361"/>
    <w:rsid w:val="00416C68"/>
    <w:rsid w:val="00417C55"/>
    <w:rsid w:val="00424A7B"/>
    <w:rsid w:val="004447C1"/>
    <w:rsid w:val="00445812"/>
    <w:rsid w:val="00446AA8"/>
    <w:rsid w:val="0045590D"/>
    <w:rsid w:val="00456D5D"/>
    <w:rsid w:val="00457BBF"/>
    <w:rsid w:val="00457BE4"/>
    <w:rsid w:val="0046211F"/>
    <w:rsid w:val="0046787B"/>
    <w:rsid w:val="0047064B"/>
    <w:rsid w:val="00476154"/>
    <w:rsid w:val="00486653"/>
    <w:rsid w:val="00493781"/>
    <w:rsid w:val="00493CA7"/>
    <w:rsid w:val="004A5FDA"/>
    <w:rsid w:val="004D098C"/>
    <w:rsid w:val="004D24A9"/>
    <w:rsid w:val="004D41FE"/>
    <w:rsid w:val="004E5357"/>
    <w:rsid w:val="004F4A07"/>
    <w:rsid w:val="004F5EB1"/>
    <w:rsid w:val="004F6887"/>
    <w:rsid w:val="00500B70"/>
    <w:rsid w:val="005030AD"/>
    <w:rsid w:val="0051249C"/>
    <w:rsid w:val="005176E7"/>
    <w:rsid w:val="00520330"/>
    <w:rsid w:val="00524B6B"/>
    <w:rsid w:val="00526403"/>
    <w:rsid w:val="005413EE"/>
    <w:rsid w:val="00541D7C"/>
    <w:rsid w:val="00587443"/>
    <w:rsid w:val="00587C50"/>
    <w:rsid w:val="005917F3"/>
    <w:rsid w:val="005B0ACD"/>
    <w:rsid w:val="005B12DD"/>
    <w:rsid w:val="005B50A2"/>
    <w:rsid w:val="005C3408"/>
    <w:rsid w:val="005D611B"/>
    <w:rsid w:val="005F0914"/>
    <w:rsid w:val="005F1ACE"/>
    <w:rsid w:val="005F256D"/>
    <w:rsid w:val="0060183A"/>
    <w:rsid w:val="00603110"/>
    <w:rsid w:val="00605B8D"/>
    <w:rsid w:val="00611C8E"/>
    <w:rsid w:val="00624954"/>
    <w:rsid w:val="00626749"/>
    <w:rsid w:val="006302F7"/>
    <w:rsid w:val="00630DFA"/>
    <w:rsid w:val="0063121B"/>
    <w:rsid w:val="00631F30"/>
    <w:rsid w:val="00640CC2"/>
    <w:rsid w:val="00642420"/>
    <w:rsid w:val="006428FA"/>
    <w:rsid w:val="00646158"/>
    <w:rsid w:val="006513AB"/>
    <w:rsid w:val="006513F4"/>
    <w:rsid w:val="00653E01"/>
    <w:rsid w:val="00657E6B"/>
    <w:rsid w:val="0066622C"/>
    <w:rsid w:val="00666487"/>
    <w:rsid w:val="00673B37"/>
    <w:rsid w:val="00674C1A"/>
    <w:rsid w:val="00692F08"/>
    <w:rsid w:val="006945EA"/>
    <w:rsid w:val="006B5470"/>
    <w:rsid w:val="006C4874"/>
    <w:rsid w:val="006D0138"/>
    <w:rsid w:val="006D6F52"/>
    <w:rsid w:val="006F26D7"/>
    <w:rsid w:val="007005BA"/>
    <w:rsid w:val="00701718"/>
    <w:rsid w:val="00710359"/>
    <w:rsid w:val="00712FFF"/>
    <w:rsid w:val="00722DBF"/>
    <w:rsid w:val="00723978"/>
    <w:rsid w:val="00727800"/>
    <w:rsid w:val="00730D5B"/>
    <w:rsid w:val="00735157"/>
    <w:rsid w:val="0076271C"/>
    <w:rsid w:val="00767CE8"/>
    <w:rsid w:val="00775490"/>
    <w:rsid w:val="00780BCB"/>
    <w:rsid w:val="00795D0C"/>
    <w:rsid w:val="00797F42"/>
    <w:rsid w:val="007A55BA"/>
    <w:rsid w:val="007B2943"/>
    <w:rsid w:val="007C1FBD"/>
    <w:rsid w:val="007C54B3"/>
    <w:rsid w:val="007C5C8E"/>
    <w:rsid w:val="007E0A01"/>
    <w:rsid w:val="007E22F5"/>
    <w:rsid w:val="007E2976"/>
    <w:rsid w:val="007F25F3"/>
    <w:rsid w:val="007F4901"/>
    <w:rsid w:val="007F7CFE"/>
    <w:rsid w:val="00807707"/>
    <w:rsid w:val="00811A32"/>
    <w:rsid w:val="00826DEB"/>
    <w:rsid w:val="00832A78"/>
    <w:rsid w:val="00836B02"/>
    <w:rsid w:val="00845952"/>
    <w:rsid w:val="008467D4"/>
    <w:rsid w:val="00850FB0"/>
    <w:rsid w:val="00851849"/>
    <w:rsid w:val="0085238E"/>
    <w:rsid w:val="00853428"/>
    <w:rsid w:val="008540EA"/>
    <w:rsid w:val="00854236"/>
    <w:rsid w:val="00864B16"/>
    <w:rsid w:val="008663FC"/>
    <w:rsid w:val="00866A00"/>
    <w:rsid w:val="008702A6"/>
    <w:rsid w:val="008703CE"/>
    <w:rsid w:val="008757CE"/>
    <w:rsid w:val="0088392C"/>
    <w:rsid w:val="00895382"/>
    <w:rsid w:val="00897C0E"/>
    <w:rsid w:val="00897E31"/>
    <w:rsid w:val="008A046F"/>
    <w:rsid w:val="008A2553"/>
    <w:rsid w:val="008A405A"/>
    <w:rsid w:val="008A6A6A"/>
    <w:rsid w:val="008B650A"/>
    <w:rsid w:val="008B787C"/>
    <w:rsid w:val="008C3898"/>
    <w:rsid w:val="008C66CC"/>
    <w:rsid w:val="008E409F"/>
    <w:rsid w:val="008F36BD"/>
    <w:rsid w:val="008F483C"/>
    <w:rsid w:val="00910595"/>
    <w:rsid w:val="00910756"/>
    <w:rsid w:val="00912D61"/>
    <w:rsid w:val="009322D7"/>
    <w:rsid w:val="00932BDE"/>
    <w:rsid w:val="009371D0"/>
    <w:rsid w:val="009460BB"/>
    <w:rsid w:val="00967725"/>
    <w:rsid w:val="0097020E"/>
    <w:rsid w:val="009724D0"/>
    <w:rsid w:val="00973026"/>
    <w:rsid w:val="0098195F"/>
    <w:rsid w:val="009902F8"/>
    <w:rsid w:val="00991605"/>
    <w:rsid w:val="00993BB8"/>
    <w:rsid w:val="0099555F"/>
    <w:rsid w:val="009965A2"/>
    <w:rsid w:val="00996F6F"/>
    <w:rsid w:val="009A1AD7"/>
    <w:rsid w:val="009A22A1"/>
    <w:rsid w:val="009A35CA"/>
    <w:rsid w:val="009B3A1B"/>
    <w:rsid w:val="009B6332"/>
    <w:rsid w:val="009B69CD"/>
    <w:rsid w:val="009C0912"/>
    <w:rsid w:val="009C214F"/>
    <w:rsid w:val="009C7443"/>
    <w:rsid w:val="009D09F0"/>
    <w:rsid w:val="009D5F52"/>
    <w:rsid w:val="009D6694"/>
    <w:rsid w:val="009E78B9"/>
    <w:rsid w:val="009F0300"/>
    <w:rsid w:val="009F5BEC"/>
    <w:rsid w:val="00A167A8"/>
    <w:rsid w:val="00A17FF5"/>
    <w:rsid w:val="00A21F0A"/>
    <w:rsid w:val="00A25FCF"/>
    <w:rsid w:val="00A26011"/>
    <w:rsid w:val="00A3014E"/>
    <w:rsid w:val="00A44A9D"/>
    <w:rsid w:val="00A506C2"/>
    <w:rsid w:val="00A5455A"/>
    <w:rsid w:val="00A62886"/>
    <w:rsid w:val="00A66B49"/>
    <w:rsid w:val="00A74C38"/>
    <w:rsid w:val="00A77D24"/>
    <w:rsid w:val="00A8572F"/>
    <w:rsid w:val="00A87B3E"/>
    <w:rsid w:val="00A93E07"/>
    <w:rsid w:val="00A979CF"/>
    <w:rsid w:val="00AA24B6"/>
    <w:rsid w:val="00AA4DF8"/>
    <w:rsid w:val="00AA4EF6"/>
    <w:rsid w:val="00AA766D"/>
    <w:rsid w:val="00AB780C"/>
    <w:rsid w:val="00AC2448"/>
    <w:rsid w:val="00AD0B0B"/>
    <w:rsid w:val="00AD38D1"/>
    <w:rsid w:val="00AD5122"/>
    <w:rsid w:val="00AD5ADE"/>
    <w:rsid w:val="00AE7138"/>
    <w:rsid w:val="00AF22E5"/>
    <w:rsid w:val="00AF4CAF"/>
    <w:rsid w:val="00B0601A"/>
    <w:rsid w:val="00B117BA"/>
    <w:rsid w:val="00B15F23"/>
    <w:rsid w:val="00B16508"/>
    <w:rsid w:val="00B201B4"/>
    <w:rsid w:val="00B205F4"/>
    <w:rsid w:val="00B20D87"/>
    <w:rsid w:val="00B24053"/>
    <w:rsid w:val="00B31550"/>
    <w:rsid w:val="00B562BE"/>
    <w:rsid w:val="00B578AC"/>
    <w:rsid w:val="00B61314"/>
    <w:rsid w:val="00B62F06"/>
    <w:rsid w:val="00B6433F"/>
    <w:rsid w:val="00B64CF5"/>
    <w:rsid w:val="00B71C31"/>
    <w:rsid w:val="00B76C9B"/>
    <w:rsid w:val="00B823A1"/>
    <w:rsid w:val="00B8428B"/>
    <w:rsid w:val="00B934CB"/>
    <w:rsid w:val="00B95DB1"/>
    <w:rsid w:val="00B96574"/>
    <w:rsid w:val="00BA41F5"/>
    <w:rsid w:val="00BB3C9C"/>
    <w:rsid w:val="00BF28AD"/>
    <w:rsid w:val="00BF4822"/>
    <w:rsid w:val="00C01D22"/>
    <w:rsid w:val="00C02561"/>
    <w:rsid w:val="00C05ECC"/>
    <w:rsid w:val="00C104B6"/>
    <w:rsid w:val="00C10F02"/>
    <w:rsid w:val="00C114F4"/>
    <w:rsid w:val="00C11D03"/>
    <w:rsid w:val="00C15135"/>
    <w:rsid w:val="00C16F39"/>
    <w:rsid w:val="00C215FB"/>
    <w:rsid w:val="00C230DD"/>
    <w:rsid w:val="00C2375C"/>
    <w:rsid w:val="00C26984"/>
    <w:rsid w:val="00C31967"/>
    <w:rsid w:val="00C34C96"/>
    <w:rsid w:val="00C371DE"/>
    <w:rsid w:val="00C409AE"/>
    <w:rsid w:val="00C4143E"/>
    <w:rsid w:val="00C42D50"/>
    <w:rsid w:val="00C54DF8"/>
    <w:rsid w:val="00C6006F"/>
    <w:rsid w:val="00C60B49"/>
    <w:rsid w:val="00C65384"/>
    <w:rsid w:val="00C7440A"/>
    <w:rsid w:val="00C865ED"/>
    <w:rsid w:val="00C8775A"/>
    <w:rsid w:val="00C97058"/>
    <w:rsid w:val="00CA0877"/>
    <w:rsid w:val="00CA6B59"/>
    <w:rsid w:val="00CB3A5C"/>
    <w:rsid w:val="00CB3B6C"/>
    <w:rsid w:val="00CB75F1"/>
    <w:rsid w:val="00CC117B"/>
    <w:rsid w:val="00CC1833"/>
    <w:rsid w:val="00CC189F"/>
    <w:rsid w:val="00CC3368"/>
    <w:rsid w:val="00CE520F"/>
    <w:rsid w:val="00CE532A"/>
    <w:rsid w:val="00CE79D1"/>
    <w:rsid w:val="00CF19C4"/>
    <w:rsid w:val="00CF1C40"/>
    <w:rsid w:val="00CF2B0A"/>
    <w:rsid w:val="00D136D1"/>
    <w:rsid w:val="00D13C04"/>
    <w:rsid w:val="00D15483"/>
    <w:rsid w:val="00D20A78"/>
    <w:rsid w:val="00D278BA"/>
    <w:rsid w:val="00D40454"/>
    <w:rsid w:val="00D4059C"/>
    <w:rsid w:val="00D44760"/>
    <w:rsid w:val="00D53D8F"/>
    <w:rsid w:val="00D61C76"/>
    <w:rsid w:val="00D77015"/>
    <w:rsid w:val="00D86266"/>
    <w:rsid w:val="00D92B48"/>
    <w:rsid w:val="00D93B73"/>
    <w:rsid w:val="00DA66D3"/>
    <w:rsid w:val="00DB1693"/>
    <w:rsid w:val="00DC795C"/>
    <w:rsid w:val="00DD5B07"/>
    <w:rsid w:val="00DD6531"/>
    <w:rsid w:val="00DE6821"/>
    <w:rsid w:val="00DF2022"/>
    <w:rsid w:val="00DF34BE"/>
    <w:rsid w:val="00DF5D59"/>
    <w:rsid w:val="00E02CE2"/>
    <w:rsid w:val="00E033CE"/>
    <w:rsid w:val="00E10B37"/>
    <w:rsid w:val="00E12471"/>
    <w:rsid w:val="00E13DCA"/>
    <w:rsid w:val="00E17693"/>
    <w:rsid w:val="00E239E4"/>
    <w:rsid w:val="00E31242"/>
    <w:rsid w:val="00E36A38"/>
    <w:rsid w:val="00E37D9D"/>
    <w:rsid w:val="00E52B36"/>
    <w:rsid w:val="00E53399"/>
    <w:rsid w:val="00E63E3E"/>
    <w:rsid w:val="00E77995"/>
    <w:rsid w:val="00E829E3"/>
    <w:rsid w:val="00E83D48"/>
    <w:rsid w:val="00E87099"/>
    <w:rsid w:val="00EA28E6"/>
    <w:rsid w:val="00EB2C2B"/>
    <w:rsid w:val="00EC731E"/>
    <w:rsid w:val="00ED5D6F"/>
    <w:rsid w:val="00ED6BA3"/>
    <w:rsid w:val="00EF78C4"/>
    <w:rsid w:val="00F04CD7"/>
    <w:rsid w:val="00F23E15"/>
    <w:rsid w:val="00F244A2"/>
    <w:rsid w:val="00F35064"/>
    <w:rsid w:val="00F374D8"/>
    <w:rsid w:val="00F42451"/>
    <w:rsid w:val="00F539FB"/>
    <w:rsid w:val="00F5684D"/>
    <w:rsid w:val="00F57038"/>
    <w:rsid w:val="00F57AB6"/>
    <w:rsid w:val="00F6480F"/>
    <w:rsid w:val="00F64868"/>
    <w:rsid w:val="00F655BF"/>
    <w:rsid w:val="00F65FE9"/>
    <w:rsid w:val="00F70C2E"/>
    <w:rsid w:val="00F74D9D"/>
    <w:rsid w:val="00F84DF2"/>
    <w:rsid w:val="00F86713"/>
    <w:rsid w:val="00F932E0"/>
    <w:rsid w:val="00FA0822"/>
    <w:rsid w:val="00FB4FF9"/>
    <w:rsid w:val="00FB7701"/>
    <w:rsid w:val="00FC3768"/>
    <w:rsid w:val="00FC40F0"/>
    <w:rsid w:val="00FC6D3B"/>
    <w:rsid w:val="00FC7502"/>
    <w:rsid w:val="00FD0129"/>
    <w:rsid w:val="00FE17ED"/>
    <w:rsid w:val="00FE636C"/>
    <w:rsid w:val="00FF1AAB"/>
    <w:rsid w:val="00FF4315"/>
    <w:rsid w:val="00FF5E5A"/>
    <w:rsid w:val="00FF6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1E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2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9"/>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uiPriority w:val="99"/>
    <w:rsid w:val="00F35064"/>
    <w:rPr>
      <w:sz w:val="20"/>
    </w:rPr>
  </w:style>
  <w:style w:type="character" w:styleId="FootnoteReference">
    <w:name w:val="footnote reference"/>
    <w:basedOn w:val="DefaultParagraphFont"/>
    <w:uiPriority w:val="99"/>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uiPriority w:val="29"/>
    <w:rsid w:val="00AC2448"/>
    <w:rPr>
      <w:sz w:val="24"/>
    </w:rPr>
  </w:style>
  <w:style w:type="character" w:customStyle="1" w:styleId="CommentTextChar">
    <w:name w:val="Comment Text Char"/>
    <w:basedOn w:val="DefaultParagraphFont"/>
    <w:link w:val="CommentText"/>
    <w:uiPriority w:val="99"/>
    <w:semiHidden/>
    <w:rsid w:val="00640CC2"/>
  </w:style>
  <w:style w:type="paragraph" w:customStyle="1" w:styleId="NumberLevel1">
    <w:name w:val="Number Level 1"/>
    <w:aliases w:val="N1"/>
    <w:basedOn w:val="Normal"/>
    <w:hidden/>
    <w:uiPriority w:val="1"/>
    <w:rsid w:val="000D179E"/>
    <w:pPr>
      <w:numPr>
        <w:numId w:val="5"/>
      </w:numPr>
      <w:spacing w:before="140" w:after="140" w:line="280" w:lineRule="atLeast"/>
    </w:pPr>
    <w:rPr>
      <w:rFonts w:ascii="Arial" w:hAnsi="Arial" w:cs="Arial"/>
      <w:sz w:val="22"/>
      <w:szCs w:val="22"/>
    </w:rPr>
  </w:style>
  <w:style w:type="paragraph" w:customStyle="1" w:styleId="NumberLevel2">
    <w:name w:val="Number Level 2"/>
    <w:aliases w:val="N2"/>
    <w:basedOn w:val="Normal"/>
    <w:hidden/>
    <w:uiPriority w:val="1"/>
    <w:rsid w:val="000D179E"/>
    <w:pPr>
      <w:numPr>
        <w:ilvl w:val="1"/>
        <w:numId w:val="5"/>
      </w:numPr>
      <w:spacing w:before="140" w:after="140" w:line="280" w:lineRule="atLeast"/>
    </w:pPr>
    <w:rPr>
      <w:rFonts w:ascii="Arial" w:hAnsi="Arial" w:cs="Arial"/>
      <w:sz w:val="22"/>
      <w:szCs w:val="22"/>
    </w:rPr>
  </w:style>
  <w:style w:type="paragraph" w:customStyle="1" w:styleId="NumberLevel3">
    <w:name w:val="Number Level 3"/>
    <w:aliases w:val="N3"/>
    <w:basedOn w:val="Normal"/>
    <w:hidden/>
    <w:uiPriority w:val="1"/>
    <w:rsid w:val="000D179E"/>
    <w:pPr>
      <w:numPr>
        <w:ilvl w:val="2"/>
        <w:numId w:val="5"/>
      </w:numPr>
      <w:spacing w:before="140" w:after="140" w:line="280" w:lineRule="atLeast"/>
    </w:pPr>
    <w:rPr>
      <w:rFonts w:ascii="Arial" w:hAnsi="Arial" w:cs="Arial"/>
      <w:sz w:val="22"/>
      <w:szCs w:val="22"/>
    </w:rPr>
  </w:style>
  <w:style w:type="paragraph" w:customStyle="1" w:styleId="NumberLevel4">
    <w:name w:val="Number Level 4"/>
    <w:aliases w:val="N4"/>
    <w:basedOn w:val="Normal"/>
    <w:hidden/>
    <w:uiPriority w:val="1"/>
    <w:rsid w:val="000D179E"/>
    <w:pPr>
      <w:numPr>
        <w:ilvl w:val="3"/>
        <w:numId w:val="5"/>
      </w:numPr>
      <w:spacing w:after="140" w:line="280" w:lineRule="atLeast"/>
    </w:pPr>
    <w:rPr>
      <w:rFonts w:ascii="Arial" w:hAnsi="Arial" w:cs="Arial"/>
      <w:sz w:val="22"/>
      <w:szCs w:val="22"/>
    </w:rPr>
  </w:style>
  <w:style w:type="paragraph" w:customStyle="1" w:styleId="NumberLevel5">
    <w:name w:val="Number Level 5"/>
    <w:aliases w:val="N5"/>
    <w:basedOn w:val="Normal"/>
    <w:hidden/>
    <w:uiPriority w:val="1"/>
    <w:rsid w:val="000D179E"/>
    <w:pPr>
      <w:numPr>
        <w:ilvl w:val="4"/>
        <w:numId w:val="5"/>
      </w:numPr>
      <w:spacing w:after="140" w:line="280" w:lineRule="atLeast"/>
    </w:pPr>
    <w:rPr>
      <w:rFonts w:ascii="Arial" w:hAnsi="Arial" w:cs="Arial"/>
      <w:sz w:val="22"/>
      <w:szCs w:val="22"/>
    </w:rPr>
  </w:style>
  <w:style w:type="paragraph" w:customStyle="1" w:styleId="NumberLevel6">
    <w:name w:val="Number Level 6"/>
    <w:basedOn w:val="NumberLevel5"/>
    <w:uiPriority w:val="1"/>
    <w:rsid w:val="000D179E"/>
    <w:pPr>
      <w:numPr>
        <w:ilvl w:val="5"/>
      </w:numPr>
    </w:pPr>
  </w:style>
  <w:style w:type="paragraph" w:customStyle="1" w:styleId="NumberLevel7">
    <w:name w:val="Number Level 7"/>
    <w:basedOn w:val="NumberLevel6"/>
    <w:uiPriority w:val="1"/>
    <w:rsid w:val="000D179E"/>
    <w:pPr>
      <w:numPr>
        <w:ilvl w:val="6"/>
      </w:numPr>
    </w:pPr>
  </w:style>
  <w:style w:type="paragraph" w:customStyle="1" w:styleId="NumberLevel8">
    <w:name w:val="Number Level 8"/>
    <w:basedOn w:val="NumberLevel7"/>
    <w:uiPriority w:val="1"/>
    <w:rsid w:val="000D179E"/>
    <w:pPr>
      <w:numPr>
        <w:ilvl w:val="7"/>
      </w:numPr>
    </w:pPr>
  </w:style>
  <w:style w:type="paragraph" w:customStyle="1" w:styleId="NumberLevel9">
    <w:name w:val="Number Level 9"/>
    <w:basedOn w:val="NumberLevel8"/>
    <w:uiPriority w:val="1"/>
    <w:rsid w:val="000D179E"/>
    <w:pPr>
      <w:numPr>
        <w:ilvl w:val="8"/>
      </w:numPr>
    </w:pPr>
  </w:style>
  <w:style w:type="paragraph" w:customStyle="1" w:styleId="AdviceNumLevel1">
    <w:name w:val="AdviceNumLevel1"/>
    <w:aliases w:val="Advice N1"/>
    <w:basedOn w:val="NumberLevel1"/>
    <w:qFormat/>
    <w:rsid w:val="000D179E"/>
  </w:style>
  <w:style w:type="character" w:customStyle="1" w:styleId="FootnoteTextChar">
    <w:name w:val="Footnote Text Char"/>
    <w:basedOn w:val="DefaultParagraphFont"/>
    <w:link w:val="FootnoteText"/>
    <w:uiPriority w:val="99"/>
    <w:rsid w:val="006428FA"/>
  </w:style>
  <w:style w:type="character" w:styleId="FollowedHyperlink">
    <w:name w:val="FollowedHyperlink"/>
    <w:basedOn w:val="DefaultParagraphFont"/>
    <w:semiHidden/>
    <w:unhideWhenUsed/>
    <w:rsid w:val="006428FA"/>
    <w:rPr>
      <w:color w:val="800080" w:themeColor="followedHyperlink"/>
      <w:u w:val="single"/>
    </w:rPr>
  </w:style>
  <w:style w:type="character" w:styleId="UnresolvedMention">
    <w:name w:val="Unresolved Mention"/>
    <w:basedOn w:val="DefaultParagraphFont"/>
    <w:uiPriority w:val="99"/>
    <w:semiHidden/>
    <w:unhideWhenUsed/>
    <w:rsid w:val="00AA766D"/>
    <w:rPr>
      <w:color w:val="605E5C"/>
      <w:shd w:val="clear" w:color="auto" w:fill="E1DFDD"/>
    </w:rPr>
  </w:style>
  <w:style w:type="paragraph" w:styleId="Revision">
    <w:name w:val="Revision"/>
    <w:hidden/>
    <w:uiPriority w:val="99"/>
    <w:semiHidden/>
    <w:rsid w:val="00541D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296200">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722903151">
      <w:bodyDiv w:val="1"/>
      <w:marLeft w:val="0"/>
      <w:marRight w:val="0"/>
      <w:marTop w:val="0"/>
      <w:marBottom w:val="0"/>
      <w:divBdr>
        <w:top w:val="none" w:sz="0" w:space="0" w:color="auto"/>
        <w:left w:val="none" w:sz="0" w:space="0" w:color="auto"/>
        <w:bottom w:val="none" w:sz="0" w:space="0" w:color="auto"/>
        <w:right w:val="none" w:sz="0" w:space="0" w:color="auto"/>
      </w:divBdr>
    </w:div>
    <w:div w:id="1837913657">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General/Consultation/Consultation-groups/Stakeholder-relationship-groups/Modernising-Business-Registers-Business-Advisory-Grou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7154</Characters>
  <Application>Microsoft Office Word</Application>
  <DocSecurity>0</DocSecurity>
  <Lines>59</Lines>
  <Paragraphs>16</Paragraphs>
  <ScaleCrop>false</ScaleCrop>
  <Company/>
  <LinksUpToDate>false</LinksUpToDate>
  <CharactersWithSpaces>8392</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2023-02-17T01:24:00Z</dcterms:created>
  <dcterms:modified xsi:type="dcterms:W3CDTF">2023-02-17T01:24:00Z</dcterms:modified>
</cp:coreProperties>
</file>