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E730" w14:textId="77777777" w:rsidR="005C57C6" w:rsidRDefault="005C57C6" w:rsidP="00C56FD6">
      <w:pPr>
        <w:spacing w:after="0" w:line="240" w:lineRule="auto"/>
        <w:jc w:val="center"/>
        <w:rPr>
          <w:b/>
        </w:rPr>
      </w:pPr>
    </w:p>
    <w:p w14:paraId="1FD6CD9E" w14:textId="1BBB024C" w:rsidR="00C56FD6" w:rsidRPr="00907977" w:rsidRDefault="00C56FD6" w:rsidP="00C56FD6">
      <w:pPr>
        <w:spacing w:after="0" w:line="240" w:lineRule="auto"/>
        <w:jc w:val="center"/>
        <w:rPr>
          <w:b/>
        </w:rPr>
      </w:pPr>
      <w:r w:rsidRPr="00907977">
        <w:rPr>
          <w:b/>
        </w:rPr>
        <w:t>EXPLANATORY STATEMENT</w:t>
      </w:r>
    </w:p>
    <w:p w14:paraId="0E9AE5A4" w14:textId="77777777" w:rsidR="00C56FD6" w:rsidRPr="00907977" w:rsidRDefault="00C56FD6" w:rsidP="00C56FD6">
      <w:pPr>
        <w:spacing w:after="0" w:line="240" w:lineRule="auto"/>
        <w:jc w:val="center"/>
        <w:rPr>
          <w:b/>
        </w:rPr>
      </w:pPr>
    </w:p>
    <w:p w14:paraId="676883BE" w14:textId="77777777" w:rsidR="00C56FD6" w:rsidRPr="00907977" w:rsidRDefault="00C56FD6" w:rsidP="00C56FD6">
      <w:pPr>
        <w:spacing w:after="0" w:line="240" w:lineRule="auto"/>
        <w:jc w:val="center"/>
        <w:rPr>
          <w:b/>
          <w:i/>
        </w:rPr>
      </w:pPr>
      <w:r w:rsidRPr="00907977">
        <w:rPr>
          <w:b/>
          <w:i/>
        </w:rPr>
        <w:t>HEALTH INSURANCE ACT 1973</w:t>
      </w:r>
    </w:p>
    <w:p w14:paraId="2F92EE96" w14:textId="77777777" w:rsidR="00C56FD6" w:rsidRPr="00907977" w:rsidRDefault="00C56FD6" w:rsidP="00C56FD6">
      <w:pPr>
        <w:spacing w:after="0" w:line="240" w:lineRule="auto"/>
        <w:jc w:val="center"/>
        <w:rPr>
          <w:b/>
        </w:rPr>
      </w:pPr>
    </w:p>
    <w:p w14:paraId="4A9E896E" w14:textId="3A980DF2" w:rsidR="009F6B8D" w:rsidRPr="00907977" w:rsidRDefault="009140C0" w:rsidP="00854A82">
      <w:pPr>
        <w:spacing w:after="0" w:line="240" w:lineRule="auto"/>
        <w:jc w:val="center"/>
        <w:rPr>
          <w:rFonts w:cs="Times New Roman"/>
          <w:b/>
          <w:szCs w:val="24"/>
        </w:rPr>
      </w:pPr>
      <w:bookmarkStart w:id="0" w:name="_Hlk86053712"/>
      <w:bookmarkStart w:id="1" w:name="_Hlk98757110"/>
      <w:r w:rsidRPr="00907977">
        <w:rPr>
          <w:b/>
          <w:i/>
        </w:rPr>
        <w:t>Health Insurance (Accredited Pathology Laboratories—Approval) Amendment</w:t>
      </w:r>
      <w:r w:rsidR="00854A82" w:rsidRPr="00907977">
        <w:rPr>
          <w:b/>
          <w:i/>
        </w:rPr>
        <w:t xml:space="preserve"> (Relevant Standards) </w:t>
      </w:r>
      <w:r w:rsidRPr="00907977">
        <w:rPr>
          <w:b/>
          <w:i/>
        </w:rPr>
        <w:t>Principles (No.</w:t>
      </w:r>
      <w:r w:rsidR="00920BF6" w:rsidRPr="00907977">
        <w:rPr>
          <w:b/>
          <w:i/>
        </w:rPr>
        <w:t>1</w:t>
      </w:r>
      <w:r w:rsidRPr="00907977">
        <w:rPr>
          <w:b/>
          <w:i/>
        </w:rPr>
        <w:t>) 202</w:t>
      </w:r>
      <w:bookmarkEnd w:id="0"/>
      <w:r w:rsidR="00913868" w:rsidRPr="00907977">
        <w:rPr>
          <w:b/>
          <w:i/>
        </w:rPr>
        <w:t>3</w:t>
      </w:r>
    </w:p>
    <w:bookmarkEnd w:id="1"/>
    <w:p w14:paraId="17122760" w14:textId="6924FA2D" w:rsidR="00C56FD6" w:rsidRPr="00907977" w:rsidRDefault="00C56FD6" w:rsidP="00C56FD6">
      <w:pPr>
        <w:spacing w:after="240" w:line="240" w:lineRule="auto"/>
        <w:jc w:val="both"/>
        <w:rPr>
          <w:rFonts w:cs="Times New Roman"/>
          <w:b/>
          <w:szCs w:val="24"/>
        </w:rPr>
      </w:pPr>
      <w:r w:rsidRPr="00907977">
        <w:rPr>
          <w:rFonts w:cs="Times New Roman"/>
          <w:b/>
          <w:szCs w:val="24"/>
        </w:rPr>
        <w:t xml:space="preserve">Authority </w:t>
      </w:r>
    </w:p>
    <w:p w14:paraId="2E7D39DC" w14:textId="59403DE5" w:rsidR="00C56FD6" w:rsidRPr="00907977" w:rsidRDefault="003A0387" w:rsidP="00C56FD6">
      <w:pPr>
        <w:spacing w:after="240" w:line="240" w:lineRule="auto"/>
        <w:rPr>
          <w:rFonts w:cs="Times New Roman"/>
          <w:szCs w:val="24"/>
        </w:rPr>
      </w:pPr>
      <w:r w:rsidRPr="00907977">
        <w:rPr>
          <w:rFonts w:cs="Times New Roman"/>
          <w:szCs w:val="24"/>
        </w:rPr>
        <w:t>Subs</w:t>
      </w:r>
      <w:r w:rsidR="00C56FD6" w:rsidRPr="00907977">
        <w:rPr>
          <w:rFonts w:cs="Times New Roman"/>
          <w:szCs w:val="24"/>
        </w:rPr>
        <w:t>ection 23DNA</w:t>
      </w:r>
      <w:r w:rsidRPr="00907977">
        <w:rPr>
          <w:rFonts w:cs="Times New Roman"/>
          <w:szCs w:val="24"/>
        </w:rPr>
        <w:t>(1)</w:t>
      </w:r>
      <w:r w:rsidR="00C56FD6" w:rsidRPr="00907977">
        <w:rPr>
          <w:rFonts w:cs="Times New Roman"/>
          <w:szCs w:val="24"/>
        </w:rPr>
        <w:t xml:space="preserve"> of the </w:t>
      </w:r>
      <w:r w:rsidR="00C56FD6" w:rsidRPr="00907977">
        <w:rPr>
          <w:rFonts w:cs="Times New Roman"/>
          <w:i/>
          <w:szCs w:val="24"/>
        </w:rPr>
        <w:t>Health Insurance Act 1973</w:t>
      </w:r>
      <w:r w:rsidR="00C56FD6" w:rsidRPr="00907977">
        <w:rPr>
          <w:rFonts w:cs="Times New Roman"/>
          <w:szCs w:val="24"/>
        </w:rPr>
        <w:t xml:space="preserve"> (the Act) provides for the Minister to determine the principles to be applied in exercising his or her powers under section 23DN of the Act to approve in principle, or refuse to approve, premises as an accredited pathology laboratory. The current principles determined under section 23DNA are the </w:t>
      </w:r>
      <w:r w:rsidR="00C56FD6" w:rsidRPr="00907977">
        <w:rPr>
          <w:rFonts w:cs="Times New Roman"/>
          <w:i/>
          <w:szCs w:val="24"/>
        </w:rPr>
        <w:t xml:space="preserve">Health Insurance (Accredited Pathology Laboratories – Approval) Principles 2017 </w:t>
      </w:r>
      <w:r w:rsidR="00C56FD6" w:rsidRPr="00907977">
        <w:rPr>
          <w:rFonts w:cs="Times New Roman"/>
          <w:szCs w:val="24"/>
        </w:rPr>
        <w:t xml:space="preserve">(the Principles).  </w:t>
      </w:r>
    </w:p>
    <w:p w14:paraId="4980CB39" w14:textId="77777777" w:rsidR="00EE4EB2" w:rsidRPr="00907977" w:rsidRDefault="00EE4EB2" w:rsidP="006B0093">
      <w:pPr>
        <w:shd w:val="clear" w:color="auto" w:fill="FFFFFF"/>
        <w:spacing w:line="240" w:lineRule="auto"/>
        <w:rPr>
          <w:szCs w:val="24"/>
        </w:rPr>
      </w:pPr>
      <w:r w:rsidRPr="00907977">
        <w:rPr>
          <w:szCs w:val="24"/>
        </w:rPr>
        <w:t>Under subsection 33(3) of the </w:t>
      </w:r>
      <w:r w:rsidRPr="00907977">
        <w:rPr>
          <w:i/>
          <w:iCs/>
          <w:szCs w:val="24"/>
        </w:rPr>
        <w:t>Acts Interpretation Act 1901</w:t>
      </w:r>
      <w:r w:rsidRPr="00907977">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7777777" w:rsidR="007F3893" w:rsidRPr="00907977" w:rsidRDefault="001671A6" w:rsidP="007F3893">
      <w:pPr>
        <w:spacing w:after="240" w:line="240" w:lineRule="auto"/>
        <w:rPr>
          <w:rFonts w:cs="Times New Roman"/>
          <w:b/>
          <w:bCs/>
          <w:szCs w:val="24"/>
        </w:rPr>
      </w:pPr>
      <w:r w:rsidRPr="00907977">
        <w:rPr>
          <w:rFonts w:cs="Times New Roman"/>
          <w:b/>
          <w:bCs/>
          <w:szCs w:val="24"/>
        </w:rPr>
        <w:t>Purpose</w:t>
      </w:r>
    </w:p>
    <w:p w14:paraId="169F4308" w14:textId="50BF71C4" w:rsidR="001A1D46" w:rsidRPr="00907977" w:rsidRDefault="00406816" w:rsidP="001A1D46">
      <w:pPr>
        <w:spacing w:after="120" w:line="240" w:lineRule="auto"/>
        <w:rPr>
          <w:szCs w:val="24"/>
        </w:rPr>
      </w:pPr>
      <w:r w:rsidRPr="00907977">
        <w:rPr>
          <w:szCs w:val="24"/>
        </w:rPr>
        <w:t xml:space="preserve">The purpose of the </w:t>
      </w:r>
      <w:r w:rsidR="009140C0" w:rsidRPr="00907977">
        <w:rPr>
          <w:i/>
          <w:iCs/>
          <w:szCs w:val="24"/>
        </w:rPr>
        <w:t xml:space="preserve">Health Insurance (Accredited Pathology Laboratories—Approval) Amendment </w:t>
      </w:r>
      <w:r w:rsidR="00854A82" w:rsidRPr="00907977">
        <w:rPr>
          <w:i/>
          <w:iCs/>
          <w:szCs w:val="24"/>
        </w:rPr>
        <w:t xml:space="preserve">(Relevant Standards) </w:t>
      </w:r>
      <w:r w:rsidR="009140C0" w:rsidRPr="00907977">
        <w:rPr>
          <w:i/>
          <w:iCs/>
          <w:szCs w:val="24"/>
        </w:rPr>
        <w:t>Principles (No.</w:t>
      </w:r>
      <w:r w:rsidR="00920BF6" w:rsidRPr="00907977">
        <w:rPr>
          <w:i/>
          <w:iCs/>
          <w:szCs w:val="24"/>
        </w:rPr>
        <w:t>1</w:t>
      </w:r>
      <w:r w:rsidR="009140C0" w:rsidRPr="00907977">
        <w:rPr>
          <w:i/>
          <w:iCs/>
          <w:szCs w:val="24"/>
        </w:rPr>
        <w:t>) 202</w:t>
      </w:r>
      <w:r w:rsidR="00913868" w:rsidRPr="00907977">
        <w:rPr>
          <w:i/>
          <w:iCs/>
          <w:szCs w:val="24"/>
        </w:rPr>
        <w:t>3</w:t>
      </w:r>
      <w:r w:rsidR="009140C0" w:rsidRPr="00907977">
        <w:rPr>
          <w:i/>
          <w:szCs w:val="24"/>
        </w:rPr>
        <w:t xml:space="preserve"> </w:t>
      </w:r>
      <w:r w:rsidRPr="00907977">
        <w:rPr>
          <w:szCs w:val="24"/>
        </w:rPr>
        <w:t xml:space="preserve">(the Amending </w:t>
      </w:r>
      <w:r w:rsidR="00926FBD" w:rsidRPr="00907977">
        <w:rPr>
          <w:szCs w:val="24"/>
        </w:rPr>
        <w:t>Instrument</w:t>
      </w:r>
      <w:r w:rsidRPr="00907977">
        <w:rPr>
          <w:szCs w:val="24"/>
        </w:rPr>
        <w:t>) is to amend the Principles to</w:t>
      </w:r>
      <w:r w:rsidR="001A1D46" w:rsidRPr="00907977">
        <w:rPr>
          <w:szCs w:val="24"/>
        </w:rPr>
        <w:t xml:space="preserve"> </w:t>
      </w:r>
      <w:r w:rsidRPr="00907977">
        <w:rPr>
          <w:szCs w:val="24"/>
        </w:rPr>
        <w:t>incorporate the revised accreditation</w:t>
      </w:r>
      <w:r w:rsidR="001157A3" w:rsidRPr="00907977">
        <w:rPr>
          <w:szCs w:val="24"/>
        </w:rPr>
        <w:t xml:space="preserve"> standards that have been amended to address specific issues</w:t>
      </w:r>
      <w:r w:rsidR="001A1D46" w:rsidRPr="00907977">
        <w:rPr>
          <w:szCs w:val="24"/>
        </w:rPr>
        <w:t>:</w:t>
      </w:r>
    </w:p>
    <w:p w14:paraId="1C5E49CE" w14:textId="4D6C1991" w:rsidR="005C57C6" w:rsidRPr="00907977" w:rsidRDefault="005C57C6" w:rsidP="005C57C6">
      <w:pPr>
        <w:pStyle w:val="ListParagraph"/>
        <w:numPr>
          <w:ilvl w:val="0"/>
          <w:numId w:val="18"/>
        </w:numPr>
      </w:pPr>
      <w:r w:rsidRPr="00907977">
        <w:t xml:space="preserve">incorporate the revised accreditation standard </w:t>
      </w:r>
      <w:r w:rsidRPr="00907977">
        <w:rPr>
          <w:i/>
          <w:iCs/>
        </w:rPr>
        <w:t>Requirements for Medical Testing for Human Genetic Variation (Third Edition</w:t>
      </w:r>
      <w:r w:rsidR="000C11E3" w:rsidRPr="00907977">
        <w:rPr>
          <w:i/>
          <w:iCs/>
        </w:rPr>
        <w:t xml:space="preserve"> 2022</w:t>
      </w:r>
      <w:r w:rsidRPr="00907977">
        <w:rPr>
          <w:i/>
          <w:iCs/>
        </w:rPr>
        <w:t>)</w:t>
      </w:r>
      <w:r w:rsidRPr="00907977">
        <w:t>, which is a consolidation of the</w:t>
      </w:r>
      <w:r w:rsidRPr="00907977">
        <w:rPr>
          <w:i/>
          <w:iCs/>
        </w:rPr>
        <w:t xml:space="preserve"> Requirements for </w:t>
      </w:r>
      <w:r w:rsidR="007846CE" w:rsidRPr="00907977">
        <w:rPr>
          <w:i/>
          <w:iCs/>
        </w:rPr>
        <w:t>M</w:t>
      </w:r>
      <w:r w:rsidRPr="00907977">
        <w:rPr>
          <w:i/>
          <w:iCs/>
        </w:rPr>
        <w:t xml:space="preserve">edical </w:t>
      </w:r>
      <w:r w:rsidR="007846CE" w:rsidRPr="00907977">
        <w:rPr>
          <w:i/>
          <w:iCs/>
        </w:rPr>
        <w:t>T</w:t>
      </w:r>
      <w:r w:rsidRPr="00907977">
        <w:rPr>
          <w:i/>
          <w:iCs/>
        </w:rPr>
        <w:t xml:space="preserve">esting of </w:t>
      </w:r>
      <w:r w:rsidR="007846CE" w:rsidRPr="00907977">
        <w:rPr>
          <w:i/>
          <w:iCs/>
        </w:rPr>
        <w:t>H</w:t>
      </w:r>
      <w:r w:rsidRPr="00907977">
        <w:rPr>
          <w:i/>
          <w:iCs/>
        </w:rPr>
        <w:t xml:space="preserve">uman </w:t>
      </w:r>
      <w:r w:rsidR="007846CE" w:rsidRPr="00907977">
        <w:rPr>
          <w:i/>
          <w:iCs/>
        </w:rPr>
        <w:t>N</w:t>
      </w:r>
      <w:r w:rsidRPr="00907977">
        <w:rPr>
          <w:i/>
          <w:iCs/>
        </w:rPr>
        <w:t xml:space="preserve">ucleic </w:t>
      </w:r>
      <w:r w:rsidR="007846CE" w:rsidRPr="00907977">
        <w:rPr>
          <w:i/>
          <w:iCs/>
        </w:rPr>
        <w:t>A</w:t>
      </w:r>
      <w:r w:rsidRPr="00907977">
        <w:rPr>
          <w:i/>
          <w:iCs/>
        </w:rPr>
        <w:t>cids (</w:t>
      </w:r>
      <w:r w:rsidR="001002DB" w:rsidRPr="00907977">
        <w:rPr>
          <w:i/>
          <w:iCs/>
        </w:rPr>
        <w:t>Second Edition</w:t>
      </w:r>
      <w:r w:rsidR="003C397B" w:rsidRPr="00907977">
        <w:rPr>
          <w:i/>
          <w:iCs/>
        </w:rPr>
        <w:t xml:space="preserve"> 2013</w:t>
      </w:r>
      <w:r w:rsidRPr="00907977">
        <w:rPr>
          <w:i/>
          <w:iCs/>
        </w:rPr>
        <w:t>)</w:t>
      </w:r>
      <w:r w:rsidRPr="00907977">
        <w:t xml:space="preserve"> and </w:t>
      </w:r>
      <w:r w:rsidRPr="00907977">
        <w:rPr>
          <w:i/>
          <w:iCs/>
        </w:rPr>
        <w:t xml:space="preserve">Requirements for </w:t>
      </w:r>
      <w:r w:rsidR="007846CE" w:rsidRPr="00907977">
        <w:rPr>
          <w:i/>
          <w:iCs/>
        </w:rPr>
        <w:t>C</w:t>
      </w:r>
      <w:r w:rsidRPr="00907977">
        <w:rPr>
          <w:i/>
          <w:iCs/>
        </w:rPr>
        <w:t xml:space="preserve">ytogenetic </w:t>
      </w:r>
      <w:r w:rsidR="007846CE" w:rsidRPr="00907977">
        <w:rPr>
          <w:i/>
          <w:iCs/>
        </w:rPr>
        <w:t>T</w:t>
      </w:r>
      <w:r w:rsidRPr="00907977">
        <w:rPr>
          <w:i/>
          <w:iCs/>
        </w:rPr>
        <w:t>esting (</w:t>
      </w:r>
      <w:r w:rsidR="001002DB" w:rsidRPr="00907977">
        <w:rPr>
          <w:i/>
          <w:iCs/>
        </w:rPr>
        <w:t>Third Edition</w:t>
      </w:r>
      <w:r w:rsidR="003C397B" w:rsidRPr="00907977">
        <w:rPr>
          <w:i/>
          <w:iCs/>
        </w:rPr>
        <w:t xml:space="preserve"> 2013</w:t>
      </w:r>
      <w:r w:rsidRPr="00907977">
        <w:rPr>
          <w:i/>
          <w:iCs/>
        </w:rPr>
        <w:t>)</w:t>
      </w:r>
    </w:p>
    <w:p w14:paraId="76215CFF" w14:textId="79034DF2" w:rsidR="001A1D46" w:rsidRPr="00907977" w:rsidRDefault="005C57C6" w:rsidP="005C57C6">
      <w:pPr>
        <w:pStyle w:val="ListParagraph"/>
        <w:numPr>
          <w:ilvl w:val="0"/>
          <w:numId w:val="18"/>
        </w:numPr>
        <w:spacing w:after="120" w:line="240" w:lineRule="auto"/>
      </w:pPr>
      <w:r w:rsidRPr="00907977">
        <w:t xml:space="preserve">incorporate the revised accreditation standard </w:t>
      </w:r>
      <w:r w:rsidR="00EE7AAF" w:rsidRPr="00907977">
        <w:rPr>
          <w:i/>
          <w:iCs/>
        </w:rPr>
        <w:t>Requirements for Information Communication and Reporting (Fifth Edition</w:t>
      </w:r>
      <w:r w:rsidR="000C11E3" w:rsidRPr="00907977">
        <w:rPr>
          <w:i/>
          <w:iCs/>
        </w:rPr>
        <w:t xml:space="preserve"> 2022</w:t>
      </w:r>
      <w:r w:rsidR="00EE7AAF" w:rsidRPr="00907977">
        <w:rPr>
          <w:i/>
          <w:iCs/>
        </w:rPr>
        <w:t>)</w:t>
      </w:r>
      <w:r w:rsidR="001D3C1E" w:rsidRPr="00907977">
        <w:rPr>
          <w:i/>
          <w:iCs/>
        </w:rPr>
        <w:t xml:space="preserve"> </w:t>
      </w:r>
    </w:p>
    <w:p w14:paraId="4E6DEB5D" w14:textId="135B7FE9" w:rsidR="001D3C1E" w:rsidRPr="00907977" w:rsidRDefault="005C57C6" w:rsidP="001D3C1E">
      <w:pPr>
        <w:pStyle w:val="ListParagraph"/>
        <w:numPr>
          <w:ilvl w:val="0"/>
          <w:numId w:val="18"/>
        </w:numPr>
        <w:spacing w:after="120" w:line="240" w:lineRule="auto"/>
        <w:rPr>
          <w:i/>
          <w:iCs/>
        </w:rPr>
      </w:pPr>
      <w:r w:rsidRPr="00907977">
        <w:t xml:space="preserve">incorporate the revised accreditation standard </w:t>
      </w:r>
      <w:r w:rsidR="001D3C1E" w:rsidRPr="00907977">
        <w:rPr>
          <w:i/>
          <w:iCs/>
        </w:rPr>
        <w:t>Requirements for the Packaging and Transport of Pathology Specimens and Associated Materials (Fifth Edition</w:t>
      </w:r>
      <w:r w:rsidR="000C11E3" w:rsidRPr="00907977">
        <w:rPr>
          <w:i/>
          <w:iCs/>
        </w:rPr>
        <w:t xml:space="preserve"> 2022</w:t>
      </w:r>
      <w:r w:rsidR="001D3C1E" w:rsidRPr="00907977">
        <w:rPr>
          <w:i/>
          <w:iCs/>
        </w:rPr>
        <w:t>)</w:t>
      </w:r>
      <w:r w:rsidR="001D3C1E" w:rsidRPr="00907977">
        <w:t xml:space="preserve"> </w:t>
      </w:r>
    </w:p>
    <w:p w14:paraId="022355A3" w14:textId="38505655" w:rsidR="001D3C1E" w:rsidRPr="00907977" w:rsidRDefault="005C57C6" w:rsidP="001D3C1E">
      <w:pPr>
        <w:pStyle w:val="ListParagraph"/>
        <w:numPr>
          <w:ilvl w:val="0"/>
          <w:numId w:val="18"/>
        </w:numPr>
        <w:spacing w:after="120" w:line="240" w:lineRule="auto"/>
      </w:pPr>
      <w:r w:rsidRPr="00907977">
        <w:t xml:space="preserve">incorporate the revised accreditation standard </w:t>
      </w:r>
      <w:r w:rsidR="001D3C1E" w:rsidRPr="00907977">
        <w:rPr>
          <w:i/>
          <w:iCs/>
        </w:rPr>
        <w:t>Requirements for Transfusion Laboratory Practice (Fifth Edition</w:t>
      </w:r>
      <w:r w:rsidR="000C11E3" w:rsidRPr="00907977">
        <w:rPr>
          <w:i/>
          <w:iCs/>
        </w:rPr>
        <w:t xml:space="preserve"> 2022</w:t>
      </w:r>
      <w:r w:rsidR="001D3C1E" w:rsidRPr="00907977">
        <w:rPr>
          <w:i/>
          <w:iCs/>
        </w:rPr>
        <w:t>)</w:t>
      </w:r>
      <w:r w:rsidR="001D3C1E" w:rsidRPr="00907977">
        <w:t>.</w:t>
      </w:r>
    </w:p>
    <w:p w14:paraId="5A4B6491" w14:textId="471DB73A" w:rsidR="00EE7AAF" w:rsidRPr="00907977" w:rsidRDefault="00EE7AAF" w:rsidP="00EE7AAF">
      <w:pPr>
        <w:spacing w:after="120" w:line="240" w:lineRule="auto"/>
      </w:pPr>
      <w:r w:rsidRPr="00907977">
        <w:t xml:space="preserve">The Amending </w:t>
      </w:r>
      <w:r w:rsidR="00926FBD" w:rsidRPr="00907977">
        <w:t>Instrument</w:t>
      </w:r>
      <w:r w:rsidRPr="00907977">
        <w:t xml:space="preserve"> also:</w:t>
      </w:r>
    </w:p>
    <w:p w14:paraId="04DB387E" w14:textId="57964BD5" w:rsidR="00C47136" w:rsidRPr="00907977" w:rsidRDefault="00C47136" w:rsidP="00593980">
      <w:pPr>
        <w:pStyle w:val="ListParagraph"/>
        <w:numPr>
          <w:ilvl w:val="0"/>
          <w:numId w:val="18"/>
        </w:numPr>
        <w:spacing w:after="120" w:line="240" w:lineRule="auto"/>
        <w:rPr>
          <w:i/>
          <w:iCs/>
        </w:rPr>
      </w:pPr>
      <w:r w:rsidRPr="00907977">
        <w:t>correct</w:t>
      </w:r>
      <w:r w:rsidR="00E94535" w:rsidRPr="00907977">
        <w:t>s</w:t>
      </w:r>
      <w:r w:rsidRPr="00907977">
        <w:t xml:space="preserve"> the title of the accreditation standard titled </w:t>
      </w:r>
      <w:r w:rsidRPr="00907977">
        <w:rPr>
          <w:i/>
          <w:iCs/>
        </w:rPr>
        <w:t xml:space="preserve">Requirements for the Development and Use of In-House In Vitro Diagnostic Medical Devices (Fourth Edition 2018) </w:t>
      </w:r>
    </w:p>
    <w:p w14:paraId="3C6D4792" w14:textId="5A0B06F5" w:rsidR="00D95901" w:rsidRPr="00907977" w:rsidRDefault="00C47136" w:rsidP="00593980">
      <w:pPr>
        <w:pStyle w:val="ListParagraph"/>
        <w:numPr>
          <w:ilvl w:val="0"/>
          <w:numId w:val="18"/>
        </w:numPr>
        <w:spacing w:after="120" w:line="240" w:lineRule="auto"/>
      </w:pPr>
      <w:r w:rsidRPr="00907977">
        <w:t>update</w:t>
      </w:r>
      <w:r w:rsidR="00E94535" w:rsidRPr="00907977">
        <w:t>s</w:t>
      </w:r>
      <w:r w:rsidRPr="00907977">
        <w:t xml:space="preserve"> </w:t>
      </w:r>
      <w:r w:rsidR="00D95901" w:rsidRPr="00907977">
        <w:t xml:space="preserve">the note </w:t>
      </w:r>
      <w:r w:rsidR="00F27EC4" w:rsidRPr="00907977">
        <w:t xml:space="preserve">at the end of the table in Schedule 1 </w:t>
      </w:r>
      <w:r w:rsidR="00EC4A21" w:rsidRPr="00907977">
        <w:t xml:space="preserve">to advise that accreditation materials are accessible on the </w:t>
      </w:r>
      <w:r w:rsidR="00D95901" w:rsidRPr="00907977">
        <w:t xml:space="preserve">Australian Commission on Safety and Quality in Health Care’s </w:t>
      </w:r>
      <w:r w:rsidR="008B3B7F" w:rsidRPr="00907977">
        <w:t xml:space="preserve">(the Commission) </w:t>
      </w:r>
      <w:r w:rsidR="000C11E3" w:rsidRPr="00907977">
        <w:t>pathology accreditation standards webpage</w:t>
      </w:r>
      <w:r w:rsidR="00D95901" w:rsidRPr="00907977">
        <w:t>.</w:t>
      </w:r>
    </w:p>
    <w:p w14:paraId="0BB8971B" w14:textId="3237D280" w:rsidR="00081F5C" w:rsidRPr="00907977" w:rsidRDefault="00081F5C" w:rsidP="00A73EF8">
      <w:pPr>
        <w:spacing w:after="0" w:line="240" w:lineRule="auto"/>
      </w:pPr>
      <w:r w:rsidRPr="00907977">
        <w:t>In accordance with s</w:t>
      </w:r>
      <w:r w:rsidR="00932FD8" w:rsidRPr="00907977">
        <w:t> </w:t>
      </w:r>
      <w:r w:rsidRPr="00907977">
        <w:t xml:space="preserve">14 of the </w:t>
      </w:r>
      <w:r w:rsidRPr="00907977">
        <w:rPr>
          <w:i/>
          <w:iCs/>
        </w:rPr>
        <w:t>Legislation Act 2003</w:t>
      </w:r>
      <w:r w:rsidRPr="00907977">
        <w:t xml:space="preserve">, </w:t>
      </w:r>
      <w:r w:rsidR="00920BF6" w:rsidRPr="00907977">
        <w:t xml:space="preserve">the </w:t>
      </w:r>
      <w:r w:rsidRPr="00907977">
        <w:t>revised accreditation standard</w:t>
      </w:r>
      <w:r w:rsidR="00926FBD" w:rsidRPr="00907977">
        <w:t>s</w:t>
      </w:r>
      <w:r w:rsidR="00920BF6" w:rsidRPr="00907977">
        <w:t xml:space="preserve"> </w:t>
      </w:r>
      <w:r w:rsidR="00FF45E3" w:rsidRPr="00907977">
        <w:t xml:space="preserve">are </w:t>
      </w:r>
      <w:r w:rsidRPr="00907977">
        <w:t xml:space="preserve">not to be incorporated from time to time, but at the time of commencement of this </w:t>
      </w:r>
      <w:r w:rsidR="009F3739" w:rsidRPr="00907977">
        <w:t>Amending Instrument</w:t>
      </w:r>
      <w:r w:rsidR="00E5035A" w:rsidRPr="00907977">
        <w:t>.</w:t>
      </w:r>
      <w:r w:rsidR="009F3739" w:rsidRPr="00907977">
        <w:t xml:space="preserve"> </w:t>
      </w:r>
    </w:p>
    <w:p w14:paraId="347DD367" w14:textId="77777777" w:rsidR="009F6B8D" w:rsidRPr="00907977" w:rsidRDefault="009F6B8D" w:rsidP="00A73EF8">
      <w:pPr>
        <w:spacing w:after="0" w:line="240" w:lineRule="auto"/>
      </w:pPr>
    </w:p>
    <w:p w14:paraId="4B07ED8E" w14:textId="3965A5A9" w:rsidR="00A73EF8" w:rsidRPr="00907977" w:rsidRDefault="00A73EF8" w:rsidP="00A73EF8">
      <w:pPr>
        <w:spacing w:after="0" w:line="240" w:lineRule="auto"/>
      </w:pPr>
      <w:r w:rsidRPr="00907977">
        <w:lastRenderedPageBreak/>
        <w:t xml:space="preserve">With the exception of some basic tests conducted by some medical practitioners within their own medical practice, </w:t>
      </w:r>
      <w:r w:rsidR="00DF201C" w:rsidRPr="00907977">
        <w:t>M</w:t>
      </w:r>
      <w:r w:rsidRPr="00907977">
        <w:t>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A312B11" w14:textId="77777777" w:rsidR="00A73EF8" w:rsidRPr="00907977" w:rsidRDefault="00A73EF8" w:rsidP="00A73EF8">
      <w:pPr>
        <w:spacing w:after="0" w:line="240" w:lineRule="auto"/>
      </w:pPr>
    </w:p>
    <w:p w14:paraId="1B4DF3C9" w14:textId="77777777" w:rsidR="00A73EF8" w:rsidRPr="00907977" w:rsidRDefault="00A73EF8" w:rsidP="00A73EF8">
      <w:pPr>
        <w:spacing w:after="0" w:line="240" w:lineRule="auto"/>
      </w:pPr>
      <w:r w:rsidRPr="0090797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188E19DF" w14:textId="77777777" w:rsidR="00A73EF8" w:rsidRPr="00907977" w:rsidRDefault="00A73EF8" w:rsidP="00A73EF8">
      <w:pPr>
        <w:spacing w:after="0" w:line="240" w:lineRule="auto"/>
      </w:pPr>
    </w:p>
    <w:p w14:paraId="3376D5F6" w14:textId="33F13CBB" w:rsidR="00D95901" w:rsidRPr="00907977" w:rsidRDefault="00A73EF8" w:rsidP="00A73EF8">
      <w:pPr>
        <w:spacing w:after="0" w:line="240" w:lineRule="auto"/>
      </w:pPr>
      <w:r w:rsidRPr="00907977">
        <w:t xml:space="preserve">The Schedule to the Principles specifies accreditation materials that set out relevant </w:t>
      </w:r>
      <w:r w:rsidR="004271E6" w:rsidRPr="00907977">
        <w:t xml:space="preserve">quality </w:t>
      </w:r>
      <w:r w:rsidRPr="00907977">
        <w:t xml:space="preserve">standards against which applicants for accreditation are to be assessed. </w:t>
      </w:r>
      <w:r w:rsidR="00BC4B23" w:rsidRPr="00907977">
        <w:t>The</w:t>
      </w:r>
      <w:r w:rsidR="00CC51FF" w:rsidRPr="00907977">
        <w:t>se documents</w:t>
      </w:r>
      <w:r w:rsidRPr="00907977">
        <w:t xml:space="preserve"> are developed and maintained by </w:t>
      </w:r>
      <w:r w:rsidR="007158AB" w:rsidRPr="00907977">
        <w:rPr>
          <w:szCs w:val="24"/>
        </w:rPr>
        <w:t xml:space="preserve">National Pathology Accreditation Advisory Council (NPAAC) </w:t>
      </w:r>
      <w:r w:rsidRPr="00907977">
        <w:rPr>
          <w:szCs w:val="24"/>
        </w:rPr>
        <w:t>or endorsed by NPAAC as supplementary accreditation materials</w:t>
      </w:r>
      <w:r w:rsidRPr="00907977">
        <w:t>.</w:t>
      </w:r>
    </w:p>
    <w:p w14:paraId="6CED8EA3" w14:textId="77777777" w:rsidR="00D95901" w:rsidRPr="00907977" w:rsidRDefault="00D95901" w:rsidP="00A73EF8">
      <w:pPr>
        <w:spacing w:after="0" w:line="240" w:lineRule="auto"/>
      </w:pPr>
    </w:p>
    <w:p w14:paraId="5F01BFD8" w14:textId="095D8FDC" w:rsidR="00D95901" w:rsidRPr="00907977" w:rsidRDefault="00CB4E07" w:rsidP="00A73EF8">
      <w:pPr>
        <w:spacing w:after="0" w:line="240" w:lineRule="auto"/>
      </w:pPr>
      <w:r w:rsidRPr="00907977">
        <w:t xml:space="preserve">NPAAC and the National Pathology Accreditation Scheme are supported by the </w:t>
      </w:r>
      <w:r w:rsidR="008B3B7F" w:rsidRPr="00907977">
        <w:t>Commission</w:t>
      </w:r>
      <w:r w:rsidR="00E1644D" w:rsidRPr="00907977">
        <w:t xml:space="preserve"> </w:t>
      </w:r>
      <w:r w:rsidRPr="00907977">
        <w:t>under an arrangement with the Department of Health</w:t>
      </w:r>
      <w:r w:rsidR="00CC51FF" w:rsidRPr="00907977">
        <w:t xml:space="preserve"> and Aged Care (the Department)</w:t>
      </w:r>
      <w:r w:rsidRPr="00907977">
        <w:t xml:space="preserve">. The Department </w:t>
      </w:r>
      <w:r w:rsidR="004271E6" w:rsidRPr="00907977">
        <w:t>retains</w:t>
      </w:r>
      <w:r w:rsidR="00CC51FF" w:rsidRPr="00907977">
        <w:t xml:space="preserve"> </w:t>
      </w:r>
      <w:r w:rsidRPr="00907977">
        <w:t xml:space="preserve">policy and regulatory responsibilities </w:t>
      </w:r>
      <w:r w:rsidR="00CC51FF" w:rsidRPr="00907977">
        <w:t>for pathology accreditation.</w:t>
      </w:r>
    </w:p>
    <w:p w14:paraId="1426B826" w14:textId="77777777" w:rsidR="00D95901" w:rsidRPr="00907977" w:rsidRDefault="00D95901" w:rsidP="00A73EF8">
      <w:pPr>
        <w:spacing w:after="0" w:line="240" w:lineRule="auto"/>
      </w:pPr>
    </w:p>
    <w:p w14:paraId="1E834E2A" w14:textId="2E12B104" w:rsidR="00A73EF8" w:rsidRPr="00907977" w:rsidRDefault="00A73EF8" w:rsidP="00A73EF8">
      <w:pPr>
        <w:spacing w:after="0" w:line="240" w:lineRule="auto"/>
      </w:pPr>
      <w:r w:rsidRPr="00907977">
        <w:t xml:space="preserve">The </w:t>
      </w:r>
      <w:r w:rsidR="008776C4" w:rsidRPr="00907977">
        <w:t xml:space="preserve">process for the </w:t>
      </w:r>
      <w:r w:rsidRPr="00907977">
        <w:t xml:space="preserve">accreditation </w:t>
      </w:r>
      <w:r w:rsidR="00CC51FF" w:rsidRPr="00907977">
        <w:t xml:space="preserve">of </w:t>
      </w:r>
      <w:r w:rsidRPr="00907977">
        <w:t xml:space="preserve">pathology laboratories is administered by </w:t>
      </w:r>
      <w:r w:rsidR="00882AD4" w:rsidRPr="00907977">
        <w:t>Services Australia</w:t>
      </w:r>
      <w:r w:rsidRPr="00907977">
        <w:t>, while the National Association of Testing Authorities</w:t>
      </w:r>
      <w:r w:rsidR="00882AD4" w:rsidRPr="00907977">
        <w:t>, Australia</w:t>
      </w:r>
      <w:r w:rsidRPr="00907977">
        <w:t xml:space="preserve"> (NATA) is the  independent assessment body that conducts the accreditation assessment of pathology laboratories, in conjunction with the Royal College of Pathologists of Australasia, in accordance with the specified accreditation standards.</w:t>
      </w:r>
    </w:p>
    <w:p w14:paraId="246B7F86" w14:textId="77777777" w:rsidR="00A73EF8" w:rsidRPr="00907977" w:rsidRDefault="00A73EF8" w:rsidP="00406816">
      <w:pPr>
        <w:spacing w:after="0" w:line="240" w:lineRule="auto"/>
        <w:rPr>
          <w:szCs w:val="24"/>
        </w:rPr>
      </w:pPr>
    </w:p>
    <w:p w14:paraId="1BC2EC19" w14:textId="581B561E" w:rsidR="00260F41" w:rsidRPr="00907977" w:rsidRDefault="00406816" w:rsidP="00406816">
      <w:pPr>
        <w:spacing w:after="0" w:line="240" w:lineRule="auto"/>
        <w:rPr>
          <w:szCs w:val="24"/>
        </w:rPr>
      </w:pPr>
      <w:r w:rsidRPr="00907977">
        <w:rPr>
          <w:szCs w:val="24"/>
        </w:rPr>
        <w:t>The</w:t>
      </w:r>
      <w:r w:rsidR="000D2747" w:rsidRPr="00907977">
        <w:rPr>
          <w:szCs w:val="24"/>
        </w:rPr>
        <w:t xml:space="preserve"> revised accreditation standard</w:t>
      </w:r>
      <w:r w:rsidR="00760368" w:rsidRPr="00907977">
        <w:rPr>
          <w:szCs w:val="24"/>
        </w:rPr>
        <w:t>s</w:t>
      </w:r>
      <w:r w:rsidR="000D2747" w:rsidRPr="00907977">
        <w:rPr>
          <w:szCs w:val="24"/>
        </w:rPr>
        <w:t xml:space="preserve"> follow</w:t>
      </w:r>
      <w:r w:rsidR="00DD1BA7" w:rsidRPr="00907977">
        <w:rPr>
          <w:szCs w:val="24"/>
        </w:rPr>
        <w:t xml:space="preserve"> </w:t>
      </w:r>
      <w:r w:rsidR="007158AB" w:rsidRPr="00907977">
        <w:rPr>
          <w:szCs w:val="24"/>
        </w:rPr>
        <w:t xml:space="preserve">on </w:t>
      </w:r>
      <w:r w:rsidR="000D2747" w:rsidRPr="00907977">
        <w:rPr>
          <w:szCs w:val="24"/>
        </w:rPr>
        <w:t xml:space="preserve">from </w:t>
      </w:r>
      <w:r w:rsidR="002D5ABF" w:rsidRPr="00907977">
        <w:rPr>
          <w:szCs w:val="24"/>
        </w:rPr>
        <w:t>NPAAC</w:t>
      </w:r>
      <w:r w:rsidR="000D2747" w:rsidRPr="00907977">
        <w:rPr>
          <w:szCs w:val="24"/>
        </w:rPr>
        <w:t>’s</w:t>
      </w:r>
      <w:r w:rsidR="002D5ABF" w:rsidRPr="00907977">
        <w:rPr>
          <w:szCs w:val="24"/>
        </w:rPr>
        <w:t xml:space="preserve"> </w:t>
      </w:r>
      <w:r w:rsidR="000D2747" w:rsidRPr="00907977">
        <w:rPr>
          <w:szCs w:val="24"/>
        </w:rPr>
        <w:t xml:space="preserve">consideration </w:t>
      </w:r>
      <w:r w:rsidR="003859B1" w:rsidRPr="00907977">
        <w:rPr>
          <w:szCs w:val="24"/>
        </w:rPr>
        <w:t xml:space="preserve">of quality standards and the ongoing refinement of </w:t>
      </w:r>
      <w:r w:rsidR="00260F41" w:rsidRPr="00907977">
        <w:rPr>
          <w:szCs w:val="24"/>
        </w:rPr>
        <w:t xml:space="preserve">the </w:t>
      </w:r>
      <w:r w:rsidR="00824312" w:rsidRPr="00907977">
        <w:rPr>
          <w:szCs w:val="24"/>
        </w:rPr>
        <w:t xml:space="preserve">pathology </w:t>
      </w:r>
      <w:r w:rsidR="00260F41" w:rsidRPr="00907977">
        <w:rPr>
          <w:szCs w:val="24"/>
        </w:rPr>
        <w:t xml:space="preserve">requirements </w:t>
      </w:r>
      <w:r w:rsidR="003859B1" w:rsidRPr="00907977">
        <w:rPr>
          <w:szCs w:val="24"/>
        </w:rPr>
        <w:t xml:space="preserve">that are aimed to ensure  pathology best practice and support the </w:t>
      </w:r>
      <w:r w:rsidR="0022330A" w:rsidRPr="00907977">
        <w:rPr>
          <w:szCs w:val="24"/>
        </w:rPr>
        <w:t>therapeutics regulatory framework</w:t>
      </w:r>
      <w:r w:rsidR="00260F41" w:rsidRPr="00907977">
        <w:rPr>
          <w:szCs w:val="24"/>
        </w:rPr>
        <w:t xml:space="preserve">. They should be read in conjunction with the pathology overarching standard titled the </w:t>
      </w:r>
      <w:r w:rsidR="00260F41" w:rsidRPr="00907977">
        <w:rPr>
          <w:i/>
          <w:szCs w:val="24"/>
        </w:rPr>
        <w:t>Requirements for Medical Pathology Services</w:t>
      </w:r>
      <w:r w:rsidR="00260F41" w:rsidRPr="00907977">
        <w:rPr>
          <w:szCs w:val="24"/>
        </w:rPr>
        <w:t>, which sets out the core elements of good laboratory practice, in addition to other materials that form the national pathology accreditation framework. This assists with the assurance of the quality of Australian pathology services.</w:t>
      </w:r>
    </w:p>
    <w:p w14:paraId="2D9BE417" w14:textId="7DA75840" w:rsidR="00260F41" w:rsidRPr="00907977" w:rsidRDefault="00260F41" w:rsidP="00406816">
      <w:pPr>
        <w:spacing w:after="0" w:line="240" w:lineRule="auto"/>
        <w:rPr>
          <w:szCs w:val="24"/>
        </w:rPr>
      </w:pPr>
    </w:p>
    <w:p w14:paraId="45EFC68F" w14:textId="46F7ABD6" w:rsidR="005C57C6" w:rsidRPr="00907977" w:rsidRDefault="005C57C6" w:rsidP="005C57C6">
      <w:pPr>
        <w:spacing w:after="120" w:line="240" w:lineRule="auto"/>
        <w:rPr>
          <w:b/>
          <w:bCs/>
        </w:rPr>
      </w:pPr>
      <w:r w:rsidRPr="00907977">
        <w:rPr>
          <w:b/>
          <w:bCs/>
          <w:i/>
          <w:iCs/>
        </w:rPr>
        <w:t>Requirements for Medical Testing for Human Genetic Variation (Third Edition</w:t>
      </w:r>
      <w:r w:rsidR="000C11E3" w:rsidRPr="00907977">
        <w:rPr>
          <w:b/>
          <w:bCs/>
          <w:i/>
          <w:iCs/>
        </w:rPr>
        <w:t xml:space="preserve"> 2022</w:t>
      </w:r>
      <w:r w:rsidRPr="00907977">
        <w:rPr>
          <w:b/>
          <w:bCs/>
        </w:rPr>
        <w:t xml:space="preserve">) </w:t>
      </w:r>
    </w:p>
    <w:p w14:paraId="1AA13AD0" w14:textId="1A393238" w:rsidR="005C57C6" w:rsidRPr="00907977" w:rsidRDefault="005C57C6" w:rsidP="005C57C6">
      <w:pPr>
        <w:autoSpaceDE w:val="0"/>
        <w:autoSpaceDN w:val="0"/>
        <w:adjustRightInd w:val="0"/>
        <w:spacing w:line="240" w:lineRule="auto"/>
        <w:rPr>
          <w:i/>
          <w:iCs/>
          <w:szCs w:val="20"/>
        </w:rPr>
      </w:pPr>
      <w:r w:rsidRPr="00907977">
        <w:t xml:space="preserve">To support the provision of safe and quality care to patients, the </w:t>
      </w:r>
      <w:r w:rsidRPr="00907977">
        <w:rPr>
          <w:i/>
          <w:iCs/>
        </w:rPr>
        <w:t xml:space="preserve">Requirements for Medical Testing of Human Nucleic Acids (Second Edition 2013) </w:t>
      </w:r>
      <w:r w:rsidRPr="00907977">
        <w:t xml:space="preserve">and the </w:t>
      </w:r>
      <w:r w:rsidRPr="00907977">
        <w:rPr>
          <w:i/>
          <w:iCs/>
        </w:rPr>
        <w:t>Requirements for Cytogenetic Testing (Third Edition 2013)</w:t>
      </w:r>
      <w:r w:rsidRPr="00907977">
        <w:t xml:space="preserve">, have been revised and consolidated into the </w:t>
      </w:r>
      <w:r w:rsidRPr="00907977">
        <w:rPr>
          <w:i/>
          <w:iCs/>
          <w:szCs w:val="20"/>
        </w:rPr>
        <w:t>Requirements for Medical Testing for Human Genetic Variation (Third Edition</w:t>
      </w:r>
      <w:r w:rsidR="006103B0" w:rsidRPr="00907977">
        <w:rPr>
          <w:i/>
          <w:iCs/>
          <w:szCs w:val="20"/>
        </w:rPr>
        <w:t xml:space="preserve"> 2022</w:t>
      </w:r>
      <w:r w:rsidRPr="00907977">
        <w:rPr>
          <w:i/>
          <w:iCs/>
          <w:szCs w:val="20"/>
        </w:rPr>
        <w:t xml:space="preserve">). </w:t>
      </w:r>
    </w:p>
    <w:p w14:paraId="3659EF64" w14:textId="77777777" w:rsidR="005C57C6" w:rsidRPr="00907977" w:rsidRDefault="005C57C6" w:rsidP="005C57C6">
      <w:pPr>
        <w:autoSpaceDE w:val="0"/>
        <w:autoSpaceDN w:val="0"/>
        <w:adjustRightInd w:val="0"/>
        <w:spacing w:line="240" w:lineRule="auto"/>
        <w:rPr>
          <w:rFonts w:cs="Arial"/>
          <w:color w:val="000000"/>
          <w:szCs w:val="20"/>
        </w:rPr>
      </w:pPr>
      <w:r w:rsidRPr="00907977">
        <w:rPr>
          <w:szCs w:val="20"/>
        </w:rPr>
        <w:t xml:space="preserve">The revised accreditation standard sets out the expected level of practice required by laboratories for heritable and non-heritable human genetic variation medical testing, and includes revisions </w:t>
      </w:r>
      <w:r w:rsidRPr="00907977">
        <w:rPr>
          <w:rFonts w:cs="Arial"/>
          <w:color w:val="000000"/>
          <w:szCs w:val="20"/>
        </w:rPr>
        <w:t xml:space="preserve">to: </w:t>
      </w:r>
    </w:p>
    <w:p w14:paraId="3341A127" w14:textId="77777777" w:rsidR="005C57C6" w:rsidRPr="00907977" w:rsidRDefault="005C57C6" w:rsidP="005C57C6">
      <w:pPr>
        <w:pStyle w:val="ListParagraph"/>
        <w:numPr>
          <w:ilvl w:val="0"/>
          <w:numId w:val="25"/>
        </w:numPr>
        <w:autoSpaceDE w:val="0"/>
        <w:autoSpaceDN w:val="0"/>
        <w:adjustRightInd w:val="0"/>
        <w:spacing w:after="160" w:line="240" w:lineRule="auto"/>
        <w:contextualSpacing w:val="0"/>
        <w:rPr>
          <w:rFonts w:cs="Arial"/>
          <w:color w:val="000000"/>
          <w:szCs w:val="20"/>
        </w:rPr>
      </w:pPr>
      <w:r w:rsidRPr="00907977">
        <w:rPr>
          <w:rFonts w:cs="Arial"/>
          <w:color w:val="000000"/>
          <w:szCs w:val="20"/>
        </w:rPr>
        <w:t xml:space="preserve">incorporate a risk-based approach </w:t>
      </w:r>
    </w:p>
    <w:p w14:paraId="77D01621" w14:textId="77777777" w:rsidR="005C57C6" w:rsidRPr="00907977" w:rsidRDefault="005C57C6" w:rsidP="005C57C6">
      <w:pPr>
        <w:pStyle w:val="ListParagraph"/>
        <w:numPr>
          <w:ilvl w:val="0"/>
          <w:numId w:val="25"/>
        </w:numPr>
        <w:autoSpaceDE w:val="0"/>
        <w:autoSpaceDN w:val="0"/>
        <w:adjustRightInd w:val="0"/>
        <w:spacing w:after="160" w:line="240" w:lineRule="auto"/>
        <w:contextualSpacing w:val="0"/>
        <w:rPr>
          <w:rFonts w:cs="Arial"/>
          <w:color w:val="000000"/>
          <w:szCs w:val="20"/>
        </w:rPr>
      </w:pPr>
      <w:r w:rsidRPr="00907977">
        <w:rPr>
          <w:rFonts w:cs="Arial"/>
          <w:color w:val="000000"/>
          <w:szCs w:val="20"/>
        </w:rPr>
        <w:t xml:space="preserve">provide guidance for laboratories on medical tests for heritable and non-heritable genetic/genomic changes associated with human disease </w:t>
      </w:r>
    </w:p>
    <w:p w14:paraId="04EDDC57" w14:textId="77777777" w:rsidR="005C57C6" w:rsidRPr="00907977" w:rsidRDefault="005C57C6" w:rsidP="005C57C6">
      <w:pPr>
        <w:pStyle w:val="ListParagraph"/>
        <w:numPr>
          <w:ilvl w:val="0"/>
          <w:numId w:val="25"/>
        </w:numPr>
        <w:autoSpaceDE w:val="0"/>
        <w:autoSpaceDN w:val="0"/>
        <w:adjustRightInd w:val="0"/>
        <w:spacing w:after="160" w:line="240" w:lineRule="auto"/>
        <w:contextualSpacing w:val="0"/>
        <w:rPr>
          <w:rFonts w:cs="Arial"/>
          <w:color w:val="000000"/>
          <w:szCs w:val="20"/>
        </w:rPr>
      </w:pPr>
      <w:r w:rsidRPr="00907977">
        <w:rPr>
          <w:rFonts w:cs="Arial"/>
          <w:color w:val="000000"/>
          <w:szCs w:val="20"/>
        </w:rPr>
        <w:lastRenderedPageBreak/>
        <w:t>provide guidance for several laboratory disciplines including (but not limited to) molecular, cytogenetic, and anatomical pathology laboratories</w:t>
      </w:r>
    </w:p>
    <w:p w14:paraId="342A9BE5" w14:textId="77777777" w:rsidR="005C57C6" w:rsidRPr="00907977" w:rsidRDefault="005C57C6" w:rsidP="005C57C6">
      <w:pPr>
        <w:pStyle w:val="ListParagraph"/>
        <w:numPr>
          <w:ilvl w:val="0"/>
          <w:numId w:val="25"/>
        </w:numPr>
        <w:autoSpaceDE w:val="0"/>
        <w:autoSpaceDN w:val="0"/>
        <w:adjustRightInd w:val="0"/>
        <w:spacing w:after="120" w:line="240" w:lineRule="auto"/>
        <w:contextualSpacing w:val="0"/>
        <w:rPr>
          <w:rFonts w:cs="Arial"/>
          <w:color w:val="000000"/>
          <w:szCs w:val="20"/>
        </w:rPr>
      </w:pPr>
      <w:r w:rsidRPr="00907977">
        <w:rPr>
          <w:rFonts w:cs="Arial"/>
          <w:color w:val="000000"/>
          <w:szCs w:val="20"/>
        </w:rPr>
        <w:t>align format and structure to the National Safety and Quality Health Service Standards for consistency in the health system.</w:t>
      </w:r>
    </w:p>
    <w:p w14:paraId="61AB730F" w14:textId="77777777" w:rsidR="005C57C6" w:rsidRPr="00907977" w:rsidRDefault="005C57C6" w:rsidP="005C57C6">
      <w:pPr>
        <w:autoSpaceDE w:val="0"/>
        <w:autoSpaceDN w:val="0"/>
        <w:adjustRightInd w:val="0"/>
        <w:spacing w:after="120" w:line="240" w:lineRule="auto"/>
        <w:rPr>
          <w:szCs w:val="20"/>
        </w:rPr>
      </w:pPr>
      <w:r w:rsidRPr="00907977">
        <w:rPr>
          <w:szCs w:val="20"/>
        </w:rPr>
        <w:t>Consolidating and streamlining these requirements will assist to reduce the compliance burden on pathology laboratories.</w:t>
      </w:r>
    </w:p>
    <w:p w14:paraId="7ABE67CC" w14:textId="71B6C13F" w:rsidR="001D3C1E" w:rsidRPr="00907977" w:rsidRDefault="001D3C1E" w:rsidP="001D3C1E">
      <w:pPr>
        <w:spacing w:after="120" w:line="240" w:lineRule="auto"/>
        <w:rPr>
          <w:b/>
          <w:bCs/>
        </w:rPr>
      </w:pPr>
      <w:r w:rsidRPr="00907977">
        <w:rPr>
          <w:b/>
          <w:bCs/>
          <w:i/>
          <w:iCs/>
        </w:rPr>
        <w:t>Requirements for Information Communication and Reporting (Fifth Edition</w:t>
      </w:r>
      <w:r w:rsidR="000C11E3" w:rsidRPr="00907977">
        <w:rPr>
          <w:b/>
          <w:bCs/>
          <w:i/>
          <w:iCs/>
        </w:rPr>
        <w:t xml:space="preserve"> 2022</w:t>
      </w:r>
      <w:r w:rsidRPr="00907977">
        <w:rPr>
          <w:b/>
          <w:bCs/>
          <w:i/>
          <w:iCs/>
        </w:rPr>
        <w:t xml:space="preserve">) </w:t>
      </w:r>
    </w:p>
    <w:p w14:paraId="4166334A" w14:textId="09BBA7FC" w:rsidR="001A51B6" w:rsidRPr="00907977" w:rsidRDefault="008561D6" w:rsidP="00AB3D2E">
      <w:pPr>
        <w:spacing w:after="120" w:line="240" w:lineRule="auto"/>
        <w:rPr>
          <w:szCs w:val="24"/>
        </w:rPr>
      </w:pPr>
      <w:r w:rsidRPr="00907977">
        <w:rPr>
          <w:szCs w:val="24"/>
        </w:rPr>
        <w:t>Th</w:t>
      </w:r>
      <w:r w:rsidR="00B87490" w:rsidRPr="00907977">
        <w:rPr>
          <w:szCs w:val="24"/>
        </w:rPr>
        <w:t xml:space="preserve">e </w:t>
      </w:r>
      <w:r w:rsidR="00AB3D2E" w:rsidRPr="00907977">
        <w:rPr>
          <w:i/>
          <w:iCs/>
          <w:szCs w:val="24"/>
        </w:rPr>
        <w:t>Requirements for Information Communication and Reporting (Fifth Edition</w:t>
      </w:r>
      <w:r w:rsidR="000C11E3" w:rsidRPr="00907977">
        <w:rPr>
          <w:i/>
          <w:iCs/>
          <w:szCs w:val="24"/>
        </w:rPr>
        <w:t xml:space="preserve"> 2022</w:t>
      </w:r>
      <w:r w:rsidR="00AB3D2E" w:rsidRPr="00907977">
        <w:rPr>
          <w:i/>
          <w:iCs/>
          <w:szCs w:val="24"/>
        </w:rPr>
        <w:t>)</w:t>
      </w:r>
      <w:r w:rsidR="00AB3D2E" w:rsidRPr="00907977">
        <w:rPr>
          <w:szCs w:val="24"/>
        </w:rPr>
        <w:t xml:space="preserve"> is a revised accreditation standard</w:t>
      </w:r>
      <w:r w:rsidR="00161545" w:rsidRPr="00907977">
        <w:rPr>
          <w:szCs w:val="24"/>
        </w:rPr>
        <w:t>,</w:t>
      </w:r>
      <w:r w:rsidR="00AB3D2E" w:rsidRPr="00907977">
        <w:rPr>
          <w:szCs w:val="24"/>
        </w:rPr>
        <w:t xml:space="preserve"> that sets out the minimum standards to ensure the integrity of patient information during </w:t>
      </w:r>
      <w:r w:rsidR="00161545" w:rsidRPr="00907977">
        <w:rPr>
          <w:szCs w:val="24"/>
        </w:rPr>
        <w:t xml:space="preserve">its transfer </w:t>
      </w:r>
      <w:r w:rsidR="00AB3D2E" w:rsidRPr="00907977">
        <w:rPr>
          <w:szCs w:val="24"/>
        </w:rPr>
        <w:t>between pathology laboratories, requesters, consumers and o</w:t>
      </w:r>
      <w:r w:rsidR="001A51B6" w:rsidRPr="00907977">
        <w:rPr>
          <w:szCs w:val="24"/>
        </w:rPr>
        <w:t>ther relevant parties.</w:t>
      </w:r>
    </w:p>
    <w:p w14:paraId="7166B7F8" w14:textId="4C89F035" w:rsidR="00B62893" w:rsidRPr="00907977" w:rsidRDefault="00B87490" w:rsidP="00B62893">
      <w:pPr>
        <w:pStyle w:val="TableText"/>
        <w:spacing w:before="60"/>
        <w:rPr>
          <w:rFonts w:ascii="Times New Roman" w:eastAsiaTheme="minorHAnsi" w:hAnsi="Times New Roman" w:cstheme="minorBidi"/>
          <w:bCs w:val="0"/>
          <w:sz w:val="24"/>
          <w:szCs w:val="24"/>
        </w:rPr>
      </w:pPr>
      <w:r w:rsidRPr="00907977">
        <w:rPr>
          <w:rFonts w:ascii="Times New Roman" w:eastAsiaTheme="minorHAnsi" w:hAnsi="Times New Roman" w:cstheme="minorBidi"/>
          <w:bCs w:val="0"/>
          <w:sz w:val="24"/>
          <w:szCs w:val="24"/>
        </w:rPr>
        <w:t xml:space="preserve">In response to </w:t>
      </w:r>
      <w:r w:rsidR="001A51B6" w:rsidRPr="00907977">
        <w:rPr>
          <w:rFonts w:ascii="Times New Roman" w:eastAsiaTheme="minorHAnsi" w:hAnsi="Times New Roman" w:cstheme="minorBidi"/>
          <w:bCs w:val="0"/>
          <w:sz w:val="24"/>
          <w:szCs w:val="24"/>
        </w:rPr>
        <w:t xml:space="preserve">a public submission, commentary to clarify </w:t>
      </w:r>
      <w:r w:rsidR="008561D6" w:rsidRPr="00907977">
        <w:rPr>
          <w:rFonts w:ascii="Times New Roman" w:eastAsiaTheme="minorHAnsi" w:hAnsi="Times New Roman" w:cstheme="minorBidi"/>
          <w:bCs w:val="0"/>
          <w:sz w:val="24"/>
          <w:szCs w:val="24"/>
        </w:rPr>
        <w:t xml:space="preserve">the </w:t>
      </w:r>
      <w:r w:rsidR="00161545" w:rsidRPr="00907977">
        <w:rPr>
          <w:rFonts w:ascii="Times New Roman" w:eastAsiaTheme="minorHAnsi" w:hAnsi="Times New Roman" w:cstheme="minorBidi"/>
          <w:bCs w:val="0"/>
          <w:sz w:val="24"/>
          <w:szCs w:val="24"/>
        </w:rPr>
        <w:t xml:space="preserve">standards </w:t>
      </w:r>
      <w:r w:rsidR="008561D6" w:rsidRPr="00907977">
        <w:rPr>
          <w:rFonts w:ascii="Times New Roman" w:eastAsiaTheme="minorHAnsi" w:hAnsi="Times New Roman" w:cstheme="minorBidi"/>
          <w:bCs w:val="0"/>
          <w:sz w:val="24"/>
          <w:szCs w:val="24"/>
        </w:rPr>
        <w:t>for the secure messaging of electronic pathology requests and reports</w:t>
      </w:r>
      <w:r w:rsidR="00161545" w:rsidRPr="00907977">
        <w:rPr>
          <w:rFonts w:ascii="Times New Roman" w:eastAsiaTheme="minorHAnsi" w:hAnsi="Times New Roman" w:cstheme="minorBidi"/>
          <w:bCs w:val="0"/>
          <w:sz w:val="24"/>
          <w:szCs w:val="24"/>
        </w:rPr>
        <w:t xml:space="preserve"> has been </w:t>
      </w:r>
      <w:r w:rsidR="003859B1" w:rsidRPr="00907977">
        <w:rPr>
          <w:rFonts w:ascii="Times New Roman" w:eastAsiaTheme="minorHAnsi" w:hAnsi="Times New Roman" w:cstheme="minorBidi"/>
          <w:bCs w:val="0"/>
          <w:sz w:val="24"/>
          <w:szCs w:val="24"/>
        </w:rPr>
        <w:t>aligned</w:t>
      </w:r>
      <w:r w:rsidR="00161545" w:rsidRPr="00907977">
        <w:rPr>
          <w:rFonts w:ascii="Times New Roman" w:eastAsiaTheme="minorHAnsi" w:hAnsi="Times New Roman" w:cstheme="minorBidi"/>
          <w:bCs w:val="0"/>
          <w:sz w:val="24"/>
          <w:szCs w:val="24"/>
        </w:rPr>
        <w:t xml:space="preserve"> with the current practice for </w:t>
      </w:r>
      <w:r w:rsidR="00D921A0" w:rsidRPr="00907977">
        <w:rPr>
          <w:rFonts w:ascii="Times New Roman" w:eastAsiaTheme="minorHAnsi" w:hAnsi="Times New Roman" w:cstheme="minorBidi"/>
          <w:bCs w:val="0"/>
          <w:sz w:val="24"/>
          <w:szCs w:val="24"/>
        </w:rPr>
        <w:t xml:space="preserve">the </w:t>
      </w:r>
      <w:r w:rsidR="00161545" w:rsidRPr="00907977">
        <w:rPr>
          <w:rFonts w:ascii="Times New Roman" w:eastAsiaTheme="minorHAnsi" w:hAnsi="Times New Roman" w:cstheme="minorBidi"/>
          <w:bCs w:val="0"/>
          <w:sz w:val="24"/>
          <w:szCs w:val="24"/>
        </w:rPr>
        <w:t>SMS reporting of COVID-19 test results.</w:t>
      </w:r>
      <w:r w:rsidR="0056603B" w:rsidRPr="00907977">
        <w:rPr>
          <w:rFonts w:ascii="Times New Roman" w:eastAsiaTheme="minorHAnsi" w:hAnsi="Times New Roman" w:cstheme="minorBidi"/>
          <w:bCs w:val="0"/>
          <w:sz w:val="24"/>
          <w:szCs w:val="24"/>
        </w:rPr>
        <w:t xml:space="preserve"> </w:t>
      </w:r>
      <w:r w:rsidR="00B62893" w:rsidRPr="00907977">
        <w:rPr>
          <w:rFonts w:ascii="Times New Roman" w:eastAsiaTheme="minorHAnsi" w:hAnsi="Times New Roman" w:cstheme="minorBidi"/>
          <w:bCs w:val="0"/>
          <w:sz w:val="24"/>
          <w:szCs w:val="24"/>
        </w:rPr>
        <w:t>This amendment:</w:t>
      </w:r>
    </w:p>
    <w:p w14:paraId="0CAC86CE" w14:textId="7416CB81" w:rsidR="00B62893" w:rsidRPr="00907977" w:rsidRDefault="00B62893" w:rsidP="00B62893">
      <w:pPr>
        <w:pStyle w:val="TableText"/>
        <w:numPr>
          <w:ilvl w:val="0"/>
          <w:numId w:val="24"/>
        </w:numPr>
        <w:spacing w:before="60"/>
        <w:rPr>
          <w:rFonts w:ascii="Times New Roman" w:eastAsiaTheme="minorHAnsi" w:hAnsi="Times New Roman" w:cstheme="minorBidi"/>
          <w:bCs w:val="0"/>
          <w:sz w:val="24"/>
          <w:szCs w:val="24"/>
        </w:rPr>
      </w:pPr>
      <w:r w:rsidRPr="00907977">
        <w:rPr>
          <w:rFonts w:ascii="Times New Roman" w:eastAsiaTheme="minorHAnsi" w:hAnsi="Times New Roman" w:cstheme="minorBidi"/>
          <w:bCs w:val="0"/>
          <w:sz w:val="24"/>
          <w:szCs w:val="24"/>
        </w:rPr>
        <w:t>minimises changes to the standards</w:t>
      </w:r>
    </w:p>
    <w:p w14:paraId="51BC3AEB" w14:textId="1E1DBFB2" w:rsidR="00B62893" w:rsidRPr="00907977" w:rsidRDefault="00B62893" w:rsidP="00B62893">
      <w:pPr>
        <w:pStyle w:val="TableText"/>
        <w:numPr>
          <w:ilvl w:val="0"/>
          <w:numId w:val="24"/>
        </w:numPr>
        <w:spacing w:before="60"/>
        <w:rPr>
          <w:rFonts w:ascii="Times New Roman" w:eastAsiaTheme="minorHAnsi" w:hAnsi="Times New Roman" w:cstheme="minorBidi"/>
          <w:bCs w:val="0"/>
          <w:sz w:val="24"/>
          <w:szCs w:val="24"/>
        </w:rPr>
      </w:pPr>
      <w:r w:rsidRPr="00907977">
        <w:rPr>
          <w:rFonts w:ascii="Times New Roman" w:eastAsiaTheme="minorHAnsi" w:hAnsi="Times New Roman" w:cstheme="minorBidi"/>
          <w:bCs w:val="0"/>
          <w:sz w:val="24"/>
          <w:szCs w:val="24"/>
        </w:rPr>
        <w:t>assists pathology services to streamline their registration processes</w:t>
      </w:r>
      <w:r w:rsidR="006A6FF3" w:rsidRPr="00907977">
        <w:rPr>
          <w:rFonts w:ascii="Times New Roman" w:eastAsiaTheme="minorHAnsi" w:hAnsi="Times New Roman" w:cstheme="minorBidi"/>
          <w:bCs w:val="0"/>
          <w:sz w:val="24"/>
          <w:szCs w:val="24"/>
        </w:rPr>
        <w:t xml:space="preserve"> - they </w:t>
      </w:r>
      <w:r w:rsidRPr="00907977">
        <w:rPr>
          <w:rFonts w:ascii="Times New Roman" w:eastAsiaTheme="minorHAnsi" w:hAnsi="Times New Roman" w:cstheme="minorBidi"/>
          <w:bCs w:val="0"/>
          <w:sz w:val="24"/>
          <w:szCs w:val="24"/>
        </w:rPr>
        <w:t>will not be required to duplicate the registration process for people who have already provided their contact details.</w:t>
      </w:r>
    </w:p>
    <w:p w14:paraId="06E1B3DB" w14:textId="7DE9B440" w:rsidR="001E16A5" w:rsidRPr="00907977" w:rsidRDefault="009F6B8D" w:rsidP="004B7B78">
      <w:pPr>
        <w:spacing w:line="240" w:lineRule="auto"/>
        <w:rPr>
          <w:b/>
          <w:bCs/>
          <w:i/>
          <w:iCs/>
        </w:rPr>
      </w:pPr>
      <w:r w:rsidRPr="00907977">
        <w:rPr>
          <w:b/>
          <w:bCs/>
          <w:i/>
          <w:iCs/>
        </w:rPr>
        <w:t xml:space="preserve">Requirements for the </w:t>
      </w:r>
      <w:r w:rsidR="00C16530" w:rsidRPr="00907977">
        <w:rPr>
          <w:b/>
          <w:bCs/>
          <w:i/>
          <w:iCs/>
        </w:rPr>
        <w:t>Packaging and Transport of Pathology Specimens and Associated Materials (Fifth Edition</w:t>
      </w:r>
      <w:r w:rsidR="000C11E3" w:rsidRPr="00907977">
        <w:rPr>
          <w:b/>
          <w:bCs/>
          <w:i/>
          <w:iCs/>
        </w:rPr>
        <w:t xml:space="preserve"> 2022</w:t>
      </w:r>
      <w:r w:rsidR="00C16530" w:rsidRPr="00907977">
        <w:rPr>
          <w:b/>
          <w:bCs/>
          <w:i/>
          <w:iCs/>
        </w:rPr>
        <w:t>)</w:t>
      </w:r>
      <w:r w:rsidR="00D8275D" w:rsidRPr="00907977" w:rsidDel="00D8275D">
        <w:rPr>
          <w:b/>
          <w:bCs/>
          <w:i/>
          <w:iCs/>
        </w:rPr>
        <w:t xml:space="preserve"> </w:t>
      </w:r>
    </w:p>
    <w:p w14:paraId="691B707C" w14:textId="040FD06F" w:rsidR="00777930" w:rsidRPr="00907977" w:rsidRDefault="009F6B8D" w:rsidP="00EC789A">
      <w:pPr>
        <w:spacing w:line="240" w:lineRule="auto"/>
      </w:pPr>
      <w:r w:rsidRPr="00907977">
        <w:t>The</w:t>
      </w:r>
      <w:r w:rsidR="004B7B78" w:rsidRPr="00907977">
        <w:t xml:space="preserve"> </w:t>
      </w:r>
      <w:r w:rsidR="00EC789A" w:rsidRPr="00907977">
        <w:rPr>
          <w:i/>
          <w:iCs/>
        </w:rPr>
        <w:t>Requirements for the Packaging and Transport of Pathology Specimens and Associated Materials (Fifth Edition</w:t>
      </w:r>
      <w:r w:rsidR="000C11E3" w:rsidRPr="00907977">
        <w:rPr>
          <w:i/>
          <w:iCs/>
        </w:rPr>
        <w:t xml:space="preserve"> 2022</w:t>
      </w:r>
      <w:r w:rsidR="00EC789A" w:rsidRPr="00907977">
        <w:rPr>
          <w:i/>
          <w:iCs/>
        </w:rPr>
        <w:t>)</w:t>
      </w:r>
      <w:r w:rsidR="00EC789A" w:rsidRPr="00907977" w:rsidDel="00D8275D">
        <w:t xml:space="preserve"> </w:t>
      </w:r>
      <w:r w:rsidR="00EC789A" w:rsidRPr="00907977">
        <w:t>i</w:t>
      </w:r>
      <w:r w:rsidRPr="00907977">
        <w:t xml:space="preserve">s a </w:t>
      </w:r>
      <w:r w:rsidR="00DD1BA7" w:rsidRPr="00907977">
        <w:t>revised</w:t>
      </w:r>
      <w:r w:rsidRPr="00907977">
        <w:t xml:space="preserve"> accreditation standard</w:t>
      </w:r>
      <w:r w:rsidR="00EC789A" w:rsidRPr="00907977">
        <w:t xml:space="preserve"> which</w:t>
      </w:r>
      <w:r w:rsidR="00777930" w:rsidRPr="00907977">
        <w:t xml:space="preserve"> sets out the expected level of practice that laboratories are to use when packaging and transporting pathology specimens and associated materials.</w:t>
      </w:r>
    </w:p>
    <w:p w14:paraId="728AAB80" w14:textId="411A3CCB" w:rsidR="00517520" w:rsidRPr="00907977" w:rsidRDefault="00517520" w:rsidP="00517520">
      <w:pPr>
        <w:autoSpaceDE w:val="0"/>
        <w:autoSpaceDN w:val="0"/>
        <w:adjustRightInd w:val="0"/>
        <w:spacing w:line="240" w:lineRule="auto"/>
        <w:rPr>
          <w:rFonts w:cs="Arial"/>
          <w:color w:val="000000"/>
          <w:szCs w:val="20"/>
        </w:rPr>
      </w:pPr>
      <w:r w:rsidRPr="00907977">
        <w:rPr>
          <w:rFonts w:cs="Arial"/>
          <w:color w:val="000000"/>
          <w:szCs w:val="20"/>
        </w:rPr>
        <w:t xml:space="preserve">To support the system to provide safe and quality care to patients, the </w:t>
      </w:r>
      <w:r w:rsidR="00777930" w:rsidRPr="00907977">
        <w:rPr>
          <w:rFonts w:cs="Arial"/>
          <w:color w:val="000000"/>
          <w:szCs w:val="20"/>
        </w:rPr>
        <w:t xml:space="preserve">accreditation standard </w:t>
      </w:r>
      <w:r w:rsidR="00864554" w:rsidRPr="00907977">
        <w:rPr>
          <w:rFonts w:cs="Arial"/>
          <w:szCs w:val="20"/>
        </w:rPr>
        <w:t>has been amended to</w:t>
      </w:r>
      <w:r w:rsidRPr="00907977">
        <w:rPr>
          <w:rFonts w:cs="Arial"/>
          <w:color w:val="000000"/>
          <w:szCs w:val="20"/>
        </w:rPr>
        <w:t xml:space="preserve">: </w:t>
      </w:r>
    </w:p>
    <w:p w14:paraId="4CE23041" w14:textId="77777777" w:rsidR="00517520" w:rsidRPr="00907977" w:rsidRDefault="00517520" w:rsidP="000B5BF4">
      <w:pPr>
        <w:pStyle w:val="ListParagraph"/>
        <w:numPr>
          <w:ilvl w:val="0"/>
          <w:numId w:val="21"/>
        </w:numPr>
        <w:spacing w:after="120" w:line="240" w:lineRule="auto"/>
        <w:rPr>
          <w:szCs w:val="24"/>
        </w:rPr>
      </w:pPr>
      <w:r w:rsidRPr="00907977">
        <w:rPr>
          <w:szCs w:val="24"/>
        </w:rPr>
        <w:t>incorporate a risk-based approach</w:t>
      </w:r>
    </w:p>
    <w:p w14:paraId="1C62170A" w14:textId="77777777" w:rsidR="00517520" w:rsidRPr="00907977" w:rsidRDefault="00517520" w:rsidP="000B5BF4">
      <w:pPr>
        <w:pStyle w:val="ListParagraph"/>
        <w:numPr>
          <w:ilvl w:val="0"/>
          <w:numId w:val="21"/>
        </w:numPr>
        <w:spacing w:after="120" w:line="240" w:lineRule="auto"/>
        <w:rPr>
          <w:szCs w:val="24"/>
        </w:rPr>
      </w:pPr>
      <w:r w:rsidRPr="00907977">
        <w:rPr>
          <w:szCs w:val="24"/>
        </w:rPr>
        <w:t>provide guidance for laboratories and relevant parties on the appropriate transport and packaging requirements for pathology specimens</w:t>
      </w:r>
    </w:p>
    <w:p w14:paraId="7A1AA3E9" w14:textId="77777777" w:rsidR="00517520" w:rsidRPr="00907977" w:rsidRDefault="00517520" w:rsidP="000B5BF4">
      <w:pPr>
        <w:pStyle w:val="ListParagraph"/>
        <w:numPr>
          <w:ilvl w:val="0"/>
          <w:numId w:val="21"/>
        </w:numPr>
        <w:spacing w:after="120" w:line="240" w:lineRule="auto"/>
        <w:rPr>
          <w:szCs w:val="24"/>
        </w:rPr>
      </w:pPr>
      <w:r w:rsidRPr="00907977">
        <w:rPr>
          <w:szCs w:val="24"/>
        </w:rPr>
        <w:t>support laboratories to address the different modes of transport</w:t>
      </w:r>
    </w:p>
    <w:p w14:paraId="6B0F1435" w14:textId="77777777" w:rsidR="00517520" w:rsidRPr="00907977" w:rsidRDefault="00517520" w:rsidP="000B5BF4">
      <w:pPr>
        <w:pStyle w:val="ListParagraph"/>
        <w:numPr>
          <w:ilvl w:val="0"/>
          <w:numId w:val="21"/>
        </w:numPr>
        <w:spacing w:after="120" w:line="240" w:lineRule="auto"/>
        <w:rPr>
          <w:szCs w:val="24"/>
        </w:rPr>
      </w:pPr>
      <w:r w:rsidRPr="00907977">
        <w:rPr>
          <w:szCs w:val="24"/>
        </w:rPr>
        <w:t>include blood, blood products and haemoglobin within the scope of the document</w:t>
      </w:r>
    </w:p>
    <w:p w14:paraId="33805A39" w14:textId="3C872B1E" w:rsidR="00517520" w:rsidRPr="00907977" w:rsidRDefault="00517520" w:rsidP="000B5BF4">
      <w:pPr>
        <w:pStyle w:val="ListParagraph"/>
        <w:numPr>
          <w:ilvl w:val="0"/>
          <w:numId w:val="21"/>
        </w:numPr>
        <w:spacing w:after="120" w:line="240" w:lineRule="auto"/>
        <w:rPr>
          <w:szCs w:val="24"/>
        </w:rPr>
      </w:pPr>
      <w:r w:rsidRPr="00907977">
        <w:rPr>
          <w:szCs w:val="24"/>
        </w:rPr>
        <w:t>align format and structure to the National Safety and Quality Health Service Standards for consistency in the health system.</w:t>
      </w:r>
    </w:p>
    <w:p w14:paraId="03BCA72E" w14:textId="7A3758DB" w:rsidR="0076169F" w:rsidRPr="00907977" w:rsidRDefault="001D3C1E" w:rsidP="0076169F">
      <w:pPr>
        <w:spacing w:line="240" w:lineRule="auto"/>
        <w:rPr>
          <w:b/>
          <w:bCs/>
          <w:i/>
          <w:iCs/>
        </w:rPr>
      </w:pPr>
      <w:r w:rsidRPr="00907977">
        <w:rPr>
          <w:b/>
          <w:bCs/>
          <w:i/>
          <w:iCs/>
        </w:rPr>
        <w:t>Requirements for Transfusion Laboratory Practice (Fifth Edition</w:t>
      </w:r>
      <w:r w:rsidR="000C11E3" w:rsidRPr="00907977">
        <w:rPr>
          <w:b/>
          <w:bCs/>
          <w:i/>
          <w:iCs/>
        </w:rPr>
        <w:t xml:space="preserve"> 2022</w:t>
      </w:r>
      <w:r w:rsidRPr="00907977">
        <w:rPr>
          <w:b/>
          <w:bCs/>
          <w:i/>
          <w:iCs/>
        </w:rPr>
        <w:t>)</w:t>
      </w:r>
    </w:p>
    <w:p w14:paraId="722F9881" w14:textId="54190E92" w:rsidR="008561D6" w:rsidRPr="00907977" w:rsidRDefault="0076169F" w:rsidP="0076169F">
      <w:pPr>
        <w:spacing w:after="120" w:line="240" w:lineRule="auto"/>
      </w:pPr>
      <w:r w:rsidRPr="00907977">
        <w:t xml:space="preserve">The </w:t>
      </w:r>
      <w:r w:rsidRPr="00907977">
        <w:rPr>
          <w:i/>
          <w:iCs/>
        </w:rPr>
        <w:t>Requirements for Transfusion Laboratory Practice (Fifth Edition</w:t>
      </w:r>
      <w:r w:rsidR="009179B5" w:rsidRPr="00907977">
        <w:rPr>
          <w:i/>
          <w:iCs/>
        </w:rPr>
        <w:t xml:space="preserve"> 2022</w:t>
      </w:r>
      <w:r w:rsidRPr="00907977">
        <w:rPr>
          <w:i/>
          <w:iCs/>
        </w:rPr>
        <w:t>)</w:t>
      </w:r>
      <w:r w:rsidRPr="00907977">
        <w:t xml:space="preserve"> </w:t>
      </w:r>
      <w:r w:rsidR="008561D6" w:rsidRPr="00907977">
        <w:t xml:space="preserve">outlines practice standards that assure the safety, quality and efficacy of transfusion testing, associated transfusion laboratory practice, and non-transfusion related blood group immunohaematology testing. These requirements also apply to donor testing conducted by the Australian Red Cross Lifeblood (Lifeblood). </w:t>
      </w:r>
    </w:p>
    <w:p w14:paraId="3CC2AB10" w14:textId="2979B13D" w:rsidR="00B70651" w:rsidRPr="00907977" w:rsidRDefault="005975FA" w:rsidP="007941B5">
      <w:pPr>
        <w:spacing w:after="120" w:line="240" w:lineRule="auto"/>
      </w:pPr>
      <w:r w:rsidRPr="00907977">
        <w:t xml:space="preserve">The revised accreditation standard includes commentary </w:t>
      </w:r>
      <w:r w:rsidR="00895365" w:rsidRPr="00907977">
        <w:t>on the requirements for the pretransfusion testing of patients</w:t>
      </w:r>
      <w:r w:rsidR="00B70651" w:rsidRPr="00907977">
        <w:t>,</w:t>
      </w:r>
      <w:r w:rsidR="00895365" w:rsidRPr="00907977">
        <w:t xml:space="preserve"> </w:t>
      </w:r>
      <w:r w:rsidR="009A1CA8" w:rsidRPr="00907977">
        <w:t xml:space="preserve">that was </w:t>
      </w:r>
      <w:r w:rsidRPr="00907977">
        <w:t xml:space="preserve">potentially lost in the editorial process to develop the </w:t>
      </w:r>
      <w:r w:rsidRPr="00907977">
        <w:rPr>
          <w:i/>
          <w:iCs/>
        </w:rPr>
        <w:t>Requirements for</w:t>
      </w:r>
      <w:r w:rsidR="00F11915" w:rsidRPr="00907977">
        <w:rPr>
          <w:i/>
          <w:iCs/>
        </w:rPr>
        <w:t xml:space="preserve"> T</w:t>
      </w:r>
      <w:r w:rsidRPr="00907977">
        <w:rPr>
          <w:i/>
          <w:iCs/>
        </w:rPr>
        <w:t>ransfusion</w:t>
      </w:r>
      <w:r w:rsidR="00F11915" w:rsidRPr="00907977">
        <w:rPr>
          <w:i/>
          <w:iCs/>
        </w:rPr>
        <w:t xml:space="preserve"> L</w:t>
      </w:r>
      <w:r w:rsidRPr="00907977">
        <w:rPr>
          <w:i/>
          <w:iCs/>
        </w:rPr>
        <w:t xml:space="preserve">aboratory </w:t>
      </w:r>
      <w:r w:rsidR="00F11915" w:rsidRPr="00907977">
        <w:rPr>
          <w:i/>
          <w:iCs/>
        </w:rPr>
        <w:t>P</w:t>
      </w:r>
      <w:r w:rsidRPr="00907977">
        <w:rPr>
          <w:i/>
          <w:iCs/>
        </w:rPr>
        <w:t>ractice (Fourth Edition</w:t>
      </w:r>
      <w:r w:rsidR="009179B5" w:rsidRPr="00907977">
        <w:rPr>
          <w:i/>
          <w:iCs/>
        </w:rPr>
        <w:t xml:space="preserve"> 2019</w:t>
      </w:r>
      <w:r w:rsidR="009A1CA8" w:rsidRPr="00907977">
        <w:rPr>
          <w:i/>
          <w:iCs/>
        </w:rPr>
        <w:t>).</w:t>
      </w:r>
      <w:r w:rsidR="009A1CA8" w:rsidRPr="00907977">
        <w:t xml:space="preserve"> </w:t>
      </w:r>
    </w:p>
    <w:p w14:paraId="176BFE4D" w14:textId="59A31ED2" w:rsidR="00B62893" w:rsidRPr="00907977" w:rsidRDefault="00A40BF1" w:rsidP="00B70651">
      <w:pPr>
        <w:spacing w:after="120" w:line="240" w:lineRule="auto"/>
      </w:pPr>
      <w:r w:rsidRPr="00907977">
        <w:lastRenderedPageBreak/>
        <w:t>Th</w:t>
      </w:r>
      <w:r w:rsidR="007941B5" w:rsidRPr="00907977">
        <w:t xml:space="preserve">is </w:t>
      </w:r>
      <w:r w:rsidRPr="00907977">
        <w:t xml:space="preserve">omission was identified in a public submission </w:t>
      </w:r>
      <w:r w:rsidR="00B70651" w:rsidRPr="00907977">
        <w:t xml:space="preserve">and the commentary </w:t>
      </w:r>
      <w:r w:rsidRPr="00907977">
        <w:t xml:space="preserve">has been reinstated and modified </w:t>
      </w:r>
      <w:r w:rsidR="007941B5" w:rsidRPr="00907977">
        <w:t>after consultation with key stakeholders.</w:t>
      </w:r>
      <w:r w:rsidR="00B70651" w:rsidRPr="00907977">
        <w:t xml:space="preserve"> </w:t>
      </w:r>
      <w:r w:rsidR="00B62893" w:rsidRPr="00907977">
        <w:t xml:space="preserve">The exclusion of this commentary meant that the accreditor, </w:t>
      </w:r>
      <w:r w:rsidR="00B70651" w:rsidRPr="00907977">
        <w:t xml:space="preserve">NATA, </w:t>
      </w:r>
      <w:r w:rsidR="00B62893" w:rsidRPr="00907977">
        <w:t xml:space="preserve">would not permit the extension of validity for pretransfusion testing from 72 hours to 7 days in particular circumstances under direction of the supervising pathologist. Stakeholders advised that this commentary was important for the risk-based management of challenging cases, such as pregnant patients at ongoing high risk of sudden massive haemorrhage. </w:t>
      </w:r>
    </w:p>
    <w:p w14:paraId="5920D478" w14:textId="368D7B26" w:rsidR="008B3B7F" w:rsidRPr="00907977" w:rsidRDefault="008B3B7F" w:rsidP="00F91435">
      <w:pPr>
        <w:spacing w:line="240" w:lineRule="auto"/>
        <w:rPr>
          <w:b/>
          <w:bCs/>
          <w:i/>
          <w:iCs/>
        </w:rPr>
      </w:pPr>
      <w:r w:rsidRPr="00907977">
        <w:rPr>
          <w:b/>
          <w:bCs/>
          <w:i/>
          <w:iCs/>
        </w:rPr>
        <w:t xml:space="preserve">Requirements for the Development and Use of In-House In Vitro Diagnostic Medical Devices (Fourth Edition 2018) </w:t>
      </w:r>
    </w:p>
    <w:p w14:paraId="6677D5A1" w14:textId="298A0049" w:rsidR="00CB2915" w:rsidRPr="00907977" w:rsidRDefault="00375D3E" w:rsidP="001157A3">
      <w:pPr>
        <w:spacing w:line="240" w:lineRule="auto"/>
      </w:pPr>
      <w:r w:rsidRPr="00907977">
        <w:t xml:space="preserve">The title of the </w:t>
      </w:r>
      <w:r w:rsidR="001157A3" w:rsidRPr="00907977">
        <w:rPr>
          <w:i/>
          <w:iCs/>
        </w:rPr>
        <w:t>Requirements for the Development and Use of In-House In Vitro Diagnostic Medical Devices (Fourth Edition 2018)</w:t>
      </w:r>
      <w:r w:rsidR="001157A3" w:rsidRPr="00907977">
        <w:rPr>
          <w:b/>
          <w:bCs/>
          <w:i/>
          <w:iCs/>
        </w:rPr>
        <w:t xml:space="preserve"> </w:t>
      </w:r>
      <w:r w:rsidRPr="00907977">
        <w:t xml:space="preserve">has been </w:t>
      </w:r>
      <w:r w:rsidR="00F91435" w:rsidRPr="00907977">
        <w:t xml:space="preserve">amended </w:t>
      </w:r>
      <w:r w:rsidRPr="00907977">
        <w:t xml:space="preserve">to </w:t>
      </w:r>
      <w:r w:rsidR="00F91435" w:rsidRPr="00907977">
        <w:t>align with the name of the existing accreditation standard as published on the Commission’s website. This has been achieved by including</w:t>
      </w:r>
      <w:r w:rsidR="00D956EC" w:rsidRPr="00907977">
        <w:t xml:space="preserve"> the word</w:t>
      </w:r>
      <w:r w:rsidR="00F91435" w:rsidRPr="00907977">
        <w:t xml:space="preserve"> </w:t>
      </w:r>
      <w:r w:rsidRPr="00907977">
        <w:t xml:space="preserve">“Medical” and </w:t>
      </w:r>
      <w:r w:rsidR="00F91435" w:rsidRPr="00907977">
        <w:t>revising the year of edition to “2018.”</w:t>
      </w:r>
    </w:p>
    <w:p w14:paraId="15F7A926" w14:textId="53639843" w:rsidR="008B3B7F" w:rsidRPr="00907977" w:rsidRDefault="006974D8" w:rsidP="006974D8">
      <w:pPr>
        <w:spacing w:line="240" w:lineRule="auto"/>
        <w:rPr>
          <w:b/>
          <w:bCs/>
          <w:i/>
          <w:iCs/>
        </w:rPr>
      </w:pPr>
      <w:r w:rsidRPr="00907977">
        <w:rPr>
          <w:b/>
          <w:bCs/>
          <w:i/>
          <w:iCs/>
        </w:rPr>
        <w:t>Schedule 1 (note at the end of the table)</w:t>
      </w:r>
    </w:p>
    <w:p w14:paraId="2ED514EA" w14:textId="5080A3E8" w:rsidR="006974D8" w:rsidRPr="00907977" w:rsidRDefault="006974D8" w:rsidP="001E16A5">
      <w:pPr>
        <w:rPr>
          <w:rFonts w:cs="Calibri"/>
        </w:rPr>
      </w:pPr>
      <w:r w:rsidRPr="00907977">
        <w:rPr>
          <w:rFonts w:cs="Calibri"/>
        </w:rPr>
        <w:t>The note at the end of the table has been repealed and replaced with a note to inform users that the accreditation materials are published on the Commission’s website.</w:t>
      </w:r>
    </w:p>
    <w:p w14:paraId="54905E69" w14:textId="77777777" w:rsidR="000B5BF4" w:rsidRPr="00907977" w:rsidRDefault="000B5BF4" w:rsidP="000B5BF4">
      <w:pPr>
        <w:spacing w:line="240" w:lineRule="auto"/>
      </w:pPr>
      <w:r w:rsidRPr="00907977">
        <w:t>Any subsequent changes or replacement to the above standards documents will not apply unless further amendments are made to the Principles.</w:t>
      </w:r>
    </w:p>
    <w:p w14:paraId="18FD4E7A" w14:textId="74675E04" w:rsidR="007846CE" w:rsidRPr="00907977" w:rsidRDefault="000B5BF4" w:rsidP="000B5BF4">
      <w:r w:rsidRPr="00907977">
        <w:t>A copy of the pathology accreditation material listed in the Schedule to the Principles is published on the</w:t>
      </w:r>
      <w:bookmarkStart w:id="2" w:name="_Hlk99963649"/>
      <w:bookmarkStart w:id="3" w:name="_Hlk98929035"/>
      <w:r w:rsidRPr="00907977">
        <w:t xml:space="preserve"> Commission’s </w:t>
      </w:r>
      <w:r w:rsidR="00962D87" w:rsidRPr="00907977">
        <w:t xml:space="preserve">pathology accreditation standards </w:t>
      </w:r>
      <w:r w:rsidRPr="00907977">
        <w:t>web</w:t>
      </w:r>
      <w:r w:rsidR="00962D87" w:rsidRPr="00907977">
        <w:t>page</w:t>
      </w:r>
      <w:r w:rsidR="003C397B" w:rsidRPr="00907977">
        <w:t xml:space="preserve"> </w:t>
      </w:r>
      <w:bookmarkEnd w:id="2"/>
      <w:bookmarkEnd w:id="3"/>
      <w:r w:rsidR="00962D87" w:rsidRPr="00907977">
        <w:t>and can be accessed readily and free of charge</w:t>
      </w:r>
      <w:r w:rsidR="00C935CE" w:rsidRPr="00907977">
        <w:t xml:space="preserve"> </w:t>
      </w:r>
      <w:r w:rsidRPr="00907977">
        <w:t>(</w:t>
      </w:r>
      <w:hyperlink r:id="rId7" w:anchor="national-pathology-accreditation-standards" w:history="1">
        <w:r w:rsidR="00532B8B" w:rsidRPr="00907977">
          <w:rPr>
            <w:rStyle w:val="Hyperlink"/>
          </w:rPr>
          <w:t>https://www.safetyandquality.gov.au/our-work/accreditation/pathology-accreditation-standards#national-pathology-accreditation-standards</w:t>
        </w:r>
      </w:hyperlink>
      <w:r w:rsidR="007846CE" w:rsidRPr="00907977">
        <w:t>).</w:t>
      </w:r>
    </w:p>
    <w:p w14:paraId="3403078E" w14:textId="2E84E99C" w:rsidR="001E16A5" w:rsidRPr="00907977" w:rsidRDefault="001E16A5">
      <w:pPr>
        <w:spacing w:after="160" w:line="259" w:lineRule="auto"/>
      </w:pPr>
      <w:r w:rsidRPr="00907977">
        <w:br w:type="page"/>
      </w:r>
    </w:p>
    <w:p w14:paraId="0B922B6C" w14:textId="77777777" w:rsidR="00797289" w:rsidRPr="00907977" w:rsidRDefault="00797289" w:rsidP="00797289">
      <w:pPr>
        <w:spacing w:after="0" w:line="240" w:lineRule="auto"/>
      </w:pPr>
    </w:p>
    <w:p w14:paraId="21DB2E5E" w14:textId="633A7940" w:rsidR="00C56FD6" w:rsidRPr="00907977" w:rsidRDefault="00C56FD6" w:rsidP="00C56FD6">
      <w:pPr>
        <w:jc w:val="both"/>
        <w:rPr>
          <w:rFonts w:cs="Times New Roman"/>
          <w:b/>
          <w:bCs/>
          <w:szCs w:val="24"/>
        </w:rPr>
      </w:pPr>
      <w:r w:rsidRPr="00907977">
        <w:rPr>
          <w:rFonts w:cs="Times New Roman"/>
          <w:b/>
          <w:bCs/>
          <w:szCs w:val="24"/>
        </w:rPr>
        <w:t>Consultation</w:t>
      </w:r>
    </w:p>
    <w:p w14:paraId="7F63A353" w14:textId="1F78D232" w:rsidR="00B73E4A" w:rsidRPr="00907977" w:rsidRDefault="00B73E4A" w:rsidP="00B73E4A">
      <w:pPr>
        <w:spacing w:after="120" w:line="240" w:lineRule="auto"/>
        <w:rPr>
          <w:b/>
          <w:bCs/>
        </w:rPr>
      </w:pPr>
      <w:r w:rsidRPr="00907977">
        <w:rPr>
          <w:b/>
          <w:bCs/>
          <w:i/>
          <w:iCs/>
        </w:rPr>
        <w:t>Requirements for Medical Testing for Human Genetic Variation (Third Edition</w:t>
      </w:r>
      <w:r w:rsidR="000C11E3" w:rsidRPr="00907977">
        <w:rPr>
          <w:b/>
          <w:bCs/>
          <w:i/>
          <w:iCs/>
        </w:rPr>
        <w:t xml:space="preserve"> 2022</w:t>
      </w:r>
      <w:r w:rsidRPr="00907977">
        <w:rPr>
          <w:b/>
          <w:bCs/>
        </w:rPr>
        <w:t xml:space="preserve">) </w:t>
      </w:r>
    </w:p>
    <w:p w14:paraId="0AE96455" w14:textId="5EF79A9A" w:rsidR="00430074" w:rsidRPr="00907977" w:rsidRDefault="00430074" w:rsidP="00430074">
      <w:pPr>
        <w:tabs>
          <w:tab w:val="left" w:pos="3261"/>
        </w:tabs>
        <w:spacing w:after="240" w:line="240" w:lineRule="auto"/>
      </w:pPr>
      <w:r w:rsidRPr="00907977">
        <w:t xml:space="preserve">The Commission conducted public consultation on the </w:t>
      </w:r>
      <w:r w:rsidR="00CA3A40" w:rsidRPr="00907977">
        <w:t xml:space="preserve">draft </w:t>
      </w:r>
      <w:r w:rsidRPr="00907977">
        <w:rPr>
          <w:i/>
          <w:iCs/>
        </w:rPr>
        <w:t>Requirements for Medical Testing for Human Genetic Variation (Third Edition</w:t>
      </w:r>
      <w:r w:rsidR="00E03AE7" w:rsidRPr="00907977">
        <w:rPr>
          <w:i/>
          <w:iCs/>
        </w:rPr>
        <w:t xml:space="preserve"> 2022</w:t>
      </w:r>
      <w:r w:rsidRPr="00907977">
        <w:rPr>
          <w:i/>
          <w:iCs/>
        </w:rPr>
        <w:t>)</w:t>
      </w:r>
      <w:r w:rsidRPr="00907977">
        <w:t xml:space="preserve"> between 20 April 2022 and 1 June</w:t>
      </w:r>
      <w:r w:rsidR="00CA3A40" w:rsidRPr="00907977">
        <w:t> </w:t>
      </w:r>
      <w:r w:rsidRPr="00907977">
        <w:t xml:space="preserve">2022. The Commission received 182 submissions from stakeholders including NATA, state and territory government departments, pathology laboratories, peak bodies and industry organisations. </w:t>
      </w:r>
    </w:p>
    <w:p w14:paraId="40745F43" w14:textId="4284D574" w:rsidR="00B73E4A" w:rsidRPr="00907977" w:rsidRDefault="00430074" w:rsidP="00430074">
      <w:pPr>
        <w:tabs>
          <w:tab w:val="left" w:pos="3261"/>
        </w:tabs>
        <w:spacing w:after="240" w:line="240" w:lineRule="auto"/>
      </w:pPr>
      <w:r w:rsidRPr="00907977">
        <w:t>Most of the feedback received was neutral, with the main concern relating to consent issues and the onus on laboratories. These concerns were addressed by amending reference tables and examples to clarify these expectations. NPAAC endorsed the</w:t>
      </w:r>
      <w:r w:rsidRPr="00907977">
        <w:rPr>
          <w:i/>
          <w:iCs/>
        </w:rPr>
        <w:t xml:space="preserve"> Requirements for Medical Testing for Human Genetic Variation (Third Edition</w:t>
      </w:r>
      <w:r w:rsidR="00E03AE7" w:rsidRPr="00907977">
        <w:rPr>
          <w:i/>
          <w:iCs/>
        </w:rPr>
        <w:t xml:space="preserve"> 2022</w:t>
      </w:r>
      <w:r w:rsidRPr="00907977">
        <w:rPr>
          <w:i/>
          <w:iCs/>
        </w:rPr>
        <w:t>)</w:t>
      </w:r>
      <w:r w:rsidRPr="00907977">
        <w:t xml:space="preserve"> on 6 December 2022.</w:t>
      </w:r>
    </w:p>
    <w:p w14:paraId="7DE2167A" w14:textId="6696A22D" w:rsidR="007846CE" w:rsidRPr="00907977" w:rsidRDefault="007846CE" w:rsidP="007846CE">
      <w:pPr>
        <w:spacing w:after="120" w:line="240" w:lineRule="auto"/>
        <w:rPr>
          <w:b/>
          <w:bCs/>
        </w:rPr>
      </w:pPr>
      <w:r w:rsidRPr="00907977">
        <w:rPr>
          <w:b/>
          <w:bCs/>
          <w:i/>
          <w:iCs/>
        </w:rPr>
        <w:t>Requirements for Information Communication and Reporting (Fifth Edition</w:t>
      </w:r>
      <w:r w:rsidR="00E03AE7" w:rsidRPr="00907977">
        <w:rPr>
          <w:b/>
          <w:bCs/>
          <w:i/>
          <w:iCs/>
        </w:rPr>
        <w:t xml:space="preserve"> 2022</w:t>
      </w:r>
      <w:r w:rsidRPr="00907977">
        <w:rPr>
          <w:b/>
          <w:bCs/>
          <w:i/>
          <w:iCs/>
        </w:rPr>
        <w:t xml:space="preserve">) </w:t>
      </w:r>
    </w:p>
    <w:p w14:paraId="65854313" w14:textId="1EFF69EA" w:rsidR="007846CE" w:rsidRPr="00907977" w:rsidRDefault="007846CE" w:rsidP="007846CE">
      <w:pPr>
        <w:tabs>
          <w:tab w:val="left" w:pos="3261"/>
        </w:tabs>
        <w:spacing w:after="240" w:line="240" w:lineRule="auto"/>
      </w:pPr>
      <w:r w:rsidRPr="00907977">
        <w:t xml:space="preserve">As the proposed amendments were relatively minor, the Commission conducted a targeted </w:t>
      </w:r>
      <w:r w:rsidR="003C397B" w:rsidRPr="00907977">
        <w:br/>
      </w:r>
      <w:r w:rsidRPr="00907977">
        <w:t xml:space="preserve">2-week consultation on the draft </w:t>
      </w:r>
      <w:r w:rsidRPr="00907977">
        <w:rPr>
          <w:i/>
          <w:iCs/>
        </w:rPr>
        <w:t>Requirements for Information Communication and Reporting (Fifth Edition</w:t>
      </w:r>
      <w:r w:rsidR="00E03AE7" w:rsidRPr="00907977">
        <w:rPr>
          <w:i/>
          <w:iCs/>
        </w:rPr>
        <w:t xml:space="preserve"> 2022</w:t>
      </w:r>
      <w:r w:rsidRPr="00907977">
        <w:rPr>
          <w:i/>
          <w:iCs/>
        </w:rPr>
        <w:t>)</w:t>
      </w:r>
      <w:r w:rsidRPr="00907977">
        <w:t xml:space="preserve"> with:</w:t>
      </w:r>
    </w:p>
    <w:p w14:paraId="446B1A60" w14:textId="77777777" w:rsidR="007846CE" w:rsidRPr="00907977" w:rsidRDefault="007846CE" w:rsidP="007846CE">
      <w:pPr>
        <w:pStyle w:val="ListParagraph"/>
        <w:numPr>
          <w:ilvl w:val="0"/>
          <w:numId w:val="27"/>
        </w:numPr>
        <w:tabs>
          <w:tab w:val="left" w:pos="3261"/>
        </w:tabs>
        <w:spacing w:after="240" w:line="240" w:lineRule="auto"/>
      </w:pPr>
      <w:r w:rsidRPr="00907977">
        <w:t>Public Pathology Australia, who represent public pathology services owned and operated by the state and territory governments</w:t>
      </w:r>
    </w:p>
    <w:p w14:paraId="5BDFB2FC" w14:textId="77777777" w:rsidR="007846CE" w:rsidRPr="00907977" w:rsidRDefault="007846CE" w:rsidP="007846CE">
      <w:pPr>
        <w:pStyle w:val="ListParagraph"/>
        <w:numPr>
          <w:ilvl w:val="0"/>
          <w:numId w:val="27"/>
        </w:numPr>
        <w:tabs>
          <w:tab w:val="left" w:pos="3261"/>
        </w:tabs>
        <w:spacing w:after="240" w:line="240" w:lineRule="auto"/>
      </w:pPr>
      <w:r w:rsidRPr="00907977">
        <w:t>Australian Pathology, who represent private pathology service providers</w:t>
      </w:r>
    </w:p>
    <w:p w14:paraId="2FE24CC8" w14:textId="77777777" w:rsidR="007846CE" w:rsidRPr="00907977" w:rsidRDefault="007846CE" w:rsidP="007846CE">
      <w:pPr>
        <w:pStyle w:val="ListParagraph"/>
        <w:numPr>
          <w:ilvl w:val="0"/>
          <w:numId w:val="27"/>
        </w:numPr>
        <w:tabs>
          <w:tab w:val="left" w:pos="3261"/>
        </w:tabs>
        <w:spacing w:after="240" w:line="240" w:lineRule="auto"/>
      </w:pPr>
      <w:r w:rsidRPr="00907977">
        <w:t xml:space="preserve">NPAAC and Drafting Review and Liaison Committee members </w:t>
      </w:r>
    </w:p>
    <w:p w14:paraId="17A86954" w14:textId="77777777" w:rsidR="007846CE" w:rsidRPr="00907977" w:rsidRDefault="007846CE" w:rsidP="007846CE">
      <w:pPr>
        <w:pStyle w:val="ListParagraph"/>
        <w:numPr>
          <w:ilvl w:val="0"/>
          <w:numId w:val="27"/>
        </w:numPr>
        <w:tabs>
          <w:tab w:val="left" w:pos="3261"/>
        </w:tabs>
        <w:spacing w:after="240" w:line="240" w:lineRule="auto"/>
      </w:pPr>
      <w:r w:rsidRPr="00907977">
        <w:t>NATA</w:t>
      </w:r>
    </w:p>
    <w:p w14:paraId="32DD78BC" w14:textId="27649329" w:rsidR="007846CE" w:rsidRPr="00907977" w:rsidRDefault="007846CE" w:rsidP="007846CE">
      <w:pPr>
        <w:tabs>
          <w:tab w:val="left" w:pos="3261"/>
        </w:tabs>
        <w:spacing w:after="240" w:line="240" w:lineRule="auto"/>
      </w:pPr>
      <w:r w:rsidRPr="00907977">
        <w:t xml:space="preserve">The Commission received 14 submissions. Most of the feedback was neutral and included suggested wording or grammatical changes. NPAAC endorsed the </w:t>
      </w:r>
      <w:r w:rsidRPr="00907977">
        <w:rPr>
          <w:i/>
          <w:iCs/>
        </w:rPr>
        <w:t>Requirements for Information Communication and Reporting (Fifth Edition</w:t>
      </w:r>
      <w:r w:rsidR="00E03AE7" w:rsidRPr="00907977">
        <w:rPr>
          <w:i/>
          <w:iCs/>
        </w:rPr>
        <w:t xml:space="preserve"> 2022</w:t>
      </w:r>
      <w:r w:rsidRPr="00907977">
        <w:rPr>
          <w:i/>
          <w:iCs/>
        </w:rPr>
        <w:t>)</w:t>
      </w:r>
      <w:r w:rsidRPr="00907977">
        <w:t xml:space="preserve"> on 6 December 2022.</w:t>
      </w:r>
    </w:p>
    <w:p w14:paraId="4B7756B2" w14:textId="520CA2B8" w:rsidR="00B73E4A" w:rsidRPr="00907977" w:rsidRDefault="00B73E4A" w:rsidP="00B73E4A">
      <w:pPr>
        <w:spacing w:line="240" w:lineRule="auto"/>
        <w:rPr>
          <w:b/>
          <w:bCs/>
          <w:i/>
          <w:iCs/>
        </w:rPr>
      </w:pPr>
      <w:r w:rsidRPr="00907977">
        <w:rPr>
          <w:b/>
          <w:bCs/>
          <w:i/>
          <w:iCs/>
        </w:rPr>
        <w:t>Requirements for the Packaging and Transport of Pathology Specimens and Associated Materials (Fifth Edition</w:t>
      </w:r>
      <w:r w:rsidR="00E03AE7" w:rsidRPr="00907977">
        <w:rPr>
          <w:b/>
          <w:bCs/>
          <w:i/>
          <w:iCs/>
        </w:rPr>
        <w:t xml:space="preserve"> 2022</w:t>
      </w:r>
      <w:r w:rsidRPr="00907977">
        <w:rPr>
          <w:b/>
          <w:bCs/>
          <w:i/>
          <w:iCs/>
        </w:rPr>
        <w:t>)</w:t>
      </w:r>
      <w:r w:rsidRPr="00907977" w:rsidDel="00D8275D">
        <w:rPr>
          <w:b/>
          <w:bCs/>
          <w:i/>
          <w:iCs/>
        </w:rPr>
        <w:t xml:space="preserve"> </w:t>
      </w:r>
    </w:p>
    <w:p w14:paraId="28A8E16B" w14:textId="14B527C5" w:rsidR="00050830" w:rsidRPr="00907977" w:rsidRDefault="00430074" w:rsidP="00050830">
      <w:pPr>
        <w:tabs>
          <w:tab w:val="left" w:pos="3261"/>
        </w:tabs>
        <w:spacing w:after="240" w:line="240" w:lineRule="auto"/>
      </w:pPr>
      <w:r w:rsidRPr="00907977">
        <w:t>T</w:t>
      </w:r>
      <w:r w:rsidR="00050830" w:rsidRPr="00907977">
        <w:t xml:space="preserve">he Commission conducted a public consultation process </w:t>
      </w:r>
      <w:r w:rsidR="001602B3" w:rsidRPr="00907977">
        <w:t xml:space="preserve">on the draft </w:t>
      </w:r>
      <w:r w:rsidRPr="00907977">
        <w:rPr>
          <w:i/>
          <w:iCs/>
        </w:rPr>
        <w:t>Requirements for the Packaging and Transport of Pathology Specimens and Associated Materials (Fifth Edition</w:t>
      </w:r>
      <w:r w:rsidR="00E03AE7" w:rsidRPr="00907977">
        <w:rPr>
          <w:i/>
          <w:iCs/>
        </w:rPr>
        <w:t xml:space="preserve"> 2022</w:t>
      </w:r>
      <w:r w:rsidRPr="00907977">
        <w:rPr>
          <w:i/>
          <w:iCs/>
        </w:rPr>
        <w:t>)</w:t>
      </w:r>
      <w:r w:rsidRPr="00907977">
        <w:t xml:space="preserve"> </w:t>
      </w:r>
      <w:r w:rsidR="00DA7351" w:rsidRPr="00907977">
        <w:t xml:space="preserve">and associated materials </w:t>
      </w:r>
      <w:r w:rsidR="00050830" w:rsidRPr="00907977">
        <w:t xml:space="preserve">from 20 April 2022 to 1 June 2022. The Commission received 71 submissions from stakeholders, including </w:t>
      </w:r>
      <w:r w:rsidRPr="00907977">
        <w:t>NATA</w:t>
      </w:r>
      <w:r w:rsidR="00050830" w:rsidRPr="00907977">
        <w:t xml:space="preserve">, state and territory government departments, pathology laboratories and peak bodies. </w:t>
      </w:r>
    </w:p>
    <w:p w14:paraId="4932A8E6" w14:textId="6B54249D" w:rsidR="00050830" w:rsidRPr="00907977" w:rsidRDefault="00050830" w:rsidP="00050830">
      <w:pPr>
        <w:tabs>
          <w:tab w:val="left" w:pos="3261"/>
        </w:tabs>
        <w:spacing w:after="240" w:line="240" w:lineRule="auto"/>
      </w:pPr>
      <w:r w:rsidRPr="00907977">
        <w:t xml:space="preserve">Most stakeholder feedback </w:t>
      </w:r>
      <w:r w:rsidR="00430074" w:rsidRPr="00907977">
        <w:t xml:space="preserve">received </w:t>
      </w:r>
      <w:r w:rsidRPr="00907977">
        <w:t xml:space="preserve">was neutral and included suggested wording or grammatical changes. NPAAC endorsed the </w:t>
      </w:r>
      <w:r w:rsidR="00430074" w:rsidRPr="00907977">
        <w:t xml:space="preserve">Requirements for the </w:t>
      </w:r>
      <w:r w:rsidR="00430074" w:rsidRPr="00907977">
        <w:rPr>
          <w:i/>
          <w:iCs/>
        </w:rPr>
        <w:t>Packaging and Transport of Pathology Specimens and Associated Materials (Fifth Edition</w:t>
      </w:r>
      <w:r w:rsidR="00E03AE7" w:rsidRPr="00907977">
        <w:rPr>
          <w:i/>
          <w:iCs/>
        </w:rPr>
        <w:t xml:space="preserve"> 2022</w:t>
      </w:r>
      <w:r w:rsidR="00430074" w:rsidRPr="00907977">
        <w:rPr>
          <w:i/>
          <w:iCs/>
        </w:rPr>
        <w:t>)</w:t>
      </w:r>
      <w:r w:rsidR="00430074" w:rsidRPr="00907977">
        <w:t xml:space="preserve"> </w:t>
      </w:r>
      <w:r w:rsidRPr="00907977">
        <w:t>on 6 December 2022</w:t>
      </w:r>
      <w:r w:rsidR="00CA3A40" w:rsidRPr="00907977">
        <w:t>, which included amendment to address feedback from public consultation.</w:t>
      </w:r>
    </w:p>
    <w:p w14:paraId="4128C912" w14:textId="77777777" w:rsidR="001E7FDA" w:rsidRPr="00907977" w:rsidRDefault="001E7FDA" w:rsidP="00B73E4A">
      <w:pPr>
        <w:spacing w:line="240" w:lineRule="auto"/>
        <w:rPr>
          <w:b/>
          <w:bCs/>
          <w:i/>
          <w:iCs/>
        </w:rPr>
      </w:pPr>
    </w:p>
    <w:p w14:paraId="7B9DA047" w14:textId="77777777" w:rsidR="001E7FDA" w:rsidRPr="00907977" w:rsidRDefault="001E7FDA" w:rsidP="00B73E4A">
      <w:pPr>
        <w:spacing w:line="240" w:lineRule="auto"/>
        <w:rPr>
          <w:b/>
          <w:bCs/>
          <w:i/>
          <w:iCs/>
        </w:rPr>
      </w:pPr>
    </w:p>
    <w:p w14:paraId="40DB5675" w14:textId="77777777" w:rsidR="001E7FDA" w:rsidRPr="00907977" w:rsidRDefault="001E7FDA" w:rsidP="00B73E4A">
      <w:pPr>
        <w:spacing w:line="240" w:lineRule="auto"/>
        <w:rPr>
          <w:b/>
          <w:bCs/>
          <w:i/>
          <w:iCs/>
        </w:rPr>
      </w:pPr>
    </w:p>
    <w:p w14:paraId="7DA33348" w14:textId="77777777" w:rsidR="001E7FDA" w:rsidRPr="00907977" w:rsidRDefault="001E7FDA" w:rsidP="00B73E4A">
      <w:pPr>
        <w:spacing w:line="240" w:lineRule="auto"/>
        <w:rPr>
          <w:b/>
          <w:bCs/>
          <w:i/>
          <w:iCs/>
        </w:rPr>
      </w:pPr>
    </w:p>
    <w:p w14:paraId="61D9F812" w14:textId="3990A8A9" w:rsidR="00B73E4A" w:rsidRPr="00907977" w:rsidRDefault="00B73E4A" w:rsidP="00B73E4A">
      <w:pPr>
        <w:spacing w:line="240" w:lineRule="auto"/>
        <w:rPr>
          <w:b/>
          <w:bCs/>
          <w:i/>
          <w:iCs/>
        </w:rPr>
      </w:pPr>
      <w:r w:rsidRPr="00907977">
        <w:rPr>
          <w:b/>
          <w:bCs/>
          <w:i/>
          <w:iCs/>
        </w:rPr>
        <w:lastRenderedPageBreak/>
        <w:t>Requirements for Transfusion Laboratory Practice (Fifth Edition</w:t>
      </w:r>
      <w:r w:rsidR="00E03AE7" w:rsidRPr="00907977">
        <w:rPr>
          <w:b/>
          <w:bCs/>
          <w:i/>
          <w:iCs/>
        </w:rPr>
        <w:t xml:space="preserve"> 2022</w:t>
      </w:r>
      <w:r w:rsidRPr="00907977">
        <w:rPr>
          <w:b/>
          <w:bCs/>
          <w:i/>
          <w:iCs/>
        </w:rPr>
        <w:t>)</w:t>
      </w:r>
    </w:p>
    <w:p w14:paraId="7D3D16F4" w14:textId="2B5915B4" w:rsidR="00430074" w:rsidRPr="00907977" w:rsidRDefault="00CA3A40" w:rsidP="00430074">
      <w:pPr>
        <w:pStyle w:val="Default"/>
        <w:spacing w:after="120"/>
        <w:rPr>
          <w:rFonts w:ascii="Times New Roman" w:hAnsi="Times New Roman" w:cstheme="minorBidi"/>
          <w:color w:val="auto"/>
          <w:szCs w:val="22"/>
        </w:rPr>
      </w:pPr>
      <w:r w:rsidRPr="00907977">
        <w:rPr>
          <w:rFonts w:ascii="Times New Roman" w:hAnsi="Times New Roman" w:cstheme="minorBidi"/>
          <w:color w:val="auto"/>
          <w:szCs w:val="22"/>
        </w:rPr>
        <w:t xml:space="preserve">As the proposed amendments were relatively minor, the Commission conducted a targeted </w:t>
      </w:r>
      <w:r w:rsidRPr="00907977">
        <w:rPr>
          <w:rFonts w:ascii="Times New Roman" w:hAnsi="Times New Roman" w:cstheme="minorBidi"/>
          <w:color w:val="auto"/>
          <w:szCs w:val="22"/>
        </w:rPr>
        <w:br/>
      </w:r>
      <w:r w:rsidR="00430074" w:rsidRPr="00907977">
        <w:rPr>
          <w:rFonts w:ascii="Times New Roman" w:hAnsi="Times New Roman" w:cstheme="minorBidi"/>
          <w:color w:val="auto"/>
          <w:szCs w:val="22"/>
        </w:rPr>
        <w:t xml:space="preserve">2-week consultation on the </w:t>
      </w:r>
      <w:r w:rsidRPr="00907977">
        <w:rPr>
          <w:rFonts w:ascii="Times New Roman" w:hAnsi="Times New Roman" w:cstheme="minorBidi"/>
          <w:color w:val="auto"/>
          <w:szCs w:val="22"/>
        </w:rPr>
        <w:t xml:space="preserve">draft </w:t>
      </w:r>
      <w:r w:rsidR="00430074" w:rsidRPr="00907977">
        <w:rPr>
          <w:rFonts w:ascii="Times New Roman" w:hAnsi="Times New Roman" w:cstheme="minorBidi"/>
          <w:i/>
          <w:iCs/>
          <w:color w:val="auto"/>
          <w:szCs w:val="22"/>
        </w:rPr>
        <w:t xml:space="preserve">Requirements for </w:t>
      </w:r>
      <w:r w:rsidRPr="00907977">
        <w:rPr>
          <w:rFonts w:ascii="Times New Roman" w:hAnsi="Times New Roman" w:cstheme="minorBidi"/>
          <w:i/>
          <w:iCs/>
          <w:color w:val="auto"/>
          <w:szCs w:val="22"/>
        </w:rPr>
        <w:t>T</w:t>
      </w:r>
      <w:r w:rsidR="00430074" w:rsidRPr="00907977">
        <w:rPr>
          <w:rFonts w:ascii="Times New Roman" w:hAnsi="Times New Roman" w:cstheme="minorBidi"/>
          <w:i/>
          <w:iCs/>
          <w:color w:val="auto"/>
          <w:szCs w:val="22"/>
        </w:rPr>
        <w:t xml:space="preserve">ransfusion </w:t>
      </w:r>
      <w:r w:rsidRPr="00907977">
        <w:rPr>
          <w:rFonts w:ascii="Times New Roman" w:hAnsi="Times New Roman" w:cstheme="minorBidi"/>
          <w:i/>
          <w:iCs/>
          <w:color w:val="auto"/>
          <w:szCs w:val="22"/>
        </w:rPr>
        <w:t>L</w:t>
      </w:r>
      <w:r w:rsidR="00430074" w:rsidRPr="00907977">
        <w:rPr>
          <w:rFonts w:ascii="Times New Roman" w:hAnsi="Times New Roman" w:cstheme="minorBidi"/>
          <w:i/>
          <w:iCs/>
          <w:color w:val="auto"/>
          <w:szCs w:val="22"/>
        </w:rPr>
        <w:t xml:space="preserve">aboratory </w:t>
      </w:r>
      <w:r w:rsidRPr="00907977">
        <w:rPr>
          <w:rFonts w:ascii="Times New Roman" w:hAnsi="Times New Roman" w:cstheme="minorBidi"/>
          <w:i/>
          <w:iCs/>
          <w:color w:val="auto"/>
          <w:szCs w:val="22"/>
        </w:rPr>
        <w:t>P</w:t>
      </w:r>
      <w:r w:rsidR="00430074" w:rsidRPr="00907977">
        <w:rPr>
          <w:rFonts w:ascii="Times New Roman" w:hAnsi="Times New Roman" w:cstheme="minorBidi"/>
          <w:i/>
          <w:iCs/>
          <w:color w:val="auto"/>
          <w:szCs w:val="22"/>
        </w:rPr>
        <w:t>ractice (Fifth Edition</w:t>
      </w:r>
      <w:r w:rsidR="00E03AE7" w:rsidRPr="00907977">
        <w:rPr>
          <w:rFonts w:ascii="Times New Roman" w:hAnsi="Times New Roman" w:cstheme="minorBidi"/>
          <w:i/>
          <w:iCs/>
          <w:color w:val="auto"/>
          <w:szCs w:val="22"/>
        </w:rPr>
        <w:t xml:space="preserve"> 2022</w:t>
      </w:r>
      <w:r w:rsidR="00430074" w:rsidRPr="00907977">
        <w:rPr>
          <w:rFonts w:ascii="Times New Roman" w:hAnsi="Times New Roman" w:cstheme="minorBidi"/>
          <w:i/>
          <w:iCs/>
          <w:color w:val="auto"/>
          <w:szCs w:val="22"/>
        </w:rPr>
        <w:t>)</w:t>
      </w:r>
      <w:r w:rsidR="00430074" w:rsidRPr="00907977">
        <w:rPr>
          <w:rFonts w:ascii="Times New Roman" w:hAnsi="Times New Roman" w:cstheme="minorBidi"/>
          <w:color w:val="auto"/>
          <w:szCs w:val="22"/>
        </w:rPr>
        <w:t xml:space="preserve"> with:</w:t>
      </w:r>
    </w:p>
    <w:p w14:paraId="2BA67A04" w14:textId="7A605AA5" w:rsidR="00430074" w:rsidRPr="00907977" w:rsidRDefault="00430074" w:rsidP="00430074">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Public Pathology</w:t>
      </w:r>
      <w:r w:rsidR="005C57C6" w:rsidRPr="00907977">
        <w:rPr>
          <w:rFonts w:ascii="Times New Roman" w:hAnsi="Times New Roman" w:cstheme="minorBidi"/>
          <w:color w:val="auto"/>
          <w:szCs w:val="22"/>
        </w:rPr>
        <w:t xml:space="preserve"> Australia</w:t>
      </w:r>
    </w:p>
    <w:p w14:paraId="2CA3AA2B" w14:textId="7D344C99" w:rsidR="00430074" w:rsidRPr="00907977" w:rsidRDefault="00430074" w:rsidP="00430074">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Australian Pathology</w:t>
      </w:r>
    </w:p>
    <w:p w14:paraId="1DC40EBC" w14:textId="77777777" w:rsidR="00430074" w:rsidRPr="00907977" w:rsidRDefault="00430074" w:rsidP="00430074">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Members of NPAAC and its subcommittees</w:t>
      </w:r>
    </w:p>
    <w:p w14:paraId="05761758" w14:textId="77777777" w:rsidR="00430074" w:rsidRPr="00907977" w:rsidRDefault="00430074" w:rsidP="00430074">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Subject matter experts in transfusion and immunohaemotology practice</w:t>
      </w:r>
    </w:p>
    <w:p w14:paraId="1E6A44AA" w14:textId="77777777" w:rsidR="00430074" w:rsidRPr="00907977" w:rsidRDefault="00430074" w:rsidP="00430074">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NATA.</w:t>
      </w:r>
    </w:p>
    <w:p w14:paraId="6DD90259" w14:textId="74EE10FB" w:rsidR="00430074" w:rsidRPr="00907977" w:rsidRDefault="00430074" w:rsidP="00430074">
      <w:pPr>
        <w:pStyle w:val="Default"/>
        <w:spacing w:after="120"/>
        <w:rPr>
          <w:rFonts w:ascii="Times New Roman" w:hAnsi="Times New Roman" w:cstheme="minorBidi"/>
          <w:color w:val="auto"/>
          <w:szCs w:val="22"/>
        </w:rPr>
      </w:pPr>
      <w:r w:rsidRPr="00907977">
        <w:rPr>
          <w:rFonts w:ascii="Times New Roman" w:hAnsi="Times New Roman" w:cstheme="minorBidi"/>
          <w:color w:val="auto"/>
          <w:szCs w:val="22"/>
        </w:rPr>
        <w:t>The Commission received 37 responses from stakeholders, collated the feedback and analysed the results. In consultation with NPAAC executives, feedback from the targeted consultation was incorporated into the draft where appropriate. A further amendment was made by NPAAC members in consultation with the A</w:t>
      </w:r>
      <w:r w:rsidR="00CA3A40" w:rsidRPr="00907977">
        <w:rPr>
          <w:rFonts w:ascii="Times New Roman" w:hAnsi="Times New Roman" w:cstheme="minorBidi"/>
          <w:color w:val="auto"/>
          <w:szCs w:val="22"/>
        </w:rPr>
        <w:t xml:space="preserve">ustralasian </w:t>
      </w:r>
      <w:r w:rsidRPr="00907977">
        <w:rPr>
          <w:rFonts w:ascii="Times New Roman" w:hAnsi="Times New Roman" w:cstheme="minorBidi"/>
          <w:color w:val="auto"/>
          <w:szCs w:val="22"/>
        </w:rPr>
        <w:t>N</w:t>
      </w:r>
      <w:r w:rsidR="00CA3A40" w:rsidRPr="00907977">
        <w:rPr>
          <w:rFonts w:ascii="Times New Roman" w:hAnsi="Times New Roman" w:cstheme="minorBidi"/>
          <w:color w:val="auto"/>
          <w:szCs w:val="22"/>
        </w:rPr>
        <w:t xml:space="preserve">ew </w:t>
      </w:r>
      <w:r w:rsidRPr="00907977">
        <w:rPr>
          <w:rFonts w:ascii="Times New Roman" w:hAnsi="Times New Roman" w:cstheme="minorBidi"/>
          <w:color w:val="auto"/>
          <w:szCs w:val="22"/>
        </w:rPr>
        <w:t>Z</w:t>
      </w:r>
      <w:r w:rsidR="00CA3A40" w:rsidRPr="00907977">
        <w:rPr>
          <w:rFonts w:ascii="Times New Roman" w:hAnsi="Times New Roman" w:cstheme="minorBidi"/>
          <w:color w:val="auto"/>
          <w:szCs w:val="22"/>
        </w:rPr>
        <w:t xml:space="preserve">ealand </w:t>
      </w:r>
      <w:r w:rsidRPr="00907977">
        <w:rPr>
          <w:rFonts w:ascii="Times New Roman" w:hAnsi="Times New Roman" w:cstheme="minorBidi"/>
          <w:color w:val="auto"/>
          <w:szCs w:val="22"/>
        </w:rPr>
        <w:t>S</w:t>
      </w:r>
      <w:r w:rsidR="00CA3A40" w:rsidRPr="00907977">
        <w:rPr>
          <w:rFonts w:ascii="Times New Roman" w:hAnsi="Times New Roman" w:cstheme="minorBidi"/>
          <w:color w:val="auto"/>
          <w:szCs w:val="22"/>
        </w:rPr>
        <w:t xml:space="preserve">ociety of </w:t>
      </w:r>
      <w:r w:rsidRPr="00907977">
        <w:rPr>
          <w:rFonts w:ascii="Times New Roman" w:hAnsi="Times New Roman" w:cstheme="minorBidi"/>
          <w:color w:val="auto"/>
          <w:szCs w:val="22"/>
        </w:rPr>
        <w:t>B</w:t>
      </w:r>
      <w:r w:rsidR="00CA3A40" w:rsidRPr="00907977">
        <w:rPr>
          <w:rFonts w:ascii="Times New Roman" w:hAnsi="Times New Roman" w:cstheme="minorBidi"/>
          <w:color w:val="auto"/>
          <w:szCs w:val="22"/>
        </w:rPr>
        <w:t xml:space="preserve">lood </w:t>
      </w:r>
      <w:r w:rsidRPr="00907977">
        <w:rPr>
          <w:rFonts w:ascii="Times New Roman" w:hAnsi="Times New Roman" w:cstheme="minorBidi"/>
          <w:color w:val="auto"/>
          <w:szCs w:val="22"/>
        </w:rPr>
        <w:t>T</w:t>
      </w:r>
      <w:r w:rsidR="00CA3A40" w:rsidRPr="00907977">
        <w:rPr>
          <w:rFonts w:ascii="Times New Roman" w:hAnsi="Times New Roman" w:cstheme="minorBidi"/>
          <w:color w:val="auto"/>
          <w:szCs w:val="22"/>
        </w:rPr>
        <w:t>ransfusion</w:t>
      </w:r>
      <w:r w:rsidRPr="00907977">
        <w:rPr>
          <w:rFonts w:ascii="Times New Roman" w:hAnsi="Times New Roman" w:cstheme="minorBidi"/>
          <w:color w:val="auto"/>
          <w:szCs w:val="22"/>
        </w:rPr>
        <w:t xml:space="preserve"> to address a redundancy in the requirements for pre-transfusion testing.</w:t>
      </w:r>
    </w:p>
    <w:p w14:paraId="393C134F" w14:textId="2877491C" w:rsidR="00430074" w:rsidRPr="00907977" w:rsidRDefault="00430074" w:rsidP="00430074">
      <w:pPr>
        <w:pStyle w:val="Default"/>
        <w:spacing w:after="120"/>
        <w:rPr>
          <w:rFonts w:ascii="Times New Roman" w:hAnsi="Times New Roman" w:cstheme="minorBidi"/>
          <w:color w:val="auto"/>
          <w:szCs w:val="22"/>
        </w:rPr>
      </w:pPr>
      <w:r w:rsidRPr="00907977">
        <w:rPr>
          <w:rFonts w:ascii="Times New Roman" w:hAnsi="Times New Roman" w:cstheme="minorBidi"/>
          <w:color w:val="auto"/>
          <w:szCs w:val="22"/>
        </w:rPr>
        <w:t xml:space="preserve">The </w:t>
      </w:r>
      <w:r w:rsidR="00CA3A40" w:rsidRPr="00907977">
        <w:rPr>
          <w:rFonts w:ascii="Times New Roman" w:hAnsi="Times New Roman" w:cstheme="minorBidi"/>
          <w:i/>
          <w:iCs/>
          <w:color w:val="auto"/>
          <w:szCs w:val="22"/>
        </w:rPr>
        <w:t>Requirements for Transfusion Laboratory Practice (Fifth Edition</w:t>
      </w:r>
      <w:r w:rsidR="00E03AE7" w:rsidRPr="00907977">
        <w:rPr>
          <w:rFonts w:ascii="Times New Roman" w:hAnsi="Times New Roman" w:cstheme="minorBidi"/>
          <w:i/>
          <w:iCs/>
          <w:color w:val="auto"/>
          <w:szCs w:val="22"/>
        </w:rPr>
        <w:t xml:space="preserve"> 2022</w:t>
      </w:r>
      <w:r w:rsidR="00CA3A40" w:rsidRPr="00907977">
        <w:rPr>
          <w:rFonts w:ascii="Times New Roman" w:hAnsi="Times New Roman" w:cstheme="minorBidi"/>
          <w:i/>
          <w:iCs/>
          <w:color w:val="auto"/>
          <w:szCs w:val="22"/>
        </w:rPr>
        <w:t>)</w:t>
      </w:r>
      <w:r w:rsidR="00CA3A40" w:rsidRPr="00907977">
        <w:rPr>
          <w:rFonts w:ascii="Times New Roman" w:hAnsi="Times New Roman" w:cstheme="minorBidi"/>
          <w:color w:val="auto"/>
          <w:szCs w:val="22"/>
        </w:rPr>
        <w:t xml:space="preserve"> </w:t>
      </w:r>
      <w:r w:rsidRPr="00907977">
        <w:rPr>
          <w:rFonts w:ascii="Times New Roman" w:hAnsi="Times New Roman" w:cstheme="minorBidi"/>
          <w:color w:val="auto"/>
          <w:szCs w:val="22"/>
        </w:rPr>
        <w:t>was referred</w:t>
      </w:r>
      <w:r w:rsidR="007846CE" w:rsidRPr="00907977">
        <w:rPr>
          <w:rFonts w:ascii="Times New Roman" w:hAnsi="Times New Roman" w:cstheme="minorBidi"/>
          <w:color w:val="auto"/>
          <w:szCs w:val="22"/>
        </w:rPr>
        <w:t xml:space="preserve"> to</w:t>
      </w:r>
      <w:r w:rsidRPr="00907977">
        <w:rPr>
          <w:rFonts w:ascii="Times New Roman" w:hAnsi="Times New Roman" w:cstheme="minorBidi"/>
          <w:color w:val="auto"/>
          <w:szCs w:val="22"/>
        </w:rPr>
        <w:t xml:space="preserve"> NPAAC and endorsed on 6 December 2022 with a minor amendment to the commentary on the requirements for transfusion in special circumstances.</w:t>
      </w:r>
    </w:p>
    <w:p w14:paraId="2E0FCC4B" w14:textId="5046DE76" w:rsidR="00DE37BE" w:rsidRPr="00907977" w:rsidRDefault="00F2526A" w:rsidP="00DC02E3">
      <w:pPr>
        <w:tabs>
          <w:tab w:val="left" w:pos="3261"/>
        </w:tabs>
        <w:spacing w:after="240" w:line="240" w:lineRule="auto"/>
        <w:rPr>
          <w:rFonts w:cs="Times New Roman"/>
        </w:rPr>
      </w:pPr>
      <w:r w:rsidRPr="00907977">
        <w:rPr>
          <w:rFonts w:cs="Times New Roman"/>
        </w:rPr>
        <w:t xml:space="preserve">No </w:t>
      </w:r>
      <w:r w:rsidR="00DE37BE" w:rsidRPr="00907977">
        <w:rPr>
          <w:rFonts w:cs="Times New Roman"/>
        </w:rPr>
        <w:t xml:space="preserve">consultation </w:t>
      </w:r>
      <w:r w:rsidR="005C57C6" w:rsidRPr="00907977">
        <w:rPr>
          <w:rFonts w:cs="Times New Roman"/>
        </w:rPr>
        <w:t xml:space="preserve">was </w:t>
      </w:r>
      <w:r w:rsidR="00DE37BE" w:rsidRPr="00907977">
        <w:rPr>
          <w:rFonts w:cs="Times New Roman"/>
        </w:rPr>
        <w:t>undertaken on the minor administrative amendments to:</w:t>
      </w:r>
    </w:p>
    <w:p w14:paraId="2F1D2EE4" w14:textId="1838F31E" w:rsidR="00DE37BE" w:rsidRPr="00907977" w:rsidRDefault="00DE37BE" w:rsidP="000B1E95">
      <w:pPr>
        <w:pStyle w:val="Default"/>
        <w:numPr>
          <w:ilvl w:val="0"/>
          <w:numId w:val="26"/>
        </w:numPr>
        <w:spacing w:after="120"/>
        <w:rPr>
          <w:rFonts w:ascii="Times New Roman" w:hAnsi="Times New Roman" w:cstheme="minorBidi"/>
          <w:i/>
          <w:iCs/>
          <w:color w:val="auto"/>
          <w:szCs w:val="22"/>
        </w:rPr>
      </w:pPr>
      <w:r w:rsidRPr="00907977">
        <w:rPr>
          <w:rFonts w:ascii="Times New Roman" w:hAnsi="Times New Roman" w:cstheme="minorBidi"/>
          <w:color w:val="auto"/>
          <w:szCs w:val="22"/>
        </w:rPr>
        <w:t xml:space="preserve">correct the title of the accreditation standard titled </w:t>
      </w:r>
      <w:r w:rsidRPr="00907977">
        <w:rPr>
          <w:rFonts w:ascii="Times New Roman" w:hAnsi="Times New Roman" w:cstheme="minorBidi"/>
          <w:i/>
          <w:iCs/>
          <w:color w:val="auto"/>
          <w:szCs w:val="22"/>
        </w:rPr>
        <w:t>Requirements for the Development and Use of In-House In Vitro Diagnostic Medical Devices (Fourth Edition 2018)</w:t>
      </w:r>
    </w:p>
    <w:p w14:paraId="0D9CABE9" w14:textId="77777777" w:rsidR="00DE37BE" w:rsidRPr="00907977" w:rsidRDefault="00DE37BE" w:rsidP="000B1E95">
      <w:pPr>
        <w:pStyle w:val="Default"/>
        <w:numPr>
          <w:ilvl w:val="0"/>
          <w:numId w:val="26"/>
        </w:numPr>
        <w:spacing w:after="120"/>
        <w:rPr>
          <w:rFonts w:ascii="Times New Roman" w:hAnsi="Times New Roman" w:cstheme="minorBidi"/>
          <w:color w:val="auto"/>
          <w:szCs w:val="22"/>
        </w:rPr>
      </w:pPr>
      <w:r w:rsidRPr="00907977">
        <w:rPr>
          <w:rFonts w:ascii="Times New Roman" w:hAnsi="Times New Roman" w:cstheme="minorBidi"/>
          <w:color w:val="auto"/>
          <w:szCs w:val="22"/>
        </w:rPr>
        <w:t>update the note at the end of the table in Schedule 1 to advise that accreditation materials are accessible on the Australian Commission on Safety and Quality in Health Care’s (the Commission) website.</w:t>
      </w:r>
    </w:p>
    <w:p w14:paraId="31CFC88A" w14:textId="094E15DD" w:rsidR="00132947" w:rsidRPr="00907977" w:rsidRDefault="00132947" w:rsidP="00197866">
      <w:pPr>
        <w:spacing w:after="160" w:line="259" w:lineRule="auto"/>
      </w:pPr>
      <w:r w:rsidRPr="00907977">
        <w:t xml:space="preserve">This Amending Instrument commences </w:t>
      </w:r>
      <w:r w:rsidR="00193E60" w:rsidRPr="00907977">
        <w:t>on</w:t>
      </w:r>
      <w:r w:rsidRPr="00907977">
        <w:t xml:space="preserve"> 1 March 2023</w:t>
      </w:r>
      <w:r w:rsidR="00B141A9" w:rsidRPr="00907977">
        <w:t>.</w:t>
      </w:r>
    </w:p>
    <w:p w14:paraId="61F74B46" w14:textId="77777777" w:rsidR="00132947" w:rsidRPr="00907977" w:rsidRDefault="00132947" w:rsidP="00132947">
      <w:pPr>
        <w:spacing w:after="160" w:line="259" w:lineRule="auto"/>
      </w:pPr>
      <w:r w:rsidRPr="00907977">
        <w:t xml:space="preserve">The Amending Instrument is a legislative instrument for the purposes of the </w:t>
      </w:r>
      <w:r w:rsidRPr="00907977">
        <w:rPr>
          <w:i/>
          <w:iCs/>
        </w:rPr>
        <w:t>Legislative Instruments Act 2003</w:t>
      </w:r>
      <w:r w:rsidRPr="00907977">
        <w:t>.</w:t>
      </w:r>
    </w:p>
    <w:p w14:paraId="670FA195" w14:textId="77777777" w:rsidR="00132947" w:rsidRPr="00907977" w:rsidRDefault="00132947" w:rsidP="00132947">
      <w:pPr>
        <w:spacing w:after="160" w:line="259" w:lineRule="auto"/>
      </w:pPr>
      <w:r w:rsidRPr="00907977">
        <w:t xml:space="preserve">Details of the legislative instrument are set out in </w:t>
      </w:r>
      <w:r w:rsidRPr="00907977">
        <w:rPr>
          <w:u w:val="single"/>
        </w:rPr>
        <w:t>Attachment A</w:t>
      </w:r>
      <w:r w:rsidRPr="00907977">
        <w:t>.</w:t>
      </w:r>
    </w:p>
    <w:p w14:paraId="38C609B1" w14:textId="206EAF8F" w:rsidR="008F2F01" w:rsidRPr="00907977" w:rsidRDefault="008F2F01" w:rsidP="00797289">
      <w:pPr>
        <w:spacing w:after="0" w:line="240" w:lineRule="auto"/>
      </w:pPr>
    </w:p>
    <w:p w14:paraId="5DC21371" w14:textId="77777777" w:rsidR="007813B1" w:rsidRPr="00907977" w:rsidRDefault="007813B1" w:rsidP="00797289">
      <w:pPr>
        <w:spacing w:after="0" w:line="240" w:lineRule="auto"/>
        <w:rPr>
          <w:rFonts w:cs="Times New Roman"/>
          <w:szCs w:val="24"/>
        </w:rPr>
      </w:pPr>
    </w:p>
    <w:p w14:paraId="2894110E" w14:textId="3F58BFAD" w:rsidR="00C56FD6" w:rsidRPr="00907977" w:rsidRDefault="00C56FD6" w:rsidP="00C56FD6">
      <w:pPr>
        <w:spacing w:line="240" w:lineRule="auto"/>
        <w:jc w:val="right"/>
        <w:rPr>
          <w:rFonts w:cs="Times New Roman"/>
          <w:b/>
          <w:vanish/>
          <w:szCs w:val="24"/>
          <w:specVanish/>
        </w:rPr>
      </w:pPr>
      <w:r w:rsidRPr="00907977">
        <w:rPr>
          <w:rFonts w:cs="Times New Roman"/>
          <w:szCs w:val="24"/>
        </w:rPr>
        <w:br w:type="page"/>
      </w:r>
      <w:r w:rsidRPr="00907977">
        <w:rPr>
          <w:rFonts w:cs="Times New Roman"/>
          <w:b/>
          <w:szCs w:val="24"/>
        </w:rPr>
        <w:lastRenderedPageBreak/>
        <w:t>ATTACHMENT</w:t>
      </w:r>
      <w:r w:rsidR="00591687" w:rsidRPr="00907977">
        <w:rPr>
          <w:rFonts w:cs="Times New Roman"/>
          <w:b/>
          <w:szCs w:val="24"/>
        </w:rPr>
        <w:t xml:space="preserve"> A</w:t>
      </w:r>
    </w:p>
    <w:p w14:paraId="17D6F0A4" w14:textId="0824B164" w:rsidR="00480990" w:rsidRPr="00907977" w:rsidRDefault="00595E73" w:rsidP="00C56FD6">
      <w:pPr>
        <w:spacing w:after="0" w:line="240" w:lineRule="auto"/>
        <w:rPr>
          <w:rFonts w:cs="Times New Roman"/>
          <w:b/>
          <w:i/>
          <w:szCs w:val="24"/>
        </w:rPr>
      </w:pPr>
      <w:r w:rsidRPr="00907977">
        <w:rPr>
          <w:rFonts w:cs="Times New Roman"/>
          <w:b/>
          <w:i/>
          <w:szCs w:val="24"/>
        </w:rPr>
        <w:t xml:space="preserve"> </w:t>
      </w:r>
    </w:p>
    <w:p w14:paraId="02B5ED00" w14:textId="77777777" w:rsidR="00FA5E10" w:rsidRPr="00907977" w:rsidRDefault="00FA5E10" w:rsidP="00C56FD6">
      <w:pPr>
        <w:spacing w:after="0" w:line="240" w:lineRule="auto"/>
        <w:rPr>
          <w:rFonts w:cs="Times New Roman"/>
          <w:b/>
          <w:i/>
          <w:szCs w:val="24"/>
        </w:rPr>
      </w:pPr>
    </w:p>
    <w:p w14:paraId="16CCC2CC" w14:textId="1F3A8473" w:rsidR="0066581F" w:rsidRPr="00907977" w:rsidRDefault="00964D64" w:rsidP="00C56FD6">
      <w:pPr>
        <w:spacing w:after="0" w:line="240" w:lineRule="auto"/>
        <w:rPr>
          <w:rFonts w:cs="Times New Roman"/>
          <w:b/>
          <w:i/>
          <w:szCs w:val="24"/>
        </w:rPr>
      </w:pPr>
      <w:r w:rsidRPr="00907977">
        <w:rPr>
          <w:rFonts w:cs="Times New Roman"/>
          <w:b/>
          <w:i/>
          <w:szCs w:val="24"/>
        </w:rPr>
        <w:t xml:space="preserve">Details of the </w:t>
      </w:r>
      <w:r w:rsidR="0066581F" w:rsidRPr="00907977">
        <w:rPr>
          <w:rFonts w:cs="Times New Roman"/>
          <w:b/>
          <w:i/>
          <w:szCs w:val="24"/>
        </w:rPr>
        <w:t>Health Insurance (Accredited Pathology Laboratories—Approval) Amendment (Relevant Standards) Principles (No.</w:t>
      </w:r>
      <w:r w:rsidR="00E4187A" w:rsidRPr="00907977">
        <w:rPr>
          <w:rFonts w:cs="Times New Roman"/>
          <w:b/>
          <w:i/>
          <w:szCs w:val="24"/>
        </w:rPr>
        <w:t>1</w:t>
      </w:r>
      <w:r w:rsidR="0066581F" w:rsidRPr="00907977">
        <w:rPr>
          <w:rFonts w:cs="Times New Roman"/>
          <w:b/>
          <w:i/>
          <w:szCs w:val="24"/>
        </w:rPr>
        <w:t>) 202</w:t>
      </w:r>
      <w:r w:rsidR="005D4005" w:rsidRPr="00907977">
        <w:rPr>
          <w:rFonts w:cs="Times New Roman"/>
          <w:b/>
          <w:i/>
          <w:szCs w:val="24"/>
        </w:rPr>
        <w:t>3</w:t>
      </w:r>
    </w:p>
    <w:p w14:paraId="4A9818FD" w14:textId="77777777" w:rsidR="00D605D3" w:rsidRPr="00907977" w:rsidRDefault="00D605D3" w:rsidP="00C56FD6">
      <w:pPr>
        <w:spacing w:after="0" w:line="240" w:lineRule="auto"/>
        <w:rPr>
          <w:rFonts w:cs="Times New Roman"/>
          <w:b/>
          <w:i/>
          <w:szCs w:val="24"/>
        </w:rPr>
      </w:pPr>
    </w:p>
    <w:p w14:paraId="39EC6BEB" w14:textId="77777777" w:rsidR="00492691" w:rsidRPr="00907977" w:rsidRDefault="00492691" w:rsidP="00492691">
      <w:pPr>
        <w:spacing w:after="0" w:line="240" w:lineRule="auto"/>
        <w:rPr>
          <w:b/>
        </w:rPr>
      </w:pPr>
      <w:r w:rsidRPr="00907977">
        <w:rPr>
          <w:b/>
        </w:rPr>
        <w:t>1.  Name of legislative instrument</w:t>
      </w:r>
    </w:p>
    <w:p w14:paraId="3DF4E067" w14:textId="77777777" w:rsidR="00492691" w:rsidRPr="00907977" w:rsidRDefault="00492691" w:rsidP="00492691">
      <w:pPr>
        <w:spacing w:after="0" w:line="240" w:lineRule="auto"/>
      </w:pPr>
    </w:p>
    <w:p w14:paraId="76519493" w14:textId="1EFAB691" w:rsidR="00492691" w:rsidRPr="00907977" w:rsidRDefault="00492691" w:rsidP="00492691">
      <w:pPr>
        <w:spacing w:after="0" w:line="240" w:lineRule="auto"/>
        <w:rPr>
          <w:i/>
        </w:rPr>
      </w:pPr>
      <w:r w:rsidRPr="00907977">
        <w:t xml:space="preserve">Section 1 provides that the title of the legislative instrument is the </w:t>
      </w:r>
      <w:r w:rsidR="0066581F" w:rsidRPr="00907977">
        <w:rPr>
          <w:bCs/>
          <w:i/>
        </w:rPr>
        <w:t>Health Insurance (Accredited Pathology Laboratories—Approval) Amendment (Relevant Standards) Principles (No.</w:t>
      </w:r>
      <w:r w:rsidR="009E1680" w:rsidRPr="00907977">
        <w:rPr>
          <w:bCs/>
          <w:i/>
        </w:rPr>
        <w:t>1</w:t>
      </w:r>
      <w:r w:rsidR="0066581F" w:rsidRPr="00907977">
        <w:rPr>
          <w:bCs/>
          <w:i/>
        </w:rPr>
        <w:t>) 202</w:t>
      </w:r>
      <w:r w:rsidR="005D4005" w:rsidRPr="00907977">
        <w:rPr>
          <w:bCs/>
          <w:i/>
        </w:rPr>
        <w:t>3</w:t>
      </w:r>
      <w:r w:rsidR="0066581F" w:rsidRPr="00907977">
        <w:rPr>
          <w:bCs/>
          <w:i/>
        </w:rPr>
        <w:t xml:space="preserve"> </w:t>
      </w:r>
      <w:r w:rsidRPr="00907977">
        <w:t>(the Amending Instrument)</w:t>
      </w:r>
      <w:r w:rsidRPr="00907977">
        <w:rPr>
          <w:i/>
        </w:rPr>
        <w:t>.</w:t>
      </w:r>
    </w:p>
    <w:p w14:paraId="32BDBE58" w14:textId="77777777" w:rsidR="00492691" w:rsidRPr="00907977" w:rsidRDefault="00492691" w:rsidP="00492691">
      <w:pPr>
        <w:spacing w:after="0" w:line="240" w:lineRule="auto"/>
        <w:rPr>
          <w:i/>
        </w:rPr>
      </w:pPr>
    </w:p>
    <w:p w14:paraId="343C0206" w14:textId="77777777" w:rsidR="00492691" w:rsidRPr="00907977" w:rsidRDefault="00492691" w:rsidP="00492691">
      <w:pPr>
        <w:spacing w:after="0" w:line="240" w:lineRule="auto"/>
        <w:rPr>
          <w:b/>
        </w:rPr>
      </w:pPr>
      <w:r w:rsidRPr="00907977">
        <w:rPr>
          <w:b/>
        </w:rPr>
        <w:t>2.  Commencement</w:t>
      </w:r>
    </w:p>
    <w:p w14:paraId="7D2661AA" w14:textId="77777777" w:rsidR="00492691" w:rsidRPr="00907977" w:rsidRDefault="00492691" w:rsidP="00492691">
      <w:pPr>
        <w:spacing w:after="0" w:line="240" w:lineRule="auto"/>
      </w:pPr>
    </w:p>
    <w:p w14:paraId="24769D69" w14:textId="0B645AC4" w:rsidR="00492691" w:rsidRPr="00907977" w:rsidRDefault="00492691" w:rsidP="00197866">
      <w:pPr>
        <w:spacing w:after="0" w:line="240" w:lineRule="auto"/>
      </w:pPr>
      <w:r w:rsidRPr="00907977">
        <w:t xml:space="preserve">Subsection 2(1) provides </w:t>
      </w:r>
      <w:r w:rsidR="00E4187A" w:rsidRPr="00907977">
        <w:t xml:space="preserve">that </w:t>
      </w:r>
      <w:r w:rsidR="00AF428B" w:rsidRPr="00907977">
        <w:t>the</w:t>
      </w:r>
      <w:r w:rsidR="00E4187A" w:rsidRPr="00907977">
        <w:t xml:space="preserve"> Amending Instrument</w:t>
      </w:r>
      <w:r w:rsidRPr="00907977">
        <w:t xml:space="preserve"> commence</w:t>
      </w:r>
      <w:r w:rsidR="00E4187A" w:rsidRPr="00907977">
        <w:t>s</w:t>
      </w:r>
      <w:r w:rsidRPr="00907977">
        <w:t xml:space="preserve"> </w:t>
      </w:r>
      <w:r w:rsidR="00193E60" w:rsidRPr="00907977">
        <w:t xml:space="preserve">on </w:t>
      </w:r>
      <w:r w:rsidR="005D4005" w:rsidRPr="00907977">
        <w:t xml:space="preserve"> 1 March 2023</w:t>
      </w:r>
      <w:r w:rsidR="00AF428B" w:rsidRPr="00907977">
        <w:t xml:space="preserve">. </w:t>
      </w:r>
    </w:p>
    <w:p w14:paraId="1204D9B1" w14:textId="77777777" w:rsidR="00FA5E10" w:rsidRPr="00907977" w:rsidRDefault="00FA5E10" w:rsidP="00492691">
      <w:pPr>
        <w:spacing w:after="0" w:line="240" w:lineRule="auto"/>
        <w:rPr>
          <w:b/>
        </w:rPr>
      </w:pPr>
    </w:p>
    <w:p w14:paraId="758193AB" w14:textId="77777777" w:rsidR="00492691" w:rsidRPr="00907977" w:rsidRDefault="00492691" w:rsidP="00492691">
      <w:pPr>
        <w:spacing w:after="0" w:line="240" w:lineRule="auto"/>
        <w:rPr>
          <w:b/>
        </w:rPr>
      </w:pPr>
      <w:r w:rsidRPr="00907977">
        <w:rPr>
          <w:b/>
        </w:rPr>
        <w:t>3.  Authority</w:t>
      </w:r>
    </w:p>
    <w:p w14:paraId="070AEEC0" w14:textId="77777777" w:rsidR="00492691" w:rsidRPr="00907977" w:rsidRDefault="00492691" w:rsidP="00492691">
      <w:pPr>
        <w:spacing w:after="0" w:line="240" w:lineRule="auto"/>
      </w:pPr>
    </w:p>
    <w:p w14:paraId="4975F751" w14:textId="164C0C51" w:rsidR="00492691" w:rsidRPr="00907977" w:rsidRDefault="00492691" w:rsidP="00492691">
      <w:pPr>
        <w:spacing w:after="0" w:line="240" w:lineRule="auto"/>
      </w:pPr>
      <w:r w:rsidRPr="00907977">
        <w:t xml:space="preserve">Section 3 provides for the authority for the </w:t>
      </w:r>
      <w:r w:rsidR="0000652F" w:rsidRPr="00907977">
        <w:t xml:space="preserve">Amending </w:t>
      </w:r>
      <w:r w:rsidRPr="00907977">
        <w:t xml:space="preserve">Instrument and that it is made under subsection 23DNA(1) of the </w:t>
      </w:r>
      <w:r w:rsidRPr="00907977">
        <w:rPr>
          <w:i/>
        </w:rPr>
        <w:t xml:space="preserve">Health Insurance Act 1973 </w:t>
      </w:r>
      <w:r w:rsidRPr="00907977">
        <w:t>(the Act).</w:t>
      </w:r>
    </w:p>
    <w:p w14:paraId="4D9DC7C6" w14:textId="77777777" w:rsidR="00492691" w:rsidRPr="00907977" w:rsidRDefault="00492691" w:rsidP="00492691">
      <w:pPr>
        <w:spacing w:after="0" w:line="240" w:lineRule="auto"/>
      </w:pPr>
    </w:p>
    <w:p w14:paraId="3905DF9B" w14:textId="77777777" w:rsidR="00492691" w:rsidRPr="00907977" w:rsidRDefault="00492691" w:rsidP="00492691">
      <w:pPr>
        <w:spacing w:after="0" w:line="240" w:lineRule="auto"/>
      </w:pPr>
      <w:r w:rsidRPr="00907977">
        <w:t xml:space="preserve">Subsection 33(3) of the </w:t>
      </w:r>
      <w:r w:rsidRPr="00907977">
        <w:rPr>
          <w:i/>
        </w:rPr>
        <w:t xml:space="preserve">Acts Interpretation Act 1901 </w:t>
      </w:r>
      <w:r w:rsidRPr="0090797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907977">
        <w:br/>
      </w:r>
    </w:p>
    <w:p w14:paraId="31600DA2" w14:textId="023D947C" w:rsidR="00492691" w:rsidRPr="00907977" w:rsidRDefault="00492691" w:rsidP="00492691">
      <w:pPr>
        <w:spacing w:after="0" w:line="240" w:lineRule="auto"/>
        <w:rPr>
          <w:b/>
        </w:rPr>
      </w:pPr>
      <w:r w:rsidRPr="00907977">
        <w:rPr>
          <w:b/>
        </w:rPr>
        <w:t>4.  Schedule</w:t>
      </w:r>
      <w:r w:rsidR="00EB4FC8" w:rsidRPr="00907977">
        <w:rPr>
          <w:b/>
        </w:rPr>
        <w:t>s</w:t>
      </w:r>
    </w:p>
    <w:p w14:paraId="4CF7CEE7" w14:textId="77777777" w:rsidR="00492691" w:rsidRPr="00907977" w:rsidRDefault="00492691" w:rsidP="00492691">
      <w:pPr>
        <w:spacing w:after="0" w:line="240" w:lineRule="auto"/>
      </w:pPr>
    </w:p>
    <w:p w14:paraId="59C93F98" w14:textId="2D04EC59" w:rsidR="00492691" w:rsidRPr="00907977" w:rsidRDefault="00492691" w:rsidP="00492691">
      <w:pPr>
        <w:spacing w:after="0" w:line="240" w:lineRule="auto"/>
      </w:pPr>
      <w:r w:rsidRPr="00907977">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8999598" w14:textId="77777777" w:rsidR="00492691" w:rsidRPr="00907977" w:rsidRDefault="00492691" w:rsidP="00492691">
      <w:pPr>
        <w:spacing w:after="0" w:line="240" w:lineRule="auto"/>
      </w:pPr>
    </w:p>
    <w:p w14:paraId="570CA6DC" w14:textId="6939C2F7" w:rsidR="00492691" w:rsidRPr="00907977" w:rsidRDefault="00492691" w:rsidP="00492691">
      <w:pPr>
        <w:spacing w:after="0" w:line="240" w:lineRule="auto"/>
        <w:rPr>
          <w:iCs/>
        </w:rPr>
      </w:pPr>
      <w:r w:rsidRPr="00907977">
        <w:t xml:space="preserve">There is one Schedule in the instrument. This Schedule provides for the amendments to the </w:t>
      </w:r>
      <w:r w:rsidR="00CE7212" w:rsidRPr="00907977">
        <w:rPr>
          <w:i/>
        </w:rPr>
        <w:t xml:space="preserve">Health Insurance (Accredited Pathology Laboratories – Approval) Principles 2017 </w:t>
      </w:r>
      <w:r w:rsidR="00CE7212" w:rsidRPr="00907977">
        <w:rPr>
          <w:iCs/>
        </w:rPr>
        <w:t>(the Principles)</w:t>
      </w:r>
      <w:r w:rsidRPr="00907977">
        <w:rPr>
          <w:iCs/>
        </w:rPr>
        <w:t xml:space="preserve"> commencing on </w:t>
      </w:r>
      <w:r w:rsidR="00CE7212" w:rsidRPr="00907977">
        <w:rPr>
          <w:iCs/>
        </w:rPr>
        <w:t>1 March 2023</w:t>
      </w:r>
      <w:r w:rsidRPr="00907977">
        <w:rPr>
          <w:iCs/>
        </w:rPr>
        <w:t>.</w:t>
      </w:r>
    </w:p>
    <w:p w14:paraId="1B6A1A12" w14:textId="77777777" w:rsidR="00492691" w:rsidRPr="00907977" w:rsidRDefault="00492691" w:rsidP="00492691">
      <w:pPr>
        <w:spacing w:after="0" w:line="240" w:lineRule="auto"/>
      </w:pPr>
    </w:p>
    <w:p w14:paraId="7A300449" w14:textId="631D20B2" w:rsidR="00492691" w:rsidRPr="00907977" w:rsidRDefault="00492691" w:rsidP="00492691">
      <w:pPr>
        <w:spacing w:after="0" w:line="240" w:lineRule="auto"/>
      </w:pPr>
      <w:r w:rsidRPr="00907977">
        <w:rPr>
          <w:b/>
        </w:rPr>
        <w:t>Schedule 1</w:t>
      </w:r>
    </w:p>
    <w:p w14:paraId="1F216300" w14:textId="77777777" w:rsidR="00492691" w:rsidRPr="00907977" w:rsidRDefault="00492691" w:rsidP="00492691">
      <w:pPr>
        <w:spacing w:after="0" w:line="240" w:lineRule="auto"/>
        <w:rPr>
          <w:i/>
        </w:rPr>
      </w:pPr>
    </w:p>
    <w:p w14:paraId="5EDFC1DA" w14:textId="68D35C4D" w:rsidR="00492691" w:rsidRPr="00907977" w:rsidRDefault="00492691" w:rsidP="00492691">
      <w:pPr>
        <w:spacing w:after="0" w:line="240" w:lineRule="auto"/>
        <w:rPr>
          <w:i/>
        </w:rPr>
      </w:pPr>
      <w:r w:rsidRPr="00907977">
        <w:rPr>
          <w:i/>
        </w:rPr>
        <w:t>Health Insurance (Accredited Pathology Laboratories – Approval) Principles 2017</w:t>
      </w:r>
      <w:r w:rsidR="00A8792D" w:rsidRPr="00907977">
        <w:rPr>
          <w:i/>
        </w:rPr>
        <w:t>.</w:t>
      </w:r>
      <w:r w:rsidRPr="00907977">
        <w:rPr>
          <w:i/>
        </w:rPr>
        <w:t xml:space="preserve"> </w:t>
      </w:r>
    </w:p>
    <w:p w14:paraId="491CB3A4" w14:textId="77777777" w:rsidR="00492691" w:rsidRPr="00907977" w:rsidRDefault="00492691" w:rsidP="00492691">
      <w:pPr>
        <w:spacing w:after="0" w:line="240" w:lineRule="auto"/>
      </w:pPr>
    </w:p>
    <w:p w14:paraId="6D24868C" w14:textId="77777777" w:rsidR="00492691" w:rsidRPr="00907977" w:rsidRDefault="00492691" w:rsidP="00492691">
      <w:pPr>
        <w:spacing w:after="0" w:line="240" w:lineRule="auto"/>
        <w:rPr>
          <w:b/>
        </w:rPr>
      </w:pPr>
      <w:r w:rsidRPr="00907977">
        <w:rPr>
          <w:b/>
        </w:rPr>
        <w:t>Item 1</w:t>
      </w:r>
    </w:p>
    <w:p w14:paraId="2D4A9F3F" w14:textId="77777777" w:rsidR="00492691" w:rsidRPr="00907977" w:rsidRDefault="00492691" w:rsidP="00492691">
      <w:pPr>
        <w:spacing w:after="0" w:line="240" w:lineRule="auto"/>
        <w:rPr>
          <w:b/>
        </w:rPr>
      </w:pPr>
    </w:p>
    <w:p w14:paraId="3DA00728" w14:textId="317F946A" w:rsidR="00CE7212" w:rsidRPr="00907977" w:rsidRDefault="00492691" w:rsidP="00AE4BE2">
      <w:pPr>
        <w:autoSpaceDE w:val="0"/>
        <w:autoSpaceDN w:val="0"/>
        <w:adjustRightInd w:val="0"/>
        <w:spacing w:line="240" w:lineRule="auto"/>
      </w:pPr>
      <w:r w:rsidRPr="00907977">
        <w:t xml:space="preserve">Item 1 repeals the </w:t>
      </w:r>
      <w:r w:rsidR="00DC2548" w:rsidRPr="00907977">
        <w:t xml:space="preserve">accreditation </w:t>
      </w:r>
      <w:r w:rsidRPr="00907977">
        <w:t xml:space="preserve">standard listed in Item </w:t>
      </w:r>
      <w:r w:rsidR="00CE7212" w:rsidRPr="00907977">
        <w:t xml:space="preserve">3 </w:t>
      </w:r>
      <w:r w:rsidRPr="00907977">
        <w:t xml:space="preserve">of the </w:t>
      </w:r>
      <w:r w:rsidR="00E4187A" w:rsidRPr="00907977">
        <w:t>t</w:t>
      </w:r>
      <w:r w:rsidRPr="00907977">
        <w:t xml:space="preserve">able </w:t>
      </w:r>
      <w:r w:rsidR="00E4187A" w:rsidRPr="00907977">
        <w:t>in Schedule</w:t>
      </w:r>
      <w:r w:rsidR="00CE7212" w:rsidRPr="00907977">
        <w:t> </w:t>
      </w:r>
      <w:r w:rsidR="00E4187A" w:rsidRPr="00907977">
        <w:t xml:space="preserve">1 of the Principles </w:t>
      </w:r>
      <w:r w:rsidRPr="00907977">
        <w:t xml:space="preserve">and substitute </w:t>
      </w:r>
      <w:r w:rsidR="00D956EC" w:rsidRPr="00907977">
        <w:t xml:space="preserve">it </w:t>
      </w:r>
      <w:r w:rsidR="00CE7212" w:rsidRPr="00907977">
        <w:t xml:space="preserve">with the </w:t>
      </w:r>
      <w:r w:rsidR="00AE4BE2" w:rsidRPr="00907977">
        <w:t xml:space="preserve">revised standard titled </w:t>
      </w:r>
      <w:r w:rsidR="00B91DEB" w:rsidRPr="00907977">
        <w:t>“</w:t>
      </w:r>
      <w:r w:rsidR="00CE7212" w:rsidRPr="00907977">
        <w:rPr>
          <w:i/>
          <w:iCs/>
          <w:szCs w:val="20"/>
        </w:rPr>
        <w:t>Requirements for Medical Testing for Human Genetic Variation (Third Edition</w:t>
      </w:r>
      <w:r w:rsidR="000E61CB" w:rsidRPr="00907977">
        <w:rPr>
          <w:i/>
          <w:iCs/>
          <w:szCs w:val="20"/>
        </w:rPr>
        <w:t xml:space="preserve"> 2022</w:t>
      </w:r>
      <w:r w:rsidR="00CE7212" w:rsidRPr="00907977">
        <w:rPr>
          <w:i/>
          <w:iCs/>
          <w:szCs w:val="20"/>
        </w:rPr>
        <w:t>).</w:t>
      </w:r>
      <w:r w:rsidR="00B91DEB" w:rsidRPr="00907977">
        <w:rPr>
          <w:i/>
          <w:iCs/>
          <w:szCs w:val="20"/>
        </w:rPr>
        <w:t>”</w:t>
      </w:r>
      <w:r w:rsidR="00CE7212" w:rsidRPr="00907977">
        <w:rPr>
          <w:i/>
          <w:iCs/>
          <w:szCs w:val="20"/>
        </w:rPr>
        <w:t xml:space="preserve"> </w:t>
      </w:r>
    </w:p>
    <w:p w14:paraId="21DD6903" w14:textId="77777777" w:rsidR="00093B9B" w:rsidRPr="00907977" w:rsidRDefault="00093B9B" w:rsidP="00492691">
      <w:pPr>
        <w:spacing w:after="0" w:line="240" w:lineRule="auto"/>
        <w:rPr>
          <w:b/>
          <w:bCs/>
          <w:iCs/>
        </w:rPr>
      </w:pPr>
      <w:bookmarkStart w:id="4" w:name="_Hlk98929616"/>
    </w:p>
    <w:p w14:paraId="4879595F" w14:textId="77777777" w:rsidR="00093B9B" w:rsidRPr="00907977" w:rsidRDefault="00093B9B" w:rsidP="00492691">
      <w:pPr>
        <w:spacing w:after="0" w:line="240" w:lineRule="auto"/>
        <w:rPr>
          <w:b/>
          <w:bCs/>
          <w:iCs/>
        </w:rPr>
      </w:pPr>
    </w:p>
    <w:p w14:paraId="5E84899D" w14:textId="77777777" w:rsidR="00093B9B" w:rsidRPr="00907977" w:rsidRDefault="00093B9B" w:rsidP="00492691">
      <w:pPr>
        <w:spacing w:after="0" w:line="240" w:lineRule="auto"/>
        <w:rPr>
          <w:b/>
          <w:bCs/>
          <w:iCs/>
        </w:rPr>
      </w:pPr>
    </w:p>
    <w:p w14:paraId="28E19A1C" w14:textId="77777777" w:rsidR="00093B9B" w:rsidRPr="00907977" w:rsidRDefault="00093B9B" w:rsidP="00492691">
      <w:pPr>
        <w:spacing w:after="0" w:line="240" w:lineRule="auto"/>
        <w:rPr>
          <w:b/>
          <w:bCs/>
          <w:iCs/>
        </w:rPr>
      </w:pPr>
    </w:p>
    <w:p w14:paraId="7CC32779" w14:textId="1DA04772" w:rsidR="005146D7" w:rsidRPr="00907977" w:rsidRDefault="005146D7" w:rsidP="00492691">
      <w:pPr>
        <w:spacing w:after="0" w:line="240" w:lineRule="auto"/>
        <w:rPr>
          <w:b/>
          <w:bCs/>
          <w:iCs/>
        </w:rPr>
      </w:pPr>
      <w:r w:rsidRPr="00907977">
        <w:rPr>
          <w:b/>
          <w:bCs/>
          <w:iCs/>
        </w:rPr>
        <w:lastRenderedPageBreak/>
        <w:t>Item 2</w:t>
      </w:r>
    </w:p>
    <w:p w14:paraId="14A5588F" w14:textId="3C7769CE" w:rsidR="005146D7" w:rsidRPr="00907977" w:rsidRDefault="005146D7" w:rsidP="00492691">
      <w:pPr>
        <w:spacing w:after="0" w:line="240" w:lineRule="auto"/>
        <w:rPr>
          <w:iCs/>
        </w:rPr>
      </w:pPr>
    </w:p>
    <w:bookmarkEnd w:id="4"/>
    <w:p w14:paraId="6CCC992F" w14:textId="64C8425F" w:rsidR="00AE4BE2" w:rsidRPr="00907977" w:rsidRDefault="00455775" w:rsidP="00FA5E10">
      <w:pPr>
        <w:spacing w:line="240" w:lineRule="auto"/>
        <w:rPr>
          <w:i/>
          <w:iCs/>
          <w:szCs w:val="20"/>
        </w:rPr>
      </w:pPr>
      <w:r w:rsidRPr="00907977">
        <w:t xml:space="preserve">Item 2 repeals </w:t>
      </w:r>
      <w:r w:rsidR="00AE4BE2" w:rsidRPr="00907977">
        <w:t xml:space="preserve">the accreditation standard listed in Item 4 of the table in Schedule 1 of the Principles and substitutes it with the revised standard titled </w:t>
      </w:r>
      <w:r w:rsidR="00B91DEB" w:rsidRPr="00907977">
        <w:t>“</w:t>
      </w:r>
      <w:r w:rsidR="00AE4BE2" w:rsidRPr="00907977">
        <w:rPr>
          <w:i/>
          <w:iCs/>
          <w:szCs w:val="20"/>
        </w:rPr>
        <w:t>Requirements for Information Communication and Reporting (Fifth Edition</w:t>
      </w:r>
      <w:r w:rsidR="000E61CB" w:rsidRPr="00907977">
        <w:rPr>
          <w:i/>
          <w:iCs/>
          <w:szCs w:val="20"/>
        </w:rPr>
        <w:t xml:space="preserve"> 2022</w:t>
      </w:r>
      <w:r w:rsidR="00AE4BE2" w:rsidRPr="00907977">
        <w:rPr>
          <w:i/>
          <w:iCs/>
          <w:szCs w:val="20"/>
        </w:rPr>
        <w:t>)</w:t>
      </w:r>
      <w:r w:rsidR="00B91DEB" w:rsidRPr="00907977">
        <w:rPr>
          <w:i/>
          <w:iCs/>
          <w:szCs w:val="20"/>
        </w:rPr>
        <w:t>.”</w:t>
      </w:r>
    </w:p>
    <w:p w14:paraId="21DD2283" w14:textId="77777777" w:rsidR="00D956EC" w:rsidRPr="00907977" w:rsidRDefault="00D956EC" w:rsidP="00D956EC">
      <w:pPr>
        <w:spacing w:after="0" w:line="240" w:lineRule="auto"/>
        <w:rPr>
          <w:b/>
          <w:bCs/>
          <w:iCs/>
        </w:rPr>
      </w:pPr>
      <w:r w:rsidRPr="00907977">
        <w:rPr>
          <w:b/>
          <w:bCs/>
          <w:iCs/>
        </w:rPr>
        <w:t>Item 3</w:t>
      </w:r>
    </w:p>
    <w:p w14:paraId="3B81CDF0" w14:textId="77777777" w:rsidR="00D956EC" w:rsidRPr="00907977" w:rsidRDefault="00D956EC" w:rsidP="00D956EC">
      <w:pPr>
        <w:spacing w:after="0" w:line="240" w:lineRule="auto"/>
        <w:rPr>
          <w:iCs/>
        </w:rPr>
      </w:pPr>
    </w:p>
    <w:p w14:paraId="6D639F24" w14:textId="1744DF2E" w:rsidR="00D956EC" w:rsidRPr="00907977" w:rsidRDefault="00D956EC" w:rsidP="00D956EC">
      <w:pPr>
        <w:spacing w:after="0" w:line="240" w:lineRule="auto"/>
      </w:pPr>
      <w:r w:rsidRPr="00907977">
        <w:t xml:space="preserve">Item 3 repeals the accreditation standard listed in Item 6 of the table in Schedule 1 of the Principles. </w:t>
      </w:r>
    </w:p>
    <w:p w14:paraId="364F028C" w14:textId="77777777" w:rsidR="00D956EC" w:rsidRPr="00907977" w:rsidRDefault="00D956EC" w:rsidP="00D956EC">
      <w:pPr>
        <w:spacing w:after="0" w:line="240" w:lineRule="auto"/>
        <w:rPr>
          <w:b/>
          <w:bCs/>
          <w:iCs/>
        </w:rPr>
      </w:pPr>
    </w:p>
    <w:p w14:paraId="0B303A67" w14:textId="066D7F60" w:rsidR="00AE4BE2" w:rsidRPr="00907977" w:rsidRDefault="00AE4BE2" w:rsidP="00B91DEB">
      <w:pPr>
        <w:spacing w:after="0" w:line="240" w:lineRule="auto"/>
        <w:rPr>
          <w:b/>
          <w:bCs/>
          <w:iCs/>
        </w:rPr>
      </w:pPr>
      <w:r w:rsidRPr="00907977">
        <w:rPr>
          <w:b/>
          <w:bCs/>
          <w:iCs/>
        </w:rPr>
        <w:t xml:space="preserve">Item </w:t>
      </w:r>
      <w:r w:rsidR="00D956EC" w:rsidRPr="00907977">
        <w:rPr>
          <w:b/>
          <w:bCs/>
          <w:iCs/>
        </w:rPr>
        <w:t>4</w:t>
      </w:r>
    </w:p>
    <w:p w14:paraId="5B32D88C" w14:textId="77777777" w:rsidR="00B91DEB" w:rsidRPr="00907977" w:rsidRDefault="00B91DEB" w:rsidP="00B91DEB">
      <w:pPr>
        <w:spacing w:after="0" w:line="240" w:lineRule="auto"/>
        <w:rPr>
          <w:iCs/>
        </w:rPr>
      </w:pPr>
    </w:p>
    <w:p w14:paraId="29DD5029" w14:textId="31BC49B0" w:rsidR="00AE4BE2" w:rsidRPr="00907977" w:rsidRDefault="00AE4BE2" w:rsidP="00FA5E10">
      <w:pPr>
        <w:spacing w:line="240" w:lineRule="auto"/>
        <w:rPr>
          <w:i/>
          <w:iCs/>
        </w:rPr>
      </w:pPr>
      <w:r w:rsidRPr="00907977">
        <w:t xml:space="preserve">Item </w:t>
      </w:r>
      <w:r w:rsidR="00D956EC" w:rsidRPr="00907977">
        <w:t>4</w:t>
      </w:r>
      <w:r w:rsidRPr="00907977">
        <w:t xml:space="preserve"> repeals the accreditation standard listed in Item 9 of the table in Schedule 1 of the Principles and substitutes it with the revised standard titled </w:t>
      </w:r>
      <w:r w:rsidRPr="00907977">
        <w:rPr>
          <w:i/>
          <w:iCs/>
        </w:rPr>
        <w:t>“Requirements for</w:t>
      </w:r>
      <w:r w:rsidR="00593980" w:rsidRPr="00907977">
        <w:rPr>
          <w:i/>
          <w:iCs/>
        </w:rPr>
        <w:t xml:space="preserve"> the</w:t>
      </w:r>
      <w:r w:rsidRPr="00907977">
        <w:rPr>
          <w:i/>
          <w:iCs/>
        </w:rPr>
        <w:t xml:space="preserve"> </w:t>
      </w:r>
      <w:r w:rsidR="00B91DEB" w:rsidRPr="00907977">
        <w:rPr>
          <w:i/>
          <w:iCs/>
        </w:rPr>
        <w:t xml:space="preserve">Packaging and Transport of Pathology Specimens and </w:t>
      </w:r>
      <w:r w:rsidR="00CE0781" w:rsidRPr="00907977">
        <w:rPr>
          <w:i/>
          <w:iCs/>
        </w:rPr>
        <w:t>A</w:t>
      </w:r>
      <w:r w:rsidR="00B91DEB" w:rsidRPr="00907977">
        <w:rPr>
          <w:i/>
          <w:iCs/>
        </w:rPr>
        <w:t>ssociated Materials (Fifth Edition</w:t>
      </w:r>
      <w:r w:rsidR="000E61CB" w:rsidRPr="00907977">
        <w:rPr>
          <w:i/>
          <w:iCs/>
        </w:rPr>
        <w:t xml:space="preserve"> 2022</w:t>
      </w:r>
      <w:r w:rsidR="00B91DEB" w:rsidRPr="00907977">
        <w:rPr>
          <w:i/>
          <w:iCs/>
        </w:rPr>
        <w:t>).”</w:t>
      </w:r>
    </w:p>
    <w:p w14:paraId="4D031FA4" w14:textId="1F63A72D" w:rsidR="00AE4BE2" w:rsidRPr="00907977" w:rsidRDefault="00B91DEB" w:rsidP="00B91DEB">
      <w:pPr>
        <w:spacing w:after="0" w:line="240" w:lineRule="auto"/>
        <w:rPr>
          <w:b/>
          <w:bCs/>
          <w:iCs/>
        </w:rPr>
      </w:pPr>
      <w:r w:rsidRPr="00907977">
        <w:rPr>
          <w:b/>
          <w:bCs/>
          <w:iCs/>
        </w:rPr>
        <w:t xml:space="preserve">Item </w:t>
      </w:r>
      <w:r w:rsidR="00D956EC" w:rsidRPr="00907977">
        <w:rPr>
          <w:b/>
          <w:bCs/>
          <w:iCs/>
        </w:rPr>
        <w:t>5</w:t>
      </w:r>
    </w:p>
    <w:p w14:paraId="111838ED" w14:textId="77777777" w:rsidR="00B91DEB" w:rsidRPr="00907977" w:rsidRDefault="00B91DEB" w:rsidP="00B91DEB">
      <w:pPr>
        <w:spacing w:after="0" w:line="240" w:lineRule="auto"/>
        <w:rPr>
          <w:b/>
          <w:bCs/>
          <w:iCs/>
        </w:rPr>
      </w:pPr>
    </w:p>
    <w:p w14:paraId="6489F6C3" w14:textId="4D1132B4" w:rsidR="00B91DEB" w:rsidRPr="00907977" w:rsidRDefault="00B91DEB" w:rsidP="00FA5E10">
      <w:pPr>
        <w:spacing w:line="240" w:lineRule="auto"/>
        <w:rPr>
          <w:i/>
          <w:iCs/>
          <w:szCs w:val="20"/>
        </w:rPr>
      </w:pPr>
      <w:r w:rsidRPr="00907977">
        <w:rPr>
          <w:szCs w:val="20"/>
        </w:rPr>
        <w:t xml:space="preserve">Item </w:t>
      </w:r>
      <w:r w:rsidR="00D956EC" w:rsidRPr="00907977">
        <w:rPr>
          <w:szCs w:val="20"/>
        </w:rPr>
        <w:t>5</w:t>
      </w:r>
      <w:r w:rsidRPr="00907977">
        <w:rPr>
          <w:szCs w:val="20"/>
        </w:rPr>
        <w:t xml:space="preserve"> </w:t>
      </w:r>
      <w:r w:rsidR="00C35386" w:rsidRPr="00907977">
        <w:rPr>
          <w:szCs w:val="20"/>
        </w:rPr>
        <w:t xml:space="preserve">repeals the accreditation standard listed in Item 16 of the table in Schedule 1 of the Principles and substitutes it with the revised pathology accreditation standard </w:t>
      </w:r>
      <w:r w:rsidR="00C35386" w:rsidRPr="00907977">
        <w:rPr>
          <w:i/>
          <w:iCs/>
          <w:szCs w:val="20"/>
        </w:rPr>
        <w:t>“Requirements for Transfusion Laboratory Practice (Fifth Edition</w:t>
      </w:r>
      <w:r w:rsidR="000E61CB" w:rsidRPr="00907977">
        <w:rPr>
          <w:i/>
          <w:iCs/>
          <w:szCs w:val="20"/>
        </w:rPr>
        <w:t xml:space="preserve"> 2022</w:t>
      </w:r>
      <w:r w:rsidR="00C35386" w:rsidRPr="00907977">
        <w:rPr>
          <w:i/>
          <w:iCs/>
          <w:szCs w:val="20"/>
        </w:rPr>
        <w:t>).”</w:t>
      </w:r>
    </w:p>
    <w:p w14:paraId="68E87675" w14:textId="27D2F690" w:rsidR="00CE0781" w:rsidRPr="00907977" w:rsidRDefault="00CE0781" w:rsidP="00CE0781">
      <w:pPr>
        <w:spacing w:after="0" w:line="240" w:lineRule="auto"/>
        <w:rPr>
          <w:b/>
          <w:bCs/>
          <w:iCs/>
        </w:rPr>
      </w:pPr>
      <w:r w:rsidRPr="00907977">
        <w:rPr>
          <w:b/>
          <w:bCs/>
          <w:iCs/>
        </w:rPr>
        <w:t>Item</w:t>
      </w:r>
      <w:r w:rsidR="005C57C6" w:rsidRPr="00907977">
        <w:rPr>
          <w:b/>
          <w:bCs/>
          <w:iCs/>
        </w:rPr>
        <w:t xml:space="preserve"> </w:t>
      </w:r>
      <w:r w:rsidR="00D956EC" w:rsidRPr="00907977">
        <w:rPr>
          <w:b/>
          <w:bCs/>
          <w:iCs/>
        </w:rPr>
        <w:t>6</w:t>
      </w:r>
    </w:p>
    <w:p w14:paraId="198342A5" w14:textId="77777777" w:rsidR="00CE0781" w:rsidRPr="00907977" w:rsidRDefault="00CE0781" w:rsidP="00CE0781">
      <w:pPr>
        <w:spacing w:after="0" w:line="240" w:lineRule="auto"/>
        <w:rPr>
          <w:b/>
          <w:bCs/>
          <w:iCs/>
        </w:rPr>
      </w:pPr>
    </w:p>
    <w:p w14:paraId="40B08459" w14:textId="469DE543" w:rsidR="00C35386" w:rsidRPr="00907977" w:rsidRDefault="00CE0781" w:rsidP="00C35386">
      <w:pPr>
        <w:spacing w:line="240" w:lineRule="auto"/>
        <w:rPr>
          <w:i/>
          <w:iCs/>
          <w:szCs w:val="20"/>
        </w:rPr>
      </w:pPr>
      <w:r w:rsidRPr="00907977">
        <w:rPr>
          <w:szCs w:val="20"/>
        </w:rPr>
        <w:t xml:space="preserve">Item </w:t>
      </w:r>
      <w:r w:rsidR="00D956EC" w:rsidRPr="00907977">
        <w:rPr>
          <w:szCs w:val="20"/>
        </w:rPr>
        <w:t>6</w:t>
      </w:r>
      <w:r w:rsidR="0048295F" w:rsidRPr="00907977">
        <w:rPr>
          <w:szCs w:val="20"/>
        </w:rPr>
        <w:t xml:space="preserve"> </w:t>
      </w:r>
      <w:r w:rsidR="001952DE" w:rsidRPr="00907977">
        <w:rPr>
          <w:szCs w:val="20"/>
        </w:rPr>
        <w:t>repeals and substitutes the item in order to</w:t>
      </w:r>
      <w:r w:rsidRPr="00907977">
        <w:rPr>
          <w:i/>
          <w:iCs/>
          <w:szCs w:val="20"/>
        </w:rPr>
        <w:t xml:space="preserve"> </w:t>
      </w:r>
      <w:r w:rsidR="00C35386" w:rsidRPr="00907977">
        <w:rPr>
          <w:szCs w:val="20"/>
        </w:rPr>
        <w:t>amend the title of the accreditation standard listed in Item 20 of the table in Schedule 1 of the Principles to “</w:t>
      </w:r>
      <w:r w:rsidR="00C35386" w:rsidRPr="00907977">
        <w:rPr>
          <w:i/>
          <w:iCs/>
          <w:szCs w:val="20"/>
        </w:rPr>
        <w:t xml:space="preserve">Requirements for the Development and Use of In-Vitro Diagnostic Medical Devices (Fourth Edition 2018).” </w:t>
      </w:r>
      <w:r w:rsidR="00C35386" w:rsidRPr="00907977">
        <w:rPr>
          <w:szCs w:val="20"/>
        </w:rPr>
        <w:t>This</w:t>
      </w:r>
      <w:r w:rsidR="00174CED" w:rsidRPr="00907977">
        <w:rPr>
          <w:szCs w:val="20"/>
        </w:rPr>
        <w:t xml:space="preserve"> </w:t>
      </w:r>
      <w:r w:rsidR="008B6B87" w:rsidRPr="00907977">
        <w:rPr>
          <w:szCs w:val="20"/>
        </w:rPr>
        <w:t>rectifies</w:t>
      </w:r>
      <w:r w:rsidR="001952DE" w:rsidRPr="00907977">
        <w:rPr>
          <w:szCs w:val="20"/>
        </w:rPr>
        <w:t xml:space="preserve"> </w:t>
      </w:r>
      <w:r w:rsidR="008B6B87" w:rsidRPr="00907977">
        <w:rPr>
          <w:szCs w:val="20"/>
        </w:rPr>
        <w:t>previous typographical error</w:t>
      </w:r>
      <w:r w:rsidR="001952DE" w:rsidRPr="00907977">
        <w:rPr>
          <w:szCs w:val="20"/>
        </w:rPr>
        <w:t>s</w:t>
      </w:r>
      <w:r w:rsidR="008B6B87" w:rsidRPr="00907977">
        <w:rPr>
          <w:szCs w:val="20"/>
        </w:rPr>
        <w:t xml:space="preserve"> in the name of the </w:t>
      </w:r>
      <w:r w:rsidR="001952DE" w:rsidRPr="00907977">
        <w:rPr>
          <w:szCs w:val="20"/>
        </w:rPr>
        <w:t xml:space="preserve">accreditation </w:t>
      </w:r>
      <w:r w:rsidR="008B6B87" w:rsidRPr="00907977">
        <w:rPr>
          <w:szCs w:val="20"/>
        </w:rPr>
        <w:t>standard.</w:t>
      </w:r>
    </w:p>
    <w:p w14:paraId="5483B85C" w14:textId="32710A17" w:rsidR="00CE0781" w:rsidRPr="00907977" w:rsidRDefault="00C35386" w:rsidP="00C35386">
      <w:pPr>
        <w:spacing w:after="0" w:line="240" w:lineRule="auto"/>
        <w:rPr>
          <w:b/>
          <w:bCs/>
          <w:iCs/>
        </w:rPr>
      </w:pPr>
      <w:r w:rsidRPr="00907977">
        <w:rPr>
          <w:b/>
          <w:bCs/>
          <w:iCs/>
        </w:rPr>
        <w:t xml:space="preserve">Item </w:t>
      </w:r>
      <w:r w:rsidR="00D956EC" w:rsidRPr="00907977">
        <w:rPr>
          <w:b/>
          <w:bCs/>
          <w:iCs/>
        </w:rPr>
        <w:t>7</w:t>
      </w:r>
    </w:p>
    <w:p w14:paraId="6E876718" w14:textId="5B8AE4C0" w:rsidR="00C35386" w:rsidRPr="00907977" w:rsidRDefault="00C35386" w:rsidP="00C35386">
      <w:pPr>
        <w:spacing w:after="0" w:line="240" w:lineRule="auto"/>
        <w:rPr>
          <w:b/>
          <w:bCs/>
          <w:iCs/>
        </w:rPr>
      </w:pPr>
    </w:p>
    <w:p w14:paraId="7A767C47" w14:textId="5FDDEC2C" w:rsidR="00C35386" w:rsidRPr="00907977" w:rsidRDefault="00C35386" w:rsidP="00C35386">
      <w:pPr>
        <w:spacing w:after="0" w:line="240" w:lineRule="auto"/>
        <w:rPr>
          <w:szCs w:val="20"/>
        </w:rPr>
      </w:pPr>
      <w:r w:rsidRPr="00907977">
        <w:rPr>
          <w:szCs w:val="20"/>
        </w:rPr>
        <w:t xml:space="preserve">Item </w:t>
      </w:r>
      <w:r w:rsidR="00D956EC" w:rsidRPr="00907977">
        <w:rPr>
          <w:szCs w:val="20"/>
        </w:rPr>
        <w:t>7</w:t>
      </w:r>
      <w:r w:rsidRPr="00907977">
        <w:rPr>
          <w:szCs w:val="20"/>
        </w:rPr>
        <w:t xml:space="preserve"> repeals the note at the end of the table</w:t>
      </w:r>
      <w:r w:rsidR="008B6B87" w:rsidRPr="00907977">
        <w:rPr>
          <w:szCs w:val="20"/>
        </w:rPr>
        <w:t xml:space="preserve"> </w:t>
      </w:r>
      <w:r w:rsidR="008B6B87" w:rsidRPr="00907977">
        <w:t>in Schedule 1 of the Principles</w:t>
      </w:r>
      <w:r w:rsidRPr="00907977">
        <w:rPr>
          <w:szCs w:val="20"/>
        </w:rPr>
        <w:t xml:space="preserve"> and substitutes</w:t>
      </w:r>
      <w:r w:rsidR="00D956EC" w:rsidRPr="00907977">
        <w:rPr>
          <w:szCs w:val="20"/>
        </w:rPr>
        <w:t xml:space="preserve"> it with</w:t>
      </w:r>
      <w:r w:rsidRPr="00907977">
        <w:rPr>
          <w:szCs w:val="20"/>
        </w:rPr>
        <w:t xml:space="preserve"> </w:t>
      </w:r>
      <w:r w:rsidRPr="00907977">
        <w:rPr>
          <w:i/>
          <w:iCs/>
          <w:szCs w:val="20"/>
        </w:rPr>
        <w:t xml:space="preserve">“The documents mentioned could in 2023 be viewed on the Australian Commission on Safety </w:t>
      </w:r>
      <w:r w:rsidR="003815A8" w:rsidRPr="00907977">
        <w:rPr>
          <w:i/>
          <w:iCs/>
          <w:szCs w:val="20"/>
        </w:rPr>
        <w:t xml:space="preserve">and Quality </w:t>
      </w:r>
      <w:r w:rsidRPr="00907977">
        <w:rPr>
          <w:i/>
          <w:iCs/>
          <w:szCs w:val="20"/>
        </w:rPr>
        <w:t xml:space="preserve">in Health Care’s </w:t>
      </w:r>
      <w:r w:rsidR="001C59FC" w:rsidRPr="00907977">
        <w:rPr>
          <w:i/>
          <w:iCs/>
          <w:szCs w:val="20"/>
        </w:rPr>
        <w:t xml:space="preserve">pathology accreditation </w:t>
      </w:r>
      <w:r w:rsidRPr="00907977">
        <w:rPr>
          <w:i/>
          <w:iCs/>
          <w:szCs w:val="20"/>
        </w:rPr>
        <w:t>web</w:t>
      </w:r>
      <w:r w:rsidR="001C59FC" w:rsidRPr="00907977">
        <w:rPr>
          <w:i/>
          <w:iCs/>
          <w:szCs w:val="20"/>
        </w:rPr>
        <w:t>page</w:t>
      </w:r>
      <w:r w:rsidR="003815A8" w:rsidRPr="00907977">
        <w:rPr>
          <w:i/>
          <w:iCs/>
          <w:szCs w:val="20"/>
        </w:rPr>
        <w:t>.”</w:t>
      </w:r>
    </w:p>
    <w:p w14:paraId="207335F8" w14:textId="5F2017D7" w:rsidR="00FA5E10" w:rsidRPr="00907977" w:rsidRDefault="00FA5E10">
      <w:pPr>
        <w:spacing w:after="160" w:line="259" w:lineRule="auto"/>
        <w:rPr>
          <w:rFonts w:cs="Times New Roman"/>
          <w:b/>
          <w:vanish/>
          <w:szCs w:val="24"/>
          <w:specVanish/>
        </w:rPr>
      </w:pPr>
      <w:r w:rsidRPr="00907977">
        <w:rPr>
          <w:rFonts w:cs="Times New Roman"/>
          <w:b/>
          <w:szCs w:val="24"/>
        </w:rPr>
        <w:br w:type="page"/>
      </w:r>
    </w:p>
    <w:p w14:paraId="6D3F8A50" w14:textId="566F2CBB" w:rsidR="00E4187A" w:rsidRPr="00907977" w:rsidRDefault="00BF564A">
      <w:pPr>
        <w:spacing w:after="160" w:line="259" w:lineRule="auto"/>
        <w:rPr>
          <w:rFonts w:cs="Times New Roman"/>
          <w:b/>
          <w:szCs w:val="24"/>
        </w:rPr>
      </w:pPr>
      <w:r w:rsidRPr="00907977">
        <w:rPr>
          <w:rFonts w:cs="Times New Roman"/>
          <w:b/>
          <w:szCs w:val="24"/>
        </w:rPr>
        <w:t xml:space="preserve"> </w:t>
      </w:r>
    </w:p>
    <w:p w14:paraId="39825ED4" w14:textId="503CABA0" w:rsidR="00C56FD6" w:rsidRPr="00907977" w:rsidRDefault="00C56FD6" w:rsidP="00C56FD6">
      <w:pPr>
        <w:spacing w:before="360" w:after="120"/>
        <w:jc w:val="center"/>
        <w:rPr>
          <w:rFonts w:cs="Times New Roman"/>
          <w:b/>
          <w:szCs w:val="24"/>
        </w:rPr>
      </w:pPr>
      <w:r w:rsidRPr="00907977">
        <w:rPr>
          <w:rFonts w:cs="Times New Roman"/>
          <w:b/>
          <w:szCs w:val="24"/>
        </w:rPr>
        <w:t>Statement of Compatibility with Human Rights</w:t>
      </w:r>
    </w:p>
    <w:p w14:paraId="597CD0B1" w14:textId="77777777" w:rsidR="00C56FD6" w:rsidRPr="00907977" w:rsidRDefault="00C56FD6" w:rsidP="00C56FD6">
      <w:pPr>
        <w:spacing w:after="0" w:line="240" w:lineRule="auto"/>
        <w:jc w:val="center"/>
        <w:rPr>
          <w:rFonts w:cs="Times New Roman"/>
          <w:i/>
          <w:szCs w:val="24"/>
        </w:rPr>
      </w:pPr>
      <w:r w:rsidRPr="00907977">
        <w:rPr>
          <w:rFonts w:cs="Times New Roman"/>
          <w:i/>
          <w:szCs w:val="24"/>
        </w:rPr>
        <w:t xml:space="preserve">Prepared in accordance with Part 3 of the </w:t>
      </w:r>
    </w:p>
    <w:p w14:paraId="245F02CD" w14:textId="77777777" w:rsidR="00C56FD6" w:rsidRPr="00907977" w:rsidRDefault="00C56FD6" w:rsidP="00C56FD6">
      <w:pPr>
        <w:spacing w:after="0" w:line="240" w:lineRule="auto"/>
        <w:jc w:val="center"/>
        <w:rPr>
          <w:rFonts w:cs="Times New Roman"/>
          <w:szCs w:val="24"/>
        </w:rPr>
      </w:pPr>
      <w:r w:rsidRPr="00907977">
        <w:rPr>
          <w:rFonts w:cs="Times New Roman"/>
          <w:i/>
          <w:szCs w:val="24"/>
        </w:rPr>
        <w:t>Human Rights (Parliamentary Scrutiny) Act 2011</w:t>
      </w:r>
      <w:r w:rsidRPr="00907977">
        <w:rPr>
          <w:rFonts w:cs="Times New Roman"/>
          <w:i/>
          <w:szCs w:val="24"/>
        </w:rPr>
        <w:br/>
      </w:r>
    </w:p>
    <w:p w14:paraId="1DB7B402" w14:textId="6323E91A" w:rsidR="0066581F" w:rsidRPr="00907977" w:rsidRDefault="0066581F" w:rsidP="00C56FD6">
      <w:pPr>
        <w:spacing w:before="120" w:after="120" w:line="240" w:lineRule="auto"/>
        <w:jc w:val="center"/>
        <w:rPr>
          <w:b/>
          <w:i/>
          <w:iCs/>
        </w:rPr>
      </w:pPr>
      <w:r w:rsidRPr="00907977">
        <w:rPr>
          <w:rFonts w:cs="Times New Roman"/>
          <w:b/>
          <w:i/>
          <w:iCs/>
          <w:szCs w:val="24"/>
        </w:rPr>
        <w:t>Health Insurance (Accredited Pathology Laboratories—Approval) Amendment (Relevant Standards) Principles (No.</w:t>
      </w:r>
      <w:r w:rsidR="00EB4FC8" w:rsidRPr="00907977">
        <w:rPr>
          <w:rFonts w:cs="Times New Roman"/>
          <w:b/>
          <w:i/>
          <w:iCs/>
          <w:szCs w:val="24"/>
        </w:rPr>
        <w:t>1</w:t>
      </w:r>
      <w:r w:rsidRPr="00907977">
        <w:rPr>
          <w:rFonts w:cs="Times New Roman"/>
          <w:b/>
          <w:i/>
          <w:iCs/>
          <w:szCs w:val="24"/>
        </w:rPr>
        <w:t>) 202</w:t>
      </w:r>
      <w:r w:rsidR="003815A8" w:rsidRPr="00907977">
        <w:rPr>
          <w:rFonts w:cs="Times New Roman"/>
          <w:b/>
          <w:i/>
          <w:iCs/>
          <w:szCs w:val="24"/>
        </w:rPr>
        <w:t>3</w:t>
      </w:r>
    </w:p>
    <w:p w14:paraId="1D02ABEB" w14:textId="19DD30F9" w:rsidR="00C56FD6" w:rsidRPr="00907977" w:rsidRDefault="00C56FD6" w:rsidP="00C56FD6">
      <w:pPr>
        <w:spacing w:before="120" w:after="120" w:line="240" w:lineRule="auto"/>
        <w:jc w:val="center"/>
        <w:rPr>
          <w:rFonts w:cs="Times New Roman"/>
          <w:szCs w:val="24"/>
        </w:rPr>
      </w:pPr>
      <w:r w:rsidRPr="00907977">
        <w:rPr>
          <w:rFonts w:cs="Times New Roman"/>
          <w:szCs w:val="24"/>
        </w:rPr>
        <w:t xml:space="preserve">This Legislative Instrument is compatible with the human rights and freedoms recognised or declared in the international instruments listed in section 3 of the </w:t>
      </w:r>
      <w:r w:rsidRPr="00907977">
        <w:rPr>
          <w:rFonts w:cs="Times New Roman"/>
          <w:i/>
          <w:szCs w:val="24"/>
        </w:rPr>
        <w:t>Human Rights (Parliamentary Scrutiny) Act 2011</w:t>
      </w:r>
      <w:r w:rsidRPr="00907977">
        <w:rPr>
          <w:rFonts w:cs="Times New Roman"/>
          <w:szCs w:val="24"/>
        </w:rPr>
        <w:t>.</w:t>
      </w:r>
    </w:p>
    <w:p w14:paraId="0A8A0EF2" w14:textId="77777777" w:rsidR="00C56FD6" w:rsidRPr="00907977" w:rsidRDefault="00C56FD6" w:rsidP="00C56FD6">
      <w:pPr>
        <w:spacing w:after="120"/>
        <w:jc w:val="both"/>
        <w:rPr>
          <w:rFonts w:cs="Times New Roman"/>
          <w:b/>
          <w:szCs w:val="24"/>
        </w:rPr>
      </w:pPr>
      <w:r w:rsidRPr="00907977">
        <w:rPr>
          <w:rFonts w:cs="Times New Roman"/>
          <w:b/>
          <w:szCs w:val="24"/>
        </w:rPr>
        <w:t>Overview of the Legislative Instrument</w:t>
      </w:r>
    </w:p>
    <w:p w14:paraId="63E5CFE8" w14:textId="1E9C7BA8" w:rsidR="000E010D" w:rsidRPr="00907977" w:rsidRDefault="000E010D" w:rsidP="000E010D">
      <w:pPr>
        <w:spacing w:before="120" w:after="120" w:line="240" w:lineRule="auto"/>
      </w:pPr>
      <w:r w:rsidRPr="00907977">
        <w:t xml:space="preserve">This Legislative Instrument </w:t>
      </w:r>
      <w:r w:rsidR="00E4187A" w:rsidRPr="00907977">
        <w:t>amends</w:t>
      </w:r>
      <w:r w:rsidRPr="00907977">
        <w:t xml:space="preserve"> the </w:t>
      </w:r>
      <w:r w:rsidRPr="00907977">
        <w:rPr>
          <w:i/>
        </w:rPr>
        <w:t xml:space="preserve">Health Insurance (Accredited Pathology Laboratories – Approval) Principles 2017 </w:t>
      </w:r>
      <w:r w:rsidRPr="00907977">
        <w:rPr>
          <w:iCs/>
        </w:rPr>
        <w:t>(</w:t>
      </w:r>
      <w:r w:rsidRPr="00907977">
        <w:t>‘Principles’) to incorporate</w:t>
      </w:r>
      <w:r w:rsidR="005360FE" w:rsidRPr="00907977">
        <w:t xml:space="preserve"> </w:t>
      </w:r>
      <w:r w:rsidR="00C16C9F" w:rsidRPr="00907977">
        <w:t>four</w:t>
      </w:r>
      <w:r w:rsidR="00EB4FC8" w:rsidRPr="00907977">
        <w:t xml:space="preserve"> </w:t>
      </w:r>
      <w:r w:rsidRPr="00907977">
        <w:t>revised version</w:t>
      </w:r>
      <w:r w:rsidR="00C16C9F" w:rsidRPr="00907977">
        <w:t>s</w:t>
      </w:r>
      <w:r w:rsidRPr="00907977">
        <w:t xml:space="preserve"> of </w:t>
      </w:r>
      <w:r w:rsidR="00AF01C7" w:rsidRPr="00907977">
        <w:t xml:space="preserve">National Pathology Accreditation Advisory Council (NPAAC) </w:t>
      </w:r>
      <w:r w:rsidRPr="00907977">
        <w:t>accreditation standard</w:t>
      </w:r>
      <w:r w:rsidR="00C16C9F" w:rsidRPr="00907977">
        <w:t>s</w:t>
      </w:r>
      <w:r w:rsidRPr="00907977">
        <w:t xml:space="preserve"> currently listed in Schedule 1 of the Principles, namely the -</w:t>
      </w:r>
    </w:p>
    <w:p w14:paraId="51129735" w14:textId="079E5332" w:rsidR="00837404" w:rsidRPr="00907977" w:rsidRDefault="00837404" w:rsidP="003B1B5D">
      <w:pPr>
        <w:pStyle w:val="ListParagraph"/>
        <w:numPr>
          <w:ilvl w:val="0"/>
          <w:numId w:val="10"/>
        </w:numPr>
        <w:spacing w:after="120" w:line="240" w:lineRule="auto"/>
        <w:rPr>
          <w:i/>
          <w:iCs/>
        </w:rPr>
      </w:pPr>
      <w:r w:rsidRPr="00907977">
        <w:rPr>
          <w:i/>
          <w:iCs/>
        </w:rPr>
        <w:t>Requirements for Medical Testing for Human Genetic Variation (Third Edition</w:t>
      </w:r>
      <w:r w:rsidR="0048295F" w:rsidRPr="00907977">
        <w:rPr>
          <w:i/>
          <w:iCs/>
        </w:rPr>
        <w:t xml:space="preserve"> 2022</w:t>
      </w:r>
      <w:r w:rsidRPr="00907977">
        <w:rPr>
          <w:i/>
          <w:iCs/>
        </w:rPr>
        <w:t xml:space="preserve">) </w:t>
      </w:r>
    </w:p>
    <w:p w14:paraId="37428644" w14:textId="3D45E0AF" w:rsidR="00B3266D" w:rsidRPr="00907977" w:rsidRDefault="00B3266D" w:rsidP="00B3266D">
      <w:pPr>
        <w:pStyle w:val="ListParagraph"/>
        <w:numPr>
          <w:ilvl w:val="0"/>
          <w:numId w:val="10"/>
        </w:numPr>
        <w:spacing w:after="120" w:line="240" w:lineRule="auto"/>
      </w:pPr>
      <w:r w:rsidRPr="00907977">
        <w:rPr>
          <w:i/>
          <w:iCs/>
        </w:rPr>
        <w:t>Requirements for Information Communication and Reporting (Fifth Edition</w:t>
      </w:r>
      <w:r w:rsidR="0048295F" w:rsidRPr="00907977">
        <w:rPr>
          <w:i/>
          <w:iCs/>
        </w:rPr>
        <w:t xml:space="preserve"> 2022</w:t>
      </w:r>
      <w:r w:rsidRPr="00907977">
        <w:rPr>
          <w:i/>
          <w:iCs/>
        </w:rPr>
        <w:t xml:space="preserve">) </w:t>
      </w:r>
    </w:p>
    <w:p w14:paraId="63462B46" w14:textId="06EDD840" w:rsidR="00837404" w:rsidRPr="00907977" w:rsidRDefault="00837404" w:rsidP="00EE7E96">
      <w:pPr>
        <w:pStyle w:val="ListParagraph"/>
        <w:numPr>
          <w:ilvl w:val="0"/>
          <w:numId w:val="10"/>
        </w:numPr>
        <w:spacing w:line="240" w:lineRule="auto"/>
        <w:rPr>
          <w:i/>
          <w:iCs/>
        </w:rPr>
      </w:pPr>
      <w:r w:rsidRPr="00907977">
        <w:rPr>
          <w:i/>
          <w:iCs/>
        </w:rPr>
        <w:t>Requirements for the Packaging and Transport of Pathology Specimens and Associated Materials (Fifth Edition</w:t>
      </w:r>
      <w:r w:rsidR="0048295F" w:rsidRPr="00907977">
        <w:rPr>
          <w:i/>
          <w:iCs/>
        </w:rPr>
        <w:t xml:space="preserve"> 2022</w:t>
      </w:r>
      <w:r w:rsidRPr="00907977">
        <w:rPr>
          <w:i/>
          <w:iCs/>
        </w:rPr>
        <w:t>)</w:t>
      </w:r>
      <w:r w:rsidRPr="00907977" w:rsidDel="00D8275D">
        <w:rPr>
          <w:i/>
          <w:iCs/>
        </w:rPr>
        <w:t xml:space="preserve"> </w:t>
      </w:r>
    </w:p>
    <w:p w14:paraId="52C9BCE3" w14:textId="7E1BB966" w:rsidR="00837404" w:rsidRPr="00907977" w:rsidRDefault="00837404">
      <w:pPr>
        <w:pStyle w:val="ListParagraph"/>
        <w:numPr>
          <w:ilvl w:val="0"/>
          <w:numId w:val="10"/>
        </w:numPr>
        <w:spacing w:line="240" w:lineRule="auto"/>
        <w:rPr>
          <w:i/>
          <w:iCs/>
        </w:rPr>
      </w:pPr>
      <w:r w:rsidRPr="00907977">
        <w:rPr>
          <w:i/>
          <w:iCs/>
        </w:rPr>
        <w:t>Requirements for Transfusion Laboratory Practice (Fifth Edition</w:t>
      </w:r>
      <w:r w:rsidR="0048295F" w:rsidRPr="00907977">
        <w:rPr>
          <w:i/>
          <w:iCs/>
        </w:rPr>
        <w:t xml:space="preserve"> 2022</w:t>
      </w:r>
      <w:r w:rsidRPr="00907977">
        <w:rPr>
          <w:i/>
          <w:iCs/>
        </w:rPr>
        <w:t>)</w:t>
      </w:r>
      <w:r w:rsidR="00593980" w:rsidRPr="00907977">
        <w:rPr>
          <w:i/>
          <w:iCs/>
        </w:rPr>
        <w:t>.</w:t>
      </w:r>
    </w:p>
    <w:p w14:paraId="405A30EC" w14:textId="4FBCC37A" w:rsidR="00422D6D" w:rsidRPr="00907977" w:rsidRDefault="00422D6D" w:rsidP="00422D6D">
      <w:pPr>
        <w:spacing w:line="240" w:lineRule="auto"/>
      </w:pPr>
      <w:r w:rsidRPr="00907977">
        <w:t xml:space="preserve">The </w:t>
      </w:r>
      <w:r w:rsidR="00FE214D" w:rsidRPr="00907977">
        <w:t xml:space="preserve">Principles are made by the </w:t>
      </w:r>
      <w:r w:rsidRPr="00907977">
        <w:t xml:space="preserve">Minister under </w:t>
      </w:r>
      <w:r w:rsidR="00E4187A" w:rsidRPr="00907977">
        <w:t>sub</w:t>
      </w:r>
      <w:r w:rsidRPr="00907977">
        <w:t>section 23DN</w:t>
      </w:r>
      <w:r w:rsidR="00D94434" w:rsidRPr="00907977">
        <w:t>A(1)</w:t>
      </w:r>
      <w:r w:rsidRPr="00907977">
        <w:t xml:space="preserve"> of </w:t>
      </w:r>
      <w:r w:rsidR="00E4187A" w:rsidRPr="00907977">
        <w:t xml:space="preserve">the </w:t>
      </w:r>
      <w:r w:rsidR="00E4187A" w:rsidRPr="00907977">
        <w:rPr>
          <w:i/>
          <w:iCs/>
        </w:rPr>
        <w:t xml:space="preserve">Health Insurance Act 1973 </w:t>
      </w:r>
      <w:r w:rsidR="00E4187A" w:rsidRPr="00907977">
        <w:t>(</w:t>
      </w:r>
      <w:r w:rsidRPr="00907977">
        <w:t>the Act</w:t>
      </w:r>
      <w:r w:rsidR="00E4187A" w:rsidRPr="00907977">
        <w:t>)</w:t>
      </w:r>
      <w:r w:rsidRPr="00907977">
        <w:t xml:space="preserve"> </w:t>
      </w:r>
      <w:r w:rsidR="00FE214D" w:rsidRPr="00907977">
        <w:t xml:space="preserve">and applied in exercising the Minister’s powers </w:t>
      </w:r>
      <w:r w:rsidRPr="00907977">
        <w:t xml:space="preserve">to approve in principle, or refuse to approve, premises as an accredited pathology laboratory. </w:t>
      </w:r>
    </w:p>
    <w:p w14:paraId="5F139716" w14:textId="77777777" w:rsidR="00422D6D" w:rsidRPr="00907977" w:rsidRDefault="00422D6D" w:rsidP="00422D6D">
      <w:pPr>
        <w:spacing w:line="240" w:lineRule="auto"/>
      </w:pPr>
      <w:r w:rsidRPr="00907977">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D982087" w14:textId="77777777" w:rsidR="00422D6D" w:rsidRPr="00907977" w:rsidRDefault="00422D6D" w:rsidP="00422D6D">
      <w:pPr>
        <w:spacing w:line="240" w:lineRule="auto"/>
      </w:pPr>
      <w:r w:rsidRPr="0090797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3DE6F6FE" w14:textId="77777777" w:rsidR="00EE7E96" w:rsidRPr="00907977" w:rsidRDefault="00422D6D" w:rsidP="00422D6D">
      <w:pPr>
        <w:spacing w:line="240" w:lineRule="auto"/>
      </w:pPr>
      <w:r w:rsidRPr="00907977">
        <w:t xml:space="preserve">The Schedule to the Principles specifies accreditation materials that set out relevant standards against which applicants for accreditation are to be assessed. These documents are developed and maintained by NPAAC or endorsed by NPAAC as supplementary accreditation materials. </w:t>
      </w:r>
    </w:p>
    <w:p w14:paraId="24AF8A4C" w14:textId="02EBD4D0" w:rsidR="00EE7E96" w:rsidRPr="00907977" w:rsidRDefault="00EE7E96" w:rsidP="00EE7E96">
      <w:pPr>
        <w:spacing w:after="0" w:line="240" w:lineRule="auto"/>
      </w:pPr>
      <w:r w:rsidRPr="00907977">
        <w:t>NPAAC and the National Pathology Accreditation Scheme are supported by the Australian Commission on Safety and Quality in Health Care (the Commission) under an arrangement with the Department of Health and Aged Care (the Department). The Department holds policy and regulatory responsibilities for pathology accreditation.</w:t>
      </w:r>
    </w:p>
    <w:p w14:paraId="7D594BF7" w14:textId="77777777" w:rsidR="00EE7E96" w:rsidRPr="00907977" w:rsidRDefault="00EE7E96" w:rsidP="00EE7E96">
      <w:pPr>
        <w:spacing w:after="0" w:line="240" w:lineRule="auto"/>
      </w:pPr>
    </w:p>
    <w:p w14:paraId="29E3E3D4" w14:textId="77777777" w:rsidR="001E7FDA" w:rsidRPr="00907977" w:rsidRDefault="001E7FDA" w:rsidP="00422D6D">
      <w:pPr>
        <w:spacing w:line="240" w:lineRule="auto"/>
      </w:pPr>
    </w:p>
    <w:p w14:paraId="2024A659" w14:textId="78F353D4" w:rsidR="00422D6D" w:rsidRPr="00907977" w:rsidRDefault="00422D6D" w:rsidP="00422D6D">
      <w:pPr>
        <w:spacing w:line="240" w:lineRule="auto"/>
      </w:pPr>
      <w:r w:rsidRPr="00907977">
        <w:t xml:space="preserve">The </w:t>
      </w:r>
      <w:r w:rsidR="00A642DB" w:rsidRPr="00907977">
        <w:t xml:space="preserve">process for the </w:t>
      </w:r>
      <w:r w:rsidRPr="00907977">
        <w:t xml:space="preserve">accreditation of pathology laboratories is administered by </w:t>
      </w:r>
      <w:proofErr w:type="gramStart"/>
      <w:r w:rsidRPr="00907977">
        <w:t>the Services</w:t>
      </w:r>
      <w:r w:rsidR="00A642DB" w:rsidRPr="00907977">
        <w:t xml:space="preserve"> Australia</w:t>
      </w:r>
      <w:proofErr w:type="gramEnd"/>
      <w:r w:rsidRPr="00907977">
        <w:t xml:space="preserve">, while the National Association of Testing Authorities (NATA) is </w:t>
      </w:r>
      <w:r w:rsidR="00D94434" w:rsidRPr="00907977">
        <w:t xml:space="preserve">currently </w:t>
      </w:r>
      <w:r w:rsidRPr="00907977">
        <w:t>the recognised independent assessment body that conducts the accreditation assessment of pathology laboratories, in conjunction with the Royal College of Pathologists of Australasia.</w:t>
      </w:r>
    </w:p>
    <w:p w14:paraId="7D3C3D34" w14:textId="401E1847" w:rsidR="004C3152" w:rsidRPr="00907977" w:rsidRDefault="004C3152" w:rsidP="009A0E44">
      <w:pPr>
        <w:rPr>
          <w:rFonts w:cs="Calibri"/>
        </w:rPr>
      </w:pPr>
      <w:r w:rsidRPr="00907977">
        <w:t>The review of these pathology accreditation standards is part of the ongoing process of refining the pathology accreditation requirements to maintain their currency and to ensure they reflect contemporary clinical best practice</w:t>
      </w:r>
      <w:r w:rsidR="00EB4FC8" w:rsidRPr="00907977">
        <w:t xml:space="preserve"> and to be responsive to operational requirements for the pathology sector</w:t>
      </w:r>
      <w:r w:rsidRPr="00907977">
        <w:t xml:space="preserve">. They should be read in conjunction with the NPAAC overarching document, the </w:t>
      </w:r>
      <w:bookmarkStart w:id="5" w:name="_Hlk98484538"/>
      <w:r w:rsidRPr="00907977">
        <w:rPr>
          <w:i/>
          <w:iCs/>
        </w:rPr>
        <w:t>Requirements for Medical Pathology Services</w:t>
      </w:r>
      <w:r w:rsidR="0041258D" w:rsidRPr="00907977">
        <w:rPr>
          <w:i/>
          <w:iCs/>
        </w:rPr>
        <w:t xml:space="preserve"> </w:t>
      </w:r>
      <w:bookmarkEnd w:id="5"/>
      <w:r w:rsidRPr="00907977">
        <w:t xml:space="preserve">which sets out the core elements of good laboratory practice, in addition to the other materials that form the national pathology accreditation framework. Copies of the pathology accreditation materials </w:t>
      </w:r>
      <w:r w:rsidR="00C11A79" w:rsidRPr="00907977">
        <w:t xml:space="preserve">are published </w:t>
      </w:r>
      <w:r w:rsidR="008111DD" w:rsidRPr="00907977">
        <w:t xml:space="preserve">on </w:t>
      </w:r>
      <w:r w:rsidR="00C11A79" w:rsidRPr="00907977">
        <w:t>the Commission</w:t>
      </w:r>
      <w:r w:rsidR="00EE7E96" w:rsidRPr="00907977">
        <w:t>’s</w:t>
      </w:r>
      <w:r w:rsidR="00F237BC" w:rsidRPr="00907977">
        <w:t xml:space="preserve"> </w:t>
      </w:r>
      <w:r w:rsidR="0048295F" w:rsidRPr="00907977">
        <w:t xml:space="preserve">pathology accreditation standards </w:t>
      </w:r>
      <w:r w:rsidR="00C11A79" w:rsidRPr="00907977">
        <w:t>web</w:t>
      </w:r>
      <w:r w:rsidR="0048295F" w:rsidRPr="00907977">
        <w:t>page</w:t>
      </w:r>
      <w:r w:rsidR="008111DD" w:rsidRPr="00907977">
        <w:t xml:space="preserve"> (</w:t>
      </w:r>
      <w:hyperlink r:id="rId8" w:anchor="national-pathology-accreditation-standards" w:history="1">
        <w:r w:rsidR="00C935CE" w:rsidRPr="00907977">
          <w:rPr>
            <w:rStyle w:val="Hyperlink"/>
          </w:rPr>
          <w:t>https://www.safetyandquality.gov.au/our-work/accreditation/pathology-accreditation-standards#national-pathology-accreditation-standards</w:t>
        </w:r>
      </w:hyperlink>
      <w:r w:rsidR="008111DD" w:rsidRPr="00907977">
        <w:t>).</w:t>
      </w:r>
      <w:r w:rsidR="00C11A79" w:rsidRPr="00907977">
        <w:t xml:space="preserve"> </w:t>
      </w:r>
    </w:p>
    <w:p w14:paraId="7BB41ACB" w14:textId="60AF504C" w:rsidR="00C56FD6" w:rsidRPr="00907977" w:rsidRDefault="00C56FD6" w:rsidP="00C56FD6">
      <w:pPr>
        <w:spacing w:line="240" w:lineRule="auto"/>
        <w:rPr>
          <w:rFonts w:cs="Times New Roman"/>
          <w:szCs w:val="24"/>
        </w:rPr>
      </w:pPr>
      <w:r w:rsidRPr="00907977">
        <w:rPr>
          <w:rFonts w:cs="Times New Roman"/>
          <w:szCs w:val="24"/>
        </w:rPr>
        <w:t>The pathology accreditation standards are aimed at assuring the quality of Australian pathology services.</w:t>
      </w:r>
    </w:p>
    <w:p w14:paraId="4774E00C" w14:textId="77777777" w:rsidR="00C56FD6" w:rsidRPr="00907977" w:rsidRDefault="00C56FD6" w:rsidP="00C56FD6">
      <w:pPr>
        <w:spacing w:line="240" w:lineRule="auto"/>
        <w:rPr>
          <w:rFonts w:cs="Times New Roman"/>
          <w:szCs w:val="24"/>
        </w:rPr>
      </w:pPr>
      <w:r w:rsidRPr="00907977">
        <w:rPr>
          <w:rFonts w:cs="Times New Roman"/>
          <w:b/>
          <w:szCs w:val="24"/>
        </w:rPr>
        <w:t>Human rights implications</w:t>
      </w:r>
    </w:p>
    <w:p w14:paraId="72BC9D5C" w14:textId="3078A8E1" w:rsidR="00E40343" w:rsidRPr="00907977" w:rsidRDefault="00E40343" w:rsidP="004C3152">
      <w:pPr>
        <w:spacing w:before="120" w:line="240" w:lineRule="auto"/>
        <w:rPr>
          <w:color w:val="000000"/>
          <w:shd w:val="clear" w:color="auto" w:fill="FFFFFF"/>
        </w:rPr>
      </w:pPr>
      <w:r w:rsidRPr="00907977">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Health</w:t>
      </w:r>
    </w:p>
    <w:p w14:paraId="7ED6C238" w14:textId="28D82C98"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EB4FC8" w:rsidRPr="00907977">
        <w:rPr>
          <w:rFonts w:eastAsia="Times New Roman" w:cs="Times New Roman"/>
          <w:color w:val="000000"/>
          <w:szCs w:val="24"/>
          <w:lang w:eastAsia="en-AU"/>
        </w:rPr>
        <w:t>healthy but</w:t>
      </w:r>
      <w:r w:rsidRPr="00907977">
        <w:rPr>
          <w:rFonts w:eastAsia="Times New Roman" w:cs="Times New Roman"/>
          <w:color w:val="000000"/>
          <w:szCs w:val="24"/>
          <w:lang w:eastAsia="en-AU"/>
        </w:rPr>
        <w:t xml:space="preserve"> is a right to a system of health protection which provides equality of opportunity for people to enjoy the highest attainable level of health.</w:t>
      </w:r>
    </w:p>
    <w:p w14:paraId="0FE5D482" w14:textId="789FCCFB"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Committee reports that the</w:t>
      </w:r>
      <w:r w:rsidR="00EB4FC8" w:rsidRPr="00907977">
        <w:rPr>
          <w:rFonts w:eastAsia="Times New Roman" w:cs="Times New Roman"/>
          <w:color w:val="000000"/>
          <w:szCs w:val="24"/>
          <w:lang w:eastAsia="en-AU"/>
        </w:rPr>
        <w:t xml:space="preserve"> </w:t>
      </w:r>
      <w:r w:rsidRPr="00907977">
        <w:rPr>
          <w:rFonts w:eastAsia="Times New Roman" w:cs="Times New Roman"/>
          <w:i/>
          <w:iCs/>
          <w:color w:val="000000"/>
          <w:szCs w:val="24"/>
          <w:lang w:eastAsia="en-AU"/>
        </w:rPr>
        <w:t>‘highest attainable standard of health’</w:t>
      </w:r>
      <w:r w:rsidR="00EB4FC8" w:rsidRPr="00907977">
        <w:rPr>
          <w:rFonts w:eastAsia="Times New Roman" w:cs="Times New Roman"/>
          <w:color w:val="000000"/>
          <w:szCs w:val="24"/>
          <w:lang w:eastAsia="en-AU"/>
        </w:rPr>
        <w:t xml:space="preserve"> </w:t>
      </w:r>
      <w:r w:rsidRPr="00907977">
        <w:rPr>
          <w:rFonts w:eastAsia="Times New Roman" w:cs="Times New Roman"/>
          <w:color w:val="000000"/>
          <w:szCs w:val="24"/>
          <w:lang w:eastAsia="en-AU"/>
        </w:rPr>
        <w:t>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Social Security</w:t>
      </w:r>
    </w:p>
    <w:p w14:paraId="14391752" w14:textId="77777777"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D40630D" w14:textId="77777777"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w:t>
      </w:r>
      <w:r w:rsidRPr="00907977">
        <w:rPr>
          <w:rFonts w:eastAsia="Times New Roman" w:cs="Times New Roman"/>
          <w:color w:val="000000"/>
          <w:szCs w:val="24"/>
          <w:lang w:eastAsia="en-AU"/>
        </w:rPr>
        <w:lastRenderedPageBreak/>
        <w:t>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E76BCC" w14:textId="6BBAD70C" w:rsidR="00E40343" w:rsidRPr="00907977" w:rsidRDefault="00E40343" w:rsidP="004C3152">
      <w:pPr>
        <w:spacing w:before="120" w:line="240" w:lineRule="auto"/>
      </w:pPr>
      <w:r w:rsidRPr="00907977">
        <w:rPr>
          <w:i/>
          <w:iCs/>
        </w:rPr>
        <w:t xml:space="preserve">Analysis </w:t>
      </w:r>
    </w:p>
    <w:p w14:paraId="27C1FB03" w14:textId="4DE86EB7" w:rsidR="004C3152" w:rsidRPr="00907977" w:rsidRDefault="004C3152" w:rsidP="004C3152">
      <w:pPr>
        <w:spacing w:before="120" w:line="240" w:lineRule="auto"/>
      </w:pPr>
      <w:r w:rsidRPr="00907977">
        <w:t xml:space="preserve">The Legislative Instrument </w:t>
      </w:r>
      <w:r w:rsidR="00E40343" w:rsidRPr="00907977">
        <w:t xml:space="preserve">advances the right to health and the right to social security by ensuring appropriate accreditation </w:t>
      </w:r>
      <w:r w:rsidR="005812A0" w:rsidRPr="00907977">
        <w:t>requirements</w:t>
      </w:r>
      <w:r w:rsidR="00E40343" w:rsidRPr="00907977">
        <w:t xml:space="preserve"> </w:t>
      </w:r>
      <w:r w:rsidR="005812A0" w:rsidRPr="00907977">
        <w:t>are in place to</w:t>
      </w:r>
      <w:r w:rsidR="00E40343" w:rsidRPr="00907977">
        <w:t xml:space="preserve"> </w:t>
      </w:r>
      <w:r w:rsidRPr="00907977">
        <w:t>maintain access</w:t>
      </w:r>
      <w:r w:rsidR="002603A8" w:rsidRPr="00907977">
        <w:t xml:space="preserve"> to</w:t>
      </w:r>
      <w:r w:rsidRPr="00907977">
        <w:t xml:space="preserve"> quality, safe, clinically relevant and cost-effective Medicare eligible pathology services.</w:t>
      </w:r>
    </w:p>
    <w:p w14:paraId="1BD56CEA" w14:textId="622EB4C2" w:rsidR="003B6A0D" w:rsidRPr="00907977" w:rsidRDefault="003B6A0D" w:rsidP="003B6A0D">
      <w:pPr>
        <w:spacing w:before="120" w:line="240" w:lineRule="auto"/>
      </w:pPr>
      <w:r w:rsidRPr="00907977">
        <w:rPr>
          <w:rFonts w:cs="Times New Roman"/>
          <w:szCs w:val="24"/>
        </w:rPr>
        <w:t xml:space="preserve">The revised </w:t>
      </w:r>
      <w:r w:rsidR="007A2AD5" w:rsidRPr="00907977">
        <w:rPr>
          <w:iCs/>
        </w:rPr>
        <w:t>accreditation standard</w:t>
      </w:r>
      <w:r w:rsidR="00F237BC" w:rsidRPr="00907977">
        <w:rPr>
          <w:iCs/>
        </w:rPr>
        <w:t>s</w:t>
      </w:r>
      <w:r w:rsidR="007A2AD5" w:rsidRPr="00907977">
        <w:rPr>
          <w:iCs/>
        </w:rPr>
        <w:t xml:space="preserve"> set out minimum acceptable standards for good laboratory practice,</w:t>
      </w:r>
      <w:r w:rsidRPr="00907977">
        <w:rPr>
          <w:rFonts w:cs="Times New Roman"/>
          <w:szCs w:val="24"/>
        </w:rPr>
        <w:t xml:space="preserve"> so that patient access is not affected whilst still maintaining appropriate requirements for </w:t>
      </w:r>
      <w:r w:rsidRPr="00907977">
        <w:t xml:space="preserve">quality, safe, clinically relevant and cost-effective Medicare eligible pathology services.  </w:t>
      </w:r>
    </w:p>
    <w:p w14:paraId="57C75D35" w14:textId="351B48B0" w:rsidR="004C3152" w:rsidRPr="00907977" w:rsidRDefault="004C3152" w:rsidP="004C3152">
      <w:pPr>
        <w:spacing w:line="240" w:lineRule="auto"/>
      </w:pPr>
      <w:r w:rsidRPr="00907977">
        <w:t xml:space="preserve">The revision of pathology accreditation standards is part of the ongoing process of refining accreditation requirements to maintain their currency and to ensure they reflect contemporary clinical best practice and with a comprehensive format. This helps assure the quality of Australian pathology services. </w:t>
      </w:r>
    </w:p>
    <w:p w14:paraId="57860BB8" w14:textId="77777777" w:rsidR="00C56FD6" w:rsidRPr="00907977" w:rsidRDefault="00C56FD6" w:rsidP="00C56FD6">
      <w:pPr>
        <w:spacing w:line="240" w:lineRule="auto"/>
        <w:rPr>
          <w:rFonts w:cs="Times New Roman"/>
          <w:b/>
          <w:szCs w:val="24"/>
        </w:rPr>
      </w:pPr>
      <w:r w:rsidRPr="00907977">
        <w:rPr>
          <w:rFonts w:cs="Times New Roman"/>
          <w:b/>
          <w:szCs w:val="24"/>
        </w:rPr>
        <w:t>Conclusion</w:t>
      </w:r>
    </w:p>
    <w:p w14:paraId="4C7C6C35" w14:textId="4C33B062" w:rsidR="00C56FD6" w:rsidRPr="00907977" w:rsidRDefault="00C56FD6" w:rsidP="00C56FD6">
      <w:pPr>
        <w:spacing w:line="240" w:lineRule="auto"/>
        <w:rPr>
          <w:rFonts w:cs="Times New Roman"/>
          <w:szCs w:val="24"/>
        </w:rPr>
      </w:pPr>
      <w:r w:rsidRPr="00907977">
        <w:rPr>
          <w:rFonts w:cs="Times New Roman"/>
          <w:szCs w:val="24"/>
        </w:rPr>
        <w:t xml:space="preserve">This Legislative Instrument is compatible with human rights as it </w:t>
      </w:r>
      <w:r w:rsidR="00E40343" w:rsidRPr="00907977">
        <w:rPr>
          <w:rFonts w:cs="Times New Roman"/>
          <w:szCs w:val="24"/>
        </w:rPr>
        <w:t xml:space="preserve">advances the right to health and the right to social security. </w:t>
      </w:r>
    </w:p>
    <w:p w14:paraId="76026A74" w14:textId="77777777" w:rsidR="009F6C4E" w:rsidRPr="00907977" w:rsidRDefault="009F6C4E" w:rsidP="00C56FD6">
      <w:pPr>
        <w:spacing w:line="240" w:lineRule="auto"/>
        <w:rPr>
          <w:rFonts w:cs="Times New Roman"/>
          <w:szCs w:val="24"/>
        </w:rPr>
      </w:pPr>
    </w:p>
    <w:p w14:paraId="05833184" w14:textId="7351A8F6" w:rsidR="00C56FD6" w:rsidRPr="00907977" w:rsidRDefault="00B7508D" w:rsidP="00C56FD6">
      <w:pPr>
        <w:spacing w:after="0" w:line="240" w:lineRule="auto"/>
        <w:jc w:val="center"/>
        <w:rPr>
          <w:rFonts w:cs="Times New Roman"/>
          <w:b/>
          <w:szCs w:val="24"/>
        </w:rPr>
      </w:pPr>
      <w:r w:rsidRPr="00907977">
        <w:rPr>
          <w:rFonts w:cs="Times New Roman"/>
          <w:b/>
          <w:szCs w:val="24"/>
        </w:rPr>
        <w:t>Mary Warner</w:t>
      </w:r>
    </w:p>
    <w:p w14:paraId="150F3F71" w14:textId="3D78BB3E" w:rsidR="00C56FD6" w:rsidRPr="00907977" w:rsidRDefault="00C56FD6" w:rsidP="00C56FD6">
      <w:pPr>
        <w:spacing w:after="0" w:line="240" w:lineRule="auto"/>
        <w:jc w:val="center"/>
        <w:rPr>
          <w:rFonts w:cs="Times New Roman"/>
          <w:b/>
          <w:szCs w:val="24"/>
        </w:rPr>
      </w:pPr>
      <w:r w:rsidRPr="00907977">
        <w:rPr>
          <w:rFonts w:cs="Times New Roman"/>
          <w:b/>
          <w:szCs w:val="24"/>
        </w:rPr>
        <w:t>Assistant Secretary</w:t>
      </w:r>
    </w:p>
    <w:p w14:paraId="265DFE5D" w14:textId="0202F68E" w:rsidR="00C56FD6" w:rsidRPr="00907977" w:rsidRDefault="00C56FD6" w:rsidP="00C56FD6">
      <w:pPr>
        <w:spacing w:after="0" w:line="240" w:lineRule="auto"/>
        <w:jc w:val="center"/>
        <w:rPr>
          <w:rFonts w:cs="Times New Roman"/>
          <w:b/>
          <w:szCs w:val="24"/>
        </w:rPr>
      </w:pPr>
      <w:r w:rsidRPr="00907977">
        <w:rPr>
          <w:rFonts w:cs="Times New Roman"/>
          <w:b/>
          <w:szCs w:val="24"/>
        </w:rPr>
        <w:t>Medica</w:t>
      </w:r>
      <w:r w:rsidR="00B7508D" w:rsidRPr="00907977">
        <w:rPr>
          <w:rFonts w:cs="Times New Roman"/>
          <w:b/>
          <w:szCs w:val="24"/>
        </w:rPr>
        <w:t xml:space="preserve">re </w:t>
      </w:r>
      <w:r w:rsidRPr="00907977">
        <w:rPr>
          <w:rFonts w:cs="Times New Roman"/>
          <w:b/>
          <w:szCs w:val="24"/>
        </w:rPr>
        <w:t xml:space="preserve">Benefits </w:t>
      </w:r>
      <w:r w:rsidR="00B7508D" w:rsidRPr="00907977">
        <w:rPr>
          <w:rFonts w:cs="Times New Roman"/>
          <w:b/>
          <w:szCs w:val="24"/>
        </w:rPr>
        <w:t xml:space="preserve">and Digital Health </w:t>
      </w:r>
      <w:r w:rsidRPr="00907977">
        <w:rPr>
          <w:rFonts w:cs="Times New Roman"/>
          <w:b/>
          <w:szCs w:val="24"/>
        </w:rPr>
        <w:t>Division</w:t>
      </w:r>
    </w:p>
    <w:p w14:paraId="5D0FA219" w14:textId="367BF0A7" w:rsidR="00AE5F2D" w:rsidRPr="00907977" w:rsidRDefault="00AE5F2D" w:rsidP="00C56FD6">
      <w:pPr>
        <w:spacing w:after="0" w:line="240" w:lineRule="auto"/>
        <w:jc w:val="center"/>
        <w:rPr>
          <w:rFonts w:cs="Times New Roman"/>
          <w:b/>
          <w:szCs w:val="24"/>
        </w:rPr>
      </w:pPr>
      <w:r w:rsidRPr="00907977">
        <w:rPr>
          <w:rFonts w:cs="Times New Roman"/>
          <w:b/>
          <w:szCs w:val="24"/>
        </w:rPr>
        <w:t>Health Resourcing Group</w:t>
      </w:r>
    </w:p>
    <w:p w14:paraId="714DBE38" w14:textId="7F054451" w:rsidR="00280050" w:rsidRPr="0062020B" w:rsidRDefault="004C3152" w:rsidP="0062020B">
      <w:pPr>
        <w:spacing w:after="0" w:line="240" w:lineRule="auto"/>
        <w:jc w:val="center"/>
        <w:rPr>
          <w:rFonts w:cs="Times New Roman"/>
          <w:szCs w:val="24"/>
        </w:rPr>
      </w:pPr>
      <w:r w:rsidRPr="00907977">
        <w:rPr>
          <w:rFonts w:cs="Times New Roman"/>
          <w:b/>
          <w:szCs w:val="24"/>
        </w:rPr>
        <w:t xml:space="preserve">Department of Health </w:t>
      </w:r>
      <w:r w:rsidR="00B7508D" w:rsidRPr="00907977">
        <w:rPr>
          <w:rFonts w:cs="Times New Roman"/>
          <w:b/>
          <w:szCs w:val="24"/>
        </w:rPr>
        <w:t>and Aged Care</w:t>
      </w:r>
    </w:p>
    <w:sectPr w:rsidR="00280050" w:rsidRPr="00620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C61A" w14:textId="77777777" w:rsidR="008B1EA0" w:rsidRDefault="008B1EA0" w:rsidP="00340797">
      <w:pPr>
        <w:spacing w:after="0" w:line="240" w:lineRule="auto"/>
      </w:pPr>
      <w:r>
        <w:separator/>
      </w:r>
    </w:p>
  </w:endnote>
  <w:endnote w:type="continuationSeparator" w:id="0">
    <w:p w14:paraId="20790B28" w14:textId="77777777" w:rsidR="008B1EA0" w:rsidRDefault="008B1EA0"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F237" w14:textId="77777777" w:rsidR="008B1EA0" w:rsidRDefault="008B1EA0" w:rsidP="00340797">
      <w:pPr>
        <w:spacing w:after="0" w:line="240" w:lineRule="auto"/>
      </w:pPr>
      <w:r>
        <w:separator/>
      </w:r>
    </w:p>
  </w:footnote>
  <w:footnote w:type="continuationSeparator" w:id="0">
    <w:p w14:paraId="2C8FB046" w14:textId="77777777" w:rsidR="008B1EA0" w:rsidRDefault="008B1EA0" w:rsidP="0034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54927"/>
    <w:multiLevelType w:val="hybridMultilevel"/>
    <w:tmpl w:val="1D7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72CE0"/>
    <w:multiLevelType w:val="hybridMultilevel"/>
    <w:tmpl w:val="744A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127A5"/>
    <w:multiLevelType w:val="hybridMultilevel"/>
    <w:tmpl w:val="270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36525"/>
    <w:multiLevelType w:val="hybridMultilevel"/>
    <w:tmpl w:val="2F8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D43CF"/>
    <w:multiLevelType w:val="hybridMultilevel"/>
    <w:tmpl w:val="4AF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50B58"/>
    <w:multiLevelType w:val="hybridMultilevel"/>
    <w:tmpl w:val="6230660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D4784F"/>
    <w:multiLevelType w:val="hybridMultilevel"/>
    <w:tmpl w:val="EDB4A71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31337"/>
    <w:multiLevelType w:val="hybridMultilevel"/>
    <w:tmpl w:val="9AC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D2CEC"/>
    <w:multiLevelType w:val="hybridMultilevel"/>
    <w:tmpl w:val="23FE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0163F2"/>
    <w:multiLevelType w:val="hybridMultilevel"/>
    <w:tmpl w:val="179AB4E2"/>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976CD"/>
    <w:multiLevelType w:val="hybridMultilevel"/>
    <w:tmpl w:val="B60A26D8"/>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4B5A44"/>
    <w:multiLevelType w:val="hybridMultilevel"/>
    <w:tmpl w:val="58EA59DA"/>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042F5D"/>
    <w:multiLevelType w:val="hybridMultilevel"/>
    <w:tmpl w:val="5E38068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A024B0"/>
    <w:multiLevelType w:val="hybridMultilevel"/>
    <w:tmpl w:val="275C7B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D516D"/>
    <w:multiLevelType w:val="hybridMultilevel"/>
    <w:tmpl w:val="FCFE55B4"/>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6"/>
  </w:num>
  <w:num w:numId="5">
    <w:abstractNumId w:val="10"/>
  </w:num>
  <w:num w:numId="6">
    <w:abstractNumId w:val="22"/>
  </w:num>
  <w:num w:numId="7">
    <w:abstractNumId w:val="17"/>
  </w:num>
  <w:num w:numId="8">
    <w:abstractNumId w:val="24"/>
  </w:num>
  <w:num w:numId="9">
    <w:abstractNumId w:val="16"/>
  </w:num>
  <w:num w:numId="10">
    <w:abstractNumId w:val="8"/>
  </w:num>
  <w:num w:numId="11">
    <w:abstractNumId w:val="15"/>
  </w:num>
  <w:num w:numId="12">
    <w:abstractNumId w:val="4"/>
  </w:num>
  <w:num w:numId="13">
    <w:abstractNumId w:val="20"/>
  </w:num>
  <w:num w:numId="14">
    <w:abstractNumId w:val="11"/>
  </w:num>
  <w:num w:numId="15">
    <w:abstractNumId w:val="26"/>
  </w:num>
  <w:num w:numId="16">
    <w:abstractNumId w:val="1"/>
  </w:num>
  <w:num w:numId="17">
    <w:abstractNumId w:val="25"/>
  </w:num>
  <w:num w:numId="18">
    <w:abstractNumId w:val="9"/>
  </w:num>
  <w:num w:numId="19">
    <w:abstractNumId w:val="23"/>
  </w:num>
  <w:num w:numId="20">
    <w:abstractNumId w:val="21"/>
  </w:num>
  <w:num w:numId="21">
    <w:abstractNumId w:val="2"/>
  </w:num>
  <w:num w:numId="22">
    <w:abstractNumId w:val="12"/>
  </w:num>
  <w:num w:numId="23">
    <w:abstractNumId w:val="7"/>
  </w:num>
  <w:num w:numId="24">
    <w:abstractNumId w:val="27"/>
  </w:num>
  <w:num w:numId="25">
    <w:abstractNumId w:val="18"/>
  </w:num>
  <w:num w:numId="26">
    <w:abstractNumId w:val="14"/>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0652F"/>
    <w:rsid w:val="00010F0A"/>
    <w:rsid w:val="00020E24"/>
    <w:rsid w:val="0002326F"/>
    <w:rsid w:val="00023F5B"/>
    <w:rsid w:val="00031BED"/>
    <w:rsid w:val="00040528"/>
    <w:rsid w:val="00050830"/>
    <w:rsid w:val="00050E92"/>
    <w:rsid w:val="00056231"/>
    <w:rsid w:val="00063C43"/>
    <w:rsid w:val="000715BA"/>
    <w:rsid w:val="000733C3"/>
    <w:rsid w:val="00081F5C"/>
    <w:rsid w:val="0008573F"/>
    <w:rsid w:val="000878B6"/>
    <w:rsid w:val="000933E0"/>
    <w:rsid w:val="00093B9B"/>
    <w:rsid w:val="000A13F5"/>
    <w:rsid w:val="000A1CE4"/>
    <w:rsid w:val="000A3911"/>
    <w:rsid w:val="000A665E"/>
    <w:rsid w:val="000A6662"/>
    <w:rsid w:val="000B0D63"/>
    <w:rsid w:val="000B1CA1"/>
    <w:rsid w:val="000B1E95"/>
    <w:rsid w:val="000B5BF4"/>
    <w:rsid w:val="000B6E07"/>
    <w:rsid w:val="000C11E3"/>
    <w:rsid w:val="000C2B6B"/>
    <w:rsid w:val="000D0D53"/>
    <w:rsid w:val="000D2747"/>
    <w:rsid w:val="000E010D"/>
    <w:rsid w:val="000E0ED1"/>
    <w:rsid w:val="000E61CB"/>
    <w:rsid w:val="000E7D1A"/>
    <w:rsid w:val="000F3EAB"/>
    <w:rsid w:val="000F76F1"/>
    <w:rsid w:val="001002DB"/>
    <w:rsid w:val="0010125A"/>
    <w:rsid w:val="00102EE4"/>
    <w:rsid w:val="001041E3"/>
    <w:rsid w:val="001100EE"/>
    <w:rsid w:val="00111639"/>
    <w:rsid w:val="001157A3"/>
    <w:rsid w:val="00132947"/>
    <w:rsid w:val="00133EE4"/>
    <w:rsid w:val="0014249A"/>
    <w:rsid w:val="00151ABC"/>
    <w:rsid w:val="001602B3"/>
    <w:rsid w:val="00161545"/>
    <w:rsid w:val="0016550F"/>
    <w:rsid w:val="001671A6"/>
    <w:rsid w:val="00174CED"/>
    <w:rsid w:val="001827E4"/>
    <w:rsid w:val="00184AE6"/>
    <w:rsid w:val="001857FD"/>
    <w:rsid w:val="00190B26"/>
    <w:rsid w:val="00193E60"/>
    <w:rsid w:val="001952DE"/>
    <w:rsid w:val="0019617B"/>
    <w:rsid w:val="00197866"/>
    <w:rsid w:val="001A1D46"/>
    <w:rsid w:val="001A47B6"/>
    <w:rsid w:val="001A51B6"/>
    <w:rsid w:val="001A7736"/>
    <w:rsid w:val="001B33D3"/>
    <w:rsid w:val="001B464E"/>
    <w:rsid w:val="001C47E3"/>
    <w:rsid w:val="001C59FC"/>
    <w:rsid w:val="001D22BF"/>
    <w:rsid w:val="001D3C1E"/>
    <w:rsid w:val="001D79E6"/>
    <w:rsid w:val="001E16A5"/>
    <w:rsid w:val="001E478D"/>
    <w:rsid w:val="001E7FDA"/>
    <w:rsid w:val="001F1537"/>
    <w:rsid w:val="001F30DB"/>
    <w:rsid w:val="001F5FBD"/>
    <w:rsid w:val="0021697A"/>
    <w:rsid w:val="0022330A"/>
    <w:rsid w:val="0022383D"/>
    <w:rsid w:val="002374E9"/>
    <w:rsid w:val="002412ED"/>
    <w:rsid w:val="00256BDC"/>
    <w:rsid w:val="002603A8"/>
    <w:rsid w:val="00260F41"/>
    <w:rsid w:val="00261680"/>
    <w:rsid w:val="002709B1"/>
    <w:rsid w:val="00273165"/>
    <w:rsid w:val="002761E0"/>
    <w:rsid w:val="00280050"/>
    <w:rsid w:val="0029587B"/>
    <w:rsid w:val="002A01C4"/>
    <w:rsid w:val="002A0883"/>
    <w:rsid w:val="002A6959"/>
    <w:rsid w:val="002C74DF"/>
    <w:rsid w:val="002D213C"/>
    <w:rsid w:val="002D5ABF"/>
    <w:rsid w:val="002D7E24"/>
    <w:rsid w:val="002E09B1"/>
    <w:rsid w:val="002F1FE0"/>
    <w:rsid w:val="003040F9"/>
    <w:rsid w:val="00304932"/>
    <w:rsid w:val="00316E50"/>
    <w:rsid w:val="003212F1"/>
    <w:rsid w:val="003230D4"/>
    <w:rsid w:val="00325B07"/>
    <w:rsid w:val="00327FD5"/>
    <w:rsid w:val="0033402A"/>
    <w:rsid w:val="00334103"/>
    <w:rsid w:val="00334868"/>
    <w:rsid w:val="00340797"/>
    <w:rsid w:val="0034227D"/>
    <w:rsid w:val="003603DA"/>
    <w:rsid w:val="00364677"/>
    <w:rsid w:val="00365B0C"/>
    <w:rsid w:val="00367DBB"/>
    <w:rsid w:val="00375785"/>
    <w:rsid w:val="00375D3E"/>
    <w:rsid w:val="003815A8"/>
    <w:rsid w:val="00384DD9"/>
    <w:rsid w:val="003859B1"/>
    <w:rsid w:val="0039348C"/>
    <w:rsid w:val="00396383"/>
    <w:rsid w:val="003A01DC"/>
    <w:rsid w:val="003A0387"/>
    <w:rsid w:val="003A5493"/>
    <w:rsid w:val="003A5F2E"/>
    <w:rsid w:val="003B1B5D"/>
    <w:rsid w:val="003B6A0D"/>
    <w:rsid w:val="003C397B"/>
    <w:rsid w:val="003C5CB2"/>
    <w:rsid w:val="003D3A42"/>
    <w:rsid w:val="003D5772"/>
    <w:rsid w:val="003E1A42"/>
    <w:rsid w:val="003E6CE2"/>
    <w:rsid w:val="003F218F"/>
    <w:rsid w:val="00406816"/>
    <w:rsid w:val="0041258D"/>
    <w:rsid w:val="00422D6D"/>
    <w:rsid w:val="004269E3"/>
    <w:rsid w:val="004271E6"/>
    <w:rsid w:val="00430074"/>
    <w:rsid w:val="00455775"/>
    <w:rsid w:val="004604A8"/>
    <w:rsid w:val="0046788C"/>
    <w:rsid w:val="00480990"/>
    <w:rsid w:val="0048295F"/>
    <w:rsid w:val="00486779"/>
    <w:rsid w:val="00492691"/>
    <w:rsid w:val="004A0D7A"/>
    <w:rsid w:val="004B7B78"/>
    <w:rsid w:val="004C235D"/>
    <w:rsid w:val="004C3152"/>
    <w:rsid w:val="005043F5"/>
    <w:rsid w:val="00514251"/>
    <w:rsid w:val="005146D7"/>
    <w:rsid w:val="00517520"/>
    <w:rsid w:val="005201CC"/>
    <w:rsid w:val="00523BD0"/>
    <w:rsid w:val="00525573"/>
    <w:rsid w:val="00532B8B"/>
    <w:rsid w:val="005360FE"/>
    <w:rsid w:val="00541EC8"/>
    <w:rsid w:val="00542E7D"/>
    <w:rsid w:val="00553CEF"/>
    <w:rsid w:val="00561605"/>
    <w:rsid w:val="00564896"/>
    <w:rsid w:val="0056603B"/>
    <w:rsid w:val="005714E9"/>
    <w:rsid w:val="005812A0"/>
    <w:rsid w:val="005826B2"/>
    <w:rsid w:val="00583EDE"/>
    <w:rsid w:val="005851E5"/>
    <w:rsid w:val="00591687"/>
    <w:rsid w:val="00593980"/>
    <w:rsid w:val="00593F54"/>
    <w:rsid w:val="00595E73"/>
    <w:rsid w:val="00595E78"/>
    <w:rsid w:val="005975FA"/>
    <w:rsid w:val="005A25E3"/>
    <w:rsid w:val="005A7AA0"/>
    <w:rsid w:val="005C5608"/>
    <w:rsid w:val="005C57C6"/>
    <w:rsid w:val="005D1203"/>
    <w:rsid w:val="005D2883"/>
    <w:rsid w:val="005D30C7"/>
    <w:rsid w:val="005D4005"/>
    <w:rsid w:val="005E4890"/>
    <w:rsid w:val="005F25C2"/>
    <w:rsid w:val="005F29F7"/>
    <w:rsid w:val="005F6624"/>
    <w:rsid w:val="006024AF"/>
    <w:rsid w:val="00603087"/>
    <w:rsid w:val="006103B0"/>
    <w:rsid w:val="006127A9"/>
    <w:rsid w:val="00616BF9"/>
    <w:rsid w:val="0062020B"/>
    <w:rsid w:val="00621240"/>
    <w:rsid w:val="00630FE7"/>
    <w:rsid w:val="006347E2"/>
    <w:rsid w:val="00636E96"/>
    <w:rsid w:val="006403C6"/>
    <w:rsid w:val="0065530F"/>
    <w:rsid w:val="0066297C"/>
    <w:rsid w:val="0066581F"/>
    <w:rsid w:val="00670F70"/>
    <w:rsid w:val="0068534C"/>
    <w:rsid w:val="006974D8"/>
    <w:rsid w:val="006A1145"/>
    <w:rsid w:val="006A21BE"/>
    <w:rsid w:val="006A3999"/>
    <w:rsid w:val="006A4458"/>
    <w:rsid w:val="006A6FF3"/>
    <w:rsid w:val="006A77DC"/>
    <w:rsid w:val="006B0093"/>
    <w:rsid w:val="006B021F"/>
    <w:rsid w:val="006C39B0"/>
    <w:rsid w:val="006C4AF4"/>
    <w:rsid w:val="006D2D08"/>
    <w:rsid w:val="006E4BC6"/>
    <w:rsid w:val="006E5542"/>
    <w:rsid w:val="006E6772"/>
    <w:rsid w:val="006E7F89"/>
    <w:rsid w:val="00704B69"/>
    <w:rsid w:val="00710E0C"/>
    <w:rsid w:val="007158AB"/>
    <w:rsid w:val="007210A2"/>
    <w:rsid w:val="007469FE"/>
    <w:rsid w:val="00747357"/>
    <w:rsid w:val="0075323F"/>
    <w:rsid w:val="00753817"/>
    <w:rsid w:val="00760368"/>
    <w:rsid w:val="0076169F"/>
    <w:rsid w:val="00762D04"/>
    <w:rsid w:val="00775A5E"/>
    <w:rsid w:val="00777930"/>
    <w:rsid w:val="007805F0"/>
    <w:rsid w:val="007813B1"/>
    <w:rsid w:val="007846CE"/>
    <w:rsid w:val="007847F1"/>
    <w:rsid w:val="007941B5"/>
    <w:rsid w:val="00797289"/>
    <w:rsid w:val="007A2AD5"/>
    <w:rsid w:val="007A69AB"/>
    <w:rsid w:val="007B17B6"/>
    <w:rsid w:val="007B5FF0"/>
    <w:rsid w:val="007B626F"/>
    <w:rsid w:val="007B7DD7"/>
    <w:rsid w:val="007C3CF1"/>
    <w:rsid w:val="007D298C"/>
    <w:rsid w:val="007D2CC8"/>
    <w:rsid w:val="007D7D1A"/>
    <w:rsid w:val="007E67C3"/>
    <w:rsid w:val="007E7784"/>
    <w:rsid w:val="007F1223"/>
    <w:rsid w:val="007F3893"/>
    <w:rsid w:val="0080222C"/>
    <w:rsid w:val="00806F23"/>
    <w:rsid w:val="008111DD"/>
    <w:rsid w:val="008112A0"/>
    <w:rsid w:val="00824312"/>
    <w:rsid w:val="00832727"/>
    <w:rsid w:val="00837404"/>
    <w:rsid w:val="00854A82"/>
    <w:rsid w:val="008561D6"/>
    <w:rsid w:val="008604F5"/>
    <w:rsid w:val="00864554"/>
    <w:rsid w:val="0086631A"/>
    <w:rsid w:val="008776C4"/>
    <w:rsid w:val="00882AD4"/>
    <w:rsid w:val="008919CB"/>
    <w:rsid w:val="008931E2"/>
    <w:rsid w:val="008937B1"/>
    <w:rsid w:val="00895365"/>
    <w:rsid w:val="008A3D31"/>
    <w:rsid w:val="008B1EA0"/>
    <w:rsid w:val="008B3B7F"/>
    <w:rsid w:val="008B6B87"/>
    <w:rsid w:val="008C3CDE"/>
    <w:rsid w:val="008D2D41"/>
    <w:rsid w:val="008D5668"/>
    <w:rsid w:val="008D779F"/>
    <w:rsid w:val="008E2F87"/>
    <w:rsid w:val="008F2153"/>
    <w:rsid w:val="008F2272"/>
    <w:rsid w:val="008F2F01"/>
    <w:rsid w:val="009026F6"/>
    <w:rsid w:val="00903067"/>
    <w:rsid w:val="00903BC2"/>
    <w:rsid w:val="00905FD3"/>
    <w:rsid w:val="00906877"/>
    <w:rsid w:val="00907977"/>
    <w:rsid w:val="00913868"/>
    <w:rsid w:val="009140C0"/>
    <w:rsid w:val="009179B5"/>
    <w:rsid w:val="00920BF6"/>
    <w:rsid w:val="0092396D"/>
    <w:rsid w:val="00926FBD"/>
    <w:rsid w:val="00932FD8"/>
    <w:rsid w:val="00933BEC"/>
    <w:rsid w:val="00944FF2"/>
    <w:rsid w:val="00955133"/>
    <w:rsid w:val="0096181F"/>
    <w:rsid w:val="00962D87"/>
    <w:rsid w:val="00964D64"/>
    <w:rsid w:val="009660FC"/>
    <w:rsid w:val="00967826"/>
    <w:rsid w:val="009749AC"/>
    <w:rsid w:val="00984062"/>
    <w:rsid w:val="00986929"/>
    <w:rsid w:val="0099275F"/>
    <w:rsid w:val="009944D8"/>
    <w:rsid w:val="009971FE"/>
    <w:rsid w:val="009A0E44"/>
    <w:rsid w:val="009A1CA8"/>
    <w:rsid w:val="009A3298"/>
    <w:rsid w:val="009B1C28"/>
    <w:rsid w:val="009C431A"/>
    <w:rsid w:val="009C4E27"/>
    <w:rsid w:val="009C6ED9"/>
    <w:rsid w:val="009C7623"/>
    <w:rsid w:val="009D2843"/>
    <w:rsid w:val="009D3764"/>
    <w:rsid w:val="009E1680"/>
    <w:rsid w:val="009E1758"/>
    <w:rsid w:val="009E2D12"/>
    <w:rsid w:val="009F3739"/>
    <w:rsid w:val="009F4535"/>
    <w:rsid w:val="009F6B8D"/>
    <w:rsid w:val="009F6C4E"/>
    <w:rsid w:val="009F6FA6"/>
    <w:rsid w:val="00A02818"/>
    <w:rsid w:val="00A20250"/>
    <w:rsid w:val="00A2043F"/>
    <w:rsid w:val="00A26D91"/>
    <w:rsid w:val="00A30B21"/>
    <w:rsid w:val="00A40A00"/>
    <w:rsid w:val="00A40BF1"/>
    <w:rsid w:val="00A43D53"/>
    <w:rsid w:val="00A46DAB"/>
    <w:rsid w:val="00A4737C"/>
    <w:rsid w:val="00A51604"/>
    <w:rsid w:val="00A51FDC"/>
    <w:rsid w:val="00A5250B"/>
    <w:rsid w:val="00A642DB"/>
    <w:rsid w:val="00A666F4"/>
    <w:rsid w:val="00A72267"/>
    <w:rsid w:val="00A73EF8"/>
    <w:rsid w:val="00A74174"/>
    <w:rsid w:val="00A75D86"/>
    <w:rsid w:val="00A77683"/>
    <w:rsid w:val="00A8792D"/>
    <w:rsid w:val="00A901F3"/>
    <w:rsid w:val="00AA343F"/>
    <w:rsid w:val="00AA7773"/>
    <w:rsid w:val="00AB0376"/>
    <w:rsid w:val="00AB3D2E"/>
    <w:rsid w:val="00AB5EE6"/>
    <w:rsid w:val="00AC7681"/>
    <w:rsid w:val="00AD2BA6"/>
    <w:rsid w:val="00AE4BE2"/>
    <w:rsid w:val="00AE5F2D"/>
    <w:rsid w:val="00AF01C7"/>
    <w:rsid w:val="00AF150D"/>
    <w:rsid w:val="00AF428B"/>
    <w:rsid w:val="00B13349"/>
    <w:rsid w:val="00B141A9"/>
    <w:rsid w:val="00B25D15"/>
    <w:rsid w:val="00B26BB8"/>
    <w:rsid w:val="00B3266D"/>
    <w:rsid w:val="00B51C8F"/>
    <w:rsid w:val="00B51D4A"/>
    <w:rsid w:val="00B54247"/>
    <w:rsid w:val="00B61323"/>
    <w:rsid w:val="00B62893"/>
    <w:rsid w:val="00B70651"/>
    <w:rsid w:val="00B73E4A"/>
    <w:rsid w:val="00B7508D"/>
    <w:rsid w:val="00B82B37"/>
    <w:rsid w:val="00B87490"/>
    <w:rsid w:val="00B87A96"/>
    <w:rsid w:val="00B91DEB"/>
    <w:rsid w:val="00B9356F"/>
    <w:rsid w:val="00B93E9C"/>
    <w:rsid w:val="00B94AAD"/>
    <w:rsid w:val="00BB4A2C"/>
    <w:rsid w:val="00BC4B23"/>
    <w:rsid w:val="00BD1B86"/>
    <w:rsid w:val="00BF14DC"/>
    <w:rsid w:val="00BF564A"/>
    <w:rsid w:val="00C01BDE"/>
    <w:rsid w:val="00C04902"/>
    <w:rsid w:val="00C11A79"/>
    <w:rsid w:val="00C11F6F"/>
    <w:rsid w:val="00C16530"/>
    <w:rsid w:val="00C16C9F"/>
    <w:rsid w:val="00C21EBD"/>
    <w:rsid w:val="00C35386"/>
    <w:rsid w:val="00C47136"/>
    <w:rsid w:val="00C56FD6"/>
    <w:rsid w:val="00C84F6C"/>
    <w:rsid w:val="00C93249"/>
    <w:rsid w:val="00C935CE"/>
    <w:rsid w:val="00C94FDE"/>
    <w:rsid w:val="00CA3A40"/>
    <w:rsid w:val="00CA3B6C"/>
    <w:rsid w:val="00CA4876"/>
    <w:rsid w:val="00CB2915"/>
    <w:rsid w:val="00CB4E07"/>
    <w:rsid w:val="00CC51FF"/>
    <w:rsid w:val="00CC6F87"/>
    <w:rsid w:val="00CD3CD8"/>
    <w:rsid w:val="00CD79B8"/>
    <w:rsid w:val="00CE0781"/>
    <w:rsid w:val="00CE7212"/>
    <w:rsid w:val="00CF04B1"/>
    <w:rsid w:val="00CF3E5F"/>
    <w:rsid w:val="00D02263"/>
    <w:rsid w:val="00D029D7"/>
    <w:rsid w:val="00D04455"/>
    <w:rsid w:val="00D07DD4"/>
    <w:rsid w:val="00D24E1A"/>
    <w:rsid w:val="00D34E63"/>
    <w:rsid w:val="00D46FBC"/>
    <w:rsid w:val="00D5015B"/>
    <w:rsid w:val="00D605D3"/>
    <w:rsid w:val="00D8275D"/>
    <w:rsid w:val="00D9213A"/>
    <w:rsid w:val="00D921A0"/>
    <w:rsid w:val="00D94434"/>
    <w:rsid w:val="00D956EC"/>
    <w:rsid w:val="00D95901"/>
    <w:rsid w:val="00DA1256"/>
    <w:rsid w:val="00DA2376"/>
    <w:rsid w:val="00DA55A6"/>
    <w:rsid w:val="00DA5830"/>
    <w:rsid w:val="00DA7351"/>
    <w:rsid w:val="00DB0C20"/>
    <w:rsid w:val="00DC02E3"/>
    <w:rsid w:val="00DC2548"/>
    <w:rsid w:val="00DC37AA"/>
    <w:rsid w:val="00DC3CFA"/>
    <w:rsid w:val="00DD1BA7"/>
    <w:rsid w:val="00DD228D"/>
    <w:rsid w:val="00DD2612"/>
    <w:rsid w:val="00DD44E0"/>
    <w:rsid w:val="00DE37BE"/>
    <w:rsid w:val="00DE3CC8"/>
    <w:rsid w:val="00DF201C"/>
    <w:rsid w:val="00DF26C0"/>
    <w:rsid w:val="00DF52E0"/>
    <w:rsid w:val="00DF5F4B"/>
    <w:rsid w:val="00DF7D5E"/>
    <w:rsid w:val="00E03AE7"/>
    <w:rsid w:val="00E05941"/>
    <w:rsid w:val="00E117AA"/>
    <w:rsid w:val="00E1644D"/>
    <w:rsid w:val="00E166A9"/>
    <w:rsid w:val="00E21429"/>
    <w:rsid w:val="00E2362A"/>
    <w:rsid w:val="00E26423"/>
    <w:rsid w:val="00E31C29"/>
    <w:rsid w:val="00E40343"/>
    <w:rsid w:val="00E40EE3"/>
    <w:rsid w:val="00E4187A"/>
    <w:rsid w:val="00E5035A"/>
    <w:rsid w:val="00E55D97"/>
    <w:rsid w:val="00E62E6F"/>
    <w:rsid w:val="00E64493"/>
    <w:rsid w:val="00E75263"/>
    <w:rsid w:val="00E805D2"/>
    <w:rsid w:val="00E903A8"/>
    <w:rsid w:val="00E94535"/>
    <w:rsid w:val="00E9702E"/>
    <w:rsid w:val="00EB1288"/>
    <w:rsid w:val="00EB4FC8"/>
    <w:rsid w:val="00EB6F3B"/>
    <w:rsid w:val="00EC26F2"/>
    <w:rsid w:val="00EC2ECA"/>
    <w:rsid w:val="00EC4A21"/>
    <w:rsid w:val="00EC789A"/>
    <w:rsid w:val="00ED1294"/>
    <w:rsid w:val="00ED1EF3"/>
    <w:rsid w:val="00ED4D59"/>
    <w:rsid w:val="00EE4EB2"/>
    <w:rsid w:val="00EE7AAF"/>
    <w:rsid w:val="00EE7E96"/>
    <w:rsid w:val="00EF1111"/>
    <w:rsid w:val="00EF2215"/>
    <w:rsid w:val="00EF6AB3"/>
    <w:rsid w:val="00F0710D"/>
    <w:rsid w:val="00F10D99"/>
    <w:rsid w:val="00F11915"/>
    <w:rsid w:val="00F14D6C"/>
    <w:rsid w:val="00F237BC"/>
    <w:rsid w:val="00F2526A"/>
    <w:rsid w:val="00F27EC4"/>
    <w:rsid w:val="00F33020"/>
    <w:rsid w:val="00F335C3"/>
    <w:rsid w:val="00F456B9"/>
    <w:rsid w:val="00F46F48"/>
    <w:rsid w:val="00F62F32"/>
    <w:rsid w:val="00F7090D"/>
    <w:rsid w:val="00F70CDF"/>
    <w:rsid w:val="00F75F79"/>
    <w:rsid w:val="00F82D8B"/>
    <w:rsid w:val="00F91435"/>
    <w:rsid w:val="00F9408E"/>
    <w:rsid w:val="00FA2974"/>
    <w:rsid w:val="00FA3159"/>
    <w:rsid w:val="00FA3404"/>
    <w:rsid w:val="00FA40F7"/>
    <w:rsid w:val="00FA4F4A"/>
    <w:rsid w:val="00FA5E10"/>
    <w:rsid w:val="00FB3C4A"/>
    <w:rsid w:val="00FC1381"/>
    <w:rsid w:val="00FC2C8D"/>
    <w:rsid w:val="00FC3105"/>
    <w:rsid w:val="00FD0ACC"/>
    <w:rsid w:val="00FE214D"/>
    <w:rsid w:val="00FE2A23"/>
    <w:rsid w:val="00FE5744"/>
    <w:rsid w:val="00FE5DAE"/>
    <w:rsid w:val="00FF45E3"/>
    <w:rsid w:val="00FF4F43"/>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2">
    <w:name w:val="heading 2"/>
    <w:basedOn w:val="Normal"/>
    <w:next w:val="Normal"/>
    <w:link w:val="Heading2Char"/>
    <w:uiPriority w:val="9"/>
    <w:semiHidden/>
    <w:unhideWhenUsed/>
    <w:qFormat/>
    <w:rsid w:val="00802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uiPriority w:val="34"/>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nhideWhenUsed/>
    <w:rsid w:val="007847F1"/>
    <w:rPr>
      <w:sz w:val="16"/>
      <w:szCs w:val="16"/>
    </w:rPr>
  </w:style>
  <w:style w:type="paragraph" w:styleId="CommentText">
    <w:name w:val="annotation text"/>
    <w:basedOn w:val="Normal"/>
    <w:link w:val="CommentTextChar"/>
    <w:uiPriority w:val="99"/>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unhideWhenUsed/>
    <w:rsid w:val="006E5542"/>
    <w:pPr>
      <w:spacing w:before="100" w:beforeAutospacing="1" w:after="100" w:afterAutospacing="1" w:line="240" w:lineRule="auto"/>
    </w:pPr>
    <w:rPr>
      <w:rFonts w:eastAsia="Times New Roman" w:cs="Times New Roman"/>
      <w:szCs w:val="24"/>
      <w:lang w:eastAsia="en-AU"/>
    </w:rPr>
  </w:style>
  <w:style w:type="paragraph" w:customStyle="1" w:styleId="TableText">
    <w:name w:val="TableText"/>
    <w:basedOn w:val="Normal"/>
    <w:qFormat/>
    <w:rsid w:val="009E1680"/>
    <w:pPr>
      <w:spacing w:before="120" w:after="120" w:line="240" w:lineRule="auto"/>
    </w:pPr>
    <w:rPr>
      <w:rFonts w:ascii="Century Gothic" w:eastAsiaTheme="majorEastAsia" w:hAnsi="Century Gothic" w:cs="Arial"/>
      <w:bCs/>
      <w:sz w:val="20"/>
      <w:szCs w:val="20"/>
    </w:rPr>
  </w:style>
  <w:style w:type="character" w:customStyle="1" w:styleId="Heading2Char">
    <w:name w:val="Heading 2 Char"/>
    <w:basedOn w:val="DefaultParagraphFont"/>
    <w:link w:val="Heading2"/>
    <w:uiPriority w:val="9"/>
    <w:semiHidden/>
    <w:rsid w:val="008022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275D"/>
    <w:pPr>
      <w:spacing w:after="0" w:line="240" w:lineRule="auto"/>
    </w:pPr>
    <w:rPr>
      <w:rFonts w:cstheme="minorBidi"/>
      <w:szCs w:val="22"/>
    </w:rPr>
  </w:style>
  <w:style w:type="paragraph" w:customStyle="1" w:styleId="ItemHead">
    <w:name w:val="ItemHead"/>
    <w:aliases w:val="ih"/>
    <w:basedOn w:val="Normal"/>
    <w:next w:val="Normal"/>
    <w:rsid w:val="0056160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BoxNote">
    <w:name w:val="BoxNote"/>
    <w:aliases w:val="bn"/>
    <w:basedOn w:val="Normal"/>
    <w:qFormat/>
    <w:rsid w:val="000A665E"/>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szCs w:val="20"/>
      <w:lang w:eastAsia="en-AU"/>
    </w:rPr>
  </w:style>
  <w:style w:type="paragraph" w:styleId="Footer">
    <w:name w:val="footer"/>
    <w:basedOn w:val="Normal"/>
    <w:link w:val="FooterChar"/>
    <w:uiPriority w:val="99"/>
    <w:unhideWhenUsed/>
    <w:rsid w:val="0034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797"/>
    <w:rPr>
      <w:rFonts w:cstheme="minorBidi"/>
      <w:szCs w:val="22"/>
    </w:rPr>
  </w:style>
  <w:style w:type="paragraph" w:styleId="NoSpacing">
    <w:name w:val="No Spacing"/>
    <w:uiPriority w:val="1"/>
    <w:qFormat/>
    <w:rsid w:val="00D95901"/>
    <w:pPr>
      <w:spacing w:after="0" w:line="240" w:lineRule="auto"/>
    </w:pPr>
    <w:rPr>
      <w:rFonts w:asciiTheme="minorHAnsi" w:hAnsiTheme="minorHAnsi" w:cstheme="minorBidi"/>
      <w:sz w:val="22"/>
      <w:szCs w:val="22"/>
    </w:rPr>
  </w:style>
  <w:style w:type="paragraph" w:customStyle="1" w:styleId="Default">
    <w:name w:val="Default"/>
    <w:rsid w:val="00517520"/>
    <w:pPr>
      <w:autoSpaceDE w:val="0"/>
      <w:autoSpaceDN w:val="0"/>
      <w:adjustRightInd w:val="0"/>
      <w:spacing w:after="0" w:line="240" w:lineRule="auto"/>
    </w:pPr>
    <w:rPr>
      <w:rFonts w:ascii="Century Gothic" w:hAnsi="Century Gothic" w:cs="Calibri"/>
      <w:color w:val="000000"/>
    </w:rPr>
  </w:style>
  <w:style w:type="paragraph" w:styleId="EndnoteText">
    <w:name w:val="endnote text"/>
    <w:basedOn w:val="Normal"/>
    <w:link w:val="EndnoteTextChar"/>
    <w:uiPriority w:val="99"/>
    <w:semiHidden/>
    <w:unhideWhenUsed/>
    <w:rsid w:val="00050830"/>
    <w:pPr>
      <w:spacing w:after="0" w:line="240" w:lineRule="auto"/>
    </w:pPr>
    <w:rPr>
      <w:rFonts w:ascii="Century Gothic" w:hAnsi="Century Gothic"/>
      <w:sz w:val="20"/>
      <w:szCs w:val="20"/>
    </w:rPr>
  </w:style>
  <w:style w:type="character" w:customStyle="1" w:styleId="EndnoteTextChar">
    <w:name w:val="Endnote Text Char"/>
    <w:basedOn w:val="DefaultParagraphFont"/>
    <w:link w:val="EndnoteText"/>
    <w:uiPriority w:val="99"/>
    <w:semiHidden/>
    <w:rsid w:val="00050830"/>
    <w:rPr>
      <w:rFonts w:ascii="Century Gothic" w:hAnsi="Century Gothic" w:cstheme="minorBidi"/>
      <w:sz w:val="20"/>
      <w:szCs w:val="20"/>
    </w:rPr>
  </w:style>
  <w:style w:type="character" w:styleId="EndnoteReference">
    <w:name w:val="endnote reference"/>
    <w:basedOn w:val="DefaultParagraphFont"/>
    <w:uiPriority w:val="99"/>
    <w:semiHidden/>
    <w:unhideWhenUsed/>
    <w:rsid w:val="00050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689">
      <w:bodyDiv w:val="1"/>
      <w:marLeft w:val="0"/>
      <w:marRight w:val="0"/>
      <w:marTop w:val="0"/>
      <w:marBottom w:val="0"/>
      <w:divBdr>
        <w:top w:val="none" w:sz="0" w:space="0" w:color="auto"/>
        <w:left w:val="none" w:sz="0" w:space="0" w:color="auto"/>
        <w:bottom w:val="none" w:sz="0" w:space="0" w:color="auto"/>
        <w:right w:val="none" w:sz="0" w:space="0" w:color="auto"/>
      </w:divBdr>
    </w:div>
    <w:div w:id="190535312">
      <w:bodyDiv w:val="1"/>
      <w:marLeft w:val="0"/>
      <w:marRight w:val="0"/>
      <w:marTop w:val="0"/>
      <w:marBottom w:val="0"/>
      <w:divBdr>
        <w:top w:val="none" w:sz="0" w:space="0" w:color="auto"/>
        <w:left w:val="none" w:sz="0" w:space="0" w:color="auto"/>
        <w:bottom w:val="none" w:sz="0" w:space="0" w:color="auto"/>
        <w:right w:val="none" w:sz="0" w:space="0" w:color="auto"/>
      </w:divBdr>
    </w:div>
    <w:div w:id="195894359">
      <w:bodyDiv w:val="1"/>
      <w:marLeft w:val="0"/>
      <w:marRight w:val="0"/>
      <w:marTop w:val="0"/>
      <w:marBottom w:val="0"/>
      <w:divBdr>
        <w:top w:val="none" w:sz="0" w:space="0" w:color="auto"/>
        <w:left w:val="none" w:sz="0" w:space="0" w:color="auto"/>
        <w:bottom w:val="none" w:sz="0" w:space="0" w:color="auto"/>
        <w:right w:val="none" w:sz="0" w:space="0" w:color="auto"/>
      </w:divBdr>
    </w:div>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226428080">
      <w:bodyDiv w:val="1"/>
      <w:marLeft w:val="0"/>
      <w:marRight w:val="0"/>
      <w:marTop w:val="0"/>
      <w:marBottom w:val="0"/>
      <w:divBdr>
        <w:top w:val="none" w:sz="0" w:space="0" w:color="auto"/>
        <w:left w:val="none" w:sz="0" w:space="0" w:color="auto"/>
        <w:bottom w:val="none" w:sz="0" w:space="0" w:color="auto"/>
        <w:right w:val="none" w:sz="0" w:space="0" w:color="auto"/>
      </w:divBdr>
    </w:div>
    <w:div w:id="241137309">
      <w:bodyDiv w:val="1"/>
      <w:marLeft w:val="0"/>
      <w:marRight w:val="0"/>
      <w:marTop w:val="0"/>
      <w:marBottom w:val="0"/>
      <w:divBdr>
        <w:top w:val="none" w:sz="0" w:space="0" w:color="auto"/>
        <w:left w:val="none" w:sz="0" w:space="0" w:color="auto"/>
        <w:bottom w:val="none" w:sz="0" w:space="0" w:color="auto"/>
        <w:right w:val="none" w:sz="0" w:space="0" w:color="auto"/>
      </w:divBdr>
    </w:div>
    <w:div w:id="342778708">
      <w:bodyDiv w:val="1"/>
      <w:marLeft w:val="0"/>
      <w:marRight w:val="0"/>
      <w:marTop w:val="0"/>
      <w:marBottom w:val="0"/>
      <w:divBdr>
        <w:top w:val="none" w:sz="0" w:space="0" w:color="auto"/>
        <w:left w:val="none" w:sz="0" w:space="0" w:color="auto"/>
        <w:bottom w:val="none" w:sz="0" w:space="0" w:color="auto"/>
        <w:right w:val="none" w:sz="0" w:space="0" w:color="auto"/>
      </w:divBdr>
    </w:div>
    <w:div w:id="491722388">
      <w:bodyDiv w:val="1"/>
      <w:marLeft w:val="0"/>
      <w:marRight w:val="0"/>
      <w:marTop w:val="0"/>
      <w:marBottom w:val="0"/>
      <w:divBdr>
        <w:top w:val="none" w:sz="0" w:space="0" w:color="auto"/>
        <w:left w:val="none" w:sz="0" w:space="0" w:color="auto"/>
        <w:bottom w:val="none" w:sz="0" w:space="0" w:color="auto"/>
        <w:right w:val="none" w:sz="0" w:space="0" w:color="auto"/>
      </w:divBdr>
    </w:div>
    <w:div w:id="710225186">
      <w:bodyDiv w:val="1"/>
      <w:marLeft w:val="0"/>
      <w:marRight w:val="0"/>
      <w:marTop w:val="0"/>
      <w:marBottom w:val="0"/>
      <w:divBdr>
        <w:top w:val="none" w:sz="0" w:space="0" w:color="auto"/>
        <w:left w:val="none" w:sz="0" w:space="0" w:color="auto"/>
        <w:bottom w:val="none" w:sz="0" w:space="0" w:color="auto"/>
        <w:right w:val="none" w:sz="0" w:space="0" w:color="auto"/>
      </w:divBdr>
    </w:div>
    <w:div w:id="831873885">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158813196">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 w:id="1775246350">
      <w:bodyDiv w:val="1"/>
      <w:marLeft w:val="0"/>
      <w:marRight w:val="0"/>
      <w:marTop w:val="0"/>
      <w:marBottom w:val="0"/>
      <w:divBdr>
        <w:top w:val="none" w:sz="0" w:space="0" w:color="auto"/>
        <w:left w:val="none" w:sz="0" w:space="0" w:color="auto"/>
        <w:bottom w:val="none" w:sz="0" w:space="0" w:color="auto"/>
        <w:right w:val="none" w:sz="0" w:space="0" w:color="auto"/>
      </w:divBdr>
    </w:div>
    <w:div w:id="1978073170">
      <w:bodyDiv w:val="1"/>
      <w:marLeft w:val="0"/>
      <w:marRight w:val="0"/>
      <w:marTop w:val="0"/>
      <w:marBottom w:val="0"/>
      <w:divBdr>
        <w:top w:val="none" w:sz="0" w:space="0" w:color="auto"/>
        <w:left w:val="none" w:sz="0" w:space="0" w:color="auto"/>
        <w:bottom w:val="none" w:sz="0" w:space="0" w:color="auto"/>
        <w:right w:val="none" w:sz="0" w:space="0" w:color="auto"/>
      </w:divBdr>
    </w:div>
    <w:div w:id="2069911595">
      <w:bodyDiv w:val="1"/>
      <w:marLeft w:val="0"/>
      <w:marRight w:val="0"/>
      <w:marTop w:val="0"/>
      <w:marBottom w:val="0"/>
      <w:divBdr>
        <w:top w:val="none" w:sz="0" w:space="0" w:color="auto"/>
        <w:left w:val="none" w:sz="0" w:space="0" w:color="auto"/>
        <w:bottom w:val="none" w:sz="0" w:space="0" w:color="auto"/>
        <w:right w:val="none" w:sz="0" w:space="0" w:color="auto"/>
      </w:divBdr>
    </w:div>
    <w:div w:id="2082633735">
      <w:bodyDiv w:val="1"/>
      <w:marLeft w:val="0"/>
      <w:marRight w:val="0"/>
      <w:marTop w:val="0"/>
      <w:marBottom w:val="0"/>
      <w:divBdr>
        <w:top w:val="none" w:sz="0" w:space="0" w:color="auto"/>
        <w:left w:val="none" w:sz="0" w:space="0" w:color="auto"/>
        <w:bottom w:val="none" w:sz="0" w:space="0" w:color="auto"/>
        <w:right w:val="none" w:sz="0" w:space="0" w:color="auto"/>
      </w:divBdr>
    </w:div>
    <w:div w:id="21286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accreditation/pathology-accreditation-standards" TargetMode="External"/><Relationship Id="rId3" Type="http://schemas.openxmlformats.org/officeDocument/2006/relationships/settings" Target="settings.xml"/><Relationship Id="rId7" Type="http://schemas.openxmlformats.org/officeDocument/2006/relationships/hyperlink" Target="https://www.safetyandquality.gov.au/our-work/accreditation/pathology-accreditation-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VANCUYLENBURG, Chrisanne</cp:lastModifiedBy>
  <cp:revision>5</cp:revision>
  <cp:lastPrinted>2023-02-02T23:07:00Z</cp:lastPrinted>
  <dcterms:created xsi:type="dcterms:W3CDTF">2023-02-17T02:45:00Z</dcterms:created>
  <dcterms:modified xsi:type="dcterms:W3CDTF">2023-02-22T01:38:00Z</dcterms:modified>
</cp:coreProperties>
</file>