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4EEDB" w14:textId="77777777" w:rsidR="00486185" w:rsidRPr="009A6866" w:rsidRDefault="00486185" w:rsidP="00682847">
      <w:pPr>
        <w:pStyle w:val="ActHead6"/>
        <w:jc w:val="center"/>
      </w:pPr>
      <w:r>
        <w:t>EXPLANATORY STATEMENT</w:t>
      </w:r>
    </w:p>
    <w:p w14:paraId="6626F329" w14:textId="4B2117EF" w:rsidR="009A6866" w:rsidRPr="009A6866" w:rsidRDefault="009A6866" w:rsidP="00682847">
      <w:pPr>
        <w:pStyle w:val="Heading6"/>
        <w:jc w:val="center"/>
      </w:pPr>
      <w:r w:rsidRPr="009A6866">
        <w:t>Defence Determination, Con</w:t>
      </w:r>
      <w:r w:rsidR="006020BF">
        <w:t>ditions of service Amendment</w:t>
      </w:r>
      <w:r w:rsidR="009B7B55">
        <w:t xml:space="preserve"> Determination 2023</w:t>
      </w:r>
      <w:r w:rsidR="00A63E34">
        <w:t xml:space="preserve"> (No. 4</w:t>
      </w:r>
      <w:r w:rsidRPr="009A6866">
        <w:t>)</w:t>
      </w:r>
    </w:p>
    <w:p w14:paraId="383649D3" w14:textId="337A16C4" w:rsidR="001E51FE" w:rsidRDefault="001E51FE" w:rsidP="00EC45EE">
      <w:pPr>
        <w:pStyle w:val="Sectiontext"/>
        <w:tabs>
          <w:tab w:val="left" w:pos="7380"/>
        </w:tabs>
      </w:pPr>
      <w:r w:rsidRPr="000D4FC9">
        <w:t>This Determination a</w:t>
      </w:r>
      <w:r>
        <w:t>mends Defence Determination 2016/19</w:t>
      </w:r>
      <w:r w:rsidRPr="000D4FC9">
        <w:t xml:space="preserve">, </w:t>
      </w:r>
      <w:r w:rsidRPr="00EC45EE">
        <w:t>Conditions of service</w:t>
      </w:r>
      <w:r w:rsidRPr="000D4FC9">
        <w:t xml:space="preserve"> (the Principal Determination), made under section 58B of the </w:t>
      </w:r>
      <w:r w:rsidRPr="00D84477">
        <w:rPr>
          <w:i/>
        </w:rPr>
        <w:t>Defence Act 1903</w:t>
      </w:r>
      <w:r w:rsidR="00FA083A">
        <w:t xml:space="preserve"> </w:t>
      </w:r>
      <w:r w:rsidR="00D516AD">
        <w:t xml:space="preserve">(Defence Act) </w:t>
      </w:r>
      <w:r w:rsidRPr="000D4FC9">
        <w:t xml:space="preserve">and in accordance with subsection 33(3) of the </w:t>
      </w:r>
      <w:r w:rsidRPr="00D84477">
        <w:rPr>
          <w:i/>
        </w:rPr>
        <w:t>Acts Interpretation Act 1901</w:t>
      </w:r>
      <w:r w:rsidR="00557413">
        <w:t xml:space="preserve"> (AI</w:t>
      </w:r>
      <w:r w:rsidRPr="000D4FC9">
        <w:t xml:space="preserve"> Act). </w:t>
      </w:r>
    </w:p>
    <w:p w14:paraId="15BAF105" w14:textId="1E7F493C" w:rsidR="001E51FE" w:rsidRDefault="001E51FE" w:rsidP="001E51FE">
      <w:pPr>
        <w:pStyle w:val="Sectiontext"/>
        <w:tabs>
          <w:tab w:val="left" w:pos="7380"/>
        </w:tabs>
      </w:pPr>
      <w:r w:rsidRPr="000D4FC9">
        <w:t>Determinations made under section 58B of the Defence Act are disallowable legislative instruments</w:t>
      </w:r>
      <w:r>
        <w:t xml:space="preserve"> subject to the </w:t>
      </w:r>
      <w:r>
        <w:rPr>
          <w:i/>
        </w:rPr>
        <w:t>Legislation Act 2003</w:t>
      </w:r>
      <w:r w:rsidR="00724541">
        <w:rPr>
          <w:i/>
        </w:rPr>
        <w:t xml:space="preserve"> </w:t>
      </w:r>
      <w:r w:rsidR="00724541">
        <w:rPr>
          <w:iCs/>
        </w:rPr>
        <w:t>(Legislation Act)</w:t>
      </w:r>
      <w:r>
        <w:t>. These instruments</w:t>
      </w:r>
      <w:r w:rsidRPr="000D4FC9">
        <w:t xml:space="preserve"> are </w:t>
      </w:r>
      <w:r>
        <w:t xml:space="preserve">also </w:t>
      </w:r>
      <w:r w:rsidRPr="000D4FC9">
        <w:t>subject to the interpret</w:t>
      </w:r>
      <w:r w:rsidR="00557413">
        <w:t>ation principles in the AI</w:t>
      </w:r>
      <w:r>
        <w:t xml:space="preserve"> Act</w:t>
      </w:r>
      <w:r w:rsidRPr="000D4FC9">
        <w:t xml:space="preserve">. </w:t>
      </w:r>
    </w:p>
    <w:p w14:paraId="14293F1E" w14:textId="740024F6" w:rsidR="00682847" w:rsidRDefault="00682847" w:rsidP="001E51FE">
      <w:pPr>
        <w:pStyle w:val="Sectiontext"/>
        <w:tabs>
          <w:tab w:val="left" w:pos="7380"/>
        </w:tabs>
      </w:pPr>
      <w:r>
        <w:t>This Determination amends the Principal Determination which provides benefits for members of the Australian Defence Force (ADF) and their families as part of the member’s conditions of service. The Principal Determination provides a range of benefits that recognise the unique nature of military service and the obligation</w:t>
      </w:r>
      <w:r w:rsidR="00CA19C3">
        <w:t>s</w:t>
      </w:r>
      <w:r>
        <w:t xml:space="preserve"> and limitations that military service places on members and their families. Members undertake service in both the domestic and overseas environments, including on deployments. Specific benefits are provided for each environment. </w:t>
      </w:r>
    </w:p>
    <w:p w14:paraId="41EF0E3E" w14:textId="28AD15E4" w:rsidR="00682847" w:rsidRDefault="00682847" w:rsidP="00682847">
      <w:pPr>
        <w:pStyle w:val="Sectiontext"/>
        <w:tabs>
          <w:tab w:val="left" w:pos="7380"/>
        </w:tabs>
        <w:jc w:val="center"/>
        <w:rPr>
          <w:b/>
        </w:rPr>
      </w:pPr>
      <w:r>
        <w:rPr>
          <w:b/>
        </w:rPr>
        <w:t>Purpose</w:t>
      </w:r>
    </w:p>
    <w:p w14:paraId="132D9111" w14:textId="66692E00" w:rsidR="00682847" w:rsidRDefault="00682847" w:rsidP="00682847">
      <w:pPr>
        <w:pStyle w:val="Sectiontext"/>
        <w:tabs>
          <w:tab w:val="left" w:pos="7380"/>
        </w:tabs>
      </w:pPr>
      <w:r>
        <w:t>The purpose of this Determination is to do the following:</w:t>
      </w:r>
    </w:p>
    <w:p w14:paraId="6E05FC08" w14:textId="26D52354" w:rsidR="00E8342F" w:rsidRDefault="004F549D" w:rsidP="00E8342F">
      <w:pPr>
        <w:pStyle w:val="Sectiontext"/>
        <w:numPr>
          <w:ilvl w:val="0"/>
          <w:numId w:val="17"/>
        </w:numPr>
        <w:tabs>
          <w:tab w:val="left" w:pos="7380"/>
        </w:tabs>
      </w:pPr>
      <w:r>
        <w:t>A</w:t>
      </w:r>
      <w:r w:rsidR="00E8342F">
        <w:t xml:space="preserve">mend higher duties allowance provisions to allow members </w:t>
      </w:r>
      <w:r w:rsidR="00E8342F" w:rsidRPr="00AD4D0E">
        <w:t xml:space="preserve">who hold the rank of Sub Lieutenant </w:t>
      </w:r>
      <w:r w:rsidR="00E8342F">
        <w:t>that have been</w:t>
      </w:r>
      <w:r w:rsidR="00E8342F" w:rsidRPr="00AD4D0E">
        <w:t xml:space="preserve"> directed to perform d</w:t>
      </w:r>
      <w:r w:rsidR="00E8342F">
        <w:t xml:space="preserve">uties at the rank of Lieutenant to be eligible to receive higher duties allowance. </w:t>
      </w:r>
    </w:p>
    <w:p w14:paraId="45CFDD31" w14:textId="647A456B" w:rsidR="00E8342F" w:rsidRDefault="00E8342F" w:rsidP="00DB7A3E">
      <w:pPr>
        <w:pStyle w:val="Sectiontext"/>
        <w:numPr>
          <w:ilvl w:val="0"/>
          <w:numId w:val="17"/>
        </w:numPr>
        <w:tabs>
          <w:tab w:val="left" w:pos="7380"/>
        </w:tabs>
      </w:pPr>
      <w:r>
        <w:t>To extend the provision of excess baggage benefits for specified</w:t>
      </w:r>
      <w:r w:rsidR="00A63E34">
        <w:t xml:space="preserve"> overseas</w:t>
      </w:r>
      <w:r>
        <w:t xml:space="preserve"> travel until 1</w:t>
      </w:r>
      <w:r w:rsidR="00A63E34">
        <w:t> </w:t>
      </w:r>
      <w:r w:rsidR="00DB7A3E">
        <w:t xml:space="preserve">March 2024, </w:t>
      </w:r>
      <w:r w:rsidRPr="00F93DD7">
        <w:t>change the approved cl</w:t>
      </w:r>
      <w:r>
        <w:t xml:space="preserve">ub for member’s posted to </w:t>
      </w:r>
      <w:proofErr w:type="spellStart"/>
      <w:r w:rsidRPr="00DB7A3E">
        <w:rPr>
          <w:iCs/>
        </w:rPr>
        <w:t>T</w:t>
      </w:r>
      <w:r w:rsidRPr="00DB7A3E">
        <w:rPr>
          <w:rFonts w:cs="Arial"/>
          <w:iCs/>
        </w:rPr>
        <w:t>ü</w:t>
      </w:r>
      <w:r w:rsidRPr="00DB7A3E">
        <w:rPr>
          <w:iCs/>
        </w:rPr>
        <w:t>rkiye</w:t>
      </w:r>
      <w:proofErr w:type="spellEnd"/>
      <w:r w:rsidR="00DB7A3E">
        <w:t xml:space="preserve">, and </w:t>
      </w:r>
      <w:r>
        <w:t>change the spelling of the country “Turkey” to “</w:t>
      </w:r>
      <w:r w:rsidRPr="00DB7A3E">
        <w:rPr>
          <w:iCs/>
        </w:rPr>
        <w:t>T</w:t>
      </w:r>
      <w:r w:rsidRPr="00DB7A3E">
        <w:rPr>
          <w:rFonts w:cs="Arial"/>
          <w:iCs/>
        </w:rPr>
        <w:t>ü</w:t>
      </w:r>
      <w:r w:rsidRPr="00DB7A3E">
        <w:rPr>
          <w:iCs/>
        </w:rPr>
        <w:t>rkiye” where it is referenced in the Principal Determination.</w:t>
      </w:r>
    </w:p>
    <w:p w14:paraId="604AE69D" w14:textId="39B621F9" w:rsidR="00682847" w:rsidRDefault="00523116" w:rsidP="00682847">
      <w:pPr>
        <w:pStyle w:val="Sectiontext"/>
        <w:tabs>
          <w:tab w:val="left" w:pos="7380"/>
        </w:tabs>
        <w:jc w:val="center"/>
        <w:rPr>
          <w:b/>
        </w:rPr>
      </w:pPr>
      <w:r>
        <w:rPr>
          <w:b/>
        </w:rPr>
        <w:t>Operational d</w:t>
      </w:r>
      <w:r w:rsidR="00682847">
        <w:rPr>
          <w:b/>
        </w:rPr>
        <w:t>etails</w:t>
      </w:r>
    </w:p>
    <w:p w14:paraId="7EFA54F1" w14:textId="02F02193" w:rsidR="00682847" w:rsidRPr="00682847" w:rsidRDefault="00682847" w:rsidP="00682847">
      <w:pPr>
        <w:pStyle w:val="Sectiontext"/>
        <w:tabs>
          <w:tab w:val="left" w:pos="7380"/>
        </w:tabs>
      </w:pPr>
      <w:r>
        <w:t>Details of the operation of the Determination are provided at annex A.</w:t>
      </w:r>
    </w:p>
    <w:p w14:paraId="2A7303DD" w14:textId="77777777" w:rsidR="00AA0D47" w:rsidRPr="00172267" w:rsidRDefault="00AA0D47" w:rsidP="00AA0D47">
      <w:pPr>
        <w:pStyle w:val="Sectiontext"/>
        <w:jc w:val="center"/>
        <w:rPr>
          <w:b/>
          <w:snapToGrid w:val="0"/>
        </w:rPr>
      </w:pPr>
      <w:r w:rsidRPr="00172267">
        <w:rPr>
          <w:b/>
          <w:snapToGrid w:val="0"/>
        </w:rPr>
        <w:t>Human rights compatibility</w:t>
      </w:r>
    </w:p>
    <w:p w14:paraId="19681186" w14:textId="77777777" w:rsidR="00AA0D47" w:rsidRDefault="00AA0D47" w:rsidP="00AA0D47">
      <w:pPr>
        <w:pStyle w:val="Sectiontext"/>
        <w:rPr>
          <w:snapToGrid w:val="0"/>
        </w:rPr>
      </w:pPr>
      <w:r>
        <w:rPr>
          <w:snapToGrid w:val="0"/>
        </w:rPr>
        <w:t xml:space="preserve">The statement of compatibility </w:t>
      </w:r>
      <w:r w:rsidRPr="001739E7">
        <w:rPr>
          <w:snapToGrid w:val="0"/>
        </w:rPr>
        <w:t xml:space="preserve">under subsection 9(1) of the </w:t>
      </w:r>
      <w:r w:rsidRPr="001739E7">
        <w:rPr>
          <w:i/>
          <w:snapToGrid w:val="0"/>
        </w:rPr>
        <w:t>Human Righ</w:t>
      </w:r>
      <w:r>
        <w:rPr>
          <w:i/>
          <w:snapToGrid w:val="0"/>
        </w:rPr>
        <w:t>ts (Parliamentary Scrutiny) Act </w:t>
      </w:r>
      <w:r w:rsidRPr="001739E7">
        <w:rPr>
          <w:i/>
          <w:snapToGrid w:val="0"/>
        </w:rPr>
        <w:t>2011</w:t>
      </w:r>
      <w:r>
        <w:rPr>
          <w:snapToGrid w:val="0"/>
        </w:rPr>
        <w:t xml:space="preserve"> for this Determination is at annex B.</w:t>
      </w:r>
    </w:p>
    <w:p w14:paraId="48750C29" w14:textId="77777777" w:rsidR="00AA0D47" w:rsidRPr="00172267" w:rsidRDefault="00AA0D47" w:rsidP="00AA0D47">
      <w:pPr>
        <w:pStyle w:val="Sectiontext"/>
        <w:jc w:val="center"/>
        <w:rPr>
          <w:b/>
          <w:snapToGrid w:val="0"/>
        </w:rPr>
      </w:pPr>
      <w:r w:rsidRPr="00172267">
        <w:rPr>
          <w:b/>
          <w:snapToGrid w:val="0"/>
        </w:rPr>
        <w:t>Review options</w:t>
      </w:r>
    </w:p>
    <w:p w14:paraId="4D604980" w14:textId="77777777" w:rsidR="00AA0D47" w:rsidRDefault="00AA0D47" w:rsidP="00AA0D47">
      <w:pPr>
        <w:pStyle w:val="Sectiontext"/>
        <w:rPr>
          <w:snapToGrid w:val="0"/>
        </w:rPr>
      </w:pPr>
      <w:r w:rsidRPr="00F46ABF">
        <w:rPr>
          <w:snapToGrid w:val="0"/>
        </w:rPr>
        <w:t xml:space="preserve">Decisions that are made under the Principal Determination, as amended by this Determination, may be subject to inquiry under the ADF redress of grievance system provided under Part 7 of the </w:t>
      </w:r>
      <w:r w:rsidRPr="00115635">
        <w:rPr>
          <w:i/>
          <w:snapToGrid w:val="0"/>
        </w:rPr>
        <w:t>Defence Regulation 2016</w:t>
      </w:r>
      <w:r w:rsidRPr="00F46ABF">
        <w:rPr>
          <w:snapToGrid w:val="0"/>
        </w:rPr>
        <w:t>. Also, a person may make a complaint to the Defence Force Ombudsman.</w:t>
      </w:r>
    </w:p>
    <w:p w14:paraId="10680CCC" w14:textId="77777777" w:rsidR="00F55FD3" w:rsidRDefault="00F55FD3">
      <w:pPr>
        <w:spacing w:line="240" w:lineRule="auto"/>
        <w:rPr>
          <w:rFonts w:ascii="Arial" w:eastAsia="Times New Roman" w:hAnsi="Arial" w:cs="Arial"/>
          <w:b/>
          <w:color w:val="000000"/>
          <w:sz w:val="20"/>
          <w:lang w:eastAsia="en-AU"/>
        </w:rPr>
      </w:pPr>
      <w:r>
        <w:rPr>
          <w:rFonts w:cs="Arial"/>
          <w:b/>
          <w:color w:val="000000"/>
        </w:rPr>
        <w:br w:type="page"/>
      </w:r>
    </w:p>
    <w:p w14:paraId="047973A2" w14:textId="0D47A3EA" w:rsidR="00AA0D47" w:rsidRPr="0021243D" w:rsidRDefault="00AA0D47" w:rsidP="00AA0D47">
      <w:pPr>
        <w:pStyle w:val="Sectiontext"/>
        <w:jc w:val="center"/>
        <w:rPr>
          <w:rFonts w:cs="Arial"/>
          <w:snapToGrid w:val="0"/>
          <w:color w:val="000000"/>
        </w:rPr>
      </w:pPr>
      <w:r w:rsidRPr="0021243D">
        <w:rPr>
          <w:rFonts w:cs="Arial"/>
          <w:b/>
          <w:color w:val="000000"/>
        </w:rPr>
        <w:lastRenderedPageBreak/>
        <w:t>Consultation</w:t>
      </w:r>
    </w:p>
    <w:p w14:paraId="3E30BDC2" w14:textId="5AE14EA7" w:rsidR="00AA0D47" w:rsidRDefault="00AA0D47" w:rsidP="00AA0D47">
      <w:pPr>
        <w:pStyle w:val="Sectiontext"/>
        <w:rPr>
          <w:snapToGrid w:val="0"/>
        </w:rPr>
      </w:pPr>
      <w:r>
        <w:rPr>
          <w:snapToGrid w:val="0"/>
        </w:rPr>
        <w:t>Bef</w:t>
      </w:r>
      <w:r w:rsidR="00C40348">
        <w:rPr>
          <w:snapToGrid w:val="0"/>
        </w:rPr>
        <w:t>ore this Determination was made</w:t>
      </w:r>
      <w:r>
        <w:rPr>
          <w:snapToGrid w:val="0"/>
        </w:rPr>
        <w:t>, the following consultation was undertaken:</w:t>
      </w:r>
    </w:p>
    <w:p w14:paraId="4F0B751E" w14:textId="08C0B751" w:rsidR="00AA0D47" w:rsidRDefault="00AA0D47" w:rsidP="006020BF">
      <w:pPr>
        <w:pStyle w:val="Sectiontext"/>
        <w:numPr>
          <w:ilvl w:val="0"/>
          <w:numId w:val="19"/>
        </w:numPr>
        <w:rPr>
          <w:snapToGrid w:val="0"/>
        </w:rPr>
      </w:pPr>
      <w:r>
        <w:rPr>
          <w:snapToGrid w:val="0"/>
        </w:rPr>
        <w:t>Schedule 1:</w:t>
      </w:r>
      <w:r w:rsidR="006020BF">
        <w:rPr>
          <w:snapToGrid w:val="0"/>
        </w:rPr>
        <w:t xml:space="preserve"> </w:t>
      </w:r>
      <w:r w:rsidR="007C4910">
        <w:rPr>
          <w:snapToGrid w:val="0"/>
        </w:rPr>
        <w:t>Navy, Army</w:t>
      </w:r>
      <w:r w:rsidR="006020BF" w:rsidRPr="006020BF">
        <w:rPr>
          <w:snapToGrid w:val="0"/>
        </w:rPr>
        <w:t xml:space="preserve"> and Air Force</w:t>
      </w:r>
      <w:r w:rsidR="006020BF">
        <w:rPr>
          <w:snapToGrid w:val="0"/>
        </w:rPr>
        <w:t>.</w:t>
      </w:r>
    </w:p>
    <w:p w14:paraId="66C95C1B" w14:textId="68A7A53A" w:rsidR="009254AE" w:rsidRPr="002D4DE3" w:rsidRDefault="004F6294" w:rsidP="002D4DE3">
      <w:pPr>
        <w:pStyle w:val="Sectiontext"/>
        <w:numPr>
          <w:ilvl w:val="0"/>
          <w:numId w:val="19"/>
        </w:numPr>
        <w:rPr>
          <w:snapToGrid w:val="0"/>
        </w:rPr>
      </w:pPr>
      <w:r>
        <w:rPr>
          <w:snapToGrid w:val="0"/>
        </w:rPr>
        <w:t>Schedule 2</w:t>
      </w:r>
      <w:r w:rsidR="009254AE" w:rsidRPr="00473708">
        <w:rPr>
          <w:snapToGrid w:val="0"/>
        </w:rPr>
        <w:t xml:space="preserve">: </w:t>
      </w:r>
      <w:r w:rsidR="00473708" w:rsidRPr="00473708">
        <w:rPr>
          <w:snapToGrid w:val="0"/>
        </w:rPr>
        <w:t xml:space="preserve">Consultation was not considered necessary for the amendments in this Schedule. The changes are technical in nature and do not </w:t>
      </w:r>
      <w:r w:rsidR="00473708">
        <w:rPr>
          <w:snapToGrid w:val="0"/>
        </w:rPr>
        <w:t>amend the provision of benefits.</w:t>
      </w:r>
    </w:p>
    <w:p w14:paraId="064A18AC" w14:textId="68FDDE12" w:rsidR="00C72AFD" w:rsidRPr="00A575F1" w:rsidRDefault="00C72AFD" w:rsidP="004F6294">
      <w:pPr>
        <w:pStyle w:val="Sectiontext"/>
        <w:keepNext/>
        <w:keepLines/>
        <w:rPr>
          <w:snapToGrid w:val="0"/>
        </w:rPr>
      </w:pPr>
      <w:r w:rsidRPr="00A575F1">
        <w:rPr>
          <w:snapToGrid w:val="0"/>
        </w:rPr>
        <w:t>Th</w:t>
      </w:r>
      <w:r w:rsidR="00C40348">
        <w:rPr>
          <w:snapToGrid w:val="0"/>
        </w:rPr>
        <w:t>e rule maker was satisfied that</w:t>
      </w:r>
      <w:r>
        <w:rPr>
          <w:snapToGrid w:val="0"/>
        </w:rPr>
        <w:t xml:space="preserve"> further</w:t>
      </w:r>
      <w:r w:rsidRPr="00A575F1">
        <w:rPr>
          <w:snapToGrid w:val="0"/>
        </w:rPr>
        <w:t xml:space="preserve"> consultation was not required</w:t>
      </w:r>
      <w:r>
        <w:rPr>
          <w:snapToGrid w:val="0"/>
        </w:rPr>
        <w:t>.</w:t>
      </w:r>
    </w:p>
    <w:p w14:paraId="717E9E4E" w14:textId="77777777" w:rsidR="00AA0D47" w:rsidRDefault="00AA0D47" w:rsidP="004F6294">
      <w:pPr>
        <w:pStyle w:val="Sectiontext"/>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A0D47" w14:paraId="70C43414" w14:textId="77777777" w:rsidTr="00E817E9">
        <w:tc>
          <w:tcPr>
            <w:tcW w:w="4672" w:type="dxa"/>
          </w:tcPr>
          <w:p w14:paraId="218C04DB" w14:textId="77777777" w:rsidR="00AA0D47" w:rsidRDefault="00AA0D47" w:rsidP="00E817E9">
            <w:pPr>
              <w:keepNext/>
              <w:jc w:val="right"/>
              <w:rPr>
                <w:rFonts w:ascii="Arial" w:hAnsi="Arial" w:cs="Arial"/>
                <w:b/>
                <w:sz w:val="20"/>
              </w:rPr>
            </w:pPr>
            <w:r>
              <w:rPr>
                <w:rFonts w:ascii="Arial" w:hAnsi="Arial" w:cs="Arial"/>
                <w:b/>
                <w:sz w:val="20"/>
              </w:rPr>
              <w:t>Approved by:</w:t>
            </w:r>
          </w:p>
        </w:tc>
        <w:tc>
          <w:tcPr>
            <w:tcW w:w="4673" w:type="dxa"/>
          </w:tcPr>
          <w:p w14:paraId="13A31C67" w14:textId="7216C500" w:rsidR="00AA0D47" w:rsidRPr="00BE28F0" w:rsidRDefault="00E91740" w:rsidP="00E817E9">
            <w:pPr>
              <w:keepNext/>
              <w:jc w:val="right"/>
              <w:rPr>
                <w:rFonts w:ascii="Arial" w:hAnsi="Arial" w:cs="Arial"/>
                <w:b/>
                <w:sz w:val="20"/>
              </w:rPr>
            </w:pPr>
            <w:r w:rsidRPr="00BE28F0">
              <w:rPr>
                <w:rFonts w:ascii="Arial" w:hAnsi="Arial" w:cs="Arial"/>
                <w:b/>
                <w:sz w:val="20"/>
              </w:rPr>
              <w:t>Fiona Louise McSpeerin</w:t>
            </w:r>
          </w:p>
          <w:p w14:paraId="738562E6" w14:textId="705F0168" w:rsidR="00AA0D47" w:rsidRDefault="00AA0D47" w:rsidP="00E817E9">
            <w:pPr>
              <w:keepNext/>
              <w:jc w:val="right"/>
              <w:rPr>
                <w:rFonts w:ascii="Arial" w:hAnsi="Arial" w:cs="Arial"/>
                <w:sz w:val="20"/>
              </w:rPr>
            </w:pPr>
            <w:r w:rsidRPr="00263C24">
              <w:rPr>
                <w:rFonts w:ascii="Arial" w:hAnsi="Arial" w:cs="Arial"/>
                <w:sz w:val="20"/>
              </w:rPr>
              <w:t>Assistant Secretary</w:t>
            </w:r>
          </w:p>
          <w:p w14:paraId="5F2FF655" w14:textId="77777777" w:rsidR="00AA0D47" w:rsidRPr="00263C24" w:rsidRDefault="00AA0D47" w:rsidP="00E817E9">
            <w:pPr>
              <w:keepNext/>
              <w:jc w:val="right"/>
              <w:rPr>
                <w:rFonts w:ascii="Arial" w:hAnsi="Arial" w:cs="Arial"/>
                <w:sz w:val="20"/>
              </w:rPr>
            </w:pPr>
            <w:r w:rsidRPr="00263C24">
              <w:rPr>
                <w:rFonts w:ascii="Arial" w:hAnsi="Arial" w:cs="Arial"/>
                <w:sz w:val="20"/>
              </w:rPr>
              <w:t>People Policy and Employment Conditions</w:t>
            </w:r>
          </w:p>
          <w:p w14:paraId="4E0A008E" w14:textId="77777777" w:rsidR="00AA0D47" w:rsidRDefault="00AA0D47" w:rsidP="00E817E9">
            <w:pPr>
              <w:keepNext/>
              <w:jc w:val="right"/>
              <w:rPr>
                <w:rFonts w:ascii="Arial" w:hAnsi="Arial" w:cs="Arial"/>
                <w:b/>
                <w:sz w:val="20"/>
              </w:rPr>
            </w:pPr>
          </w:p>
        </w:tc>
      </w:tr>
      <w:tr w:rsidR="00AA0D47" w:rsidRPr="006109CE" w14:paraId="2232ED17" w14:textId="77777777" w:rsidTr="00E817E9">
        <w:tc>
          <w:tcPr>
            <w:tcW w:w="4672" w:type="dxa"/>
          </w:tcPr>
          <w:p w14:paraId="320EE412" w14:textId="77777777" w:rsidR="00AA0D47" w:rsidRPr="006109CE" w:rsidRDefault="00AA0D47" w:rsidP="00E817E9">
            <w:pPr>
              <w:keepNext/>
              <w:jc w:val="right"/>
              <w:rPr>
                <w:rFonts w:ascii="Arial" w:hAnsi="Arial" w:cs="Arial"/>
                <w:b/>
                <w:sz w:val="20"/>
              </w:rPr>
            </w:pPr>
            <w:r w:rsidRPr="006109CE">
              <w:rPr>
                <w:rFonts w:ascii="Arial" w:hAnsi="Arial" w:cs="Arial"/>
                <w:b/>
                <w:sz w:val="20"/>
              </w:rPr>
              <w:t>Authority:</w:t>
            </w:r>
          </w:p>
        </w:tc>
        <w:tc>
          <w:tcPr>
            <w:tcW w:w="4673" w:type="dxa"/>
          </w:tcPr>
          <w:p w14:paraId="0050434F" w14:textId="77777777" w:rsidR="00AA0D47" w:rsidRPr="006109CE" w:rsidRDefault="00AA0D47" w:rsidP="00E817E9">
            <w:pPr>
              <w:keepNext/>
              <w:jc w:val="right"/>
              <w:rPr>
                <w:rFonts w:ascii="Arial" w:hAnsi="Arial" w:cs="Arial"/>
                <w:b/>
                <w:sz w:val="20"/>
              </w:rPr>
            </w:pPr>
            <w:r w:rsidRPr="006109CE">
              <w:rPr>
                <w:rFonts w:ascii="Arial" w:hAnsi="Arial" w:cs="Arial"/>
                <w:sz w:val="20"/>
              </w:rPr>
              <w:t xml:space="preserve">Section 58B of the </w:t>
            </w:r>
            <w:r w:rsidRPr="006109CE">
              <w:rPr>
                <w:rFonts w:ascii="Arial" w:hAnsi="Arial" w:cs="Arial"/>
                <w:sz w:val="20"/>
              </w:rPr>
              <w:br/>
            </w:r>
            <w:r w:rsidRPr="006109CE">
              <w:rPr>
                <w:rFonts w:ascii="Arial" w:hAnsi="Arial" w:cs="Arial"/>
                <w:i/>
                <w:sz w:val="20"/>
              </w:rPr>
              <w:t>Defence Act 1903</w:t>
            </w:r>
          </w:p>
        </w:tc>
      </w:tr>
    </w:tbl>
    <w:p w14:paraId="5A00904B" w14:textId="77777777" w:rsidR="00AA0D47" w:rsidRDefault="00AA0D47" w:rsidP="001E51FE">
      <w:pPr>
        <w:pStyle w:val="Sectiontext"/>
        <w:rPr>
          <w:snapToGrid w:val="0"/>
        </w:rPr>
      </w:pPr>
    </w:p>
    <w:p w14:paraId="750CC8D9" w14:textId="77777777" w:rsidR="00AA0D47" w:rsidRDefault="00AA0D47">
      <w:pPr>
        <w:spacing w:line="240" w:lineRule="auto"/>
        <w:rPr>
          <w:rFonts w:ascii="Arial" w:eastAsia="Times New Roman" w:hAnsi="Arial" w:cs="Times New Roman"/>
          <w:snapToGrid w:val="0"/>
          <w:sz w:val="20"/>
          <w:lang w:eastAsia="en-AU"/>
        </w:rPr>
      </w:pPr>
      <w:r>
        <w:rPr>
          <w:snapToGrid w:val="0"/>
        </w:rPr>
        <w:br w:type="page"/>
      </w:r>
    </w:p>
    <w:p w14:paraId="6DB2C115" w14:textId="5D540EB7" w:rsidR="00AA0D47" w:rsidRPr="00737505" w:rsidRDefault="00AA0D47" w:rsidP="00AA0D47">
      <w:pPr>
        <w:pStyle w:val="Sectiontext"/>
        <w:jc w:val="right"/>
        <w:rPr>
          <w:b/>
          <w:snapToGrid w:val="0"/>
        </w:rPr>
      </w:pPr>
      <w:r w:rsidRPr="00737505">
        <w:rPr>
          <w:b/>
          <w:snapToGrid w:val="0"/>
        </w:rPr>
        <w:lastRenderedPageBreak/>
        <w:t>Annex A</w:t>
      </w:r>
    </w:p>
    <w:p w14:paraId="43253389" w14:textId="17C2CB7E" w:rsidR="00417CDA" w:rsidRDefault="00417CDA" w:rsidP="00AA0D47">
      <w:pPr>
        <w:pStyle w:val="Sectiontext"/>
        <w:jc w:val="center"/>
        <w:rPr>
          <w:b/>
          <w:bCs/>
          <w:i/>
          <w:noProof/>
          <w:snapToGrid w:val="0"/>
          <w:lang w:val="en-US"/>
        </w:rPr>
      </w:pPr>
      <w:r w:rsidRPr="00417CDA">
        <w:rPr>
          <w:b/>
          <w:bCs/>
          <w:i/>
          <w:noProof/>
          <w:snapToGrid w:val="0"/>
          <w:lang w:val="en-US"/>
        </w:rPr>
        <w:t>Defence Determination, C</w:t>
      </w:r>
      <w:r w:rsidR="006020BF">
        <w:rPr>
          <w:b/>
          <w:bCs/>
          <w:i/>
          <w:noProof/>
          <w:snapToGrid w:val="0"/>
          <w:lang w:val="en-US"/>
        </w:rPr>
        <w:t xml:space="preserve">onditions of service Amendment </w:t>
      </w:r>
      <w:r w:rsidRPr="00417CDA">
        <w:rPr>
          <w:b/>
          <w:bCs/>
          <w:i/>
          <w:noProof/>
          <w:snapToGrid w:val="0"/>
          <w:lang w:val="en-US"/>
        </w:rPr>
        <w:t>Determination 202</w:t>
      </w:r>
      <w:r w:rsidR="009B7B55">
        <w:rPr>
          <w:b/>
          <w:bCs/>
          <w:i/>
          <w:noProof/>
          <w:snapToGrid w:val="0"/>
          <w:lang w:val="en-US"/>
        </w:rPr>
        <w:t>3</w:t>
      </w:r>
      <w:r w:rsidR="006020BF">
        <w:rPr>
          <w:b/>
          <w:bCs/>
          <w:i/>
          <w:noProof/>
          <w:snapToGrid w:val="0"/>
          <w:lang w:val="en-US"/>
        </w:rPr>
        <w:t xml:space="preserve"> (No.</w:t>
      </w:r>
      <w:r w:rsidR="00CE41E6">
        <w:rPr>
          <w:b/>
          <w:bCs/>
          <w:i/>
          <w:noProof/>
          <w:snapToGrid w:val="0"/>
          <w:lang w:val="en-US"/>
        </w:rPr>
        <w:t> 4</w:t>
      </w:r>
      <w:r w:rsidRPr="00417CDA">
        <w:rPr>
          <w:b/>
          <w:bCs/>
          <w:i/>
          <w:noProof/>
          <w:snapToGrid w:val="0"/>
          <w:lang w:val="en-US"/>
        </w:rPr>
        <w:t>)</w:t>
      </w:r>
    </w:p>
    <w:p w14:paraId="1CBBBDEE" w14:textId="4FA33496" w:rsidR="00AA0D47" w:rsidRDefault="00AA0D47" w:rsidP="00AA0D47">
      <w:pPr>
        <w:pStyle w:val="Sectiontext"/>
        <w:jc w:val="center"/>
        <w:rPr>
          <w:b/>
          <w:bCs/>
          <w:i/>
          <w:noProof/>
          <w:snapToGrid w:val="0"/>
          <w:lang w:val="en-US"/>
        </w:rPr>
      </w:pPr>
      <w:r w:rsidRPr="001739E7">
        <w:rPr>
          <w:b/>
          <w:bCs/>
          <w:i/>
          <w:noProof/>
          <w:snapToGrid w:val="0"/>
          <w:lang w:val="en-US"/>
        </w:rPr>
        <w:t>Operational details</w:t>
      </w:r>
    </w:p>
    <w:p w14:paraId="7B4AB8BA" w14:textId="77777777" w:rsidR="007D1023" w:rsidRDefault="007D1023" w:rsidP="007D1023">
      <w:pPr>
        <w:pStyle w:val="Sectiontext"/>
        <w:rPr>
          <w:snapToGrid w:val="0"/>
        </w:rPr>
      </w:pPr>
      <w:r>
        <w:rPr>
          <w:snapToGrid w:val="0"/>
        </w:rPr>
        <w:t>Section 1 of this Determination sets out the manner in which this Determination may be cited.</w:t>
      </w:r>
    </w:p>
    <w:p w14:paraId="7C9DA569" w14:textId="77777777" w:rsidR="007D1023" w:rsidRDefault="007D1023" w:rsidP="007D1023">
      <w:pPr>
        <w:pStyle w:val="Sectiontext"/>
        <w:rPr>
          <w:snapToGrid w:val="0"/>
        </w:rPr>
      </w:pPr>
      <w:r w:rsidRPr="00263C24">
        <w:rPr>
          <w:snapToGrid w:val="0"/>
        </w:rPr>
        <w:t>Section 2 provides the following commencement dates:</w:t>
      </w:r>
    </w:p>
    <w:p w14:paraId="46DFB870" w14:textId="51C211EF" w:rsidR="007D1023" w:rsidRDefault="007D1023" w:rsidP="007D1023">
      <w:pPr>
        <w:pStyle w:val="Sectiontext"/>
        <w:numPr>
          <w:ilvl w:val="0"/>
          <w:numId w:val="20"/>
        </w:numPr>
        <w:rPr>
          <w:snapToGrid w:val="0"/>
        </w:rPr>
      </w:pPr>
      <w:r>
        <w:rPr>
          <w:snapToGrid w:val="0"/>
        </w:rPr>
        <w:t>S</w:t>
      </w:r>
      <w:r w:rsidRPr="00F46ABF">
        <w:rPr>
          <w:snapToGrid w:val="0"/>
        </w:rPr>
        <w:t xml:space="preserve">ections 1 to 4 of </w:t>
      </w:r>
      <w:r>
        <w:rPr>
          <w:snapToGrid w:val="0"/>
        </w:rPr>
        <w:t>the Determination</w:t>
      </w:r>
      <w:r w:rsidRPr="00F46ABF">
        <w:rPr>
          <w:snapToGrid w:val="0"/>
        </w:rPr>
        <w:t xml:space="preserve"> and anything in </w:t>
      </w:r>
      <w:r>
        <w:rPr>
          <w:snapToGrid w:val="0"/>
        </w:rPr>
        <w:t>the Determination</w:t>
      </w:r>
      <w:r w:rsidRPr="00F46ABF">
        <w:rPr>
          <w:snapToGrid w:val="0"/>
        </w:rPr>
        <w:t xml:space="preserve"> not elsewhere covered by the table commences on the day </w:t>
      </w:r>
      <w:bookmarkStart w:id="0" w:name="_GoBack"/>
      <w:bookmarkEnd w:id="0"/>
      <w:r>
        <w:rPr>
          <w:snapToGrid w:val="0"/>
        </w:rPr>
        <w:t>the instrument is registered.</w:t>
      </w:r>
    </w:p>
    <w:p w14:paraId="0FB36DF1" w14:textId="68446636" w:rsidR="007D1023" w:rsidRDefault="007D1023" w:rsidP="007D1023">
      <w:pPr>
        <w:pStyle w:val="Sectiontext"/>
        <w:numPr>
          <w:ilvl w:val="0"/>
          <w:numId w:val="20"/>
        </w:numPr>
        <w:rPr>
          <w:snapToGrid w:val="0"/>
        </w:rPr>
      </w:pPr>
      <w:r>
        <w:rPr>
          <w:snapToGrid w:val="0"/>
        </w:rPr>
        <w:t xml:space="preserve">Schedules 1 to 3 of the Determination commences on </w:t>
      </w:r>
      <w:r w:rsidRPr="007B051C">
        <w:rPr>
          <w:snapToGrid w:val="0"/>
        </w:rPr>
        <w:t>2</w:t>
      </w:r>
      <w:r>
        <w:rPr>
          <w:snapToGrid w:val="0"/>
        </w:rPr>
        <w:t> </w:t>
      </w:r>
      <w:r w:rsidRPr="007B051C">
        <w:rPr>
          <w:snapToGrid w:val="0"/>
        </w:rPr>
        <w:t>March 2023</w:t>
      </w:r>
      <w:r>
        <w:rPr>
          <w:snapToGrid w:val="0"/>
        </w:rPr>
        <w:t>.</w:t>
      </w:r>
    </w:p>
    <w:p w14:paraId="66C3A9CC" w14:textId="365D1949" w:rsidR="001E51FE" w:rsidRPr="00A575F1" w:rsidRDefault="001E51FE" w:rsidP="001E51FE">
      <w:pPr>
        <w:pStyle w:val="Sectiontext"/>
        <w:rPr>
          <w:snapToGrid w:val="0"/>
        </w:rPr>
      </w:pPr>
      <w:r>
        <w:rPr>
          <w:snapToGrid w:val="0"/>
        </w:rPr>
        <w:t xml:space="preserve">Section 3 provides that this instrument has authority under section 58B of the </w:t>
      </w:r>
      <w:r w:rsidRPr="00FA083A">
        <w:rPr>
          <w:snapToGrid w:val="0"/>
        </w:rPr>
        <w:t>Defence Act</w:t>
      </w:r>
      <w:r>
        <w:rPr>
          <w:snapToGrid w:val="0"/>
        </w:rPr>
        <w:t>.</w:t>
      </w:r>
    </w:p>
    <w:p w14:paraId="7B55DD4F" w14:textId="77777777" w:rsidR="001E51FE" w:rsidRDefault="001E51FE" w:rsidP="001E51FE">
      <w:pPr>
        <w:pStyle w:val="Sectiontext"/>
        <w:rPr>
          <w:snapToGrid w:val="0"/>
        </w:rPr>
      </w:pPr>
      <w:r w:rsidRPr="00194BD6">
        <w:rPr>
          <w:snapToGrid w:val="0"/>
        </w:rPr>
        <w:t>Section 4 provides that each instrument that is specified in a Schedule to this instrument is amended or repealed as set out in the applicable items in the Schedule concerned, and any other item in a Schedule to this instrument has effect according to its terms.</w:t>
      </w:r>
    </w:p>
    <w:p w14:paraId="373AE023" w14:textId="77777777" w:rsidR="001C18C4" w:rsidRDefault="001C18C4" w:rsidP="001C18C4">
      <w:pPr>
        <w:pStyle w:val="Sectiontext"/>
        <w:rPr>
          <w:i/>
          <w:snapToGrid w:val="0"/>
          <w:u w:val="single"/>
        </w:rPr>
      </w:pPr>
      <w:r>
        <w:rPr>
          <w:i/>
          <w:snapToGrid w:val="0"/>
          <w:u w:val="single"/>
        </w:rPr>
        <w:t>Schedule 1</w:t>
      </w:r>
      <w:r>
        <w:rPr>
          <w:rFonts w:cs="Arial"/>
          <w:i/>
          <w:snapToGrid w:val="0"/>
          <w:u w:val="single"/>
        </w:rPr>
        <w:t>—Higher duties allowance</w:t>
      </w:r>
      <w:r>
        <w:rPr>
          <w:i/>
          <w:snapToGrid w:val="0"/>
          <w:u w:val="single"/>
        </w:rPr>
        <w:t xml:space="preserve"> amendments</w:t>
      </w:r>
    </w:p>
    <w:p w14:paraId="68B56FDC" w14:textId="77777777" w:rsidR="001C18C4" w:rsidRPr="00FA083A" w:rsidRDefault="001C18C4" w:rsidP="001C18C4">
      <w:pPr>
        <w:pStyle w:val="Sectiontext"/>
        <w:rPr>
          <w:snapToGrid w:val="0"/>
        </w:rPr>
      </w:pPr>
      <w:r>
        <w:rPr>
          <w:snapToGrid w:val="0"/>
        </w:rPr>
        <w:t xml:space="preserve">Item 1 omits and substitutes the table in paragraph 4.1.4.b of the Principal Determination which provides when a member is ineligible to receive higher duties allowance. The table has been amended to remove table item 5 which applies to members </w:t>
      </w:r>
      <w:r w:rsidRPr="00AD4D0E">
        <w:rPr>
          <w:snapToGrid w:val="0"/>
        </w:rPr>
        <w:t>hold</w:t>
      </w:r>
      <w:r>
        <w:rPr>
          <w:snapToGrid w:val="0"/>
        </w:rPr>
        <w:t>ing</w:t>
      </w:r>
      <w:r w:rsidRPr="00AD4D0E">
        <w:rPr>
          <w:snapToGrid w:val="0"/>
        </w:rPr>
        <w:t xml:space="preserve"> the rank of Sub Lieutenant</w:t>
      </w:r>
      <w:r>
        <w:rPr>
          <w:snapToGrid w:val="0"/>
        </w:rPr>
        <w:t>.</w:t>
      </w:r>
    </w:p>
    <w:p w14:paraId="4AB768EB" w14:textId="62D3F9E5" w:rsidR="001800D4" w:rsidRDefault="004F6294" w:rsidP="001800D4">
      <w:pPr>
        <w:pStyle w:val="Sectiontext"/>
        <w:rPr>
          <w:i/>
          <w:snapToGrid w:val="0"/>
          <w:u w:val="single"/>
        </w:rPr>
      </w:pPr>
      <w:r>
        <w:rPr>
          <w:i/>
          <w:snapToGrid w:val="0"/>
          <w:u w:val="single"/>
        </w:rPr>
        <w:t>Schedule 2</w:t>
      </w:r>
      <w:r w:rsidR="001800D4">
        <w:rPr>
          <w:rFonts w:cs="Arial"/>
          <w:i/>
          <w:snapToGrid w:val="0"/>
          <w:u w:val="single"/>
        </w:rPr>
        <w:t>—</w:t>
      </w:r>
      <w:proofErr w:type="gramStart"/>
      <w:r w:rsidR="001800D4">
        <w:rPr>
          <w:i/>
          <w:iCs/>
          <w:u w:val="single"/>
        </w:rPr>
        <w:t>Overseas</w:t>
      </w:r>
      <w:proofErr w:type="gramEnd"/>
      <w:r w:rsidR="001800D4">
        <w:rPr>
          <w:i/>
          <w:snapToGrid w:val="0"/>
          <w:u w:val="single"/>
        </w:rPr>
        <w:t xml:space="preserve"> </w:t>
      </w:r>
      <w:r w:rsidR="001800D4" w:rsidRPr="004E351C">
        <w:rPr>
          <w:i/>
          <w:snapToGrid w:val="0"/>
          <w:u w:val="single"/>
        </w:rPr>
        <w:t>amendments</w:t>
      </w:r>
    </w:p>
    <w:p w14:paraId="7940E80B" w14:textId="77777777" w:rsidR="001800D4" w:rsidRDefault="001800D4" w:rsidP="001800D4">
      <w:pPr>
        <w:pStyle w:val="Sectiontext"/>
        <w:rPr>
          <w:iCs/>
        </w:rPr>
      </w:pPr>
      <w:r w:rsidRPr="00FE5607">
        <w:rPr>
          <w:snapToGrid w:val="0"/>
        </w:rPr>
        <w:t>Section</w:t>
      </w:r>
      <w:r>
        <w:rPr>
          <w:snapToGrid w:val="0"/>
        </w:rPr>
        <w:t>s</w:t>
      </w:r>
      <w:r w:rsidRPr="00FE5607">
        <w:rPr>
          <w:snapToGrid w:val="0"/>
        </w:rPr>
        <w:t xml:space="preserve"> 1</w:t>
      </w:r>
      <w:r>
        <w:rPr>
          <w:snapToGrid w:val="0"/>
        </w:rPr>
        <w:t>, 2 and 5 to 7 amend a number of provisions within the Principal Determination to change the spelling of “Turkey” to “</w:t>
      </w:r>
      <w:r>
        <w:rPr>
          <w:iCs/>
        </w:rPr>
        <w:t>T</w:t>
      </w:r>
      <w:r>
        <w:rPr>
          <w:rFonts w:cs="Arial"/>
          <w:iCs/>
        </w:rPr>
        <w:t>ü</w:t>
      </w:r>
      <w:r>
        <w:rPr>
          <w:iCs/>
        </w:rPr>
        <w:t>rkiye” to reflect the correct spelling of the country’s name.</w:t>
      </w:r>
    </w:p>
    <w:p w14:paraId="4A12E4AF" w14:textId="77777777" w:rsidR="001800D4" w:rsidRPr="00AE74BC" w:rsidRDefault="001800D4" w:rsidP="001800D4">
      <w:pPr>
        <w:pStyle w:val="Sectiontext"/>
        <w:rPr>
          <w:snapToGrid w:val="0"/>
        </w:rPr>
      </w:pPr>
      <w:r>
        <w:rPr>
          <w:iCs/>
        </w:rPr>
        <w:t>Section 3 amends subsection 14.4.11.2A of the Principal Determination which provides excess baggage benefits for overseas travel that meets specified criteria. Section 3 amends paragraph 14.4.11.2A to extend the period when the travel occurs until 1 March 2024.</w:t>
      </w:r>
    </w:p>
    <w:p w14:paraId="51DBDC9F" w14:textId="77777777" w:rsidR="001800D4" w:rsidRPr="00FE5607" w:rsidRDefault="001800D4" w:rsidP="001800D4">
      <w:pPr>
        <w:pStyle w:val="Sectiontext"/>
        <w:rPr>
          <w:snapToGrid w:val="0"/>
        </w:rPr>
      </w:pPr>
      <w:r>
        <w:rPr>
          <w:snapToGrid w:val="0"/>
        </w:rPr>
        <w:t>Section 5 also amends table item 29</w:t>
      </w:r>
      <w:r w:rsidRPr="00FE5607">
        <w:rPr>
          <w:snapToGrid w:val="0"/>
        </w:rPr>
        <w:t xml:space="preserve"> of subsection 15.8.2.2 of the Principal Determination which </w:t>
      </w:r>
      <w:r>
        <w:rPr>
          <w:snapToGrid w:val="0"/>
        </w:rPr>
        <w:t xml:space="preserve">provides the </w:t>
      </w:r>
      <w:r w:rsidRPr="00FE5607">
        <w:rPr>
          <w:snapToGrid w:val="0"/>
        </w:rPr>
        <w:t xml:space="preserve">approved club in the </w:t>
      </w:r>
      <w:r>
        <w:rPr>
          <w:snapToGrid w:val="0"/>
        </w:rPr>
        <w:t xml:space="preserve">member’s </w:t>
      </w:r>
      <w:r w:rsidRPr="00FE5607">
        <w:rPr>
          <w:snapToGrid w:val="0"/>
        </w:rPr>
        <w:t xml:space="preserve">location for the purpose of pursing sporting, recreational and fitness activities. The table item is amended to change the </w:t>
      </w:r>
      <w:r>
        <w:rPr>
          <w:snapToGrid w:val="0"/>
        </w:rPr>
        <w:t xml:space="preserve">approved club for </w:t>
      </w:r>
      <w:r>
        <w:rPr>
          <w:iCs/>
        </w:rPr>
        <w:t>T</w:t>
      </w:r>
      <w:r>
        <w:rPr>
          <w:rFonts w:cs="Arial"/>
          <w:iCs/>
        </w:rPr>
        <w:t>ü</w:t>
      </w:r>
      <w:r>
        <w:rPr>
          <w:iCs/>
        </w:rPr>
        <w:t>rkiye</w:t>
      </w:r>
      <w:r w:rsidRPr="00FE5607">
        <w:rPr>
          <w:snapToGrid w:val="0"/>
        </w:rPr>
        <w:t xml:space="preserve"> </w:t>
      </w:r>
      <w:r>
        <w:rPr>
          <w:snapToGrid w:val="0"/>
        </w:rPr>
        <w:t>from “</w:t>
      </w:r>
      <w:r>
        <w:t>Ankara Sehir Kulubu, Ankara (known as ASK Sports Club)”, which is now closed,</w:t>
      </w:r>
      <w:r w:rsidRPr="00FE5607">
        <w:rPr>
          <w:snapToGrid w:val="0"/>
        </w:rPr>
        <w:t xml:space="preserve"> </w:t>
      </w:r>
      <w:r>
        <w:rPr>
          <w:snapToGrid w:val="0"/>
        </w:rPr>
        <w:t>to “MACFit”.</w:t>
      </w:r>
      <w:r w:rsidRPr="00FE5607">
        <w:rPr>
          <w:snapToGrid w:val="0"/>
        </w:rPr>
        <w:t xml:space="preserve"> </w:t>
      </w:r>
    </w:p>
    <w:p w14:paraId="27D039DC" w14:textId="3179DD2A" w:rsidR="001C18C4" w:rsidRDefault="004F6294" w:rsidP="001C18C4">
      <w:pPr>
        <w:pStyle w:val="Sectiontext"/>
        <w:rPr>
          <w:i/>
          <w:snapToGrid w:val="0"/>
          <w:u w:val="single"/>
        </w:rPr>
      </w:pPr>
      <w:r>
        <w:rPr>
          <w:i/>
          <w:snapToGrid w:val="0"/>
          <w:u w:val="single"/>
        </w:rPr>
        <w:t>Schedule 3</w:t>
      </w:r>
      <w:r w:rsidR="001C18C4">
        <w:rPr>
          <w:rFonts w:cs="Arial"/>
          <w:i/>
          <w:snapToGrid w:val="0"/>
          <w:u w:val="single"/>
        </w:rPr>
        <w:t>—</w:t>
      </w:r>
      <w:r w:rsidR="001C18C4">
        <w:rPr>
          <w:i/>
          <w:snapToGrid w:val="0"/>
          <w:u w:val="single"/>
        </w:rPr>
        <w:t>Transitional provisions</w:t>
      </w:r>
    </w:p>
    <w:p w14:paraId="7A4874FB" w14:textId="77777777" w:rsidR="001C18C4" w:rsidRDefault="001C18C4" w:rsidP="001C18C4">
      <w:pPr>
        <w:pStyle w:val="Sectiontext"/>
        <w:rPr>
          <w:snapToGrid w:val="0"/>
        </w:rPr>
      </w:pPr>
      <w:r>
        <w:rPr>
          <w:snapToGrid w:val="0"/>
        </w:rPr>
        <w:t>Clause 1 provides the definition of ‘Defence Determination’ which applies to Schedule 2 of this Determination. Defence Determination means the Defence Determination 2016/19, as in force from time to time.</w:t>
      </w:r>
    </w:p>
    <w:p w14:paraId="48BCBF36" w14:textId="1755757F" w:rsidR="001C18C4" w:rsidRDefault="001C18C4" w:rsidP="001C18C4">
      <w:pPr>
        <w:pStyle w:val="Sectiontext"/>
        <w:rPr>
          <w:snapToGrid w:val="0"/>
        </w:rPr>
      </w:pPr>
      <w:r>
        <w:rPr>
          <w:snapToGrid w:val="0"/>
        </w:rPr>
        <w:t>Clause 2 provides that a member holding</w:t>
      </w:r>
      <w:r w:rsidRPr="00AD4D0E">
        <w:rPr>
          <w:snapToGrid w:val="0"/>
        </w:rPr>
        <w:t xml:space="preserve"> the rank of Sub Lieutenant </w:t>
      </w:r>
      <w:r>
        <w:rPr>
          <w:snapToGrid w:val="0"/>
        </w:rPr>
        <w:t xml:space="preserve">who was eligible for higher duties allowance immediately before 2 February 2023 is eligible to continue </w:t>
      </w:r>
      <w:r w:rsidR="00D7552B">
        <w:rPr>
          <w:snapToGrid w:val="0"/>
        </w:rPr>
        <w:t xml:space="preserve">to </w:t>
      </w:r>
      <w:r>
        <w:rPr>
          <w:snapToGrid w:val="0"/>
        </w:rPr>
        <w:t>receive higher duties allowance. After the commencement of this Schedule, these members may also become eligible for higher duties allowance in relation to a period commencing on or after 2 February</w:t>
      </w:r>
      <w:r w:rsidRPr="00AD4D0E">
        <w:rPr>
          <w:snapToGrid w:val="0"/>
        </w:rPr>
        <w:t xml:space="preserve"> </w:t>
      </w:r>
      <w:r>
        <w:rPr>
          <w:snapToGrid w:val="0"/>
        </w:rPr>
        <w:t>2023. Eligibility for higher duties allowance under this provision ends on the last day the member would have been eligible to receive it, or on the commencement of this Schedule. Members may continue getting higher duties allowance under the normal provisions of the Determination if they continue to be eligible.</w:t>
      </w:r>
    </w:p>
    <w:p w14:paraId="14F9C294" w14:textId="47903F4D" w:rsidR="001800D4" w:rsidRPr="00614682" w:rsidRDefault="001800D4" w:rsidP="001800D4">
      <w:pPr>
        <w:pStyle w:val="Sectiontext"/>
        <w:rPr>
          <w:snapToGrid w:val="0"/>
        </w:rPr>
      </w:pPr>
      <w:r>
        <w:rPr>
          <w:snapToGrid w:val="0"/>
        </w:rPr>
        <w:t>Clause</w:t>
      </w:r>
      <w:r w:rsidR="00DD4828">
        <w:rPr>
          <w:snapToGrid w:val="0"/>
        </w:rPr>
        <w:t xml:space="preserve"> 3.1</w:t>
      </w:r>
      <w:r w:rsidRPr="00614682">
        <w:rPr>
          <w:snapToGrid w:val="0"/>
        </w:rPr>
        <w:t xml:space="preserve"> provide</w:t>
      </w:r>
      <w:r w:rsidR="00DD4828">
        <w:rPr>
          <w:snapToGrid w:val="0"/>
        </w:rPr>
        <w:t>s that clause 3</w:t>
      </w:r>
      <w:r w:rsidRPr="00614682">
        <w:rPr>
          <w:snapToGrid w:val="0"/>
        </w:rPr>
        <w:t xml:space="preserve"> applies to a member who was</w:t>
      </w:r>
      <w:r>
        <w:rPr>
          <w:snapToGrid w:val="0"/>
        </w:rPr>
        <w:t xml:space="preserve"> posted to </w:t>
      </w:r>
      <w:r>
        <w:rPr>
          <w:iCs/>
        </w:rPr>
        <w:t>T</w:t>
      </w:r>
      <w:r>
        <w:rPr>
          <w:rFonts w:cs="Arial"/>
          <w:iCs/>
        </w:rPr>
        <w:t>ü</w:t>
      </w:r>
      <w:r>
        <w:rPr>
          <w:iCs/>
        </w:rPr>
        <w:t>rkiye</w:t>
      </w:r>
      <w:r>
        <w:rPr>
          <w:snapToGrid w:val="0"/>
        </w:rPr>
        <w:t xml:space="preserve"> and was eligible for the cost of club membership in </w:t>
      </w:r>
      <w:r>
        <w:rPr>
          <w:iCs/>
        </w:rPr>
        <w:t>T</w:t>
      </w:r>
      <w:r>
        <w:rPr>
          <w:rFonts w:cs="Arial"/>
          <w:iCs/>
        </w:rPr>
        <w:t>ü</w:t>
      </w:r>
      <w:r>
        <w:rPr>
          <w:iCs/>
        </w:rPr>
        <w:t>rkiye</w:t>
      </w:r>
      <w:r>
        <w:rPr>
          <w:snapToGrid w:val="0"/>
        </w:rPr>
        <w:t xml:space="preserve"> under section 15.8.4 or 15.8.5 of the Principal Determination</w:t>
      </w:r>
      <w:r w:rsidRPr="00614682">
        <w:rPr>
          <w:snapToGrid w:val="0"/>
        </w:rPr>
        <w:t xml:space="preserve"> between </w:t>
      </w:r>
      <w:r>
        <w:rPr>
          <w:snapToGrid w:val="0"/>
        </w:rPr>
        <w:t>14 December 2022</w:t>
      </w:r>
      <w:r w:rsidRPr="00614682">
        <w:rPr>
          <w:snapToGrid w:val="0"/>
        </w:rPr>
        <w:t xml:space="preserve"> and the commencement of this Determination.</w:t>
      </w:r>
    </w:p>
    <w:p w14:paraId="5A8F8793" w14:textId="77777777" w:rsidR="00335686" w:rsidRDefault="001800D4" w:rsidP="001800D4">
      <w:pPr>
        <w:pStyle w:val="Sectiontext"/>
        <w:rPr>
          <w:snapToGrid w:val="0"/>
        </w:rPr>
      </w:pPr>
      <w:r>
        <w:rPr>
          <w:snapToGrid w:val="0"/>
        </w:rPr>
        <w:t>Clause</w:t>
      </w:r>
      <w:r w:rsidRPr="00614682">
        <w:rPr>
          <w:snapToGrid w:val="0"/>
        </w:rPr>
        <w:t xml:space="preserve"> 3</w:t>
      </w:r>
      <w:r w:rsidR="00DD4828">
        <w:rPr>
          <w:snapToGrid w:val="0"/>
        </w:rPr>
        <w:t>.2</w:t>
      </w:r>
      <w:r w:rsidRPr="00614682">
        <w:rPr>
          <w:snapToGrid w:val="0"/>
        </w:rPr>
        <w:t xml:space="preserve"> provides that a member is eligible for </w:t>
      </w:r>
      <w:r>
        <w:rPr>
          <w:snapToGrid w:val="0"/>
        </w:rPr>
        <w:t>the cost of club membership under section 15.8.4 or 15.8.5 of the Principal Determination</w:t>
      </w:r>
      <w:r w:rsidR="00DD4828">
        <w:rPr>
          <w:snapToGrid w:val="0"/>
        </w:rPr>
        <w:t xml:space="preserve"> had Schedule 3</w:t>
      </w:r>
      <w:r w:rsidRPr="00614682">
        <w:rPr>
          <w:snapToGrid w:val="0"/>
        </w:rPr>
        <w:t xml:space="preserve"> of this Determination been in force </w:t>
      </w:r>
      <w:r>
        <w:rPr>
          <w:snapToGrid w:val="0"/>
        </w:rPr>
        <w:t>between 14 December 2022 and the commencement of this Schedule</w:t>
      </w:r>
      <w:r w:rsidRPr="00614682">
        <w:rPr>
          <w:snapToGrid w:val="0"/>
        </w:rPr>
        <w:t>.</w:t>
      </w:r>
    </w:p>
    <w:p w14:paraId="4CAA6295" w14:textId="6FD318B9" w:rsidR="001800D4" w:rsidRPr="00736AC7" w:rsidRDefault="00335686" w:rsidP="001800D4">
      <w:pPr>
        <w:pStyle w:val="Sectiontext"/>
        <w:rPr>
          <w:snapToGrid w:val="0"/>
        </w:rPr>
      </w:pPr>
      <w:r>
        <w:rPr>
          <w:snapToGrid w:val="0"/>
        </w:rPr>
        <w:t xml:space="preserve">Clause 3.3 provides </w:t>
      </w:r>
      <w:r w:rsidR="001800D4">
        <w:rPr>
          <w:snapToGrid w:val="0"/>
        </w:rPr>
        <w:t>that the amount a member is</w:t>
      </w:r>
      <w:r w:rsidR="00DA3114">
        <w:rPr>
          <w:snapToGrid w:val="0"/>
        </w:rPr>
        <w:t xml:space="preserve"> eligible for under </w:t>
      </w:r>
      <w:r w:rsidR="00AC2ADA">
        <w:rPr>
          <w:snapToGrid w:val="0"/>
        </w:rPr>
        <w:t>clause</w:t>
      </w:r>
      <w:r w:rsidR="00DA3114">
        <w:rPr>
          <w:snapToGrid w:val="0"/>
        </w:rPr>
        <w:t> 3</w:t>
      </w:r>
      <w:r w:rsidR="001800D4">
        <w:rPr>
          <w:snapToGrid w:val="0"/>
        </w:rPr>
        <w:t xml:space="preserve"> is reduced by the amount the member received for the cost of a membership under section 15.8.4 or 15.8.5 of the Principal </w:t>
      </w:r>
      <w:r w:rsidR="001800D4">
        <w:rPr>
          <w:snapToGrid w:val="0"/>
        </w:rPr>
        <w:lastRenderedPageBreak/>
        <w:t>Determination between 14 December 2022 and the commencement of this Determination that has not been repaid.</w:t>
      </w:r>
    </w:p>
    <w:p w14:paraId="7B7CB0E8" w14:textId="77777777" w:rsidR="001E51FE" w:rsidRPr="00CA5BE0" w:rsidRDefault="001E51FE" w:rsidP="001E51FE">
      <w:pPr>
        <w:autoSpaceDE w:val="0"/>
        <w:autoSpaceDN w:val="0"/>
        <w:adjustRightInd w:val="0"/>
        <w:rPr>
          <w:snapToGrid w:val="0"/>
          <w:sz w:val="20"/>
        </w:rPr>
      </w:pPr>
    </w:p>
    <w:p w14:paraId="2831585B" w14:textId="77777777" w:rsidR="001E51FE" w:rsidRDefault="001E51FE" w:rsidP="001E51FE">
      <w:pPr>
        <w:pStyle w:val="Sectiontext"/>
        <w:jc w:val="center"/>
        <w:rPr>
          <w:b/>
        </w:rPr>
        <w:sectPr w:rsidR="001E51FE" w:rsidSect="008417DF">
          <w:footerReference w:type="default" r:id="rId11"/>
          <w:footerReference w:type="first" r:id="rId12"/>
          <w:pgSz w:w="11907" w:h="16839"/>
          <w:pgMar w:top="1134" w:right="1134" w:bottom="992" w:left="1418" w:header="720" w:footer="709" w:gutter="0"/>
          <w:pgNumType w:start="1"/>
          <w:cols w:space="708"/>
          <w:titlePg/>
          <w:docGrid w:linePitch="360"/>
        </w:sectPr>
      </w:pPr>
    </w:p>
    <w:p w14:paraId="1BF58F94" w14:textId="10E69501" w:rsidR="00737505" w:rsidRPr="00737505" w:rsidRDefault="00737505" w:rsidP="00737505">
      <w:pPr>
        <w:pStyle w:val="Sectiontext"/>
        <w:jc w:val="right"/>
        <w:rPr>
          <w:b/>
          <w:snapToGrid w:val="0"/>
        </w:rPr>
      </w:pPr>
      <w:r w:rsidRPr="00737505">
        <w:rPr>
          <w:b/>
          <w:snapToGrid w:val="0"/>
        </w:rPr>
        <w:lastRenderedPageBreak/>
        <w:t xml:space="preserve">Annex </w:t>
      </w:r>
      <w:r>
        <w:rPr>
          <w:b/>
          <w:snapToGrid w:val="0"/>
        </w:rPr>
        <w:t>B</w:t>
      </w:r>
    </w:p>
    <w:p w14:paraId="12E2468D" w14:textId="167B7D0A" w:rsidR="00417CDA" w:rsidRDefault="00417CDA" w:rsidP="00486185">
      <w:pPr>
        <w:pStyle w:val="BlockText-Plain"/>
        <w:jc w:val="center"/>
        <w:rPr>
          <w:b/>
          <w:i/>
          <w:snapToGrid w:val="0"/>
        </w:rPr>
      </w:pPr>
      <w:r w:rsidRPr="00417CDA">
        <w:rPr>
          <w:b/>
          <w:bCs/>
          <w:i/>
          <w:noProof/>
          <w:snapToGrid w:val="0"/>
          <w:lang w:val="en-US"/>
        </w:rPr>
        <w:t>Defence Determination, C</w:t>
      </w:r>
      <w:r w:rsidR="004707F2">
        <w:rPr>
          <w:b/>
          <w:bCs/>
          <w:i/>
          <w:noProof/>
          <w:snapToGrid w:val="0"/>
          <w:lang w:val="en-US"/>
        </w:rPr>
        <w:t xml:space="preserve">onditions of service Amendment </w:t>
      </w:r>
      <w:r w:rsidR="009B7B55">
        <w:rPr>
          <w:b/>
          <w:bCs/>
          <w:i/>
          <w:noProof/>
          <w:snapToGrid w:val="0"/>
          <w:lang w:val="en-US"/>
        </w:rPr>
        <w:t>Determination 2023</w:t>
      </w:r>
      <w:r w:rsidR="004707F2">
        <w:rPr>
          <w:b/>
          <w:bCs/>
          <w:i/>
          <w:noProof/>
          <w:snapToGrid w:val="0"/>
          <w:lang w:val="en-US"/>
        </w:rPr>
        <w:t xml:space="preserve"> (No.</w:t>
      </w:r>
      <w:r w:rsidR="00CE41E6">
        <w:rPr>
          <w:b/>
          <w:bCs/>
          <w:i/>
          <w:noProof/>
          <w:snapToGrid w:val="0"/>
          <w:lang w:val="en-US"/>
        </w:rPr>
        <w:t> </w:t>
      </w:r>
      <w:r w:rsidR="00EB248D">
        <w:rPr>
          <w:b/>
          <w:bCs/>
          <w:i/>
          <w:noProof/>
          <w:snapToGrid w:val="0"/>
          <w:lang w:val="en-US"/>
        </w:rPr>
        <w:t>4</w:t>
      </w:r>
      <w:r>
        <w:rPr>
          <w:b/>
          <w:i/>
          <w:snapToGrid w:val="0"/>
        </w:rPr>
        <w:t>)</w:t>
      </w:r>
    </w:p>
    <w:p w14:paraId="0C64CA0C" w14:textId="3774B220" w:rsidR="00737505" w:rsidRPr="009A6866" w:rsidRDefault="00737505" w:rsidP="00486185">
      <w:pPr>
        <w:pStyle w:val="BlockText-Plain"/>
        <w:jc w:val="center"/>
        <w:rPr>
          <w:b/>
          <w:i/>
          <w:snapToGrid w:val="0"/>
        </w:rPr>
      </w:pPr>
      <w:r>
        <w:rPr>
          <w:b/>
          <w:i/>
          <w:snapToGrid w:val="0"/>
        </w:rPr>
        <w:t>Statement of Compatibility with Human Rights</w:t>
      </w:r>
    </w:p>
    <w:p w14:paraId="72AD4000" w14:textId="77777777" w:rsidR="00737505" w:rsidRDefault="00737505" w:rsidP="00737505">
      <w:pPr>
        <w:pStyle w:val="Sectiontext"/>
        <w:jc w:val="center"/>
        <w:rPr>
          <w:i/>
          <w:snapToGrid w:val="0"/>
        </w:rPr>
      </w:pPr>
      <w:r>
        <w:rPr>
          <w:i/>
          <w:snapToGrid w:val="0"/>
        </w:rPr>
        <w:t>Prepared in accordance with Part 3 of the Human Rights (Parliamentary Scrutiny) Act 2011</w:t>
      </w:r>
    </w:p>
    <w:p w14:paraId="06067794" w14:textId="77777777" w:rsidR="001E51FE" w:rsidRPr="0021243D" w:rsidRDefault="001E51FE" w:rsidP="007753AD">
      <w:pPr>
        <w:spacing w:after="200" w:line="240" w:lineRule="auto"/>
        <w:rPr>
          <w:rFonts w:ascii="Arial" w:hAnsi="Arial" w:cs="Arial"/>
          <w:b/>
          <w:sz w:val="20"/>
        </w:rPr>
      </w:pPr>
      <w:r w:rsidRPr="0021243D">
        <w:rPr>
          <w:rFonts w:ascii="Arial" w:hAnsi="Arial" w:cs="Arial"/>
          <w:b/>
          <w:sz w:val="20"/>
        </w:rPr>
        <w:t>Overview of the Determination</w:t>
      </w:r>
    </w:p>
    <w:p w14:paraId="7257DE98" w14:textId="77777777" w:rsidR="00FC1393" w:rsidRDefault="00FC1393" w:rsidP="00FC1393">
      <w:pPr>
        <w:pStyle w:val="Sectiontext"/>
        <w:tabs>
          <w:tab w:val="left" w:pos="7380"/>
        </w:tabs>
      </w:pPr>
      <w:r>
        <w:t>The purpose of this Determination is to do the following:</w:t>
      </w:r>
    </w:p>
    <w:p w14:paraId="0E9B5BAA" w14:textId="77777777" w:rsidR="00E54C9B" w:rsidRDefault="00E54C9B" w:rsidP="00E54C9B">
      <w:pPr>
        <w:pStyle w:val="Sectiontext"/>
        <w:numPr>
          <w:ilvl w:val="0"/>
          <w:numId w:val="17"/>
        </w:numPr>
        <w:tabs>
          <w:tab w:val="left" w:pos="7380"/>
        </w:tabs>
      </w:pPr>
      <w:r>
        <w:t xml:space="preserve">Amend higher duties allowance provisions to allow members </w:t>
      </w:r>
      <w:r w:rsidRPr="00AD4D0E">
        <w:t xml:space="preserve">who hold the rank of Sub Lieutenant </w:t>
      </w:r>
      <w:r>
        <w:t>that have been</w:t>
      </w:r>
      <w:r w:rsidRPr="00AD4D0E">
        <w:t xml:space="preserve"> directed to perform d</w:t>
      </w:r>
      <w:r>
        <w:t xml:space="preserve">uties at the rank of Lieutenant to be eligible to receive higher duties allowance. </w:t>
      </w:r>
    </w:p>
    <w:p w14:paraId="3027EE5A" w14:textId="77777777" w:rsidR="00E54C9B" w:rsidRDefault="00E54C9B" w:rsidP="00E54C9B">
      <w:pPr>
        <w:pStyle w:val="Sectiontext"/>
        <w:numPr>
          <w:ilvl w:val="0"/>
          <w:numId w:val="17"/>
        </w:numPr>
        <w:tabs>
          <w:tab w:val="left" w:pos="7380"/>
        </w:tabs>
      </w:pPr>
      <w:r>
        <w:t xml:space="preserve">To extend the provision of excess baggage benefits for specified overseas travel until 1 March 2024, </w:t>
      </w:r>
      <w:r w:rsidRPr="00F93DD7">
        <w:t>change the approved cl</w:t>
      </w:r>
      <w:r>
        <w:t xml:space="preserve">ub for member’s posted to </w:t>
      </w:r>
      <w:proofErr w:type="spellStart"/>
      <w:r w:rsidRPr="00DB7A3E">
        <w:rPr>
          <w:iCs/>
        </w:rPr>
        <w:t>T</w:t>
      </w:r>
      <w:r w:rsidRPr="00DB7A3E">
        <w:rPr>
          <w:rFonts w:cs="Arial"/>
          <w:iCs/>
        </w:rPr>
        <w:t>ü</w:t>
      </w:r>
      <w:r w:rsidRPr="00DB7A3E">
        <w:rPr>
          <w:iCs/>
        </w:rPr>
        <w:t>rkiye</w:t>
      </w:r>
      <w:proofErr w:type="spellEnd"/>
      <w:r>
        <w:t>, and change the spelling of the country “Turkey” to “</w:t>
      </w:r>
      <w:proofErr w:type="spellStart"/>
      <w:r w:rsidRPr="00DB7A3E">
        <w:rPr>
          <w:iCs/>
        </w:rPr>
        <w:t>T</w:t>
      </w:r>
      <w:r w:rsidRPr="00DB7A3E">
        <w:rPr>
          <w:rFonts w:cs="Arial"/>
          <w:iCs/>
        </w:rPr>
        <w:t>ü</w:t>
      </w:r>
      <w:r w:rsidRPr="00DB7A3E">
        <w:rPr>
          <w:iCs/>
        </w:rPr>
        <w:t>rkiye</w:t>
      </w:r>
      <w:proofErr w:type="spellEnd"/>
      <w:r w:rsidRPr="00DB7A3E">
        <w:rPr>
          <w:iCs/>
        </w:rPr>
        <w:t>” where it is referenced in the Principal Determination.</w:t>
      </w:r>
    </w:p>
    <w:p w14:paraId="6A87E88D" w14:textId="77777777" w:rsidR="00732FAC" w:rsidRDefault="00732FAC" w:rsidP="00732FAC">
      <w:pPr>
        <w:spacing w:after="200" w:line="240" w:lineRule="auto"/>
        <w:rPr>
          <w:rFonts w:ascii="Arial" w:hAnsi="Arial" w:cs="Arial"/>
          <w:b/>
          <w:sz w:val="20"/>
        </w:rPr>
      </w:pPr>
      <w:r w:rsidRPr="0021243D">
        <w:rPr>
          <w:rFonts w:ascii="Arial" w:hAnsi="Arial" w:cs="Arial"/>
          <w:b/>
          <w:sz w:val="20"/>
        </w:rPr>
        <w:t>Human rights implications</w:t>
      </w:r>
    </w:p>
    <w:p w14:paraId="7AF152CB" w14:textId="77777777" w:rsidR="00732FAC" w:rsidRPr="0021243D" w:rsidRDefault="00732FAC" w:rsidP="00732FAC">
      <w:pPr>
        <w:spacing w:after="200" w:line="240" w:lineRule="auto"/>
        <w:rPr>
          <w:rFonts w:ascii="Arial" w:hAnsi="Arial" w:cs="Arial"/>
          <w:sz w:val="24"/>
          <w:szCs w:val="24"/>
        </w:rPr>
      </w:pPr>
      <w:r w:rsidRPr="0021243D">
        <w:rPr>
          <w:rFonts w:ascii="Arial" w:hAnsi="Arial" w:cs="Arial"/>
          <w:i/>
          <w:sz w:val="20"/>
        </w:rPr>
        <w:t>Right to the enjoyment of just and favourable conditions of work</w:t>
      </w:r>
    </w:p>
    <w:p w14:paraId="17023354" w14:textId="77777777" w:rsidR="00732FAC" w:rsidRPr="00A575F1" w:rsidRDefault="00732FAC" w:rsidP="00732FAC">
      <w:pPr>
        <w:pStyle w:val="Sectiontext"/>
        <w:rPr>
          <w:snapToGrid w:val="0"/>
        </w:rPr>
      </w:pPr>
      <w:r w:rsidRPr="00A575F1">
        <w:rPr>
          <w:snapToGrid w:val="0"/>
        </w:rPr>
        <w:t>The protection of a person's right to remuneration engages Article 7 of the International Covenant on Economic, Social and Cultural Rights. Article 7 guarantees just and favourable conditions of work, including remuneration, safe and healthy conditions, equal opportunity and reasonable limitations.</w:t>
      </w:r>
    </w:p>
    <w:p w14:paraId="4A77E17A" w14:textId="77777777" w:rsidR="00732FAC" w:rsidRDefault="00732FAC" w:rsidP="00732FAC">
      <w:pPr>
        <w:shd w:val="clear" w:color="auto" w:fill="FFFFFF"/>
        <w:spacing w:before="100" w:beforeAutospacing="1" w:after="200" w:line="240" w:lineRule="auto"/>
        <w:rPr>
          <w:rFonts w:ascii="Arial" w:hAnsi="Arial" w:cs="Arial"/>
          <w:b/>
          <w:i/>
          <w:iCs/>
          <w:sz w:val="20"/>
        </w:rPr>
      </w:pPr>
      <w:r>
        <w:rPr>
          <w:rFonts w:ascii="Arial" w:hAnsi="Arial" w:cs="Arial"/>
          <w:b/>
          <w:i/>
          <w:iCs/>
          <w:sz w:val="20"/>
        </w:rPr>
        <w:t>Assessment of compatibility</w:t>
      </w:r>
    </w:p>
    <w:p w14:paraId="36A14CE9" w14:textId="7CF44811" w:rsidR="00732FAC" w:rsidRDefault="00732FAC" w:rsidP="00732FAC">
      <w:pPr>
        <w:pStyle w:val="Sectiontext"/>
        <w:tabs>
          <w:tab w:val="left" w:pos="7380"/>
        </w:tabs>
        <w:spacing w:before="240"/>
      </w:pPr>
      <w:r w:rsidRPr="00737505">
        <w:rPr>
          <w:rFonts w:cs="Arial"/>
          <w:iCs/>
        </w:rPr>
        <w:t xml:space="preserve">Schedule 1 </w:t>
      </w:r>
      <w:r w:rsidR="00C558A5">
        <w:rPr>
          <w:rFonts w:cs="Arial"/>
          <w:iCs/>
        </w:rPr>
        <w:t xml:space="preserve">of this Determination </w:t>
      </w:r>
      <w:r>
        <w:rPr>
          <w:rFonts w:cs="Arial"/>
          <w:iCs/>
        </w:rPr>
        <w:t>is compatible with human rights as it provides higher duties allowance for members</w:t>
      </w:r>
      <w:r>
        <w:t xml:space="preserve"> </w:t>
      </w:r>
      <w:r w:rsidRPr="00AD4D0E">
        <w:t xml:space="preserve">who hold the rank of Sub Lieutenant </w:t>
      </w:r>
      <w:r>
        <w:t>when they have been</w:t>
      </w:r>
      <w:r w:rsidRPr="00AD4D0E">
        <w:t xml:space="preserve"> directed to perform d</w:t>
      </w:r>
      <w:r>
        <w:t>uties at the rank of Lieutenant to recognise that the member has been directed to perform duties attributed to a higher rank or higher position.</w:t>
      </w:r>
    </w:p>
    <w:p w14:paraId="0E08F5B5" w14:textId="18CAE31F" w:rsidR="00732FAC" w:rsidRPr="001333B4" w:rsidRDefault="00732FAC" w:rsidP="00732FAC">
      <w:pPr>
        <w:spacing w:after="200" w:line="240" w:lineRule="auto"/>
        <w:rPr>
          <w:rFonts w:ascii="Arial" w:hAnsi="Arial" w:cs="Arial"/>
          <w:sz w:val="20"/>
        </w:rPr>
      </w:pPr>
      <w:r w:rsidRPr="001333B4">
        <w:rPr>
          <w:rFonts w:ascii="Arial" w:eastAsia="Times New Roman" w:hAnsi="Arial" w:cs="Arial"/>
          <w:sz w:val="20"/>
          <w:lang w:eastAsia="en-AU"/>
        </w:rPr>
        <w:t>S</w:t>
      </w:r>
      <w:r w:rsidR="004F6294">
        <w:rPr>
          <w:rFonts w:ascii="Arial" w:eastAsia="Times New Roman" w:hAnsi="Arial" w:cs="Arial"/>
          <w:sz w:val="20"/>
          <w:lang w:eastAsia="en-AU"/>
        </w:rPr>
        <w:t>chedule 2</w:t>
      </w:r>
      <w:r w:rsidRPr="001333B4">
        <w:rPr>
          <w:rFonts w:ascii="Arial" w:eastAsia="Times New Roman" w:hAnsi="Arial" w:cs="Arial"/>
          <w:sz w:val="20"/>
          <w:lang w:eastAsia="en-AU"/>
        </w:rPr>
        <w:t xml:space="preserve"> of this Determination </w:t>
      </w:r>
      <w:r>
        <w:rPr>
          <w:rFonts w:ascii="Arial" w:eastAsia="Times New Roman" w:hAnsi="Arial" w:cs="Arial"/>
          <w:sz w:val="20"/>
          <w:lang w:eastAsia="en-AU"/>
        </w:rPr>
        <w:t xml:space="preserve">provides just and favourable conditions of work for members by providing a replacement approved club for members and their dependants to join when the member is posted to </w:t>
      </w:r>
      <w:r w:rsidRPr="00AE74BC">
        <w:rPr>
          <w:rFonts w:ascii="Arial" w:hAnsi="Arial" w:cs="Arial"/>
          <w:iCs/>
          <w:sz w:val="20"/>
        </w:rPr>
        <w:t>Türkiye</w:t>
      </w:r>
      <w:r>
        <w:rPr>
          <w:rFonts w:ascii="Arial" w:eastAsia="Times New Roman" w:hAnsi="Arial" w:cs="Arial"/>
          <w:sz w:val="20"/>
          <w:lang w:eastAsia="en-AU"/>
        </w:rPr>
        <w:t>, so members and their dependants in that location can continue to receive a benefit as a part of the member’s conditions of service to pursue sporting, recreational and fitness activities</w:t>
      </w:r>
      <w:r w:rsidRPr="001333B4">
        <w:rPr>
          <w:rFonts w:ascii="Arial" w:eastAsia="Times New Roman" w:hAnsi="Arial" w:cs="Arial"/>
          <w:sz w:val="20"/>
          <w:lang w:eastAsia="en-AU"/>
        </w:rPr>
        <w:t>.</w:t>
      </w:r>
    </w:p>
    <w:p w14:paraId="494DEA52" w14:textId="77777777" w:rsidR="001E51FE" w:rsidRPr="0021243D" w:rsidRDefault="001E51FE" w:rsidP="007753AD">
      <w:pPr>
        <w:spacing w:after="200" w:line="240" w:lineRule="auto"/>
        <w:rPr>
          <w:rFonts w:ascii="Arial" w:hAnsi="Arial" w:cs="Arial"/>
          <w:b/>
          <w:sz w:val="20"/>
        </w:rPr>
      </w:pPr>
      <w:r w:rsidRPr="0021243D">
        <w:rPr>
          <w:rFonts w:ascii="Arial" w:hAnsi="Arial" w:cs="Arial"/>
          <w:b/>
          <w:sz w:val="20"/>
        </w:rPr>
        <w:t>Conclusion</w:t>
      </w:r>
    </w:p>
    <w:p w14:paraId="4D3CB653" w14:textId="6396C0B9" w:rsidR="001E51FE" w:rsidRPr="00D15A4D" w:rsidRDefault="001E51FE" w:rsidP="00971610">
      <w:pPr>
        <w:pStyle w:val="Sectiontext"/>
      </w:pPr>
      <w:r w:rsidRPr="00A575F1">
        <w:rPr>
          <w:snapToGrid w:val="0"/>
        </w:rPr>
        <w:t>This Determination is compa</w:t>
      </w:r>
      <w:r w:rsidR="00737505">
        <w:rPr>
          <w:snapToGrid w:val="0"/>
        </w:rPr>
        <w:t xml:space="preserve">tible with human rights and freedoms recognised or declared in the international instruments listed in section 3 of the </w:t>
      </w:r>
      <w:r w:rsidR="00737505">
        <w:rPr>
          <w:i/>
          <w:snapToGrid w:val="0"/>
        </w:rPr>
        <w:t>Human Rights (Parliamentary Scrutiny) Act 2011</w:t>
      </w:r>
      <w:r w:rsidRPr="00A575F1">
        <w:rPr>
          <w:snapToGrid w:val="0"/>
        </w:rPr>
        <w:t>.</w:t>
      </w:r>
    </w:p>
    <w:sectPr w:rsidR="001E51FE" w:rsidRPr="00D15A4D" w:rsidSect="00C72AFD">
      <w:headerReference w:type="first" r:id="rId13"/>
      <w:pgSz w:w="11907" w:h="16839"/>
      <w:pgMar w:top="1134" w:right="1134" w:bottom="992"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EB1E" w14:textId="77777777" w:rsidR="007551C1" w:rsidRDefault="007551C1" w:rsidP="0048364F">
      <w:pPr>
        <w:spacing w:line="240" w:lineRule="auto"/>
      </w:pPr>
      <w:r>
        <w:separator/>
      </w:r>
    </w:p>
  </w:endnote>
  <w:endnote w:type="continuationSeparator" w:id="0">
    <w:p w14:paraId="3A228DBF" w14:textId="77777777" w:rsidR="007551C1" w:rsidRDefault="007551C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20083"/>
      <w:docPartObj>
        <w:docPartGallery w:val="Page Numbers (Bottom of Page)"/>
        <w:docPartUnique/>
      </w:docPartObj>
    </w:sdtPr>
    <w:sdtEndPr>
      <w:rPr>
        <w:noProof/>
      </w:rPr>
    </w:sdtEndPr>
    <w:sdtContent>
      <w:p w14:paraId="786DDF70" w14:textId="0AFE78B9" w:rsidR="00FA083A" w:rsidRDefault="00FA083A">
        <w:pPr>
          <w:pStyle w:val="Footer"/>
          <w:jc w:val="right"/>
        </w:pPr>
        <w:r>
          <w:fldChar w:fldCharType="begin"/>
        </w:r>
        <w:r>
          <w:instrText xml:space="preserve"> PAGE   \* MERGEFORMAT </w:instrText>
        </w:r>
        <w:r>
          <w:fldChar w:fldCharType="separate"/>
        </w:r>
        <w:r w:rsidR="00FD128D">
          <w:rPr>
            <w:noProof/>
          </w:rPr>
          <w:t>4</w:t>
        </w:r>
        <w:r>
          <w:rPr>
            <w:noProof/>
          </w:rPr>
          <w:fldChar w:fldCharType="end"/>
        </w:r>
      </w:p>
    </w:sdtContent>
  </w:sdt>
  <w:p w14:paraId="080BA358" w14:textId="77777777" w:rsidR="00E86DED" w:rsidRPr="00ED79B6" w:rsidRDefault="00E86DED" w:rsidP="007A6863">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02690"/>
      <w:docPartObj>
        <w:docPartGallery w:val="Page Numbers (Bottom of Page)"/>
        <w:docPartUnique/>
      </w:docPartObj>
    </w:sdtPr>
    <w:sdtEndPr>
      <w:rPr>
        <w:noProof/>
      </w:rPr>
    </w:sdtEndPr>
    <w:sdtContent>
      <w:p w14:paraId="15A37926" w14:textId="7F07E8EA" w:rsidR="00FA083A" w:rsidRDefault="00FA083A">
        <w:pPr>
          <w:pStyle w:val="Footer"/>
          <w:jc w:val="right"/>
        </w:pPr>
        <w:r>
          <w:fldChar w:fldCharType="begin"/>
        </w:r>
        <w:r>
          <w:instrText xml:space="preserve"> PAGE   \* MERGEFORMAT </w:instrText>
        </w:r>
        <w:r>
          <w:fldChar w:fldCharType="separate"/>
        </w:r>
        <w:r w:rsidR="00FD128D">
          <w:rPr>
            <w:noProof/>
          </w:rPr>
          <w:t>5</w:t>
        </w:r>
        <w:r>
          <w:rPr>
            <w:noProof/>
          </w:rPr>
          <w:fldChar w:fldCharType="end"/>
        </w:r>
      </w:p>
    </w:sdtContent>
  </w:sdt>
  <w:p w14:paraId="53A836F1" w14:textId="77777777" w:rsidR="002C71AE" w:rsidRPr="00ED79B6" w:rsidRDefault="002C71AE"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5FE3" w14:textId="77777777" w:rsidR="007551C1" w:rsidRDefault="007551C1" w:rsidP="0048364F">
      <w:pPr>
        <w:spacing w:line="240" w:lineRule="auto"/>
      </w:pPr>
      <w:r>
        <w:separator/>
      </w:r>
    </w:p>
  </w:footnote>
  <w:footnote w:type="continuationSeparator" w:id="0">
    <w:p w14:paraId="1CCD80B5" w14:textId="77777777" w:rsidR="007551C1" w:rsidRDefault="007551C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27EC" w14:textId="638C0BDE" w:rsidR="001E51FE" w:rsidRPr="00486185" w:rsidRDefault="001E51FE" w:rsidP="0048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22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00D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9CE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76F7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864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6281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08FE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0CD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E8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F85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C93CC0"/>
    <w:multiLevelType w:val="hybridMultilevel"/>
    <w:tmpl w:val="C52256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2DF2C0E"/>
    <w:multiLevelType w:val="hybridMultilevel"/>
    <w:tmpl w:val="C624E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03710E"/>
    <w:multiLevelType w:val="hybridMultilevel"/>
    <w:tmpl w:val="6F7076BC"/>
    <w:styleLink w:val="OPCBodyList"/>
    <w:lvl w:ilvl="0" w:tplc="EDD0FD74">
      <w:start w:val="1"/>
      <w:numFmt w:val="decimal"/>
      <w:pStyle w:val="BodyNum"/>
      <w:lvlText w:val="%1"/>
      <w:lvlJc w:val="left"/>
      <w:pPr>
        <w:tabs>
          <w:tab w:val="num" w:pos="720"/>
        </w:tabs>
        <w:ind w:left="0" w:firstLine="0"/>
      </w:pPr>
      <w:rPr>
        <w:rFonts w:hint="default"/>
      </w:rPr>
    </w:lvl>
    <w:lvl w:ilvl="1" w:tplc="14B25948">
      <w:start w:val="1"/>
      <w:numFmt w:val="lowerLetter"/>
      <w:pStyle w:val="BodyPara"/>
      <w:lvlText w:val="(%2)"/>
      <w:lvlJc w:val="left"/>
      <w:pPr>
        <w:tabs>
          <w:tab w:val="num" w:pos="1440"/>
        </w:tabs>
        <w:ind w:left="1440" w:hanging="720"/>
      </w:pPr>
      <w:rPr>
        <w:rFonts w:hint="default"/>
      </w:rPr>
    </w:lvl>
    <w:lvl w:ilvl="2" w:tplc="91F283FC">
      <w:start w:val="1"/>
      <w:numFmt w:val="bullet"/>
      <w:lvlText w:val=""/>
      <w:lvlJc w:val="left"/>
      <w:pPr>
        <w:tabs>
          <w:tab w:val="num" w:pos="1440"/>
        </w:tabs>
        <w:ind w:left="1440" w:hanging="720"/>
      </w:pPr>
      <w:rPr>
        <w:rFonts w:ascii="Symbol" w:hAnsi="Symbol" w:hint="default"/>
      </w:rPr>
    </w:lvl>
    <w:lvl w:ilvl="3" w:tplc="D2FCCBE8">
      <w:start w:val="1"/>
      <w:numFmt w:val="lowerRoman"/>
      <w:lvlText w:val="(%4)"/>
      <w:lvlJc w:val="left"/>
      <w:pPr>
        <w:tabs>
          <w:tab w:val="num" w:pos="2160"/>
        </w:tabs>
        <w:ind w:left="2160" w:hanging="720"/>
      </w:pPr>
      <w:rPr>
        <w:rFonts w:hint="default"/>
      </w:rPr>
    </w:lvl>
    <w:lvl w:ilvl="4" w:tplc="3F5CF6D2">
      <w:start w:val="1"/>
      <w:numFmt w:val="lowerLetter"/>
      <w:lvlText w:val="(%5)"/>
      <w:lvlJc w:val="left"/>
      <w:pPr>
        <w:ind w:left="1800" w:hanging="360"/>
      </w:pPr>
      <w:rPr>
        <w:rFonts w:hint="default"/>
      </w:rPr>
    </w:lvl>
    <w:lvl w:ilvl="5" w:tplc="7AAC74A6">
      <w:start w:val="1"/>
      <w:numFmt w:val="lowerRoman"/>
      <w:lvlText w:val="(%6)"/>
      <w:lvlJc w:val="left"/>
      <w:pPr>
        <w:ind w:left="2160" w:hanging="360"/>
      </w:pPr>
      <w:rPr>
        <w:rFonts w:hint="default"/>
      </w:rPr>
    </w:lvl>
    <w:lvl w:ilvl="6" w:tplc="72943198">
      <w:start w:val="1"/>
      <w:numFmt w:val="decimal"/>
      <w:lvlText w:val="%7."/>
      <w:lvlJc w:val="left"/>
      <w:pPr>
        <w:ind w:left="2520" w:hanging="360"/>
      </w:pPr>
      <w:rPr>
        <w:rFonts w:hint="default"/>
      </w:rPr>
    </w:lvl>
    <w:lvl w:ilvl="7" w:tplc="1DCC5D16">
      <w:start w:val="1"/>
      <w:numFmt w:val="lowerLetter"/>
      <w:lvlText w:val="%8."/>
      <w:lvlJc w:val="left"/>
      <w:pPr>
        <w:ind w:left="2880" w:hanging="360"/>
      </w:pPr>
      <w:rPr>
        <w:rFonts w:hint="default"/>
      </w:rPr>
    </w:lvl>
    <w:lvl w:ilvl="8" w:tplc="6E703288">
      <w:start w:val="1"/>
      <w:numFmt w:val="lowerRoman"/>
      <w:lvlText w:val="%9."/>
      <w:lvlJc w:val="left"/>
      <w:pPr>
        <w:ind w:left="3240" w:hanging="360"/>
      </w:pPr>
      <w:rPr>
        <w:rFonts w:hint="default"/>
      </w:rPr>
    </w:lvl>
  </w:abstractNum>
  <w:abstractNum w:abstractNumId="14" w15:restartNumberingAfterBreak="0">
    <w:nsid w:val="23F226CA"/>
    <w:multiLevelType w:val="hybridMultilevel"/>
    <w:tmpl w:val="99C25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372AB0"/>
    <w:multiLevelType w:val="hybridMultilevel"/>
    <w:tmpl w:val="A758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7B4757"/>
    <w:multiLevelType w:val="hybridMultilevel"/>
    <w:tmpl w:val="2B8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821AC"/>
    <w:multiLevelType w:val="hybridMultilevel"/>
    <w:tmpl w:val="1D50E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4A4ED3"/>
    <w:multiLevelType w:val="hybridMultilevel"/>
    <w:tmpl w:val="7D52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F7794"/>
    <w:multiLevelType w:val="hybridMultilevel"/>
    <w:tmpl w:val="8F345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824EA"/>
    <w:multiLevelType w:val="hybridMultilevel"/>
    <w:tmpl w:val="B9161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937C1B"/>
    <w:multiLevelType w:val="hybridMultilevel"/>
    <w:tmpl w:val="F50A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17CCC"/>
    <w:multiLevelType w:val="hybridMultilevel"/>
    <w:tmpl w:val="FC8E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8"/>
  </w:num>
  <w:num w:numId="15">
    <w:abstractNumId w:val="21"/>
  </w:num>
  <w:num w:numId="16">
    <w:abstractNumId w:val="19"/>
  </w:num>
  <w:num w:numId="17">
    <w:abstractNumId w:val="12"/>
  </w:num>
  <w:num w:numId="18">
    <w:abstractNumId w:val="17"/>
  </w:num>
  <w:num w:numId="19">
    <w:abstractNumId w:val="15"/>
  </w:num>
  <w:num w:numId="20">
    <w:abstractNumId w:val="14"/>
  </w:num>
  <w:num w:numId="21">
    <w:abstractNumId w:val="20"/>
  </w:num>
  <w:num w:numId="22">
    <w:abstractNumId w:val="2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6B"/>
    <w:rsid w:val="00000263"/>
    <w:rsid w:val="000113BC"/>
    <w:rsid w:val="000136AF"/>
    <w:rsid w:val="00034420"/>
    <w:rsid w:val="0004044E"/>
    <w:rsid w:val="0005120E"/>
    <w:rsid w:val="00054577"/>
    <w:rsid w:val="000614BF"/>
    <w:rsid w:val="0007169C"/>
    <w:rsid w:val="00077593"/>
    <w:rsid w:val="0008037A"/>
    <w:rsid w:val="00083F48"/>
    <w:rsid w:val="000A479A"/>
    <w:rsid w:val="000A7DF9"/>
    <w:rsid w:val="000C3AA3"/>
    <w:rsid w:val="000C696D"/>
    <w:rsid w:val="000D05EF"/>
    <w:rsid w:val="000D3FB9"/>
    <w:rsid w:val="000D5485"/>
    <w:rsid w:val="000E598E"/>
    <w:rsid w:val="000E5A3D"/>
    <w:rsid w:val="000F0ADA"/>
    <w:rsid w:val="000F21C1"/>
    <w:rsid w:val="0010745C"/>
    <w:rsid w:val="001122FF"/>
    <w:rsid w:val="00116410"/>
    <w:rsid w:val="0015548E"/>
    <w:rsid w:val="00160BD7"/>
    <w:rsid w:val="001643C9"/>
    <w:rsid w:val="00164901"/>
    <w:rsid w:val="00165568"/>
    <w:rsid w:val="00166082"/>
    <w:rsid w:val="00166C2F"/>
    <w:rsid w:val="001716C9"/>
    <w:rsid w:val="00177A16"/>
    <w:rsid w:val="001800D4"/>
    <w:rsid w:val="001815FC"/>
    <w:rsid w:val="00184261"/>
    <w:rsid w:val="00193461"/>
    <w:rsid w:val="001939E1"/>
    <w:rsid w:val="0019452E"/>
    <w:rsid w:val="00195382"/>
    <w:rsid w:val="001A3B9F"/>
    <w:rsid w:val="001A5520"/>
    <w:rsid w:val="001A65C0"/>
    <w:rsid w:val="001B7A5D"/>
    <w:rsid w:val="001C18C4"/>
    <w:rsid w:val="001C69C4"/>
    <w:rsid w:val="001D6B30"/>
    <w:rsid w:val="001D75D3"/>
    <w:rsid w:val="001E0A8D"/>
    <w:rsid w:val="001E3590"/>
    <w:rsid w:val="001E51FE"/>
    <w:rsid w:val="001E7407"/>
    <w:rsid w:val="001F1A46"/>
    <w:rsid w:val="001F73B3"/>
    <w:rsid w:val="00201D27"/>
    <w:rsid w:val="0021153A"/>
    <w:rsid w:val="0021243D"/>
    <w:rsid w:val="0022229F"/>
    <w:rsid w:val="002245A6"/>
    <w:rsid w:val="002302EA"/>
    <w:rsid w:val="00237614"/>
    <w:rsid w:val="00240749"/>
    <w:rsid w:val="002468D7"/>
    <w:rsid w:val="00247E97"/>
    <w:rsid w:val="00256C81"/>
    <w:rsid w:val="00285CDD"/>
    <w:rsid w:val="00291167"/>
    <w:rsid w:val="0029489E"/>
    <w:rsid w:val="00297ECB"/>
    <w:rsid w:val="002A3EC7"/>
    <w:rsid w:val="002B1B7A"/>
    <w:rsid w:val="002C152A"/>
    <w:rsid w:val="002C71AE"/>
    <w:rsid w:val="002D043A"/>
    <w:rsid w:val="002D4DE3"/>
    <w:rsid w:val="002E05AE"/>
    <w:rsid w:val="00303210"/>
    <w:rsid w:val="0031713F"/>
    <w:rsid w:val="003222D1"/>
    <w:rsid w:val="0032750F"/>
    <w:rsid w:val="00335686"/>
    <w:rsid w:val="003415D3"/>
    <w:rsid w:val="003442F6"/>
    <w:rsid w:val="00346335"/>
    <w:rsid w:val="00352B0F"/>
    <w:rsid w:val="003561B0"/>
    <w:rsid w:val="00372E78"/>
    <w:rsid w:val="00397893"/>
    <w:rsid w:val="003A15AC"/>
    <w:rsid w:val="003B0627"/>
    <w:rsid w:val="003C5F2B"/>
    <w:rsid w:val="003C7D35"/>
    <w:rsid w:val="003D0BFE"/>
    <w:rsid w:val="003D5700"/>
    <w:rsid w:val="003F506B"/>
    <w:rsid w:val="003F6F52"/>
    <w:rsid w:val="004022CA"/>
    <w:rsid w:val="004116CD"/>
    <w:rsid w:val="00414ADE"/>
    <w:rsid w:val="00417CDA"/>
    <w:rsid w:val="00424CA9"/>
    <w:rsid w:val="004257BB"/>
    <w:rsid w:val="0044291A"/>
    <w:rsid w:val="004600B0"/>
    <w:rsid w:val="00460499"/>
    <w:rsid w:val="00460FBA"/>
    <w:rsid w:val="004707F2"/>
    <w:rsid w:val="00473708"/>
    <w:rsid w:val="00474835"/>
    <w:rsid w:val="004819C7"/>
    <w:rsid w:val="0048364F"/>
    <w:rsid w:val="00486185"/>
    <w:rsid w:val="004877FC"/>
    <w:rsid w:val="00490F2E"/>
    <w:rsid w:val="00496F97"/>
    <w:rsid w:val="004A53EA"/>
    <w:rsid w:val="004B1541"/>
    <w:rsid w:val="004B35E7"/>
    <w:rsid w:val="004C5A5D"/>
    <w:rsid w:val="004D775C"/>
    <w:rsid w:val="004F1FAC"/>
    <w:rsid w:val="004F549D"/>
    <w:rsid w:val="004F6294"/>
    <w:rsid w:val="004F676E"/>
    <w:rsid w:val="004F71C0"/>
    <w:rsid w:val="00506A01"/>
    <w:rsid w:val="00513BFC"/>
    <w:rsid w:val="00516B8D"/>
    <w:rsid w:val="00516D3D"/>
    <w:rsid w:val="00523116"/>
    <w:rsid w:val="0052756C"/>
    <w:rsid w:val="00530230"/>
    <w:rsid w:val="00530CC9"/>
    <w:rsid w:val="00531B46"/>
    <w:rsid w:val="00537FBC"/>
    <w:rsid w:val="00541D73"/>
    <w:rsid w:val="00543469"/>
    <w:rsid w:val="00546FA3"/>
    <w:rsid w:val="00557413"/>
    <w:rsid w:val="00557C7A"/>
    <w:rsid w:val="00562A58"/>
    <w:rsid w:val="0056541A"/>
    <w:rsid w:val="005803CD"/>
    <w:rsid w:val="00581211"/>
    <w:rsid w:val="00584811"/>
    <w:rsid w:val="00593AA6"/>
    <w:rsid w:val="00594161"/>
    <w:rsid w:val="00594749"/>
    <w:rsid w:val="00594956"/>
    <w:rsid w:val="005B1555"/>
    <w:rsid w:val="005B4067"/>
    <w:rsid w:val="005C3F41"/>
    <w:rsid w:val="005C4EF0"/>
    <w:rsid w:val="005D1A20"/>
    <w:rsid w:val="005D5EA1"/>
    <w:rsid w:val="005E098C"/>
    <w:rsid w:val="005E1F8D"/>
    <w:rsid w:val="005E317F"/>
    <w:rsid w:val="005E61D3"/>
    <w:rsid w:val="00600219"/>
    <w:rsid w:val="006020BF"/>
    <w:rsid w:val="006065DA"/>
    <w:rsid w:val="00606AA4"/>
    <w:rsid w:val="0061058B"/>
    <w:rsid w:val="006252AD"/>
    <w:rsid w:val="00640402"/>
    <w:rsid w:val="00640F78"/>
    <w:rsid w:val="00655D6A"/>
    <w:rsid w:val="00656DE9"/>
    <w:rsid w:val="00672876"/>
    <w:rsid w:val="00677CC2"/>
    <w:rsid w:val="00682847"/>
    <w:rsid w:val="00685F42"/>
    <w:rsid w:val="0069207B"/>
    <w:rsid w:val="00697CB2"/>
    <w:rsid w:val="006A297B"/>
    <w:rsid w:val="006A304E"/>
    <w:rsid w:val="006B7006"/>
    <w:rsid w:val="006C7F8C"/>
    <w:rsid w:val="006D7AB9"/>
    <w:rsid w:val="00700B2C"/>
    <w:rsid w:val="00713084"/>
    <w:rsid w:val="00717463"/>
    <w:rsid w:val="00720FC2"/>
    <w:rsid w:val="00722E89"/>
    <w:rsid w:val="00724541"/>
    <w:rsid w:val="00731E00"/>
    <w:rsid w:val="00732FAC"/>
    <w:rsid w:val="007339C7"/>
    <w:rsid w:val="00737505"/>
    <w:rsid w:val="007440B7"/>
    <w:rsid w:val="00747993"/>
    <w:rsid w:val="007551C1"/>
    <w:rsid w:val="007634AD"/>
    <w:rsid w:val="007715C9"/>
    <w:rsid w:val="00774EDD"/>
    <w:rsid w:val="007753AD"/>
    <w:rsid w:val="007757EC"/>
    <w:rsid w:val="007952E9"/>
    <w:rsid w:val="00796883"/>
    <w:rsid w:val="007A6863"/>
    <w:rsid w:val="007B51E4"/>
    <w:rsid w:val="007B7E65"/>
    <w:rsid w:val="007C4910"/>
    <w:rsid w:val="007C78B4"/>
    <w:rsid w:val="007D1023"/>
    <w:rsid w:val="007E0853"/>
    <w:rsid w:val="007E32B6"/>
    <w:rsid w:val="007E3976"/>
    <w:rsid w:val="007E486B"/>
    <w:rsid w:val="007E7D4A"/>
    <w:rsid w:val="007F48ED"/>
    <w:rsid w:val="007F5E3F"/>
    <w:rsid w:val="00812F45"/>
    <w:rsid w:val="008278DA"/>
    <w:rsid w:val="00836FE9"/>
    <w:rsid w:val="0084172C"/>
    <w:rsid w:val="008417DF"/>
    <w:rsid w:val="00850FAF"/>
    <w:rsid w:val="0085175E"/>
    <w:rsid w:val="00853CB1"/>
    <w:rsid w:val="00856A31"/>
    <w:rsid w:val="00864A66"/>
    <w:rsid w:val="008754D0"/>
    <w:rsid w:val="00877C69"/>
    <w:rsid w:val="00877D48"/>
    <w:rsid w:val="0088345B"/>
    <w:rsid w:val="008A16A5"/>
    <w:rsid w:val="008A5C57"/>
    <w:rsid w:val="008C0629"/>
    <w:rsid w:val="008C6FF0"/>
    <w:rsid w:val="008D0EE0"/>
    <w:rsid w:val="008D7A27"/>
    <w:rsid w:val="008E4702"/>
    <w:rsid w:val="008E69AA"/>
    <w:rsid w:val="008F4F1C"/>
    <w:rsid w:val="009069AD"/>
    <w:rsid w:val="00910E64"/>
    <w:rsid w:val="00922764"/>
    <w:rsid w:val="009254AE"/>
    <w:rsid w:val="009278C1"/>
    <w:rsid w:val="00932377"/>
    <w:rsid w:val="009346E3"/>
    <w:rsid w:val="0094523D"/>
    <w:rsid w:val="00971610"/>
    <w:rsid w:val="00976A63"/>
    <w:rsid w:val="00991733"/>
    <w:rsid w:val="009A6866"/>
    <w:rsid w:val="009B2490"/>
    <w:rsid w:val="009B50E5"/>
    <w:rsid w:val="009B7B55"/>
    <w:rsid w:val="009C3431"/>
    <w:rsid w:val="009C5989"/>
    <w:rsid w:val="009C6A32"/>
    <w:rsid w:val="009D08DA"/>
    <w:rsid w:val="009F1229"/>
    <w:rsid w:val="00A003BB"/>
    <w:rsid w:val="00A06860"/>
    <w:rsid w:val="00A07DDE"/>
    <w:rsid w:val="00A136F5"/>
    <w:rsid w:val="00A2047D"/>
    <w:rsid w:val="00A231E2"/>
    <w:rsid w:val="00A2550D"/>
    <w:rsid w:val="00A349F1"/>
    <w:rsid w:val="00A379BB"/>
    <w:rsid w:val="00A4169B"/>
    <w:rsid w:val="00A50D55"/>
    <w:rsid w:val="00A52FDA"/>
    <w:rsid w:val="00A575F1"/>
    <w:rsid w:val="00A6282F"/>
    <w:rsid w:val="00A63E34"/>
    <w:rsid w:val="00A64912"/>
    <w:rsid w:val="00A70A74"/>
    <w:rsid w:val="00A7649F"/>
    <w:rsid w:val="00A9231A"/>
    <w:rsid w:val="00A93CFA"/>
    <w:rsid w:val="00A95BC7"/>
    <w:rsid w:val="00AA0343"/>
    <w:rsid w:val="00AA0D47"/>
    <w:rsid w:val="00AA78CE"/>
    <w:rsid w:val="00AA7B26"/>
    <w:rsid w:val="00AB2B71"/>
    <w:rsid w:val="00AC2ADA"/>
    <w:rsid w:val="00AC767C"/>
    <w:rsid w:val="00AD3467"/>
    <w:rsid w:val="00AD5641"/>
    <w:rsid w:val="00AF33DB"/>
    <w:rsid w:val="00AF6E41"/>
    <w:rsid w:val="00B032D8"/>
    <w:rsid w:val="00B039C8"/>
    <w:rsid w:val="00B05D72"/>
    <w:rsid w:val="00B14A66"/>
    <w:rsid w:val="00B20990"/>
    <w:rsid w:val="00B23FAF"/>
    <w:rsid w:val="00B26ED7"/>
    <w:rsid w:val="00B33B3C"/>
    <w:rsid w:val="00B40D74"/>
    <w:rsid w:val="00B42649"/>
    <w:rsid w:val="00B46467"/>
    <w:rsid w:val="00B52663"/>
    <w:rsid w:val="00B56DCB"/>
    <w:rsid w:val="00B61728"/>
    <w:rsid w:val="00B770D2"/>
    <w:rsid w:val="00B908E1"/>
    <w:rsid w:val="00B93516"/>
    <w:rsid w:val="00B96776"/>
    <w:rsid w:val="00B973E5"/>
    <w:rsid w:val="00BA0F45"/>
    <w:rsid w:val="00BA47A3"/>
    <w:rsid w:val="00BA5026"/>
    <w:rsid w:val="00BA7B5B"/>
    <w:rsid w:val="00BB6E79"/>
    <w:rsid w:val="00BC00AA"/>
    <w:rsid w:val="00BE2113"/>
    <w:rsid w:val="00BE42C5"/>
    <w:rsid w:val="00BE719A"/>
    <w:rsid w:val="00BE720A"/>
    <w:rsid w:val="00BF0723"/>
    <w:rsid w:val="00BF6650"/>
    <w:rsid w:val="00C067E5"/>
    <w:rsid w:val="00C11014"/>
    <w:rsid w:val="00C164CA"/>
    <w:rsid w:val="00C26051"/>
    <w:rsid w:val="00C40348"/>
    <w:rsid w:val="00C42BF8"/>
    <w:rsid w:val="00C460AE"/>
    <w:rsid w:val="00C50043"/>
    <w:rsid w:val="00C5015F"/>
    <w:rsid w:val="00C50A0F"/>
    <w:rsid w:val="00C50F4A"/>
    <w:rsid w:val="00C558A5"/>
    <w:rsid w:val="00C72AFD"/>
    <w:rsid w:val="00C72D10"/>
    <w:rsid w:val="00C7573B"/>
    <w:rsid w:val="00C76CF3"/>
    <w:rsid w:val="00C81FF5"/>
    <w:rsid w:val="00C93205"/>
    <w:rsid w:val="00C945DC"/>
    <w:rsid w:val="00CA19C3"/>
    <w:rsid w:val="00CA7844"/>
    <w:rsid w:val="00CB5822"/>
    <w:rsid w:val="00CB58EF"/>
    <w:rsid w:val="00CC1F0D"/>
    <w:rsid w:val="00CC3872"/>
    <w:rsid w:val="00CE0A93"/>
    <w:rsid w:val="00CE41E6"/>
    <w:rsid w:val="00CF0BB2"/>
    <w:rsid w:val="00D12B0D"/>
    <w:rsid w:val="00D13441"/>
    <w:rsid w:val="00D15A4D"/>
    <w:rsid w:val="00D243A3"/>
    <w:rsid w:val="00D33440"/>
    <w:rsid w:val="00D516AD"/>
    <w:rsid w:val="00D52EFE"/>
    <w:rsid w:val="00D55AEE"/>
    <w:rsid w:val="00D567A2"/>
    <w:rsid w:val="00D56A0D"/>
    <w:rsid w:val="00D63EF6"/>
    <w:rsid w:val="00D66518"/>
    <w:rsid w:val="00D70DFB"/>
    <w:rsid w:val="00D71EEA"/>
    <w:rsid w:val="00D735CD"/>
    <w:rsid w:val="00D7552B"/>
    <w:rsid w:val="00D766DF"/>
    <w:rsid w:val="00D84477"/>
    <w:rsid w:val="00D90841"/>
    <w:rsid w:val="00D94896"/>
    <w:rsid w:val="00D954D8"/>
    <w:rsid w:val="00DA2439"/>
    <w:rsid w:val="00DA3114"/>
    <w:rsid w:val="00DA6F05"/>
    <w:rsid w:val="00DB64FC"/>
    <w:rsid w:val="00DB7A3E"/>
    <w:rsid w:val="00DD4828"/>
    <w:rsid w:val="00DE149E"/>
    <w:rsid w:val="00DF1936"/>
    <w:rsid w:val="00E034DB"/>
    <w:rsid w:val="00E05704"/>
    <w:rsid w:val="00E12F1A"/>
    <w:rsid w:val="00E22935"/>
    <w:rsid w:val="00E232C6"/>
    <w:rsid w:val="00E54292"/>
    <w:rsid w:val="00E54C9B"/>
    <w:rsid w:val="00E54D2B"/>
    <w:rsid w:val="00E60191"/>
    <w:rsid w:val="00E74DC7"/>
    <w:rsid w:val="00E8342F"/>
    <w:rsid w:val="00E86DED"/>
    <w:rsid w:val="00E87699"/>
    <w:rsid w:val="00E91740"/>
    <w:rsid w:val="00E92E27"/>
    <w:rsid w:val="00E9586B"/>
    <w:rsid w:val="00E97334"/>
    <w:rsid w:val="00EB248D"/>
    <w:rsid w:val="00EB3A99"/>
    <w:rsid w:val="00EB65F8"/>
    <w:rsid w:val="00EC45EE"/>
    <w:rsid w:val="00ED4928"/>
    <w:rsid w:val="00EE3FFE"/>
    <w:rsid w:val="00EE57E8"/>
    <w:rsid w:val="00EE6190"/>
    <w:rsid w:val="00EF2E3A"/>
    <w:rsid w:val="00EF6402"/>
    <w:rsid w:val="00F047E2"/>
    <w:rsid w:val="00F04D57"/>
    <w:rsid w:val="00F078DC"/>
    <w:rsid w:val="00F13E86"/>
    <w:rsid w:val="00F20B52"/>
    <w:rsid w:val="00F25B43"/>
    <w:rsid w:val="00F32FCB"/>
    <w:rsid w:val="00F33523"/>
    <w:rsid w:val="00F55FD3"/>
    <w:rsid w:val="00F677A9"/>
    <w:rsid w:val="00F8121C"/>
    <w:rsid w:val="00F84CF5"/>
    <w:rsid w:val="00F8612E"/>
    <w:rsid w:val="00F94583"/>
    <w:rsid w:val="00FA083A"/>
    <w:rsid w:val="00FA420B"/>
    <w:rsid w:val="00FB0622"/>
    <w:rsid w:val="00FB6AEE"/>
    <w:rsid w:val="00FC1393"/>
    <w:rsid w:val="00FC3EAC"/>
    <w:rsid w:val="00FD128D"/>
    <w:rsid w:val="00FF39DE"/>
    <w:rsid w:val="1B0BDFBF"/>
    <w:rsid w:val="26C6B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85B1FB"/>
  <w15:docId w15:val="{B22B057F-1E63-4E2A-9585-AE3F07D2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aliases w:val="Document/Determination Title"/>
    <w:basedOn w:val="Normal"/>
    <w:next w:val="Normal"/>
    <w:link w:val="Heading1Char"/>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w:basedOn w:val="Normal"/>
    <w:next w:val="Normal"/>
    <w:link w:val="Heading2Char"/>
    <w:uiPriority w:val="9"/>
    <w:unhideWhenUsed/>
    <w:qFormat/>
    <w:rsid w:val="004C5A5D"/>
    <w:pPr>
      <w:outlineLvl w:val="1"/>
    </w:pPr>
    <w:rPr>
      <w:rFonts w:ascii="Arial" w:eastAsia="Times New Roman" w:hAnsi="Arial" w:cs="Times New Roman"/>
      <w:b/>
      <w:sz w:val="30"/>
      <w:lang w:eastAsia="en-AU"/>
    </w:rPr>
  </w:style>
  <w:style w:type="paragraph" w:styleId="Heading3">
    <w:name w:val="heading 3"/>
    <w:aliases w:val="Part"/>
    <w:basedOn w:val="Normal"/>
    <w:next w:val="Normal"/>
    <w:link w:val="Heading3Char"/>
    <w:uiPriority w:val="9"/>
    <w:unhideWhenUsed/>
    <w:qFormat/>
    <w:rsid w:val="004C5A5D"/>
    <w:pPr>
      <w:keepNext/>
      <w:keepLines/>
      <w:spacing w:before="200"/>
      <w:outlineLvl w:val="2"/>
    </w:pPr>
    <w:rPr>
      <w:rFonts w:ascii="Arial Bold" w:eastAsia="Times New Roman" w:hAnsi="Arial Bold" w:cs="Times New Roman"/>
      <w:sz w:val="27"/>
      <w:lang w:eastAsia="en-AU"/>
    </w:rPr>
  </w:style>
  <w:style w:type="paragraph" w:styleId="Heading4">
    <w:name w:val="heading 4"/>
    <w:aliases w:val="Division"/>
    <w:basedOn w:val="Heading3"/>
    <w:next w:val="Normal"/>
    <w:link w:val="Heading4Char"/>
    <w:uiPriority w:val="9"/>
    <w:unhideWhenUsed/>
    <w:qFormat/>
    <w:rsid w:val="004C5A5D"/>
    <w:pPr>
      <w:outlineLvl w:val="3"/>
    </w:pPr>
    <w:rPr>
      <w:b/>
      <w:bCs/>
    </w:rPr>
  </w:style>
  <w:style w:type="paragraph" w:styleId="Heading5">
    <w:name w:val="heading 5"/>
    <w:aliases w:val="Clause/Block Label"/>
    <w:basedOn w:val="Normal"/>
    <w:next w:val="Normal"/>
    <w:link w:val="Heading5Char"/>
    <w:unhideWhenUsed/>
    <w:qFormat/>
    <w:rsid w:val="00991733"/>
    <w:pPr>
      <w:keepNext/>
      <w:keepLines/>
      <w:spacing w:before="360" w:after="120" w:line="240" w:lineRule="auto"/>
      <w:outlineLvl w:val="4"/>
    </w:pPr>
    <w:rPr>
      <w:rFonts w:ascii="Arial" w:eastAsiaTheme="majorEastAsia" w:hAnsi="Arial" w:cstheme="majorBidi"/>
      <w:b/>
    </w:rPr>
  </w:style>
  <w:style w:type="paragraph" w:styleId="Heading6">
    <w:name w:val="heading 6"/>
    <w:aliases w:val="ES-HRS Title"/>
    <w:basedOn w:val="ActHead7"/>
    <w:next w:val="Normal"/>
    <w:link w:val="Heading6Char"/>
    <w:qFormat/>
    <w:rsid w:val="009A6866"/>
    <w:pPr>
      <w:spacing w:after="280"/>
      <w:outlineLvl w:val="5"/>
    </w:pPr>
    <w:rPr>
      <w:rFonts w:ascii="Arial" w:hAnsi="Arial"/>
      <w:noProof/>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3EC7"/>
    <w:pPr>
      <w:keepNext/>
      <w:keepLines/>
      <w:spacing w:before="280" w:line="240" w:lineRule="auto"/>
      <w:outlineLvl w:val="6"/>
    </w:pPr>
    <w:rPr>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3EC7"/>
    <w:pPr>
      <w:keepNext/>
      <w:keepLines/>
      <w:spacing w:before="280" w:line="240" w:lineRule="auto"/>
      <w:ind w:left="1134" w:hanging="1134"/>
      <w:outlineLvl w:val="8"/>
    </w:pPr>
    <w:rPr>
      <w:rFonts w:ascii="Arial" w:hAnsi="Arial"/>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aliases w:val="ES-HRS Title Char"/>
    <w:basedOn w:val="DefaultParagraphFont"/>
    <w:link w:val="Heading6"/>
    <w:rsid w:val="009A6866"/>
    <w:rPr>
      <w:rFonts w:ascii="Arial" w:eastAsia="Times New Roman" w:hAnsi="Arial" w:cs="Times New Roman"/>
      <w:b/>
      <w:noProof/>
      <w:kern w:val="28"/>
      <w:sz w:val="28"/>
      <w:lang w:eastAsia="en-AU"/>
    </w:rPr>
  </w:style>
  <w:style w:type="character" w:customStyle="1" w:styleId="Heading1Char">
    <w:name w:val="Heading 1 Char"/>
    <w:aliases w:val="Document/Determination Title Char"/>
    <w:basedOn w:val="DefaultParagraphFont"/>
    <w:link w:val="Heading1"/>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Char"/>
    <w:basedOn w:val="DefaultParagraphFont"/>
    <w:link w:val="Heading2"/>
    <w:uiPriority w:val="9"/>
    <w:rsid w:val="004C5A5D"/>
    <w:rPr>
      <w:rFonts w:ascii="Arial" w:eastAsia="Times New Roman" w:hAnsi="Arial" w:cs="Times New Roman"/>
      <w:b/>
      <w:sz w:val="30"/>
      <w:lang w:eastAsia="en-AU"/>
    </w:rPr>
  </w:style>
  <w:style w:type="character" w:customStyle="1" w:styleId="Heading3Char">
    <w:name w:val="Heading 3 Char"/>
    <w:aliases w:val="Part Char"/>
    <w:basedOn w:val="DefaultParagraphFont"/>
    <w:link w:val="Heading3"/>
    <w:uiPriority w:val="9"/>
    <w:rsid w:val="004C5A5D"/>
    <w:rPr>
      <w:rFonts w:ascii="Arial Bold" w:eastAsia="Times New Roman" w:hAnsi="Arial Bold" w:cs="Times New Roman"/>
      <w:sz w:val="27"/>
      <w:lang w:eastAsia="en-AU"/>
    </w:rPr>
  </w:style>
  <w:style w:type="character" w:customStyle="1" w:styleId="Heading4Char">
    <w:name w:val="Heading 4 Char"/>
    <w:aliases w:val="Division Char"/>
    <w:basedOn w:val="DefaultParagraphFont"/>
    <w:link w:val="Heading4"/>
    <w:uiPriority w:val="9"/>
    <w:rsid w:val="004C5A5D"/>
    <w:rPr>
      <w:rFonts w:ascii="Arial Bold" w:eastAsia="Times New Roman" w:hAnsi="Arial Bold" w:cs="Times New Roman"/>
      <w:sz w:val="27"/>
      <w:lang w:eastAsia="en-AU"/>
    </w:rPr>
  </w:style>
  <w:style w:type="character" w:customStyle="1" w:styleId="Heading5Char">
    <w:name w:val="Heading 5 Char"/>
    <w:aliases w:val="Clause/Block Label Char"/>
    <w:basedOn w:val="DefaultParagraphFont"/>
    <w:link w:val="Heading5"/>
    <w:rsid w:val="00991733"/>
    <w:rPr>
      <w:rFonts w:ascii="Arial" w:eastAsiaTheme="majorEastAsia" w:hAnsi="Arial" w:cstheme="majorBidi"/>
      <w:b/>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paragraph" w:customStyle="1" w:styleId="Sectiontext">
    <w:name w:val="Section text"/>
    <w:basedOn w:val="Normal"/>
    <w:link w:val="SectiontextChar"/>
    <w:qFormat/>
    <w:rsid w:val="003F506B"/>
    <w:pPr>
      <w:spacing w:after="200" w:line="240" w:lineRule="auto"/>
    </w:pPr>
    <w:rPr>
      <w:rFonts w:ascii="Arial" w:eastAsia="Times New Roman" w:hAnsi="Arial" w:cs="Times New Roman"/>
      <w:sz w:val="20"/>
      <w:lang w:eastAsia="en-AU"/>
    </w:rPr>
  </w:style>
  <w:style w:type="character" w:customStyle="1" w:styleId="SectiontextChar">
    <w:name w:val="Section text Char"/>
    <w:basedOn w:val="DefaultParagraphFont"/>
    <w:link w:val="Sectiontext"/>
    <w:rsid w:val="003F506B"/>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E86DED"/>
    <w:rPr>
      <w:sz w:val="16"/>
      <w:szCs w:val="16"/>
    </w:rPr>
  </w:style>
  <w:style w:type="paragraph" w:styleId="CommentText">
    <w:name w:val="annotation text"/>
    <w:basedOn w:val="Normal"/>
    <w:link w:val="CommentTextChar"/>
    <w:uiPriority w:val="99"/>
    <w:semiHidden/>
    <w:unhideWhenUsed/>
    <w:rsid w:val="00E86DED"/>
    <w:pPr>
      <w:spacing w:line="240" w:lineRule="auto"/>
    </w:pPr>
    <w:rPr>
      <w:sz w:val="20"/>
    </w:rPr>
  </w:style>
  <w:style w:type="character" w:customStyle="1" w:styleId="CommentTextChar">
    <w:name w:val="Comment Text Char"/>
    <w:basedOn w:val="DefaultParagraphFont"/>
    <w:link w:val="CommentText"/>
    <w:uiPriority w:val="99"/>
    <w:semiHidden/>
    <w:rsid w:val="00E86DED"/>
  </w:style>
  <w:style w:type="paragraph" w:styleId="CommentSubject">
    <w:name w:val="annotation subject"/>
    <w:basedOn w:val="CommentText"/>
    <w:next w:val="CommentText"/>
    <w:link w:val="CommentSubjectChar"/>
    <w:uiPriority w:val="99"/>
    <w:semiHidden/>
    <w:unhideWhenUsed/>
    <w:rsid w:val="00E86DED"/>
    <w:rPr>
      <w:b/>
      <w:bCs/>
    </w:rPr>
  </w:style>
  <w:style w:type="character" w:customStyle="1" w:styleId="CommentSubjectChar">
    <w:name w:val="Comment Subject Char"/>
    <w:basedOn w:val="CommentTextChar"/>
    <w:link w:val="CommentSubject"/>
    <w:uiPriority w:val="99"/>
    <w:semiHidden/>
    <w:rsid w:val="00E86DED"/>
    <w:rPr>
      <w:b/>
      <w:bCs/>
    </w:rPr>
  </w:style>
  <w:style w:type="paragraph" w:customStyle="1" w:styleId="TableHeaderArial">
    <w:name w:val="Table Header (Arial)"/>
    <w:basedOn w:val="Normal"/>
    <w:rsid w:val="004C5A5D"/>
    <w:pPr>
      <w:keepNext/>
      <w:keepLines/>
      <w:spacing w:before="40" w:after="20" w:line="240" w:lineRule="auto"/>
      <w:jc w:val="center"/>
    </w:pPr>
    <w:rPr>
      <w:rFonts w:ascii="Arial" w:eastAsia="Times New Roman" w:hAnsi="Arial" w:cs="Times New Roman"/>
      <w:b/>
      <w:sz w:val="20"/>
      <w:lang w:eastAsia="en-AU"/>
    </w:rPr>
  </w:style>
  <w:style w:type="paragraph" w:customStyle="1" w:styleId="TableTextArial-left">
    <w:name w:val="Table Text (Arial - left)"/>
    <w:basedOn w:val="Normal"/>
    <w:rsid w:val="004C5A5D"/>
    <w:pPr>
      <w:spacing w:before="20" w:after="20" w:line="240" w:lineRule="auto"/>
    </w:pPr>
    <w:rPr>
      <w:rFonts w:ascii="Arial" w:eastAsia="Times New Roman" w:hAnsi="Arial" w:cs="Times New Roman"/>
      <w:sz w:val="20"/>
      <w:lang w:eastAsia="en-AU"/>
    </w:rPr>
  </w:style>
  <w:style w:type="paragraph" w:customStyle="1" w:styleId="TableTextArial-ctrd">
    <w:name w:val="Table Text (Arial - ctrd)"/>
    <w:basedOn w:val="Normal"/>
    <w:rsid w:val="004C5A5D"/>
    <w:pPr>
      <w:widowControl w:val="0"/>
      <w:numPr>
        <w:ilvl w:val="12"/>
      </w:numPr>
      <w:spacing w:before="20" w:line="240" w:lineRule="auto"/>
      <w:jc w:val="center"/>
    </w:pPr>
    <w:rPr>
      <w:rFonts w:ascii="Arial" w:eastAsia="Times New Roman" w:hAnsi="Arial" w:cs="Times New Roman"/>
      <w:sz w:val="20"/>
      <w:lang w:eastAsia="en-AU"/>
    </w:rPr>
  </w:style>
  <w:style w:type="paragraph" w:customStyle="1" w:styleId="BlockText-PlainNoSpacing">
    <w:name w:val="Block Text - Plain (No Spacing)"/>
    <w:basedOn w:val="Normal"/>
    <w:link w:val="BlockText-PlainNoSpacingChar"/>
    <w:rsid w:val="000C696D"/>
    <w:pPr>
      <w:keepNext/>
      <w:keepLines/>
      <w:spacing w:before="20" w:after="20" w:line="240" w:lineRule="auto"/>
    </w:pPr>
    <w:rPr>
      <w:rFonts w:ascii="Arial" w:eastAsia="Times New Roman" w:hAnsi="Arial" w:cs="Times New Roman"/>
      <w:sz w:val="20"/>
      <w:lang w:eastAsia="en-AU"/>
    </w:rPr>
  </w:style>
  <w:style w:type="character" w:customStyle="1" w:styleId="BlockText-PlainNoSpacingChar">
    <w:name w:val="Block Text - Plain (No Spacing) Char"/>
    <w:link w:val="BlockText-PlainNoSpacing"/>
    <w:rsid w:val="000C696D"/>
    <w:rPr>
      <w:rFonts w:ascii="Arial" w:eastAsia="Times New Roman" w:hAnsi="Arial" w:cs="Times New Roman"/>
      <w:lang w:eastAsia="en-AU"/>
    </w:rPr>
  </w:style>
  <w:style w:type="character" w:styleId="PlaceholderText">
    <w:name w:val="Placeholder Text"/>
    <w:basedOn w:val="DefaultParagraphFont"/>
    <w:uiPriority w:val="99"/>
    <w:semiHidden/>
    <w:rsid w:val="007E3976"/>
    <w:rPr>
      <w:color w:val="808080"/>
    </w:rPr>
  </w:style>
  <w:style w:type="paragraph" w:customStyle="1" w:styleId="BlockText-Plain">
    <w:name w:val="Block Text- Plain"/>
    <w:basedOn w:val="Normal"/>
    <w:link w:val="BlockText-PlainChar"/>
    <w:rsid w:val="00BC00AA"/>
    <w:pPr>
      <w:spacing w:after="200" w:line="240" w:lineRule="auto"/>
    </w:pPr>
    <w:rPr>
      <w:rFonts w:ascii="Arial" w:eastAsia="Times New Roman" w:hAnsi="Arial" w:cs="Times New Roman"/>
      <w:sz w:val="20"/>
      <w:lang w:eastAsia="en-AU"/>
    </w:rPr>
  </w:style>
  <w:style w:type="character" w:customStyle="1" w:styleId="BlockText-PlainChar">
    <w:name w:val="Block Text- Plain Char"/>
    <w:basedOn w:val="DefaultParagraphFont"/>
    <w:link w:val="BlockText-Plain"/>
    <w:rsid w:val="00BC00AA"/>
    <w:rPr>
      <w:rFonts w:ascii="Arial" w:eastAsia="Times New Roman" w:hAnsi="Arial" w:cs="Times New Roman"/>
      <w:lang w:eastAsia="en-AU"/>
    </w:rPr>
  </w:style>
  <w:style w:type="paragraph" w:styleId="ListParagraph">
    <w:name w:val="List Paragraph"/>
    <w:basedOn w:val="Normal"/>
    <w:uiPriority w:val="34"/>
    <w:qFormat/>
    <w:rsid w:val="00CC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8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cculloch1\AppData\Local\Microsoft\Windows\INetCache\IE\3F7IOAGJ\template_-_amending_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12F6CEC-8B10-499A-B56D-EC5E2419FE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D1070C0136CF343BED74FDEAEAE6808" ma:contentTypeVersion="" ma:contentTypeDescription="PDMS Document Site Content Type" ma:contentTypeScope="" ma:versionID="95293c5ea8da46acca02e695acafee3e">
  <xsd:schema xmlns:xsd="http://www.w3.org/2001/XMLSchema" xmlns:xs="http://www.w3.org/2001/XMLSchema" xmlns:p="http://schemas.microsoft.com/office/2006/metadata/properties" xmlns:ns2="712F6CEC-8B10-499A-B56D-EC5E2419FE11" targetNamespace="http://schemas.microsoft.com/office/2006/metadata/properties" ma:root="true" ma:fieldsID="44c1c94a2329105809cbf8189e8204a0" ns2:_="">
    <xsd:import namespace="712F6CEC-8B10-499A-B56D-EC5E2419FE1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F6CEC-8B10-499A-B56D-EC5E2419FE1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5566-4E0C-4E7D-9999-5C4E0E14F6C9}">
  <ds:schemaRefs>
    <ds:schemaRef ds:uri="http://schemas.microsoft.com/sharepoint/v3/contenttype/forms"/>
  </ds:schemaRefs>
</ds:datastoreItem>
</file>

<file path=customXml/itemProps2.xml><?xml version="1.0" encoding="utf-8"?>
<ds:datastoreItem xmlns:ds="http://schemas.openxmlformats.org/officeDocument/2006/customXml" ds:itemID="{2DA11F83-DD14-4CEE-AC23-8FE7D146EB58}">
  <ds:schemaRefs>
    <ds:schemaRef ds:uri="712F6CEC-8B10-499A-B56D-EC5E2419FE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36264F-0F5C-4F06-AFB8-2C26A6EF2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F6CEC-8B10-499A-B56D-EC5E2419F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08099-3A29-4C26-A8EC-9A3682A8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template_-_amending_instrument.dotx</Template>
  <TotalTime>60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McCulloch, Michael MR 1</dc:creator>
  <cp:lastModifiedBy>Bellew, Leah MS</cp:lastModifiedBy>
  <cp:revision>41</cp:revision>
  <cp:lastPrinted>2023-01-08T23:06:00Z</cp:lastPrinted>
  <dcterms:created xsi:type="dcterms:W3CDTF">2023-01-08T23:16:00Z</dcterms:created>
  <dcterms:modified xsi:type="dcterms:W3CDTF">2023-02-17T04:45:00Z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BN60154102</vt:lpwstr>
  </property>
  <property fmtid="{D5CDD505-2E9C-101B-9397-08002B2CF9AE}" pid="4" name="Objective-Title">
    <vt:lpwstr>March Omnibus - ES &amp; HRS</vt:lpwstr>
  </property>
  <property fmtid="{D5CDD505-2E9C-101B-9397-08002B2CF9AE}" pid="5" name="Objective-Comment">
    <vt:lpwstr/>
  </property>
  <property fmtid="{D5CDD505-2E9C-101B-9397-08002B2CF9AE}" pid="6" name="Objective-CreationStamp">
    <vt:filetime>2023-02-15T04:43:06Z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2023-02-17T04:46:17Z</vt:filetime>
  </property>
  <property fmtid="{D5CDD505-2E9C-101B-9397-08002B2CF9AE}" pid="10" name="Objective-ModificationStamp">
    <vt:filetime>2023-02-17T04:46:17Z</vt:filetime>
  </property>
  <property fmtid="{D5CDD505-2E9C-101B-9397-08002B2CF9AE}" pid="11" name="Objective-Owner">
    <vt:lpwstr>Saez Gomez Galarza, Notre MS</vt:lpwstr>
  </property>
  <property fmtid="{D5CDD505-2E9C-101B-9397-08002B2CF9AE}" pid="12" name="Objective-Path">
    <vt:lpwstr>Objective Global Folder - PROD:Defence Business Units:Associate Secretary Organisation:Defence People Group:People Policy &amp; Culture:PPEC : Personnel Policy and Employment Conditions:20 - Directorates:20 Drafting and Engagement:02. Legislative Drafting team:02. DE Instruments:02. Determinations and Instruments:Defence Act 1903:s58B Defence Act 1903:001. 2023 Determinations 58B:58B - 2023/4 - March omnibus:Briefing pack:</vt:lpwstr>
  </property>
  <property fmtid="{D5CDD505-2E9C-101B-9397-08002B2CF9AE}" pid="13" name="Objective-Parent">
    <vt:lpwstr>Briefing pack</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9</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y fmtid="{D5CDD505-2E9C-101B-9397-08002B2CF9AE}" pid="22" name="ContentTypeId">
    <vt:lpwstr>0x010100266966F133664895A6EE3632470D45F5005D1070C0136CF343BED74FDEAEAE6808</vt:lpwstr>
  </property>
  <property fmtid="{D5CDD505-2E9C-101B-9397-08002B2CF9AE}" pid="23" name="Objective-Reason for Security Classification Change [system]">
    <vt:lpwstr/>
  </property>
</Properties>
</file>