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0700FE" w:rsidRDefault="006D6009" w:rsidP="0099606F">
      <w:pPr>
        <w:keepNext/>
        <w:spacing w:after="60" w:line="240" w:lineRule="auto"/>
        <w:ind w:left="720" w:hanging="720"/>
        <w:rPr>
          <w:rFonts w:ascii="Arial" w:eastAsia="Times New Roman" w:hAnsi="Arial"/>
          <w:b/>
          <w:color w:val="000000" w:themeColor="text1"/>
          <w:sz w:val="24"/>
          <w:szCs w:val="24"/>
        </w:rPr>
      </w:pPr>
      <w:r w:rsidRPr="000700FE">
        <w:rPr>
          <w:rFonts w:ascii="Arial" w:eastAsia="Times New Roman" w:hAnsi="Arial"/>
          <w:b/>
          <w:color w:val="000000" w:themeColor="text1"/>
          <w:sz w:val="24"/>
          <w:szCs w:val="24"/>
        </w:rPr>
        <w:t>Explanatory Statement</w:t>
      </w:r>
    </w:p>
    <w:p w14:paraId="21B3C712" w14:textId="77777777" w:rsidR="0097132A" w:rsidRPr="000700FE" w:rsidRDefault="0097132A" w:rsidP="0099606F">
      <w:pPr>
        <w:keepNext/>
        <w:spacing w:before="180" w:after="60" w:line="240" w:lineRule="auto"/>
        <w:ind w:left="720" w:hanging="720"/>
        <w:rPr>
          <w:rFonts w:ascii="Arial" w:eastAsia="Times New Roman" w:hAnsi="Arial"/>
          <w:b/>
          <w:color w:val="000000" w:themeColor="text1"/>
          <w:sz w:val="24"/>
          <w:szCs w:val="24"/>
        </w:rPr>
      </w:pPr>
      <w:r w:rsidRPr="000700FE">
        <w:rPr>
          <w:rFonts w:ascii="Arial" w:eastAsia="Times New Roman" w:hAnsi="Arial"/>
          <w:b/>
          <w:color w:val="000000" w:themeColor="text1"/>
          <w:sz w:val="24"/>
          <w:szCs w:val="24"/>
        </w:rPr>
        <w:t>Civil Aviation Safety Regulations 1998</w:t>
      </w:r>
    </w:p>
    <w:p w14:paraId="63EF8033" w14:textId="6A53133D" w:rsidR="006D6009" w:rsidRPr="000700FE" w:rsidRDefault="00BC215F" w:rsidP="0099606F">
      <w:pPr>
        <w:keepNext/>
        <w:spacing w:before="180" w:after="60" w:line="240" w:lineRule="auto"/>
        <w:rPr>
          <w:rFonts w:ascii="Arial" w:eastAsia="Times New Roman" w:hAnsi="Arial"/>
          <w:b/>
          <w:color w:val="000000" w:themeColor="text1"/>
          <w:sz w:val="24"/>
          <w:szCs w:val="24"/>
        </w:rPr>
      </w:pPr>
      <w:bookmarkStart w:id="0" w:name="_Hlk128647015"/>
      <w:r w:rsidRPr="000700FE">
        <w:rPr>
          <w:rFonts w:ascii="Arial" w:eastAsia="Times New Roman" w:hAnsi="Arial"/>
          <w:b/>
          <w:color w:val="000000" w:themeColor="text1"/>
          <w:sz w:val="24"/>
          <w:szCs w:val="24"/>
        </w:rPr>
        <w:t>CASA EX</w:t>
      </w:r>
      <w:r w:rsidR="00F51F25" w:rsidRPr="000700FE">
        <w:rPr>
          <w:rFonts w:ascii="Arial" w:eastAsia="Times New Roman" w:hAnsi="Arial"/>
          <w:b/>
          <w:color w:val="000000" w:themeColor="text1"/>
          <w:sz w:val="24"/>
          <w:szCs w:val="24"/>
        </w:rPr>
        <w:t>18</w:t>
      </w:r>
      <w:r w:rsidRPr="000700FE">
        <w:rPr>
          <w:rFonts w:ascii="Arial" w:eastAsia="Times New Roman" w:hAnsi="Arial"/>
          <w:b/>
          <w:color w:val="000000" w:themeColor="text1"/>
          <w:sz w:val="24"/>
          <w:szCs w:val="24"/>
        </w:rPr>
        <w:t>/23 — CASR Subpart 99.B DAMP Requirements for Foreign Air Transport AOC Holders Exemption 2023</w:t>
      </w:r>
      <w:bookmarkEnd w:id="0"/>
    </w:p>
    <w:p w14:paraId="761602C9" w14:textId="77777777" w:rsidR="006D6009" w:rsidRPr="000700FE" w:rsidRDefault="006D6009" w:rsidP="0099606F">
      <w:pPr>
        <w:spacing w:before="360" w:after="0" w:line="240" w:lineRule="auto"/>
        <w:rPr>
          <w:rFonts w:ascii="Times New Roman" w:eastAsia="Times New Roman" w:hAnsi="Times New Roman"/>
          <w:b/>
          <w:color w:val="000000" w:themeColor="text1"/>
          <w:sz w:val="24"/>
          <w:szCs w:val="24"/>
          <w:lang w:eastAsia="en-AU"/>
        </w:rPr>
      </w:pPr>
      <w:r w:rsidRPr="000700FE">
        <w:rPr>
          <w:rFonts w:ascii="Times New Roman" w:eastAsia="Times New Roman" w:hAnsi="Times New Roman"/>
          <w:b/>
          <w:color w:val="000000" w:themeColor="text1"/>
          <w:sz w:val="24"/>
          <w:szCs w:val="24"/>
          <w:lang w:eastAsia="en-AU"/>
        </w:rPr>
        <w:t>Purpose</w:t>
      </w:r>
    </w:p>
    <w:p w14:paraId="4575C631" w14:textId="2696DFB6" w:rsidR="006D6009" w:rsidRDefault="00926C6C" w:rsidP="006D6009">
      <w:pPr>
        <w:spacing w:after="0" w:line="240" w:lineRule="auto"/>
        <w:rPr>
          <w:rFonts w:ascii="Times New Roman" w:eastAsia="Times New Roman" w:hAnsi="Times New Roman"/>
          <w:color w:val="000000" w:themeColor="text1"/>
          <w:sz w:val="24"/>
          <w:szCs w:val="24"/>
          <w:lang w:eastAsia="en-AU"/>
        </w:rPr>
      </w:pPr>
      <w:r w:rsidRPr="000700FE">
        <w:rPr>
          <w:rFonts w:ascii="Times New Roman" w:eastAsia="Times New Roman" w:hAnsi="Times New Roman"/>
          <w:color w:val="000000" w:themeColor="text1"/>
          <w:sz w:val="24"/>
          <w:szCs w:val="24"/>
          <w:lang w:eastAsia="en-AU"/>
        </w:rPr>
        <w:t xml:space="preserve">The purpose of </w:t>
      </w:r>
      <w:r w:rsidRPr="000700FE">
        <w:rPr>
          <w:rFonts w:ascii="Times New Roman" w:eastAsia="Times New Roman" w:hAnsi="Times New Roman"/>
          <w:i/>
          <w:iCs/>
          <w:color w:val="000000" w:themeColor="text1"/>
          <w:sz w:val="24"/>
          <w:szCs w:val="24"/>
        </w:rPr>
        <w:t>CASA EX18/23 — CASR Subpart 99.B DAMP Requirements for Foreign Air Transport AOC Holders Exemption 2023</w:t>
      </w:r>
      <w:r w:rsidRPr="000700FE">
        <w:rPr>
          <w:rFonts w:ascii="Times New Roman" w:eastAsia="Times New Roman" w:hAnsi="Times New Roman"/>
          <w:color w:val="000000" w:themeColor="text1"/>
          <w:sz w:val="24"/>
          <w:szCs w:val="24"/>
          <w:lang w:eastAsia="en-AU"/>
        </w:rPr>
        <w:t xml:space="preserve"> (the </w:t>
      </w:r>
      <w:r w:rsidRPr="000700FE">
        <w:rPr>
          <w:rFonts w:ascii="Times New Roman" w:eastAsia="Times New Roman" w:hAnsi="Times New Roman"/>
          <w:b/>
          <w:bCs/>
          <w:i/>
          <w:iCs/>
          <w:color w:val="000000" w:themeColor="text1"/>
          <w:sz w:val="24"/>
          <w:szCs w:val="24"/>
          <w:lang w:eastAsia="en-AU"/>
        </w:rPr>
        <w:t>instrument</w:t>
      </w:r>
      <w:r w:rsidRPr="000700FE">
        <w:rPr>
          <w:rFonts w:ascii="Times New Roman" w:eastAsia="Times New Roman" w:hAnsi="Times New Roman"/>
          <w:color w:val="000000" w:themeColor="text1"/>
          <w:sz w:val="24"/>
          <w:szCs w:val="24"/>
          <w:lang w:eastAsia="en-AU"/>
        </w:rPr>
        <w:t>) is to exempt foreign air transport Air Operator’s Certificate (</w:t>
      </w:r>
      <w:r w:rsidRPr="000700FE">
        <w:rPr>
          <w:rFonts w:ascii="Times New Roman" w:eastAsia="Times New Roman" w:hAnsi="Times New Roman"/>
          <w:b/>
          <w:i/>
          <w:color w:val="000000" w:themeColor="text1"/>
          <w:sz w:val="24"/>
          <w:szCs w:val="24"/>
          <w:lang w:eastAsia="en-AU"/>
        </w:rPr>
        <w:t>AOC</w:t>
      </w:r>
      <w:r w:rsidRPr="000700FE">
        <w:rPr>
          <w:rFonts w:ascii="Times New Roman" w:eastAsia="Times New Roman" w:hAnsi="Times New Roman"/>
          <w:color w:val="000000" w:themeColor="text1"/>
          <w:sz w:val="24"/>
          <w:szCs w:val="24"/>
          <w:lang w:eastAsia="en-AU"/>
        </w:rPr>
        <w:t xml:space="preserve">) holders engaged in international air navigation in Australia from the requirement in Part 99 of the </w:t>
      </w:r>
      <w:r w:rsidRPr="000700FE">
        <w:rPr>
          <w:rFonts w:ascii="Times New Roman" w:eastAsia="Times New Roman" w:hAnsi="Times New Roman"/>
          <w:i/>
          <w:color w:val="000000" w:themeColor="text1"/>
          <w:sz w:val="24"/>
          <w:szCs w:val="24"/>
          <w:lang w:eastAsia="en-AU"/>
        </w:rPr>
        <w:t xml:space="preserve">Civil Aviation Safety Regulations 1998 </w:t>
      </w:r>
      <w:r w:rsidRPr="000700FE">
        <w:rPr>
          <w:rFonts w:ascii="Times New Roman" w:eastAsia="Times New Roman" w:hAnsi="Times New Roman"/>
          <w:color w:val="000000" w:themeColor="text1"/>
          <w:sz w:val="24"/>
          <w:szCs w:val="24"/>
          <w:lang w:eastAsia="en-AU"/>
        </w:rPr>
        <w:t>(</w:t>
      </w:r>
      <w:r w:rsidRPr="000700FE">
        <w:rPr>
          <w:rFonts w:ascii="Times New Roman" w:eastAsia="Times New Roman" w:hAnsi="Times New Roman"/>
          <w:b/>
          <w:i/>
          <w:color w:val="000000" w:themeColor="text1"/>
          <w:sz w:val="24"/>
          <w:szCs w:val="24"/>
          <w:lang w:eastAsia="en-AU"/>
        </w:rPr>
        <w:t>CASR</w:t>
      </w:r>
      <w:r w:rsidRPr="000700FE">
        <w:rPr>
          <w:rFonts w:ascii="Times New Roman" w:eastAsia="Times New Roman" w:hAnsi="Times New Roman"/>
          <w:color w:val="000000" w:themeColor="text1"/>
          <w:sz w:val="24"/>
          <w:szCs w:val="24"/>
          <w:lang w:eastAsia="en-AU"/>
        </w:rPr>
        <w:t>)</w:t>
      </w:r>
      <w:r w:rsidRPr="000700FE">
        <w:rPr>
          <w:rFonts w:ascii="Times New Roman" w:eastAsia="Times New Roman" w:hAnsi="Times New Roman"/>
          <w:i/>
          <w:color w:val="000000" w:themeColor="text1"/>
          <w:sz w:val="24"/>
          <w:szCs w:val="24"/>
          <w:lang w:eastAsia="en-AU"/>
        </w:rPr>
        <w:t xml:space="preserve"> </w:t>
      </w:r>
      <w:r w:rsidRPr="000700FE">
        <w:rPr>
          <w:rFonts w:ascii="Times New Roman" w:eastAsia="Times New Roman" w:hAnsi="Times New Roman"/>
          <w:color w:val="000000" w:themeColor="text1"/>
          <w:sz w:val="24"/>
          <w:szCs w:val="24"/>
          <w:lang w:eastAsia="en-AU"/>
        </w:rPr>
        <w:t>to develop and implement a drug and alcohol management plan (</w:t>
      </w:r>
      <w:r w:rsidRPr="000700FE">
        <w:rPr>
          <w:rFonts w:ascii="Times New Roman" w:eastAsia="Times New Roman" w:hAnsi="Times New Roman"/>
          <w:b/>
          <w:i/>
          <w:color w:val="000000" w:themeColor="text1"/>
          <w:sz w:val="24"/>
          <w:szCs w:val="24"/>
          <w:lang w:eastAsia="en-AU"/>
        </w:rPr>
        <w:t>DAMP</w:t>
      </w:r>
      <w:r w:rsidRPr="000700FE">
        <w:rPr>
          <w:rFonts w:ascii="Times New Roman" w:eastAsia="Times New Roman" w:hAnsi="Times New Roman"/>
          <w:color w:val="000000" w:themeColor="text1"/>
          <w:sz w:val="24"/>
          <w:szCs w:val="24"/>
          <w:lang w:eastAsia="en-AU"/>
        </w:rPr>
        <w:t xml:space="preserve">), provided that certain conditions are met. The instrument reissues a similar exemption in </w:t>
      </w:r>
      <w:r w:rsidRPr="000700FE">
        <w:rPr>
          <w:rFonts w:ascii="Times New Roman" w:eastAsia="Times New Roman" w:hAnsi="Times New Roman"/>
          <w:bCs/>
          <w:i/>
          <w:iCs/>
          <w:color w:val="000000" w:themeColor="text1"/>
          <w:sz w:val="24"/>
          <w:szCs w:val="24"/>
        </w:rPr>
        <w:t>CASA EX16/21 — CASR Subpart 99.B DAMP Requirements for Foreign Air Transport AOC Holders Exemption 2021</w:t>
      </w:r>
      <w:r w:rsidRPr="000700FE">
        <w:rPr>
          <w:rFonts w:ascii="Times New Roman" w:eastAsia="Times New Roman" w:hAnsi="Times New Roman"/>
          <w:color w:val="000000" w:themeColor="text1"/>
          <w:sz w:val="24"/>
          <w:szCs w:val="24"/>
          <w:lang w:eastAsia="en-AU"/>
        </w:rPr>
        <w:t>, which expires at the end of 28 February 202</w:t>
      </w:r>
      <w:r w:rsidR="007F3CF1" w:rsidRPr="000700FE">
        <w:rPr>
          <w:rFonts w:ascii="Times New Roman" w:eastAsia="Times New Roman" w:hAnsi="Times New Roman"/>
          <w:color w:val="000000" w:themeColor="text1"/>
          <w:sz w:val="24"/>
          <w:szCs w:val="24"/>
          <w:lang w:eastAsia="en-AU"/>
        </w:rPr>
        <w:t>3.</w:t>
      </w:r>
    </w:p>
    <w:p w14:paraId="05110AE8" w14:textId="77777777" w:rsidR="002F2019" w:rsidRPr="0099606F" w:rsidRDefault="002F2019" w:rsidP="006D6009">
      <w:pPr>
        <w:spacing w:after="0" w:line="240" w:lineRule="auto"/>
        <w:rPr>
          <w:rFonts w:ascii="Times New Roman" w:eastAsia="Times New Roman" w:hAnsi="Times New Roman"/>
          <w:bCs/>
          <w:color w:val="000000" w:themeColor="text1"/>
          <w:sz w:val="24"/>
          <w:szCs w:val="24"/>
          <w:lang w:eastAsia="en-AU"/>
        </w:rPr>
      </w:pPr>
    </w:p>
    <w:p w14:paraId="5241124D" w14:textId="77777777" w:rsidR="006D6009" w:rsidRPr="000700FE" w:rsidRDefault="006D6009" w:rsidP="0099606F">
      <w:pPr>
        <w:spacing w:after="0" w:line="240" w:lineRule="auto"/>
        <w:rPr>
          <w:rFonts w:ascii="Times New Roman" w:eastAsia="Times New Roman" w:hAnsi="Times New Roman"/>
          <w:color w:val="000000" w:themeColor="text1"/>
          <w:sz w:val="24"/>
          <w:szCs w:val="24"/>
          <w:lang w:eastAsia="en-AU"/>
        </w:rPr>
      </w:pPr>
      <w:r w:rsidRPr="000700FE">
        <w:rPr>
          <w:rFonts w:ascii="Times New Roman" w:eastAsia="Times New Roman" w:hAnsi="Times New Roman"/>
          <w:b/>
          <w:color w:val="000000" w:themeColor="text1"/>
          <w:sz w:val="24"/>
          <w:szCs w:val="24"/>
          <w:lang w:eastAsia="en-AU"/>
        </w:rPr>
        <w:t>Legislation</w:t>
      </w:r>
    </w:p>
    <w:p w14:paraId="2567FF46" w14:textId="77C11A5A" w:rsidR="006D6009" w:rsidRPr="000700FE" w:rsidRDefault="006D6009" w:rsidP="006D600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Section</w:t>
      </w:r>
      <w:r w:rsidR="00AB7455" w:rsidRPr="000700FE">
        <w:rPr>
          <w:rFonts w:ascii="Times New Roman" w:eastAsia="Times New Roman" w:hAnsi="Times New Roman"/>
          <w:color w:val="000000" w:themeColor="text1"/>
          <w:sz w:val="24"/>
          <w:szCs w:val="24"/>
        </w:rPr>
        <w:t xml:space="preserve"> </w:t>
      </w:r>
      <w:r w:rsidRPr="000700FE">
        <w:rPr>
          <w:rFonts w:ascii="Times New Roman" w:eastAsia="Times New Roman" w:hAnsi="Times New Roman"/>
          <w:color w:val="000000" w:themeColor="text1"/>
          <w:sz w:val="24"/>
          <w:szCs w:val="24"/>
        </w:rPr>
        <w:t xml:space="preserve">98 of the </w:t>
      </w:r>
      <w:r w:rsidRPr="000700FE">
        <w:rPr>
          <w:rFonts w:ascii="Times New Roman" w:eastAsia="Times New Roman" w:hAnsi="Times New Roman"/>
          <w:i/>
          <w:color w:val="000000" w:themeColor="text1"/>
          <w:sz w:val="24"/>
          <w:szCs w:val="24"/>
        </w:rPr>
        <w:t>Civil Aviation Act 1988</w:t>
      </w:r>
      <w:r w:rsidRPr="000700FE">
        <w:rPr>
          <w:rFonts w:ascii="Times New Roman" w:eastAsia="Times New Roman" w:hAnsi="Times New Roman"/>
          <w:color w:val="000000" w:themeColor="text1"/>
          <w:sz w:val="24"/>
          <w:szCs w:val="24"/>
        </w:rPr>
        <w:t xml:space="preserve"> (the </w:t>
      </w:r>
      <w:r w:rsidRPr="000700FE">
        <w:rPr>
          <w:rFonts w:ascii="Times New Roman" w:eastAsia="Times New Roman" w:hAnsi="Times New Roman"/>
          <w:b/>
          <w:i/>
          <w:color w:val="000000" w:themeColor="text1"/>
          <w:sz w:val="24"/>
          <w:szCs w:val="24"/>
        </w:rPr>
        <w:t>Act</w:t>
      </w:r>
      <w:r w:rsidRPr="000700FE">
        <w:rPr>
          <w:rFonts w:ascii="Times New Roman" w:eastAsia="Times New Roman" w:hAnsi="Times New Roman"/>
          <w:color w:val="000000" w:themeColor="text1"/>
          <w:sz w:val="24"/>
          <w:szCs w:val="24"/>
        </w:rPr>
        <w:t>) empowers the Governor-General to make regulations for the Act and in the interests of the safety of air navigation.</w:t>
      </w:r>
      <w:r w:rsidR="00F25143" w:rsidRPr="000700FE">
        <w:rPr>
          <w:rFonts w:ascii="Times New Roman" w:eastAsia="Times New Roman" w:hAnsi="Times New Roman"/>
          <w:color w:val="000000" w:themeColor="text1"/>
          <w:sz w:val="24"/>
          <w:szCs w:val="24"/>
        </w:rPr>
        <w:t xml:space="preserve"> Relevantly, the Governor-General has made </w:t>
      </w:r>
      <w:r w:rsidR="009B4A7D">
        <w:rPr>
          <w:rFonts w:ascii="Times New Roman" w:eastAsia="Times New Roman" w:hAnsi="Times New Roman"/>
          <w:color w:val="000000" w:themeColor="text1"/>
          <w:sz w:val="24"/>
          <w:szCs w:val="24"/>
        </w:rPr>
        <w:t>CASR</w:t>
      </w:r>
      <w:r w:rsidR="00F25143" w:rsidRPr="000700FE">
        <w:rPr>
          <w:rFonts w:ascii="Times New Roman" w:eastAsia="Times New Roman" w:hAnsi="Times New Roman"/>
          <w:color w:val="000000" w:themeColor="text1"/>
          <w:sz w:val="24"/>
          <w:szCs w:val="24"/>
        </w:rPr>
        <w:t xml:space="preserve"> and</w:t>
      </w:r>
      <w:r w:rsidR="009B4A7D">
        <w:rPr>
          <w:rFonts w:ascii="Times New Roman" w:eastAsia="Times New Roman" w:hAnsi="Times New Roman"/>
          <w:color w:val="000000" w:themeColor="text1"/>
          <w:sz w:val="24"/>
          <w:szCs w:val="24"/>
        </w:rPr>
        <w:t xml:space="preserve"> the</w:t>
      </w:r>
      <w:r w:rsidR="00F25143" w:rsidRPr="000700FE">
        <w:rPr>
          <w:rFonts w:ascii="Times New Roman" w:eastAsia="Times New Roman" w:hAnsi="Times New Roman"/>
          <w:color w:val="000000" w:themeColor="text1"/>
          <w:sz w:val="24"/>
          <w:szCs w:val="24"/>
        </w:rPr>
        <w:t xml:space="preserve"> </w:t>
      </w:r>
      <w:r w:rsidR="00F25143" w:rsidRPr="000700FE">
        <w:rPr>
          <w:rFonts w:ascii="Times New Roman" w:eastAsia="Times New Roman" w:hAnsi="Times New Roman"/>
          <w:i/>
          <w:color w:val="000000" w:themeColor="text1"/>
          <w:sz w:val="24"/>
          <w:szCs w:val="24"/>
        </w:rPr>
        <w:t>Civil Aviation Regulations</w:t>
      </w:r>
      <w:r w:rsidR="003126B1" w:rsidRPr="000700FE">
        <w:rPr>
          <w:rFonts w:ascii="Times New Roman" w:eastAsia="Times New Roman" w:hAnsi="Times New Roman"/>
          <w:i/>
          <w:color w:val="000000" w:themeColor="text1"/>
          <w:sz w:val="24"/>
          <w:szCs w:val="24"/>
        </w:rPr>
        <w:t> </w:t>
      </w:r>
      <w:r w:rsidR="00F25143" w:rsidRPr="000700FE">
        <w:rPr>
          <w:rFonts w:ascii="Times New Roman" w:eastAsia="Times New Roman" w:hAnsi="Times New Roman"/>
          <w:i/>
          <w:color w:val="000000" w:themeColor="text1"/>
          <w:sz w:val="24"/>
          <w:szCs w:val="24"/>
        </w:rPr>
        <w:t>1988</w:t>
      </w:r>
      <w:r w:rsidR="00F25143" w:rsidRPr="000700FE">
        <w:rPr>
          <w:rFonts w:ascii="Times New Roman" w:eastAsia="Times New Roman" w:hAnsi="Times New Roman"/>
          <w:color w:val="000000" w:themeColor="text1"/>
          <w:sz w:val="24"/>
          <w:szCs w:val="24"/>
        </w:rPr>
        <w:t xml:space="preserve"> (</w:t>
      </w:r>
      <w:r w:rsidR="00F25143" w:rsidRPr="000700FE">
        <w:rPr>
          <w:rFonts w:ascii="Times New Roman" w:eastAsia="Times New Roman" w:hAnsi="Times New Roman"/>
          <w:b/>
          <w:i/>
          <w:color w:val="000000" w:themeColor="text1"/>
          <w:sz w:val="24"/>
          <w:szCs w:val="24"/>
        </w:rPr>
        <w:t>CAR</w:t>
      </w:r>
      <w:r w:rsidR="00F25143" w:rsidRPr="000700FE">
        <w:rPr>
          <w:rFonts w:ascii="Times New Roman" w:eastAsia="Times New Roman" w:hAnsi="Times New Roman"/>
          <w:color w:val="000000" w:themeColor="text1"/>
          <w:sz w:val="24"/>
          <w:szCs w:val="24"/>
        </w:rPr>
        <w:t>).</w:t>
      </w:r>
    </w:p>
    <w:p w14:paraId="21B8D81B" w14:textId="77777777" w:rsidR="006D6009" w:rsidRPr="000700FE" w:rsidRDefault="006D6009" w:rsidP="006D6009">
      <w:pPr>
        <w:spacing w:after="0" w:line="240" w:lineRule="auto"/>
        <w:rPr>
          <w:rFonts w:ascii="Times New Roman" w:eastAsia="Times New Roman" w:hAnsi="Times New Roman"/>
          <w:i/>
          <w:color w:val="000000" w:themeColor="text1"/>
          <w:sz w:val="24"/>
          <w:szCs w:val="24"/>
        </w:rPr>
      </w:pPr>
    </w:p>
    <w:p w14:paraId="60E995BA" w14:textId="77777777" w:rsidR="009A0006" w:rsidRPr="000700FE" w:rsidRDefault="009A0006" w:rsidP="009A0006">
      <w:pPr>
        <w:spacing w:after="0" w:line="240" w:lineRule="auto"/>
        <w:rPr>
          <w:rFonts w:ascii="Times New Roman" w:eastAsia="Times New Roman" w:hAnsi="Times New Roman"/>
          <w:bCs/>
          <w:color w:val="000000" w:themeColor="text1"/>
          <w:sz w:val="24"/>
          <w:szCs w:val="24"/>
          <w:u w:val="single"/>
        </w:rPr>
      </w:pPr>
      <w:r w:rsidRPr="000700FE">
        <w:rPr>
          <w:rFonts w:ascii="Times New Roman" w:eastAsia="Times New Roman" w:hAnsi="Times New Roman"/>
          <w:bCs/>
          <w:color w:val="000000" w:themeColor="text1"/>
          <w:sz w:val="24"/>
          <w:szCs w:val="24"/>
          <w:u w:val="single"/>
        </w:rPr>
        <w:t>DAMPs</w:t>
      </w:r>
    </w:p>
    <w:p w14:paraId="7C21FB26"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Part 99 of CASR is made for section 34 of the Act and prescribes a scheme for the regulation of alcohol and certain drug use by persons conducting </w:t>
      </w:r>
      <w:r w:rsidRPr="000700FE">
        <w:rPr>
          <w:rFonts w:ascii="Times New Roman" w:eastAsia="Times New Roman" w:hAnsi="Times New Roman"/>
          <w:bCs/>
          <w:iCs/>
          <w:color w:val="000000" w:themeColor="text1"/>
          <w:sz w:val="24"/>
          <w:szCs w:val="24"/>
        </w:rPr>
        <w:t>safety-sensitive aviation activities</w:t>
      </w:r>
      <w:r w:rsidRPr="000700FE">
        <w:rPr>
          <w:rFonts w:ascii="Times New Roman" w:eastAsia="Times New Roman" w:hAnsi="Times New Roman"/>
          <w:color w:val="000000" w:themeColor="text1"/>
          <w:sz w:val="24"/>
          <w:szCs w:val="24"/>
        </w:rPr>
        <w:t xml:space="preserve"> (</w:t>
      </w:r>
      <w:r w:rsidRPr="000700FE">
        <w:rPr>
          <w:rFonts w:ascii="Times New Roman" w:eastAsia="Times New Roman" w:hAnsi="Times New Roman"/>
          <w:b/>
          <w:i/>
          <w:color w:val="000000" w:themeColor="text1"/>
          <w:sz w:val="24"/>
          <w:szCs w:val="24"/>
        </w:rPr>
        <w:t>SSAA</w:t>
      </w:r>
      <w:r w:rsidRPr="000700FE">
        <w:rPr>
          <w:rFonts w:ascii="Times New Roman" w:eastAsia="Times New Roman" w:hAnsi="Times New Roman"/>
          <w:color w:val="000000" w:themeColor="text1"/>
          <w:sz w:val="24"/>
          <w:szCs w:val="24"/>
        </w:rPr>
        <w:t>).</w:t>
      </w:r>
    </w:p>
    <w:p w14:paraId="3EACE74D"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0A32509D"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Subpart 99.B of CASR deals with DAMPs. A </w:t>
      </w:r>
      <w:r w:rsidRPr="0099606F">
        <w:rPr>
          <w:rFonts w:ascii="Times New Roman" w:eastAsia="Times New Roman" w:hAnsi="Times New Roman"/>
          <w:b/>
          <w:bCs/>
          <w:i/>
          <w:iCs/>
          <w:color w:val="000000" w:themeColor="text1"/>
          <w:sz w:val="24"/>
          <w:szCs w:val="24"/>
        </w:rPr>
        <w:t>DAMP</w:t>
      </w:r>
      <w:r w:rsidRPr="000700FE">
        <w:rPr>
          <w:rFonts w:ascii="Times New Roman" w:eastAsia="Times New Roman" w:hAnsi="Times New Roman"/>
          <w:color w:val="000000" w:themeColor="text1"/>
          <w:sz w:val="24"/>
          <w:szCs w:val="24"/>
        </w:rPr>
        <w:t xml:space="preserve"> is defined in regulation 99.010 of CASR as meaning a drug and alcohol management plan that complies, or purports to comply, with the requirements of regulation 99.045 of CASR.</w:t>
      </w:r>
    </w:p>
    <w:p w14:paraId="474B5021"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2F4DEB90" w14:textId="03C19822"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paragraph 99.045(b) of CASR, a DAMP must include a drug and alcohol education program, a drug and alcohol testing program and a drug and alcohol response program (for example, in relation to rehabilitation). Other requirements to be included in DAMPs are set out in regulations 99.055 and 99.060 of CASR.</w:t>
      </w:r>
    </w:p>
    <w:p w14:paraId="5B52CA87"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1230875F" w14:textId="33F193E7"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subregulation 99.030(1) of CASR, an organisation must develop a DAMP if it has employees who perform applicable SSAA (</w:t>
      </w:r>
      <w:r w:rsidRPr="000700FE">
        <w:rPr>
          <w:rFonts w:ascii="Times New Roman" w:eastAsia="Times New Roman" w:hAnsi="Times New Roman"/>
          <w:b/>
          <w:i/>
          <w:color w:val="000000" w:themeColor="text1"/>
          <w:sz w:val="24"/>
          <w:szCs w:val="24"/>
        </w:rPr>
        <w:t>SSAA employees</w:t>
      </w:r>
      <w:r w:rsidRPr="000700FE">
        <w:rPr>
          <w:rFonts w:ascii="Times New Roman" w:eastAsia="Times New Roman" w:hAnsi="Times New Roman"/>
          <w:color w:val="000000" w:themeColor="text1"/>
          <w:sz w:val="24"/>
          <w:szCs w:val="24"/>
        </w:rPr>
        <w:t>) and is on a list of the kinds of organisations defined in subregulation 99.030(2), which includes AOC holders.</w:t>
      </w:r>
    </w:p>
    <w:p w14:paraId="6AC5F152"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46C7BE44" w14:textId="55C3C9B3"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b/>
          <w:i/>
          <w:color w:val="000000" w:themeColor="text1"/>
          <w:sz w:val="24"/>
          <w:szCs w:val="24"/>
        </w:rPr>
        <w:t>DAMP organisation</w:t>
      </w:r>
      <w:r w:rsidRPr="000700FE">
        <w:rPr>
          <w:rFonts w:ascii="Times New Roman" w:eastAsia="Times New Roman" w:hAnsi="Times New Roman"/>
          <w:bCs/>
          <w:iCs/>
          <w:color w:val="000000" w:themeColor="text1"/>
          <w:sz w:val="24"/>
          <w:szCs w:val="24"/>
        </w:rPr>
        <w:t xml:space="preserve"> </w:t>
      </w:r>
      <w:r w:rsidRPr="000700FE">
        <w:rPr>
          <w:rFonts w:ascii="Times New Roman" w:eastAsia="Times New Roman" w:hAnsi="Times New Roman"/>
          <w:color w:val="000000" w:themeColor="text1"/>
          <w:sz w:val="24"/>
          <w:szCs w:val="24"/>
        </w:rPr>
        <w:t>is defined in regulation 99.010 as meaning a person that is required to have a DAMP under subregulation 99.030(1).</w:t>
      </w:r>
    </w:p>
    <w:p w14:paraId="77DB0AB2"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29364042" w14:textId="0179A957"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b/>
          <w:i/>
          <w:color w:val="000000" w:themeColor="text1"/>
          <w:sz w:val="24"/>
          <w:szCs w:val="24"/>
        </w:rPr>
        <w:t>Applicable SSAA</w:t>
      </w:r>
      <w:r w:rsidRPr="000700FE">
        <w:rPr>
          <w:rFonts w:ascii="Times New Roman" w:eastAsia="Times New Roman" w:hAnsi="Times New Roman"/>
          <w:color w:val="000000" w:themeColor="text1"/>
          <w:sz w:val="24"/>
          <w:szCs w:val="24"/>
        </w:rPr>
        <w:t xml:space="preserve"> are specified in subregulation 99.015(2) of CASR</w:t>
      </w:r>
      <w:r w:rsidR="0089103C">
        <w:rPr>
          <w:rFonts w:ascii="Times New Roman" w:eastAsia="Times New Roman" w:hAnsi="Times New Roman"/>
          <w:color w:val="000000" w:themeColor="text1"/>
          <w:sz w:val="24"/>
          <w:szCs w:val="24"/>
        </w:rPr>
        <w:t>. They</w:t>
      </w:r>
      <w:r w:rsidRPr="000700FE">
        <w:rPr>
          <w:rFonts w:ascii="Times New Roman" w:eastAsia="Times New Roman" w:hAnsi="Times New Roman"/>
          <w:color w:val="000000" w:themeColor="text1"/>
          <w:sz w:val="24"/>
          <w:szCs w:val="24"/>
        </w:rPr>
        <w:t xml:space="preserve"> include activities on the “airside” of an aerodrome (</w:t>
      </w:r>
      <w:r w:rsidR="009C5F67">
        <w:rPr>
          <w:rFonts w:ascii="Times New Roman" w:eastAsia="Times New Roman" w:hAnsi="Times New Roman"/>
          <w:color w:val="000000" w:themeColor="text1"/>
          <w:sz w:val="24"/>
          <w:szCs w:val="24"/>
        </w:rPr>
        <w:t>that is,</w:t>
      </w:r>
      <w:r w:rsidRPr="000700FE">
        <w:rPr>
          <w:rFonts w:ascii="Times New Roman" w:eastAsia="Times New Roman" w:hAnsi="Times New Roman"/>
          <w:color w:val="000000" w:themeColor="text1"/>
          <w:sz w:val="24"/>
          <w:szCs w:val="24"/>
        </w:rPr>
        <w:t xml:space="preserve"> the tarmac and related areas), including the aerodrome testing area, as well as flight crew duties, maintenance, aircraft refuelling, security, baggage handling and air traffic control.</w:t>
      </w:r>
    </w:p>
    <w:p w14:paraId="214BE58B" w14:textId="77777777" w:rsidR="009A0006" w:rsidRPr="0099606F" w:rsidRDefault="009A0006" w:rsidP="009A0006">
      <w:pPr>
        <w:spacing w:after="0" w:line="240" w:lineRule="auto"/>
        <w:rPr>
          <w:rFonts w:ascii="Times New Roman" w:eastAsia="Times New Roman" w:hAnsi="Times New Roman"/>
          <w:color w:val="000000" w:themeColor="text1"/>
          <w:sz w:val="24"/>
          <w:szCs w:val="24"/>
        </w:rPr>
      </w:pPr>
    </w:p>
    <w:p w14:paraId="77B1B67F" w14:textId="311293C5"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Subregulation 99.050(2) of CASR sets out the circumstances in which drug and alcohol testing must be conducted on SSAA employees. Regulation 99.065 of CASR sets out the </w:t>
      </w:r>
      <w:r w:rsidRPr="000700FE">
        <w:rPr>
          <w:rFonts w:ascii="Times New Roman" w:eastAsia="Times New Roman" w:hAnsi="Times New Roman"/>
          <w:color w:val="000000" w:themeColor="text1"/>
          <w:sz w:val="24"/>
          <w:szCs w:val="24"/>
        </w:rPr>
        <w:lastRenderedPageBreak/>
        <w:t xml:space="preserve">circumstances in which a DAMP organisation must not permit an employee to perform, or be available to perform, an applicable </w:t>
      </w:r>
      <w:r w:rsidR="00AB5D77">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These circumstances generally relate to when the organisation is aware that a positive result for a drug or alcohol test has been recorded for the employee.</w:t>
      </w:r>
    </w:p>
    <w:p w14:paraId="77B31E65"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2DA1F710" w14:textId="77777777" w:rsidR="009A0006" w:rsidRPr="000700FE" w:rsidRDefault="009A0006" w:rsidP="009A0006">
      <w:pPr>
        <w:spacing w:after="0" w:line="240" w:lineRule="auto"/>
        <w:rPr>
          <w:rFonts w:ascii="Times New Roman" w:eastAsia="Times New Roman" w:hAnsi="Times New Roman"/>
          <w:color w:val="000000" w:themeColor="text1"/>
          <w:sz w:val="24"/>
          <w:szCs w:val="24"/>
          <w:u w:val="single"/>
        </w:rPr>
      </w:pPr>
      <w:r w:rsidRPr="000700FE">
        <w:rPr>
          <w:rFonts w:ascii="Times New Roman" w:eastAsia="Times New Roman" w:hAnsi="Times New Roman"/>
          <w:color w:val="000000" w:themeColor="text1"/>
          <w:sz w:val="24"/>
          <w:szCs w:val="24"/>
          <w:u w:val="single"/>
        </w:rPr>
        <w:t>Production of identification</w:t>
      </w:r>
    </w:p>
    <w:p w14:paraId="398FE9B8" w14:textId="159D5E28"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Regulation 99.325 of CASR requires employees to provide, on request by an approved tester, the kinds of photographic identification specified in subregulation 99.325(2) of CASR.</w:t>
      </w:r>
    </w:p>
    <w:p w14:paraId="61060791"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3F5D29B5" w14:textId="77777777" w:rsidR="009A0006" w:rsidRPr="000700FE" w:rsidRDefault="009A0006" w:rsidP="009A0006">
      <w:pPr>
        <w:spacing w:after="0" w:line="240" w:lineRule="auto"/>
        <w:rPr>
          <w:rFonts w:ascii="Times New Roman" w:eastAsia="Times New Roman" w:hAnsi="Times New Roman"/>
          <w:bCs/>
          <w:color w:val="000000" w:themeColor="text1"/>
          <w:sz w:val="24"/>
          <w:szCs w:val="24"/>
          <w:u w:val="single"/>
        </w:rPr>
      </w:pPr>
      <w:r w:rsidRPr="000700FE">
        <w:rPr>
          <w:rFonts w:ascii="Times New Roman" w:eastAsia="Times New Roman" w:hAnsi="Times New Roman"/>
          <w:bCs/>
          <w:color w:val="000000" w:themeColor="text1"/>
          <w:sz w:val="24"/>
          <w:szCs w:val="24"/>
          <w:u w:val="single"/>
        </w:rPr>
        <w:t>Foreign air transport AOCs</w:t>
      </w:r>
    </w:p>
    <w:p w14:paraId="7415CB09" w14:textId="51D0310B" w:rsidR="009A0006" w:rsidRPr="000700FE" w:rsidRDefault="009A0006" w:rsidP="00F40941">
      <w:pPr>
        <w:tabs>
          <w:tab w:val="left" w:pos="567"/>
        </w:tabs>
        <w:overflowPunct w:val="0"/>
        <w:autoSpaceDE w:val="0"/>
        <w:autoSpaceDN w:val="0"/>
        <w:adjustRightInd w:val="0"/>
        <w:spacing w:after="0" w:line="240" w:lineRule="auto"/>
        <w:ind w:right="237"/>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section 7 of the Act (extra-territorial application of the Act), and sections 27 and 27AE of the Act, the Civil Aviation Safety Authority (</w:t>
      </w:r>
      <w:r w:rsidRPr="000700FE">
        <w:rPr>
          <w:rFonts w:ascii="Times New Roman" w:eastAsia="Times New Roman" w:hAnsi="Times New Roman"/>
          <w:b/>
          <w:i/>
          <w:color w:val="000000" w:themeColor="text1"/>
          <w:sz w:val="24"/>
          <w:szCs w:val="24"/>
        </w:rPr>
        <w:t>CASA</w:t>
      </w:r>
      <w:r w:rsidRPr="000700FE">
        <w:rPr>
          <w:rFonts w:ascii="Times New Roman" w:eastAsia="Times New Roman" w:hAnsi="Times New Roman"/>
          <w:color w:val="000000" w:themeColor="text1"/>
          <w:sz w:val="24"/>
          <w:szCs w:val="24"/>
        </w:rPr>
        <w:t xml:space="preserve">) may issue a foreign air transport AOC authorising the operation of a foreign registered aircraft for flights that are not regulated domestic flights. The grant of such AOCs is now substantially regulated under Part 129 of CASR. The holder of a foreign air transport AOC is an AOC holder for subregulation 99.030(1) and is subject to the requirements in Part 99 of CASR relating to DAMPs. (As part of the ANZA mutual recognition agreements, aircraft registered in New Zealand are not foreign registered aircraft and would not be issued with an Australian AOC — see the </w:t>
      </w:r>
      <w:r w:rsidRPr="000700FE">
        <w:rPr>
          <w:rFonts w:ascii="Times New Roman" w:eastAsia="Times New Roman" w:hAnsi="Times New Roman"/>
          <w:i/>
          <w:color w:val="000000" w:themeColor="text1"/>
          <w:sz w:val="24"/>
          <w:szCs w:val="24"/>
        </w:rPr>
        <w:t>Civil Aviation Legislation Amendment (Mutual Recognition with New Zealand) Act 2006</w:t>
      </w:r>
      <w:r w:rsidRPr="000700FE">
        <w:rPr>
          <w:rFonts w:ascii="Times New Roman" w:eastAsia="Times New Roman" w:hAnsi="Times New Roman"/>
          <w:color w:val="000000" w:themeColor="text1"/>
          <w:sz w:val="24"/>
          <w:szCs w:val="24"/>
        </w:rPr>
        <w:t>.)</w:t>
      </w:r>
    </w:p>
    <w:p w14:paraId="031B00A6"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3DF494D4"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bCs/>
          <w:color w:val="000000" w:themeColor="text1"/>
          <w:sz w:val="24"/>
          <w:szCs w:val="24"/>
          <w:u w:val="single"/>
        </w:rPr>
      </w:pPr>
      <w:r w:rsidRPr="000700FE">
        <w:rPr>
          <w:rFonts w:ascii="Times New Roman" w:eastAsia="Times New Roman" w:hAnsi="Times New Roman"/>
          <w:bCs/>
          <w:color w:val="000000" w:themeColor="text1"/>
          <w:sz w:val="24"/>
          <w:szCs w:val="24"/>
          <w:u w:val="single"/>
        </w:rPr>
        <w:t>Provisions for extra-territorial application of Part 99 of CASR</w:t>
      </w:r>
    </w:p>
    <w:p w14:paraId="6AFE6F84" w14:textId="5BE9BA1A"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paragraph 7(a) of the Act dealing with its extra-territorial application, the Act extends to “matters relating to foreign registered aircraft flying into or out of Australian territory or operating in Australian territory”. “Foreign registered aircraft” are aircraft registered in a foreign country.</w:t>
      </w:r>
    </w:p>
    <w:p w14:paraId="3E091E61"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7EDF39CA" w14:textId="30955CD3"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subsections 34(1) and (2) of the Act “[t]he regulations may make provision for and in relation to…” DAMPs and SSAA testing. This regulation-making power is broad and has no express territorial limitation imposed upon it.</w:t>
      </w:r>
    </w:p>
    <w:p w14:paraId="54B8F052"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55E85008"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Regulation 2C of CAR provides that CASR is to be read with, and as if it formed part of, CAR. However, in the event of any inconsistency between the 2 sets of regulations, CASR must prevail.</w:t>
      </w:r>
    </w:p>
    <w:p w14:paraId="4C531F5E"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2BE73889" w14:textId="20E6F75B"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Paragraph 3(1)(a) of CAR provides that “subject to these Regulations [meaning CASR and CAR], these Regulations apply to and in relation to: (a) international air navigation within Australian territory”.</w:t>
      </w:r>
    </w:p>
    <w:p w14:paraId="60709C03"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5B1DFA6D"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Part 99 of CASR contains no provisions, express or implied, from which it might reasonably be concluded that the Part was not to be read as one with CAR. Being read as one with CAR, Part 99 applies “to and in relation to international air navigation within Australian territory” — but “subject to these Regulations”. Confinement of the application of Part 99 to international air navigation “within Australian territory” only is, therefore, subject to the other regulations.</w:t>
      </w:r>
    </w:p>
    <w:p w14:paraId="281D118C"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E36FB8D"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Part 99 expressly applies to AOC holders for foreign registered aircraft flying into, and out of, Australia.</w:t>
      </w:r>
    </w:p>
    <w:p w14:paraId="1E5D4C4E" w14:textId="77777777" w:rsidR="009A0006" w:rsidRPr="000700FE" w:rsidRDefault="009A0006" w:rsidP="009A0006">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C451E61" w14:textId="77777777" w:rsidR="009A0006" w:rsidRPr="000700FE" w:rsidRDefault="009A0006" w:rsidP="005B751F">
      <w:pPr>
        <w:keepNext/>
        <w:spacing w:after="0" w:line="240" w:lineRule="auto"/>
        <w:rPr>
          <w:rFonts w:ascii="Times New Roman" w:hAnsi="Times New Roman"/>
          <w:color w:val="000000" w:themeColor="text1"/>
          <w:sz w:val="24"/>
          <w:szCs w:val="24"/>
          <w:u w:val="single"/>
        </w:rPr>
      </w:pPr>
      <w:r w:rsidRPr="000700FE">
        <w:rPr>
          <w:rFonts w:ascii="Times New Roman" w:hAnsi="Times New Roman"/>
          <w:color w:val="000000" w:themeColor="text1"/>
          <w:sz w:val="24"/>
          <w:szCs w:val="24"/>
          <w:u w:val="single"/>
        </w:rPr>
        <w:lastRenderedPageBreak/>
        <w:t>Exemptions under CASR</w:t>
      </w:r>
    </w:p>
    <w:p w14:paraId="02AB6B79" w14:textId="3AF6578D"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Subpart 11.F of CASR provides for the granting of exemptions from particular provisions of the Regulations. Subregulation 11.160(1) of CASR provides that, for subsection 98(5A) of the Act, CASA may grant an exemption from a provision of the Regulations.</w:t>
      </w:r>
    </w:p>
    <w:p w14:paraId="0546BABB"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05764D24" w14:textId="001EB791"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subregulation 11.160(2) of CASR, an exemption may be granted to a person or a class of persons.</w:t>
      </w:r>
    </w:p>
    <w:p w14:paraId="267A00D6"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317EE71D" w14:textId="3574E76E"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subregulation 11.160(3) of CASR, an exemption may be granted on application by a person or on CASA’s own initiative.</w:t>
      </w:r>
    </w:p>
    <w:p w14:paraId="6C752085"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646D781D" w14:textId="60DF31D0"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Under subregulation 11.175(4) of CASR, in deciding whether to reissue an exemption, CASA must regard as paramount the preservation of at least an acceptable level of aviation safety. CASA has regard to the same test when deciding whether to grant an exemption on its own initiative.</w:t>
      </w:r>
    </w:p>
    <w:p w14:paraId="56A5DCA8"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340EF6FE"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Regulation 11.205 of CASR provides that CASA may impose conditions on an exemption if necessary in the interests of the safety of air navigation. Under regulation 11.210, it is a strict liability offence not to comply with the obligations imposed by a condition.</w:t>
      </w:r>
    </w:p>
    <w:p w14:paraId="3D263F92" w14:textId="77777777" w:rsidR="009A0006" w:rsidRPr="000700FE" w:rsidRDefault="009A0006" w:rsidP="009A0006">
      <w:pPr>
        <w:spacing w:after="0" w:line="240" w:lineRule="auto"/>
        <w:rPr>
          <w:rFonts w:ascii="Times New Roman" w:eastAsia="Times New Roman" w:hAnsi="Times New Roman"/>
          <w:color w:val="000000" w:themeColor="text1"/>
          <w:sz w:val="24"/>
          <w:szCs w:val="24"/>
        </w:rPr>
      </w:pPr>
    </w:p>
    <w:p w14:paraId="7E0D987D" w14:textId="3ECEA63F" w:rsidR="006D6009" w:rsidRPr="000700FE" w:rsidRDefault="009A0006" w:rsidP="009A0006">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Regulation 11.225 of CASR requires an exemption to be published on the </w:t>
      </w:r>
      <w:r w:rsidR="00BE77D7">
        <w:rPr>
          <w:rFonts w:ascii="Times New Roman" w:eastAsia="Times New Roman" w:hAnsi="Times New Roman"/>
          <w:color w:val="000000" w:themeColor="text1"/>
          <w:sz w:val="24"/>
          <w:szCs w:val="24"/>
        </w:rPr>
        <w:t>i</w:t>
      </w:r>
      <w:r w:rsidRPr="000700FE">
        <w:rPr>
          <w:rFonts w:ascii="Times New Roman" w:eastAsia="Times New Roman" w:hAnsi="Times New Roman"/>
          <w:color w:val="000000" w:themeColor="text1"/>
          <w:sz w:val="24"/>
          <w:szCs w:val="24"/>
        </w:rPr>
        <w:t>nternet. Under subregulation 11.230(1) of CASR, the maximum duration of an exemption is</w:t>
      </w:r>
      <w:r w:rsidR="00317AFC">
        <w:rPr>
          <w:rFonts w:ascii="Times New Roman" w:eastAsia="Times New Roman" w:hAnsi="Times New Roman"/>
          <w:color w:val="000000" w:themeColor="text1"/>
          <w:sz w:val="24"/>
          <w:szCs w:val="24"/>
        </w:rPr>
        <w:t xml:space="preserve"> </w:t>
      </w:r>
      <w:r w:rsidRPr="000700FE">
        <w:rPr>
          <w:rFonts w:ascii="Times New Roman" w:eastAsia="Times New Roman" w:hAnsi="Times New Roman"/>
          <w:color w:val="000000" w:themeColor="text1"/>
          <w:sz w:val="24"/>
          <w:szCs w:val="24"/>
        </w:rPr>
        <w:t>3 years.</w:t>
      </w:r>
    </w:p>
    <w:p w14:paraId="6A9FEAD8" w14:textId="77777777" w:rsidR="006D6009" w:rsidRPr="000700FE" w:rsidRDefault="006D6009" w:rsidP="006D6009">
      <w:pPr>
        <w:spacing w:after="0" w:line="240" w:lineRule="auto"/>
        <w:rPr>
          <w:rFonts w:ascii="Times New Roman" w:eastAsia="Times New Roman" w:hAnsi="Times New Roman"/>
          <w:color w:val="000000" w:themeColor="text1"/>
          <w:sz w:val="24"/>
          <w:szCs w:val="24"/>
        </w:rPr>
      </w:pPr>
    </w:p>
    <w:p w14:paraId="76742DED" w14:textId="3CE801CC" w:rsidR="006D6009" w:rsidRPr="000700FE" w:rsidRDefault="006D6009" w:rsidP="00773B07">
      <w:pPr>
        <w:keepNext/>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Background</w:t>
      </w:r>
    </w:p>
    <w:p w14:paraId="2FA5CC60" w14:textId="77777777" w:rsidR="00017FD2" w:rsidRPr="000700FE" w:rsidRDefault="00017FD2" w:rsidP="00017FD2">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This exemption has previously been issued as the following CASA instruments:</w:t>
      </w:r>
    </w:p>
    <w:p w14:paraId="069E46E3" w14:textId="77777777" w:rsidR="00017FD2" w:rsidRPr="000700FE"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CASA EX08/09, </w:t>
      </w:r>
      <w:r w:rsidRPr="000700FE">
        <w:rPr>
          <w:rFonts w:ascii="Times New Roman" w:eastAsia="Times New Roman" w:hAnsi="Times New Roman"/>
          <w:i/>
          <w:iCs/>
          <w:color w:val="000000" w:themeColor="text1"/>
          <w:sz w:val="24"/>
          <w:szCs w:val="24"/>
        </w:rPr>
        <w:t>Exemption — CASR Part 99 DAMP requirements for foreign aircraft AOC holders</w:t>
      </w:r>
      <w:r w:rsidRPr="000700FE">
        <w:rPr>
          <w:rFonts w:ascii="Times New Roman" w:eastAsia="Times New Roman" w:hAnsi="Times New Roman"/>
          <w:color w:val="000000" w:themeColor="text1"/>
          <w:sz w:val="24"/>
          <w:szCs w:val="24"/>
        </w:rPr>
        <w:t xml:space="preserve"> (</w:t>
      </w:r>
      <w:r w:rsidRPr="000700FE">
        <w:rPr>
          <w:rFonts w:ascii="Times New Roman" w:eastAsia="Times New Roman" w:hAnsi="Times New Roman"/>
          <w:b/>
          <w:bCs/>
          <w:i/>
          <w:iCs/>
          <w:color w:val="000000" w:themeColor="text1"/>
          <w:sz w:val="24"/>
          <w:szCs w:val="24"/>
        </w:rPr>
        <w:t>CASA EX08/09</w:t>
      </w:r>
      <w:r w:rsidRPr="000700FE">
        <w:rPr>
          <w:rFonts w:ascii="Times New Roman" w:eastAsia="Times New Roman" w:hAnsi="Times New Roman"/>
          <w:color w:val="000000" w:themeColor="text1"/>
          <w:sz w:val="24"/>
          <w:szCs w:val="24"/>
        </w:rPr>
        <w:t>)</w:t>
      </w:r>
    </w:p>
    <w:p w14:paraId="011214F0" w14:textId="77777777" w:rsidR="00017FD2" w:rsidRPr="000700FE"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CASA EX37/11, </w:t>
      </w:r>
      <w:r w:rsidRPr="000700FE">
        <w:rPr>
          <w:rFonts w:ascii="Times New Roman" w:eastAsia="Times New Roman" w:hAnsi="Times New Roman"/>
          <w:i/>
          <w:iCs/>
          <w:color w:val="000000" w:themeColor="text1"/>
          <w:sz w:val="24"/>
          <w:szCs w:val="24"/>
        </w:rPr>
        <w:t>Exemption — CASR Part 99 DAMP requirements for foreign aircraft AOC holders</w:t>
      </w:r>
    </w:p>
    <w:p w14:paraId="2DB9DD95" w14:textId="77777777" w:rsidR="00017FD2" w:rsidRPr="000700FE"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CASA EX146/12, </w:t>
      </w:r>
      <w:r w:rsidRPr="000700FE">
        <w:rPr>
          <w:rFonts w:ascii="Times New Roman" w:eastAsia="Times New Roman" w:hAnsi="Times New Roman"/>
          <w:i/>
          <w:iCs/>
          <w:color w:val="000000" w:themeColor="text1"/>
          <w:sz w:val="24"/>
          <w:szCs w:val="24"/>
        </w:rPr>
        <w:t>Exemption — CASR Subpart 99.B DAMP requirements for foreign aircraft AOC holders</w:t>
      </w:r>
    </w:p>
    <w:p w14:paraId="4E765EEB" w14:textId="77777777" w:rsidR="00017FD2" w:rsidRPr="000700FE"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CASA EX33/13, </w:t>
      </w:r>
      <w:r w:rsidRPr="000700FE">
        <w:rPr>
          <w:rFonts w:ascii="Times New Roman" w:eastAsia="Times New Roman" w:hAnsi="Times New Roman"/>
          <w:i/>
          <w:iCs/>
          <w:color w:val="000000" w:themeColor="text1"/>
          <w:sz w:val="24"/>
          <w:szCs w:val="24"/>
        </w:rPr>
        <w:t>Exemption — CASR Subpart 99.B DAMP requirements for foreign aircraft AOC holders</w:t>
      </w:r>
    </w:p>
    <w:p w14:paraId="2E242EC8" w14:textId="77777777" w:rsidR="00017FD2" w:rsidRPr="000700FE" w:rsidRDefault="00017FD2"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CASA EX50/16, </w:t>
      </w:r>
      <w:r w:rsidRPr="000700FE">
        <w:rPr>
          <w:rFonts w:ascii="Times New Roman" w:eastAsia="Times New Roman" w:hAnsi="Times New Roman"/>
          <w:i/>
          <w:iCs/>
          <w:color w:val="000000" w:themeColor="text1"/>
          <w:sz w:val="24"/>
          <w:szCs w:val="24"/>
        </w:rPr>
        <w:t>Exemption — CASR Subpart 99.B DAMP requirements for foreign aircraft AOC holders</w:t>
      </w:r>
    </w:p>
    <w:p w14:paraId="2461D09A" w14:textId="578C685B" w:rsidR="003677DC" w:rsidRPr="000700FE" w:rsidRDefault="003677DC"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lang w:eastAsia="en-AU"/>
        </w:rPr>
        <w:t>CASA EX37/19</w:t>
      </w:r>
      <w:r w:rsidRPr="000700FE">
        <w:rPr>
          <w:rFonts w:ascii="Times New Roman" w:eastAsia="Times New Roman" w:hAnsi="Times New Roman"/>
          <w:i/>
          <w:iCs/>
          <w:color w:val="000000" w:themeColor="text1"/>
          <w:sz w:val="24"/>
          <w:szCs w:val="24"/>
          <w:lang w:eastAsia="en-AU"/>
        </w:rPr>
        <w:t> — CASR Subpart 99.B DAMP Requirements for Foreign Air Transport AOC Holders Exemption 2019</w:t>
      </w:r>
    </w:p>
    <w:p w14:paraId="790E2513" w14:textId="67BA4C0B" w:rsidR="003677DC" w:rsidRPr="000700FE" w:rsidRDefault="003677DC" w:rsidP="00017FD2">
      <w:pPr>
        <w:pStyle w:val="ListParagraph"/>
        <w:numPr>
          <w:ilvl w:val="0"/>
          <w:numId w:val="2"/>
        </w:num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CASA EX16/21</w:t>
      </w:r>
      <w:r w:rsidR="00841B50" w:rsidRPr="000700FE">
        <w:rPr>
          <w:rFonts w:ascii="Times New Roman" w:eastAsia="Times New Roman" w:hAnsi="Times New Roman"/>
          <w:bCs/>
          <w:i/>
          <w:iCs/>
          <w:color w:val="000000" w:themeColor="text1"/>
          <w:sz w:val="24"/>
          <w:szCs w:val="24"/>
        </w:rPr>
        <w:t>— CASR Subpart 99.B DAMP Requirements for Foreign Air Transport AOC Holders Exemption 2021</w:t>
      </w:r>
      <w:r w:rsidR="0022781B">
        <w:rPr>
          <w:rFonts w:ascii="Times New Roman" w:eastAsia="Times New Roman" w:hAnsi="Times New Roman"/>
          <w:bCs/>
          <w:color w:val="000000" w:themeColor="text1"/>
          <w:sz w:val="24"/>
          <w:szCs w:val="24"/>
        </w:rPr>
        <w:t>.</w:t>
      </w:r>
    </w:p>
    <w:p w14:paraId="0EA91061" w14:textId="77777777" w:rsidR="00841B50" w:rsidRPr="000700FE" w:rsidRDefault="00841B50" w:rsidP="00F31240">
      <w:pPr>
        <w:spacing w:after="0" w:line="240" w:lineRule="auto"/>
        <w:rPr>
          <w:rFonts w:ascii="Times New Roman" w:eastAsia="Times New Roman" w:hAnsi="Times New Roman"/>
          <w:color w:val="000000" w:themeColor="text1"/>
          <w:sz w:val="24"/>
          <w:szCs w:val="24"/>
        </w:rPr>
      </w:pPr>
    </w:p>
    <w:p w14:paraId="3E30DC1F" w14:textId="127ADE26" w:rsidR="00F31240" w:rsidRPr="000700FE" w:rsidRDefault="00F31240" w:rsidP="00F31240">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Instrument CASA EX08/09 was originally issued in 2009 following a CASA Post</w:t>
      </w:r>
      <w:r w:rsidRPr="000700FE">
        <w:rPr>
          <w:rFonts w:ascii="Times New Roman" w:eastAsia="Times New Roman" w:hAnsi="Times New Roman"/>
          <w:color w:val="000000" w:themeColor="text1"/>
          <w:sz w:val="24"/>
          <w:szCs w:val="24"/>
        </w:rPr>
        <w:noBreakHyphen/>
        <w:t>Implementation Review of CASR Subpart 99.B. At that time, it was considered that it was not practicable for many foreign AOC holders, for whom Australian international operations are only a component of their broader international operations, to fully convert their existing drug and alcohol policies, as set by their home State, to meet the detailed requirements of Subpart 99.B of CASR for a DAMP.</w:t>
      </w:r>
    </w:p>
    <w:p w14:paraId="737970DE" w14:textId="77777777" w:rsidR="00F31240" w:rsidRPr="000700FE" w:rsidRDefault="00F31240" w:rsidP="00F31240">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14EBEC29" w14:textId="77777777" w:rsidR="00F31240" w:rsidRPr="000700FE" w:rsidRDefault="00F31240" w:rsidP="00F31240">
      <w:pPr>
        <w:spacing w:after="0" w:line="240" w:lineRule="auto"/>
        <w:ind w:right="-46"/>
        <w:rPr>
          <w:rFonts w:ascii="Times New Roman" w:eastAsia="Times New Roman" w:hAnsi="Times New Roman"/>
          <w:bCs/>
          <w:color w:val="000000" w:themeColor="text1"/>
          <w:sz w:val="24"/>
          <w:szCs w:val="24"/>
        </w:rPr>
      </w:pPr>
      <w:r w:rsidRPr="000700FE">
        <w:rPr>
          <w:rFonts w:ascii="Times New Roman" w:eastAsia="Times New Roman" w:hAnsi="Times New Roman"/>
          <w:color w:val="000000" w:themeColor="text1"/>
          <w:sz w:val="24"/>
          <w:szCs w:val="24"/>
        </w:rPr>
        <w:t xml:space="preserve">The Convention on International Civil Aviation (the </w:t>
      </w:r>
      <w:r w:rsidRPr="000700FE">
        <w:rPr>
          <w:rFonts w:ascii="Times New Roman" w:eastAsia="Times New Roman" w:hAnsi="Times New Roman"/>
          <w:b/>
          <w:i/>
          <w:color w:val="000000" w:themeColor="text1"/>
          <w:sz w:val="24"/>
          <w:szCs w:val="24"/>
        </w:rPr>
        <w:t>Chicago Convention</w:t>
      </w:r>
      <w:r w:rsidRPr="000700FE">
        <w:rPr>
          <w:rFonts w:ascii="Times New Roman" w:eastAsia="Times New Roman" w:hAnsi="Times New Roman"/>
          <w:color w:val="000000" w:themeColor="text1"/>
          <w:sz w:val="24"/>
          <w:szCs w:val="24"/>
        </w:rPr>
        <w:t xml:space="preserve">) requires Contracting States to ensure that all licence holders who engage in any kind of problematic use of psychoactive substances are identified and removed from their safety critical functions, </w:t>
      </w:r>
      <w:r w:rsidRPr="000700FE">
        <w:rPr>
          <w:rFonts w:ascii="Times New Roman" w:eastAsia="Times New Roman" w:hAnsi="Times New Roman"/>
          <w:color w:val="000000" w:themeColor="text1"/>
          <w:sz w:val="24"/>
          <w:szCs w:val="24"/>
        </w:rPr>
        <w:lastRenderedPageBreak/>
        <w:t xml:space="preserve">and returned to them only if the problematic use of substances has been successfully treated or ceased — see subclause 1.2.7, </w:t>
      </w:r>
      <w:r w:rsidRPr="000700FE">
        <w:rPr>
          <w:rFonts w:ascii="Times New Roman" w:eastAsia="Times New Roman" w:hAnsi="Times New Roman"/>
          <w:i/>
          <w:color w:val="000000" w:themeColor="text1"/>
          <w:sz w:val="24"/>
          <w:szCs w:val="24"/>
        </w:rPr>
        <w:t>Use of psychoactive substances</w:t>
      </w:r>
      <w:r w:rsidRPr="000700FE">
        <w:rPr>
          <w:rFonts w:ascii="Times New Roman" w:eastAsia="Times New Roman" w:hAnsi="Times New Roman"/>
          <w:color w:val="000000" w:themeColor="text1"/>
          <w:sz w:val="24"/>
          <w:szCs w:val="24"/>
        </w:rPr>
        <w:t xml:space="preserve">, in </w:t>
      </w:r>
      <w:r w:rsidRPr="000700FE">
        <w:rPr>
          <w:rFonts w:ascii="Times New Roman" w:eastAsia="Times New Roman" w:hAnsi="Times New Roman"/>
          <w:i/>
          <w:color w:val="000000" w:themeColor="text1"/>
          <w:sz w:val="24"/>
          <w:szCs w:val="24"/>
        </w:rPr>
        <w:t>Annex 1 — Personnel Licensing</w:t>
      </w:r>
      <w:r w:rsidRPr="000700FE">
        <w:rPr>
          <w:rFonts w:ascii="Times New Roman" w:eastAsia="Times New Roman" w:hAnsi="Times New Roman"/>
          <w:color w:val="000000" w:themeColor="text1"/>
          <w:sz w:val="24"/>
          <w:szCs w:val="24"/>
        </w:rPr>
        <w:t xml:space="preserve"> and clause 2.5,</w:t>
      </w:r>
      <w:r w:rsidRPr="000700FE">
        <w:rPr>
          <w:rFonts w:ascii="Times New Roman" w:eastAsia="Times New Roman" w:hAnsi="Times New Roman"/>
          <w:i/>
          <w:color w:val="000000" w:themeColor="text1"/>
          <w:sz w:val="24"/>
          <w:szCs w:val="24"/>
        </w:rPr>
        <w:t xml:space="preserve"> Problematic use of psychoactive substances</w:t>
      </w:r>
      <w:r w:rsidRPr="000700FE">
        <w:rPr>
          <w:rFonts w:ascii="Times New Roman" w:eastAsia="Times New Roman" w:hAnsi="Times New Roman"/>
          <w:color w:val="000000" w:themeColor="text1"/>
          <w:sz w:val="24"/>
          <w:szCs w:val="24"/>
        </w:rPr>
        <w:t>,</w:t>
      </w:r>
      <w:r w:rsidRPr="000700FE">
        <w:rPr>
          <w:rFonts w:ascii="Times New Roman" w:eastAsia="Times New Roman" w:hAnsi="Times New Roman"/>
          <w:i/>
          <w:color w:val="000000" w:themeColor="text1"/>
          <w:sz w:val="24"/>
          <w:szCs w:val="24"/>
        </w:rPr>
        <w:t xml:space="preserve"> </w:t>
      </w:r>
      <w:r w:rsidRPr="000700FE">
        <w:rPr>
          <w:rFonts w:ascii="Times New Roman" w:eastAsia="Times New Roman" w:hAnsi="Times New Roman"/>
          <w:color w:val="000000" w:themeColor="text1"/>
          <w:sz w:val="24"/>
          <w:szCs w:val="24"/>
        </w:rPr>
        <w:t xml:space="preserve">in </w:t>
      </w:r>
      <w:r w:rsidRPr="000700FE">
        <w:rPr>
          <w:rFonts w:ascii="Times New Roman" w:eastAsia="Times New Roman" w:hAnsi="Times New Roman"/>
          <w:i/>
          <w:color w:val="000000" w:themeColor="text1"/>
          <w:sz w:val="24"/>
          <w:szCs w:val="24"/>
        </w:rPr>
        <w:t>Annex 2 </w:t>
      </w:r>
      <w:r w:rsidRPr="000700FE">
        <w:rPr>
          <w:rFonts w:ascii="Times New Roman" w:eastAsia="Times New Roman" w:hAnsi="Times New Roman"/>
          <w:b/>
          <w:i/>
          <w:color w:val="000000" w:themeColor="text1"/>
          <w:sz w:val="24"/>
          <w:szCs w:val="24"/>
        </w:rPr>
        <w:t>—</w:t>
      </w:r>
      <w:r w:rsidRPr="000700FE">
        <w:rPr>
          <w:rFonts w:ascii="Times New Roman" w:eastAsia="Times New Roman" w:hAnsi="Times New Roman"/>
          <w:i/>
          <w:color w:val="000000" w:themeColor="text1"/>
          <w:sz w:val="24"/>
          <w:szCs w:val="24"/>
        </w:rPr>
        <w:t xml:space="preserve"> Rules of the Air</w:t>
      </w:r>
      <w:r w:rsidRPr="000700FE">
        <w:rPr>
          <w:rFonts w:ascii="Times New Roman" w:eastAsia="Times New Roman" w:hAnsi="Times New Roman"/>
          <w:color w:val="000000" w:themeColor="text1"/>
          <w:sz w:val="24"/>
          <w:szCs w:val="24"/>
        </w:rPr>
        <w:t xml:space="preserve">. </w:t>
      </w:r>
      <w:r w:rsidRPr="000700FE">
        <w:rPr>
          <w:rFonts w:ascii="Times New Roman" w:eastAsia="Times New Roman" w:hAnsi="Times New Roman"/>
          <w:b/>
          <w:i/>
          <w:color w:val="000000" w:themeColor="text1"/>
          <w:sz w:val="24"/>
          <w:szCs w:val="24"/>
        </w:rPr>
        <w:t>Psychoactive substances</w:t>
      </w:r>
      <w:r w:rsidRPr="000700FE">
        <w:rPr>
          <w:rFonts w:ascii="Times New Roman" w:eastAsia="Times New Roman" w:hAnsi="Times New Roman"/>
          <w:color w:val="000000" w:themeColor="text1"/>
          <w:sz w:val="24"/>
          <w:szCs w:val="24"/>
        </w:rPr>
        <w:t xml:space="preserve"> are defined in Chapter 1 of Annex 1 as including alcohol. A note to subclause 1.2.7 of Annex 1 states that guidance on suitable methods of identification (which may include biochemical testing on such occasions as pre-employment, upon reasonable suspicion, after accidents/incidents, at intervals, and at random) and on other prevention topics is contained in the </w:t>
      </w:r>
      <w:r w:rsidRPr="000700FE">
        <w:rPr>
          <w:rFonts w:ascii="Times New Roman" w:eastAsia="Times New Roman" w:hAnsi="Times New Roman"/>
          <w:i/>
          <w:color w:val="000000" w:themeColor="text1"/>
          <w:sz w:val="24"/>
          <w:szCs w:val="24"/>
        </w:rPr>
        <w:t xml:space="preserve">Manual on Prevention of Problematic Use of Substances in the Aviation Workplace </w:t>
      </w:r>
      <w:r w:rsidRPr="000700FE">
        <w:rPr>
          <w:rFonts w:ascii="Times New Roman" w:eastAsia="Times New Roman" w:hAnsi="Times New Roman"/>
          <w:color w:val="000000" w:themeColor="text1"/>
          <w:sz w:val="24"/>
          <w:szCs w:val="24"/>
        </w:rPr>
        <w:t>(ICAO Doc 9654).</w:t>
      </w:r>
    </w:p>
    <w:p w14:paraId="39CFAFF2" w14:textId="77777777" w:rsidR="00F31240" w:rsidRPr="000700FE" w:rsidRDefault="00F31240" w:rsidP="00F31240">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1D2F648B" w14:textId="6F9DA297" w:rsidR="00F31240" w:rsidRPr="000700FE" w:rsidRDefault="00F31240" w:rsidP="00F31240">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Although drug or alcohol testing is not mandatory under the Chicago Convention to meet these requirements, a number of Contracting States, like Australia, have policies or programs in place that include drug and alcohol testing of persons performing safety</w:t>
      </w:r>
      <w:r w:rsidRPr="000700FE">
        <w:rPr>
          <w:rFonts w:ascii="Times New Roman" w:eastAsia="Times New Roman" w:hAnsi="Times New Roman"/>
          <w:color w:val="000000" w:themeColor="text1"/>
          <w:sz w:val="24"/>
          <w:szCs w:val="24"/>
        </w:rPr>
        <w:noBreakHyphen/>
        <w:t>critical functions in the aviation sector.</w:t>
      </w:r>
    </w:p>
    <w:p w14:paraId="4699C33B" w14:textId="77777777" w:rsidR="00F31240" w:rsidRPr="0099606F" w:rsidRDefault="00F31240" w:rsidP="00F31240">
      <w:pPr>
        <w:spacing w:after="0" w:line="240" w:lineRule="auto"/>
        <w:rPr>
          <w:rFonts w:ascii="Times New Roman" w:eastAsia="Times New Roman" w:hAnsi="Times New Roman"/>
          <w:bCs/>
          <w:color w:val="000000" w:themeColor="text1"/>
          <w:sz w:val="24"/>
          <w:szCs w:val="24"/>
        </w:rPr>
      </w:pPr>
    </w:p>
    <w:p w14:paraId="25110BF1" w14:textId="77777777" w:rsidR="006D6009" w:rsidRPr="000700FE" w:rsidRDefault="007B5B91" w:rsidP="00773B07">
      <w:pPr>
        <w:keepNext/>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Overview of instrument</w:t>
      </w:r>
    </w:p>
    <w:p w14:paraId="33B52EC7" w14:textId="77777777" w:rsidR="001011BF" w:rsidRPr="000700FE" w:rsidRDefault="001011BF" w:rsidP="001011BF">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effect of this instrument is to exempt a foreign air transport AOC holder that is engaged in international air navigation, but not engaged in domestic air navigation, in Australia (a </w:t>
      </w:r>
      <w:r w:rsidRPr="000700FE">
        <w:rPr>
          <w:rFonts w:ascii="Times New Roman" w:eastAsia="Times New Roman" w:hAnsi="Times New Roman"/>
          <w:b/>
          <w:i/>
          <w:color w:val="000000" w:themeColor="text1"/>
          <w:sz w:val="24"/>
          <w:szCs w:val="24"/>
        </w:rPr>
        <w:t>relevant organisation</w:t>
      </w:r>
      <w:r w:rsidRPr="000700FE">
        <w:rPr>
          <w:rFonts w:ascii="Times New Roman" w:eastAsia="Times New Roman" w:hAnsi="Times New Roman"/>
          <w:color w:val="000000" w:themeColor="text1"/>
          <w:sz w:val="24"/>
          <w:szCs w:val="24"/>
        </w:rPr>
        <w:t>) from the requirement under Part 99 of CASR to develop and implement a DAMP, subject to conditions. The exemption applies only if the relevant organisation has nominated a liaison officer with whom CASA can liaise in relation to a body sample donor.</w:t>
      </w:r>
    </w:p>
    <w:p w14:paraId="48D06474" w14:textId="77777777" w:rsidR="001011BF" w:rsidRPr="000700FE" w:rsidRDefault="001011BF" w:rsidP="001011BF">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rPr>
      </w:pPr>
    </w:p>
    <w:p w14:paraId="7DAAA003" w14:textId="0C951912" w:rsidR="001011BF" w:rsidRPr="000700FE" w:rsidRDefault="001011BF" w:rsidP="001011BF">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Conditions imposed on the exemption are similar to requirements in Subpart 99.B of CASR with which DAMP organisations must comply that relate to when drug or alcohol testing must be conducted on SSAA employees and when they must be prevented from performing SSAA. Other conditions relate to the provision of information to CASA regarding persons who are unable to produce to an approved drug and alcohol tester (</w:t>
      </w:r>
      <w:r w:rsidRPr="000700FE">
        <w:rPr>
          <w:rFonts w:ascii="Times New Roman" w:eastAsia="Times New Roman" w:hAnsi="Times New Roman"/>
          <w:b/>
          <w:i/>
          <w:color w:val="000000" w:themeColor="text1"/>
          <w:sz w:val="24"/>
          <w:szCs w:val="24"/>
        </w:rPr>
        <w:t>approved tester</w:t>
      </w:r>
      <w:r w:rsidRPr="000700FE">
        <w:rPr>
          <w:rFonts w:ascii="Times New Roman" w:eastAsia="Times New Roman" w:hAnsi="Times New Roman"/>
          <w:color w:val="000000" w:themeColor="text1"/>
          <w:sz w:val="24"/>
          <w:szCs w:val="24"/>
        </w:rPr>
        <w:t xml:space="preserve">) the photographic identification required under regulation 99.325 or who have been prevented from performing, or being available to perform, an applicable </w:t>
      </w:r>
      <w:r w:rsidR="00B50625">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by a relevant organisation.</w:t>
      </w:r>
    </w:p>
    <w:p w14:paraId="15C9862F" w14:textId="77777777" w:rsidR="001011BF" w:rsidRPr="000700FE" w:rsidRDefault="001011BF" w:rsidP="001011BF">
      <w:pPr>
        <w:spacing w:after="0" w:line="240" w:lineRule="auto"/>
        <w:rPr>
          <w:rFonts w:ascii="Times New Roman" w:eastAsia="Times New Roman" w:hAnsi="Times New Roman"/>
          <w:color w:val="000000" w:themeColor="text1"/>
          <w:sz w:val="24"/>
          <w:szCs w:val="24"/>
        </w:rPr>
      </w:pPr>
    </w:p>
    <w:p w14:paraId="6F2D6C8C" w14:textId="6D0DF3DE" w:rsidR="001011BF" w:rsidRPr="000700FE" w:rsidRDefault="001011BF" w:rsidP="001011BF">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instrument also exempts employees of relevant organisations who perform, or are available to perform, applicable SSAA and have been asked by CASA for a body sample under Subpart 99.C of CASR (Drug and alcohol testing by CASA), from the requirement under subregulation 99.325(1) of CASR, if they can produce the photographic identification issued by the relevant organisation in the same timeframes that apply in relation to the photographic identification specified in CASR.</w:t>
      </w:r>
    </w:p>
    <w:p w14:paraId="3CAA2EE5" w14:textId="77777777" w:rsidR="001011BF" w:rsidRPr="000700FE" w:rsidRDefault="001011BF" w:rsidP="001011BF">
      <w:pPr>
        <w:spacing w:after="0" w:line="240" w:lineRule="auto"/>
        <w:rPr>
          <w:rFonts w:ascii="Times New Roman" w:eastAsia="Times New Roman" w:hAnsi="Times New Roman"/>
          <w:color w:val="000000" w:themeColor="text1"/>
          <w:sz w:val="24"/>
          <w:szCs w:val="24"/>
        </w:rPr>
      </w:pPr>
    </w:p>
    <w:p w14:paraId="293E6850" w14:textId="77777777" w:rsidR="001011BF" w:rsidRPr="000700FE" w:rsidRDefault="001011BF" w:rsidP="002F201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CASA has assessed the impact of the instrument on aviation safety and is satisfied that, in all the circumstances, an acceptable level of safety is preserved through the conditions that the instrument imposes on the exemption for foreign air transport AOC holders.</w:t>
      </w:r>
    </w:p>
    <w:p w14:paraId="2FD214D1" w14:textId="77777777" w:rsidR="001011BF" w:rsidRPr="000700FE" w:rsidRDefault="001011BF" w:rsidP="002F2019">
      <w:pPr>
        <w:spacing w:after="0" w:line="240" w:lineRule="auto"/>
        <w:rPr>
          <w:rFonts w:ascii="Times New Roman" w:eastAsia="Times New Roman" w:hAnsi="Times New Roman"/>
          <w:color w:val="000000" w:themeColor="text1"/>
          <w:sz w:val="24"/>
          <w:szCs w:val="24"/>
        </w:rPr>
      </w:pPr>
    </w:p>
    <w:p w14:paraId="285862C1" w14:textId="77777777" w:rsidR="006D6009" w:rsidRPr="000700FE" w:rsidRDefault="003651EA" w:rsidP="002F2019">
      <w:pPr>
        <w:spacing w:after="0" w:line="240" w:lineRule="auto"/>
        <w:rPr>
          <w:rFonts w:ascii="Times New Roman" w:eastAsia="Times New Roman" w:hAnsi="Times New Roman"/>
          <w:b/>
          <w:iCs/>
          <w:color w:val="000000" w:themeColor="text1"/>
          <w:sz w:val="24"/>
          <w:szCs w:val="24"/>
        </w:rPr>
      </w:pPr>
      <w:bookmarkStart w:id="1" w:name="_Hlk3456348"/>
      <w:r w:rsidRPr="000700FE">
        <w:rPr>
          <w:rFonts w:ascii="Times New Roman" w:eastAsia="Times New Roman" w:hAnsi="Times New Roman"/>
          <w:b/>
          <w:iCs/>
          <w:color w:val="000000" w:themeColor="text1"/>
          <w:sz w:val="24"/>
          <w:szCs w:val="24"/>
        </w:rPr>
        <w:t>Content of instrument</w:t>
      </w:r>
    </w:p>
    <w:bookmarkEnd w:id="1"/>
    <w:p w14:paraId="635C7D96" w14:textId="77777777" w:rsidR="00ED7077" w:rsidRPr="000700FE" w:rsidRDefault="00ED7077" w:rsidP="002F201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Section 1 sets out the name of the instrument.</w:t>
      </w:r>
    </w:p>
    <w:p w14:paraId="6E4ADFCC"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49787C10" w14:textId="2C519458"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Section 2 sets out the duration of the instrument. The instrument commences on 1 March</w:t>
      </w:r>
      <w:r w:rsidR="00A05B0C" w:rsidRPr="000700FE">
        <w:rPr>
          <w:rFonts w:ascii="Times New Roman" w:eastAsia="Times New Roman" w:hAnsi="Times New Roman"/>
          <w:color w:val="000000" w:themeColor="text1"/>
          <w:sz w:val="24"/>
          <w:szCs w:val="24"/>
        </w:rPr>
        <w:t> </w:t>
      </w:r>
      <w:r w:rsidRPr="000700FE">
        <w:rPr>
          <w:rFonts w:ascii="Times New Roman" w:eastAsia="Times New Roman" w:hAnsi="Times New Roman"/>
          <w:color w:val="000000" w:themeColor="text1"/>
          <w:sz w:val="24"/>
          <w:szCs w:val="24"/>
        </w:rPr>
        <w:t>2023 and is repealed at the end of 28 February 2025.</w:t>
      </w:r>
    </w:p>
    <w:p w14:paraId="2E3C3B78"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57C23346" w14:textId="77777777" w:rsidR="00ED7077" w:rsidRPr="000700FE" w:rsidRDefault="00ED7077" w:rsidP="00ED7077">
      <w:pPr>
        <w:spacing w:after="0" w:line="240" w:lineRule="auto"/>
        <w:ind w:right="-188"/>
        <w:rPr>
          <w:rFonts w:ascii="Times New Roman" w:eastAsia="Times New Roman" w:hAnsi="Times New Roman"/>
          <w:bCs/>
          <w:iCs/>
          <w:color w:val="000000" w:themeColor="text1"/>
          <w:sz w:val="24"/>
          <w:szCs w:val="24"/>
        </w:rPr>
      </w:pPr>
      <w:r w:rsidRPr="000700FE">
        <w:rPr>
          <w:rFonts w:ascii="Times New Roman" w:eastAsia="Times New Roman" w:hAnsi="Times New Roman"/>
          <w:color w:val="000000" w:themeColor="text1"/>
          <w:sz w:val="24"/>
          <w:szCs w:val="24"/>
        </w:rPr>
        <w:lastRenderedPageBreak/>
        <w:t xml:space="preserve">Section 3 sets out definitions for the instrument. Key definitions are </w:t>
      </w:r>
      <w:r w:rsidRPr="000700FE">
        <w:rPr>
          <w:rFonts w:ascii="Times New Roman" w:eastAsia="Times New Roman" w:hAnsi="Times New Roman"/>
          <w:b/>
          <w:bCs/>
          <w:i/>
          <w:iCs/>
          <w:color w:val="000000" w:themeColor="text1"/>
          <w:sz w:val="24"/>
          <w:szCs w:val="24"/>
        </w:rPr>
        <w:t>relevant organisation</w:t>
      </w:r>
      <w:r w:rsidRPr="000700FE">
        <w:rPr>
          <w:rFonts w:ascii="Times New Roman" w:eastAsia="Times New Roman" w:hAnsi="Times New Roman"/>
          <w:color w:val="000000" w:themeColor="text1"/>
          <w:sz w:val="24"/>
          <w:szCs w:val="24"/>
        </w:rPr>
        <w:t xml:space="preserve">, </w:t>
      </w:r>
      <w:r w:rsidRPr="000700FE">
        <w:rPr>
          <w:rFonts w:ascii="Times New Roman" w:eastAsia="Times New Roman" w:hAnsi="Times New Roman"/>
          <w:b/>
          <w:bCs/>
          <w:i/>
          <w:iCs/>
          <w:color w:val="000000" w:themeColor="text1"/>
          <w:sz w:val="24"/>
          <w:szCs w:val="24"/>
        </w:rPr>
        <w:t>body sample donor</w:t>
      </w:r>
      <w:r w:rsidRPr="000700FE">
        <w:rPr>
          <w:rFonts w:ascii="Times New Roman" w:eastAsia="Times New Roman" w:hAnsi="Times New Roman"/>
          <w:color w:val="000000" w:themeColor="text1"/>
          <w:sz w:val="24"/>
          <w:szCs w:val="24"/>
        </w:rPr>
        <w:t xml:space="preserve"> and </w:t>
      </w:r>
      <w:r w:rsidRPr="000700FE">
        <w:rPr>
          <w:rFonts w:ascii="Times New Roman" w:eastAsia="Times New Roman" w:hAnsi="Times New Roman"/>
          <w:b/>
          <w:bCs/>
          <w:i/>
          <w:iCs/>
          <w:color w:val="000000" w:themeColor="text1"/>
          <w:sz w:val="24"/>
          <w:szCs w:val="24"/>
        </w:rPr>
        <w:t>test</w:t>
      </w:r>
      <w:r w:rsidRPr="000700FE">
        <w:rPr>
          <w:rFonts w:ascii="Times New Roman" w:eastAsia="Times New Roman" w:hAnsi="Times New Roman"/>
          <w:color w:val="000000" w:themeColor="text1"/>
          <w:sz w:val="24"/>
          <w:szCs w:val="24"/>
        </w:rPr>
        <w:t>. They are defined as follows:</w:t>
      </w:r>
    </w:p>
    <w:p w14:paraId="5035E59C" w14:textId="77777777" w:rsidR="00ED7077" w:rsidRPr="000700FE"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700FE">
        <w:rPr>
          <w:rFonts w:ascii="Times New Roman" w:eastAsia="Times New Roman" w:hAnsi="Times New Roman"/>
          <w:b/>
          <w:i/>
          <w:color w:val="000000" w:themeColor="text1"/>
          <w:sz w:val="24"/>
          <w:szCs w:val="24"/>
        </w:rPr>
        <w:t>relevant organisation</w:t>
      </w:r>
      <w:r w:rsidRPr="000700FE">
        <w:rPr>
          <w:rFonts w:ascii="Times New Roman" w:eastAsia="Times New Roman" w:hAnsi="Times New Roman"/>
          <w:bCs/>
          <w:iCs/>
          <w:color w:val="000000" w:themeColor="text1"/>
          <w:sz w:val="24"/>
          <w:szCs w:val="24"/>
        </w:rPr>
        <w:t xml:space="preserve"> </w:t>
      </w:r>
      <w:r w:rsidRPr="000700FE">
        <w:rPr>
          <w:rFonts w:ascii="Times New Roman" w:eastAsia="Times New Roman" w:hAnsi="Times New Roman"/>
          <w:color w:val="000000" w:themeColor="text1"/>
          <w:sz w:val="24"/>
          <w:szCs w:val="24"/>
        </w:rPr>
        <w:t>means the holder of a foreign air transport AOC that is engaged in international air navigation and not engaged in domestic air navigation in Australia</w:t>
      </w:r>
    </w:p>
    <w:p w14:paraId="3EB68211" w14:textId="77777777" w:rsidR="00ED7077" w:rsidRPr="000700FE"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700FE">
        <w:rPr>
          <w:rFonts w:ascii="Times New Roman" w:eastAsia="Times New Roman" w:hAnsi="Times New Roman"/>
          <w:b/>
          <w:i/>
          <w:color w:val="000000" w:themeColor="text1"/>
          <w:sz w:val="24"/>
          <w:szCs w:val="24"/>
        </w:rPr>
        <w:t>body sample donor</w:t>
      </w:r>
      <w:r w:rsidRPr="000700FE">
        <w:rPr>
          <w:rFonts w:ascii="Times New Roman" w:eastAsia="Times New Roman" w:hAnsi="Times New Roman"/>
          <w:bCs/>
          <w:i/>
          <w:iCs/>
          <w:color w:val="000000" w:themeColor="text1"/>
          <w:sz w:val="24"/>
          <w:szCs w:val="24"/>
        </w:rPr>
        <w:t xml:space="preserve"> </w:t>
      </w:r>
      <w:r w:rsidRPr="000700FE">
        <w:rPr>
          <w:rFonts w:ascii="Times New Roman" w:eastAsia="Times New Roman" w:hAnsi="Times New Roman"/>
          <w:color w:val="000000" w:themeColor="text1"/>
          <w:sz w:val="24"/>
          <w:szCs w:val="24"/>
        </w:rPr>
        <w:t>means a donor (as defined in regulation 99.010) or a person who is asked to give, or has given, a body sample for the purposes of a test</w:t>
      </w:r>
    </w:p>
    <w:p w14:paraId="7AA88B55" w14:textId="77777777" w:rsidR="00ED7077" w:rsidRPr="000700FE" w:rsidRDefault="00ED7077" w:rsidP="00ED7077">
      <w:pPr>
        <w:pStyle w:val="ListParagraph"/>
        <w:numPr>
          <w:ilvl w:val="0"/>
          <w:numId w:val="3"/>
        </w:numPr>
        <w:spacing w:after="0" w:line="240" w:lineRule="auto"/>
        <w:ind w:right="-188"/>
        <w:rPr>
          <w:rFonts w:ascii="Times New Roman" w:eastAsia="Times New Roman" w:hAnsi="Times New Roman"/>
          <w:color w:val="000000" w:themeColor="text1"/>
          <w:sz w:val="24"/>
          <w:szCs w:val="24"/>
        </w:rPr>
      </w:pPr>
      <w:r w:rsidRPr="000700FE">
        <w:rPr>
          <w:rFonts w:ascii="Times New Roman" w:eastAsia="Times New Roman" w:hAnsi="Times New Roman"/>
          <w:b/>
          <w:i/>
          <w:color w:val="000000" w:themeColor="text1"/>
          <w:sz w:val="24"/>
          <w:szCs w:val="24"/>
        </w:rPr>
        <w:t>test</w:t>
      </w:r>
      <w:r w:rsidRPr="000700FE">
        <w:rPr>
          <w:rFonts w:ascii="Times New Roman" w:eastAsia="Times New Roman" w:hAnsi="Times New Roman"/>
          <w:bCs/>
          <w:iCs/>
          <w:color w:val="000000" w:themeColor="text1"/>
          <w:sz w:val="24"/>
          <w:szCs w:val="24"/>
        </w:rPr>
        <w:t xml:space="preserve"> </w:t>
      </w:r>
      <w:r w:rsidRPr="000700FE">
        <w:rPr>
          <w:rFonts w:ascii="Times New Roman" w:eastAsia="Times New Roman" w:hAnsi="Times New Roman"/>
          <w:color w:val="000000" w:themeColor="text1"/>
          <w:sz w:val="24"/>
          <w:szCs w:val="24"/>
        </w:rPr>
        <w:t>(as defined)</w:t>
      </w:r>
      <w:r w:rsidRPr="000700FE">
        <w:rPr>
          <w:rFonts w:ascii="Times New Roman" w:eastAsia="Times New Roman" w:hAnsi="Times New Roman"/>
          <w:bCs/>
          <w:color w:val="000000" w:themeColor="text1"/>
          <w:sz w:val="24"/>
          <w:szCs w:val="24"/>
        </w:rPr>
        <w:t xml:space="preserve"> </w:t>
      </w:r>
      <w:r w:rsidRPr="000700FE">
        <w:rPr>
          <w:rFonts w:ascii="Times New Roman" w:eastAsia="Times New Roman" w:hAnsi="Times New Roman"/>
          <w:color w:val="000000" w:themeColor="text1"/>
          <w:sz w:val="24"/>
          <w:szCs w:val="24"/>
        </w:rPr>
        <w:t>is a test using a commercial device that complies with the Standards for such devices in a place, or conducted by a medical practitioner registered to practice medicine in the place.</w:t>
      </w:r>
    </w:p>
    <w:p w14:paraId="2EF62ED2"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356EFA58"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Section 4 sets out an exemption from DAMP requirements for relevant organisations. The exemption applies only if the relevant organisation has notified CASA of the name, title and contact details of a senior person with whom CASA may liaise in relation to a body sample donor. The exemption is subject to the conditions set out in section 6.</w:t>
      </w:r>
    </w:p>
    <w:p w14:paraId="7D86C374"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36052FE7" w14:textId="52BF8C1A"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Section 5 sets out an exemption for an employee of a relevant organisation from having to comply with subregulation 99.325(1) if the employee produces the photographic identification issued by the relevant organisation that employs the employee within specified timeframes. The exemption applies only to employees who perform, or are available to perform, an applicable </w:t>
      </w:r>
      <w:r w:rsidR="00B50625">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and who have been asked by CASA for a body sample under Subpart 99.C of CASR.</w:t>
      </w:r>
    </w:p>
    <w:p w14:paraId="000B8704"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55474C9D"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Section 6 sets out conditions on the exemption for relevant organisations that is set out in section 4.</w:t>
      </w:r>
    </w:p>
    <w:p w14:paraId="2B530AAA"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2BCCE4E4" w14:textId="22D6B581"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condition in subsection 6(1) requires the relevant organisation to provide to CASA, on request, identifying information about persons who have been unable to produce to an approved tester on request the photographic identification mentioned in subregulation 99.125(3) of CASR or photographic identification of the kind mentioned in section 5 of the instrument. Subsection 6(2) sets out timeframes within which this information must be provided. If CASA does not specify a timeframe, the information is to be produced as soon as practicable.</w:t>
      </w:r>
    </w:p>
    <w:p w14:paraId="6E75BD17"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35E41963" w14:textId="04DFB7D4"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first condition in subsection 6(3) is that the relevant organisation must, if it has procedures that provide for the conduct of tests in the same circumstances as apply to DAMP organisations under paragraphs 99.050(2)(b) and (d) of CASR, ensure a test is conducted in those circumstances. In this and the following condition, a </w:t>
      </w:r>
      <w:r w:rsidRPr="000700FE">
        <w:rPr>
          <w:rFonts w:ascii="Times New Roman" w:eastAsia="Times New Roman" w:hAnsi="Times New Roman"/>
          <w:b/>
          <w:bCs/>
          <w:i/>
          <w:iCs/>
          <w:color w:val="000000" w:themeColor="text1"/>
          <w:sz w:val="24"/>
          <w:szCs w:val="24"/>
        </w:rPr>
        <w:t>test</w:t>
      </w:r>
      <w:r w:rsidRPr="000700FE">
        <w:rPr>
          <w:rFonts w:ascii="Times New Roman" w:eastAsia="Times New Roman" w:hAnsi="Times New Roman"/>
          <w:color w:val="000000" w:themeColor="text1"/>
          <w:sz w:val="24"/>
          <w:szCs w:val="24"/>
        </w:rPr>
        <w:t xml:space="preserve"> means a test for the presence in a body sample of a testable drug, as defined in section 33 of the Act, or alcohol. The relevant circumstances are after an accident or serious incident involving an SSAA employee while the employee is in that role, and if an SSAA employee is returning to that role after having been excluded because of positive drug or alcohol results.</w:t>
      </w:r>
    </w:p>
    <w:p w14:paraId="0AAEB286"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6B038410" w14:textId="3D96885A"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second condition in subsection 6(3) is that if a relevant organisation that has these procedures considers that an SSAA employee may be adversely affected by a testable drug or by alcohol while performing, or being available to perform, an applicable </w:t>
      </w:r>
      <w:r w:rsidR="00774FAB">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the relevant organisation must organise for a test to be conducted. This condition is based on that requirement in paragraph 99.050(2)(c) of CASR. An example is provided as to how the relevant organisation may consider that this circumstance has arisen, which is when a person who performs equivalent duties to a </w:t>
      </w:r>
      <w:r w:rsidRPr="000700FE">
        <w:rPr>
          <w:rFonts w:ascii="Times New Roman" w:eastAsia="Times New Roman" w:hAnsi="Times New Roman"/>
          <w:b/>
          <w:i/>
          <w:color w:val="000000" w:themeColor="text1"/>
          <w:sz w:val="24"/>
          <w:szCs w:val="24"/>
        </w:rPr>
        <w:t>DAMP supervisor</w:t>
      </w:r>
      <w:r w:rsidRPr="000700FE">
        <w:rPr>
          <w:rFonts w:ascii="Times New Roman" w:eastAsia="Times New Roman" w:hAnsi="Times New Roman"/>
          <w:color w:val="000000" w:themeColor="text1"/>
          <w:sz w:val="24"/>
          <w:szCs w:val="24"/>
        </w:rPr>
        <w:t xml:space="preserve">, as defined in Part 99, reasonably considers the SSAA employee may be so adversely affected. As not all relevant organisations </w:t>
      </w:r>
      <w:r w:rsidRPr="000700FE">
        <w:rPr>
          <w:rFonts w:ascii="Times New Roman" w:eastAsia="Times New Roman" w:hAnsi="Times New Roman"/>
          <w:color w:val="000000" w:themeColor="text1"/>
          <w:sz w:val="24"/>
          <w:szCs w:val="24"/>
        </w:rPr>
        <w:lastRenderedPageBreak/>
        <w:t>have a person who performs those duties, there may be other ways this can be determined, depending upon the nature of the particular drug and alcohol controls the relevant organisation has in place.</w:t>
      </w:r>
    </w:p>
    <w:p w14:paraId="00EE3B4C"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4E659239" w14:textId="1F4C23EF"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condition in subsection 6(4) requires a relevant organisation to prevent a person from performing, or being available to perform, an applicable </w:t>
      </w:r>
      <w:r w:rsidR="00774FAB">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in any circumstance mentioned in regulation 99.065. These include where the person has tested positive for the presence of a drug or alcohol in a body sample, or where the person has refused to take a test.</w:t>
      </w:r>
    </w:p>
    <w:p w14:paraId="29A776B7"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18821FE7" w14:textId="257EFD11" w:rsidR="00ED7077" w:rsidRPr="000700FE" w:rsidRDefault="00ED7077" w:rsidP="00ED7077">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condition in subsection 6(5) requires a relevant organisation, if it has prevented a person under subsection (4), to ensure that the person does not perform, or is not available to perform an applicable </w:t>
      </w:r>
      <w:r w:rsidR="007C10F5">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until it has, among other things, advised CASA of action it has taken in relation to the person. CASA must be advised of action taken in specified circumstances, such as when the employee has a positive result for a test.</w:t>
      </w:r>
    </w:p>
    <w:p w14:paraId="530E9717" w14:textId="77777777" w:rsidR="00ED7077" w:rsidRPr="000700FE" w:rsidRDefault="00ED7077" w:rsidP="00ED7077">
      <w:pPr>
        <w:spacing w:after="0" w:line="240" w:lineRule="auto"/>
        <w:rPr>
          <w:rFonts w:ascii="Times New Roman" w:eastAsia="Times New Roman" w:hAnsi="Times New Roman"/>
          <w:color w:val="000000" w:themeColor="text1"/>
          <w:sz w:val="24"/>
          <w:szCs w:val="24"/>
        </w:rPr>
      </w:pPr>
    </w:p>
    <w:p w14:paraId="7B5D66A2" w14:textId="2CCFDCED" w:rsidR="00731FCA" w:rsidRPr="000700FE" w:rsidRDefault="00ED7077" w:rsidP="002F201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condition in subsection 6(6) requires the relevant organisation to notify CASA, in specified circumstances, of an employee’s cessation with the organisation. The condition applies when, because of subsection 6(4), the organisation has prevented the employee from performing, or being available to perform, an applicable </w:t>
      </w:r>
      <w:r w:rsidR="007C10F5">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but the employee ceases to be an SSAA employee before completion of all applicable requirements under subsection</w:t>
      </w:r>
      <w:r w:rsidR="00A73D66">
        <w:rPr>
          <w:rFonts w:ascii="Times New Roman" w:eastAsia="Times New Roman" w:hAnsi="Times New Roman"/>
          <w:color w:val="000000" w:themeColor="text1"/>
          <w:sz w:val="24"/>
          <w:szCs w:val="24"/>
        </w:rPr>
        <w:t> </w:t>
      </w:r>
      <w:r w:rsidRPr="000700FE">
        <w:rPr>
          <w:rFonts w:ascii="Times New Roman" w:eastAsia="Times New Roman" w:hAnsi="Times New Roman"/>
          <w:color w:val="000000" w:themeColor="text1"/>
          <w:sz w:val="24"/>
          <w:szCs w:val="24"/>
        </w:rPr>
        <w:t>6(5). This condition facilitates the tracking, by CASA, of persons who may not be fit to perform, or be available to perform, applicable SSAA after a change of employment.</w:t>
      </w:r>
    </w:p>
    <w:p w14:paraId="69AFF873" w14:textId="77777777" w:rsidR="00731FCA" w:rsidRPr="000700FE" w:rsidRDefault="00731FCA" w:rsidP="002F2019">
      <w:pPr>
        <w:spacing w:after="0" w:line="240" w:lineRule="auto"/>
        <w:rPr>
          <w:rFonts w:ascii="Times New Roman" w:eastAsia="Times New Roman" w:hAnsi="Times New Roman"/>
          <w:color w:val="000000" w:themeColor="text1"/>
          <w:sz w:val="24"/>
          <w:szCs w:val="24"/>
        </w:rPr>
      </w:pPr>
    </w:p>
    <w:p w14:paraId="222CF3B7" w14:textId="49374DC9" w:rsidR="006D6009" w:rsidRPr="000700FE" w:rsidRDefault="006D6009" w:rsidP="002F2019">
      <w:pPr>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i/>
          <w:color w:val="000000" w:themeColor="text1"/>
          <w:sz w:val="24"/>
          <w:szCs w:val="24"/>
        </w:rPr>
        <w:t>Legislation Act 2003</w:t>
      </w:r>
      <w:r w:rsidRPr="000700FE">
        <w:rPr>
          <w:rFonts w:ascii="Times New Roman" w:eastAsia="Times New Roman" w:hAnsi="Times New Roman"/>
          <w:b/>
          <w:color w:val="000000" w:themeColor="text1"/>
          <w:sz w:val="24"/>
          <w:szCs w:val="24"/>
        </w:rPr>
        <w:t xml:space="preserve"> (the </w:t>
      </w:r>
      <w:r w:rsidRPr="000700FE">
        <w:rPr>
          <w:rFonts w:ascii="Times New Roman" w:eastAsia="Times New Roman" w:hAnsi="Times New Roman"/>
          <w:b/>
          <w:i/>
          <w:color w:val="000000" w:themeColor="text1"/>
          <w:sz w:val="24"/>
          <w:szCs w:val="24"/>
        </w:rPr>
        <w:t>LA</w:t>
      </w:r>
      <w:r w:rsidRPr="000700FE">
        <w:rPr>
          <w:rFonts w:ascii="Times New Roman" w:eastAsia="Times New Roman" w:hAnsi="Times New Roman"/>
          <w:b/>
          <w:color w:val="000000" w:themeColor="text1"/>
          <w:sz w:val="24"/>
          <w:szCs w:val="24"/>
        </w:rPr>
        <w:t>)</w:t>
      </w:r>
    </w:p>
    <w:p w14:paraId="1EE814A4" w14:textId="29378403" w:rsidR="006D6009" w:rsidRPr="000700FE" w:rsidRDefault="00C34622" w:rsidP="00161A36">
      <w:pPr>
        <w:spacing w:after="0" w:line="240" w:lineRule="auto"/>
        <w:rPr>
          <w:rFonts w:ascii="Times New Roman" w:eastAsia="Times New Roman" w:hAnsi="Times New Roman"/>
          <w:iCs/>
          <w:color w:val="000000" w:themeColor="text1"/>
          <w:sz w:val="24"/>
          <w:szCs w:val="24"/>
        </w:rPr>
      </w:pPr>
      <w:r w:rsidRPr="000700FE">
        <w:rPr>
          <w:rFonts w:ascii="Times New Roman" w:eastAsia="Times New Roman" w:hAnsi="Times New Roman"/>
          <w:color w:val="000000" w:themeColor="text1"/>
          <w:sz w:val="24"/>
          <w:szCs w:val="24"/>
        </w:rPr>
        <w:t>Paragraph 98(5A)(a) of the Act provides that CASA may issue instruments in relation to matters affecting the safe navigation and operation, or the maintenance, of aircraft. Additionally, paragraph 98(5AA)(a) of the Act provides that an instrument issued under paragraph 98(5A)(a) is a legislative instrument if the instrument is expressed to apply in relation to a class of persons. The instrument exempts classes of persons, being relevant organisations</w:t>
      </w:r>
      <w:r w:rsidRPr="000700FE">
        <w:rPr>
          <w:rFonts w:ascii="Times New Roman" w:eastAsia="Times New Roman" w:hAnsi="Times New Roman"/>
          <w:i/>
          <w:color w:val="000000" w:themeColor="text1"/>
          <w:sz w:val="24"/>
          <w:szCs w:val="24"/>
        </w:rPr>
        <w:t xml:space="preserve"> </w:t>
      </w:r>
      <w:r w:rsidRPr="000700FE">
        <w:rPr>
          <w:rFonts w:ascii="Times New Roman" w:eastAsia="Times New Roman" w:hAnsi="Times New Roman"/>
          <w:color w:val="000000" w:themeColor="text1"/>
          <w:sz w:val="24"/>
          <w:szCs w:val="24"/>
        </w:rPr>
        <w:t xml:space="preserve">and certain kinds of employees of relevant organisations. The instrument is, therefore, a legislative instrument, and is </w:t>
      </w:r>
      <w:r w:rsidRPr="000700FE">
        <w:rPr>
          <w:rFonts w:ascii="Times New Roman" w:eastAsia="Times New Roman" w:hAnsi="Times New Roman"/>
          <w:iCs/>
          <w:color w:val="000000" w:themeColor="text1"/>
          <w:sz w:val="24"/>
          <w:szCs w:val="24"/>
        </w:rPr>
        <w:t>subject to tabling and disallowance in the Parliament under sections 38 and 42 of the LA.</w:t>
      </w:r>
    </w:p>
    <w:p w14:paraId="07173F62" w14:textId="77777777" w:rsidR="004B7D4C" w:rsidRPr="000700FE" w:rsidRDefault="004B7D4C" w:rsidP="00161A36">
      <w:pPr>
        <w:spacing w:after="0" w:line="240" w:lineRule="auto"/>
        <w:rPr>
          <w:rFonts w:ascii="Times New Roman" w:eastAsia="Times New Roman" w:hAnsi="Times New Roman"/>
          <w:color w:val="000000" w:themeColor="text1"/>
          <w:sz w:val="24"/>
          <w:szCs w:val="24"/>
        </w:rPr>
      </w:pPr>
    </w:p>
    <w:p w14:paraId="7329A1E5" w14:textId="196E9837" w:rsidR="00DD35BE" w:rsidRPr="000700FE" w:rsidRDefault="0027737F" w:rsidP="0027737F">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As the instrument relates to aviation safety and is made under CASR, Part 4 of Chapter 3 of the LA (the </w:t>
      </w:r>
      <w:r w:rsidRPr="000700FE">
        <w:rPr>
          <w:rFonts w:ascii="Times New Roman" w:eastAsia="Times New Roman" w:hAnsi="Times New Roman"/>
          <w:b/>
          <w:bCs/>
          <w:i/>
          <w:iCs/>
          <w:color w:val="000000" w:themeColor="text1"/>
          <w:sz w:val="24"/>
          <w:szCs w:val="24"/>
        </w:rPr>
        <w:t>sunsetting provisions</w:t>
      </w:r>
      <w:r w:rsidRPr="000700FE">
        <w:rPr>
          <w:rFonts w:ascii="Times New Roman" w:eastAsia="Times New Roman" w:hAnsi="Times New Roman"/>
          <w:color w:val="000000" w:themeColor="text1"/>
          <w:sz w:val="24"/>
          <w:szCs w:val="24"/>
        </w:rPr>
        <w:t xml:space="preserve">) does not apply to the instrument (as per item 15 of the table in section 12 of the </w:t>
      </w:r>
      <w:r w:rsidRPr="000700FE">
        <w:rPr>
          <w:rFonts w:ascii="Times New Roman" w:eastAsia="Times New Roman" w:hAnsi="Times New Roman"/>
          <w:i/>
          <w:iCs/>
          <w:color w:val="000000" w:themeColor="text1"/>
          <w:sz w:val="24"/>
          <w:szCs w:val="24"/>
        </w:rPr>
        <w:t>Legislation (Exemptions and Other Matters) Regulation 2015</w:t>
      </w:r>
      <w:r w:rsidRPr="000700FE">
        <w:rPr>
          <w:rFonts w:ascii="Times New Roman" w:eastAsia="Times New Roman" w:hAnsi="Times New Roman"/>
          <w:color w:val="000000" w:themeColor="text1"/>
          <w:sz w:val="24"/>
          <w:szCs w:val="24"/>
        </w:rPr>
        <w:t xml:space="preserve">). However, this instrument will be repealed at the end of 28 February 2025, which will occur before the sunsetting provisions would have repealed the instrument if they had applied. Any renewal of the instrument will be </w:t>
      </w:r>
      <w:r w:rsidRPr="000700FE">
        <w:rPr>
          <w:rFonts w:ascii="Times New Roman" w:eastAsia="Times New Roman" w:hAnsi="Times New Roman"/>
          <w:iCs/>
          <w:color w:val="000000" w:themeColor="text1"/>
          <w:sz w:val="24"/>
          <w:szCs w:val="24"/>
        </w:rPr>
        <w:t>subject to tabling and disallowance in the Parliament under sections 38 and</w:t>
      </w:r>
      <w:r w:rsidR="00281F03">
        <w:rPr>
          <w:rFonts w:ascii="Times New Roman" w:eastAsia="Times New Roman" w:hAnsi="Times New Roman"/>
          <w:iCs/>
          <w:color w:val="000000" w:themeColor="text1"/>
          <w:sz w:val="24"/>
          <w:szCs w:val="24"/>
        </w:rPr>
        <w:t xml:space="preserve"> </w:t>
      </w:r>
      <w:r w:rsidRPr="000700FE">
        <w:rPr>
          <w:rFonts w:ascii="Times New Roman" w:eastAsia="Times New Roman" w:hAnsi="Times New Roman"/>
          <w:iCs/>
          <w:color w:val="000000" w:themeColor="text1"/>
          <w:sz w:val="24"/>
          <w:szCs w:val="24"/>
        </w:rPr>
        <w:t>42 of the LA.</w:t>
      </w:r>
      <w:r w:rsidRPr="000700FE">
        <w:rPr>
          <w:rFonts w:ascii="Times New Roman" w:eastAsia="Times New Roman" w:hAnsi="Times New Roman"/>
          <w:color w:val="000000" w:themeColor="text1"/>
          <w:sz w:val="24"/>
          <w:szCs w:val="24"/>
        </w:rPr>
        <w:t xml:space="preserve"> Therefore, the exemption from sunsetting does not affect parliamentary oversight of this instrument.</w:t>
      </w:r>
    </w:p>
    <w:p w14:paraId="1F34B392" w14:textId="77777777" w:rsidR="00DD35BE" w:rsidRPr="000700FE" w:rsidRDefault="00DD35BE" w:rsidP="00DD35BE">
      <w:pPr>
        <w:spacing w:after="0" w:line="240" w:lineRule="auto"/>
        <w:rPr>
          <w:rFonts w:ascii="Times New Roman" w:eastAsia="Times New Roman" w:hAnsi="Times New Roman"/>
          <w:color w:val="000000" w:themeColor="text1"/>
          <w:sz w:val="24"/>
          <w:szCs w:val="24"/>
        </w:rPr>
      </w:pPr>
    </w:p>
    <w:p w14:paraId="3643D0E4" w14:textId="77777777" w:rsidR="006D6009" w:rsidRPr="000700FE" w:rsidRDefault="006D6009" w:rsidP="0077616B">
      <w:pPr>
        <w:keepNext/>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Consultation</w:t>
      </w:r>
    </w:p>
    <w:p w14:paraId="6E476FAB" w14:textId="77777777" w:rsidR="005274F4" w:rsidRPr="000700FE" w:rsidRDefault="005274F4" w:rsidP="005274F4">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Consultation under section 17 of the LA took place with the Board of Airline Representatives before the first instrument on this matter was issued. The policy behind that instrument has not changed since, and the previous instruments on this subject have not been the subject of adverse comment.</w:t>
      </w:r>
    </w:p>
    <w:p w14:paraId="4593D2F4" w14:textId="77777777" w:rsidR="005274F4" w:rsidRPr="000700FE" w:rsidRDefault="005274F4" w:rsidP="005274F4">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5310C0C4" w14:textId="589C8330" w:rsidR="005274F4" w:rsidRPr="000700FE" w:rsidRDefault="005274F4" w:rsidP="005274F4">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lang w:eastAsia="en-AU"/>
        </w:rPr>
        <w:lastRenderedPageBreak/>
        <w:t xml:space="preserve">CASA is planning amendments to Part 99 of CASR which will remove the need for the exemption in the instrument. Drafting has not commenced on these </w:t>
      </w:r>
      <w:r w:rsidR="007E33E8" w:rsidRPr="000700FE">
        <w:rPr>
          <w:rFonts w:ascii="Times New Roman" w:eastAsia="Times New Roman" w:hAnsi="Times New Roman"/>
          <w:color w:val="000000" w:themeColor="text1"/>
          <w:sz w:val="24"/>
          <w:szCs w:val="24"/>
          <w:lang w:eastAsia="en-AU"/>
        </w:rPr>
        <w:t>amendments,</w:t>
      </w:r>
      <w:r w:rsidRPr="000700FE">
        <w:rPr>
          <w:rFonts w:ascii="Times New Roman" w:eastAsia="Times New Roman" w:hAnsi="Times New Roman"/>
          <w:color w:val="000000" w:themeColor="text1"/>
          <w:sz w:val="24"/>
          <w:szCs w:val="24"/>
          <w:lang w:eastAsia="en-AU"/>
        </w:rPr>
        <w:t xml:space="preserve"> but CASA is currently aiming to have the amendments made sometime in 2024.</w:t>
      </w:r>
    </w:p>
    <w:p w14:paraId="44C00F25" w14:textId="77777777" w:rsidR="005274F4" w:rsidRPr="000700FE" w:rsidRDefault="005274F4" w:rsidP="005274F4">
      <w:pPr>
        <w:spacing w:after="0" w:line="240" w:lineRule="auto"/>
        <w:rPr>
          <w:rFonts w:ascii="Times New Roman" w:eastAsia="Times New Roman" w:hAnsi="Times New Roman"/>
          <w:color w:val="000000" w:themeColor="text1"/>
          <w:sz w:val="24"/>
          <w:szCs w:val="24"/>
        </w:rPr>
      </w:pPr>
    </w:p>
    <w:p w14:paraId="4557684A" w14:textId="1711E685" w:rsidR="006D6009" w:rsidRPr="000700FE" w:rsidRDefault="005274F4" w:rsidP="005274F4">
      <w:pPr>
        <w:spacing w:after="0" w:line="240" w:lineRule="auto"/>
        <w:rPr>
          <w:rFonts w:ascii="Times New Roman" w:eastAsia="Times New Roman" w:hAnsi="Times New Roman"/>
          <w:i/>
          <w:color w:val="000000" w:themeColor="text1"/>
          <w:sz w:val="24"/>
          <w:szCs w:val="24"/>
        </w:rPr>
      </w:pPr>
      <w:r w:rsidRPr="000700FE">
        <w:rPr>
          <w:rFonts w:ascii="Times New Roman" w:eastAsia="Times New Roman" w:hAnsi="Times New Roman"/>
          <w:color w:val="000000" w:themeColor="text1"/>
          <w:sz w:val="24"/>
          <w:szCs w:val="24"/>
        </w:rPr>
        <w:t>In these circumstances, CASA is satisfied that no further consultation on this instrument is appropriate or necessary for section 17 of the LA.</w:t>
      </w:r>
    </w:p>
    <w:p w14:paraId="4548C396" w14:textId="77777777" w:rsidR="006D6009" w:rsidRPr="000700FE" w:rsidRDefault="006D6009" w:rsidP="006D6009">
      <w:pPr>
        <w:spacing w:after="0" w:line="240" w:lineRule="auto"/>
        <w:rPr>
          <w:rFonts w:ascii="Times New Roman" w:eastAsia="Times New Roman" w:hAnsi="Times New Roman"/>
          <w:color w:val="000000" w:themeColor="text1"/>
          <w:sz w:val="24"/>
          <w:szCs w:val="24"/>
        </w:rPr>
      </w:pPr>
    </w:p>
    <w:p w14:paraId="44C2B728" w14:textId="54F004B1" w:rsidR="00BB10C4" w:rsidRPr="000700FE" w:rsidRDefault="00BB10C4" w:rsidP="00773B07">
      <w:pPr>
        <w:keepNext/>
        <w:spacing w:after="0" w:line="240" w:lineRule="auto"/>
        <w:rPr>
          <w:rFonts w:ascii="Times New Roman" w:hAnsi="Times New Roman"/>
          <w:b/>
          <w:bCs/>
          <w:color w:val="000000" w:themeColor="text1"/>
          <w:sz w:val="24"/>
          <w:szCs w:val="24"/>
        </w:rPr>
      </w:pPr>
      <w:r w:rsidRPr="000700FE">
        <w:rPr>
          <w:rFonts w:ascii="Times New Roman" w:hAnsi="Times New Roman"/>
          <w:b/>
          <w:bCs/>
          <w:color w:val="000000" w:themeColor="text1"/>
          <w:sz w:val="24"/>
          <w:szCs w:val="24"/>
        </w:rPr>
        <w:t>Sector risk, economic and cost impact</w:t>
      </w:r>
    </w:p>
    <w:p w14:paraId="7CF9511E" w14:textId="70D7BB67" w:rsidR="00BB10C4" w:rsidRPr="000700FE" w:rsidRDefault="00BB10C4" w:rsidP="00BB10C4">
      <w:pPr>
        <w:spacing w:after="0" w:line="240" w:lineRule="auto"/>
        <w:rPr>
          <w:rFonts w:ascii="Times New Roman" w:hAnsi="Times New Roman"/>
          <w:color w:val="000000" w:themeColor="text1"/>
          <w:sz w:val="24"/>
          <w:szCs w:val="24"/>
        </w:rPr>
      </w:pPr>
      <w:r w:rsidRPr="000700FE">
        <w:rPr>
          <w:rFonts w:ascii="Times New Roman" w:hAnsi="Times New Roman"/>
          <w:color w:val="000000" w:themeColor="text1"/>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3A9F911" w14:textId="77777777" w:rsidR="00BB10C4" w:rsidRPr="000700FE" w:rsidRDefault="00BB10C4" w:rsidP="00BB10C4">
      <w:pPr>
        <w:pStyle w:val="LDP1a"/>
        <w:tabs>
          <w:tab w:val="clear" w:pos="454"/>
          <w:tab w:val="right" w:pos="567"/>
        </w:tabs>
        <w:ind w:left="454"/>
        <w:rPr>
          <w:color w:val="000000" w:themeColor="text1"/>
        </w:rPr>
      </w:pPr>
      <w:r w:rsidRPr="000700FE">
        <w:rPr>
          <w:color w:val="000000" w:themeColor="text1"/>
        </w:rPr>
        <w:t>(a)</w:t>
      </w:r>
      <w:r w:rsidRPr="000700FE">
        <w:rPr>
          <w:color w:val="000000" w:themeColor="text1"/>
        </w:rPr>
        <w:tab/>
        <w:t>consider the economic and cost impact on individuals, businesses and the community of the standards; and</w:t>
      </w:r>
    </w:p>
    <w:p w14:paraId="2AC4BCBF" w14:textId="77777777" w:rsidR="00BB10C4" w:rsidRPr="000700FE" w:rsidRDefault="00BB10C4" w:rsidP="00BB10C4">
      <w:pPr>
        <w:pStyle w:val="LDP1a"/>
        <w:tabs>
          <w:tab w:val="clear" w:pos="454"/>
          <w:tab w:val="right" w:pos="567"/>
        </w:tabs>
        <w:ind w:left="454"/>
        <w:rPr>
          <w:color w:val="000000" w:themeColor="text1"/>
        </w:rPr>
      </w:pPr>
      <w:r w:rsidRPr="000700FE">
        <w:rPr>
          <w:color w:val="000000" w:themeColor="text1"/>
        </w:rPr>
        <w:t>(b)</w:t>
      </w:r>
      <w:r w:rsidRPr="000700FE">
        <w:rPr>
          <w:color w:val="000000" w:themeColor="text1"/>
        </w:rPr>
        <w:tab/>
        <w:t>take into account the differing risks associated with different industry sectors.</w:t>
      </w:r>
    </w:p>
    <w:p w14:paraId="5889AE5F" w14:textId="77777777" w:rsidR="00BB10C4" w:rsidRPr="000700FE" w:rsidRDefault="00BB10C4" w:rsidP="00BB10C4">
      <w:pPr>
        <w:spacing w:after="0" w:line="240" w:lineRule="auto"/>
        <w:rPr>
          <w:rFonts w:ascii="Times New Roman" w:hAnsi="Times New Roman"/>
          <w:color w:val="000000" w:themeColor="text1"/>
          <w:sz w:val="24"/>
          <w:szCs w:val="24"/>
        </w:rPr>
      </w:pPr>
    </w:p>
    <w:p w14:paraId="34F35B30" w14:textId="77777777" w:rsidR="00BB10C4" w:rsidRPr="000700FE" w:rsidRDefault="00BB10C4" w:rsidP="00BB10C4">
      <w:pPr>
        <w:spacing w:after="0" w:line="240" w:lineRule="auto"/>
        <w:rPr>
          <w:rFonts w:ascii="Times New Roman" w:hAnsi="Times New Roman"/>
          <w:color w:val="000000" w:themeColor="text1"/>
          <w:sz w:val="24"/>
          <w:szCs w:val="24"/>
          <w:lang w:val="en-US"/>
        </w:rPr>
      </w:pPr>
      <w:r w:rsidRPr="000700FE">
        <w:rPr>
          <w:rFonts w:ascii="Times New Roman" w:hAnsi="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0700FE" w:rsidRDefault="00BB10C4" w:rsidP="00BB10C4">
      <w:pPr>
        <w:spacing w:after="0" w:line="240" w:lineRule="auto"/>
        <w:rPr>
          <w:rFonts w:ascii="Times New Roman" w:hAnsi="Times New Roman"/>
          <w:color w:val="000000" w:themeColor="text1"/>
          <w:sz w:val="24"/>
          <w:szCs w:val="24"/>
        </w:rPr>
      </w:pPr>
    </w:p>
    <w:p w14:paraId="07574D1C" w14:textId="42D2367E" w:rsidR="00BB10C4" w:rsidRPr="000700FE" w:rsidRDefault="00BB10C4" w:rsidP="00BB10C4">
      <w:pPr>
        <w:spacing w:after="0" w:line="240" w:lineRule="auto"/>
        <w:rPr>
          <w:rFonts w:ascii="Times New Roman" w:hAnsi="Times New Roman"/>
          <w:color w:val="000000" w:themeColor="text1"/>
          <w:sz w:val="24"/>
          <w:szCs w:val="24"/>
        </w:rPr>
      </w:pPr>
      <w:r w:rsidRPr="000700FE">
        <w:rPr>
          <w:rFonts w:ascii="Times New Roman" w:hAnsi="Times New Roman"/>
          <w:color w:val="000000" w:themeColor="text1"/>
          <w:sz w:val="24"/>
          <w:szCs w:val="24"/>
        </w:rPr>
        <w:t>As the instrument replaces an expiring instrument with the same provisions and conditions, there will be no change of economic or cost impact on individuals, businesses or the community.</w:t>
      </w:r>
    </w:p>
    <w:p w14:paraId="25BEE683" w14:textId="171AA0E2" w:rsidR="000142F4" w:rsidRPr="000700FE" w:rsidRDefault="000142F4" w:rsidP="000142F4">
      <w:pPr>
        <w:spacing w:after="0" w:line="240" w:lineRule="auto"/>
        <w:rPr>
          <w:rFonts w:ascii="Times New Roman" w:eastAsia="Times New Roman" w:hAnsi="Times New Roman"/>
          <w:i/>
          <w:color w:val="000000" w:themeColor="text1"/>
          <w:sz w:val="24"/>
          <w:szCs w:val="24"/>
        </w:rPr>
      </w:pPr>
    </w:p>
    <w:p w14:paraId="3289DA8E" w14:textId="77777777" w:rsidR="000E73E9" w:rsidRPr="000700FE" w:rsidRDefault="000E73E9" w:rsidP="000E73E9">
      <w:pPr>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Impact on categories of operations</w:t>
      </w:r>
    </w:p>
    <w:p w14:paraId="7CEEB057" w14:textId="6F97FF36" w:rsidR="000F186A" w:rsidRPr="000700FE" w:rsidRDefault="00DD31B7" w:rsidP="000E73E9">
      <w:pPr>
        <w:spacing w:after="0" w:line="240" w:lineRule="auto"/>
        <w:rPr>
          <w:rFonts w:ascii="Times New Roman" w:eastAsia="Times New Roman" w:hAnsi="Times New Roman"/>
          <w:iCs/>
          <w:color w:val="000000" w:themeColor="text1"/>
          <w:sz w:val="24"/>
          <w:szCs w:val="24"/>
        </w:rPr>
      </w:pPr>
      <w:r w:rsidRPr="000700FE">
        <w:rPr>
          <w:rFonts w:ascii="Times New Roman" w:eastAsia="Times New Roman" w:hAnsi="Times New Roman"/>
          <w:iCs/>
          <w:color w:val="000000" w:themeColor="text1"/>
          <w:sz w:val="24"/>
          <w:szCs w:val="24"/>
        </w:rPr>
        <w:t xml:space="preserve">The instrument is likely to have a beneficial effect on </w:t>
      </w:r>
      <w:r w:rsidR="00D01934">
        <w:rPr>
          <w:rFonts w:ascii="Times New Roman" w:eastAsia="Times New Roman" w:hAnsi="Times New Roman"/>
          <w:iCs/>
          <w:color w:val="000000" w:themeColor="text1"/>
          <w:sz w:val="24"/>
          <w:szCs w:val="24"/>
        </w:rPr>
        <w:t xml:space="preserve">air transport </w:t>
      </w:r>
      <w:r w:rsidRPr="000700FE">
        <w:rPr>
          <w:rFonts w:ascii="Times New Roman" w:eastAsia="Times New Roman" w:hAnsi="Times New Roman"/>
          <w:iCs/>
          <w:color w:val="000000" w:themeColor="text1"/>
          <w:sz w:val="24"/>
          <w:szCs w:val="24"/>
        </w:rPr>
        <w:t xml:space="preserve">operations </w:t>
      </w:r>
      <w:r w:rsidR="00D01934">
        <w:rPr>
          <w:rFonts w:ascii="Times New Roman" w:eastAsia="Times New Roman" w:hAnsi="Times New Roman"/>
          <w:iCs/>
          <w:color w:val="000000" w:themeColor="text1"/>
          <w:sz w:val="24"/>
          <w:szCs w:val="24"/>
        </w:rPr>
        <w:t>by foreign operators</w:t>
      </w:r>
      <w:r w:rsidRPr="000700FE">
        <w:rPr>
          <w:rFonts w:ascii="Times New Roman" w:eastAsia="Times New Roman" w:hAnsi="Times New Roman"/>
          <w:iCs/>
          <w:color w:val="000000" w:themeColor="text1"/>
          <w:sz w:val="24"/>
          <w:szCs w:val="24"/>
        </w:rPr>
        <w:t xml:space="preserve"> to the extent that it removes an unreasonable burden on relevant organisations that conduct </w:t>
      </w:r>
      <w:r w:rsidR="00D01934">
        <w:rPr>
          <w:rFonts w:ascii="Times New Roman" w:eastAsia="Times New Roman" w:hAnsi="Times New Roman"/>
          <w:iCs/>
          <w:color w:val="000000" w:themeColor="text1"/>
          <w:sz w:val="24"/>
          <w:szCs w:val="24"/>
        </w:rPr>
        <w:t xml:space="preserve">those </w:t>
      </w:r>
      <w:r w:rsidRPr="000700FE">
        <w:rPr>
          <w:rFonts w:ascii="Times New Roman" w:eastAsia="Times New Roman" w:hAnsi="Times New Roman"/>
          <w:iCs/>
          <w:color w:val="000000" w:themeColor="text1"/>
          <w:sz w:val="24"/>
          <w:szCs w:val="24"/>
        </w:rPr>
        <w:t>operations.</w:t>
      </w:r>
    </w:p>
    <w:p w14:paraId="6627D787" w14:textId="77777777" w:rsidR="00DD31B7" w:rsidRPr="000700FE" w:rsidRDefault="00DD31B7" w:rsidP="000E73E9">
      <w:pPr>
        <w:spacing w:after="0" w:line="240" w:lineRule="auto"/>
        <w:rPr>
          <w:rFonts w:ascii="Times New Roman" w:eastAsia="Times New Roman" w:hAnsi="Times New Roman"/>
          <w:i/>
          <w:color w:val="000000" w:themeColor="text1"/>
          <w:sz w:val="24"/>
          <w:szCs w:val="24"/>
        </w:rPr>
      </w:pPr>
    </w:p>
    <w:p w14:paraId="5E328A44" w14:textId="77777777" w:rsidR="000E73E9" w:rsidRPr="000700FE" w:rsidRDefault="000E73E9" w:rsidP="000E73E9">
      <w:pPr>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Impact on regional and remote communities</w:t>
      </w:r>
    </w:p>
    <w:p w14:paraId="6B2557D1" w14:textId="581F94E5" w:rsidR="000142F4" w:rsidRPr="000700FE" w:rsidRDefault="009E406D" w:rsidP="000142F4">
      <w:pPr>
        <w:spacing w:after="0" w:line="240" w:lineRule="auto"/>
        <w:rPr>
          <w:rFonts w:ascii="Times New Roman" w:eastAsia="Times New Roman" w:hAnsi="Times New Roman"/>
          <w:iCs/>
          <w:color w:val="000000" w:themeColor="text1"/>
          <w:sz w:val="24"/>
          <w:szCs w:val="24"/>
        </w:rPr>
      </w:pPr>
      <w:r w:rsidRPr="000700FE">
        <w:rPr>
          <w:rFonts w:ascii="Times New Roman" w:eastAsia="Times New Roman" w:hAnsi="Times New Roman"/>
          <w:iCs/>
          <w:color w:val="000000" w:themeColor="text1"/>
          <w:sz w:val="24"/>
          <w:szCs w:val="24"/>
        </w:rPr>
        <w:t xml:space="preserve">The instrument does not have any specific impact on regional and remote communities but is likely to have a beneficial effect </w:t>
      </w:r>
      <w:r w:rsidR="008B1C86" w:rsidRPr="000700FE">
        <w:rPr>
          <w:rFonts w:ascii="Times New Roman" w:eastAsia="Times New Roman" w:hAnsi="Times New Roman"/>
          <w:iCs/>
          <w:color w:val="000000" w:themeColor="text1"/>
          <w:sz w:val="24"/>
          <w:szCs w:val="24"/>
        </w:rPr>
        <w:t xml:space="preserve">to the extent that </w:t>
      </w:r>
      <w:r w:rsidRPr="000700FE">
        <w:rPr>
          <w:rFonts w:ascii="Times New Roman" w:eastAsia="Times New Roman" w:hAnsi="Times New Roman"/>
          <w:iCs/>
          <w:color w:val="000000" w:themeColor="text1"/>
          <w:sz w:val="24"/>
          <w:szCs w:val="24"/>
        </w:rPr>
        <w:t xml:space="preserve">regional and remote communities benefit from </w:t>
      </w:r>
      <w:r w:rsidRPr="000700FE">
        <w:rPr>
          <w:rFonts w:ascii="Times New Roman" w:eastAsia="Times New Roman" w:hAnsi="Times New Roman"/>
          <w:color w:val="000000" w:themeColor="text1"/>
          <w:sz w:val="24"/>
          <w:szCs w:val="24"/>
          <w:lang w:eastAsia="en-AU"/>
        </w:rPr>
        <w:t>international air navigation in Australia</w:t>
      </w:r>
      <w:r w:rsidRPr="000700FE">
        <w:rPr>
          <w:rFonts w:ascii="Times New Roman" w:eastAsia="Times New Roman" w:hAnsi="Times New Roman"/>
          <w:iCs/>
          <w:color w:val="000000" w:themeColor="text1"/>
          <w:sz w:val="24"/>
          <w:szCs w:val="24"/>
        </w:rPr>
        <w:t>.</w:t>
      </w:r>
    </w:p>
    <w:p w14:paraId="6C7BB8C8" w14:textId="77777777" w:rsidR="009E406D" w:rsidRPr="000700FE" w:rsidRDefault="009E406D" w:rsidP="000142F4">
      <w:pPr>
        <w:spacing w:after="0" w:line="240" w:lineRule="auto"/>
        <w:rPr>
          <w:rFonts w:ascii="Times New Roman" w:eastAsia="Times New Roman" w:hAnsi="Times New Roman"/>
          <w:color w:val="000000" w:themeColor="text1"/>
          <w:sz w:val="24"/>
          <w:szCs w:val="24"/>
        </w:rPr>
      </w:pPr>
    </w:p>
    <w:p w14:paraId="13843021" w14:textId="3DE26C90" w:rsidR="006D6009" w:rsidRPr="000700FE" w:rsidRDefault="006D6009" w:rsidP="000142F4">
      <w:pPr>
        <w:keepNext/>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t xml:space="preserve">Office of </w:t>
      </w:r>
      <w:r w:rsidR="007847C1" w:rsidRPr="000700FE">
        <w:rPr>
          <w:rFonts w:ascii="Times New Roman" w:eastAsia="Times New Roman" w:hAnsi="Times New Roman"/>
          <w:b/>
          <w:color w:val="000000" w:themeColor="text1"/>
          <w:sz w:val="24"/>
          <w:szCs w:val="24"/>
        </w:rPr>
        <w:t>Impact Analysis</w:t>
      </w:r>
      <w:r w:rsidRPr="000700FE">
        <w:rPr>
          <w:rFonts w:ascii="Times New Roman" w:eastAsia="Times New Roman" w:hAnsi="Times New Roman"/>
          <w:b/>
          <w:color w:val="000000" w:themeColor="text1"/>
          <w:sz w:val="24"/>
          <w:szCs w:val="24"/>
        </w:rPr>
        <w:t xml:space="preserve"> (</w:t>
      </w:r>
      <w:r w:rsidRPr="000700FE">
        <w:rPr>
          <w:rFonts w:ascii="Times New Roman" w:eastAsia="Times New Roman" w:hAnsi="Times New Roman"/>
          <w:b/>
          <w:i/>
          <w:color w:val="000000" w:themeColor="text1"/>
          <w:sz w:val="24"/>
          <w:szCs w:val="24"/>
        </w:rPr>
        <w:t>O</w:t>
      </w:r>
      <w:r w:rsidR="007847C1" w:rsidRPr="000700FE">
        <w:rPr>
          <w:rFonts w:ascii="Times New Roman" w:eastAsia="Times New Roman" w:hAnsi="Times New Roman"/>
          <w:b/>
          <w:i/>
          <w:color w:val="000000" w:themeColor="text1"/>
          <w:sz w:val="24"/>
          <w:szCs w:val="24"/>
        </w:rPr>
        <w:t>IA</w:t>
      </w:r>
      <w:r w:rsidRPr="000700FE">
        <w:rPr>
          <w:rFonts w:ascii="Times New Roman" w:eastAsia="Times New Roman" w:hAnsi="Times New Roman"/>
          <w:b/>
          <w:color w:val="000000" w:themeColor="text1"/>
          <w:sz w:val="24"/>
          <w:szCs w:val="24"/>
        </w:rPr>
        <w:t>)</w:t>
      </w:r>
    </w:p>
    <w:p w14:paraId="4B9DCC9D" w14:textId="38DDF03D" w:rsidR="006D6009" w:rsidRPr="000700FE" w:rsidRDefault="000C19AA" w:rsidP="006D6009">
      <w:pPr>
        <w:spacing w:line="240" w:lineRule="auto"/>
        <w:rPr>
          <w:rFonts w:ascii="Times New Roman" w:eastAsia="Times New Roman" w:hAnsi="Times New Roman"/>
          <w:i/>
          <w:color w:val="000000" w:themeColor="text1"/>
          <w:sz w:val="24"/>
          <w:szCs w:val="24"/>
        </w:rPr>
      </w:pPr>
      <w:r w:rsidRPr="000700FE">
        <w:rPr>
          <w:rFonts w:ascii="Times New Roman" w:eastAsia="Times New Roman" w:hAnsi="Times New Roman"/>
          <w:iCs/>
          <w:color w:val="000000" w:themeColor="text1"/>
          <w:sz w:val="24"/>
          <w:szCs w:val="24"/>
        </w:rPr>
        <w:t>An Impact Analysis (</w:t>
      </w:r>
      <w:r w:rsidRPr="00DC1D58">
        <w:rPr>
          <w:rFonts w:ascii="Times New Roman" w:eastAsia="Times New Roman" w:hAnsi="Times New Roman"/>
          <w:b/>
          <w:i/>
          <w:color w:val="000000" w:themeColor="text1"/>
          <w:sz w:val="24"/>
          <w:szCs w:val="24"/>
        </w:rPr>
        <w:t>IA</w:t>
      </w:r>
      <w:r w:rsidRPr="000700FE">
        <w:rPr>
          <w:rFonts w:ascii="Times New Roman" w:eastAsia="Times New Roman" w:hAnsi="Times New Roman"/>
          <w:iCs/>
          <w:color w:val="000000" w:themeColor="text1"/>
          <w:sz w:val="24"/>
          <w:szCs w:val="24"/>
        </w:rPr>
        <w:t>) is not required in this case, as the exemption is covered by a standing agreement between CASA and OIA under which an IA is not required for exemptions (OIA id: 14507).</w:t>
      </w:r>
    </w:p>
    <w:p w14:paraId="7B4C3D60" w14:textId="77777777" w:rsidR="006D6009" w:rsidRPr="000700FE" w:rsidRDefault="006D6009" w:rsidP="00282ED8">
      <w:pPr>
        <w:keepNext/>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b/>
          <w:iCs/>
          <w:color w:val="000000" w:themeColor="text1"/>
          <w:sz w:val="24"/>
          <w:szCs w:val="24"/>
        </w:rPr>
        <w:t>Statement of Compatibility with Human Rights</w:t>
      </w:r>
    </w:p>
    <w:p w14:paraId="36DB7B38" w14:textId="3C8C91C2" w:rsidR="006D6009" w:rsidRPr="000700FE" w:rsidRDefault="006D6009" w:rsidP="006D600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Statement of Compatibility with Human Rights at Attachment 1 has been prepared in accordance with Part 3 of the </w:t>
      </w:r>
      <w:r w:rsidRPr="000700FE">
        <w:rPr>
          <w:rFonts w:ascii="Times New Roman" w:eastAsia="Times New Roman" w:hAnsi="Times New Roman"/>
          <w:i/>
          <w:color w:val="000000" w:themeColor="text1"/>
          <w:sz w:val="24"/>
          <w:szCs w:val="24"/>
        </w:rPr>
        <w:t>Human Rights (Parliamentary Scrutiny) Act</w:t>
      </w:r>
      <w:r w:rsidR="00EC6A8C" w:rsidRPr="000700FE">
        <w:rPr>
          <w:rFonts w:ascii="Times New Roman" w:eastAsia="Times New Roman" w:hAnsi="Times New Roman"/>
          <w:i/>
          <w:color w:val="000000" w:themeColor="text1"/>
          <w:sz w:val="24"/>
          <w:szCs w:val="24"/>
        </w:rPr>
        <w:t> </w:t>
      </w:r>
      <w:r w:rsidRPr="000700FE">
        <w:rPr>
          <w:rFonts w:ascii="Times New Roman" w:eastAsia="Times New Roman" w:hAnsi="Times New Roman"/>
          <w:i/>
          <w:color w:val="000000" w:themeColor="text1"/>
          <w:sz w:val="24"/>
          <w:szCs w:val="24"/>
        </w:rPr>
        <w:t>2011</w:t>
      </w:r>
      <w:r w:rsidRPr="000700FE">
        <w:rPr>
          <w:rFonts w:ascii="Times New Roman" w:eastAsia="Times New Roman" w:hAnsi="Times New Roman"/>
          <w:color w:val="000000" w:themeColor="text1"/>
          <w:sz w:val="24"/>
          <w:szCs w:val="24"/>
        </w:rPr>
        <w:t>.</w:t>
      </w:r>
    </w:p>
    <w:p w14:paraId="1D12EA30" w14:textId="77777777" w:rsidR="006D6009" w:rsidRPr="000700FE" w:rsidRDefault="006D6009" w:rsidP="006D6009">
      <w:pPr>
        <w:spacing w:after="0" w:line="240" w:lineRule="auto"/>
        <w:rPr>
          <w:rFonts w:ascii="Times New Roman" w:eastAsia="Times New Roman" w:hAnsi="Times New Roman"/>
          <w:color w:val="000000" w:themeColor="text1"/>
          <w:sz w:val="24"/>
          <w:szCs w:val="24"/>
        </w:rPr>
      </w:pPr>
    </w:p>
    <w:p w14:paraId="79AEFAEA" w14:textId="77777777" w:rsidR="006D6009" w:rsidRPr="000700FE" w:rsidRDefault="006D6009" w:rsidP="002F2019">
      <w:pPr>
        <w:keepNext/>
        <w:spacing w:after="0" w:line="240" w:lineRule="auto"/>
        <w:rPr>
          <w:rFonts w:ascii="Times New Roman" w:eastAsia="Times New Roman" w:hAnsi="Times New Roman"/>
          <w:b/>
          <w:color w:val="000000" w:themeColor="text1"/>
          <w:sz w:val="24"/>
          <w:szCs w:val="24"/>
        </w:rPr>
      </w:pPr>
      <w:r w:rsidRPr="000700FE">
        <w:rPr>
          <w:rFonts w:ascii="Times New Roman" w:eastAsia="Times New Roman" w:hAnsi="Times New Roman"/>
          <w:b/>
          <w:color w:val="000000" w:themeColor="text1"/>
          <w:sz w:val="24"/>
          <w:szCs w:val="24"/>
        </w:rPr>
        <w:lastRenderedPageBreak/>
        <w:t>Making and commencement</w:t>
      </w:r>
    </w:p>
    <w:p w14:paraId="48DCEE26" w14:textId="158168AD" w:rsidR="006D6009" w:rsidRPr="000700FE" w:rsidRDefault="006D6009" w:rsidP="0099606F">
      <w:pPr>
        <w:keepNext/>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The </w:t>
      </w:r>
      <w:r w:rsidR="00D6412A" w:rsidRPr="000700FE">
        <w:rPr>
          <w:rFonts w:ascii="Times New Roman" w:eastAsia="Times New Roman" w:hAnsi="Times New Roman"/>
          <w:color w:val="000000" w:themeColor="text1"/>
          <w:sz w:val="24"/>
          <w:szCs w:val="24"/>
        </w:rPr>
        <w:t>instrument</w:t>
      </w:r>
      <w:r w:rsidRPr="000700FE">
        <w:rPr>
          <w:rFonts w:ascii="Times New Roman" w:eastAsia="Times New Roman" w:hAnsi="Times New Roman"/>
          <w:color w:val="000000" w:themeColor="text1"/>
          <w:sz w:val="24"/>
          <w:szCs w:val="24"/>
        </w:rPr>
        <w:t xml:space="preserve"> has been made by a delegate of CASA relying on the power of delegation under subregulation 11.260(1) of </w:t>
      </w:r>
      <w:r w:rsidR="006E319E" w:rsidRPr="000700FE">
        <w:rPr>
          <w:rFonts w:ascii="Times New Roman" w:eastAsia="Times New Roman" w:hAnsi="Times New Roman"/>
          <w:color w:val="000000" w:themeColor="text1"/>
          <w:sz w:val="24"/>
          <w:szCs w:val="24"/>
        </w:rPr>
        <w:t>CASR</w:t>
      </w:r>
      <w:r w:rsidR="007E6ECC" w:rsidRPr="000700FE">
        <w:rPr>
          <w:rFonts w:ascii="Times New Roman" w:eastAsia="Times New Roman" w:hAnsi="Times New Roman"/>
          <w:color w:val="000000" w:themeColor="text1"/>
          <w:sz w:val="24"/>
          <w:szCs w:val="24"/>
        </w:rPr>
        <w:t>.</w:t>
      </w:r>
    </w:p>
    <w:p w14:paraId="1677142F" w14:textId="77777777" w:rsidR="006D6009" w:rsidRPr="000700FE" w:rsidRDefault="006D6009" w:rsidP="006D6009">
      <w:pPr>
        <w:spacing w:after="0" w:line="240" w:lineRule="auto"/>
        <w:rPr>
          <w:rFonts w:ascii="Times New Roman" w:eastAsia="Times New Roman" w:hAnsi="Times New Roman"/>
          <w:color w:val="000000" w:themeColor="text1"/>
          <w:sz w:val="24"/>
          <w:szCs w:val="24"/>
        </w:rPr>
      </w:pPr>
    </w:p>
    <w:p w14:paraId="714E0326" w14:textId="077D790E" w:rsidR="006D6009" w:rsidRPr="000700FE" w:rsidRDefault="00B102F9" w:rsidP="006D600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instrument commences on 1 March 2023 and is repealed at the end of 28 February 2025.</w:t>
      </w:r>
    </w:p>
    <w:p w14:paraId="65BEADB1" w14:textId="77777777" w:rsidR="006D6009" w:rsidRPr="000700FE" w:rsidRDefault="006D6009" w:rsidP="006D6009">
      <w:pPr>
        <w:pageBreakBefore/>
        <w:spacing w:after="120" w:line="240" w:lineRule="auto"/>
        <w:jc w:val="right"/>
        <w:rPr>
          <w:rFonts w:ascii="Times New Roman" w:hAnsi="Times New Roman"/>
          <w:b/>
          <w:color w:val="000000" w:themeColor="text1"/>
          <w:sz w:val="24"/>
          <w:szCs w:val="24"/>
          <w:lang w:eastAsia="en-AU"/>
        </w:rPr>
      </w:pPr>
      <w:r w:rsidRPr="000700FE">
        <w:rPr>
          <w:rFonts w:ascii="Times New Roman" w:hAnsi="Times New Roman"/>
          <w:b/>
          <w:color w:val="000000" w:themeColor="text1"/>
          <w:sz w:val="24"/>
          <w:szCs w:val="24"/>
          <w:lang w:eastAsia="en-AU"/>
        </w:rPr>
        <w:lastRenderedPageBreak/>
        <w:t>Attachment 1</w:t>
      </w:r>
    </w:p>
    <w:p w14:paraId="5F1A54F0" w14:textId="77777777" w:rsidR="006D6009" w:rsidRPr="000700FE" w:rsidRDefault="006D6009" w:rsidP="006D6009">
      <w:pPr>
        <w:spacing w:before="360" w:after="120" w:line="240" w:lineRule="auto"/>
        <w:jc w:val="center"/>
        <w:rPr>
          <w:rFonts w:ascii="Times New Roman" w:hAnsi="Times New Roman"/>
          <w:b/>
          <w:color w:val="000000" w:themeColor="text1"/>
          <w:sz w:val="28"/>
          <w:szCs w:val="28"/>
          <w:lang w:eastAsia="en-AU"/>
        </w:rPr>
      </w:pPr>
      <w:r w:rsidRPr="000700FE">
        <w:rPr>
          <w:rFonts w:ascii="Times New Roman" w:hAnsi="Times New Roman"/>
          <w:b/>
          <w:color w:val="000000" w:themeColor="text1"/>
          <w:sz w:val="28"/>
          <w:szCs w:val="28"/>
          <w:lang w:eastAsia="en-AU"/>
        </w:rPr>
        <w:t>Statement of Compatibility with Human Rights</w:t>
      </w:r>
    </w:p>
    <w:p w14:paraId="10395BC6" w14:textId="77777777" w:rsidR="006D6009" w:rsidRPr="000700FE" w:rsidRDefault="006D6009" w:rsidP="006D6009">
      <w:pPr>
        <w:spacing w:before="120" w:after="120" w:line="240" w:lineRule="auto"/>
        <w:jc w:val="center"/>
        <w:rPr>
          <w:rFonts w:ascii="Times New Roman" w:hAnsi="Times New Roman"/>
          <w:i/>
          <w:color w:val="000000" w:themeColor="text1"/>
          <w:sz w:val="24"/>
          <w:szCs w:val="24"/>
          <w:lang w:eastAsia="en-AU"/>
        </w:rPr>
      </w:pPr>
      <w:r w:rsidRPr="000700FE">
        <w:rPr>
          <w:rFonts w:ascii="Times New Roman" w:hAnsi="Times New Roman"/>
          <w:i/>
          <w:color w:val="000000" w:themeColor="text1"/>
          <w:sz w:val="24"/>
          <w:szCs w:val="24"/>
          <w:lang w:eastAsia="en-AU"/>
        </w:rPr>
        <w:t>Prepared in accordance with Part 3 of the</w:t>
      </w:r>
      <w:r w:rsidRPr="000700FE">
        <w:rPr>
          <w:rFonts w:ascii="Times New Roman" w:hAnsi="Times New Roman"/>
          <w:i/>
          <w:color w:val="000000" w:themeColor="text1"/>
          <w:sz w:val="24"/>
          <w:szCs w:val="24"/>
          <w:lang w:eastAsia="en-AU"/>
        </w:rPr>
        <w:br/>
        <w:t>Human Rights (Parliamentary Scrutiny) Act 2011</w:t>
      </w:r>
    </w:p>
    <w:p w14:paraId="03827394" w14:textId="77777777" w:rsidR="006D6009" w:rsidRPr="000700FE" w:rsidRDefault="006D6009" w:rsidP="006D6009">
      <w:pPr>
        <w:spacing w:before="120" w:after="120" w:line="240" w:lineRule="auto"/>
        <w:rPr>
          <w:rFonts w:ascii="Times New Roman" w:hAnsi="Times New Roman"/>
          <w:color w:val="000000" w:themeColor="text1"/>
          <w:sz w:val="24"/>
          <w:szCs w:val="24"/>
          <w:lang w:eastAsia="en-AU"/>
        </w:rPr>
      </w:pPr>
    </w:p>
    <w:p w14:paraId="03528EFD" w14:textId="55EA3CBE" w:rsidR="006D6009" w:rsidRPr="000700FE" w:rsidRDefault="00DC6AAE" w:rsidP="006D6009">
      <w:pPr>
        <w:spacing w:after="0" w:line="240" w:lineRule="auto"/>
        <w:jc w:val="center"/>
        <w:rPr>
          <w:rFonts w:ascii="Times New Roman" w:hAnsi="Times New Roman"/>
          <w:b/>
          <w:iCs/>
          <w:color w:val="000000" w:themeColor="text1"/>
          <w:sz w:val="24"/>
          <w:szCs w:val="24"/>
        </w:rPr>
      </w:pPr>
      <w:r w:rsidRPr="000700FE">
        <w:rPr>
          <w:rFonts w:ascii="Times New Roman" w:hAnsi="Times New Roman"/>
          <w:b/>
          <w:iCs/>
          <w:color w:val="000000" w:themeColor="text1"/>
          <w:sz w:val="24"/>
          <w:szCs w:val="24"/>
        </w:rPr>
        <w:t>CASA EX18/23 — CASR Subpart 99.B DAMP Requirements for Foreign Air Transport AOC Holders Exemption 2023</w:t>
      </w:r>
    </w:p>
    <w:p w14:paraId="5C70AAD5" w14:textId="77777777" w:rsidR="006D6009" w:rsidRPr="000700FE" w:rsidRDefault="006D6009" w:rsidP="006D6009">
      <w:pPr>
        <w:spacing w:after="0" w:line="240" w:lineRule="auto"/>
        <w:rPr>
          <w:rFonts w:ascii="Times New Roman" w:hAnsi="Times New Roman"/>
          <w:color w:val="000000" w:themeColor="text1"/>
          <w:sz w:val="24"/>
          <w:szCs w:val="24"/>
        </w:rPr>
      </w:pPr>
    </w:p>
    <w:p w14:paraId="6956935B" w14:textId="77777777" w:rsidR="006D6009" w:rsidRPr="000700FE" w:rsidRDefault="006D6009" w:rsidP="006D6009">
      <w:pPr>
        <w:spacing w:after="0" w:line="240" w:lineRule="auto"/>
        <w:jc w:val="center"/>
        <w:rPr>
          <w:rFonts w:ascii="Times New Roman" w:hAnsi="Times New Roman"/>
          <w:color w:val="000000" w:themeColor="text1"/>
          <w:sz w:val="24"/>
          <w:szCs w:val="24"/>
        </w:rPr>
      </w:pPr>
      <w:r w:rsidRPr="000700FE">
        <w:rPr>
          <w:rFonts w:ascii="Times New Roman" w:hAnsi="Times New Roman"/>
          <w:color w:val="000000" w:themeColor="text1"/>
          <w:sz w:val="24"/>
          <w:szCs w:val="24"/>
        </w:rPr>
        <w:t>This legislative instrument is compatible with the human rights and freedoms</w:t>
      </w:r>
      <w:r w:rsidRPr="000700FE">
        <w:rPr>
          <w:rFonts w:ascii="Times New Roman" w:hAnsi="Times New Roman"/>
          <w:color w:val="000000" w:themeColor="text1"/>
          <w:sz w:val="24"/>
          <w:szCs w:val="24"/>
        </w:rPr>
        <w:br/>
        <w:t>recognised or declared in the international instruments listed in section 3 of the</w:t>
      </w:r>
      <w:r w:rsidRPr="000700FE">
        <w:rPr>
          <w:rFonts w:ascii="Times New Roman" w:hAnsi="Times New Roman"/>
          <w:color w:val="000000" w:themeColor="text1"/>
          <w:sz w:val="24"/>
          <w:szCs w:val="24"/>
        </w:rPr>
        <w:br/>
      </w:r>
      <w:r w:rsidRPr="000700FE">
        <w:rPr>
          <w:rFonts w:ascii="Times New Roman" w:hAnsi="Times New Roman"/>
          <w:i/>
          <w:color w:val="000000" w:themeColor="text1"/>
          <w:sz w:val="24"/>
          <w:szCs w:val="24"/>
        </w:rPr>
        <w:t>Human Rights (Parliamentary Scrutiny) Act 2011</w:t>
      </w:r>
      <w:r w:rsidRPr="000700FE">
        <w:rPr>
          <w:rFonts w:ascii="Times New Roman" w:hAnsi="Times New Roman"/>
          <w:color w:val="000000" w:themeColor="text1"/>
          <w:sz w:val="24"/>
          <w:szCs w:val="24"/>
        </w:rPr>
        <w:t>.</w:t>
      </w:r>
    </w:p>
    <w:p w14:paraId="39600312" w14:textId="77777777" w:rsidR="006D6009" w:rsidRPr="000700FE" w:rsidRDefault="006D6009" w:rsidP="0099606F">
      <w:pPr>
        <w:spacing w:before="240" w:after="0" w:line="240" w:lineRule="auto"/>
        <w:rPr>
          <w:rFonts w:ascii="Times New Roman" w:hAnsi="Times New Roman"/>
          <w:color w:val="000000" w:themeColor="text1"/>
          <w:sz w:val="24"/>
          <w:szCs w:val="24"/>
        </w:rPr>
      </w:pPr>
    </w:p>
    <w:p w14:paraId="33628A6E" w14:textId="77777777" w:rsidR="006D6009" w:rsidRPr="000700FE" w:rsidRDefault="006D6009" w:rsidP="006D6009">
      <w:pPr>
        <w:spacing w:after="0" w:line="240" w:lineRule="auto"/>
        <w:rPr>
          <w:rFonts w:ascii="Times New Roman" w:hAnsi="Times New Roman"/>
          <w:b/>
          <w:color w:val="000000" w:themeColor="text1"/>
          <w:sz w:val="24"/>
          <w:szCs w:val="24"/>
        </w:rPr>
      </w:pPr>
      <w:r w:rsidRPr="000700FE">
        <w:rPr>
          <w:rFonts w:ascii="Times New Roman" w:hAnsi="Times New Roman"/>
          <w:b/>
          <w:color w:val="000000" w:themeColor="text1"/>
          <w:sz w:val="24"/>
          <w:szCs w:val="24"/>
        </w:rPr>
        <w:t>Overview of the legislative instrument</w:t>
      </w:r>
    </w:p>
    <w:p w14:paraId="43057BC1" w14:textId="77777777" w:rsidR="00A834E9" w:rsidRPr="000700FE" w:rsidRDefault="00A834E9" w:rsidP="00A834E9">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instrument exempts foreign air transport Air Operator’s Certificate (</w:t>
      </w:r>
      <w:r w:rsidRPr="000700FE">
        <w:rPr>
          <w:rFonts w:ascii="Times New Roman" w:eastAsia="Times New Roman" w:hAnsi="Times New Roman"/>
          <w:b/>
          <w:bCs/>
          <w:i/>
          <w:iCs/>
          <w:color w:val="000000" w:themeColor="text1"/>
          <w:sz w:val="24"/>
          <w:szCs w:val="24"/>
        </w:rPr>
        <w:t>AOC</w:t>
      </w:r>
      <w:r w:rsidRPr="000700FE">
        <w:rPr>
          <w:rFonts w:ascii="Times New Roman" w:eastAsia="Times New Roman" w:hAnsi="Times New Roman"/>
          <w:color w:val="000000" w:themeColor="text1"/>
          <w:sz w:val="24"/>
          <w:szCs w:val="24"/>
        </w:rPr>
        <w:t>) holders engaged in international air navigation in Australia (but not engaged in domestic air navigation in Australia) (</w:t>
      </w:r>
      <w:r w:rsidRPr="000700FE">
        <w:rPr>
          <w:rFonts w:ascii="Times New Roman" w:eastAsia="Times New Roman" w:hAnsi="Times New Roman"/>
          <w:b/>
          <w:i/>
          <w:color w:val="000000" w:themeColor="text1"/>
          <w:sz w:val="24"/>
          <w:szCs w:val="24"/>
        </w:rPr>
        <w:t>relevant organisations</w:t>
      </w:r>
      <w:r w:rsidRPr="000700FE">
        <w:rPr>
          <w:rFonts w:ascii="Times New Roman" w:eastAsia="Times New Roman" w:hAnsi="Times New Roman"/>
          <w:color w:val="000000" w:themeColor="text1"/>
          <w:sz w:val="24"/>
          <w:szCs w:val="24"/>
        </w:rPr>
        <w:t xml:space="preserve">) from the requirement in Part 99 of the </w:t>
      </w:r>
      <w:r w:rsidRPr="000700FE">
        <w:rPr>
          <w:rFonts w:ascii="Times New Roman" w:eastAsia="Times New Roman" w:hAnsi="Times New Roman"/>
          <w:i/>
          <w:color w:val="000000" w:themeColor="text1"/>
          <w:sz w:val="24"/>
          <w:szCs w:val="24"/>
          <w:lang w:eastAsia="en-AU"/>
        </w:rPr>
        <w:t xml:space="preserve">Civil Aviation Safety Regulations 1998 </w:t>
      </w:r>
      <w:r w:rsidRPr="000700FE">
        <w:rPr>
          <w:rFonts w:ascii="Times New Roman" w:eastAsia="Times New Roman" w:hAnsi="Times New Roman"/>
          <w:iCs/>
          <w:color w:val="000000" w:themeColor="text1"/>
          <w:sz w:val="24"/>
          <w:szCs w:val="24"/>
          <w:lang w:eastAsia="en-AU"/>
        </w:rPr>
        <w:t>(</w:t>
      </w:r>
      <w:r w:rsidRPr="000700FE">
        <w:rPr>
          <w:rFonts w:ascii="Times New Roman" w:eastAsia="Times New Roman" w:hAnsi="Times New Roman"/>
          <w:b/>
          <w:bCs/>
          <w:i/>
          <w:iCs/>
          <w:color w:val="000000" w:themeColor="text1"/>
          <w:sz w:val="24"/>
          <w:szCs w:val="24"/>
        </w:rPr>
        <w:t>CASR</w:t>
      </w:r>
      <w:r w:rsidRPr="000700FE">
        <w:rPr>
          <w:rFonts w:ascii="Times New Roman" w:eastAsia="Times New Roman" w:hAnsi="Times New Roman"/>
          <w:color w:val="000000" w:themeColor="text1"/>
          <w:sz w:val="24"/>
          <w:szCs w:val="24"/>
        </w:rPr>
        <w:t>) to have a drug and alcohol management plan (</w:t>
      </w:r>
      <w:r w:rsidRPr="000700FE">
        <w:rPr>
          <w:rFonts w:ascii="Times New Roman" w:eastAsia="Times New Roman" w:hAnsi="Times New Roman"/>
          <w:b/>
          <w:i/>
          <w:color w:val="000000" w:themeColor="text1"/>
          <w:sz w:val="24"/>
          <w:szCs w:val="24"/>
        </w:rPr>
        <w:t>DAMP</w:t>
      </w:r>
      <w:r w:rsidRPr="000700FE">
        <w:rPr>
          <w:rFonts w:ascii="Times New Roman" w:eastAsia="Times New Roman" w:hAnsi="Times New Roman"/>
          <w:color w:val="000000" w:themeColor="text1"/>
          <w:sz w:val="24"/>
          <w:szCs w:val="24"/>
        </w:rPr>
        <w:t>), provided that certain conditions are met. These conditions are based on key provisions of Subpart 99.B of CASR.</w:t>
      </w:r>
    </w:p>
    <w:p w14:paraId="446961B2" w14:textId="77777777" w:rsidR="00A834E9" w:rsidRPr="000700FE" w:rsidRDefault="00A834E9" w:rsidP="00A834E9">
      <w:pPr>
        <w:tabs>
          <w:tab w:val="left" w:pos="567"/>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19D5C78D" w14:textId="112096C2" w:rsidR="00A834E9" w:rsidRPr="000700FE" w:rsidRDefault="00A834E9" w:rsidP="00A834E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conditions include requiring the relevant organisation to conduct drug and alcohol testing, if it has such testing procedures in place as part of its own internal drug and alcohol controls, on employees (</w:t>
      </w:r>
      <w:r w:rsidRPr="000700FE">
        <w:rPr>
          <w:rFonts w:ascii="Times New Roman" w:eastAsia="Times New Roman" w:hAnsi="Times New Roman"/>
          <w:b/>
          <w:i/>
          <w:color w:val="000000" w:themeColor="text1"/>
          <w:sz w:val="24"/>
          <w:szCs w:val="24"/>
        </w:rPr>
        <w:t>SSAA employees</w:t>
      </w:r>
      <w:r w:rsidRPr="000700FE">
        <w:rPr>
          <w:rFonts w:ascii="Times New Roman" w:eastAsia="Times New Roman" w:hAnsi="Times New Roman"/>
          <w:color w:val="000000" w:themeColor="text1"/>
          <w:sz w:val="24"/>
          <w:szCs w:val="24"/>
        </w:rPr>
        <w:t>) who are engaged in prescribed safety-sensitive aviation activities (</w:t>
      </w:r>
      <w:r w:rsidRPr="000700FE">
        <w:rPr>
          <w:rFonts w:ascii="Times New Roman" w:eastAsia="Times New Roman" w:hAnsi="Times New Roman"/>
          <w:b/>
          <w:i/>
          <w:color w:val="000000" w:themeColor="text1"/>
          <w:sz w:val="24"/>
          <w:szCs w:val="24"/>
        </w:rPr>
        <w:t>applicable SSAA</w:t>
      </w:r>
      <w:r w:rsidRPr="000700FE">
        <w:rPr>
          <w:rFonts w:ascii="Times New Roman" w:eastAsia="Times New Roman" w:hAnsi="Times New Roman"/>
          <w:color w:val="000000" w:themeColor="text1"/>
          <w:sz w:val="24"/>
          <w:szCs w:val="24"/>
        </w:rPr>
        <w:t>)</w:t>
      </w:r>
      <w:r w:rsidR="00DC1D58">
        <w:rPr>
          <w:rFonts w:ascii="Times New Roman" w:eastAsia="Times New Roman" w:hAnsi="Times New Roman"/>
          <w:color w:val="000000" w:themeColor="text1"/>
          <w:sz w:val="24"/>
          <w:szCs w:val="24"/>
        </w:rPr>
        <w:t xml:space="preserve"> in specified circumstances. Those circumstances are</w:t>
      </w:r>
      <w:r w:rsidRPr="000700FE">
        <w:rPr>
          <w:rFonts w:ascii="Times New Roman" w:eastAsia="Times New Roman" w:hAnsi="Times New Roman"/>
          <w:color w:val="000000" w:themeColor="text1"/>
          <w:sz w:val="24"/>
          <w:szCs w:val="24"/>
        </w:rPr>
        <w:t>: before they return to perform such activities following an accident or a serious incident; if the organisation has reasonable grounds for considering the employee may be adversely affected by a testable drug or alcohol; or after a previous positive drug or alcohol test result.</w:t>
      </w:r>
    </w:p>
    <w:p w14:paraId="3955368D" w14:textId="77777777" w:rsidR="00A834E9" w:rsidRPr="000700FE" w:rsidRDefault="00A834E9" w:rsidP="00A834E9">
      <w:pPr>
        <w:spacing w:after="0" w:line="240" w:lineRule="auto"/>
        <w:rPr>
          <w:rFonts w:ascii="Times New Roman" w:eastAsia="Times New Roman" w:hAnsi="Times New Roman"/>
          <w:color w:val="000000" w:themeColor="text1"/>
          <w:sz w:val="24"/>
          <w:szCs w:val="24"/>
        </w:rPr>
      </w:pPr>
    </w:p>
    <w:p w14:paraId="151AA042" w14:textId="7AF5D9B4" w:rsidR="00A834E9" w:rsidRPr="000700FE" w:rsidRDefault="00A834E9" w:rsidP="00A834E9">
      <w:pPr>
        <w:spacing w:after="0" w:line="240" w:lineRule="auto"/>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Applicable SSAA include activities on the tarmac and related areas of an aerodrome, as well as flight crew duties, maintenance, aircraft refuelling, security, baggage handling and air traffic control. The relevant organisation must also prevent any such employee from performing, or being available to perform, an applicable </w:t>
      </w:r>
      <w:r w:rsidR="00A73D66">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in specified circumstances, including when the organisation is aware that the person has tested positive for the presence of a drug or alcohol in a body sample and has not yet passed a confirmatory drug test, or where the person has refused to take a test.</w:t>
      </w:r>
    </w:p>
    <w:p w14:paraId="3982C012" w14:textId="7777777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680F3FF0" w14:textId="209973B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instrument also exempts employees of these relevant organisations who perform, or</w:t>
      </w:r>
      <w:r w:rsidR="00281F03">
        <w:rPr>
          <w:rFonts w:ascii="Times New Roman" w:eastAsia="Times New Roman" w:hAnsi="Times New Roman"/>
          <w:color w:val="000000" w:themeColor="text1"/>
          <w:sz w:val="24"/>
          <w:szCs w:val="24"/>
        </w:rPr>
        <w:t xml:space="preserve"> </w:t>
      </w:r>
      <w:r w:rsidRPr="000700FE">
        <w:rPr>
          <w:rFonts w:ascii="Times New Roman" w:eastAsia="Times New Roman" w:hAnsi="Times New Roman"/>
          <w:color w:val="000000" w:themeColor="text1"/>
          <w:sz w:val="24"/>
          <w:szCs w:val="24"/>
        </w:rPr>
        <w:t xml:space="preserve">are available to perform, an applicable </w:t>
      </w:r>
      <w:r w:rsidR="00A73D66">
        <w:rPr>
          <w:rFonts w:ascii="Times New Roman" w:eastAsia="Times New Roman" w:hAnsi="Times New Roman"/>
          <w:color w:val="000000" w:themeColor="text1"/>
          <w:sz w:val="24"/>
          <w:szCs w:val="24"/>
        </w:rPr>
        <w:t>SSAA</w:t>
      </w:r>
      <w:r w:rsidRPr="000700FE">
        <w:rPr>
          <w:rFonts w:ascii="Times New Roman" w:eastAsia="Times New Roman" w:hAnsi="Times New Roman"/>
          <w:color w:val="000000" w:themeColor="text1"/>
          <w:sz w:val="24"/>
          <w:szCs w:val="24"/>
        </w:rPr>
        <w:t xml:space="preserve"> and have been asked by CASA for a body sample for testing purposes, from the requirement that the employee produces photographic identification of the kind specified in subregulation 99.325(1) of CASR. The exemption applies if the person instead produces the photographic identification issued to the employee by the relevant organisation within the same timeframes that would apply for the provision of the photographic identification</w:t>
      </w:r>
      <w:r w:rsidR="003D462D" w:rsidRPr="003D462D">
        <w:rPr>
          <w:rFonts w:ascii="Times New Roman" w:eastAsia="Times New Roman" w:hAnsi="Times New Roman"/>
          <w:color w:val="000000" w:themeColor="text1"/>
          <w:sz w:val="24"/>
          <w:szCs w:val="24"/>
        </w:rPr>
        <w:t xml:space="preserve"> </w:t>
      </w:r>
      <w:r w:rsidR="003D462D" w:rsidRPr="000700FE">
        <w:rPr>
          <w:rFonts w:ascii="Times New Roman" w:eastAsia="Times New Roman" w:hAnsi="Times New Roman"/>
          <w:color w:val="000000" w:themeColor="text1"/>
          <w:sz w:val="24"/>
          <w:szCs w:val="24"/>
        </w:rPr>
        <w:t>required</w:t>
      </w:r>
      <w:r w:rsidR="003D462D" w:rsidRPr="003D462D">
        <w:rPr>
          <w:rFonts w:ascii="Times New Roman" w:eastAsia="Times New Roman" w:hAnsi="Times New Roman"/>
          <w:color w:val="000000" w:themeColor="text1"/>
          <w:sz w:val="24"/>
          <w:szCs w:val="24"/>
        </w:rPr>
        <w:t xml:space="preserve"> </w:t>
      </w:r>
      <w:r w:rsidR="003D462D">
        <w:rPr>
          <w:rFonts w:ascii="Times New Roman" w:eastAsia="Times New Roman" w:hAnsi="Times New Roman"/>
          <w:color w:val="000000" w:themeColor="text1"/>
          <w:sz w:val="24"/>
          <w:szCs w:val="24"/>
        </w:rPr>
        <w:t xml:space="preserve">by </w:t>
      </w:r>
      <w:r w:rsidR="003D462D" w:rsidRPr="000700FE">
        <w:rPr>
          <w:rFonts w:ascii="Times New Roman" w:eastAsia="Times New Roman" w:hAnsi="Times New Roman"/>
          <w:color w:val="000000" w:themeColor="text1"/>
          <w:sz w:val="24"/>
          <w:szCs w:val="24"/>
        </w:rPr>
        <w:t>CASR</w:t>
      </w:r>
      <w:r w:rsidRPr="000700FE">
        <w:rPr>
          <w:rFonts w:ascii="Times New Roman" w:eastAsia="Times New Roman" w:hAnsi="Times New Roman"/>
          <w:color w:val="000000" w:themeColor="text1"/>
          <w:sz w:val="24"/>
          <w:szCs w:val="24"/>
        </w:rPr>
        <w:t>.</w:t>
      </w:r>
    </w:p>
    <w:p w14:paraId="2C14CC61" w14:textId="7777777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34F1782F" w14:textId="3B86E94A" w:rsidR="00A834E9" w:rsidRPr="000700FE" w:rsidRDefault="00A834E9" w:rsidP="00A834E9">
      <w:pPr>
        <w:spacing w:after="0" w:line="240" w:lineRule="auto"/>
        <w:rPr>
          <w:rFonts w:ascii="Times New (W1)" w:eastAsia="Times New Roman" w:hAnsi="Times New (W1)"/>
          <w:color w:val="000000" w:themeColor="text1"/>
          <w:sz w:val="24"/>
          <w:szCs w:val="24"/>
        </w:rPr>
      </w:pPr>
      <w:r w:rsidRPr="000700FE">
        <w:rPr>
          <w:rFonts w:ascii="Times New (W1)" w:eastAsia="Times New Roman" w:hAnsi="Times New (W1)"/>
          <w:color w:val="000000" w:themeColor="text1"/>
          <w:sz w:val="24"/>
          <w:szCs w:val="24"/>
        </w:rPr>
        <w:t xml:space="preserve">This exemption is beneficial for the </w:t>
      </w:r>
      <w:r w:rsidRPr="000700FE">
        <w:rPr>
          <w:rFonts w:ascii="Times New Roman" w:eastAsia="Times New Roman" w:hAnsi="Times New Roman"/>
          <w:color w:val="000000" w:themeColor="text1"/>
          <w:sz w:val="24"/>
          <w:szCs w:val="24"/>
        </w:rPr>
        <w:t>foreign air transport AOC holders (</w:t>
      </w:r>
      <w:r w:rsidRPr="000700FE">
        <w:rPr>
          <w:rFonts w:ascii="Times New (W1)" w:eastAsia="Times New Roman" w:hAnsi="Times New (W1)"/>
          <w:color w:val="000000" w:themeColor="text1"/>
          <w:sz w:val="24"/>
          <w:szCs w:val="24"/>
        </w:rPr>
        <w:t xml:space="preserve">for whom Australian international operations are only a component of their broader international operations) </w:t>
      </w:r>
      <w:r w:rsidRPr="000700FE">
        <w:rPr>
          <w:rFonts w:ascii="Times New Roman" w:eastAsia="Times New Roman" w:hAnsi="Times New Roman"/>
          <w:color w:val="000000" w:themeColor="text1"/>
          <w:sz w:val="24"/>
          <w:szCs w:val="24"/>
        </w:rPr>
        <w:lastRenderedPageBreak/>
        <w:t xml:space="preserve">because they </w:t>
      </w:r>
      <w:r w:rsidR="000A1527" w:rsidRPr="000700FE">
        <w:rPr>
          <w:rFonts w:ascii="Times New Roman" w:eastAsia="Times New Roman" w:hAnsi="Times New Roman"/>
          <w:color w:val="000000" w:themeColor="text1"/>
          <w:sz w:val="24"/>
          <w:szCs w:val="24"/>
        </w:rPr>
        <w:t>can</w:t>
      </w:r>
      <w:r w:rsidRPr="000700FE">
        <w:rPr>
          <w:rFonts w:ascii="Times New Roman" w:eastAsia="Times New Roman" w:hAnsi="Times New Roman"/>
          <w:color w:val="000000" w:themeColor="text1"/>
          <w:sz w:val="24"/>
          <w:szCs w:val="24"/>
        </w:rPr>
        <w:t xml:space="preserve"> maintain their own internal drug and alcohol controls without the additional need for a specifically Australian DAMP.</w:t>
      </w:r>
    </w:p>
    <w:p w14:paraId="2E9C7FD6" w14:textId="7777777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rPr>
          <w:rFonts w:ascii="Times New Roman" w:eastAsia="Times New Roman" w:hAnsi="Times New Roman"/>
          <w:color w:val="000000" w:themeColor="text1"/>
          <w:sz w:val="24"/>
          <w:szCs w:val="24"/>
        </w:rPr>
      </w:pPr>
    </w:p>
    <w:p w14:paraId="44E109A3" w14:textId="77777777" w:rsidR="00A834E9" w:rsidRPr="000700FE" w:rsidRDefault="00A834E9" w:rsidP="00A834E9">
      <w:pPr>
        <w:keepNext/>
        <w:spacing w:after="0" w:line="240" w:lineRule="auto"/>
        <w:rPr>
          <w:rFonts w:ascii="Times New Roman" w:hAnsi="Times New Roman"/>
          <w:b/>
          <w:color w:val="000000" w:themeColor="text1"/>
          <w:sz w:val="24"/>
          <w:szCs w:val="24"/>
        </w:rPr>
      </w:pPr>
      <w:r w:rsidRPr="000700FE">
        <w:rPr>
          <w:rFonts w:ascii="Times New Roman" w:hAnsi="Times New Roman"/>
          <w:b/>
          <w:color w:val="000000" w:themeColor="text1"/>
          <w:sz w:val="24"/>
          <w:szCs w:val="24"/>
        </w:rPr>
        <w:t>Human rights implications</w:t>
      </w:r>
    </w:p>
    <w:p w14:paraId="083B8457" w14:textId="1818C6DD"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 xml:space="preserve">This instrument arguably engages the right to privacy </w:t>
      </w:r>
      <w:r w:rsidR="00553142">
        <w:rPr>
          <w:rFonts w:ascii="Times New Roman" w:eastAsia="Times New Roman" w:hAnsi="Times New Roman"/>
          <w:color w:val="000000" w:themeColor="text1"/>
          <w:sz w:val="24"/>
          <w:szCs w:val="24"/>
        </w:rPr>
        <w:t xml:space="preserve">in Article 17 of the </w:t>
      </w:r>
      <w:r w:rsidR="00C65DA7" w:rsidRPr="00C65DA7">
        <w:rPr>
          <w:rFonts w:ascii="Times New Roman" w:eastAsia="Times New Roman" w:hAnsi="Times New Roman"/>
          <w:color w:val="000000" w:themeColor="text1"/>
          <w:sz w:val="24"/>
          <w:szCs w:val="24"/>
        </w:rPr>
        <w:t>International Covenant on Civil and Political Rights</w:t>
      </w:r>
      <w:r w:rsidR="00001A1B">
        <w:rPr>
          <w:rFonts w:ascii="Times New Roman" w:eastAsia="Times New Roman" w:hAnsi="Times New Roman"/>
          <w:color w:val="000000" w:themeColor="text1"/>
          <w:sz w:val="24"/>
          <w:szCs w:val="24"/>
        </w:rPr>
        <w:t xml:space="preserve">. Article 17 </w:t>
      </w:r>
      <w:r w:rsidR="00C65DA7" w:rsidRPr="00C65DA7">
        <w:rPr>
          <w:rFonts w:ascii="Times New Roman" w:eastAsia="Times New Roman" w:hAnsi="Times New Roman"/>
          <w:color w:val="000000" w:themeColor="text1"/>
          <w:sz w:val="24"/>
          <w:szCs w:val="24"/>
        </w:rPr>
        <w:t xml:space="preserve">provides that </w:t>
      </w:r>
      <w:r w:rsidR="0049518B">
        <w:rPr>
          <w:rFonts w:ascii="Times New Roman" w:eastAsia="Times New Roman" w:hAnsi="Times New Roman"/>
          <w:color w:val="000000" w:themeColor="text1"/>
          <w:sz w:val="24"/>
          <w:szCs w:val="24"/>
        </w:rPr>
        <w:t>n</w:t>
      </w:r>
      <w:r w:rsidR="00553142" w:rsidRPr="00C65DA7">
        <w:rPr>
          <w:rFonts w:ascii="Times New Roman" w:eastAsia="Times New Roman" w:hAnsi="Times New Roman"/>
          <w:color w:val="000000" w:themeColor="text1"/>
          <w:sz w:val="24"/>
          <w:szCs w:val="24"/>
        </w:rPr>
        <w:t xml:space="preserve">o one shall be subjected to arbitrary or unlawful interference with </w:t>
      </w:r>
      <w:r w:rsidR="0049518B">
        <w:rPr>
          <w:rFonts w:ascii="Times New Roman" w:eastAsia="Times New Roman" w:hAnsi="Times New Roman"/>
          <w:color w:val="000000" w:themeColor="text1"/>
          <w:sz w:val="24"/>
          <w:szCs w:val="24"/>
        </w:rPr>
        <w:t>their</w:t>
      </w:r>
      <w:r w:rsidR="00553142" w:rsidRPr="00C65DA7">
        <w:rPr>
          <w:rFonts w:ascii="Times New Roman" w:eastAsia="Times New Roman" w:hAnsi="Times New Roman"/>
          <w:color w:val="000000" w:themeColor="text1"/>
          <w:sz w:val="24"/>
          <w:szCs w:val="24"/>
        </w:rPr>
        <w:t xml:space="preserve"> privacy</w:t>
      </w:r>
      <w:r w:rsidR="0049518B">
        <w:rPr>
          <w:rFonts w:ascii="Times New Roman" w:eastAsia="Times New Roman" w:hAnsi="Times New Roman"/>
          <w:color w:val="000000" w:themeColor="text1"/>
          <w:sz w:val="24"/>
          <w:szCs w:val="24"/>
        </w:rPr>
        <w:t>. A</w:t>
      </w:r>
      <w:r w:rsidRPr="000700FE">
        <w:rPr>
          <w:rFonts w:ascii="Times New Roman" w:eastAsia="Times New Roman" w:hAnsi="Times New Roman"/>
          <w:color w:val="000000" w:themeColor="text1"/>
          <w:sz w:val="24"/>
          <w:szCs w:val="24"/>
        </w:rPr>
        <w:t xml:space="preserve">lthough </w:t>
      </w:r>
      <w:r w:rsidR="0049518B">
        <w:rPr>
          <w:rFonts w:ascii="Times New Roman" w:eastAsia="Times New Roman" w:hAnsi="Times New Roman"/>
          <w:color w:val="000000" w:themeColor="text1"/>
          <w:sz w:val="24"/>
          <w:szCs w:val="24"/>
        </w:rPr>
        <w:t xml:space="preserve">the instrument </w:t>
      </w:r>
      <w:r w:rsidRPr="000700FE">
        <w:rPr>
          <w:rFonts w:ascii="Times New Roman" w:eastAsia="Times New Roman" w:hAnsi="Times New Roman"/>
          <w:color w:val="000000" w:themeColor="text1"/>
          <w:sz w:val="24"/>
          <w:szCs w:val="24"/>
        </w:rPr>
        <w:t>exempts relevant organisations from having to have an Australian DAMP, it still requires SSAA employees of those organisations to submit to drug or alcohol testing in specified circumstances. This is considered reasonable and proportionate given the risks associated with air travel if SSAA employees are under the influence of drugs or alcohol. Also, the testing must only be undertaken if the relevant organisation has procedures in place for the testing of SSAA employees in these circumstances as part of its arrangements for the management of the use of psychoactive substances by persons engaged in safety critical activities, as required under the Convention on International Civil Aviation (</w:t>
      </w:r>
      <w:r w:rsidRPr="000700FE">
        <w:rPr>
          <w:rFonts w:ascii="Times New Roman" w:eastAsia="Times New Roman" w:hAnsi="Times New Roman"/>
          <w:bCs/>
          <w:iCs/>
          <w:color w:val="000000" w:themeColor="text1"/>
          <w:sz w:val="24"/>
          <w:szCs w:val="24"/>
        </w:rPr>
        <w:t>Chicago Convention</w:t>
      </w:r>
      <w:r w:rsidRPr="000700FE">
        <w:rPr>
          <w:rFonts w:ascii="Times New Roman" w:eastAsia="Times New Roman" w:hAnsi="Times New Roman"/>
          <w:color w:val="000000" w:themeColor="text1"/>
          <w:sz w:val="24"/>
          <w:szCs w:val="24"/>
        </w:rPr>
        <w:t>).</w:t>
      </w:r>
    </w:p>
    <w:p w14:paraId="6E50B413" w14:textId="7777777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p>
    <w:p w14:paraId="29193F21" w14:textId="77777777" w:rsidR="00A834E9" w:rsidRPr="000700FE" w:rsidRDefault="00A834E9" w:rsidP="00A834E9">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olor w:val="000000" w:themeColor="text1"/>
          <w:sz w:val="24"/>
          <w:szCs w:val="24"/>
        </w:rPr>
      </w:pPr>
      <w:r w:rsidRPr="000700FE">
        <w:rPr>
          <w:rFonts w:ascii="Times New Roman" w:eastAsia="Times New Roman" w:hAnsi="Times New Roman"/>
          <w:color w:val="000000" w:themeColor="text1"/>
          <w:sz w:val="24"/>
          <w:szCs w:val="24"/>
        </w:rPr>
        <w:t>The instrument is also considered to engage positively with the right to privacy, as it potentially reduces the range of circumstances in which a person performing, or being available to perform, SSAA may be required to submit to drug and alcohol testing. Unlike under an Australian DAMP, the instrument does not require an employee of a relevant organisation engaged in SSAA to be tested when the person first joins the organisation, or when the person’s role changes within the organisation. This may, however, be part of the relevant organisation’s own arrangements for the management of the use of psychoactive substances.</w:t>
      </w:r>
    </w:p>
    <w:p w14:paraId="4897A323" w14:textId="77777777" w:rsidR="00A834E9" w:rsidRPr="000700FE" w:rsidRDefault="00A834E9" w:rsidP="00A834E9">
      <w:pPr>
        <w:spacing w:after="0" w:line="240" w:lineRule="auto"/>
        <w:rPr>
          <w:rFonts w:ascii="Times New Roman" w:hAnsi="Times New Roman"/>
          <w:color w:val="000000" w:themeColor="text1"/>
          <w:sz w:val="24"/>
          <w:szCs w:val="24"/>
        </w:rPr>
      </w:pPr>
    </w:p>
    <w:p w14:paraId="7C5A60DC" w14:textId="77777777" w:rsidR="00A834E9" w:rsidRPr="000700FE" w:rsidRDefault="00A834E9" w:rsidP="00A834E9">
      <w:pPr>
        <w:spacing w:after="0" w:line="240" w:lineRule="auto"/>
        <w:rPr>
          <w:rFonts w:ascii="Times New Roman" w:hAnsi="Times New Roman"/>
          <w:b/>
          <w:color w:val="000000" w:themeColor="text1"/>
          <w:sz w:val="24"/>
          <w:szCs w:val="24"/>
        </w:rPr>
      </w:pPr>
      <w:r w:rsidRPr="000700FE">
        <w:rPr>
          <w:rFonts w:ascii="Times New Roman" w:hAnsi="Times New Roman"/>
          <w:b/>
          <w:color w:val="000000" w:themeColor="text1"/>
          <w:sz w:val="24"/>
          <w:szCs w:val="24"/>
        </w:rPr>
        <w:t>Conclusion</w:t>
      </w:r>
    </w:p>
    <w:p w14:paraId="3242CE62" w14:textId="77777777" w:rsidR="00A834E9" w:rsidRPr="000700FE" w:rsidRDefault="00A834E9" w:rsidP="00A834E9">
      <w:pPr>
        <w:spacing w:after="0" w:line="240" w:lineRule="auto"/>
        <w:rPr>
          <w:rFonts w:ascii="Times New Roman" w:hAnsi="Times New Roman"/>
          <w:color w:val="000000" w:themeColor="text1"/>
          <w:sz w:val="24"/>
          <w:szCs w:val="24"/>
        </w:rPr>
      </w:pPr>
      <w:r w:rsidRPr="000700FE">
        <w:rPr>
          <w:rFonts w:ascii="Times New Roman" w:hAnsi="Times New Roman"/>
          <w:color w:val="000000" w:themeColor="text1"/>
          <w:sz w:val="24"/>
          <w:szCs w:val="24"/>
        </w:rPr>
        <w:t>This legislative instrument is compatible with human rights because, to the extent that it may limit human rights, those limitations are reasonable, necessary and proportionate. It may also promote the protection of human rights by reducing circumstances in which drug and alcohol testing is conducted.</w:t>
      </w:r>
    </w:p>
    <w:p w14:paraId="47F4662F" w14:textId="77777777" w:rsidR="00A834E9" w:rsidRPr="000700FE" w:rsidRDefault="00A834E9" w:rsidP="00A834E9">
      <w:pPr>
        <w:spacing w:after="0" w:line="240" w:lineRule="auto"/>
        <w:rPr>
          <w:rFonts w:ascii="Times New Roman" w:hAnsi="Times New Roman"/>
          <w:bCs/>
          <w:color w:val="000000" w:themeColor="text1"/>
          <w:sz w:val="24"/>
          <w:szCs w:val="24"/>
        </w:rPr>
      </w:pPr>
    </w:p>
    <w:p w14:paraId="193D537A" w14:textId="6D625131" w:rsidR="006D6009" w:rsidRDefault="006D6009" w:rsidP="002F2019">
      <w:pPr>
        <w:spacing w:after="0" w:line="240" w:lineRule="auto"/>
        <w:rPr>
          <w:rFonts w:ascii="Times New Roman" w:hAnsi="Times New Roman"/>
          <w:color w:val="000000" w:themeColor="text1"/>
          <w:sz w:val="24"/>
          <w:szCs w:val="24"/>
        </w:rPr>
      </w:pPr>
    </w:p>
    <w:p w14:paraId="6FD1AED2" w14:textId="77777777" w:rsidR="002F2019" w:rsidRPr="0099606F" w:rsidRDefault="002F2019" w:rsidP="0099606F">
      <w:pPr>
        <w:spacing w:after="0" w:line="240" w:lineRule="auto"/>
        <w:rPr>
          <w:rFonts w:ascii="Times New Roman" w:hAnsi="Times New Roman"/>
          <w:color w:val="000000" w:themeColor="text1"/>
          <w:sz w:val="24"/>
          <w:szCs w:val="24"/>
        </w:rPr>
      </w:pPr>
    </w:p>
    <w:p w14:paraId="2C527C38" w14:textId="1F089C6D" w:rsidR="001B4C54" w:rsidRPr="000700FE" w:rsidRDefault="006D6009" w:rsidP="0099606F">
      <w:pPr>
        <w:spacing w:after="0" w:line="240" w:lineRule="auto"/>
        <w:jc w:val="center"/>
        <w:rPr>
          <w:color w:val="000000" w:themeColor="text1"/>
        </w:rPr>
      </w:pPr>
      <w:r w:rsidRPr="000700FE">
        <w:rPr>
          <w:rFonts w:ascii="Times New Roman" w:hAnsi="Times New Roman"/>
          <w:b/>
          <w:bCs/>
          <w:color w:val="000000" w:themeColor="text1"/>
          <w:sz w:val="24"/>
          <w:szCs w:val="24"/>
        </w:rPr>
        <w:t>Civil Aviation Safety Authority</w:t>
      </w:r>
    </w:p>
    <w:sectPr w:rsidR="001B4C54" w:rsidRPr="000700FE"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6A22" w14:textId="77777777" w:rsidR="00C82CBA" w:rsidRDefault="00C82CBA" w:rsidP="00777D3F">
      <w:pPr>
        <w:spacing w:after="0" w:line="240" w:lineRule="auto"/>
      </w:pPr>
      <w:r>
        <w:separator/>
      </w:r>
    </w:p>
  </w:endnote>
  <w:endnote w:type="continuationSeparator" w:id="0">
    <w:p w14:paraId="297170B5" w14:textId="77777777" w:rsidR="00C82CBA" w:rsidRDefault="00C82CBA"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689F" w14:textId="77777777" w:rsidR="00C82CBA" w:rsidRDefault="00C82CBA" w:rsidP="00777D3F">
      <w:pPr>
        <w:spacing w:after="0" w:line="240" w:lineRule="auto"/>
      </w:pPr>
      <w:r>
        <w:separator/>
      </w:r>
    </w:p>
  </w:footnote>
  <w:footnote w:type="continuationSeparator" w:id="0">
    <w:p w14:paraId="7F65423C" w14:textId="77777777" w:rsidR="00C82CBA" w:rsidRDefault="00C82CBA"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97C"/>
    <w:multiLevelType w:val="hybridMultilevel"/>
    <w:tmpl w:val="A5E6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E2AD1"/>
    <w:multiLevelType w:val="hybridMultilevel"/>
    <w:tmpl w:val="A4D4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601031459">
    <w:abstractNumId w:val="1"/>
  </w:num>
  <w:num w:numId="3" w16cid:durableId="151580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A1B"/>
    <w:rsid w:val="00010280"/>
    <w:rsid w:val="000142F4"/>
    <w:rsid w:val="00017FD2"/>
    <w:rsid w:val="00047C47"/>
    <w:rsid w:val="00051BCD"/>
    <w:rsid w:val="0005410B"/>
    <w:rsid w:val="000700FE"/>
    <w:rsid w:val="0008465C"/>
    <w:rsid w:val="000A1527"/>
    <w:rsid w:val="000A42AC"/>
    <w:rsid w:val="000A4D84"/>
    <w:rsid w:val="000C19AA"/>
    <w:rsid w:val="000D0774"/>
    <w:rsid w:val="000E6F47"/>
    <w:rsid w:val="000E73E9"/>
    <w:rsid w:val="000F186A"/>
    <w:rsid w:val="001011BF"/>
    <w:rsid w:val="001141FE"/>
    <w:rsid w:val="00114734"/>
    <w:rsid w:val="00143A7D"/>
    <w:rsid w:val="001446E6"/>
    <w:rsid w:val="0015117E"/>
    <w:rsid w:val="00161A36"/>
    <w:rsid w:val="001B4C54"/>
    <w:rsid w:val="001B525D"/>
    <w:rsid w:val="001D762D"/>
    <w:rsid w:val="002274C9"/>
    <w:rsid w:val="0022781B"/>
    <w:rsid w:val="002451AC"/>
    <w:rsid w:val="00253A3B"/>
    <w:rsid w:val="0026535B"/>
    <w:rsid w:val="0027737F"/>
    <w:rsid w:val="00281F03"/>
    <w:rsid w:val="00282ED8"/>
    <w:rsid w:val="002A2FFF"/>
    <w:rsid w:val="002C3D57"/>
    <w:rsid w:val="002E7D16"/>
    <w:rsid w:val="002F0987"/>
    <w:rsid w:val="002F2019"/>
    <w:rsid w:val="003126B1"/>
    <w:rsid w:val="00315FD6"/>
    <w:rsid w:val="00317AFC"/>
    <w:rsid w:val="00342D57"/>
    <w:rsid w:val="00360F91"/>
    <w:rsid w:val="003651EA"/>
    <w:rsid w:val="003677DC"/>
    <w:rsid w:val="00394931"/>
    <w:rsid w:val="003A7937"/>
    <w:rsid w:val="003D10E4"/>
    <w:rsid w:val="003D462D"/>
    <w:rsid w:val="003E0D6F"/>
    <w:rsid w:val="00403A60"/>
    <w:rsid w:val="004213FD"/>
    <w:rsid w:val="00424404"/>
    <w:rsid w:val="00442559"/>
    <w:rsid w:val="0044563D"/>
    <w:rsid w:val="0047046B"/>
    <w:rsid w:val="00491F5D"/>
    <w:rsid w:val="0049518B"/>
    <w:rsid w:val="004A07C5"/>
    <w:rsid w:val="004A471F"/>
    <w:rsid w:val="004B7D4C"/>
    <w:rsid w:val="004D4717"/>
    <w:rsid w:val="004D7E73"/>
    <w:rsid w:val="004E3657"/>
    <w:rsid w:val="004F0D39"/>
    <w:rsid w:val="004F3092"/>
    <w:rsid w:val="00507A32"/>
    <w:rsid w:val="00517490"/>
    <w:rsid w:val="005274F4"/>
    <w:rsid w:val="00553142"/>
    <w:rsid w:val="00560BDA"/>
    <w:rsid w:val="00586B76"/>
    <w:rsid w:val="005A4ECB"/>
    <w:rsid w:val="005B1310"/>
    <w:rsid w:val="005B751F"/>
    <w:rsid w:val="005E5D0B"/>
    <w:rsid w:val="005E77A6"/>
    <w:rsid w:val="00625FDC"/>
    <w:rsid w:val="00633870"/>
    <w:rsid w:val="0064385F"/>
    <w:rsid w:val="00675A21"/>
    <w:rsid w:val="006802BC"/>
    <w:rsid w:val="00687F1E"/>
    <w:rsid w:val="006C25F6"/>
    <w:rsid w:val="006D6009"/>
    <w:rsid w:val="006E319E"/>
    <w:rsid w:val="006E565D"/>
    <w:rsid w:val="006F2AB9"/>
    <w:rsid w:val="007238BD"/>
    <w:rsid w:val="00731FCA"/>
    <w:rsid w:val="007603EF"/>
    <w:rsid w:val="00761120"/>
    <w:rsid w:val="00773B07"/>
    <w:rsid w:val="00774FAB"/>
    <w:rsid w:val="0077616B"/>
    <w:rsid w:val="00777D3F"/>
    <w:rsid w:val="007847C1"/>
    <w:rsid w:val="007B0B67"/>
    <w:rsid w:val="007B5B91"/>
    <w:rsid w:val="007B7D69"/>
    <w:rsid w:val="007C10F5"/>
    <w:rsid w:val="007C2CED"/>
    <w:rsid w:val="007D187A"/>
    <w:rsid w:val="007D4C6E"/>
    <w:rsid w:val="007E33E8"/>
    <w:rsid w:val="007E6ECC"/>
    <w:rsid w:val="007F2F23"/>
    <w:rsid w:val="007F3CF1"/>
    <w:rsid w:val="00807B5B"/>
    <w:rsid w:val="00820372"/>
    <w:rsid w:val="00833358"/>
    <w:rsid w:val="00841B50"/>
    <w:rsid w:val="00887B2E"/>
    <w:rsid w:val="0089103C"/>
    <w:rsid w:val="008A6181"/>
    <w:rsid w:val="008B1C86"/>
    <w:rsid w:val="008C1BEE"/>
    <w:rsid w:val="008D2FC1"/>
    <w:rsid w:val="008F7B60"/>
    <w:rsid w:val="00912244"/>
    <w:rsid w:val="00926C6C"/>
    <w:rsid w:val="009342A5"/>
    <w:rsid w:val="0097132A"/>
    <w:rsid w:val="0099606F"/>
    <w:rsid w:val="009969CC"/>
    <w:rsid w:val="009A0006"/>
    <w:rsid w:val="009A5BF6"/>
    <w:rsid w:val="009B0F46"/>
    <w:rsid w:val="009B3623"/>
    <w:rsid w:val="009B3897"/>
    <w:rsid w:val="009B4A7D"/>
    <w:rsid w:val="009B5D10"/>
    <w:rsid w:val="009C3E2A"/>
    <w:rsid w:val="009C5F67"/>
    <w:rsid w:val="009D1E5D"/>
    <w:rsid w:val="009E406D"/>
    <w:rsid w:val="00A05B0C"/>
    <w:rsid w:val="00A2376F"/>
    <w:rsid w:val="00A62004"/>
    <w:rsid w:val="00A62329"/>
    <w:rsid w:val="00A626C5"/>
    <w:rsid w:val="00A73B74"/>
    <w:rsid w:val="00A73D66"/>
    <w:rsid w:val="00A751D7"/>
    <w:rsid w:val="00A834E9"/>
    <w:rsid w:val="00AA5B23"/>
    <w:rsid w:val="00AA7178"/>
    <w:rsid w:val="00AB0E31"/>
    <w:rsid w:val="00AB5D77"/>
    <w:rsid w:val="00AB7455"/>
    <w:rsid w:val="00AC2872"/>
    <w:rsid w:val="00AD191C"/>
    <w:rsid w:val="00B102F9"/>
    <w:rsid w:val="00B27D05"/>
    <w:rsid w:val="00B366C3"/>
    <w:rsid w:val="00B36D3D"/>
    <w:rsid w:val="00B50625"/>
    <w:rsid w:val="00B53874"/>
    <w:rsid w:val="00B56F9C"/>
    <w:rsid w:val="00B577AD"/>
    <w:rsid w:val="00B74630"/>
    <w:rsid w:val="00B85E81"/>
    <w:rsid w:val="00BA1FE5"/>
    <w:rsid w:val="00BB10C4"/>
    <w:rsid w:val="00BB5DD3"/>
    <w:rsid w:val="00BC215F"/>
    <w:rsid w:val="00BE08C2"/>
    <w:rsid w:val="00BE77D7"/>
    <w:rsid w:val="00BF53D6"/>
    <w:rsid w:val="00BF7D74"/>
    <w:rsid w:val="00C070D0"/>
    <w:rsid w:val="00C22385"/>
    <w:rsid w:val="00C34622"/>
    <w:rsid w:val="00C635B6"/>
    <w:rsid w:val="00C65DA7"/>
    <w:rsid w:val="00C82CBA"/>
    <w:rsid w:val="00C84D44"/>
    <w:rsid w:val="00C87C40"/>
    <w:rsid w:val="00C925D5"/>
    <w:rsid w:val="00C92C44"/>
    <w:rsid w:val="00CA26C5"/>
    <w:rsid w:val="00CB09A6"/>
    <w:rsid w:val="00CF7076"/>
    <w:rsid w:val="00D01934"/>
    <w:rsid w:val="00D37100"/>
    <w:rsid w:val="00D600E7"/>
    <w:rsid w:val="00D625E5"/>
    <w:rsid w:val="00D6412A"/>
    <w:rsid w:val="00D77641"/>
    <w:rsid w:val="00D83801"/>
    <w:rsid w:val="00D93D17"/>
    <w:rsid w:val="00DC0D75"/>
    <w:rsid w:val="00DC1D58"/>
    <w:rsid w:val="00DC6AAE"/>
    <w:rsid w:val="00DD31B7"/>
    <w:rsid w:val="00DD35BE"/>
    <w:rsid w:val="00DE3377"/>
    <w:rsid w:val="00DE37D8"/>
    <w:rsid w:val="00DE49A9"/>
    <w:rsid w:val="00DE502B"/>
    <w:rsid w:val="00E14E30"/>
    <w:rsid w:val="00E240B0"/>
    <w:rsid w:val="00E318FE"/>
    <w:rsid w:val="00E631D6"/>
    <w:rsid w:val="00EB2FB9"/>
    <w:rsid w:val="00EB5442"/>
    <w:rsid w:val="00EC6A8C"/>
    <w:rsid w:val="00ED7077"/>
    <w:rsid w:val="00EE4726"/>
    <w:rsid w:val="00F11DD2"/>
    <w:rsid w:val="00F16FE0"/>
    <w:rsid w:val="00F25143"/>
    <w:rsid w:val="00F275D0"/>
    <w:rsid w:val="00F31240"/>
    <w:rsid w:val="00F33DDA"/>
    <w:rsid w:val="00F408A1"/>
    <w:rsid w:val="00F40941"/>
    <w:rsid w:val="00F51F25"/>
    <w:rsid w:val="00F62443"/>
    <w:rsid w:val="00FA4186"/>
    <w:rsid w:val="00FB53F2"/>
    <w:rsid w:val="00FC1372"/>
    <w:rsid w:val="00FD75B3"/>
    <w:rsid w:val="00FE625C"/>
    <w:rsid w:val="00FF7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017FD2"/>
    <w:pPr>
      <w:ind w:left="720"/>
      <w:contextualSpacing/>
    </w:pPr>
  </w:style>
  <w:style w:type="paragraph" w:styleId="Revision">
    <w:name w:val="Revision"/>
    <w:hidden/>
    <w:uiPriority w:val="99"/>
    <w:semiHidden/>
    <w:rsid w:val="002F20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E39C-D235-4A0C-9D41-EA8C0F8720DF}"/>
</file>

<file path=customXml/itemProps2.xml><?xml version="1.0" encoding="utf-8"?>
<ds:datastoreItem xmlns:ds="http://schemas.openxmlformats.org/officeDocument/2006/customXml" ds:itemID="{3DA94A83-96CD-4DB0-8C34-6344EA71ACD3}">
  <ds:schemaRefs>
    <ds:schemaRef ds:uri="http://schemas.microsoft.com/sharepoint/v3/contenttype/forms"/>
  </ds:schemaRefs>
</ds:datastoreItem>
</file>

<file path=customXml/itemProps3.xml><?xml version="1.0" encoding="utf-8"?>
<ds:datastoreItem xmlns:ds="http://schemas.openxmlformats.org/officeDocument/2006/customXml" ds:itemID="{CDA47AA9-14F1-4996-95C4-64C779E492C4}">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4.xml><?xml version="1.0" encoding="utf-8"?>
<ds:datastoreItem xmlns:ds="http://schemas.openxmlformats.org/officeDocument/2006/customXml" ds:itemID="{C20FF5B5-EED0-41CE-B422-F4E5D4F4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CASA EX18/23 — Explanatory Statemetn</vt:lpstr>
    </vt:vector>
  </TitlesOfParts>
  <Company>Civil Aviation Safety Authority</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EX18/23 — Explanatory Statemetn</dc:title>
  <dc:subject>CASR Subpart 99.B DAMP Requirements for Foreign Air Transport AOC Holders Exemption 2023</dc:subject>
  <dc:creator>Civil Aviation Safety Authority</dc:creator>
  <cp:lastModifiedBy>Spesyvy, Nadia</cp:lastModifiedBy>
  <cp:revision>2</cp:revision>
  <dcterms:created xsi:type="dcterms:W3CDTF">2023-03-29T00:51:00Z</dcterms:created>
  <dcterms:modified xsi:type="dcterms:W3CDTF">2023-03-29T00:51:00Z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