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1FADE" w14:textId="77777777" w:rsidR="004C58B9" w:rsidRDefault="004C58B9" w:rsidP="004C58B9">
      <w:pPr>
        <w:jc w:val="center"/>
        <w:rPr>
          <w:rFonts w:ascii="Times New Roman" w:hAnsi="Times New Roman" w:cs="Times New Roman"/>
          <w:b/>
          <w:sz w:val="28"/>
          <w:szCs w:val="28"/>
        </w:rPr>
      </w:pPr>
      <w:r>
        <w:rPr>
          <w:rFonts w:ascii="Times New Roman" w:hAnsi="Times New Roman" w:cs="Times New Roman"/>
          <w:b/>
          <w:sz w:val="28"/>
          <w:szCs w:val="28"/>
        </w:rPr>
        <w:t>EXPLANATORY STATEMENT</w:t>
      </w:r>
    </w:p>
    <w:p w14:paraId="19E1CCC0" w14:textId="77777777" w:rsidR="004C58B9" w:rsidRDefault="004C58B9" w:rsidP="004C58B9">
      <w:pPr>
        <w:jc w:val="center"/>
        <w:rPr>
          <w:rFonts w:ascii="Times New Roman" w:hAnsi="Times New Roman" w:cs="Times New Roman"/>
        </w:rPr>
      </w:pPr>
      <w:r>
        <w:rPr>
          <w:rFonts w:ascii="Times New Roman" w:hAnsi="Times New Roman" w:cs="Times New Roman"/>
        </w:rPr>
        <w:t>Approved by the Australian Communications and Media Authority</w:t>
      </w:r>
    </w:p>
    <w:p w14:paraId="06789AC6" w14:textId="0D178C43" w:rsidR="004C58B9" w:rsidRDefault="00F37BCC" w:rsidP="004C58B9">
      <w:pPr>
        <w:jc w:val="center"/>
        <w:rPr>
          <w:rFonts w:ascii="Times New Roman" w:hAnsi="Times New Roman" w:cs="Times New Roman"/>
          <w:i/>
        </w:rPr>
      </w:pPr>
      <w:r>
        <w:rPr>
          <w:rFonts w:ascii="Times New Roman" w:hAnsi="Times New Roman" w:cs="Times New Roman"/>
          <w:i/>
        </w:rPr>
        <w:t>Telecommunications Act 1997</w:t>
      </w:r>
    </w:p>
    <w:p w14:paraId="5BD65A2C" w14:textId="07DD362F" w:rsidR="004C58B9" w:rsidRDefault="00F37BCC" w:rsidP="004C58B9">
      <w:pPr>
        <w:jc w:val="center"/>
        <w:rPr>
          <w:rFonts w:ascii="Times New Roman" w:hAnsi="Times New Roman" w:cs="Times New Roman"/>
          <w:b/>
          <w:i/>
        </w:rPr>
      </w:pPr>
      <w:r w:rsidRPr="00F37BCC">
        <w:rPr>
          <w:rFonts w:ascii="Times New Roman" w:hAnsi="Times New Roman" w:cs="Times New Roman"/>
          <w:b/>
          <w:i/>
        </w:rPr>
        <w:t>Telecommunications Legislation Amendment (Significant Event) Instrument (No. 1) 2023</w:t>
      </w:r>
    </w:p>
    <w:p w14:paraId="494E2552" w14:textId="77777777" w:rsidR="004C58B9" w:rsidRDefault="004C58B9" w:rsidP="004C58B9">
      <w:pPr>
        <w:spacing w:before="280"/>
        <w:rPr>
          <w:rFonts w:ascii="Times New Roman" w:hAnsi="Times New Roman" w:cs="Times New Roman"/>
          <w:b/>
        </w:rPr>
      </w:pPr>
      <w:r>
        <w:rPr>
          <w:rFonts w:ascii="Times New Roman" w:hAnsi="Times New Roman" w:cs="Times New Roman"/>
          <w:b/>
        </w:rPr>
        <w:t>Authority</w:t>
      </w:r>
    </w:p>
    <w:p w14:paraId="55FAA4BD" w14:textId="303E65F9" w:rsidR="004C58B9" w:rsidRDefault="004C58B9" w:rsidP="004C58B9">
      <w:pPr>
        <w:rPr>
          <w:rFonts w:ascii="Times New Roman" w:hAnsi="Times New Roman" w:cs="Times New Roman"/>
        </w:rPr>
      </w:pPr>
      <w:r>
        <w:rPr>
          <w:rFonts w:ascii="Times New Roman" w:hAnsi="Times New Roman" w:cs="Times New Roman"/>
        </w:rPr>
        <w:t>The Australian Communications and Media Authority (</w:t>
      </w:r>
      <w:r w:rsidRPr="00A91940">
        <w:rPr>
          <w:rFonts w:ascii="Times New Roman" w:hAnsi="Times New Roman" w:cs="Times New Roman"/>
          <w:b/>
        </w:rPr>
        <w:t>the</w:t>
      </w:r>
      <w:r>
        <w:rPr>
          <w:rFonts w:ascii="Times New Roman" w:hAnsi="Times New Roman" w:cs="Times New Roman"/>
          <w:b/>
        </w:rPr>
        <w:t xml:space="preserve"> ACMA</w:t>
      </w:r>
      <w:r>
        <w:rPr>
          <w:rFonts w:ascii="Times New Roman" w:hAnsi="Times New Roman" w:cs="Times New Roman"/>
        </w:rPr>
        <w:t xml:space="preserve">) has made the </w:t>
      </w:r>
      <w:r w:rsidR="00840A82" w:rsidRPr="00840A82">
        <w:rPr>
          <w:rFonts w:ascii="Times New Roman" w:hAnsi="Times New Roman" w:cs="Times New Roman"/>
          <w:i/>
        </w:rPr>
        <w:t>Telecommunications Legislation Amendment (Significant Event) Instrument (No. 1) 2023</w:t>
      </w:r>
      <w:r w:rsidR="00840A82">
        <w:rPr>
          <w:rFonts w:ascii="Times New Roman" w:hAnsi="Times New Roman" w:cs="Times New Roman"/>
          <w:i/>
        </w:rPr>
        <w:t xml:space="preserve"> </w:t>
      </w:r>
      <w:r>
        <w:rPr>
          <w:rFonts w:ascii="Times New Roman" w:hAnsi="Times New Roman" w:cs="Times New Roman"/>
        </w:rPr>
        <w:t>(</w:t>
      </w:r>
      <w:r w:rsidRPr="00A91940">
        <w:rPr>
          <w:rFonts w:ascii="Times New Roman" w:hAnsi="Times New Roman" w:cs="Times New Roman"/>
          <w:b/>
        </w:rPr>
        <w:t>the</w:t>
      </w:r>
      <w:r>
        <w:rPr>
          <w:rFonts w:ascii="Times New Roman" w:hAnsi="Times New Roman" w:cs="Times New Roman"/>
          <w:b/>
        </w:rPr>
        <w:t xml:space="preserve"> instrument</w:t>
      </w:r>
      <w:r>
        <w:rPr>
          <w:rFonts w:ascii="Times New Roman" w:hAnsi="Times New Roman" w:cs="Times New Roman"/>
        </w:rPr>
        <w:t xml:space="preserve">) under </w:t>
      </w:r>
      <w:r w:rsidR="00840A82">
        <w:rPr>
          <w:rFonts w:ascii="Times New Roman" w:hAnsi="Times New Roman" w:cs="Times New Roman"/>
        </w:rPr>
        <w:t>subsections 407(1) and 419(1)</w:t>
      </w:r>
      <w:r>
        <w:rPr>
          <w:rFonts w:ascii="Times New Roman" w:hAnsi="Times New Roman" w:cs="Times New Roman"/>
        </w:rPr>
        <w:t xml:space="preserve"> of the </w:t>
      </w:r>
      <w:r>
        <w:rPr>
          <w:rFonts w:ascii="Times New Roman" w:hAnsi="Times New Roman" w:cs="Times New Roman"/>
          <w:i/>
        </w:rPr>
        <w:t>T</w:t>
      </w:r>
      <w:r w:rsidR="005F49EF">
        <w:rPr>
          <w:rFonts w:ascii="Times New Roman" w:hAnsi="Times New Roman" w:cs="Times New Roman"/>
          <w:i/>
        </w:rPr>
        <w:t xml:space="preserve">elecommunications </w:t>
      </w:r>
      <w:r>
        <w:rPr>
          <w:rFonts w:ascii="Times New Roman" w:hAnsi="Times New Roman" w:cs="Times New Roman"/>
          <w:i/>
        </w:rPr>
        <w:t>Act</w:t>
      </w:r>
      <w:r w:rsidR="005F49EF">
        <w:rPr>
          <w:rFonts w:ascii="Times New Roman" w:hAnsi="Times New Roman" w:cs="Times New Roman"/>
        </w:rPr>
        <w:t xml:space="preserve"> </w:t>
      </w:r>
      <w:r w:rsidR="005F49EF" w:rsidRPr="005F49EF">
        <w:rPr>
          <w:rFonts w:ascii="Times New Roman" w:hAnsi="Times New Roman" w:cs="Times New Roman"/>
          <w:i/>
          <w:iCs/>
        </w:rPr>
        <w:t>1997</w:t>
      </w:r>
      <w:r>
        <w:rPr>
          <w:rFonts w:ascii="Times New Roman" w:hAnsi="Times New Roman" w:cs="Times New Roman"/>
        </w:rPr>
        <w:t xml:space="preserve"> (</w:t>
      </w:r>
      <w:r w:rsidRPr="00A91940">
        <w:rPr>
          <w:rFonts w:ascii="Times New Roman" w:hAnsi="Times New Roman" w:cs="Times New Roman"/>
          <w:b/>
        </w:rPr>
        <w:t>the</w:t>
      </w:r>
      <w:r>
        <w:rPr>
          <w:rFonts w:ascii="Times New Roman" w:hAnsi="Times New Roman" w:cs="Times New Roman"/>
          <w:b/>
        </w:rPr>
        <w:t xml:space="preserve"> Act</w:t>
      </w:r>
      <w:r>
        <w:rPr>
          <w:rFonts w:ascii="Times New Roman" w:hAnsi="Times New Roman" w:cs="Times New Roman"/>
        </w:rPr>
        <w:t>)</w:t>
      </w:r>
      <w:r w:rsidR="00755E89">
        <w:rPr>
          <w:rFonts w:ascii="Times New Roman" w:hAnsi="Times New Roman" w:cs="Times New Roman"/>
        </w:rPr>
        <w:t xml:space="preserve"> and subsection 33(3) of the </w:t>
      </w:r>
      <w:r w:rsidR="00755E89">
        <w:rPr>
          <w:rFonts w:ascii="Times New Roman" w:hAnsi="Times New Roman" w:cs="Times New Roman"/>
          <w:i/>
        </w:rPr>
        <w:t>Acts Interpretation Act 1901</w:t>
      </w:r>
      <w:r w:rsidR="00755E89">
        <w:rPr>
          <w:rFonts w:ascii="Times New Roman" w:hAnsi="Times New Roman" w:cs="Times New Roman"/>
        </w:rPr>
        <w:t xml:space="preserve"> (</w:t>
      </w:r>
      <w:r w:rsidR="00755E89" w:rsidRPr="00A91940">
        <w:rPr>
          <w:rFonts w:ascii="Times New Roman" w:hAnsi="Times New Roman" w:cs="Times New Roman"/>
          <w:b/>
        </w:rPr>
        <w:t>the</w:t>
      </w:r>
      <w:r w:rsidR="00755E89">
        <w:rPr>
          <w:rFonts w:ascii="Times New Roman" w:hAnsi="Times New Roman" w:cs="Times New Roman"/>
          <w:b/>
        </w:rPr>
        <w:t xml:space="preserve"> AIA</w:t>
      </w:r>
      <w:r w:rsidR="00755E89">
        <w:rPr>
          <w:rFonts w:ascii="Times New Roman" w:hAnsi="Times New Roman" w:cs="Times New Roman"/>
        </w:rPr>
        <w:t>).</w:t>
      </w:r>
    </w:p>
    <w:p w14:paraId="79FF3D5F" w14:textId="17B2C618" w:rsidR="00BB3AAF" w:rsidRDefault="00BB3AAF" w:rsidP="004C58B9">
      <w:pPr>
        <w:rPr>
          <w:rFonts w:ascii="Times New Roman" w:hAnsi="Times New Roman" w:cs="Times New Roman"/>
        </w:rPr>
      </w:pPr>
      <w:r>
        <w:rPr>
          <w:rFonts w:ascii="Times New Roman" w:hAnsi="Times New Roman" w:cs="Times New Roman"/>
        </w:rPr>
        <w:t xml:space="preserve">Subsection </w:t>
      </w:r>
      <w:r w:rsidR="00973B73">
        <w:rPr>
          <w:rFonts w:ascii="Times New Roman" w:hAnsi="Times New Roman" w:cs="Times New Roman"/>
        </w:rPr>
        <w:t>407(1)</w:t>
      </w:r>
      <w:r w:rsidR="008A47F1">
        <w:rPr>
          <w:rFonts w:ascii="Times New Roman" w:hAnsi="Times New Roman" w:cs="Times New Roman"/>
        </w:rPr>
        <w:t xml:space="preserve"> of the Act provides that </w:t>
      </w:r>
      <w:r w:rsidR="00287799">
        <w:rPr>
          <w:rFonts w:ascii="Times New Roman" w:hAnsi="Times New Roman" w:cs="Times New Roman"/>
        </w:rPr>
        <w:t>t</w:t>
      </w:r>
      <w:r w:rsidR="006F1CC7" w:rsidRPr="006F1CC7">
        <w:rPr>
          <w:rFonts w:ascii="Times New Roman" w:hAnsi="Times New Roman" w:cs="Times New Roman"/>
        </w:rPr>
        <w:t xml:space="preserve">he ACMA may, by written instrument, require any person who is a manufacturer or importer of specified customer equipment or specified customer cabling to apply to the equipment or cabling a label that indicates whether the equipment or cabling meets the requirements of the </w:t>
      </w:r>
      <w:r w:rsidR="00937946">
        <w:rPr>
          <w:rFonts w:ascii="Times New Roman" w:hAnsi="Times New Roman" w:cs="Times New Roman"/>
        </w:rPr>
        <w:t xml:space="preserve">standards made under section 376 of the </w:t>
      </w:r>
      <w:r w:rsidR="00A16DEB">
        <w:rPr>
          <w:rFonts w:ascii="Times New Roman" w:hAnsi="Times New Roman" w:cs="Times New Roman"/>
        </w:rPr>
        <w:t>Act (</w:t>
      </w:r>
      <w:r w:rsidR="005D2582">
        <w:rPr>
          <w:rFonts w:ascii="Times New Roman" w:hAnsi="Times New Roman" w:cs="Times New Roman"/>
          <w:b/>
          <w:bCs/>
        </w:rPr>
        <w:t>technical</w:t>
      </w:r>
      <w:r w:rsidR="006F1CC7" w:rsidRPr="00EB380B">
        <w:rPr>
          <w:rFonts w:ascii="Times New Roman" w:hAnsi="Times New Roman" w:cs="Times New Roman"/>
          <w:b/>
          <w:bCs/>
        </w:rPr>
        <w:t xml:space="preserve"> standards</w:t>
      </w:r>
      <w:r w:rsidR="00A16DEB">
        <w:rPr>
          <w:rFonts w:ascii="Times New Roman" w:hAnsi="Times New Roman" w:cs="Times New Roman"/>
        </w:rPr>
        <w:t>)</w:t>
      </w:r>
      <w:r w:rsidR="006F1CC7" w:rsidRPr="006F1CC7">
        <w:rPr>
          <w:rFonts w:ascii="Times New Roman" w:hAnsi="Times New Roman" w:cs="Times New Roman"/>
        </w:rPr>
        <w:t xml:space="preserve"> specified in th</w:t>
      </w:r>
      <w:r w:rsidR="00A16DEB">
        <w:rPr>
          <w:rFonts w:ascii="Times New Roman" w:hAnsi="Times New Roman" w:cs="Times New Roman"/>
        </w:rPr>
        <w:t>at written</w:t>
      </w:r>
      <w:r w:rsidR="006F1CC7" w:rsidRPr="006F1CC7">
        <w:rPr>
          <w:rFonts w:ascii="Times New Roman" w:hAnsi="Times New Roman" w:cs="Times New Roman"/>
        </w:rPr>
        <w:t xml:space="preserve"> instrument.</w:t>
      </w:r>
      <w:r w:rsidR="00F576F4">
        <w:rPr>
          <w:rFonts w:ascii="Times New Roman" w:hAnsi="Times New Roman" w:cs="Times New Roman"/>
        </w:rPr>
        <w:t xml:space="preserve"> Subsection 407(2) of the Act provides that an instrument under subsection 407(1) of the </w:t>
      </w:r>
      <w:r w:rsidR="00B01DE3">
        <w:rPr>
          <w:rFonts w:ascii="Times New Roman" w:hAnsi="Times New Roman" w:cs="Times New Roman"/>
        </w:rPr>
        <w:t>A</w:t>
      </w:r>
      <w:r w:rsidR="00F576F4">
        <w:rPr>
          <w:rFonts w:ascii="Times New Roman" w:hAnsi="Times New Roman" w:cs="Times New Roman"/>
        </w:rPr>
        <w:t>ct is a legislative instrument.</w:t>
      </w:r>
    </w:p>
    <w:p w14:paraId="0BBD4D24" w14:textId="4BFD0654" w:rsidR="003B49D3" w:rsidRDefault="00973B73" w:rsidP="004C58B9">
      <w:pPr>
        <w:rPr>
          <w:rFonts w:ascii="Times New Roman" w:hAnsi="Times New Roman" w:cs="Times New Roman"/>
        </w:rPr>
      </w:pPr>
      <w:r>
        <w:rPr>
          <w:rFonts w:ascii="Times New Roman" w:hAnsi="Times New Roman" w:cs="Times New Roman"/>
        </w:rPr>
        <w:t>Subsection 419(1)</w:t>
      </w:r>
      <w:r w:rsidR="00287799" w:rsidRPr="00287799">
        <w:rPr>
          <w:rFonts w:ascii="Times New Roman" w:hAnsi="Times New Roman" w:cs="Times New Roman"/>
        </w:rPr>
        <w:t xml:space="preserve"> </w:t>
      </w:r>
      <w:r w:rsidR="00287799">
        <w:rPr>
          <w:rFonts w:ascii="Times New Roman" w:hAnsi="Times New Roman" w:cs="Times New Roman"/>
        </w:rPr>
        <w:t>of the Act provides that t</w:t>
      </w:r>
      <w:r w:rsidR="00287799" w:rsidRPr="006F1CC7">
        <w:rPr>
          <w:rFonts w:ascii="Times New Roman" w:hAnsi="Times New Roman" w:cs="Times New Roman"/>
        </w:rPr>
        <w:t>he</w:t>
      </w:r>
      <w:r w:rsidR="00287799">
        <w:rPr>
          <w:rFonts w:ascii="Times New Roman" w:hAnsi="Times New Roman" w:cs="Times New Roman"/>
        </w:rPr>
        <w:t xml:space="preserve"> </w:t>
      </w:r>
      <w:r w:rsidR="003B49D3" w:rsidRPr="003B49D3">
        <w:rPr>
          <w:rFonts w:ascii="Times New Roman" w:hAnsi="Times New Roman" w:cs="Times New Roman"/>
        </w:rPr>
        <w:t>ACMA may, by legislative instrument, declare that a specified kind of cabling work is a type of cabling work for the purposes of Division</w:t>
      </w:r>
      <w:r w:rsidR="000742EC">
        <w:rPr>
          <w:rFonts w:ascii="Times New Roman" w:hAnsi="Times New Roman" w:cs="Times New Roman"/>
        </w:rPr>
        <w:t xml:space="preserve"> 9 of Part 21 of the Act</w:t>
      </w:r>
      <w:r w:rsidR="003B49D3" w:rsidRPr="003B49D3">
        <w:rPr>
          <w:rFonts w:ascii="Times New Roman" w:hAnsi="Times New Roman" w:cs="Times New Roman"/>
        </w:rPr>
        <w:t>.</w:t>
      </w:r>
    </w:p>
    <w:p w14:paraId="43A5A837" w14:textId="1DE51FBC" w:rsidR="007D1886" w:rsidRDefault="007D1886" w:rsidP="004C58B9">
      <w:pPr>
        <w:rPr>
          <w:rFonts w:ascii="Times New Roman" w:hAnsi="Times New Roman" w:cs="Times New Roman"/>
        </w:rPr>
      </w:pPr>
      <w:r>
        <w:rPr>
          <w:rFonts w:ascii="Times New Roman" w:hAnsi="Times New Roman" w:cs="Times New Roman"/>
        </w:rPr>
        <w:t>Subsection 33(3) of the AIA relevantly provides that where an Act confers a power to make a legislative instrument, the power shall be construed as including a power exercisable in the like manner and subject to the like conditions (if any) to repeal, rescind, revoke, amend, or vary any such instrument.</w:t>
      </w:r>
    </w:p>
    <w:p w14:paraId="7D900AC6" w14:textId="77777777" w:rsidR="004C58B9" w:rsidRDefault="004C58B9" w:rsidP="004C58B9">
      <w:pPr>
        <w:rPr>
          <w:rFonts w:ascii="Times New Roman" w:hAnsi="Times New Roman" w:cs="Times New Roman"/>
          <w:b/>
        </w:rPr>
      </w:pPr>
      <w:r>
        <w:rPr>
          <w:rFonts w:ascii="Times New Roman" w:hAnsi="Times New Roman" w:cs="Times New Roman"/>
          <w:b/>
        </w:rPr>
        <w:t>Purpose and operation of the instrument</w:t>
      </w:r>
    </w:p>
    <w:p w14:paraId="6CB839B3" w14:textId="3AC00653" w:rsidR="005E3444" w:rsidRDefault="005E3444" w:rsidP="007F70F5">
      <w:pPr>
        <w:autoSpaceDE w:val="0"/>
        <w:autoSpaceDN w:val="0"/>
        <w:adjustRightInd w:val="0"/>
        <w:spacing w:after="0" w:line="240" w:lineRule="auto"/>
        <w:rPr>
          <w:rFonts w:ascii="Times New Roman" w:hAnsi="Times New Roman" w:cs="Times New Roman"/>
          <w:i/>
          <w:iCs/>
        </w:rPr>
      </w:pPr>
      <w:r w:rsidRPr="005E3444">
        <w:rPr>
          <w:rFonts w:ascii="Times New Roman" w:hAnsi="Times New Roman" w:cs="Times New Roman"/>
          <w:i/>
          <w:iCs/>
        </w:rPr>
        <w:t>Background</w:t>
      </w:r>
    </w:p>
    <w:p w14:paraId="5D599626" w14:textId="649ACCD4" w:rsidR="00B724B2" w:rsidRPr="004E20E2" w:rsidRDefault="00362D83" w:rsidP="00EB380B">
      <w:pPr>
        <w:spacing w:before="160" w:after="80" w:line="257" w:lineRule="auto"/>
      </w:pPr>
      <w:r w:rsidRPr="00EB380B">
        <w:rPr>
          <w:rFonts w:ascii="Times New Roman" w:hAnsi="Times New Roman" w:cs="Times New Roman"/>
        </w:rPr>
        <w:t xml:space="preserve">The ACMA has responsibility for the technical regulation of customer equipment and customer cabling under the Act. The regulatory arrangements include: </w:t>
      </w:r>
    </w:p>
    <w:p w14:paraId="13101196" w14:textId="62DC9C9E" w:rsidR="00362D83" w:rsidRPr="00B724B2" w:rsidRDefault="00362D83" w:rsidP="00EB380B">
      <w:pPr>
        <w:pStyle w:val="Default"/>
        <w:numPr>
          <w:ilvl w:val="0"/>
          <w:numId w:val="19"/>
        </w:numPr>
        <w:spacing w:after="80"/>
        <w:ind w:left="714" w:hanging="357"/>
        <w:rPr>
          <w:sz w:val="20"/>
          <w:szCs w:val="20"/>
        </w:rPr>
      </w:pPr>
      <w:r w:rsidRPr="00B724B2">
        <w:rPr>
          <w:sz w:val="22"/>
          <w:szCs w:val="22"/>
        </w:rPr>
        <w:t>an instrument made by the ACMA under subsection 407(1) of the Act, namely the</w:t>
      </w:r>
      <w:r w:rsidRPr="00B724B2">
        <w:rPr>
          <w:i/>
          <w:iCs/>
          <w:sz w:val="22"/>
          <w:szCs w:val="22"/>
        </w:rPr>
        <w:t xml:space="preserve"> Telecommunications (Labelling Notice for Customer Equipment and Customer Cabling) Instrument 2015 </w:t>
      </w:r>
      <w:r w:rsidRPr="00B724B2">
        <w:rPr>
          <w:sz w:val="22"/>
          <w:szCs w:val="22"/>
        </w:rPr>
        <w:t>(</w:t>
      </w:r>
      <w:r w:rsidRPr="00A91940">
        <w:rPr>
          <w:b/>
          <w:sz w:val="22"/>
          <w:szCs w:val="22"/>
        </w:rPr>
        <w:t>the</w:t>
      </w:r>
      <w:r w:rsidRPr="00D917C6">
        <w:rPr>
          <w:b/>
          <w:bCs/>
          <w:sz w:val="22"/>
          <w:szCs w:val="22"/>
        </w:rPr>
        <w:t xml:space="preserve"> </w:t>
      </w:r>
      <w:r w:rsidR="0024708F" w:rsidRPr="00D917C6">
        <w:rPr>
          <w:b/>
          <w:bCs/>
          <w:sz w:val="22"/>
          <w:szCs w:val="22"/>
        </w:rPr>
        <w:t xml:space="preserve">Telecommunications </w:t>
      </w:r>
      <w:r w:rsidRPr="00B724B2">
        <w:rPr>
          <w:b/>
          <w:bCs/>
          <w:sz w:val="22"/>
          <w:szCs w:val="22"/>
        </w:rPr>
        <w:t>Labelling Notice</w:t>
      </w:r>
      <w:r w:rsidRPr="00B724B2">
        <w:rPr>
          <w:sz w:val="22"/>
          <w:szCs w:val="22"/>
        </w:rPr>
        <w:t>); and</w:t>
      </w:r>
    </w:p>
    <w:p w14:paraId="01A219ED" w14:textId="61C623A0" w:rsidR="00BD498F" w:rsidRDefault="00BD498F" w:rsidP="00EB380B">
      <w:pPr>
        <w:pStyle w:val="ListParagraph"/>
        <w:numPr>
          <w:ilvl w:val="0"/>
          <w:numId w:val="18"/>
        </w:numPr>
        <w:autoSpaceDE w:val="0"/>
        <w:autoSpaceDN w:val="0"/>
        <w:adjustRightInd w:val="0"/>
        <w:spacing w:line="240" w:lineRule="auto"/>
        <w:ind w:left="714" w:hanging="357"/>
        <w:rPr>
          <w:rFonts w:ascii="Times New Roman" w:hAnsi="Times New Roman" w:cs="Times New Roman"/>
        </w:rPr>
      </w:pPr>
      <w:r w:rsidRPr="00362D83">
        <w:rPr>
          <w:rFonts w:ascii="Times New Roman" w:hAnsi="Times New Roman" w:cs="Times New Roman"/>
        </w:rPr>
        <w:t>an instrument made by the ACMA under subsection 4</w:t>
      </w:r>
      <w:r w:rsidR="00B724B2">
        <w:rPr>
          <w:rFonts w:ascii="Times New Roman" w:hAnsi="Times New Roman" w:cs="Times New Roman"/>
        </w:rPr>
        <w:t>19</w:t>
      </w:r>
      <w:r w:rsidRPr="00362D83">
        <w:rPr>
          <w:rFonts w:ascii="Times New Roman" w:hAnsi="Times New Roman" w:cs="Times New Roman"/>
        </w:rPr>
        <w:t>(1) of the Act, namely the</w:t>
      </w:r>
      <w:r w:rsidR="00B724B2">
        <w:rPr>
          <w:rFonts w:ascii="Times New Roman" w:hAnsi="Times New Roman" w:cs="Times New Roman"/>
        </w:rPr>
        <w:t xml:space="preserve"> </w:t>
      </w:r>
      <w:r w:rsidR="00B724B2" w:rsidRPr="007F70F5">
        <w:rPr>
          <w:rFonts w:ascii="Times New Roman" w:hAnsi="Times New Roman" w:cs="Times New Roman"/>
          <w:i/>
          <w:iCs/>
        </w:rPr>
        <w:t xml:space="preserve">Telecommunications (Types of Cabling Work) Declaration 2013 </w:t>
      </w:r>
      <w:r w:rsidR="00B724B2" w:rsidRPr="007F70F5">
        <w:rPr>
          <w:rFonts w:ascii="Times New Roman" w:hAnsi="Times New Roman" w:cs="Times New Roman"/>
        </w:rPr>
        <w:t>(</w:t>
      </w:r>
      <w:r w:rsidR="00B724B2" w:rsidRPr="00A91940">
        <w:rPr>
          <w:rFonts w:ascii="Times New Roman" w:hAnsi="Times New Roman" w:cs="Times New Roman"/>
          <w:b/>
        </w:rPr>
        <w:t>the</w:t>
      </w:r>
      <w:r w:rsidR="00B724B2" w:rsidRPr="007F70F5">
        <w:rPr>
          <w:rFonts w:ascii="Times New Roman" w:hAnsi="Times New Roman" w:cs="Times New Roman"/>
        </w:rPr>
        <w:t xml:space="preserve"> </w:t>
      </w:r>
      <w:r w:rsidR="00B724B2" w:rsidRPr="00B724B2">
        <w:rPr>
          <w:rFonts w:ascii="Times New Roman" w:hAnsi="Times New Roman" w:cs="Times New Roman"/>
          <w:b/>
          <w:bCs/>
        </w:rPr>
        <w:t>Declaration</w:t>
      </w:r>
      <w:r w:rsidR="00B724B2" w:rsidRPr="007F70F5">
        <w:rPr>
          <w:rFonts w:ascii="Times New Roman" w:hAnsi="Times New Roman" w:cs="Times New Roman"/>
        </w:rPr>
        <w:t>)</w:t>
      </w:r>
      <w:r w:rsidR="00B724B2">
        <w:rPr>
          <w:rFonts w:ascii="Times New Roman" w:hAnsi="Times New Roman" w:cs="Times New Roman"/>
        </w:rPr>
        <w:t>.</w:t>
      </w:r>
    </w:p>
    <w:p w14:paraId="73C4FC10" w14:textId="280EC6C5" w:rsidR="000B5E7F" w:rsidRPr="000B5E7F" w:rsidRDefault="000B5E7F" w:rsidP="00EB380B">
      <w:pPr>
        <w:autoSpaceDE w:val="0"/>
        <w:autoSpaceDN w:val="0"/>
        <w:adjustRightInd w:val="0"/>
        <w:spacing w:line="257" w:lineRule="auto"/>
        <w:rPr>
          <w:rFonts w:ascii="Times New Roman" w:hAnsi="Times New Roman" w:cs="Times New Roman"/>
        </w:rPr>
      </w:pPr>
      <w:r>
        <w:rPr>
          <w:rFonts w:ascii="Times New Roman" w:hAnsi="Times New Roman" w:cs="Times New Roman"/>
        </w:rPr>
        <w:t xml:space="preserve">Both the </w:t>
      </w:r>
      <w:r w:rsidR="0024708F">
        <w:rPr>
          <w:rFonts w:ascii="Times New Roman" w:hAnsi="Times New Roman" w:cs="Times New Roman"/>
        </w:rPr>
        <w:t xml:space="preserve">Telecommunications </w:t>
      </w:r>
      <w:r>
        <w:rPr>
          <w:rFonts w:ascii="Times New Roman" w:hAnsi="Times New Roman" w:cs="Times New Roman"/>
        </w:rPr>
        <w:t xml:space="preserve">Labelling Notice and the Declaration provide a definition of </w:t>
      </w:r>
      <w:r w:rsidR="000846EB">
        <w:rPr>
          <w:rFonts w:ascii="Times New Roman" w:hAnsi="Times New Roman" w:cs="Times New Roman"/>
        </w:rPr>
        <w:t>the term</w:t>
      </w:r>
      <w:r>
        <w:rPr>
          <w:rFonts w:ascii="Times New Roman" w:hAnsi="Times New Roman" w:cs="Times New Roman"/>
        </w:rPr>
        <w:t xml:space="preserve"> </w:t>
      </w:r>
      <w:r w:rsidR="006A0A49">
        <w:rPr>
          <w:rFonts w:ascii="Times New Roman" w:hAnsi="Times New Roman" w:cs="Times New Roman"/>
        </w:rPr>
        <w:t>‘</w:t>
      </w:r>
      <w:r w:rsidRPr="00EB380B">
        <w:rPr>
          <w:rFonts w:ascii="Times New Roman" w:hAnsi="Times New Roman" w:cs="Times New Roman"/>
        </w:rPr>
        <w:t>significant event</w:t>
      </w:r>
      <w:r w:rsidR="006A0A49">
        <w:rPr>
          <w:rFonts w:ascii="Times New Roman" w:hAnsi="Times New Roman" w:cs="Times New Roman"/>
        </w:rPr>
        <w:t>’</w:t>
      </w:r>
      <w:r w:rsidR="00792437">
        <w:rPr>
          <w:rFonts w:ascii="Times New Roman" w:hAnsi="Times New Roman" w:cs="Times New Roman"/>
        </w:rPr>
        <w:t xml:space="preserve">. </w:t>
      </w:r>
      <w:r w:rsidR="00792437" w:rsidRPr="00EB380B">
        <w:rPr>
          <w:rFonts w:ascii="Times New Roman" w:hAnsi="Times New Roman" w:cs="Times New Roman"/>
        </w:rPr>
        <w:t>Before the</w:t>
      </w:r>
      <w:r w:rsidR="00A626EF" w:rsidRPr="00EB380B">
        <w:rPr>
          <w:rFonts w:ascii="Times New Roman" w:hAnsi="Times New Roman" w:cs="Times New Roman"/>
        </w:rPr>
        <w:t xml:space="preserve"> co</w:t>
      </w:r>
      <w:r w:rsidR="00D65EA4" w:rsidRPr="00EB380B">
        <w:rPr>
          <w:rFonts w:ascii="Times New Roman" w:hAnsi="Times New Roman" w:cs="Times New Roman"/>
        </w:rPr>
        <w:t>mmencement</w:t>
      </w:r>
      <w:r w:rsidR="00792437" w:rsidRPr="00EB380B">
        <w:rPr>
          <w:rFonts w:ascii="Times New Roman" w:hAnsi="Times New Roman" w:cs="Times New Roman"/>
        </w:rPr>
        <w:t xml:space="preserve"> of the instrument</w:t>
      </w:r>
      <w:r w:rsidR="006A0A49" w:rsidRPr="00EB380B">
        <w:rPr>
          <w:rFonts w:ascii="Times New Roman" w:hAnsi="Times New Roman" w:cs="Times New Roman"/>
        </w:rPr>
        <w:t>,</w:t>
      </w:r>
      <w:r w:rsidR="002B2107" w:rsidRPr="00EB380B">
        <w:rPr>
          <w:rFonts w:ascii="Times New Roman" w:hAnsi="Times New Roman" w:cs="Times New Roman"/>
        </w:rPr>
        <w:t xml:space="preserve"> the term was defined </w:t>
      </w:r>
      <w:r w:rsidR="00F34BEE" w:rsidRPr="00EB380B">
        <w:rPr>
          <w:rFonts w:ascii="Times New Roman" w:hAnsi="Times New Roman" w:cs="Times New Roman"/>
        </w:rPr>
        <w:t>as</w:t>
      </w:r>
      <w:r>
        <w:rPr>
          <w:rFonts w:ascii="Times New Roman" w:hAnsi="Times New Roman" w:cs="Times New Roman"/>
        </w:rPr>
        <w:t xml:space="preserve"> an event at a </w:t>
      </w:r>
      <w:r w:rsidRPr="00632EAE">
        <w:rPr>
          <w:rFonts w:ascii="Times New Roman" w:hAnsi="Times New Roman" w:cs="Times New Roman"/>
        </w:rPr>
        <w:t>specified location or locations</w:t>
      </w:r>
      <w:r w:rsidR="004E20E2">
        <w:rPr>
          <w:rFonts w:ascii="Times New Roman" w:hAnsi="Times New Roman" w:cs="Times New Roman"/>
        </w:rPr>
        <w:t xml:space="preserve"> </w:t>
      </w:r>
      <w:r w:rsidR="00F422FA">
        <w:rPr>
          <w:rFonts w:ascii="Times New Roman" w:hAnsi="Times New Roman" w:cs="Times New Roman"/>
        </w:rPr>
        <w:t>approved</w:t>
      </w:r>
      <w:r w:rsidR="004E20E2">
        <w:rPr>
          <w:rFonts w:ascii="Times New Roman" w:hAnsi="Times New Roman" w:cs="Times New Roman"/>
        </w:rPr>
        <w:t xml:space="preserve"> by the Chair of the ACM</w:t>
      </w:r>
      <w:r w:rsidR="00605887">
        <w:rPr>
          <w:rFonts w:ascii="Times New Roman" w:hAnsi="Times New Roman" w:cs="Times New Roman"/>
        </w:rPr>
        <w:t>A and</w:t>
      </w:r>
      <w:r w:rsidRPr="00632EAE">
        <w:rPr>
          <w:rFonts w:ascii="Times New Roman" w:hAnsi="Times New Roman" w:cs="Times New Roman"/>
        </w:rPr>
        <w:t xml:space="preserve"> notified on the</w:t>
      </w:r>
      <w:r w:rsidR="00C106DC">
        <w:rPr>
          <w:rFonts w:ascii="Times New Roman" w:hAnsi="Times New Roman" w:cs="Times New Roman"/>
        </w:rPr>
        <w:t xml:space="preserve"> ACMA</w:t>
      </w:r>
      <w:r w:rsidRPr="00632EAE">
        <w:rPr>
          <w:rFonts w:ascii="Times New Roman" w:hAnsi="Times New Roman" w:cs="Times New Roman"/>
        </w:rPr>
        <w:t xml:space="preserve"> website</w:t>
      </w:r>
      <w:r w:rsidR="006F48BE">
        <w:rPr>
          <w:rFonts w:ascii="Times New Roman" w:hAnsi="Times New Roman" w:cs="Times New Roman"/>
        </w:rPr>
        <w:t xml:space="preserve"> at</w:t>
      </w:r>
      <w:r w:rsidRPr="00632EAE">
        <w:rPr>
          <w:rFonts w:ascii="Times New Roman" w:hAnsi="Times New Roman" w:cs="Times New Roman"/>
        </w:rPr>
        <w:t xml:space="preserve"> </w:t>
      </w:r>
      <w:hyperlink r:id="rId12" w:history="1">
        <w:r w:rsidR="006A0A49" w:rsidRPr="00294DA4">
          <w:rPr>
            <w:rStyle w:val="Hyperlink"/>
            <w:rFonts w:ascii="Times New Roman" w:hAnsi="Times New Roman" w:cs="Times New Roman"/>
          </w:rPr>
          <w:t>www.acma.gov.au</w:t>
        </w:r>
      </w:hyperlink>
      <w:r w:rsidR="000824C0">
        <w:rPr>
          <w:rFonts w:ascii="Times New Roman" w:hAnsi="Times New Roman" w:cs="Times New Roman"/>
        </w:rPr>
        <w:t xml:space="preserve">. </w:t>
      </w:r>
    </w:p>
    <w:p w14:paraId="76838D86" w14:textId="7640C1D6" w:rsidR="00B91F81" w:rsidRPr="004E20E2" w:rsidRDefault="007B76DE" w:rsidP="0087045F">
      <w:pPr>
        <w:pStyle w:val="Default"/>
      </w:pPr>
      <w:r w:rsidRPr="00FB4CC9">
        <w:rPr>
          <w:color w:val="auto"/>
          <w:sz w:val="22"/>
          <w:szCs w:val="22"/>
        </w:rPr>
        <w:t xml:space="preserve">The </w:t>
      </w:r>
      <w:r w:rsidR="0024708F" w:rsidRPr="00FB4CC9">
        <w:rPr>
          <w:color w:val="auto"/>
          <w:sz w:val="22"/>
          <w:szCs w:val="22"/>
        </w:rPr>
        <w:t xml:space="preserve">Telecommunications </w:t>
      </w:r>
      <w:r w:rsidRPr="00FB4CC9">
        <w:rPr>
          <w:color w:val="auto"/>
          <w:sz w:val="22"/>
          <w:szCs w:val="22"/>
        </w:rPr>
        <w:t xml:space="preserve">Labelling Notice applies to items of </w:t>
      </w:r>
      <w:r w:rsidR="008A606A" w:rsidRPr="00FB4CC9">
        <w:rPr>
          <w:color w:val="auto"/>
          <w:sz w:val="22"/>
          <w:szCs w:val="22"/>
        </w:rPr>
        <w:t xml:space="preserve">specified </w:t>
      </w:r>
      <w:r w:rsidRPr="00FB4CC9">
        <w:rPr>
          <w:color w:val="auto"/>
          <w:sz w:val="22"/>
          <w:szCs w:val="22"/>
        </w:rPr>
        <w:t xml:space="preserve">customer equipment and </w:t>
      </w:r>
      <w:r w:rsidR="008A606A" w:rsidRPr="00FB4CC9">
        <w:rPr>
          <w:color w:val="auto"/>
          <w:sz w:val="22"/>
          <w:szCs w:val="22"/>
        </w:rPr>
        <w:t xml:space="preserve">specified </w:t>
      </w:r>
      <w:r w:rsidRPr="00FB4CC9">
        <w:rPr>
          <w:color w:val="auto"/>
          <w:sz w:val="22"/>
          <w:szCs w:val="22"/>
        </w:rPr>
        <w:t xml:space="preserve">customer cabling. The </w:t>
      </w:r>
      <w:r w:rsidR="0024708F" w:rsidRPr="00FB4CC9">
        <w:rPr>
          <w:color w:val="auto"/>
          <w:sz w:val="22"/>
          <w:szCs w:val="22"/>
        </w:rPr>
        <w:t xml:space="preserve">Telecommunications </w:t>
      </w:r>
      <w:r w:rsidRPr="00FB4CC9">
        <w:rPr>
          <w:color w:val="auto"/>
          <w:sz w:val="22"/>
          <w:szCs w:val="22"/>
        </w:rPr>
        <w:t xml:space="preserve">Labelling Notice requires </w:t>
      </w:r>
      <w:r w:rsidR="00B06EBA" w:rsidRPr="00FB4CC9">
        <w:rPr>
          <w:color w:val="auto"/>
          <w:sz w:val="22"/>
          <w:szCs w:val="22"/>
        </w:rPr>
        <w:t>manufacturers or importers</w:t>
      </w:r>
      <w:r w:rsidR="00F41757" w:rsidRPr="00FB4CC9">
        <w:rPr>
          <w:color w:val="auto"/>
          <w:sz w:val="22"/>
          <w:szCs w:val="22"/>
        </w:rPr>
        <w:t xml:space="preserve"> </w:t>
      </w:r>
      <w:r w:rsidR="000824C0" w:rsidRPr="00FB4CC9">
        <w:rPr>
          <w:sz w:val="22"/>
          <w:szCs w:val="22"/>
        </w:rPr>
        <w:t xml:space="preserve">of items of </w:t>
      </w:r>
      <w:r w:rsidR="00F55D5D" w:rsidRPr="00FB4CC9">
        <w:rPr>
          <w:sz w:val="22"/>
          <w:szCs w:val="22"/>
        </w:rPr>
        <w:t xml:space="preserve">the </w:t>
      </w:r>
      <w:r w:rsidR="000824C0" w:rsidRPr="00FB4CC9">
        <w:rPr>
          <w:sz w:val="22"/>
          <w:szCs w:val="22"/>
        </w:rPr>
        <w:t xml:space="preserve">equipment or cabling </w:t>
      </w:r>
      <w:r w:rsidR="00F41757" w:rsidRPr="00FB4CC9">
        <w:rPr>
          <w:color w:val="auto"/>
          <w:sz w:val="22"/>
          <w:szCs w:val="22"/>
        </w:rPr>
        <w:t>to apply a label</w:t>
      </w:r>
      <w:r w:rsidR="000824C0" w:rsidRPr="00FB4CC9">
        <w:rPr>
          <w:sz w:val="22"/>
          <w:szCs w:val="22"/>
        </w:rPr>
        <w:t xml:space="preserve"> to </w:t>
      </w:r>
      <w:r w:rsidR="006B4AEB" w:rsidRPr="00FB4CC9">
        <w:rPr>
          <w:sz w:val="22"/>
          <w:szCs w:val="22"/>
        </w:rPr>
        <w:t>each</w:t>
      </w:r>
      <w:r w:rsidR="000824C0" w:rsidRPr="00FB4CC9">
        <w:rPr>
          <w:sz w:val="22"/>
          <w:szCs w:val="22"/>
        </w:rPr>
        <w:t xml:space="preserve"> item</w:t>
      </w:r>
      <w:r w:rsidR="00F41757" w:rsidRPr="00FB4CC9">
        <w:rPr>
          <w:color w:val="auto"/>
          <w:sz w:val="22"/>
          <w:szCs w:val="22"/>
        </w:rPr>
        <w:t xml:space="preserve">, </w:t>
      </w:r>
      <w:r w:rsidR="009173AF" w:rsidRPr="00FB4CC9">
        <w:rPr>
          <w:color w:val="auto"/>
          <w:sz w:val="22"/>
          <w:szCs w:val="22"/>
        </w:rPr>
        <w:t xml:space="preserve">to </w:t>
      </w:r>
      <w:r w:rsidRPr="00FB4CC9">
        <w:rPr>
          <w:color w:val="auto"/>
          <w:sz w:val="22"/>
          <w:szCs w:val="22"/>
        </w:rPr>
        <w:t>indicat</w:t>
      </w:r>
      <w:r w:rsidR="009173AF" w:rsidRPr="00FB4CC9">
        <w:rPr>
          <w:color w:val="auto"/>
          <w:sz w:val="22"/>
          <w:szCs w:val="22"/>
        </w:rPr>
        <w:t>e</w:t>
      </w:r>
      <w:r w:rsidRPr="00FB4CC9">
        <w:rPr>
          <w:color w:val="auto"/>
          <w:sz w:val="22"/>
          <w:szCs w:val="22"/>
        </w:rPr>
        <w:t xml:space="preserve"> </w:t>
      </w:r>
      <w:r w:rsidR="000824C0" w:rsidRPr="00FB4CC9">
        <w:rPr>
          <w:sz w:val="22"/>
          <w:szCs w:val="22"/>
        </w:rPr>
        <w:t>the</w:t>
      </w:r>
      <w:r w:rsidR="009173AF" w:rsidRPr="00FB4CC9">
        <w:rPr>
          <w:color w:val="auto"/>
          <w:sz w:val="22"/>
          <w:szCs w:val="22"/>
        </w:rPr>
        <w:t xml:space="preserve"> </w:t>
      </w:r>
      <w:r w:rsidRPr="00FB4CC9">
        <w:rPr>
          <w:color w:val="auto"/>
          <w:sz w:val="22"/>
          <w:szCs w:val="22"/>
        </w:rPr>
        <w:t>item</w:t>
      </w:r>
      <w:r w:rsidR="009173AF" w:rsidRPr="00FB4CC9">
        <w:rPr>
          <w:color w:val="auto"/>
          <w:sz w:val="22"/>
          <w:szCs w:val="22"/>
        </w:rPr>
        <w:t xml:space="preserve">’s compliance or non-compliance </w:t>
      </w:r>
      <w:r w:rsidRPr="00FB4CC9">
        <w:rPr>
          <w:color w:val="auto"/>
          <w:sz w:val="22"/>
          <w:szCs w:val="22"/>
        </w:rPr>
        <w:t xml:space="preserve">with </w:t>
      </w:r>
      <w:r w:rsidR="000824C0" w:rsidRPr="00FB4CC9">
        <w:rPr>
          <w:sz w:val="22"/>
          <w:szCs w:val="22"/>
        </w:rPr>
        <w:t>any</w:t>
      </w:r>
      <w:r w:rsidR="000824C0" w:rsidRPr="00FB4CC9">
        <w:rPr>
          <w:color w:val="auto"/>
          <w:sz w:val="22"/>
          <w:szCs w:val="22"/>
        </w:rPr>
        <w:t xml:space="preserve"> </w:t>
      </w:r>
      <w:r w:rsidR="00BA7949" w:rsidRPr="00FB4CC9">
        <w:rPr>
          <w:color w:val="auto"/>
          <w:sz w:val="22"/>
          <w:szCs w:val="22"/>
        </w:rPr>
        <w:t xml:space="preserve">applicable </w:t>
      </w:r>
      <w:r w:rsidRPr="00FB4CC9">
        <w:rPr>
          <w:color w:val="auto"/>
          <w:sz w:val="22"/>
          <w:szCs w:val="22"/>
        </w:rPr>
        <w:t xml:space="preserve">technical </w:t>
      </w:r>
      <w:r w:rsidR="00E158BA" w:rsidRPr="00FB4CC9">
        <w:rPr>
          <w:color w:val="auto"/>
          <w:sz w:val="22"/>
          <w:szCs w:val="22"/>
        </w:rPr>
        <w:t>standards</w:t>
      </w:r>
      <w:r w:rsidRPr="00EB380B">
        <w:rPr>
          <w:color w:val="auto"/>
          <w:sz w:val="22"/>
          <w:szCs w:val="22"/>
        </w:rPr>
        <w:t xml:space="preserve">. The </w:t>
      </w:r>
      <w:r w:rsidR="0024708F" w:rsidRPr="00EB380B">
        <w:rPr>
          <w:color w:val="auto"/>
          <w:sz w:val="22"/>
          <w:szCs w:val="22"/>
        </w:rPr>
        <w:t xml:space="preserve">Telecommunications </w:t>
      </w:r>
      <w:r w:rsidRPr="00EB380B">
        <w:rPr>
          <w:color w:val="auto"/>
          <w:sz w:val="22"/>
          <w:szCs w:val="22"/>
        </w:rPr>
        <w:t xml:space="preserve">Labelling Notice also requires certain records to be kept in relation to </w:t>
      </w:r>
      <w:r w:rsidRPr="00803D2C">
        <w:rPr>
          <w:sz w:val="22"/>
          <w:szCs w:val="22"/>
        </w:rPr>
        <w:t>an</w:t>
      </w:r>
      <w:r w:rsidRPr="0087045F">
        <w:t xml:space="preserve"> </w:t>
      </w:r>
      <w:r w:rsidRPr="00EB380B">
        <w:rPr>
          <w:color w:val="auto"/>
          <w:sz w:val="22"/>
          <w:szCs w:val="22"/>
        </w:rPr>
        <w:t>item</w:t>
      </w:r>
      <w:r w:rsidR="000824C0">
        <w:t xml:space="preserve"> </w:t>
      </w:r>
      <w:r w:rsidR="000824C0" w:rsidRPr="00803D2C">
        <w:rPr>
          <w:sz w:val="22"/>
          <w:szCs w:val="22"/>
        </w:rPr>
        <w:t>so labelled</w:t>
      </w:r>
      <w:r w:rsidRPr="00EB380B">
        <w:rPr>
          <w:color w:val="auto"/>
          <w:sz w:val="22"/>
          <w:szCs w:val="22"/>
        </w:rPr>
        <w:t xml:space="preserve">. </w:t>
      </w:r>
      <w:r w:rsidR="000824C0" w:rsidRPr="00803D2C">
        <w:rPr>
          <w:sz w:val="22"/>
          <w:szCs w:val="22"/>
        </w:rPr>
        <w:t xml:space="preserve">Subject to some exceptions, </w:t>
      </w:r>
      <w:r w:rsidR="000B2F0D" w:rsidRPr="00803D2C">
        <w:rPr>
          <w:sz w:val="22"/>
          <w:szCs w:val="22"/>
        </w:rPr>
        <w:t>it is an offence to connect</w:t>
      </w:r>
      <w:r w:rsidR="000B2F0D">
        <w:t xml:space="preserve"> </w:t>
      </w:r>
      <w:r w:rsidR="000824C0">
        <w:t>c</w:t>
      </w:r>
      <w:r w:rsidR="002C7518" w:rsidRPr="00EB380B">
        <w:rPr>
          <w:color w:val="auto"/>
          <w:sz w:val="22"/>
          <w:szCs w:val="22"/>
        </w:rPr>
        <w:t xml:space="preserve">ustomer equipment or customer cabling </w:t>
      </w:r>
      <w:r w:rsidR="000824C0" w:rsidRPr="00803D2C">
        <w:rPr>
          <w:sz w:val="22"/>
          <w:szCs w:val="22"/>
        </w:rPr>
        <w:t xml:space="preserve">that is </w:t>
      </w:r>
      <w:r w:rsidR="004B6092" w:rsidRPr="00803D2C">
        <w:rPr>
          <w:sz w:val="22"/>
          <w:szCs w:val="22"/>
        </w:rPr>
        <w:t xml:space="preserve">required to be so labelled </w:t>
      </w:r>
      <w:r w:rsidR="00E075B4" w:rsidRPr="00EB380B">
        <w:rPr>
          <w:color w:val="auto"/>
          <w:sz w:val="22"/>
          <w:szCs w:val="22"/>
        </w:rPr>
        <w:t>to a telecommunications network or a facility unless</w:t>
      </w:r>
      <w:r w:rsidR="004B6092" w:rsidRPr="00803D2C">
        <w:rPr>
          <w:sz w:val="22"/>
          <w:szCs w:val="22"/>
        </w:rPr>
        <w:t xml:space="preserve"> it is so labelled (section 411 of </w:t>
      </w:r>
      <w:r w:rsidR="004B6092" w:rsidRPr="00803D2C">
        <w:rPr>
          <w:sz w:val="22"/>
          <w:szCs w:val="22"/>
        </w:rPr>
        <w:lastRenderedPageBreak/>
        <w:t xml:space="preserve">the Act). </w:t>
      </w:r>
      <w:r w:rsidR="000B2F0D" w:rsidRPr="00803D2C">
        <w:rPr>
          <w:sz w:val="22"/>
          <w:szCs w:val="22"/>
        </w:rPr>
        <w:t>The maximum penalty for this offence is 120 penalty units (</w:t>
      </w:r>
      <w:r w:rsidR="00D71610" w:rsidRPr="00803D2C">
        <w:rPr>
          <w:sz w:val="22"/>
          <w:szCs w:val="22"/>
        </w:rPr>
        <w:t>$33,000 based on the value of a penalty unit at the time the instrument was made).</w:t>
      </w:r>
    </w:p>
    <w:p w14:paraId="0E70E06A" w14:textId="3EA829E1" w:rsidR="007B76DE" w:rsidRDefault="008A3E95" w:rsidP="00D71610">
      <w:pPr>
        <w:spacing w:before="160" w:line="257" w:lineRule="auto"/>
        <w:rPr>
          <w:rFonts w:ascii="Times New Roman" w:hAnsi="Times New Roman" w:cs="Times New Roman"/>
        </w:rPr>
      </w:pPr>
      <w:r w:rsidRPr="00EB380B">
        <w:rPr>
          <w:rFonts w:ascii="Times New Roman" w:hAnsi="Times New Roman" w:cs="Times New Roman"/>
        </w:rPr>
        <w:t xml:space="preserve">The </w:t>
      </w:r>
      <w:r w:rsidR="0024708F" w:rsidRPr="00EB380B">
        <w:rPr>
          <w:rFonts w:ascii="Times New Roman" w:hAnsi="Times New Roman" w:cs="Times New Roman"/>
        </w:rPr>
        <w:t xml:space="preserve">Telecommunications </w:t>
      </w:r>
      <w:r w:rsidRPr="00EB380B">
        <w:rPr>
          <w:rFonts w:ascii="Times New Roman" w:hAnsi="Times New Roman" w:cs="Times New Roman"/>
        </w:rPr>
        <w:t>Labelling Notice does not apply to i</w:t>
      </w:r>
      <w:r w:rsidR="00E83576" w:rsidRPr="00EB380B">
        <w:rPr>
          <w:rFonts w:ascii="Times New Roman" w:hAnsi="Times New Roman" w:cs="Times New Roman"/>
        </w:rPr>
        <w:t xml:space="preserve">tems of </w:t>
      </w:r>
      <w:r w:rsidR="002B3345">
        <w:rPr>
          <w:rFonts w:ascii="Times New Roman" w:hAnsi="Times New Roman" w:cs="Times New Roman"/>
        </w:rPr>
        <w:t xml:space="preserve">customer </w:t>
      </w:r>
      <w:r w:rsidR="00E83576" w:rsidRPr="00EB380B">
        <w:rPr>
          <w:rFonts w:ascii="Times New Roman" w:hAnsi="Times New Roman" w:cs="Times New Roman"/>
        </w:rPr>
        <w:t>equipment</w:t>
      </w:r>
      <w:r w:rsidR="002B3345">
        <w:rPr>
          <w:rFonts w:ascii="Times New Roman" w:hAnsi="Times New Roman" w:cs="Times New Roman"/>
        </w:rPr>
        <w:t xml:space="preserve"> or customer cabling</w:t>
      </w:r>
      <w:r w:rsidR="00E83576" w:rsidRPr="00EB380B">
        <w:rPr>
          <w:rFonts w:ascii="Times New Roman" w:hAnsi="Times New Roman" w:cs="Times New Roman"/>
        </w:rPr>
        <w:t xml:space="preserve"> </w:t>
      </w:r>
      <w:r w:rsidRPr="00EB380B">
        <w:rPr>
          <w:rFonts w:ascii="Times New Roman" w:hAnsi="Times New Roman" w:cs="Times New Roman"/>
        </w:rPr>
        <w:t>listed</w:t>
      </w:r>
      <w:r w:rsidR="00E83576" w:rsidRPr="00EB380B">
        <w:rPr>
          <w:rFonts w:ascii="Times New Roman" w:hAnsi="Times New Roman" w:cs="Times New Roman"/>
        </w:rPr>
        <w:t xml:space="preserve"> in Schedule 2</w:t>
      </w:r>
      <w:r w:rsidRPr="00EB380B">
        <w:rPr>
          <w:rFonts w:ascii="Times New Roman" w:hAnsi="Times New Roman" w:cs="Times New Roman"/>
        </w:rPr>
        <w:t xml:space="preserve">, </w:t>
      </w:r>
      <w:r w:rsidR="00E83576" w:rsidRPr="00EB380B">
        <w:rPr>
          <w:rFonts w:ascii="Times New Roman" w:hAnsi="Times New Roman" w:cs="Times New Roman"/>
        </w:rPr>
        <w:t>includ</w:t>
      </w:r>
      <w:r w:rsidRPr="00EB380B">
        <w:rPr>
          <w:rFonts w:ascii="Times New Roman" w:hAnsi="Times New Roman" w:cs="Times New Roman"/>
        </w:rPr>
        <w:t xml:space="preserve">ing </w:t>
      </w:r>
      <w:r w:rsidR="00E83576" w:rsidRPr="00EB380B">
        <w:rPr>
          <w:rFonts w:ascii="Times New Roman" w:hAnsi="Times New Roman" w:cs="Times New Roman"/>
        </w:rPr>
        <w:t xml:space="preserve">an item that is imported </w:t>
      </w:r>
      <w:r w:rsidR="005A0C03">
        <w:rPr>
          <w:rFonts w:ascii="Times New Roman" w:hAnsi="Times New Roman" w:cs="Times New Roman"/>
        </w:rPr>
        <w:t xml:space="preserve">into Australia </w:t>
      </w:r>
      <w:r w:rsidR="00E83576" w:rsidRPr="00EB380B">
        <w:rPr>
          <w:rFonts w:ascii="Times New Roman" w:hAnsi="Times New Roman" w:cs="Times New Roman"/>
        </w:rPr>
        <w:t>for connection to a telecommunications network or to a facility of such a network in relation to a significant event in circumstances where the manager of the network or facility has given written consent to the connection for the duration of the event.</w:t>
      </w:r>
    </w:p>
    <w:p w14:paraId="79264C24" w14:textId="2B896F75" w:rsidR="00D10777" w:rsidRDefault="00BF2A0E" w:rsidP="00360116">
      <w:pPr>
        <w:spacing w:before="160" w:line="257" w:lineRule="auto"/>
        <w:rPr>
          <w:rFonts w:ascii="Times New Roman" w:hAnsi="Times New Roman" w:cs="Times New Roman"/>
        </w:rPr>
      </w:pPr>
      <w:r w:rsidRPr="007F70F5">
        <w:rPr>
          <w:rFonts w:ascii="Times New Roman" w:hAnsi="Times New Roman" w:cs="Times New Roman"/>
        </w:rPr>
        <w:t>The Declaration declares that</w:t>
      </w:r>
      <w:r>
        <w:rPr>
          <w:rFonts w:ascii="Times New Roman" w:hAnsi="Times New Roman" w:cs="Times New Roman"/>
        </w:rPr>
        <w:t xml:space="preserve"> </w:t>
      </w:r>
      <w:r w:rsidRPr="007F70F5">
        <w:rPr>
          <w:rFonts w:ascii="Times New Roman" w:hAnsi="Times New Roman" w:cs="Times New Roman"/>
        </w:rPr>
        <w:t>specified kinds of cabling work are types of cabling work for the purposes of Division 9 of Part 21 of</w:t>
      </w:r>
      <w:r>
        <w:rPr>
          <w:rFonts w:ascii="Times New Roman" w:hAnsi="Times New Roman" w:cs="Times New Roman"/>
        </w:rPr>
        <w:t xml:space="preserve"> </w:t>
      </w:r>
      <w:r w:rsidRPr="007F70F5">
        <w:rPr>
          <w:rFonts w:ascii="Times New Roman" w:hAnsi="Times New Roman" w:cs="Times New Roman"/>
        </w:rPr>
        <w:t>the Act</w:t>
      </w:r>
      <w:r w:rsidR="00D10777">
        <w:rPr>
          <w:rFonts w:ascii="Times New Roman" w:hAnsi="Times New Roman" w:cs="Times New Roman"/>
        </w:rPr>
        <w:t xml:space="preserve">. </w:t>
      </w:r>
      <w:r w:rsidR="00B82262">
        <w:rPr>
          <w:rFonts w:ascii="Times New Roman" w:hAnsi="Times New Roman" w:cs="Times New Roman"/>
        </w:rPr>
        <w:t xml:space="preserve">Those </w:t>
      </w:r>
      <w:r w:rsidR="00D10777">
        <w:rPr>
          <w:rFonts w:ascii="Times New Roman" w:hAnsi="Times New Roman" w:cs="Times New Roman"/>
        </w:rPr>
        <w:t xml:space="preserve">kinds of cabling work </w:t>
      </w:r>
      <w:r w:rsidR="00B82262">
        <w:rPr>
          <w:rFonts w:ascii="Times New Roman" w:hAnsi="Times New Roman" w:cs="Times New Roman"/>
        </w:rPr>
        <w:t xml:space="preserve">specified in the Declaration </w:t>
      </w:r>
      <w:r w:rsidR="00D10777">
        <w:rPr>
          <w:rFonts w:ascii="Times New Roman" w:hAnsi="Times New Roman" w:cs="Times New Roman"/>
        </w:rPr>
        <w:t xml:space="preserve">must be performed in compliance with the requirements of Division 9 of Part 21 of the Act, including </w:t>
      </w:r>
      <w:r w:rsidR="00CE3326">
        <w:rPr>
          <w:rFonts w:ascii="Times New Roman" w:hAnsi="Times New Roman" w:cs="Times New Roman"/>
        </w:rPr>
        <w:t>subsection 421(3)</w:t>
      </w:r>
      <w:r w:rsidR="00EE0314">
        <w:rPr>
          <w:rFonts w:ascii="Times New Roman" w:hAnsi="Times New Roman" w:cs="Times New Roman"/>
        </w:rPr>
        <w:t xml:space="preserve"> which </w:t>
      </w:r>
      <w:r w:rsidR="00D10777">
        <w:rPr>
          <w:rFonts w:ascii="Times New Roman" w:hAnsi="Times New Roman" w:cs="Times New Roman"/>
        </w:rPr>
        <w:t>provi</w:t>
      </w:r>
      <w:r w:rsidR="00EE0314">
        <w:rPr>
          <w:rFonts w:ascii="Times New Roman" w:hAnsi="Times New Roman" w:cs="Times New Roman"/>
        </w:rPr>
        <w:t>des that a person who is subject</w:t>
      </w:r>
      <w:r w:rsidR="00F20331">
        <w:rPr>
          <w:rFonts w:ascii="Times New Roman" w:hAnsi="Times New Roman" w:cs="Times New Roman"/>
        </w:rPr>
        <w:t xml:space="preserve"> to the cabling provider rules</w:t>
      </w:r>
      <w:r w:rsidR="00FE660B">
        <w:rPr>
          <w:rFonts w:ascii="Times New Roman" w:hAnsi="Times New Roman" w:cs="Times New Roman"/>
        </w:rPr>
        <w:t>, namely</w:t>
      </w:r>
      <w:r w:rsidR="00D10777">
        <w:rPr>
          <w:rFonts w:ascii="Times New Roman" w:hAnsi="Times New Roman" w:cs="Times New Roman"/>
        </w:rPr>
        <w:t xml:space="preserve"> </w:t>
      </w:r>
      <w:r w:rsidR="00D10777" w:rsidRPr="007F70F5">
        <w:rPr>
          <w:rFonts w:ascii="Times New Roman" w:hAnsi="Times New Roman" w:cs="Times New Roman"/>
        </w:rPr>
        <w:t>the</w:t>
      </w:r>
      <w:r w:rsidR="00D10777">
        <w:rPr>
          <w:rFonts w:ascii="Times New Roman" w:hAnsi="Times New Roman" w:cs="Times New Roman"/>
        </w:rPr>
        <w:t xml:space="preserve"> </w:t>
      </w:r>
      <w:r w:rsidR="00D10777" w:rsidRPr="007F70F5">
        <w:rPr>
          <w:rFonts w:ascii="Times New Roman" w:hAnsi="Times New Roman" w:cs="Times New Roman"/>
          <w:i/>
          <w:iCs/>
        </w:rPr>
        <w:t>Telecommunications Cabling Provider Rules 20</w:t>
      </w:r>
      <w:r w:rsidR="00360116">
        <w:rPr>
          <w:rFonts w:ascii="Times New Roman" w:hAnsi="Times New Roman" w:cs="Times New Roman"/>
          <w:i/>
          <w:iCs/>
        </w:rPr>
        <w:t>14</w:t>
      </w:r>
      <w:r w:rsidR="00D10777">
        <w:rPr>
          <w:rFonts w:ascii="Times New Roman" w:hAnsi="Times New Roman" w:cs="Times New Roman"/>
        </w:rPr>
        <w:t xml:space="preserve"> </w:t>
      </w:r>
      <w:r w:rsidR="00213595">
        <w:rPr>
          <w:rFonts w:ascii="Times New Roman" w:hAnsi="Times New Roman" w:cs="Times New Roman"/>
        </w:rPr>
        <w:t>(</w:t>
      </w:r>
      <w:r w:rsidR="00383BAD" w:rsidRPr="00EB380B">
        <w:rPr>
          <w:rFonts w:ascii="Times New Roman" w:hAnsi="Times New Roman" w:cs="Times New Roman"/>
          <w:b/>
          <w:bCs/>
        </w:rPr>
        <w:t xml:space="preserve">the </w:t>
      </w:r>
      <w:r w:rsidR="00213595" w:rsidRPr="00EB380B">
        <w:rPr>
          <w:rFonts w:ascii="Times New Roman" w:hAnsi="Times New Roman" w:cs="Times New Roman"/>
          <w:b/>
          <w:bCs/>
        </w:rPr>
        <w:t>Provider Rules</w:t>
      </w:r>
      <w:r w:rsidR="00213595">
        <w:rPr>
          <w:rFonts w:ascii="Times New Roman" w:hAnsi="Times New Roman" w:cs="Times New Roman"/>
        </w:rPr>
        <w:t>)</w:t>
      </w:r>
      <w:r w:rsidR="00D52E54">
        <w:rPr>
          <w:rFonts w:ascii="Times New Roman" w:hAnsi="Times New Roman" w:cs="Times New Roman"/>
        </w:rPr>
        <w:t>, must comply with th</w:t>
      </w:r>
      <w:r w:rsidR="005037F4">
        <w:rPr>
          <w:rFonts w:ascii="Times New Roman" w:hAnsi="Times New Roman" w:cs="Times New Roman"/>
        </w:rPr>
        <w:t xml:space="preserve">ose </w:t>
      </w:r>
      <w:r w:rsidR="00D025AD">
        <w:rPr>
          <w:rFonts w:ascii="Times New Roman" w:hAnsi="Times New Roman" w:cs="Times New Roman"/>
        </w:rPr>
        <w:t>r</w:t>
      </w:r>
      <w:r w:rsidR="00D52E54">
        <w:rPr>
          <w:rFonts w:ascii="Times New Roman" w:hAnsi="Times New Roman" w:cs="Times New Roman"/>
        </w:rPr>
        <w:t>ules</w:t>
      </w:r>
      <w:r w:rsidR="00D10777">
        <w:rPr>
          <w:rFonts w:ascii="Times New Roman" w:hAnsi="Times New Roman" w:cs="Times New Roman"/>
        </w:rPr>
        <w:t>.</w:t>
      </w:r>
      <w:r w:rsidR="00213595">
        <w:rPr>
          <w:rFonts w:ascii="Times New Roman" w:hAnsi="Times New Roman" w:cs="Times New Roman"/>
        </w:rPr>
        <w:t xml:space="preserve"> It is an offence </w:t>
      </w:r>
      <w:r w:rsidR="00FC53BA">
        <w:rPr>
          <w:rFonts w:ascii="Times New Roman" w:hAnsi="Times New Roman" w:cs="Times New Roman"/>
        </w:rPr>
        <w:t xml:space="preserve">for a person who is </w:t>
      </w:r>
      <w:r w:rsidR="00CF4A3A">
        <w:rPr>
          <w:rFonts w:ascii="Times New Roman" w:hAnsi="Times New Roman" w:cs="Times New Roman"/>
        </w:rPr>
        <w:t xml:space="preserve">subject to the </w:t>
      </w:r>
      <w:r w:rsidR="00D52E54">
        <w:rPr>
          <w:rFonts w:ascii="Times New Roman" w:hAnsi="Times New Roman" w:cs="Times New Roman"/>
        </w:rPr>
        <w:t>P</w:t>
      </w:r>
      <w:r w:rsidR="00CF4A3A">
        <w:rPr>
          <w:rFonts w:ascii="Times New Roman" w:hAnsi="Times New Roman" w:cs="Times New Roman"/>
        </w:rPr>
        <w:t xml:space="preserve">rovider </w:t>
      </w:r>
      <w:r w:rsidR="00D52E54">
        <w:rPr>
          <w:rFonts w:ascii="Times New Roman" w:hAnsi="Times New Roman" w:cs="Times New Roman"/>
        </w:rPr>
        <w:t>R</w:t>
      </w:r>
      <w:r w:rsidR="00CF4A3A">
        <w:rPr>
          <w:rFonts w:ascii="Times New Roman" w:hAnsi="Times New Roman" w:cs="Times New Roman"/>
        </w:rPr>
        <w:t>ules</w:t>
      </w:r>
      <w:r w:rsidR="004E5351">
        <w:rPr>
          <w:rFonts w:ascii="Times New Roman" w:hAnsi="Times New Roman" w:cs="Times New Roman"/>
        </w:rPr>
        <w:t xml:space="preserve"> </w:t>
      </w:r>
      <w:r w:rsidR="00213595">
        <w:rPr>
          <w:rFonts w:ascii="Times New Roman" w:hAnsi="Times New Roman" w:cs="Times New Roman"/>
        </w:rPr>
        <w:t>to perform a kind of cabling work specified in the Declaration otherwise than in accordance with th</w:t>
      </w:r>
      <w:r w:rsidR="00A33301">
        <w:rPr>
          <w:rFonts w:ascii="Times New Roman" w:hAnsi="Times New Roman" w:cs="Times New Roman"/>
        </w:rPr>
        <w:t>os</w:t>
      </w:r>
      <w:r w:rsidR="00213595">
        <w:rPr>
          <w:rFonts w:ascii="Times New Roman" w:hAnsi="Times New Roman" w:cs="Times New Roman"/>
        </w:rPr>
        <w:t xml:space="preserve">e </w:t>
      </w:r>
      <w:r w:rsidR="003D3D13">
        <w:rPr>
          <w:rFonts w:ascii="Times New Roman" w:hAnsi="Times New Roman" w:cs="Times New Roman"/>
        </w:rPr>
        <w:t>r</w:t>
      </w:r>
      <w:r w:rsidR="00213595">
        <w:rPr>
          <w:rFonts w:ascii="Times New Roman" w:hAnsi="Times New Roman" w:cs="Times New Roman"/>
        </w:rPr>
        <w:t>ules (</w:t>
      </w:r>
      <w:r w:rsidR="008B657A">
        <w:rPr>
          <w:rFonts w:ascii="Times New Roman" w:hAnsi="Times New Roman" w:cs="Times New Roman"/>
        </w:rPr>
        <w:t>sub</w:t>
      </w:r>
      <w:r w:rsidR="00213595">
        <w:rPr>
          <w:rFonts w:ascii="Times New Roman" w:hAnsi="Times New Roman" w:cs="Times New Roman"/>
        </w:rPr>
        <w:t xml:space="preserve">section </w:t>
      </w:r>
      <w:r w:rsidR="00E15F13">
        <w:rPr>
          <w:rFonts w:ascii="Times New Roman" w:hAnsi="Times New Roman" w:cs="Times New Roman"/>
        </w:rPr>
        <w:t>421</w:t>
      </w:r>
      <w:r w:rsidR="008B657A">
        <w:rPr>
          <w:rFonts w:ascii="Times New Roman" w:hAnsi="Times New Roman" w:cs="Times New Roman"/>
        </w:rPr>
        <w:t>(4)</w:t>
      </w:r>
      <w:r w:rsidR="00213595">
        <w:rPr>
          <w:rFonts w:ascii="Times New Roman" w:hAnsi="Times New Roman" w:cs="Times New Roman"/>
        </w:rPr>
        <w:t xml:space="preserve"> of the Act). The maximum penalty for th</w:t>
      </w:r>
      <w:r w:rsidR="00A113D7">
        <w:rPr>
          <w:rFonts w:ascii="Times New Roman" w:hAnsi="Times New Roman" w:cs="Times New Roman"/>
        </w:rPr>
        <w:t>is</w:t>
      </w:r>
      <w:r w:rsidR="00213595">
        <w:rPr>
          <w:rFonts w:ascii="Times New Roman" w:hAnsi="Times New Roman" w:cs="Times New Roman"/>
        </w:rPr>
        <w:t xml:space="preserve"> offence is </w:t>
      </w:r>
      <w:r w:rsidR="00E15F13">
        <w:rPr>
          <w:rFonts w:ascii="Times New Roman" w:hAnsi="Times New Roman" w:cs="Times New Roman"/>
        </w:rPr>
        <w:t>100</w:t>
      </w:r>
      <w:r w:rsidR="00213595">
        <w:rPr>
          <w:rFonts w:ascii="Times New Roman" w:hAnsi="Times New Roman" w:cs="Times New Roman"/>
        </w:rPr>
        <w:t xml:space="preserve"> penalty units ($</w:t>
      </w:r>
      <w:r w:rsidR="00DD7F04">
        <w:rPr>
          <w:rFonts w:ascii="Times New Roman" w:hAnsi="Times New Roman" w:cs="Times New Roman"/>
        </w:rPr>
        <w:t>27,500</w:t>
      </w:r>
      <w:r w:rsidR="00213595">
        <w:rPr>
          <w:rFonts w:ascii="Times New Roman" w:hAnsi="Times New Roman" w:cs="Times New Roman"/>
        </w:rPr>
        <w:t>).</w:t>
      </w:r>
    </w:p>
    <w:p w14:paraId="596ED5CB" w14:textId="07F4E247" w:rsidR="008947EC" w:rsidRDefault="008C3D82" w:rsidP="00EB380B">
      <w:pPr>
        <w:autoSpaceDE w:val="0"/>
        <w:autoSpaceDN w:val="0"/>
        <w:adjustRightInd w:val="0"/>
        <w:spacing w:after="80" w:line="240" w:lineRule="auto"/>
        <w:rPr>
          <w:rFonts w:ascii="Times New Roman" w:hAnsi="Times New Roman" w:cs="Times New Roman"/>
        </w:rPr>
      </w:pPr>
      <w:r>
        <w:rPr>
          <w:rFonts w:ascii="Times New Roman" w:hAnsi="Times New Roman" w:cs="Times New Roman"/>
        </w:rPr>
        <w:t>C</w:t>
      </w:r>
      <w:r w:rsidR="00BF2A0E" w:rsidRPr="007F70F5">
        <w:rPr>
          <w:rFonts w:ascii="Times New Roman" w:hAnsi="Times New Roman" w:cs="Times New Roman"/>
        </w:rPr>
        <w:t>abling work specified in Schedule 1</w:t>
      </w:r>
      <w:r w:rsidR="00D10777">
        <w:rPr>
          <w:rFonts w:ascii="Times New Roman" w:hAnsi="Times New Roman" w:cs="Times New Roman"/>
        </w:rPr>
        <w:t xml:space="preserve"> </w:t>
      </w:r>
      <w:r>
        <w:rPr>
          <w:rFonts w:ascii="Times New Roman" w:hAnsi="Times New Roman" w:cs="Times New Roman"/>
        </w:rPr>
        <w:t xml:space="preserve">to the Declaration </w:t>
      </w:r>
      <w:r w:rsidR="00D10777">
        <w:rPr>
          <w:rFonts w:ascii="Times New Roman" w:hAnsi="Times New Roman" w:cs="Times New Roman"/>
        </w:rPr>
        <w:t>is not a type of cabling work for</w:t>
      </w:r>
      <w:r w:rsidR="00A113D7">
        <w:rPr>
          <w:rFonts w:ascii="Times New Roman" w:hAnsi="Times New Roman" w:cs="Times New Roman"/>
        </w:rPr>
        <w:t xml:space="preserve"> the purposes of</w:t>
      </w:r>
      <w:r w:rsidR="00D10777">
        <w:rPr>
          <w:rFonts w:ascii="Times New Roman" w:hAnsi="Times New Roman" w:cs="Times New Roman"/>
        </w:rPr>
        <w:t xml:space="preserve"> </w:t>
      </w:r>
      <w:r w:rsidR="00BF2A0E" w:rsidRPr="007F70F5">
        <w:rPr>
          <w:rFonts w:ascii="Times New Roman" w:hAnsi="Times New Roman" w:cs="Times New Roman"/>
        </w:rPr>
        <w:t>Division 9 of Part</w:t>
      </w:r>
      <w:r w:rsidR="00BF2A0E">
        <w:rPr>
          <w:rFonts w:ascii="Times New Roman" w:hAnsi="Times New Roman" w:cs="Times New Roman"/>
        </w:rPr>
        <w:t xml:space="preserve"> </w:t>
      </w:r>
      <w:r w:rsidR="00BF2A0E" w:rsidRPr="007F70F5">
        <w:rPr>
          <w:rFonts w:ascii="Times New Roman" w:hAnsi="Times New Roman" w:cs="Times New Roman"/>
        </w:rPr>
        <w:t>21</w:t>
      </w:r>
      <w:r w:rsidR="00D10777">
        <w:rPr>
          <w:rFonts w:ascii="Times New Roman" w:hAnsi="Times New Roman" w:cs="Times New Roman"/>
        </w:rPr>
        <w:t xml:space="preserve"> </w:t>
      </w:r>
      <w:r w:rsidR="00A113D7">
        <w:rPr>
          <w:rFonts w:ascii="Times New Roman" w:hAnsi="Times New Roman" w:cs="Times New Roman"/>
        </w:rPr>
        <w:t xml:space="preserve">of the </w:t>
      </w:r>
      <w:proofErr w:type="gramStart"/>
      <w:r w:rsidR="00A113D7">
        <w:rPr>
          <w:rFonts w:ascii="Times New Roman" w:hAnsi="Times New Roman" w:cs="Times New Roman"/>
        </w:rPr>
        <w:t xml:space="preserve">Act, </w:t>
      </w:r>
      <w:r w:rsidR="00D10777">
        <w:rPr>
          <w:rFonts w:ascii="Times New Roman" w:hAnsi="Times New Roman" w:cs="Times New Roman"/>
        </w:rPr>
        <w:t>and</w:t>
      </w:r>
      <w:proofErr w:type="gramEnd"/>
      <w:r w:rsidR="00D10777">
        <w:rPr>
          <w:rFonts w:ascii="Times New Roman" w:hAnsi="Times New Roman" w:cs="Times New Roman"/>
        </w:rPr>
        <w:t xml:space="preserve"> </w:t>
      </w:r>
      <w:r w:rsidR="00404DB9">
        <w:rPr>
          <w:rFonts w:ascii="Times New Roman" w:hAnsi="Times New Roman" w:cs="Times New Roman"/>
        </w:rPr>
        <w:t xml:space="preserve">does not need to </w:t>
      </w:r>
      <w:r w:rsidR="00A113D7">
        <w:rPr>
          <w:rFonts w:ascii="Times New Roman" w:hAnsi="Times New Roman" w:cs="Times New Roman"/>
        </w:rPr>
        <w:t xml:space="preserve">be performed in compliance with the Provider Rules. </w:t>
      </w:r>
      <w:r w:rsidR="00EE16B8">
        <w:rPr>
          <w:rFonts w:ascii="Times New Roman" w:hAnsi="Times New Roman" w:cs="Times New Roman"/>
        </w:rPr>
        <w:t>Cabling work</w:t>
      </w:r>
      <w:r w:rsidR="00404DB9">
        <w:rPr>
          <w:rFonts w:ascii="Times New Roman" w:hAnsi="Times New Roman" w:cs="Times New Roman"/>
        </w:rPr>
        <w:t xml:space="preserve"> </w:t>
      </w:r>
      <w:r>
        <w:rPr>
          <w:rFonts w:ascii="Times New Roman" w:hAnsi="Times New Roman" w:cs="Times New Roman"/>
        </w:rPr>
        <w:t>specified</w:t>
      </w:r>
      <w:r w:rsidR="00EE16B8">
        <w:rPr>
          <w:rFonts w:ascii="Times New Roman" w:hAnsi="Times New Roman" w:cs="Times New Roman"/>
        </w:rPr>
        <w:t xml:space="preserve"> in Schedule 1 to the Declaration</w:t>
      </w:r>
      <w:r w:rsidR="00404DB9">
        <w:rPr>
          <w:rFonts w:ascii="Times New Roman" w:hAnsi="Times New Roman" w:cs="Times New Roman"/>
        </w:rPr>
        <w:t xml:space="preserve"> </w:t>
      </w:r>
      <w:r w:rsidR="00EE16B8">
        <w:rPr>
          <w:rFonts w:ascii="Times New Roman" w:hAnsi="Times New Roman" w:cs="Times New Roman"/>
        </w:rPr>
        <w:t xml:space="preserve">includes </w:t>
      </w:r>
      <w:r w:rsidR="00390686">
        <w:rPr>
          <w:rFonts w:ascii="Times New Roman" w:hAnsi="Times New Roman" w:cs="Times New Roman"/>
        </w:rPr>
        <w:t xml:space="preserve">cabling work that </w:t>
      </w:r>
      <w:r w:rsidR="00631FA6">
        <w:rPr>
          <w:rFonts w:ascii="Times New Roman" w:hAnsi="Times New Roman" w:cs="Times New Roman"/>
        </w:rPr>
        <w:t xml:space="preserve">involves </w:t>
      </w:r>
      <w:r w:rsidR="00EE16B8" w:rsidRPr="00EE16B8">
        <w:rPr>
          <w:rFonts w:ascii="Times New Roman" w:hAnsi="Times New Roman" w:cs="Times New Roman"/>
        </w:rPr>
        <w:t>the installation or maintenance of customer cabling that:</w:t>
      </w:r>
    </w:p>
    <w:p w14:paraId="2DA0B88B" w14:textId="77777777" w:rsidR="008947EC" w:rsidRPr="008947EC" w:rsidRDefault="008947EC" w:rsidP="00EB380B">
      <w:pPr>
        <w:pStyle w:val="ListParagraph"/>
        <w:numPr>
          <w:ilvl w:val="0"/>
          <w:numId w:val="20"/>
        </w:numPr>
        <w:autoSpaceDE w:val="0"/>
        <w:autoSpaceDN w:val="0"/>
        <w:adjustRightInd w:val="0"/>
        <w:spacing w:after="80" w:line="240" w:lineRule="auto"/>
        <w:ind w:left="714" w:hanging="357"/>
        <w:contextualSpacing w:val="0"/>
        <w:rPr>
          <w:rFonts w:ascii="Times New Roman" w:hAnsi="Times New Roman" w:cs="Times New Roman"/>
        </w:rPr>
      </w:pPr>
      <w:r w:rsidRPr="008947EC">
        <w:rPr>
          <w:rFonts w:ascii="Times New Roman" w:hAnsi="Times New Roman" w:cs="Times New Roman"/>
        </w:rPr>
        <w:t>is for use in relation to broadcasting content for the duration of a significant event; and</w:t>
      </w:r>
    </w:p>
    <w:p w14:paraId="72AD3887" w14:textId="77777777" w:rsidR="008947EC" w:rsidRPr="008947EC" w:rsidRDefault="008947EC" w:rsidP="00EB380B">
      <w:pPr>
        <w:pStyle w:val="ListParagraph"/>
        <w:numPr>
          <w:ilvl w:val="0"/>
          <w:numId w:val="20"/>
        </w:numPr>
        <w:autoSpaceDE w:val="0"/>
        <w:autoSpaceDN w:val="0"/>
        <w:adjustRightInd w:val="0"/>
        <w:spacing w:after="80" w:line="240" w:lineRule="auto"/>
        <w:ind w:left="714" w:hanging="357"/>
        <w:contextualSpacing w:val="0"/>
        <w:rPr>
          <w:rFonts w:ascii="Times New Roman" w:hAnsi="Times New Roman" w:cs="Times New Roman"/>
        </w:rPr>
      </w:pPr>
      <w:r w:rsidRPr="008947EC">
        <w:rPr>
          <w:rFonts w:ascii="Times New Roman" w:hAnsi="Times New Roman" w:cs="Times New Roman"/>
        </w:rPr>
        <w:t>is connected, or is for connection to, a telecommunications network in accordance with the written consent of the manager of the network; and</w:t>
      </w:r>
    </w:p>
    <w:p w14:paraId="3B956CC1" w14:textId="070AB90F" w:rsidR="008947EC" w:rsidRPr="008947EC" w:rsidRDefault="008947EC" w:rsidP="00EB380B">
      <w:pPr>
        <w:pStyle w:val="ListParagraph"/>
        <w:numPr>
          <w:ilvl w:val="0"/>
          <w:numId w:val="20"/>
        </w:numPr>
        <w:autoSpaceDE w:val="0"/>
        <w:autoSpaceDN w:val="0"/>
        <w:adjustRightInd w:val="0"/>
        <w:spacing w:line="240" w:lineRule="auto"/>
        <w:ind w:left="714" w:hanging="357"/>
        <w:rPr>
          <w:rFonts w:ascii="Times New Roman" w:hAnsi="Times New Roman" w:cs="Times New Roman"/>
        </w:rPr>
      </w:pPr>
      <w:r w:rsidRPr="008947EC">
        <w:rPr>
          <w:rFonts w:ascii="Times New Roman" w:hAnsi="Times New Roman" w:cs="Times New Roman"/>
        </w:rPr>
        <w:t xml:space="preserve">will be completely removed from the various locations of </w:t>
      </w:r>
      <w:r w:rsidR="00C23F49">
        <w:rPr>
          <w:rFonts w:ascii="Times New Roman" w:hAnsi="Times New Roman" w:cs="Times New Roman"/>
        </w:rPr>
        <w:t>the</w:t>
      </w:r>
      <w:r w:rsidRPr="008947EC">
        <w:rPr>
          <w:rFonts w:ascii="Times New Roman" w:hAnsi="Times New Roman" w:cs="Times New Roman"/>
        </w:rPr>
        <w:t xml:space="preserve"> significant event at the end of the significant event.</w:t>
      </w:r>
    </w:p>
    <w:p w14:paraId="52AB74F9" w14:textId="14756E46" w:rsidR="00DE2B88" w:rsidRDefault="00C113E5" w:rsidP="00EB380B">
      <w:pPr>
        <w:autoSpaceDE w:val="0"/>
        <w:autoSpaceDN w:val="0"/>
        <w:adjustRightInd w:val="0"/>
        <w:spacing w:before="160" w:line="240" w:lineRule="auto"/>
        <w:rPr>
          <w:rFonts w:ascii="Times New Roman" w:hAnsi="Times New Roman" w:cs="Times New Roman"/>
          <w:bCs/>
        </w:rPr>
      </w:pPr>
      <w:r>
        <w:rPr>
          <w:rFonts w:ascii="Times New Roman" w:hAnsi="Times New Roman" w:cs="Times New Roman"/>
          <w:i/>
          <w:iCs/>
        </w:rPr>
        <w:t>The basis for the instrument</w:t>
      </w:r>
    </w:p>
    <w:p w14:paraId="21CB1B9D" w14:textId="42C00FDB" w:rsidR="00761466" w:rsidRDefault="00DE2B88" w:rsidP="00EB380B">
      <w:pPr>
        <w:spacing w:before="160" w:line="257" w:lineRule="auto"/>
        <w:rPr>
          <w:rFonts w:ascii="Times New Roman" w:hAnsi="Times New Roman" w:cs="Times New Roman"/>
          <w:bCs/>
        </w:rPr>
      </w:pPr>
      <w:r w:rsidRPr="00402322">
        <w:rPr>
          <w:rFonts w:ascii="Times New Roman" w:hAnsi="Times New Roman" w:cs="Times New Roman"/>
        </w:rPr>
        <w:t>The i</w:t>
      </w:r>
      <w:r w:rsidRPr="003A6952">
        <w:rPr>
          <w:rFonts w:ascii="Times New Roman" w:hAnsi="Times New Roman" w:cs="Times New Roman"/>
        </w:rPr>
        <w:t xml:space="preserve">nstrument </w:t>
      </w:r>
      <w:r w:rsidR="005D6E59">
        <w:rPr>
          <w:rFonts w:ascii="Times New Roman" w:hAnsi="Times New Roman" w:cs="Times New Roman"/>
        </w:rPr>
        <w:t>amends</w:t>
      </w:r>
      <w:r w:rsidRPr="003A6952">
        <w:rPr>
          <w:rFonts w:ascii="Times New Roman" w:hAnsi="Times New Roman" w:cs="Times New Roman"/>
        </w:rPr>
        <w:t xml:space="preserve"> </w:t>
      </w:r>
      <w:r>
        <w:rPr>
          <w:rFonts w:ascii="Times New Roman" w:hAnsi="Times New Roman" w:cs="Times New Roman"/>
        </w:rPr>
        <w:t xml:space="preserve">the </w:t>
      </w:r>
      <w:r w:rsidR="0024708F">
        <w:rPr>
          <w:rFonts w:ascii="Times New Roman" w:hAnsi="Times New Roman" w:cs="Times New Roman"/>
        </w:rPr>
        <w:t xml:space="preserve">Telecommunications </w:t>
      </w:r>
      <w:r w:rsidR="005230DE">
        <w:rPr>
          <w:rFonts w:ascii="Times New Roman" w:hAnsi="Times New Roman" w:cs="Times New Roman"/>
        </w:rPr>
        <w:t>Labelling Notice and the Declaration</w:t>
      </w:r>
      <w:r w:rsidR="00326EE8">
        <w:rPr>
          <w:rFonts w:ascii="Times New Roman" w:hAnsi="Times New Roman" w:cs="Times New Roman"/>
        </w:rPr>
        <w:t xml:space="preserve"> to replace the definition of</w:t>
      </w:r>
      <w:r w:rsidR="008A650B">
        <w:rPr>
          <w:rFonts w:ascii="Times New Roman" w:hAnsi="Times New Roman" w:cs="Times New Roman"/>
        </w:rPr>
        <w:t xml:space="preserve"> </w:t>
      </w:r>
      <w:r w:rsidR="00326EE8">
        <w:rPr>
          <w:rFonts w:ascii="Times New Roman" w:hAnsi="Times New Roman" w:cs="Times New Roman"/>
        </w:rPr>
        <w:t>‘significant event’</w:t>
      </w:r>
      <w:r w:rsidR="00D577DC">
        <w:rPr>
          <w:rFonts w:ascii="Times New Roman" w:hAnsi="Times New Roman" w:cs="Times New Roman"/>
        </w:rPr>
        <w:t xml:space="preserve"> with a new definition</w:t>
      </w:r>
      <w:r w:rsidR="0028216F">
        <w:rPr>
          <w:rFonts w:ascii="Times New Roman" w:hAnsi="Times New Roman" w:cs="Times New Roman"/>
        </w:rPr>
        <w:t xml:space="preserve"> </w:t>
      </w:r>
      <w:r w:rsidR="0032577F">
        <w:rPr>
          <w:rFonts w:ascii="Times New Roman" w:hAnsi="Times New Roman" w:cs="Times New Roman"/>
          <w:bCs/>
        </w:rPr>
        <w:t xml:space="preserve">that </w:t>
      </w:r>
      <w:r w:rsidR="00CF2DA2">
        <w:rPr>
          <w:rFonts w:ascii="Times New Roman" w:hAnsi="Times New Roman" w:cs="Times New Roman"/>
          <w:bCs/>
        </w:rPr>
        <w:t>covers an event declared by the ACMA under</w:t>
      </w:r>
      <w:r w:rsidR="00761466">
        <w:rPr>
          <w:rFonts w:ascii="Times New Roman" w:hAnsi="Times New Roman" w:cs="Times New Roman"/>
          <w:bCs/>
        </w:rPr>
        <w:t xml:space="preserve"> subsection 54A(2) of the </w:t>
      </w:r>
      <w:r w:rsidR="00761466" w:rsidRPr="00293027">
        <w:rPr>
          <w:rFonts w:ascii="Times New Roman" w:hAnsi="Times New Roman" w:cs="Times New Roman"/>
          <w:bCs/>
          <w:i/>
          <w:iCs/>
        </w:rPr>
        <w:t>Radiocommunications Equipment (General) Rules 2021</w:t>
      </w:r>
      <w:r w:rsidR="00462812">
        <w:rPr>
          <w:rFonts w:ascii="Times New Roman" w:hAnsi="Times New Roman" w:cs="Times New Roman"/>
          <w:bCs/>
          <w:i/>
          <w:iCs/>
        </w:rPr>
        <w:t xml:space="preserve"> </w:t>
      </w:r>
      <w:r w:rsidR="00462812" w:rsidRPr="00F35E9F">
        <w:rPr>
          <w:rFonts w:ascii="Times New Roman" w:hAnsi="Times New Roman" w:cs="Times New Roman"/>
          <w:bCs/>
        </w:rPr>
        <w:t>(</w:t>
      </w:r>
      <w:r w:rsidR="00462812" w:rsidRPr="00EB380B">
        <w:rPr>
          <w:rFonts w:ascii="Times New Roman" w:hAnsi="Times New Roman" w:cs="Times New Roman"/>
          <w:b/>
        </w:rPr>
        <w:t>the General Equipment Rules</w:t>
      </w:r>
      <w:r w:rsidR="00462812" w:rsidRPr="00F35E9F">
        <w:rPr>
          <w:rFonts w:ascii="Times New Roman" w:hAnsi="Times New Roman" w:cs="Times New Roman"/>
          <w:bCs/>
        </w:rPr>
        <w:t>)</w:t>
      </w:r>
      <w:r w:rsidR="00462812">
        <w:rPr>
          <w:rFonts w:ascii="Times New Roman" w:hAnsi="Times New Roman" w:cs="Times New Roman"/>
          <w:bCs/>
        </w:rPr>
        <w:t xml:space="preserve">. Subsection 54A(2) of the General Equipment Rules </w:t>
      </w:r>
      <w:r w:rsidR="00761466">
        <w:rPr>
          <w:rFonts w:ascii="Times New Roman" w:hAnsi="Times New Roman" w:cs="Times New Roman"/>
          <w:bCs/>
        </w:rPr>
        <w:t xml:space="preserve">provides that the ACMA may make a notifiable </w:t>
      </w:r>
      <w:r w:rsidR="00761466" w:rsidRPr="004E20E2">
        <w:rPr>
          <w:rFonts w:ascii="Times New Roman" w:hAnsi="Times New Roman" w:cs="Times New Roman"/>
        </w:rPr>
        <w:t>instrument</w:t>
      </w:r>
      <w:r w:rsidR="00761466">
        <w:rPr>
          <w:rFonts w:ascii="Times New Roman" w:hAnsi="Times New Roman" w:cs="Times New Roman"/>
          <w:bCs/>
        </w:rPr>
        <w:t xml:space="preserve"> that declares a specified event to be a significant </w:t>
      </w:r>
      <w:proofErr w:type="gramStart"/>
      <w:r w:rsidR="00761466">
        <w:rPr>
          <w:rFonts w:ascii="Times New Roman" w:hAnsi="Times New Roman" w:cs="Times New Roman"/>
          <w:bCs/>
        </w:rPr>
        <w:t>event, and</w:t>
      </w:r>
      <w:proofErr w:type="gramEnd"/>
      <w:r w:rsidR="00761466">
        <w:rPr>
          <w:rFonts w:ascii="Times New Roman" w:hAnsi="Times New Roman" w:cs="Times New Roman"/>
          <w:bCs/>
        </w:rPr>
        <w:t xml:space="preserve"> specifies the period and location of the significant event.</w:t>
      </w:r>
      <w:r w:rsidR="00F017F7">
        <w:rPr>
          <w:rFonts w:ascii="Times New Roman" w:hAnsi="Times New Roman" w:cs="Times New Roman"/>
          <w:bCs/>
        </w:rPr>
        <w:t xml:space="preserve"> </w:t>
      </w:r>
      <w:r w:rsidR="00EB380B">
        <w:rPr>
          <w:rFonts w:ascii="Times New Roman" w:hAnsi="Times New Roman" w:cs="Times New Roman"/>
          <w:bCs/>
        </w:rPr>
        <w:t>Subsection 54A(5) of t</w:t>
      </w:r>
      <w:r w:rsidR="00E90EC2">
        <w:rPr>
          <w:rFonts w:ascii="Times New Roman" w:hAnsi="Times New Roman" w:cs="Times New Roman"/>
          <w:bCs/>
        </w:rPr>
        <w:t>he General Equipment Rules</w:t>
      </w:r>
      <w:r w:rsidR="00F017F7">
        <w:rPr>
          <w:rFonts w:ascii="Times New Roman" w:hAnsi="Times New Roman" w:cs="Times New Roman"/>
          <w:bCs/>
        </w:rPr>
        <w:t xml:space="preserve"> also provide</w:t>
      </w:r>
      <w:r w:rsidR="007A1FAC">
        <w:rPr>
          <w:rFonts w:ascii="Times New Roman" w:hAnsi="Times New Roman" w:cs="Times New Roman"/>
          <w:bCs/>
        </w:rPr>
        <w:t>s</w:t>
      </w:r>
      <w:r w:rsidR="00F017F7">
        <w:rPr>
          <w:rFonts w:ascii="Times New Roman" w:hAnsi="Times New Roman" w:cs="Times New Roman"/>
          <w:bCs/>
        </w:rPr>
        <w:t xml:space="preserve"> that the ACMA </w:t>
      </w:r>
      <w:r w:rsidR="00772B22">
        <w:rPr>
          <w:rFonts w:ascii="Times New Roman" w:hAnsi="Times New Roman" w:cs="Times New Roman"/>
          <w:bCs/>
        </w:rPr>
        <w:t>must</w:t>
      </w:r>
      <w:r w:rsidR="00F017F7">
        <w:rPr>
          <w:rFonts w:ascii="Times New Roman" w:hAnsi="Times New Roman" w:cs="Times New Roman"/>
          <w:bCs/>
        </w:rPr>
        <w:t xml:space="preserve"> publish</w:t>
      </w:r>
      <w:r w:rsidR="00813C0F">
        <w:rPr>
          <w:rFonts w:ascii="Times New Roman" w:hAnsi="Times New Roman" w:cs="Times New Roman"/>
          <w:bCs/>
        </w:rPr>
        <w:t xml:space="preserve"> on </w:t>
      </w:r>
      <w:r w:rsidR="00C106DC">
        <w:rPr>
          <w:rFonts w:ascii="Times New Roman" w:hAnsi="Times New Roman" w:cs="Times New Roman"/>
          <w:bCs/>
        </w:rPr>
        <w:t>the ACMA</w:t>
      </w:r>
      <w:r w:rsidR="00813C0F">
        <w:rPr>
          <w:rFonts w:ascii="Times New Roman" w:hAnsi="Times New Roman" w:cs="Times New Roman"/>
          <w:bCs/>
        </w:rPr>
        <w:t xml:space="preserve"> website</w:t>
      </w:r>
      <w:r w:rsidR="00F017F7">
        <w:rPr>
          <w:rFonts w:ascii="Times New Roman" w:hAnsi="Times New Roman" w:cs="Times New Roman"/>
          <w:bCs/>
        </w:rPr>
        <w:t xml:space="preserve"> </w:t>
      </w:r>
      <w:r w:rsidR="005B25AA">
        <w:rPr>
          <w:rFonts w:ascii="Times New Roman" w:hAnsi="Times New Roman" w:cs="Times New Roman"/>
          <w:bCs/>
        </w:rPr>
        <w:t xml:space="preserve">certain </w:t>
      </w:r>
      <w:r w:rsidR="00F017F7" w:rsidRPr="009867F1">
        <w:rPr>
          <w:rFonts w:ascii="Times New Roman" w:hAnsi="Times New Roman" w:cs="Times New Roman"/>
        </w:rPr>
        <w:t xml:space="preserve">details of </w:t>
      </w:r>
      <w:r w:rsidR="00724864">
        <w:rPr>
          <w:rFonts w:ascii="Times New Roman" w:hAnsi="Times New Roman" w:cs="Times New Roman"/>
        </w:rPr>
        <w:t>a</w:t>
      </w:r>
      <w:r w:rsidR="00F017F7" w:rsidRPr="009867F1">
        <w:rPr>
          <w:rFonts w:ascii="Times New Roman" w:hAnsi="Times New Roman" w:cs="Times New Roman"/>
        </w:rPr>
        <w:t xml:space="preserve"> significant event </w:t>
      </w:r>
      <w:r w:rsidR="00724864">
        <w:rPr>
          <w:rFonts w:ascii="Times New Roman" w:hAnsi="Times New Roman" w:cs="Times New Roman"/>
        </w:rPr>
        <w:t>that has be</w:t>
      </w:r>
      <w:r w:rsidR="00AF1999">
        <w:rPr>
          <w:rFonts w:ascii="Times New Roman" w:hAnsi="Times New Roman" w:cs="Times New Roman"/>
        </w:rPr>
        <w:t>en declared</w:t>
      </w:r>
      <w:r w:rsidR="00F017F7">
        <w:rPr>
          <w:rFonts w:ascii="Times New Roman" w:hAnsi="Times New Roman" w:cs="Times New Roman"/>
        </w:rPr>
        <w:t>.</w:t>
      </w:r>
      <w:r w:rsidR="00F017F7">
        <w:rPr>
          <w:rFonts w:ascii="Times New Roman" w:hAnsi="Times New Roman" w:cs="Times New Roman"/>
          <w:bCs/>
        </w:rPr>
        <w:t xml:space="preserve"> </w:t>
      </w:r>
      <w:r w:rsidR="008B09F7">
        <w:rPr>
          <w:rFonts w:ascii="Times New Roman" w:hAnsi="Times New Roman" w:cs="Times New Roman"/>
          <w:bCs/>
        </w:rPr>
        <w:t>In the ACMA’s experience, events that are significant events for the purposes of the General Equipment Rules have also been significant events for the</w:t>
      </w:r>
      <w:r w:rsidR="0038150E">
        <w:rPr>
          <w:rFonts w:ascii="Times New Roman" w:hAnsi="Times New Roman" w:cs="Times New Roman"/>
          <w:bCs/>
        </w:rPr>
        <w:t xml:space="preserve"> purposes of the</w:t>
      </w:r>
      <w:r w:rsidR="008B09F7">
        <w:rPr>
          <w:rFonts w:ascii="Times New Roman" w:hAnsi="Times New Roman" w:cs="Times New Roman"/>
          <w:bCs/>
        </w:rPr>
        <w:t xml:space="preserve"> </w:t>
      </w:r>
      <w:r w:rsidR="00681411">
        <w:rPr>
          <w:rFonts w:ascii="Times New Roman" w:hAnsi="Times New Roman" w:cs="Times New Roman"/>
          <w:bCs/>
        </w:rPr>
        <w:t xml:space="preserve">Telecommunications Labelling Notice and the Declaration. Previous significant events have </w:t>
      </w:r>
      <w:r w:rsidR="00162620">
        <w:rPr>
          <w:rFonts w:ascii="Times New Roman" w:hAnsi="Times New Roman" w:cs="Times New Roman"/>
          <w:bCs/>
        </w:rPr>
        <w:t>included</w:t>
      </w:r>
      <w:r w:rsidR="00681411">
        <w:rPr>
          <w:rFonts w:ascii="Times New Roman" w:hAnsi="Times New Roman" w:cs="Times New Roman"/>
          <w:bCs/>
        </w:rPr>
        <w:t xml:space="preserve"> the Formula One </w:t>
      </w:r>
      <w:r w:rsidR="0019291B">
        <w:rPr>
          <w:rFonts w:ascii="Times New Roman" w:hAnsi="Times New Roman" w:cs="Times New Roman"/>
          <w:bCs/>
        </w:rPr>
        <w:t xml:space="preserve">Australian </w:t>
      </w:r>
      <w:r w:rsidR="00681411">
        <w:rPr>
          <w:rFonts w:ascii="Times New Roman" w:hAnsi="Times New Roman" w:cs="Times New Roman"/>
          <w:bCs/>
        </w:rPr>
        <w:t>Grand Prix and the Australian MotoGP events.</w:t>
      </w:r>
    </w:p>
    <w:p w14:paraId="459036B3" w14:textId="4009DD5F" w:rsidR="00E54C2E" w:rsidRDefault="00E54C2E" w:rsidP="00055D5B">
      <w:pPr>
        <w:rPr>
          <w:rFonts w:ascii="Times New Roman" w:hAnsi="Times New Roman" w:cs="Times New Roman"/>
        </w:rPr>
      </w:pPr>
      <w:r>
        <w:rPr>
          <w:rFonts w:ascii="Times New Roman" w:hAnsi="Times New Roman" w:cs="Times New Roman"/>
          <w:bCs/>
        </w:rPr>
        <w:t>The new definition of ‘significant event’</w:t>
      </w:r>
      <w:r w:rsidR="00722296">
        <w:rPr>
          <w:rFonts w:ascii="Times New Roman" w:hAnsi="Times New Roman" w:cs="Times New Roman"/>
          <w:bCs/>
        </w:rPr>
        <w:t xml:space="preserve"> also cover</w:t>
      </w:r>
      <w:r w:rsidR="002E2D9D">
        <w:rPr>
          <w:rFonts w:ascii="Times New Roman" w:hAnsi="Times New Roman" w:cs="Times New Roman"/>
          <w:bCs/>
        </w:rPr>
        <w:t>s</w:t>
      </w:r>
      <w:r w:rsidR="00722296">
        <w:rPr>
          <w:rFonts w:ascii="Times New Roman" w:hAnsi="Times New Roman" w:cs="Times New Roman"/>
          <w:bCs/>
        </w:rPr>
        <w:t xml:space="preserve"> an event i</w:t>
      </w:r>
      <w:r w:rsidR="00761466">
        <w:rPr>
          <w:rFonts w:ascii="Times New Roman" w:hAnsi="Times New Roman" w:cs="Times New Roman"/>
          <w:bCs/>
        </w:rPr>
        <w:t xml:space="preserve">f </w:t>
      </w:r>
      <w:r w:rsidR="00055D5B">
        <w:rPr>
          <w:rFonts w:ascii="Times New Roman" w:hAnsi="Times New Roman" w:cs="Times New Roman"/>
          <w:bCs/>
        </w:rPr>
        <w:t xml:space="preserve">that </w:t>
      </w:r>
      <w:r w:rsidR="00761466" w:rsidRPr="009206F2">
        <w:rPr>
          <w:rFonts w:ascii="Times New Roman" w:hAnsi="Times New Roman" w:cs="Times New Roman"/>
          <w:bCs/>
        </w:rPr>
        <w:t>event</w:t>
      </w:r>
      <w:r w:rsidR="00761466">
        <w:rPr>
          <w:rFonts w:ascii="Times New Roman" w:hAnsi="Times New Roman" w:cs="Times New Roman"/>
          <w:bCs/>
        </w:rPr>
        <w:t xml:space="preserve"> was a significant event (within the meaning of the </w:t>
      </w:r>
      <w:r w:rsidR="0024708F">
        <w:rPr>
          <w:rFonts w:ascii="Times New Roman" w:hAnsi="Times New Roman" w:cs="Times New Roman"/>
          <w:bCs/>
        </w:rPr>
        <w:t xml:space="preserve">Telecommunications </w:t>
      </w:r>
      <w:r w:rsidR="00761466">
        <w:rPr>
          <w:rFonts w:ascii="Times New Roman" w:hAnsi="Times New Roman" w:cs="Times New Roman"/>
          <w:bCs/>
        </w:rPr>
        <w:t xml:space="preserve">Labelling Notice </w:t>
      </w:r>
      <w:r w:rsidR="00DE2B88">
        <w:rPr>
          <w:rFonts w:ascii="Times New Roman" w:hAnsi="Times New Roman" w:cs="Times New Roman"/>
          <w:bCs/>
        </w:rPr>
        <w:t xml:space="preserve">or the Declaration </w:t>
      </w:r>
      <w:r w:rsidR="00761466">
        <w:rPr>
          <w:rFonts w:ascii="Times New Roman" w:hAnsi="Times New Roman" w:cs="Times New Roman"/>
          <w:bCs/>
        </w:rPr>
        <w:t xml:space="preserve">as in force </w:t>
      </w:r>
      <w:r w:rsidR="00761466" w:rsidRPr="00356620">
        <w:rPr>
          <w:rFonts w:ascii="Times New Roman" w:hAnsi="Times New Roman" w:cs="Times New Roman"/>
          <w:bCs/>
        </w:rPr>
        <w:t xml:space="preserve">immediately before the commencement of the </w:t>
      </w:r>
      <w:r w:rsidR="00C10613" w:rsidRPr="00C10613">
        <w:rPr>
          <w:rFonts w:ascii="Times New Roman" w:hAnsi="Times New Roman" w:cs="Times New Roman"/>
          <w:bCs/>
        </w:rPr>
        <w:t>instrument</w:t>
      </w:r>
      <w:r w:rsidR="00761466" w:rsidRPr="00356620">
        <w:rPr>
          <w:rFonts w:ascii="Times New Roman" w:hAnsi="Times New Roman" w:cs="Times New Roman"/>
          <w:bCs/>
        </w:rPr>
        <w:t>) and the whole or a part of the event occurs after that commencement</w:t>
      </w:r>
      <w:r w:rsidR="00722296">
        <w:rPr>
          <w:rFonts w:ascii="Times New Roman" w:hAnsi="Times New Roman" w:cs="Times New Roman"/>
          <w:bCs/>
        </w:rPr>
        <w:t>.</w:t>
      </w:r>
      <w:r w:rsidR="00761466">
        <w:rPr>
          <w:rFonts w:ascii="Times New Roman" w:hAnsi="Times New Roman" w:cs="Times New Roman"/>
          <w:bCs/>
        </w:rPr>
        <w:t xml:space="preserve"> </w:t>
      </w:r>
      <w:r w:rsidR="0038271F">
        <w:rPr>
          <w:rFonts w:ascii="Times New Roman" w:hAnsi="Times New Roman" w:cs="Times New Roman"/>
          <w:bCs/>
        </w:rPr>
        <w:t>Such an</w:t>
      </w:r>
      <w:r w:rsidR="00761466">
        <w:rPr>
          <w:rFonts w:ascii="Times New Roman" w:hAnsi="Times New Roman" w:cs="Times New Roman"/>
          <w:bCs/>
        </w:rPr>
        <w:t xml:space="preserve"> event continues to be a significant event</w:t>
      </w:r>
      <w:r w:rsidR="00D44FB8">
        <w:rPr>
          <w:rFonts w:ascii="Times New Roman" w:hAnsi="Times New Roman" w:cs="Times New Roman"/>
          <w:bCs/>
        </w:rPr>
        <w:t xml:space="preserve"> within the meaning the Telecommunications Labelling Notice or the Declaration</w:t>
      </w:r>
      <w:r w:rsidR="00761466">
        <w:rPr>
          <w:rFonts w:ascii="Times New Roman" w:hAnsi="Times New Roman" w:cs="Times New Roman"/>
          <w:bCs/>
        </w:rPr>
        <w:t>.</w:t>
      </w:r>
    </w:p>
    <w:p w14:paraId="62529848" w14:textId="56F9BB38" w:rsidR="004C58B9" w:rsidRDefault="004C58B9" w:rsidP="004C58B9">
      <w:pPr>
        <w:rPr>
          <w:rFonts w:ascii="Times New Roman" w:hAnsi="Times New Roman" w:cs="Times New Roman"/>
        </w:rPr>
      </w:pPr>
      <w:r>
        <w:rPr>
          <w:rFonts w:ascii="Times New Roman" w:hAnsi="Times New Roman" w:cs="Times New Roman"/>
        </w:rPr>
        <w:t xml:space="preserve">A provision-by-provision description of the instrument is set out in the notes at </w:t>
      </w:r>
      <w:r>
        <w:rPr>
          <w:rFonts w:ascii="Times New Roman" w:hAnsi="Times New Roman" w:cs="Times New Roman"/>
          <w:b/>
        </w:rPr>
        <w:t>Attachment A</w:t>
      </w:r>
      <w:r>
        <w:rPr>
          <w:rFonts w:ascii="Times New Roman" w:hAnsi="Times New Roman" w:cs="Times New Roman"/>
        </w:rPr>
        <w:t>.</w:t>
      </w:r>
    </w:p>
    <w:p w14:paraId="15A8EB95" w14:textId="23FD4A92" w:rsidR="004C58B9" w:rsidRDefault="004C58B9" w:rsidP="004C58B9">
      <w:pPr>
        <w:rPr>
          <w:rFonts w:ascii="Times New Roman" w:hAnsi="Times New Roman" w:cs="Times New Roman"/>
        </w:rPr>
      </w:pPr>
      <w:r>
        <w:rPr>
          <w:rFonts w:ascii="Times New Roman" w:hAnsi="Times New Roman" w:cs="Times New Roman"/>
        </w:rPr>
        <w:lastRenderedPageBreak/>
        <w:t xml:space="preserve">The instrument is a </w:t>
      </w:r>
      <w:r w:rsidR="004F1A25">
        <w:rPr>
          <w:rFonts w:ascii="Times New Roman" w:hAnsi="Times New Roman" w:cs="Times New Roman"/>
        </w:rPr>
        <w:t xml:space="preserve">disallowable </w:t>
      </w:r>
      <w:r>
        <w:rPr>
          <w:rFonts w:ascii="Times New Roman" w:hAnsi="Times New Roman" w:cs="Times New Roman"/>
        </w:rPr>
        <w:t xml:space="preserve">legislative instrument for the purposes of the </w:t>
      </w:r>
      <w:r>
        <w:rPr>
          <w:rFonts w:ascii="Times New Roman" w:hAnsi="Times New Roman" w:cs="Times New Roman"/>
          <w:i/>
        </w:rPr>
        <w:t xml:space="preserve">Legislation Act 2003 </w:t>
      </w:r>
      <w:r>
        <w:rPr>
          <w:rFonts w:ascii="Times New Roman" w:hAnsi="Times New Roman" w:cs="Times New Roman"/>
        </w:rPr>
        <w:t>(</w:t>
      </w:r>
      <w:r w:rsidRPr="00A91940">
        <w:rPr>
          <w:rFonts w:ascii="Times New Roman" w:hAnsi="Times New Roman" w:cs="Times New Roman"/>
          <w:b/>
        </w:rPr>
        <w:t>the</w:t>
      </w:r>
      <w:r>
        <w:rPr>
          <w:rFonts w:ascii="Times New Roman" w:hAnsi="Times New Roman" w:cs="Times New Roman"/>
          <w:b/>
        </w:rPr>
        <w:t xml:space="preserve"> LA</w:t>
      </w:r>
      <w:r>
        <w:rPr>
          <w:rFonts w:ascii="Times New Roman" w:hAnsi="Times New Roman" w:cs="Times New Roman"/>
        </w:rPr>
        <w:t xml:space="preserve">). </w:t>
      </w:r>
      <w:r w:rsidR="004F1A25">
        <w:rPr>
          <w:rFonts w:ascii="Times New Roman" w:hAnsi="Times New Roman" w:cs="Times New Roman"/>
        </w:rPr>
        <w:t>Each of the Telecommunications Labelling Notice and the Declaration is subject to the sunsetting provisions of the LA.</w:t>
      </w:r>
    </w:p>
    <w:p w14:paraId="0C627C6A" w14:textId="77777777" w:rsidR="004C58B9" w:rsidRDefault="004C58B9" w:rsidP="00EB380B">
      <w:pPr>
        <w:keepNext/>
        <w:spacing w:line="257" w:lineRule="auto"/>
        <w:rPr>
          <w:rFonts w:ascii="Times New Roman" w:hAnsi="Times New Roman" w:cs="Times New Roman"/>
          <w:b/>
        </w:rPr>
      </w:pPr>
      <w:r>
        <w:rPr>
          <w:rFonts w:ascii="Times New Roman" w:hAnsi="Times New Roman" w:cs="Times New Roman"/>
          <w:b/>
        </w:rPr>
        <w:t>Documents incorporated by reference</w:t>
      </w:r>
    </w:p>
    <w:p w14:paraId="4DD6DE79" w14:textId="74FB9B1A" w:rsidR="00E7091B" w:rsidRDefault="00E7091B" w:rsidP="00EB380B">
      <w:pPr>
        <w:keepLines/>
        <w:spacing w:line="257" w:lineRule="auto"/>
        <w:rPr>
          <w:rFonts w:ascii="Times New Roman" w:hAnsi="Times New Roman" w:cs="Times New Roman"/>
        </w:rPr>
      </w:pPr>
      <w:r>
        <w:rPr>
          <w:rFonts w:ascii="Times New Roman" w:hAnsi="Times New Roman" w:cs="Times New Roman"/>
        </w:rPr>
        <w:t xml:space="preserve">Section 589 of the Act provides that an instrument under the Act may make provision in relation to a matter by applying, </w:t>
      </w:r>
      <w:proofErr w:type="gramStart"/>
      <w:r>
        <w:rPr>
          <w:rFonts w:ascii="Times New Roman" w:hAnsi="Times New Roman" w:cs="Times New Roman"/>
        </w:rPr>
        <w:t>adopting</w:t>
      </w:r>
      <w:proofErr w:type="gramEnd"/>
      <w:r>
        <w:rPr>
          <w:rFonts w:ascii="Times New Roman" w:hAnsi="Times New Roman" w:cs="Times New Roman"/>
        </w:rPr>
        <w:t xml:space="preserve"> or incorporating (with or without modifications) matter contained in any Act or any other instrument or writing as in force or existing at a particular time or </w:t>
      </w:r>
      <w:r w:rsidR="003745FC">
        <w:rPr>
          <w:rFonts w:ascii="Times New Roman" w:hAnsi="Times New Roman" w:cs="Times New Roman"/>
        </w:rPr>
        <w:t xml:space="preserve">as in force or existing </w:t>
      </w:r>
      <w:r>
        <w:rPr>
          <w:rFonts w:ascii="Times New Roman" w:hAnsi="Times New Roman" w:cs="Times New Roman"/>
        </w:rPr>
        <w:t>from time to time.</w:t>
      </w:r>
    </w:p>
    <w:p w14:paraId="504820F0" w14:textId="0219BF4E" w:rsidR="004D748A" w:rsidRDefault="00F806AF" w:rsidP="004D748A">
      <w:pPr>
        <w:keepLines/>
        <w:spacing w:line="257" w:lineRule="auto"/>
        <w:rPr>
          <w:rFonts w:ascii="Times New Roman" w:hAnsi="Times New Roman" w:cs="Times New Roman"/>
        </w:rPr>
      </w:pPr>
      <w:r>
        <w:rPr>
          <w:rFonts w:ascii="Times New Roman" w:hAnsi="Times New Roman" w:cs="Times New Roman"/>
        </w:rPr>
        <w:t>Th</w:t>
      </w:r>
      <w:r w:rsidR="007F78BA">
        <w:rPr>
          <w:rFonts w:ascii="Times New Roman" w:hAnsi="Times New Roman" w:cs="Times New Roman"/>
        </w:rPr>
        <w:t>e</w:t>
      </w:r>
      <w:r w:rsidR="004C58B9">
        <w:rPr>
          <w:rFonts w:ascii="Times New Roman" w:hAnsi="Times New Roman" w:cs="Times New Roman"/>
        </w:rPr>
        <w:t xml:space="preserve"> instrument </w:t>
      </w:r>
      <w:r w:rsidR="00626FB4">
        <w:rPr>
          <w:rFonts w:ascii="Times New Roman" w:hAnsi="Times New Roman" w:cs="Times New Roman"/>
        </w:rPr>
        <w:t>amends</w:t>
      </w:r>
      <w:r w:rsidR="00064838">
        <w:rPr>
          <w:rFonts w:ascii="Times New Roman" w:hAnsi="Times New Roman" w:cs="Times New Roman"/>
        </w:rPr>
        <w:t xml:space="preserve"> </w:t>
      </w:r>
      <w:r w:rsidR="007F78BA">
        <w:rPr>
          <w:rFonts w:ascii="Times New Roman" w:hAnsi="Times New Roman" w:cs="Times New Roman"/>
        </w:rPr>
        <w:t xml:space="preserve">the </w:t>
      </w:r>
      <w:r w:rsidR="0024708F">
        <w:rPr>
          <w:rFonts w:ascii="Times New Roman" w:hAnsi="Times New Roman" w:cs="Times New Roman"/>
        </w:rPr>
        <w:t xml:space="preserve">Telecommunications </w:t>
      </w:r>
      <w:r w:rsidR="00064838">
        <w:rPr>
          <w:rFonts w:ascii="Times New Roman" w:hAnsi="Times New Roman" w:cs="Times New Roman"/>
        </w:rPr>
        <w:t xml:space="preserve">Labelling Notice and the Declaration </w:t>
      </w:r>
      <w:r w:rsidR="00E7091B">
        <w:rPr>
          <w:rFonts w:ascii="Times New Roman" w:hAnsi="Times New Roman" w:cs="Times New Roman"/>
        </w:rPr>
        <w:t>to incorporate</w:t>
      </w:r>
      <w:r w:rsidR="00784774">
        <w:rPr>
          <w:rFonts w:ascii="Times New Roman" w:hAnsi="Times New Roman" w:cs="Times New Roman"/>
        </w:rPr>
        <w:t xml:space="preserve"> or otherwise refer to</w:t>
      </w:r>
      <w:r w:rsidR="00E7091B">
        <w:rPr>
          <w:rFonts w:ascii="Times New Roman" w:hAnsi="Times New Roman" w:cs="Times New Roman"/>
        </w:rPr>
        <w:t xml:space="preserve"> </w:t>
      </w:r>
      <w:r w:rsidR="0077714A">
        <w:rPr>
          <w:rFonts w:ascii="Times New Roman" w:hAnsi="Times New Roman" w:cs="Times New Roman"/>
        </w:rPr>
        <w:t>sub</w:t>
      </w:r>
      <w:r w:rsidR="00E7091B">
        <w:rPr>
          <w:rFonts w:ascii="Times New Roman" w:hAnsi="Times New Roman" w:cs="Times New Roman"/>
        </w:rPr>
        <w:t>section 54A</w:t>
      </w:r>
      <w:r w:rsidR="0077714A">
        <w:rPr>
          <w:rFonts w:ascii="Times New Roman" w:hAnsi="Times New Roman" w:cs="Times New Roman"/>
        </w:rPr>
        <w:t>(2)</w:t>
      </w:r>
      <w:r w:rsidR="00E7091B">
        <w:rPr>
          <w:rFonts w:ascii="Times New Roman" w:hAnsi="Times New Roman" w:cs="Times New Roman"/>
        </w:rPr>
        <w:t xml:space="preserve"> of</w:t>
      </w:r>
      <w:r w:rsidR="00064838">
        <w:rPr>
          <w:rFonts w:ascii="Times New Roman" w:hAnsi="Times New Roman" w:cs="Times New Roman"/>
        </w:rPr>
        <w:t xml:space="preserve"> </w:t>
      </w:r>
      <w:r w:rsidR="003351B2">
        <w:rPr>
          <w:rFonts w:ascii="Times New Roman" w:hAnsi="Times New Roman" w:cs="Times New Roman"/>
        </w:rPr>
        <w:t>the General Equipment Rules</w:t>
      </w:r>
      <w:r w:rsidR="00E7091B">
        <w:rPr>
          <w:rFonts w:ascii="Times New Roman" w:hAnsi="Times New Roman" w:cs="Times New Roman"/>
        </w:rPr>
        <w:t xml:space="preserve"> as in force from time to time</w:t>
      </w:r>
      <w:r w:rsidR="002D3E59">
        <w:rPr>
          <w:rFonts w:ascii="Times New Roman" w:hAnsi="Times New Roman" w:cs="Times New Roman"/>
        </w:rPr>
        <w:t xml:space="preserve">. </w:t>
      </w:r>
      <w:r w:rsidR="003274BC">
        <w:rPr>
          <w:rFonts w:ascii="Times New Roman" w:hAnsi="Times New Roman" w:cs="Times New Roman"/>
        </w:rPr>
        <w:t xml:space="preserve">The instrument also amends the Telecommunications Labelling Notice to </w:t>
      </w:r>
      <w:r w:rsidR="007D0EE6">
        <w:rPr>
          <w:rFonts w:ascii="Times New Roman" w:hAnsi="Times New Roman" w:cs="Times New Roman"/>
        </w:rPr>
        <w:t xml:space="preserve">incorporate or otherwise </w:t>
      </w:r>
      <w:r w:rsidR="003274BC">
        <w:rPr>
          <w:rFonts w:ascii="Times New Roman" w:hAnsi="Times New Roman" w:cs="Times New Roman"/>
        </w:rPr>
        <w:t>refer to</w:t>
      </w:r>
      <w:r w:rsidR="0036043C">
        <w:rPr>
          <w:rFonts w:ascii="Times New Roman" w:hAnsi="Times New Roman" w:cs="Times New Roman"/>
        </w:rPr>
        <w:t xml:space="preserve"> the definition of ‘significant event’ in subsection 4(1)</w:t>
      </w:r>
      <w:r w:rsidR="00233AC5">
        <w:rPr>
          <w:rFonts w:ascii="Times New Roman" w:hAnsi="Times New Roman" w:cs="Times New Roman"/>
        </w:rPr>
        <w:t xml:space="preserve"> of th</w:t>
      </w:r>
      <w:r w:rsidR="00411E8A">
        <w:rPr>
          <w:rFonts w:ascii="Times New Roman" w:hAnsi="Times New Roman" w:cs="Times New Roman"/>
        </w:rPr>
        <w:t>at</w:t>
      </w:r>
      <w:r w:rsidR="00233AC5">
        <w:rPr>
          <w:rFonts w:ascii="Times New Roman" w:hAnsi="Times New Roman" w:cs="Times New Roman"/>
        </w:rPr>
        <w:t xml:space="preserve"> </w:t>
      </w:r>
      <w:r w:rsidR="008F1A9A">
        <w:rPr>
          <w:rFonts w:ascii="Times New Roman" w:hAnsi="Times New Roman" w:cs="Times New Roman"/>
        </w:rPr>
        <w:t>n</w:t>
      </w:r>
      <w:r w:rsidR="00A6741B">
        <w:rPr>
          <w:rFonts w:ascii="Times New Roman" w:hAnsi="Times New Roman" w:cs="Times New Roman"/>
        </w:rPr>
        <w:t>otice</w:t>
      </w:r>
      <w:r w:rsidR="003274BC">
        <w:rPr>
          <w:rFonts w:ascii="Times New Roman" w:hAnsi="Times New Roman" w:cs="Times New Roman"/>
        </w:rPr>
        <w:t xml:space="preserve"> as in force immediately before the commencement of the </w:t>
      </w:r>
      <w:proofErr w:type="gramStart"/>
      <w:r w:rsidR="003274BC">
        <w:rPr>
          <w:rFonts w:ascii="Times New Roman" w:hAnsi="Times New Roman" w:cs="Times New Roman"/>
        </w:rPr>
        <w:t>instrument, and</w:t>
      </w:r>
      <w:proofErr w:type="gramEnd"/>
      <w:r w:rsidR="003274BC">
        <w:rPr>
          <w:rFonts w:ascii="Times New Roman" w:hAnsi="Times New Roman" w:cs="Times New Roman"/>
        </w:rPr>
        <w:t xml:space="preserve"> amends the Declaration to </w:t>
      </w:r>
      <w:r w:rsidR="008475BC">
        <w:rPr>
          <w:rFonts w:ascii="Times New Roman" w:hAnsi="Times New Roman" w:cs="Times New Roman"/>
        </w:rPr>
        <w:t xml:space="preserve">incorporate or otherwise </w:t>
      </w:r>
      <w:r w:rsidR="003274BC">
        <w:rPr>
          <w:rFonts w:ascii="Times New Roman" w:hAnsi="Times New Roman" w:cs="Times New Roman"/>
        </w:rPr>
        <w:t xml:space="preserve">refer to </w:t>
      </w:r>
      <w:r w:rsidR="00734902">
        <w:rPr>
          <w:rFonts w:ascii="Times New Roman" w:hAnsi="Times New Roman" w:cs="Times New Roman"/>
        </w:rPr>
        <w:t>the definition of ‘significant event’ in section 4 of th</w:t>
      </w:r>
      <w:r w:rsidR="00F51F74">
        <w:rPr>
          <w:rFonts w:ascii="Times New Roman" w:hAnsi="Times New Roman" w:cs="Times New Roman"/>
        </w:rPr>
        <w:t>e</w:t>
      </w:r>
      <w:r w:rsidR="00734902">
        <w:rPr>
          <w:rFonts w:ascii="Times New Roman" w:hAnsi="Times New Roman" w:cs="Times New Roman"/>
        </w:rPr>
        <w:t xml:space="preserve"> Dec</w:t>
      </w:r>
      <w:r w:rsidR="00CA671A">
        <w:rPr>
          <w:rFonts w:ascii="Times New Roman" w:hAnsi="Times New Roman" w:cs="Times New Roman"/>
        </w:rPr>
        <w:t>laration</w:t>
      </w:r>
      <w:r w:rsidR="003274BC">
        <w:rPr>
          <w:rFonts w:ascii="Times New Roman" w:hAnsi="Times New Roman" w:cs="Times New Roman"/>
        </w:rPr>
        <w:t xml:space="preserve"> as in force immediately before the commencement of the instrument</w:t>
      </w:r>
      <w:r w:rsidR="003D4BBE">
        <w:rPr>
          <w:rFonts w:ascii="Times New Roman" w:hAnsi="Times New Roman" w:cs="Times New Roman"/>
        </w:rPr>
        <w:t>.</w:t>
      </w:r>
    </w:p>
    <w:p w14:paraId="44046CCC" w14:textId="4B38565B" w:rsidR="008C3D82" w:rsidRPr="00064838" w:rsidRDefault="002D3E59" w:rsidP="00EB380B">
      <w:pPr>
        <w:keepLines/>
        <w:spacing w:line="257" w:lineRule="auto"/>
        <w:rPr>
          <w:rFonts w:ascii="Times New Roman" w:hAnsi="Times New Roman" w:cs="Times New Roman"/>
        </w:rPr>
      </w:pPr>
      <w:r>
        <w:rPr>
          <w:rFonts w:ascii="Times New Roman" w:hAnsi="Times New Roman" w:cs="Times New Roman"/>
        </w:rPr>
        <w:t>The General Equipment Rules</w:t>
      </w:r>
      <w:r w:rsidR="00332470">
        <w:rPr>
          <w:rFonts w:ascii="Times New Roman" w:hAnsi="Times New Roman" w:cs="Times New Roman"/>
        </w:rPr>
        <w:t>, the Telecommunications Labelling Notice and the Declaration</w:t>
      </w:r>
      <w:r>
        <w:rPr>
          <w:rFonts w:ascii="Times New Roman" w:hAnsi="Times New Roman" w:cs="Times New Roman"/>
        </w:rPr>
        <w:t xml:space="preserve"> are</w:t>
      </w:r>
      <w:r w:rsidR="000B2AC3" w:rsidRPr="003351B2">
        <w:rPr>
          <w:rFonts w:ascii="Times New Roman" w:hAnsi="Times New Roman" w:cs="Times New Roman"/>
        </w:rPr>
        <w:t xml:space="preserve"> </w:t>
      </w:r>
      <w:r w:rsidR="004D748A">
        <w:rPr>
          <w:rFonts w:ascii="Times New Roman" w:hAnsi="Times New Roman" w:cs="Times New Roman"/>
        </w:rPr>
        <w:t>available, free of charge, from</w:t>
      </w:r>
      <w:r w:rsidR="00937427" w:rsidRPr="003351B2">
        <w:rPr>
          <w:rFonts w:ascii="Times New Roman" w:hAnsi="Times New Roman" w:cs="Times New Roman"/>
        </w:rPr>
        <w:t xml:space="preserve"> the Federal Register of Legislation at </w:t>
      </w:r>
      <w:hyperlink r:id="rId13" w:history="1">
        <w:r w:rsidR="00937427" w:rsidRPr="003351B2">
          <w:rPr>
            <w:rStyle w:val="Hyperlink"/>
            <w:rFonts w:ascii="Times New Roman" w:hAnsi="Times New Roman" w:cs="Times New Roman"/>
          </w:rPr>
          <w:t>www.legislation.gov.au</w:t>
        </w:r>
      </w:hyperlink>
      <w:r w:rsidR="00937427" w:rsidRPr="003351B2">
        <w:rPr>
          <w:rFonts w:ascii="Times New Roman" w:hAnsi="Times New Roman" w:cs="Times New Roman"/>
        </w:rPr>
        <w:t xml:space="preserve">. </w:t>
      </w:r>
    </w:p>
    <w:p w14:paraId="2EFDFDBF" w14:textId="77777777" w:rsidR="004C58B9" w:rsidRDefault="004C58B9" w:rsidP="004C58B9">
      <w:pPr>
        <w:rPr>
          <w:rFonts w:ascii="Times New Roman" w:hAnsi="Times New Roman" w:cs="Times New Roman"/>
          <w:b/>
        </w:rPr>
      </w:pPr>
      <w:r>
        <w:rPr>
          <w:rFonts w:ascii="Times New Roman" w:hAnsi="Times New Roman" w:cs="Times New Roman"/>
          <w:b/>
        </w:rPr>
        <w:t>Consultation</w:t>
      </w:r>
    </w:p>
    <w:p w14:paraId="5986EB2E" w14:textId="77777777" w:rsidR="00EB7AD5" w:rsidRDefault="004C58B9" w:rsidP="00676AF4">
      <w:pPr>
        <w:rPr>
          <w:rFonts w:ascii="Times New Roman" w:hAnsi="Times New Roman" w:cs="Times New Roman"/>
        </w:rPr>
      </w:pPr>
      <w:r>
        <w:rPr>
          <w:rFonts w:ascii="Times New Roman" w:hAnsi="Times New Roman" w:cs="Times New Roman"/>
        </w:rPr>
        <w:t xml:space="preserve">Before the instrument was made, the ACMA was satisfied that consultation was undertaken to the extent appropriate and reasonably practicable, in accordance with section 17 of the LA. </w:t>
      </w:r>
    </w:p>
    <w:p w14:paraId="4B30D248" w14:textId="665B427F" w:rsidR="00676AF4" w:rsidRDefault="00676AF4" w:rsidP="00676AF4">
      <w:pPr>
        <w:rPr>
          <w:rFonts w:ascii="Times New Roman" w:hAnsi="Times New Roman" w:cs="Times New Roman"/>
        </w:rPr>
      </w:pPr>
      <w:r>
        <w:rPr>
          <w:rFonts w:ascii="Times New Roman" w:hAnsi="Times New Roman" w:cs="Times New Roman"/>
        </w:rPr>
        <w:t xml:space="preserve">A public consultation process was conducted </w:t>
      </w:r>
      <w:r w:rsidR="00350D04">
        <w:rPr>
          <w:rFonts w:ascii="Times New Roman" w:hAnsi="Times New Roman" w:cs="Times New Roman"/>
        </w:rPr>
        <w:t>during the period</w:t>
      </w:r>
      <w:r>
        <w:rPr>
          <w:rFonts w:ascii="Times New Roman" w:hAnsi="Times New Roman" w:cs="Times New Roman"/>
        </w:rPr>
        <w:t xml:space="preserve"> </w:t>
      </w:r>
      <w:r w:rsidR="00507EA1">
        <w:rPr>
          <w:rFonts w:ascii="Times New Roman" w:hAnsi="Times New Roman" w:cs="Times New Roman"/>
        </w:rPr>
        <w:t>10</w:t>
      </w:r>
      <w:r>
        <w:rPr>
          <w:rFonts w:ascii="Times New Roman" w:hAnsi="Times New Roman" w:cs="Times New Roman"/>
        </w:rPr>
        <w:t xml:space="preserve"> </w:t>
      </w:r>
      <w:r w:rsidR="00507EA1">
        <w:rPr>
          <w:rFonts w:ascii="Times New Roman" w:hAnsi="Times New Roman" w:cs="Times New Roman"/>
        </w:rPr>
        <w:t xml:space="preserve">November </w:t>
      </w:r>
      <w:r>
        <w:rPr>
          <w:rFonts w:ascii="Times New Roman" w:hAnsi="Times New Roman" w:cs="Times New Roman"/>
        </w:rPr>
        <w:t xml:space="preserve">2022 </w:t>
      </w:r>
      <w:r w:rsidR="00350D04">
        <w:rPr>
          <w:rFonts w:ascii="Times New Roman" w:hAnsi="Times New Roman" w:cs="Times New Roman"/>
        </w:rPr>
        <w:t>to</w:t>
      </w:r>
      <w:r>
        <w:rPr>
          <w:rFonts w:ascii="Times New Roman" w:hAnsi="Times New Roman" w:cs="Times New Roman"/>
        </w:rPr>
        <w:t xml:space="preserve"> </w:t>
      </w:r>
      <w:r w:rsidR="00507EA1">
        <w:rPr>
          <w:rFonts w:ascii="Times New Roman" w:hAnsi="Times New Roman" w:cs="Times New Roman"/>
        </w:rPr>
        <w:t>15</w:t>
      </w:r>
      <w:r>
        <w:rPr>
          <w:rFonts w:ascii="Times New Roman" w:hAnsi="Times New Roman" w:cs="Times New Roman"/>
        </w:rPr>
        <w:t xml:space="preserve"> </w:t>
      </w:r>
      <w:r w:rsidR="00507EA1">
        <w:rPr>
          <w:rFonts w:ascii="Times New Roman" w:hAnsi="Times New Roman" w:cs="Times New Roman"/>
        </w:rPr>
        <w:t xml:space="preserve">December </w:t>
      </w:r>
      <w:r>
        <w:rPr>
          <w:rFonts w:ascii="Times New Roman" w:hAnsi="Times New Roman" w:cs="Times New Roman"/>
        </w:rPr>
        <w:t xml:space="preserve">2022 in relation to the proposed making of the </w:t>
      </w:r>
      <w:r w:rsidR="00042182">
        <w:rPr>
          <w:rFonts w:ascii="Times New Roman" w:hAnsi="Times New Roman" w:cs="Times New Roman"/>
        </w:rPr>
        <w:t>instrument</w:t>
      </w:r>
      <w:r w:rsidR="00B81D24">
        <w:rPr>
          <w:rFonts w:ascii="Times New Roman" w:hAnsi="Times New Roman" w:cs="Times New Roman"/>
        </w:rPr>
        <w:t xml:space="preserve"> and</w:t>
      </w:r>
      <w:r w:rsidR="00DE4A2B">
        <w:rPr>
          <w:rFonts w:ascii="Times New Roman" w:hAnsi="Times New Roman" w:cs="Times New Roman"/>
        </w:rPr>
        <w:t xml:space="preserve"> other</w:t>
      </w:r>
      <w:r w:rsidR="00B81D24">
        <w:rPr>
          <w:rFonts w:ascii="Times New Roman" w:hAnsi="Times New Roman" w:cs="Times New Roman"/>
        </w:rPr>
        <w:t xml:space="preserve"> p</w:t>
      </w:r>
      <w:r w:rsidR="00B81D24" w:rsidRPr="00B81D24">
        <w:rPr>
          <w:rFonts w:ascii="Times New Roman" w:hAnsi="Times New Roman" w:cs="Times New Roman"/>
        </w:rPr>
        <w:t>roposed changes to radiocommunications equipment regulation</w:t>
      </w:r>
      <w:r>
        <w:rPr>
          <w:rFonts w:ascii="Times New Roman" w:hAnsi="Times New Roman" w:cs="Times New Roman"/>
        </w:rPr>
        <w:t xml:space="preserve">. </w:t>
      </w:r>
      <w:r w:rsidR="00CE0E85">
        <w:rPr>
          <w:rFonts w:ascii="Times New Roman" w:hAnsi="Times New Roman" w:cs="Times New Roman"/>
        </w:rPr>
        <w:t>A d</w:t>
      </w:r>
      <w:r>
        <w:rPr>
          <w:rFonts w:ascii="Times New Roman" w:hAnsi="Times New Roman" w:cs="Times New Roman"/>
        </w:rPr>
        <w:t>raft</w:t>
      </w:r>
      <w:r w:rsidR="00CE0E85">
        <w:rPr>
          <w:rFonts w:ascii="Times New Roman" w:hAnsi="Times New Roman" w:cs="Times New Roman"/>
        </w:rPr>
        <w:t xml:space="preserve"> of the</w:t>
      </w:r>
      <w:r>
        <w:rPr>
          <w:rFonts w:ascii="Times New Roman" w:hAnsi="Times New Roman" w:cs="Times New Roman"/>
        </w:rPr>
        <w:t xml:space="preserve"> instrument and a consultation paper containing explanatory information were made available on the ACMA website during that period. Interested parties were notified of the release of the draft </w:t>
      </w:r>
      <w:r w:rsidR="00CE0E85">
        <w:rPr>
          <w:rFonts w:ascii="Times New Roman" w:hAnsi="Times New Roman" w:cs="Times New Roman"/>
        </w:rPr>
        <w:t>instrument</w:t>
      </w:r>
      <w:r>
        <w:rPr>
          <w:rFonts w:ascii="Times New Roman" w:hAnsi="Times New Roman" w:cs="Times New Roman"/>
        </w:rPr>
        <w:t xml:space="preserve"> and invited to comment. </w:t>
      </w:r>
    </w:p>
    <w:p w14:paraId="1A89A815" w14:textId="66E72FE3" w:rsidR="004C58B9" w:rsidRDefault="00676AF4" w:rsidP="004C58B9">
      <w:pPr>
        <w:rPr>
          <w:rFonts w:ascii="Times New Roman" w:hAnsi="Times New Roman" w:cs="Times New Roman"/>
        </w:rPr>
      </w:pPr>
      <w:r>
        <w:rPr>
          <w:rFonts w:ascii="Times New Roman" w:hAnsi="Times New Roman" w:cs="Times New Roman"/>
        </w:rPr>
        <w:t xml:space="preserve">The ACMA received </w:t>
      </w:r>
      <w:r w:rsidR="0057643F">
        <w:rPr>
          <w:rFonts w:ascii="Times New Roman" w:hAnsi="Times New Roman" w:cs="Times New Roman"/>
        </w:rPr>
        <w:t>1</w:t>
      </w:r>
      <w:r w:rsidR="00E86EC4">
        <w:rPr>
          <w:rFonts w:ascii="Times New Roman" w:hAnsi="Times New Roman" w:cs="Times New Roman"/>
        </w:rPr>
        <w:t>1</w:t>
      </w:r>
      <w:r>
        <w:rPr>
          <w:rFonts w:ascii="Times New Roman" w:hAnsi="Times New Roman" w:cs="Times New Roman"/>
        </w:rPr>
        <w:t xml:space="preserve"> submissions to the </w:t>
      </w:r>
      <w:r w:rsidR="00DB663D">
        <w:rPr>
          <w:rFonts w:ascii="Times New Roman" w:hAnsi="Times New Roman" w:cs="Times New Roman"/>
        </w:rPr>
        <w:t xml:space="preserve">broader </w:t>
      </w:r>
      <w:r>
        <w:rPr>
          <w:rFonts w:ascii="Times New Roman" w:hAnsi="Times New Roman" w:cs="Times New Roman"/>
        </w:rPr>
        <w:t xml:space="preserve">consultation, and these were considered </w:t>
      </w:r>
      <w:r w:rsidR="00086182">
        <w:rPr>
          <w:rFonts w:ascii="Times New Roman" w:hAnsi="Times New Roman" w:cs="Times New Roman"/>
        </w:rPr>
        <w:t>before</w:t>
      </w:r>
      <w:r>
        <w:rPr>
          <w:rFonts w:ascii="Times New Roman" w:hAnsi="Times New Roman" w:cs="Times New Roman"/>
        </w:rPr>
        <w:t xml:space="preserve"> making the </w:t>
      </w:r>
      <w:r w:rsidR="00A578E1">
        <w:rPr>
          <w:rFonts w:ascii="Times New Roman" w:hAnsi="Times New Roman" w:cs="Times New Roman"/>
        </w:rPr>
        <w:t>instrument</w:t>
      </w:r>
      <w:r>
        <w:rPr>
          <w:rFonts w:ascii="Times New Roman" w:hAnsi="Times New Roman" w:cs="Times New Roman"/>
        </w:rPr>
        <w:t xml:space="preserve">. </w:t>
      </w:r>
      <w:r w:rsidR="00F35E9F">
        <w:rPr>
          <w:rFonts w:ascii="Times New Roman" w:hAnsi="Times New Roman" w:cs="Times New Roman"/>
        </w:rPr>
        <w:t>T</w:t>
      </w:r>
      <w:r w:rsidR="00E86EC4">
        <w:rPr>
          <w:rFonts w:ascii="Times New Roman" w:hAnsi="Times New Roman" w:cs="Times New Roman"/>
        </w:rPr>
        <w:t xml:space="preserve">hree </w:t>
      </w:r>
      <w:r w:rsidR="00CF26DD">
        <w:rPr>
          <w:rFonts w:ascii="Times New Roman" w:hAnsi="Times New Roman" w:cs="Times New Roman"/>
        </w:rPr>
        <w:t xml:space="preserve">of the submissions provided no comment on the </w:t>
      </w:r>
      <w:r w:rsidR="00B24331">
        <w:rPr>
          <w:rFonts w:ascii="Times New Roman" w:hAnsi="Times New Roman" w:cs="Times New Roman"/>
        </w:rPr>
        <w:t>propos</w:t>
      </w:r>
      <w:r w:rsidR="005A75BE">
        <w:rPr>
          <w:rFonts w:ascii="Times New Roman" w:hAnsi="Times New Roman" w:cs="Times New Roman"/>
        </w:rPr>
        <w:t>al to</w:t>
      </w:r>
      <w:r w:rsidR="00B24331">
        <w:rPr>
          <w:rFonts w:ascii="Times New Roman" w:hAnsi="Times New Roman" w:cs="Times New Roman"/>
        </w:rPr>
        <w:t xml:space="preserve"> </w:t>
      </w:r>
      <w:r w:rsidR="00CF26DD">
        <w:rPr>
          <w:rFonts w:ascii="Times New Roman" w:hAnsi="Times New Roman" w:cs="Times New Roman"/>
        </w:rPr>
        <w:t>mak</w:t>
      </w:r>
      <w:r w:rsidR="005A75BE">
        <w:rPr>
          <w:rFonts w:ascii="Times New Roman" w:hAnsi="Times New Roman" w:cs="Times New Roman"/>
        </w:rPr>
        <w:t>e</w:t>
      </w:r>
      <w:r w:rsidR="00CF26DD">
        <w:rPr>
          <w:rFonts w:ascii="Times New Roman" w:hAnsi="Times New Roman" w:cs="Times New Roman"/>
        </w:rPr>
        <w:t xml:space="preserve"> the instrument, </w:t>
      </w:r>
      <w:r w:rsidR="00F35E9F">
        <w:rPr>
          <w:rFonts w:ascii="Times New Roman" w:hAnsi="Times New Roman" w:cs="Times New Roman"/>
        </w:rPr>
        <w:t xml:space="preserve">and </w:t>
      </w:r>
      <w:r w:rsidR="00CF26DD">
        <w:rPr>
          <w:rFonts w:ascii="Times New Roman" w:hAnsi="Times New Roman" w:cs="Times New Roman"/>
        </w:rPr>
        <w:t>four submissions commented in support of the proposal</w:t>
      </w:r>
      <w:r w:rsidR="00E86EC4">
        <w:rPr>
          <w:rFonts w:ascii="Times New Roman" w:hAnsi="Times New Roman" w:cs="Times New Roman"/>
        </w:rPr>
        <w:t xml:space="preserve"> but did not elaborate further</w:t>
      </w:r>
      <w:r w:rsidR="00CF26DD">
        <w:rPr>
          <w:rFonts w:ascii="Times New Roman" w:hAnsi="Times New Roman" w:cs="Times New Roman"/>
        </w:rPr>
        <w:t xml:space="preserve">. </w:t>
      </w:r>
    </w:p>
    <w:p w14:paraId="33DAD7BE" w14:textId="33A0C8A7" w:rsidR="006B58B3" w:rsidRDefault="009C7C6E" w:rsidP="009867F1">
      <w:pPr>
        <w:rPr>
          <w:rFonts w:ascii="Times New Roman" w:hAnsi="Times New Roman" w:cs="Times New Roman"/>
        </w:rPr>
      </w:pPr>
      <w:r>
        <w:rPr>
          <w:rFonts w:ascii="Times New Roman" w:hAnsi="Times New Roman" w:cs="Times New Roman"/>
        </w:rPr>
        <w:t>Of the remaining four submissions, o</w:t>
      </w:r>
      <w:r w:rsidR="00854523" w:rsidRPr="00854523">
        <w:rPr>
          <w:rFonts w:ascii="Times New Roman" w:hAnsi="Times New Roman" w:cs="Times New Roman"/>
        </w:rPr>
        <w:t>ne supported the proposal</w:t>
      </w:r>
      <w:r w:rsidR="00A07D0F">
        <w:rPr>
          <w:rFonts w:ascii="Times New Roman" w:hAnsi="Times New Roman" w:cs="Times New Roman"/>
        </w:rPr>
        <w:t xml:space="preserve"> </w:t>
      </w:r>
      <w:r w:rsidR="00854523" w:rsidRPr="00854523">
        <w:rPr>
          <w:rFonts w:ascii="Times New Roman" w:hAnsi="Times New Roman" w:cs="Times New Roman"/>
        </w:rPr>
        <w:t xml:space="preserve">and suggested establishing a </w:t>
      </w:r>
      <w:r w:rsidR="00BE1422">
        <w:rPr>
          <w:rFonts w:ascii="Times New Roman" w:hAnsi="Times New Roman" w:cs="Times New Roman"/>
        </w:rPr>
        <w:t>means</w:t>
      </w:r>
      <w:r w:rsidR="00854523" w:rsidRPr="00854523">
        <w:rPr>
          <w:rFonts w:ascii="Times New Roman" w:hAnsi="Times New Roman" w:cs="Times New Roman"/>
        </w:rPr>
        <w:t xml:space="preserve"> for stakeholders to subscribe to specific updates via the ACMA website to receive an email when new notifiable instruments declaring significant events are </w:t>
      </w:r>
      <w:r w:rsidR="00091530">
        <w:rPr>
          <w:rFonts w:ascii="Times New Roman" w:hAnsi="Times New Roman" w:cs="Times New Roman"/>
        </w:rPr>
        <w:t>made</w:t>
      </w:r>
      <w:r w:rsidR="001630EA">
        <w:rPr>
          <w:rFonts w:ascii="Times New Roman" w:hAnsi="Times New Roman" w:cs="Times New Roman"/>
        </w:rPr>
        <w:t>. T</w:t>
      </w:r>
      <w:r w:rsidR="00554119">
        <w:rPr>
          <w:rFonts w:ascii="Times New Roman" w:hAnsi="Times New Roman" w:cs="Times New Roman"/>
        </w:rPr>
        <w:t xml:space="preserve">he ACMA </w:t>
      </w:r>
      <w:r w:rsidR="00F35E9F">
        <w:rPr>
          <w:rFonts w:ascii="Times New Roman" w:hAnsi="Times New Roman" w:cs="Times New Roman"/>
        </w:rPr>
        <w:t xml:space="preserve">will </w:t>
      </w:r>
      <w:r w:rsidR="009867F1">
        <w:rPr>
          <w:rFonts w:ascii="Times New Roman" w:hAnsi="Times New Roman" w:cs="Times New Roman"/>
        </w:rPr>
        <w:t>consider</w:t>
      </w:r>
      <w:r w:rsidR="00554119">
        <w:rPr>
          <w:rFonts w:ascii="Times New Roman" w:hAnsi="Times New Roman" w:cs="Times New Roman"/>
        </w:rPr>
        <w:t xml:space="preserve"> </w:t>
      </w:r>
      <w:r w:rsidR="00DC7570">
        <w:rPr>
          <w:rFonts w:ascii="Times New Roman" w:hAnsi="Times New Roman" w:cs="Times New Roman"/>
        </w:rPr>
        <w:t xml:space="preserve">implementing </w:t>
      </w:r>
      <w:r w:rsidR="00554119">
        <w:rPr>
          <w:rFonts w:ascii="Times New Roman" w:hAnsi="Times New Roman" w:cs="Times New Roman"/>
        </w:rPr>
        <w:t xml:space="preserve">this </w:t>
      </w:r>
      <w:r w:rsidR="006B58B3">
        <w:rPr>
          <w:rFonts w:ascii="Times New Roman" w:hAnsi="Times New Roman" w:cs="Times New Roman"/>
        </w:rPr>
        <w:t>suggestion.</w:t>
      </w:r>
    </w:p>
    <w:p w14:paraId="300083BF" w14:textId="6B508694" w:rsidR="00854523" w:rsidRPr="009867F1" w:rsidRDefault="006B58B3" w:rsidP="009867F1">
      <w:pPr>
        <w:rPr>
          <w:rFonts w:ascii="Times New Roman" w:hAnsi="Times New Roman" w:cs="Times New Roman"/>
        </w:rPr>
      </w:pPr>
      <w:r>
        <w:rPr>
          <w:rFonts w:ascii="Times New Roman" w:hAnsi="Times New Roman" w:cs="Times New Roman"/>
        </w:rPr>
        <w:t xml:space="preserve">The </w:t>
      </w:r>
      <w:r w:rsidR="0026605A">
        <w:rPr>
          <w:rFonts w:ascii="Times New Roman" w:hAnsi="Times New Roman" w:cs="Times New Roman"/>
        </w:rPr>
        <w:t xml:space="preserve">remaining </w:t>
      </w:r>
      <w:r w:rsidR="00EA14D2">
        <w:rPr>
          <w:rFonts w:ascii="Times New Roman" w:hAnsi="Times New Roman" w:cs="Times New Roman"/>
        </w:rPr>
        <w:t xml:space="preserve">three </w:t>
      </w:r>
      <w:r w:rsidR="00854523" w:rsidRPr="009867F1">
        <w:rPr>
          <w:rFonts w:ascii="Times New Roman" w:hAnsi="Times New Roman" w:cs="Times New Roman"/>
        </w:rPr>
        <w:t>submissions</w:t>
      </w:r>
      <w:r w:rsidR="00A07D0F">
        <w:rPr>
          <w:rFonts w:ascii="Times New Roman" w:hAnsi="Times New Roman" w:cs="Times New Roman"/>
        </w:rPr>
        <w:t xml:space="preserve"> </w:t>
      </w:r>
      <w:r w:rsidR="00A07D0F" w:rsidRPr="00854523">
        <w:rPr>
          <w:rFonts w:ascii="Times New Roman" w:hAnsi="Times New Roman" w:cs="Times New Roman"/>
        </w:rPr>
        <w:t>supported the proposal</w:t>
      </w:r>
      <w:r w:rsidR="00A07D0F">
        <w:rPr>
          <w:rFonts w:ascii="Times New Roman" w:hAnsi="Times New Roman" w:cs="Times New Roman"/>
        </w:rPr>
        <w:t xml:space="preserve"> </w:t>
      </w:r>
      <w:r w:rsidR="001E4DBB">
        <w:rPr>
          <w:rFonts w:ascii="Times New Roman" w:hAnsi="Times New Roman" w:cs="Times New Roman"/>
        </w:rPr>
        <w:t xml:space="preserve">to make the instrument </w:t>
      </w:r>
      <w:r w:rsidR="00A07D0F">
        <w:rPr>
          <w:rFonts w:ascii="Times New Roman" w:hAnsi="Times New Roman" w:cs="Times New Roman"/>
        </w:rPr>
        <w:t>and</w:t>
      </w:r>
      <w:r w:rsidR="00854523" w:rsidRPr="009867F1">
        <w:rPr>
          <w:rFonts w:ascii="Times New Roman" w:hAnsi="Times New Roman" w:cs="Times New Roman"/>
        </w:rPr>
        <w:t xml:space="preserve"> recommended the ACMA continue its current practice of publishing details of forthcoming significant events on </w:t>
      </w:r>
      <w:r w:rsidR="001630EA">
        <w:rPr>
          <w:rFonts w:ascii="Times New Roman" w:hAnsi="Times New Roman" w:cs="Times New Roman"/>
        </w:rPr>
        <w:t>the ACMA</w:t>
      </w:r>
      <w:r w:rsidR="00854523" w:rsidRPr="009867F1">
        <w:rPr>
          <w:rFonts w:ascii="Times New Roman" w:hAnsi="Times New Roman" w:cs="Times New Roman"/>
        </w:rPr>
        <w:t xml:space="preserve"> website</w:t>
      </w:r>
      <w:r w:rsidR="00AB64B5">
        <w:rPr>
          <w:rFonts w:ascii="Times New Roman" w:hAnsi="Times New Roman" w:cs="Times New Roman"/>
        </w:rPr>
        <w:t xml:space="preserve">, </w:t>
      </w:r>
      <w:r w:rsidR="00854523" w:rsidRPr="009867F1">
        <w:rPr>
          <w:rFonts w:ascii="Times New Roman" w:hAnsi="Times New Roman" w:cs="Times New Roman"/>
        </w:rPr>
        <w:t xml:space="preserve">in addition to </w:t>
      </w:r>
      <w:r w:rsidR="00482FC6">
        <w:rPr>
          <w:rFonts w:ascii="Times New Roman" w:hAnsi="Times New Roman" w:cs="Times New Roman"/>
        </w:rPr>
        <w:t xml:space="preserve">publishing </w:t>
      </w:r>
      <w:r w:rsidR="00030FE5">
        <w:rPr>
          <w:rFonts w:ascii="Times New Roman" w:hAnsi="Times New Roman" w:cs="Times New Roman"/>
        </w:rPr>
        <w:t>the</w:t>
      </w:r>
      <w:r w:rsidR="00854523" w:rsidRPr="009867F1">
        <w:rPr>
          <w:rFonts w:ascii="Times New Roman" w:hAnsi="Times New Roman" w:cs="Times New Roman"/>
        </w:rPr>
        <w:t xml:space="preserve"> notifiable instrument</w:t>
      </w:r>
      <w:r w:rsidR="003950AD">
        <w:rPr>
          <w:rFonts w:ascii="Times New Roman" w:hAnsi="Times New Roman" w:cs="Times New Roman"/>
        </w:rPr>
        <w:t>s</w:t>
      </w:r>
      <w:r w:rsidR="003E2650">
        <w:rPr>
          <w:rFonts w:ascii="Times New Roman" w:hAnsi="Times New Roman" w:cs="Times New Roman"/>
        </w:rPr>
        <w:t xml:space="preserve"> declaring </w:t>
      </w:r>
      <w:r w:rsidR="00704AFC">
        <w:rPr>
          <w:rFonts w:ascii="Times New Roman" w:hAnsi="Times New Roman" w:cs="Times New Roman"/>
        </w:rPr>
        <w:t>those events</w:t>
      </w:r>
      <w:r w:rsidR="001630EA">
        <w:rPr>
          <w:rFonts w:ascii="Times New Roman" w:hAnsi="Times New Roman" w:cs="Times New Roman"/>
        </w:rPr>
        <w:t>.</w:t>
      </w:r>
      <w:r w:rsidR="00AB64B5">
        <w:rPr>
          <w:rFonts w:ascii="Times New Roman" w:hAnsi="Times New Roman" w:cs="Times New Roman"/>
        </w:rPr>
        <w:t xml:space="preserve"> </w:t>
      </w:r>
      <w:r w:rsidR="001630EA">
        <w:rPr>
          <w:rFonts w:ascii="Times New Roman" w:hAnsi="Times New Roman" w:cs="Times New Roman"/>
        </w:rPr>
        <w:t>T</w:t>
      </w:r>
      <w:r w:rsidR="00AB64B5">
        <w:rPr>
          <w:rFonts w:ascii="Times New Roman" w:hAnsi="Times New Roman" w:cs="Times New Roman"/>
        </w:rPr>
        <w:t xml:space="preserve">he ACMA </w:t>
      </w:r>
      <w:r w:rsidR="00DC7570">
        <w:rPr>
          <w:rFonts w:ascii="Times New Roman" w:hAnsi="Times New Roman" w:cs="Times New Roman"/>
        </w:rPr>
        <w:t xml:space="preserve">accepted this </w:t>
      </w:r>
      <w:r w:rsidR="001630EA">
        <w:rPr>
          <w:rFonts w:ascii="Times New Roman" w:hAnsi="Times New Roman" w:cs="Times New Roman"/>
        </w:rPr>
        <w:t>recommendation and</w:t>
      </w:r>
      <w:r w:rsidR="009C7C6E">
        <w:rPr>
          <w:rFonts w:ascii="Times New Roman" w:hAnsi="Times New Roman" w:cs="Times New Roman"/>
        </w:rPr>
        <w:t xml:space="preserve"> has</w:t>
      </w:r>
      <w:r w:rsidR="001630EA">
        <w:rPr>
          <w:rFonts w:ascii="Times New Roman" w:hAnsi="Times New Roman" w:cs="Times New Roman"/>
        </w:rPr>
        <w:t xml:space="preserve"> included </w:t>
      </w:r>
      <w:r w:rsidR="00FD545C">
        <w:rPr>
          <w:rFonts w:ascii="Times New Roman" w:hAnsi="Times New Roman" w:cs="Times New Roman"/>
        </w:rPr>
        <w:t xml:space="preserve">provisions in the General Equipment Rules requiring </w:t>
      </w:r>
      <w:r w:rsidR="00C12DA4">
        <w:rPr>
          <w:rFonts w:ascii="Times New Roman" w:hAnsi="Times New Roman" w:cs="Times New Roman"/>
        </w:rPr>
        <w:t xml:space="preserve">the ACMA to </w:t>
      </w:r>
      <w:r w:rsidR="001630EA">
        <w:rPr>
          <w:rFonts w:ascii="Times New Roman" w:hAnsi="Times New Roman" w:cs="Times New Roman"/>
        </w:rPr>
        <w:t>publish</w:t>
      </w:r>
      <w:r w:rsidR="007E667F">
        <w:rPr>
          <w:rFonts w:ascii="Times New Roman" w:hAnsi="Times New Roman" w:cs="Times New Roman"/>
        </w:rPr>
        <w:t xml:space="preserve"> </w:t>
      </w:r>
      <w:r w:rsidR="00046D35">
        <w:rPr>
          <w:rFonts w:ascii="Times New Roman" w:hAnsi="Times New Roman" w:cs="Times New Roman"/>
        </w:rPr>
        <w:t xml:space="preserve">such details </w:t>
      </w:r>
      <w:r w:rsidR="007E667F">
        <w:rPr>
          <w:rFonts w:ascii="Times New Roman" w:hAnsi="Times New Roman" w:cs="Times New Roman"/>
        </w:rPr>
        <w:t>on the ACMA website</w:t>
      </w:r>
      <w:r w:rsidR="003154CF">
        <w:rPr>
          <w:rFonts w:ascii="Times New Roman" w:hAnsi="Times New Roman" w:cs="Times New Roman"/>
        </w:rPr>
        <w:t>.</w:t>
      </w:r>
    </w:p>
    <w:p w14:paraId="2E01E108" w14:textId="77777777" w:rsidR="004C58B9" w:rsidRDefault="004C58B9" w:rsidP="004C58B9">
      <w:pPr>
        <w:rPr>
          <w:rFonts w:ascii="Times New Roman" w:hAnsi="Times New Roman" w:cs="Times New Roman"/>
          <w:b/>
        </w:rPr>
      </w:pPr>
      <w:r>
        <w:rPr>
          <w:rFonts w:ascii="Times New Roman" w:hAnsi="Times New Roman" w:cs="Times New Roman"/>
          <w:b/>
        </w:rPr>
        <w:t>Regulatory impact assessment</w:t>
      </w:r>
    </w:p>
    <w:p w14:paraId="7BB24632" w14:textId="1BA6EC4A" w:rsidR="0015323B" w:rsidRDefault="0015323B" w:rsidP="004C58B9">
      <w:pPr>
        <w:rPr>
          <w:rFonts w:ascii="Times New Roman" w:hAnsi="Times New Roman" w:cs="Times New Roman"/>
        </w:rPr>
      </w:pPr>
      <w:r>
        <w:rPr>
          <w:rFonts w:ascii="Times New Roman" w:hAnsi="Times New Roman" w:cs="Times New Roman"/>
        </w:rPr>
        <w:t xml:space="preserve">A preliminary assessment of the proposal to make the </w:t>
      </w:r>
      <w:r w:rsidR="00C52428">
        <w:rPr>
          <w:rFonts w:ascii="Times New Roman" w:hAnsi="Times New Roman" w:cs="Times New Roman"/>
        </w:rPr>
        <w:t xml:space="preserve">instrument </w:t>
      </w:r>
      <w:r>
        <w:rPr>
          <w:rFonts w:ascii="Times New Roman" w:hAnsi="Times New Roman" w:cs="Times New Roman"/>
        </w:rPr>
        <w:t xml:space="preserve">was conducted by the </w:t>
      </w:r>
      <w:r w:rsidR="009556F3">
        <w:rPr>
          <w:rFonts w:ascii="Times New Roman" w:hAnsi="Times New Roman" w:cs="Times New Roman"/>
        </w:rPr>
        <w:t>Office of Impact Analysis (</w:t>
      </w:r>
      <w:r w:rsidR="009556F3" w:rsidRPr="00843711">
        <w:rPr>
          <w:rFonts w:ascii="Times New Roman" w:hAnsi="Times New Roman" w:cs="Times New Roman"/>
          <w:b/>
          <w:bCs/>
        </w:rPr>
        <w:t>OIA</w:t>
      </w:r>
      <w:r w:rsidR="009556F3">
        <w:rPr>
          <w:rFonts w:ascii="Times New Roman" w:hAnsi="Times New Roman" w:cs="Times New Roman"/>
        </w:rPr>
        <w:t xml:space="preserve">), formerly the </w:t>
      </w:r>
      <w:r>
        <w:rPr>
          <w:rFonts w:ascii="Times New Roman" w:hAnsi="Times New Roman" w:cs="Times New Roman"/>
        </w:rPr>
        <w:t>Office of Best Practice Regulation (</w:t>
      </w:r>
      <w:r>
        <w:rPr>
          <w:rFonts w:ascii="Times New Roman" w:hAnsi="Times New Roman" w:cs="Times New Roman"/>
          <w:b/>
          <w:bCs/>
        </w:rPr>
        <w:t>OBPR</w:t>
      </w:r>
      <w:r>
        <w:rPr>
          <w:rFonts w:ascii="Times New Roman" w:hAnsi="Times New Roman" w:cs="Times New Roman"/>
        </w:rPr>
        <w:t>), based on information provided by the ACMA for the purposes of determining whether a Regulation Impact Statement (</w:t>
      </w:r>
      <w:r>
        <w:rPr>
          <w:rFonts w:ascii="Times New Roman" w:hAnsi="Times New Roman" w:cs="Times New Roman"/>
          <w:b/>
          <w:bCs/>
        </w:rPr>
        <w:t>RIS</w:t>
      </w:r>
      <w:r>
        <w:rPr>
          <w:rFonts w:ascii="Times New Roman" w:hAnsi="Times New Roman" w:cs="Times New Roman"/>
        </w:rPr>
        <w:t xml:space="preserve">) would be required. </w:t>
      </w:r>
      <w:r w:rsidR="009556F3">
        <w:rPr>
          <w:rFonts w:ascii="Times New Roman" w:hAnsi="Times New Roman" w:cs="Times New Roman"/>
        </w:rPr>
        <w:t xml:space="preserve">OIA </w:t>
      </w:r>
      <w:r>
        <w:rPr>
          <w:rFonts w:ascii="Times New Roman" w:hAnsi="Times New Roman" w:cs="Times New Roman"/>
        </w:rPr>
        <w:t xml:space="preserve">advised a RIS would not be required </w:t>
      </w:r>
      <w:r w:rsidR="00A678CD">
        <w:rPr>
          <w:rFonts w:ascii="Times New Roman" w:hAnsi="Times New Roman" w:cs="Times New Roman"/>
        </w:rPr>
        <w:t>for th</w:t>
      </w:r>
      <w:r w:rsidR="00FD7E1E">
        <w:rPr>
          <w:rFonts w:ascii="Times New Roman" w:hAnsi="Times New Roman" w:cs="Times New Roman"/>
        </w:rPr>
        <w:t>e</w:t>
      </w:r>
      <w:r w:rsidR="00A678CD">
        <w:rPr>
          <w:rFonts w:ascii="Times New Roman" w:hAnsi="Times New Roman" w:cs="Times New Roman"/>
        </w:rPr>
        <w:t xml:space="preserve"> instrument </w:t>
      </w:r>
      <w:r>
        <w:rPr>
          <w:rFonts w:ascii="Times New Roman" w:hAnsi="Times New Roman" w:cs="Times New Roman"/>
        </w:rPr>
        <w:t xml:space="preserve">as it </w:t>
      </w:r>
      <w:r>
        <w:rPr>
          <w:rFonts w:ascii="Times New Roman" w:hAnsi="Times New Roman" w:cs="Times New Roman"/>
        </w:rPr>
        <w:lastRenderedPageBreak/>
        <w:t>considered the proposal to be unlikely to have a more than minor regulatory impact (</w:t>
      </w:r>
      <w:r w:rsidR="00E8717E">
        <w:rPr>
          <w:rFonts w:ascii="Times New Roman" w:hAnsi="Times New Roman" w:cs="Times New Roman"/>
        </w:rPr>
        <w:t>O</w:t>
      </w:r>
      <w:r w:rsidR="005C5869">
        <w:rPr>
          <w:rFonts w:ascii="Times New Roman" w:hAnsi="Times New Roman" w:cs="Times New Roman"/>
        </w:rPr>
        <w:t>IA</w:t>
      </w:r>
      <w:r>
        <w:rPr>
          <w:rFonts w:ascii="Times New Roman" w:hAnsi="Times New Roman" w:cs="Times New Roman"/>
        </w:rPr>
        <w:t xml:space="preserve"> reference OBPR22-</w:t>
      </w:r>
      <w:r w:rsidR="009B1E86" w:rsidRPr="009B1E86">
        <w:rPr>
          <w:rFonts w:ascii="Times New Roman" w:hAnsi="Times New Roman" w:cs="Times New Roman"/>
        </w:rPr>
        <w:t>03412</w:t>
      </w:r>
      <w:r>
        <w:rPr>
          <w:rFonts w:ascii="Times New Roman" w:hAnsi="Times New Roman" w:cs="Times New Roman"/>
        </w:rPr>
        <w:t>).</w:t>
      </w:r>
    </w:p>
    <w:p w14:paraId="645DD02E" w14:textId="77777777" w:rsidR="004C58B9" w:rsidRDefault="004C58B9" w:rsidP="00EB380B">
      <w:pPr>
        <w:keepNext/>
        <w:spacing w:line="257" w:lineRule="auto"/>
        <w:rPr>
          <w:rFonts w:ascii="Times New Roman" w:hAnsi="Times New Roman" w:cs="Times New Roman"/>
          <w:b/>
        </w:rPr>
      </w:pPr>
      <w:r>
        <w:rPr>
          <w:rFonts w:ascii="Times New Roman" w:hAnsi="Times New Roman" w:cs="Times New Roman"/>
          <w:b/>
        </w:rPr>
        <w:t>Statement of compatibility with human rights</w:t>
      </w:r>
    </w:p>
    <w:p w14:paraId="7E0868EC" w14:textId="7544B878" w:rsidR="004C58B9" w:rsidRDefault="004C58B9" w:rsidP="004C58B9">
      <w:pPr>
        <w:rPr>
          <w:rFonts w:ascii="Times New Roman" w:hAnsi="Times New Roman" w:cs="Times New Roman"/>
        </w:rPr>
      </w:pPr>
      <w:r>
        <w:rPr>
          <w:rFonts w:ascii="Times New Roman" w:hAnsi="Times New Roman" w:cs="Times New Roman"/>
        </w:rPr>
        <w:t xml:space="preserve">Subsection 9(1) of the </w:t>
      </w:r>
      <w:r>
        <w:rPr>
          <w:rFonts w:ascii="Times New Roman" w:hAnsi="Times New Roman" w:cs="Times New Roman"/>
          <w:i/>
        </w:rPr>
        <w:t>Human Rights (Parliamentary Scrutiny) Act 2011</w:t>
      </w:r>
      <w:r>
        <w:rPr>
          <w:rFonts w:ascii="Times New Roman" w:hAnsi="Times New Roman" w:cs="Times New Roman"/>
        </w:rPr>
        <w:t xml:space="preserve"> requires the rule-maker in relation to a legislative instrument to which section 42 (disallowance) of the LA applies to cause a statement of compatibility </w:t>
      </w:r>
      <w:r w:rsidR="005C5869">
        <w:rPr>
          <w:rFonts w:ascii="Times New Roman" w:hAnsi="Times New Roman" w:cs="Times New Roman"/>
        </w:rPr>
        <w:t xml:space="preserve">with human rights </w:t>
      </w:r>
      <w:r>
        <w:rPr>
          <w:rFonts w:ascii="Times New Roman" w:hAnsi="Times New Roman" w:cs="Times New Roman"/>
        </w:rPr>
        <w:t xml:space="preserve">to be prepared in respect of that legislative instrument.  </w:t>
      </w:r>
    </w:p>
    <w:p w14:paraId="23AE1B60" w14:textId="77777777" w:rsidR="004C58B9" w:rsidRDefault="004C58B9" w:rsidP="004C58B9">
      <w:pPr>
        <w:rPr>
          <w:rFonts w:ascii="Times New Roman" w:hAnsi="Times New Roman" w:cs="Times New Roman"/>
        </w:rPr>
      </w:pPr>
      <w:r>
        <w:rPr>
          <w:rFonts w:ascii="Times New Roman" w:hAnsi="Times New Roman" w:cs="Times New Roman"/>
        </w:rPr>
        <w:t>The statement of compatibility set out below has been prepared to meet that requirement.</w:t>
      </w:r>
    </w:p>
    <w:p w14:paraId="695CEC3E" w14:textId="77777777" w:rsidR="004C58B9" w:rsidRDefault="004C58B9" w:rsidP="004C58B9">
      <w:pPr>
        <w:rPr>
          <w:rFonts w:ascii="Times New Roman" w:hAnsi="Times New Roman" w:cs="Times New Roman"/>
          <w:b/>
          <w:i/>
        </w:rPr>
      </w:pPr>
      <w:r>
        <w:rPr>
          <w:rFonts w:ascii="Times New Roman" w:hAnsi="Times New Roman" w:cs="Times New Roman"/>
          <w:b/>
          <w:i/>
        </w:rPr>
        <w:t>Overview of the instrument</w:t>
      </w:r>
    </w:p>
    <w:p w14:paraId="537CD798" w14:textId="3E0798CB" w:rsidR="00487615" w:rsidRDefault="00487615" w:rsidP="00487615">
      <w:pPr>
        <w:spacing w:before="160" w:line="257" w:lineRule="auto"/>
        <w:rPr>
          <w:rFonts w:ascii="Times New Roman" w:hAnsi="Times New Roman" w:cs="Times New Roman"/>
          <w:bCs/>
        </w:rPr>
      </w:pPr>
      <w:r w:rsidRPr="00402322">
        <w:rPr>
          <w:rFonts w:ascii="Times New Roman" w:hAnsi="Times New Roman" w:cs="Times New Roman"/>
        </w:rPr>
        <w:t>The i</w:t>
      </w:r>
      <w:r w:rsidRPr="003A6952">
        <w:rPr>
          <w:rFonts w:ascii="Times New Roman" w:hAnsi="Times New Roman" w:cs="Times New Roman"/>
        </w:rPr>
        <w:t xml:space="preserve">nstrument </w:t>
      </w:r>
      <w:r w:rsidR="006D190D">
        <w:rPr>
          <w:rFonts w:ascii="Times New Roman" w:hAnsi="Times New Roman" w:cs="Times New Roman"/>
        </w:rPr>
        <w:t>amends</w:t>
      </w:r>
      <w:r w:rsidRPr="003A6952">
        <w:rPr>
          <w:rFonts w:ascii="Times New Roman" w:hAnsi="Times New Roman" w:cs="Times New Roman"/>
        </w:rPr>
        <w:t xml:space="preserve"> </w:t>
      </w:r>
      <w:r>
        <w:rPr>
          <w:rFonts w:ascii="Times New Roman" w:hAnsi="Times New Roman" w:cs="Times New Roman"/>
        </w:rPr>
        <w:t>the Telecommunications Labelling Notice and the Declaration to replace the definition of ‘significant event’</w:t>
      </w:r>
      <w:r w:rsidR="00523BD6">
        <w:rPr>
          <w:rFonts w:ascii="Times New Roman" w:hAnsi="Times New Roman" w:cs="Times New Roman"/>
        </w:rPr>
        <w:t xml:space="preserve"> with </w:t>
      </w:r>
      <w:r w:rsidR="00CA0396">
        <w:rPr>
          <w:rFonts w:ascii="Times New Roman" w:hAnsi="Times New Roman" w:cs="Times New Roman"/>
        </w:rPr>
        <w:t>a new definition</w:t>
      </w:r>
      <w:r w:rsidR="00913840">
        <w:rPr>
          <w:rFonts w:ascii="Times New Roman" w:hAnsi="Times New Roman" w:cs="Times New Roman"/>
        </w:rPr>
        <w:t xml:space="preserve"> that </w:t>
      </w:r>
      <w:r w:rsidR="00523BD6">
        <w:rPr>
          <w:rFonts w:ascii="Times New Roman" w:hAnsi="Times New Roman" w:cs="Times New Roman"/>
          <w:bCs/>
        </w:rPr>
        <w:t>covers an event declared by the ACMA under</w:t>
      </w:r>
      <w:r>
        <w:rPr>
          <w:rFonts w:ascii="Times New Roman" w:hAnsi="Times New Roman" w:cs="Times New Roman"/>
          <w:bCs/>
        </w:rPr>
        <w:t xml:space="preserve"> subsection 54A(2) of the General Equipment Rules. Subsection 54A(2) of the General Equipment Rules provides that the ACMA may make a notifiable </w:t>
      </w:r>
      <w:r w:rsidRPr="000D03BA">
        <w:rPr>
          <w:rFonts w:ascii="Times New Roman" w:hAnsi="Times New Roman" w:cs="Times New Roman"/>
        </w:rPr>
        <w:t>instrument</w:t>
      </w:r>
      <w:r>
        <w:rPr>
          <w:rFonts w:ascii="Times New Roman" w:hAnsi="Times New Roman" w:cs="Times New Roman"/>
          <w:bCs/>
        </w:rPr>
        <w:t xml:space="preserve"> that declares a specified event to be a significant </w:t>
      </w:r>
      <w:proofErr w:type="gramStart"/>
      <w:r>
        <w:rPr>
          <w:rFonts w:ascii="Times New Roman" w:hAnsi="Times New Roman" w:cs="Times New Roman"/>
          <w:bCs/>
        </w:rPr>
        <w:t>event, and</w:t>
      </w:r>
      <w:proofErr w:type="gramEnd"/>
      <w:r>
        <w:rPr>
          <w:rFonts w:ascii="Times New Roman" w:hAnsi="Times New Roman" w:cs="Times New Roman"/>
          <w:bCs/>
        </w:rPr>
        <w:t xml:space="preserve"> specifies the period and location of the significant event. </w:t>
      </w:r>
      <w:r w:rsidR="00003B43">
        <w:rPr>
          <w:rFonts w:ascii="Times New Roman" w:hAnsi="Times New Roman" w:cs="Times New Roman"/>
          <w:bCs/>
        </w:rPr>
        <w:t>T</w:t>
      </w:r>
      <w:r w:rsidR="00790165">
        <w:rPr>
          <w:rFonts w:ascii="Times New Roman" w:hAnsi="Times New Roman" w:cs="Times New Roman"/>
          <w:bCs/>
        </w:rPr>
        <w:t>he General Equipment Rules</w:t>
      </w:r>
      <w:r w:rsidR="00003B43">
        <w:rPr>
          <w:rFonts w:ascii="Times New Roman" w:hAnsi="Times New Roman" w:cs="Times New Roman"/>
          <w:bCs/>
        </w:rPr>
        <w:t xml:space="preserve"> </w:t>
      </w:r>
      <w:r>
        <w:rPr>
          <w:rFonts w:ascii="Times New Roman" w:hAnsi="Times New Roman" w:cs="Times New Roman"/>
          <w:bCs/>
        </w:rPr>
        <w:t xml:space="preserve">also provide that the ACMA </w:t>
      </w:r>
      <w:r w:rsidR="0092251F">
        <w:rPr>
          <w:rFonts w:ascii="Times New Roman" w:hAnsi="Times New Roman" w:cs="Times New Roman"/>
          <w:bCs/>
        </w:rPr>
        <w:t>must</w:t>
      </w:r>
      <w:r>
        <w:rPr>
          <w:rFonts w:ascii="Times New Roman" w:hAnsi="Times New Roman" w:cs="Times New Roman"/>
          <w:bCs/>
        </w:rPr>
        <w:t xml:space="preserve"> publish </w:t>
      </w:r>
      <w:r w:rsidR="0092251F">
        <w:rPr>
          <w:rFonts w:ascii="Times New Roman" w:hAnsi="Times New Roman" w:cs="Times New Roman"/>
          <w:bCs/>
        </w:rPr>
        <w:t xml:space="preserve">on </w:t>
      </w:r>
      <w:r w:rsidR="00012DBD">
        <w:rPr>
          <w:rFonts w:ascii="Times New Roman" w:hAnsi="Times New Roman" w:cs="Times New Roman"/>
          <w:bCs/>
        </w:rPr>
        <w:t>the ACMA</w:t>
      </w:r>
      <w:r w:rsidR="0092251F">
        <w:rPr>
          <w:rFonts w:ascii="Times New Roman" w:hAnsi="Times New Roman" w:cs="Times New Roman"/>
          <w:bCs/>
        </w:rPr>
        <w:t xml:space="preserve"> website certain </w:t>
      </w:r>
      <w:r w:rsidRPr="009867F1">
        <w:rPr>
          <w:rFonts w:ascii="Times New Roman" w:hAnsi="Times New Roman" w:cs="Times New Roman"/>
        </w:rPr>
        <w:t xml:space="preserve">details of </w:t>
      </w:r>
      <w:r w:rsidR="0092251F">
        <w:rPr>
          <w:rFonts w:ascii="Times New Roman" w:hAnsi="Times New Roman" w:cs="Times New Roman"/>
        </w:rPr>
        <w:t>a</w:t>
      </w:r>
      <w:r w:rsidRPr="009867F1">
        <w:rPr>
          <w:rFonts w:ascii="Times New Roman" w:hAnsi="Times New Roman" w:cs="Times New Roman"/>
        </w:rPr>
        <w:t xml:space="preserve"> significant event </w:t>
      </w:r>
      <w:r w:rsidR="0092251F">
        <w:rPr>
          <w:rFonts w:ascii="Times New Roman" w:hAnsi="Times New Roman" w:cs="Times New Roman"/>
        </w:rPr>
        <w:t>that has been declared</w:t>
      </w:r>
      <w:r>
        <w:rPr>
          <w:rFonts w:ascii="Times New Roman" w:hAnsi="Times New Roman" w:cs="Times New Roman"/>
        </w:rPr>
        <w:t>.</w:t>
      </w:r>
      <w:r>
        <w:rPr>
          <w:rFonts w:ascii="Times New Roman" w:hAnsi="Times New Roman" w:cs="Times New Roman"/>
          <w:bCs/>
        </w:rPr>
        <w:t xml:space="preserve"> In the ACMA’s experience, events that are significant events for the purposes of the General Equipment Rules have also been significant events for the </w:t>
      </w:r>
      <w:r w:rsidR="00E359D3">
        <w:rPr>
          <w:rFonts w:ascii="Times New Roman" w:hAnsi="Times New Roman" w:cs="Times New Roman"/>
          <w:bCs/>
        </w:rPr>
        <w:t xml:space="preserve">purposes of the </w:t>
      </w:r>
      <w:r>
        <w:rPr>
          <w:rFonts w:ascii="Times New Roman" w:hAnsi="Times New Roman" w:cs="Times New Roman"/>
          <w:bCs/>
        </w:rPr>
        <w:t xml:space="preserve">Telecommunications Labelling Notice and the Declaration. Previous significant events have </w:t>
      </w:r>
      <w:r w:rsidR="00E359D3">
        <w:rPr>
          <w:rFonts w:ascii="Times New Roman" w:hAnsi="Times New Roman" w:cs="Times New Roman"/>
          <w:bCs/>
        </w:rPr>
        <w:t>included</w:t>
      </w:r>
      <w:r>
        <w:rPr>
          <w:rFonts w:ascii="Times New Roman" w:hAnsi="Times New Roman" w:cs="Times New Roman"/>
          <w:bCs/>
        </w:rPr>
        <w:t xml:space="preserve"> the Formula One </w:t>
      </w:r>
      <w:r w:rsidR="00D67717">
        <w:rPr>
          <w:rFonts w:ascii="Times New Roman" w:hAnsi="Times New Roman" w:cs="Times New Roman"/>
          <w:bCs/>
        </w:rPr>
        <w:t xml:space="preserve">Australian </w:t>
      </w:r>
      <w:r>
        <w:rPr>
          <w:rFonts w:ascii="Times New Roman" w:hAnsi="Times New Roman" w:cs="Times New Roman"/>
          <w:bCs/>
        </w:rPr>
        <w:t>Grand Prix and the Australian MotoGP events.</w:t>
      </w:r>
    </w:p>
    <w:p w14:paraId="78913E15" w14:textId="30AAA512" w:rsidR="009C026D" w:rsidRPr="00564E86" w:rsidRDefault="00B7723B" w:rsidP="00487615">
      <w:pPr>
        <w:spacing w:before="160" w:line="257" w:lineRule="auto"/>
        <w:rPr>
          <w:rFonts w:ascii="Times New Roman" w:hAnsi="Times New Roman" w:cs="Times New Roman"/>
        </w:rPr>
      </w:pPr>
      <w:r>
        <w:rPr>
          <w:rFonts w:ascii="Times New Roman" w:hAnsi="Times New Roman" w:cs="Times New Roman"/>
          <w:bCs/>
        </w:rPr>
        <w:t xml:space="preserve">The </w:t>
      </w:r>
      <w:r w:rsidR="00564E86">
        <w:rPr>
          <w:rFonts w:ascii="Times New Roman" w:hAnsi="Times New Roman" w:cs="Times New Roman"/>
          <w:bCs/>
        </w:rPr>
        <w:t xml:space="preserve">new </w:t>
      </w:r>
      <w:r>
        <w:rPr>
          <w:rFonts w:ascii="Times New Roman" w:hAnsi="Times New Roman" w:cs="Times New Roman"/>
          <w:bCs/>
        </w:rPr>
        <w:t xml:space="preserve">definition of ‘significant event’ also covers an </w:t>
      </w:r>
      <w:r w:rsidR="001D66A4">
        <w:rPr>
          <w:rFonts w:ascii="Times New Roman" w:hAnsi="Times New Roman" w:cs="Times New Roman"/>
          <w:bCs/>
        </w:rPr>
        <w:t>event i</w:t>
      </w:r>
      <w:r w:rsidR="00487615">
        <w:rPr>
          <w:rFonts w:ascii="Times New Roman" w:hAnsi="Times New Roman" w:cs="Times New Roman"/>
          <w:bCs/>
        </w:rPr>
        <w:t xml:space="preserve">f </w:t>
      </w:r>
      <w:r w:rsidR="00C0568C">
        <w:rPr>
          <w:rFonts w:ascii="Times New Roman" w:hAnsi="Times New Roman" w:cs="Times New Roman"/>
          <w:bCs/>
        </w:rPr>
        <w:t xml:space="preserve">that </w:t>
      </w:r>
      <w:r w:rsidR="00487615">
        <w:rPr>
          <w:rFonts w:ascii="Times New Roman" w:hAnsi="Times New Roman" w:cs="Times New Roman"/>
          <w:bCs/>
        </w:rPr>
        <w:t xml:space="preserve">event was a significant event (within the meaning of the Telecommunications Labelling Notice or the Declaration as in force </w:t>
      </w:r>
      <w:r w:rsidR="00487615" w:rsidRPr="00356620">
        <w:rPr>
          <w:rFonts w:ascii="Times New Roman" w:hAnsi="Times New Roman" w:cs="Times New Roman"/>
          <w:bCs/>
        </w:rPr>
        <w:t xml:space="preserve">immediately before the commencement of the </w:t>
      </w:r>
      <w:r w:rsidR="00487615" w:rsidRPr="00C10613">
        <w:rPr>
          <w:rFonts w:ascii="Times New Roman" w:hAnsi="Times New Roman" w:cs="Times New Roman"/>
          <w:bCs/>
        </w:rPr>
        <w:t>instrument</w:t>
      </w:r>
      <w:r w:rsidR="00487615" w:rsidRPr="00356620">
        <w:rPr>
          <w:rFonts w:ascii="Times New Roman" w:hAnsi="Times New Roman" w:cs="Times New Roman"/>
          <w:bCs/>
        </w:rPr>
        <w:t>) and the whole or a part of the event occurs after that commencement</w:t>
      </w:r>
      <w:r w:rsidR="00C740B3">
        <w:rPr>
          <w:rFonts w:ascii="Times New Roman" w:hAnsi="Times New Roman" w:cs="Times New Roman"/>
          <w:bCs/>
        </w:rPr>
        <w:t>.</w:t>
      </w:r>
      <w:r w:rsidR="00487615">
        <w:rPr>
          <w:rFonts w:ascii="Times New Roman" w:hAnsi="Times New Roman" w:cs="Times New Roman"/>
          <w:bCs/>
        </w:rPr>
        <w:t xml:space="preserve"> </w:t>
      </w:r>
      <w:r w:rsidR="00676B58">
        <w:rPr>
          <w:rFonts w:ascii="Times New Roman" w:hAnsi="Times New Roman" w:cs="Times New Roman"/>
          <w:bCs/>
        </w:rPr>
        <w:t>Such an</w:t>
      </w:r>
      <w:r w:rsidR="00487615">
        <w:rPr>
          <w:rFonts w:ascii="Times New Roman" w:hAnsi="Times New Roman" w:cs="Times New Roman"/>
          <w:bCs/>
        </w:rPr>
        <w:t xml:space="preserve"> event continues to be a significant event</w:t>
      </w:r>
      <w:r w:rsidR="00D940F2">
        <w:rPr>
          <w:rFonts w:ascii="Times New Roman" w:hAnsi="Times New Roman" w:cs="Times New Roman"/>
          <w:bCs/>
        </w:rPr>
        <w:t xml:space="preserve"> within the meaning of the Telecommunications Labelling Notice or the Declaration</w:t>
      </w:r>
      <w:r w:rsidR="00487615">
        <w:rPr>
          <w:rFonts w:ascii="Times New Roman" w:hAnsi="Times New Roman" w:cs="Times New Roman"/>
          <w:bCs/>
        </w:rPr>
        <w:t>.</w:t>
      </w:r>
    </w:p>
    <w:p w14:paraId="4B903E1F" w14:textId="490D1A81" w:rsidR="00487615" w:rsidRDefault="00E04685" w:rsidP="00487615">
      <w:pPr>
        <w:spacing w:before="160" w:line="257" w:lineRule="auto"/>
        <w:rPr>
          <w:rFonts w:ascii="Times New Roman" w:hAnsi="Times New Roman" w:cs="Times New Roman"/>
          <w:bCs/>
        </w:rPr>
      </w:pPr>
      <w:r>
        <w:rPr>
          <w:rFonts w:ascii="Times New Roman" w:hAnsi="Times New Roman" w:cs="Times New Roman"/>
          <w:bCs/>
        </w:rPr>
        <w:t>Customer e</w:t>
      </w:r>
      <w:r w:rsidR="00487615">
        <w:rPr>
          <w:rFonts w:ascii="Times New Roman" w:hAnsi="Times New Roman" w:cs="Times New Roman"/>
          <w:bCs/>
        </w:rPr>
        <w:t xml:space="preserve">quipment </w:t>
      </w:r>
      <w:r>
        <w:rPr>
          <w:rFonts w:ascii="Times New Roman" w:hAnsi="Times New Roman" w:cs="Times New Roman"/>
          <w:bCs/>
        </w:rPr>
        <w:t xml:space="preserve">and customer cabling </w:t>
      </w:r>
      <w:r w:rsidR="00487615">
        <w:rPr>
          <w:rFonts w:ascii="Times New Roman" w:hAnsi="Times New Roman" w:cs="Times New Roman"/>
          <w:bCs/>
        </w:rPr>
        <w:t>imported into Australia for</w:t>
      </w:r>
      <w:r w:rsidR="000F1F00">
        <w:rPr>
          <w:rFonts w:ascii="Times New Roman" w:hAnsi="Times New Roman" w:cs="Times New Roman"/>
          <w:bCs/>
        </w:rPr>
        <w:t xml:space="preserve"> connection to a telecommunications network or to a facility of such a network</w:t>
      </w:r>
      <w:r w:rsidR="00BF20F5">
        <w:rPr>
          <w:rFonts w:ascii="Times New Roman" w:hAnsi="Times New Roman" w:cs="Times New Roman"/>
          <w:bCs/>
        </w:rPr>
        <w:t xml:space="preserve"> </w:t>
      </w:r>
      <w:r w:rsidR="00396D19">
        <w:rPr>
          <w:rFonts w:ascii="Times New Roman" w:hAnsi="Times New Roman" w:cs="Times New Roman"/>
          <w:bCs/>
        </w:rPr>
        <w:t>for</w:t>
      </w:r>
      <w:r w:rsidR="00487615">
        <w:rPr>
          <w:rFonts w:ascii="Times New Roman" w:hAnsi="Times New Roman" w:cs="Times New Roman"/>
          <w:bCs/>
        </w:rPr>
        <w:t xml:space="preserve"> a significant event</w:t>
      </w:r>
      <w:r w:rsidR="00396D19">
        <w:rPr>
          <w:rFonts w:ascii="Times New Roman" w:hAnsi="Times New Roman" w:cs="Times New Roman"/>
          <w:bCs/>
        </w:rPr>
        <w:t xml:space="preserve"> in certain circumstances</w:t>
      </w:r>
      <w:r w:rsidR="00487615">
        <w:rPr>
          <w:rFonts w:ascii="Times New Roman" w:hAnsi="Times New Roman" w:cs="Times New Roman"/>
          <w:bCs/>
        </w:rPr>
        <w:t xml:space="preserve"> do not have to comply with certain requirements set out in </w:t>
      </w:r>
      <w:r>
        <w:rPr>
          <w:rFonts w:ascii="Times New Roman" w:hAnsi="Times New Roman" w:cs="Times New Roman"/>
          <w:bCs/>
        </w:rPr>
        <w:t xml:space="preserve">the Telecommunications Labelling Notice. Cabling work </w:t>
      </w:r>
      <w:r w:rsidR="00145A30">
        <w:rPr>
          <w:rFonts w:ascii="Times New Roman" w:hAnsi="Times New Roman" w:cs="Times New Roman"/>
          <w:bCs/>
        </w:rPr>
        <w:t>performed</w:t>
      </w:r>
      <w:r>
        <w:rPr>
          <w:rFonts w:ascii="Times New Roman" w:hAnsi="Times New Roman" w:cs="Times New Roman"/>
          <w:bCs/>
        </w:rPr>
        <w:t xml:space="preserve"> for a significant event</w:t>
      </w:r>
      <w:r w:rsidR="00CD22A6">
        <w:rPr>
          <w:rFonts w:ascii="Times New Roman" w:hAnsi="Times New Roman" w:cs="Times New Roman"/>
          <w:bCs/>
        </w:rPr>
        <w:t xml:space="preserve"> in certain circumstances</w:t>
      </w:r>
      <w:r w:rsidR="00CF7EED">
        <w:rPr>
          <w:rFonts w:ascii="Times New Roman" w:hAnsi="Times New Roman" w:cs="Times New Roman"/>
          <w:bCs/>
        </w:rPr>
        <w:t xml:space="preserve"> is not a type</w:t>
      </w:r>
      <w:r w:rsidR="009F376F">
        <w:rPr>
          <w:rFonts w:ascii="Times New Roman" w:hAnsi="Times New Roman" w:cs="Times New Roman"/>
          <w:bCs/>
        </w:rPr>
        <w:t xml:space="preserve"> of cabling work for the purposes of Division 9 of Part 21 of the </w:t>
      </w:r>
      <w:proofErr w:type="gramStart"/>
      <w:r w:rsidR="009F376F">
        <w:rPr>
          <w:rFonts w:ascii="Times New Roman" w:hAnsi="Times New Roman" w:cs="Times New Roman"/>
          <w:bCs/>
        </w:rPr>
        <w:t>Act, and</w:t>
      </w:r>
      <w:proofErr w:type="gramEnd"/>
      <w:r>
        <w:rPr>
          <w:rFonts w:ascii="Times New Roman" w:hAnsi="Times New Roman" w:cs="Times New Roman"/>
          <w:bCs/>
        </w:rPr>
        <w:t xml:space="preserve"> does not have to comply with certain requirements set out in the Provider Rules.</w:t>
      </w:r>
    </w:p>
    <w:p w14:paraId="62B66CB7" w14:textId="2A992C78" w:rsidR="004C58B9" w:rsidRDefault="004C58B9" w:rsidP="004C58B9">
      <w:pPr>
        <w:rPr>
          <w:rFonts w:ascii="Times New Roman" w:hAnsi="Times New Roman" w:cs="Times New Roman"/>
          <w:b/>
          <w:i/>
        </w:rPr>
      </w:pPr>
      <w:r>
        <w:rPr>
          <w:rFonts w:ascii="Times New Roman" w:hAnsi="Times New Roman" w:cs="Times New Roman"/>
          <w:b/>
          <w:i/>
        </w:rPr>
        <w:t>Human rights implications</w:t>
      </w:r>
    </w:p>
    <w:p w14:paraId="0B759C40" w14:textId="77777777" w:rsidR="004C58B9" w:rsidRDefault="004C58B9" w:rsidP="004C58B9">
      <w:pPr>
        <w:rPr>
          <w:rFonts w:ascii="Times New Roman" w:hAnsi="Times New Roman" w:cs="Times New Roman"/>
        </w:rPr>
      </w:pPr>
      <w:r>
        <w:rPr>
          <w:rFonts w:ascii="Times New Roman" w:hAnsi="Times New Roman" w:cs="Times New Roman"/>
        </w:rPr>
        <w:t>The ACMA has assessed whether the instrument is compatible with human rights, being the rights and freedoms recognised or declared by the international instruments listed in subsection 3(1) of the</w:t>
      </w:r>
      <w:r>
        <w:rPr>
          <w:rFonts w:ascii="Times New Roman" w:hAnsi="Times New Roman" w:cs="Times New Roman"/>
          <w:i/>
        </w:rPr>
        <w:t xml:space="preserve"> Human Rights (Parliamentary Scrutiny) Act 2011 </w:t>
      </w:r>
      <w:r>
        <w:rPr>
          <w:rFonts w:ascii="Times New Roman" w:hAnsi="Times New Roman" w:cs="Times New Roman"/>
        </w:rPr>
        <w:t xml:space="preserve">as they apply to Australia. </w:t>
      </w:r>
    </w:p>
    <w:p w14:paraId="39F7E8B7" w14:textId="77777777" w:rsidR="004C58B9" w:rsidRDefault="004C58B9" w:rsidP="004C58B9">
      <w:pPr>
        <w:rPr>
          <w:rFonts w:ascii="Times New Roman" w:hAnsi="Times New Roman" w:cs="Times New Roman"/>
        </w:rPr>
      </w:pPr>
      <w:r>
        <w:rPr>
          <w:rFonts w:ascii="Times New Roman" w:hAnsi="Times New Roman" w:cs="Times New Roman"/>
        </w:rPr>
        <w:t xml:space="preserve">Having considered the likely impact of the instrument and the nature of the applicable rights and freedoms, the ACMA has formed the view that the instrument does not engage any of those rights or freedoms.  </w:t>
      </w:r>
    </w:p>
    <w:p w14:paraId="76A7876C" w14:textId="77777777" w:rsidR="004C58B9" w:rsidRDefault="004C58B9" w:rsidP="004C58B9">
      <w:pPr>
        <w:rPr>
          <w:rFonts w:ascii="Times New Roman" w:hAnsi="Times New Roman" w:cs="Times New Roman"/>
          <w:b/>
          <w:i/>
        </w:rPr>
      </w:pPr>
      <w:r>
        <w:rPr>
          <w:rFonts w:ascii="Times New Roman" w:hAnsi="Times New Roman" w:cs="Times New Roman"/>
          <w:b/>
          <w:i/>
        </w:rPr>
        <w:t>Conclusion</w:t>
      </w:r>
    </w:p>
    <w:p w14:paraId="5B55C777" w14:textId="54EB6082" w:rsidR="00CC1C28" w:rsidRDefault="004C58B9" w:rsidP="004C58B9">
      <w:pPr>
        <w:rPr>
          <w:rFonts w:ascii="Times New Roman" w:hAnsi="Times New Roman" w:cs="Times New Roman"/>
        </w:rPr>
      </w:pPr>
      <w:r>
        <w:rPr>
          <w:rFonts w:ascii="Times New Roman" w:hAnsi="Times New Roman" w:cs="Times New Roman"/>
        </w:rPr>
        <w:t>The instrument is compatible with human rights as it does not raise any human rights issues.</w:t>
      </w:r>
    </w:p>
    <w:p w14:paraId="00392EC9" w14:textId="43A366AD" w:rsidR="004C58B9" w:rsidRDefault="00CC1C28" w:rsidP="00DF3802">
      <w:pPr>
        <w:spacing w:line="259" w:lineRule="auto"/>
        <w:jc w:val="right"/>
        <w:rPr>
          <w:rFonts w:ascii="Times New Roman" w:hAnsi="Times New Roman" w:cs="Times New Roman"/>
          <w:b/>
          <w:sz w:val="28"/>
          <w:szCs w:val="28"/>
        </w:rPr>
      </w:pPr>
      <w:r>
        <w:rPr>
          <w:rFonts w:ascii="Times New Roman" w:hAnsi="Times New Roman" w:cs="Times New Roman"/>
        </w:rPr>
        <w:br w:type="page"/>
      </w:r>
      <w:r w:rsidR="004C58B9">
        <w:rPr>
          <w:rFonts w:ascii="Times New Roman" w:hAnsi="Times New Roman" w:cs="Times New Roman"/>
          <w:b/>
          <w:sz w:val="28"/>
          <w:szCs w:val="28"/>
        </w:rPr>
        <w:lastRenderedPageBreak/>
        <w:t>Attachment A</w:t>
      </w:r>
    </w:p>
    <w:p w14:paraId="2CC48905" w14:textId="40A3D096" w:rsidR="004C58B9" w:rsidRDefault="004C58B9" w:rsidP="004C58B9">
      <w:pPr>
        <w:jc w:val="center"/>
        <w:rPr>
          <w:rFonts w:ascii="Times New Roman" w:hAnsi="Times New Roman" w:cs="Times New Roman"/>
          <w:b/>
          <w:sz w:val="28"/>
          <w:szCs w:val="28"/>
        </w:rPr>
      </w:pPr>
      <w:r>
        <w:rPr>
          <w:rFonts w:ascii="Times New Roman" w:hAnsi="Times New Roman" w:cs="Times New Roman"/>
          <w:b/>
          <w:sz w:val="28"/>
          <w:szCs w:val="28"/>
        </w:rPr>
        <w:t xml:space="preserve">Notes to the </w:t>
      </w:r>
      <w:r w:rsidR="00913D0A" w:rsidRPr="00AD51B5">
        <w:rPr>
          <w:rFonts w:ascii="Times New Roman" w:hAnsi="Times New Roman" w:cs="Times New Roman"/>
          <w:b/>
          <w:i/>
          <w:sz w:val="28"/>
          <w:szCs w:val="28"/>
        </w:rPr>
        <w:t>Telecommunications</w:t>
      </w:r>
      <w:r w:rsidR="00913D0A">
        <w:rPr>
          <w:rFonts w:ascii="Times New Roman" w:hAnsi="Times New Roman" w:cs="Times New Roman"/>
          <w:b/>
          <w:i/>
          <w:sz w:val="28"/>
          <w:szCs w:val="28"/>
        </w:rPr>
        <w:t xml:space="preserve"> </w:t>
      </w:r>
      <w:r w:rsidR="00913D0A" w:rsidRPr="00AD51B5">
        <w:rPr>
          <w:rFonts w:ascii="Times New Roman" w:hAnsi="Times New Roman" w:cs="Times New Roman"/>
          <w:b/>
          <w:i/>
          <w:sz w:val="28"/>
          <w:szCs w:val="28"/>
        </w:rPr>
        <w:t>Legislation</w:t>
      </w:r>
      <w:r w:rsidR="00913D0A">
        <w:rPr>
          <w:rFonts w:ascii="Times New Roman" w:hAnsi="Times New Roman" w:cs="Times New Roman"/>
          <w:b/>
          <w:i/>
          <w:sz w:val="28"/>
          <w:szCs w:val="28"/>
        </w:rPr>
        <w:t xml:space="preserve"> </w:t>
      </w:r>
      <w:r w:rsidR="00913D0A" w:rsidRPr="00AD51B5">
        <w:rPr>
          <w:rFonts w:ascii="Times New Roman" w:hAnsi="Times New Roman" w:cs="Times New Roman"/>
          <w:b/>
          <w:i/>
          <w:sz w:val="28"/>
          <w:szCs w:val="28"/>
        </w:rPr>
        <w:t>Amendment</w:t>
      </w:r>
      <w:r w:rsidR="00913D0A">
        <w:rPr>
          <w:rFonts w:ascii="Times New Roman" w:hAnsi="Times New Roman" w:cs="Times New Roman"/>
          <w:b/>
          <w:i/>
          <w:sz w:val="28"/>
          <w:szCs w:val="28"/>
        </w:rPr>
        <w:t xml:space="preserve"> </w:t>
      </w:r>
      <w:r w:rsidR="00AD51B5" w:rsidRPr="00AD51B5">
        <w:rPr>
          <w:rFonts w:ascii="Times New Roman" w:hAnsi="Times New Roman" w:cs="Times New Roman"/>
          <w:b/>
          <w:i/>
          <w:sz w:val="28"/>
          <w:szCs w:val="28"/>
        </w:rPr>
        <w:t>(</w:t>
      </w:r>
      <w:r w:rsidR="00913D0A" w:rsidRPr="00AD51B5">
        <w:rPr>
          <w:rFonts w:ascii="Times New Roman" w:hAnsi="Times New Roman" w:cs="Times New Roman"/>
          <w:b/>
          <w:i/>
          <w:sz w:val="28"/>
          <w:szCs w:val="28"/>
        </w:rPr>
        <w:t>Significant</w:t>
      </w:r>
      <w:r w:rsidR="00913D0A">
        <w:rPr>
          <w:rFonts w:ascii="Times New Roman" w:hAnsi="Times New Roman" w:cs="Times New Roman"/>
          <w:b/>
          <w:i/>
          <w:sz w:val="28"/>
          <w:szCs w:val="28"/>
        </w:rPr>
        <w:t> </w:t>
      </w:r>
      <w:r w:rsidR="00AD51B5" w:rsidRPr="00AD51B5">
        <w:rPr>
          <w:rFonts w:ascii="Times New Roman" w:hAnsi="Times New Roman" w:cs="Times New Roman"/>
          <w:b/>
          <w:i/>
          <w:sz w:val="28"/>
          <w:szCs w:val="28"/>
        </w:rPr>
        <w:t>Event</w:t>
      </w:r>
      <w:r w:rsidR="00913D0A" w:rsidRPr="00AD51B5">
        <w:rPr>
          <w:rFonts w:ascii="Times New Roman" w:hAnsi="Times New Roman" w:cs="Times New Roman"/>
          <w:b/>
          <w:i/>
          <w:sz w:val="28"/>
          <w:szCs w:val="28"/>
        </w:rPr>
        <w:t>)</w:t>
      </w:r>
      <w:r w:rsidR="00913D0A">
        <w:rPr>
          <w:rFonts w:ascii="Times New Roman" w:hAnsi="Times New Roman" w:cs="Times New Roman"/>
          <w:b/>
          <w:i/>
          <w:sz w:val="28"/>
          <w:szCs w:val="28"/>
        </w:rPr>
        <w:t> </w:t>
      </w:r>
      <w:r w:rsidR="00AD51B5" w:rsidRPr="00AD51B5">
        <w:rPr>
          <w:rFonts w:ascii="Times New Roman" w:hAnsi="Times New Roman" w:cs="Times New Roman"/>
          <w:b/>
          <w:i/>
          <w:sz w:val="28"/>
          <w:szCs w:val="28"/>
        </w:rPr>
        <w:t>Instrument (No. 1) 2023</w:t>
      </w:r>
    </w:p>
    <w:p w14:paraId="6A976F35" w14:textId="77777777" w:rsidR="004C58B9" w:rsidRDefault="004C58B9" w:rsidP="004C58B9">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4E9236AB" w14:textId="3373C733" w:rsidR="004C58B9" w:rsidRDefault="004C58B9" w:rsidP="004C58B9">
      <w:pPr>
        <w:rPr>
          <w:rFonts w:ascii="Times New Roman" w:hAnsi="Times New Roman" w:cs="Times New Roman"/>
        </w:rPr>
      </w:pPr>
      <w:r>
        <w:rPr>
          <w:rFonts w:ascii="Times New Roman" w:hAnsi="Times New Roman" w:cs="Times New Roman"/>
        </w:rPr>
        <w:t xml:space="preserve">This section provides for the instrument to be cited as the </w:t>
      </w:r>
      <w:r w:rsidR="00874089" w:rsidRPr="00874089">
        <w:rPr>
          <w:rFonts w:ascii="Times New Roman" w:hAnsi="Times New Roman" w:cs="Times New Roman"/>
          <w:i/>
        </w:rPr>
        <w:t>Telecommunications Legislation Amendment (Significant Event) Instrument (No. 1) 2023</w:t>
      </w:r>
      <w:r>
        <w:rPr>
          <w:rFonts w:ascii="Times New Roman" w:hAnsi="Times New Roman" w:cs="Times New Roman"/>
        </w:rPr>
        <w:t>.</w:t>
      </w:r>
    </w:p>
    <w:p w14:paraId="5A4825F8" w14:textId="77777777" w:rsidR="004C58B9" w:rsidRDefault="004C58B9" w:rsidP="004C58B9">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1CE591DC" w14:textId="6E2A32CB" w:rsidR="004C58B9" w:rsidRDefault="004C58B9" w:rsidP="004C58B9">
      <w:pPr>
        <w:rPr>
          <w:rFonts w:ascii="Times New Roman" w:hAnsi="Times New Roman" w:cs="Times New Roman"/>
        </w:rPr>
      </w:pPr>
      <w:r>
        <w:rPr>
          <w:rFonts w:ascii="Times New Roman" w:hAnsi="Times New Roman" w:cs="Times New Roman"/>
        </w:rPr>
        <w:t>This section provides for the instrument to commence</w:t>
      </w:r>
      <w:r w:rsidR="00961848">
        <w:rPr>
          <w:rFonts w:ascii="Times New Roman" w:hAnsi="Times New Roman" w:cs="Times New Roman"/>
        </w:rPr>
        <w:t xml:space="preserve"> on </w:t>
      </w:r>
      <w:r w:rsidR="00F07D19">
        <w:rPr>
          <w:rFonts w:ascii="Times New Roman" w:hAnsi="Times New Roman" w:cs="Times New Roman"/>
        </w:rPr>
        <w:t>2</w:t>
      </w:r>
      <w:r w:rsidR="00961848">
        <w:rPr>
          <w:rFonts w:ascii="Times New Roman" w:hAnsi="Times New Roman" w:cs="Times New Roman"/>
        </w:rPr>
        <w:t xml:space="preserve"> March 2023. </w:t>
      </w:r>
      <w:r w:rsidR="0071017D">
        <w:rPr>
          <w:rFonts w:ascii="Times New Roman" w:hAnsi="Times New Roman" w:cs="Times New Roman"/>
        </w:rPr>
        <w:t>The instrument is available on the Federal Register of Legislation.</w:t>
      </w:r>
      <w:r>
        <w:rPr>
          <w:rFonts w:ascii="Times New Roman" w:hAnsi="Times New Roman" w:cs="Times New Roman"/>
        </w:rPr>
        <w:t xml:space="preserve"> </w:t>
      </w:r>
    </w:p>
    <w:p w14:paraId="2E195494" w14:textId="3C330B01" w:rsidR="004C58B9" w:rsidRDefault="004C58B9" w:rsidP="004C58B9">
      <w:pPr>
        <w:rPr>
          <w:rFonts w:ascii="Times New Roman" w:hAnsi="Times New Roman" w:cs="Times New Roman"/>
        </w:rPr>
      </w:pPr>
      <w:r>
        <w:rPr>
          <w:rFonts w:ascii="Times New Roman" w:hAnsi="Times New Roman" w:cs="Times New Roman"/>
        </w:rPr>
        <w:t>The Federal Register of Legislation may be accessed</w:t>
      </w:r>
      <w:r w:rsidR="00C23B46">
        <w:rPr>
          <w:rFonts w:ascii="Times New Roman" w:hAnsi="Times New Roman" w:cs="Times New Roman"/>
        </w:rPr>
        <w:t>,</w:t>
      </w:r>
      <w:r>
        <w:rPr>
          <w:rFonts w:ascii="Times New Roman" w:hAnsi="Times New Roman" w:cs="Times New Roman"/>
        </w:rPr>
        <w:t xml:space="preserve"> free of charge</w:t>
      </w:r>
      <w:r w:rsidR="00C23B46">
        <w:rPr>
          <w:rFonts w:ascii="Times New Roman" w:hAnsi="Times New Roman" w:cs="Times New Roman"/>
        </w:rPr>
        <w:t>,</w:t>
      </w:r>
      <w:r>
        <w:rPr>
          <w:rFonts w:ascii="Times New Roman" w:hAnsi="Times New Roman" w:cs="Times New Roman"/>
        </w:rPr>
        <w:t xml:space="preserve"> at </w:t>
      </w:r>
      <w:hyperlink r:id="rId14" w:history="1">
        <w:r>
          <w:rPr>
            <w:rStyle w:val="Hyperlink"/>
            <w:rFonts w:ascii="Times New Roman" w:hAnsi="Times New Roman" w:cs="Times New Roman"/>
          </w:rPr>
          <w:t>www.legislation.gov.au</w:t>
        </w:r>
      </w:hyperlink>
      <w:r>
        <w:rPr>
          <w:rFonts w:ascii="Times New Roman" w:hAnsi="Times New Roman" w:cs="Times New Roman"/>
        </w:rPr>
        <w:t>.</w:t>
      </w:r>
    </w:p>
    <w:p w14:paraId="1CCE7953" w14:textId="77777777" w:rsidR="004C58B9" w:rsidRDefault="004C58B9" w:rsidP="004C58B9">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38112A89" w14:textId="58818BC2" w:rsidR="004C58B9" w:rsidRDefault="004C58B9" w:rsidP="004C58B9">
      <w:pPr>
        <w:rPr>
          <w:rFonts w:ascii="Times New Roman" w:hAnsi="Times New Roman" w:cs="Times New Roman"/>
        </w:rPr>
      </w:pPr>
      <w:r>
        <w:rPr>
          <w:rFonts w:ascii="Times New Roman" w:hAnsi="Times New Roman" w:cs="Times New Roman"/>
        </w:rPr>
        <w:t>This section identifies the provision</w:t>
      </w:r>
      <w:r w:rsidR="00F07D19">
        <w:rPr>
          <w:rFonts w:ascii="Times New Roman" w:hAnsi="Times New Roman" w:cs="Times New Roman"/>
        </w:rPr>
        <w:t>s</w:t>
      </w:r>
      <w:r>
        <w:rPr>
          <w:rFonts w:ascii="Times New Roman" w:hAnsi="Times New Roman" w:cs="Times New Roman"/>
        </w:rPr>
        <w:t xml:space="preserve"> of the Act that authorise the making of the instrument, namely </w:t>
      </w:r>
      <w:r w:rsidR="00FE466B">
        <w:rPr>
          <w:rFonts w:ascii="Times New Roman" w:hAnsi="Times New Roman" w:cs="Times New Roman"/>
        </w:rPr>
        <w:t>subsections 407(1) and 419(1)</w:t>
      </w:r>
      <w:r>
        <w:rPr>
          <w:rFonts w:ascii="Times New Roman" w:hAnsi="Times New Roman" w:cs="Times New Roman"/>
        </w:rPr>
        <w:t xml:space="preserve"> of the </w:t>
      </w:r>
      <w:r w:rsidRPr="00FE466B">
        <w:rPr>
          <w:rFonts w:ascii="Times New Roman" w:hAnsi="Times New Roman" w:cs="Times New Roman"/>
          <w:bCs/>
        </w:rPr>
        <w:t>Act</w:t>
      </w:r>
      <w:r>
        <w:rPr>
          <w:rFonts w:ascii="Times New Roman" w:hAnsi="Times New Roman" w:cs="Times New Roman"/>
        </w:rPr>
        <w:t>.</w:t>
      </w:r>
    </w:p>
    <w:p w14:paraId="112058DA" w14:textId="31BE9A8E" w:rsidR="004C58B9" w:rsidRDefault="004C58B9" w:rsidP="007A43FC">
      <w:pPr>
        <w:rPr>
          <w:rFonts w:ascii="Times New Roman" w:hAnsi="Times New Roman" w:cs="Times New Roman"/>
          <w:b/>
        </w:rPr>
      </w:pPr>
      <w:r>
        <w:rPr>
          <w:rFonts w:ascii="Times New Roman" w:hAnsi="Times New Roman" w:cs="Times New Roman"/>
          <w:b/>
        </w:rPr>
        <w:t>Section 4</w:t>
      </w:r>
      <w:r>
        <w:rPr>
          <w:rFonts w:ascii="Times New Roman" w:hAnsi="Times New Roman" w:cs="Times New Roman"/>
          <w:b/>
        </w:rPr>
        <w:tab/>
      </w:r>
      <w:r w:rsidR="007A43FC">
        <w:rPr>
          <w:rFonts w:ascii="Times New Roman" w:hAnsi="Times New Roman" w:cs="Times New Roman"/>
          <w:b/>
        </w:rPr>
        <w:t>Schedule</w:t>
      </w:r>
    </w:p>
    <w:p w14:paraId="79AC1363" w14:textId="597F6774" w:rsidR="005309D4" w:rsidRPr="005309D4" w:rsidRDefault="005309D4" w:rsidP="007A43FC">
      <w:pPr>
        <w:rPr>
          <w:rFonts w:ascii="Times New Roman" w:hAnsi="Times New Roman" w:cs="Times New Roman"/>
          <w:bCs/>
        </w:rPr>
      </w:pPr>
      <w:r>
        <w:rPr>
          <w:rFonts w:ascii="Times New Roman" w:hAnsi="Times New Roman" w:cs="Times New Roman"/>
          <w:bCs/>
        </w:rPr>
        <w:t xml:space="preserve">This section provides that each instrument specified in Schedule </w:t>
      </w:r>
      <w:r w:rsidR="00E8564B">
        <w:rPr>
          <w:rFonts w:ascii="Times New Roman" w:hAnsi="Times New Roman" w:cs="Times New Roman"/>
          <w:bCs/>
        </w:rPr>
        <w:t xml:space="preserve">1 </w:t>
      </w:r>
      <w:r>
        <w:rPr>
          <w:rFonts w:ascii="Times New Roman" w:hAnsi="Times New Roman" w:cs="Times New Roman"/>
          <w:bCs/>
        </w:rPr>
        <w:t>to th</w:t>
      </w:r>
      <w:r w:rsidR="008D1AEE">
        <w:rPr>
          <w:rFonts w:ascii="Times New Roman" w:hAnsi="Times New Roman" w:cs="Times New Roman"/>
          <w:bCs/>
        </w:rPr>
        <w:t>e</w:t>
      </w:r>
      <w:r>
        <w:rPr>
          <w:rFonts w:ascii="Times New Roman" w:hAnsi="Times New Roman" w:cs="Times New Roman"/>
          <w:bCs/>
        </w:rPr>
        <w:t xml:space="preserve"> instrument is amended as set out in the applicable items in that Schedule. </w:t>
      </w:r>
    </w:p>
    <w:p w14:paraId="3BBC1E09" w14:textId="1DED3A8F" w:rsidR="004C58B9" w:rsidRDefault="004C58B9" w:rsidP="00107BC0">
      <w:pPr>
        <w:jc w:val="right"/>
        <w:rPr>
          <w:rFonts w:ascii="Times New Roman" w:hAnsi="Times New Roman" w:cs="Times New Roman"/>
          <w:b/>
        </w:rPr>
      </w:pPr>
      <w:r>
        <w:rPr>
          <w:rFonts w:ascii="Times New Roman" w:hAnsi="Times New Roman" w:cs="Times New Roman"/>
        </w:rPr>
        <w:br w:type="page"/>
      </w:r>
    </w:p>
    <w:p w14:paraId="5E26369E" w14:textId="77777777" w:rsidR="00CA0D13" w:rsidRDefault="00EF51A6" w:rsidP="00EF51A6">
      <w:pPr>
        <w:spacing w:before="280"/>
        <w:rPr>
          <w:rFonts w:ascii="Times New Roman" w:hAnsi="Times New Roman" w:cs="Times New Roman"/>
          <w:b/>
        </w:rPr>
      </w:pPr>
      <w:r>
        <w:rPr>
          <w:rFonts w:ascii="Times New Roman" w:hAnsi="Times New Roman" w:cs="Times New Roman"/>
          <w:b/>
        </w:rPr>
        <w:lastRenderedPageBreak/>
        <w:t>Schedule 1–Amendments</w:t>
      </w:r>
      <w:r w:rsidR="00CA0D13">
        <w:rPr>
          <w:rFonts w:ascii="Times New Roman" w:hAnsi="Times New Roman" w:cs="Times New Roman"/>
          <w:b/>
        </w:rPr>
        <w:t xml:space="preserve"> </w:t>
      </w:r>
    </w:p>
    <w:p w14:paraId="458AF617" w14:textId="0BD0A3BD" w:rsidR="00025ACE" w:rsidRPr="00981D61" w:rsidRDefault="00CA0D13" w:rsidP="00EF51A6">
      <w:pPr>
        <w:spacing w:before="280"/>
        <w:rPr>
          <w:rFonts w:ascii="Times New Roman" w:hAnsi="Times New Roman" w:cs="Times New Roman"/>
          <w:b/>
          <w:i/>
          <w:iCs/>
        </w:rPr>
      </w:pPr>
      <w:r w:rsidRPr="00981D61">
        <w:rPr>
          <w:rFonts w:ascii="Times New Roman" w:hAnsi="Times New Roman" w:cs="Times New Roman"/>
          <w:b/>
          <w:i/>
          <w:iCs/>
        </w:rPr>
        <w:t>Telecommunications (Labelling Notice for Customer Equipment and Customer Cabling) Instrument 2015</w:t>
      </w:r>
    </w:p>
    <w:p w14:paraId="6C4ACB38" w14:textId="36B34BDE" w:rsidR="00EF51A6" w:rsidRDefault="00981D61" w:rsidP="00EF51A6">
      <w:pPr>
        <w:spacing w:before="280"/>
        <w:rPr>
          <w:rFonts w:ascii="Times New Roman" w:hAnsi="Times New Roman" w:cs="Times New Roman"/>
          <w:b/>
        </w:rPr>
      </w:pPr>
      <w:r>
        <w:rPr>
          <w:rFonts w:ascii="Times New Roman" w:hAnsi="Times New Roman" w:cs="Times New Roman"/>
          <w:b/>
        </w:rPr>
        <w:t>Item 1</w:t>
      </w:r>
      <w:r w:rsidR="003A6E66">
        <w:rPr>
          <w:rFonts w:ascii="Times New Roman" w:hAnsi="Times New Roman" w:cs="Times New Roman"/>
          <w:b/>
        </w:rPr>
        <w:tab/>
      </w:r>
      <w:r w:rsidR="003A6E66">
        <w:rPr>
          <w:rFonts w:ascii="Times New Roman" w:hAnsi="Times New Roman" w:cs="Times New Roman"/>
          <w:b/>
        </w:rPr>
        <w:tab/>
      </w:r>
      <w:r w:rsidR="003A6E66" w:rsidRPr="003A6E66">
        <w:rPr>
          <w:rFonts w:ascii="Times New Roman" w:hAnsi="Times New Roman" w:cs="Times New Roman"/>
          <w:b/>
        </w:rPr>
        <w:t xml:space="preserve">Subsection 4(1) (definition of </w:t>
      </w:r>
      <w:r w:rsidR="003A6E66" w:rsidRPr="00EB380B">
        <w:rPr>
          <w:rFonts w:ascii="Times New Roman" w:hAnsi="Times New Roman" w:cs="Times New Roman"/>
          <w:b/>
          <w:i/>
          <w:iCs/>
        </w:rPr>
        <w:t>significant event</w:t>
      </w:r>
      <w:r w:rsidR="003A6E66" w:rsidRPr="003A6E66">
        <w:rPr>
          <w:rFonts w:ascii="Times New Roman" w:hAnsi="Times New Roman" w:cs="Times New Roman"/>
          <w:b/>
        </w:rPr>
        <w:t>)</w:t>
      </w:r>
    </w:p>
    <w:p w14:paraId="666D8829" w14:textId="5E37D84E" w:rsidR="007E7A71" w:rsidRDefault="00AB0137">
      <w:pPr>
        <w:spacing w:before="280"/>
        <w:rPr>
          <w:rFonts w:ascii="Times New Roman" w:hAnsi="Times New Roman" w:cs="Times New Roman"/>
          <w:bCs/>
        </w:rPr>
      </w:pPr>
      <w:r w:rsidRPr="00AB0137">
        <w:rPr>
          <w:rFonts w:ascii="Times New Roman" w:hAnsi="Times New Roman" w:cs="Times New Roman"/>
          <w:bCs/>
        </w:rPr>
        <w:t>Item</w:t>
      </w:r>
      <w:r>
        <w:rPr>
          <w:rFonts w:ascii="Times New Roman" w:hAnsi="Times New Roman" w:cs="Times New Roman"/>
          <w:bCs/>
        </w:rPr>
        <w:t xml:space="preserve"> 1 repeals the definition of a </w:t>
      </w:r>
      <w:r w:rsidR="00533D38">
        <w:rPr>
          <w:rFonts w:ascii="Times New Roman" w:hAnsi="Times New Roman" w:cs="Times New Roman"/>
          <w:bCs/>
        </w:rPr>
        <w:t>‘</w:t>
      </w:r>
      <w:r w:rsidRPr="00EB380B">
        <w:rPr>
          <w:rFonts w:ascii="Times New Roman" w:hAnsi="Times New Roman" w:cs="Times New Roman"/>
          <w:bCs/>
        </w:rPr>
        <w:t>significant event</w:t>
      </w:r>
      <w:r w:rsidR="00533D38">
        <w:rPr>
          <w:rFonts w:ascii="Times New Roman" w:hAnsi="Times New Roman" w:cs="Times New Roman"/>
          <w:bCs/>
        </w:rPr>
        <w:t>’</w:t>
      </w:r>
      <w:r>
        <w:rPr>
          <w:rFonts w:ascii="Times New Roman" w:hAnsi="Times New Roman" w:cs="Times New Roman"/>
          <w:bCs/>
        </w:rPr>
        <w:t xml:space="preserve"> and replaces it with a </w:t>
      </w:r>
      <w:r w:rsidR="00D43ACF">
        <w:rPr>
          <w:rFonts w:ascii="Times New Roman" w:hAnsi="Times New Roman" w:cs="Times New Roman"/>
          <w:bCs/>
        </w:rPr>
        <w:t xml:space="preserve">new </w:t>
      </w:r>
      <w:r>
        <w:rPr>
          <w:rFonts w:ascii="Times New Roman" w:hAnsi="Times New Roman" w:cs="Times New Roman"/>
          <w:bCs/>
        </w:rPr>
        <w:t xml:space="preserve">definition that </w:t>
      </w:r>
      <w:r w:rsidR="00D43ACF">
        <w:rPr>
          <w:rFonts w:ascii="Times New Roman" w:hAnsi="Times New Roman" w:cs="Times New Roman"/>
          <w:bCs/>
        </w:rPr>
        <w:t>covers an event declared by the ACMA under</w:t>
      </w:r>
      <w:r w:rsidR="00293027">
        <w:rPr>
          <w:rFonts w:ascii="Times New Roman" w:hAnsi="Times New Roman" w:cs="Times New Roman"/>
          <w:bCs/>
        </w:rPr>
        <w:t xml:space="preserve"> subsection 54</w:t>
      </w:r>
      <w:r w:rsidR="0099561D">
        <w:rPr>
          <w:rFonts w:ascii="Times New Roman" w:hAnsi="Times New Roman" w:cs="Times New Roman"/>
          <w:bCs/>
        </w:rPr>
        <w:t>A</w:t>
      </w:r>
      <w:r w:rsidR="00293027">
        <w:rPr>
          <w:rFonts w:ascii="Times New Roman" w:hAnsi="Times New Roman" w:cs="Times New Roman"/>
          <w:bCs/>
        </w:rPr>
        <w:t>(</w:t>
      </w:r>
      <w:r w:rsidR="0099561D">
        <w:rPr>
          <w:rFonts w:ascii="Times New Roman" w:hAnsi="Times New Roman" w:cs="Times New Roman"/>
          <w:bCs/>
        </w:rPr>
        <w:t>2</w:t>
      </w:r>
      <w:r w:rsidR="00293027">
        <w:rPr>
          <w:rFonts w:ascii="Times New Roman" w:hAnsi="Times New Roman" w:cs="Times New Roman"/>
          <w:bCs/>
        </w:rPr>
        <w:t xml:space="preserve">) of the </w:t>
      </w:r>
      <w:r w:rsidR="00FD1019" w:rsidRPr="00BE536C">
        <w:rPr>
          <w:rFonts w:ascii="Times New Roman" w:hAnsi="Times New Roman" w:cs="Times New Roman"/>
          <w:bCs/>
        </w:rPr>
        <w:t>General Equipment Rules</w:t>
      </w:r>
      <w:r w:rsidR="00D43ACF">
        <w:rPr>
          <w:rFonts w:ascii="Times New Roman" w:hAnsi="Times New Roman" w:cs="Times New Roman"/>
          <w:bCs/>
        </w:rPr>
        <w:t>.</w:t>
      </w:r>
      <w:r w:rsidR="00293027">
        <w:rPr>
          <w:rFonts w:ascii="Times New Roman" w:hAnsi="Times New Roman" w:cs="Times New Roman"/>
          <w:bCs/>
        </w:rPr>
        <w:t xml:space="preserve"> </w:t>
      </w:r>
      <w:r w:rsidR="007A7143">
        <w:rPr>
          <w:rFonts w:ascii="Times New Roman" w:hAnsi="Times New Roman" w:cs="Times New Roman"/>
          <w:bCs/>
        </w:rPr>
        <w:t>Subsection 54A(2)</w:t>
      </w:r>
      <w:r w:rsidR="00293027">
        <w:rPr>
          <w:rFonts w:ascii="Times New Roman" w:hAnsi="Times New Roman" w:cs="Times New Roman"/>
          <w:bCs/>
        </w:rPr>
        <w:t xml:space="preserve"> </w:t>
      </w:r>
      <w:r w:rsidR="00D54079">
        <w:rPr>
          <w:rFonts w:ascii="Times New Roman" w:hAnsi="Times New Roman" w:cs="Times New Roman"/>
          <w:bCs/>
        </w:rPr>
        <w:t xml:space="preserve">of the General Equipment Rules </w:t>
      </w:r>
      <w:r w:rsidR="0099561D">
        <w:rPr>
          <w:rFonts w:ascii="Times New Roman" w:hAnsi="Times New Roman" w:cs="Times New Roman"/>
          <w:bCs/>
        </w:rPr>
        <w:t>provides that the ACMA may make a notifiable instrument that declares a specified event to be a significant event and specifies the period and location of the significant event.</w:t>
      </w:r>
      <w:r w:rsidR="0024708F">
        <w:rPr>
          <w:rFonts w:ascii="Times New Roman" w:hAnsi="Times New Roman" w:cs="Times New Roman"/>
          <w:bCs/>
        </w:rPr>
        <w:t xml:space="preserve"> </w:t>
      </w:r>
      <w:r w:rsidR="002272EB">
        <w:rPr>
          <w:rFonts w:ascii="Times New Roman" w:hAnsi="Times New Roman" w:cs="Times New Roman"/>
          <w:bCs/>
        </w:rPr>
        <w:t>T</w:t>
      </w:r>
      <w:r w:rsidR="00536144">
        <w:rPr>
          <w:rFonts w:ascii="Times New Roman" w:hAnsi="Times New Roman" w:cs="Times New Roman"/>
          <w:bCs/>
        </w:rPr>
        <w:t>he General Equipment Rules</w:t>
      </w:r>
      <w:r w:rsidR="0024708F">
        <w:rPr>
          <w:rFonts w:ascii="Times New Roman" w:hAnsi="Times New Roman" w:cs="Times New Roman"/>
          <w:bCs/>
        </w:rPr>
        <w:t xml:space="preserve"> also provide that the ACMA </w:t>
      </w:r>
      <w:r w:rsidR="000821E7">
        <w:rPr>
          <w:rFonts w:ascii="Times New Roman" w:hAnsi="Times New Roman" w:cs="Times New Roman"/>
          <w:bCs/>
        </w:rPr>
        <w:t>must</w:t>
      </w:r>
      <w:r w:rsidR="0024708F">
        <w:rPr>
          <w:rFonts w:ascii="Times New Roman" w:hAnsi="Times New Roman" w:cs="Times New Roman"/>
          <w:bCs/>
        </w:rPr>
        <w:t xml:space="preserve"> publish </w:t>
      </w:r>
      <w:r w:rsidR="000821E7">
        <w:rPr>
          <w:rFonts w:ascii="Times New Roman" w:hAnsi="Times New Roman" w:cs="Times New Roman"/>
        </w:rPr>
        <w:t xml:space="preserve">on </w:t>
      </w:r>
      <w:r w:rsidR="00012DBD">
        <w:rPr>
          <w:rFonts w:ascii="Times New Roman" w:hAnsi="Times New Roman" w:cs="Times New Roman"/>
        </w:rPr>
        <w:t>the ACMA</w:t>
      </w:r>
      <w:r w:rsidR="000821E7">
        <w:rPr>
          <w:rFonts w:ascii="Times New Roman" w:hAnsi="Times New Roman" w:cs="Times New Roman"/>
        </w:rPr>
        <w:t xml:space="preserve"> website certain details </w:t>
      </w:r>
      <w:r w:rsidR="0024708F" w:rsidRPr="009867F1">
        <w:rPr>
          <w:rFonts w:ascii="Times New Roman" w:hAnsi="Times New Roman" w:cs="Times New Roman"/>
        </w:rPr>
        <w:t xml:space="preserve">of </w:t>
      </w:r>
      <w:r w:rsidR="000821E7">
        <w:rPr>
          <w:rFonts w:ascii="Times New Roman" w:hAnsi="Times New Roman" w:cs="Times New Roman"/>
        </w:rPr>
        <w:t xml:space="preserve">a </w:t>
      </w:r>
      <w:r w:rsidR="0024708F" w:rsidRPr="009867F1">
        <w:rPr>
          <w:rFonts w:ascii="Times New Roman" w:hAnsi="Times New Roman" w:cs="Times New Roman"/>
        </w:rPr>
        <w:t xml:space="preserve">significant event </w:t>
      </w:r>
      <w:r w:rsidR="00CE5FD8">
        <w:rPr>
          <w:rFonts w:ascii="Times New Roman" w:hAnsi="Times New Roman" w:cs="Times New Roman"/>
        </w:rPr>
        <w:t>that has been declared</w:t>
      </w:r>
      <w:r w:rsidR="0024708F">
        <w:rPr>
          <w:rFonts w:ascii="Times New Roman" w:hAnsi="Times New Roman" w:cs="Times New Roman"/>
        </w:rPr>
        <w:t>.</w:t>
      </w:r>
      <w:bookmarkStart w:id="0" w:name="_Hlk126061587"/>
    </w:p>
    <w:p w14:paraId="42851E32" w14:textId="7F6593A6" w:rsidR="005D2B23" w:rsidRPr="00AB0137" w:rsidRDefault="00256B84" w:rsidP="00EF51A6">
      <w:pPr>
        <w:spacing w:before="280"/>
        <w:rPr>
          <w:rFonts w:ascii="Times New Roman" w:hAnsi="Times New Roman" w:cs="Times New Roman"/>
          <w:bCs/>
        </w:rPr>
      </w:pPr>
      <w:r>
        <w:rPr>
          <w:rFonts w:ascii="Times New Roman" w:hAnsi="Times New Roman" w:cs="Times New Roman"/>
          <w:bCs/>
        </w:rPr>
        <w:t>The new definition of ‘significant event’ also cover</w:t>
      </w:r>
      <w:r w:rsidR="0092081F">
        <w:rPr>
          <w:rFonts w:ascii="Times New Roman" w:hAnsi="Times New Roman" w:cs="Times New Roman"/>
          <w:bCs/>
        </w:rPr>
        <w:t>s</w:t>
      </w:r>
      <w:r w:rsidR="00077486">
        <w:rPr>
          <w:rFonts w:ascii="Times New Roman" w:hAnsi="Times New Roman" w:cs="Times New Roman"/>
          <w:bCs/>
        </w:rPr>
        <w:t xml:space="preserve"> an even</w:t>
      </w:r>
      <w:r w:rsidR="00D44C37">
        <w:rPr>
          <w:rFonts w:ascii="Times New Roman" w:hAnsi="Times New Roman" w:cs="Times New Roman"/>
          <w:bCs/>
        </w:rPr>
        <w:t>t i</w:t>
      </w:r>
      <w:r w:rsidR="00356620">
        <w:rPr>
          <w:rFonts w:ascii="Times New Roman" w:hAnsi="Times New Roman" w:cs="Times New Roman"/>
          <w:bCs/>
        </w:rPr>
        <w:t xml:space="preserve">f </w:t>
      </w:r>
      <w:r w:rsidR="00D44C37">
        <w:rPr>
          <w:rFonts w:ascii="Times New Roman" w:hAnsi="Times New Roman" w:cs="Times New Roman"/>
          <w:bCs/>
        </w:rPr>
        <w:t>that</w:t>
      </w:r>
      <w:r w:rsidR="00356620">
        <w:rPr>
          <w:rFonts w:ascii="Times New Roman" w:hAnsi="Times New Roman" w:cs="Times New Roman"/>
          <w:bCs/>
        </w:rPr>
        <w:t xml:space="preserve"> event was a significant event (within the meaning of the Telecommunications Labelling Notice as in force </w:t>
      </w:r>
      <w:r w:rsidR="00356620" w:rsidRPr="00356620">
        <w:rPr>
          <w:rFonts w:ascii="Times New Roman" w:hAnsi="Times New Roman" w:cs="Times New Roman"/>
          <w:bCs/>
        </w:rPr>
        <w:t xml:space="preserve">immediately before the commencement of the </w:t>
      </w:r>
      <w:r w:rsidR="00682D83">
        <w:rPr>
          <w:rFonts w:ascii="Times New Roman" w:hAnsi="Times New Roman" w:cs="Times New Roman"/>
          <w:bCs/>
        </w:rPr>
        <w:t>instrument</w:t>
      </w:r>
      <w:r w:rsidR="00356620" w:rsidRPr="00356620">
        <w:rPr>
          <w:rFonts w:ascii="Times New Roman" w:hAnsi="Times New Roman" w:cs="Times New Roman"/>
          <w:bCs/>
        </w:rPr>
        <w:t>) and the whole or a part of the event occurs after that commencement</w:t>
      </w:r>
      <w:r w:rsidR="00475276">
        <w:rPr>
          <w:rFonts w:ascii="Times New Roman" w:hAnsi="Times New Roman" w:cs="Times New Roman"/>
          <w:bCs/>
        </w:rPr>
        <w:t>.</w:t>
      </w:r>
      <w:r w:rsidR="003C5978">
        <w:rPr>
          <w:rFonts w:ascii="Times New Roman" w:hAnsi="Times New Roman" w:cs="Times New Roman"/>
          <w:bCs/>
        </w:rPr>
        <w:t xml:space="preserve"> </w:t>
      </w:r>
      <w:r w:rsidR="00303A84">
        <w:rPr>
          <w:rFonts w:ascii="Times New Roman" w:hAnsi="Times New Roman" w:cs="Times New Roman"/>
          <w:bCs/>
        </w:rPr>
        <w:t xml:space="preserve">Such an </w:t>
      </w:r>
      <w:r w:rsidR="003C5978">
        <w:rPr>
          <w:rFonts w:ascii="Times New Roman" w:hAnsi="Times New Roman" w:cs="Times New Roman"/>
          <w:bCs/>
        </w:rPr>
        <w:t>event continues to be a significant event</w:t>
      </w:r>
      <w:r w:rsidR="000C15E7">
        <w:rPr>
          <w:rFonts w:ascii="Times New Roman" w:hAnsi="Times New Roman" w:cs="Times New Roman"/>
          <w:bCs/>
        </w:rPr>
        <w:t xml:space="preserve"> within the meaning of the Telecommunications Labelling Notice</w:t>
      </w:r>
      <w:r w:rsidR="003C5978">
        <w:rPr>
          <w:rFonts w:ascii="Times New Roman" w:hAnsi="Times New Roman" w:cs="Times New Roman"/>
          <w:bCs/>
        </w:rPr>
        <w:t>.</w:t>
      </w:r>
    </w:p>
    <w:bookmarkEnd w:id="0"/>
    <w:p w14:paraId="7152C9FE" w14:textId="1BFC5BBD" w:rsidR="003A6E66" w:rsidRPr="003A61FB" w:rsidRDefault="00140454" w:rsidP="00EF51A6">
      <w:pPr>
        <w:spacing w:before="280"/>
        <w:rPr>
          <w:rFonts w:ascii="Times New Roman" w:hAnsi="Times New Roman" w:cs="Times New Roman"/>
          <w:b/>
          <w:i/>
          <w:iCs/>
        </w:rPr>
      </w:pPr>
      <w:r w:rsidRPr="003A61FB">
        <w:rPr>
          <w:rFonts w:ascii="Times New Roman" w:hAnsi="Times New Roman" w:cs="Times New Roman"/>
          <w:b/>
          <w:i/>
          <w:iCs/>
        </w:rPr>
        <w:t>Telecommunications (Types of Cabling Work) Declaration 2013</w:t>
      </w:r>
    </w:p>
    <w:p w14:paraId="3B582E16" w14:textId="5756A6CF" w:rsidR="00140454" w:rsidRDefault="00140454" w:rsidP="00EF51A6">
      <w:pPr>
        <w:spacing w:before="280"/>
        <w:rPr>
          <w:rFonts w:ascii="Times New Roman" w:hAnsi="Times New Roman" w:cs="Times New Roman"/>
          <w:b/>
        </w:rPr>
      </w:pPr>
      <w:r>
        <w:rPr>
          <w:rFonts w:ascii="Times New Roman" w:hAnsi="Times New Roman" w:cs="Times New Roman"/>
          <w:b/>
        </w:rPr>
        <w:t>Item 2</w:t>
      </w:r>
      <w:r w:rsidR="003A61FB">
        <w:rPr>
          <w:rFonts w:ascii="Times New Roman" w:hAnsi="Times New Roman" w:cs="Times New Roman"/>
          <w:b/>
        </w:rPr>
        <w:tab/>
      </w:r>
      <w:r w:rsidR="003A61FB">
        <w:rPr>
          <w:rFonts w:ascii="Times New Roman" w:hAnsi="Times New Roman" w:cs="Times New Roman"/>
          <w:b/>
        </w:rPr>
        <w:tab/>
      </w:r>
      <w:r w:rsidR="003A61FB" w:rsidRPr="003A61FB">
        <w:rPr>
          <w:rFonts w:ascii="Times New Roman" w:hAnsi="Times New Roman" w:cs="Times New Roman"/>
          <w:b/>
        </w:rPr>
        <w:t xml:space="preserve">Section 4 (definition of </w:t>
      </w:r>
      <w:r w:rsidR="003A61FB" w:rsidRPr="00EB380B">
        <w:rPr>
          <w:rFonts w:ascii="Times New Roman" w:hAnsi="Times New Roman" w:cs="Times New Roman"/>
          <w:b/>
          <w:i/>
          <w:iCs/>
        </w:rPr>
        <w:t>Chair</w:t>
      </w:r>
      <w:r w:rsidR="003A61FB" w:rsidRPr="003A61FB">
        <w:rPr>
          <w:rFonts w:ascii="Times New Roman" w:hAnsi="Times New Roman" w:cs="Times New Roman"/>
          <w:b/>
        </w:rPr>
        <w:t>)</w:t>
      </w:r>
    </w:p>
    <w:p w14:paraId="324A320F" w14:textId="175FEC68" w:rsidR="00AB0137" w:rsidRPr="00AB0137" w:rsidRDefault="00AB0137" w:rsidP="00AB0137">
      <w:pPr>
        <w:spacing w:before="280"/>
        <w:ind w:hanging="11"/>
        <w:rPr>
          <w:rFonts w:ascii="Times New Roman" w:hAnsi="Times New Roman" w:cs="Times New Roman"/>
          <w:bCs/>
        </w:rPr>
      </w:pPr>
      <w:r w:rsidRPr="00AB0137">
        <w:rPr>
          <w:rFonts w:ascii="Times New Roman" w:hAnsi="Times New Roman" w:cs="Times New Roman"/>
          <w:bCs/>
        </w:rPr>
        <w:t>Item</w:t>
      </w:r>
      <w:r>
        <w:rPr>
          <w:rFonts w:ascii="Times New Roman" w:hAnsi="Times New Roman" w:cs="Times New Roman"/>
          <w:bCs/>
        </w:rPr>
        <w:t xml:space="preserve"> 2 repeals the definition of </w:t>
      </w:r>
      <w:r w:rsidR="005D2B23">
        <w:rPr>
          <w:rFonts w:ascii="Times New Roman" w:hAnsi="Times New Roman" w:cs="Times New Roman"/>
          <w:bCs/>
        </w:rPr>
        <w:t>‘</w:t>
      </w:r>
      <w:r w:rsidRPr="00EB380B">
        <w:rPr>
          <w:rFonts w:ascii="Times New Roman" w:hAnsi="Times New Roman" w:cs="Times New Roman"/>
          <w:bCs/>
        </w:rPr>
        <w:t>Chair</w:t>
      </w:r>
      <w:r w:rsidR="005D2B23">
        <w:rPr>
          <w:rFonts w:ascii="Times New Roman" w:hAnsi="Times New Roman" w:cs="Times New Roman"/>
          <w:bCs/>
        </w:rPr>
        <w:t>’</w:t>
      </w:r>
      <w:r>
        <w:rPr>
          <w:rFonts w:ascii="Times New Roman" w:hAnsi="Times New Roman" w:cs="Times New Roman"/>
          <w:bCs/>
        </w:rPr>
        <w:t xml:space="preserve"> as this term is no longer </w:t>
      </w:r>
      <w:r w:rsidR="005D2B23">
        <w:rPr>
          <w:rFonts w:ascii="Times New Roman" w:hAnsi="Times New Roman" w:cs="Times New Roman"/>
          <w:bCs/>
        </w:rPr>
        <w:t xml:space="preserve">used </w:t>
      </w:r>
      <w:r>
        <w:rPr>
          <w:rFonts w:ascii="Times New Roman" w:hAnsi="Times New Roman" w:cs="Times New Roman"/>
          <w:bCs/>
        </w:rPr>
        <w:t xml:space="preserve">in the </w:t>
      </w:r>
      <w:r w:rsidR="0024708F">
        <w:rPr>
          <w:rFonts w:ascii="Times New Roman" w:hAnsi="Times New Roman" w:cs="Times New Roman"/>
          <w:bCs/>
        </w:rPr>
        <w:t>Declaration</w:t>
      </w:r>
      <w:r>
        <w:rPr>
          <w:rFonts w:ascii="Times New Roman" w:hAnsi="Times New Roman" w:cs="Times New Roman"/>
          <w:bCs/>
        </w:rPr>
        <w:t>.</w:t>
      </w:r>
    </w:p>
    <w:p w14:paraId="03E453DE" w14:textId="4C38B1FF" w:rsidR="00140454" w:rsidRDefault="00140454" w:rsidP="00EF51A6">
      <w:pPr>
        <w:spacing w:before="280"/>
        <w:rPr>
          <w:rFonts w:ascii="Times New Roman" w:hAnsi="Times New Roman" w:cs="Times New Roman"/>
          <w:b/>
        </w:rPr>
      </w:pPr>
      <w:r>
        <w:rPr>
          <w:rFonts w:ascii="Times New Roman" w:hAnsi="Times New Roman" w:cs="Times New Roman"/>
          <w:b/>
        </w:rPr>
        <w:t>Item 3</w:t>
      </w:r>
      <w:r w:rsidR="003A61FB">
        <w:rPr>
          <w:rFonts w:ascii="Times New Roman" w:hAnsi="Times New Roman" w:cs="Times New Roman"/>
          <w:b/>
        </w:rPr>
        <w:tab/>
      </w:r>
      <w:r w:rsidR="003A61FB">
        <w:rPr>
          <w:rFonts w:ascii="Times New Roman" w:hAnsi="Times New Roman" w:cs="Times New Roman"/>
          <w:b/>
        </w:rPr>
        <w:tab/>
      </w:r>
      <w:r w:rsidR="003A61FB" w:rsidRPr="003A61FB">
        <w:rPr>
          <w:rFonts w:ascii="Times New Roman" w:hAnsi="Times New Roman" w:cs="Times New Roman"/>
          <w:b/>
        </w:rPr>
        <w:t xml:space="preserve">Section 4 (definition of </w:t>
      </w:r>
      <w:r w:rsidR="003A61FB" w:rsidRPr="00EB380B">
        <w:rPr>
          <w:rFonts w:ascii="Times New Roman" w:hAnsi="Times New Roman" w:cs="Times New Roman"/>
          <w:b/>
          <w:i/>
          <w:iCs/>
        </w:rPr>
        <w:t>significant event</w:t>
      </w:r>
      <w:r w:rsidR="003A61FB" w:rsidRPr="003A61FB">
        <w:rPr>
          <w:rFonts w:ascii="Times New Roman" w:hAnsi="Times New Roman" w:cs="Times New Roman"/>
          <w:b/>
        </w:rPr>
        <w:t>)</w:t>
      </w:r>
    </w:p>
    <w:p w14:paraId="5C7AFDFD" w14:textId="29016E23" w:rsidR="002A209E" w:rsidRDefault="002A209E">
      <w:pPr>
        <w:spacing w:before="280"/>
        <w:rPr>
          <w:rFonts w:ascii="Times New Roman" w:hAnsi="Times New Roman" w:cs="Times New Roman"/>
          <w:bCs/>
        </w:rPr>
      </w:pPr>
      <w:r w:rsidRPr="00AB0137">
        <w:rPr>
          <w:rFonts w:ascii="Times New Roman" w:hAnsi="Times New Roman" w:cs="Times New Roman"/>
          <w:bCs/>
        </w:rPr>
        <w:t>Item</w:t>
      </w:r>
      <w:r>
        <w:rPr>
          <w:rFonts w:ascii="Times New Roman" w:hAnsi="Times New Roman" w:cs="Times New Roman"/>
          <w:bCs/>
        </w:rPr>
        <w:t xml:space="preserve"> 3 repeals the definition of a </w:t>
      </w:r>
      <w:r w:rsidR="005D2B23">
        <w:rPr>
          <w:rFonts w:ascii="Times New Roman" w:hAnsi="Times New Roman" w:cs="Times New Roman"/>
          <w:bCs/>
        </w:rPr>
        <w:t>‘</w:t>
      </w:r>
      <w:r w:rsidRPr="00EB380B">
        <w:rPr>
          <w:rFonts w:ascii="Times New Roman" w:hAnsi="Times New Roman" w:cs="Times New Roman"/>
          <w:bCs/>
        </w:rPr>
        <w:t>significant event</w:t>
      </w:r>
      <w:r w:rsidR="005D2B23" w:rsidRPr="00EB380B">
        <w:rPr>
          <w:rFonts w:ascii="Times New Roman" w:hAnsi="Times New Roman" w:cs="Times New Roman"/>
          <w:bCs/>
        </w:rPr>
        <w:t>’</w:t>
      </w:r>
      <w:r>
        <w:rPr>
          <w:rFonts w:ascii="Times New Roman" w:hAnsi="Times New Roman" w:cs="Times New Roman"/>
          <w:bCs/>
        </w:rPr>
        <w:t xml:space="preserve"> and replaces it with a </w:t>
      </w:r>
      <w:r w:rsidR="001C5F6D">
        <w:rPr>
          <w:rFonts w:ascii="Times New Roman" w:hAnsi="Times New Roman" w:cs="Times New Roman"/>
          <w:bCs/>
        </w:rPr>
        <w:t xml:space="preserve">new </w:t>
      </w:r>
      <w:r>
        <w:rPr>
          <w:rFonts w:ascii="Times New Roman" w:hAnsi="Times New Roman" w:cs="Times New Roman"/>
          <w:bCs/>
        </w:rPr>
        <w:t xml:space="preserve">definition that </w:t>
      </w:r>
      <w:r w:rsidR="00C040B7">
        <w:rPr>
          <w:rFonts w:ascii="Times New Roman" w:hAnsi="Times New Roman" w:cs="Times New Roman"/>
          <w:bCs/>
        </w:rPr>
        <w:t>covers</w:t>
      </w:r>
      <w:r w:rsidR="005338BF">
        <w:rPr>
          <w:rFonts w:ascii="Times New Roman" w:hAnsi="Times New Roman" w:cs="Times New Roman"/>
          <w:bCs/>
        </w:rPr>
        <w:t xml:space="preserve"> an event declared by the ACMA under </w:t>
      </w:r>
      <w:r>
        <w:rPr>
          <w:rFonts w:ascii="Times New Roman" w:hAnsi="Times New Roman" w:cs="Times New Roman"/>
          <w:bCs/>
        </w:rPr>
        <w:t xml:space="preserve">subsection 54A(2) of the </w:t>
      </w:r>
      <w:r w:rsidR="00FD1019">
        <w:rPr>
          <w:rFonts w:ascii="Times New Roman" w:hAnsi="Times New Roman" w:cs="Times New Roman"/>
          <w:bCs/>
        </w:rPr>
        <w:t>General Equipment Rules</w:t>
      </w:r>
      <w:r w:rsidR="004D79C0">
        <w:rPr>
          <w:rFonts w:ascii="Times New Roman" w:hAnsi="Times New Roman" w:cs="Times New Roman"/>
          <w:bCs/>
        </w:rPr>
        <w:t>.</w:t>
      </w:r>
      <w:r>
        <w:rPr>
          <w:rFonts w:ascii="Times New Roman" w:hAnsi="Times New Roman" w:cs="Times New Roman"/>
          <w:bCs/>
        </w:rPr>
        <w:t xml:space="preserve"> </w:t>
      </w:r>
      <w:r w:rsidR="004D79C0">
        <w:rPr>
          <w:rFonts w:ascii="Times New Roman" w:hAnsi="Times New Roman" w:cs="Times New Roman"/>
          <w:bCs/>
        </w:rPr>
        <w:t>Subsection 54A(2)</w:t>
      </w:r>
      <w:r w:rsidR="00BB03B3">
        <w:rPr>
          <w:rFonts w:ascii="Times New Roman" w:hAnsi="Times New Roman" w:cs="Times New Roman"/>
          <w:bCs/>
        </w:rPr>
        <w:t xml:space="preserve"> of the General Equipment Rules</w:t>
      </w:r>
      <w:r>
        <w:rPr>
          <w:rFonts w:ascii="Times New Roman" w:hAnsi="Times New Roman" w:cs="Times New Roman"/>
          <w:bCs/>
        </w:rPr>
        <w:t xml:space="preserve"> provides that the ACMA may make a notifiable instrument that declares a specified event to be a significant event and specifies the period and location of the significant event. </w:t>
      </w:r>
      <w:r w:rsidR="008572A0">
        <w:rPr>
          <w:rFonts w:ascii="Times New Roman" w:hAnsi="Times New Roman" w:cs="Times New Roman"/>
          <w:bCs/>
        </w:rPr>
        <w:t>The General Equipment Rules</w:t>
      </w:r>
      <w:r w:rsidR="00146700">
        <w:rPr>
          <w:rFonts w:ascii="Times New Roman" w:hAnsi="Times New Roman" w:cs="Times New Roman"/>
          <w:bCs/>
        </w:rPr>
        <w:t xml:space="preserve"> also provide that the ACMA </w:t>
      </w:r>
      <w:r w:rsidR="00AD4154">
        <w:rPr>
          <w:rFonts w:ascii="Times New Roman" w:hAnsi="Times New Roman" w:cs="Times New Roman"/>
          <w:bCs/>
        </w:rPr>
        <w:t>must</w:t>
      </w:r>
      <w:r w:rsidR="00146700">
        <w:rPr>
          <w:rFonts w:ascii="Times New Roman" w:hAnsi="Times New Roman" w:cs="Times New Roman"/>
          <w:bCs/>
        </w:rPr>
        <w:t xml:space="preserve"> publish </w:t>
      </w:r>
      <w:r w:rsidR="00AD4154">
        <w:rPr>
          <w:rFonts w:ascii="Times New Roman" w:hAnsi="Times New Roman" w:cs="Times New Roman"/>
          <w:bCs/>
        </w:rPr>
        <w:t xml:space="preserve">on </w:t>
      </w:r>
      <w:r w:rsidR="00012DBD">
        <w:rPr>
          <w:rFonts w:ascii="Times New Roman" w:hAnsi="Times New Roman" w:cs="Times New Roman"/>
          <w:bCs/>
        </w:rPr>
        <w:t>the ACMA</w:t>
      </w:r>
      <w:r w:rsidR="00AD4154">
        <w:rPr>
          <w:rFonts w:ascii="Times New Roman" w:hAnsi="Times New Roman" w:cs="Times New Roman"/>
          <w:bCs/>
        </w:rPr>
        <w:t xml:space="preserve"> website certain </w:t>
      </w:r>
      <w:r w:rsidR="00146700" w:rsidRPr="009867F1">
        <w:rPr>
          <w:rFonts w:ascii="Times New Roman" w:hAnsi="Times New Roman" w:cs="Times New Roman"/>
        </w:rPr>
        <w:t xml:space="preserve">details of </w:t>
      </w:r>
      <w:r w:rsidR="0062471D">
        <w:rPr>
          <w:rFonts w:ascii="Times New Roman" w:hAnsi="Times New Roman" w:cs="Times New Roman"/>
        </w:rPr>
        <w:t>a</w:t>
      </w:r>
      <w:r w:rsidR="00146700" w:rsidRPr="009867F1">
        <w:rPr>
          <w:rFonts w:ascii="Times New Roman" w:hAnsi="Times New Roman" w:cs="Times New Roman"/>
        </w:rPr>
        <w:t xml:space="preserve"> significant event </w:t>
      </w:r>
      <w:r w:rsidR="0062471D">
        <w:rPr>
          <w:rFonts w:ascii="Times New Roman" w:hAnsi="Times New Roman" w:cs="Times New Roman"/>
        </w:rPr>
        <w:t>that has been declared</w:t>
      </w:r>
      <w:r w:rsidR="00146700">
        <w:rPr>
          <w:rFonts w:ascii="Times New Roman" w:hAnsi="Times New Roman" w:cs="Times New Roman"/>
        </w:rPr>
        <w:t>.</w:t>
      </w:r>
    </w:p>
    <w:p w14:paraId="3611700F" w14:textId="2654696B" w:rsidR="00195B64" w:rsidRPr="004C58B9" w:rsidRDefault="00610C79" w:rsidP="00EF51A6">
      <w:pPr>
        <w:spacing w:before="280"/>
      </w:pPr>
      <w:r>
        <w:rPr>
          <w:rFonts w:ascii="Times New Roman" w:hAnsi="Times New Roman" w:cs="Times New Roman"/>
          <w:bCs/>
        </w:rPr>
        <w:t>The new definition</w:t>
      </w:r>
      <w:r w:rsidR="004C1A40">
        <w:rPr>
          <w:rFonts w:ascii="Times New Roman" w:hAnsi="Times New Roman" w:cs="Times New Roman"/>
          <w:bCs/>
        </w:rPr>
        <w:t xml:space="preserve"> of ‘significant event’</w:t>
      </w:r>
      <w:r>
        <w:rPr>
          <w:rFonts w:ascii="Times New Roman" w:hAnsi="Times New Roman" w:cs="Times New Roman"/>
          <w:bCs/>
        </w:rPr>
        <w:t xml:space="preserve"> also covers</w:t>
      </w:r>
      <w:r w:rsidR="00767783">
        <w:rPr>
          <w:rFonts w:ascii="Times New Roman" w:hAnsi="Times New Roman" w:cs="Times New Roman"/>
          <w:bCs/>
        </w:rPr>
        <w:t xml:space="preserve"> an event</w:t>
      </w:r>
      <w:r>
        <w:rPr>
          <w:rFonts w:ascii="Times New Roman" w:hAnsi="Times New Roman" w:cs="Times New Roman"/>
          <w:bCs/>
        </w:rPr>
        <w:t xml:space="preserve"> </w:t>
      </w:r>
      <w:r w:rsidR="00AC063A">
        <w:rPr>
          <w:rFonts w:ascii="Times New Roman" w:hAnsi="Times New Roman" w:cs="Times New Roman"/>
          <w:bCs/>
        </w:rPr>
        <w:t>i</w:t>
      </w:r>
      <w:r w:rsidR="002A209E">
        <w:rPr>
          <w:rFonts w:ascii="Times New Roman" w:hAnsi="Times New Roman" w:cs="Times New Roman"/>
          <w:bCs/>
        </w:rPr>
        <w:t xml:space="preserve">f </w:t>
      </w:r>
      <w:r w:rsidR="00176A0F">
        <w:rPr>
          <w:rFonts w:ascii="Times New Roman" w:hAnsi="Times New Roman" w:cs="Times New Roman"/>
          <w:bCs/>
        </w:rPr>
        <w:t xml:space="preserve">that </w:t>
      </w:r>
      <w:r w:rsidR="002A209E">
        <w:rPr>
          <w:rFonts w:ascii="Times New Roman" w:hAnsi="Times New Roman" w:cs="Times New Roman"/>
          <w:bCs/>
        </w:rPr>
        <w:t xml:space="preserve">event was a significant event (within the meaning of the </w:t>
      </w:r>
      <w:r w:rsidR="0024708F">
        <w:rPr>
          <w:rFonts w:ascii="Times New Roman" w:hAnsi="Times New Roman" w:cs="Times New Roman"/>
          <w:bCs/>
        </w:rPr>
        <w:t>Declaration</w:t>
      </w:r>
      <w:r w:rsidR="002A209E">
        <w:rPr>
          <w:rFonts w:ascii="Times New Roman" w:hAnsi="Times New Roman" w:cs="Times New Roman"/>
          <w:bCs/>
        </w:rPr>
        <w:t xml:space="preserve"> as in force </w:t>
      </w:r>
      <w:r w:rsidR="002A209E" w:rsidRPr="00356620">
        <w:rPr>
          <w:rFonts w:ascii="Times New Roman" w:hAnsi="Times New Roman" w:cs="Times New Roman"/>
          <w:bCs/>
        </w:rPr>
        <w:t xml:space="preserve">immediately before the commencement of the </w:t>
      </w:r>
      <w:r w:rsidR="00D6312C">
        <w:rPr>
          <w:rFonts w:ascii="Times New Roman" w:hAnsi="Times New Roman" w:cs="Times New Roman"/>
          <w:bCs/>
        </w:rPr>
        <w:t>instrument</w:t>
      </w:r>
      <w:r w:rsidR="006B6693">
        <w:rPr>
          <w:rFonts w:ascii="Times New Roman" w:hAnsi="Times New Roman" w:cs="Times New Roman"/>
          <w:bCs/>
        </w:rPr>
        <w:t>)</w:t>
      </w:r>
      <w:r w:rsidR="00D6312C">
        <w:rPr>
          <w:rFonts w:ascii="Times New Roman" w:hAnsi="Times New Roman" w:cs="Times New Roman"/>
          <w:bCs/>
        </w:rPr>
        <w:t xml:space="preserve"> </w:t>
      </w:r>
      <w:r w:rsidR="002A209E" w:rsidRPr="00356620">
        <w:rPr>
          <w:rFonts w:ascii="Times New Roman" w:hAnsi="Times New Roman" w:cs="Times New Roman"/>
          <w:bCs/>
        </w:rPr>
        <w:t>and the whole or a part of the event occurs after that commencement</w:t>
      </w:r>
      <w:r w:rsidR="0070035C">
        <w:rPr>
          <w:rFonts w:ascii="Times New Roman" w:hAnsi="Times New Roman" w:cs="Times New Roman"/>
          <w:bCs/>
        </w:rPr>
        <w:t>.</w:t>
      </w:r>
      <w:r w:rsidR="002A209E">
        <w:rPr>
          <w:rFonts w:ascii="Times New Roman" w:hAnsi="Times New Roman" w:cs="Times New Roman"/>
          <w:bCs/>
        </w:rPr>
        <w:t xml:space="preserve"> </w:t>
      </w:r>
      <w:r w:rsidR="00E61E57">
        <w:rPr>
          <w:rFonts w:ascii="Times New Roman" w:hAnsi="Times New Roman" w:cs="Times New Roman"/>
          <w:bCs/>
        </w:rPr>
        <w:t>Such an</w:t>
      </w:r>
      <w:r w:rsidR="002A209E">
        <w:rPr>
          <w:rFonts w:ascii="Times New Roman" w:hAnsi="Times New Roman" w:cs="Times New Roman"/>
          <w:bCs/>
        </w:rPr>
        <w:t xml:space="preserve"> event continues to be a significant event</w:t>
      </w:r>
      <w:r w:rsidR="00950B4C">
        <w:rPr>
          <w:rFonts w:ascii="Times New Roman" w:hAnsi="Times New Roman" w:cs="Times New Roman"/>
          <w:bCs/>
        </w:rPr>
        <w:t xml:space="preserve"> </w:t>
      </w:r>
      <w:r w:rsidR="007D2FFD">
        <w:rPr>
          <w:rFonts w:ascii="Times New Roman" w:hAnsi="Times New Roman" w:cs="Times New Roman"/>
          <w:bCs/>
        </w:rPr>
        <w:t>within the meaning of</w:t>
      </w:r>
      <w:r w:rsidR="00950B4C">
        <w:rPr>
          <w:rFonts w:ascii="Times New Roman" w:hAnsi="Times New Roman" w:cs="Times New Roman"/>
          <w:bCs/>
        </w:rPr>
        <w:t xml:space="preserve"> the Declaration</w:t>
      </w:r>
      <w:r w:rsidR="002A209E">
        <w:rPr>
          <w:rFonts w:ascii="Times New Roman" w:hAnsi="Times New Roman" w:cs="Times New Roman"/>
          <w:bCs/>
        </w:rPr>
        <w:t>.</w:t>
      </w:r>
    </w:p>
    <w:sectPr w:rsidR="00195B64" w:rsidRPr="004C58B9" w:rsidSect="00082354">
      <w:headerReference w:type="default" r:id="rId15"/>
      <w:footerReference w:type="defaul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90990" w14:textId="77777777" w:rsidR="002B51BF" w:rsidRDefault="002B51BF" w:rsidP="00025ACE">
      <w:pPr>
        <w:spacing w:after="0" w:line="240" w:lineRule="auto"/>
      </w:pPr>
      <w:r>
        <w:separator/>
      </w:r>
    </w:p>
  </w:endnote>
  <w:endnote w:type="continuationSeparator" w:id="0">
    <w:p w14:paraId="5AA1DE5C" w14:textId="77777777" w:rsidR="002B51BF" w:rsidRDefault="002B51BF" w:rsidP="00025ACE">
      <w:pPr>
        <w:spacing w:after="0" w:line="240" w:lineRule="auto"/>
      </w:pPr>
      <w:r>
        <w:continuationSeparator/>
      </w:r>
    </w:p>
  </w:endnote>
  <w:endnote w:type="continuationNotice" w:id="1">
    <w:p w14:paraId="388DEBFD" w14:textId="77777777" w:rsidR="002B51BF" w:rsidRDefault="002B51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710804"/>
      <w:docPartObj>
        <w:docPartGallery w:val="Page Numbers (Bottom of Page)"/>
        <w:docPartUnique/>
      </w:docPartObj>
    </w:sdtPr>
    <w:sdtEndPr>
      <w:rPr>
        <w:i/>
        <w:noProof/>
      </w:rPr>
    </w:sdtEndPr>
    <w:sdtContent>
      <w:p w14:paraId="1E27C0A2" w14:textId="77777777" w:rsidR="00AD3414" w:rsidRDefault="00AD3414" w:rsidP="00272FF3">
        <w:pPr>
          <w:pStyle w:val="Footer"/>
          <w:pBdr>
            <w:top w:val="single" w:sz="4" w:space="0" w:color="auto"/>
          </w:pBdr>
          <w:jc w:val="center"/>
        </w:pPr>
      </w:p>
      <w:p w14:paraId="556B0C98" w14:textId="7E163460" w:rsidR="00AD3414" w:rsidRPr="00272FF3" w:rsidRDefault="00AD3414" w:rsidP="00272FF3">
        <w:pPr>
          <w:jc w:val="center"/>
          <w:rPr>
            <w:rFonts w:ascii="Times New Roman" w:hAnsi="Times New Roman" w:cs="Times New Roman"/>
            <w:b/>
            <w:i/>
          </w:rPr>
        </w:pPr>
        <w:r w:rsidRPr="00AD3414">
          <w:rPr>
            <w:rFonts w:ascii="Times New Roman" w:hAnsi="Times New Roman" w:cs="Times New Roman"/>
            <w:i/>
          </w:rPr>
          <w:t>Explanatory Statement to the</w:t>
        </w:r>
        <w:r w:rsidRPr="00AD3414">
          <w:rPr>
            <w:rFonts w:ascii="Times New Roman" w:hAnsi="Times New Roman" w:cs="Times New Roman"/>
          </w:rPr>
          <w:t xml:space="preserve"> </w:t>
        </w:r>
        <w:r w:rsidR="00272FF3" w:rsidRPr="00272FF3">
          <w:rPr>
            <w:rFonts w:ascii="Times New Roman" w:hAnsi="Times New Roman" w:cs="Times New Roman"/>
            <w:bCs/>
            <w:i/>
          </w:rPr>
          <w:t>Telecommunications Legislation Amendment (Significant</w:t>
        </w:r>
        <w:r w:rsidR="00B23C68">
          <w:rPr>
            <w:rFonts w:ascii="Times New Roman" w:hAnsi="Times New Roman" w:cs="Times New Roman"/>
            <w:bCs/>
            <w:i/>
          </w:rPr>
          <w:t> </w:t>
        </w:r>
        <w:r w:rsidR="00272FF3" w:rsidRPr="00272FF3">
          <w:rPr>
            <w:rFonts w:ascii="Times New Roman" w:hAnsi="Times New Roman" w:cs="Times New Roman"/>
            <w:bCs/>
            <w:i/>
          </w:rPr>
          <w:t>Event)</w:t>
        </w:r>
        <w:r w:rsidR="00B23C68">
          <w:rPr>
            <w:rFonts w:ascii="Times New Roman" w:hAnsi="Times New Roman" w:cs="Times New Roman"/>
            <w:bCs/>
            <w:i/>
          </w:rPr>
          <w:t> </w:t>
        </w:r>
        <w:r w:rsidR="00272FF3" w:rsidRPr="00272FF3">
          <w:rPr>
            <w:rFonts w:ascii="Times New Roman" w:hAnsi="Times New Roman" w:cs="Times New Roman"/>
            <w:bCs/>
            <w:i/>
          </w:rPr>
          <w:t>Instrument (No. 1) 2023</w:t>
        </w:r>
      </w:p>
      <w:p w14:paraId="57494E91" w14:textId="77777777" w:rsidR="00E25AEC" w:rsidRPr="00272FF3" w:rsidRDefault="00025ACE" w:rsidP="00272FF3">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sidR="00D23BD5">
          <w:rPr>
            <w:rFonts w:ascii="Times New Roman" w:hAnsi="Times New Roman" w:cs="Times New Roman"/>
            <w:i/>
            <w:noProof/>
          </w:rPr>
          <w:t>6</w:t>
        </w:r>
        <w:r w:rsidRPr="00A07A2F">
          <w:rPr>
            <w:rFonts w:ascii="Times New Roman" w:hAnsi="Times New Roman" w:cs="Times New Roman"/>
            <w: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3C6E6" w14:textId="77777777" w:rsidR="002B51BF" w:rsidRDefault="002B51BF" w:rsidP="00025ACE">
      <w:pPr>
        <w:spacing w:after="0" w:line="240" w:lineRule="auto"/>
      </w:pPr>
      <w:r>
        <w:separator/>
      </w:r>
    </w:p>
    <w:p w14:paraId="5FB243F6" w14:textId="77777777" w:rsidR="002B51BF" w:rsidRDefault="002B51BF"/>
    <w:p w14:paraId="54E62F79" w14:textId="77777777" w:rsidR="002B51BF" w:rsidRDefault="002B51BF" w:rsidP="00025ACE">
      <w:pPr>
        <w:spacing w:after="0" w:line="240" w:lineRule="auto"/>
      </w:pPr>
      <w:r>
        <w:continuationSeparator/>
      </w:r>
    </w:p>
    <w:p w14:paraId="1DB81F82" w14:textId="77777777" w:rsidR="002B51BF" w:rsidRDefault="002B51BF"/>
    <w:p w14:paraId="3B9D7CF1" w14:textId="77777777" w:rsidR="002B51BF" w:rsidRDefault="002B51BF" w:rsidP="00025ACE">
      <w:pPr>
        <w:spacing w:after="0" w:line="240" w:lineRule="auto"/>
      </w:pPr>
      <w:r>
        <w:separator/>
      </w:r>
    </w:p>
    <w:p w14:paraId="23CF04AA" w14:textId="77777777" w:rsidR="002B51BF" w:rsidRDefault="002B51BF"/>
    <w:p w14:paraId="57F2C2CD" w14:textId="77777777" w:rsidR="002B51BF" w:rsidRDefault="002B51BF" w:rsidP="00025ACE">
      <w:pPr>
        <w:spacing w:after="0" w:line="240" w:lineRule="auto"/>
      </w:pPr>
      <w:r>
        <w:continuationSeparator/>
      </w:r>
    </w:p>
    <w:p w14:paraId="17281289" w14:textId="77777777" w:rsidR="002B51BF" w:rsidRDefault="002B51BF"/>
    <w:p w14:paraId="775BBFFF" w14:textId="77777777" w:rsidR="002B51BF" w:rsidRDefault="002B51BF">
      <w:pPr>
        <w:pStyle w:val="Header"/>
      </w:pPr>
    </w:p>
    <w:p w14:paraId="15E19C9D" w14:textId="77777777" w:rsidR="002B51BF" w:rsidRDefault="002B51BF"/>
    <w:p w14:paraId="0B41F9FF" w14:textId="77777777" w:rsidR="002B51BF" w:rsidRDefault="002B51BF">
      <w:pPr>
        <w:pStyle w:val="Header"/>
      </w:pPr>
    </w:p>
    <w:p w14:paraId="7D205FA2" w14:textId="77777777" w:rsidR="002B51BF" w:rsidRPr="00AD3414" w:rsidRDefault="002B51BF">
      <w:pPr>
        <w:pStyle w:val="Header"/>
        <w:rPr>
          <w:rFonts w:ascii="Times New Roman" w:hAnsi="Times New Roman" w:cs="Times New Roman"/>
        </w:rPr>
      </w:pPr>
    </w:p>
    <w:p w14:paraId="5E01CC4D" w14:textId="77777777" w:rsidR="002B51BF" w:rsidRDefault="002B51BF"/>
    <w:p w14:paraId="060788F5" w14:textId="77777777" w:rsidR="002B51BF" w:rsidRDefault="002B51BF">
      <w:pPr>
        <w:pStyle w:val="Footer"/>
      </w:pPr>
    </w:p>
    <w:p w14:paraId="6A1DD074" w14:textId="77777777" w:rsidR="002B51BF" w:rsidRDefault="002B51BF"/>
    <w:sdt>
      <w:sdtPr>
        <w:id w:val="-527111347"/>
        <w:docPartObj>
          <w:docPartGallery w:val="Page Numbers (Bottom of Page)"/>
          <w:docPartUnique/>
        </w:docPartObj>
      </w:sdtPr>
      <w:sdtEndPr>
        <w:rPr>
          <w:i/>
          <w:noProof/>
        </w:rPr>
      </w:sdtEndPr>
      <w:sdtContent>
        <w:p w14:paraId="14D2EDDA" w14:textId="77777777" w:rsidR="002B51BF" w:rsidRDefault="002B51BF" w:rsidP="00AD3414">
          <w:pPr>
            <w:pStyle w:val="Footer"/>
            <w:pBdr>
              <w:top w:val="single" w:sz="4" w:space="1" w:color="auto"/>
            </w:pBdr>
            <w:jc w:val="center"/>
          </w:pPr>
        </w:p>
        <w:p w14:paraId="7AFB7366" w14:textId="77777777" w:rsidR="002B51BF" w:rsidRPr="00AD3414" w:rsidRDefault="002B51BF" w:rsidP="00AD3414">
          <w:pPr>
            <w:pStyle w:val="Footer"/>
            <w:jc w:val="center"/>
            <w:rPr>
              <w:rFonts w:ascii="Times New Roman" w:hAnsi="Times New Roman" w:cs="Times New Roman"/>
            </w:rPr>
          </w:pPr>
          <w:r w:rsidRPr="00AD3414">
            <w:rPr>
              <w:rFonts w:ascii="Times New Roman" w:hAnsi="Times New Roman" w:cs="Times New Roman"/>
              <w:i/>
            </w:rPr>
            <w:t>Explanatory Statement to the</w:t>
          </w:r>
          <w:r w:rsidRPr="00AD3414">
            <w:rPr>
              <w:rFonts w:ascii="Times New Roman" w:hAnsi="Times New Roman" w:cs="Times New Roman"/>
            </w:rPr>
            <w:t xml:space="preserve"> </w:t>
          </w:r>
          <w:r w:rsidRPr="00AD3414">
            <w:rPr>
              <w:rFonts w:ascii="Times New Roman" w:hAnsi="Times New Roman" w:cs="Times New Roman"/>
              <w:i/>
            </w:rPr>
            <w:t>[Title of instrument, including year of making]</w:t>
          </w:r>
        </w:p>
        <w:p w14:paraId="1B86FA88" w14:textId="77777777" w:rsidR="002B51BF" w:rsidRDefault="002B51BF">
          <w:pPr>
            <w:pStyle w:val="Footer"/>
            <w:jc w:val="right"/>
          </w:pPr>
        </w:p>
        <w:p w14:paraId="2445EB3B" w14:textId="77777777" w:rsidR="002B51BF" w:rsidRPr="00AD3414" w:rsidRDefault="002B51BF">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Pr>
              <w:rFonts w:ascii="Times New Roman" w:hAnsi="Times New Roman" w:cs="Times New Roman"/>
              <w:i/>
              <w:noProof/>
            </w:rPr>
            <w:t>6</w:t>
          </w:r>
          <w:r w:rsidRPr="00A07A2F">
            <w:rPr>
              <w:rFonts w:ascii="Times New Roman" w:hAnsi="Times New Roman" w:cs="Times New Roman"/>
              <w:i/>
              <w:noProof/>
            </w:rPr>
            <w:fldChar w:fldCharType="end"/>
          </w:r>
        </w:p>
      </w:sdtContent>
    </w:sdt>
    <w:p w14:paraId="295DF646" w14:textId="77777777" w:rsidR="002B51BF" w:rsidRPr="00AD3414" w:rsidRDefault="002B51BF" w:rsidP="00AD3414">
      <w:pPr>
        <w:pStyle w:val="Footer"/>
        <w:jc w:val="center"/>
        <w:rPr>
          <w:rFonts w:ascii="Times New Roman" w:hAnsi="Times New Roman" w:cs="Times New Roman"/>
        </w:rPr>
      </w:pPr>
    </w:p>
  </w:footnote>
  <w:footnote w:type="continuationSeparator" w:id="0">
    <w:p w14:paraId="4B7B79C6" w14:textId="77777777" w:rsidR="002B51BF" w:rsidRDefault="002B51BF" w:rsidP="00025ACE">
      <w:pPr>
        <w:spacing w:after="0" w:line="240" w:lineRule="auto"/>
      </w:pPr>
      <w:r>
        <w:continuationSeparator/>
      </w:r>
    </w:p>
  </w:footnote>
  <w:footnote w:type="continuationNotice" w:id="1">
    <w:p w14:paraId="7E67D4CD" w14:textId="77777777" w:rsidR="002B51BF" w:rsidRDefault="002B51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34CED" w14:textId="77777777" w:rsidR="00025ACE" w:rsidRDefault="00025ACE">
    <w:pPr>
      <w:pStyle w:val="Header"/>
    </w:pPr>
  </w:p>
  <w:p w14:paraId="1FE48E17" w14:textId="77777777" w:rsidR="00025ACE" w:rsidRPr="00AD3414" w:rsidRDefault="00025ACE">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0B215E"/>
    <w:multiLevelType w:val="hybridMultilevel"/>
    <w:tmpl w:val="79E23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FF72FEB"/>
    <w:multiLevelType w:val="hybridMultilevel"/>
    <w:tmpl w:val="02BC42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07B621B"/>
    <w:multiLevelType w:val="hybridMultilevel"/>
    <w:tmpl w:val="EBD84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905D31"/>
    <w:multiLevelType w:val="hybridMultilevel"/>
    <w:tmpl w:val="3D7E7862"/>
    <w:lvl w:ilvl="0" w:tplc="ECCC07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0E10A59"/>
    <w:multiLevelType w:val="hybridMultilevel"/>
    <w:tmpl w:val="52F4D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F5F2924"/>
    <w:multiLevelType w:val="hybridMultilevel"/>
    <w:tmpl w:val="2BF81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58772188">
    <w:abstractNumId w:val="11"/>
  </w:num>
  <w:num w:numId="2" w16cid:durableId="1437600123">
    <w:abstractNumId w:val="6"/>
  </w:num>
  <w:num w:numId="3" w16cid:durableId="318577645">
    <w:abstractNumId w:val="1"/>
  </w:num>
  <w:num w:numId="4" w16cid:durableId="1480000193">
    <w:abstractNumId w:val="5"/>
  </w:num>
  <w:num w:numId="5" w16cid:durableId="19207625">
    <w:abstractNumId w:val="4"/>
  </w:num>
  <w:num w:numId="6" w16cid:durableId="732696316">
    <w:abstractNumId w:val="0"/>
  </w:num>
  <w:num w:numId="7" w16cid:durableId="955059903">
    <w:abstractNumId w:val="3"/>
  </w:num>
  <w:num w:numId="8" w16cid:durableId="432170288">
    <w:abstractNumId w:val="11"/>
  </w:num>
  <w:num w:numId="9" w16cid:durableId="1851869545">
    <w:abstractNumId w:val="1"/>
  </w:num>
  <w:num w:numId="10" w16cid:durableId="897135216">
    <w:abstractNumId w:val="3"/>
  </w:num>
  <w:num w:numId="11" w16cid:durableId="1796489077">
    <w:abstractNumId w:val="5"/>
  </w:num>
  <w:num w:numId="12" w16cid:durableId="1948538380">
    <w:abstractNumId w:val="4"/>
  </w:num>
  <w:num w:numId="13" w16cid:durableId="971397695">
    <w:abstractNumId w:val="11"/>
  </w:num>
  <w:num w:numId="14" w16cid:durableId="107893170">
    <w:abstractNumId w:val="1"/>
  </w:num>
  <w:num w:numId="15" w16cid:durableId="552816954">
    <w:abstractNumId w:val="3"/>
  </w:num>
  <w:num w:numId="16" w16cid:durableId="590626705">
    <w:abstractNumId w:val="5"/>
  </w:num>
  <w:num w:numId="17" w16cid:durableId="2145460783">
    <w:abstractNumId w:val="4"/>
  </w:num>
  <w:num w:numId="18" w16cid:durableId="702677300">
    <w:abstractNumId w:val="8"/>
  </w:num>
  <w:num w:numId="19" w16cid:durableId="1068575736">
    <w:abstractNumId w:val="10"/>
  </w:num>
  <w:num w:numId="20" w16cid:durableId="2060471341">
    <w:abstractNumId w:val="9"/>
  </w:num>
  <w:num w:numId="21" w16cid:durableId="1635672287">
    <w:abstractNumId w:val="12"/>
  </w:num>
  <w:num w:numId="22" w16cid:durableId="1177579308">
    <w:abstractNumId w:val="7"/>
  </w:num>
  <w:num w:numId="23" w16cid:durableId="2615723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139D"/>
    <w:rsid w:val="00002247"/>
    <w:rsid w:val="00002640"/>
    <w:rsid w:val="00002725"/>
    <w:rsid w:val="00003720"/>
    <w:rsid w:val="00003B43"/>
    <w:rsid w:val="0000490F"/>
    <w:rsid w:val="000122B6"/>
    <w:rsid w:val="000124F9"/>
    <w:rsid w:val="00012DBD"/>
    <w:rsid w:val="00013079"/>
    <w:rsid w:val="000146A5"/>
    <w:rsid w:val="00016DCD"/>
    <w:rsid w:val="000201E7"/>
    <w:rsid w:val="00024F64"/>
    <w:rsid w:val="00025ACE"/>
    <w:rsid w:val="00030FE5"/>
    <w:rsid w:val="0003304D"/>
    <w:rsid w:val="0003570C"/>
    <w:rsid w:val="00037F0E"/>
    <w:rsid w:val="00042182"/>
    <w:rsid w:val="00046D35"/>
    <w:rsid w:val="00055D5B"/>
    <w:rsid w:val="00060F15"/>
    <w:rsid w:val="00062BEE"/>
    <w:rsid w:val="00062F01"/>
    <w:rsid w:val="00063511"/>
    <w:rsid w:val="00064838"/>
    <w:rsid w:val="00070D91"/>
    <w:rsid w:val="000726C7"/>
    <w:rsid w:val="000742EC"/>
    <w:rsid w:val="00074A8D"/>
    <w:rsid w:val="00074DF2"/>
    <w:rsid w:val="00077486"/>
    <w:rsid w:val="00077ECC"/>
    <w:rsid w:val="000821E7"/>
    <w:rsid w:val="00082354"/>
    <w:rsid w:val="000824C0"/>
    <w:rsid w:val="000839C1"/>
    <w:rsid w:val="000846EB"/>
    <w:rsid w:val="00084C38"/>
    <w:rsid w:val="00086182"/>
    <w:rsid w:val="0009039E"/>
    <w:rsid w:val="00091530"/>
    <w:rsid w:val="00091BC9"/>
    <w:rsid w:val="00093D58"/>
    <w:rsid w:val="000944BD"/>
    <w:rsid w:val="00095AB3"/>
    <w:rsid w:val="00096FCA"/>
    <w:rsid w:val="000A1A5A"/>
    <w:rsid w:val="000A3A94"/>
    <w:rsid w:val="000B0BA7"/>
    <w:rsid w:val="000B2AC3"/>
    <w:rsid w:val="000B2F0D"/>
    <w:rsid w:val="000B33B6"/>
    <w:rsid w:val="000B4B6C"/>
    <w:rsid w:val="000B5E7F"/>
    <w:rsid w:val="000C15E7"/>
    <w:rsid w:val="000C42F6"/>
    <w:rsid w:val="000C580E"/>
    <w:rsid w:val="000C6436"/>
    <w:rsid w:val="000D2074"/>
    <w:rsid w:val="000D4ECE"/>
    <w:rsid w:val="000E296F"/>
    <w:rsid w:val="000E38C9"/>
    <w:rsid w:val="000E5ECB"/>
    <w:rsid w:val="000E5F77"/>
    <w:rsid w:val="000E62AF"/>
    <w:rsid w:val="000E6F10"/>
    <w:rsid w:val="000E6F58"/>
    <w:rsid w:val="000F1F00"/>
    <w:rsid w:val="000F2079"/>
    <w:rsid w:val="000F6255"/>
    <w:rsid w:val="00104130"/>
    <w:rsid w:val="00107BC0"/>
    <w:rsid w:val="00110546"/>
    <w:rsid w:val="00112987"/>
    <w:rsid w:val="00117351"/>
    <w:rsid w:val="00121B9E"/>
    <w:rsid w:val="00122072"/>
    <w:rsid w:val="0013325D"/>
    <w:rsid w:val="0013409C"/>
    <w:rsid w:val="00134705"/>
    <w:rsid w:val="00140454"/>
    <w:rsid w:val="00145A30"/>
    <w:rsid w:val="00146700"/>
    <w:rsid w:val="00146A0C"/>
    <w:rsid w:val="00151C77"/>
    <w:rsid w:val="0015323B"/>
    <w:rsid w:val="00161C73"/>
    <w:rsid w:val="00162620"/>
    <w:rsid w:val="001630EA"/>
    <w:rsid w:val="001656E3"/>
    <w:rsid w:val="00176A0F"/>
    <w:rsid w:val="0017718E"/>
    <w:rsid w:val="001850D4"/>
    <w:rsid w:val="00185BDC"/>
    <w:rsid w:val="00191DC8"/>
    <w:rsid w:val="0019291B"/>
    <w:rsid w:val="00195B64"/>
    <w:rsid w:val="001A38BD"/>
    <w:rsid w:val="001C31F3"/>
    <w:rsid w:val="001C4BF8"/>
    <w:rsid w:val="001C5421"/>
    <w:rsid w:val="001C5F6D"/>
    <w:rsid w:val="001C73B9"/>
    <w:rsid w:val="001D13F9"/>
    <w:rsid w:val="001D4FCC"/>
    <w:rsid w:val="001D5C25"/>
    <w:rsid w:val="001D66A4"/>
    <w:rsid w:val="001E258A"/>
    <w:rsid w:val="001E343E"/>
    <w:rsid w:val="001E4DBB"/>
    <w:rsid w:val="001E5FBA"/>
    <w:rsid w:val="001E6E9F"/>
    <w:rsid w:val="001F255C"/>
    <w:rsid w:val="001F4C80"/>
    <w:rsid w:val="002024B6"/>
    <w:rsid w:val="00212847"/>
    <w:rsid w:val="00213595"/>
    <w:rsid w:val="00222711"/>
    <w:rsid w:val="002272EB"/>
    <w:rsid w:val="00230C44"/>
    <w:rsid w:val="00230C7D"/>
    <w:rsid w:val="002312C5"/>
    <w:rsid w:val="00233AC5"/>
    <w:rsid w:val="002345B7"/>
    <w:rsid w:val="0024708F"/>
    <w:rsid w:val="002508F7"/>
    <w:rsid w:val="00256B84"/>
    <w:rsid w:val="002571A6"/>
    <w:rsid w:val="0026605A"/>
    <w:rsid w:val="002674E7"/>
    <w:rsid w:val="00272FF3"/>
    <w:rsid w:val="0028216F"/>
    <w:rsid w:val="0028502F"/>
    <w:rsid w:val="0028750A"/>
    <w:rsid w:val="00287799"/>
    <w:rsid w:val="00293027"/>
    <w:rsid w:val="002A0F06"/>
    <w:rsid w:val="002A209E"/>
    <w:rsid w:val="002B2107"/>
    <w:rsid w:val="002B3345"/>
    <w:rsid w:val="002B51BF"/>
    <w:rsid w:val="002B6699"/>
    <w:rsid w:val="002C2256"/>
    <w:rsid w:val="002C2AF1"/>
    <w:rsid w:val="002C7518"/>
    <w:rsid w:val="002D36FA"/>
    <w:rsid w:val="002D3E59"/>
    <w:rsid w:val="002E1EA0"/>
    <w:rsid w:val="002E2991"/>
    <w:rsid w:val="002E2D9D"/>
    <w:rsid w:val="002E3B2A"/>
    <w:rsid w:val="002F36E0"/>
    <w:rsid w:val="002F640E"/>
    <w:rsid w:val="00300287"/>
    <w:rsid w:val="00302E71"/>
    <w:rsid w:val="00303A84"/>
    <w:rsid w:val="003154CF"/>
    <w:rsid w:val="00322D33"/>
    <w:rsid w:val="0032577F"/>
    <w:rsid w:val="00326EE8"/>
    <w:rsid w:val="00327141"/>
    <w:rsid w:val="003274BC"/>
    <w:rsid w:val="00330312"/>
    <w:rsid w:val="00332179"/>
    <w:rsid w:val="00332470"/>
    <w:rsid w:val="003351B2"/>
    <w:rsid w:val="003434D4"/>
    <w:rsid w:val="00344B86"/>
    <w:rsid w:val="00346FD0"/>
    <w:rsid w:val="0035080A"/>
    <w:rsid w:val="00350D04"/>
    <w:rsid w:val="003544DA"/>
    <w:rsid w:val="0035614E"/>
    <w:rsid w:val="00356620"/>
    <w:rsid w:val="00360116"/>
    <w:rsid w:val="0036043C"/>
    <w:rsid w:val="00362D83"/>
    <w:rsid w:val="0036638B"/>
    <w:rsid w:val="0036752E"/>
    <w:rsid w:val="00370620"/>
    <w:rsid w:val="003718AC"/>
    <w:rsid w:val="003745FC"/>
    <w:rsid w:val="003754DC"/>
    <w:rsid w:val="00375FA7"/>
    <w:rsid w:val="0038150E"/>
    <w:rsid w:val="0038271F"/>
    <w:rsid w:val="00382FC4"/>
    <w:rsid w:val="00383811"/>
    <w:rsid w:val="00383BAD"/>
    <w:rsid w:val="00385EF1"/>
    <w:rsid w:val="00386626"/>
    <w:rsid w:val="0038771C"/>
    <w:rsid w:val="00390686"/>
    <w:rsid w:val="003950AD"/>
    <w:rsid w:val="00396D19"/>
    <w:rsid w:val="00397994"/>
    <w:rsid w:val="003A3635"/>
    <w:rsid w:val="003A61FB"/>
    <w:rsid w:val="003A6E66"/>
    <w:rsid w:val="003A7407"/>
    <w:rsid w:val="003B3D92"/>
    <w:rsid w:val="003B3F44"/>
    <w:rsid w:val="003B49D3"/>
    <w:rsid w:val="003C2F82"/>
    <w:rsid w:val="003C44B4"/>
    <w:rsid w:val="003C5978"/>
    <w:rsid w:val="003D11BB"/>
    <w:rsid w:val="003D3D13"/>
    <w:rsid w:val="003D4BBE"/>
    <w:rsid w:val="003D624B"/>
    <w:rsid w:val="003D74BE"/>
    <w:rsid w:val="003E11EE"/>
    <w:rsid w:val="003E2650"/>
    <w:rsid w:val="003E2699"/>
    <w:rsid w:val="003E44E2"/>
    <w:rsid w:val="003E7401"/>
    <w:rsid w:val="003F5BF7"/>
    <w:rsid w:val="00404DB9"/>
    <w:rsid w:val="00407011"/>
    <w:rsid w:val="0041003E"/>
    <w:rsid w:val="00411696"/>
    <w:rsid w:val="00411D0D"/>
    <w:rsid w:val="00411E8A"/>
    <w:rsid w:val="004124AF"/>
    <w:rsid w:val="00416B54"/>
    <w:rsid w:val="004240D6"/>
    <w:rsid w:val="004243C8"/>
    <w:rsid w:val="0043205C"/>
    <w:rsid w:val="00434BCB"/>
    <w:rsid w:val="00435F27"/>
    <w:rsid w:val="004362E3"/>
    <w:rsid w:val="00437BB5"/>
    <w:rsid w:val="00446CB7"/>
    <w:rsid w:val="00446F90"/>
    <w:rsid w:val="00450ED8"/>
    <w:rsid w:val="00450F48"/>
    <w:rsid w:val="00454217"/>
    <w:rsid w:val="0045489F"/>
    <w:rsid w:val="00457971"/>
    <w:rsid w:val="00461288"/>
    <w:rsid w:val="00462812"/>
    <w:rsid w:val="0046495E"/>
    <w:rsid w:val="00474889"/>
    <w:rsid w:val="00475276"/>
    <w:rsid w:val="0048106A"/>
    <w:rsid w:val="004826DD"/>
    <w:rsid w:val="00482FC6"/>
    <w:rsid w:val="0048460D"/>
    <w:rsid w:val="00487615"/>
    <w:rsid w:val="004971D6"/>
    <w:rsid w:val="004A1064"/>
    <w:rsid w:val="004A7F07"/>
    <w:rsid w:val="004B6092"/>
    <w:rsid w:val="004B6B42"/>
    <w:rsid w:val="004C1A40"/>
    <w:rsid w:val="004C58B9"/>
    <w:rsid w:val="004D2843"/>
    <w:rsid w:val="004D440A"/>
    <w:rsid w:val="004D748A"/>
    <w:rsid w:val="004D79C0"/>
    <w:rsid w:val="004E20E2"/>
    <w:rsid w:val="004E5351"/>
    <w:rsid w:val="004E790E"/>
    <w:rsid w:val="004F1A25"/>
    <w:rsid w:val="005037F4"/>
    <w:rsid w:val="0050389F"/>
    <w:rsid w:val="00507EA1"/>
    <w:rsid w:val="005113A5"/>
    <w:rsid w:val="0051222B"/>
    <w:rsid w:val="005230DE"/>
    <w:rsid w:val="00523BD6"/>
    <w:rsid w:val="0052687A"/>
    <w:rsid w:val="005309D4"/>
    <w:rsid w:val="005338BF"/>
    <w:rsid w:val="00533D38"/>
    <w:rsid w:val="00533FAB"/>
    <w:rsid w:val="00536144"/>
    <w:rsid w:val="005438E7"/>
    <w:rsid w:val="00544356"/>
    <w:rsid w:val="00552E61"/>
    <w:rsid w:val="00554119"/>
    <w:rsid w:val="00564E86"/>
    <w:rsid w:val="00570974"/>
    <w:rsid w:val="005728F5"/>
    <w:rsid w:val="00576339"/>
    <w:rsid w:val="0057643F"/>
    <w:rsid w:val="005811B1"/>
    <w:rsid w:val="00594413"/>
    <w:rsid w:val="005955C1"/>
    <w:rsid w:val="005958D6"/>
    <w:rsid w:val="005964CF"/>
    <w:rsid w:val="005A0C03"/>
    <w:rsid w:val="005A4D86"/>
    <w:rsid w:val="005A572C"/>
    <w:rsid w:val="005A6598"/>
    <w:rsid w:val="005A75BE"/>
    <w:rsid w:val="005B25AA"/>
    <w:rsid w:val="005C5869"/>
    <w:rsid w:val="005C65EB"/>
    <w:rsid w:val="005D0DF1"/>
    <w:rsid w:val="005D2355"/>
    <w:rsid w:val="005D2582"/>
    <w:rsid w:val="005D25DE"/>
    <w:rsid w:val="005D2B23"/>
    <w:rsid w:val="005D4E27"/>
    <w:rsid w:val="005D6E59"/>
    <w:rsid w:val="005E3444"/>
    <w:rsid w:val="005E6F1C"/>
    <w:rsid w:val="005F49EF"/>
    <w:rsid w:val="005F5BE6"/>
    <w:rsid w:val="00603B3F"/>
    <w:rsid w:val="006051C4"/>
    <w:rsid w:val="00605887"/>
    <w:rsid w:val="00607C0F"/>
    <w:rsid w:val="00610C79"/>
    <w:rsid w:val="006116B2"/>
    <w:rsid w:val="00615932"/>
    <w:rsid w:val="00615F41"/>
    <w:rsid w:val="00616B23"/>
    <w:rsid w:val="0062471D"/>
    <w:rsid w:val="00626FB4"/>
    <w:rsid w:val="0062754B"/>
    <w:rsid w:val="00631FA6"/>
    <w:rsid w:val="00632EAE"/>
    <w:rsid w:val="00636D55"/>
    <w:rsid w:val="0064011A"/>
    <w:rsid w:val="00641906"/>
    <w:rsid w:val="00643C56"/>
    <w:rsid w:val="0065564B"/>
    <w:rsid w:val="00663AF2"/>
    <w:rsid w:val="00670716"/>
    <w:rsid w:val="00671216"/>
    <w:rsid w:val="00676AF4"/>
    <w:rsid w:val="00676B58"/>
    <w:rsid w:val="00680DAE"/>
    <w:rsid w:val="00681411"/>
    <w:rsid w:val="00681986"/>
    <w:rsid w:val="00682D83"/>
    <w:rsid w:val="00686F06"/>
    <w:rsid w:val="00687290"/>
    <w:rsid w:val="006940DB"/>
    <w:rsid w:val="00696659"/>
    <w:rsid w:val="006A0A49"/>
    <w:rsid w:val="006A0BDF"/>
    <w:rsid w:val="006A198B"/>
    <w:rsid w:val="006A53BB"/>
    <w:rsid w:val="006B4AEB"/>
    <w:rsid w:val="006B58B3"/>
    <w:rsid w:val="006B6693"/>
    <w:rsid w:val="006C59D5"/>
    <w:rsid w:val="006D190D"/>
    <w:rsid w:val="006D3255"/>
    <w:rsid w:val="006D4677"/>
    <w:rsid w:val="006E4A51"/>
    <w:rsid w:val="006E723F"/>
    <w:rsid w:val="006F1CC7"/>
    <w:rsid w:val="006F32BF"/>
    <w:rsid w:val="006F4691"/>
    <w:rsid w:val="006F48BE"/>
    <w:rsid w:val="006F5725"/>
    <w:rsid w:val="0070035C"/>
    <w:rsid w:val="007003A0"/>
    <w:rsid w:val="00700DF9"/>
    <w:rsid w:val="00704AFC"/>
    <w:rsid w:val="00706F43"/>
    <w:rsid w:val="0071017D"/>
    <w:rsid w:val="00722296"/>
    <w:rsid w:val="00724864"/>
    <w:rsid w:val="0073154E"/>
    <w:rsid w:val="00734902"/>
    <w:rsid w:val="0074661C"/>
    <w:rsid w:val="00746E05"/>
    <w:rsid w:val="00750397"/>
    <w:rsid w:val="00755E89"/>
    <w:rsid w:val="00761466"/>
    <w:rsid w:val="00761A75"/>
    <w:rsid w:val="0076258A"/>
    <w:rsid w:val="00764579"/>
    <w:rsid w:val="00766475"/>
    <w:rsid w:val="00767783"/>
    <w:rsid w:val="00772B22"/>
    <w:rsid w:val="0077364D"/>
    <w:rsid w:val="0077714A"/>
    <w:rsid w:val="00781663"/>
    <w:rsid w:val="00784774"/>
    <w:rsid w:val="00790165"/>
    <w:rsid w:val="00792437"/>
    <w:rsid w:val="00794C5F"/>
    <w:rsid w:val="007A0103"/>
    <w:rsid w:val="007A1FAC"/>
    <w:rsid w:val="007A2277"/>
    <w:rsid w:val="007A43FC"/>
    <w:rsid w:val="007A7143"/>
    <w:rsid w:val="007A766B"/>
    <w:rsid w:val="007B76DE"/>
    <w:rsid w:val="007C2CAC"/>
    <w:rsid w:val="007D0EE6"/>
    <w:rsid w:val="007D1886"/>
    <w:rsid w:val="007D2FFD"/>
    <w:rsid w:val="007D54C7"/>
    <w:rsid w:val="007E2A05"/>
    <w:rsid w:val="007E57B2"/>
    <w:rsid w:val="007E667F"/>
    <w:rsid w:val="007E7A71"/>
    <w:rsid w:val="007F5589"/>
    <w:rsid w:val="007F70F5"/>
    <w:rsid w:val="007F78BA"/>
    <w:rsid w:val="00800C90"/>
    <w:rsid w:val="00803D2C"/>
    <w:rsid w:val="00805358"/>
    <w:rsid w:val="0080551E"/>
    <w:rsid w:val="008070A8"/>
    <w:rsid w:val="00807A7D"/>
    <w:rsid w:val="00810499"/>
    <w:rsid w:val="0081166D"/>
    <w:rsid w:val="0081203C"/>
    <w:rsid w:val="00813C0F"/>
    <w:rsid w:val="00821F3F"/>
    <w:rsid w:val="008248AD"/>
    <w:rsid w:val="00827DCE"/>
    <w:rsid w:val="00836BF7"/>
    <w:rsid w:val="00840A82"/>
    <w:rsid w:val="00843FF7"/>
    <w:rsid w:val="008441CF"/>
    <w:rsid w:val="0084470A"/>
    <w:rsid w:val="008475BC"/>
    <w:rsid w:val="008512BF"/>
    <w:rsid w:val="00854082"/>
    <w:rsid w:val="00854523"/>
    <w:rsid w:val="00855F5F"/>
    <w:rsid w:val="008572A0"/>
    <w:rsid w:val="008628D7"/>
    <w:rsid w:val="0086363B"/>
    <w:rsid w:val="008672D0"/>
    <w:rsid w:val="0087045F"/>
    <w:rsid w:val="00871500"/>
    <w:rsid w:val="00872462"/>
    <w:rsid w:val="00874089"/>
    <w:rsid w:val="0087707C"/>
    <w:rsid w:val="00877607"/>
    <w:rsid w:val="00881FFD"/>
    <w:rsid w:val="00885D15"/>
    <w:rsid w:val="00891C68"/>
    <w:rsid w:val="00893DE1"/>
    <w:rsid w:val="008947EC"/>
    <w:rsid w:val="008950EF"/>
    <w:rsid w:val="008A1FDF"/>
    <w:rsid w:val="008A3E95"/>
    <w:rsid w:val="008A47F1"/>
    <w:rsid w:val="008A606A"/>
    <w:rsid w:val="008A650B"/>
    <w:rsid w:val="008B09F7"/>
    <w:rsid w:val="008B657A"/>
    <w:rsid w:val="008C0751"/>
    <w:rsid w:val="008C1F22"/>
    <w:rsid w:val="008C3D82"/>
    <w:rsid w:val="008C584E"/>
    <w:rsid w:val="008C7FE1"/>
    <w:rsid w:val="008D1AEE"/>
    <w:rsid w:val="008D3DBF"/>
    <w:rsid w:val="008D65EE"/>
    <w:rsid w:val="008D75F6"/>
    <w:rsid w:val="008E3483"/>
    <w:rsid w:val="008E6011"/>
    <w:rsid w:val="008F1A9A"/>
    <w:rsid w:val="008F3C4C"/>
    <w:rsid w:val="008F4C58"/>
    <w:rsid w:val="0090572C"/>
    <w:rsid w:val="0091080B"/>
    <w:rsid w:val="00913840"/>
    <w:rsid w:val="00913D0A"/>
    <w:rsid w:val="009173AF"/>
    <w:rsid w:val="009206F2"/>
    <w:rsid w:val="0092081F"/>
    <w:rsid w:val="00920D66"/>
    <w:rsid w:val="009217EF"/>
    <w:rsid w:val="0092251F"/>
    <w:rsid w:val="00924390"/>
    <w:rsid w:val="00926833"/>
    <w:rsid w:val="009347F6"/>
    <w:rsid w:val="00937427"/>
    <w:rsid w:val="00937946"/>
    <w:rsid w:val="00950B4C"/>
    <w:rsid w:val="00953209"/>
    <w:rsid w:val="00953A5D"/>
    <w:rsid w:val="009556F3"/>
    <w:rsid w:val="00961848"/>
    <w:rsid w:val="009670B7"/>
    <w:rsid w:val="00971352"/>
    <w:rsid w:val="00971F61"/>
    <w:rsid w:val="009723D1"/>
    <w:rsid w:val="009732C1"/>
    <w:rsid w:val="00973B73"/>
    <w:rsid w:val="0097745D"/>
    <w:rsid w:val="00977705"/>
    <w:rsid w:val="00981D61"/>
    <w:rsid w:val="009866F0"/>
    <w:rsid w:val="009867F1"/>
    <w:rsid w:val="009929DD"/>
    <w:rsid w:val="0099561D"/>
    <w:rsid w:val="009A3694"/>
    <w:rsid w:val="009A3F12"/>
    <w:rsid w:val="009A5D69"/>
    <w:rsid w:val="009B1E86"/>
    <w:rsid w:val="009B26AF"/>
    <w:rsid w:val="009C026D"/>
    <w:rsid w:val="009C1989"/>
    <w:rsid w:val="009C7C6E"/>
    <w:rsid w:val="009D5783"/>
    <w:rsid w:val="009D67A8"/>
    <w:rsid w:val="009E124B"/>
    <w:rsid w:val="009E2639"/>
    <w:rsid w:val="009F29B3"/>
    <w:rsid w:val="009F376F"/>
    <w:rsid w:val="009F6088"/>
    <w:rsid w:val="009F7219"/>
    <w:rsid w:val="009F760A"/>
    <w:rsid w:val="00A07A2F"/>
    <w:rsid w:val="00A07D0F"/>
    <w:rsid w:val="00A10B34"/>
    <w:rsid w:val="00A113D7"/>
    <w:rsid w:val="00A16723"/>
    <w:rsid w:val="00A16DEB"/>
    <w:rsid w:val="00A213A8"/>
    <w:rsid w:val="00A21F3E"/>
    <w:rsid w:val="00A26001"/>
    <w:rsid w:val="00A33301"/>
    <w:rsid w:val="00A44481"/>
    <w:rsid w:val="00A4507C"/>
    <w:rsid w:val="00A474D3"/>
    <w:rsid w:val="00A55398"/>
    <w:rsid w:val="00A578E1"/>
    <w:rsid w:val="00A6011E"/>
    <w:rsid w:val="00A61C2A"/>
    <w:rsid w:val="00A626EF"/>
    <w:rsid w:val="00A62A35"/>
    <w:rsid w:val="00A62B23"/>
    <w:rsid w:val="00A64EC4"/>
    <w:rsid w:val="00A6741B"/>
    <w:rsid w:val="00A678CD"/>
    <w:rsid w:val="00A7023B"/>
    <w:rsid w:val="00A83EF3"/>
    <w:rsid w:val="00A849C1"/>
    <w:rsid w:val="00A8514E"/>
    <w:rsid w:val="00A91940"/>
    <w:rsid w:val="00A93855"/>
    <w:rsid w:val="00AA2083"/>
    <w:rsid w:val="00AA6088"/>
    <w:rsid w:val="00AB0137"/>
    <w:rsid w:val="00AB64B5"/>
    <w:rsid w:val="00AB65E7"/>
    <w:rsid w:val="00AC063A"/>
    <w:rsid w:val="00AC7B10"/>
    <w:rsid w:val="00AD0E0B"/>
    <w:rsid w:val="00AD3414"/>
    <w:rsid w:val="00AD4154"/>
    <w:rsid w:val="00AD500F"/>
    <w:rsid w:val="00AD51B5"/>
    <w:rsid w:val="00AE2CB4"/>
    <w:rsid w:val="00AE6898"/>
    <w:rsid w:val="00AF080D"/>
    <w:rsid w:val="00AF1999"/>
    <w:rsid w:val="00AF6545"/>
    <w:rsid w:val="00B00FC3"/>
    <w:rsid w:val="00B01DE3"/>
    <w:rsid w:val="00B02886"/>
    <w:rsid w:val="00B03771"/>
    <w:rsid w:val="00B06D4E"/>
    <w:rsid w:val="00B06EBA"/>
    <w:rsid w:val="00B104CE"/>
    <w:rsid w:val="00B20029"/>
    <w:rsid w:val="00B23C68"/>
    <w:rsid w:val="00B24331"/>
    <w:rsid w:val="00B24944"/>
    <w:rsid w:val="00B26967"/>
    <w:rsid w:val="00B33BD4"/>
    <w:rsid w:val="00B35198"/>
    <w:rsid w:val="00B35C56"/>
    <w:rsid w:val="00B44424"/>
    <w:rsid w:val="00B52584"/>
    <w:rsid w:val="00B52F5E"/>
    <w:rsid w:val="00B566ED"/>
    <w:rsid w:val="00B61C5A"/>
    <w:rsid w:val="00B62239"/>
    <w:rsid w:val="00B665E6"/>
    <w:rsid w:val="00B724B2"/>
    <w:rsid w:val="00B727F3"/>
    <w:rsid w:val="00B7723B"/>
    <w:rsid w:val="00B772F6"/>
    <w:rsid w:val="00B7787F"/>
    <w:rsid w:val="00B81D24"/>
    <w:rsid w:val="00B82262"/>
    <w:rsid w:val="00B90F17"/>
    <w:rsid w:val="00B91F81"/>
    <w:rsid w:val="00B94B30"/>
    <w:rsid w:val="00BA055D"/>
    <w:rsid w:val="00BA7949"/>
    <w:rsid w:val="00BA7D17"/>
    <w:rsid w:val="00BA7E7F"/>
    <w:rsid w:val="00BB03B3"/>
    <w:rsid w:val="00BB076E"/>
    <w:rsid w:val="00BB1CF2"/>
    <w:rsid w:val="00BB3AAF"/>
    <w:rsid w:val="00BB4ED0"/>
    <w:rsid w:val="00BB7A25"/>
    <w:rsid w:val="00BC0901"/>
    <w:rsid w:val="00BC0A3C"/>
    <w:rsid w:val="00BC0BDD"/>
    <w:rsid w:val="00BC5916"/>
    <w:rsid w:val="00BC621F"/>
    <w:rsid w:val="00BC7E10"/>
    <w:rsid w:val="00BD3772"/>
    <w:rsid w:val="00BD498F"/>
    <w:rsid w:val="00BE1422"/>
    <w:rsid w:val="00BE4DCA"/>
    <w:rsid w:val="00BE4DD3"/>
    <w:rsid w:val="00BE536C"/>
    <w:rsid w:val="00BF19E4"/>
    <w:rsid w:val="00BF20F5"/>
    <w:rsid w:val="00BF2A0E"/>
    <w:rsid w:val="00BF4541"/>
    <w:rsid w:val="00BF4A82"/>
    <w:rsid w:val="00C00DD1"/>
    <w:rsid w:val="00C032F0"/>
    <w:rsid w:val="00C03503"/>
    <w:rsid w:val="00C040B7"/>
    <w:rsid w:val="00C0568C"/>
    <w:rsid w:val="00C10613"/>
    <w:rsid w:val="00C106DC"/>
    <w:rsid w:val="00C10E3A"/>
    <w:rsid w:val="00C113E5"/>
    <w:rsid w:val="00C12DA4"/>
    <w:rsid w:val="00C14388"/>
    <w:rsid w:val="00C14B2B"/>
    <w:rsid w:val="00C17F12"/>
    <w:rsid w:val="00C20621"/>
    <w:rsid w:val="00C21933"/>
    <w:rsid w:val="00C238F9"/>
    <w:rsid w:val="00C23B46"/>
    <w:rsid w:val="00C23F49"/>
    <w:rsid w:val="00C250D8"/>
    <w:rsid w:val="00C263CC"/>
    <w:rsid w:val="00C31F0D"/>
    <w:rsid w:val="00C46200"/>
    <w:rsid w:val="00C471AB"/>
    <w:rsid w:val="00C5074F"/>
    <w:rsid w:val="00C52428"/>
    <w:rsid w:val="00C52681"/>
    <w:rsid w:val="00C57E29"/>
    <w:rsid w:val="00C60F46"/>
    <w:rsid w:val="00C63E8C"/>
    <w:rsid w:val="00C659A7"/>
    <w:rsid w:val="00C7204D"/>
    <w:rsid w:val="00C725F9"/>
    <w:rsid w:val="00C740B3"/>
    <w:rsid w:val="00C76FFC"/>
    <w:rsid w:val="00C77158"/>
    <w:rsid w:val="00C84C6A"/>
    <w:rsid w:val="00C85C31"/>
    <w:rsid w:val="00C87E06"/>
    <w:rsid w:val="00C9259F"/>
    <w:rsid w:val="00C96AE1"/>
    <w:rsid w:val="00CA0396"/>
    <w:rsid w:val="00CA0D13"/>
    <w:rsid w:val="00CA3398"/>
    <w:rsid w:val="00CA40FA"/>
    <w:rsid w:val="00CA671A"/>
    <w:rsid w:val="00CA6926"/>
    <w:rsid w:val="00CA735C"/>
    <w:rsid w:val="00CA7FCC"/>
    <w:rsid w:val="00CB3AD5"/>
    <w:rsid w:val="00CC1C28"/>
    <w:rsid w:val="00CD0D86"/>
    <w:rsid w:val="00CD22A6"/>
    <w:rsid w:val="00CD344A"/>
    <w:rsid w:val="00CD4424"/>
    <w:rsid w:val="00CD4F28"/>
    <w:rsid w:val="00CD527C"/>
    <w:rsid w:val="00CD71EB"/>
    <w:rsid w:val="00CE0E85"/>
    <w:rsid w:val="00CE2084"/>
    <w:rsid w:val="00CE3326"/>
    <w:rsid w:val="00CE3CC8"/>
    <w:rsid w:val="00CE5861"/>
    <w:rsid w:val="00CE5FD8"/>
    <w:rsid w:val="00CF26DD"/>
    <w:rsid w:val="00CF2DA2"/>
    <w:rsid w:val="00CF4A3A"/>
    <w:rsid w:val="00CF6FDC"/>
    <w:rsid w:val="00CF73BE"/>
    <w:rsid w:val="00CF7EED"/>
    <w:rsid w:val="00D00B00"/>
    <w:rsid w:val="00D025AD"/>
    <w:rsid w:val="00D04362"/>
    <w:rsid w:val="00D10777"/>
    <w:rsid w:val="00D114BE"/>
    <w:rsid w:val="00D13D39"/>
    <w:rsid w:val="00D229D1"/>
    <w:rsid w:val="00D23BD5"/>
    <w:rsid w:val="00D2518B"/>
    <w:rsid w:val="00D26143"/>
    <w:rsid w:val="00D32E4E"/>
    <w:rsid w:val="00D35080"/>
    <w:rsid w:val="00D35790"/>
    <w:rsid w:val="00D43ACF"/>
    <w:rsid w:val="00D442C5"/>
    <w:rsid w:val="00D44C37"/>
    <w:rsid w:val="00D44FB8"/>
    <w:rsid w:val="00D472E3"/>
    <w:rsid w:val="00D51632"/>
    <w:rsid w:val="00D52E54"/>
    <w:rsid w:val="00D5385A"/>
    <w:rsid w:val="00D54079"/>
    <w:rsid w:val="00D5531F"/>
    <w:rsid w:val="00D55B37"/>
    <w:rsid w:val="00D57387"/>
    <w:rsid w:val="00D577DC"/>
    <w:rsid w:val="00D57FE1"/>
    <w:rsid w:val="00D6312C"/>
    <w:rsid w:val="00D64A07"/>
    <w:rsid w:val="00D65EA4"/>
    <w:rsid w:val="00D67717"/>
    <w:rsid w:val="00D71610"/>
    <w:rsid w:val="00D917C6"/>
    <w:rsid w:val="00D940F2"/>
    <w:rsid w:val="00DA0D39"/>
    <w:rsid w:val="00DA7778"/>
    <w:rsid w:val="00DB1F09"/>
    <w:rsid w:val="00DB275A"/>
    <w:rsid w:val="00DB4A50"/>
    <w:rsid w:val="00DB4BD4"/>
    <w:rsid w:val="00DB663D"/>
    <w:rsid w:val="00DC0912"/>
    <w:rsid w:val="00DC5AD3"/>
    <w:rsid w:val="00DC7570"/>
    <w:rsid w:val="00DD3157"/>
    <w:rsid w:val="00DD7F04"/>
    <w:rsid w:val="00DE2B88"/>
    <w:rsid w:val="00DE42B8"/>
    <w:rsid w:val="00DE4A2B"/>
    <w:rsid w:val="00DE5934"/>
    <w:rsid w:val="00DE7276"/>
    <w:rsid w:val="00DF2758"/>
    <w:rsid w:val="00DF3802"/>
    <w:rsid w:val="00DF5AF8"/>
    <w:rsid w:val="00DF6C2C"/>
    <w:rsid w:val="00E0092B"/>
    <w:rsid w:val="00E010BD"/>
    <w:rsid w:val="00E03947"/>
    <w:rsid w:val="00E04685"/>
    <w:rsid w:val="00E075B4"/>
    <w:rsid w:val="00E07CAF"/>
    <w:rsid w:val="00E158BA"/>
    <w:rsid w:val="00E15F13"/>
    <w:rsid w:val="00E178F1"/>
    <w:rsid w:val="00E21A4C"/>
    <w:rsid w:val="00E25AEC"/>
    <w:rsid w:val="00E359D3"/>
    <w:rsid w:val="00E455DA"/>
    <w:rsid w:val="00E54C2E"/>
    <w:rsid w:val="00E61721"/>
    <w:rsid w:val="00E61E57"/>
    <w:rsid w:val="00E7091B"/>
    <w:rsid w:val="00E718B1"/>
    <w:rsid w:val="00E80047"/>
    <w:rsid w:val="00E833DA"/>
    <w:rsid w:val="00E83576"/>
    <w:rsid w:val="00E8564B"/>
    <w:rsid w:val="00E86EC4"/>
    <w:rsid w:val="00E8717E"/>
    <w:rsid w:val="00E90EC2"/>
    <w:rsid w:val="00E9213A"/>
    <w:rsid w:val="00E92228"/>
    <w:rsid w:val="00EA14D2"/>
    <w:rsid w:val="00EA2E6F"/>
    <w:rsid w:val="00EA3865"/>
    <w:rsid w:val="00EB0C79"/>
    <w:rsid w:val="00EB185C"/>
    <w:rsid w:val="00EB1AB3"/>
    <w:rsid w:val="00EB380B"/>
    <w:rsid w:val="00EB7AD5"/>
    <w:rsid w:val="00EC0B1E"/>
    <w:rsid w:val="00EC1A14"/>
    <w:rsid w:val="00EC3DA1"/>
    <w:rsid w:val="00EC54C3"/>
    <w:rsid w:val="00EC76A0"/>
    <w:rsid w:val="00EE0314"/>
    <w:rsid w:val="00EE16B8"/>
    <w:rsid w:val="00EE26AB"/>
    <w:rsid w:val="00EE3DDA"/>
    <w:rsid w:val="00EE4F48"/>
    <w:rsid w:val="00EE5199"/>
    <w:rsid w:val="00EE5A71"/>
    <w:rsid w:val="00EE5E7F"/>
    <w:rsid w:val="00EF1BC2"/>
    <w:rsid w:val="00EF1D46"/>
    <w:rsid w:val="00EF3696"/>
    <w:rsid w:val="00EF51A6"/>
    <w:rsid w:val="00EF5C2B"/>
    <w:rsid w:val="00F017F7"/>
    <w:rsid w:val="00F02ED8"/>
    <w:rsid w:val="00F03EC9"/>
    <w:rsid w:val="00F07D19"/>
    <w:rsid w:val="00F13489"/>
    <w:rsid w:val="00F20331"/>
    <w:rsid w:val="00F24C62"/>
    <w:rsid w:val="00F33BD8"/>
    <w:rsid w:val="00F34BEE"/>
    <w:rsid w:val="00F35E9F"/>
    <w:rsid w:val="00F36007"/>
    <w:rsid w:val="00F365F0"/>
    <w:rsid w:val="00F37BCC"/>
    <w:rsid w:val="00F406BB"/>
    <w:rsid w:val="00F41757"/>
    <w:rsid w:val="00F422FA"/>
    <w:rsid w:val="00F4414D"/>
    <w:rsid w:val="00F50491"/>
    <w:rsid w:val="00F51F74"/>
    <w:rsid w:val="00F55D5D"/>
    <w:rsid w:val="00F55D80"/>
    <w:rsid w:val="00F576F4"/>
    <w:rsid w:val="00F675AA"/>
    <w:rsid w:val="00F70676"/>
    <w:rsid w:val="00F75000"/>
    <w:rsid w:val="00F76815"/>
    <w:rsid w:val="00F806AF"/>
    <w:rsid w:val="00F85EFF"/>
    <w:rsid w:val="00F90A20"/>
    <w:rsid w:val="00F90BC4"/>
    <w:rsid w:val="00FA2384"/>
    <w:rsid w:val="00FA4E9A"/>
    <w:rsid w:val="00FB4437"/>
    <w:rsid w:val="00FB4CC9"/>
    <w:rsid w:val="00FB5C63"/>
    <w:rsid w:val="00FC0BF3"/>
    <w:rsid w:val="00FC4015"/>
    <w:rsid w:val="00FC53BA"/>
    <w:rsid w:val="00FC67DA"/>
    <w:rsid w:val="00FC7BF5"/>
    <w:rsid w:val="00FD1019"/>
    <w:rsid w:val="00FD476C"/>
    <w:rsid w:val="00FD4F18"/>
    <w:rsid w:val="00FD545C"/>
    <w:rsid w:val="00FD6A58"/>
    <w:rsid w:val="00FD6DEC"/>
    <w:rsid w:val="00FD7E1E"/>
    <w:rsid w:val="00FE466B"/>
    <w:rsid w:val="00FE5F4C"/>
    <w:rsid w:val="00FE660B"/>
    <w:rsid w:val="00FF09A1"/>
    <w:rsid w:val="00FF25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793DF"/>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46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191DC8"/>
    <w:rPr>
      <w:color w:val="605E5C"/>
      <w:shd w:val="clear" w:color="auto" w:fill="E1DFDD"/>
    </w:rPr>
  </w:style>
  <w:style w:type="paragraph" w:customStyle="1" w:styleId="p1">
    <w:name w:val="p1"/>
    <w:basedOn w:val="Normal"/>
    <w:rsid w:val="008947E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D917C6"/>
    <w:rPr>
      <w:color w:val="954F72" w:themeColor="followedHyperlink"/>
      <w:u w:val="single"/>
    </w:rPr>
  </w:style>
  <w:style w:type="paragraph" w:styleId="NormalWeb">
    <w:name w:val="Normal (Web)"/>
    <w:basedOn w:val="Normal"/>
    <w:uiPriority w:val="99"/>
    <w:semiHidden/>
    <w:unhideWhenUsed/>
    <w:rsid w:val="00E158B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F35E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512934">
      <w:bodyDiv w:val="1"/>
      <w:marLeft w:val="0"/>
      <w:marRight w:val="0"/>
      <w:marTop w:val="0"/>
      <w:marBottom w:val="0"/>
      <w:divBdr>
        <w:top w:val="none" w:sz="0" w:space="0" w:color="auto"/>
        <w:left w:val="none" w:sz="0" w:space="0" w:color="auto"/>
        <w:bottom w:val="none" w:sz="0" w:space="0" w:color="auto"/>
        <w:right w:val="none" w:sz="0" w:space="0" w:color="auto"/>
      </w:divBdr>
    </w:div>
    <w:div w:id="830756093">
      <w:bodyDiv w:val="1"/>
      <w:marLeft w:val="0"/>
      <w:marRight w:val="0"/>
      <w:marTop w:val="0"/>
      <w:marBottom w:val="0"/>
      <w:divBdr>
        <w:top w:val="none" w:sz="0" w:space="0" w:color="auto"/>
        <w:left w:val="none" w:sz="0" w:space="0" w:color="auto"/>
        <w:bottom w:val="none" w:sz="0" w:space="0" w:color="auto"/>
        <w:right w:val="none" w:sz="0" w:space="0" w:color="auto"/>
      </w:divBdr>
    </w:div>
    <w:div w:id="851071224">
      <w:bodyDiv w:val="1"/>
      <w:marLeft w:val="0"/>
      <w:marRight w:val="0"/>
      <w:marTop w:val="0"/>
      <w:marBottom w:val="0"/>
      <w:divBdr>
        <w:top w:val="none" w:sz="0" w:space="0" w:color="auto"/>
        <w:left w:val="none" w:sz="0" w:space="0" w:color="auto"/>
        <w:bottom w:val="none" w:sz="0" w:space="0" w:color="auto"/>
        <w:right w:val="none" w:sz="0" w:space="0" w:color="auto"/>
      </w:divBdr>
    </w:div>
    <w:div w:id="1016804908">
      <w:bodyDiv w:val="1"/>
      <w:marLeft w:val="0"/>
      <w:marRight w:val="0"/>
      <w:marTop w:val="0"/>
      <w:marBottom w:val="0"/>
      <w:divBdr>
        <w:top w:val="none" w:sz="0" w:space="0" w:color="auto"/>
        <w:left w:val="none" w:sz="0" w:space="0" w:color="auto"/>
        <w:bottom w:val="none" w:sz="0" w:space="0" w:color="auto"/>
        <w:right w:val="none" w:sz="0" w:space="0" w:color="auto"/>
      </w:divBdr>
    </w:div>
    <w:div w:id="1181705290">
      <w:bodyDiv w:val="1"/>
      <w:marLeft w:val="0"/>
      <w:marRight w:val="0"/>
      <w:marTop w:val="0"/>
      <w:marBottom w:val="0"/>
      <w:divBdr>
        <w:top w:val="none" w:sz="0" w:space="0" w:color="auto"/>
        <w:left w:val="none" w:sz="0" w:space="0" w:color="auto"/>
        <w:bottom w:val="none" w:sz="0" w:space="0" w:color="auto"/>
        <w:right w:val="none" w:sz="0" w:space="0" w:color="auto"/>
      </w:divBdr>
    </w:div>
    <w:div w:id="1367409635">
      <w:bodyDiv w:val="1"/>
      <w:marLeft w:val="0"/>
      <w:marRight w:val="0"/>
      <w:marTop w:val="0"/>
      <w:marBottom w:val="0"/>
      <w:divBdr>
        <w:top w:val="none" w:sz="0" w:space="0" w:color="auto"/>
        <w:left w:val="none" w:sz="0" w:space="0" w:color="auto"/>
        <w:bottom w:val="none" w:sz="0" w:space="0" w:color="auto"/>
        <w:right w:val="none" w:sz="0" w:space="0" w:color="auto"/>
      </w:divBdr>
    </w:div>
    <w:div w:id="1595746725">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200928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cma.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egislation.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FDB167D62F6D44E90C1229C323553E2" ma:contentTypeVersion="2" ma:contentTypeDescription="Create a new document." ma:contentTypeScope="" ma:versionID="fc4efb765a22df879d9ad0a3d56d054e">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04b8ec43-391f-4ce4-8841-d6a482add564">UQVA7MFFXVNW-850449931-123</_dlc_DocId>
    <_dlc_DocIdUrl xmlns="04b8ec43-391f-4ce4-8841-d6a482add564">
      <Url>http://collaboration/organisation/auth/Chair/Auth/_layouts/15/DocIdRedir.aspx?ID=UQVA7MFFXVNW-850449931-123</Url>
      <Description>UQVA7MFFXVNW-850449931-123</Description>
    </_dlc_DocIdUrl>
    <Category xmlns="026d8262-4725-4a9c-834e-3f991ab17ffd">(none)</Category>
  </documentManagement>
</p:properties>
</file>

<file path=customXml/itemProps1.xml><?xml version="1.0" encoding="utf-8"?>
<ds:datastoreItem xmlns:ds="http://schemas.openxmlformats.org/officeDocument/2006/customXml" ds:itemID="{E92C611E-228F-409C-9237-A2EDAB5FB2E6}">
  <ds:schemaRefs>
    <ds:schemaRef ds:uri="http://schemas.microsoft.com/sharepoint/events"/>
  </ds:schemaRefs>
</ds:datastoreItem>
</file>

<file path=customXml/itemProps2.xml><?xml version="1.0" encoding="utf-8"?>
<ds:datastoreItem xmlns:ds="http://schemas.openxmlformats.org/officeDocument/2006/customXml" ds:itemID="{5086D54D-3E66-4AF7-B83C-EBEE5F4E5980}">
  <ds:schemaRefs>
    <ds:schemaRef ds:uri="http://schemas.openxmlformats.org/officeDocument/2006/bibliography"/>
  </ds:schemaRefs>
</ds:datastoreItem>
</file>

<file path=customXml/itemProps3.xml><?xml version="1.0" encoding="utf-8"?>
<ds:datastoreItem xmlns:ds="http://schemas.openxmlformats.org/officeDocument/2006/customXml" ds:itemID="{C088E647-FB6C-49D4-8E75-03B5196F5AC8}">
  <ds:schemaRefs>
    <ds:schemaRef ds:uri="http://schemas.microsoft.com/sharepoint/v3/contenttype/forms"/>
  </ds:schemaRefs>
</ds:datastoreItem>
</file>

<file path=customXml/itemProps4.xml><?xml version="1.0" encoding="utf-8"?>
<ds:datastoreItem xmlns:ds="http://schemas.openxmlformats.org/officeDocument/2006/customXml" ds:itemID="{61580FE0-511F-4949-95A2-1F3E81404E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026d8262-4725-4a9c-834e-3f991ab17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84A20D3-5249-4064-B676-33B74048141D}">
  <ds:schemaRefs>
    <ds:schemaRef ds:uri="http://schemas.microsoft.com/office/2006/metadata/properties"/>
    <ds:schemaRef ds:uri="http://schemas.microsoft.com/office/infopath/2007/PartnerControls"/>
    <ds:schemaRef ds:uri="04b8ec43-391f-4ce4-8841-d6a482add564"/>
    <ds:schemaRef ds:uri="026d8262-4725-4a9c-834e-3f991ab17ff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2626</Words>
  <Characters>14289</Characters>
  <Application>Microsoft Office Word</Application>
  <DocSecurity>0</DocSecurity>
  <Lines>216</Lines>
  <Paragraphs>86</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Communications and Media Authority</Company>
  <LinksUpToDate>false</LinksUpToDate>
  <CharactersWithSpaces>16829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subject/>
  <dc:creator>Annette Vella</dc:creator>
  <cp:keywords/>
  <dc:description/>
  <cp:lastModifiedBy>Patrick Belton</cp:lastModifiedBy>
  <cp:revision>3</cp:revision>
  <cp:lastPrinted>2016-07-25T00:08:00Z</cp:lastPrinted>
  <dcterms:created xsi:type="dcterms:W3CDTF">2023-02-20T00:20:00Z</dcterms:created>
  <dcterms:modified xsi:type="dcterms:W3CDTF">2023-02-20T00:20:00Z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0x010100BFDB167D62F6D44E90C1229C323553E2</vt:lpwstr>
  </property>
  <property fmtid="{D5CDD505-2E9C-101B-9397-08002B2CF9AE}" pid="3" name="_dlc_DocIdItemGuid">
    <vt:lpwstr>6c921388-7eca-47ae-9d8d-83dd38f6fbb9</vt:lpwstr>
  </property>
</Properties>
</file>