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62" w:rsidRPr="001F40A7" w:rsidRDefault="00814762" w:rsidP="00801095">
      <w:pPr>
        <w:spacing w:before="0" w:after="120"/>
        <w:ind w:right="91"/>
        <w:jc w:val="center"/>
        <w:rPr>
          <w:rFonts w:ascii="Arial" w:hAnsi="Arial" w:cs="Arial"/>
          <w:b/>
          <w:szCs w:val="24"/>
        </w:rPr>
      </w:pPr>
      <w:bookmarkStart w:id="0" w:name="_GoBack"/>
      <w:r w:rsidRPr="001F40A7">
        <w:rPr>
          <w:rFonts w:ascii="Arial" w:hAnsi="Arial" w:cs="Arial"/>
          <w:b/>
          <w:szCs w:val="24"/>
        </w:rPr>
        <w:t>Social Security (Administration) (Declinable Transactions and BasicsCard Bank Account) Determination 202</w:t>
      </w:r>
      <w:r w:rsidR="00A46203">
        <w:rPr>
          <w:rFonts w:ascii="Arial" w:hAnsi="Arial" w:cs="Arial"/>
          <w:b/>
          <w:szCs w:val="24"/>
        </w:rPr>
        <w:t>3</w:t>
      </w:r>
    </w:p>
    <w:bookmarkEnd w:id="0"/>
    <w:p w:rsidR="00814762" w:rsidRDefault="00814762" w:rsidP="00801095">
      <w:pPr>
        <w:spacing w:before="0" w:after="120"/>
        <w:ind w:right="91"/>
        <w:jc w:val="center"/>
        <w:rPr>
          <w:rFonts w:ascii="Arial" w:hAnsi="Arial" w:cs="Arial"/>
          <w:szCs w:val="24"/>
        </w:rPr>
      </w:pPr>
    </w:p>
    <w:p w:rsidR="00F328DA" w:rsidRPr="00814762" w:rsidRDefault="002533F0" w:rsidP="00801095">
      <w:pPr>
        <w:spacing w:before="0" w:after="120"/>
        <w:ind w:right="91"/>
        <w:jc w:val="center"/>
        <w:rPr>
          <w:rFonts w:ascii="Arial" w:hAnsi="Arial" w:cs="Arial"/>
          <w:szCs w:val="24"/>
        </w:rPr>
      </w:pPr>
      <w:r w:rsidRPr="00814762">
        <w:rPr>
          <w:rFonts w:ascii="Arial" w:hAnsi="Arial" w:cs="Arial"/>
          <w:szCs w:val="24"/>
        </w:rPr>
        <w:t>EXPLANATORY STATEMENT</w:t>
      </w:r>
      <w:r w:rsidR="00B54C30" w:rsidRPr="00814762">
        <w:rPr>
          <w:rFonts w:ascii="Arial" w:hAnsi="Arial" w:cs="Arial"/>
          <w:szCs w:val="24"/>
        </w:rPr>
        <w:t xml:space="preserve"> </w:t>
      </w:r>
    </w:p>
    <w:p w:rsidR="002533F0" w:rsidRPr="00BC76EB" w:rsidRDefault="002533F0" w:rsidP="00801095">
      <w:pPr>
        <w:spacing w:before="0"/>
        <w:ind w:right="91"/>
        <w:jc w:val="center"/>
        <w:rPr>
          <w:rFonts w:ascii="Arial" w:hAnsi="Arial" w:cs="Arial"/>
          <w:szCs w:val="24"/>
        </w:rPr>
      </w:pPr>
    </w:p>
    <w:p w:rsidR="00272031" w:rsidRPr="007C1B92" w:rsidRDefault="00272031" w:rsidP="00801095">
      <w:pPr>
        <w:spacing w:before="0"/>
        <w:ind w:right="91"/>
        <w:jc w:val="center"/>
        <w:rPr>
          <w:rFonts w:ascii="Arial" w:hAnsi="Arial" w:cs="Arial"/>
          <w:szCs w:val="24"/>
        </w:rPr>
      </w:pPr>
      <w:r w:rsidRPr="007C1B92">
        <w:rPr>
          <w:rFonts w:ascii="Arial" w:hAnsi="Arial" w:cs="Arial"/>
          <w:szCs w:val="24"/>
        </w:rPr>
        <w:t>Issued by the authority of the</w:t>
      </w:r>
      <w:r>
        <w:rPr>
          <w:rFonts w:ascii="Arial" w:hAnsi="Arial" w:cs="Arial"/>
          <w:szCs w:val="24"/>
        </w:rPr>
        <w:t xml:space="preserve"> Secretary</w:t>
      </w:r>
      <w:r w:rsidRPr="007C1B92">
        <w:rPr>
          <w:rFonts w:ascii="Arial" w:hAnsi="Arial" w:cs="Arial"/>
          <w:szCs w:val="24"/>
        </w:rPr>
        <w:t>, Department of Social Services</w:t>
      </w:r>
    </w:p>
    <w:p w:rsidR="00272031" w:rsidRPr="007C1B92" w:rsidRDefault="00272031" w:rsidP="00801095">
      <w:pPr>
        <w:spacing w:before="0"/>
        <w:ind w:right="91"/>
        <w:jc w:val="center"/>
        <w:rPr>
          <w:rFonts w:ascii="Arial" w:hAnsi="Arial" w:cs="Arial"/>
          <w:szCs w:val="24"/>
        </w:rPr>
      </w:pPr>
    </w:p>
    <w:p w:rsidR="00272031" w:rsidRPr="007C1B92" w:rsidRDefault="00272031" w:rsidP="00801095">
      <w:pPr>
        <w:spacing w:before="0"/>
        <w:ind w:right="91"/>
        <w:jc w:val="center"/>
        <w:rPr>
          <w:rFonts w:ascii="Arial" w:hAnsi="Arial" w:cs="Arial"/>
          <w:i/>
          <w:szCs w:val="24"/>
        </w:rPr>
      </w:pPr>
      <w:r w:rsidRPr="007C1B92">
        <w:rPr>
          <w:rFonts w:ascii="Arial" w:hAnsi="Arial" w:cs="Arial"/>
          <w:i/>
          <w:szCs w:val="24"/>
        </w:rPr>
        <w:t>Social Security (Administration) Act 1999</w:t>
      </w:r>
    </w:p>
    <w:p w:rsidR="00966756" w:rsidRPr="00BC76EB" w:rsidRDefault="00966756" w:rsidP="00801095">
      <w:pPr>
        <w:spacing w:before="0"/>
        <w:ind w:right="91"/>
        <w:jc w:val="center"/>
        <w:rPr>
          <w:rFonts w:ascii="Arial" w:hAnsi="Arial" w:cs="Arial"/>
          <w:szCs w:val="24"/>
        </w:rPr>
      </w:pPr>
    </w:p>
    <w:p w:rsidR="002533F0" w:rsidRPr="00272031" w:rsidRDefault="002533F0" w:rsidP="00801095">
      <w:pPr>
        <w:spacing w:before="0"/>
        <w:ind w:right="91"/>
        <w:jc w:val="center"/>
        <w:rPr>
          <w:rFonts w:ascii="Arial" w:hAnsi="Arial" w:cs="Arial"/>
          <w:i/>
          <w:szCs w:val="24"/>
        </w:rPr>
      </w:pPr>
    </w:p>
    <w:p w:rsidR="00263392" w:rsidRDefault="00263392" w:rsidP="00801095">
      <w:pPr>
        <w:spacing w:before="0"/>
        <w:ind w:right="91"/>
        <w:rPr>
          <w:rFonts w:ascii="Arial" w:hAnsi="Arial" w:cs="Arial"/>
          <w:b/>
          <w:szCs w:val="24"/>
        </w:rPr>
      </w:pPr>
    </w:p>
    <w:p w:rsidR="002533F0" w:rsidRDefault="0083135C" w:rsidP="00801095">
      <w:pPr>
        <w:spacing w:before="0"/>
        <w:ind w:right="91"/>
        <w:rPr>
          <w:rFonts w:ascii="Arial" w:hAnsi="Arial" w:cs="Arial"/>
          <w:b/>
          <w:szCs w:val="24"/>
        </w:rPr>
      </w:pPr>
      <w:r w:rsidRPr="00BC76EB">
        <w:rPr>
          <w:rFonts w:ascii="Arial" w:hAnsi="Arial" w:cs="Arial"/>
          <w:b/>
          <w:szCs w:val="24"/>
        </w:rPr>
        <w:t>Purpose</w:t>
      </w:r>
    </w:p>
    <w:p w:rsidR="00263392" w:rsidRDefault="00263392" w:rsidP="00801095">
      <w:pPr>
        <w:spacing w:before="0"/>
        <w:ind w:right="91"/>
        <w:rPr>
          <w:rFonts w:ascii="Arial" w:hAnsi="Arial" w:cs="Arial"/>
          <w:b/>
          <w:szCs w:val="24"/>
        </w:rPr>
      </w:pPr>
    </w:p>
    <w:p w:rsidR="008F5351" w:rsidRDefault="00272031" w:rsidP="00801095">
      <w:pPr>
        <w:spacing w:before="0"/>
        <w:jc w:val="both"/>
        <w:rPr>
          <w:rStyle w:val="BookTitle"/>
          <w:rFonts w:ascii="Arial" w:hAnsi="Arial" w:cs="Arial"/>
          <w:i w:val="0"/>
          <w:iCs w:val="0"/>
          <w:smallCaps w:val="0"/>
          <w:spacing w:val="0"/>
          <w:szCs w:val="24"/>
        </w:rPr>
      </w:pPr>
      <w:r w:rsidRPr="007C1B92">
        <w:rPr>
          <w:rStyle w:val="BookTitle"/>
          <w:rFonts w:ascii="Arial" w:hAnsi="Arial" w:cs="Arial"/>
          <w:i w:val="0"/>
          <w:iCs w:val="0"/>
          <w:smallCaps w:val="0"/>
          <w:spacing w:val="0"/>
          <w:szCs w:val="24"/>
        </w:rPr>
        <w:t xml:space="preserve">The </w:t>
      </w:r>
      <w:r w:rsidRPr="00272031">
        <w:rPr>
          <w:rFonts w:ascii="Arial" w:hAnsi="Arial" w:cs="Arial"/>
          <w:szCs w:val="24"/>
        </w:rPr>
        <w:t>Social Security (Administration) (Declinable Transactions and BasicsCard Bank Account) Determination 2022</w:t>
      </w:r>
      <w:r w:rsidRPr="00272031">
        <w:rPr>
          <w:rStyle w:val="BookTitle"/>
          <w:rFonts w:ascii="Arial" w:hAnsi="Arial" w:cs="Arial"/>
          <w:i w:val="0"/>
          <w:iCs w:val="0"/>
          <w:smallCaps w:val="0"/>
          <w:spacing w:val="0"/>
          <w:szCs w:val="24"/>
        </w:rPr>
        <w:t xml:space="preserve"> </w:t>
      </w:r>
      <w:r w:rsidRPr="007C1B92">
        <w:rPr>
          <w:rStyle w:val="BookTitle"/>
          <w:rFonts w:ascii="Arial" w:hAnsi="Arial" w:cs="Arial"/>
          <w:i w:val="0"/>
          <w:iCs w:val="0"/>
          <w:smallCaps w:val="0"/>
          <w:spacing w:val="0"/>
          <w:szCs w:val="24"/>
        </w:rPr>
        <w:t xml:space="preserve">(the Determination) is </w:t>
      </w:r>
      <w:r>
        <w:rPr>
          <w:rStyle w:val="BookTitle"/>
          <w:rFonts w:ascii="Arial" w:hAnsi="Arial" w:cs="Arial"/>
          <w:i w:val="0"/>
          <w:iCs w:val="0"/>
          <w:smallCaps w:val="0"/>
          <w:spacing w:val="0"/>
          <w:szCs w:val="24"/>
        </w:rPr>
        <w:t>made for the purpose of Part</w:t>
      </w:r>
      <w:r w:rsidR="008F535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3AA</w:t>
      </w:r>
      <w:r w:rsidRPr="007C1B92">
        <w:rPr>
          <w:rStyle w:val="BookTitle"/>
          <w:rFonts w:ascii="Arial" w:hAnsi="Arial" w:cs="Arial"/>
          <w:i w:val="0"/>
          <w:iCs w:val="0"/>
          <w:smallCaps w:val="0"/>
          <w:spacing w:val="0"/>
          <w:szCs w:val="24"/>
        </w:rPr>
        <w:t xml:space="preserve"> of the </w:t>
      </w:r>
      <w:r w:rsidRPr="007C1B92">
        <w:rPr>
          <w:rStyle w:val="BookTitle"/>
          <w:rFonts w:ascii="Arial" w:hAnsi="Arial" w:cs="Arial"/>
          <w:iCs w:val="0"/>
          <w:smallCaps w:val="0"/>
          <w:spacing w:val="0"/>
          <w:szCs w:val="24"/>
        </w:rPr>
        <w:t>Social Security (Administration) Act 1999</w:t>
      </w:r>
      <w:r w:rsidRPr="007C1B92">
        <w:rPr>
          <w:rStyle w:val="BookTitle"/>
          <w:rFonts w:ascii="Arial" w:hAnsi="Arial" w:cs="Arial"/>
          <w:i w:val="0"/>
          <w:iCs w:val="0"/>
          <w:smallCaps w:val="0"/>
          <w:spacing w:val="0"/>
          <w:szCs w:val="24"/>
        </w:rPr>
        <w:t xml:space="preserve"> (the Act)</w:t>
      </w:r>
      <w:r>
        <w:rPr>
          <w:rStyle w:val="BookTitle"/>
          <w:rFonts w:ascii="Arial" w:hAnsi="Arial" w:cs="Arial"/>
          <w:i w:val="0"/>
          <w:iCs w:val="0"/>
          <w:smallCaps w:val="0"/>
          <w:spacing w:val="0"/>
          <w:szCs w:val="24"/>
        </w:rPr>
        <w:t>.</w:t>
      </w:r>
      <w:r w:rsidR="00DE655A">
        <w:rPr>
          <w:rStyle w:val="BookTitle"/>
          <w:rFonts w:ascii="Arial" w:hAnsi="Arial" w:cs="Arial"/>
          <w:i w:val="0"/>
          <w:iCs w:val="0"/>
          <w:smallCaps w:val="0"/>
          <w:spacing w:val="0"/>
          <w:szCs w:val="24"/>
        </w:rPr>
        <w:t xml:space="preserve"> </w:t>
      </w:r>
    </w:p>
    <w:p w:rsidR="004C54F4" w:rsidRDefault="004C54F4" w:rsidP="00801095">
      <w:pPr>
        <w:spacing w:before="0"/>
        <w:jc w:val="both"/>
        <w:rPr>
          <w:rStyle w:val="BookTitle"/>
          <w:rFonts w:ascii="Arial" w:hAnsi="Arial" w:cs="Arial"/>
          <w:i w:val="0"/>
          <w:iCs w:val="0"/>
          <w:smallCaps w:val="0"/>
          <w:spacing w:val="0"/>
          <w:szCs w:val="24"/>
        </w:rPr>
      </w:pPr>
    </w:p>
    <w:p w:rsidR="007D448D" w:rsidRDefault="007D448D"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G</w:t>
      </w:r>
      <w:r w:rsidR="004C54F4">
        <w:rPr>
          <w:rStyle w:val="BookTitle"/>
          <w:rFonts w:ascii="Arial" w:hAnsi="Arial" w:cs="Arial"/>
          <w:i w:val="0"/>
          <w:iCs w:val="0"/>
          <w:smallCaps w:val="0"/>
          <w:spacing w:val="0"/>
          <w:szCs w:val="24"/>
        </w:rPr>
        <w:t>overnment</w:t>
      </w:r>
      <w:r>
        <w:rPr>
          <w:rStyle w:val="BookTitle"/>
          <w:rFonts w:ascii="Arial" w:hAnsi="Arial" w:cs="Arial"/>
          <w:i w:val="0"/>
          <w:iCs w:val="0"/>
          <w:smallCaps w:val="0"/>
          <w:spacing w:val="0"/>
          <w:szCs w:val="24"/>
        </w:rPr>
        <w:t xml:space="preserve"> is </w:t>
      </w:r>
      <w:r w:rsidRPr="007D448D">
        <w:rPr>
          <w:rStyle w:val="BookTitle"/>
          <w:rFonts w:ascii="Arial" w:hAnsi="Arial" w:cs="Arial"/>
          <w:i w:val="0"/>
          <w:iCs w:val="0"/>
          <w:smallCaps w:val="0"/>
          <w:spacing w:val="0"/>
          <w:szCs w:val="24"/>
        </w:rPr>
        <w:t>deliver</w:t>
      </w:r>
      <w:r w:rsidR="006C587C">
        <w:rPr>
          <w:rStyle w:val="BookTitle"/>
          <w:rFonts w:ascii="Arial" w:hAnsi="Arial" w:cs="Arial"/>
          <w:i w:val="0"/>
          <w:iCs w:val="0"/>
          <w:smallCaps w:val="0"/>
          <w:spacing w:val="0"/>
          <w:szCs w:val="24"/>
        </w:rPr>
        <w:t>ing</w:t>
      </w:r>
      <w:r w:rsidRPr="007D448D">
        <w:rPr>
          <w:rStyle w:val="BookTitle"/>
          <w:rFonts w:ascii="Arial" w:hAnsi="Arial" w:cs="Arial"/>
          <w:i w:val="0"/>
          <w:iCs w:val="0"/>
          <w:smallCaps w:val="0"/>
          <w:spacing w:val="0"/>
          <w:szCs w:val="24"/>
        </w:rPr>
        <w:t xml:space="preserve"> on its commitment to reform Income Management </w:t>
      </w:r>
      <w:r>
        <w:rPr>
          <w:rStyle w:val="BookTitle"/>
          <w:rFonts w:ascii="Arial" w:hAnsi="Arial" w:cs="Arial"/>
          <w:i w:val="0"/>
          <w:iCs w:val="0"/>
          <w:smallCaps w:val="0"/>
          <w:spacing w:val="0"/>
          <w:szCs w:val="24"/>
        </w:rPr>
        <w:t xml:space="preserve">(IM) </w:t>
      </w:r>
      <w:r w:rsidRPr="007D448D">
        <w:rPr>
          <w:rStyle w:val="BookTitle"/>
          <w:rFonts w:ascii="Arial" w:hAnsi="Arial" w:cs="Arial"/>
          <w:i w:val="0"/>
          <w:iCs w:val="0"/>
          <w:smallCaps w:val="0"/>
          <w:spacing w:val="0"/>
          <w:szCs w:val="24"/>
        </w:rPr>
        <w:t>through the introduction of the SmartCard</w:t>
      </w:r>
      <w:r w:rsidR="00335188">
        <w:rPr>
          <w:rStyle w:val="BookTitle"/>
          <w:rFonts w:ascii="Arial" w:hAnsi="Arial" w:cs="Arial"/>
          <w:i w:val="0"/>
          <w:iCs w:val="0"/>
          <w:smallCaps w:val="0"/>
          <w:spacing w:val="0"/>
          <w:szCs w:val="24"/>
        </w:rPr>
        <w:t xml:space="preserve">, which is a contemporary </w:t>
      </w:r>
      <w:r w:rsidR="006C587C" w:rsidRPr="006C587C">
        <w:rPr>
          <w:rStyle w:val="BookTitle"/>
          <w:rFonts w:ascii="Arial" w:hAnsi="Arial" w:cs="Arial"/>
          <w:i w:val="0"/>
          <w:iCs w:val="0"/>
          <w:smallCaps w:val="0"/>
          <w:spacing w:val="0"/>
          <w:szCs w:val="24"/>
        </w:rPr>
        <w:t xml:space="preserve">Visa debit card </w:t>
      </w:r>
      <w:r w:rsidR="00335188">
        <w:rPr>
          <w:rStyle w:val="BookTitle"/>
          <w:rFonts w:ascii="Arial" w:hAnsi="Arial" w:cs="Arial"/>
          <w:i w:val="0"/>
          <w:iCs w:val="0"/>
          <w:smallCaps w:val="0"/>
          <w:spacing w:val="0"/>
          <w:szCs w:val="24"/>
        </w:rPr>
        <w:t xml:space="preserve">linked to a bank account maintained by a person for receipt of payments under the enhanced income management regime. By using their SmartCard, individuals can access a modern banking experience and will receive </w:t>
      </w:r>
      <w:r w:rsidR="006C587C" w:rsidRPr="006C587C">
        <w:rPr>
          <w:rStyle w:val="BookTitle"/>
          <w:rFonts w:ascii="Arial" w:hAnsi="Arial" w:cs="Arial"/>
          <w:i w:val="0"/>
          <w:iCs w:val="0"/>
          <w:smallCaps w:val="0"/>
          <w:spacing w:val="0"/>
          <w:szCs w:val="24"/>
        </w:rPr>
        <w:t>customer support delivered by Services Australia.</w:t>
      </w:r>
      <w:r w:rsidR="006C587C" w:rsidRPr="006C587C" w:rsidDel="00CB40F0">
        <w:rPr>
          <w:rStyle w:val="BookTitle"/>
          <w:rFonts w:ascii="Arial" w:hAnsi="Arial" w:cs="Arial"/>
          <w:i w:val="0"/>
          <w:iCs w:val="0"/>
          <w:smallCaps w:val="0"/>
          <w:spacing w:val="0"/>
          <w:szCs w:val="24"/>
        </w:rPr>
        <w:t>and related</w:t>
      </w:r>
      <w:r w:rsidR="006C587C" w:rsidRPr="006C587C">
        <w:rPr>
          <w:rStyle w:val="BookTitle"/>
          <w:rFonts w:ascii="Arial" w:hAnsi="Arial" w:cs="Arial"/>
          <w:i w:val="0"/>
          <w:iCs w:val="0"/>
          <w:smallCaps w:val="0"/>
          <w:spacing w:val="0"/>
          <w:szCs w:val="24"/>
        </w:rPr>
        <w:t xml:space="preserve"> </w:t>
      </w:r>
      <w:r w:rsidR="00CB40F0">
        <w:rPr>
          <w:rStyle w:val="BookTitle"/>
          <w:rFonts w:ascii="Arial" w:hAnsi="Arial" w:cs="Arial"/>
          <w:i w:val="0"/>
          <w:iCs w:val="0"/>
          <w:smallCaps w:val="0"/>
          <w:spacing w:val="0"/>
          <w:szCs w:val="24"/>
        </w:rPr>
        <w:t xml:space="preserve">with all </w:t>
      </w:r>
      <w:r w:rsidR="006C587C" w:rsidRPr="006C587C">
        <w:rPr>
          <w:rStyle w:val="BookTitle"/>
          <w:rFonts w:ascii="Arial" w:hAnsi="Arial" w:cs="Arial"/>
          <w:i w:val="0"/>
          <w:iCs w:val="0"/>
          <w:smallCaps w:val="0"/>
          <w:spacing w:val="0"/>
          <w:szCs w:val="24"/>
        </w:rPr>
        <w:t xml:space="preserve">customer </w:t>
      </w:r>
      <w:r w:rsidR="00CB40F0">
        <w:rPr>
          <w:rStyle w:val="BookTitle"/>
          <w:rFonts w:ascii="Arial" w:hAnsi="Arial" w:cs="Arial"/>
          <w:i w:val="0"/>
          <w:iCs w:val="0"/>
          <w:smallCaps w:val="0"/>
          <w:spacing w:val="0"/>
          <w:szCs w:val="24"/>
        </w:rPr>
        <w:t xml:space="preserve">facing interactions and </w:t>
      </w:r>
      <w:r w:rsidR="006C587C" w:rsidRPr="006C587C">
        <w:rPr>
          <w:rStyle w:val="BookTitle"/>
          <w:rFonts w:ascii="Arial" w:hAnsi="Arial" w:cs="Arial"/>
          <w:i w:val="0"/>
          <w:iCs w:val="0"/>
          <w:smallCaps w:val="0"/>
          <w:spacing w:val="0"/>
          <w:szCs w:val="24"/>
        </w:rPr>
        <w:t>support delivered by Services Australia.</w:t>
      </w:r>
    </w:p>
    <w:p w:rsidR="008F5351" w:rsidRDefault="008F5351" w:rsidP="00801095">
      <w:pPr>
        <w:spacing w:before="0"/>
        <w:jc w:val="both"/>
        <w:rPr>
          <w:rStyle w:val="BookTitle"/>
          <w:rFonts w:ascii="Arial" w:hAnsi="Arial" w:cs="Arial"/>
          <w:i w:val="0"/>
          <w:iCs w:val="0"/>
          <w:smallCaps w:val="0"/>
          <w:spacing w:val="0"/>
          <w:szCs w:val="24"/>
        </w:rPr>
      </w:pPr>
    </w:p>
    <w:p w:rsidR="00272031" w:rsidRPr="007C1B92" w:rsidRDefault="00165875"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this</w:t>
      </w:r>
      <w:r w:rsidR="008F5351">
        <w:rPr>
          <w:rStyle w:val="BookTitle"/>
          <w:rFonts w:ascii="Arial" w:hAnsi="Arial" w:cs="Arial"/>
          <w:i w:val="0"/>
          <w:iCs w:val="0"/>
          <w:smallCaps w:val="0"/>
          <w:spacing w:val="0"/>
          <w:szCs w:val="24"/>
        </w:rPr>
        <w:t xml:space="preserve"> Determination</w:t>
      </w:r>
      <w:r>
        <w:rPr>
          <w:rStyle w:val="BookTitle"/>
          <w:rFonts w:ascii="Arial" w:hAnsi="Arial" w:cs="Arial"/>
          <w:i w:val="0"/>
          <w:iCs w:val="0"/>
          <w:smallCaps w:val="0"/>
          <w:spacing w:val="0"/>
          <w:szCs w:val="24"/>
        </w:rPr>
        <w:t xml:space="preserve">, the Secretary of the Department of Social Services has </w:t>
      </w:r>
      <w:r w:rsidR="00272031" w:rsidRPr="007C1B92">
        <w:rPr>
          <w:rStyle w:val="BookTitle"/>
          <w:rFonts w:ascii="Arial" w:hAnsi="Arial" w:cs="Arial"/>
          <w:i w:val="0"/>
          <w:iCs w:val="0"/>
          <w:smallCaps w:val="0"/>
          <w:spacing w:val="0"/>
          <w:szCs w:val="24"/>
        </w:rPr>
        <w:t>determine</w:t>
      </w:r>
      <w:r>
        <w:rPr>
          <w:rStyle w:val="BookTitle"/>
          <w:rFonts w:ascii="Arial" w:hAnsi="Arial" w:cs="Arial"/>
          <w:i w:val="0"/>
          <w:iCs w:val="0"/>
          <w:smallCaps w:val="0"/>
          <w:spacing w:val="0"/>
          <w:szCs w:val="24"/>
        </w:rPr>
        <w:t>d</w:t>
      </w:r>
      <w:r w:rsidR="007F300E">
        <w:rPr>
          <w:rStyle w:val="BookTitle"/>
          <w:rFonts w:ascii="Arial" w:hAnsi="Arial" w:cs="Arial"/>
          <w:i w:val="0"/>
          <w:iCs w:val="0"/>
          <w:smallCaps w:val="0"/>
          <w:spacing w:val="0"/>
          <w:szCs w:val="24"/>
        </w:rPr>
        <w:t xml:space="preserve"> for the purposes of the enhanced income management regime in Part 3AA of the Act</w:t>
      </w:r>
      <w:r w:rsidR="00272031" w:rsidRPr="007C1B92">
        <w:rPr>
          <w:rStyle w:val="BookTitle"/>
          <w:rFonts w:ascii="Arial" w:hAnsi="Arial" w:cs="Arial"/>
          <w:i w:val="0"/>
          <w:iCs w:val="0"/>
          <w:smallCaps w:val="0"/>
          <w:spacing w:val="0"/>
          <w:szCs w:val="24"/>
        </w:rPr>
        <w:t xml:space="preserve">: </w:t>
      </w:r>
    </w:p>
    <w:p w:rsidR="00272031" w:rsidRDefault="006A53BA" w:rsidP="00801095">
      <w:pPr>
        <w:pStyle w:val="ListParagraph"/>
        <w:numPr>
          <w:ilvl w:val="0"/>
          <w:numId w:val="20"/>
        </w:numPr>
        <w:spacing w:before="120"/>
        <w:ind w:left="714" w:hanging="357"/>
        <w:contextualSpacing w:val="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272031" w:rsidRPr="00272031">
        <w:rPr>
          <w:rStyle w:val="BookTitle"/>
          <w:rFonts w:ascii="Arial" w:hAnsi="Arial" w:cs="Arial"/>
          <w:i w:val="0"/>
          <w:iCs w:val="0"/>
          <w:smallCaps w:val="0"/>
          <w:spacing w:val="0"/>
          <w:szCs w:val="24"/>
        </w:rPr>
        <w:t xml:space="preserve"> kind of bank account</w:t>
      </w:r>
      <w:r w:rsidR="00272031">
        <w:rPr>
          <w:rStyle w:val="BookTitle"/>
          <w:rFonts w:ascii="Arial" w:hAnsi="Arial" w:cs="Arial"/>
          <w:i w:val="0"/>
          <w:iCs w:val="0"/>
          <w:smallCaps w:val="0"/>
          <w:spacing w:val="0"/>
          <w:szCs w:val="24"/>
        </w:rPr>
        <w:t xml:space="preserve"> </w:t>
      </w:r>
      <w:r w:rsidR="00272031" w:rsidRPr="00272031">
        <w:rPr>
          <w:rStyle w:val="BookTitle"/>
          <w:rFonts w:ascii="Arial" w:hAnsi="Arial" w:cs="Arial"/>
          <w:i w:val="0"/>
          <w:iCs w:val="0"/>
          <w:smallCaps w:val="0"/>
          <w:spacing w:val="0"/>
          <w:szCs w:val="24"/>
        </w:rPr>
        <w:t xml:space="preserve">to be maintained by a person who is subject to the </w:t>
      </w:r>
      <w:r w:rsidR="00263392">
        <w:rPr>
          <w:rStyle w:val="BookTitle"/>
          <w:rFonts w:ascii="Arial" w:hAnsi="Arial" w:cs="Arial"/>
          <w:i w:val="0"/>
          <w:iCs w:val="0"/>
          <w:smallCaps w:val="0"/>
          <w:spacing w:val="0"/>
          <w:szCs w:val="24"/>
        </w:rPr>
        <w:t>enhanced income management</w:t>
      </w:r>
      <w:r w:rsidR="00272031" w:rsidRPr="00272031">
        <w:rPr>
          <w:rStyle w:val="BookTitle"/>
          <w:rFonts w:ascii="Arial" w:hAnsi="Arial" w:cs="Arial"/>
          <w:i w:val="0"/>
          <w:iCs w:val="0"/>
          <w:smallCaps w:val="0"/>
          <w:spacing w:val="0"/>
          <w:szCs w:val="24"/>
        </w:rPr>
        <w:t xml:space="preserve"> regime</w:t>
      </w:r>
      <w:r w:rsidR="002F2A26" w:rsidRPr="002F2A26">
        <w:rPr>
          <w:rStyle w:val="BookTitle"/>
          <w:rFonts w:ascii="Arial" w:hAnsi="Arial" w:cs="Arial"/>
          <w:i w:val="0"/>
          <w:iCs w:val="0"/>
          <w:smallCaps w:val="0"/>
          <w:spacing w:val="0"/>
          <w:szCs w:val="24"/>
        </w:rPr>
        <w:t xml:space="preserve"> </w:t>
      </w:r>
      <w:r w:rsidR="002F2A26" w:rsidRPr="00272031">
        <w:rPr>
          <w:rStyle w:val="BookTitle"/>
          <w:rFonts w:ascii="Arial" w:hAnsi="Arial" w:cs="Arial"/>
          <w:i w:val="0"/>
          <w:iCs w:val="0"/>
          <w:smallCaps w:val="0"/>
          <w:spacing w:val="0"/>
          <w:szCs w:val="24"/>
        </w:rPr>
        <w:t>for the</w:t>
      </w:r>
      <w:r w:rsidR="002F2A26">
        <w:rPr>
          <w:rStyle w:val="BookTitle"/>
          <w:rFonts w:ascii="Arial" w:hAnsi="Arial" w:cs="Arial"/>
          <w:i w:val="0"/>
          <w:iCs w:val="0"/>
          <w:smallCaps w:val="0"/>
          <w:spacing w:val="0"/>
          <w:szCs w:val="24"/>
        </w:rPr>
        <w:t xml:space="preserve"> receipt of payments under </w:t>
      </w:r>
      <w:r w:rsidR="002F2A26" w:rsidRPr="00272031">
        <w:rPr>
          <w:rStyle w:val="BookTitle"/>
          <w:rFonts w:ascii="Arial" w:hAnsi="Arial" w:cs="Arial"/>
          <w:i w:val="0"/>
          <w:iCs w:val="0"/>
          <w:smallCaps w:val="0"/>
          <w:spacing w:val="0"/>
          <w:szCs w:val="24"/>
        </w:rPr>
        <w:t>Part</w:t>
      </w:r>
      <w:r w:rsidR="002F2A26">
        <w:rPr>
          <w:rStyle w:val="BookTitle"/>
          <w:rFonts w:ascii="Arial" w:hAnsi="Arial" w:cs="Arial"/>
          <w:i w:val="0"/>
          <w:iCs w:val="0"/>
          <w:smallCaps w:val="0"/>
          <w:spacing w:val="0"/>
          <w:szCs w:val="24"/>
        </w:rPr>
        <w:t xml:space="preserve"> 3AA of the Act</w:t>
      </w:r>
      <w:r>
        <w:rPr>
          <w:rStyle w:val="BookTitle"/>
          <w:rFonts w:ascii="Arial" w:hAnsi="Arial" w:cs="Arial"/>
          <w:i w:val="0"/>
          <w:iCs w:val="0"/>
          <w:smallCaps w:val="0"/>
          <w:spacing w:val="0"/>
          <w:szCs w:val="24"/>
        </w:rPr>
        <w:t xml:space="preserve"> (subsection 123SU(1))</w:t>
      </w:r>
    </w:p>
    <w:p w:rsidR="00272031" w:rsidRDefault="006A53BA" w:rsidP="00801095">
      <w:pPr>
        <w:pStyle w:val="ListParagraph"/>
        <w:numPr>
          <w:ilvl w:val="0"/>
          <w:numId w:val="20"/>
        </w:numPr>
        <w:spacing w:before="120"/>
        <w:ind w:left="714" w:hanging="357"/>
        <w:contextualSpacing w:val="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272031">
        <w:rPr>
          <w:rStyle w:val="BookTitle"/>
          <w:rFonts w:ascii="Arial" w:hAnsi="Arial" w:cs="Arial"/>
          <w:i w:val="0"/>
          <w:iCs w:val="0"/>
          <w:smallCaps w:val="0"/>
          <w:spacing w:val="0"/>
          <w:szCs w:val="24"/>
        </w:rPr>
        <w:t>terms and</w:t>
      </w:r>
      <w:r w:rsidR="00272031" w:rsidRPr="00272031">
        <w:rPr>
          <w:rStyle w:val="BookTitle"/>
          <w:rFonts w:ascii="Arial" w:hAnsi="Arial" w:cs="Arial"/>
          <w:i w:val="0"/>
          <w:iCs w:val="0"/>
          <w:smallCaps w:val="0"/>
          <w:spacing w:val="0"/>
          <w:szCs w:val="24"/>
        </w:rPr>
        <w:t xml:space="preserve"> conditions relating to the establishment, ongoing maintenance and closure of</w:t>
      </w:r>
      <w:r w:rsidR="00440E1E">
        <w:rPr>
          <w:rStyle w:val="BookTitle"/>
          <w:rFonts w:ascii="Arial" w:hAnsi="Arial" w:cs="Arial"/>
          <w:i w:val="0"/>
          <w:iCs w:val="0"/>
          <w:smallCaps w:val="0"/>
          <w:spacing w:val="0"/>
          <w:szCs w:val="24"/>
        </w:rPr>
        <w:t xml:space="preserve"> </w:t>
      </w:r>
      <w:r w:rsidR="004C54F4">
        <w:rPr>
          <w:rStyle w:val="BookTitle"/>
          <w:rFonts w:ascii="Arial" w:hAnsi="Arial" w:cs="Arial"/>
          <w:i w:val="0"/>
          <w:iCs w:val="0"/>
          <w:smallCaps w:val="0"/>
          <w:spacing w:val="0"/>
          <w:szCs w:val="24"/>
        </w:rPr>
        <w:t xml:space="preserve">a specified </w:t>
      </w:r>
      <w:r>
        <w:rPr>
          <w:rStyle w:val="BookTitle"/>
          <w:rFonts w:ascii="Arial" w:hAnsi="Arial" w:cs="Arial"/>
          <w:i w:val="0"/>
          <w:iCs w:val="0"/>
          <w:smallCaps w:val="0"/>
          <w:spacing w:val="0"/>
          <w:szCs w:val="24"/>
        </w:rPr>
        <w:t>bank account (subsection 123SU(2))</w:t>
      </w:r>
    </w:p>
    <w:p w:rsidR="00440E1E" w:rsidRPr="00272031" w:rsidRDefault="00440E1E" w:rsidP="00801095">
      <w:pPr>
        <w:pStyle w:val="ListParagraph"/>
        <w:numPr>
          <w:ilvl w:val="0"/>
          <w:numId w:val="20"/>
        </w:numPr>
        <w:spacing w:before="120"/>
        <w:ind w:left="714" w:hanging="357"/>
        <w:contextualSpacing w:val="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kind </w:t>
      </w:r>
      <w:r w:rsidRPr="00440E1E">
        <w:rPr>
          <w:rStyle w:val="BookTitle"/>
          <w:rFonts w:ascii="Arial" w:hAnsi="Arial" w:cs="Arial"/>
          <w:i w:val="0"/>
          <w:iCs w:val="0"/>
          <w:smallCaps w:val="0"/>
          <w:spacing w:val="0"/>
          <w:szCs w:val="24"/>
        </w:rPr>
        <w:t>of business</w:t>
      </w:r>
      <w:r>
        <w:rPr>
          <w:rStyle w:val="BookTitle"/>
          <w:rFonts w:ascii="Arial" w:hAnsi="Arial" w:cs="Arial"/>
          <w:i w:val="0"/>
          <w:iCs w:val="0"/>
          <w:smallCaps w:val="0"/>
          <w:spacing w:val="0"/>
          <w:szCs w:val="24"/>
        </w:rPr>
        <w:t xml:space="preserve">es </w:t>
      </w:r>
      <w:r w:rsidRPr="00440E1E">
        <w:rPr>
          <w:rStyle w:val="BookTitle"/>
          <w:rFonts w:ascii="Arial" w:hAnsi="Arial" w:cs="Arial"/>
          <w:i w:val="0"/>
          <w:iCs w:val="0"/>
          <w:smallCaps w:val="0"/>
          <w:spacing w:val="0"/>
          <w:szCs w:val="24"/>
        </w:rPr>
        <w:t xml:space="preserve">in relation to which transactions involving money in a </w:t>
      </w:r>
      <w:r w:rsidR="004C54F4">
        <w:rPr>
          <w:rStyle w:val="BookTitle"/>
          <w:rFonts w:ascii="Arial" w:hAnsi="Arial" w:cs="Arial"/>
          <w:i w:val="0"/>
          <w:iCs w:val="0"/>
          <w:smallCaps w:val="0"/>
          <w:spacing w:val="0"/>
          <w:szCs w:val="24"/>
        </w:rPr>
        <w:t>relevant</w:t>
      </w:r>
      <w:r w:rsidRPr="00440E1E">
        <w:rPr>
          <w:rStyle w:val="BookTitle"/>
          <w:rFonts w:ascii="Arial" w:hAnsi="Arial" w:cs="Arial"/>
          <w:i w:val="0"/>
          <w:iCs w:val="0"/>
          <w:smallCaps w:val="0"/>
          <w:spacing w:val="0"/>
          <w:szCs w:val="24"/>
        </w:rPr>
        <w:t xml:space="preserve"> bank account may be declined by a financial institution</w:t>
      </w:r>
      <w:r w:rsidR="00FC0375">
        <w:rPr>
          <w:rStyle w:val="BookTitle"/>
          <w:rFonts w:ascii="Arial" w:hAnsi="Arial" w:cs="Arial"/>
          <w:i w:val="0"/>
          <w:iCs w:val="0"/>
          <w:smallCaps w:val="0"/>
          <w:spacing w:val="0"/>
          <w:szCs w:val="24"/>
        </w:rPr>
        <w:t xml:space="preserve"> (subsection 123SV(2))</w:t>
      </w:r>
      <w:r w:rsidR="002F2A26">
        <w:rPr>
          <w:rStyle w:val="BookTitle"/>
          <w:rFonts w:ascii="Arial" w:hAnsi="Arial" w:cs="Arial"/>
          <w:i w:val="0"/>
          <w:iCs w:val="0"/>
          <w:smallCaps w:val="0"/>
          <w:spacing w:val="0"/>
          <w:szCs w:val="24"/>
        </w:rPr>
        <w:t>.</w:t>
      </w:r>
    </w:p>
    <w:p w:rsidR="00440E1E" w:rsidRDefault="00440E1E" w:rsidP="00801095">
      <w:pPr>
        <w:spacing w:before="0"/>
        <w:jc w:val="both"/>
        <w:rPr>
          <w:rStyle w:val="BookTitle"/>
          <w:rFonts w:ascii="Arial" w:hAnsi="Arial" w:cs="Arial"/>
          <w:i w:val="0"/>
          <w:iCs w:val="0"/>
          <w:smallCaps w:val="0"/>
          <w:spacing w:val="0"/>
          <w:szCs w:val="24"/>
        </w:rPr>
      </w:pPr>
    </w:p>
    <w:p w:rsidR="00DE655A" w:rsidRDefault="00DE655A" w:rsidP="00801095">
      <w:pPr>
        <w:spacing w:before="0"/>
        <w:jc w:val="both"/>
        <w:rPr>
          <w:rStyle w:val="BookTitle"/>
          <w:rFonts w:ascii="Arial" w:hAnsi="Arial" w:cs="Arial"/>
          <w:i w:val="0"/>
          <w:iCs w:val="0"/>
          <w:smallCaps w:val="0"/>
          <w:spacing w:val="0"/>
          <w:szCs w:val="24"/>
        </w:rPr>
      </w:pPr>
      <w:r w:rsidRPr="00533C52">
        <w:rPr>
          <w:rStyle w:val="BookTitle"/>
          <w:rFonts w:ascii="Arial" w:hAnsi="Arial" w:cs="Arial"/>
          <w:i w:val="0"/>
          <w:iCs w:val="0"/>
          <w:smallCaps w:val="0"/>
          <w:spacing w:val="0"/>
          <w:szCs w:val="24"/>
        </w:rPr>
        <w:t xml:space="preserve">The Determination also repeals the </w:t>
      </w:r>
      <w:r w:rsidRPr="00533C52">
        <w:rPr>
          <w:rStyle w:val="BookTitle"/>
          <w:rFonts w:ascii="Arial" w:hAnsi="Arial" w:cs="Arial"/>
          <w:iCs w:val="0"/>
          <w:smallCaps w:val="0"/>
          <w:spacing w:val="0"/>
          <w:szCs w:val="24"/>
        </w:rPr>
        <w:t>Social Security (Administration) (Cashless Welfare Arrangements) (Declinable Transactions and Welfare Restricted Bank Account) Determination 2019</w:t>
      </w:r>
      <w:r w:rsidRPr="00533C52">
        <w:rPr>
          <w:rStyle w:val="BookTitle"/>
          <w:rFonts w:ascii="Arial" w:hAnsi="Arial" w:cs="Arial"/>
          <w:i w:val="0"/>
          <w:iCs w:val="0"/>
          <w:smallCaps w:val="0"/>
          <w:spacing w:val="0"/>
          <w:szCs w:val="24"/>
        </w:rPr>
        <w:t xml:space="preserve"> (the 2019 Determination)</w:t>
      </w:r>
      <w:r w:rsidR="00FD5631" w:rsidRPr="00533C52">
        <w:rPr>
          <w:rStyle w:val="BookTitle"/>
          <w:rFonts w:ascii="Arial" w:hAnsi="Arial" w:cs="Arial"/>
          <w:i w:val="0"/>
          <w:iCs w:val="0"/>
          <w:smallCaps w:val="0"/>
          <w:spacing w:val="0"/>
          <w:szCs w:val="24"/>
        </w:rPr>
        <w:t xml:space="preserve">. This reflects </w:t>
      </w:r>
      <w:r w:rsidRPr="00533C52">
        <w:rPr>
          <w:rStyle w:val="BookTitle"/>
          <w:rFonts w:ascii="Arial" w:hAnsi="Arial" w:cs="Arial"/>
          <w:i w:val="0"/>
          <w:iCs w:val="0"/>
          <w:smallCaps w:val="0"/>
          <w:spacing w:val="0"/>
          <w:szCs w:val="24"/>
        </w:rPr>
        <w:t xml:space="preserve">the </w:t>
      </w:r>
      <w:r w:rsidR="0008486D" w:rsidRPr="00533C52">
        <w:rPr>
          <w:rStyle w:val="BookTitle"/>
          <w:rFonts w:ascii="Arial" w:hAnsi="Arial" w:cs="Arial"/>
          <w:i w:val="0"/>
          <w:iCs w:val="0"/>
          <w:smallCaps w:val="0"/>
          <w:spacing w:val="0"/>
          <w:szCs w:val="24"/>
        </w:rPr>
        <w:t>repeal of</w:t>
      </w:r>
      <w:r w:rsidRPr="00533C52">
        <w:rPr>
          <w:rStyle w:val="BookTitle"/>
          <w:rFonts w:ascii="Arial" w:hAnsi="Arial" w:cs="Arial"/>
          <w:i w:val="0"/>
          <w:iCs w:val="0"/>
          <w:smallCaps w:val="0"/>
          <w:spacing w:val="0"/>
          <w:szCs w:val="24"/>
        </w:rPr>
        <w:t xml:space="preserve"> Part</w:t>
      </w:r>
      <w:r w:rsidR="001C036A" w:rsidRPr="00533C52">
        <w:rPr>
          <w:rStyle w:val="BookTitle"/>
          <w:rFonts w:ascii="Arial" w:hAnsi="Arial" w:cs="Arial"/>
          <w:i w:val="0"/>
          <w:iCs w:val="0"/>
          <w:smallCaps w:val="0"/>
          <w:spacing w:val="0"/>
          <w:szCs w:val="24"/>
        </w:rPr>
        <w:t xml:space="preserve"> </w:t>
      </w:r>
      <w:r w:rsidR="006A53BA" w:rsidRPr="00533C52">
        <w:rPr>
          <w:rStyle w:val="BookTitle"/>
          <w:rFonts w:ascii="Arial" w:hAnsi="Arial" w:cs="Arial"/>
          <w:i w:val="0"/>
          <w:iCs w:val="0"/>
          <w:smallCaps w:val="0"/>
          <w:spacing w:val="0"/>
          <w:szCs w:val="24"/>
        </w:rPr>
        <w:t>3</w:t>
      </w:r>
      <w:r w:rsidR="003C3031" w:rsidRPr="00533C52">
        <w:rPr>
          <w:rStyle w:val="BookTitle"/>
          <w:rFonts w:ascii="Arial" w:hAnsi="Arial" w:cs="Arial"/>
          <w:i w:val="0"/>
          <w:iCs w:val="0"/>
          <w:smallCaps w:val="0"/>
          <w:spacing w:val="0"/>
          <w:szCs w:val="24"/>
        </w:rPr>
        <w:t>D</w:t>
      </w:r>
      <w:r w:rsidR="001C036A" w:rsidRPr="00533C52">
        <w:rPr>
          <w:rStyle w:val="BookTitle"/>
          <w:rFonts w:ascii="Arial" w:hAnsi="Arial" w:cs="Arial"/>
          <w:i w:val="0"/>
          <w:iCs w:val="0"/>
          <w:smallCaps w:val="0"/>
          <w:spacing w:val="0"/>
          <w:szCs w:val="24"/>
        </w:rPr>
        <w:t xml:space="preserve"> of the Act </w:t>
      </w:r>
      <w:r w:rsidR="00A7558D" w:rsidRPr="00533C52">
        <w:rPr>
          <w:rStyle w:val="BookTitle"/>
          <w:rFonts w:ascii="Arial" w:hAnsi="Arial" w:cs="Arial"/>
          <w:i w:val="0"/>
          <w:iCs w:val="0"/>
          <w:smallCaps w:val="0"/>
          <w:spacing w:val="0"/>
          <w:szCs w:val="24"/>
        </w:rPr>
        <w:t xml:space="preserve">by the </w:t>
      </w:r>
      <w:r w:rsidR="00A7558D" w:rsidRPr="00533C52">
        <w:rPr>
          <w:rFonts w:ascii="Arial" w:hAnsi="Arial" w:cs="Arial"/>
          <w:i/>
          <w:iCs/>
          <w:szCs w:val="24"/>
        </w:rPr>
        <w:t>Social Security (Administration) Amendment (Repeal of Cashless Debit Card and Other Measures) Act 2022</w:t>
      </w:r>
      <w:r w:rsidR="00A7558D" w:rsidRPr="00533C52">
        <w:rPr>
          <w:rFonts w:ascii="Arial" w:hAnsi="Arial" w:cs="Arial"/>
          <w:iCs/>
          <w:szCs w:val="24"/>
        </w:rPr>
        <w:t xml:space="preserve"> (the CDC Repeal Act)</w:t>
      </w:r>
      <w:r w:rsidR="0008486D" w:rsidRPr="00533C52">
        <w:rPr>
          <w:rStyle w:val="BookTitle"/>
          <w:rFonts w:ascii="Arial" w:hAnsi="Arial" w:cs="Arial"/>
          <w:i w:val="0"/>
          <w:iCs w:val="0"/>
          <w:smallCaps w:val="0"/>
          <w:spacing w:val="0"/>
          <w:szCs w:val="24"/>
        </w:rPr>
        <w:t xml:space="preserve">. </w:t>
      </w:r>
      <w:r w:rsidR="00A7558D" w:rsidRPr="00533C52">
        <w:rPr>
          <w:rStyle w:val="BookTitle"/>
          <w:rFonts w:ascii="Arial" w:hAnsi="Arial" w:cs="Arial"/>
          <w:i w:val="0"/>
          <w:iCs w:val="0"/>
          <w:smallCaps w:val="0"/>
          <w:spacing w:val="0"/>
          <w:szCs w:val="24"/>
        </w:rPr>
        <w:t>Part 3D of the Act established cashless welfare arrangements (also known as the Cashless Debit Card or CDC program).</w:t>
      </w:r>
    </w:p>
    <w:p w:rsidR="006C587C" w:rsidRDefault="006C587C" w:rsidP="00801095">
      <w:pPr>
        <w:spacing w:before="0"/>
        <w:jc w:val="both"/>
        <w:rPr>
          <w:rStyle w:val="BookTitle"/>
          <w:rFonts w:ascii="Arial" w:hAnsi="Arial" w:cs="Arial"/>
          <w:i w:val="0"/>
          <w:iCs w:val="0"/>
          <w:smallCaps w:val="0"/>
          <w:spacing w:val="0"/>
          <w:szCs w:val="24"/>
        </w:rPr>
      </w:pPr>
    </w:p>
    <w:p w:rsidR="006C587C" w:rsidRPr="001C036A" w:rsidRDefault="006C587C"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SmartCard ensures enhanced IM participants have access to contemporary technology underpinned by the BasicsCard bank account.</w:t>
      </w:r>
    </w:p>
    <w:p w:rsidR="00DD61A2" w:rsidRDefault="00DD61A2" w:rsidP="00801095">
      <w:pPr>
        <w:jc w:val="both"/>
        <w:rPr>
          <w:rStyle w:val="BookTitle"/>
          <w:rFonts w:ascii="Arial" w:hAnsi="Arial" w:cs="Arial"/>
          <w:b/>
          <w:i w:val="0"/>
          <w:iCs w:val="0"/>
          <w:smallCaps w:val="0"/>
          <w:spacing w:val="0"/>
          <w:szCs w:val="24"/>
        </w:rPr>
      </w:pPr>
    </w:p>
    <w:p w:rsidR="00DD61A2" w:rsidRDefault="00DD61A2" w:rsidP="00801095">
      <w:pPr>
        <w:jc w:val="both"/>
        <w:rPr>
          <w:rStyle w:val="BookTitle"/>
          <w:rFonts w:ascii="Arial" w:hAnsi="Arial" w:cs="Arial"/>
          <w:b/>
          <w:i w:val="0"/>
          <w:iCs w:val="0"/>
          <w:smallCaps w:val="0"/>
          <w:spacing w:val="0"/>
          <w:szCs w:val="24"/>
        </w:rPr>
      </w:pPr>
    </w:p>
    <w:p w:rsidR="0015134A" w:rsidRPr="00BC76EB" w:rsidRDefault="0015134A" w:rsidP="00801095">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660011" w:rsidRDefault="00660011" w:rsidP="00801095">
      <w:pPr>
        <w:spacing w:before="0"/>
        <w:jc w:val="both"/>
        <w:rPr>
          <w:rFonts w:ascii="Arial" w:hAnsi="Arial" w:cs="Arial"/>
          <w:szCs w:val="24"/>
        </w:rPr>
      </w:pPr>
    </w:p>
    <w:p w:rsidR="00864702" w:rsidRPr="007C1B92" w:rsidRDefault="00864702" w:rsidP="00801095">
      <w:pPr>
        <w:spacing w:before="0"/>
        <w:jc w:val="both"/>
        <w:rPr>
          <w:rFonts w:ascii="Arial" w:hAnsi="Arial" w:cs="Arial"/>
          <w:szCs w:val="24"/>
        </w:rPr>
      </w:pPr>
      <w:r>
        <w:rPr>
          <w:rFonts w:ascii="Arial" w:hAnsi="Arial" w:cs="Arial"/>
          <w:szCs w:val="24"/>
        </w:rPr>
        <w:t xml:space="preserve">The </w:t>
      </w:r>
      <w:r w:rsidR="00263392">
        <w:rPr>
          <w:rFonts w:ascii="Arial" w:hAnsi="Arial" w:cs="Arial"/>
          <w:szCs w:val="24"/>
        </w:rPr>
        <w:t>enhanced income management</w:t>
      </w:r>
      <w:r w:rsidR="003F2DA0">
        <w:rPr>
          <w:rFonts w:ascii="Arial" w:hAnsi="Arial" w:cs="Arial"/>
          <w:szCs w:val="24"/>
        </w:rPr>
        <w:t xml:space="preserve"> regime </w:t>
      </w:r>
      <w:r w:rsidR="003C3031">
        <w:rPr>
          <w:rFonts w:ascii="Arial" w:hAnsi="Arial" w:cs="Arial"/>
          <w:szCs w:val="24"/>
        </w:rPr>
        <w:t>forms</w:t>
      </w:r>
      <w:r w:rsidR="001C036A">
        <w:rPr>
          <w:rFonts w:ascii="Arial" w:hAnsi="Arial" w:cs="Arial"/>
          <w:szCs w:val="24"/>
        </w:rPr>
        <w:t xml:space="preserve"> </w:t>
      </w:r>
      <w:r w:rsidR="003C3031">
        <w:rPr>
          <w:rFonts w:ascii="Arial" w:hAnsi="Arial" w:cs="Arial"/>
          <w:szCs w:val="24"/>
        </w:rPr>
        <w:t xml:space="preserve">an essential </w:t>
      </w:r>
      <w:r w:rsidR="00CA30E0" w:rsidRPr="00CA30E0">
        <w:rPr>
          <w:rFonts w:ascii="Arial" w:hAnsi="Arial" w:cs="Arial"/>
          <w:szCs w:val="24"/>
        </w:rPr>
        <w:t xml:space="preserve">part </w:t>
      </w:r>
      <w:r>
        <w:rPr>
          <w:rFonts w:ascii="Arial" w:hAnsi="Arial" w:cs="Arial"/>
          <w:szCs w:val="24"/>
        </w:rPr>
        <w:t>of the</w:t>
      </w:r>
      <w:r w:rsidR="00CA30E0" w:rsidRPr="00CA30E0">
        <w:rPr>
          <w:rFonts w:ascii="Arial" w:hAnsi="Arial" w:cs="Arial"/>
          <w:szCs w:val="24"/>
        </w:rPr>
        <w:t xml:space="preserve"> </w:t>
      </w:r>
      <w:r w:rsidR="00CA30E0">
        <w:rPr>
          <w:rFonts w:ascii="Arial" w:hAnsi="Arial" w:cs="Arial"/>
        </w:rPr>
        <w:t xml:space="preserve">government’s election commitment to reform income management </w:t>
      </w:r>
      <w:r w:rsidR="00660011">
        <w:rPr>
          <w:rFonts w:ascii="Arial" w:hAnsi="Arial" w:cs="Arial"/>
        </w:rPr>
        <w:t xml:space="preserve">and abolish </w:t>
      </w:r>
      <w:r w:rsidR="00A6722F">
        <w:rPr>
          <w:rFonts w:ascii="Arial" w:hAnsi="Arial" w:cs="Arial"/>
        </w:rPr>
        <w:t>the CDC program</w:t>
      </w:r>
      <w:r w:rsidR="00CA30E0">
        <w:rPr>
          <w:rFonts w:ascii="Arial" w:hAnsi="Arial" w:cs="Arial"/>
        </w:rPr>
        <w:t xml:space="preserve">. </w:t>
      </w:r>
      <w:r>
        <w:rPr>
          <w:rFonts w:ascii="Arial" w:hAnsi="Arial" w:cs="Arial"/>
          <w:szCs w:val="24"/>
        </w:rPr>
        <w:t>T</w:t>
      </w:r>
      <w:r w:rsidRPr="007C1B92">
        <w:rPr>
          <w:rFonts w:ascii="Arial" w:hAnsi="Arial" w:cs="Arial"/>
          <w:szCs w:val="24"/>
        </w:rPr>
        <w:t xml:space="preserve">he purpose of </w:t>
      </w:r>
      <w:r>
        <w:rPr>
          <w:rFonts w:ascii="Arial" w:hAnsi="Arial" w:cs="Arial"/>
          <w:szCs w:val="24"/>
        </w:rPr>
        <w:t xml:space="preserve">the </w:t>
      </w:r>
      <w:r w:rsidR="00263392">
        <w:rPr>
          <w:rFonts w:ascii="Arial" w:hAnsi="Arial" w:cs="Arial"/>
          <w:szCs w:val="24"/>
        </w:rPr>
        <w:t>enhanced income management</w:t>
      </w:r>
      <w:r>
        <w:rPr>
          <w:rFonts w:ascii="Arial" w:hAnsi="Arial" w:cs="Arial"/>
          <w:szCs w:val="24"/>
        </w:rPr>
        <w:t xml:space="preserve"> regime</w:t>
      </w:r>
      <w:r w:rsidRPr="007C1B92">
        <w:rPr>
          <w:rFonts w:ascii="Arial" w:hAnsi="Arial" w:cs="Arial"/>
          <w:szCs w:val="24"/>
        </w:rPr>
        <w:t xml:space="preserve"> is to</w:t>
      </w:r>
      <w:r>
        <w:rPr>
          <w:rFonts w:ascii="Arial" w:hAnsi="Arial" w:cs="Arial"/>
          <w:szCs w:val="24"/>
        </w:rPr>
        <w:t xml:space="preserve"> ensure that welfare payments are not spent on products and services that contribute to social harm and</w:t>
      </w:r>
      <w:r w:rsidR="007F300E">
        <w:rPr>
          <w:rFonts w:ascii="Arial" w:hAnsi="Arial" w:cs="Arial"/>
          <w:szCs w:val="24"/>
        </w:rPr>
        <w:t>, in conjunction with a services support program,</w:t>
      </w:r>
      <w:r>
        <w:rPr>
          <w:rFonts w:ascii="Arial" w:hAnsi="Arial" w:cs="Arial"/>
          <w:szCs w:val="24"/>
        </w:rPr>
        <w:t xml:space="preserve"> to</w:t>
      </w:r>
      <w:r w:rsidR="007F300E">
        <w:rPr>
          <w:rFonts w:ascii="Arial" w:hAnsi="Arial" w:cs="Arial"/>
          <w:szCs w:val="24"/>
        </w:rPr>
        <w:t> </w:t>
      </w:r>
      <w:r>
        <w:rPr>
          <w:rFonts w:ascii="Arial" w:hAnsi="Arial" w:cs="Arial"/>
          <w:szCs w:val="24"/>
        </w:rPr>
        <w:t>provide budgeting support for participants</w:t>
      </w:r>
      <w:r w:rsidR="0008486D">
        <w:rPr>
          <w:rFonts w:ascii="Arial" w:hAnsi="Arial" w:cs="Arial"/>
          <w:szCs w:val="24"/>
        </w:rPr>
        <w:t>.</w:t>
      </w:r>
    </w:p>
    <w:p w:rsidR="00864702" w:rsidRPr="007C1B92" w:rsidRDefault="00864702" w:rsidP="00801095">
      <w:pPr>
        <w:spacing w:before="0"/>
        <w:jc w:val="both"/>
        <w:rPr>
          <w:rFonts w:ascii="Arial" w:hAnsi="Arial" w:cs="Arial"/>
          <w:szCs w:val="24"/>
        </w:rPr>
      </w:pPr>
    </w:p>
    <w:p w:rsidR="00335188" w:rsidRDefault="001C036A" w:rsidP="00801095">
      <w:pPr>
        <w:spacing w:before="0"/>
        <w:jc w:val="both"/>
        <w:rPr>
          <w:rFonts w:ascii="Arial" w:hAnsi="Arial" w:cs="Arial"/>
          <w:szCs w:val="24"/>
        </w:rPr>
      </w:pPr>
      <w:r>
        <w:rPr>
          <w:rFonts w:ascii="Arial" w:hAnsi="Arial" w:cs="Arial"/>
          <w:szCs w:val="24"/>
        </w:rPr>
        <w:t>Individuals subject to</w:t>
      </w:r>
      <w:r w:rsidR="00864702">
        <w:rPr>
          <w:rFonts w:ascii="Arial" w:hAnsi="Arial" w:cs="Arial"/>
          <w:szCs w:val="24"/>
        </w:rPr>
        <w:t xml:space="preserve"> the </w:t>
      </w:r>
      <w:r w:rsidR="00263392">
        <w:rPr>
          <w:rFonts w:ascii="Arial" w:hAnsi="Arial" w:cs="Arial"/>
          <w:szCs w:val="24"/>
        </w:rPr>
        <w:t>enhanced income management</w:t>
      </w:r>
      <w:r w:rsidR="00864702">
        <w:rPr>
          <w:rFonts w:ascii="Arial" w:hAnsi="Arial" w:cs="Arial"/>
          <w:szCs w:val="24"/>
        </w:rPr>
        <w:t xml:space="preserve"> regime will</w:t>
      </w:r>
      <w:r w:rsidR="00864702" w:rsidRPr="007C1B92">
        <w:rPr>
          <w:rFonts w:ascii="Arial" w:hAnsi="Arial" w:cs="Arial"/>
          <w:szCs w:val="24"/>
        </w:rPr>
        <w:t xml:space="preserve"> receive </w:t>
      </w:r>
      <w:r w:rsidR="00864702">
        <w:rPr>
          <w:rFonts w:ascii="Arial" w:hAnsi="Arial" w:cs="Arial"/>
          <w:szCs w:val="24"/>
        </w:rPr>
        <w:t>a portion</w:t>
      </w:r>
      <w:r w:rsidR="00864702" w:rsidRPr="007C1B92">
        <w:rPr>
          <w:rFonts w:ascii="Arial" w:hAnsi="Arial" w:cs="Arial"/>
          <w:szCs w:val="24"/>
        </w:rPr>
        <w:t xml:space="preserve"> of their welfare payments in a</w:t>
      </w:r>
      <w:r w:rsidR="004C54F4">
        <w:rPr>
          <w:rFonts w:ascii="Arial" w:hAnsi="Arial" w:cs="Arial"/>
          <w:szCs w:val="24"/>
        </w:rPr>
        <w:t>n</w:t>
      </w:r>
      <w:r w:rsidR="00864702" w:rsidRPr="007C1B92">
        <w:rPr>
          <w:rFonts w:ascii="Arial" w:hAnsi="Arial" w:cs="Arial"/>
          <w:szCs w:val="24"/>
        </w:rPr>
        <w:t xml:space="preserve"> account</w:t>
      </w:r>
      <w:r w:rsidR="004C54F4">
        <w:rPr>
          <w:rFonts w:ascii="Arial" w:hAnsi="Arial" w:cs="Arial"/>
          <w:szCs w:val="24"/>
        </w:rPr>
        <w:t xml:space="preserve"> that is linked to a SmartCard</w:t>
      </w:r>
      <w:r w:rsidR="00660011">
        <w:rPr>
          <w:rFonts w:ascii="Arial" w:hAnsi="Arial" w:cs="Arial"/>
          <w:szCs w:val="24"/>
        </w:rPr>
        <w:t xml:space="preserve">. </w:t>
      </w:r>
      <w:r w:rsidR="00335188">
        <w:rPr>
          <w:rFonts w:ascii="Arial" w:hAnsi="Arial" w:cs="Arial"/>
          <w:szCs w:val="24"/>
        </w:rPr>
        <w:t xml:space="preserve">This is a bank account established with Indue or Traditional Credit Union. Amounts deposited into this account </w:t>
      </w:r>
      <w:r w:rsidR="00660011">
        <w:rPr>
          <w:rFonts w:ascii="Arial" w:hAnsi="Arial" w:cs="Arial"/>
          <w:szCs w:val="24"/>
        </w:rPr>
        <w:t>can be</w:t>
      </w:r>
      <w:r w:rsidR="00660011" w:rsidRPr="007C1B92">
        <w:rPr>
          <w:rFonts w:ascii="Arial" w:hAnsi="Arial" w:cs="Arial"/>
          <w:szCs w:val="24"/>
        </w:rPr>
        <w:t xml:space="preserve"> </w:t>
      </w:r>
      <w:r w:rsidR="00864702" w:rsidRPr="007C1B92">
        <w:rPr>
          <w:rFonts w:ascii="Arial" w:hAnsi="Arial" w:cs="Arial"/>
          <w:szCs w:val="24"/>
        </w:rPr>
        <w:t xml:space="preserve">accessed by a debit </w:t>
      </w:r>
      <w:r w:rsidR="005C0790" w:rsidRPr="007C1B92">
        <w:rPr>
          <w:rFonts w:ascii="Arial" w:hAnsi="Arial" w:cs="Arial"/>
          <w:szCs w:val="24"/>
        </w:rPr>
        <w:t>card</w:t>
      </w:r>
      <w:r w:rsidR="00335188">
        <w:rPr>
          <w:rFonts w:ascii="Arial" w:hAnsi="Arial" w:cs="Arial"/>
          <w:szCs w:val="24"/>
        </w:rPr>
        <w:t>, known as the SmartCard.</w:t>
      </w:r>
    </w:p>
    <w:p w:rsidR="00335188" w:rsidRDefault="00335188" w:rsidP="00801095">
      <w:pPr>
        <w:spacing w:before="0"/>
        <w:jc w:val="both"/>
        <w:rPr>
          <w:rFonts w:ascii="Arial" w:hAnsi="Arial" w:cs="Arial"/>
          <w:szCs w:val="24"/>
        </w:rPr>
      </w:pPr>
    </w:p>
    <w:p w:rsidR="00660011" w:rsidRDefault="00335188" w:rsidP="00801095">
      <w:pPr>
        <w:spacing w:before="0"/>
        <w:jc w:val="both"/>
        <w:rPr>
          <w:rFonts w:ascii="Arial" w:hAnsi="Arial" w:cs="Arial"/>
          <w:szCs w:val="24"/>
        </w:rPr>
      </w:pPr>
      <w:r>
        <w:rPr>
          <w:rFonts w:ascii="Arial" w:hAnsi="Arial" w:cs="Arial"/>
          <w:szCs w:val="24"/>
        </w:rPr>
        <w:t>The SmartCard</w:t>
      </w:r>
      <w:r w:rsidR="00864702" w:rsidRPr="007C1B92">
        <w:rPr>
          <w:rFonts w:ascii="Arial" w:hAnsi="Arial" w:cs="Arial"/>
          <w:szCs w:val="24"/>
        </w:rPr>
        <w:t xml:space="preserve"> do</w:t>
      </w:r>
      <w:r w:rsidR="00864702">
        <w:rPr>
          <w:rFonts w:ascii="Arial" w:hAnsi="Arial" w:cs="Arial"/>
          <w:szCs w:val="24"/>
        </w:rPr>
        <w:t>es not allow cash withdrawals</w:t>
      </w:r>
      <w:r w:rsidR="00456E3D">
        <w:rPr>
          <w:rFonts w:ascii="Arial" w:hAnsi="Arial" w:cs="Arial"/>
          <w:szCs w:val="24"/>
        </w:rPr>
        <w:t>, and</w:t>
      </w:r>
      <w:r w:rsidR="00660011">
        <w:rPr>
          <w:rFonts w:ascii="Arial" w:hAnsi="Arial" w:cs="Arial"/>
          <w:szCs w:val="24"/>
        </w:rPr>
        <w:t xml:space="preserve"> </w:t>
      </w:r>
      <w:r w:rsidR="00660011" w:rsidRPr="007C1B92">
        <w:rPr>
          <w:rFonts w:ascii="Arial" w:hAnsi="Arial" w:cs="Arial"/>
          <w:szCs w:val="24"/>
        </w:rPr>
        <w:t xml:space="preserve">cannot be used to purchase </w:t>
      </w:r>
      <w:r w:rsidR="00385213">
        <w:rPr>
          <w:rFonts w:ascii="Arial" w:hAnsi="Arial" w:cs="Arial"/>
          <w:szCs w:val="24"/>
        </w:rPr>
        <w:t>excluded goods, excluded services</w:t>
      </w:r>
      <w:r w:rsidR="00660011" w:rsidRPr="007C1B92">
        <w:rPr>
          <w:rFonts w:ascii="Arial" w:hAnsi="Arial" w:cs="Arial"/>
          <w:szCs w:val="24"/>
        </w:rPr>
        <w:t xml:space="preserve"> or cash-like products</w:t>
      </w:r>
      <w:r w:rsidR="00660011">
        <w:rPr>
          <w:rFonts w:ascii="Arial" w:hAnsi="Arial" w:cs="Arial"/>
          <w:szCs w:val="24"/>
        </w:rPr>
        <w:t xml:space="preserve"> (such as gift cards)</w:t>
      </w:r>
      <w:r w:rsidR="00660011" w:rsidRPr="007C1B92">
        <w:rPr>
          <w:rFonts w:ascii="Arial" w:hAnsi="Arial" w:cs="Arial"/>
          <w:szCs w:val="24"/>
        </w:rPr>
        <w:t xml:space="preserve"> that could be used to obtain</w:t>
      </w:r>
      <w:r w:rsidR="00660011">
        <w:rPr>
          <w:rFonts w:ascii="Arial" w:hAnsi="Arial" w:cs="Arial"/>
          <w:szCs w:val="24"/>
        </w:rPr>
        <w:t xml:space="preserve"> </w:t>
      </w:r>
      <w:r w:rsidR="00D351DD">
        <w:rPr>
          <w:rFonts w:ascii="Arial" w:hAnsi="Arial" w:cs="Arial"/>
          <w:szCs w:val="24"/>
        </w:rPr>
        <w:t>those goods and</w:t>
      </w:r>
      <w:r w:rsidR="00660011">
        <w:rPr>
          <w:rFonts w:ascii="Arial" w:hAnsi="Arial" w:cs="Arial"/>
          <w:szCs w:val="24"/>
        </w:rPr>
        <w:t xml:space="preserve"> services</w:t>
      </w:r>
      <w:r w:rsidR="00660011" w:rsidRPr="007C1B92">
        <w:rPr>
          <w:rFonts w:ascii="Arial" w:hAnsi="Arial" w:cs="Arial"/>
          <w:szCs w:val="24"/>
        </w:rPr>
        <w:t>.</w:t>
      </w:r>
      <w:r w:rsidR="00660011" w:rsidRPr="00660011">
        <w:rPr>
          <w:rFonts w:ascii="Arial" w:hAnsi="Arial" w:cs="Arial"/>
          <w:szCs w:val="24"/>
        </w:rPr>
        <w:t xml:space="preserve"> </w:t>
      </w:r>
      <w:r w:rsidR="00456E3D">
        <w:rPr>
          <w:rFonts w:ascii="Arial" w:hAnsi="Arial" w:cs="Arial"/>
          <w:szCs w:val="24"/>
        </w:rPr>
        <w:t>This</w:t>
      </w:r>
      <w:r w:rsidR="0080184F">
        <w:rPr>
          <w:rFonts w:ascii="Arial" w:hAnsi="Arial" w:cs="Arial"/>
          <w:szCs w:val="24"/>
        </w:rPr>
        <w:t> </w:t>
      </w:r>
      <w:r w:rsidR="00456E3D">
        <w:rPr>
          <w:rFonts w:ascii="Arial" w:hAnsi="Arial" w:cs="Arial"/>
          <w:szCs w:val="24"/>
        </w:rPr>
        <w:t>ensures that individuals subject to the enhanced income management regime have sufficient money available to pay for everyday human needs such as bills, food, and housing.</w:t>
      </w:r>
    </w:p>
    <w:p w:rsidR="00814762" w:rsidRDefault="00814762" w:rsidP="00801095">
      <w:pPr>
        <w:spacing w:before="0"/>
        <w:jc w:val="both"/>
        <w:rPr>
          <w:rFonts w:ascii="Arial" w:hAnsi="Arial" w:cs="Arial"/>
          <w:szCs w:val="24"/>
        </w:rPr>
      </w:pPr>
    </w:p>
    <w:p w:rsidR="00660011" w:rsidRDefault="00660011" w:rsidP="00801095">
      <w:pPr>
        <w:spacing w:before="0"/>
        <w:jc w:val="both"/>
        <w:rPr>
          <w:rFonts w:ascii="Arial" w:hAnsi="Arial" w:cs="Arial"/>
          <w:szCs w:val="24"/>
        </w:rPr>
      </w:pPr>
      <w:r>
        <w:rPr>
          <w:rFonts w:ascii="Arial" w:hAnsi="Arial" w:cs="Arial"/>
          <w:szCs w:val="24"/>
        </w:rPr>
        <w:t xml:space="preserve">Using the </w:t>
      </w:r>
      <w:r w:rsidR="004C54F4">
        <w:rPr>
          <w:rFonts w:ascii="Arial" w:hAnsi="Arial" w:cs="Arial"/>
          <w:szCs w:val="24"/>
        </w:rPr>
        <w:t>SmartCard</w:t>
      </w:r>
      <w:r>
        <w:rPr>
          <w:rFonts w:ascii="Arial" w:hAnsi="Arial" w:cs="Arial"/>
          <w:szCs w:val="24"/>
        </w:rPr>
        <w:t xml:space="preserve">, purchases can be made at over one million terminal locations around Australia compared to the more limited technology </w:t>
      </w:r>
      <w:r w:rsidR="00F61711">
        <w:rPr>
          <w:rFonts w:ascii="Arial" w:hAnsi="Arial" w:cs="Arial"/>
          <w:szCs w:val="24"/>
        </w:rPr>
        <w:t xml:space="preserve">utilised </w:t>
      </w:r>
      <w:r>
        <w:rPr>
          <w:rFonts w:ascii="Arial" w:hAnsi="Arial" w:cs="Arial"/>
          <w:szCs w:val="24"/>
        </w:rPr>
        <w:t>by the income management scheme</w:t>
      </w:r>
      <w:r w:rsidR="00A7558D">
        <w:rPr>
          <w:rFonts w:ascii="Arial" w:hAnsi="Arial" w:cs="Arial"/>
          <w:szCs w:val="24"/>
        </w:rPr>
        <w:t xml:space="preserve"> in Part 3B of the Act</w:t>
      </w:r>
      <w:r>
        <w:rPr>
          <w:rFonts w:ascii="Arial" w:hAnsi="Arial" w:cs="Arial"/>
          <w:szCs w:val="24"/>
        </w:rPr>
        <w:t>.</w:t>
      </w:r>
    </w:p>
    <w:p w:rsidR="00660011" w:rsidRDefault="00660011" w:rsidP="00801095">
      <w:pPr>
        <w:spacing w:before="0"/>
        <w:jc w:val="both"/>
        <w:rPr>
          <w:rFonts w:ascii="Arial" w:hAnsi="Arial" w:cs="Arial"/>
          <w:szCs w:val="24"/>
        </w:rPr>
      </w:pPr>
    </w:p>
    <w:p w:rsidR="00660011" w:rsidRPr="0079011D" w:rsidRDefault="00660011" w:rsidP="00801095">
      <w:pPr>
        <w:spacing w:before="0"/>
        <w:jc w:val="both"/>
        <w:rPr>
          <w:rFonts w:ascii="Arial" w:hAnsi="Arial" w:cs="Arial"/>
          <w:b/>
          <w:szCs w:val="24"/>
        </w:rPr>
      </w:pPr>
      <w:r w:rsidRPr="0079011D">
        <w:rPr>
          <w:rFonts w:ascii="Arial" w:hAnsi="Arial" w:cs="Arial"/>
          <w:b/>
          <w:szCs w:val="24"/>
        </w:rPr>
        <w:t>Commencement</w:t>
      </w:r>
    </w:p>
    <w:p w:rsidR="00CA30E0" w:rsidRDefault="00CA30E0" w:rsidP="00801095">
      <w:pPr>
        <w:spacing w:before="0"/>
        <w:jc w:val="both"/>
        <w:rPr>
          <w:rFonts w:ascii="Arial" w:hAnsi="Arial" w:cs="Arial"/>
          <w:szCs w:val="24"/>
        </w:rPr>
      </w:pPr>
    </w:p>
    <w:p w:rsidR="00814762" w:rsidRPr="00A7558D" w:rsidRDefault="00814762"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Sections 1 to 8 and </w:t>
      </w:r>
      <w:r w:rsidR="00B97B22">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chedules 1 to 4 to t</w:t>
      </w:r>
      <w:r w:rsidR="000F25A4" w:rsidRPr="007C1B92">
        <w:rPr>
          <w:rStyle w:val="BookTitle"/>
          <w:rFonts w:ascii="Arial" w:hAnsi="Arial" w:cs="Arial"/>
          <w:i w:val="0"/>
          <w:iCs w:val="0"/>
          <w:smallCaps w:val="0"/>
          <w:spacing w:val="0"/>
          <w:szCs w:val="24"/>
        </w:rPr>
        <w:t xml:space="preserve">he Determination </w:t>
      </w:r>
      <w:r>
        <w:rPr>
          <w:rStyle w:val="BookTitle"/>
          <w:rFonts w:ascii="Arial" w:hAnsi="Arial" w:cs="Arial"/>
          <w:i w:val="0"/>
          <w:iCs w:val="0"/>
          <w:smallCaps w:val="0"/>
          <w:spacing w:val="0"/>
          <w:szCs w:val="24"/>
        </w:rPr>
        <w:t xml:space="preserve">will </w:t>
      </w:r>
      <w:r w:rsidR="000F25A4" w:rsidRPr="007C1B92">
        <w:rPr>
          <w:rStyle w:val="BookTitle"/>
          <w:rFonts w:ascii="Arial" w:hAnsi="Arial" w:cs="Arial"/>
          <w:i w:val="0"/>
          <w:iCs w:val="0"/>
          <w:smallCaps w:val="0"/>
          <w:spacing w:val="0"/>
          <w:szCs w:val="24"/>
        </w:rPr>
        <w:t xml:space="preserve">commence on the day after </w:t>
      </w:r>
      <w:r>
        <w:rPr>
          <w:rStyle w:val="BookTitle"/>
          <w:rFonts w:ascii="Arial" w:hAnsi="Arial" w:cs="Arial"/>
          <w:i w:val="0"/>
          <w:iCs w:val="0"/>
          <w:smallCaps w:val="0"/>
          <w:spacing w:val="0"/>
          <w:szCs w:val="24"/>
        </w:rPr>
        <w:t>the Determination</w:t>
      </w:r>
      <w:r w:rsidRPr="007C1B92">
        <w:rPr>
          <w:rStyle w:val="BookTitle"/>
          <w:rFonts w:ascii="Arial" w:hAnsi="Arial" w:cs="Arial"/>
          <w:i w:val="0"/>
          <w:iCs w:val="0"/>
          <w:smallCaps w:val="0"/>
          <w:spacing w:val="0"/>
          <w:szCs w:val="24"/>
        </w:rPr>
        <w:t xml:space="preserve"> </w:t>
      </w:r>
      <w:r w:rsidR="000F25A4" w:rsidRPr="007C1B92">
        <w:rPr>
          <w:rStyle w:val="BookTitle"/>
          <w:rFonts w:ascii="Arial" w:hAnsi="Arial" w:cs="Arial"/>
          <w:i w:val="0"/>
          <w:iCs w:val="0"/>
          <w:smallCaps w:val="0"/>
          <w:spacing w:val="0"/>
          <w:szCs w:val="24"/>
        </w:rPr>
        <w:t xml:space="preserve">is registered on the Federal Register of Legislation. </w:t>
      </w:r>
    </w:p>
    <w:p w:rsidR="00814762" w:rsidRDefault="00814762" w:rsidP="00801095">
      <w:pPr>
        <w:spacing w:before="0"/>
        <w:jc w:val="both"/>
        <w:rPr>
          <w:rStyle w:val="BookTitle"/>
          <w:rFonts w:ascii="Arial" w:hAnsi="Arial" w:cs="Arial"/>
          <w:i w:val="0"/>
          <w:iCs w:val="0"/>
          <w:smallCaps w:val="0"/>
          <w:spacing w:val="0"/>
          <w:szCs w:val="24"/>
        </w:rPr>
      </w:pPr>
    </w:p>
    <w:p w:rsidR="000F25A4" w:rsidRDefault="00814762" w:rsidP="00801095">
      <w:pPr>
        <w:spacing w:before="0"/>
        <w:jc w:val="both"/>
        <w:rPr>
          <w:rFonts w:ascii="Arial" w:hAnsi="Arial" w:cs="Arial"/>
          <w:iCs/>
          <w:szCs w:val="24"/>
        </w:rPr>
      </w:pPr>
      <w:r w:rsidRPr="00EF3658">
        <w:rPr>
          <w:rStyle w:val="BookTitle"/>
          <w:rFonts w:ascii="Arial" w:hAnsi="Arial" w:cs="Arial"/>
          <w:i w:val="0"/>
          <w:iCs w:val="0"/>
          <w:smallCaps w:val="0"/>
          <w:spacing w:val="0"/>
          <w:szCs w:val="24"/>
        </w:rPr>
        <w:t xml:space="preserve">Schedule 5 to the Determination will commence </w:t>
      </w:r>
      <w:r w:rsidRPr="00EF3658">
        <w:rPr>
          <w:rFonts w:ascii="Arial" w:hAnsi="Arial" w:cs="Arial"/>
          <w:szCs w:val="24"/>
        </w:rPr>
        <w:t xml:space="preserve">immediately after the commencement of Part 2 of Schedule 1 of the </w:t>
      </w:r>
      <w:r w:rsidR="00A7558D" w:rsidRPr="00EF3658">
        <w:rPr>
          <w:rFonts w:ascii="Arial" w:hAnsi="Arial" w:cs="Arial"/>
          <w:iCs/>
          <w:szCs w:val="24"/>
        </w:rPr>
        <w:t>CDC Repeal Act</w:t>
      </w:r>
      <w:r w:rsidRPr="00EF3658">
        <w:rPr>
          <w:rFonts w:ascii="Arial" w:hAnsi="Arial" w:cs="Arial"/>
          <w:iCs/>
          <w:szCs w:val="24"/>
        </w:rPr>
        <w:t>.</w:t>
      </w:r>
      <w:bookmarkStart w:id="1" w:name="_Toc120076502"/>
      <w:r w:rsidRPr="00EF3658">
        <w:rPr>
          <w:rFonts w:ascii="Arial" w:hAnsi="Arial" w:cs="Arial"/>
          <w:iCs/>
          <w:szCs w:val="24"/>
        </w:rPr>
        <w:t xml:space="preserve"> This ensures the </w:t>
      </w:r>
      <w:bookmarkEnd w:id="1"/>
      <w:r w:rsidRPr="00EF3658">
        <w:rPr>
          <w:rFonts w:ascii="Arial" w:hAnsi="Arial" w:cs="Arial"/>
          <w:iCs/>
          <w:szCs w:val="24"/>
        </w:rPr>
        <w:t>2019 Determination is not repealed before the cashless welfare arrangements in Part 3D of the Act cease.</w:t>
      </w:r>
    </w:p>
    <w:p w:rsidR="0026381C" w:rsidRDefault="0026381C" w:rsidP="00801095">
      <w:pPr>
        <w:spacing w:before="0"/>
        <w:jc w:val="both"/>
        <w:rPr>
          <w:rFonts w:ascii="Arial" w:hAnsi="Arial" w:cs="Arial"/>
          <w:iCs/>
          <w:szCs w:val="24"/>
        </w:rPr>
      </w:pPr>
    </w:p>
    <w:p w:rsidR="0026381C" w:rsidRPr="009811D0" w:rsidRDefault="0026381C" w:rsidP="0026381C">
      <w:pPr>
        <w:spacing w:before="0"/>
        <w:jc w:val="both"/>
        <w:rPr>
          <w:rFonts w:ascii="Arial" w:hAnsi="Arial" w:cs="Arial"/>
          <w:b/>
          <w:szCs w:val="24"/>
        </w:rPr>
      </w:pPr>
      <w:r w:rsidRPr="009811D0">
        <w:rPr>
          <w:rFonts w:ascii="Arial" w:hAnsi="Arial" w:cs="Arial"/>
          <w:b/>
          <w:iCs/>
          <w:szCs w:val="24"/>
        </w:rPr>
        <w:t>Disallowable instrument</w:t>
      </w:r>
    </w:p>
    <w:p w:rsidR="0026381C" w:rsidRPr="009811D0" w:rsidRDefault="0026381C" w:rsidP="0026381C">
      <w:pPr>
        <w:spacing w:before="0"/>
        <w:jc w:val="both"/>
        <w:rPr>
          <w:rFonts w:ascii="Arial" w:hAnsi="Arial" w:cs="Arial"/>
          <w:b/>
          <w:szCs w:val="24"/>
        </w:rPr>
      </w:pPr>
    </w:p>
    <w:p w:rsidR="0026381C" w:rsidRPr="00814762" w:rsidRDefault="0026381C" w:rsidP="00801095">
      <w:pPr>
        <w:spacing w:before="0"/>
        <w:jc w:val="both"/>
        <w:rPr>
          <w:rStyle w:val="BookTitle"/>
          <w:rFonts w:ascii="Arial" w:hAnsi="Arial" w:cs="Arial"/>
          <w:i w:val="0"/>
          <w:iCs w:val="0"/>
          <w:smallCaps w:val="0"/>
          <w:spacing w:val="0"/>
          <w:szCs w:val="24"/>
        </w:rPr>
      </w:pPr>
      <w:r w:rsidRPr="009811D0">
        <w:rPr>
          <w:rFonts w:ascii="Arial" w:hAnsi="Arial" w:cs="Arial"/>
          <w:iCs/>
          <w:szCs w:val="24"/>
        </w:rPr>
        <w:t xml:space="preserve">The Determination is a </w:t>
      </w:r>
      <w:r>
        <w:rPr>
          <w:rFonts w:ascii="Arial" w:hAnsi="Arial" w:cs="Arial"/>
          <w:iCs/>
          <w:szCs w:val="24"/>
        </w:rPr>
        <w:t>legislative</w:t>
      </w:r>
      <w:r w:rsidRPr="009811D0">
        <w:rPr>
          <w:rFonts w:ascii="Arial" w:hAnsi="Arial" w:cs="Arial"/>
          <w:iCs/>
          <w:szCs w:val="24"/>
        </w:rPr>
        <w:t xml:space="preserve"> instrument for the purposes of the </w:t>
      </w:r>
      <w:r w:rsidRPr="009811D0">
        <w:rPr>
          <w:rFonts w:ascii="Arial" w:hAnsi="Arial" w:cs="Arial"/>
          <w:i/>
          <w:iCs/>
          <w:szCs w:val="24"/>
        </w:rPr>
        <w:t>Legislation Act</w:t>
      </w:r>
      <w:r w:rsidR="00043B10">
        <w:rPr>
          <w:rFonts w:ascii="Arial" w:hAnsi="Arial" w:cs="Arial"/>
          <w:i/>
          <w:iCs/>
          <w:szCs w:val="24"/>
        </w:rPr>
        <w:t> </w:t>
      </w:r>
      <w:r w:rsidRPr="009811D0">
        <w:rPr>
          <w:rFonts w:ascii="Arial" w:hAnsi="Arial" w:cs="Arial"/>
          <w:i/>
          <w:iCs/>
          <w:szCs w:val="24"/>
        </w:rPr>
        <w:t>2003</w:t>
      </w:r>
      <w:r>
        <w:rPr>
          <w:rFonts w:ascii="Arial" w:hAnsi="Arial" w:cs="Arial"/>
          <w:iCs/>
          <w:szCs w:val="24"/>
        </w:rPr>
        <w:t>, and is subject to disallowance by either House of Parliament</w:t>
      </w:r>
      <w:r w:rsidRPr="009811D0">
        <w:rPr>
          <w:rFonts w:ascii="Arial" w:hAnsi="Arial" w:cs="Arial"/>
          <w:iCs/>
          <w:szCs w:val="24"/>
        </w:rPr>
        <w:t>.</w:t>
      </w:r>
    </w:p>
    <w:p w:rsidR="000F25A4" w:rsidRDefault="000F25A4" w:rsidP="00801095">
      <w:pPr>
        <w:spacing w:before="0"/>
        <w:jc w:val="both"/>
        <w:rPr>
          <w:rFonts w:ascii="Arial" w:hAnsi="Arial" w:cs="Arial"/>
          <w:szCs w:val="24"/>
        </w:rPr>
      </w:pPr>
    </w:p>
    <w:p w:rsidR="000F25A4" w:rsidRPr="0079011D" w:rsidRDefault="00E87758" w:rsidP="00801095">
      <w:pPr>
        <w:spacing w:before="0"/>
        <w:jc w:val="both"/>
        <w:rPr>
          <w:rFonts w:ascii="Arial" w:hAnsi="Arial" w:cs="Arial"/>
          <w:b/>
          <w:szCs w:val="24"/>
        </w:rPr>
      </w:pPr>
      <w:r>
        <w:rPr>
          <w:rFonts w:ascii="Arial" w:hAnsi="Arial" w:cs="Arial"/>
          <w:b/>
          <w:szCs w:val="24"/>
        </w:rPr>
        <w:t>Interaction with p</w:t>
      </w:r>
      <w:r w:rsidR="000F25A4">
        <w:rPr>
          <w:rFonts w:ascii="Arial" w:hAnsi="Arial" w:cs="Arial"/>
          <w:b/>
          <w:szCs w:val="24"/>
        </w:rPr>
        <w:t xml:space="preserve">rotections in </w:t>
      </w:r>
      <w:r w:rsidR="000F25A4" w:rsidRPr="0079011D">
        <w:rPr>
          <w:rFonts w:ascii="Arial" w:hAnsi="Arial" w:cs="Arial"/>
          <w:b/>
          <w:szCs w:val="24"/>
        </w:rPr>
        <w:t xml:space="preserve">the social security law </w:t>
      </w:r>
    </w:p>
    <w:p w:rsidR="000F25A4" w:rsidRDefault="000F25A4" w:rsidP="00801095">
      <w:pPr>
        <w:spacing w:before="0"/>
        <w:jc w:val="both"/>
        <w:rPr>
          <w:rFonts w:ascii="Arial" w:hAnsi="Arial" w:cs="Arial"/>
          <w:szCs w:val="24"/>
        </w:rPr>
      </w:pPr>
    </w:p>
    <w:p w:rsidR="006F37F5" w:rsidRPr="0079011D" w:rsidRDefault="006F37F5" w:rsidP="00801095">
      <w:pPr>
        <w:spacing w:before="0"/>
        <w:jc w:val="both"/>
        <w:rPr>
          <w:rFonts w:ascii="Arial" w:hAnsi="Arial" w:cs="Arial"/>
          <w:szCs w:val="24"/>
        </w:rPr>
      </w:pPr>
      <w:r>
        <w:rPr>
          <w:rFonts w:ascii="Arial" w:hAnsi="Arial" w:cs="Arial"/>
          <w:szCs w:val="24"/>
        </w:rPr>
        <w:t xml:space="preserve">As the Determination contains no decision-making powers, the internal and external review provisions in the social security law will not be triggered by any of the declared matters or by the terms and conditions of the </w:t>
      </w:r>
      <w:r w:rsidR="004C54F4">
        <w:rPr>
          <w:rFonts w:ascii="Arial" w:hAnsi="Arial" w:cs="Arial"/>
          <w:szCs w:val="24"/>
        </w:rPr>
        <w:t>SmartCard and associated bank</w:t>
      </w:r>
      <w:r>
        <w:rPr>
          <w:rFonts w:ascii="Arial" w:hAnsi="Arial" w:cs="Arial"/>
          <w:szCs w:val="24"/>
        </w:rPr>
        <w:t xml:space="preserve"> account.</w:t>
      </w:r>
    </w:p>
    <w:p w:rsidR="00CA30E0" w:rsidRDefault="00CA30E0" w:rsidP="00801095">
      <w:pPr>
        <w:spacing w:before="0"/>
        <w:jc w:val="both"/>
        <w:rPr>
          <w:rFonts w:ascii="Arial" w:hAnsi="Arial" w:cs="Arial"/>
          <w:szCs w:val="24"/>
        </w:rPr>
      </w:pPr>
    </w:p>
    <w:p w:rsidR="00CA30E0" w:rsidRDefault="00CA30E0" w:rsidP="00801095">
      <w:pPr>
        <w:shd w:val="clear" w:color="auto" w:fill="FFFFFF"/>
        <w:spacing w:before="0"/>
        <w:jc w:val="both"/>
        <w:rPr>
          <w:rFonts w:ascii="Arial" w:hAnsi="Arial" w:cs="Arial"/>
          <w:color w:val="000000"/>
          <w:szCs w:val="24"/>
        </w:rPr>
      </w:pPr>
      <w:r>
        <w:rPr>
          <w:rFonts w:ascii="Arial" w:hAnsi="Arial" w:cs="Arial"/>
          <w:color w:val="000000"/>
          <w:szCs w:val="24"/>
        </w:rPr>
        <w:t xml:space="preserve">Information collected by an </w:t>
      </w:r>
      <w:r w:rsidR="006E0BC7">
        <w:rPr>
          <w:rFonts w:ascii="Arial" w:hAnsi="Arial" w:cs="Arial"/>
          <w:color w:val="000000"/>
          <w:szCs w:val="24"/>
        </w:rPr>
        <w:t>‘</w:t>
      </w:r>
      <w:r>
        <w:rPr>
          <w:rFonts w:ascii="Arial" w:hAnsi="Arial" w:cs="Arial"/>
          <w:color w:val="000000"/>
          <w:szCs w:val="24"/>
        </w:rPr>
        <w:t>officer</w:t>
      </w:r>
      <w:r w:rsidR="006E0BC7">
        <w:rPr>
          <w:rFonts w:ascii="Arial" w:hAnsi="Arial" w:cs="Arial"/>
          <w:color w:val="000000"/>
          <w:szCs w:val="24"/>
        </w:rPr>
        <w:t>’</w:t>
      </w:r>
      <w:r w:rsidR="00CB53E8">
        <w:rPr>
          <w:rFonts w:ascii="Arial" w:hAnsi="Arial" w:cs="Arial"/>
          <w:color w:val="000000"/>
          <w:szCs w:val="24"/>
        </w:rPr>
        <w:t xml:space="preserve"> </w:t>
      </w:r>
      <w:r>
        <w:rPr>
          <w:rFonts w:ascii="Arial" w:hAnsi="Arial" w:cs="Arial"/>
          <w:color w:val="000000"/>
          <w:szCs w:val="24"/>
        </w:rPr>
        <w:t xml:space="preserve">in relation to </w:t>
      </w:r>
      <w:r w:rsidR="007F300E">
        <w:rPr>
          <w:rFonts w:ascii="Arial" w:hAnsi="Arial" w:cs="Arial"/>
          <w:color w:val="000000"/>
          <w:szCs w:val="24"/>
        </w:rPr>
        <w:t xml:space="preserve">a person who is subject to </w:t>
      </w:r>
      <w:r>
        <w:rPr>
          <w:rFonts w:ascii="Arial" w:hAnsi="Arial" w:cs="Arial"/>
          <w:color w:val="000000"/>
          <w:szCs w:val="24"/>
        </w:rPr>
        <w:t xml:space="preserve">the </w:t>
      </w:r>
      <w:r w:rsidR="00E458EE">
        <w:rPr>
          <w:rFonts w:ascii="Arial" w:hAnsi="Arial" w:cs="Arial"/>
          <w:color w:val="000000"/>
          <w:szCs w:val="24"/>
        </w:rPr>
        <w:t>enhanced income management regime</w:t>
      </w:r>
      <w:r>
        <w:rPr>
          <w:rFonts w:ascii="Arial" w:hAnsi="Arial" w:cs="Arial"/>
          <w:color w:val="000000"/>
          <w:szCs w:val="24"/>
        </w:rPr>
        <w:t xml:space="preserve"> will </w:t>
      </w:r>
      <w:r w:rsidR="000F25A4">
        <w:rPr>
          <w:rFonts w:ascii="Arial" w:hAnsi="Arial" w:cs="Arial"/>
          <w:color w:val="000000"/>
          <w:szCs w:val="24"/>
        </w:rPr>
        <w:t>be</w:t>
      </w:r>
      <w:r>
        <w:rPr>
          <w:rFonts w:ascii="Arial" w:hAnsi="Arial" w:cs="Arial"/>
          <w:color w:val="000000"/>
          <w:szCs w:val="24"/>
        </w:rPr>
        <w:t xml:space="preserve"> </w:t>
      </w:r>
      <w:r w:rsidR="00CB53E8">
        <w:rPr>
          <w:rFonts w:ascii="Arial" w:hAnsi="Arial" w:cs="Arial"/>
          <w:color w:val="000000"/>
          <w:szCs w:val="24"/>
        </w:rPr>
        <w:t>‘</w:t>
      </w:r>
      <w:r>
        <w:rPr>
          <w:rFonts w:ascii="Arial" w:hAnsi="Arial" w:cs="Arial"/>
          <w:color w:val="000000"/>
          <w:szCs w:val="24"/>
        </w:rPr>
        <w:t>protected information</w:t>
      </w:r>
      <w:r w:rsidR="00CB53E8">
        <w:rPr>
          <w:rFonts w:ascii="Arial" w:hAnsi="Arial" w:cs="Arial"/>
          <w:color w:val="000000"/>
          <w:szCs w:val="24"/>
        </w:rPr>
        <w:t>’</w:t>
      </w:r>
      <w:r>
        <w:rPr>
          <w:rFonts w:ascii="Arial" w:hAnsi="Arial" w:cs="Arial"/>
          <w:color w:val="000000"/>
          <w:szCs w:val="24"/>
        </w:rPr>
        <w:t xml:space="preserve"> </w:t>
      </w:r>
      <w:r w:rsidR="007F300E">
        <w:rPr>
          <w:rFonts w:ascii="Arial" w:hAnsi="Arial" w:cs="Arial"/>
          <w:color w:val="000000"/>
          <w:szCs w:val="24"/>
        </w:rPr>
        <w:t xml:space="preserve">where it is </w:t>
      </w:r>
      <w:r>
        <w:rPr>
          <w:rFonts w:ascii="Arial" w:hAnsi="Arial" w:cs="Arial"/>
          <w:color w:val="000000"/>
          <w:szCs w:val="24"/>
        </w:rPr>
        <w:lastRenderedPageBreak/>
        <w:t xml:space="preserve">obtained for the purposes of the social security law. </w:t>
      </w:r>
      <w:r w:rsidR="00CB53E8">
        <w:rPr>
          <w:rFonts w:ascii="Arial" w:hAnsi="Arial" w:cs="Arial"/>
          <w:color w:val="000000"/>
          <w:szCs w:val="24"/>
        </w:rPr>
        <w:t xml:space="preserve">This </w:t>
      </w:r>
      <w:r w:rsidR="000F25A4">
        <w:rPr>
          <w:rFonts w:ascii="Arial" w:hAnsi="Arial" w:cs="Arial"/>
          <w:color w:val="000000"/>
          <w:szCs w:val="24"/>
        </w:rPr>
        <w:t xml:space="preserve">will ensure that </w:t>
      </w:r>
      <w:r w:rsidR="00E87758">
        <w:rPr>
          <w:rFonts w:ascii="Arial" w:hAnsi="Arial" w:cs="Arial"/>
          <w:color w:val="000000"/>
          <w:szCs w:val="24"/>
        </w:rPr>
        <w:t>each</w:t>
      </w:r>
      <w:r w:rsidR="000F25A4">
        <w:rPr>
          <w:rFonts w:ascii="Arial" w:hAnsi="Arial" w:cs="Arial"/>
          <w:color w:val="000000"/>
          <w:szCs w:val="24"/>
        </w:rPr>
        <w:t xml:space="preserve"> </w:t>
      </w:r>
      <w:r w:rsidR="00CB53E8">
        <w:rPr>
          <w:rFonts w:ascii="Arial" w:hAnsi="Arial" w:cs="Arial"/>
          <w:color w:val="000000"/>
          <w:szCs w:val="24"/>
        </w:rPr>
        <w:t>person’</w:t>
      </w:r>
      <w:r w:rsidR="006E0BC7">
        <w:rPr>
          <w:rFonts w:ascii="Arial" w:hAnsi="Arial" w:cs="Arial"/>
          <w:color w:val="000000"/>
          <w:szCs w:val="24"/>
        </w:rPr>
        <w:t xml:space="preserve">s information </w:t>
      </w:r>
      <w:r w:rsidR="002C0C80">
        <w:rPr>
          <w:rFonts w:ascii="Arial" w:hAnsi="Arial" w:cs="Arial"/>
          <w:color w:val="000000"/>
          <w:szCs w:val="24"/>
        </w:rPr>
        <w:t xml:space="preserve">is </w:t>
      </w:r>
      <w:r w:rsidR="006E0BC7">
        <w:rPr>
          <w:rFonts w:ascii="Arial" w:hAnsi="Arial" w:cs="Arial"/>
          <w:color w:val="000000"/>
          <w:szCs w:val="24"/>
        </w:rPr>
        <w:t xml:space="preserve">obtained, recorded, used and disclosed consistently with </w:t>
      </w:r>
      <w:r w:rsidR="002C0C80">
        <w:rPr>
          <w:rFonts w:ascii="Arial" w:hAnsi="Arial" w:cs="Arial"/>
          <w:color w:val="000000"/>
          <w:szCs w:val="24"/>
        </w:rPr>
        <w:t xml:space="preserve">the </w:t>
      </w:r>
      <w:r w:rsidR="000F25A4">
        <w:rPr>
          <w:rFonts w:ascii="Arial" w:hAnsi="Arial" w:cs="Arial"/>
          <w:color w:val="000000"/>
          <w:szCs w:val="24"/>
        </w:rPr>
        <w:t>confidentiality</w:t>
      </w:r>
      <w:r w:rsidR="002C0C80">
        <w:rPr>
          <w:rFonts w:ascii="Arial" w:hAnsi="Arial" w:cs="Arial"/>
          <w:color w:val="000000"/>
          <w:szCs w:val="24"/>
        </w:rPr>
        <w:t xml:space="preserve"> provisions in </w:t>
      </w:r>
      <w:r w:rsidR="006E0BC7">
        <w:rPr>
          <w:rFonts w:ascii="Arial" w:hAnsi="Arial" w:cs="Arial"/>
          <w:color w:val="000000"/>
          <w:szCs w:val="24"/>
        </w:rPr>
        <w:t>Division 3 of Part 5 of the</w:t>
      </w:r>
      <w:r w:rsidR="00456E3D">
        <w:rPr>
          <w:rFonts w:ascii="Arial" w:hAnsi="Arial" w:cs="Arial"/>
          <w:color w:val="000000"/>
          <w:szCs w:val="24"/>
        </w:rPr>
        <w:t xml:space="preserve"> Act. </w:t>
      </w:r>
      <w:r w:rsidR="006E0BC7">
        <w:rPr>
          <w:rFonts w:ascii="Arial" w:hAnsi="Arial" w:cs="Arial"/>
          <w:color w:val="000000"/>
          <w:szCs w:val="24"/>
        </w:rPr>
        <w:t xml:space="preserve">These provisions have extensive </w:t>
      </w:r>
      <w:r w:rsidR="0080184F">
        <w:rPr>
          <w:rFonts w:ascii="Arial" w:hAnsi="Arial" w:cs="Arial"/>
          <w:color w:val="000000"/>
          <w:szCs w:val="24"/>
        </w:rPr>
        <w:t xml:space="preserve">operation and apply </w:t>
      </w:r>
      <w:r w:rsidR="006E0BC7">
        <w:rPr>
          <w:rFonts w:ascii="Arial" w:hAnsi="Arial" w:cs="Arial"/>
          <w:color w:val="000000"/>
          <w:szCs w:val="24"/>
        </w:rPr>
        <w:t xml:space="preserve">to Commonwealth service providers, including financial institutions. </w:t>
      </w:r>
    </w:p>
    <w:p w:rsidR="00CA30E0" w:rsidRDefault="00CA30E0" w:rsidP="00801095">
      <w:pPr>
        <w:shd w:val="clear" w:color="auto" w:fill="FFFFFF"/>
        <w:spacing w:before="0"/>
        <w:jc w:val="both"/>
        <w:rPr>
          <w:rFonts w:ascii="Arial" w:hAnsi="Arial" w:cs="Arial"/>
          <w:color w:val="000000"/>
          <w:szCs w:val="24"/>
        </w:rPr>
      </w:pPr>
    </w:p>
    <w:p w:rsidR="00CA30E0" w:rsidRDefault="007F300E" w:rsidP="00801095">
      <w:pPr>
        <w:spacing w:before="0"/>
        <w:jc w:val="both"/>
        <w:rPr>
          <w:rFonts w:ascii="Arial" w:hAnsi="Arial" w:cs="Arial"/>
          <w:szCs w:val="24"/>
        </w:rPr>
      </w:pPr>
      <w:r>
        <w:rPr>
          <w:rFonts w:ascii="Arial" w:eastAsiaTheme="minorHAnsi" w:hAnsi="Arial" w:cs="Arial"/>
        </w:rPr>
        <w:t xml:space="preserve">In addition, </w:t>
      </w:r>
      <w:r w:rsidR="00CA30E0">
        <w:rPr>
          <w:rFonts w:ascii="Arial" w:eastAsiaTheme="minorHAnsi" w:hAnsi="Arial" w:cs="Arial"/>
        </w:rPr>
        <w:t>Division 4 of</w:t>
      </w:r>
      <w:r w:rsidR="00E458EE">
        <w:rPr>
          <w:rFonts w:ascii="Arial" w:eastAsiaTheme="minorHAnsi" w:hAnsi="Arial" w:cs="Arial"/>
        </w:rPr>
        <w:t xml:space="preserve"> Part 3AA</w:t>
      </w:r>
      <w:r w:rsidR="00CA30E0">
        <w:rPr>
          <w:rFonts w:ascii="Arial" w:eastAsiaTheme="minorHAnsi" w:hAnsi="Arial" w:cs="Arial"/>
        </w:rPr>
        <w:t xml:space="preserve"> of the Act </w:t>
      </w:r>
      <w:r>
        <w:rPr>
          <w:rFonts w:ascii="Arial" w:eastAsiaTheme="minorHAnsi" w:hAnsi="Arial" w:cs="Arial"/>
        </w:rPr>
        <w:t xml:space="preserve">facilitates </w:t>
      </w:r>
      <w:r w:rsidR="00CA30E0">
        <w:rPr>
          <w:rFonts w:ascii="Arial" w:eastAsiaTheme="minorHAnsi" w:hAnsi="Arial" w:cs="Arial"/>
        </w:rPr>
        <w:t xml:space="preserve">disclosure of information </w:t>
      </w:r>
      <w:r w:rsidR="00E87758">
        <w:rPr>
          <w:rFonts w:ascii="Arial" w:eastAsiaTheme="minorHAnsi" w:hAnsi="Arial" w:cs="Arial"/>
        </w:rPr>
        <w:t xml:space="preserve">by </w:t>
      </w:r>
      <w:r w:rsidR="00CA30E0">
        <w:rPr>
          <w:rFonts w:ascii="Arial" w:eastAsiaTheme="minorHAnsi" w:hAnsi="Arial" w:cs="Arial"/>
        </w:rPr>
        <w:t>a financial institution</w:t>
      </w:r>
      <w:r w:rsidR="00E458EE">
        <w:rPr>
          <w:rFonts w:ascii="Arial" w:eastAsiaTheme="minorHAnsi" w:hAnsi="Arial" w:cs="Arial"/>
        </w:rPr>
        <w:t xml:space="preserve"> to the Secretary</w:t>
      </w:r>
      <w:r w:rsidR="00CA30E0">
        <w:rPr>
          <w:rFonts w:ascii="Arial" w:eastAsiaTheme="minorHAnsi" w:hAnsi="Arial" w:cs="Arial"/>
        </w:rPr>
        <w:t xml:space="preserve"> </w:t>
      </w:r>
      <w:r w:rsidR="00016EC3">
        <w:rPr>
          <w:rFonts w:ascii="Arial" w:eastAsiaTheme="minorHAnsi" w:hAnsi="Arial" w:cs="Arial"/>
        </w:rPr>
        <w:t xml:space="preserve">in relation to persons subject to the enhanced income management regime (see </w:t>
      </w:r>
      <w:r w:rsidR="00CA30E0">
        <w:rPr>
          <w:rFonts w:ascii="Arial" w:eastAsiaTheme="minorHAnsi" w:hAnsi="Arial" w:cs="Arial"/>
        </w:rPr>
        <w:t xml:space="preserve">section </w:t>
      </w:r>
      <w:r w:rsidR="00E458EE">
        <w:rPr>
          <w:rFonts w:ascii="Arial" w:eastAsiaTheme="minorHAnsi" w:hAnsi="Arial" w:cs="Arial"/>
        </w:rPr>
        <w:t>123SS</w:t>
      </w:r>
      <w:r w:rsidR="00016EC3">
        <w:rPr>
          <w:rFonts w:ascii="Arial" w:eastAsiaTheme="minorHAnsi" w:hAnsi="Arial" w:cs="Arial"/>
        </w:rPr>
        <w:t>)</w:t>
      </w:r>
      <w:r w:rsidR="00CA30E0">
        <w:rPr>
          <w:rFonts w:ascii="Arial" w:eastAsiaTheme="minorHAnsi" w:hAnsi="Arial" w:cs="Arial"/>
        </w:rPr>
        <w:t xml:space="preserve">. </w:t>
      </w:r>
      <w:r w:rsidR="006E0BC7">
        <w:rPr>
          <w:rFonts w:ascii="Arial" w:eastAsiaTheme="minorHAnsi" w:hAnsi="Arial" w:cs="Arial"/>
        </w:rPr>
        <w:t xml:space="preserve">This </w:t>
      </w:r>
      <w:r>
        <w:rPr>
          <w:rFonts w:ascii="Arial" w:eastAsiaTheme="minorHAnsi" w:hAnsi="Arial" w:cs="Arial"/>
        </w:rPr>
        <w:t>means</w:t>
      </w:r>
      <w:r w:rsidR="002C0C80">
        <w:rPr>
          <w:rFonts w:ascii="Arial" w:eastAsiaTheme="minorHAnsi" w:hAnsi="Arial" w:cs="Arial"/>
        </w:rPr>
        <w:t xml:space="preserve"> that the Secretary and financial institution</w:t>
      </w:r>
      <w:r w:rsidR="00F61711">
        <w:rPr>
          <w:rFonts w:ascii="Arial" w:eastAsiaTheme="minorHAnsi" w:hAnsi="Arial" w:cs="Arial"/>
        </w:rPr>
        <w:t>s</w:t>
      </w:r>
      <w:r w:rsidR="002C0C80">
        <w:rPr>
          <w:rFonts w:ascii="Arial" w:eastAsiaTheme="minorHAnsi" w:hAnsi="Arial" w:cs="Arial"/>
        </w:rPr>
        <w:t xml:space="preserve"> can </w:t>
      </w:r>
      <w:r w:rsidR="00016EC3">
        <w:rPr>
          <w:rFonts w:ascii="Arial" w:eastAsiaTheme="minorHAnsi" w:hAnsi="Arial" w:cs="Arial"/>
        </w:rPr>
        <w:t xml:space="preserve">discuss issues affecting a person’s </w:t>
      </w:r>
      <w:r w:rsidR="004C54F4">
        <w:rPr>
          <w:rFonts w:ascii="Arial" w:hAnsi="Arial" w:cs="Arial"/>
          <w:szCs w:val="24"/>
        </w:rPr>
        <w:t xml:space="preserve">SmartCard and associated bank account </w:t>
      </w:r>
      <w:r w:rsidR="00016EC3">
        <w:rPr>
          <w:rFonts w:ascii="Arial" w:eastAsiaTheme="minorHAnsi" w:hAnsi="Arial" w:cs="Arial"/>
        </w:rPr>
        <w:t xml:space="preserve">to ensure that welfare recipients have </w:t>
      </w:r>
      <w:r>
        <w:rPr>
          <w:rFonts w:ascii="Arial" w:eastAsiaTheme="minorHAnsi" w:hAnsi="Arial" w:cs="Arial"/>
        </w:rPr>
        <w:t>ready and continuous</w:t>
      </w:r>
      <w:r w:rsidR="002C0C80">
        <w:rPr>
          <w:rFonts w:ascii="Arial" w:eastAsiaTheme="minorHAnsi" w:hAnsi="Arial" w:cs="Arial"/>
        </w:rPr>
        <w:t xml:space="preserve"> access to their finances</w:t>
      </w:r>
      <w:r>
        <w:rPr>
          <w:rFonts w:ascii="Arial" w:eastAsiaTheme="minorHAnsi" w:hAnsi="Arial" w:cs="Arial"/>
        </w:rPr>
        <w:t>, particularly in cases of emergencies.</w:t>
      </w:r>
      <w:r w:rsidR="00555458">
        <w:rPr>
          <w:rFonts w:ascii="Arial" w:eastAsiaTheme="minorHAnsi" w:hAnsi="Arial" w:cs="Arial"/>
        </w:rPr>
        <w:t xml:space="preserve"> </w:t>
      </w:r>
    </w:p>
    <w:p w:rsidR="006A6D51" w:rsidRPr="00BC76EB" w:rsidRDefault="006A6D51" w:rsidP="00801095">
      <w:pPr>
        <w:keepNext/>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425D9C" w:rsidRDefault="00425D9C" w:rsidP="00A6722F">
      <w:pPr>
        <w:keepNext/>
        <w:spacing w:before="0"/>
        <w:jc w:val="both"/>
        <w:rPr>
          <w:rStyle w:val="BookTitle"/>
          <w:rFonts w:ascii="Arial" w:hAnsi="Arial" w:cs="Arial"/>
          <w:i w:val="0"/>
          <w:iCs w:val="0"/>
          <w:smallCaps w:val="0"/>
          <w:spacing w:val="0"/>
          <w:szCs w:val="24"/>
        </w:rPr>
      </w:pPr>
    </w:p>
    <w:p w:rsidR="00DC25D3" w:rsidRDefault="00425D9C" w:rsidP="00DC25D3">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Extensive c</w:t>
      </w:r>
      <w:r w:rsidRPr="00B0651C">
        <w:rPr>
          <w:rStyle w:val="BookTitle"/>
          <w:rFonts w:ascii="Arial" w:hAnsi="Arial" w:cs="Arial"/>
          <w:i w:val="0"/>
          <w:iCs w:val="0"/>
          <w:smallCaps w:val="0"/>
          <w:spacing w:val="0"/>
          <w:szCs w:val="24"/>
        </w:rPr>
        <w:t xml:space="preserve">onsultation </w:t>
      </w:r>
      <w:r w:rsidR="00E87758">
        <w:rPr>
          <w:rStyle w:val="BookTitle"/>
          <w:rFonts w:ascii="Arial" w:hAnsi="Arial" w:cs="Arial"/>
          <w:i w:val="0"/>
          <w:iCs w:val="0"/>
          <w:smallCaps w:val="0"/>
          <w:spacing w:val="0"/>
          <w:szCs w:val="24"/>
        </w:rPr>
        <w:t>has</w:t>
      </w:r>
      <w:r w:rsidR="000F25A4">
        <w:rPr>
          <w:rStyle w:val="BookTitle"/>
          <w:rFonts w:ascii="Arial" w:hAnsi="Arial" w:cs="Arial"/>
          <w:i w:val="0"/>
          <w:iCs w:val="0"/>
          <w:smallCaps w:val="0"/>
          <w:spacing w:val="0"/>
          <w:szCs w:val="24"/>
        </w:rPr>
        <w:t xml:space="preserve"> been</w:t>
      </w:r>
      <w:r w:rsidR="000F25A4" w:rsidRPr="00DC25D3">
        <w:rPr>
          <w:rStyle w:val="BookTitle"/>
          <w:rFonts w:ascii="Arial" w:hAnsi="Arial" w:cs="Arial"/>
          <w:i w:val="0"/>
          <w:iCs w:val="0"/>
          <w:smallCaps w:val="0"/>
          <w:spacing w:val="0"/>
          <w:szCs w:val="24"/>
        </w:rPr>
        <w:t xml:space="preserve"> </w:t>
      </w:r>
      <w:r w:rsidRPr="003956CD">
        <w:rPr>
          <w:rStyle w:val="BookTitle"/>
          <w:rFonts w:ascii="Arial" w:hAnsi="Arial" w:cs="Arial"/>
          <w:i w:val="0"/>
          <w:iCs w:val="0"/>
          <w:smallCaps w:val="0"/>
          <w:spacing w:val="0"/>
          <w:szCs w:val="24"/>
        </w:rPr>
        <w:t xml:space="preserve">undertaken </w:t>
      </w:r>
      <w:r w:rsidR="00BA6C4A">
        <w:rPr>
          <w:rStyle w:val="BookTitle"/>
          <w:rFonts w:ascii="Arial" w:hAnsi="Arial" w:cs="Arial"/>
          <w:i w:val="0"/>
          <w:iCs w:val="0"/>
          <w:smallCaps w:val="0"/>
          <w:spacing w:val="0"/>
          <w:szCs w:val="24"/>
        </w:rPr>
        <w:t>with</w:t>
      </w:r>
      <w:r>
        <w:rPr>
          <w:rStyle w:val="BookTitle"/>
          <w:rFonts w:ascii="Arial" w:hAnsi="Arial" w:cs="Arial"/>
          <w:i w:val="0"/>
          <w:iCs w:val="0"/>
          <w:smallCaps w:val="0"/>
          <w:spacing w:val="0"/>
          <w:szCs w:val="24"/>
        </w:rPr>
        <w:t xml:space="preserve"> affected communities </w:t>
      </w:r>
      <w:r w:rsidR="000F25A4">
        <w:rPr>
          <w:rStyle w:val="BookTitle"/>
          <w:rFonts w:ascii="Arial" w:hAnsi="Arial" w:cs="Arial"/>
          <w:i w:val="0"/>
          <w:iCs w:val="0"/>
          <w:smallCaps w:val="0"/>
          <w:spacing w:val="0"/>
          <w:szCs w:val="24"/>
        </w:rPr>
        <w:t>in relation</w:t>
      </w:r>
      <w:r w:rsidR="00456E3D">
        <w:rPr>
          <w:rStyle w:val="BookTitle"/>
          <w:rFonts w:ascii="Arial" w:hAnsi="Arial" w:cs="Arial"/>
          <w:i w:val="0"/>
          <w:iCs w:val="0"/>
          <w:smallCaps w:val="0"/>
          <w:spacing w:val="0"/>
          <w:szCs w:val="24"/>
        </w:rPr>
        <w:t xml:space="preserve"> to</w:t>
      </w:r>
      <w:r w:rsidR="00F11A0D">
        <w:rPr>
          <w:rStyle w:val="BookTitle"/>
          <w:rFonts w:ascii="Arial" w:hAnsi="Arial" w:cs="Arial"/>
          <w:i w:val="0"/>
          <w:iCs w:val="0"/>
          <w:smallCaps w:val="0"/>
          <w:spacing w:val="0"/>
          <w:szCs w:val="24"/>
        </w:rPr>
        <w:t xml:space="preserve"> </w:t>
      </w:r>
      <w:r w:rsidR="00645106">
        <w:rPr>
          <w:rStyle w:val="BookTitle"/>
          <w:rFonts w:ascii="Arial" w:hAnsi="Arial" w:cs="Arial"/>
          <w:i w:val="0"/>
          <w:iCs w:val="0"/>
          <w:smallCaps w:val="0"/>
          <w:spacing w:val="0"/>
          <w:szCs w:val="24"/>
        </w:rPr>
        <w:t>abolishing</w:t>
      </w:r>
      <w:r w:rsidR="00F11A0D">
        <w:rPr>
          <w:rStyle w:val="BookTitle"/>
          <w:rFonts w:ascii="Arial" w:hAnsi="Arial" w:cs="Arial"/>
          <w:i w:val="0"/>
          <w:iCs w:val="0"/>
          <w:smallCaps w:val="0"/>
          <w:spacing w:val="0"/>
          <w:szCs w:val="24"/>
        </w:rPr>
        <w:t xml:space="preserve"> the </w:t>
      </w:r>
      <w:r w:rsidR="00A6722F">
        <w:rPr>
          <w:rStyle w:val="BookTitle"/>
          <w:rFonts w:ascii="Arial" w:hAnsi="Arial" w:cs="Arial"/>
          <w:i w:val="0"/>
          <w:iCs w:val="0"/>
          <w:smallCaps w:val="0"/>
          <w:spacing w:val="0"/>
          <w:szCs w:val="24"/>
        </w:rPr>
        <w:t>CDC</w:t>
      </w:r>
      <w:r w:rsidR="00AD1F7C">
        <w:rPr>
          <w:rStyle w:val="BookTitle"/>
          <w:rFonts w:ascii="Arial" w:hAnsi="Arial" w:cs="Arial"/>
          <w:i w:val="0"/>
          <w:iCs w:val="0"/>
          <w:smallCaps w:val="0"/>
          <w:spacing w:val="0"/>
          <w:szCs w:val="24"/>
        </w:rPr>
        <w:t xml:space="preserve"> </w:t>
      </w:r>
      <w:r w:rsidR="00F11A0D">
        <w:rPr>
          <w:rStyle w:val="BookTitle"/>
          <w:rFonts w:ascii="Arial" w:hAnsi="Arial" w:cs="Arial"/>
          <w:i w:val="0"/>
          <w:iCs w:val="0"/>
          <w:smallCaps w:val="0"/>
          <w:spacing w:val="0"/>
          <w:szCs w:val="24"/>
        </w:rPr>
        <w:t xml:space="preserve">program and </w:t>
      </w:r>
      <w:r w:rsidR="00BD3CD8">
        <w:rPr>
          <w:rStyle w:val="BookTitle"/>
          <w:rFonts w:ascii="Arial" w:hAnsi="Arial" w:cs="Arial"/>
          <w:i w:val="0"/>
          <w:iCs w:val="0"/>
          <w:smallCaps w:val="0"/>
          <w:spacing w:val="0"/>
          <w:szCs w:val="24"/>
        </w:rPr>
        <w:t xml:space="preserve">reforming </w:t>
      </w:r>
      <w:r w:rsidR="00385213">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w:t>
      </w:r>
      <w:r w:rsidR="00B73BA1">
        <w:rPr>
          <w:rStyle w:val="BookTitle"/>
          <w:rFonts w:ascii="Arial" w:hAnsi="Arial" w:cs="Arial"/>
          <w:i w:val="0"/>
          <w:iCs w:val="0"/>
          <w:smallCaps w:val="0"/>
          <w:spacing w:val="0"/>
          <w:szCs w:val="24"/>
        </w:rPr>
        <w:t xml:space="preserve"> This</w:t>
      </w:r>
      <w:r w:rsidR="00D351DD">
        <w:rPr>
          <w:rStyle w:val="BookTitle"/>
          <w:rFonts w:ascii="Arial" w:hAnsi="Arial" w:cs="Arial"/>
          <w:i w:val="0"/>
          <w:iCs w:val="0"/>
          <w:smallCaps w:val="0"/>
          <w:spacing w:val="0"/>
          <w:szCs w:val="24"/>
        </w:rPr>
        <w:t> </w:t>
      </w:r>
      <w:r w:rsidR="00B73BA1">
        <w:rPr>
          <w:rStyle w:val="BookTitle"/>
          <w:rFonts w:ascii="Arial" w:hAnsi="Arial" w:cs="Arial"/>
          <w:i w:val="0"/>
          <w:iCs w:val="0"/>
          <w:smallCaps w:val="0"/>
          <w:spacing w:val="0"/>
          <w:szCs w:val="24"/>
        </w:rPr>
        <w:t>include</w:t>
      </w:r>
      <w:r w:rsidR="005A44D0">
        <w:rPr>
          <w:rStyle w:val="BookTitle"/>
          <w:rFonts w:ascii="Arial" w:hAnsi="Arial" w:cs="Arial"/>
          <w:i w:val="0"/>
          <w:iCs w:val="0"/>
          <w:smallCaps w:val="0"/>
          <w:spacing w:val="0"/>
          <w:szCs w:val="24"/>
        </w:rPr>
        <w:t>d</w:t>
      </w:r>
      <w:r w:rsidR="00B73BA1">
        <w:rPr>
          <w:rStyle w:val="BookTitle"/>
          <w:rFonts w:ascii="Arial" w:hAnsi="Arial" w:cs="Arial"/>
          <w:i w:val="0"/>
          <w:iCs w:val="0"/>
          <w:smallCaps w:val="0"/>
          <w:spacing w:val="0"/>
          <w:szCs w:val="24"/>
        </w:rPr>
        <w:t xml:space="preserve"> the introduction and passage of the </w:t>
      </w:r>
      <w:r w:rsidR="00385213">
        <w:rPr>
          <w:rStyle w:val="BookTitle"/>
          <w:rFonts w:ascii="Arial" w:hAnsi="Arial" w:cs="Arial"/>
          <w:i w:val="0"/>
          <w:iCs w:val="0"/>
          <w:smallCaps w:val="0"/>
          <w:spacing w:val="0"/>
          <w:szCs w:val="24"/>
        </w:rPr>
        <w:t>CDC Repeal Act</w:t>
      </w:r>
      <w:r w:rsidR="00B73BA1">
        <w:rPr>
          <w:rStyle w:val="BookTitle"/>
          <w:rFonts w:ascii="Arial" w:hAnsi="Arial" w:cs="Arial"/>
          <w:i w:val="0"/>
          <w:iCs w:val="0"/>
          <w:smallCaps w:val="0"/>
          <w:spacing w:val="0"/>
          <w:szCs w:val="24"/>
        </w:rPr>
        <w:t xml:space="preserve">, which gave effect to the Government’s election commitments following </w:t>
      </w:r>
      <w:r w:rsidR="005A44D0">
        <w:rPr>
          <w:rStyle w:val="BookTitle"/>
          <w:rFonts w:ascii="Arial" w:hAnsi="Arial" w:cs="Arial"/>
          <w:i w:val="0"/>
          <w:iCs w:val="0"/>
          <w:smallCaps w:val="0"/>
          <w:spacing w:val="0"/>
          <w:szCs w:val="24"/>
        </w:rPr>
        <w:t xml:space="preserve">a detailed enquiry by the </w:t>
      </w:r>
      <w:r w:rsidR="005A44D0" w:rsidRPr="005A44D0">
        <w:rPr>
          <w:rStyle w:val="BookTitle"/>
          <w:rFonts w:ascii="Arial" w:hAnsi="Arial" w:cs="Arial"/>
          <w:i w:val="0"/>
          <w:iCs w:val="0"/>
          <w:smallCaps w:val="0"/>
          <w:spacing w:val="0"/>
          <w:szCs w:val="24"/>
        </w:rPr>
        <w:t xml:space="preserve">Senate Standing </w:t>
      </w:r>
      <w:r w:rsidR="00BD3CD8">
        <w:rPr>
          <w:rStyle w:val="BookTitle"/>
          <w:rFonts w:ascii="Arial" w:hAnsi="Arial" w:cs="Arial"/>
          <w:i w:val="0"/>
          <w:iCs w:val="0"/>
          <w:smallCaps w:val="0"/>
          <w:spacing w:val="0"/>
          <w:szCs w:val="24"/>
        </w:rPr>
        <w:t>Committee</w:t>
      </w:r>
      <w:r w:rsidR="005A44D0" w:rsidRPr="005A44D0">
        <w:rPr>
          <w:rStyle w:val="BookTitle"/>
          <w:rFonts w:ascii="Arial" w:hAnsi="Arial" w:cs="Arial"/>
          <w:i w:val="0"/>
          <w:iCs w:val="0"/>
          <w:smallCaps w:val="0"/>
          <w:spacing w:val="0"/>
          <w:szCs w:val="24"/>
        </w:rPr>
        <w:t xml:space="preserve"> on Community Affairs</w:t>
      </w:r>
      <w:r w:rsidR="00B73BA1">
        <w:rPr>
          <w:rStyle w:val="BookTitle"/>
          <w:rFonts w:ascii="Arial" w:hAnsi="Arial" w:cs="Arial"/>
          <w:i w:val="0"/>
          <w:iCs w:val="0"/>
          <w:smallCaps w:val="0"/>
          <w:spacing w:val="0"/>
          <w:szCs w:val="24"/>
        </w:rPr>
        <w:t>.</w:t>
      </w:r>
      <w:r w:rsidR="00BD3CD8">
        <w:rPr>
          <w:rStyle w:val="BookTitle"/>
          <w:rFonts w:ascii="Arial" w:hAnsi="Arial" w:cs="Arial"/>
          <w:i w:val="0"/>
          <w:iCs w:val="0"/>
          <w:smallCaps w:val="0"/>
          <w:spacing w:val="0"/>
          <w:szCs w:val="24"/>
        </w:rPr>
        <w:t xml:space="preserve"> </w:t>
      </w:r>
    </w:p>
    <w:p w:rsidR="00DC25D3" w:rsidRDefault="00DC25D3" w:rsidP="00DC25D3">
      <w:pPr>
        <w:spacing w:before="0"/>
        <w:jc w:val="both"/>
        <w:rPr>
          <w:rStyle w:val="BookTitle"/>
          <w:rFonts w:ascii="Arial" w:hAnsi="Arial" w:cs="Arial"/>
          <w:i w:val="0"/>
          <w:iCs w:val="0"/>
          <w:smallCaps w:val="0"/>
          <w:spacing w:val="0"/>
          <w:szCs w:val="24"/>
        </w:rPr>
      </w:pPr>
    </w:p>
    <w:p w:rsidR="00BD3CD8" w:rsidRDefault="00BD3CD8" w:rsidP="00DC25D3">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Submissions to the enquiry highlighted the need for a measured approach to</w:t>
      </w:r>
      <w:r w:rsidR="00A6722F">
        <w:rPr>
          <w:rStyle w:val="BookTitle"/>
          <w:rFonts w:ascii="Arial" w:hAnsi="Arial" w:cs="Arial"/>
          <w:i w:val="0"/>
          <w:iCs w:val="0"/>
          <w:smallCaps w:val="0"/>
          <w:spacing w:val="0"/>
          <w:szCs w:val="24"/>
        </w:rPr>
        <w:t xml:space="preserve"> the</w:t>
      </w:r>
      <w:r>
        <w:rPr>
          <w:rStyle w:val="BookTitle"/>
          <w:rFonts w:ascii="Arial" w:hAnsi="Arial" w:cs="Arial"/>
          <w:i w:val="0"/>
          <w:iCs w:val="0"/>
          <w:smallCaps w:val="0"/>
          <w:spacing w:val="0"/>
          <w:szCs w:val="24"/>
        </w:rPr>
        <w:t xml:space="preserve"> transition away from mandatory</w:t>
      </w:r>
      <w:r w:rsidR="00385213">
        <w:rPr>
          <w:rStyle w:val="BookTitle"/>
          <w:rFonts w:ascii="Arial" w:hAnsi="Arial" w:cs="Arial"/>
          <w:i w:val="0"/>
          <w:iCs w:val="0"/>
          <w:smallCaps w:val="0"/>
          <w:spacing w:val="0"/>
          <w:szCs w:val="24"/>
        </w:rPr>
        <w:t xml:space="preserve"> cashless welfare</w:t>
      </w:r>
      <w:r w:rsidR="0080184F">
        <w:rPr>
          <w:rStyle w:val="BookTitle"/>
          <w:rFonts w:ascii="Arial" w:hAnsi="Arial" w:cs="Arial"/>
          <w:i w:val="0"/>
          <w:iCs w:val="0"/>
          <w:smallCaps w:val="0"/>
          <w:spacing w:val="0"/>
          <w:szCs w:val="24"/>
        </w:rPr>
        <w:t xml:space="preserve"> arrangements</w:t>
      </w:r>
      <w:r>
        <w:rPr>
          <w:rStyle w:val="BookTitle"/>
          <w:rFonts w:ascii="Arial" w:hAnsi="Arial" w:cs="Arial"/>
          <w:i w:val="0"/>
          <w:iCs w:val="0"/>
          <w:smallCaps w:val="0"/>
          <w:spacing w:val="0"/>
          <w:szCs w:val="24"/>
        </w:rPr>
        <w:t xml:space="preserve"> and </w:t>
      </w:r>
      <w:r w:rsidR="00385213">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including the desire for an ongoing voluntary mechanism that encourages self</w:t>
      </w:r>
      <w:r w:rsidR="00D351DD">
        <w:rPr>
          <w:rStyle w:val="BookTitle"/>
          <w:rFonts w:ascii="Arial" w:hAnsi="Arial" w:cs="Arial"/>
          <w:i w:val="0"/>
          <w:iCs w:val="0"/>
          <w:smallCaps w:val="0"/>
          <w:spacing w:val="0"/>
          <w:szCs w:val="24"/>
        </w:rPr>
        <w:noBreakHyphen/>
      </w:r>
      <w:r>
        <w:rPr>
          <w:rStyle w:val="BookTitle"/>
          <w:rFonts w:ascii="Arial" w:hAnsi="Arial" w:cs="Arial"/>
          <w:i w:val="0"/>
          <w:iCs w:val="0"/>
          <w:smallCaps w:val="0"/>
          <w:spacing w:val="0"/>
          <w:szCs w:val="24"/>
        </w:rPr>
        <w:t xml:space="preserve">determination and increased community decision making. Submitters also identified the need for the future of </w:t>
      </w:r>
      <w:r w:rsidR="00385213">
        <w:rPr>
          <w:rStyle w:val="BookTitle"/>
          <w:rFonts w:ascii="Arial" w:hAnsi="Arial" w:cs="Arial"/>
          <w:i w:val="0"/>
          <w:iCs w:val="0"/>
          <w:smallCaps w:val="0"/>
          <w:spacing w:val="0"/>
          <w:szCs w:val="24"/>
        </w:rPr>
        <w:t xml:space="preserve">income management </w:t>
      </w:r>
      <w:r>
        <w:rPr>
          <w:rStyle w:val="BookTitle"/>
          <w:rFonts w:ascii="Arial" w:hAnsi="Arial" w:cs="Arial"/>
          <w:i w:val="0"/>
          <w:iCs w:val="0"/>
          <w:smallCaps w:val="0"/>
          <w:spacing w:val="0"/>
          <w:szCs w:val="24"/>
        </w:rPr>
        <w:t xml:space="preserve">programs to be supported by technology that is fit for purpose, and that any return to </w:t>
      </w:r>
      <w:r w:rsidR="00D351DD">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 xml:space="preserve">ncome </w:t>
      </w:r>
      <w:r w:rsidR="00D351DD">
        <w:rPr>
          <w:rStyle w:val="BookTitle"/>
          <w:rFonts w:ascii="Arial" w:hAnsi="Arial" w:cs="Arial"/>
          <w:i w:val="0"/>
          <w:iCs w:val="0"/>
          <w:smallCaps w:val="0"/>
          <w:spacing w:val="0"/>
          <w:szCs w:val="24"/>
        </w:rPr>
        <w:t>m</w:t>
      </w:r>
      <w:r>
        <w:rPr>
          <w:rStyle w:val="BookTitle"/>
          <w:rFonts w:ascii="Arial" w:hAnsi="Arial" w:cs="Arial"/>
          <w:i w:val="0"/>
          <w:iCs w:val="0"/>
          <w:smallCaps w:val="0"/>
          <w:spacing w:val="0"/>
          <w:szCs w:val="24"/>
        </w:rPr>
        <w:t xml:space="preserve">anagement with the BasicsCard would be a backward step. </w:t>
      </w:r>
    </w:p>
    <w:p w:rsidR="00BD3CD8" w:rsidRDefault="00BD3CD8" w:rsidP="00A6722F">
      <w:pPr>
        <w:spacing w:before="0"/>
        <w:rPr>
          <w:rStyle w:val="BookTitle"/>
          <w:rFonts w:ascii="Arial" w:hAnsi="Arial" w:cs="Arial"/>
          <w:i w:val="0"/>
          <w:iCs w:val="0"/>
          <w:smallCaps w:val="0"/>
          <w:spacing w:val="0"/>
          <w:szCs w:val="24"/>
        </w:rPr>
      </w:pPr>
    </w:p>
    <w:p w:rsidR="00B73BA1" w:rsidRDefault="00BD3CD8" w:rsidP="00D351DD">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implementation of enhanced </w:t>
      </w:r>
      <w:r w:rsidR="00385213">
        <w:rPr>
          <w:rStyle w:val="BookTitle"/>
          <w:rFonts w:ascii="Arial" w:hAnsi="Arial" w:cs="Arial"/>
          <w:i w:val="0"/>
          <w:iCs w:val="0"/>
          <w:smallCaps w:val="0"/>
          <w:spacing w:val="0"/>
          <w:szCs w:val="24"/>
        </w:rPr>
        <w:t xml:space="preserve">income management </w:t>
      </w:r>
      <w:r>
        <w:rPr>
          <w:rStyle w:val="BookTitle"/>
          <w:rFonts w:ascii="Arial" w:hAnsi="Arial" w:cs="Arial"/>
          <w:i w:val="0"/>
          <w:iCs w:val="0"/>
          <w:smallCaps w:val="0"/>
          <w:spacing w:val="0"/>
          <w:szCs w:val="24"/>
        </w:rPr>
        <w:t xml:space="preserve">takes an initial step to introduce enhanced technology for </w:t>
      </w:r>
      <w:r w:rsidR="00385213">
        <w:rPr>
          <w:rStyle w:val="BookTitle"/>
          <w:rFonts w:ascii="Arial" w:hAnsi="Arial" w:cs="Arial"/>
          <w:i w:val="0"/>
          <w:iCs w:val="0"/>
          <w:smallCaps w:val="0"/>
          <w:spacing w:val="0"/>
          <w:szCs w:val="24"/>
        </w:rPr>
        <w:t>individuals who were previous</w:t>
      </w:r>
      <w:r w:rsidR="0080184F">
        <w:rPr>
          <w:rStyle w:val="BookTitle"/>
          <w:rFonts w:ascii="Arial" w:hAnsi="Arial" w:cs="Arial"/>
          <w:i w:val="0"/>
          <w:iCs w:val="0"/>
          <w:smallCaps w:val="0"/>
          <w:spacing w:val="0"/>
          <w:szCs w:val="24"/>
        </w:rPr>
        <w:t>ly participants in the</w:t>
      </w:r>
      <w:r w:rsidR="00385213">
        <w:rPr>
          <w:rStyle w:val="BookTitle"/>
          <w:rFonts w:ascii="Arial" w:hAnsi="Arial" w:cs="Arial"/>
          <w:i w:val="0"/>
          <w:iCs w:val="0"/>
          <w:smallCaps w:val="0"/>
          <w:spacing w:val="0"/>
          <w:szCs w:val="24"/>
        </w:rPr>
        <w:t xml:space="preserve"> </w:t>
      </w:r>
      <w:r w:rsidR="00A6722F">
        <w:rPr>
          <w:rStyle w:val="BookTitle"/>
          <w:rFonts w:ascii="Arial" w:hAnsi="Arial" w:cs="Arial"/>
          <w:i w:val="0"/>
          <w:iCs w:val="0"/>
          <w:smallCaps w:val="0"/>
          <w:spacing w:val="0"/>
          <w:szCs w:val="24"/>
        </w:rPr>
        <w:t>CDC</w:t>
      </w:r>
      <w:r w:rsidR="00385213">
        <w:rPr>
          <w:rStyle w:val="BookTitle"/>
          <w:rFonts w:ascii="Arial" w:hAnsi="Arial" w:cs="Arial"/>
          <w:i w:val="0"/>
          <w:iCs w:val="0"/>
          <w:smallCaps w:val="0"/>
          <w:spacing w:val="0"/>
          <w:szCs w:val="24"/>
        </w:rPr>
        <w:t xml:space="preserve"> program </w:t>
      </w:r>
      <w:r w:rsidR="0080184F">
        <w:rPr>
          <w:rStyle w:val="BookTitle"/>
          <w:rFonts w:ascii="Arial" w:hAnsi="Arial" w:cs="Arial"/>
          <w:i w:val="0"/>
          <w:iCs w:val="0"/>
          <w:smallCaps w:val="0"/>
          <w:spacing w:val="0"/>
          <w:szCs w:val="24"/>
        </w:rPr>
        <w:t xml:space="preserve">so that they can enjoy </w:t>
      </w:r>
      <w:r>
        <w:rPr>
          <w:rStyle w:val="BookTitle"/>
          <w:rFonts w:ascii="Arial" w:hAnsi="Arial" w:cs="Arial"/>
          <w:i w:val="0"/>
          <w:iCs w:val="0"/>
          <w:smallCaps w:val="0"/>
          <w:spacing w:val="0"/>
          <w:szCs w:val="24"/>
        </w:rPr>
        <w:t xml:space="preserve">a </w:t>
      </w:r>
      <w:r w:rsidR="0080184F">
        <w:rPr>
          <w:rStyle w:val="BookTitle"/>
          <w:rFonts w:ascii="Arial" w:hAnsi="Arial" w:cs="Arial"/>
          <w:i w:val="0"/>
          <w:iCs w:val="0"/>
          <w:smallCaps w:val="0"/>
          <w:spacing w:val="0"/>
          <w:szCs w:val="24"/>
        </w:rPr>
        <w:t xml:space="preserve">continuous </w:t>
      </w:r>
      <w:r>
        <w:rPr>
          <w:rStyle w:val="BookTitle"/>
          <w:rFonts w:ascii="Arial" w:hAnsi="Arial" w:cs="Arial"/>
          <w:i w:val="0"/>
          <w:iCs w:val="0"/>
          <w:smallCaps w:val="0"/>
          <w:spacing w:val="0"/>
          <w:szCs w:val="24"/>
        </w:rPr>
        <w:t>modern banking experience while Government continues to consult on the future of</w:t>
      </w:r>
      <w:r w:rsidR="00385213">
        <w:rPr>
          <w:rStyle w:val="BookTitle"/>
          <w:rFonts w:ascii="Arial" w:hAnsi="Arial" w:cs="Arial"/>
          <w:i w:val="0"/>
          <w:iCs w:val="0"/>
          <w:smallCaps w:val="0"/>
          <w:spacing w:val="0"/>
          <w:szCs w:val="24"/>
        </w:rPr>
        <w:t xml:space="preserve"> income management</w:t>
      </w:r>
      <w:r>
        <w:rPr>
          <w:rStyle w:val="BookTitle"/>
          <w:rFonts w:ascii="Arial" w:hAnsi="Arial" w:cs="Arial"/>
          <w:i w:val="0"/>
          <w:iCs w:val="0"/>
          <w:smallCaps w:val="0"/>
          <w:spacing w:val="0"/>
          <w:szCs w:val="24"/>
        </w:rPr>
        <w:t xml:space="preserve">. </w:t>
      </w:r>
    </w:p>
    <w:p w:rsidR="00B73BA1" w:rsidRDefault="00B73BA1" w:rsidP="00801095">
      <w:pPr>
        <w:spacing w:before="0"/>
        <w:jc w:val="both"/>
        <w:rPr>
          <w:rStyle w:val="BookTitle"/>
          <w:rFonts w:ascii="Arial" w:hAnsi="Arial" w:cs="Arial"/>
          <w:i w:val="0"/>
          <w:iCs w:val="0"/>
          <w:smallCaps w:val="0"/>
          <w:spacing w:val="0"/>
          <w:szCs w:val="24"/>
        </w:rPr>
      </w:pPr>
    </w:p>
    <w:p w:rsidR="005A44D0" w:rsidRDefault="009C55F8"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matters in this </w:t>
      </w:r>
      <w:r w:rsidR="00E87758">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 xml:space="preserve"> </w:t>
      </w:r>
      <w:r w:rsidR="00B73BA1">
        <w:rPr>
          <w:rStyle w:val="BookTitle"/>
          <w:rFonts w:ascii="Arial" w:hAnsi="Arial" w:cs="Arial"/>
          <w:i w:val="0"/>
          <w:iCs w:val="0"/>
          <w:smallCaps w:val="0"/>
          <w:spacing w:val="0"/>
          <w:szCs w:val="24"/>
        </w:rPr>
        <w:t xml:space="preserve">primarily relate to the creation and maintenance of </w:t>
      </w:r>
      <w:r w:rsidR="00DC25D3">
        <w:rPr>
          <w:rStyle w:val="BookTitle"/>
          <w:rFonts w:ascii="Arial" w:hAnsi="Arial" w:cs="Arial"/>
          <w:i w:val="0"/>
          <w:iCs w:val="0"/>
          <w:smallCaps w:val="0"/>
          <w:spacing w:val="0"/>
          <w:szCs w:val="24"/>
        </w:rPr>
        <w:t>accounts</w:t>
      </w:r>
      <w:r w:rsidR="00B73BA1">
        <w:rPr>
          <w:rStyle w:val="BookTitle"/>
          <w:rFonts w:ascii="Arial" w:hAnsi="Arial" w:cs="Arial"/>
          <w:i w:val="0"/>
          <w:iCs w:val="0"/>
          <w:smallCaps w:val="0"/>
          <w:spacing w:val="0"/>
          <w:szCs w:val="24"/>
        </w:rPr>
        <w:t xml:space="preserve"> and the treatment of qualified funds by</w:t>
      </w:r>
      <w:r>
        <w:rPr>
          <w:rStyle w:val="BookTitle"/>
          <w:rFonts w:ascii="Arial" w:hAnsi="Arial" w:cs="Arial"/>
          <w:i w:val="0"/>
          <w:iCs w:val="0"/>
          <w:smallCaps w:val="0"/>
          <w:spacing w:val="0"/>
          <w:szCs w:val="24"/>
        </w:rPr>
        <w:t xml:space="preserve"> </w:t>
      </w:r>
      <w:r w:rsidR="00E87758">
        <w:rPr>
          <w:rStyle w:val="BookTitle"/>
          <w:rFonts w:ascii="Arial" w:hAnsi="Arial" w:cs="Arial"/>
          <w:i w:val="0"/>
          <w:iCs w:val="0"/>
          <w:smallCaps w:val="0"/>
          <w:spacing w:val="0"/>
          <w:szCs w:val="24"/>
        </w:rPr>
        <w:t xml:space="preserve">financial </w:t>
      </w:r>
      <w:r w:rsidR="00FC0375">
        <w:rPr>
          <w:rStyle w:val="BookTitle"/>
          <w:rFonts w:ascii="Arial" w:hAnsi="Arial" w:cs="Arial"/>
          <w:i w:val="0"/>
          <w:iCs w:val="0"/>
          <w:smallCaps w:val="0"/>
          <w:spacing w:val="0"/>
          <w:szCs w:val="24"/>
        </w:rPr>
        <w:t>institutions</w:t>
      </w:r>
      <w:r w:rsidR="00B73BA1">
        <w:rPr>
          <w:rStyle w:val="BookTitle"/>
          <w:rFonts w:ascii="Arial" w:hAnsi="Arial" w:cs="Arial"/>
          <w:i w:val="0"/>
          <w:iCs w:val="0"/>
          <w:smallCaps w:val="0"/>
          <w:spacing w:val="0"/>
          <w:szCs w:val="24"/>
        </w:rPr>
        <w:t xml:space="preserve"> for the purpose of </w:t>
      </w:r>
      <w:r w:rsidR="00DC25D3">
        <w:rPr>
          <w:rStyle w:val="BookTitle"/>
          <w:rFonts w:ascii="Arial" w:hAnsi="Arial" w:cs="Arial"/>
          <w:i w:val="0"/>
          <w:iCs w:val="0"/>
          <w:smallCaps w:val="0"/>
          <w:spacing w:val="0"/>
          <w:szCs w:val="24"/>
        </w:rPr>
        <w:t xml:space="preserve">delivering </w:t>
      </w:r>
      <w:r w:rsidR="00B73BA1">
        <w:rPr>
          <w:rStyle w:val="BookTitle"/>
          <w:rFonts w:ascii="Arial" w:hAnsi="Arial" w:cs="Arial"/>
          <w:i w:val="0"/>
          <w:iCs w:val="0"/>
          <w:smallCaps w:val="0"/>
          <w:spacing w:val="0"/>
          <w:szCs w:val="24"/>
        </w:rPr>
        <w:t xml:space="preserve">enhanced </w:t>
      </w:r>
      <w:r w:rsidR="00E66BA4">
        <w:rPr>
          <w:rStyle w:val="BookTitle"/>
          <w:rFonts w:ascii="Arial" w:hAnsi="Arial" w:cs="Arial"/>
          <w:i w:val="0"/>
          <w:iCs w:val="0"/>
          <w:smallCaps w:val="0"/>
          <w:spacing w:val="0"/>
          <w:szCs w:val="24"/>
        </w:rPr>
        <w:t>income management</w:t>
      </w:r>
      <w:r w:rsidR="00B73BA1">
        <w:rPr>
          <w:rStyle w:val="BookTitle"/>
          <w:rFonts w:ascii="Arial" w:hAnsi="Arial" w:cs="Arial"/>
          <w:i w:val="0"/>
          <w:iCs w:val="0"/>
          <w:smallCaps w:val="0"/>
          <w:spacing w:val="0"/>
          <w:szCs w:val="24"/>
        </w:rPr>
        <w:t>. As such, additional consultation has also occurred with Services Australia, Indue Ltd and the Traditional Credit Union as the key stakeholders affected by implementation</w:t>
      </w:r>
      <w:r w:rsidR="00E66BA4">
        <w:rPr>
          <w:rStyle w:val="BookTitle"/>
          <w:rFonts w:ascii="Arial" w:hAnsi="Arial" w:cs="Arial"/>
          <w:i w:val="0"/>
          <w:iCs w:val="0"/>
          <w:smallCaps w:val="0"/>
          <w:spacing w:val="0"/>
          <w:szCs w:val="24"/>
        </w:rPr>
        <w:t xml:space="preserve"> of the Determination</w:t>
      </w:r>
      <w:r w:rsidR="005A44D0">
        <w:rPr>
          <w:rStyle w:val="BookTitle"/>
          <w:rFonts w:ascii="Arial" w:hAnsi="Arial" w:cs="Arial"/>
          <w:i w:val="0"/>
          <w:iCs w:val="0"/>
          <w:smallCaps w:val="0"/>
          <w:spacing w:val="0"/>
          <w:szCs w:val="24"/>
        </w:rPr>
        <w:t xml:space="preserve">. </w:t>
      </w:r>
    </w:p>
    <w:p w:rsidR="005A44D0" w:rsidRDefault="005A44D0" w:rsidP="00801095">
      <w:pPr>
        <w:spacing w:before="0"/>
        <w:jc w:val="both"/>
        <w:rPr>
          <w:rStyle w:val="BookTitle"/>
          <w:rFonts w:ascii="Arial" w:hAnsi="Arial" w:cs="Arial"/>
          <w:i w:val="0"/>
          <w:iCs w:val="0"/>
          <w:smallCaps w:val="0"/>
          <w:spacing w:val="0"/>
          <w:szCs w:val="24"/>
        </w:rPr>
      </w:pPr>
    </w:p>
    <w:p w:rsidR="00300D38" w:rsidRDefault="005A44D0"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Consultation </w:t>
      </w:r>
      <w:r w:rsidR="00E87758">
        <w:rPr>
          <w:rStyle w:val="BookTitle"/>
          <w:rFonts w:ascii="Arial" w:hAnsi="Arial" w:cs="Arial"/>
          <w:i w:val="0"/>
          <w:iCs w:val="0"/>
          <w:smallCaps w:val="0"/>
          <w:spacing w:val="0"/>
          <w:szCs w:val="24"/>
        </w:rPr>
        <w:t xml:space="preserve">will be ongoing with </w:t>
      </w:r>
      <w:r w:rsidR="00425D9C" w:rsidRPr="003956CD">
        <w:rPr>
          <w:rStyle w:val="BookTitle"/>
          <w:rFonts w:ascii="Arial" w:hAnsi="Arial" w:cs="Arial"/>
          <w:i w:val="0"/>
          <w:iCs w:val="0"/>
          <w:smallCaps w:val="0"/>
          <w:spacing w:val="0"/>
          <w:szCs w:val="24"/>
        </w:rPr>
        <w:t xml:space="preserve">stakeholders, </w:t>
      </w:r>
      <w:r w:rsidR="00425D9C">
        <w:rPr>
          <w:rStyle w:val="BookTitle"/>
          <w:rFonts w:ascii="Arial" w:hAnsi="Arial" w:cs="Arial"/>
          <w:i w:val="0"/>
          <w:iCs w:val="0"/>
          <w:smallCaps w:val="0"/>
          <w:spacing w:val="0"/>
          <w:szCs w:val="24"/>
        </w:rPr>
        <w:t xml:space="preserve">merchants, </w:t>
      </w:r>
      <w:r w:rsidR="00425D9C" w:rsidRPr="003956CD">
        <w:rPr>
          <w:rStyle w:val="BookTitle"/>
          <w:rFonts w:ascii="Arial" w:hAnsi="Arial" w:cs="Arial"/>
          <w:i w:val="0"/>
          <w:iCs w:val="0"/>
          <w:smallCaps w:val="0"/>
          <w:spacing w:val="0"/>
          <w:szCs w:val="24"/>
        </w:rPr>
        <w:t xml:space="preserve">community members and </w:t>
      </w:r>
      <w:r w:rsidR="00A6722F">
        <w:rPr>
          <w:rStyle w:val="BookTitle"/>
          <w:rFonts w:ascii="Arial" w:hAnsi="Arial" w:cs="Arial"/>
          <w:i w:val="0"/>
          <w:iCs w:val="0"/>
          <w:smallCaps w:val="0"/>
          <w:spacing w:val="0"/>
          <w:szCs w:val="24"/>
        </w:rPr>
        <w:t xml:space="preserve">affected individuals </w:t>
      </w:r>
      <w:r w:rsidR="00425D9C">
        <w:rPr>
          <w:rStyle w:val="BookTitle"/>
          <w:rFonts w:ascii="Arial" w:hAnsi="Arial" w:cs="Arial"/>
          <w:i w:val="0"/>
          <w:iCs w:val="0"/>
          <w:smallCaps w:val="0"/>
          <w:spacing w:val="0"/>
          <w:szCs w:val="24"/>
        </w:rPr>
        <w:t xml:space="preserve">as the future of income management is </w:t>
      </w:r>
      <w:r w:rsidR="00E87758">
        <w:rPr>
          <w:rStyle w:val="BookTitle"/>
          <w:rFonts w:ascii="Arial" w:hAnsi="Arial" w:cs="Arial"/>
          <w:i w:val="0"/>
          <w:iCs w:val="0"/>
          <w:smallCaps w:val="0"/>
          <w:spacing w:val="0"/>
          <w:szCs w:val="24"/>
        </w:rPr>
        <w:t xml:space="preserve">refined </w:t>
      </w:r>
      <w:r w:rsidR="00425D9C">
        <w:rPr>
          <w:rStyle w:val="BookTitle"/>
          <w:rFonts w:ascii="Arial" w:hAnsi="Arial" w:cs="Arial"/>
          <w:i w:val="0"/>
          <w:iCs w:val="0"/>
          <w:smallCaps w:val="0"/>
          <w:spacing w:val="0"/>
          <w:szCs w:val="24"/>
        </w:rPr>
        <w:t xml:space="preserve">by the </w:t>
      </w:r>
      <w:r w:rsidR="00B50EB6">
        <w:rPr>
          <w:rStyle w:val="BookTitle"/>
          <w:rFonts w:ascii="Arial" w:hAnsi="Arial" w:cs="Arial"/>
          <w:i w:val="0"/>
          <w:iCs w:val="0"/>
          <w:smallCaps w:val="0"/>
          <w:spacing w:val="0"/>
          <w:szCs w:val="24"/>
        </w:rPr>
        <w:t>G</w:t>
      </w:r>
      <w:r w:rsidR="00425D9C">
        <w:rPr>
          <w:rStyle w:val="BookTitle"/>
          <w:rFonts w:ascii="Arial" w:hAnsi="Arial" w:cs="Arial"/>
          <w:i w:val="0"/>
          <w:iCs w:val="0"/>
          <w:smallCaps w:val="0"/>
          <w:spacing w:val="0"/>
          <w:szCs w:val="24"/>
        </w:rPr>
        <w:t xml:space="preserve">overnment. </w:t>
      </w:r>
    </w:p>
    <w:p w:rsidR="002329E1" w:rsidRPr="00BC76EB" w:rsidRDefault="002329E1" w:rsidP="00801095">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1930BC" w:rsidRPr="00AF3906" w:rsidRDefault="001930BC" w:rsidP="001930BC">
      <w:pPr>
        <w:jc w:val="both"/>
        <w:rPr>
          <w:rStyle w:val="ui-provider"/>
          <w:rFonts w:ascii="Arial" w:hAnsi="Arial" w:cs="Arial"/>
        </w:rPr>
      </w:pPr>
      <w:r w:rsidRPr="00AF3906">
        <w:rPr>
          <w:rStyle w:val="ui-provider"/>
          <w:rFonts w:ascii="Arial" w:hAnsi="Arial" w:cs="Arial"/>
        </w:rPr>
        <w:t xml:space="preserve">A Regulation Impact Statement (RIS) was prepared </w:t>
      </w:r>
      <w:r>
        <w:rPr>
          <w:rStyle w:val="ui-provider"/>
          <w:rFonts w:ascii="Arial" w:hAnsi="Arial" w:cs="Arial"/>
        </w:rPr>
        <w:t>and is</w:t>
      </w:r>
      <w:r w:rsidRPr="00AF3906">
        <w:rPr>
          <w:rStyle w:val="ui-provider"/>
          <w:rFonts w:ascii="Arial" w:hAnsi="Arial" w:cs="Arial"/>
        </w:rPr>
        <w:t xml:space="preserve"> titled </w:t>
      </w:r>
      <w:r w:rsidRPr="00AF3906">
        <w:rPr>
          <w:rStyle w:val="ui-provider"/>
          <w:rFonts w:ascii="Arial" w:hAnsi="Arial" w:cs="Arial"/>
          <w:i/>
        </w:rPr>
        <w:t>Reforming the Cashless Debit Card and Income Management</w:t>
      </w:r>
      <w:r>
        <w:rPr>
          <w:rStyle w:val="ui-provider"/>
          <w:rFonts w:ascii="Arial" w:hAnsi="Arial" w:cs="Arial"/>
        </w:rPr>
        <w:t xml:space="preserve">. The RIS </w:t>
      </w:r>
      <w:r w:rsidRPr="00AF3906">
        <w:rPr>
          <w:rStyle w:val="ui-provider"/>
          <w:rFonts w:ascii="Arial" w:hAnsi="Arial" w:cs="Arial"/>
        </w:rPr>
        <w:t xml:space="preserve">is available on the website of the Department of the Prime Minister and </w:t>
      </w:r>
      <w:r w:rsidRPr="00043B10">
        <w:rPr>
          <w:rStyle w:val="ui-provider"/>
          <w:rFonts w:ascii="Arial" w:hAnsi="Arial" w:cs="Arial"/>
        </w:rPr>
        <w:t>Cabinet at </w:t>
      </w:r>
      <w:hyperlink r:id="rId11" w:history="1">
        <w:r w:rsidRPr="00C1123B">
          <w:rPr>
            <w:rStyle w:val="Hyperlink"/>
            <w:rFonts w:ascii="Arial" w:eastAsiaTheme="majorEastAsia" w:hAnsi="Arial" w:cs="Arial"/>
          </w:rPr>
          <w:t>https://oia.pmc.gov.au/published-impact-analyses-and-reports/abolish-cashless-</w:t>
        </w:r>
        <w:r w:rsidRPr="00C1123B">
          <w:rPr>
            <w:rStyle w:val="Hyperlink"/>
            <w:rFonts w:ascii="Arial" w:eastAsiaTheme="majorEastAsia" w:hAnsi="Arial" w:cs="Arial"/>
          </w:rPr>
          <w:lastRenderedPageBreak/>
          <w:t>debit-card</w:t>
        </w:r>
      </w:hyperlink>
      <w:r w:rsidRPr="00043B10">
        <w:rPr>
          <w:rStyle w:val="ui-provider"/>
          <w:rFonts w:ascii="Arial" w:hAnsi="Arial" w:cs="Arial"/>
        </w:rPr>
        <w:t>.</w:t>
      </w:r>
      <w:r w:rsidRPr="00AF3906">
        <w:rPr>
          <w:rStyle w:val="ui-provider"/>
          <w:rFonts w:ascii="Arial" w:hAnsi="Arial" w:cs="Arial"/>
        </w:rPr>
        <w:t xml:space="preserve"> </w:t>
      </w:r>
      <w:r w:rsidRPr="00AF3906">
        <w:rPr>
          <w:rFonts w:ascii="Arial" w:hAnsi="Arial" w:cs="Arial"/>
        </w:rPr>
        <w:t xml:space="preserve">The executive summary from the RIS is included at the end of this explanatory </w:t>
      </w:r>
      <w:r>
        <w:rPr>
          <w:rFonts w:ascii="Arial" w:hAnsi="Arial" w:cs="Arial"/>
        </w:rPr>
        <w:t>statement</w:t>
      </w:r>
      <w:r w:rsidRPr="00AF3906">
        <w:rPr>
          <w:rFonts w:ascii="Arial" w:hAnsi="Arial" w:cs="Arial"/>
        </w:rPr>
        <w:t>.</w:t>
      </w:r>
    </w:p>
    <w:p w:rsidR="00696063" w:rsidRDefault="00696063" w:rsidP="00801095">
      <w:pPr>
        <w:spacing w:before="0" w:after="200"/>
        <w:rPr>
          <w:rStyle w:val="BookTitle"/>
          <w:rFonts w:ascii="Arial" w:hAnsi="Arial" w:cs="Arial"/>
          <w:b/>
          <w:i w:val="0"/>
          <w:iCs w:val="0"/>
          <w:smallCaps w:val="0"/>
          <w:spacing w:val="0"/>
          <w:szCs w:val="24"/>
        </w:rPr>
      </w:pPr>
    </w:p>
    <w:p w:rsidR="006A6D51" w:rsidRDefault="006A6D51" w:rsidP="00801095">
      <w:pPr>
        <w:spacing w:before="0" w:after="200"/>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A8076E" w:rsidRPr="00A8076E" w:rsidRDefault="00A8076E" w:rsidP="00801095">
      <w:pPr>
        <w:jc w:val="both"/>
        <w:rPr>
          <w:rStyle w:val="BookTitle"/>
          <w:rFonts w:ascii="Arial" w:hAnsi="Arial" w:cs="Arial"/>
          <w:i w:val="0"/>
          <w:iCs w:val="0"/>
          <w:smallCaps w:val="0"/>
          <w:spacing w:val="0"/>
          <w:szCs w:val="24"/>
          <w:u w:val="single"/>
        </w:rPr>
      </w:pPr>
      <w:r w:rsidRPr="00A8076E">
        <w:rPr>
          <w:rStyle w:val="BookTitle"/>
          <w:rFonts w:ascii="Arial" w:hAnsi="Arial" w:cs="Arial"/>
          <w:i w:val="0"/>
          <w:iCs w:val="0"/>
          <w:smallCaps w:val="0"/>
          <w:spacing w:val="0"/>
          <w:szCs w:val="24"/>
          <w:u w:val="single"/>
        </w:rPr>
        <w:t>Part 1</w:t>
      </w:r>
      <w:r w:rsidR="00B97B22">
        <w:rPr>
          <w:rStyle w:val="BookTitle"/>
          <w:rFonts w:ascii="Arial" w:hAnsi="Arial" w:cs="Arial"/>
          <w:i w:val="0"/>
          <w:iCs w:val="0"/>
          <w:smallCaps w:val="0"/>
          <w:spacing w:val="0"/>
          <w:szCs w:val="24"/>
          <w:u w:val="single"/>
        </w:rPr>
        <w:t>—</w:t>
      </w:r>
      <w:r>
        <w:rPr>
          <w:rStyle w:val="BookTitle"/>
          <w:rFonts w:ascii="Arial" w:hAnsi="Arial" w:cs="Arial"/>
          <w:i w:val="0"/>
          <w:iCs w:val="0"/>
          <w:smallCaps w:val="0"/>
          <w:spacing w:val="0"/>
          <w:szCs w:val="24"/>
          <w:u w:val="single"/>
        </w:rPr>
        <w:t xml:space="preserve">Preliminary </w:t>
      </w:r>
    </w:p>
    <w:p w:rsidR="00A8076E" w:rsidRDefault="00A8076E" w:rsidP="00801095">
      <w:pPr>
        <w:spacing w:before="0"/>
        <w:jc w:val="both"/>
        <w:rPr>
          <w:rStyle w:val="BookTitle"/>
          <w:rFonts w:ascii="Arial" w:hAnsi="Arial" w:cs="Arial"/>
          <w:b/>
          <w:i w:val="0"/>
          <w:iCs w:val="0"/>
          <w:smallCaps w:val="0"/>
          <w:spacing w:val="0"/>
          <w:szCs w:val="24"/>
        </w:rPr>
      </w:pPr>
    </w:p>
    <w:p w:rsidR="00A8076E" w:rsidRDefault="00A8076E" w:rsidP="00801095">
      <w:pPr>
        <w:spacing w:before="0"/>
        <w:jc w:val="both"/>
        <w:rPr>
          <w:rFonts w:ascii="Arial" w:hAnsi="Arial" w:cs="Arial"/>
          <w:i/>
          <w:szCs w:val="24"/>
        </w:rPr>
      </w:pPr>
      <w:r w:rsidRPr="00A8076E">
        <w:rPr>
          <w:rStyle w:val="BookTitle"/>
          <w:rFonts w:ascii="Arial" w:hAnsi="Arial" w:cs="Arial"/>
          <w:b/>
          <w:i w:val="0"/>
          <w:iCs w:val="0"/>
          <w:smallCaps w:val="0"/>
          <w:spacing w:val="0"/>
          <w:szCs w:val="24"/>
        </w:rPr>
        <w:t>Section 1</w:t>
      </w:r>
      <w:r w:rsidRPr="007C1B92">
        <w:rPr>
          <w:rStyle w:val="BookTitle"/>
          <w:rFonts w:ascii="Arial" w:hAnsi="Arial" w:cs="Arial"/>
          <w:i w:val="0"/>
          <w:iCs w:val="0"/>
          <w:smallCaps w:val="0"/>
          <w:spacing w:val="0"/>
          <w:szCs w:val="24"/>
        </w:rPr>
        <w:t xml:space="preserve"> provides that the name of the </w:t>
      </w:r>
      <w:r>
        <w:rPr>
          <w:rStyle w:val="BookTitle"/>
          <w:rFonts w:ascii="Arial" w:hAnsi="Arial" w:cs="Arial"/>
          <w:i w:val="0"/>
          <w:iCs w:val="0"/>
          <w:smallCaps w:val="0"/>
          <w:spacing w:val="0"/>
          <w:szCs w:val="24"/>
        </w:rPr>
        <w:t>Determination</w:t>
      </w:r>
      <w:r w:rsidRPr="007C1B92">
        <w:rPr>
          <w:rStyle w:val="BookTitle"/>
          <w:rFonts w:ascii="Arial" w:hAnsi="Arial" w:cs="Arial"/>
          <w:i w:val="0"/>
          <w:iCs w:val="0"/>
          <w:smallCaps w:val="0"/>
          <w:spacing w:val="0"/>
          <w:szCs w:val="24"/>
        </w:rPr>
        <w:t xml:space="preserve"> is the </w:t>
      </w:r>
      <w:r w:rsidRPr="00A8076E">
        <w:rPr>
          <w:rFonts w:ascii="Arial" w:hAnsi="Arial" w:cs="Arial"/>
          <w:i/>
          <w:szCs w:val="24"/>
        </w:rPr>
        <w:t>Social Security (Administration) (Declinable Transactions and BasicsCard Bank Account) Determination 202</w:t>
      </w:r>
      <w:r w:rsidR="00E66BA4">
        <w:rPr>
          <w:rFonts w:ascii="Arial" w:hAnsi="Arial" w:cs="Arial"/>
          <w:i/>
          <w:szCs w:val="24"/>
        </w:rPr>
        <w:t>3</w:t>
      </w:r>
      <w:r w:rsidRPr="00A8076E">
        <w:rPr>
          <w:rFonts w:ascii="Arial" w:hAnsi="Arial" w:cs="Arial"/>
          <w:i/>
          <w:szCs w:val="24"/>
        </w:rPr>
        <w:t>.</w:t>
      </w:r>
    </w:p>
    <w:p w:rsidR="00A8076E" w:rsidRPr="007C1B92" w:rsidRDefault="00A8076E" w:rsidP="00801095">
      <w:pPr>
        <w:spacing w:before="0"/>
        <w:jc w:val="both"/>
        <w:rPr>
          <w:rStyle w:val="BookTitle"/>
          <w:rFonts w:ascii="Arial" w:hAnsi="Arial" w:cs="Arial"/>
          <w:i w:val="0"/>
          <w:iCs w:val="0"/>
          <w:smallCaps w:val="0"/>
          <w:spacing w:val="0"/>
          <w:szCs w:val="24"/>
        </w:rPr>
      </w:pPr>
      <w:r w:rsidRPr="007C1B92">
        <w:rPr>
          <w:rStyle w:val="BookTitle"/>
          <w:rFonts w:ascii="Arial" w:hAnsi="Arial" w:cs="Arial"/>
          <w:i w:val="0"/>
          <w:iCs w:val="0"/>
          <w:smallCaps w:val="0"/>
          <w:spacing w:val="0"/>
          <w:szCs w:val="24"/>
        </w:rPr>
        <w:br/>
      </w:r>
      <w:r w:rsidRPr="00A8076E">
        <w:rPr>
          <w:rStyle w:val="BookTitle"/>
          <w:rFonts w:ascii="Arial" w:hAnsi="Arial" w:cs="Arial"/>
          <w:b/>
          <w:i w:val="0"/>
          <w:iCs w:val="0"/>
          <w:smallCaps w:val="0"/>
          <w:spacing w:val="0"/>
          <w:szCs w:val="24"/>
        </w:rPr>
        <w:t>Section 2</w:t>
      </w:r>
      <w:r w:rsidRPr="007C1B92">
        <w:rPr>
          <w:rStyle w:val="BookTitle"/>
          <w:rFonts w:ascii="Arial" w:hAnsi="Arial" w:cs="Arial"/>
          <w:i w:val="0"/>
          <w:iCs w:val="0"/>
          <w:smallCaps w:val="0"/>
          <w:spacing w:val="0"/>
          <w:szCs w:val="24"/>
        </w:rPr>
        <w:t xml:space="preserve"> provides that the Determination commences on the day after it is registered on the Federal Register of Legi</w:t>
      </w:r>
      <w:r w:rsidR="00AD1F7C">
        <w:rPr>
          <w:rStyle w:val="BookTitle"/>
          <w:rFonts w:ascii="Arial" w:hAnsi="Arial" w:cs="Arial"/>
          <w:i w:val="0"/>
          <w:iCs w:val="0"/>
          <w:smallCaps w:val="0"/>
          <w:spacing w:val="0"/>
          <w:szCs w:val="24"/>
        </w:rPr>
        <w:t xml:space="preserve">slation, </w:t>
      </w:r>
      <w:r w:rsidR="00AD1F7C" w:rsidRPr="00EF3658">
        <w:rPr>
          <w:rStyle w:val="BookTitle"/>
          <w:rFonts w:ascii="Arial" w:hAnsi="Arial" w:cs="Arial"/>
          <w:i w:val="0"/>
          <w:iCs w:val="0"/>
          <w:smallCaps w:val="0"/>
          <w:spacing w:val="0"/>
          <w:szCs w:val="24"/>
        </w:rPr>
        <w:t xml:space="preserve">except for Schedule 5 which commences </w:t>
      </w:r>
      <w:r w:rsidR="001F40A7" w:rsidRPr="00EF3658">
        <w:rPr>
          <w:rStyle w:val="BookTitle"/>
          <w:rFonts w:ascii="Arial" w:hAnsi="Arial" w:cs="Arial"/>
          <w:i w:val="0"/>
          <w:iCs w:val="0"/>
          <w:smallCaps w:val="0"/>
          <w:spacing w:val="0"/>
          <w:szCs w:val="24"/>
        </w:rPr>
        <w:t>immediately after</w:t>
      </w:r>
      <w:r w:rsidR="00AD1F7C" w:rsidRPr="00EF3658">
        <w:rPr>
          <w:rStyle w:val="BookTitle"/>
          <w:rFonts w:ascii="Arial" w:hAnsi="Arial" w:cs="Arial"/>
          <w:i w:val="0"/>
          <w:iCs w:val="0"/>
          <w:smallCaps w:val="0"/>
          <w:spacing w:val="0"/>
          <w:szCs w:val="24"/>
        </w:rPr>
        <w:t xml:space="preserve"> Part 3D of the Act is repealed.</w:t>
      </w:r>
    </w:p>
    <w:p w:rsidR="00A8076E" w:rsidRPr="007C1B92" w:rsidRDefault="00A8076E" w:rsidP="00801095">
      <w:pPr>
        <w:spacing w:before="0"/>
        <w:jc w:val="both"/>
        <w:rPr>
          <w:rStyle w:val="BookTitle"/>
          <w:rFonts w:ascii="Arial" w:hAnsi="Arial" w:cs="Arial"/>
          <w:i w:val="0"/>
          <w:iCs w:val="0"/>
          <w:smallCaps w:val="0"/>
          <w:spacing w:val="0"/>
          <w:szCs w:val="24"/>
        </w:rPr>
      </w:pPr>
    </w:p>
    <w:p w:rsidR="00A8076E" w:rsidRDefault="00A8076E" w:rsidP="00801095">
      <w:pPr>
        <w:spacing w:before="0"/>
        <w:jc w:val="both"/>
        <w:rPr>
          <w:rStyle w:val="BookTitle"/>
          <w:rFonts w:ascii="Arial" w:hAnsi="Arial" w:cs="Arial"/>
          <w:i w:val="0"/>
          <w:iCs w:val="0"/>
          <w:smallCaps w:val="0"/>
          <w:spacing w:val="0"/>
          <w:szCs w:val="24"/>
        </w:rPr>
      </w:pPr>
      <w:r w:rsidRPr="00A8076E">
        <w:rPr>
          <w:rStyle w:val="BookTitle"/>
          <w:rFonts w:ascii="Arial" w:hAnsi="Arial" w:cs="Arial"/>
          <w:b/>
          <w:i w:val="0"/>
          <w:iCs w:val="0"/>
          <w:smallCaps w:val="0"/>
          <w:spacing w:val="0"/>
          <w:szCs w:val="24"/>
        </w:rPr>
        <w:t>Section 3</w:t>
      </w:r>
      <w:r w:rsidRPr="007C1B92">
        <w:rPr>
          <w:rStyle w:val="BookTitle"/>
          <w:rFonts w:ascii="Arial" w:hAnsi="Arial" w:cs="Arial"/>
          <w:i w:val="0"/>
          <w:iCs w:val="0"/>
          <w:smallCaps w:val="0"/>
          <w:spacing w:val="0"/>
          <w:szCs w:val="24"/>
        </w:rPr>
        <w:t xml:space="preserve"> provides that the authority for making the Determination is </w:t>
      </w:r>
      <w:r>
        <w:rPr>
          <w:rStyle w:val="BookTitle"/>
          <w:rFonts w:ascii="Arial" w:hAnsi="Arial" w:cs="Arial"/>
          <w:i w:val="0"/>
          <w:iCs w:val="0"/>
          <w:smallCaps w:val="0"/>
          <w:spacing w:val="0"/>
          <w:szCs w:val="24"/>
        </w:rPr>
        <w:t>subs</w:t>
      </w:r>
      <w:r w:rsidRPr="007C1B92">
        <w:rPr>
          <w:rStyle w:val="BookTitle"/>
          <w:rFonts w:ascii="Arial" w:hAnsi="Arial" w:cs="Arial"/>
          <w:i w:val="0"/>
          <w:iCs w:val="0"/>
          <w:smallCaps w:val="0"/>
          <w:spacing w:val="0"/>
          <w:szCs w:val="24"/>
        </w:rPr>
        <w:t>ections</w:t>
      </w:r>
      <w:r>
        <w:rPr>
          <w:rStyle w:val="BookTitle"/>
          <w:rFonts w:ascii="Arial" w:hAnsi="Arial" w:cs="Arial"/>
          <w:i w:val="0"/>
          <w:iCs w:val="0"/>
          <w:smallCaps w:val="0"/>
          <w:spacing w:val="0"/>
          <w:szCs w:val="24"/>
        </w:rPr>
        <w:t> </w:t>
      </w:r>
      <w:r w:rsidRPr="00A8076E">
        <w:rPr>
          <w:rStyle w:val="BookTitle"/>
          <w:rFonts w:ascii="Arial" w:hAnsi="Arial" w:cs="Arial"/>
          <w:i w:val="0"/>
          <w:iCs w:val="0"/>
          <w:smallCaps w:val="0"/>
          <w:spacing w:val="0"/>
          <w:szCs w:val="24"/>
        </w:rPr>
        <w:t xml:space="preserve">123SU(1), 123SU(2) and 123SV(2) </w:t>
      </w:r>
      <w:r w:rsidRPr="007C1B92">
        <w:rPr>
          <w:rStyle w:val="BookTitle"/>
          <w:rFonts w:ascii="Arial" w:hAnsi="Arial" w:cs="Arial"/>
          <w:i w:val="0"/>
          <w:iCs w:val="0"/>
          <w:smallCaps w:val="0"/>
          <w:spacing w:val="0"/>
          <w:szCs w:val="24"/>
        </w:rPr>
        <w:t xml:space="preserve">of the </w:t>
      </w:r>
      <w:r>
        <w:rPr>
          <w:rStyle w:val="BookTitle"/>
          <w:rFonts w:ascii="Arial" w:hAnsi="Arial" w:cs="Arial"/>
          <w:i w:val="0"/>
          <w:iCs w:val="0"/>
          <w:smallCaps w:val="0"/>
          <w:spacing w:val="0"/>
          <w:szCs w:val="24"/>
        </w:rPr>
        <w:t>Act</w:t>
      </w:r>
      <w:r w:rsidRPr="007C1B92">
        <w:rPr>
          <w:rStyle w:val="BookTitle"/>
          <w:rFonts w:ascii="Arial" w:hAnsi="Arial" w:cs="Arial"/>
          <w:i w:val="0"/>
          <w:iCs w:val="0"/>
          <w:smallCaps w:val="0"/>
          <w:spacing w:val="0"/>
          <w:szCs w:val="24"/>
        </w:rPr>
        <w:t xml:space="preserve">. </w:t>
      </w:r>
    </w:p>
    <w:p w:rsidR="00A8076E" w:rsidRDefault="00A8076E" w:rsidP="00801095">
      <w:pPr>
        <w:shd w:val="clear" w:color="auto" w:fill="FFFFFF"/>
        <w:spacing w:before="0"/>
        <w:jc w:val="both"/>
        <w:textAlignment w:val="top"/>
        <w:rPr>
          <w:rFonts w:ascii="Arial" w:hAnsi="Arial" w:cs="Arial"/>
          <w:color w:val="111111"/>
          <w:szCs w:val="24"/>
          <w:u w:val="single"/>
        </w:rPr>
      </w:pPr>
    </w:p>
    <w:p w:rsidR="0095196E" w:rsidRDefault="00A8076E" w:rsidP="00801095">
      <w:pPr>
        <w:shd w:val="clear" w:color="auto" w:fill="FFFFFF"/>
        <w:spacing w:before="0"/>
        <w:jc w:val="both"/>
        <w:textAlignment w:val="top"/>
        <w:rPr>
          <w:rFonts w:ascii="Arial" w:hAnsi="Arial" w:cs="Arial"/>
          <w:color w:val="111111"/>
          <w:szCs w:val="24"/>
        </w:rPr>
      </w:pPr>
      <w:r w:rsidRPr="00A8076E">
        <w:rPr>
          <w:rFonts w:ascii="Arial" w:hAnsi="Arial" w:cs="Arial"/>
          <w:b/>
          <w:color w:val="111111"/>
          <w:szCs w:val="24"/>
        </w:rPr>
        <w:t>Section 4</w:t>
      </w:r>
      <w:r w:rsidRPr="00A8076E">
        <w:rPr>
          <w:rFonts w:ascii="Arial" w:hAnsi="Arial" w:cs="Arial"/>
          <w:color w:val="111111"/>
          <w:szCs w:val="24"/>
        </w:rPr>
        <w:t xml:space="preserve"> </w:t>
      </w:r>
      <w:r>
        <w:rPr>
          <w:rFonts w:ascii="Arial" w:hAnsi="Arial" w:cs="Arial"/>
          <w:color w:val="111111"/>
          <w:szCs w:val="24"/>
        </w:rPr>
        <w:t>outlines definitions for the purpose of the Determination.</w:t>
      </w:r>
      <w:r w:rsidR="00F11A0D">
        <w:rPr>
          <w:rFonts w:ascii="Arial" w:hAnsi="Arial" w:cs="Arial"/>
          <w:color w:val="111111"/>
          <w:szCs w:val="24"/>
        </w:rPr>
        <w:t xml:space="preserve"> The note points to definitions in the Act. </w:t>
      </w:r>
    </w:p>
    <w:p w:rsidR="00F11A0D" w:rsidRPr="00F11A0D" w:rsidRDefault="00F11A0D" w:rsidP="00801095">
      <w:pPr>
        <w:pStyle w:val="subsection"/>
        <w:jc w:val="both"/>
        <w:rPr>
          <w:rFonts w:ascii="Arial" w:hAnsi="Arial" w:cs="Arial"/>
          <w:sz w:val="24"/>
        </w:rPr>
      </w:pPr>
      <w:r w:rsidRPr="00F11A0D">
        <w:rPr>
          <w:rFonts w:ascii="Arial" w:hAnsi="Arial" w:cs="Arial"/>
          <w:sz w:val="24"/>
        </w:rPr>
        <w:t>In this instrument:</w:t>
      </w:r>
    </w:p>
    <w:p w:rsidR="00F11A0D" w:rsidRPr="00F11A0D" w:rsidRDefault="00F11A0D" w:rsidP="00801095">
      <w:pPr>
        <w:pStyle w:val="Definition"/>
        <w:jc w:val="both"/>
        <w:rPr>
          <w:rFonts w:ascii="Arial" w:hAnsi="Arial" w:cs="Arial"/>
        </w:rPr>
      </w:pPr>
      <w:r w:rsidRPr="00F11A0D">
        <w:rPr>
          <w:rFonts w:ascii="Arial" w:hAnsi="Arial" w:cs="Arial"/>
          <w:b/>
          <w:i/>
        </w:rPr>
        <w:t>Act</w:t>
      </w:r>
      <w:r w:rsidRPr="00F11A0D">
        <w:rPr>
          <w:rFonts w:ascii="Arial" w:hAnsi="Arial" w:cs="Arial"/>
        </w:rPr>
        <w:t xml:space="preserve"> means the </w:t>
      </w:r>
      <w:r w:rsidRPr="00F11A0D">
        <w:rPr>
          <w:rFonts w:ascii="Arial" w:hAnsi="Arial" w:cs="Arial"/>
          <w:i/>
        </w:rPr>
        <w:t>Social Security (Administration) Act 1999</w:t>
      </w:r>
      <w:r w:rsidRPr="00F11A0D">
        <w:rPr>
          <w:rFonts w:ascii="Arial" w:hAnsi="Arial" w:cs="Arial"/>
        </w:rPr>
        <w:t>.</w:t>
      </w:r>
    </w:p>
    <w:p w:rsidR="00F11A0D" w:rsidRPr="00F11A0D" w:rsidRDefault="00F11A0D" w:rsidP="00801095">
      <w:pPr>
        <w:pStyle w:val="Definition"/>
        <w:jc w:val="both"/>
        <w:rPr>
          <w:rFonts w:ascii="Arial" w:hAnsi="Arial" w:cs="Arial"/>
        </w:rPr>
      </w:pPr>
      <w:r w:rsidRPr="00F11A0D">
        <w:rPr>
          <w:rFonts w:ascii="Arial" w:hAnsi="Arial" w:cs="Arial"/>
          <w:b/>
          <w:i/>
        </w:rPr>
        <w:t xml:space="preserve">BasicsCard bank account </w:t>
      </w:r>
      <w:r w:rsidRPr="00F11A0D">
        <w:rPr>
          <w:rFonts w:ascii="Arial" w:hAnsi="Arial" w:cs="Arial"/>
        </w:rPr>
        <w:t xml:space="preserve">means </w:t>
      </w:r>
      <w:r w:rsidRPr="00F11A0D">
        <w:rPr>
          <w:rFonts w:ascii="Arial" w:hAnsi="Arial" w:cs="Arial"/>
          <w:color w:val="000000"/>
          <w:szCs w:val="22"/>
          <w:shd w:val="clear" w:color="auto" w:fill="FFFFFF"/>
        </w:rPr>
        <w:t>a bank account of the kind referred to in section 7 of this instrument.</w:t>
      </w:r>
    </w:p>
    <w:p w:rsidR="00F11A0D" w:rsidRPr="00F11A0D" w:rsidRDefault="00F11A0D" w:rsidP="00801095">
      <w:pPr>
        <w:pStyle w:val="Definition"/>
        <w:rPr>
          <w:rFonts w:ascii="Arial" w:hAnsi="Arial" w:cs="Arial"/>
        </w:rPr>
      </w:pPr>
      <w:r w:rsidRPr="00F11A0D">
        <w:rPr>
          <w:rFonts w:ascii="Arial" w:hAnsi="Arial" w:cs="Arial"/>
          <w:b/>
          <w:i/>
        </w:rPr>
        <w:t xml:space="preserve">Indue </w:t>
      </w:r>
      <w:r w:rsidRPr="00F11A0D">
        <w:rPr>
          <w:rFonts w:ascii="Arial" w:hAnsi="Arial" w:cs="Arial"/>
        </w:rPr>
        <w:t xml:space="preserve">means Indue Ltd (ABN </w:t>
      </w:r>
      <w:r w:rsidRPr="00F11A0D">
        <w:rPr>
          <w:rFonts w:ascii="Arial" w:hAnsi="Arial" w:cs="Arial"/>
          <w:color w:val="000000"/>
          <w:szCs w:val="22"/>
          <w:shd w:val="clear" w:color="auto" w:fill="FFFFFF"/>
        </w:rPr>
        <w:t>97 087 822 464)</w:t>
      </w:r>
      <w:r w:rsidRPr="00F11A0D">
        <w:rPr>
          <w:rFonts w:ascii="Arial" w:hAnsi="Arial" w:cs="Arial"/>
        </w:rPr>
        <w:t>.</w:t>
      </w:r>
    </w:p>
    <w:p w:rsidR="00F11A0D" w:rsidRPr="00F11A0D" w:rsidRDefault="00F11A0D" w:rsidP="00801095">
      <w:pPr>
        <w:pStyle w:val="Definition"/>
        <w:jc w:val="both"/>
        <w:rPr>
          <w:rFonts w:ascii="Arial" w:hAnsi="Arial" w:cs="Arial"/>
        </w:rPr>
      </w:pPr>
      <w:r w:rsidRPr="00F11A0D">
        <w:rPr>
          <w:rFonts w:ascii="Arial" w:hAnsi="Arial" w:cs="Arial"/>
          <w:b/>
          <w:bCs/>
          <w:i/>
          <w:iCs/>
        </w:rPr>
        <w:t>Merchant Category codes </w:t>
      </w:r>
      <w:r w:rsidRPr="00F11A0D">
        <w:rPr>
          <w:rFonts w:ascii="Arial" w:hAnsi="Arial" w:cs="Arial"/>
        </w:rPr>
        <w:t>means the merchant category codes under ISO 18245:2003 of the International Organisation for Standardisation as in force at the commencement of this instrument.</w:t>
      </w:r>
    </w:p>
    <w:p w:rsidR="00F11A0D" w:rsidRPr="00F11A0D" w:rsidRDefault="00F11A0D" w:rsidP="00801095">
      <w:pPr>
        <w:pStyle w:val="Definition"/>
        <w:jc w:val="both"/>
        <w:rPr>
          <w:rFonts w:ascii="Arial" w:hAnsi="Arial" w:cs="Arial"/>
        </w:rPr>
      </w:pPr>
      <w:r w:rsidRPr="00F11A0D">
        <w:rPr>
          <w:rFonts w:ascii="Arial" w:hAnsi="Arial" w:cs="Arial"/>
          <w:b/>
          <w:bCs/>
          <w:i/>
          <w:iCs/>
        </w:rPr>
        <w:t>Australian and New Zealand Standard Industrial Classification codes </w:t>
      </w:r>
      <w:r w:rsidRPr="00F11A0D">
        <w:rPr>
          <w:rFonts w:ascii="Arial" w:hAnsi="Arial" w:cs="Arial"/>
        </w:rPr>
        <w:t>means the Australian and New Zealand Standard Industrial Classification (ANZSIC) 2006 as in force at the commencement of this instrument.</w:t>
      </w:r>
    </w:p>
    <w:p w:rsidR="00F11A0D" w:rsidRPr="00F11A0D" w:rsidRDefault="00F11A0D" w:rsidP="00801095">
      <w:pPr>
        <w:pStyle w:val="Definition"/>
        <w:jc w:val="both"/>
        <w:rPr>
          <w:rFonts w:ascii="Arial" w:hAnsi="Arial" w:cs="Arial"/>
        </w:rPr>
      </w:pPr>
      <w:r w:rsidRPr="00F11A0D">
        <w:rPr>
          <w:rFonts w:ascii="Arial" w:hAnsi="Arial" w:cs="Arial"/>
          <w:b/>
          <w:bCs/>
          <w:i/>
          <w:iCs/>
        </w:rPr>
        <w:t>Traditional Credit Union</w:t>
      </w:r>
      <w:r w:rsidRPr="00F11A0D">
        <w:rPr>
          <w:rFonts w:ascii="Arial" w:hAnsi="Arial" w:cs="Arial"/>
        </w:rPr>
        <w:t> means Traditional Credit Union Limited (ABN</w:t>
      </w:r>
      <w:r w:rsidR="00503EF7">
        <w:rPr>
          <w:rFonts w:ascii="Arial" w:hAnsi="Arial" w:cs="Arial"/>
        </w:rPr>
        <w:t> </w:t>
      </w:r>
      <w:r w:rsidRPr="00F11A0D">
        <w:rPr>
          <w:rFonts w:ascii="Arial" w:hAnsi="Arial" w:cs="Arial"/>
        </w:rPr>
        <w:t>50</w:t>
      </w:r>
      <w:r w:rsidR="00503EF7">
        <w:rPr>
          <w:rFonts w:ascii="Arial" w:hAnsi="Arial" w:cs="Arial"/>
        </w:rPr>
        <w:t> </w:t>
      </w:r>
      <w:r w:rsidRPr="00F11A0D">
        <w:rPr>
          <w:rFonts w:ascii="Arial" w:hAnsi="Arial" w:cs="Arial"/>
        </w:rPr>
        <w:t>087</w:t>
      </w:r>
      <w:r w:rsidR="00503EF7">
        <w:rPr>
          <w:rFonts w:ascii="Arial" w:hAnsi="Arial" w:cs="Arial"/>
        </w:rPr>
        <w:t> </w:t>
      </w:r>
      <w:r w:rsidRPr="00F11A0D">
        <w:rPr>
          <w:rFonts w:ascii="Arial" w:hAnsi="Arial" w:cs="Arial"/>
        </w:rPr>
        <w:t>650 922).</w:t>
      </w:r>
    </w:p>
    <w:p w:rsidR="00F11A0D" w:rsidRDefault="00F11A0D" w:rsidP="00801095">
      <w:pPr>
        <w:shd w:val="clear" w:color="auto" w:fill="FFFFFF"/>
        <w:spacing w:before="0"/>
        <w:jc w:val="both"/>
        <w:textAlignment w:val="top"/>
        <w:rPr>
          <w:rFonts w:ascii="Arial" w:hAnsi="Arial" w:cs="Arial"/>
          <w:color w:val="111111"/>
          <w:szCs w:val="24"/>
        </w:rPr>
      </w:pPr>
    </w:p>
    <w:p w:rsidR="00A8076E" w:rsidRDefault="00A8076E" w:rsidP="00801095">
      <w:pPr>
        <w:shd w:val="clear" w:color="auto" w:fill="FFFFFF"/>
        <w:spacing w:before="0"/>
        <w:jc w:val="both"/>
        <w:textAlignment w:val="top"/>
        <w:rPr>
          <w:rFonts w:ascii="Arial" w:hAnsi="Arial" w:cs="Arial"/>
          <w:color w:val="111111"/>
          <w:szCs w:val="24"/>
        </w:rPr>
      </w:pPr>
      <w:r w:rsidRPr="00A8076E">
        <w:rPr>
          <w:rFonts w:ascii="Arial" w:hAnsi="Arial" w:cs="Arial"/>
          <w:b/>
          <w:color w:val="111111"/>
          <w:szCs w:val="24"/>
        </w:rPr>
        <w:t>Section 5</w:t>
      </w:r>
      <w:r>
        <w:rPr>
          <w:rFonts w:ascii="Arial" w:hAnsi="Arial" w:cs="Arial"/>
          <w:b/>
          <w:color w:val="111111"/>
          <w:szCs w:val="24"/>
        </w:rPr>
        <w:t xml:space="preserve"> </w:t>
      </w:r>
      <w:r>
        <w:rPr>
          <w:rFonts w:ascii="Arial" w:hAnsi="Arial" w:cs="Arial"/>
          <w:color w:val="111111"/>
          <w:szCs w:val="24"/>
        </w:rPr>
        <w:t>provides that each instrument specified in a Schedule to the</w:t>
      </w:r>
      <w:r w:rsidR="006541FC">
        <w:rPr>
          <w:rFonts w:ascii="Arial" w:hAnsi="Arial" w:cs="Arial"/>
          <w:color w:val="111111"/>
          <w:szCs w:val="24"/>
        </w:rPr>
        <w:t xml:space="preserve"> </w:t>
      </w:r>
      <w:r>
        <w:rPr>
          <w:rFonts w:ascii="Arial" w:hAnsi="Arial" w:cs="Arial"/>
          <w:color w:val="111111"/>
          <w:szCs w:val="24"/>
        </w:rPr>
        <w:t xml:space="preserve">Determination is amended or repealed as set out in the applicable items. </w:t>
      </w:r>
    </w:p>
    <w:p w:rsidR="00A8076E" w:rsidRDefault="00A8076E" w:rsidP="00801095">
      <w:pPr>
        <w:shd w:val="clear" w:color="auto" w:fill="FFFFFF"/>
        <w:spacing w:before="0"/>
        <w:jc w:val="both"/>
        <w:textAlignment w:val="top"/>
        <w:rPr>
          <w:rFonts w:ascii="Arial" w:hAnsi="Arial" w:cs="Arial"/>
          <w:color w:val="111111"/>
          <w:szCs w:val="24"/>
        </w:rPr>
      </w:pPr>
    </w:p>
    <w:p w:rsidR="00A8076E" w:rsidRDefault="00A8076E" w:rsidP="00801095">
      <w:pPr>
        <w:spacing w:before="0"/>
        <w:jc w:val="both"/>
        <w:rPr>
          <w:rStyle w:val="BookTitle"/>
          <w:rFonts w:ascii="Arial" w:hAnsi="Arial" w:cs="Arial"/>
          <w:i w:val="0"/>
          <w:iCs w:val="0"/>
          <w:smallCaps w:val="0"/>
          <w:spacing w:val="0"/>
          <w:szCs w:val="24"/>
        </w:rPr>
      </w:pPr>
      <w:r w:rsidRPr="00AB5647">
        <w:rPr>
          <w:rStyle w:val="BookTitle"/>
          <w:rFonts w:ascii="Arial" w:hAnsi="Arial" w:cs="Arial"/>
          <w:i w:val="0"/>
          <w:iCs w:val="0"/>
          <w:smallCaps w:val="0"/>
          <w:spacing w:val="0"/>
          <w:szCs w:val="24"/>
        </w:rPr>
        <w:t xml:space="preserve">Subsection 33(3) of the </w:t>
      </w:r>
      <w:r w:rsidRPr="00F509CF">
        <w:rPr>
          <w:rStyle w:val="BookTitle"/>
          <w:rFonts w:ascii="Arial" w:hAnsi="Arial" w:cs="Arial"/>
          <w:iCs w:val="0"/>
          <w:smallCaps w:val="0"/>
          <w:spacing w:val="0"/>
          <w:szCs w:val="24"/>
        </w:rPr>
        <w:t>Acts Interpretation Act 1901</w:t>
      </w:r>
      <w:r w:rsidRPr="00AB5647">
        <w:rPr>
          <w:rStyle w:val="BookTitle"/>
          <w:rFonts w:ascii="Arial" w:hAnsi="Arial" w:cs="Arial"/>
          <w:i w:val="0"/>
          <w:iCs w:val="0"/>
          <w:smallCaps w:val="0"/>
          <w:spacing w:val="0"/>
          <w:szCs w:val="24"/>
        </w:rPr>
        <w:t xml:space="preserve"> provides that the power to make a legislative instrument 'shall be construed as including a power exercisable in the like manner and subject to the like conditions (if any) to repeal, rescind, revoke, amend, or vary any such instrument'. In making th</w:t>
      </w:r>
      <w:r w:rsidR="00503EF7">
        <w:rPr>
          <w:rStyle w:val="BookTitle"/>
          <w:rFonts w:ascii="Arial" w:hAnsi="Arial" w:cs="Arial"/>
          <w:i w:val="0"/>
          <w:iCs w:val="0"/>
          <w:smallCaps w:val="0"/>
          <w:spacing w:val="0"/>
          <w:szCs w:val="24"/>
        </w:rPr>
        <w:t>is</w:t>
      </w:r>
      <w:r w:rsidRPr="00AB564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Determination</w:t>
      </w:r>
      <w:r w:rsidRPr="00AB5647">
        <w:rPr>
          <w:rStyle w:val="BookTitle"/>
          <w:rFonts w:ascii="Arial" w:hAnsi="Arial" w:cs="Arial"/>
          <w:i w:val="0"/>
          <w:iCs w:val="0"/>
          <w:smallCaps w:val="0"/>
          <w:spacing w:val="0"/>
          <w:szCs w:val="24"/>
        </w:rPr>
        <w:t>, the Se</w:t>
      </w:r>
      <w:r>
        <w:rPr>
          <w:rStyle w:val="BookTitle"/>
          <w:rFonts w:ascii="Arial" w:hAnsi="Arial" w:cs="Arial"/>
          <w:i w:val="0"/>
          <w:iCs w:val="0"/>
          <w:smallCaps w:val="0"/>
          <w:spacing w:val="0"/>
          <w:szCs w:val="24"/>
        </w:rPr>
        <w:t>cretary</w:t>
      </w:r>
      <w:r w:rsidRPr="00AB5647">
        <w:rPr>
          <w:rStyle w:val="BookTitle"/>
          <w:rFonts w:ascii="Arial" w:hAnsi="Arial" w:cs="Arial"/>
          <w:i w:val="0"/>
          <w:iCs w:val="0"/>
          <w:smallCaps w:val="0"/>
          <w:spacing w:val="0"/>
          <w:szCs w:val="24"/>
        </w:rPr>
        <w:t xml:space="preserve"> is relying upon this subsection in conjunction with the instrument-making power</w:t>
      </w:r>
      <w:r>
        <w:rPr>
          <w:rStyle w:val="BookTitle"/>
          <w:rFonts w:ascii="Arial" w:hAnsi="Arial" w:cs="Arial"/>
          <w:i w:val="0"/>
          <w:iCs w:val="0"/>
          <w:smallCaps w:val="0"/>
          <w:spacing w:val="0"/>
          <w:szCs w:val="24"/>
        </w:rPr>
        <w:t>s</w:t>
      </w:r>
      <w:r w:rsidRPr="00AB5647">
        <w:rPr>
          <w:rStyle w:val="BookTitle"/>
          <w:rFonts w:ascii="Arial" w:hAnsi="Arial" w:cs="Arial"/>
          <w:i w:val="0"/>
          <w:iCs w:val="0"/>
          <w:smallCaps w:val="0"/>
          <w:spacing w:val="0"/>
          <w:szCs w:val="24"/>
        </w:rPr>
        <w:t xml:space="preserve"> in </w:t>
      </w:r>
      <w:r>
        <w:rPr>
          <w:rStyle w:val="BookTitle"/>
          <w:rFonts w:ascii="Arial" w:hAnsi="Arial" w:cs="Arial"/>
          <w:i w:val="0"/>
          <w:iCs w:val="0"/>
          <w:smallCaps w:val="0"/>
          <w:spacing w:val="0"/>
          <w:szCs w:val="24"/>
        </w:rPr>
        <w:t xml:space="preserve">subsections </w:t>
      </w:r>
      <w:r w:rsidRPr="00A8076E">
        <w:rPr>
          <w:rStyle w:val="BookTitle"/>
          <w:rFonts w:ascii="Arial" w:hAnsi="Arial" w:cs="Arial"/>
          <w:i w:val="0"/>
          <w:iCs w:val="0"/>
          <w:smallCaps w:val="0"/>
          <w:spacing w:val="0"/>
          <w:szCs w:val="24"/>
        </w:rPr>
        <w:t xml:space="preserve">123SU(1), 123SU(2) and 123SV(2) </w:t>
      </w:r>
      <w:r w:rsidRPr="007C1B92">
        <w:rPr>
          <w:rStyle w:val="BookTitle"/>
          <w:rFonts w:ascii="Arial" w:hAnsi="Arial" w:cs="Arial"/>
          <w:i w:val="0"/>
          <w:iCs w:val="0"/>
          <w:smallCaps w:val="0"/>
          <w:spacing w:val="0"/>
          <w:szCs w:val="24"/>
        </w:rPr>
        <w:t xml:space="preserve">of the </w:t>
      </w:r>
      <w:r>
        <w:rPr>
          <w:rStyle w:val="BookTitle"/>
          <w:rFonts w:ascii="Arial" w:hAnsi="Arial" w:cs="Arial"/>
          <w:i w:val="0"/>
          <w:iCs w:val="0"/>
          <w:smallCaps w:val="0"/>
          <w:spacing w:val="0"/>
          <w:szCs w:val="24"/>
        </w:rPr>
        <w:t>Act</w:t>
      </w:r>
      <w:r w:rsidRPr="007C1B92">
        <w:rPr>
          <w:rStyle w:val="BookTitle"/>
          <w:rFonts w:ascii="Arial" w:hAnsi="Arial" w:cs="Arial"/>
          <w:i w:val="0"/>
          <w:iCs w:val="0"/>
          <w:smallCaps w:val="0"/>
          <w:spacing w:val="0"/>
          <w:szCs w:val="24"/>
        </w:rPr>
        <w:t xml:space="preserve">. </w:t>
      </w:r>
    </w:p>
    <w:p w:rsidR="00A8076E" w:rsidRDefault="00A8076E" w:rsidP="00801095">
      <w:pPr>
        <w:shd w:val="clear" w:color="auto" w:fill="FFFFFF"/>
        <w:spacing w:before="0"/>
        <w:jc w:val="both"/>
        <w:textAlignment w:val="top"/>
        <w:rPr>
          <w:rFonts w:ascii="Arial" w:hAnsi="Arial" w:cs="Arial"/>
          <w:color w:val="111111"/>
          <w:szCs w:val="24"/>
        </w:rPr>
      </w:pPr>
    </w:p>
    <w:p w:rsidR="00A709D5" w:rsidRPr="00A709D5" w:rsidRDefault="00A8076E" w:rsidP="00801095">
      <w:pPr>
        <w:shd w:val="clear" w:color="auto" w:fill="FFFFFF"/>
        <w:spacing w:before="0"/>
        <w:textAlignment w:val="top"/>
        <w:rPr>
          <w:rFonts w:ascii="Arial" w:hAnsi="Arial" w:cs="Arial"/>
          <w:color w:val="111111"/>
          <w:szCs w:val="24"/>
          <w:u w:val="single"/>
        </w:rPr>
      </w:pPr>
      <w:r w:rsidRPr="00A8076E">
        <w:rPr>
          <w:rFonts w:ascii="Arial" w:hAnsi="Arial" w:cs="Arial"/>
          <w:color w:val="111111"/>
          <w:szCs w:val="24"/>
          <w:u w:val="single"/>
        </w:rPr>
        <w:t>Part 2—Declinable Transactions</w:t>
      </w:r>
      <w:bookmarkStart w:id="2" w:name="_Toc290210739"/>
      <w:r w:rsidR="00A709D5">
        <w:rPr>
          <w:rFonts w:ascii="Arial" w:hAnsi="Arial" w:cs="Arial"/>
          <w:color w:val="111111"/>
          <w:szCs w:val="24"/>
          <w:u w:val="single"/>
        </w:rPr>
        <w:br/>
      </w:r>
    </w:p>
    <w:p w:rsidR="00A709D5" w:rsidRDefault="00A709D5" w:rsidP="00801095">
      <w:pPr>
        <w:spacing w:before="0" w:after="200"/>
        <w:jc w:val="both"/>
        <w:rPr>
          <w:rFonts w:ascii="Arial" w:hAnsi="Arial" w:cs="Arial"/>
          <w:szCs w:val="24"/>
        </w:rPr>
      </w:pPr>
      <w:r w:rsidRPr="00A709D5">
        <w:rPr>
          <w:rFonts w:ascii="Arial" w:hAnsi="Arial" w:cs="Arial"/>
          <w:b/>
          <w:szCs w:val="24"/>
        </w:rPr>
        <w:lastRenderedPageBreak/>
        <w:t>Section 6</w:t>
      </w:r>
      <w:r>
        <w:rPr>
          <w:rFonts w:ascii="Arial" w:hAnsi="Arial" w:cs="Arial"/>
          <w:b/>
          <w:szCs w:val="24"/>
        </w:rPr>
        <w:t xml:space="preserve"> </w:t>
      </w:r>
      <w:r w:rsidR="00A11C3C" w:rsidRPr="00A11C3C">
        <w:rPr>
          <w:rFonts w:ascii="Arial" w:hAnsi="Arial" w:cs="Arial"/>
          <w:szCs w:val="24"/>
        </w:rPr>
        <w:t xml:space="preserve">provides that for </w:t>
      </w:r>
      <w:r w:rsidR="00A11C3C" w:rsidRPr="00A11C3C">
        <w:rPr>
          <w:rFonts w:ascii="Arial" w:hAnsi="Arial" w:cs="Arial"/>
        </w:rPr>
        <w:t>the purposes of subsection 123SV(2) of the Act</w:t>
      </w:r>
      <w:r w:rsidR="00A11C3C">
        <w:rPr>
          <w:rFonts w:ascii="Arial" w:hAnsi="Arial" w:cs="Arial"/>
          <w:szCs w:val="24"/>
        </w:rPr>
        <w:t xml:space="preserve">, </w:t>
      </w:r>
      <w:r w:rsidRPr="00A709D5">
        <w:rPr>
          <w:rFonts w:ascii="Arial" w:hAnsi="Arial" w:cs="Arial"/>
          <w:szCs w:val="24"/>
        </w:rPr>
        <w:t xml:space="preserve">the kinds of businesses specified in Schedule 1, Schedule 2 or Schedule 3 </w:t>
      </w:r>
      <w:r>
        <w:rPr>
          <w:rFonts w:ascii="Arial" w:hAnsi="Arial" w:cs="Arial"/>
          <w:szCs w:val="24"/>
        </w:rPr>
        <w:t>to the Determination</w:t>
      </w:r>
      <w:r w:rsidRPr="00A709D5">
        <w:rPr>
          <w:rFonts w:ascii="Arial" w:hAnsi="Arial" w:cs="Arial"/>
          <w:szCs w:val="24"/>
        </w:rPr>
        <w:t xml:space="preserve"> are the kinds of businesses in relation to which transactions involving money in a BasicsCard bank account may be declined by a financial institution.</w:t>
      </w:r>
      <w:r w:rsidR="00F11A0D">
        <w:rPr>
          <w:rFonts w:ascii="Arial" w:hAnsi="Arial" w:cs="Arial"/>
          <w:szCs w:val="24"/>
        </w:rPr>
        <w:t xml:space="preserve"> </w:t>
      </w:r>
      <w:r w:rsidR="00F11A0D" w:rsidRPr="00F11A0D">
        <w:rPr>
          <w:rFonts w:ascii="Arial" w:hAnsi="Arial" w:cs="Arial"/>
          <w:szCs w:val="24"/>
        </w:rPr>
        <w:t xml:space="preserve">The inclusion of this provision means that the financial institution, in declining such a transaction, will not contravene Part IV of the </w:t>
      </w:r>
      <w:r w:rsidR="00F11A0D" w:rsidRPr="00F11A0D">
        <w:rPr>
          <w:rFonts w:ascii="Arial" w:hAnsi="Arial" w:cs="Arial"/>
          <w:i/>
          <w:szCs w:val="24"/>
        </w:rPr>
        <w:t>Competition and Consumer Act 2010.</w:t>
      </w:r>
    </w:p>
    <w:p w:rsidR="00F11A0D" w:rsidRDefault="00A709D5" w:rsidP="00801095">
      <w:pPr>
        <w:spacing w:before="0" w:after="200"/>
        <w:jc w:val="both"/>
        <w:rPr>
          <w:rFonts w:ascii="Arial" w:hAnsi="Arial" w:cs="Arial"/>
          <w:szCs w:val="24"/>
          <w:u w:val="single"/>
        </w:rPr>
      </w:pPr>
      <w:r w:rsidRPr="00A709D5">
        <w:rPr>
          <w:rFonts w:ascii="Arial" w:hAnsi="Arial" w:cs="Arial"/>
          <w:szCs w:val="24"/>
          <w:u w:val="single"/>
        </w:rPr>
        <w:t>Part 3—BasicsCard Bank Account</w:t>
      </w:r>
    </w:p>
    <w:p w:rsidR="00A11C3C" w:rsidRDefault="00A11C3C" w:rsidP="00801095">
      <w:pPr>
        <w:spacing w:before="0" w:after="200"/>
        <w:jc w:val="both"/>
        <w:rPr>
          <w:rFonts w:ascii="Arial" w:hAnsi="Arial" w:cs="Arial"/>
          <w:szCs w:val="24"/>
        </w:rPr>
      </w:pPr>
      <w:r w:rsidRPr="00A11C3C">
        <w:rPr>
          <w:rFonts w:ascii="Arial" w:hAnsi="Arial" w:cs="Arial"/>
          <w:b/>
          <w:szCs w:val="24"/>
        </w:rPr>
        <w:t xml:space="preserve">Section 7 </w:t>
      </w:r>
      <w:r w:rsidRPr="00A11C3C">
        <w:rPr>
          <w:rFonts w:ascii="Arial" w:hAnsi="Arial" w:cs="Arial"/>
          <w:szCs w:val="24"/>
        </w:rPr>
        <w:t>provides that the kind o</w:t>
      </w:r>
      <w:r>
        <w:rPr>
          <w:rFonts w:ascii="Arial" w:hAnsi="Arial" w:cs="Arial"/>
          <w:szCs w:val="24"/>
        </w:rPr>
        <w:t xml:space="preserve">f bank account to be </w:t>
      </w:r>
      <w:r w:rsidRPr="00A11C3C">
        <w:rPr>
          <w:rFonts w:ascii="Arial" w:hAnsi="Arial" w:cs="Arial"/>
          <w:szCs w:val="24"/>
        </w:rPr>
        <w:t>maintained by a person who is subject to the enhanced income management regime</w:t>
      </w:r>
      <w:r>
        <w:rPr>
          <w:rFonts w:ascii="Arial" w:hAnsi="Arial" w:cs="Arial"/>
          <w:szCs w:val="24"/>
        </w:rPr>
        <w:t>,</w:t>
      </w:r>
      <w:r w:rsidRPr="00A11C3C">
        <w:rPr>
          <w:rFonts w:ascii="Arial" w:hAnsi="Arial" w:cs="Arial"/>
          <w:szCs w:val="24"/>
        </w:rPr>
        <w:t xml:space="preserve"> for the receipt of payments</w:t>
      </w:r>
      <w:r>
        <w:rPr>
          <w:rFonts w:ascii="Arial" w:hAnsi="Arial" w:cs="Arial"/>
          <w:szCs w:val="24"/>
        </w:rPr>
        <w:t>,</w:t>
      </w:r>
      <w:r w:rsidRPr="00A11C3C">
        <w:rPr>
          <w:rFonts w:ascii="Arial" w:hAnsi="Arial" w:cs="Arial"/>
          <w:szCs w:val="24"/>
        </w:rPr>
        <w:t xml:space="preserve"> is a bank account established with </w:t>
      </w:r>
      <w:r w:rsidR="00801095">
        <w:rPr>
          <w:rFonts w:ascii="Arial" w:hAnsi="Arial" w:cs="Arial"/>
          <w:szCs w:val="24"/>
        </w:rPr>
        <w:t xml:space="preserve">Indue </w:t>
      </w:r>
      <w:r>
        <w:rPr>
          <w:rFonts w:ascii="Arial" w:hAnsi="Arial" w:cs="Arial"/>
          <w:szCs w:val="24"/>
        </w:rPr>
        <w:t xml:space="preserve">or Traditional Credit Union.  </w:t>
      </w:r>
    </w:p>
    <w:p w:rsidR="00A11C3C" w:rsidRPr="00A11C3C" w:rsidRDefault="00801095" w:rsidP="00801095">
      <w:pPr>
        <w:spacing w:before="0" w:after="200"/>
        <w:jc w:val="both"/>
        <w:rPr>
          <w:rFonts w:ascii="Arial" w:hAnsi="Arial" w:cs="Arial"/>
          <w:b/>
          <w:szCs w:val="24"/>
        </w:rPr>
      </w:pPr>
      <w:r>
        <w:rPr>
          <w:rFonts w:ascii="Arial" w:hAnsi="Arial" w:cs="Arial"/>
          <w:szCs w:val="24"/>
        </w:rPr>
        <w:t>Indue</w:t>
      </w:r>
      <w:r w:rsidR="00A11C3C">
        <w:rPr>
          <w:rFonts w:ascii="Arial" w:hAnsi="Arial" w:cs="Arial"/>
          <w:szCs w:val="24"/>
        </w:rPr>
        <w:t xml:space="preserve"> and Traditional Credit Union provide</w:t>
      </w:r>
      <w:r w:rsidR="00A11C3C" w:rsidRPr="00A11C3C">
        <w:rPr>
          <w:rFonts w:ascii="Arial" w:hAnsi="Arial" w:cs="Arial"/>
          <w:szCs w:val="24"/>
        </w:rPr>
        <w:t xml:space="preserve"> financial payment products and settlement services, and ha</w:t>
      </w:r>
      <w:r w:rsidR="00A11C3C">
        <w:rPr>
          <w:rFonts w:ascii="Arial" w:hAnsi="Arial" w:cs="Arial"/>
          <w:szCs w:val="24"/>
        </w:rPr>
        <w:t>ve</w:t>
      </w:r>
      <w:r w:rsidR="00A11C3C" w:rsidRPr="00A11C3C">
        <w:rPr>
          <w:rFonts w:ascii="Arial" w:hAnsi="Arial" w:cs="Arial"/>
          <w:szCs w:val="24"/>
        </w:rPr>
        <w:t xml:space="preserve"> been engaged by the Commonwealth to provide </w:t>
      </w:r>
      <w:r w:rsidR="007D448D">
        <w:rPr>
          <w:rFonts w:ascii="Arial" w:hAnsi="Arial" w:cs="Arial"/>
          <w:szCs w:val="24"/>
        </w:rPr>
        <w:t>the SmartCard and associated</w:t>
      </w:r>
      <w:r w:rsidR="00A11C3C">
        <w:rPr>
          <w:rFonts w:ascii="Arial" w:hAnsi="Arial" w:cs="Arial"/>
          <w:szCs w:val="24"/>
        </w:rPr>
        <w:t xml:space="preserve"> bank accounts for the purpose of the enhanced income management regime. </w:t>
      </w:r>
      <w:r w:rsidR="00A11C3C" w:rsidRPr="00A11C3C">
        <w:rPr>
          <w:rFonts w:ascii="Arial" w:hAnsi="Arial" w:cs="Arial"/>
          <w:b/>
          <w:szCs w:val="24"/>
        </w:rPr>
        <w:t xml:space="preserve"> </w:t>
      </w:r>
    </w:p>
    <w:p w:rsidR="00C83547" w:rsidRDefault="00A11C3C" w:rsidP="00801095">
      <w:pPr>
        <w:spacing w:before="0" w:after="200"/>
        <w:jc w:val="both"/>
        <w:rPr>
          <w:rFonts w:ascii="Arial" w:hAnsi="Arial" w:cs="Arial"/>
          <w:szCs w:val="24"/>
        </w:rPr>
      </w:pPr>
      <w:r w:rsidRPr="00A11C3C">
        <w:rPr>
          <w:rFonts w:ascii="Arial" w:hAnsi="Arial" w:cs="Arial"/>
          <w:b/>
          <w:szCs w:val="24"/>
        </w:rPr>
        <w:t xml:space="preserve">Section 8 </w:t>
      </w:r>
      <w:r w:rsidRPr="00A11C3C">
        <w:rPr>
          <w:rFonts w:ascii="Arial" w:hAnsi="Arial" w:cs="Arial"/>
          <w:szCs w:val="24"/>
        </w:rPr>
        <w:t>provides that the terms and conditions of a BasicsCard bank account include</w:t>
      </w:r>
      <w:r w:rsidR="002912E0">
        <w:rPr>
          <w:rFonts w:ascii="Arial" w:hAnsi="Arial" w:cs="Arial"/>
          <w:szCs w:val="24"/>
        </w:rPr>
        <w:t xml:space="preserve"> </w:t>
      </w:r>
      <w:r w:rsidRPr="00A11C3C">
        <w:rPr>
          <w:rFonts w:ascii="Arial" w:hAnsi="Arial" w:cs="Arial"/>
          <w:szCs w:val="24"/>
        </w:rPr>
        <w:t xml:space="preserve">the terms and conditions set out in Schedule </w:t>
      </w:r>
      <w:r>
        <w:rPr>
          <w:rFonts w:ascii="Arial" w:hAnsi="Arial" w:cs="Arial"/>
          <w:szCs w:val="24"/>
        </w:rPr>
        <w:t>4</w:t>
      </w:r>
      <w:r w:rsidRPr="00A11C3C">
        <w:rPr>
          <w:rFonts w:ascii="Arial" w:hAnsi="Arial" w:cs="Arial"/>
          <w:szCs w:val="24"/>
        </w:rPr>
        <w:t xml:space="preserve"> to the Determination. </w:t>
      </w:r>
    </w:p>
    <w:p w:rsidR="00EC2F21" w:rsidRPr="00EC2F21" w:rsidRDefault="00EC2F21" w:rsidP="00801095">
      <w:pPr>
        <w:spacing w:before="0" w:after="200"/>
        <w:jc w:val="both"/>
        <w:rPr>
          <w:rFonts w:ascii="Arial" w:hAnsi="Arial" w:cs="Arial"/>
          <w:szCs w:val="24"/>
          <w:u w:val="single"/>
        </w:rPr>
      </w:pPr>
      <w:r w:rsidRPr="00EC2F21">
        <w:rPr>
          <w:rFonts w:ascii="Arial" w:hAnsi="Arial" w:cs="Arial"/>
          <w:szCs w:val="24"/>
          <w:u w:val="single"/>
        </w:rPr>
        <w:t>Schedules</w:t>
      </w:r>
    </w:p>
    <w:p w:rsidR="00C83547" w:rsidRPr="00C83547" w:rsidRDefault="00C83547" w:rsidP="00AD5A3D">
      <w:pPr>
        <w:spacing w:before="0" w:after="200"/>
        <w:jc w:val="both"/>
        <w:rPr>
          <w:rFonts w:ascii="Arial" w:hAnsi="Arial" w:cs="Arial"/>
          <w:szCs w:val="24"/>
        </w:rPr>
      </w:pPr>
      <w:r w:rsidRPr="00C83547">
        <w:rPr>
          <w:rFonts w:ascii="Arial" w:hAnsi="Arial" w:cs="Arial"/>
          <w:b/>
          <w:szCs w:val="24"/>
        </w:rPr>
        <w:t>Schedule 1, Schedule 2 and Schedule 3</w:t>
      </w:r>
      <w:r w:rsidRPr="00C83547">
        <w:rPr>
          <w:rFonts w:ascii="Arial" w:hAnsi="Arial" w:cs="Arial"/>
          <w:szCs w:val="24"/>
        </w:rPr>
        <w:t xml:space="preserve"> set out, for the purposes of section 6 of the Determination, the kinds of businesses in relation to which transactions involving </w:t>
      </w:r>
      <w:r w:rsidR="007D448D">
        <w:rPr>
          <w:rFonts w:ascii="Arial" w:hAnsi="Arial" w:cs="Arial"/>
          <w:szCs w:val="24"/>
        </w:rPr>
        <w:t xml:space="preserve">qualified funds </w:t>
      </w:r>
      <w:r w:rsidRPr="00C83547">
        <w:rPr>
          <w:rFonts w:ascii="Arial" w:hAnsi="Arial" w:cs="Arial"/>
          <w:szCs w:val="24"/>
        </w:rPr>
        <w:t xml:space="preserve">may be declined by a </w:t>
      </w:r>
      <w:r w:rsidRPr="00564B47">
        <w:rPr>
          <w:rFonts w:ascii="Arial" w:hAnsi="Arial" w:cs="Arial"/>
          <w:szCs w:val="24"/>
        </w:rPr>
        <w:t xml:space="preserve">financial institution. </w:t>
      </w:r>
      <w:r w:rsidR="00AB3499" w:rsidRPr="00564B47">
        <w:rPr>
          <w:rFonts w:ascii="Arial" w:hAnsi="Arial" w:cs="Arial"/>
          <w:szCs w:val="24"/>
        </w:rPr>
        <w:t xml:space="preserve">These kinds of businesses are defined </w:t>
      </w:r>
      <w:r w:rsidR="0022574F" w:rsidRPr="00564B47">
        <w:rPr>
          <w:rFonts w:ascii="Arial" w:hAnsi="Arial" w:cs="Arial"/>
          <w:szCs w:val="24"/>
        </w:rPr>
        <w:t>in</w:t>
      </w:r>
      <w:r w:rsidR="00AB3499" w:rsidRPr="00564B47">
        <w:rPr>
          <w:rFonts w:ascii="Arial" w:hAnsi="Arial" w:cs="Arial"/>
          <w:szCs w:val="24"/>
        </w:rPr>
        <w:t xml:space="preserve"> </w:t>
      </w:r>
      <w:r w:rsidR="008F5C8D" w:rsidRPr="00564B47">
        <w:rPr>
          <w:rFonts w:ascii="Arial" w:hAnsi="Arial" w:cs="Arial"/>
          <w:szCs w:val="24"/>
        </w:rPr>
        <w:t>3</w:t>
      </w:r>
      <w:r w:rsidR="00A6722F" w:rsidRPr="00564B47">
        <w:rPr>
          <w:rFonts w:ascii="Arial" w:hAnsi="Arial" w:cs="Arial"/>
          <w:szCs w:val="24"/>
        </w:rPr>
        <w:t xml:space="preserve"> distinct ways, set out in 3 separate</w:t>
      </w:r>
      <w:r w:rsidR="00AB3499" w:rsidRPr="00564B47">
        <w:rPr>
          <w:rFonts w:ascii="Arial" w:hAnsi="Arial" w:cs="Arial"/>
          <w:szCs w:val="24"/>
        </w:rPr>
        <w:t xml:space="preserve"> schedules</w:t>
      </w:r>
      <w:r w:rsidR="00A6722F" w:rsidRPr="00564B47">
        <w:rPr>
          <w:rFonts w:ascii="Arial" w:hAnsi="Arial" w:cs="Arial"/>
          <w:szCs w:val="24"/>
        </w:rPr>
        <w:t>,</w:t>
      </w:r>
      <w:r w:rsidR="00AB3499" w:rsidRPr="00564B47">
        <w:rPr>
          <w:rFonts w:ascii="Arial" w:hAnsi="Arial" w:cs="Arial"/>
          <w:szCs w:val="24"/>
        </w:rPr>
        <w:t xml:space="preserve"> to ensure that there is scope</w:t>
      </w:r>
      <w:r w:rsidR="00E66BA4" w:rsidRPr="00564B47">
        <w:rPr>
          <w:rFonts w:ascii="Arial" w:hAnsi="Arial" w:cs="Arial"/>
          <w:szCs w:val="24"/>
        </w:rPr>
        <w:t xml:space="preserve"> for a business</w:t>
      </w:r>
      <w:r w:rsidR="00AB3499" w:rsidRPr="00564B47">
        <w:rPr>
          <w:rFonts w:ascii="Arial" w:hAnsi="Arial" w:cs="Arial"/>
          <w:szCs w:val="24"/>
        </w:rPr>
        <w:t xml:space="preserve"> to decline the purchase of excluded goods </w:t>
      </w:r>
      <w:r w:rsidR="00E66BA4" w:rsidRPr="00564B47">
        <w:rPr>
          <w:rFonts w:ascii="Arial" w:hAnsi="Arial" w:cs="Arial"/>
          <w:szCs w:val="24"/>
        </w:rPr>
        <w:t>and excluded</w:t>
      </w:r>
      <w:r w:rsidR="00AB3499" w:rsidRPr="00564B47">
        <w:rPr>
          <w:rFonts w:ascii="Arial" w:hAnsi="Arial" w:cs="Arial"/>
          <w:szCs w:val="24"/>
        </w:rPr>
        <w:t xml:space="preserve"> services</w:t>
      </w:r>
      <w:r w:rsidR="00E66BA4" w:rsidRPr="00564B47">
        <w:rPr>
          <w:rFonts w:ascii="Arial" w:hAnsi="Arial" w:cs="Arial"/>
          <w:szCs w:val="24"/>
        </w:rPr>
        <w:t xml:space="preserve"> even if it is </w:t>
      </w:r>
      <w:r w:rsidR="00AD5A3D" w:rsidRPr="00564B47">
        <w:rPr>
          <w:rFonts w:ascii="Arial" w:hAnsi="Arial" w:cs="Arial"/>
          <w:szCs w:val="24"/>
        </w:rPr>
        <w:t xml:space="preserve">operating or trading under a different merchant </w:t>
      </w:r>
      <w:r w:rsidR="00AB3499" w:rsidRPr="00564B47">
        <w:rPr>
          <w:rFonts w:ascii="Arial" w:hAnsi="Arial" w:cs="Arial"/>
          <w:szCs w:val="24"/>
        </w:rPr>
        <w:t xml:space="preserve">category </w:t>
      </w:r>
      <w:r w:rsidR="00AD5A3D" w:rsidRPr="00564B47">
        <w:rPr>
          <w:rFonts w:ascii="Arial" w:hAnsi="Arial" w:cs="Arial"/>
          <w:szCs w:val="24"/>
        </w:rPr>
        <w:t xml:space="preserve">code </w:t>
      </w:r>
      <w:r w:rsidR="00AB3499" w:rsidRPr="00564B47">
        <w:rPr>
          <w:rFonts w:ascii="Arial" w:hAnsi="Arial" w:cs="Arial"/>
          <w:szCs w:val="24"/>
        </w:rPr>
        <w:t>or industry code</w:t>
      </w:r>
      <w:r w:rsidR="00AD5A3D" w:rsidRPr="00564B47">
        <w:rPr>
          <w:rFonts w:ascii="Arial" w:hAnsi="Arial" w:cs="Arial"/>
          <w:szCs w:val="24"/>
        </w:rPr>
        <w:t xml:space="preserve"> tha</w:t>
      </w:r>
      <w:r w:rsidR="006C16CA" w:rsidRPr="00564B47">
        <w:rPr>
          <w:rFonts w:ascii="Arial" w:hAnsi="Arial" w:cs="Arial"/>
          <w:szCs w:val="24"/>
        </w:rPr>
        <w:t>n</w:t>
      </w:r>
      <w:r w:rsidR="00AD5A3D" w:rsidRPr="00564B47">
        <w:rPr>
          <w:rFonts w:ascii="Arial" w:hAnsi="Arial" w:cs="Arial"/>
          <w:szCs w:val="24"/>
        </w:rPr>
        <w:t xml:space="preserve"> </w:t>
      </w:r>
      <w:r w:rsidR="00E66BA4" w:rsidRPr="00564B47">
        <w:rPr>
          <w:rFonts w:ascii="Arial" w:hAnsi="Arial" w:cs="Arial"/>
          <w:szCs w:val="24"/>
        </w:rPr>
        <w:t>its</w:t>
      </w:r>
      <w:r w:rsidR="00AD5A3D" w:rsidRPr="00564B47">
        <w:rPr>
          <w:rFonts w:ascii="Arial" w:hAnsi="Arial" w:cs="Arial"/>
          <w:szCs w:val="24"/>
        </w:rPr>
        <w:t xml:space="preserve"> primary service</w:t>
      </w:r>
      <w:r w:rsidR="00AB3499" w:rsidRPr="00564B47">
        <w:rPr>
          <w:rFonts w:ascii="Arial" w:hAnsi="Arial" w:cs="Arial"/>
          <w:szCs w:val="24"/>
        </w:rPr>
        <w:t>.</w:t>
      </w:r>
    </w:p>
    <w:p w:rsidR="00C83547" w:rsidRDefault="00C83547" w:rsidP="00801095">
      <w:pPr>
        <w:spacing w:before="0" w:after="200"/>
        <w:jc w:val="both"/>
        <w:rPr>
          <w:rFonts w:ascii="Arial" w:hAnsi="Arial" w:cs="Arial"/>
          <w:szCs w:val="24"/>
        </w:rPr>
      </w:pPr>
      <w:r w:rsidRPr="00201989">
        <w:rPr>
          <w:rFonts w:ascii="Arial" w:hAnsi="Arial" w:cs="Arial"/>
          <w:b/>
          <w:szCs w:val="24"/>
        </w:rPr>
        <w:t>Schedule 1</w:t>
      </w:r>
      <w:r w:rsidRPr="00EC2F21">
        <w:rPr>
          <w:rFonts w:ascii="Arial" w:hAnsi="Arial" w:cs="Arial"/>
          <w:b/>
          <w:szCs w:val="24"/>
        </w:rPr>
        <w:t xml:space="preserve"> </w:t>
      </w:r>
      <w:r w:rsidRPr="00C83547">
        <w:rPr>
          <w:rFonts w:ascii="Arial" w:hAnsi="Arial" w:cs="Arial"/>
          <w:szCs w:val="24"/>
        </w:rPr>
        <w:t>declares the relevant kinds of businesses by description.</w:t>
      </w:r>
      <w:r>
        <w:rPr>
          <w:rFonts w:ascii="Arial" w:hAnsi="Arial" w:cs="Arial"/>
          <w:szCs w:val="24"/>
        </w:rPr>
        <w:t xml:space="preserve"> These are:</w:t>
      </w:r>
      <w:r w:rsidRPr="00C83547">
        <w:rPr>
          <w:rFonts w:ascii="Arial" w:hAnsi="Arial" w:cs="Arial"/>
          <w:szCs w:val="24"/>
        </w:rPr>
        <w:t xml:space="preserve">  </w:t>
      </w:r>
    </w:p>
    <w:p w:rsidR="00C83547" w:rsidRDefault="00C83547" w:rsidP="00801095">
      <w:pPr>
        <w:pStyle w:val="ListParagraph"/>
        <w:numPr>
          <w:ilvl w:val="0"/>
          <w:numId w:val="24"/>
        </w:numPr>
        <w:spacing w:before="0" w:after="120"/>
        <w:ind w:left="714" w:hanging="357"/>
        <w:contextualSpacing w:val="0"/>
        <w:jc w:val="both"/>
        <w:rPr>
          <w:rFonts w:ascii="Arial" w:hAnsi="Arial" w:cs="Arial"/>
          <w:szCs w:val="24"/>
        </w:rPr>
      </w:pPr>
      <w:r w:rsidRPr="00C83547">
        <w:rPr>
          <w:rFonts w:ascii="Arial" w:hAnsi="Arial" w:cs="Arial"/>
          <w:szCs w:val="24"/>
        </w:rPr>
        <w:t xml:space="preserve">businesses that sell </w:t>
      </w:r>
      <w:r w:rsidR="00F61711">
        <w:rPr>
          <w:rFonts w:ascii="Arial" w:hAnsi="Arial" w:cs="Arial"/>
          <w:szCs w:val="24"/>
        </w:rPr>
        <w:t xml:space="preserve">excluded goods or excluded services (being </w:t>
      </w:r>
      <w:r w:rsidRPr="00C83547">
        <w:rPr>
          <w:rFonts w:ascii="Arial" w:hAnsi="Arial" w:cs="Arial"/>
          <w:szCs w:val="24"/>
        </w:rPr>
        <w:t>alcoholic beverages, tobacco products, pornographic material,</w:t>
      </w:r>
      <w:r w:rsidR="00F61711">
        <w:rPr>
          <w:rFonts w:ascii="Arial" w:hAnsi="Arial" w:cs="Arial"/>
          <w:szCs w:val="24"/>
        </w:rPr>
        <w:t xml:space="preserve"> or</w:t>
      </w:r>
      <w:r w:rsidRPr="00C83547">
        <w:rPr>
          <w:rFonts w:ascii="Arial" w:hAnsi="Arial" w:cs="Arial"/>
          <w:szCs w:val="24"/>
        </w:rPr>
        <w:t xml:space="preserve"> gambling services</w:t>
      </w:r>
      <w:r w:rsidR="00F61711">
        <w:rPr>
          <w:rFonts w:ascii="Arial" w:hAnsi="Arial" w:cs="Arial"/>
          <w:szCs w:val="24"/>
        </w:rPr>
        <w:t>)</w:t>
      </w:r>
      <w:r w:rsidRPr="00C83547">
        <w:rPr>
          <w:rFonts w:ascii="Arial" w:hAnsi="Arial" w:cs="Arial"/>
          <w:szCs w:val="24"/>
        </w:rPr>
        <w:t xml:space="preserve"> or cash-like products that could be used to obtain th</w:t>
      </w:r>
      <w:r w:rsidR="007F300E">
        <w:rPr>
          <w:rFonts w:ascii="Arial" w:hAnsi="Arial" w:cs="Arial"/>
          <w:szCs w:val="24"/>
        </w:rPr>
        <w:t>o</w:t>
      </w:r>
      <w:r w:rsidRPr="00C83547">
        <w:rPr>
          <w:rFonts w:ascii="Arial" w:hAnsi="Arial" w:cs="Arial"/>
          <w:szCs w:val="24"/>
        </w:rPr>
        <w:t>se goods and</w:t>
      </w:r>
      <w:r>
        <w:rPr>
          <w:rFonts w:ascii="Arial" w:hAnsi="Arial" w:cs="Arial"/>
          <w:szCs w:val="24"/>
        </w:rPr>
        <w:t xml:space="preserve"> services (</w:t>
      </w:r>
      <w:r w:rsidR="007F300E">
        <w:rPr>
          <w:rFonts w:ascii="Arial" w:hAnsi="Arial" w:cs="Arial"/>
          <w:szCs w:val="24"/>
        </w:rPr>
        <w:t>table</w:t>
      </w:r>
      <w:r w:rsidR="008F5C8D">
        <w:rPr>
          <w:rFonts w:ascii="Arial" w:hAnsi="Arial" w:cs="Arial"/>
          <w:szCs w:val="24"/>
        </w:rPr>
        <w:t> </w:t>
      </w:r>
      <w:r>
        <w:rPr>
          <w:rFonts w:ascii="Arial" w:hAnsi="Arial" w:cs="Arial"/>
          <w:szCs w:val="24"/>
        </w:rPr>
        <w:t>item 1);</w:t>
      </w:r>
    </w:p>
    <w:p w:rsidR="00C83547" w:rsidRPr="00C83547" w:rsidRDefault="00C83547" w:rsidP="00801095">
      <w:pPr>
        <w:pStyle w:val="ListParagraph"/>
        <w:numPr>
          <w:ilvl w:val="0"/>
          <w:numId w:val="24"/>
        </w:numPr>
        <w:spacing w:before="0" w:after="120"/>
        <w:ind w:left="714" w:hanging="357"/>
        <w:contextualSpacing w:val="0"/>
        <w:jc w:val="both"/>
        <w:rPr>
          <w:rFonts w:ascii="Arial" w:hAnsi="Arial" w:cs="Arial"/>
          <w:szCs w:val="24"/>
        </w:rPr>
      </w:pPr>
      <w:r w:rsidRPr="00C83547">
        <w:rPr>
          <w:rFonts w:ascii="Arial" w:hAnsi="Arial" w:cs="Arial"/>
          <w:szCs w:val="24"/>
        </w:rPr>
        <w:t>businesses from which purchases may be made through online transactions or</w:t>
      </w:r>
      <w:r w:rsidR="00B46651">
        <w:rPr>
          <w:rFonts w:ascii="Arial" w:hAnsi="Arial" w:cs="Arial"/>
          <w:szCs w:val="24"/>
        </w:rPr>
        <w:t xml:space="preserve"> without the need to present a </w:t>
      </w:r>
      <w:r w:rsidRPr="00C83547">
        <w:rPr>
          <w:rFonts w:ascii="Arial" w:hAnsi="Arial" w:cs="Arial"/>
          <w:szCs w:val="24"/>
        </w:rPr>
        <w:t xml:space="preserve">card and the transaction involving </w:t>
      </w:r>
      <w:r w:rsidR="007D448D">
        <w:rPr>
          <w:rFonts w:ascii="Arial" w:hAnsi="Arial" w:cs="Arial"/>
          <w:szCs w:val="24"/>
        </w:rPr>
        <w:t>qualified funds</w:t>
      </w:r>
      <w:r w:rsidRPr="00C83547">
        <w:rPr>
          <w:rFonts w:ascii="Arial" w:hAnsi="Arial" w:cs="Arial"/>
          <w:szCs w:val="24"/>
        </w:rPr>
        <w:t xml:space="preserve"> is proposed to be made without presenting a </w:t>
      </w:r>
      <w:r w:rsidR="007D448D">
        <w:rPr>
          <w:rFonts w:ascii="Arial" w:hAnsi="Arial" w:cs="Arial"/>
          <w:szCs w:val="24"/>
        </w:rPr>
        <w:t>SmartCard</w:t>
      </w:r>
      <w:r>
        <w:rPr>
          <w:rFonts w:ascii="Arial" w:hAnsi="Arial" w:cs="Arial"/>
          <w:szCs w:val="24"/>
        </w:rPr>
        <w:t xml:space="preserve"> (</w:t>
      </w:r>
      <w:r w:rsidR="007F300E">
        <w:rPr>
          <w:rFonts w:ascii="Arial" w:hAnsi="Arial" w:cs="Arial"/>
          <w:szCs w:val="24"/>
        </w:rPr>
        <w:t xml:space="preserve">table </w:t>
      </w:r>
      <w:r>
        <w:rPr>
          <w:rFonts w:ascii="Arial" w:hAnsi="Arial" w:cs="Arial"/>
          <w:szCs w:val="24"/>
        </w:rPr>
        <w:t>item 2);</w:t>
      </w:r>
    </w:p>
    <w:p w:rsidR="00C83547" w:rsidRPr="00F87C29" w:rsidRDefault="00C83547" w:rsidP="00801095">
      <w:pPr>
        <w:pStyle w:val="ListParagraph"/>
        <w:numPr>
          <w:ilvl w:val="0"/>
          <w:numId w:val="23"/>
        </w:numPr>
        <w:spacing w:before="0" w:after="120"/>
        <w:ind w:left="714" w:hanging="357"/>
        <w:contextualSpacing w:val="0"/>
        <w:jc w:val="both"/>
        <w:rPr>
          <w:rStyle w:val="BookTitle"/>
          <w:rFonts w:ascii="Arial" w:hAnsi="Arial" w:cs="Arial"/>
          <w:i w:val="0"/>
          <w:iCs w:val="0"/>
          <w:smallCaps w:val="0"/>
          <w:spacing w:val="0"/>
          <w:szCs w:val="24"/>
        </w:rPr>
      </w:pPr>
      <w:r>
        <w:rPr>
          <w:rFonts w:ascii="Arial" w:hAnsi="Arial" w:cs="Arial"/>
          <w:szCs w:val="24"/>
        </w:rPr>
        <w:t xml:space="preserve">businesses </w:t>
      </w:r>
      <w:r w:rsidRPr="00367B42">
        <w:rPr>
          <w:rStyle w:val="BookTitle"/>
          <w:rFonts w:ascii="Arial" w:hAnsi="Arial" w:cs="Arial"/>
          <w:i w:val="0"/>
          <w:iCs w:val="0"/>
          <w:smallCaps w:val="0"/>
          <w:spacing w:val="0"/>
          <w:szCs w:val="24"/>
        </w:rPr>
        <w:t>which</w:t>
      </w:r>
      <w:r w:rsidRPr="00D56836">
        <w:t xml:space="preserve"> </w:t>
      </w:r>
      <w:r w:rsidRPr="00D56836">
        <w:rPr>
          <w:rStyle w:val="BookTitle"/>
          <w:rFonts w:ascii="Arial" w:hAnsi="Arial" w:cs="Arial"/>
          <w:i w:val="0"/>
          <w:iCs w:val="0"/>
          <w:smallCaps w:val="0"/>
          <w:spacing w:val="0"/>
          <w:szCs w:val="24"/>
        </w:rPr>
        <w:t>there are reasonable grounds for believing</w:t>
      </w:r>
      <w:r w:rsidRPr="00367B42">
        <w:rPr>
          <w:rStyle w:val="BookTitle"/>
          <w:rFonts w:ascii="Arial" w:hAnsi="Arial" w:cs="Arial"/>
          <w:i w:val="0"/>
          <w:iCs w:val="0"/>
          <w:smallCaps w:val="0"/>
          <w:spacing w:val="0"/>
          <w:szCs w:val="24"/>
        </w:rPr>
        <w:t xml:space="preserve"> engage </w:t>
      </w:r>
      <w:r w:rsidRPr="00F87C29">
        <w:rPr>
          <w:rStyle w:val="BookTitle"/>
          <w:rFonts w:ascii="Arial" w:hAnsi="Arial" w:cs="Arial"/>
          <w:i w:val="0"/>
          <w:iCs w:val="0"/>
          <w:smallCaps w:val="0"/>
          <w:spacing w:val="0"/>
          <w:szCs w:val="24"/>
        </w:rPr>
        <w:t xml:space="preserve">or have engaged in transactions </w:t>
      </w:r>
      <w:r w:rsidRPr="00403E84">
        <w:rPr>
          <w:rStyle w:val="BookTitle"/>
          <w:rFonts w:ascii="Arial" w:hAnsi="Arial" w:cs="Arial"/>
          <w:i w:val="0"/>
          <w:iCs w:val="0"/>
          <w:smallCaps w:val="0"/>
          <w:spacing w:val="0"/>
          <w:szCs w:val="24"/>
        </w:rPr>
        <w:t xml:space="preserve">with a </w:t>
      </w:r>
      <w:r w:rsidR="00CA7584">
        <w:rPr>
          <w:rStyle w:val="BookTitle"/>
          <w:rFonts w:ascii="Arial" w:hAnsi="Arial" w:cs="Arial"/>
          <w:i w:val="0"/>
          <w:iCs w:val="0"/>
          <w:smallCaps w:val="0"/>
          <w:spacing w:val="0"/>
          <w:szCs w:val="24"/>
        </w:rPr>
        <w:t xml:space="preserve">person subject to the enhanced income management regime </w:t>
      </w:r>
      <w:r w:rsidRPr="00F87C29">
        <w:rPr>
          <w:rStyle w:val="BookTitle"/>
          <w:rFonts w:ascii="Arial" w:hAnsi="Arial" w:cs="Arial"/>
          <w:i w:val="0"/>
          <w:iCs w:val="0"/>
          <w:smallCaps w:val="0"/>
          <w:spacing w:val="0"/>
          <w:szCs w:val="24"/>
        </w:rPr>
        <w:t xml:space="preserve">that facilitate, or are designed to facilitate, access </w:t>
      </w:r>
      <w:r>
        <w:rPr>
          <w:rStyle w:val="BookTitle"/>
          <w:rFonts w:ascii="Arial" w:hAnsi="Arial" w:cs="Arial"/>
          <w:i w:val="0"/>
          <w:iCs w:val="0"/>
          <w:smallCaps w:val="0"/>
          <w:spacing w:val="0"/>
          <w:szCs w:val="24"/>
        </w:rPr>
        <w:t xml:space="preserve">by the person </w:t>
      </w:r>
      <w:r w:rsidRPr="00F87C29">
        <w:rPr>
          <w:rStyle w:val="BookTitle"/>
          <w:rFonts w:ascii="Arial" w:hAnsi="Arial" w:cs="Arial"/>
          <w:i w:val="0"/>
          <w:iCs w:val="0"/>
          <w:smallCaps w:val="0"/>
          <w:spacing w:val="0"/>
          <w:szCs w:val="24"/>
        </w:rPr>
        <w:t>to cash or cash-like products (table item 3); and</w:t>
      </w:r>
    </w:p>
    <w:p w:rsidR="00C83547" w:rsidRPr="00F87C29" w:rsidRDefault="00C83547" w:rsidP="00801095">
      <w:pPr>
        <w:pStyle w:val="ListParagraph"/>
        <w:numPr>
          <w:ilvl w:val="0"/>
          <w:numId w:val="23"/>
        </w:numPr>
        <w:spacing w:before="0" w:after="120"/>
        <w:ind w:left="714" w:hanging="357"/>
        <w:contextualSpacing w:val="0"/>
        <w:jc w:val="both"/>
        <w:rPr>
          <w:rStyle w:val="BookTitle"/>
          <w:rFonts w:ascii="Arial" w:hAnsi="Arial" w:cs="Arial"/>
          <w:i w:val="0"/>
          <w:iCs w:val="0"/>
          <w:smallCaps w:val="0"/>
          <w:spacing w:val="0"/>
          <w:szCs w:val="24"/>
        </w:rPr>
      </w:pPr>
      <w:r w:rsidRPr="00F87C29">
        <w:rPr>
          <w:rStyle w:val="BookTitle"/>
          <w:rFonts w:ascii="Arial" w:hAnsi="Arial" w:cs="Arial"/>
          <w:i w:val="0"/>
          <w:iCs w:val="0"/>
          <w:smallCaps w:val="0"/>
          <w:spacing w:val="0"/>
          <w:szCs w:val="24"/>
        </w:rPr>
        <w:t xml:space="preserve">businesses </w:t>
      </w:r>
      <w:r w:rsidRPr="00367B42">
        <w:rPr>
          <w:rStyle w:val="BookTitle"/>
          <w:rFonts w:ascii="Arial" w:hAnsi="Arial" w:cs="Arial"/>
          <w:i w:val="0"/>
          <w:iCs w:val="0"/>
          <w:smallCaps w:val="0"/>
          <w:spacing w:val="0"/>
          <w:szCs w:val="24"/>
        </w:rPr>
        <w:t xml:space="preserve">that would, if they were </w:t>
      </w:r>
      <w:r w:rsidRPr="00F87C29">
        <w:rPr>
          <w:rStyle w:val="BookTitle"/>
          <w:rFonts w:ascii="Arial" w:hAnsi="Arial" w:cs="Arial"/>
          <w:i w:val="0"/>
          <w:iCs w:val="0"/>
          <w:smallCaps w:val="0"/>
          <w:spacing w:val="0"/>
          <w:szCs w:val="24"/>
        </w:rPr>
        <w:t xml:space="preserve">operating their business under the correct Merchant Category code or Australian and New Zealand Standard Industrial Classification code, be a kind of business to which Schedule </w:t>
      </w:r>
      <w:r>
        <w:rPr>
          <w:rStyle w:val="BookTitle"/>
          <w:rFonts w:ascii="Arial" w:hAnsi="Arial" w:cs="Arial"/>
          <w:i w:val="0"/>
          <w:iCs w:val="0"/>
          <w:smallCaps w:val="0"/>
          <w:spacing w:val="0"/>
          <w:szCs w:val="24"/>
        </w:rPr>
        <w:t>2 or 3 of the</w:t>
      </w:r>
      <w:r w:rsidRPr="00F87C2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Determination</w:t>
      </w:r>
      <w:r w:rsidRPr="00F87C29">
        <w:rPr>
          <w:rStyle w:val="BookTitle"/>
          <w:rFonts w:ascii="Arial" w:hAnsi="Arial" w:cs="Arial"/>
          <w:i w:val="0"/>
          <w:iCs w:val="0"/>
          <w:smallCaps w:val="0"/>
          <w:spacing w:val="0"/>
          <w:szCs w:val="24"/>
        </w:rPr>
        <w:t xml:space="preserve"> would apply (</w:t>
      </w:r>
      <w:r w:rsidR="007F300E">
        <w:rPr>
          <w:rStyle w:val="BookTitle"/>
          <w:rFonts w:ascii="Arial" w:hAnsi="Arial" w:cs="Arial"/>
          <w:i w:val="0"/>
          <w:iCs w:val="0"/>
          <w:smallCaps w:val="0"/>
          <w:spacing w:val="0"/>
          <w:szCs w:val="24"/>
        </w:rPr>
        <w:t xml:space="preserve">table </w:t>
      </w:r>
      <w:r w:rsidRPr="00F87C29">
        <w:rPr>
          <w:rStyle w:val="BookTitle"/>
          <w:rFonts w:ascii="Arial" w:hAnsi="Arial" w:cs="Arial"/>
          <w:i w:val="0"/>
          <w:iCs w:val="0"/>
          <w:smallCaps w:val="0"/>
          <w:spacing w:val="0"/>
          <w:szCs w:val="24"/>
        </w:rPr>
        <w:t>item 4).</w:t>
      </w:r>
    </w:p>
    <w:p w:rsidR="00C83547" w:rsidRPr="00C83547" w:rsidRDefault="00E747A4" w:rsidP="00801095">
      <w:pPr>
        <w:spacing w:before="0" w:after="200"/>
        <w:jc w:val="both"/>
        <w:rPr>
          <w:rFonts w:ascii="Arial" w:hAnsi="Arial" w:cs="Arial"/>
          <w:szCs w:val="24"/>
        </w:rPr>
      </w:pPr>
      <w:r>
        <w:rPr>
          <w:rFonts w:ascii="Arial" w:hAnsi="Arial" w:cs="Arial"/>
          <w:b/>
          <w:i/>
          <w:szCs w:val="24"/>
        </w:rPr>
        <w:br/>
      </w:r>
      <w:r w:rsidR="00C83547" w:rsidRPr="00201989">
        <w:rPr>
          <w:rFonts w:ascii="Arial" w:hAnsi="Arial" w:cs="Arial"/>
          <w:b/>
          <w:szCs w:val="24"/>
        </w:rPr>
        <w:t>Schedule 2</w:t>
      </w:r>
      <w:r w:rsidR="00C83547" w:rsidRPr="00DD61A2">
        <w:rPr>
          <w:rFonts w:ascii="Arial" w:hAnsi="Arial" w:cs="Arial"/>
          <w:szCs w:val="24"/>
        </w:rPr>
        <w:t xml:space="preserve"> declares</w:t>
      </w:r>
      <w:r w:rsidR="00C83547" w:rsidRPr="00C83547">
        <w:rPr>
          <w:rFonts w:ascii="Arial" w:hAnsi="Arial" w:cs="Arial"/>
          <w:szCs w:val="24"/>
        </w:rPr>
        <w:t xml:space="preserve"> the relevant kinds of businesses by reference to Merchant </w:t>
      </w:r>
      <w:r w:rsidR="00C83547" w:rsidRPr="00C83547">
        <w:rPr>
          <w:rFonts w:ascii="Arial" w:hAnsi="Arial" w:cs="Arial"/>
          <w:szCs w:val="24"/>
        </w:rPr>
        <w:lastRenderedPageBreak/>
        <w:t>Category codes.  A Merchant Category code is a four-digit number used to classify a business by the type of goods or services it provides.  The Merchant Category codes are available on the International Organization for Standardization website at https://ww</w:t>
      </w:r>
      <w:r w:rsidR="00B46651">
        <w:rPr>
          <w:rFonts w:ascii="Arial" w:hAnsi="Arial" w:cs="Arial"/>
          <w:szCs w:val="24"/>
        </w:rPr>
        <w:t xml:space="preserve">w.iso.org/standard/33365.html. </w:t>
      </w:r>
      <w:r w:rsidR="00C83547" w:rsidRPr="00C83547">
        <w:rPr>
          <w:rFonts w:ascii="Arial" w:hAnsi="Arial" w:cs="Arial"/>
          <w:szCs w:val="24"/>
        </w:rPr>
        <w:t xml:space="preserve">The relevant Merchant Category codes are </w:t>
      </w:r>
      <w:r w:rsidR="007F300E">
        <w:rPr>
          <w:rFonts w:ascii="Arial" w:hAnsi="Arial" w:cs="Arial"/>
          <w:szCs w:val="24"/>
        </w:rPr>
        <w:t>applied, by reference,</w:t>
      </w:r>
      <w:r w:rsidR="007F300E" w:rsidRPr="00C83547">
        <w:rPr>
          <w:rFonts w:ascii="Arial" w:hAnsi="Arial" w:cs="Arial"/>
          <w:szCs w:val="24"/>
        </w:rPr>
        <w:t xml:space="preserve"> </w:t>
      </w:r>
      <w:r w:rsidR="007F300E">
        <w:rPr>
          <w:rFonts w:ascii="Arial" w:hAnsi="Arial" w:cs="Arial"/>
          <w:szCs w:val="24"/>
        </w:rPr>
        <w:t>consistent</w:t>
      </w:r>
      <w:r w:rsidR="00CD1658">
        <w:rPr>
          <w:rFonts w:ascii="Arial" w:hAnsi="Arial" w:cs="Arial"/>
          <w:szCs w:val="24"/>
        </w:rPr>
        <w:t>ly</w:t>
      </w:r>
      <w:r w:rsidR="007F300E">
        <w:rPr>
          <w:rFonts w:ascii="Arial" w:hAnsi="Arial" w:cs="Arial"/>
          <w:szCs w:val="24"/>
        </w:rPr>
        <w:t xml:space="preserve"> with </w:t>
      </w:r>
      <w:r w:rsidR="00C83547" w:rsidRPr="00C83547">
        <w:rPr>
          <w:rFonts w:ascii="Arial" w:hAnsi="Arial" w:cs="Arial"/>
          <w:szCs w:val="24"/>
        </w:rPr>
        <w:t xml:space="preserve">subsection </w:t>
      </w:r>
      <w:r w:rsidR="00EC2F21">
        <w:rPr>
          <w:rFonts w:ascii="Arial" w:hAnsi="Arial" w:cs="Arial"/>
          <w:szCs w:val="24"/>
        </w:rPr>
        <w:t>123SV</w:t>
      </w:r>
      <w:r w:rsidR="00C83547" w:rsidRPr="00C83547">
        <w:rPr>
          <w:rFonts w:ascii="Arial" w:hAnsi="Arial" w:cs="Arial"/>
          <w:szCs w:val="24"/>
        </w:rPr>
        <w:t>(2) of the Act and paragraph</w:t>
      </w:r>
      <w:r w:rsidR="00043B10">
        <w:rPr>
          <w:rFonts w:ascii="Arial" w:hAnsi="Arial" w:cs="Arial"/>
          <w:szCs w:val="24"/>
        </w:rPr>
        <w:t> </w:t>
      </w:r>
      <w:r w:rsidR="00C83547" w:rsidRPr="00C83547">
        <w:rPr>
          <w:rFonts w:ascii="Arial" w:hAnsi="Arial" w:cs="Arial"/>
          <w:szCs w:val="24"/>
        </w:rPr>
        <w:t xml:space="preserve">14(1)(b) of the </w:t>
      </w:r>
      <w:r w:rsidR="00C83547" w:rsidRPr="00C83547">
        <w:rPr>
          <w:rFonts w:ascii="Arial" w:hAnsi="Arial" w:cs="Arial"/>
          <w:i/>
          <w:szCs w:val="24"/>
        </w:rPr>
        <w:t>Legislation Act 2003</w:t>
      </w:r>
      <w:r w:rsidR="00C83547" w:rsidRPr="00C83547">
        <w:rPr>
          <w:rFonts w:ascii="Arial" w:hAnsi="Arial" w:cs="Arial"/>
          <w:szCs w:val="24"/>
        </w:rPr>
        <w:t xml:space="preserve">, as in force at the commencement of the Determination. </w:t>
      </w:r>
    </w:p>
    <w:p w:rsidR="00C83547" w:rsidRPr="00C83547" w:rsidRDefault="00EC2F21" w:rsidP="00801095">
      <w:pPr>
        <w:spacing w:before="0" w:after="200"/>
        <w:jc w:val="both"/>
        <w:rPr>
          <w:rFonts w:ascii="Arial" w:hAnsi="Arial" w:cs="Arial"/>
          <w:szCs w:val="24"/>
        </w:rPr>
      </w:pPr>
      <w:r w:rsidRPr="00201989">
        <w:rPr>
          <w:rFonts w:ascii="Arial" w:hAnsi="Arial" w:cs="Arial"/>
          <w:b/>
          <w:szCs w:val="24"/>
        </w:rPr>
        <w:t>Schedule 3</w:t>
      </w:r>
      <w:r w:rsidR="00C83547" w:rsidRPr="00C83547">
        <w:rPr>
          <w:rFonts w:ascii="Arial" w:hAnsi="Arial" w:cs="Arial"/>
          <w:szCs w:val="24"/>
        </w:rPr>
        <w:t xml:space="preserve"> declares the relevant kinds of businesses by reference to Australian and New Zealand Standard Industrial Classification (ANZSIC) codes. The ANZSIC codes are the standard classification used in Australia and New Zealand for the collection, compilation and publication of statistics by industry.  The ANZSIC codes are available to the public free of charge on the Australian Bureau of Statistics website at</w:t>
      </w:r>
      <w:r w:rsidR="00CA7584">
        <w:rPr>
          <w:rFonts w:ascii="Arial" w:hAnsi="Arial" w:cs="Arial"/>
          <w:szCs w:val="24"/>
        </w:rPr>
        <w:t xml:space="preserve"> the</w:t>
      </w:r>
      <w:r w:rsidR="00C83547" w:rsidRPr="00C83547">
        <w:rPr>
          <w:rFonts w:ascii="Arial" w:hAnsi="Arial" w:cs="Arial"/>
          <w:szCs w:val="24"/>
        </w:rPr>
        <w:t xml:space="preserve"> </w:t>
      </w:r>
      <w:hyperlink r:id="rId12" w:history="1">
        <w:r w:rsidR="00CA7584" w:rsidRPr="00CA7584">
          <w:rPr>
            <w:rStyle w:val="Hyperlink"/>
            <w:rFonts w:ascii="Arial" w:hAnsi="Arial" w:cs="Arial"/>
            <w:szCs w:val="24"/>
          </w:rPr>
          <w:t>Australian and New Zealand Standard Industrial Classification (ANZSIC), 2006 (Revision 2.0) | Australian Bureau of Statistics (abs.gov.au)</w:t>
        </w:r>
      </w:hyperlink>
      <w:r w:rsidR="00CA7584">
        <w:rPr>
          <w:rFonts w:ascii="Arial" w:hAnsi="Arial" w:cs="Arial"/>
          <w:szCs w:val="24"/>
        </w:rPr>
        <w:t xml:space="preserve"> </w:t>
      </w:r>
      <w:r w:rsidR="00C83547" w:rsidRPr="00C83547">
        <w:rPr>
          <w:rFonts w:ascii="Arial" w:hAnsi="Arial" w:cs="Arial"/>
          <w:szCs w:val="24"/>
        </w:rPr>
        <w:t xml:space="preserve">The relevant ANZSIC codes are </w:t>
      </w:r>
      <w:r w:rsidR="00CD1658">
        <w:rPr>
          <w:rFonts w:ascii="Arial" w:hAnsi="Arial" w:cs="Arial"/>
          <w:szCs w:val="24"/>
        </w:rPr>
        <w:t xml:space="preserve">applied, by reference, consistently with </w:t>
      </w:r>
      <w:r w:rsidR="00C83547" w:rsidRPr="00C83547">
        <w:rPr>
          <w:rFonts w:ascii="Arial" w:hAnsi="Arial" w:cs="Arial"/>
          <w:szCs w:val="24"/>
        </w:rPr>
        <w:t xml:space="preserve">subsection </w:t>
      </w:r>
      <w:r>
        <w:rPr>
          <w:rFonts w:ascii="Arial" w:hAnsi="Arial" w:cs="Arial"/>
          <w:szCs w:val="24"/>
        </w:rPr>
        <w:t>123SV(</w:t>
      </w:r>
      <w:r w:rsidR="00C83547" w:rsidRPr="00C83547">
        <w:rPr>
          <w:rFonts w:ascii="Arial" w:hAnsi="Arial" w:cs="Arial"/>
          <w:szCs w:val="24"/>
        </w:rPr>
        <w:t xml:space="preserve">2) of the Act and paragraph 14(1)(b) of the </w:t>
      </w:r>
      <w:r w:rsidR="00C83547" w:rsidRPr="00EC2F21">
        <w:rPr>
          <w:rFonts w:ascii="Arial" w:hAnsi="Arial" w:cs="Arial"/>
          <w:i/>
          <w:szCs w:val="24"/>
        </w:rPr>
        <w:t>Legislation Act 2003</w:t>
      </w:r>
      <w:r w:rsidR="00C83547" w:rsidRPr="00C83547">
        <w:rPr>
          <w:rFonts w:ascii="Arial" w:hAnsi="Arial" w:cs="Arial"/>
          <w:szCs w:val="24"/>
        </w:rPr>
        <w:t xml:space="preserve">, as in force at the commencement of the Determination.  </w:t>
      </w:r>
    </w:p>
    <w:p w:rsidR="00C83547" w:rsidRPr="00C83547" w:rsidRDefault="00C83547" w:rsidP="00801095">
      <w:pPr>
        <w:spacing w:before="0" w:after="200"/>
        <w:jc w:val="both"/>
        <w:rPr>
          <w:rFonts w:ascii="Arial" w:hAnsi="Arial" w:cs="Arial"/>
          <w:szCs w:val="24"/>
        </w:rPr>
      </w:pPr>
      <w:r w:rsidRPr="00A6722F">
        <w:rPr>
          <w:rFonts w:ascii="Arial" w:hAnsi="Arial" w:cs="Arial"/>
          <w:b/>
          <w:szCs w:val="24"/>
        </w:rPr>
        <w:t xml:space="preserve">Schedule </w:t>
      </w:r>
      <w:r w:rsidR="00B82365" w:rsidRPr="00A6722F">
        <w:rPr>
          <w:rFonts w:ascii="Arial" w:hAnsi="Arial" w:cs="Arial"/>
          <w:b/>
          <w:szCs w:val="24"/>
        </w:rPr>
        <w:t>4</w:t>
      </w:r>
      <w:r w:rsidRPr="00C83547">
        <w:rPr>
          <w:rFonts w:ascii="Arial" w:hAnsi="Arial" w:cs="Arial"/>
          <w:szCs w:val="24"/>
        </w:rPr>
        <w:t xml:space="preserve"> sets out, for the purposes of section 8 of the Determination, terms and conditions relating to the establishment, ongoing maintenance and closure of a </w:t>
      </w:r>
      <w:r w:rsidR="007D448D">
        <w:rPr>
          <w:rFonts w:ascii="Arial" w:hAnsi="Arial" w:cs="Arial"/>
          <w:szCs w:val="24"/>
        </w:rPr>
        <w:t xml:space="preserve">SmartCard and associated </w:t>
      </w:r>
      <w:r>
        <w:rPr>
          <w:rFonts w:ascii="Arial" w:hAnsi="Arial" w:cs="Arial"/>
          <w:szCs w:val="24"/>
        </w:rPr>
        <w:t>bank account</w:t>
      </w:r>
      <w:r w:rsidRPr="00C83547">
        <w:rPr>
          <w:rFonts w:ascii="Arial" w:hAnsi="Arial" w:cs="Arial"/>
          <w:szCs w:val="24"/>
        </w:rPr>
        <w:t xml:space="preserve">.  Schedule </w:t>
      </w:r>
      <w:r w:rsidR="00B82365">
        <w:rPr>
          <w:rFonts w:ascii="Arial" w:hAnsi="Arial" w:cs="Arial"/>
          <w:szCs w:val="24"/>
        </w:rPr>
        <w:t>4</w:t>
      </w:r>
      <w:r w:rsidRPr="00C83547">
        <w:rPr>
          <w:rFonts w:ascii="Arial" w:hAnsi="Arial" w:cs="Arial"/>
          <w:szCs w:val="24"/>
        </w:rPr>
        <w:t xml:space="preserve"> </w:t>
      </w:r>
      <w:r w:rsidR="00122CFC">
        <w:rPr>
          <w:rFonts w:ascii="Arial" w:hAnsi="Arial" w:cs="Arial"/>
          <w:szCs w:val="24"/>
        </w:rPr>
        <w:t>does not</w:t>
      </w:r>
      <w:r w:rsidRPr="00C83547">
        <w:rPr>
          <w:rFonts w:ascii="Arial" w:hAnsi="Arial" w:cs="Arial"/>
          <w:szCs w:val="24"/>
        </w:rPr>
        <w:t xml:space="preserve"> </w:t>
      </w:r>
      <w:r w:rsidR="00C37E2B">
        <w:rPr>
          <w:rFonts w:ascii="Arial" w:hAnsi="Arial" w:cs="Arial"/>
          <w:szCs w:val="24"/>
        </w:rPr>
        <w:t>prevent</w:t>
      </w:r>
      <w:r w:rsidR="00C37E2B" w:rsidRPr="00C83547">
        <w:rPr>
          <w:rFonts w:ascii="Arial" w:hAnsi="Arial" w:cs="Arial"/>
          <w:szCs w:val="24"/>
        </w:rPr>
        <w:t xml:space="preserve"> </w:t>
      </w:r>
      <w:r w:rsidR="00801095">
        <w:rPr>
          <w:rFonts w:ascii="Arial" w:hAnsi="Arial" w:cs="Arial"/>
          <w:szCs w:val="24"/>
        </w:rPr>
        <w:t>Indue</w:t>
      </w:r>
      <w:r w:rsidR="00B82365">
        <w:rPr>
          <w:rFonts w:ascii="Arial" w:hAnsi="Arial" w:cs="Arial"/>
          <w:szCs w:val="24"/>
        </w:rPr>
        <w:t xml:space="preserve"> and Traditional Credit Union </w:t>
      </w:r>
      <w:r w:rsidRPr="00C83547">
        <w:rPr>
          <w:rFonts w:ascii="Arial" w:hAnsi="Arial" w:cs="Arial"/>
          <w:szCs w:val="24"/>
        </w:rPr>
        <w:t xml:space="preserve">from </w:t>
      </w:r>
      <w:r w:rsidR="008F5C8D">
        <w:rPr>
          <w:rFonts w:ascii="Arial" w:hAnsi="Arial" w:cs="Arial"/>
          <w:szCs w:val="24"/>
        </w:rPr>
        <w:t>applying</w:t>
      </w:r>
      <w:r w:rsidR="008F5C8D" w:rsidRPr="00C83547">
        <w:rPr>
          <w:rFonts w:ascii="Arial" w:hAnsi="Arial" w:cs="Arial"/>
          <w:szCs w:val="24"/>
        </w:rPr>
        <w:t xml:space="preserve"> </w:t>
      </w:r>
      <w:r w:rsidRPr="00C83547">
        <w:rPr>
          <w:rFonts w:ascii="Arial" w:hAnsi="Arial" w:cs="Arial"/>
          <w:szCs w:val="24"/>
        </w:rPr>
        <w:t>other terms and conditions</w:t>
      </w:r>
      <w:r w:rsidR="00C37E2B">
        <w:rPr>
          <w:rFonts w:ascii="Arial" w:hAnsi="Arial" w:cs="Arial"/>
          <w:szCs w:val="24"/>
        </w:rPr>
        <w:t xml:space="preserve"> </w:t>
      </w:r>
      <w:r w:rsidR="00EF3658">
        <w:rPr>
          <w:rFonts w:ascii="Arial" w:hAnsi="Arial" w:cs="Arial"/>
          <w:szCs w:val="24"/>
        </w:rPr>
        <w:t xml:space="preserve">if they are negotiated as part of the contact with the Commonwealth and are </w:t>
      </w:r>
      <w:r w:rsidR="00D351DD">
        <w:rPr>
          <w:rFonts w:ascii="Arial" w:hAnsi="Arial" w:cs="Arial"/>
          <w:szCs w:val="24"/>
        </w:rPr>
        <w:t>not</w:t>
      </w:r>
      <w:r w:rsidR="00C37E2B">
        <w:rPr>
          <w:rFonts w:ascii="Arial" w:hAnsi="Arial" w:cs="Arial"/>
          <w:szCs w:val="24"/>
        </w:rPr>
        <w:t xml:space="preserve"> </w:t>
      </w:r>
      <w:r w:rsidR="00D351DD">
        <w:rPr>
          <w:rFonts w:ascii="Arial" w:hAnsi="Arial" w:cs="Arial"/>
          <w:szCs w:val="24"/>
        </w:rPr>
        <w:t>in</w:t>
      </w:r>
      <w:r w:rsidR="00C37E2B">
        <w:rPr>
          <w:rFonts w:ascii="Arial" w:hAnsi="Arial" w:cs="Arial"/>
          <w:szCs w:val="24"/>
        </w:rPr>
        <w:t>consistent with the terms and conditions set out in the Determination</w:t>
      </w:r>
      <w:r w:rsidRPr="00C83547">
        <w:rPr>
          <w:rFonts w:ascii="Arial" w:hAnsi="Arial" w:cs="Arial"/>
          <w:szCs w:val="24"/>
        </w:rPr>
        <w:t>.</w:t>
      </w:r>
    </w:p>
    <w:p w:rsidR="00C83547" w:rsidRPr="00C83547" w:rsidRDefault="00B82365" w:rsidP="00801095">
      <w:pPr>
        <w:spacing w:before="0" w:after="200"/>
        <w:jc w:val="both"/>
        <w:rPr>
          <w:rFonts w:ascii="Arial" w:hAnsi="Arial" w:cs="Arial"/>
          <w:szCs w:val="24"/>
        </w:rPr>
      </w:pPr>
      <w:r>
        <w:rPr>
          <w:rFonts w:ascii="Arial" w:hAnsi="Arial" w:cs="Arial"/>
          <w:szCs w:val="24"/>
        </w:rPr>
        <w:t>The purpose of Schedule 4</w:t>
      </w:r>
      <w:r w:rsidR="00C83547" w:rsidRPr="00C83547">
        <w:rPr>
          <w:rFonts w:ascii="Arial" w:hAnsi="Arial" w:cs="Arial"/>
          <w:szCs w:val="24"/>
        </w:rPr>
        <w:t xml:space="preserve"> is to set out the terms and conditions that are </w:t>
      </w:r>
      <w:r w:rsidR="00C37E2B">
        <w:rPr>
          <w:rFonts w:ascii="Arial" w:hAnsi="Arial" w:cs="Arial"/>
          <w:szCs w:val="24"/>
        </w:rPr>
        <w:t>specific</w:t>
      </w:r>
      <w:r w:rsidR="00C37E2B" w:rsidRPr="00C83547">
        <w:rPr>
          <w:rFonts w:ascii="Arial" w:hAnsi="Arial" w:cs="Arial"/>
          <w:szCs w:val="24"/>
        </w:rPr>
        <w:t xml:space="preserve"> </w:t>
      </w:r>
      <w:r w:rsidR="00C83547" w:rsidRPr="00C83547">
        <w:rPr>
          <w:rFonts w:ascii="Arial" w:hAnsi="Arial" w:cs="Arial"/>
          <w:szCs w:val="24"/>
        </w:rPr>
        <w:t xml:space="preserve">to a </w:t>
      </w:r>
      <w:r w:rsidR="002940EC">
        <w:rPr>
          <w:rFonts w:ascii="Arial" w:hAnsi="Arial" w:cs="Arial"/>
          <w:szCs w:val="24"/>
        </w:rPr>
        <w:t xml:space="preserve">SmartCard and associated bank </w:t>
      </w:r>
      <w:r w:rsidR="00C83547">
        <w:rPr>
          <w:rFonts w:ascii="Arial" w:hAnsi="Arial" w:cs="Arial"/>
          <w:szCs w:val="24"/>
        </w:rPr>
        <w:t>account</w:t>
      </w:r>
      <w:r w:rsidR="00C83547" w:rsidRPr="00C83547">
        <w:rPr>
          <w:rFonts w:ascii="Arial" w:hAnsi="Arial" w:cs="Arial"/>
          <w:szCs w:val="24"/>
        </w:rPr>
        <w:t xml:space="preserve">.  </w:t>
      </w:r>
      <w:r>
        <w:rPr>
          <w:rFonts w:ascii="Arial" w:hAnsi="Arial" w:cs="Arial"/>
          <w:szCs w:val="24"/>
        </w:rPr>
        <w:t>Individuals subject to the enhanced income management regime</w:t>
      </w:r>
      <w:r w:rsidR="00C83547" w:rsidRPr="00C83547">
        <w:rPr>
          <w:rFonts w:ascii="Arial" w:hAnsi="Arial" w:cs="Arial"/>
          <w:szCs w:val="24"/>
        </w:rPr>
        <w:t xml:space="preserve"> should obtain the full set of terms and conditions for their </w:t>
      </w:r>
      <w:r w:rsidR="002940EC">
        <w:rPr>
          <w:rFonts w:ascii="Arial" w:hAnsi="Arial" w:cs="Arial"/>
          <w:szCs w:val="24"/>
        </w:rPr>
        <w:t>SmartCard and associated bank account</w:t>
      </w:r>
      <w:r w:rsidR="00C83547" w:rsidRPr="00C83547">
        <w:rPr>
          <w:rFonts w:ascii="Arial" w:hAnsi="Arial" w:cs="Arial"/>
          <w:szCs w:val="24"/>
        </w:rPr>
        <w:t xml:space="preserve">from </w:t>
      </w:r>
      <w:r w:rsidR="00801095">
        <w:rPr>
          <w:rFonts w:ascii="Arial" w:hAnsi="Arial" w:cs="Arial"/>
          <w:szCs w:val="24"/>
        </w:rPr>
        <w:t>Indue</w:t>
      </w:r>
      <w:r>
        <w:rPr>
          <w:rFonts w:ascii="Arial" w:hAnsi="Arial" w:cs="Arial"/>
          <w:szCs w:val="24"/>
        </w:rPr>
        <w:t xml:space="preserve"> or Traditional Credit Union</w:t>
      </w:r>
      <w:r w:rsidR="00C83547" w:rsidRPr="00C83547">
        <w:rPr>
          <w:rFonts w:ascii="Arial" w:hAnsi="Arial" w:cs="Arial"/>
          <w:szCs w:val="24"/>
        </w:rPr>
        <w:t xml:space="preserve">. </w:t>
      </w:r>
    </w:p>
    <w:p w:rsidR="00C83547" w:rsidRPr="00C83547" w:rsidRDefault="00C83547" w:rsidP="00801095">
      <w:pPr>
        <w:spacing w:before="0" w:after="200"/>
        <w:jc w:val="both"/>
        <w:rPr>
          <w:rFonts w:ascii="Arial" w:hAnsi="Arial" w:cs="Arial"/>
          <w:szCs w:val="24"/>
        </w:rPr>
      </w:pPr>
      <w:r w:rsidRPr="00C83547">
        <w:rPr>
          <w:rFonts w:ascii="Arial" w:hAnsi="Arial" w:cs="Arial"/>
          <w:szCs w:val="24"/>
        </w:rPr>
        <w:t xml:space="preserve">The terms and conditions set out in Schedule </w:t>
      </w:r>
      <w:r w:rsidR="00B82365">
        <w:rPr>
          <w:rFonts w:ascii="Arial" w:hAnsi="Arial" w:cs="Arial"/>
          <w:szCs w:val="24"/>
        </w:rPr>
        <w:t>4</w:t>
      </w:r>
      <w:r w:rsidRPr="00C83547">
        <w:rPr>
          <w:rFonts w:ascii="Arial" w:hAnsi="Arial" w:cs="Arial"/>
          <w:szCs w:val="24"/>
        </w:rPr>
        <w:t xml:space="preserve"> include: </w:t>
      </w:r>
    </w:p>
    <w:p w:rsidR="00C83547" w:rsidRP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Single name: the </w:t>
      </w:r>
      <w:r w:rsidR="00B82365">
        <w:rPr>
          <w:rFonts w:ascii="Arial" w:hAnsi="Arial" w:cs="Arial"/>
          <w:szCs w:val="24"/>
        </w:rPr>
        <w:t xml:space="preserve">BasicsCard bank account </w:t>
      </w:r>
      <w:r w:rsidRPr="00C83547">
        <w:rPr>
          <w:rFonts w:ascii="Arial" w:hAnsi="Arial" w:cs="Arial"/>
          <w:szCs w:val="24"/>
        </w:rPr>
        <w:t>can only be opened in a single name and operated by the sole holder of the account</w:t>
      </w:r>
      <w:r w:rsidR="00925620">
        <w:rPr>
          <w:rFonts w:ascii="Arial" w:hAnsi="Arial" w:cs="Arial"/>
          <w:szCs w:val="24"/>
        </w:rPr>
        <w:t xml:space="preserve"> or their Part 3B payment nominee</w:t>
      </w:r>
      <w:r w:rsidRPr="00C83547">
        <w:rPr>
          <w:rFonts w:ascii="Arial" w:hAnsi="Arial" w:cs="Arial"/>
          <w:szCs w:val="24"/>
        </w:rPr>
        <w:t>.  This means that it will not be possible for the account to be opened in joint names, and no</w:t>
      </w:r>
      <w:r w:rsidR="00EA7E58">
        <w:rPr>
          <w:rFonts w:ascii="Arial" w:hAnsi="Arial" w:cs="Arial"/>
          <w:szCs w:val="24"/>
        </w:rPr>
        <w:noBreakHyphen/>
      </w:r>
      <w:r w:rsidRPr="00C83547">
        <w:rPr>
          <w:rFonts w:ascii="Arial" w:hAnsi="Arial" w:cs="Arial"/>
          <w:szCs w:val="24"/>
        </w:rPr>
        <w:t xml:space="preserve">one other than the holder </w:t>
      </w:r>
      <w:r w:rsidR="00925620">
        <w:rPr>
          <w:rFonts w:ascii="Arial" w:hAnsi="Arial" w:cs="Arial"/>
          <w:szCs w:val="24"/>
        </w:rPr>
        <w:t xml:space="preserve">or their Part 3B payment nominee </w:t>
      </w:r>
      <w:r w:rsidRPr="00C83547">
        <w:rPr>
          <w:rFonts w:ascii="Arial" w:hAnsi="Arial" w:cs="Arial"/>
          <w:szCs w:val="24"/>
        </w:rPr>
        <w:t>will be able to operate the account.</w:t>
      </w:r>
    </w:p>
    <w:p w:rsidR="00C83547" w:rsidRP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Debit card provided: a debit card will be provided to the holder of a </w:t>
      </w:r>
      <w:r>
        <w:rPr>
          <w:rFonts w:ascii="Arial" w:hAnsi="Arial" w:cs="Arial"/>
          <w:szCs w:val="24"/>
        </w:rPr>
        <w:t>BasicsCard bank account</w:t>
      </w:r>
      <w:r w:rsidR="00B82365">
        <w:rPr>
          <w:rFonts w:ascii="Arial" w:hAnsi="Arial" w:cs="Arial"/>
          <w:szCs w:val="24"/>
        </w:rPr>
        <w:t>.  This d</w:t>
      </w:r>
      <w:r w:rsidRPr="00C83547">
        <w:rPr>
          <w:rFonts w:ascii="Arial" w:hAnsi="Arial" w:cs="Arial"/>
          <w:szCs w:val="24"/>
        </w:rPr>
        <w:t>ebit card</w:t>
      </w:r>
      <w:r w:rsidR="00B82365">
        <w:rPr>
          <w:rFonts w:ascii="Arial" w:hAnsi="Arial" w:cs="Arial"/>
          <w:szCs w:val="24"/>
        </w:rPr>
        <w:t xml:space="preserve"> has modern functionality and</w:t>
      </w:r>
      <w:r w:rsidRPr="00C83547">
        <w:rPr>
          <w:rFonts w:ascii="Arial" w:hAnsi="Arial" w:cs="Arial"/>
          <w:szCs w:val="24"/>
        </w:rPr>
        <w:t xml:space="preserve"> is </w:t>
      </w:r>
      <w:r w:rsidR="002912E0">
        <w:rPr>
          <w:rFonts w:ascii="Arial" w:hAnsi="Arial" w:cs="Arial"/>
          <w:szCs w:val="24"/>
        </w:rPr>
        <w:t>the</w:t>
      </w:r>
      <w:r w:rsidR="002912E0" w:rsidRPr="00C83547">
        <w:rPr>
          <w:rFonts w:ascii="Arial" w:hAnsi="Arial" w:cs="Arial"/>
          <w:szCs w:val="24"/>
        </w:rPr>
        <w:t xml:space="preserve"> </w:t>
      </w:r>
      <w:r w:rsidRPr="00C83547">
        <w:rPr>
          <w:rFonts w:ascii="Arial" w:hAnsi="Arial" w:cs="Arial"/>
          <w:szCs w:val="24"/>
        </w:rPr>
        <w:t xml:space="preserve">key </w:t>
      </w:r>
      <w:r w:rsidR="00B82365">
        <w:rPr>
          <w:rFonts w:ascii="Arial" w:hAnsi="Arial" w:cs="Arial"/>
          <w:szCs w:val="24"/>
        </w:rPr>
        <w:t>difference between the income management regime under Part</w:t>
      </w:r>
      <w:r w:rsidR="0026381C">
        <w:rPr>
          <w:rFonts w:ascii="Arial" w:hAnsi="Arial" w:cs="Arial"/>
          <w:szCs w:val="24"/>
        </w:rPr>
        <w:t> </w:t>
      </w:r>
      <w:r w:rsidR="00B82365">
        <w:rPr>
          <w:rFonts w:ascii="Arial" w:hAnsi="Arial" w:cs="Arial"/>
          <w:szCs w:val="24"/>
        </w:rPr>
        <w:t>3B of the Act and the enhanced income management regime under Part 3AA of the Act.</w:t>
      </w:r>
    </w:p>
    <w:p w:rsidR="00C83547" w:rsidRP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Depositing </w:t>
      </w:r>
      <w:r w:rsidR="00925620">
        <w:rPr>
          <w:rFonts w:ascii="Arial" w:hAnsi="Arial" w:cs="Arial"/>
          <w:szCs w:val="24"/>
        </w:rPr>
        <w:t>money</w:t>
      </w:r>
      <w:r w:rsidRPr="00C83547">
        <w:rPr>
          <w:rFonts w:ascii="Arial" w:hAnsi="Arial" w:cs="Arial"/>
          <w:szCs w:val="24"/>
        </w:rPr>
        <w:t xml:space="preserve">: any amount of </w:t>
      </w:r>
      <w:r w:rsidR="00925620">
        <w:rPr>
          <w:rFonts w:ascii="Arial" w:hAnsi="Arial" w:cs="Arial"/>
          <w:szCs w:val="24"/>
        </w:rPr>
        <w:t>money</w:t>
      </w:r>
      <w:r w:rsidRPr="00C83547">
        <w:rPr>
          <w:rFonts w:ascii="Arial" w:hAnsi="Arial" w:cs="Arial"/>
          <w:szCs w:val="24"/>
        </w:rPr>
        <w:t xml:space="preserve"> can be deposited into a </w:t>
      </w:r>
      <w:r>
        <w:rPr>
          <w:rFonts w:ascii="Arial" w:hAnsi="Arial" w:cs="Arial"/>
          <w:szCs w:val="24"/>
        </w:rPr>
        <w:t>BasicsCard bank account</w:t>
      </w:r>
      <w:r w:rsidRPr="00C83547">
        <w:rPr>
          <w:rFonts w:ascii="Arial" w:hAnsi="Arial" w:cs="Arial"/>
          <w:szCs w:val="24"/>
        </w:rPr>
        <w:t>.  This term makes it clear that a</w:t>
      </w:r>
      <w:r w:rsidR="00B82365">
        <w:rPr>
          <w:rFonts w:ascii="Arial" w:hAnsi="Arial" w:cs="Arial"/>
          <w:szCs w:val="24"/>
        </w:rPr>
        <w:t xml:space="preserve"> person subject to the enhanced income management regime </w:t>
      </w:r>
      <w:r w:rsidRPr="00C83547">
        <w:rPr>
          <w:rFonts w:ascii="Arial" w:hAnsi="Arial" w:cs="Arial"/>
          <w:szCs w:val="24"/>
        </w:rPr>
        <w:t xml:space="preserve">or another person can deposit </w:t>
      </w:r>
      <w:r w:rsidR="002912E0">
        <w:rPr>
          <w:rFonts w:ascii="Arial" w:hAnsi="Arial" w:cs="Arial"/>
          <w:szCs w:val="24"/>
        </w:rPr>
        <w:t xml:space="preserve">additional </w:t>
      </w:r>
      <w:r w:rsidRPr="00C83547">
        <w:rPr>
          <w:rFonts w:ascii="Arial" w:hAnsi="Arial" w:cs="Arial"/>
          <w:szCs w:val="24"/>
        </w:rPr>
        <w:t xml:space="preserve">money into a </w:t>
      </w:r>
      <w:r>
        <w:rPr>
          <w:rFonts w:ascii="Arial" w:hAnsi="Arial" w:cs="Arial"/>
          <w:szCs w:val="24"/>
        </w:rPr>
        <w:t>BasicsCard bank account</w:t>
      </w:r>
      <w:r w:rsidRPr="00C83547">
        <w:rPr>
          <w:rFonts w:ascii="Arial" w:hAnsi="Arial" w:cs="Arial"/>
          <w:szCs w:val="24"/>
        </w:rPr>
        <w:t>.</w:t>
      </w:r>
    </w:p>
    <w:p w:rsidR="00B82365" w:rsidRDefault="00B82365" w:rsidP="00801095">
      <w:pPr>
        <w:pStyle w:val="ListParagraph"/>
        <w:numPr>
          <w:ilvl w:val="0"/>
          <w:numId w:val="22"/>
        </w:numPr>
        <w:spacing w:before="0" w:after="200"/>
        <w:contextualSpacing w:val="0"/>
        <w:jc w:val="both"/>
        <w:rPr>
          <w:rFonts w:ascii="Arial" w:hAnsi="Arial" w:cs="Arial"/>
          <w:szCs w:val="24"/>
        </w:rPr>
      </w:pPr>
      <w:r>
        <w:rPr>
          <w:rFonts w:ascii="Arial" w:hAnsi="Arial" w:cs="Arial"/>
          <w:szCs w:val="24"/>
        </w:rPr>
        <w:t xml:space="preserve">Transferring money: </w:t>
      </w:r>
      <w:r w:rsidR="00925620">
        <w:rPr>
          <w:rFonts w:ascii="Arial" w:hAnsi="Arial" w:cs="Arial"/>
          <w:szCs w:val="24"/>
        </w:rPr>
        <w:t>subject to item 13</w:t>
      </w:r>
      <w:r w:rsidR="00EA7E58">
        <w:rPr>
          <w:rFonts w:ascii="Arial" w:hAnsi="Arial" w:cs="Arial"/>
          <w:szCs w:val="24"/>
        </w:rPr>
        <w:t xml:space="preserve"> (</w:t>
      </w:r>
      <w:r w:rsidR="00925620">
        <w:rPr>
          <w:rFonts w:ascii="Arial" w:hAnsi="Arial" w:cs="Arial"/>
          <w:szCs w:val="24"/>
        </w:rPr>
        <w:t>which states that l</w:t>
      </w:r>
      <w:r w:rsidR="00925620" w:rsidRPr="00925620">
        <w:rPr>
          <w:rFonts w:ascii="Arial" w:hAnsi="Arial" w:cs="Arial"/>
          <w:szCs w:val="24"/>
        </w:rPr>
        <w:t xml:space="preserve">imitations may be placed on the amounts a particular holder of a BasicsCard bank account </w:t>
      </w:r>
      <w:r w:rsidR="00925620" w:rsidRPr="00925620">
        <w:rPr>
          <w:rFonts w:ascii="Arial" w:hAnsi="Arial" w:cs="Arial"/>
          <w:szCs w:val="24"/>
        </w:rPr>
        <w:lastRenderedPageBreak/>
        <w:t>can transfer out of his</w:t>
      </w:r>
      <w:r w:rsidR="00925620">
        <w:rPr>
          <w:rFonts w:ascii="Arial" w:hAnsi="Arial" w:cs="Arial"/>
          <w:szCs w:val="24"/>
        </w:rPr>
        <w:t xml:space="preserve"> or her BasicsCard bank account</w:t>
      </w:r>
      <w:r w:rsidR="00EA7E58">
        <w:rPr>
          <w:rFonts w:ascii="Arial" w:hAnsi="Arial" w:cs="Arial"/>
          <w:szCs w:val="24"/>
        </w:rPr>
        <w:t>)</w:t>
      </w:r>
      <w:r w:rsidR="00925620">
        <w:rPr>
          <w:rFonts w:ascii="Arial" w:hAnsi="Arial" w:cs="Arial"/>
          <w:szCs w:val="24"/>
        </w:rPr>
        <w:t xml:space="preserve">, </w:t>
      </w:r>
      <w:r w:rsidR="00925620" w:rsidRPr="00925620">
        <w:rPr>
          <w:rFonts w:ascii="Arial" w:hAnsi="Arial" w:cs="Arial"/>
          <w:szCs w:val="24"/>
        </w:rPr>
        <w:t>a person may transfer money from one BasicsCard bank account to another BasicsCard bank account.</w:t>
      </w:r>
      <w:r w:rsidR="00925620">
        <w:rPr>
          <w:rFonts w:ascii="Arial" w:hAnsi="Arial" w:cs="Arial"/>
          <w:szCs w:val="24"/>
        </w:rPr>
        <w:t xml:space="preserve"> </w:t>
      </w:r>
    </w:p>
    <w:p w:rsidR="004250E4" w:rsidRPr="00564B47" w:rsidRDefault="004250E4"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Purchasing goods or services over the telephone or internet: the debit card attached to the </w:t>
      </w:r>
      <w:r>
        <w:rPr>
          <w:rFonts w:ascii="Arial" w:hAnsi="Arial" w:cs="Arial"/>
          <w:szCs w:val="24"/>
        </w:rPr>
        <w:t>BasicsCard bank account</w:t>
      </w:r>
      <w:r w:rsidRPr="00C83547">
        <w:rPr>
          <w:rFonts w:ascii="Arial" w:hAnsi="Arial" w:cs="Arial"/>
          <w:szCs w:val="24"/>
        </w:rPr>
        <w:t xml:space="preserve"> may be used to purchase goods or services over the telephone or internet, or without presenting the debit card. However, </w:t>
      </w:r>
      <w:r w:rsidR="00F61711">
        <w:rPr>
          <w:rFonts w:ascii="Arial" w:hAnsi="Arial" w:cs="Arial"/>
          <w:szCs w:val="24"/>
        </w:rPr>
        <w:t>excluded goods, excluded services,</w:t>
      </w:r>
      <w:r w:rsidRPr="00C83547">
        <w:rPr>
          <w:rFonts w:ascii="Arial" w:hAnsi="Arial" w:cs="Arial"/>
          <w:szCs w:val="24"/>
        </w:rPr>
        <w:t xml:space="preserve"> or cash-like products</w:t>
      </w:r>
      <w:r>
        <w:rPr>
          <w:rFonts w:ascii="Arial" w:hAnsi="Arial" w:cs="Arial"/>
          <w:szCs w:val="24"/>
        </w:rPr>
        <w:t xml:space="preserve"> </w:t>
      </w:r>
      <w:r w:rsidR="00A34390">
        <w:rPr>
          <w:rFonts w:ascii="Arial" w:hAnsi="Arial" w:cs="Arial"/>
          <w:szCs w:val="24"/>
        </w:rPr>
        <w:t>(</w:t>
      </w:r>
      <w:r>
        <w:rPr>
          <w:rFonts w:ascii="Arial" w:hAnsi="Arial" w:cs="Arial"/>
          <w:szCs w:val="24"/>
        </w:rPr>
        <w:t xml:space="preserve">that could be used to obtain </w:t>
      </w:r>
      <w:r w:rsidR="00A34390">
        <w:rPr>
          <w:rFonts w:ascii="Arial" w:hAnsi="Arial" w:cs="Arial"/>
          <w:szCs w:val="24"/>
        </w:rPr>
        <w:t>excluded</w:t>
      </w:r>
      <w:r>
        <w:rPr>
          <w:rFonts w:ascii="Arial" w:hAnsi="Arial" w:cs="Arial"/>
          <w:szCs w:val="24"/>
        </w:rPr>
        <w:t xml:space="preserve"> goods </w:t>
      </w:r>
      <w:r w:rsidR="00A34390">
        <w:rPr>
          <w:rFonts w:ascii="Arial" w:hAnsi="Arial" w:cs="Arial"/>
          <w:szCs w:val="24"/>
        </w:rPr>
        <w:t>or excluded</w:t>
      </w:r>
      <w:r>
        <w:rPr>
          <w:rFonts w:ascii="Arial" w:hAnsi="Arial" w:cs="Arial"/>
          <w:szCs w:val="24"/>
        </w:rPr>
        <w:t xml:space="preserve"> services</w:t>
      </w:r>
      <w:r w:rsidR="00A34390">
        <w:rPr>
          <w:rFonts w:ascii="Arial" w:hAnsi="Arial" w:cs="Arial"/>
          <w:szCs w:val="24"/>
        </w:rPr>
        <w:t>)</w:t>
      </w:r>
      <w:r>
        <w:rPr>
          <w:rFonts w:ascii="Arial" w:hAnsi="Arial" w:cs="Arial"/>
          <w:szCs w:val="24"/>
        </w:rPr>
        <w:t xml:space="preserve"> c</w:t>
      </w:r>
      <w:r w:rsidRPr="00C83547">
        <w:rPr>
          <w:rFonts w:ascii="Arial" w:hAnsi="Arial" w:cs="Arial"/>
          <w:szCs w:val="24"/>
        </w:rPr>
        <w:t xml:space="preserve">annot be purchased </w:t>
      </w:r>
      <w:r>
        <w:rPr>
          <w:rFonts w:ascii="Arial" w:hAnsi="Arial" w:cs="Arial"/>
          <w:szCs w:val="24"/>
        </w:rPr>
        <w:t>using the BasicsCard bank account debit card</w:t>
      </w:r>
      <w:r w:rsidR="00EA7E58">
        <w:rPr>
          <w:rFonts w:ascii="Arial" w:hAnsi="Arial" w:cs="Arial"/>
          <w:szCs w:val="24"/>
        </w:rPr>
        <w:t>, including</w:t>
      </w:r>
      <w:r w:rsidR="00EA7E58" w:rsidRPr="00EA7E58">
        <w:rPr>
          <w:rFonts w:ascii="Arial" w:hAnsi="Arial" w:cs="Arial"/>
          <w:szCs w:val="24"/>
        </w:rPr>
        <w:t xml:space="preserve"> </w:t>
      </w:r>
      <w:r w:rsidR="00EA7E58" w:rsidRPr="00C83547">
        <w:rPr>
          <w:rFonts w:ascii="Arial" w:hAnsi="Arial" w:cs="Arial"/>
          <w:szCs w:val="24"/>
        </w:rPr>
        <w:t>over the telephone or internet</w:t>
      </w:r>
      <w:r w:rsidRPr="00C83547">
        <w:rPr>
          <w:rFonts w:ascii="Arial" w:hAnsi="Arial" w:cs="Arial"/>
          <w:szCs w:val="24"/>
        </w:rPr>
        <w:t xml:space="preserve">. </w:t>
      </w:r>
      <w:r w:rsidR="008D6A4B" w:rsidRPr="00564B47">
        <w:rPr>
          <w:rFonts w:ascii="Arial" w:hAnsi="Arial" w:cs="Arial"/>
          <w:szCs w:val="24"/>
        </w:rPr>
        <w:t xml:space="preserve">Purchase </w:t>
      </w:r>
      <w:r w:rsidR="00AB3499" w:rsidRPr="00564B47">
        <w:rPr>
          <w:rFonts w:ascii="Arial" w:hAnsi="Arial" w:cs="Arial"/>
          <w:szCs w:val="24"/>
        </w:rPr>
        <w:t xml:space="preserve">of excluded goods and </w:t>
      </w:r>
      <w:r w:rsidR="00E66BA4" w:rsidRPr="00564B47">
        <w:rPr>
          <w:rFonts w:ascii="Arial" w:hAnsi="Arial" w:cs="Arial"/>
          <w:szCs w:val="24"/>
        </w:rPr>
        <w:t xml:space="preserve">excluded </w:t>
      </w:r>
      <w:r w:rsidR="00AB3499" w:rsidRPr="00564B47">
        <w:rPr>
          <w:rFonts w:ascii="Arial" w:hAnsi="Arial" w:cs="Arial"/>
          <w:szCs w:val="24"/>
        </w:rPr>
        <w:t>services</w:t>
      </w:r>
      <w:r w:rsidR="00E66BA4" w:rsidRPr="00564B47">
        <w:rPr>
          <w:rFonts w:ascii="Arial" w:hAnsi="Arial" w:cs="Arial"/>
          <w:szCs w:val="24"/>
        </w:rPr>
        <w:t xml:space="preserve"> is</w:t>
      </w:r>
      <w:r w:rsidR="008D6A4B" w:rsidRPr="00564B47">
        <w:rPr>
          <w:rFonts w:ascii="Arial" w:hAnsi="Arial" w:cs="Arial"/>
          <w:szCs w:val="24"/>
        </w:rPr>
        <w:t xml:space="preserve"> </w:t>
      </w:r>
      <w:r w:rsidR="003D5781" w:rsidRPr="00564B47">
        <w:rPr>
          <w:rFonts w:ascii="Arial" w:hAnsi="Arial" w:cs="Arial"/>
          <w:szCs w:val="24"/>
        </w:rPr>
        <w:t>blocked</w:t>
      </w:r>
      <w:r w:rsidR="006C16CA" w:rsidRPr="00564B47">
        <w:rPr>
          <w:rFonts w:ascii="Arial" w:hAnsi="Arial" w:cs="Arial"/>
          <w:szCs w:val="24"/>
        </w:rPr>
        <w:t xml:space="preserve"> </w:t>
      </w:r>
      <w:r w:rsidR="00E66BA4" w:rsidRPr="00564B47">
        <w:rPr>
          <w:rFonts w:ascii="Arial" w:hAnsi="Arial" w:cs="Arial"/>
          <w:szCs w:val="24"/>
        </w:rPr>
        <w:t xml:space="preserve">on the debit card attached to a BasicsCard </w:t>
      </w:r>
      <w:r w:rsidR="006C16CA" w:rsidRPr="00564B47">
        <w:rPr>
          <w:rFonts w:ascii="Arial" w:hAnsi="Arial" w:cs="Arial"/>
          <w:szCs w:val="24"/>
        </w:rPr>
        <w:t>by technological solutions</w:t>
      </w:r>
      <w:r w:rsidR="003D5781" w:rsidRPr="00564B47">
        <w:rPr>
          <w:rFonts w:ascii="Arial" w:hAnsi="Arial" w:cs="Arial"/>
          <w:szCs w:val="24"/>
        </w:rPr>
        <w:t xml:space="preserve"> at the </w:t>
      </w:r>
      <w:r w:rsidR="008D6A4B" w:rsidRPr="00564B47">
        <w:rPr>
          <w:rFonts w:ascii="Arial" w:hAnsi="Arial" w:cs="Arial"/>
          <w:szCs w:val="24"/>
        </w:rPr>
        <w:t>merchant and industry level. The types of merchants and industries</w:t>
      </w:r>
      <w:r w:rsidR="007129D6" w:rsidRPr="00564B47">
        <w:rPr>
          <w:rFonts w:ascii="Arial" w:hAnsi="Arial" w:cs="Arial"/>
          <w:szCs w:val="24"/>
        </w:rPr>
        <w:t xml:space="preserve"> that have these solutions in place</w:t>
      </w:r>
      <w:r w:rsidR="008D6A4B" w:rsidRPr="00564B47">
        <w:rPr>
          <w:rFonts w:ascii="Arial" w:hAnsi="Arial" w:cs="Arial"/>
          <w:szCs w:val="24"/>
        </w:rPr>
        <w:t xml:space="preserve"> are</w:t>
      </w:r>
      <w:r w:rsidR="003D5781" w:rsidRPr="00564B47">
        <w:rPr>
          <w:rFonts w:ascii="Arial" w:hAnsi="Arial" w:cs="Arial"/>
          <w:szCs w:val="24"/>
        </w:rPr>
        <w:t xml:space="preserve"> </w:t>
      </w:r>
      <w:r w:rsidR="008D6A4B" w:rsidRPr="00564B47">
        <w:rPr>
          <w:rFonts w:ascii="Arial" w:hAnsi="Arial" w:cs="Arial"/>
          <w:szCs w:val="24"/>
        </w:rPr>
        <w:t>further defined in Schedules</w:t>
      </w:r>
      <w:r w:rsidR="003D5781" w:rsidRPr="00564B47">
        <w:rPr>
          <w:rFonts w:ascii="Arial" w:hAnsi="Arial" w:cs="Arial"/>
          <w:szCs w:val="24"/>
        </w:rPr>
        <w:t xml:space="preserve"> 2 and 3. </w:t>
      </w:r>
    </w:p>
    <w:p w:rsidR="00E747A4" w:rsidRPr="00C83547" w:rsidRDefault="00E747A4"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Automatic drawing or withdrawal of monies by a third party:</w:t>
      </w:r>
      <w:r w:rsidR="00F247DD">
        <w:rPr>
          <w:rFonts w:ascii="Arial" w:hAnsi="Arial" w:cs="Arial"/>
          <w:szCs w:val="24"/>
        </w:rPr>
        <w:t xml:space="preserve"> </w:t>
      </w:r>
      <w:r w:rsidRPr="00C83547">
        <w:rPr>
          <w:rFonts w:ascii="Arial" w:hAnsi="Arial" w:cs="Arial"/>
          <w:szCs w:val="24"/>
        </w:rPr>
        <w:t xml:space="preserve">a </w:t>
      </w:r>
      <w:r>
        <w:rPr>
          <w:rFonts w:ascii="Arial" w:hAnsi="Arial" w:cs="Arial"/>
          <w:szCs w:val="24"/>
        </w:rPr>
        <w:t>BasicsCard bank account</w:t>
      </w:r>
      <w:r w:rsidRPr="00C83547">
        <w:rPr>
          <w:rFonts w:ascii="Arial" w:hAnsi="Arial" w:cs="Arial"/>
          <w:szCs w:val="24"/>
        </w:rPr>
        <w:t xml:space="preserve"> may be used in an arrangement involving automatic drawing or withdrawal of monies by a third party that is based on BSB and account number. Such arrangements can generally be made for regular bills, rent and some loans (</w:t>
      </w:r>
      <w:r w:rsidR="007129D6">
        <w:rPr>
          <w:rFonts w:ascii="Arial" w:hAnsi="Arial" w:cs="Arial"/>
          <w:szCs w:val="24"/>
        </w:rPr>
        <w:t>for example</w:t>
      </w:r>
      <w:r w:rsidRPr="00C83547">
        <w:rPr>
          <w:rFonts w:ascii="Arial" w:hAnsi="Arial" w:cs="Arial"/>
          <w:szCs w:val="24"/>
        </w:rPr>
        <w:t xml:space="preserve"> a mortgage). </w:t>
      </w:r>
      <w:r w:rsidR="00751D54">
        <w:rPr>
          <w:rFonts w:ascii="Arial" w:hAnsi="Arial" w:cs="Arial"/>
          <w:szCs w:val="24"/>
        </w:rPr>
        <w:t xml:space="preserve">This is subject to item 11, which provides that systems are in place to prevent a person transferring money out of their BasicsCard bank account for </w:t>
      </w:r>
      <w:r w:rsidR="00751D54" w:rsidRPr="00F247DD">
        <w:rPr>
          <w:rFonts w:ascii="Arial" w:hAnsi="Arial" w:cs="Arial"/>
          <w:szCs w:val="24"/>
        </w:rPr>
        <w:t>enabling the person to access cash or obtain cash-like products, excl</w:t>
      </w:r>
      <w:r w:rsidR="00751D54">
        <w:rPr>
          <w:rFonts w:ascii="Arial" w:hAnsi="Arial" w:cs="Arial"/>
          <w:szCs w:val="24"/>
        </w:rPr>
        <w:t>uded goods or excluded services.</w:t>
      </w:r>
    </w:p>
    <w:p w:rsidR="004250E4" w:rsidRPr="00C83547" w:rsidRDefault="004250E4"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No fees: </w:t>
      </w:r>
      <w:r w:rsidR="00801095">
        <w:rPr>
          <w:rFonts w:ascii="Arial" w:hAnsi="Arial" w:cs="Arial"/>
          <w:szCs w:val="24"/>
        </w:rPr>
        <w:t>Indue</w:t>
      </w:r>
      <w:r>
        <w:rPr>
          <w:rFonts w:ascii="Arial" w:hAnsi="Arial" w:cs="Arial"/>
          <w:szCs w:val="24"/>
        </w:rPr>
        <w:t xml:space="preserve"> or Traditional Credit Union </w:t>
      </w:r>
      <w:r w:rsidR="00CD1658">
        <w:rPr>
          <w:rFonts w:ascii="Arial" w:hAnsi="Arial" w:cs="Arial"/>
          <w:szCs w:val="24"/>
        </w:rPr>
        <w:t xml:space="preserve">will not charge fees </w:t>
      </w:r>
      <w:r w:rsidR="00EA7E58">
        <w:rPr>
          <w:rFonts w:ascii="Arial" w:hAnsi="Arial" w:cs="Arial"/>
          <w:szCs w:val="24"/>
        </w:rPr>
        <w:t>for</w:t>
      </w:r>
      <w:r w:rsidRPr="00C83547">
        <w:rPr>
          <w:rFonts w:ascii="Arial" w:hAnsi="Arial" w:cs="Arial"/>
          <w:szCs w:val="24"/>
        </w:rPr>
        <w:t xml:space="preserve"> depositing money into a </w:t>
      </w:r>
      <w:r>
        <w:rPr>
          <w:rFonts w:ascii="Arial" w:hAnsi="Arial" w:cs="Arial"/>
          <w:szCs w:val="24"/>
        </w:rPr>
        <w:t>BasicsCard bank account</w:t>
      </w:r>
      <w:r w:rsidRPr="00C83547">
        <w:rPr>
          <w:rFonts w:ascii="Arial" w:hAnsi="Arial" w:cs="Arial"/>
          <w:szCs w:val="24"/>
        </w:rPr>
        <w:t xml:space="preserve">, or providing a debit card attached to a </w:t>
      </w:r>
      <w:r>
        <w:rPr>
          <w:rFonts w:ascii="Arial" w:hAnsi="Arial" w:cs="Arial"/>
          <w:szCs w:val="24"/>
        </w:rPr>
        <w:t>BasicsCard bank account</w:t>
      </w:r>
      <w:r w:rsidRPr="00C83547">
        <w:rPr>
          <w:rFonts w:ascii="Arial" w:hAnsi="Arial" w:cs="Arial"/>
          <w:szCs w:val="24"/>
        </w:rPr>
        <w:t xml:space="preserve"> to a </w:t>
      </w:r>
      <w:r>
        <w:rPr>
          <w:rFonts w:ascii="Arial" w:hAnsi="Arial" w:cs="Arial"/>
          <w:szCs w:val="24"/>
        </w:rPr>
        <w:t xml:space="preserve">person subject to the enhanced income management regime. </w:t>
      </w:r>
      <w:r w:rsidRPr="00C83547">
        <w:rPr>
          <w:rFonts w:ascii="Arial" w:hAnsi="Arial" w:cs="Arial"/>
          <w:szCs w:val="24"/>
        </w:rPr>
        <w:t xml:space="preserve"> </w:t>
      </w:r>
    </w:p>
    <w:p w:rsidR="004250E4" w:rsidRPr="00C83547" w:rsidRDefault="004250E4"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No interest: </w:t>
      </w:r>
      <w:r w:rsidR="00801095">
        <w:rPr>
          <w:rFonts w:ascii="Arial" w:hAnsi="Arial" w:cs="Arial"/>
          <w:szCs w:val="24"/>
        </w:rPr>
        <w:t>Indue</w:t>
      </w:r>
      <w:r w:rsidR="00E747A4">
        <w:rPr>
          <w:rFonts w:ascii="Arial" w:hAnsi="Arial" w:cs="Arial"/>
          <w:szCs w:val="24"/>
        </w:rPr>
        <w:t xml:space="preserve"> or Traditional Credit Union</w:t>
      </w:r>
      <w:r w:rsidRPr="00C83547">
        <w:rPr>
          <w:rFonts w:ascii="Arial" w:hAnsi="Arial" w:cs="Arial"/>
          <w:szCs w:val="24"/>
        </w:rPr>
        <w:t xml:space="preserve"> </w:t>
      </w:r>
      <w:r w:rsidR="00CD1658">
        <w:rPr>
          <w:rFonts w:ascii="Arial" w:hAnsi="Arial" w:cs="Arial"/>
          <w:szCs w:val="24"/>
        </w:rPr>
        <w:t xml:space="preserve">will not charge interest </w:t>
      </w:r>
      <w:r w:rsidRPr="00C83547">
        <w:rPr>
          <w:rFonts w:ascii="Arial" w:hAnsi="Arial" w:cs="Arial"/>
          <w:szCs w:val="24"/>
        </w:rPr>
        <w:t xml:space="preserve">on a balance in a </w:t>
      </w:r>
      <w:r>
        <w:rPr>
          <w:rFonts w:ascii="Arial" w:hAnsi="Arial" w:cs="Arial"/>
          <w:szCs w:val="24"/>
        </w:rPr>
        <w:t>BasicsCard bank account</w:t>
      </w:r>
      <w:r w:rsidRPr="00C83547">
        <w:rPr>
          <w:rFonts w:ascii="Arial" w:hAnsi="Arial" w:cs="Arial"/>
          <w:szCs w:val="24"/>
        </w:rPr>
        <w:t xml:space="preserve"> that is less than zero. </w:t>
      </w:r>
      <w:r w:rsidR="00EA7E58">
        <w:rPr>
          <w:rFonts w:ascii="Arial" w:hAnsi="Arial" w:cs="Arial"/>
          <w:szCs w:val="24"/>
        </w:rPr>
        <w:t>G</w:t>
      </w:r>
      <w:r w:rsidR="00EA7E58" w:rsidRPr="00C83547">
        <w:rPr>
          <w:rFonts w:ascii="Arial" w:hAnsi="Arial" w:cs="Arial"/>
          <w:szCs w:val="24"/>
        </w:rPr>
        <w:t>enerally</w:t>
      </w:r>
      <w:r w:rsidR="00EA7E58">
        <w:rPr>
          <w:rFonts w:ascii="Arial" w:hAnsi="Arial" w:cs="Arial"/>
          <w:szCs w:val="24"/>
        </w:rPr>
        <w:t>, a</w:t>
      </w:r>
      <w:r w:rsidR="00E747A4">
        <w:rPr>
          <w:rFonts w:ascii="Arial" w:hAnsi="Arial" w:cs="Arial"/>
          <w:szCs w:val="24"/>
        </w:rPr>
        <w:t xml:space="preserve"> BasicsCard bank account</w:t>
      </w:r>
      <w:r w:rsidRPr="00C83547">
        <w:rPr>
          <w:rFonts w:ascii="Arial" w:hAnsi="Arial" w:cs="Arial"/>
          <w:szCs w:val="24"/>
        </w:rPr>
        <w:t xml:space="preserve"> cannot be overdrawn although there may be exceptional circumstances that result in a participant’s </w:t>
      </w:r>
      <w:r>
        <w:rPr>
          <w:rFonts w:ascii="Arial" w:hAnsi="Arial" w:cs="Arial"/>
          <w:szCs w:val="24"/>
        </w:rPr>
        <w:t>BasicsCard bank account</w:t>
      </w:r>
      <w:r w:rsidRPr="00C83547">
        <w:rPr>
          <w:rFonts w:ascii="Arial" w:hAnsi="Arial" w:cs="Arial"/>
          <w:szCs w:val="24"/>
        </w:rPr>
        <w:t xml:space="preserve"> having a negative balance. In these circumstances, </w:t>
      </w:r>
      <w:r w:rsidR="00801095">
        <w:rPr>
          <w:rFonts w:ascii="Arial" w:hAnsi="Arial" w:cs="Arial"/>
          <w:szCs w:val="24"/>
        </w:rPr>
        <w:t>Indue</w:t>
      </w:r>
      <w:r w:rsidRPr="00C83547">
        <w:rPr>
          <w:rFonts w:ascii="Arial" w:hAnsi="Arial" w:cs="Arial"/>
          <w:szCs w:val="24"/>
        </w:rPr>
        <w:t xml:space="preserve"> </w:t>
      </w:r>
      <w:r w:rsidR="00E747A4">
        <w:rPr>
          <w:rFonts w:ascii="Arial" w:hAnsi="Arial" w:cs="Arial"/>
          <w:szCs w:val="24"/>
        </w:rPr>
        <w:t xml:space="preserve">and Traditional Credit Union </w:t>
      </w:r>
      <w:r w:rsidRPr="00C83547">
        <w:rPr>
          <w:rFonts w:ascii="Arial" w:hAnsi="Arial" w:cs="Arial"/>
          <w:szCs w:val="24"/>
        </w:rPr>
        <w:t xml:space="preserve">cannot charge fees. </w:t>
      </w:r>
    </w:p>
    <w:p w:rsidR="00C83547" w:rsidRP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No withdrawal of cash: cash cannot be withdrawn from a </w:t>
      </w:r>
      <w:r>
        <w:rPr>
          <w:rFonts w:ascii="Arial" w:hAnsi="Arial" w:cs="Arial"/>
          <w:szCs w:val="24"/>
        </w:rPr>
        <w:t>BasicsCard bank account</w:t>
      </w:r>
      <w:r w:rsidRPr="00C83547">
        <w:rPr>
          <w:rFonts w:ascii="Arial" w:hAnsi="Arial" w:cs="Arial"/>
          <w:szCs w:val="24"/>
        </w:rPr>
        <w:t>, whether through the use of a debit card attached to the account or by other methods of withdrawal.</w:t>
      </w:r>
    </w:p>
    <w:p w:rsidR="00C83547" w:rsidRP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Systems in place to prevent purchase of excluded goods or </w:t>
      </w:r>
      <w:r w:rsidR="002912E0">
        <w:rPr>
          <w:rFonts w:ascii="Arial" w:hAnsi="Arial" w:cs="Arial"/>
          <w:szCs w:val="24"/>
        </w:rPr>
        <w:t xml:space="preserve">excluded </w:t>
      </w:r>
      <w:r w:rsidRPr="00C83547">
        <w:rPr>
          <w:rFonts w:ascii="Arial" w:hAnsi="Arial" w:cs="Arial"/>
          <w:szCs w:val="24"/>
        </w:rPr>
        <w:t>services:</w:t>
      </w:r>
      <w:r w:rsidR="00300D38">
        <w:rPr>
          <w:rFonts w:ascii="Arial" w:hAnsi="Arial" w:cs="Arial"/>
          <w:szCs w:val="24"/>
        </w:rPr>
        <w:t xml:space="preserve"> </w:t>
      </w:r>
      <w:r w:rsidRPr="00C83547">
        <w:rPr>
          <w:rFonts w:ascii="Arial" w:hAnsi="Arial" w:cs="Arial"/>
          <w:szCs w:val="24"/>
        </w:rPr>
        <w:t xml:space="preserve">systems are in place which, so far as possible, prevent money in a </w:t>
      </w:r>
      <w:r>
        <w:rPr>
          <w:rFonts w:ascii="Arial" w:hAnsi="Arial" w:cs="Arial"/>
          <w:szCs w:val="24"/>
        </w:rPr>
        <w:t>BasicsCard bank account</w:t>
      </w:r>
      <w:r w:rsidRPr="00C83547">
        <w:rPr>
          <w:rFonts w:ascii="Arial" w:hAnsi="Arial" w:cs="Arial"/>
          <w:szCs w:val="24"/>
        </w:rPr>
        <w:t xml:space="preserve">, and a debit card attached to that account, being used to purchase </w:t>
      </w:r>
      <w:r w:rsidR="00BA6C4A">
        <w:rPr>
          <w:rFonts w:ascii="Arial" w:hAnsi="Arial" w:cs="Arial"/>
          <w:szCs w:val="24"/>
        </w:rPr>
        <w:t>excluded good</w:t>
      </w:r>
      <w:r w:rsidR="00F61711">
        <w:rPr>
          <w:rFonts w:ascii="Arial" w:hAnsi="Arial" w:cs="Arial"/>
          <w:szCs w:val="24"/>
        </w:rPr>
        <w:t>s</w:t>
      </w:r>
      <w:r w:rsidR="00BA6C4A">
        <w:rPr>
          <w:rFonts w:ascii="Arial" w:hAnsi="Arial" w:cs="Arial"/>
          <w:szCs w:val="24"/>
        </w:rPr>
        <w:t>, excluded service</w:t>
      </w:r>
      <w:r w:rsidR="00F61711">
        <w:rPr>
          <w:rFonts w:ascii="Arial" w:hAnsi="Arial" w:cs="Arial"/>
          <w:szCs w:val="24"/>
        </w:rPr>
        <w:t>s</w:t>
      </w:r>
      <w:r w:rsidR="001F40A7">
        <w:rPr>
          <w:rFonts w:ascii="Arial" w:hAnsi="Arial" w:cs="Arial"/>
          <w:szCs w:val="24"/>
        </w:rPr>
        <w:t xml:space="preserve"> or</w:t>
      </w:r>
      <w:r w:rsidR="00BA6C4A">
        <w:rPr>
          <w:rFonts w:ascii="Arial" w:hAnsi="Arial" w:cs="Arial"/>
          <w:szCs w:val="24"/>
        </w:rPr>
        <w:t xml:space="preserve"> </w:t>
      </w:r>
      <w:r w:rsidRPr="00C83547">
        <w:rPr>
          <w:rFonts w:ascii="Arial" w:hAnsi="Arial" w:cs="Arial"/>
          <w:szCs w:val="24"/>
        </w:rPr>
        <w:t xml:space="preserve">cash-like products that could be used to </w:t>
      </w:r>
      <w:r w:rsidR="00BA6C4A">
        <w:rPr>
          <w:rFonts w:ascii="Arial" w:hAnsi="Arial" w:cs="Arial"/>
          <w:szCs w:val="24"/>
        </w:rPr>
        <w:t xml:space="preserve">purchase </w:t>
      </w:r>
      <w:r w:rsidR="0022574F">
        <w:rPr>
          <w:rFonts w:ascii="Arial" w:hAnsi="Arial" w:cs="Arial"/>
          <w:szCs w:val="24"/>
        </w:rPr>
        <w:t>such goods and services</w:t>
      </w:r>
      <w:r w:rsidRPr="00C83547">
        <w:rPr>
          <w:rFonts w:ascii="Arial" w:hAnsi="Arial" w:cs="Arial"/>
          <w:szCs w:val="24"/>
        </w:rPr>
        <w:t xml:space="preserve">. </w:t>
      </w:r>
      <w:r w:rsidR="008259BA" w:rsidRPr="00564B47">
        <w:rPr>
          <w:rFonts w:ascii="Arial" w:hAnsi="Arial" w:cs="Arial"/>
          <w:szCs w:val="24"/>
        </w:rPr>
        <w:t>The</w:t>
      </w:r>
      <w:r w:rsidR="0022574F" w:rsidRPr="00564B47">
        <w:rPr>
          <w:rFonts w:ascii="Arial" w:hAnsi="Arial" w:cs="Arial"/>
          <w:szCs w:val="24"/>
        </w:rPr>
        <w:t xml:space="preserve"> systems </w:t>
      </w:r>
      <w:r w:rsidR="007A615C" w:rsidRPr="00564B47">
        <w:rPr>
          <w:rFonts w:ascii="Arial" w:hAnsi="Arial" w:cs="Arial"/>
          <w:szCs w:val="24"/>
        </w:rPr>
        <w:t>include technological</w:t>
      </w:r>
      <w:r w:rsidR="008259BA" w:rsidRPr="00564B47">
        <w:rPr>
          <w:rFonts w:ascii="Arial" w:hAnsi="Arial" w:cs="Arial"/>
          <w:szCs w:val="24"/>
        </w:rPr>
        <w:t xml:space="preserve"> </w:t>
      </w:r>
      <w:r w:rsidR="007A615C" w:rsidRPr="00564B47">
        <w:rPr>
          <w:rFonts w:ascii="Arial" w:hAnsi="Arial" w:cs="Arial"/>
          <w:szCs w:val="24"/>
        </w:rPr>
        <w:t>solutions, which</w:t>
      </w:r>
      <w:r w:rsidR="008259BA" w:rsidRPr="00564B47">
        <w:rPr>
          <w:rFonts w:ascii="Arial" w:hAnsi="Arial" w:cs="Arial"/>
          <w:szCs w:val="24"/>
        </w:rPr>
        <w:t xml:space="preserve"> </w:t>
      </w:r>
      <w:r w:rsidR="007A615C" w:rsidRPr="00564B47">
        <w:rPr>
          <w:rFonts w:ascii="Arial" w:hAnsi="Arial" w:cs="Arial"/>
          <w:szCs w:val="24"/>
        </w:rPr>
        <w:t>block</w:t>
      </w:r>
      <w:r w:rsidR="006C16CA" w:rsidRPr="00564B47">
        <w:rPr>
          <w:rFonts w:ascii="Arial" w:hAnsi="Arial" w:cs="Arial"/>
          <w:szCs w:val="24"/>
        </w:rPr>
        <w:t xml:space="preserve"> purchases </w:t>
      </w:r>
      <w:r w:rsidR="0022574F" w:rsidRPr="00564B47">
        <w:rPr>
          <w:rFonts w:ascii="Arial" w:hAnsi="Arial" w:cs="Arial"/>
          <w:szCs w:val="24"/>
        </w:rPr>
        <w:t xml:space="preserve">expenditure </w:t>
      </w:r>
      <w:r w:rsidR="006C16CA" w:rsidRPr="00564B47">
        <w:rPr>
          <w:rFonts w:ascii="Arial" w:hAnsi="Arial" w:cs="Arial"/>
          <w:szCs w:val="24"/>
        </w:rPr>
        <w:t>at the merchant level. The types of businesses where this would apply are</w:t>
      </w:r>
      <w:r w:rsidR="008259BA" w:rsidRPr="00564B47">
        <w:rPr>
          <w:rFonts w:ascii="Arial" w:hAnsi="Arial" w:cs="Arial"/>
          <w:szCs w:val="24"/>
        </w:rPr>
        <w:t xml:space="preserve"> those as defined in </w:t>
      </w:r>
      <w:r w:rsidR="0022574F" w:rsidRPr="00564B47">
        <w:rPr>
          <w:rFonts w:ascii="Arial" w:hAnsi="Arial" w:cs="Arial"/>
          <w:szCs w:val="24"/>
        </w:rPr>
        <w:t>S</w:t>
      </w:r>
      <w:r w:rsidR="008259BA" w:rsidRPr="00564B47">
        <w:rPr>
          <w:rFonts w:ascii="Arial" w:hAnsi="Arial" w:cs="Arial"/>
          <w:szCs w:val="24"/>
        </w:rPr>
        <w:t>chedule 1, 2 and 3.</w:t>
      </w:r>
      <w:r w:rsidRPr="00C83547">
        <w:rPr>
          <w:rFonts w:ascii="Arial" w:hAnsi="Arial" w:cs="Arial"/>
          <w:szCs w:val="24"/>
        </w:rPr>
        <w:t xml:space="preserve"> </w:t>
      </w:r>
    </w:p>
    <w:p w:rsid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Systems in place to prevent transferring of money:</w:t>
      </w:r>
      <w:r w:rsidR="008259BA">
        <w:rPr>
          <w:rFonts w:ascii="Arial" w:hAnsi="Arial" w:cs="Arial"/>
          <w:szCs w:val="24"/>
        </w:rPr>
        <w:t xml:space="preserve"> technological</w:t>
      </w:r>
      <w:r w:rsidRPr="00C83547">
        <w:rPr>
          <w:rFonts w:ascii="Arial" w:hAnsi="Arial" w:cs="Arial"/>
          <w:szCs w:val="24"/>
        </w:rPr>
        <w:t xml:space="preserve"> systems are in place</w:t>
      </w:r>
      <w:r w:rsidR="008259BA">
        <w:rPr>
          <w:rFonts w:ascii="Arial" w:hAnsi="Arial" w:cs="Arial"/>
          <w:szCs w:val="24"/>
        </w:rPr>
        <w:t xml:space="preserve"> </w:t>
      </w:r>
      <w:r w:rsidRPr="00C83547">
        <w:rPr>
          <w:rFonts w:ascii="Arial" w:hAnsi="Arial" w:cs="Arial"/>
          <w:szCs w:val="24"/>
        </w:rPr>
        <w:t xml:space="preserve">which, so far as possible, prevent </w:t>
      </w:r>
      <w:r w:rsidR="00E747A4">
        <w:rPr>
          <w:rFonts w:ascii="Arial" w:hAnsi="Arial" w:cs="Arial"/>
          <w:szCs w:val="24"/>
        </w:rPr>
        <w:t xml:space="preserve">a person subject to the </w:t>
      </w:r>
      <w:r w:rsidR="00E747A4">
        <w:rPr>
          <w:rFonts w:ascii="Arial" w:hAnsi="Arial" w:cs="Arial"/>
          <w:szCs w:val="24"/>
        </w:rPr>
        <w:lastRenderedPageBreak/>
        <w:t>enhanced income management regime</w:t>
      </w:r>
      <w:r w:rsidRPr="00C83547">
        <w:rPr>
          <w:rFonts w:ascii="Arial" w:hAnsi="Arial" w:cs="Arial"/>
          <w:szCs w:val="24"/>
        </w:rPr>
        <w:t xml:space="preserve"> transferring money from a </w:t>
      </w:r>
      <w:r>
        <w:rPr>
          <w:rFonts w:ascii="Arial" w:hAnsi="Arial" w:cs="Arial"/>
          <w:szCs w:val="24"/>
        </w:rPr>
        <w:t>BasicsCard bank account</w:t>
      </w:r>
      <w:r w:rsidRPr="00C83547">
        <w:rPr>
          <w:rFonts w:ascii="Arial" w:hAnsi="Arial" w:cs="Arial"/>
          <w:szCs w:val="24"/>
        </w:rPr>
        <w:t xml:space="preserve"> to another bank account that is not a </w:t>
      </w:r>
      <w:r>
        <w:rPr>
          <w:rFonts w:ascii="Arial" w:hAnsi="Arial" w:cs="Arial"/>
          <w:szCs w:val="24"/>
        </w:rPr>
        <w:t>BasicsCard bank account</w:t>
      </w:r>
      <w:r w:rsidRPr="00C83547">
        <w:rPr>
          <w:rFonts w:ascii="Arial" w:hAnsi="Arial" w:cs="Arial"/>
          <w:szCs w:val="24"/>
        </w:rPr>
        <w:t>.  An</w:t>
      </w:r>
      <w:r w:rsidR="00D52B36">
        <w:rPr>
          <w:rFonts w:ascii="Arial" w:hAnsi="Arial" w:cs="Arial"/>
          <w:szCs w:val="24"/>
        </w:rPr>
        <w:t> </w:t>
      </w:r>
      <w:r w:rsidRPr="00C83547">
        <w:rPr>
          <w:rFonts w:ascii="Arial" w:hAnsi="Arial" w:cs="Arial"/>
          <w:szCs w:val="24"/>
        </w:rPr>
        <w:t xml:space="preserve">exception to this term applies if money is transferred for a purpose other than enabling the </w:t>
      </w:r>
      <w:r w:rsidR="00E747A4">
        <w:rPr>
          <w:rFonts w:ascii="Arial" w:hAnsi="Arial" w:cs="Arial"/>
          <w:szCs w:val="24"/>
        </w:rPr>
        <w:t>person</w:t>
      </w:r>
      <w:r w:rsidRPr="00C83547">
        <w:rPr>
          <w:rFonts w:ascii="Arial" w:hAnsi="Arial" w:cs="Arial"/>
          <w:szCs w:val="24"/>
        </w:rPr>
        <w:t xml:space="preserve"> to access cash</w:t>
      </w:r>
      <w:r w:rsidR="00D52B36">
        <w:rPr>
          <w:rFonts w:ascii="Arial" w:hAnsi="Arial" w:cs="Arial"/>
          <w:szCs w:val="24"/>
        </w:rPr>
        <w:t>, cash-like products,</w:t>
      </w:r>
      <w:r w:rsidRPr="00C83547">
        <w:rPr>
          <w:rFonts w:ascii="Arial" w:hAnsi="Arial" w:cs="Arial"/>
          <w:szCs w:val="24"/>
        </w:rPr>
        <w:t xml:space="preserve"> excluded goods or </w:t>
      </w:r>
      <w:r w:rsidR="00D52B36">
        <w:rPr>
          <w:rFonts w:ascii="Arial" w:hAnsi="Arial" w:cs="Arial"/>
          <w:szCs w:val="24"/>
        </w:rPr>
        <w:t xml:space="preserve">excluded </w:t>
      </w:r>
      <w:r w:rsidRPr="00C83547">
        <w:rPr>
          <w:rFonts w:ascii="Arial" w:hAnsi="Arial" w:cs="Arial"/>
          <w:szCs w:val="24"/>
        </w:rPr>
        <w:t xml:space="preserve">services. </w:t>
      </w:r>
    </w:p>
    <w:p w:rsidR="00D22503" w:rsidRPr="001F40A7" w:rsidRDefault="00D22503"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Limitations on spending of amounts: limitations may be placed on the </w:t>
      </w:r>
      <w:r w:rsidRPr="001F40A7">
        <w:rPr>
          <w:rFonts w:ascii="Arial" w:hAnsi="Arial" w:cs="Arial"/>
          <w:szCs w:val="24"/>
        </w:rPr>
        <w:t xml:space="preserve">amount a person subject to the enhanced income management regime can spend </w:t>
      </w:r>
      <w:r w:rsidR="00A332ED">
        <w:rPr>
          <w:rFonts w:ascii="Arial" w:hAnsi="Arial" w:cs="Arial"/>
          <w:szCs w:val="24"/>
        </w:rPr>
        <w:t xml:space="preserve">on any given day </w:t>
      </w:r>
      <w:r w:rsidRPr="001F40A7">
        <w:rPr>
          <w:rFonts w:ascii="Arial" w:hAnsi="Arial" w:cs="Arial"/>
          <w:szCs w:val="24"/>
        </w:rPr>
        <w:t>using a debit card attached to a BasicsCard bank account.</w:t>
      </w:r>
      <w:r w:rsidR="00DB3101">
        <w:rPr>
          <w:rFonts w:ascii="Arial" w:hAnsi="Arial" w:cs="Arial"/>
          <w:szCs w:val="24"/>
        </w:rPr>
        <w:t xml:space="preserve"> Th</w:t>
      </w:r>
      <w:r w:rsidR="00A332ED">
        <w:rPr>
          <w:rFonts w:ascii="Arial" w:hAnsi="Arial" w:cs="Arial"/>
          <w:szCs w:val="24"/>
        </w:rPr>
        <w:t>e</w:t>
      </w:r>
      <w:r w:rsidR="0022574F">
        <w:rPr>
          <w:rFonts w:ascii="Arial" w:hAnsi="Arial" w:cs="Arial"/>
          <w:szCs w:val="24"/>
        </w:rPr>
        <w:t> </w:t>
      </w:r>
      <w:r w:rsidR="00DB3101">
        <w:rPr>
          <w:rFonts w:ascii="Arial" w:hAnsi="Arial" w:cs="Arial"/>
          <w:szCs w:val="24"/>
        </w:rPr>
        <w:t>limitation</w:t>
      </w:r>
      <w:r w:rsidR="00A332ED">
        <w:rPr>
          <w:rFonts w:ascii="Arial" w:hAnsi="Arial" w:cs="Arial"/>
          <w:szCs w:val="24"/>
        </w:rPr>
        <w:t xml:space="preserve">s </w:t>
      </w:r>
      <w:r w:rsidR="006474E9">
        <w:rPr>
          <w:rFonts w:ascii="Arial" w:hAnsi="Arial" w:cs="Arial"/>
          <w:szCs w:val="24"/>
        </w:rPr>
        <w:t>are set out in the BasicsCard bank account terms and conditions provided by the relevant financial institution and</w:t>
      </w:r>
      <w:r w:rsidR="00DB3101">
        <w:rPr>
          <w:rFonts w:ascii="Arial" w:hAnsi="Arial" w:cs="Arial"/>
          <w:szCs w:val="24"/>
        </w:rPr>
        <w:t xml:space="preserve"> </w:t>
      </w:r>
      <w:r w:rsidR="007A615C">
        <w:rPr>
          <w:rFonts w:ascii="Arial" w:hAnsi="Arial" w:cs="Arial"/>
          <w:szCs w:val="24"/>
        </w:rPr>
        <w:t>can</w:t>
      </w:r>
      <w:r w:rsidR="00DB3101">
        <w:rPr>
          <w:rFonts w:ascii="Arial" w:hAnsi="Arial" w:cs="Arial"/>
          <w:szCs w:val="24"/>
        </w:rPr>
        <w:t xml:space="preserve"> be</w:t>
      </w:r>
      <w:r w:rsidR="00A332ED">
        <w:rPr>
          <w:rFonts w:ascii="Arial" w:hAnsi="Arial" w:cs="Arial"/>
          <w:szCs w:val="24"/>
        </w:rPr>
        <w:t xml:space="preserve"> varied</w:t>
      </w:r>
      <w:r w:rsidR="00DB3101">
        <w:rPr>
          <w:rFonts w:ascii="Arial" w:hAnsi="Arial" w:cs="Arial"/>
          <w:szCs w:val="24"/>
        </w:rPr>
        <w:t xml:space="preserve"> upon request</w:t>
      </w:r>
      <w:r w:rsidR="00312D7B">
        <w:rPr>
          <w:rFonts w:ascii="Arial" w:hAnsi="Arial" w:cs="Arial"/>
          <w:szCs w:val="24"/>
        </w:rPr>
        <w:t xml:space="preserve"> by an individual</w:t>
      </w:r>
      <w:r w:rsidR="00912ECB">
        <w:rPr>
          <w:rFonts w:ascii="Arial" w:hAnsi="Arial" w:cs="Arial"/>
          <w:szCs w:val="24"/>
        </w:rPr>
        <w:t xml:space="preserve"> after assessment by Services Australia</w:t>
      </w:r>
      <w:r w:rsidR="00DB3101">
        <w:rPr>
          <w:rFonts w:ascii="Arial" w:hAnsi="Arial" w:cs="Arial"/>
          <w:szCs w:val="24"/>
        </w:rPr>
        <w:t>.</w:t>
      </w:r>
      <w:r w:rsidRPr="001F40A7">
        <w:rPr>
          <w:rFonts w:ascii="Arial" w:hAnsi="Arial" w:cs="Arial"/>
          <w:szCs w:val="24"/>
        </w:rPr>
        <w:t xml:space="preserve"> </w:t>
      </w:r>
    </w:p>
    <w:p w:rsidR="00D22503" w:rsidRPr="001F40A7" w:rsidRDefault="00D22503" w:rsidP="00801095">
      <w:pPr>
        <w:pStyle w:val="ListParagraph"/>
        <w:numPr>
          <w:ilvl w:val="0"/>
          <w:numId w:val="22"/>
        </w:numPr>
        <w:spacing w:before="0" w:after="200"/>
        <w:contextualSpacing w:val="0"/>
        <w:jc w:val="both"/>
        <w:rPr>
          <w:rFonts w:ascii="Arial" w:hAnsi="Arial" w:cs="Arial"/>
          <w:szCs w:val="24"/>
        </w:rPr>
      </w:pPr>
      <w:r w:rsidRPr="001F40A7">
        <w:rPr>
          <w:rFonts w:ascii="Arial" w:hAnsi="Arial" w:cs="Arial"/>
          <w:szCs w:val="24"/>
        </w:rPr>
        <w:t xml:space="preserve">Limitations on transfer of amounts: limitations may also be placed on the amounts a holder of a BasicsCard bank account can transfer out of </w:t>
      </w:r>
      <w:r w:rsidR="00CD1658" w:rsidRPr="001F40A7">
        <w:rPr>
          <w:rFonts w:ascii="Arial" w:hAnsi="Arial" w:cs="Arial"/>
          <w:szCs w:val="24"/>
        </w:rPr>
        <w:t>their</w:t>
      </w:r>
      <w:r w:rsidRPr="001F40A7">
        <w:rPr>
          <w:rFonts w:ascii="Arial" w:hAnsi="Arial" w:cs="Arial"/>
          <w:szCs w:val="24"/>
        </w:rPr>
        <w:t xml:space="preserve"> account.</w:t>
      </w:r>
      <w:r w:rsidR="004C3403">
        <w:rPr>
          <w:rFonts w:ascii="Arial" w:hAnsi="Arial" w:cs="Arial"/>
          <w:szCs w:val="24"/>
        </w:rPr>
        <w:t xml:space="preserve"> These limitations are variable and are set out in the BasicsCard bank account terms and conditions</w:t>
      </w:r>
      <w:r w:rsidR="00326C03">
        <w:rPr>
          <w:rFonts w:ascii="Arial" w:hAnsi="Arial" w:cs="Arial"/>
          <w:szCs w:val="24"/>
        </w:rPr>
        <w:t xml:space="preserve"> provided by the </w:t>
      </w:r>
      <w:r w:rsidR="006474E9">
        <w:rPr>
          <w:rFonts w:ascii="Arial" w:hAnsi="Arial" w:cs="Arial"/>
          <w:szCs w:val="24"/>
        </w:rPr>
        <w:t xml:space="preserve">relevant </w:t>
      </w:r>
      <w:r w:rsidR="00326C03">
        <w:rPr>
          <w:rFonts w:ascii="Arial" w:hAnsi="Arial" w:cs="Arial"/>
          <w:szCs w:val="24"/>
        </w:rPr>
        <w:t>financial institution</w:t>
      </w:r>
      <w:r w:rsidR="004C3403">
        <w:rPr>
          <w:rFonts w:ascii="Arial" w:hAnsi="Arial" w:cs="Arial"/>
          <w:szCs w:val="24"/>
        </w:rPr>
        <w:t xml:space="preserve">. Variations </w:t>
      </w:r>
      <w:r w:rsidR="007129D6">
        <w:rPr>
          <w:rFonts w:ascii="Arial" w:hAnsi="Arial" w:cs="Arial"/>
          <w:szCs w:val="24"/>
        </w:rPr>
        <w:t xml:space="preserve">to the limit </w:t>
      </w:r>
      <w:r w:rsidR="007A615C">
        <w:rPr>
          <w:rFonts w:ascii="Arial" w:hAnsi="Arial" w:cs="Arial"/>
          <w:szCs w:val="24"/>
        </w:rPr>
        <w:t>can</w:t>
      </w:r>
      <w:r w:rsidR="004C3403">
        <w:rPr>
          <w:rFonts w:ascii="Arial" w:hAnsi="Arial" w:cs="Arial"/>
          <w:szCs w:val="24"/>
        </w:rPr>
        <w:t xml:space="preserve"> be made upon </w:t>
      </w:r>
      <w:r w:rsidR="00312D7B">
        <w:rPr>
          <w:rFonts w:ascii="Arial" w:hAnsi="Arial" w:cs="Arial"/>
          <w:szCs w:val="24"/>
        </w:rPr>
        <w:t>request by an individual</w:t>
      </w:r>
      <w:r w:rsidRPr="001F40A7">
        <w:rPr>
          <w:rFonts w:ascii="Arial" w:hAnsi="Arial" w:cs="Arial"/>
          <w:szCs w:val="24"/>
        </w:rPr>
        <w:t xml:space="preserve">. </w:t>
      </w:r>
    </w:p>
    <w:p w:rsidR="00D22503" w:rsidRPr="00C83547" w:rsidRDefault="00D22503" w:rsidP="00801095">
      <w:pPr>
        <w:pStyle w:val="ListParagraph"/>
        <w:numPr>
          <w:ilvl w:val="0"/>
          <w:numId w:val="22"/>
        </w:numPr>
        <w:spacing w:before="0" w:after="200"/>
        <w:contextualSpacing w:val="0"/>
        <w:jc w:val="both"/>
        <w:rPr>
          <w:rFonts w:ascii="Arial" w:hAnsi="Arial" w:cs="Arial"/>
          <w:szCs w:val="24"/>
        </w:rPr>
      </w:pPr>
      <w:r w:rsidRPr="001F40A7">
        <w:rPr>
          <w:rFonts w:ascii="Arial" w:hAnsi="Arial" w:cs="Arial"/>
          <w:szCs w:val="24"/>
        </w:rPr>
        <w:t>Limitations to prevent money</w:t>
      </w:r>
      <w:r w:rsidRPr="00C83547">
        <w:rPr>
          <w:rFonts w:ascii="Arial" w:hAnsi="Arial" w:cs="Arial"/>
          <w:szCs w:val="24"/>
        </w:rPr>
        <w:t xml:space="preserve"> being used to purchase excluded goods or services: limitations may be placed on a </w:t>
      </w:r>
      <w:r>
        <w:rPr>
          <w:rFonts w:ascii="Arial" w:hAnsi="Arial" w:cs="Arial"/>
          <w:szCs w:val="24"/>
        </w:rPr>
        <w:t>BasicsCard bank account</w:t>
      </w:r>
      <w:r w:rsidR="008E0A7E">
        <w:rPr>
          <w:rFonts w:ascii="Arial" w:hAnsi="Arial" w:cs="Arial"/>
          <w:szCs w:val="24"/>
        </w:rPr>
        <w:t>,</w:t>
      </w:r>
      <w:r w:rsidRPr="00C83547">
        <w:rPr>
          <w:rFonts w:ascii="Arial" w:hAnsi="Arial" w:cs="Arial"/>
          <w:szCs w:val="24"/>
        </w:rPr>
        <w:t xml:space="preserve"> </w:t>
      </w:r>
      <w:r w:rsidR="008E0A7E">
        <w:rPr>
          <w:rFonts w:ascii="Arial" w:hAnsi="Arial" w:cs="Arial"/>
          <w:szCs w:val="24"/>
        </w:rPr>
        <w:t>or a</w:t>
      </w:r>
      <w:r w:rsidR="008E0A7E" w:rsidRPr="00C83547">
        <w:rPr>
          <w:rFonts w:ascii="Arial" w:hAnsi="Arial" w:cs="Arial"/>
          <w:szCs w:val="24"/>
        </w:rPr>
        <w:t xml:space="preserve"> debit card attached to</w:t>
      </w:r>
      <w:r w:rsidR="008E0A7E">
        <w:rPr>
          <w:rFonts w:ascii="Arial" w:hAnsi="Arial" w:cs="Arial"/>
          <w:szCs w:val="24"/>
        </w:rPr>
        <w:t xml:space="preserve"> that account,</w:t>
      </w:r>
      <w:r w:rsidR="008E0A7E" w:rsidRPr="00C83547">
        <w:rPr>
          <w:rFonts w:ascii="Arial" w:hAnsi="Arial" w:cs="Arial"/>
          <w:szCs w:val="24"/>
        </w:rPr>
        <w:t xml:space="preserve"> </w:t>
      </w:r>
      <w:r w:rsidR="00E462EF">
        <w:rPr>
          <w:rFonts w:ascii="Arial" w:hAnsi="Arial" w:cs="Arial"/>
          <w:szCs w:val="24"/>
        </w:rPr>
        <w:t xml:space="preserve">to </w:t>
      </w:r>
      <w:r w:rsidRPr="00C83547">
        <w:rPr>
          <w:rFonts w:ascii="Arial" w:hAnsi="Arial" w:cs="Arial"/>
          <w:szCs w:val="24"/>
        </w:rPr>
        <w:t xml:space="preserve">prevent money in the bank account being used to purchase </w:t>
      </w:r>
      <w:r w:rsidR="000447B5">
        <w:rPr>
          <w:rFonts w:ascii="Arial" w:hAnsi="Arial" w:cs="Arial"/>
          <w:szCs w:val="24"/>
        </w:rPr>
        <w:t>excluded goods, excluded services or</w:t>
      </w:r>
      <w:r w:rsidRPr="00C83547">
        <w:rPr>
          <w:rFonts w:ascii="Arial" w:hAnsi="Arial" w:cs="Arial"/>
          <w:szCs w:val="24"/>
        </w:rPr>
        <w:t xml:space="preserve"> cash-like products that could be used to obtain</w:t>
      </w:r>
      <w:r w:rsidR="00E462EF">
        <w:rPr>
          <w:rFonts w:ascii="Arial" w:hAnsi="Arial" w:cs="Arial"/>
          <w:szCs w:val="24"/>
        </w:rPr>
        <w:t xml:space="preserve"> </w:t>
      </w:r>
      <w:r w:rsidR="00A332ED">
        <w:rPr>
          <w:rFonts w:ascii="Arial" w:hAnsi="Arial" w:cs="Arial"/>
          <w:szCs w:val="24"/>
        </w:rPr>
        <w:t xml:space="preserve">such </w:t>
      </w:r>
      <w:r w:rsidR="00E462EF">
        <w:rPr>
          <w:rFonts w:ascii="Arial" w:hAnsi="Arial" w:cs="Arial"/>
          <w:szCs w:val="24"/>
        </w:rPr>
        <w:t>goods or services.</w:t>
      </w:r>
    </w:p>
    <w:p w:rsidR="00C83547" w:rsidRDefault="00C83547" w:rsidP="00801095">
      <w:pPr>
        <w:pStyle w:val="ListParagraph"/>
        <w:numPr>
          <w:ilvl w:val="0"/>
          <w:numId w:val="22"/>
        </w:numPr>
        <w:spacing w:before="0" w:after="200"/>
        <w:contextualSpacing w:val="0"/>
        <w:jc w:val="both"/>
        <w:rPr>
          <w:rFonts w:ascii="Arial" w:hAnsi="Arial" w:cs="Arial"/>
          <w:szCs w:val="24"/>
        </w:rPr>
      </w:pPr>
      <w:r w:rsidRPr="00C83547">
        <w:rPr>
          <w:rFonts w:ascii="Arial" w:hAnsi="Arial" w:cs="Arial"/>
          <w:szCs w:val="24"/>
        </w:rPr>
        <w:t xml:space="preserve">Closure of account: a </w:t>
      </w:r>
      <w:r>
        <w:rPr>
          <w:rFonts w:ascii="Arial" w:hAnsi="Arial" w:cs="Arial"/>
          <w:szCs w:val="24"/>
        </w:rPr>
        <w:t>BasicsCard bank account</w:t>
      </w:r>
      <w:r w:rsidRPr="00C83547">
        <w:rPr>
          <w:rFonts w:ascii="Arial" w:hAnsi="Arial" w:cs="Arial"/>
          <w:szCs w:val="24"/>
        </w:rPr>
        <w:t xml:space="preserve"> provided to a person </w:t>
      </w:r>
      <w:r w:rsidR="00D22503">
        <w:rPr>
          <w:rFonts w:ascii="Arial" w:hAnsi="Arial" w:cs="Arial"/>
          <w:szCs w:val="24"/>
        </w:rPr>
        <w:t xml:space="preserve">subject to the enhanced income management regime may be closed without the consent of the person if: </w:t>
      </w:r>
    </w:p>
    <w:p w:rsidR="00D22503" w:rsidRPr="00D22503" w:rsidRDefault="00D22503" w:rsidP="00801095">
      <w:pPr>
        <w:pStyle w:val="ListParagraph"/>
        <w:numPr>
          <w:ilvl w:val="1"/>
          <w:numId w:val="22"/>
        </w:numPr>
        <w:spacing w:before="0" w:after="200"/>
        <w:contextualSpacing w:val="0"/>
        <w:jc w:val="both"/>
        <w:rPr>
          <w:rFonts w:ascii="Arial" w:hAnsi="Arial" w:cs="Arial"/>
          <w:szCs w:val="24"/>
        </w:rPr>
      </w:pPr>
      <w:r w:rsidRPr="00D22503">
        <w:rPr>
          <w:rFonts w:ascii="Arial" w:hAnsi="Arial" w:cs="Arial"/>
          <w:szCs w:val="24"/>
        </w:rPr>
        <w:t>the holder of the account ceases to be subject to the enhanced income management regime;</w:t>
      </w:r>
    </w:p>
    <w:p w:rsidR="00D22503" w:rsidRPr="00D22503" w:rsidRDefault="00D22503" w:rsidP="00801095">
      <w:pPr>
        <w:pStyle w:val="ListParagraph"/>
        <w:numPr>
          <w:ilvl w:val="1"/>
          <w:numId w:val="22"/>
        </w:numPr>
        <w:spacing w:before="0" w:after="200"/>
        <w:contextualSpacing w:val="0"/>
        <w:jc w:val="both"/>
        <w:rPr>
          <w:rFonts w:ascii="Arial" w:hAnsi="Arial" w:cs="Arial"/>
          <w:szCs w:val="24"/>
        </w:rPr>
      </w:pPr>
      <w:r w:rsidRPr="00D22503">
        <w:rPr>
          <w:rFonts w:ascii="Arial" w:hAnsi="Arial" w:cs="Arial"/>
          <w:szCs w:val="24"/>
        </w:rPr>
        <w:t>the holder of the account has died; or</w:t>
      </w:r>
    </w:p>
    <w:p w:rsidR="00D22503" w:rsidRDefault="00D22503" w:rsidP="00801095">
      <w:pPr>
        <w:pStyle w:val="ListParagraph"/>
        <w:numPr>
          <w:ilvl w:val="1"/>
          <w:numId w:val="22"/>
        </w:numPr>
        <w:spacing w:before="0" w:after="200"/>
        <w:contextualSpacing w:val="0"/>
        <w:jc w:val="both"/>
        <w:rPr>
          <w:rFonts w:ascii="Arial" w:hAnsi="Arial" w:cs="Arial"/>
          <w:szCs w:val="24"/>
        </w:rPr>
      </w:pPr>
      <w:r>
        <w:rPr>
          <w:rFonts w:ascii="Arial" w:hAnsi="Arial" w:cs="Arial"/>
          <w:szCs w:val="24"/>
        </w:rPr>
        <w:t xml:space="preserve">the person has given notice to the Secretary that they would like to have their BasicsCard bank account (first account) administered by another financial institution (second account), and: </w:t>
      </w:r>
    </w:p>
    <w:p w:rsidR="00D22503" w:rsidRDefault="00D22503" w:rsidP="00801095">
      <w:pPr>
        <w:pStyle w:val="ListParagraph"/>
        <w:numPr>
          <w:ilvl w:val="2"/>
          <w:numId w:val="22"/>
        </w:numPr>
        <w:spacing w:before="0" w:after="200"/>
        <w:contextualSpacing w:val="0"/>
        <w:jc w:val="both"/>
        <w:rPr>
          <w:rFonts w:ascii="Arial" w:hAnsi="Arial" w:cs="Arial"/>
          <w:szCs w:val="24"/>
        </w:rPr>
      </w:pPr>
      <w:r>
        <w:rPr>
          <w:rFonts w:ascii="Arial" w:hAnsi="Arial" w:cs="Arial"/>
          <w:szCs w:val="24"/>
        </w:rPr>
        <w:t xml:space="preserve">the second account has been established; and </w:t>
      </w:r>
    </w:p>
    <w:p w:rsidR="00D22503" w:rsidRDefault="00D22503" w:rsidP="00801095">
      <w:pPr>
        <w:pStyle w:val="ListParagraph"/>
        <w:numPr>
          <w:ilvl w:val="2"/>
          <w:numId w:val="22"/>
        </w:numPr>
        <w:spacing w:before="0" w:after="200"/>
        <w:contextualSpacing w:val="0"/>
        <w:jc w:val="both"/>
        <w:rPr>
          <w:rFonts w:ascii="Arial" w:hAnsi="Arial" w:cs="Arial"/>
          <w:szCs w:val="24"/>
        </w:rPr>
      </w:pPr>
      <w:r>
        <w:rPr>
          <w:rFonts w:ascii="Arial" w:hAnsi="Arial" w:cs="Arial"/>
          <w:szCs w:val="24"/>
        </w:rPr>
        <w:t xml:space="preserve">the first account has a nil balance. </w:t>
      </w:r>
    </w:p>
    <w:p w:rsidR="00627A3A" w:rsidRDefault="00D22503" w:rsidP="00801095">
      <w:pPr>
        <w:pStyle w:val="ListParagraph"/>
        <w:numPr>
          <w:ilvl w:val="0"/>
          <w:numId w:val="22"/>
        </w:numPr>
        <w:spacing w:before="0" w:after="200"/>
        <w:contextualSpacing w:val="0"/>
        <w:jc w:val="both"/>
        <w:rPr>
          <w:rFonts w:ascii="Arial" w:hAnsi="Arial" w:cs="Arial"/>
          <w:szCs w:val="24"/>
        </w:rPr>
      </w:pPr>
      <w:r>
        <w:rPr>
          <w:rFonts w:ascii="Arial" w:hAnsi="Arial" w:cs="Arial"/>
          <w:szCs w:val="24"/>
        </w:rPr>
        <w:t xml:space="preserve">Closure of account </w:t>
      </w:r>
      <w:r w:rsidR="00627A3A">
        <w:rPr>
          <w:rFonts w:ascii="Arial" w:hAnsi="Arial" w:cs="Arial"/>
          <w:szCs w:val="24"/>
        </w:rPr>
        <w:t xml:space="preserve">and transfer of funds </w:t>
      </w:r>
      <w:r>
        <w:rPr>
          <w:rFonts w:ascii="Arial" w:hAnsi="Arial" w:cs="Arial"/>
          <w:szCs w:val="24"/>
        </w:rPr>
        <w:t>where person has ceased to be subject to the enhanced income management regime: if a person has ceased to be subject to the enhanced income management regime,</w:t>
      </w:r>
      <w:r w:rsidR="00300D38">
        <w:rPr>
          <w:rFonts w:ascii="Arial" w:hAnsi="Arial" w:cs="Arial"/>
          <w:szCs w:val="24"/>
        </w:rPr>
        <w:t xml:space="preserve"> the BasicsCard bank account and associated</w:t>
      </w:r>
      <w:r w:rsidR="007129D6">
        <w:rPr>
          <w:rFonts w:ascii="Arial" w:hAnsi="Arial" w:cs="Arial"/>
          <w:szCs w:val="24"/>
        </w:rPr>
        <w:t xml:space="preserve"> debit card </w:t>
      </w:r>
      <w:r w:rsidR="00300D38">
        <w:rPr>
          <w:rFonts w:ascii="Arial" w:hAnsi="Arial" w:cs="Arial"/>
          <w:szCs w:val="24"/>
        </w:rPr>
        <w:t>are no longer required.</w:t>
      </w:r>
      <w:r w:rsidR="00EF3658">
        <w:rPr>
          <w:rFonts w:ascii="Arial" w:hAnsi="Arial" w:cs="Arial"/>
          <w:szCs w:val="24"/>
        </w:rPr>
        <w:t xml:space="preserve"> A person will receive information that their account is being closed when they are notified in writing that they are no long subject to the enhanced income management regime.</w:t>
      </w:r>
      <w:r w:rsidR="00300D38">
        <w:rPr>
          <w:rFonts w:ascii="Arial" w:hAnsi="Arial" w:cs="Arial"/>
          <w:szCs w:val="24"/>
        </w:rPr>
        <w:t xml:space="preserve"> T</w:t>
      </w:r>
      <w:r>
        <w:rPr>
          <w:rFonts w:ascii="Arial" w:hAnsi="Arial" w:cs="Arial"/>
          <w:szCs w:val="24"/>
        </w:rPr>
        <w:t xml:space="preserve">he financial institution administering the person’s account </w:t>
      </w:r>
      <w:r w:rsidR="002912E0">
        <w:rPr>
          <w:rFonts w:ascii="Arial" w:hAnsi="Arial" w:cs="Arial"/>
          <w:szCs w:val="24"/>
        </w:rPr>
        <w:t>may</w:t>
      </w:r>
      <w:r w:rsidR="00627A3A">
        <w:rPr>
          <w:rFonts w:ascii="Arial" w:hAnsi="Arial" w:cs="Arial"/>
          <w:szCs w:val="24"/>
        </w:rPr>
        <w:t>:</w:t>
      </w:r>
    </w:p>
    <w:p w:rsidR="00627A3A" w:rsidRDefault="002912E0" w:rsidP="00801095">
      <w:pPr>
        <w:pStyle w:val="ListParagraph"/>
        <w:numPr>
          <w:ilvl w:val="1"/>
          <w:numId w:val="26"/>
        </w:numPr>
        <w:spacing w:before="0" w:after="200"/>
        <w:contextualSpacing w:val="0"/>
        <w:jc w:val="both"/>
        <w:rPr>
          <w:rFonts w:ascii="Arial" w:hAnsi="Arial" w:cs="Arial"/>
          <w:szCs w:val="24"/>
        </w:rPr>
      </w:pPr>
      <w:r>
        <w:rPr>
          <w:rFonts w:ascii="Arial" w:hAnsi="Arial" w:cs="Arial"/>
          <w:szCs w:val="24"/>
        </w:rPr>
        <w:t xml:space="preserve">if it has a nil balance, </w:t>
      </w:r>
      <w:r w:rsidR="00D22503">
        <w:rPr>
          <w:rFonts w:ascii="Arial" w:hAnsi="Arial" w:cs="Arial"/>
          <w:szCs w:val="24"/>
        </w:rPr>
        <w:t>close the account within</w:t>
      </w:r>
      <w:r w:rsidR="00A52354">
        <w:rPr>
          <w:rFonts w:ascii="Arial" w:hAnsi="Arial" w:cs="Arial"/>
          <w:szCs w:val="24"/>
        </w:rPr>
        <w:t xml:space="preserve"> 91</w:t>
      </w:r>
      <w:r w:rsidR="00627A3A">
        <w:rPr>
          <w:rFonts w:ascii="Arial" w:hAnsi="Arial" w:cs="Arial"/>
          <w:szCs w:val="24"/>
        </w:rPr>
        <w:t xml:space="preserve"> days of the person ceasing to be subject to the enhanced income management regime;</w:t>
      </w:r>
      <w:r w:rsidR="00D22503">
        <w:rPr>
          <w:rFonts w:ascii="Arial" w:hAnsi="Arial" w:cs="Arial"/>
          <w:szCs w:val="24"/>
        </w:rPr>
        <w:t xml:space="preserve"> or </w:t>
      </w:r>
    </w:p>
    <w:p w:rsidR="00627A3A" w:rsidRDefault="00D22503" w:rsidP="00801095">
      <w:pPr>
        <w:pStyle w:val="ListParagraph"/>
        <w:numPr>
          <w:ilvl w:val="1"/>
          <w:numId w:val="26"/>
        </w:numPr>
        <w:spacing w:before="0" w:after="200"/>
        <w:contextualSpacing w:val="0"/>
        <w:jc w:val="both"/>
        <w:rPr>
          <w:rFonts w:ascii="Arial" w:hAnsi="Arial" w:cs="Arial"/>
          <w:szCs w:val="24"/>
        </w:rPr>
      </w:pPr>
      <w:r>
        <w:rPr>
          <w:rFonts w:ascii="Arial" w:hAnsi="Arial" w:cs="Arial"/>
          <w:szCs w:val="24"/>
        </w:rPr>
        <w:lastRenderedPageBreak/>
        <w:t xml:space="preserve">transfer any remaining funds into a bank account nominated by the person within </w:t>
      </w:r>
      <w:r w:rsidR="00A52354">
        <w:rPr>
          <w:rFonts w:ascii="Arial" w:hAnsi="Arial" w:cs="Arial"/>
          <w:szCs w:val="24"/>
        </w:rPr>
        <w:t>91</w:t>
      </w:r>
      <w:r>
        <w:rPr>
          <w:rFonts w:ascii="Arial" w:hAnsi="Arial" w:cs="Arial"/>
          <w:szCs w:val="24"/>
        </w:rPr>
        <w:t xml:space="preserve"> days</w:t>
      </w:r>
      <w:r w:rsidR="00627A3A">
        <w:rPr>
          <w:rFonts w:ascii="Arial" w:hAnsi="Arial" w:cs="Arial"/>
          <w:szCs w:val="24"/>
        </w:rPr>
        <w:t xml:space="preserve"> of the person ceasing to be subject to the enhanced income management regime</w:t>
      </w:r>
      <w:r w:rsidR="002912E0">
        <w:rPr>
          <w:rFonts w:ascii="Arial" w:hAnsi="Arial" w:cs="Arial"/>
          <w:szCs w:val="24"/>
        </w:rPr>
        <w:t xml:space="preserve"> before closing the account</w:t>
      </w:r>
      <w:r>
        <w:rPr>
          <w:rFonts w:ascii="Arial" w:hAnsi="Arial" w:cs="Arial"/>
          <w:szCs w:val="24"/>
        </w:rPr>
        <w:t>.</w:t>
      </w:r>
    </w:p>
    <w:p w:rsidR="00A52354" w:rsidRDefault="00627A3A" w:rsidP="00801095">
      <w:pPr>
        <w:pStyle w:val="ListParagraph"/>
        <w:numPr>
          <w:ilvl w:val="0"/>
          <w:numId w:val="22"/>
        </w:numPr>
        <w:spacing w:before="0" w:after="200"/>
        <w:contextualSpacing w:val="0"/>
        <w:jc w:val="both"/>
        <w:rPr>
          <w:rFonts w:ascii="Arial" w:hAnsi="Arial" w:cs="Arial"/>
          <w:szCs w:val="24"/>
        </w:rPr>
      </w:pPr>
      <w:r>
        <w:rPr>
          <w:rFonts w:ascii="Arial" w:hAnsi="Arial" w:cs="Arial"/>
          <w:szCs w:val="24"/>
        </w:rPr>
        <w:t>Transfer of funds person is deceased: w</w:t>
      </w:r>
      <w:r w:rsidRPr="00627A3A">
        <w:rPr>
          <w:rFonts w:ascii="Arial" w:hAnsi="Arial" w:cs="Arial"/>
          <w:szCs w:val="24"/>
        </w:rPr>
        <w:t>here a BasicsCard bank account was held by a person who has died, the financial institution administering that account may</w:t>
      </w:r>
      <w:r w:rsidR="00A52354">
        <w:rPr>
          <w:rFonts w:ascii="Arial" w:hAnsi="Arial" w:cs="Arial"/>
          <w:szCs w:val="24"/>
        </w:rPr>
        <w:t>:</w:t>
      </w:r>
    </w:p>
    <w:p w:rsidR="00A52354" w:rsidRDefault="00A52354" w:rsidP="00801095">
      <w:pPr>
        <w:pStyle w:val="ListParagraph"/>
        <w:numPr>
          <w:ilvl w:val="1"/>
          <w:numId w:val="22"/>
        </w:numPr>
        <w:spacing w:before="0" w:after="200"/>
        <w:contextualSpacing w:val="0"/>
        <w:jc w:val="both"/>
        <w:rPr>
          <w:rFonts w:ascii="Arial" w:hAnsi="Arial" w:cs="Arial"/>
          <w:szCs w:val="24"/>
        </w:rPr>
      </w:pPr>
      <w:r>
        <w:rPr>
          <w:rFonts w:ascii="Arial" w:hAnsi="Arial" w:cs="Arial"/>
          <w:szCs w:val="24"/>
        </w:rPr>
        <w:t xml:space="preserve">close the account within 91 days of the person deceasing if it has a nil balance; or </w:t>
      </w:r>
    </w:p>
    <w:p w:rsidR="00A52354" w:rsidRDefault="00A52354" w:rsidP="00801095">
      <w:pPr>
        <w:pStyle w:val="ListParagraph"/>
        <w:numPr>
          <w:ilvl w:val="1"/>
          <w:numId w:val="22"/>
        </w:numPr>
        <w:spacing w:before="0" w:after="200"/>
        <w:contextualSpacing w:val="0"/>
        <w:jc w:val="both"/>
        <w:rPr>
          <w:rFonts w:ascii="Arial" w:hAnsi="Arial" w:cs="Arial"/>
          <w:szCs w:val="24"/>
        </w:rPr>
      </w:pPr>
      <w:r>
        <w:rPr>
          <w:rFonts w:ascii="Arial" w:hAnsi="Arial" w:cs="Arial"/>
          <w:szCs w:val="24"/>
        </w:rPr>
        <w:t>transfer any remaining funds into a bank account previously nominated by the person, provided that account is held in the sole name of the person who has died, within 91 days of the person deceasing. This</w:t>
      </w:r>
      <w:r w:rsidR="00FF7BBC">
        <w:rPr>
          <w:rFonts w:ascii="Arial" w:hAnsi="Arial" w:cs="Arial"/>
          <w:szCs w:val="24"/>
        </w:rPr>
        <w:t> </w:t>
      </w:r>
      <w:r>
        <w:rPr>
          <w:rFonts w:ascii="Arial" w:hAnsi="Arial" w:cs="Arial"/>
          <w:szCs w:val="24"/>
        </w:rPr>
        <w:t>ensures any remaining funds continue to be part of the</w:t>
      </w:r>
      <w:r w:rsidR="00727DF7">
        <w:rPr>
          <w:rFonts w:ascii="Arial" w:hAnsi="Arial" w:cs="Arial"/>
          <w:szCs w:val="24"/>
        </w:rPr>
        <w:t xml:space="preserve"> deceased</w:t>
      </w:r>
      <w:r>
        <w:rPr>
          <w:rFonts w:ascii="Arial" w:hAnsi="Arial" w:cs="Arial"/>
          <w:szCs w:val="24"/>
        </w:rPr>
        <w:t xml:space="preserve"> person’s estate.</w:t>
      </w:r>
    </w:p>
    <w:p w:rsidR="00005512" w:rsidRDefault="00570367" w:rsidP="001F40A7">
      <w:pPr>
        <w:spacing w:before="0"/>
        <w:ind w:left="1134"/>
        <w:jc w:val="both"/>
        <w:rPr>
          <w:rFonts w:ascii="Arial" w:hAnsi="Arial" w:cs="Arial"/>
          <w:szCs w:val="24"/>
        </w:rPr>
      </w:pPr>
      <w:r w:rsidRPr="00570367">
        <w:rPr>
          <w:rFonts w:ascii="Arial" w:hAnsi="Arial" w:cs="Arial"/>
          <w:szCs w:val="24"/>
        </w:rPr>
        <w:t>S</w:t>
      </w:r>
      <w:r w:rsidR="002912E0" w:rsidRPr="00570367">
        <w:rPr>
          <w:rFonts w:ascii="Arial" w:hAnsi="Arial" w:cs="Arial"/>
          <w:szCs w:val="24"/>
        </w:rPr>
        <w:t xml:space="preserve">tate and </w:t>
      </w:r>
      <w:r w:rsidR="00274720" w:rsidRPr="00570367">
        <w:rPr>
          <w:rFonts w:ascii="Arial" w:hAnsi="Arial" w:cs="Arial"/>
          <w:szCs w:val="24"/>
        </w:rPr>
        <w:t>t</w:t>
      </w:r>
      <w:r w:rsidR="002912E0" w:rsidRPr="00570367">
        <w:rPr>
          <w:rFonts w:ascii="Arial" w:hAnsi="Arial" w:cs="Arial"/>
          <w:szCs w:val="24"/>
        </w:rPr>
        <w:t>erritory laws regarding the management of deceased estates</w:t>
      </w:r>
      <w:r w:rsidR="00FF7BBC">
        <w:rPr>
          <w:rFonts w:ascii="Arial" w:hAnsi="Arial" w:cs="Arial"/>
          <w:szCs w:val="24"/>
        </w:rPr>
        <w:t xml:space="preserve"> and</w:t>
      </w:r>
      <w:r w:rsidR="002912E0" w:rsidRPr="00570367">
        <w:rPr>
          <w:rFonts w:ascii="Arial" w:hAnsi="Arial" w:cs="Arial"/>
          <w:szCs w:val="24"/>
        </w:rPr>
        <w:t xml:space="preserve"> t</w:t>
      </w:r>
      <w:r w:rsidR="007A2BB8" w:rsidRPr="00570367">
        <w:rPr>
          <w:rFonts w:ascii="Arial" w:hAnsi="Arial" w:cs="Arial"/>
          <w:szCs w:val="24"/>
        </w:rPr>
        <w:t xml:space="preserve">he </w:t>
      </w:r>
      <w:r w:rsidR="007A2BB8" w:rsidRPr="00570367">
        <w:rPr>
          <w:rFonts w:ascii="Arial" w:hAnsi="Arial" w:cs="Arial"/>
          <w:i/>
          <w:szCs w:val="24"/>
        </w:rPr>
        <w:t xml:space="preserve">Banking Act 1959 </w:t>
      </w:r>
      <w:r w:rsidRPr="00570367">
        <w:rPr>
          <w:rFonts w:ascii="Arial" w:hAnsi="Arial" w:cs="Arial"/>
          <w:szCs w:val="24"/>
        </w:rPr>
        <w:t xml:space="preserve">may </w:t>
      </w:r>
      <w:r w:rsidR="007A2BB8" w:rsidRPr="00570367">
        <w:rPr>
          <w:rFonts w:ascii="Arial" w:hAnsi="Arial" w:cs="Arial"/>
          <w:szCs w:val="24"/>
        </w:rPr>
        <w:t>apply</w:t>
      </w:r>
      <w:r w:rsidR="00FF7BBC">
        <w:rPr>
          <w:rFonts w:ascii="Arial" w:hAnsi="Arial" w:cs="Arial"/>
          <w:szCs w:val="24"/>
        </w:rPr>
        <w:t xml:space="preserve"> to funds retained in a BasicsCard bank account after a person ceases to be subject to the enhanced income management regime</w:t>
      </w:r>
      <w:r w:rsidR="007A2BB8" w:rsidRPr="00570367">
        <w:rPr>
          <w:rFonts w:ascii="Arial" w:hAnsi="Arial" w:cs="Arial"/>
          <w:szCs w:val="24"/>
        </w:rPr>
        <w:t xml:space="preserve">. </w:t>
      </w:r>
      <w:r w:rsidRPr="00570367">
        <w:rPr>
          <w:rFonts w:ascii="Arial" w:hAnsi="Arial" w:cs="Arial"/>
          <w:szCs w:val="24"/>
        </w:rPr>
        <w:t xml:space="preserve"> </w:t>
      </w:r>
      <w:r>
        <w:rPr>
          <w:rFonts w:ascii="Arial" w:hAnsi="Arial" w:cs="Arial"/>
          <w:szCs w:val="24"/>
        </w:rPr>
        <w:t>For </w:t>
      </w:r>
      <w:r w:rsidRPr="00570367">
        <w:rPr>
          <w:rFonts w:ascii="Arial" w:hAnsi="Arial" w:cs="Arial"/>
          <w:szCs w:val="24"/>
        </w:rPr>
        <w:t xml:space="preserve">example, </w:t>
      </w:r>
      <w:r w:rsidR="00FF7BBC">
        <w:rPr>
          <w:rFonts w:ascii="Arial" w:hAnsi="Arial" w:cs="Arial"/>
          <w:szCs w:val="24"/>
        </w:rPr>
        <w:t xml:space="preserve">state or territory </w:t>
      </w:r>
      <w:r w:rsidR="000447B5">
        <w:rPr>
          <w:rFonts w:ascii="Arial" w:hAnsi="Arial" w:cs="Arial"/>
          <w:szCs w:val="24"/>
        </w:rPr>
        <w:t>laws of intestacy will apply if the person dies intestate</w:t>
      </w:r>
      <w:r w:rsidR="007772AA">
        <w:rPr>
          <w:rFonts w:ascii="Arial" w:hAnsi="Arial" w:cs="Arial"/>
          <w:szCs w:val="24"/>
        </w:rPr>
        <w:t>, I</w:t>
      </w:r>
      <w:r w:rsidR="000447B5">
        <w:rPr>
          <w:rFonts w:ascii="Arial" w:hAnsi="Arial" w:cs="Arial"/>
          <w:szCs w:val="24"/>
        </w:rPr>
        <w:t>f the only account nominated to the Secretary is a joint account with another person</w:t>
      </w:r>
      <w:r w:rsidR="007772AA">
        <w:rPr>
          <w:rFonts w:ascii="Arial" w:hAnsi="Arial" w:cs="Arial"/>
          <w:szCs w:val="24"/>
        </w:rPr>
        <w:t xml:space="preserve">, this will be dealt with either under the person’s </w:t>
      </w:r>
      <w:r w:rsidR="00BD1B56">
        <w:rPr>
          <w:rFonts w:ascii="Arial" w:hAnsi="Arial" w:cs="Arial"/>
          <w:szCs w:val="24"/>
        </w:rPr>
        <w:t>W</w:t>
      </w:r>
      <w:r w:rsidR="007772AA">
        <w:rPr>
          <w:rFonts w:ascii="Arial" w:hAnsi="Arial" w:cs="Arial"/>
          <w:szCs w:val="24"/>
        </w:rPr>
        <w:t>ill or using intestacy laws as the joint account would not form part of the deceased person’s estate, based on the principle of survivorship</w:t>
      </w:r>
      <w:r w:rsidR="000447B5">
        <w:rPr>
          <w:rFonts w:ascii="Arial" w:hAnsi="Arial" w:cs="Arial"/>
          <w:szCs w:val="24"/>
        </w:rPr>
        <w:t>. I</w:t>
      </w:r>
      <w:r>
        <w:rPr>
          <w:rFonts w:ascii="Arial" w:hAnsi="Arial" w:cs="Arial"/>
          <w:szCs w:val="24"/>
        </w:rPr>
        <w:t>n limited circumstances</w:t>
      </w:r>
      <w:r w:rsidR="00D970CA">
        <w:rPr>
          <w:rFonts w:ascii="Arial" w:hAnsi="Arial" w:cs="Arial"/>
          <w:szCs w:val="24"/>
        </w:rPr>
        <w:t xml:space="preserve"> (</w:t>
      </w:r>
      <w:r w:rsidR="00FF7BBC">
        <w:rPr>
          <w:rFonts w:ascii="Arial" w:hAnsi="Arial" w:cs="Arial"/>
          <w:szCs w:val="24"/>
        </w:rPr>
        <w:t xml:space="preserve">for example, </w:t>
      </w:r>
      <w:r w:rsidR="00D970CA">
        <w:rPr>
          <w:rFonts w:ascii="Arial" w:hAnsi="Arial" w:cs="Arial"/>
          <w:szCs w:val="24"/>
        </w:rPr>
        <w:t xml:space="preserve">where there is no </w:t>
      </w:r>
      <w:r w:rsidR="00FF7BBC">
        <w:rPr>
          <w:rFonts w:ascii="Arial" w:hAnsi="Arial" w:cs="Arial"/>
          <w:szCs w:val="24"/>
        </w:rPr>
        <w:t xml:space="preserve">known or </w:t>
      </w:r>
      <w:r w:rsidR="0039362B">
        <w:rPr>
          <w:rFonts w:ascii="Arial" w:hAnsi="Arial" w:cs="Arial"/>
          <w:szCs w:val="24"/>
        </w:rPr>
        <w:t>lawful claimant</w:t>
      </w:r>
      <w:r w:rsidR="00D970CA">
        <w:rPr>
          <w:rFonts w:ascii="Arial" w:hAnsi="Arial" w:cs="Arial"/>
          <w:szCs w:val="24"/>
        </w:rPr>
        <w:t>)</w:t>
      </w:r>
      <w:r>
        <w:rPr>
          <w:rFonts w:ascii="Arial" w:hAnsi="Arial" w:cs="Arial"/>
          <w:szCs w:val="24"/>
        </w:rPr>
        <w:t xml:space="preserve">, </w:t>
      </w:r>
      <w:r w:rsidRPr="001F40A7">
        <w:rPr>
          <w:rFonts w:ascii="Arial" w:hAnsi="Arial" w:cs="Arial"/>
          <w:color w:val="000000"/>
          <w:szCs w:val="18"/>
          <w:shd w:val="clear" w:color="auto" w:fill="FFFFFF"/>
        </w:rPr>
        <w:t xml:space="preserve">unclaimed monies </w:t>
      </w:r>
      <w:r w:rsidR="00D970CA">
        <w:rPr>
          <w:rFonts w:ascii="Arial" w:hAnsi="Arial" w:cs="Arial"/>
          <w:color w:val="000000"/>
          <w:szCs w:val="18"/>
          <w:shd w:val="clear" w:color="auto" w:fill="FFFFFF"/>
        </w:rPr>
        <w:t>may</w:t>
      </w:r>
      <w:r>
        <w:rPr>
          <w:rFonts w:ascii="Arial" w:hAnsi="Arial" w:cs="Arial"/>
          <w:color w:val="000000"/>
          <w:szCs w:val="18"/>
          <w:shd w:val="clear" w:color="auto" w:fill="FFFFFF"/>
        </w:rPr>
        <w:t xml:space="preserve"> be </w:t>
      </w:r>
      <w:r w:rsidR="00D970CA">
        <w:rPr>
          <w:rFonts w:ascii="Arial" w:hAnsi="Arial" w:cs="Arial"/>
          <w:color w:val="000000"/>
          <w:szCs w:val="18"/>
          <w:shd w:val="clear" w:color="auto" w:fill="FFFFFF"/>
        </w:rPr>
        <w:t>dealt with</w:t>
      </w:r>
      <w:r>
        <w:rPr>
          <w:rFonts w:ascii="Arial" w:hAnsi="Arial" w:cs="Arial"/>
          <w:color w:val="000000"/>
          <w:szCs w:val="18"/>
          <w:shd w:val="clear" w:color="auto" w:fill="FFFFFF"/>
        </w:rPr>
        <w:t xml:space="preserve"> </w:t>
      </w:r>
      <w:r w:rsidR="00FF7BBC">
        <w:rPr>
          <w:rFonts w:ascii="Arial" w:hAnsi="Arial" w:cs="Arial"/>
          <w:color w:val="000000"/>
          <w:szCs w:val="18"/>
          <w:shd w:val="clear" w:color="auto" w:fill="FFFFFF"/>
        </w:rPr>
        <w:t>in accordance with</w:t>
      </w:r>
      <w:r w:rsidR="00FF7BBC" w:rsidRPr="001F40A7">
        <w:rPr>
          <w:rFonts w:ascii="Arial" w:hAnsi="Arial" w:cs="Arial"/>
          <w:color w:val="000000"/>
          <w:szCs w:val="18"/>
          <w:shd w:val="clear" w:color="auto" w:fill="FFFFFF"/>
        </w:rPr>
        <w:t xml:space="preserve"> </w:t>
      </w:r>
      <w:r w:rsidRPr="001F40A7">
        <w:rPr>
          <w:rFonts w:ascii="Arial" w:hAnsi="Arial" w:cs="Arial"/>
          <w:color w:val="000000"/>
          <w:szCs w:val="18"/>
          <w:shd w:val="clear" w:color="auto" w:fill="FFFFFF"/>
        </w:rPr>
        <w:t>the Banking Act.</w:t>
      </w:r>
      <w:r w:rsidRPr="001F40A7">
        <w:rPr>
          <w:rFonts w:ascii="Arial" w:hAnsi="Arial" w:cs="Arial"/>
          <w:szCs w:val="24"/>
        </w:rPr>
        <w:t xml:space="preserve"> </w:t>
      </w:r>
    </w:p>
    <w:p w:rsidR="00570367" w:rsidRPr="001F40A7" w:rsidRDefault="00570367" w:rsidP="001F40A7">
      <w:pPr>
        <w:spacing w:before="0"/>
        <w:ind w:left="1134"/>
        <w:rPr>
          <w:rFonts w:ascii="Arial" w:hAnsi="Arial" w:cs="Arial"/>
          <w:szCs w:val="24"/>
        </w:rPr>
      </w:pPr>
    </w:p>
    <w:p w:rsidR="00627A3A" w:rsidRPr="00C83547" w:rsidRDefault="00627A3A" w:rsidP="00801095">
      <w:pPr>
        <w:pStyle w:val="ListParagraph"/>
        <w:numPr>
          <w:ilvl w:val="0"/>
          <w:numId w:val="22"/>
        </w:numPr>
        <w:spacing w:before="0" w:after="200"/>
        <w:contextualSpacing w:val="0"/>
        <w:jc w:val="both"/>
        <w:rPr>
          <w:rFonts w:ascii="Arial" w:hAnsi="Arial" w:cs="Arial"/>
          <w:szCs w:val="24"/>
        </w:rPr>
      </w:pPr>
      <w:r>
        <w:rPr>
          <w:rFonts w:ascii="Arial" w:hAnsi="Arial" w:cs="Arial"/>
          <w:szCs w:val="24"/>
        </w:rPr>
        <w:t>Transfer of funds where person changes financial institutions: a financial institution may transfer funds</w:t>
      </w:r>
      <w:r w:rsidR="007641B8">
        <w:rPr>
          <w:rFonts w:ascii="Arial" w:hAnsi="Arial" w:cs="Arial"/>
          <w:szCs w:val="24"/>
        </w:rPr>
        <w:t xml:space="preserve"> from a BasicsCard bank account held by a person subject to the enhanced income management regime</w:t>
      </w:r>
      <w:r>
        <w:rPr>
          <w:rFonts w:ascii="Arial" w:hAnsi="Arial" w:cs="Arial"/>
          <w:szCs w:val="24"/>
        </w:rPr>
        <w:t xml:space="preserve"> </w:t>
      </w:r>
      <w:r w:rsidR="007641B8">
        <w:rPr>
          <w:rFonts w:ascii="Arial" w:hAnsi="Arial" w:cs="Arial"/>
          <w:szCs w:val="24"/>
        </w:rPr>
        <w:t xml:space="preserve">(first account) </w:t>
      </w:r>
      <w:r>
        <w:rPr>
          <w:rFonts w:ascii="Arial" w:hAnsi="Arial" w:cs="Arial"/>
          <w:szCs w:val="24"/>
        </w:rPr>
        <w:t>to a BasicsCard bank account maintained by another financial institution</w:t>
      </w:r>
      <w:r w:rsidR="007641B8">
        <w:rPr>
          <w:rFonts w:ascii="Arial" w:hAnsi="Arial" w:cs="Arial"/>
          <w:szCs w:val="24"/>
        </w:rPr>
        <w:t xml:space="preserve"> (second account)</w:t>
      </w:r>
      <w:r>
        <w:rPr>
          <w:rFonts w:ascii="Arial" w:hAnsi="Arial" w:cs="Arial"/>
          <w:szCs w:val="24"/>
        </w:rPr>
        <w:t xml:space="preserve"> if the account holder gives the Secretary a notice requesting to have their bank account administered by a different financial institution</w:t>
      </w:r>
      <w:r w:rsidR="007641B8">
        <w:rPr>
          <w:rFonts w:ascii="Arial" w:hAnsi="Arial" w:cs="Arial"/>
          <w:szCs w:val="24"/>
        </w:rPr>
        <w:t xml:space="preserve">, provided the first account has funds available and the second account has been established. </w:t>
      </w:r>
    </w:p>
    <w:p w:rsidR="007641B8" w:rsidRDefault="00AA750B" w:rsidP="00801095">
      <w:pPr>
        <w:spacing w:before="0" w:after="200"/>
        <w:jc w:val="both"/>
        <w:rPr>
          <w:rFonts w:ascii="Arial" w:hAnsi="Arial" w:cs="Arial"/>
          <w:szCs w:val="24"/>
        </w:rPr>
      </w:pPr>
      <w:r w:rsidRPr="00201989">
        <w:rPr>
          <w:rFonts w:ascii="Arial" w:hAnsi="Arial" w:cs="Arial"/>
          <w:b/>
          <w:szCs w:val="24"/>
        </w:rPr>
        <w:t>Schedule 5</w:t>
      </w:r>
      <w:r>
        <w:rPr>
          <w:rFonts w:ascii="Arial" w:hAnsi="Arial" w:cs="Arial"/>
          <w:b/>
          <w:i/>
          <w:szCs w:val="24"/>
        </w:rPr>
        <w:t xml:space="preserve"> </w:t>
      </w:r>
      <w:r w:rsidRPr="00AA750B">
        <w:rPr>
          <w:rFonts w:ascii="Arial" w:hAnsi="Arial" w:cs="Arial"/>
          <w:szCs w:val="24"/>
        </w:rPr>
        <w:t>repeals the</w:t>
      </w:r>
      <w:r>
        <w:rPr>
          <w:rFonts w:ascii="Arial" w:hAnsi="Arial" w:cs="Arial"/>
          <w:b/>
          <w:szCs w:val="24"/>
        </w:rPr>
        <w:t xml:space="preserve"> </w:t>
      </w:r>
      <w:r w:rsidRPr="00AA750B">
        <w:rPr>
          <w:rFonts w:ascii="Arial" w:hAnsi="Arial" w:cs="Arial"/>
          <w:szCs w:val="24"/>
        </w:rPr>
        <w:t>Social Security (Administration) (Cashless Welfare Arrangements) (Declinable Transactions and Welfare Restricted Bank Account) Determination 2019</w:t>
      </w:r>
      <w:r w:rsidR="003320D9">
        <w:rPr>
          <w:rFonts w:ascii="Arial" w:hAnsi="Arial" w:cs="Arial"/>
          <w:szCs w:val="24"/>
        </w:rPr>
        <w:t>, which was made under section 124PP</w:t>
      </w:r>
      <w:r w:rsidR="003320D9" w:rsidRPr="003320D9">
        <w:rPr>
          <w:rFonts w:ascii="Arial" w:hAnsi="Arial" w:cs="Arial"/>
          <w:szCs w:val="24"/>
        </w:rPr>
        <w:t xml:space="preserve"> </w:t>
      </w:r>
      <w:r w:rsidR="003320D9">
        <w:rPr>
          <w:rFonts w:ascii="Arial" w:hAnsi="Arial" w:cs="Arial"/>
          <w:szCs w:val="24"/>
        </w:rPr>
        <w:t>of the Act for the purposes of the cashless welfare arrangements established by Part 3D</w:t>
      </w:r>
      <w:r w:rsidR="002912E0">
        <w:rPr>
          <w:rFonts w:ascii="Arial" w:hAnsi="Arial" w:cs="Arial"/>
          <w:szCs w:val="24"/>
        </w:rPr>
        <w:t xml:space="preserve"> of the Act</w:t>
      </w:r>
      <w:r w:rsidR="003320D9">
        <w:rPr>
          <w:rFonts w:ascii="Arial" w:hAnsi="Arial" w:cs="Arial"/>
          <w:szCs w:val="24"/>
        </w:rPr>
        <w:t>.</w:t>
      </w:r>
      <w:r>
        <w:rPr>
          <w:rFonts w:ascii="Arial" w:hAnsi="Arial" w:cs="Arial"/>
          <w:szCs w:val="24"/>
        </w:rPr>
        <w:t xml:space="preserve"> </w:t>
      </w:r>
    </w:p>
    <w:p w:rsidR="00AA750B" w:rsidRDefault="00AA750B" w:rsidP="00801095">
      <w:pPr>
        <w:spacing w:before="0"/>
        <w:jc w:val="both"/>
        <w:rPr>
          <w:rStyle w:val="BookTitle"/>
          <w:rFonts w:ascii="Arial" w:hAnsi="Arial" w:cs="Arial"/>
          <w:i w:val="0"/>
          <w:iCs w:val="0"/>
          <w:smallCaps w:val="0"/>
          <w:spacing w:val="0"/>
          <w:szCs w:val="24"/>
        </w:rPr>
      </w:pPr>
      <w:r w:rsidRPr="00AB5647">
        <w:rPr>
          <w:rStyle w:val="BookTitle"/>
          <w:rFonts w:ascii="Arial" w:hAnsi="Arial" w:cs="Arial"/>
          <w:i w:val="0"/>
          <w:iCs w:val="0"/>
          <w:smallCaps w:val="0"/>
          <w:spacing w:val="0"/>
          <w:szCs w:val="24"/>
        </w:rPr>
        <w:t xml:space="preserve">Subsection 33(3) of the </w:t>
      </w:r>
      <w:r w:rsidRPr="00F509CF">
        <w:rPr>
          <w:rStyle w:val="BookTitle"/>
          <w:rFonts w:ascii="Arial" w:hAnsi="Arial" w:cs="Arial"/>
          <w:iCs w:val="0"/>
          <w:smallCaps w:val="0"/>
          <w:spacing w:val="0"/>
          <w:szCs w:val="24"/>
        </w:rPr>
        <w:t>Acts Interpretation Act 1901</w:t>
      </w:r>
      <w:r w:rsidRPr="00AB5647">
        <w:rPr>
          <w:rStyle w:val="BookTitle"/>
          <w:rFonts w:ascii="Arial" w:hAnsi="Arial" w:cs="Arial"/>
          <w:i w:val="0"/>
          <w:iCs w:val="0"/>
          <w:smallCaps w:val="0"/>
          <w:spacing w:val="0"/>
          <w:szCs w:val="24"/>
        </w:rPr>
        <w:t xml:space="preserve"> provides that the power to make a legislative instrument 'shall be construed as including a power exercisable in the like manner and subject to the like conditions (if any) to repeal, rescind, revoke, amend, or vary any such instrument'. </w:t>
      </w:r>
    </w:p>
    <w:p w:rsidR="00AA750B" w:rsidRPr="00AA750B" w:rsidRDefault="00AA750B" w:rsidP="00801095">
      <w:pPr>
        <w:spacing w:before="0" w:after="200"/>
        <w:jc w:val="both"/>
        <w:rPr>
          <w:rFonts w:ascii="Arial" w:hAnsi="Arial" w:cs="Arial"/>
          <w:b/>
          <w:szCs w:val="24"/>
        </w:rPr>
      </w:pPr>
    </w:p>
    <w:p w:rsidR="00C37944" w:rsidRPr="00F11A0D" w:rsidRDefault="00C83547" w:rsidP="00801095">
      <w:pPr>
        <w:spacing w:before="0" w:after="200"/>
        <w:rPr>
          <w:rFonts w:ascii="Arial" w:eastAsiaTheme="majorEastAsia" w:hAnsi="Arial" w:cs="Arial"/>
          <w:bCs/>
          <w:szCs w:val="24"/>
        </w:rPr>
      </w:pPr>
      <w:r w:rsidRPr="00C83547">
        <w:rPr>
          <w:rFonts w:ascii="Arial" w:hAnsi="Arial" w:cs="Arial"/>
          <w:szCs w:val="24"/>
        </w:rPr>
        <w:t xml:space="preserve"> </w:t>
      </w:r>
      <w:r w:rsidR="00C37944" w:rsidRPr="00A11C3C">
        <w:rPr>
          <w:rFonts w:ascii="Arial" w:hAnsi="Arial" w:cs="Arial"/>
          <w:szCs w:val="24"/>
        </w:rPr>
        <w:br w:type="page"/>
      </w:r>
    </w:p>
    <w:p w:rsidR="006546B7" w:rsidRPr="00BC76EB" w:rsidRDefault="006546B7" w:rsidP="00B97B22">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B97B22">
      <w:pPr>
        <w:spacing w:before="120" w:after="120"/>
        <w:jc w:val="center"/>
        <w:rPr>
          <w:rFonts w:ascii="Arial" w:hAnsi="Arial" w:cs="Arial"/>
          <w:szCs w:val="24"/>
        </w:rPr>
      </w:pPr>
      <w:r w:rsidRPr="00BC76EB">
        <w:rPr>
          <w:rFonts w:ascii="Arial" w:hAnsi="Arial" w:cs="Arial"/>
          <w:i/>
          <w:szCs w:val="24"/>
        </w:rPr>
        <w:t>Prepared in accordance with Part 3 of the Human Rights (Parliamentary</w:t>
      </w:r>
      <w:r w:rsidR="00B97B22">
        <w:rPr>
          <w:rFonts w:ascii="Arial" w:hAnsi="Arial" w:cs="Arial"/>
          <w:i/>
          <w:szCs w:val="24"/>
        </w:rPr>
        <w:t> </w:t>
      </w:r>
      <w:r w:rsidRPr="00BC76EB">
        <w:rPr>
          <w:rFonts w:ascii="Arial" w:hAnsi="Arial" w:cs="Arial"/>
          <w:i/>
          <w:szCs w:val="24"/>
        </w:rPr>
        <w:t>Scrutiny)</w:t>
      </w:r>
      <w:r w:rsidR="00B97B22">
        <w:rPr>
          <w:rFonts w:ascii="Arial" w:hAnsi="Arial" w:cs="Arial"/>
          <w:i/>
          <w:szCs w:val="24"/>
        </w:rPr>
        <w:t> </w:t>
      </w:r>
      <w:r w:rsidRPr="00BC76EB">
        <w:rPr>
          <w:rFonts w:ascii="Arial" w:hAnsi="Arial" w:cs="Arial"/>
          <w:i/>
          <w:szCs w:val="24"/>
        </w:rPr>
        <w:t>Act 2011</w:t>
      </w:r>
    </w:p>
    <w:p w:rsidR="006546B7" w:rsidRPr="00AA750B" w:rsidRDefault="006546B7" w:rsidP="00801095">
      <w:pPr>
        <w:spacing w:before="120" w:after="120"/>
        <w:jc w:val="center"/>
        <w:rPr>
          <w:rFonts w:ascii="Arial" w:hAnsi="Arial" w:cs="Arial"/>
          <w:b/>
          <w:szCs w:val="24"/>
        </w:rPr>
      </w:pPr>
    </w:p>
    <w:p w:rsidR="00AA750B" w:rsidRPr="00AA750B" w:rsidRDefault="00AA750B" w:rsidP="00801095">
      <w:pPr>
        <w:spacing w:before="0"/>
        <w:ind w:right="91"/>
        <w:jc w:val="center"/>
        <w:rPr>
          <w:rFonts w:ascii="Arial" w:hAnsi="Arial" w:cs="Arial"/>
          <w:b/>
          <w:szCs w:val="24"/>
        </w:rPr>
      </w:pPr>
      <w:r w:rsidRPr="00AA750B">
        <w:rPr>
          <w:rFonts w:ascii="Arial" w:hAnsi="Arial" w:cs="Arial"/>
          <w:b/>
          <w:szCs w:val="24"/>
        </w:rPr>
        <w:t>Social Security (Administration) (Declinable Transactions and BasicsCard Bank Account) Determination 202</w:t>
      </w:r>
      <w:r w:rsidR="007772AA">
        <w:rPr>
          <w:rFonts w:ascii="Arial" w:hAnsi="Arial" w:cs="Arial"/>
          <w:b/>
          <w:szCs w:val="24"/>
        </w:rPr>
        <w:t>3</w:t>
      </w:r>
    </w:p>
    <w:p w:rsidR="006546B7" w:rsidRPr="00BC76EB" w:rsidRDefault="006546B7" w:rsidP="00801095">
      <w:pPr>
        <w:spacing w:before="120" w:after="120"/>
        <w:jc w:val="center"/>
        <w:rPr>
          <w:rFonts w:ascii="Arial" w:hAnsi="Arial" w:cs="Arial"/>
          <w:szCs w:val="24"/>
        </w:rPr>
      </w:pPr>
    </w:p>
    <w:p w:rsidR="006546B7" w:rsidRPr="00BC76EB" w:rsidRDefault="00AA750B" w:rsidP="001F40A7">
      <w:pPr>
        <w:spacing w:before="120" w:after="120"/>
        <w:rPr>
          <w:rFonts w:ascii="Arial" w:hAnsi="Arial" w:cs="Arial"/>
          <w:szCs w:val="24"/>
        </w:rPr>
      </w:pPr>
      <w:r>
        <w:rPr>
          <w:rFonts w:ascii="Arial" w:hAnsi="Arial" w:cs="Arial"/>
          <w:szCs w:val="24"/>
        </w:rPr>
        <w:t>The Determination is compatible</w:t>
      </w:r>
      <w:r w:rsidR="006546B7" w:rsidRPr="00BC76EB">
        <w:rPr>
          <w:rFonts w:ascii="Arial" w:hAnsi="Arial" w:cs="Arial"/>
          <w:szCs w:val="24"/>
        </w:rPr>
        <w:t xml:space="preserve"> with the human rights and freedoms recognised or</w:t>
      </w:r>
      <w:r w:rsidR="00B97B22">
        <w:rPr>
          <w:rFonts w:ascii="Arial" w:hAnsi="Arial" w:cs="Arial"/>
          <w:szCs w:val="24"/>
        </w:rPr>
        <w:t> </w:t>
      </w:r>
      <w:r w:rsidR="006546B7" w:rsidRPr="00BC76EB">
        <w:rPr>
          <w:rFonts w:ascii="Arial" w:hAnsi="Arial" w:cs="Arial"/>
          <w:szCs w:val="24"/>
        </w:rPr>
        <w:t>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801095">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E8312D" w:rsidRDefault="00E8312D"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w:t>
      </w:r>
      <w:r w:rsidR="00A52354" w:rsidRPr="007C1B92">
        <w:rPr>
          <w:rStyle w:val="BookTitle"/>
          <w:rFonts w:ascii="Arial" w:hAnsi="Arial" w:cs="Arial"/>
          <w:i w:val="0"/>
          <w:iCs w:val="0"/>
          <w:smallCaps w:val="0"/>
          <w:spacing w:val="0"/>
          <w:szCs w:val="24"/>
        </w:rPr>
        <w:t xml:space="preserve">is </w:t>
      </w:r>
      <w:r w:rsidR="00A52354">
        <w:rPr>
          <w:rStyle w:val="BookTitle"/>
          <w:rFonts w:ascii="Arial" w:hAnsi="Arial" w:cs="Arial"/>
          <w:i w:val="0"/>
          <w:iCs w:val="0"/>
          <w:smallCaps w:val="0"/>
          <w:spacing w:val="0"/>
          <w:szCs w:val="24"/>
        </w:rPr>
        <w:t>made</w:t>
      </w:r>
      <w:r w:rsidR="009835AB">
        <w:rPr>
          <w:rStyle w:val="BookTitle"/>
          <w:rFonts w:ascii="Arial" w:hAnsi="Arial" w:cs="Arial"/>
          <w:i w:val="0"/>
          <w:iCs w:val="0"/>
          <w:smallCaps w:val="0"/>
          <w:spacing w:val="0"/>
          <w:szCs w:val="24"/>
        </w:rPr>
        <w:t xml:space="preserve"> by the Secretary of the Department of Social Services</w:t>
      </w:r>
      <w:r w:rsidR="00A52354">
        <w:rPr>
          <w:rStyle w:val="BookTitle"/>
          <w:rFonts w:ascii="Arial" w:hAnsi="Arial" w:cs="Arial"/>
          <w:i w:val="0"/>
          <w:iCs w:val="0"/>
          <w:smallCaps w:val="0"/>
          <w:spacing w:val="0"/>
          <w:szCs w:val="24"/>
        </w:rPr>
        <w:t xml:space="preserve"> for the purposes of Part 3AA</w:t>
      </w:r>
      <w:r w:rsidR="00A52354" w:rsidRPr="007C1B92">
        <w:rPr>
          <w:rStyle w:val="BookTitle"/>
          <w:rFonts w:ascii="Arial" w:hAnsi="Arial" w:cs="Arial"/>
          <w:i w:val="0"/>
          <w:iCs w:val="0"/>
          <w:smallCaps w:val="0"/>
          <w:spacing w:val="0"/>
          <w:szCs w:val="24"/>
        </w:rPr>
        <w:t xml:space="preserve"> of the </w:t>
      </w:r>
      <w:r w:rsidR="00A52354" w:rsidRPr="007C1B92">
        <w:rPr>
          <w:rStyle w:val="BookTitle"/>
          <w:rFonts w:ascii="Arial" w:hAnsi="Arial" w:cs="Arial"/>
          <w:iCs w:val="0"/>
          <w:smallCaps w:val="0"/>
          <w:spacing w:val="0"/>
          <w:szCs w:val="24"/>
        </w:rPr>
        <w:t>Social Security (Administration) Act 1999</w:t>
      </w:r>
      <w:r w:rsidR="00A52354" w:rsidRPr="007C1B92">
        <w:rPr>
          <w:rStyle w:val="BookTitle"/>
          <w:rFonts w:ascii="Arial" w:hAnsi="Arial" w:cs="Arial"/>
          <w:i w:val="0"/>
          <w:iCs w:val="0"/>
          <w:smallCaps w:val="0"/>
          <w:spacing w:val="0"/>
          <w:szCs w:val="24"/>
        </w:rPr>
        <w:t xml:space="preserve"> (the Act), which relates to </w:t>
      </w:r>
      <w:r w:rsidR="00A52354">
        <w:rPr>
          <w:rStyle w:val="BookTitle"/>
          <w:rFonts w:ascii="Arial" w:hAnsi="Arial" w:cs="Arial"/>
          <w:i w:val="0"/>
          <w:iCs w:val="0"/>
          <w:smallCaps w:val="0"/>
          <w:spacing w:val="0"/>
          <w:szCs w:val="24"/>
        </w:rPr>
        <w:t>the enhanced income management regime.</w:t>
      </w:r>
      <w:r w:rsidR="00A52354" w:rsidRPr="007C1B92">
        <w:rPr>
          <w:rStyle w:val="BookTitle"/>
          <w:rFonts w:ascii="Arial" w:hAnsi="Arial" w:cs="Arial"/>
          <w:i w:val="0"/>
          <w:iCs w:val="0"/>
          <w:smallCaps w:val="0"/>
          <w:spacing w:val="0"/>
          <w:szCs w:val="24"/>
        </w:rPr>
        <w:t xml:space="preserve">  </w:t>
      </w:r>
      <w:r w:rsidR="009835AB" w:rsidRPr="007C1B92">
        <w:rPr>
          <w:rStyle w:val="BookTitle"/>
          <w:rFonts w:ascii="Arial" w:hAnsi="Arial" w:cs="Arial"/>
          <w:i w:val="0"/>
          <w:iCs w:val="0"/>
          <w:smallCaps w:val="0"/>
          <w:spacing w:val="0"/>
          <w:szCs w:val="24"/>
        </w:rPr>
        <w:t xml:space="preserve">The Determination is made under </w:t>
      </w:r>
      <w:r w:rsidR="009835AB">
        <w:rPr>
          <w:rStyle w:val="BookTitle"/>
          <w:rFonts w:ascii="Arial" w:hAnsi="Arial" w:cs="Arial"/>
          <w:i w:val="0"/>
          <w:iCs w:val="0"/>
          <w:smallCaps w:val="0"/>
          <w:spacing w:val="0"/>
          <w:szCs w:val="24"/>
        </w:rPr>
        <w:t>sub</w:t>
      </w:r>
      <w:r w:rsidR="009835AB" w:rsidRPr="007C1B92">
        <w:rPr>
          <w:rStyle w:val="BookTitle"/>
          <w:rFonts w:ascii="Arial" w:hAnsi="Arial" w:cs="Arial"/>
          <w:i w:val="0"/>
          <w:iCs w:val="0"/>
          <w:smallCaps w:val="0"/>
          <w:spacing w:val="0"/>
          <w:szCs w:val="24"/>
        </w:rPr>
        <w:t xml:space="preserve">sections </w:t>
      </w:r>
      <w:r w:rsidR="009835AB">
        <w:rPr>
          <w:rStyle w:val="BookTitle"/>
          <w:rFonts w:ascii="Arial" w:hAnsi="Arial" w:cs="Arial"/>
          <w:i w:val="0"/>
          <w:iCs w:val="0"/>
          <w:smallCaps w:val="0"/>
          <w:spacing w:val="0"/>
          <w:szCs w:val="24"/>
        </w:rPr>
        <w:t xml:space="preserve">123SU(1), 123SU(2) and 123SV(2) </w:t>
      </w:r>
      <w:r w:rsidR="009835AB" w:rsidRPr="007C1B92">
        <w:rPr>
          <w:rStyle w:val="BookTitle"/>
          <w:rFonts w:ascii="Arial" w:hAnsi="Arial" w:cs="Arial"/>
          <w:i w:val="0"/>
          <w:iCs w:val="0"/>
          <w:smallCaps w:val="0"/>
          <w:spacing w:val="0"/>
          <w:szCs w:val="24"/>
        </w:rPr>
        <w:t>of the Act</w:t>
      </w:r>
      <w:r>
        <w:rPr>
          <w:rStyle w:val="BookTitle"/>
          <w:rFonts w:ascii="Arial" w:hAnsi="Arial" w:cs="Arial"/>
          <w:i w:val="0"/>
          <w:iCs w:val="0"/>
          <w:smallCaps w:val="0"/>
          <w:spacing w:val="0"/>
          <w:szCs w:val="24"/>
        </w:rPr>
        <w:t xml:space="preserve">. </w:t>
      </w:r>
    </w:p>
    <w:p w:rsidR="001F361B" w:rsidRPr="00E8312D" w:rsidRDefault="00E8312D" w:rsidP="00801095">
      <w:pPr>
        <w:spacing w:before="120" w:after="120"/>
        <w:jc w:val="both"/>
        <w:rPr>
          <w:rFonts w:ascii="Arial" w:hAnsi="Arial" w:cs="Arial"/>
          <w:szCs w:val="24"/>
        </w:rPr>
      </w:pPr>
      <w:r>
        <w:rPr>
          <w:rStyle w:val="BookTitle"/>
          <w:rFonts w:ascii="Arial" w:hAnsi="Arial" w:cs="Arial"/>
          <w:i w:val="0"/>
          <w:iCs w:val="0"/>
          <w:smallCaps w:val="0"/>
          <w:spacing w:val="0"/>
          <w:szCs w:val="24"/>
        </w:rPr>
        <w:t>Division 3 of Part 3AA sets out limitations on the use of the qualified portion of a person’s eligible welfare payment, namely</w:t>
      </w:r>
      <w:r w:rsidR="003320D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that this portion of the payment cannot be used to purchase</w:t>
      </w:r>
      <w:r w:rsidRPr="00C83547">
        <w:rPr>
          <w:rFonts w:ascii="Arial" w:hAnsi="Arial" w:cs="Arial"/>
          <w:szCs w:val="24"/>
        </w:rPr>
        <w:t xml:space="preserve"> alcoholic beverages,</w:t>
      </w:r>
      <w:r>
        <w:rPr>
          <w:rFonts w:ascii="Arial" w:hAnsi="Arial" w:cs="Arial"/>
          <w:szCs w:val="24"/>
        </w:rPr>
        <w:t xml:space="preserve"> </w:t>
      </w:r>
      <w:r w:rsidRPr="00C83547">
        <w:rPr>
          <w:rFonts w:ascii="Arial" w:hAnsi="Arial" w:cs="Arial"/>
          <w:szCs w:val="24"/>
        </w:rPr>
        <w:t xml:space="preserve">gambling </w:t>
      </w:r>
      <w:r>
        <w:rPr>
          <w:rFonts w:ascii="Arial" w:hAnsi="Arial" w:cs="Arial"/>
          <w:szCs w:val="24"/>
        </w:rPr>
        <w:t>service, tobacco products, pornographic material,</w:t>
      </w:r>
      <w:r w:rsidRPr="00C83547">
        <w:rPr>
          <w:rFonts w:ascii="Arial" w:hAnsi="Arial" w:cs="Arial"/>
          <w:szCs w:val="24"/>
        </w:rPr>
        <w:t xml:space="preserve"> or cash-like products that could be used to </w:t>
      </w:r>
      <w:r w:rsidR="00727DF7">
        <w:rPr>
          <w:rFonts w:ascii="Arial" w:hAnsi="Arial" w:cs="Arial"/>
          <w:szCs w:val="24"/>
        </w:rPr>
        <w:t>th</w:t>
      </w:r>
      <w:r w:rsidR="003320D9">
        <w:rPr>
          <w:rFonts w:ascii="Arial" w:hAnsi="Arial" w:cs="Arial"/>
          <w:szCs w:val="24"/>
        </w:rPr>
        <w:t>o</w:t>
      </w:r>
      <w:r w:rsidR="00727DF7">
        <w:rPr>
          <w:rFonts w:ascii="Arial" w:hAnsi="Arial" w:cs="Arial"/>
          <w:szCs w:val="24"/>
        </w:rPr>
        <w:t>se goods or services</w:t>
      </w:r>
      <w:r>
        <w:rPr>
          <w:rFonts w:ascii="Arial" w:hAnsi="Arial" w:cs="Arial"/>
          <w:szCs w:val="24"/>
        </w:rPr>
        <w:t xml:space="preserve">. The Determination supports arrangements for the enhanced income management </w:t>
      </w:r>
      <w:r w:rsidR="005545DC">
        <w:rPr>
          <w:rFonts w:ascii="Arial" w:hAnsi="Arial" w:cs="Arial"/>
          <w:szCs w:val="24"/>
        </w:rPr>
        <w:t xml:space="preserve">regime </w:t>
      </w:r>
      <w:r>
        <w:rPr>
          <w:rFonts w:ascii="Arial" w:hAnsi="Arial" w:cs="Arial"/>
          <w:szCs w:val="24"/>
        </w:rPr>
        <w:t>by providing</w:t>
      </w:r>
      <w:r w:rsidR="009835AB" w:rsidRPr="007C1B92">
        <w:rPr>
          <w:rStyle w:val="BookTitle"/>
          <w:rFonts w:ascii="Arial" w:hAnsi="Arial" w:cs="Arial"/>
          <w:i w:val="0"/>
          <w:iCs w:val="0"/>
          <w:smallCaps w:val="0"/>
          <w:spacing w:val="0"/>
          <w:szCs w:val="24"/>
        </w:rPr>
        <w:t xml:space="preserve"> </w:t>
      </w:r>
      <w:r w:rsidR="00976809">
        <w:rPr>
          <w:rStyle w:val="BookTitle"/>
          <w:rFonts w:ascii="Arial" w:hAnsi="Arial" w:cs="Arial"/>
          <w:i w:val="0"/>
          <w:iCs w:val="0"/>
          <w:smallCaps w:val="0"/>
          <w:spacing w:val="0"/>
          <w:szCs w:val="24"/>
        </w:rPr>
        <w:t>clarification and detail about how these limitations will be implemented.</w:t>
      </w:r>
      <w:r w:rsidR="001F361B">
        <w:rPr>
          <w:rStyle w:val="BookTitle"/>
          <w:rFonts w:ascii="Arial" w:hAnsi="Arial" w:cs="Arial"/>
          <w:i w:val="0"/>
          <w:iCs w:val="0"/>
          <w:smallCaps w:val="0"/>
          <w:spacing w:val="0"/>
          <w:szCs w:val="24"/>
        </w:rPr>
        <w:t xml:space="preserve"> </w:t>
      </w:r>
      <w:r w:rsidR="001F361B">
        <w:rPr>
          <w:rFonts w:ascii="Arial" w:hAnsi="Arial" w:cs="Arial"/>
          <w:szCs w:val="24"/>
        </w:rPr>
        <w:t>This Determination is also intended to ensure the newly established enhanced income management regime can operate, providing eligible individuals with superior technology to the existing income management regime in Part</w:t>
      </w:r>
      <w:r w:rsidR="00664882">
        <w:rPr>
          <w:rFonts w:ascii="Arial" w:hAnsi="Arial" w:cs="Arial"/>
          <w:szCs w:val="24"/>
        </w:rPr>
        <w:t> </w:t>
      </w:r>
      <w:r w:rsidR="001F361B">
        <w:rPr>
          <w:rFonts w:ascii="Arial" w:hAnsi="Arial" w:cs="Arial"/>
          <w:szCs w:val="24"/>
        </w:rPr>
        <w:t>3B of the Act.</w:t>
      </w:r>
    </w:p>
    <w:p w:rsidR="009835AB" w:rsidRDefault="00976809" w:rsidP="00801095">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123SU(1) sets out that the Secretary may determine, by legislative instrument, </w:t>
      </w:r>
      <w:r w:rsidR="009835AB" w:rsidRPr="00272031">
        <w:rPr>
          <w:rStyle w:val="BookTitle"/>
          <w:rFonts w:ascii="Arial" w:hAnsi="Arial" w:cs="Arial"/>
          <w:i w:val="0"/>
          <w:iCs w:val="0"/>
          <w:smallCaps w:val="0"/>
          <w:spacing w:val="0"/>
          <w:szCs w:val="24"/>
        </w:rPr>
        <w:t>a kind of bank account</w:t>
      </w:r>
      <w:r w:rsidR="002940EC">
        <w:rPr>
          <w:rStyle w:val="BookTitle"/>
          <w:rFonts w:ascii="Arial" w:hAnsi="Arial" w:cs="Arial"/>
          <w:i w:val="0"/>
          <w:iCs w:val="0"/>
          <w:smallCaps w:val="0"/>
          <w:spacing w:val="0"/>
          <w:szCs w:val="24"/>
        </w:rPr>
        <w:t xml:space="preserve">, </w:t>
      </w:r>
      <w:r w:rsidR="009835AB" w:rsidRPr="00272031">
        <w:rPr>
          <w:rStyle w:val="BookTitle"/>
          <w:rFonts w:ascii="Arial" w:hAnsi="Arial" w:cs="Arial"/>
          <w:i w:val="0"/>
          <w:iCs w:val="0"/>
          <w:smallCaps w:val="0"/>
          <w:spacing w:val="0"/>
          <w:szCs w:val="24"/>
        </w:rPr>
        <w:t>for the</w:t>
      </w:r>
      <w:r w:rsidR="009835AB">
        <w:rPr>
          <w:rStyle w:val="BookTitle"/>
          <w:rFonts w:ascii="Arial" w:hAnsi="Arial" w:cs="Arial"/>
          <w:i w:val="0"/>
          <w:iCs w:val="0"/>
          <w:smallCaps w:val="0"/>
          <w:spacing w:val="0"/>
          <w:szCs w:val="24"/>
        </w:rPr>
        <w:t xml:space="preserve"> receipt of payments under </w:t>
      </w:r>
      <w:r w:rsidR="009835AB" w:rsidRPr="00272031">
        <w:rPr>
          <w:rStyle w:val="BookTitle"/>
          <w:rFonts w:ascii="Arial" w:hAnsi="Arial" w:cs="Arial"/>
          <w:i w:val="0"/>
          <w:iCs w:val="0"/>
          <w:smallCaps w:val="0"/>
          <w:spacing w:val="0"/>
          <w:szCs w:val="24"/>
        </w:rPr>
        <w:t>Part</w:t>
      </w:r>
      <w:r w:rsidR="009835AB">
        <w:rPr>
          <w:rStyle w:val="BookTitle"/>
          <w:rFonts w:ascii="Arial" w:hAnsi="Arial" w:cs="Arial"/>
          <w:i w:val="0"/>
          <w:iCs w:val="0"/>
          <w:smallCaps w:val="0"/>
          <w:spacing w:val="0"/>
          <w:szCs w:val="24"/>
        </w:rPr>
        <w:t xml:space="preserve"> 3AA of the Act, </w:t>
      </w:r>
      <w:r w:rsidR="009835AB" w:rsidRPr="00272031">
        <w:rPr>
          <w:rStyle w:val="BookTitle"/>
          <w:rFonts w:ascii="Arial" w:hAnsi="Arial" w:cs="Arial"/>
          <w:i w:val="0"/>
          <w:iCs w:val="0"/>
          <w:smallCaps w:val="0"/>
          <w:spacing w:val="0"/>
          <w:szCs w:val="24"/>
        </w:rPr>
        <w:t xml:space="preserve">to be maintained by a person who is subject to the </w:t>
      </w:r>
      <w:r w:rsidR="009835AB">
        <w:rPr>
          <w:rStyle w:val="BookTitle"/>
          <w:rFonts w:ascii="Arial" w:hAnsi="Arial" w:cs="Arial"/>
          <w:i w:val="0"/>
          <w:iCs w:val="0"/>
          <w:smallCaps w:val="0"/>
          <w:spacing w:val="0"/>
          <w:szCs w:val="24"/>
        </w:rPr>
        <w:t>enhanced income management</w:t>
      </w:r>
      <w:r w:rsidR="009835AB" w:rsidRPr="00272031">
        <w:rPr>
          <w:rStyle w:val="BookTitle"/>
          <w:rFonts w:ascii="Arial" w:hAnsi="Arial" w:cs="Arial"/>
          <w:i w:val="0"/>
          <w:iCs w:val="0"/>
          <w:smallCaps w:val="0"/>
          <w:spacing w:val="0"/>
          <w:szCs w:val="24"/>
        </w:rPr>
        <w:t xml:space="preserve"> regime</w:t>
      </w:r>
      <w:r>
        <w:rPr>
          <w:rStyle w:val="BookTitle"/>
          <w:rFonts w:ascii="Arial" w:hAnsi="Arial" w:cs="Arial"/>
          <w:i w:val="0"/>
          <w:iCs w:val="0"/>
          <w:smallCaps w:val="0"/>
          <w:spacing w:val="0"/>
          <w:szCs w:val="24"/>
        </w:rPr>
        <w:t xml:space="preserve">. The Determination provides that the kind of account is an account held with </w:t>
      </w:r>
      <w:r w:rsidR="00801095">
        <w:rPr>
          <w:rStyle w:val="BookTitle"/>
          <w:rFonts w:ascii="Arial" w:hAnsi="Arial" w:cs="Arial"/>
          <w:i w:val="0"/>
          <w:iCs w:val="0"/>
          <w:smallCaps w:val="0"/>
          <w:spacing w:val="0"/>
          <w:szCs w:val="24"/>
        </w:rPr>
        <w:t>Indue</w:t>
      </w:r>
      <w:r w:rsidRPr="00976809">
        <w:rPr>
          <w:rStyle w:val="BookTitle"/>
          <w:rFonts w:ascii="Arial" w:hAnsi="Arial" w:cs="Arial"/>
          <w:i w:val="0"/>
          <w:iCs w:val="0"/>
          <w:smallCaps w:val="0"/>
          <w:spacing w:val="0"/>
          <w:szCs w:val="24"/>
        </w:rPr>
        <w:t xml:space="preserve"> o</w:t>
      </w:r>
      <w:r>
        <w:rPr>
          <w:rStyle w:val="BookTitle"/>
          <w:rFonts w:ascii="Arial" w:hAnsi="Arial" w:cs="Arial"/>
          <w:i w:val="0"/>
          <w:iCs w:val="0"/>
          <w:smallCaps w:val="0"/>
          <w:spacing w:val="0"/>
          <w:szCs w:val="24"/>
        </w:rPr>
        <w:t>r Traditional Credit Union</w:t>
      </w:r>
      <w:r w:rsidRPr="00976809">
        <w:rPr>
          <w:rStyle w:val="BookTitle"/>
          <w:rFonts w:ascii="Arial" w:hAnsi="Arial" w:cs="Arial"/>
          <w:i w:val="0"/>
          <w:iCs w:val="0"/>
          <w:smallCaps w:val="0"/>
          <w:spacing w:val="0"/>
          <w:szCs w:val="24"/>
        </w:rPr>
        <w:t>.</w:t>
      </w:r>
    </w:p>
    <w:p w:rsidR="00976809" w:rsidRDefault="00976809" w:rsidP="0080109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accordance with subsection 123SU(2), the legislative instrument made under subsection 123SU(1) may also prescribe </w:t>
      </w:r>
      <w:r w:rsidR="009835AB" w:rsidRPr="00976809">
        <w:rPr>
          <w:rStyle w:val="BookTitle"/>
          <w:rFonts w:ascii="Arial" w:hAnsi="Arial" w:cs="Arial"/>
          <w:i w:val="0"/>
          <w:iCs w:val="0"/>
          <w:smallCaps w:val="0"/>
          <w:spacing w:val="0"/>
          <w:szCs w:val="24"/>
        </w:rPr>
        <w:t>terms and conditions relating to the establishment, ongoing maintenance and closure of the bank account so determined</w:t>
      </w:r>
      <w:r>
        <w:rPr>
          <w:rStyle w:val="BookTitle"/>
          <w:rFonts w:ascii="Arial" w:hAnsi="Arial" w:cs="Arial"/>
          <w:i w:val="0"/>
          <w:iCs w:val="0"/>
          <w:smallCaps w:val="0"/>
          <w:spacing w:val="0"/>
          <w:szCs w:val="24"/>
        </w:rPr>
        <w:t xml:space="preserve">. This Determination prescribes </w:t>
      </w:r>
      <w:r w:rsidRPr="00976809">
        <w:rPr>
          <w:rStyle w:val="BookTitle"/>
          <w:rFonts w:ascii="Arial" w:hAnsi="Arial" w:cs="Arial"/>
          <w:i w:val="0"/>
          <w:iCs w:val="0"/>
          <w:smallCaps w:val="0"/>
          <w:spacing w:val="0"/>
          <w:szCs w:val="24"/>
        </w:rPr>
        <w:t>terms and conditions relatin</w:t>
      </w:r>
      <w:r>
        <w:rPr>
          <w:rStyle w:val="BookTitle"/>
          <w:rFonts w:ascii="Arial" w:hAnsi="Arial" w:cs="Arial"/>
          <w:i w:val="0"/>
          <w:iCs w:val="0"/>
          <w:smallCaps w:val="0"/>
          <w:spacing w:val="0"/>
          <w:szCs w:val="24"/>
        </w:rPr>
        <w:t xml:space="preserve">g to a </w:t>
      </w:r>
      <w:r w:rsidR="002940EC">
        <w:rPr>
          <w:rFonts w:ascii="Arial" w:hAnsi="Arial" w:cs="Arial"/>
          <w:szCs w:val="24"/>
        </w:rPr>
        <w:t xml:space="preserve">SmartCard and associated bank </w:t>
      </w:r>
      <w:r>
        <w:rPr>
          <w:rStyle w:val="BookTitle"/>
          <w:rFonts w:ascii="Arial" w:hAnsi="Arial" w:cs="Arial"/>
          <w:i w:val="0"/>
          <w:iCs w:val="0"/>
          <w:smallCaps w:val="0"/>
          <w:spacing w:val="0"/>
          <w:szCs w:val="24"/>
        </w:rPr>
        <w:t xml:space="preserve">account. </w:t>
      </w:r>
    </w:p>
    <w:p w:rsidR="009835AB" w:rsidRPr="00272031" w:rsidRDefault="00976809" w:rsidP="0080109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123SV(1) provides that the Secretary may, by legislative instrument, declare </w:t>
      </w:r>
      <w:r w:rsidR="009835AB">
        <w:rPr>
          <w:rStyle w:val="BookTitle"/>
          <w:rFonts w:ascii="Arial" w:hAnsi="Arial" w:cs="Arial"/>
          <w:i w:val="0"/>
          <w:iCs w:val="0"/>
          <w:smallCaps w:val="0"/>
          <w:spacing w:val="0"/>
          <w:szCs w:val="24"/>
        </w:rPr>
        <w:t xml:space="preserve">the kinds </w:t>
      </w:r>
      <w:r w:rsidR="009835AB" w:rsidRPr="00440E1E">
        <w:rPr>
          <w:rStyle w:val="BookTitle"/>
          <w:rFonts w:ascii="Arial" w:hAnsi="Arial" w:cs="Arial"/>
          <w:i w:val="0"/>
          <w:iCs w:val="0"/>
          <w:smallCaps w:val="0"/>
          <w:spacing w:val="0"/>
          <w:szCs w:val="24"/>
        </w:rPr>
        <w:t>of business</w:t>
      </w:r>
      <w:r w:rsidR="009835AB">
        <w:rPr>
          <w:rStyle w:val="BookTitle"/>
          <w:rFonts w:ascii="Arial" w:hAnsi="Arial" w:cs="Arial"/>
          <w:i w:val="0"/>
          <w:iCs w:val="0"/>
          <w:smallCaps w:val="0"/>
          <w:spacing w:val="0"/>
          <w:szCs w:val="24"/>
        </w:rPr>
        <w:t xml:space="preserve">es </w:t>
      </w:r>
      <w:r w:rsidR="009835AB" w:rsidRPr="00440E1E">
        <w:rPr>
          <w:rStyle w:val="BookTitle"/>
          <w:rFonts w:ascii="Arial" w:hAnsi="Arial" w:cs="Arial"/>
          <w:i w:val="0"/>
          <w:iCs w:val="0"/>
          <w:smallCaps w:val="0"/>
          <w:spacing w:val="0"/>
          <w:szCs w:val="24"/>
        </w:rPr>
        <w:t xml:space="preserve">in relation to which transactions involving </w:t>
      </w:r>
      <w:r w:rsidR="002940EC">
        <w:rPr>
          <w:rStyle w:val="BookTitle"/>
          <w:rFonts w:ascii="Arial" w:hAnsi="Arial" w:cs="Arial"/>
          <w:i w:val="0"/>
          <w:iCs w:val="0"/>
          <w:smallCaps w:val="0"/>
          <w:spacing w:val="0"/>
          <w:szCs w:val="24"/>
        </w:rPr>
        <w:t>qualified funds</w:t>
      </w:r>
      <w:r w:rsidR="009835AB" w:rsidRPr="00440E1E">
        <w:rPr>
          <w:rStyle w:val="BookTitle"/>
          <w:rFonts w:ascii="Arial" w:hAnsi="Arial" w:cs="Arial"/>
          <w:i w:val="0"/>
          <w:iCs w:val="0"/>
          <w:smallCaps w:val="0"/>
          <w:spacing w:val="0"/>
          <w:szCs w:val="24"/>
        </w:rPr>
        <w:t xml:space="preserve"> may be declined by a financial institution</w:t>
      </w:r>
      <w:r>
        <w:rPr>
          <w:rStyle w:val="BookTitle"/>
          <w:rFonts w:ascii="Arial" w:hAnsi="Arial" w:cs="Arial"/>
          <w:i w:val="0"/>
          <w:iCs w:val="0"/>
          <w:smallCaps w:val="0"/>
          <w:spacing w:val="0"/>
          <w:szCs w:val="24"/>
        </w:rPr>
        <w:t xml:space="preserve">. This Determination </w:t>
      </w:r>
      <w:r>
        <w:rPr>
          <w:rFonts w:ascii="Arial" w:eastAsiaTheme="minorHAnsi" w:hAnsi="Arial" w:cs="Arial"/>
          <w:szCs w:val="24"/>
          <w:lang w:eastAsia="en-US"/>
        </w:rPr>
        <w:t xml:space="preserve">declares the kinds of business in relation to which transactions may be declined by a financial institution by description, merchant category codes, and </w:t>
      </w:r>
      <w:r w:rsidRPr="00C83547">
        <w:rPr>
          <w:rFonts w:ascii="Arial" w:hAnsi="Arial" w:cs="Arial"/>
          <w:szCs w:val="24"/>
        </w:rPr>
        <w:t>Australian and New Zealand Standard Industrial Classification (ANZSIC) codes</w:t>
      </w:r>
      <w:r>
        <w:rPr>
          <w:rFonts w:ascii="Arial" w:eastAsiaTheme="minorHAnsi" w:hAnsi="Arial" w:cs="Arial"/>
          <w:szCs w:val="24"/>
          <w:lang w:eastAsia="en-US"/>
        </w:rPr>
        <w:t>.</w:t>
      </w:r>
    </w:p>
    <w:p w:rsidR="00A52354" w:rsidRDefault="00A52354" w:rsidP="00801095">
      <w:pPr>
        <w:spacing w:before="0"/>
        <w:jc w:val="both"/>
        <w:rPr>
          <w:rStyle w:val="BookTitle"/>
          <w:rFonts w:ascii="Arial" w:hAnsi="Arial" w:cs="Arial"/>
          <w:i w:val="0"/>
          <w:iCs w:val="0"/>
          <w:smallCaps w:val="0"/>
          <w:spacing w:val="0"/>
          <w:szCs w:val="24"/>
        </w:rPr>
      </w:pPr>
    </w:p>
    <w:p w:rsidR="00696063" w:rsidRDefault="00696063" w:rsidP="00801095">
      <w:pPr>
        <w:spacing w:after="120"/>
        <w:jc w:val="both"/>
        <w:rPr>
          <w:rFonts w:ascii="Arial" w:hAnsi="Arial" w:cs="Arial"/>
          <w:b/>
          <w:szCs w:val="24"/>
        </w:rPr>
      </w:pPr>
    </w:p>
    <w:p w:rsidR="006546B7" w:rsidRPr="00E8312D" w:rsidRDefault="006546B7" w:rsidP="00801095">
      <w:pPr>
        <w:spacing w:after="120"/>
        <w:jc w:val="both"/>
        <w:rPr>
          <w:rFonts w:ascii="Arial" w:hAnsi="Arial" w:cs="Arial"/>
          <w:b/>
          <w:szCs w:val="24"/>
        </w:rPr>
      </w:pPr>
      <w:r w:rsidRPr="00E8312D">
        <w:rPr>
          <w:rFonts w:ascii="Arial" w:hAnsi="Arial" w:cs="Arial"/>
          <w:b/>
          <w:szCs w:val="24"/>
        </w:rPr>
        <w:lastRenderedPageBreak/>
        <w:t>Human rights implications</w:t>
      </w:r>
    </w:p>
    <w:p w:rsidR="00E8312D" w:rsidRPr="00E8312D" w:rsidRDefault="00E8312D" w:rsidP="00801095">
      <w:pPr>
        <w:spacing w:before="120" w:after="120"/>
        <w:jc w:val="both"/>
        <w:rPr>
          <w:rFonts w:ascii="Arial" w:hAnsi="Arial" w:cs="Arial"/>
          <w:szCs w:val="24"/>
        </w:rPr>
      </w:pPr>
      <w:r w:rsidRPr="00E8312D">
        <w:rPr>
          <w:rFonts w:ascii="Arial" w:hAnsi="Arial" w:cs="Arial"/>
          <w:szCs w:val="24"/>
        </w:rPr>
        <w:t>This Determination engages the following rights:</w:t>
      </w:r>
    </w:p>
    <w:p w:rsidR="00E8312D" w:rsidRPr="00E8312D" w:rsidRDefault="00E8312D" w:rsidP="00801095">
      <w:pPr>
        <w:pStyle w:val="ListParagraph"/>
        <w:numPr>
          <w:ilvl w:val="0"/>
          <w:numId w:val="25"/>
        </w:numPr>
        <w:spacing w:before="120" w:after="120"/>
        <w:contextualSpacing w:val="0"/>
        <w:jc w:val="both"/>
        <w:rPr>
          <w:rFonts w:ascii="Arial" w:hAnsi="Arial" w:cs="Arial"/>
          <w:szCs w:val="24"/>
        </w:rPr>
      </w:pPr>
      <w:r w:rsidRPr="00E8312D">
        <w:rPr>
          <w:rFonts w:ascii="Arial" w:hAnsi="Arial" w:cs="Arial"/>
          <w:szCs w:val="24"/>
        </w:rPr>
        <w:t>the rights of equality and non-discrimination</w:t>
      </w:r>
    </w:p>
    <w:p w:rsidR="00E8312D" w:rsidRPr="00E8312D" w:rsidRDefault="00E8312D" w:rsidP="00801095">
      <w:pPr>
        <w:pStyle w:val="ListParagraph"/>
        <w:numPr>
          <w:ilvl w:val="0"/>
          <w:numId w:val="25"/>
        </w:numPr>
        <w:spacing w:before="120" w:after="120"/>
        <w:contextualSpacing w:val="0"/>
        <w:jc w:val="both"/>
        <w:rPr>
          <w:rFonts w:ascii="Arial" w:hAnsi="Arial" w:cs="Arial"/>
          <w:szCs w:val="24"/>
        </w:rPr>
      </w:pPr>
      <w:r w:rsidRPr="00E8312D">
        <w:rPr>
          <w:rFonts w:ascii="Arial" w:hAnsi="Arial" w:cs="Arial"/>
          <w:szCs w:val="24"/>
        </w:rPr>
        <w:t>the right to self-determination</w:t>
      </w:r>
    </w:p>
    <w:p w:rsidR="00E8312D" w:rsidRPr="00E8312D" w:rsidRDefault="00E8312D" w:rsidP="00801095">
      <w:pPr>
        <w:pStyle w:val="ListParagraph"/>
        <w:numPr>
          <w:ilvl w:val="0"/>
          <w:numId w:val="25"/>
        </w:numPr>
        <w:spacing w:before="120" w:after="120"/>
        <w:contextualSpacing w:val="0"/>
        <w:jc w:val="both"/>
        <w:rPr>
          <w:rFonts w:ascii="Arial" w:hAnsi="Arial" w:cs="Arial"/>
          <w:szCs w:val="24"/>
        </w:rPr>
      </w:pPr>
      <w:r w:rsidRPr="00E8312D">
        <w:rPr>
          <w:rFonts w:ascii="Arial" w:hAnsi="Arial" w:cs="Arial"/>
          <w:szCs w:val="24"/>
        </w:rPr>
        <w:t>the right to an adequate standard of living, including food, water and housing</w:t>
      </w:r>
    </w:p>
    <w:p w:rsidR="00E8312D" w:rsidRDefault="00E8312D" w:rsidP="00801095">
      <w:pPr>
        <w:pStyle w:val="ListParagraph"/>
        <w:numPr>
          <w:ilvl w:val="0"/>
          <w:numId w:val="25"/>
        </w:numPr>
        <w:spacing w:before="120" w:after="120"/>
        <w:contextualSpacing w:val="0"/>
        <w:jc w:val="both"/>
        <w:rPr>
          <w:rFonts w:ascii="Arial" w:hAnsi="Arial" w:cs="Arial"/>
          <w:szCs w:val="24"/>
        </w:rPr>
      </w:pPr>
      <w:r w:rsidRPr="00E8312D">
        <w:rPr>
          <w:rFonts w:ascii="Arial" w:hAnsi="Arial" w:cs="Arial"/>
          <w:szCs w:val="24"/>
        </w:rPr>
        <w:t>the right to social security</w:t>
      </w:r>
    </w:p>
    <w:p w:rsidR="001F361B" w:rsidRPr="00E8312D" w:rsidRDefault="001F361B" w:rsidP="00801095">
      <w:pPr>
        <w:pStyle w:val="ListParagraph"/>
        <w:numPr>
          <w:ilvl w:val="0"/>
          <w:numId w:val="25"/>
        </w:numPr>
        <w:spacing w:before="120"/>
        <w:contextualSpacing w:val="0"/>
        <w:jc w:val="both"/>
        <w:rPr>
          <w:rFonts w:ascii="Arial" w:hAnsi="Arial" w:cs="Arial"/>
          <w:szCs w:val="24"/>
        </w:rPr>
      </w:pPr>
      <w:r>
        <w:rPr>
          <w:rFonts w:ascii="Arial" w:hAnsi="Arial" w:cs="Arial"/>
          <w:szCs w:val="24"/>
        </w:rPr>
        <w:t>the right to a private life</w:t>
      </w:r>
      <w:r w:rsidR="0022574F">
        <w:rPr>
          <w:rFonts w:ascii="Arial" w:hAnsi="Arial" w:cs="Arial"/>
          <w:szCs w:val="24"/>
        </w:rPr>
        <w:t>.</w:t>
      </w:r>
    </w:p>
    <w:p w:rsidR="00727DF7" w:rsidRDefault="00727DF7" w:rsidP="00801095">
      <w:pPr>
        <w:spacing w:before="120"/>
        <w:jc w:val="both"/>
        <w:rPr>
          <w:rFonts w:ascii="Arial" w:hAnsi="Arial" w:cs="Arial"/>
          <w:szCs w:val="24"/>
          <w:u w:val="single"/>
        </w:rPr>
      </w:pPr>
    </w:p>
    <w:p w:rsidR="00E8312D" w:rsidRPr="00E8312D" w:rsidRDefault="00E8312D" w:rsidP="00801095">
      <w:pPr>
        <w:spacing w:before="120" w:after="120"/>
        <w:jc w:val="both"/>
        <w:rPr>
          <w:rFonts w:ascii="Arial" w:hAnsi="Arial" w:cs="Arial"/>
          <w:szCs w:val="24"/>
          <w:u w:val="single"/>
        </w:rPr>
      </w:pPr>
      <w:r w:rsidRPr="00E8312D">
        <w:rPr>
          <w:rFonts w:ascii="Arial" w:hAnsi="Arial" w:cs="Arial"/>
          <w:szCs w:val="24"/>
          <w:u w:val="single"/>
        </w:rPr>
        <w:t xml:space="preserve">The rights of equality and non-discrimination </w:t>
      </w:r>
    </w:p>
    <w:p w:rsidR="001F361B" w:rsidRPr="00C64D79" w:rsidRDefault="001F361B" w:rsidP="00801095">
      <w:pPr>
        <w:jc w:val="both"/>
        <w:rPr>
          <w:rFonts w:ascii="Arial" w:hAnsi="Arial" w:cs="Arial"/>
        </w:rPr>
      </w:pPr>
      <w:r w:rsidRPr="00C64D79">
        <w:rPr>
          <w:rFonts w:ascii="Arial" w:hAnsi="Arial" w:cs="Arial"/>
        </w:rPr>
        <w:t xml:space="preserve">The rights of equality and non-discrimination are provided for in a number of the </w:t>
      </w:r>
      <w:r w:rsidR="003320D9">
        <w:rPr>
          <w:rFonts w:ascii="Arial" w:hAnsi="Arial" w:cs="Arial"/>
        </w:rPr>
        <w:t>7</w:t>
      </w:r>
      <w:r w:rsidR="003320D9" w:rsidRPr="00C64D79">
        <w:rPr>
          <w:rFonts w:ascii="Arial" w:hAnsi="Arial" w:cs="Arial"/>
        </w:rPr>
        <w:t xml:space="preserve"> </w:t>
      </w:r>
      <w:r w:rsidRPr="00C64D79">
        <w:rPr>
          <w:rFonts w:ascii="Arial" w:hAnsi="Arial" w:cs="Arial"/>
        </w:rPr>
        <w:t xml:space="preserve">core international human rights treaties to which Australia is a party, most relevantly the International Covenant on Civil and Political Rights (ICCPR) and the Convention on the Elimination of All Forms of Racial Discrimination (the CERD). </w:t>
      </w:r>
    </w:p>
    <w:p w:rsidR="00E8312D" w:rsidRPr="00E8312D" w:rsidRDefault="00E8312D" w:rsidP="00801095">
      <w:pPr>
        <w:spacing w:before="120" w:after="120"/>
        <w:jc w:val="both"/>
        <w:rPr>
          <w:rFonts w:ascii="Arial" w:hAnsi="Arial" w:cs="Arial"/>
          <w:szCs w:val="24"/>
        </w:rPr>
      </w:pPr>
      <w:r w:rsidRPr="00E8312D">
        <w:rPr>
          <w:rFonts w:ascii="Arial" w:hAnsi="Arial" w:cs="Arial"/>
          <w:szCs w:val="24"/>
        </w:rPr>
        <w:t xml:space="preserve">The Determination does not directly limit the rights of equality and non-discrimination. All </w:t>
      </w:r>
      <w:r w:rsidR="00E6505A">
        <w:rPr>
          <w:rFonts w:ascii="Arial" w:hAnsi="Arial" w:cs="Arial"/>
          <w:szCs w:val="24"/>
        </w:rPr>
        <w:t>participants in the enhanced income management regime will be subject to the same restrictions, and eligibility criteria are not based on</w:t>
      </w:r>
      <w:r w:rsidRPr="00E8312D">
        <w:rPr>
          <w:rFonts w:ascii="Arial" w:hAnsi="Arial" w:cs="Arial"/>
          <w:szCs w:val="24"/>
        </w:rPr>
        <w:t xml:space="preserve"> race, gender or cultural characteristic</w:t>
      </w:r>
      <w:r w:rsidR="00727DF7">
        <w:rPr>
          <w:rFonts w:ascii="Arial" w:hAnsi="Arial" w:cs="Arial"/>
          <w:szCs w:val="24"/>
        </w:rPr>
        <w:t>s</w:t>
      </w:r>
      <w:r w:rsidR="00E6505A">
        <w:rPr>
          <w:rFonts w:ascii="Arial" w:hAnsi="Arial" w:cs="Arial"/>
          <w:szCs w:val="24"/>
        </w:rPr>
        <w:t xml:space="preserve">. </w:t>
      </w:r>
    </w:p>
    <w:p w:rsidR="00E8312D" w:rsidRDefault="00E8312D" w:rsidP="00801095">
      <w:pPr>
        <w:spacing w:before="120" w:after="120"/>
        <w:jc w:val="both"/>
        <w:rPr>
          <w:rFonts w:ascii="Arial" w:hAnsi="Arial" w:cs="Arial"/>
          <w:szCs w:val="24"/>
        </w:rPr>
      </w:pPr>
      <w:r w:rsidRPr="00E8312D">
        <w:rPr>
          <w:rFonts w:ascii="Arial" w:hAnsi="Arial" w:cs="Arial"/>
          <w:szCs w:val="24"/>
        </w:rPr>
        <w:t>Although the Determination does not directly engage the rights to equality and non</w:t>
      </w:r>
      <w:r w:rsidR="003320D9">
        <w:rPr>
          <w:rFonts w:ascii="Arial" w:hAnsi="Arial" w:cs="Arial"/>
          <w:szCs w:val="24"/>
        </w:rPr>
        <w:noBreakHyphen/>
      </w:r>
      <w:r w:rsidRPr="00E8312D">
        <w:rPr>
          <w:rFonts w:ascii="Arial" w:hAnsi="Arial" w:cs="Arial"/>
          <w:szCs w:val="24"/>
        </w:rPr>
        <w:t>discrimination, it may indirectly engage these rights due to a large number of First</w:t>
      </w:r>
      <w:r w:rsidR="003320D9">
        <w:rPr>
          <w:rFonts w:ascii="Arial" w:hAnsi="Arial" w:cs="Arial"/>
          <w:szCs w:val="24"/>
        </w:rPr>
        <w:t> </w:t>
      </w:r>
      <w:r w:rsidRPr="00E8312D">
        <w:rPr>
          <w:rFonts w:ascii="Arial" w:hAnsi="Arial" w:cs="Arial"/>
          <w:szCs w:val="24"/>
        </w:rPr>
        <w:t xml:space="preserve">Nations people participating in </w:t>
      </w:r>
      <w:r w:rsidR="00E6505A">
        <w:rPr>
          <w:rFonts w:ascii="Arial" w:hAnsi="Arial" w:cs="Arial"/>
          <w:szCs w:val="24"/>
        </w:rPr>
        <w:t xml:space="preserve">the enhanced income management regime. </w:t>
      </w:r>
      <w:r w:rsidR="00727DF7">
        <w:rPr>
          <w:rFonts w:ascii="Arial" w:hAnsi="Arial" w:cs="Arial"/>
          <w:szCs w:val="24"/>
        </w:rPr>
        <w:t>However,</w:t>
      </w:r>
      <w:r w:rsidR="00E6505A">
        <w:rPr>
          <w:rFonts w:ascii="Arial" w:hAnsi="Arial" w:cs="Arial"/>
          <w:szCs w:val="24"/>
        </w:rPr>
        <w:t xml:space="preserve"> the enhanced income management regime has been developed as a result of extensive consultation with First Nations communities and is intended to address and curtail harm, </w:t>
      </w:r>
      <w:r w:rsidR="00E6505A" w:rsidRPr="00E6505A">
        <w:rPr>
          <w:rFonts w:ascii="Arial" w:hAnsi="Arial" w:cs="Arial"/>
          <w:szCs w:val="24"/>
        </w:rPr>
        <w:t>antisocial behaviour and entrenched disadvantage.</w:t>
      </w:r>
      <w:r w:rsidR="0044403A">
        <w:rPr>
          <w:rFonts w:ascii="Arial" w:hAnsi="Arial" w:cs="Arial"/>
          <w:szCs w:val="24"/>
        </w:rPr>
        <w:t xml:space="preserve"> Any impact on the right to equality and non-discrimination is considered to be reasonable and proportionate.</w:t>
      </w:r>
    </w:p>
    <w:p w:rsidR="00951806" w:rsidRPr="00E8312D" w:rsidRDefault="00951806" w:rsidP="00801095">
      <w:pPr>
        <w:spacing w:before="120" w:after="120"/>
        <w:jc w:val="both"/>
        <w:rPr>
          <w:rFonts w:ascii="Arial" w:hAnsi="Arial" w:cs="Arial"/>
          <w:szCs w:val="24"/>
        </w:rPr>
      </w:pPr>
    </w:p>
    <w:p w:rsidR="00E8312D" w:rsidRPr="00E8312D" w:rsidRDefault="00E8312D" w:rsidP="00801095">
      <w:pPr>
        <w:spacing w:before="120" w:after="120"/>
        <w:jc w:val="both"/>
        <w:rPr>
          <w:rFonts w:ascii="Arial" w:hAnsi="Arial" w:cs="Arial"/>
          <w:szCs w:val="24"/>
          <w:u w:val="single"/>
        </w:rPr>
      </w:pPr>
      <w:r w:rsidRPr="00E8312D">
        <w:rPr>
          <w:rFonts w:ascii="Arial" w:hAnsi="Arial" w:cs="Arial"/>
          <w:szCs w:val="24"/>
          <w:u w:val="single"/>
        </w:rPr>
        <w:t xml:space="preserve">The right to self-determination </w:t>
      </w:r>
    </w:p>
    <w:p w:rsidR="001F361B" w:rsidRPr="00C64D79" w:rsidRDefault="00E8312D" w:rsidP="00801095">
      <w:pPr>
        <w:jc w:val="both"/>
        <w:rPr>
          <w:rFonts w:ascii="Arial" w:hAnsi="Arial" w:cs="Arial"/>
        </w:rPr>
      </w:pPr>
      <w:r w:rsidRPr="00E8312D">
        <w:rPr>
          <w:rFonts w:ascii="Arial" w:hAnsi="Arial" w:cs="Arial"/>
          <w:szCs w:val="24"/>
        </w:rPr>
        <w:t xml:space="preserve">The right to self-determination is at a base level, the entitlement for an individual or a group of persons, to have autonomy and control over their destiny and to be treated respectfully. </w:t>
      </w:r>
      <w:r w:rsidR="001F361B" w:rsidRPr="00C64D79">
        <w:rPr>
          <w:rFonts w:ascii="Arial" w:hAnsi="Arial" w:cs="Arial"/>
        </w:rPr>
        <w:t xml:space="preserve">Article 1 of the International Covenant on Economic, Social and Cultural Rights (ICESCR) states that </w:t>
      </w:r>
      <w:bookmarkStart w:id="3" w:name="_Hlk113443126"/>
      <w:r w:rsidR="001F361B" w:rsidRPr="00C64D79">
        <w:rPr>
          <w:rFonts w:ascii="Arial" w:hAnsi="Arial" w:cs="Arial"/>
        </w:rPr>
        <w:t xml:space="preserve">all people have the right of self-determination, which includes the right to </w:t>
      </w:r>
      <w:bookmarkEnd w:id="3"/>
      <w:r w:rsidR="001F361B" w:rsidRPr="00C64D79">
        <w:rPr>
          <w:rFonts w:ascii="Arial" w:hAnsi="Arial" w:cs="Arial"/>
          <w:i/>
        </w:rPr>
        <w:t>‘freely pursue their economic, social and cultural development’</w:t>
      </w:r>
      <w:r w:rsidR="001F361B" w:rsidRPr="00C64D79">
        <w:rPr>
          <w:rFonts w:ascii="Arial" w:hAnsi="Arial" w:cs="Arial"/>
        </w:rPr>
        <w:t xml:space="preserve">. </w:t>
      </w:r>
    </w:p>
    <w:p w:rsidR="00E6505A" w:rsidRDefault="00E8312D" w:rsidP="00801095">
      <w:pPr>
        <w:spacing w:before="120" w:after="120"/>
        <w:jc w:val="both"/>
        <w:rPr>
          <w:rFonts w:ascii="Arial" w:hAnsi="Arial" w:cs="Arial"/>
          <w:color w:val="000000"/>
          <w:szCs w:val="24"/>
        </w:rPr>
      </w:pPr>
      <w:r w:rsidRPr="00E8312D">
        <w:rPr>
          <w:rFonts w:ascii="Arial" w:hAnsi="Arial" w:cs="Arial"/>
          <w:szCs w:val="24"/>
        </w:rPr>
        <w:t>Placing a limitation on</w:t>
      </w:r>
      <w:r w:rsidR="00E6505A">
        <w:rPr>
          <w:rFonts w:ascii="Arial" w:hAnsi="Arial" w:cs="Arial"/>
          <w:szCs w:val="24"/>
        </w:rPr>
        <w:t xml:space="preserve"> a person’s ability to access</w:t>
      </w:r>
      <w:r w:rsidRPr="00E8312D">
        <w:rPr>
          <w:rFonts w:ascii="Arial" w:hAnsi="Arial" w:cs="Arial"/>
          <w:szCs w:val="24"/>
        </w:rPr>
        <w:t xml:space="preserve"> </w:t>
      </w:r>
      <w:r w:rsidR="00E6505A">
        <w:rPr>
          <w:rFonts w:ascii="Arial" w:hAnsi="Arial" w:cs="Arial"/>
          <w:szCs w:val="24"/>
        </w:rPr>
        <w:t xml:space="preserve">excluded goods and </w:t>
      </w:r>
      <w:r w:rsidR="003320D9">
        <w:rPr>
          <w:rFonts w:ascii="Arial" w:hAnsi="Arial" w:cs="Arial"/>
          <w:szCs w:val="24"/>
        </w:rPr>
        <w:t xml:space="preserve">excluded </w:t>
      </w:r>
      <w:r w:rsidR="00E6505A">
        <w:rPr>
          <w:rFonts w:ascii="Arial" w:hAnsi="Arial" w:cs="Arial"/>
          <w:szCs w:val="24"/>
        </w:rPr>
        <w:t>services</w:t>
      </w:r>
      <w:r w:rsidRPr="00E8312D">
        <w:rPr>
          <w:rFonts w:ascii="Arial" w:hAnsi="Arial" w:cs="Arial"/>
          <w:szCs w:val="24"/>
        </w:rPr>
        <w:t xml:space="preserve"> ensures that vulnerable people are protected from the </w:t>
      </w:r>
      <w:r w:rsidR="00E6505A">
        <w:rPr>
          <w:rFonts w:ascii="Arial" w:hAnsi="Arial" w:cs="Arial"/>
          <w:szCs w:val="24"/>
        </w:rPr>
        <w:t>harm that can result from overuse of, or dependence on, these goods and services</w:t>
      </w:r>
      <w:r w:rsidRPr="00E8312D">
        <w:rPr>
          <w:rFonts w:ascii="Arial" w:hAnsi="Arial" w:cs="Arial"/>
          <w:szCs w:val="24"/>
        </w:rPr>
        <w:t xml:space="preserve">. </w:t>
      </w:r>
      <w:r w:rsidR="00E6505A">
        <w:rPr>
          <w:rFonts w:ascii="Arial" w:hAnsi="Arial" w:cs="Arial"/>
          <w:szCs w:val="24"/>
        </w:rPr>
        <w:t>These limitations do not</w:t>
      </w:r>
      <w:r w:rsidR="00E6505A">
        <w:rPr>
          <w:rFonts w:ascii="Arial" w:hAnsi="Arial" w:cs="Arial"/>
          <w:color w:val="000000"/>
          <w:szCs w:val="24"/>
        </w:rPr>
        <w:t xml:space="preserve"> impact on or interfere with a person’s right to pursue freely their economic, social or cultural development. </w:t>
      </w:r>
    </w:p>
    <w:p w:rsidR="00E8312D" w:rsidRPr="00E8312D" w:rsidRDefault="00E8312D" w:rsidP="00801095">
      <w:pPr>
        <w:spacing w:before="120" w:after="120"/>
        <w:jc w:val="both"/>
        <w:rPr>
          <w:rFonts w:ascii="Arial" w:hAnsi="Arial" w:cs="Arial"/>
          <w:szCs w:val="24"/>
        </w:rPr>
      </w:pPr>
      <w:r w:rsidRPr="00E8312D">
        <w:rPr>
          <w:rFonts w:ascii="Arial" w:hAnsi="Arial" w:cs="Arial"/>
          <w:szCs w:val="24"/>
        </w:rPr>
        <w:t xml:space="preserve">Individuals who are eligible for enhanced </w:t>
      </w:r>
      <w:r w:rsidR="00E6505A">
        <w:rPr>
          <w:rFonts w:ascii="Arial" w:hAnsi="Arial" w:cs="Arial"/>
          <w:szCs w:val="24"/>
        </w:rPr>
        <w:t xml:space="preserve">income management </w:t>
      </w:r>
      <w:r w:rsidRPr="00E8312D">
        <w:rPr>
          <w:rFonts w:ascii="Arial" w:hAnsi="Arial" w:cs="Arial"/>
          <w:szCs w:val="24"/>
        </w:rPr>
        <w:t xml:space="preserve">can comfortably access priority needs while also having access to a portion of their welfare payment to spend where </w:t>
      </w:r>
      <w:r w:rsidR="00E6505A">
        <w:rPr>
          <w:rFonts w:ascii="Arial" w:hAnsi="Arial" w:cs="Arial"/>
          <w:szCs w:val="24"/>
        </w:rPr>
        <w:t>and how they choose.</w:t>
      </w:r>
      <w:r w:rsidRPr="00E8312D">
        <w:rPr>
          <w:rFonts w:ascii="Arial" w:hAnsi="Arial" w:cs="Arial"/>
          <w:szCs w:val="24"/>
        </w:rPr>
        <w:t xml:space="preserve"> </w:t>
      </w:r>
      <w:r w:rsidR="00EB4A53" w:rsidRPr="00E8312D">
        <w:rPr>
          <w:rFonts w:ascii="Arial" w:hAnsi="Arial" w:cs="Arial"/>
          <w:szCs w:val="24"/>
        </w:rPr>
        <w:t>Although there</w:t>
      </w:r>
      <w:r w:rsidR="00EB4A53">
        <w:rPr>
          <w:rFonts w:ascii="Arial" w:hAnsi="Arial" w:cs="Arial"/>
          <w:szCs w:val="24"/>
        </w:rPr>
        <w:t xml:space="preserve"> may be some</w:t>
      </w:r>
      <w:r w:rsidR="00EB4A53" w:rsidRPr="00E8312D">
        <w:rPr>
          <w:rFonts w:ascii="Arial" w:hAnsi="Arial" w:cs="Arial"/>
          <w:szCs w:val="24"/>
        </w:rPr>
        <w:t xml:space="preserve"> limitation on the right to self-determination, </w:t>
      </w:r>
      <w:r w:rsidR="00EB4A53">
        <w:rPr>
          <w:rFonts w:ascii="Arial" w:hAnsi="Arial" w:cs="Arial"/>
          <w:szCs w:val="24"/>
        </w:rPr>
        <w:t>this limitation</w:t>
      </w:r>
      <w:r w:rsidR="00EB4A53" w:rsidRPr="00E8312D">
        <w:rPr>
          <w:rFonts w:ascii="Arial" w:hAnsi="Arial" w:cs="Arial"/>
          <w:szCs w:val="24"/>
        </w:rPr>
        <w:t xml:space="preserve"> </w:t>
      </w:r>
      <w:r w:rsidR="00EB4A53">
        <w:rPr>
          <w:rFonts w:ascii="Arial" w:hAnsi="Arial" w:cs="Arial"/>
          <w:szCs w:val="24"/>
        </w:rPr>
        <w:t xml:space="preserve">is minimal and is </w:t>
      </w:r>
      <w:r w:rsidR="00EB4A53" w:rsidRPr="00E8312D">
        <w:rPr>
          <w:rFonts w:ascii="Arial" w:hAnsi="Arial" w:cs="Arial"/>
          <w:szCs w:val="24"/>
        </w:rPr>
        <w:t xml:space="preserve">considered to be </w:t>
      </w:r>
      <w:r w:rsidR="00EB4A53" w:rsidRPr="00E8312D">
        <w:rPr>
          <w:rFonts w:ascii="Arial" w:hAnsi="Arial" w:cs="Arial"/>
          <w:szCs w:val="24"/>
        </w:rPr>
        <w:lastRenderedPageBreak/>
        <w:t xml:space="preserve">reasonable, necessary and appropriate to reduce the adverse behaviours and social </w:t>
      </w:r>
      <w:r w:rsidR="00EB4A53">
        <w:rPr>
          <w:rFonts w:ascii="Arial" w:hAnsi="Arial" w:cs="Arial"/>
          <w:szCs w:val="24"/>
        </w:rPr>
        <w:t>harm present within communities</w:t>
      </w:r>
      <w:r w:rsidR="00EB4A53" w:rsidRPr="00E8312D">
        <w:rPr>
          <w:rFonts w:ascii="Arial" w:hAnsi="Arial" w:cs="Arial"/>
          <w:szCs w:val="24"/>
        </w:rPr>
        <w:t>.</w:t>
      </w:r>
    </w:p>
    <w:p w:rsidR="00390403" w:rsidRDefault="00390403" w:rsidP="00801095">
      <w:pPr>
        <w:spacing w:before="120" w:after="120"/>
        <w:jc w:val="both"/>
        <w:rPr>
          <w:rFonts w:ascii="Arial" w:hAnsi="Arial" w:cs="Arial"/>
          <w:szCs w:val="24"/>
          <w:u w:val="single"/>
        </w:rPr>
      </w:pPr>
    </w:p>
    <w:p w:rsidR="00E8312D" w:rsidRPr="00E8312D" w:rsidRDefault="00E8312D" w:rsidP="00801095">
      <w:pPr>
        <w:spacing w:before="120" w:after="120"/>
        <w:jc w:val="both"/>
        <w:rPr>
          <w:rFonts w:ascii="Arial" w:hAnsi="Arial" w:cs="Arial"/>
          <w:szCs w:val="24"/>
          <w:u w:val="single"/>
        </w:rPr>
      </w:pPr>
      <w:r w:rsidRPr="00E8312D">
        <w:rPr>
          <w:rFonts w:ascii="Arial" w:hAnsi="Arial" w:cs="Arial"/>
          <w:szCs w:val="24"/>
          <w:u w:val="single"/>
        </w:rPr>
        <w:t xml:space="preserve">The right to an adequate standard of living, including food, water and housing </w:t>
      </w:r>
    </w:p>
    <w:p w:rsidR="00E8312D" w:rsidRDefault="00E8312D" w:rsidP="00801095">
      <w:pPr>
        <w:spacing w:before="120" w:after="120"/>
        <w:jc w:val="both"/>
        <w:rPr>
          <w:rFonts w:ascii="Arial" w:hAnsi="Arial" w:cs="Arial"/>
          <w:szCs w:val="24"/>
        </w:rPr>
      </w:pPr>
      <w:r w:rsidRPr="00E8312D">
        <w:rPr>
          <w:rFonts w:ascii="Arial" w:hAnsi="Arial" w:cs="Arial"/>
          <w:szCs w:val="24"/>
        </w:rPr>
        <w:t xml:space="preserve">Article 11(1) of the ICESCR details that all people have the right to an </w:t>
      </w:r>
      <w:r w:rsidRPr="00E8312D">
        <w:rPr>
          <w:rFonts w:ascii="Arial" w:hAnsi="Arial" w:cs="Arial"/>
          <w:i/>
          <w:szCs w:val="24"/>
        </w:rPr>
        <w:t>‘an adequate standard of living for himself and his family, including adequate food, clothing and housing, and to the continuous improvement of living conditions</w:t>
      </w:r>
      <w:r w:rsidRPr="00E8312D">
        <w:rPr>
          <w:rFonts w:ascii="Arial" w:hAnsi="Arial" w:cs="Arial"/>
          <w:szCs w:val="24"/>
        </w:rPr>
        <w:t xml:space="preserve">’. </w:t>
      </w:r>
    </w:p>
    <w:p w:rsidR="00E8312D" w:rsidRDefault="00EB4A53" w:rsidP="00801095">
      <w:pPr>
        <w:spacing w:before="120" w:after="120"/>
        <w:jc w:val="both"/>
        <w:rPr>
          <w:rFonts w:ascii="Arial" w:hAnsi="Arial" w:cs="Arial"/>
          <w:szCs w:val="24"/>
        </w:rPr>
      </w:pPr>
      <w:r>
        <w:rPr>
          <w:rFonts w:ascii="Arial" w:hAnsi="Arial" w:cs="Arial"/>
          <w:szCs w:val="24"/>
        </w:rPr>
        <w:t>The enhanced income management regime does not limit a person’s right to</w:t>
      </w:r>
      <w:r w:rsidRPr="00EB4A53">
        <w:rPr>
          <w:rFonts w:ascii="Arial" w:hAnsi="Arial" w:cs="Arial"/>
          <w:szCs w:val="24"/>
        </w:rPr>
        <w:t xml:space="preserve"> an adequate standard of living</w:t>
      </w:r>
      <w:r>
        <w:rPr>
          <w:rFonts w:ascii="Arial" w:hAnsi="Arial" w:cs="Arial"/>
          <w:szCs w:val="24"/>
        </w:rPr>
        <w:t xml:space="preserve">. As noted above, the enhanced income management regime ensures that individuals are able to meet their priority needs such as food, </w:t>
      </w:r>
      <w:r w:rsidR="007E4043">
        <w:rPr>
          <w:rFonts w:ascii="Arial" w:hAnsi="Arial" w:cs="Arial"/>
          <w:szCs w:val="24"/>
        </w:rPr>
        <w:t xml:space="preserve">bills </w:t>
      </w:r>
      <w:r>
        <w:rPr>
          <w:rFonts w:ascii="Arial" w:hAnsi="Arial" w:cs="Arial"/>
          <w:szCs w:val="24"/>
        </w:rPr>
        <w:t>and housing, while retaining a portion of their welfare payment to spend as they choose. The regime restricts access to harmful goods and services such as alcohol, tobacco, pornography, and g</w:t>
      </w:r>
      <w:r w:rsidR="00E8312D" w:rsidRPr="00E8312D">
        <w:rPr>
          <w:rFonts w:ascii="Arial" w:hAnsi="Arial" w:cs="Arial"/>
          <w:szCs w:val="24"/>
        </w:rPr>
        <w:t>ambling</w:t>
      </w:r>
      <w:r>
        <w:rPr>
          <w:rFonts w:ascii="Arial" w:hAnsi="Arial" w:cs="Arial"/>
          <w:szCs w:val="24"/>
        </w:rPr>
        <w:t xml:space="preserve">. It does not restrict access to </w:t>
      </w:r>
      <w:r w:rsidRPr="00EB4A53">
        <w:rPr>
          <w:rFonts w:ascii="Arial" w:hAnsi="Arial" w:cs="Arial"/>
          <w:szCs w:val="24"/>
        </w:rPr>
        <w:t>essential goods and services required to maintain an adequate standard of living</w:t>
      </w:r>
      <w:r>
        <w:rPr>
          <w:rFonts w:ascii="Arial" w:hAnsi="Arial" w:cs="Arial"/>
          <w:szCs w:val="24"/>
        </w:rPr>
        <w:t xml:space="preserve">, and provides individuals with discretionary cash that will ensure a person can still participate in </w:t>
      </w:r>
      <w:r w:rsidR="00E8312D" w:rsidRPr="00E8312D">
        <w:rPr>
          <w:rFonts w:ascii="Arial" w:hAnsi="Arial" w:cs="Arial"/>
          <w:szCs w:val="24"/>
        </w:rPr>
        <w:t xml:space="preserve">a cash economy if needed or required. This allows cash to be used for incidentals in a situation where access to electronic banking or bankcard systems are not </w:t>
      </w:r>
      <w:r w:rsidR="00EF4CD5">
        <w:rPr>
          <w:rFonts w:ascii="Arial" w:hAnsi="Arial" w:cs="Arial"/>
          <w:szCs w:val="24"/>
        </w:rPr>
        <w:t>available or convenient</w:t>
      </w:r>
      <w:r w:rsidR="00E8312D" w:rsidRPr="00E8312D">
        <w:rPr>
          <w:rFonts w:ascii="Arial" w:hAnsi="Arial" w:cs="Arial"/>
          <w:szCs w:val="24"/>
        </w:rPr>
        <w:t xml:space="preserve">. </w:t>
      </w:r>
    </w:p>
    <w:p w:rsidR="00B97B22" w:rsidRPr="00E8312D" w:rsidRDefault="00B97B22" w:rsidP="00801095">
      <w:pPr>
        <w:spacing w:before="120" w:after="120"/>
        <w:jc w:val="both"/>
        <w:rPr>
          <w:rFonts w:ascii="Arial" w:hAnsi="Arial" w:cs="Arial"/>
          <w:szCs w:val="24"/>
        </w:rPr>
      </w:pPr>
    </w:p>
    <w:p w:rsidR="00E8312D" w:rsidRPr="00E8312D" w:rsidRDefault="00E8312D" w:rsidP="00801095">
      <w:pPr>
        <w:spacing w:before="120" w:after="120"/>
        <w:jc w:val="both"/>
        <w:rPr>
          <w:rFonts w:ascii="Arial" w:hAnsi="Arial" w:cs="Arial"/>
          <w:szCs w:val="24"/>
          <w:u w:val="single"/>
        </w:rPr>
      </w:pPr>
      <w:r w:rsidRPr="00E8312D">
        <w:rPr>
          <w:rFonts w:ascii="Arial" w:hAnsi="Arial" w:cs="Arial"/>
          <w:szCs w:val="24"/>
          <w:u w:val="single"/>
        </w:rPr>
        <w:t>The right to social security</w:t>
      </w:r>
    </w:p>
    <w:p w:rsidR="00E8312D" w:rsidRPr="00E8312D" w:rsidRDefault="00E8312D" w:rsidP="00801095">
      <w:pPr>
        <w:spacing w:before="120" w:after="120"/>
        <w:jc w:val="both"/>
        <w:rPr>
          <w:rFonts w:ascii="Arial" w:hAnsi="Arial" w:cs="Arial"/>
          <w:szCs w:val="24"/>
        </w:rPr>
      </w:pPr>
      <w:r w:rsidRPr="00E8312D">
        <w:rPr>
          <w:rFonts w:ascii="Arial" w:hAnsi="Arial" w:cs="Arial"/>
          <w:szCs w:val="24"/>
        </w:rPr>
        <w:t xml:space="preserve">Article 9 of the ICESCR details all people have access </w:t>
      </w:r>
      <w:r w:rsidRPr="00E8312D">
        <w:rPr>
          <w:rFonts w:ascii="Arial" w:hAnsi="Arial" w:cs="Arial"/>
          <w:i/>
          <w:szCs w:val="24"/>
        </w:rPr>
        <w:t>‘to social security, including social insurance’</w:t>
      </w:r>
      <w:r w:rsidRPr="00E8312D">
        <w:rPr>
          <w:rFonts w:ascii="Arial" w:hAnsi="Arial" w:cs="Arial"/>
          <w:szCs w:val="24"/>
        </w:rPr>
        <w:t xml:space="preserve">. The United Nations Committee of Economic, Social and Cultural Rights (the UN Committee) has stated that implementing this right requires a country, with maximum available resources, to ensure </w:t>
      </w:r>
      <w:r w:rsidRPr="00E8312D">
        <w:rPr>
          <w:rFonts w:ascii="Arial" w:hAnsi="Arial" w:cs="Arial"/>
          <w:i/>
          <w:szCs w:val="24"/>
        </w:rPr>
        <w:t>‘a minimum essential level of benefits to all individuals and families that will enable them to acquire at least essential health care, basic shelter and housing, water and sanitation, foodstuffs, and the most basic forms of education’</w:t>
      </w:r>
      <w:r w:rsidRPr="00E8312D">
        <w:rPr>
          <w:rFonts w:ascii="Arial" w:hAnsi="Arial" w:cs="Arial"/>
          <w:szCs w:val="24"/>
        </w:rPr>
        <w:t xml:space="preserve">. </w:t>
      </w:r>
    </w:p>
    <w:p w:rsidR="00E8312D" w:rsidRPr="00E8312D" w:rsidRDefault="00E8312D" w:rsidP="00801095">
      <w:pPr>
        <w:spacing w:before="120" w:after="120"/>
        <w:jc w:val="both"/>
        <w:rPr>
          <w:rFonts w:ascii="Arial" w:hAnsi="Arial" w:cs="Arial"/>
          <w:szCs w:val="24"/>
        </w:rPr>
      </w:pPr>
      <w:r w:rsidRPr="00E8312D">
        <w:rPr>
          <w:rFonts w:ascii="Arial" w:hAnsi="Arial" w:cs="Arial"/>
          <w:szCs w:val="24"/>
        </w:rPr>
        <w:t xml:space="preserve">For those people </w:t>
      </w:r>
      <w:r w:rsidR="00B44F81">
        <w:rPr>
          <w:rFonts w:ascii="Arial" w:hAnsi="Arial" w:cs="Arial"/>
          <w:szCs w:val="24"/>
        </w:rPr>
        <w:t>subject to</w:t>
      </w:r>
      <w:r w:rsidR="00B44F81" w:rsidRPr="00E8312D">
        <w:rPr>
          <w:rFonts w:ascii="Arial" w:hAnsi="Arial" w:cs="Arial"/>
          <w:szCs w:val="24"/>
        </w:rPr>
        <w:t xml:space="preserve"> </w:t>
      </w:r>
      <w:r w:rsidRPr="00E8312D">
        <w:rPr>
          <w:rFonts w:ascii="Arial" w:hAnsi="Arial" w:cs="Arial"/>
          <w:szCs w:val="24"/>
        </w:rPr>
        <w:t xml:space="preserve">enhanced </w:t>
      </w:r>
      <w:r w:rsidR="00EB4A53">
        <w:rPr>
          <w:rFonts w:ascii="Arial" w:hAnsi="Arial" w:cs="Arial"/>
          <w:szCs w:val="24"/>
        </w:rPr>
        <w:t>income management</w:t>
      </w:r>
      <w:r w:rsidR="00390403">
        <w:rPr>
          <w:rFonts w:ascii="Arial" w:hAnsi="Arial" w:cs="Arial"/>
          <w:szCs w:val="24"/>
        </w:rPr>
        <w:t>,</w:t>
      </w:r>
      <w:r w:rsidRPr="00E8312D">
        <w:rPr>
          <w:rFonts w:ascii="Arial" w:hAnsi="Arial" w:cs="Arial"/>
          <w:szCs w:val="24"/>
        </w:rPr>
        <w:t xml:space="preserve"> the right to social security is only limited in the context of a person’s ability to use a proportion of their payment to purchase excluded goods or excluded services. The </w:t>
      </w:r>
      <w:r w:rsidR="00EB4A53">
        <w:rPr>
          <w:rFonts w:ascii="Arial" w:hAnsi="Arial" w:cs="Arial"/>
          <w:szCs w:val="24"/>
        </w:rPr>
        <w:t xml:space="preserve">enhanced income management regime </w:t>
      </w:r>
      <w:r w:rsidRPr="00E8312D">
        <w:rPr>
          <w:rFonts w:ascii="Arial" w:hAnsi="Arial" w:cs="Arial"/>
          <w:szCs w:val="24"/>
        </w:rPr>
        <w:t>does not alter a person’s eligibilit</w:t>
      </w:r>
      <w:r w:rsidR="00EB4A53">
        <w:rPr>
          <w:rFonts w:ascii="Arial" w:hAnsi="Arial" w:cs="Arial"/>
          <w:szCs w:val="24"/>
        </w:rPr>
        <w:t>y to receive welfare, nor does it reduce</w:t>
      </w:r>
      <w:r w:rsidRPr="00E8312D">
        <w:rPr>
          <w:rFonts w:ascii="Arial" w:hAnsi="Arial" w:cs="Arial"/>
          <w:szCs w:val="24"/>
        </w:rPr>
        <w:t xml:space="preserve"> or alter the amount of a person’s social security entitlement. </w:t>
      </w:r>
      <w:r w:rsidR="00EB4A53">
        <w:rPr>
          <w:rFonts w:ascii="Arial" w:hAnsi="Arial" w:cs="Arial"/>
          <w:szCs w:val="24"/>
        </w:rPr>
        <w:t xml:space="preserve">Rather, it places </w:t>
      </w:r>
      <w:r w:rsidRPr="00E8312D">
        <w:rPr>
          <w:rFonts w:ascii="Arial" w:hAnsi="Arial" w:cs="Arial"/>
          <w:szCs w:val="24"/>
        </w:rPr>
        <w:t>limitation</w:t>
      </w:r>
      <w:r w:rsidR="00EB4A53">
        <w:rPr>
          <w:rFonts w:ascii="Arial" w:hAnsi="Arial" w:cs="Arial"/>
          <w:szCs w:val="24"/>
        </w:rPr>
        <w:t>s on how a portion of the person’s welfare payment can be spent and provides</w:t>
      </w:r>
      <w:r w:rsidRPr="00E8312D">
        <w:rPr>
          <w:rFonts w:ascii="Arial" w:hAnsi="Arial" w:cs="Arial"/>
          <w:szCs w:val="24"/>
        </w:rPr>
        <w:t xml:space="preserve"> a mechanism to ensure that a welfare payment recipient </w:t>
      </w:r>
      <w:r w:rsidR="00EF4CD5">
        <w:rPr>
          <w:rFonts w:ascii="Arial" w:hAnsi="Arial" w:cs="Arial"/>
          <w:szCs w:val="24"/>
        </w:rPr>
        <w:t xml:space="preserve">cannot spend </w:t>
      </w:r>
      <w:r w:rsidR="00EB4A53">
        <w:rPr>
          <w:rFonts w:ascii="Arial" w:hAnsi="Arial" w:cs="Arial"/>
          <w:szCs w:val="24"/>
        </w:rPr>
        <w:t>their entire payment to purchase</w:t>
      </w:r>
      <w:r w:rsidRPr="00E8312D">
        <w:rPr>
          <w:rFonts w:ascii="Arial" w:hAnsi="Arial" w:cs="Arial"/>
          <w:szCs w:val="24"/>
        </w:rPr>
        <w:t xml:space="preserve"> alcohol,</w:t>
      </w:r>
      <w:r w:rsidR="00EB4A53">
        <w:rPr>
          <w:rFonts w:ascii="Arial" w:hAnsi="Arial" w:cs="Arial"/>
          <w:szCs w:val="24"/>
        </w:rPr>
        <w:t xml:space="preserve"> tobacco,</w:t>
      </w:r>
      <w:r w:rsidRPr="00E8312D">
        <w:rPr>
          <w:rFonts w:ascii="Arial" w:hAnsi="Arial" w:cs="Arial"/>
          <w:szCs w:val="24"/>
        </w:rPr>
        <w:t xml:space="preserve"> pornography, gambling </w:t>
      </w:r>
      <w:r w:rsidR="00EB4A53">
        <w:rPr>
          <w:rFonts w:ascii="Arial" w:hAnsi="Arial" w:cs="Arial"/>
          <w:szCs w:val="24"/>
        </w:rPr>
        <w:t xml:space="preserve">services </w:t>
      </w:r>
      <w:r w:rsidRPr="00E8312D">
        <w:rPr>
          <w:rFonts w:ascii="Arial" w:hAnsi="Arial" w:cs="Arial"/>
          <w:szCs w:val="24"/>
        </w:rPr>
        <w:t xml:space="preserve">or </w:t>
      </w:r>
      <w:r w:rsidR="00EF4CD5">
        <w:rPr>
          <w:rFonts w:ascii="Arial" w:hAnsi="Arial" w:cs="Arial"/>
          <w:szCs w:val="24"/>
        </w:rPr>
        <w:t xml:space="preserve">a </w:t>
      </w:r>
      <w:r w:rsidRPr="00E8312D">
        <w:rPr>
          <w:rFonts w:ascii="Arial" w:hAnsi="Arial" w:cs="Arial"/>
          <w:szCs w:val="24"/>
        </w:rPr>
        <w:t>cash-like products</w:t>
      </w:r>
      <w:r w:rsidR="00EF4CD5">
        <w:rPr>
          <w:rFonts w:ascii="Arial" w:hAnsi="Arial" w:cs="Arial"/>
          <w:szCs w:val="24"/>
        </w:rPr>
        <w:t xml:space="preserve"> that </w:t>
      </w:r>
      <w:r w:rsidRPr="00E8312D">
        <w:rPr>
          <w:rFonts w:ascii="Arial" w:hAnsi="Arial" w:cs="Arial"/>
          <w:szCs w:val="24"/>
        </w:rPr>
        <w:t xml:space="preserve">could be used to purchase </w:t>
      </w:r>
      <w:r w:rsidR="00EF4CD5">
        <w:rPr>
          <w:rFonts w:ascii="Arial" w:hAnsi="Arial" w:cs="Arial"/>
          <w:szCs w:val="24"/>
        </w:rPr>
        <w:t>these goods and services</w:t>
      </w:r>
      <w:r w:rsidRPr="00E8312D">
        <w:rPr>
          <w:rFonts w:ascii="Arial" w:hAnsi="Arial" w:cs="Arial"/>
          <w:szCs w:val="24"/>
        </w:rPr>
        <w:t xml:space="preserve">. </w:t>
      </w:r>
    </w:p>
    <w:p w:rsidR="00E8312D" w:rsidRPr="00E8312D" w:rsidRDefault="00EB4A53" w:rsidP="00801095">
      <w:pPr>
        <w:spacing w:before="120" w:after="120"/>
        <w:jc w:val="both"/>
        <w:rPr>
          <w:rFonts w:ascii="Arial" w:hAnsi="Arial" w:cs="Arial"/>
          <w:szCs w:val="24"/>
        </w:rPr>
      </w:pPr>
      <w:r>
        <w:rPr>
          <w:rFonts w:ascii="Arial" w:hAnsi="Arial" w:cs="Arial"/>
          <w:szCs w:val="24"/>
        </w:rPr>
        <w:t>Under enhanced income management</w:t>
      </w:r>
      <w:r w:rsidR="00E8312D" w:rsidRPr="00E8312D">
        <w:rPr>
          <w:rFonts w:ascii="Arial" w:hAnsi="Arial" w:cs="Arial"/>
          <w:szCs w:val="24"/>
        </w:rPr>
        <w:t>, a portion of the social security payment is paid to a part</w:t>
      </w:r>
      <w:r w:rsidR="001F361B">
        <w:rPr>
          <w:rFonts w:ascii="Arial" w:hAnsi="Arial" w:cs="Arial"/>
          <w:szCs w:val="24"/>
        </w:rPr>
        <w:t>icipant as a qualified portion from which</w:t>
      </w:r>
      <w:r w:rsidR="00E8312D" w:rsidRPr="00E8312D">
        <w:rPr>
          <w:rFonts w:ascii="Arial" w:hAnsi="Arial" w:cs="Arial"/>
          <w:szCs w:val="24"/>
        </w:rPr>
        <w:t xml:space="preserve"> excluded goods and excluded services </w:t>
      </w:r>
      <w:r w:rsidR="001F361B">
        <w:rPr>
          <w:rFonts w:ascii="Arial" w:hAnsi="Arial" w:cs="Arial"/>
          <w:szCs w:val="24"/>
        </w:rPr>
        <w:t xml:space="preserve">cannot be purchased. </w:t>
      </w:r>
      <w:r w:rsidR="00E8312D" w:rsidRPr="00E8312D">
        <w:rPr>
          <w:rFonts w:ascii="Arial" w:hAnsi="Arial" w:cs="Arial"/>
          <w:szCs w:val="24"/>
        </w:rPr>
        <w:t xml:space="preserve">Businesses that </w:t>
      </w:r>
      <w:r w:rsidR="00EF4CD5">
        <w:rPr>
          <w:rFonts w:ascii="Arial" w:hAnsi="Arial" w:cs="Arial"/>
          <w:szCs w:val="24"/>
        </w:rPr>
        <w:t>offer</w:t>
      </w:r>
      <w:r w:rsidR="00EF4CD5" w:rsidRPr="00E8312D">
        <w:rPr>
          <w:rFonts w:ascii="Arial" w:hAnsi="Arial" w:cs="Arial"/>
          <w:szCs w:val="24"/>
        </w:rPr>
        <w:t xml:space="preserve"> </w:t>
      </w:r>
      <w:r w:rsidR="00E8312D" w:rsidRPr="00E8312D">
        <w:rPr>
          <w:rFonts w:ascii="Arial" w:hAnsi="Arial" w:cs="Arial"/>
          <w:szCs w:val="24"/>
        </w:rPr>
        <w:t xml:space="preserve">excluded goods or excluded services </w:t>
      </w:r>
      <w:r w:rsidR="00EF4CD5">
        <w:rPr>
          <w:rFonts w:ascii="Arial" w:hAnsi="Arial" w:cs="Arial"/>
          <w:szCs w:val="24"/>
        </w:rPr>
        <w:t>can still be used by</w:t>
      </w:r>
      <w:r w:rsidR="00E8312D" w:rsidRPr="00E8312D">
        <w:rPr>
          <w:rFonts w:ascii="Arial" w:hAnsi="Arial" w:cs="Arial"/>
          <w:szCs w:val="24"/>
        </w:rPr>
        <w:t xml:space="preserve"> people utilising enhanced </w:t>
      </w:r>
      <w:r w:rsidR="001F361B">
        <w:rPr>
          <w:rFonts w:ascii="Arial" w:hAnsi="Arial" w:cs="Arial"/>
          <w:szCs w:val="24"/>
        </w:rPr>
        <w:t>income management</w:t>
      </w:r>
      <w:r w:rsidR="00E8312D" w:rsidRPr="00E8312D">
        <w:rPr>
          <w:rFonts w:ascii="Arial" w:hAnsi="Arial" w:cs="Arial"/>
          <w:szCs w:val="24"/>
        </w:rPr>
        <w:t xml:space="preserve"> if the merchant has systems </w:t>
      </w:r>
      <w:r w:rsidR="00EF4CD5">
        <w:rPr>
          <w:rFonts w:ascii="Arial" w:hAnsi="Arial" w:cs="Arial"/>
          <w:szCs w:val="24"/>
        </w:rPr>
        <w:t xml:space="preserve">to prevent </w:t>
      </w:r>
      <w:r w:rsidR="0044403A">
        <w:rPr>
          <w:rFonts w:ascii="Arial" w:hAnsi="Arial" w:cs="Arial"/>
          <w:szCs w:val="24"/>
        </w:rPr>
        <w:t xml:space="preserve">the sale of excluded </w:t>
      </w:r>
      <w:r w:rsidR="00E8312D" w:rsidRPr="00E8312D">
        <w:rPr>
          <w:rFonts w:ascii="Arial" w:hAnsi="Arial" w:cs="Arial"/>
          <w:szCs w:val="24"/>
        </w:rPr>
        <w:t xml:space="preserve">products </w:t>
      </w:r>
      <w:r w:rsidR="00EF4CD5">
        <w:rPr>
          <w:rFonts w:ascii="Arial" w:hAnsi="Arial" w:cs="Arial"/>
          <w:szCs w:val="24"/>
        </w:rPr>
        <w:t xml:space="preserve">or excluded services </w:t>
      </w:r>
      <w:r w:rsidR="00E8312D" w:rsidRPr="00E8312D">
        <w:rPr>
          <w:rFonts w:ascii="Arial" w:hAnsi="Arial" w:cs="Arial"/>
          <w:szCs w:val="24"/>
        </w:rPr>
        <w:t xml:space="preserve">to holders of an enhanced BasicsCard. These limitations are necessary </w:t>
      </w:r>
      <w:r w:rsidR="00EF4CD5">
        <w:rPr>
          <w:rFonts w:ascii="Arial" w:hAnsi="Arial" w:cs="Arial"/>
          <w:szCs w:val="24"/>
        </w:rPr>
        <w:t xml:space="preserve">as otherwise </w:t>
      </w:r>
      <w:r w:rsidR="00E8312D" w:rsidRPr="00E8312D">
        <w:rPr>
          <w:rFonts w:ascii="Arial" w:hAnsi="Arial" w:cs="Arial"/>
          <w:szCs w:val="24"/>
        </w:rPr>
        <w:t xml:space="preserve">the objectives and overarching purposes of </w:t>
      </w:r>
      <w:r w:rsidR="001F361B">
        <w:rPr>
          <w:rFonts w:ascii="Arial" w:hAnsi="Arial" w:cs="Arial"/>
          <w:szCs w:val="24"/>
        </w:rPr>
        <w:t xml:space="preserve">enhanced income management regime </w:t>
      </w:r>
      <w:r w:rsidR="00E8312D" w:rsidRPr="00E8312D">
        <w:rPr>
          <w:rFonts w:ascii="Arial" w:hAnsi="Arial" w:cs="Arial"/>
          <w:szCs w:val="24"/>
        </w:rPr>
        <w:t xml:space="preserve">could not be accomplished. </w:t>
      </w:r>
    </w:p>
    <w:p w:rsidR="00E8312D" w:rsidRPr="00E8312D" w:rsidRDefault="00EF4CD5" w:rsidP="00801095">
      <w:pPr>
        <w:spacing w:before="120" w:after="120"/>
        <w:jc w:val="both"/>
        <w:rPr>
          <w:rFonts w:ascii="Arial" w:hAnsi="Arial" w:cs="Arial"/>
          <w:szCs w:val="24"/>
        </w:rPr>
      </w:pPr>
      <w:r>
        <w:rPr>
          <w:rFonts w:ascii="Arial" w:hAnsi="Arial" w:cs="Arial"/>
          <w:szCs w:val="24"/>
        </w:rPr>
        <w:t>In most respects, a</w:t>
      </w:r>
      <w:r w:rsidR="00E8312D" w:rsidRPr="00E8312D">
        <w:rPr>
          <w:rFonts w:ascii="Arial" w:hAnsi="Arial" w:cs="Arial"/>
          <w:szCs w:val="24"/>
        </w:rPr>
        <w:t xml:space="preserve"> </w:t>
      </w:r>
      <w:r w:rsidR="002940EC">
        <w:rPr>
          <w:rFonts w:ascii="Arial" w:hAnsi="Arial" w:cs="Arial"/>
          <w:szCs w:val="24"/>
        </w:rPr>
        <w:t xml:space="preserve">SmartCard and associated bank </w:t>
      </w:r>
      <w:r w:rsidR="00E8312D" w:rsidRPr="00E8312D">
        <w:rPr>
          <w:rFonts w:ascii="Arial" w:hAnsi="Arial" w:cs="Arial"/>
          <w:szCs w:val="24"/>
        </w:rPr>
        <w:t xml:space="preserve">account operates like a </w:t>
      </w:r>
      <w:r>
        <w:rPr>
          <w:rFonts w:ascii="Arial" w:hAnsi="Arial" w:cs="Arial"/>
          <w:szCs w:val="24"/>
        </w:rPr>
        <w:t xml:space="preserve">regular </w:t>
      </w:r>
      <w:r w:rsidR="00E8312D" w:rsidRPr="00E8312D">
        <w:rPr>
          <w:rFonts w:ascii="Arial" w:hAnsi="Arial" w:cs="Arial"/>
          <w:szCs w:val="24"/>
        </w:rPr>
        <w:t>bank account</w:t>
      </w:r>
      <w:r>
        <w:rPr>
          <w:rFonts w:ascii="Arial" w:hAnsi="Arial" w:cs="Arial"/>
          <w:szCs w:val="24"/>
        </w:rPr>
        <w:t xml:space="preserve">. </w:t>
      </w:r>
      <w:r w:rsidR="001F361B">
        <w:rPr>
          <w:rFonts w:ascii="Arial" w:hAnsi="Arial" w:cs="Arial"/>
          <w:szCs w:val="24"/>
        </w:rPr>
        <w:t xml:space="preserve">Once a </w:t>
      </w:r>
      <w:r w:rsidR="002940EC">
        <w:rPr>
          <w:rFonts w:ascii="Arial" w:hAnsi="Arial" w:cs="Arial"/>
          <w:szCs w:val="24"/>
        </w:rPr>
        <w:t xml:space="preserve">SmartCard and associated bank account </w:t>
      </w:r>
      <w:r w:rsidR="001F361B">
        <w:rPr>
          <w:rFonts w:ascii="Arial" w:hAnsi="Arial" w:cs="Arial"/>
          <w:szCs w:val="24"/>
        </w:rPr>
        <w:t>has been opened, a</w:t>
      </w:r>
      <w:r w:rsidR="00E8312D" w:rsidRPr="00E8312D">
        <w:rPr>
          <w:rFonts w:ascii="Arial" w:hAnsi="Arial" w:cs="Arial"/>
          <w:szCs w:val="24"/>
        </w:rPr>
        <w:t xml:space="preserve"> </w:t>
      </w:r>
      <w:r w:rsidR="001F361B">
        <w:rPr>
          <w:rFonts w:ascii="Arial" w:hAnsi="Arial" w:cs="Arial"/>
          <w:szCs w:val="24"/>
        </w:rPr>
        <w:lastRenderedPageBreak/>
        <w:t>debit card</w:t>
      </w:r>
      <w:r w:rsidR="00E8312D" w:rsidRPr="00E8312D">
        <w:rPr>
          <w:rFonts w:ascii="Arial" w:hAnsi="Arial" w:cs="Arial"/>
          <w:szCs w:val="24"/>
        </w:rPr>
        <w:t xml:space="preserve"> is issued which will operate like a standard debit card that can be utilised at the majority of merchants who accept EFTPOS. </w:t>
      </w:r>
      <w:r w:rsidR="001F361B">
        <w:rPr>
          <w:rFonts w:ascii="Arial" w:hAnsi="Arial" w:cs="Arial"/>
          <w:szCs w:val="24"/>
        </w:rPr>
        <w:t xml:space="preserve">Individuals participating in the enhanced income management regime will also be able to access a </w:t>
      </w:r>
      <w:r w:rsidR="001F361B" w:rsidRPr="001F361B">
        <w:rPr>
          <w:rFonts w:ascii="Arial" w:hAnsi="Arial" w:cs="Arial"/>
          <w:szCs w:val="24"/>
        </w:rPr>
        <w:t>range of mainstream banking functions including ‘tap and go’ payments, online shopping, BPAY bill payments</w:t>
      </w:r>
      <w:r w:rsidR="001F361B">
        <w:rPr>
          <w:rFonts w:ascii="Arial" w:hAnsi="Arial" w:cs="Arial"/>
          <w:szCs w:val="24"/>
        </w:rPr>
        <w:t>, further limiting any restriction on the person’s right to social security.</w:t>
      </w:r>
    </w:p>
    <w:p w:rsidR="00E8312D" w:rsidRDefault="00E8312D" w:rsidP="00801095">
      <w:pPr>
        <w:spacing w:before="120" w:after="120"/>
        <w:jc w:val="both"/>
        <w:rPr>
          <w:rFonts w:ascii="Arial" w:hAnsi="Arial" w:cs="Arial"/>
          <w:szCs w:val="24"/>
        </w:rPr>
      </w:pPr>
      <w:r w:rsidRPr="00E8312D">
        <w:rPr>
          <w:rFonts w:ascii="Arial" w:hAnsi="Arial" w:cs="Arial"/>
          <w:szCs w:val="24"/>
        </w:rPr>
        <w:t>Given the objectives of</w:t>
      </w:r>
      <w:r w:rsidR="001F361B">
        <w:rPr>
          <w:rFonts w:ascii="Arial" w:hAnsi="Arial" w:cs="Arial"/>
          <w:szCs w:val="24"/>
        </w:rPr>
        <w:t xml:space="preserve"> the</w:t>
      </w:r>
      <w:r w:rsidRPr="00E8312D">
        <w:rPr>
          <w:rFonts w:ascii="Arial" w:hAnsi="Arial" w:cs="Arial"/>
          <w:szCs w:val="24"/>
        </w:rPr>
        <w:t xml:space="preserve"> enhanced</w:t>
      </w:r>
      <w:r w:rsidR="001F361B">
        <w:rPr>
          <w:rFonts w:ascii="Arial" w:hAnsi="Arial" w:cs="Arial"/>
          <w:szCs w:val="24"/>
        </w:rPr>
        <w:t xml:space="preserve"> income management regime,</w:t>
      </w:r>
      <w:r w:rsidRPr="00E8312D">
        <w:rPr>
          <w:rFonts w:ascii="Arial" w:hAnsi="Arial" w:cs="Arial"/>
          <w:szCs w:val="24"/>
        </w:rPr>
        <w:t xml:space="preserve"> and that many people </w:t>
      </w:r>
      <w:r w:rsidR="00EF4CD5">
        <w:rPr>
          <w:rFonts w:ascii="Arial" w:hAnsi="Arial" w:cs="Arial"/>
          <w:szCs w:val="24"/>
        </w:rPr>
        <w:t>have been</w:t>
      </w:r>
      <w:r w:rsidR="001F361B">
        <w:rPr>
          <w:rFonts w:ascii="Arial" w:hAnsi="Arial" w:cs="Arial"/>
          <w:szCs w:val="24"/>
        </w:rPr>
        <w:t xml:space="preserve"> </w:t>
      </w:r>
      <w:r w:rsidR="00EF4CD5">
        <w:rPr>
          <w:rFonts w:ascii="Arial" w:hAnsi="Arial" w:cs="Arial"/>
          <w:szCs w:val="24"/>
        </w:rPr>
        <w:t xml:space="preserve">previously </w:t>
      </w:r>
      <w:r w:rsidR="001F361B">
        <w:rPr>
          <w:rFonts w:ascii="Arial" w:hAnsi="Arial" w:cs="Arial"/>
          <w:szCs w:val="24"/>
        </w:rPr>
        <w:t>subject to the income management regime and will require support to manage their welfare payments into the future</w:t>
      </w:r>
      <w:r w:rsidRPr="00E8312D">
        <w:rPr>
          <w:rFonts w:ascii="Arial" w:hAnsi="Arial" w:cs="Arial"/>
          <w:szCs w:val="24"/>
        </w:rPr>
        <w:t xml:space="preserve">, any engagement with the right to social security is reasonable and appropriate. </w:t>
      </w:r>
    </w:p>
    <w:p w:rsidR="00B97B22" w:rsidRPr="00E8312D" w:rsidRDefault="00B97B22" w:rsidP="00801095">
      <w:pPr>
        <w:spacing w:before="120" w:after="120"/>
        <w:jc w:val="both"/>
        <w:rPr>
          <w:rFonts w:ascii="Arial" w:hAnsi="Arial" w:cs="Arial"/>
          <w:szCs w:val="24"/>
        </w:rPr>
      </w:pPr>
    </w:p>
    <w:p w:rsidR="001F361B" w:rsidRDefault="001F361B" w:rsidP="00801095">
      <w:pPr>
        <w:shd w:val="clear" w:color="auto" w:fill="FFFFFF"/>
        <w:spacing w:before="0"/>
        <w:jc w:val="both"/>
        <w:rPr>
          <w:rFonts w:ascii="Arial" w:hAnsi="Arial"/>
          <w:color w:val="000000"/>
          <w:u w:val="single"/>
        </w:rPr>
      </w:pPr>
      <w:r>
        <w:rPr>
          <w:rFonts w:ascii="Arial" w:hAnsi="Arial" w:cs="Arial"/>
          <w:color w:val="000000"/>
          <w:szCs w:val="24"/>
          <w:u w:val="single"/>
        </w:rPr>
        <w:t>The right to a private life</w:t>
      </w:r>
    </w:p>
    <w:p w:rsidR="001F361B" w:rsidRDefault="001F361B" w:rsidP="00801095">
      <w:pPr>
        <w:shd w:val="clear" w:color="auto" w:fill="FFFFFF"/>
        <w:spacing w:before="0"/>
        <w:jc w:val="both"/>
        <w:rPr>
          <w:rFonts w:ascii="Arial" w:hAnsi="Arial" w:cs="Arial"/>
          <w:color w:val="000000"/>
          <w:szCs w:val="24"/>
        </w:rPr>
      </w:pPr>
    </w:p>
    <w:p w:rsidR="001F361B" w:rsidRDefault="001F361B" w:rsidP="00801095">
      <w:pPr>
        <w:shd w:val="clear" w:color="auto" w:fill="FFFFFF"/>
        <w:spacing w:before="0"/>
        <w:jc w:val="both"/>
        <w:rPr>
          <w:rFonts w:ascii="Arial" w:hAnsi="Arial" w:cs="Arial"/>
          <w:color w:val="000000"/>
          <w:szCs w:val="24"/>
        </w:rPr>
      </w:pPr>
      <w:r>
        <w:rPr>
          <w:rFonts w:ascii="Arial" w:hAnsi="Arial" w:cs="Arial"/>
          <w:color w:val="000000"/>
          <w:szCs w:val="24"/>
        </w:rPr>
        <w:t>Article 17 of the International Covenant on Civil and Political Rights sets out the right to a private life. It prohibits arbitrary or unlawful interferences with an individual’s privacy, family, correspondence or home.</w:t>
      </w:r>
    </w:p>
    <w:p w:rsidR="001F361B" w:rsidRDefault="001F361B" w:rsidP="00801095">
      <w:pPr>
        <w:shd w:val="clear" w:color="auto" w:fill="FFFFFF"/>
        <w:spacing w:before="0"/>
        <w:jc w:val="both"/>
        <w:rPr>
          <w:rFonts w:ascii="Arial" w:hAnsi="Arial" w:cs="Arial"/>
          <w:color w:val="000000"/>
          <w:szCs w:val="24"/>
        </w:rPr>
      </w:pPr>
      <w:r>
        <w:rPr>
          <w:rFonts w:ascii="Arial" w:hAnsi="Arial" w:cs="Arial"/>
          <w:color w:val="000000"/>
          <w:szCs w:val="24"/>
        </w:rPr>
        <w:t> </w:t>
      </w:r>
    </w:p>
    <w:p w:rsidR="001F361B" w:rsidRDefault="00390403" w:rsidP="00801095">
      <w:pPr>
        <w:shd w:val="clear" w:color="auto" w:fill="FFFFFF"/>
        <w:spacing w:before="0"/>
        <w:jc w:val="both"/>
        <w:rPr>
          <w:rFonts w:ascii="Arial" w:hAnsi="Arial" w:cs="Arial"/>
          <w:color w:val="000000"/>
          <w:szCs w:val="24"/>
        </w:rPr>
      </w:pPr>
      <w:r>
        <w:rPr>
          <w:rFonts w:ascii="Arial" w:hAnsi="Arial" w:cs="Arial"/>
          <w:color w:val="000000"/>
          <w:szCs w:val="24"/>
        </w:rPr>
        <w:t xml:space="preserve">By restricting a person’s ability to purchase excluded goods and </w:t>
      </w:r>
      <w:r w:rsidR="00EF4CD5">
        <w:rPr>
          <w:rFonts w:ascii="Arial" w:hAnsi="Arial" w:cs="Arial"/>
          <w:color w:val="000000"/>
          <w:szCs w:val="24"/>
        </w:rPr>
        <w:t xml:space="preserve">excluded </w:t>
      </w:r>
      <w:r>
        <w:rPr>
          <w:rFonts w:ascii="Arial" w:hAnsi="Arial" w:cs="Arial"/>
          <w:color w:val="000000"/>
          <w:szCs w:val="24"/>
        </w:rPr>
        <w:t xml:space="preserve">services, the enhanced income management regime could impact on a person’s right to a private life. Given the objectives of the regime are to minimise access to goods and services </w:t>
      </w:r>
      <w:r w:rsidR="001F361B">
        <w:rPr>
          <w:rFonts w:ascii="Arial" w:hAnsi="Arial" w:cs="Arial"/>
          <w:color w:val="000000"/>
          <w:szCs w:val="24"/>
        </w:rPr>
        <w:t>that con</w:t>
      </w:r>
      <w:r>
        <w:rPr>
          <w:rFonts w:ascii="Arial" w:hAnsi="Arial" w:cs="Arial"/>
          <w:color w:val="000000"/>
          <w:szCs w:val="24"/>
        </w:rPr>
        <w:t>tribute to social harm and adverse behaviour, a</w:t>
      </w:r>
      <w:r w:rsidR="001F361B">
        <w:rPr>
          <w:rFonts w:ascii="Arial" w:hAnsi="Arial" w:cs="Arial"/>
          <w:color w:val="000000"/>
          <w:szCs w:val="24"/>
        </w:rPr>
        <w:t xml:space="preserve">ny limitation on a person’s right to a private life </w:t>
      </w:r>
      <w:r>
        <w:rPr>
          <w:rFonts w:ascii="Arial" w:hAnsi="Arial" w:cs="Arial"/>
          <w:color w:val="000000"/>
          <w:szCs w:val="24"/>
        </w:rPr>
        <w:t>is considered to be reasonable and appropriate.</w:t>
      </w:r>
    </w:p>
    <w:p w:rsidR="001F361B" w:rsidRDefault="001F361B" w:rsidP="00801095">
      <w:pPr>
        <w:shd w:val="clear" w:color="auto" w:fill="FFFFFF"/>
        <w:spacing w:before="0"/>
        <w:jc w:val="both"/>
        <w:rPr>
          <w:rFonts w:ascii="Arial" w:hAnsi="Arial" w:cs="Arial"/>
          <w:color w:val="000000"/>
          <w:szCs w:val="24"/>
        </w:rPr>
      </w:pPr>
    </w:p>
    <w:p w:rsidR="00E8312D" w:rsidRPr="00390403" w:rsidRDefault="00390403" w:rsidP="00801095">
      <w:pPr>
        <w:spacing w:before="0"/>
        <w:jc w:val="both"/>
        <w:rPr>
          <w:rFonts w:ascii="Arial" w:eastAsiaTheme="minorHAnsi" w:hAnsi="Arial" w:cs="Arial"/>
        </w:rPr>
      </w:pPr>
      <w:r>
        <w:rPr>
          <w:rFonts w:ascii="Arial" w:eastAsiaTheme="minorHAnsi" w:hAnsi="Arial" w:cs="Arial"/>
        </w:rPr>
        <w:t>The enhanced income management regime may also</w:t>
      </w:r>
      <w:r w:rsidR="001F361B">
        <w:rPr>
          <w:rFonts w:ascii="Arial" w:eastAsiaTheme="minorHAnsi" w:hAnsi="Arial" w:cs="Arial"/>
        </w:rPr>
        <w:t xml:space="preserve"> engage the right to privacy. Section </w:t>
      </w:r>
      <w:r>
        <w:rPr>
          <w:rFonts w:ascii="Arial" w:eastAsiaTheme="minorHAnsi" w:hAnsi="Arial" w:cs="Arial"/>
        </w:rPr>
        <w:t>123SS</w:t>
      </w:r>
      <w:r w:rsidR="001F361B">
        <w:rPr>
          <w:rFonts w:ascii="Arial" w:eastAsiaTheme="minorHAnsi" w:hAnsi="Arial" w:cs="Arial"/>
        </w:rPr>
        <w:t xml:space="preserve"> of the Act</w:t>
      </w:r>
      <w:r w:rsidR="001F361B">
        <w:rPr>
          <w:rFonts w:ascii="Arial" w:eastAsiaTheme="minorHAnsi" w:hAnsi="Arial" w:cs="Arial"/>
          <w:i/>
        </w:rPr>
        <w:t xml:space="preserve"> </w:t>
      </w:r>
      <w:r w:rsidR="001F361B">
        <w:rPr>
          <w:rFonts w:ascii="Arial" w:eastAsiaTheme="minorHAnsi" w:hAnsi="Arial" w:cs="Arial"/>
        </w:rPr>
        <w:t>allows the disclosure of information to the Secretary by a financial institution.</w:t>
      </w:r>
      <w:r>
        <w:rPr>
          <w:rFonts w:ascii="Arial" w:eastAsiaTheme="minorHAnsi" w:hAnsi="Arial" w:cs="Arial"/>
        </w:rPr>
        <w:t xml:space="preserve"> </w:t>
      </w:r>
      <w:r w:rsidR="00EF4CD5">
        <w:rPr>
          <w:rFonts w:ascii="Arial" w:eastAsiaTheme="minorHAnsi" w:hAnsi="Arial" w:cs="Arial"/>
        </w:rPr>
        <w:t xml:space="preserve">In addition to </w:t>
      </w:r>
      <w:r w:rsidR="00FD5631">
        <w:rPr>
          <w:rFonts w:ascii="Arial" w:eastAsiaTheme="minorHAnsi" w:hAnsi="Arial" w:cs="Arial"/>
        </w:rPr>
        <w:t xml:space="preserve">strict </w:t>
      </w:r>
      <w:r w:rsidR="00EF4CD5">
        <w:rPr>
          <w:rFonts w:ascii="Arial" w:eastAsiaTheme="minorHAnsi" w:hAnsi="Arial" w:cs="Arial"/>
        </w:rPr>
        <w:t>confidentiality requirements</w:t>
      </w:r>
      <w:r w:rsidR="00FD5631">
        <w:rPr>
          <w:rFonts w:ascii="Arial" w:eastAsiaTheme="minorHAnsi" w:hAnsi="Arial" w:cs="Arial"/>
        </w:rPr>
        <w:t xml:space="preserve"> in the Act</w:t>
      </w:r>
      <w:r w:rsidR="00EF4CD5">
        <w:rPr>
          <w:rFonts w:ascii="Arial" w:eastAsiaTheme="minorHAnsi" w:hAnsi="Arial" w:cs="Arial"/>
        </w:rPr>
        <w:t xml:space="preserve">, </w:t>
      </w:r>
      <w:r>
        <w:rPr>
          <w:rFonts w:ascii="Arial" w:eastAsiaTheme="minorHAnsi" w:hAnsi="Arial" w:cs="Arial"/>
        </w:rPr>
        <w:t xml:space="preserve">the Secretary and the financial institution </w:t>
      </w:r>
      <w:r w:rsidR="00FD5631">
        <w:rPr>
          <w:rFonts w:ascii="Arial" w:eastAsiaTheme="minorHAnsi" w:hAnsi="Arial" w:cs="Arial"/>
        </w:rPr>
        <w:t>must</w:t>
      </w:r>
      <w:r>
        <w:rPr>
          <w:rFonts w:ascii="Arial" w:eastAsiaTheme="minorHAnsi" w:hAnsi="Arial" w:cs="Arial"/>
        </w:rPr>
        <w:t xml:space="preserve"> act in accordance with the </w:t>
      </w:r>
      <w:r>
        <w:rPr>
          <w:rFonts w:ascii="Arial" w:eastAsiaTheme="minorHAnsi" w:hAnsi="Arial" w:cs="Arial"/>
          <w:i/>
        </w:rPr>
        <w:t>Privacy Act 1988</w:t>
      </w:r>
      <w:r w:rsidR="00FD5631">
        <w:rPr>
          <w:rFonts w:ascii="Arial" w:eastAsiaTheme="minorHAnsi" w:hAnsi="Arial" w:cs="Arial"/>
        </w:rPr>
        <w:t xml:space="preserve">, including </w:t>
      </w:r>
      <w:r>
        <w:rPr>
          <w:rFonts w:ascii="Arial" w:eastAsiaTheme="minorHAnsi" w:hAnsi="Arial" w:cs="Arial"/>
        </w:rPr>
        <w:t xml:space="preserve">the Australian Privacy Principles (APPs). The APPs </w:t>
      </w:r>
      <w:r w:rsidR="00FD5631">
        <w:rPr>
          <w:rFonts w:ascii="Arial" w:eastAsiaTheme="minorHAnsi" w:hAnsi="Arial" w:cs="Arial"/>
        </w:rPr>
        <w:t>establish</w:t>
      </w:r>
      <w:r>
        <w:rPr>
          <w:rFonts w:ascii="Arial" w:eastAsiaTheme="minorHAnsi" w:hAnsi="Arial" w:cs="Arial"/>
        </w:rPr>
        <w:t xml:space="preserve"> rules </w:t>
      </w:r>
      <w:r w:rsidR="00FD5631">
        <w:rPr>
          <w:rFonts w:ascii="Arial" w:eastAsiaTheme="minorHAnsi" w:hAnsi="Arial" w:cs="Arial"/>
        </w:rPr>
        <w:t xml:space="preserve">for </w:t>
      </w:r>
      <w:r>
        <w:rPr>
          <w:rFonts w:ascii="Arial" w:eastAsiaTheme="minorHAnsi" w:hAnsi="Arial" w:cs="Arial"/>
        </w:rPr>
        <w:t>how personal information can be used</w:t>
      </w:r>
      <w:r w:rsidR="00FD5631">
        <w:rPr>
          <w:rFonts w:ascii="Arial" w:eastAsiaTheme="minorHAnsi" w:hAnsi="Arial" w:cs="Arial"/>
        </w:rPr>
        <w:t xml:space="preserve"> and disclosed</w:t>
      </w:r>
      <w:r>
        <w:rPr>
          <w:rFonts w:ascii="Arial" w:eastAsiaTheme="minorHAnsi" w:hAnsi="Arial" w:cs="Arial"/>
        </w:rPr>
        <w:t>. As</w:t>
      </w:r>
      <w:r w:rsidR="001F361B">
        <w:rPr>
          <w:rFonts w:ascii="Arial" w:eastAsiaTheme="minorHAnsi" w:hAnsi="Arial" w:cs="Arial"/>
        </w:rPr>
        <w:t xml:space="preserve"> a result, there are safeguards in place to protect an individual’s privacy. </w:t>
      </w:r>
      <w:r>
        <w:rPr>
          <w:rFonts w:ascii="Arial" w:eastAsiaTheme="minorHAnsi" w:hAnsi="Arial" w:cs="Arial"/>
        </w:rPr>
        <w:t>A</w:t>
      </w:r>
      <w:r w:rsidR="001F361B">
        <w:rPr>
          <w:rFonts w:ascii="Arial" w:hAnsi="Arial" w:cs="Arial"/>
          <w:color w:val="000000"/>
          <w:szCs w:val="24"/>
        </w:rPr>
        <w:t xml:space="preserve">ny ongoing limitation on a person’s right to privacy is </w:t>
      </w:r>
      <w:r w:rsidR="00FD5631">
        <w:rPr>
          <w:rFonts w:ascii="Arial" w:hAnsi="Arial" w:cs="Arial"/>
          <w:color w:val="000000"/>
          <w:szCs w:val="24"/>
        </w:rPr>
        <w:t xml:space="preserve">therefore </w:t>
      </w:r>
      <w:r w:rsidR="001F361B">
        <w:rPr>
          <w:rFonts w:ascii="Arial" w:hAnsi="Arial" w:cs="Arial"/>
          <w:color w:val="000000"/>
          <w:szCs w:val="24"/>
        </w:rPr>
        <w:t>reasonable and proportionate</w:t>
      </w:r>
      <w:r>
        <w:rPr>
          <w:rFonts w:ascii="Arial" w:hAnsi="Arial" w:cs="Arial"/>
          <w:color w:val="000000"/>
          <w:szCs w:val="24"/>
        </w:rPr>
        <w:t xml:space="preserve"> to ensure the objectives of the enhanced income management regime can be achieved</w:t>
      </w:r>
      <w:r w:rsidR="001F361B">
        <w:rPr>
          <w:rFonts w:ascii="Arial" w:hAnsi="Arial" w:cs="Arial"/>
          <w:color w:val="000000"/>
          <w:szCs w:val="24"/>
        </w:rPr>
        <w:t>. </w:t>
      </w:r>
    </w:p>
    <w:p w:rsidR="006546B7" w:rsidRPr="00BC76EB" w:rsidRDefault="006546B7" w:rsidP="00801095">
      <w:pPr>
        <w:spacing w:after="120"/>
        <w:jc w:val="both"/>
        <w:rPr>
          <w:rFonts w:ascii="Arial" w:hAnsi="Arial" w:cs="Arial"/>
          <w:b/>
          <w:szCs w:val="24"/>
        </w:rPr>
      </w:pPr>
      <w:r w:rsidRPr="00BC76EB">
        <w:rPr>
          <w:rFonts w:ascii="Arial" w:hAnsi="Arial" w:cs="Arial"/>
          <w:b/>
          <w:szCs w:val="24"/>
        </w:rPr>
        <w:t xml:space="preserve">Conclusion </w:t>
      </w:r>
    </w:p>
    <w:p w:rsidR="00390403" w:rsidRDefault="00390403" w:rsidP="00801095">
      <w:pPr>
        <w:shd w:val="clear" w:color="auto" w:fill="FFFFFF"/>
        <w:spacing w:before="0"/>
        <w:jc w:val="both"/>
        <w:rPr>
          <w:rFonts w:ascii="Arial" w:hAnsi="Arial" w:cs="Arial"/>
          <w:color w:val="000000"/>
          <w:szCs w:val="24"/>
        </w:rPr>
      </w:pPr>
      <w:r>
        <w:rPr>
          <w:rFonts w:ascii="Arial" w:hAnsi="Arial" w:cs="Arial"/>
          <w:color w:val="000000"/>
          <w:szCs w:val="24"/>
        </w:rPr>
        <w:t xml:space="preserve">The Determination is compatible with human rights. The Determination </w:t>
      </w:r>
      <w:r w:rsidR="00FD5631">
        <w:rPr>
          <w:rFonts w:ascii="Arial" w:hAnsi="Arial" w:cs="Arial"/>
          <w:color w:val="000000"/>
          <w:szCs w:val="24"/>
        </w:rPr>
        <w:t xml:space="preserve">protects </w:t>
      </w:r>
      <w:r>
        <w:rPr>
          <w:rFonts w:ascii="Arial" w:hAnsi="Arial" w:cs="Arial"/>
          <w:color w:val="000000"/>
          <w:szCs w:val="24"/>
        </w:rPr>
        <w:t>human rights by continuing to ensure that income support payments are spent in the best interests of welfare payment recipients and their family and children while ensuring eligible individuals have access to a contemporary card with similar functionality to a regular debit card</w:t>
      </w:r>
      <w:r w:rsidR="002940EC">
        <w:rPr>
          <w:rFonts w:ascii="Arial" w:hAnsi="Arial" w:cs="Arial"/>
          <w:color w:val="000000"/>
          <w:szCs w:val="24"/>
        </w:rPr>
        <w:t xml:space="preserve"> (the SmartCard)</w:t>
      </w:r>
      <w:r>
        <w:rPr>
          <w:rFonts w:ascii="Arial" w:hAnsi="Arial" w:cs="Arial"/>
          <w:color w:val="000000"/>
          <w:szCs w:val="24"/>
        </w:rPr>
        <w:t>.</w:t>
      </w:r>
    </w:p>
    <w:p w:rsidR="00390403" w:rsidRDefault="00390403" w:rsidP="00801095">
      <w:pPr>
        <w:shd w:val="clear" w:color="auto" w:fill="FFFFFF"/>
        <w:spacing w:before="0"/>
        <w:jc w:val="both"/>
        <w:rPr>
          <w:rFonts w:ascii="Arial" w:hAnsi="Arial" w:cs="Arial"/>
          <w:color w:val="000000"/>
          <w:szCs w:val="24"/>
        </w:rPr>
      </w:pPr>
      <w:r>
        <w:rPr>
          <w:rFonts w:ascii="Arial" w:hAnsi="Arial" w:cs="Arial"/>
          <w:color w:val="000000"/>
          <w:szCs w:val="24"/>
        </w:rPr>
        <w:t> </w:t>
      </w:r>
    </w:p>
    <w:p w:rsidR="00390403" w:rsidRDefault="00390403" w:rsidP="00801095">
      <w:pPr>
        <w:shd w:val="clear" w:color="auto" w:fill="FFFFFF"/>
        <w:spacing w:before="0"/>
        <w:jc w:val="both"/>
        <w:rPr>
          <w:rFonts w:ascii="Arial" w:hAnsi="Arial" w:cs="Arial"/>
          <w:color w:val="000000"/>
          <w:szCs w:val="24"/>
        </w:rPr>
      </w:pPr>
      <w:r>
        <w:rPr>
          <w:rFonts w:ascii="Arial" w:hAnsi="Arial" w:cs="Arial"/>
          <w:color w:val="000000"/>
          <w:szCs w:val="24"/>
        </w:rPr>
        <w:t>To the extent that they may limit human rights by enabling restrictions to be placed on how an individual uses their welfare payments, those limitations are reasonable, necessary and proportionate to achieving the legitimate objectives of the enhanced income management regime.</w:t>
      </w:r>
    </w:p>
    <w:p w:rsidR="00390403" w:rsidRPr="00BC76EB" w:rsidRDefault="00390403" w:rsidP="00801095">
      <w:pPr>
        <w:spacing w:before="120" w:after="120"/>
        <w:rPr>
          <w:rFonts w:ascii="Arial" w:hAnsi="Arial" w:cs="Arial"/>
          <w:szCs w:val="24"/>
        </w:rPr>
      </w:pPr>
    </w:p>
    <w:bookmarkEnd w:id="2"/>
    <w:p w:rsidR="00390403" w:rsidRDefault="00390403" w:rsidP="00801095">
      <w:pPr>
        <w:spacing w:before="0"/>
        <w:jc w:val="center"/>
        <w:rPr>
          <w:rStyle w:val="BookTitle"/>
          <w:rFonts w:ascii="Arial" w:eastAsiaTheme="majorEastAsia" w:hAnsi="Arial" w:cs="Arial"/>
          <w:i w:val="0"/>
          <w:iCs w:val="0"/>
          <w:szCs w:val="24"/>
        </w:rPr>
      </w:pPr>
      <w:r>
        <w:rPr>
          <w:rFonts w:ascii="Arial" w:hAnsi="Arial" w:cs="Arial"/>
          <w:b/>
          <w:szCs w:val="24"/>
        </w:rPr>
        <w:t>Raymond Griggs AO CSC</w:t>
      </w:r>
      <w:r w:rsidR="00FD5631">
        <w:rPr>
          <w:rFonts w:ascii="Arial" w:hAnsi="Arial" w:cs="Arial"/>
          <w:b/>
          <w:szCs w:val="24"/>
        </w:rPr>
        <w:t xml:space="preserve">, </w:t>
      </w:r>
      <w:r>
        <w:rPr>
          <w:rFonts w:ascii="Arial" w:hAnsi="Arial" w:cs="Arial"/>
          <w:b/>
          <w:szCs w:val="24"/>
        </w:rPr>
        <w:t>Secretary</w:t>
      </w:r>
      <w:r w:rsidR="00FD5631">
        <w:rPr>
          <w:rFonts w:ascii="Arial" w:hAnsi="Arial" w:cs="Arial"/>
          <w:b/>
          <w:szCs w:val="24"/>
        </w:rPr>
        <w:t xml:space="preserve"> of the</w:t>
      </w:r>
      <w:r>
        <w:rPr>
          <w:rFonts w:ascii="Arial" w:hAnsi="Arial" w:cs="Arial"/>
          <w:b/>
          <w:szCs w:val="24"/>
        </w:rPr>
        <w:t xml:space="preserve"> Department of Social Services</w:t>
      </w:r>
    </w:p>
    <w:p w:rsidR="001930BC" w:rsidRDefault="001930BC">
      <w:pPr>
        <w:spacing w:before="0" w:after="200" w:line="276" w:lineRule="auto"/>
        <w:rPr>
          <w:rFonts w:ascii="Arial" w:hAnsi="Arial" w:cs="Arial"/>
          <w:b/>
          <w:bCs/>
          <w:szCs w:val="24"/>
        </w:rPr>
      </w:pPr>
      <w:r>
        <w:rPr>
          <w:rFonts w:ascii="Arial" w:hAnsi="Arial" w:cs="Arial"/>
          <w:b/>
          <w:bCs/>
          <w:szCs w:val="24"/>
        </w:rPr>
        <w:br w:type="page"/>
      </w:r>
    </w:p>
    <w:p w:rsidR="001930BC" w:rsidRPr="00AF3906" w:rsidRDefault="001930BC" w:rsidP="001930BC">
      <w:pPr>
        <w:spacing w:before="200"/>
        <w:jc w:val="both"/>
        <w:outlineLvl w:val="1"/>
        <w:rPr>
          <w:rFonts w:ascii="Arial" w:eastAsiaTheme="majorEastAsia" w:hAnsi="Arial" w:cs="Arial"/>
          <w:b/>
          <w:bCs/>
        </w:rPr>
      </w:pPr>
      <w:bookmarkStart w:id="4" w:name="_Toc108008471"/>
      <w:bookmarkStart w:id="5" w:name="_Toc118103731"/>
      <w:r>
        <w:rPr>
          <w:rFonts w:ascii="Arial" w:eastAsiaTheme="majorEastAsia" w:hAnsi="Arial" w:cs="Arial"/>
          <w:b/>
          <w:bCs/>
        </w:rPr>
        <w:lastRenderedPageBreak/>
        <w:t>Regulation</w:t>
      </w:r>
      <w:r w:rsidRPr="00AF3906">
        <w:rPr>
          <w:rFonts w:ascii="Arial" w:eastAsiaTheme="majorEastAsia" w:hAnsi="Arial" w:cs="Arial"/>
          <w:b/>
          <w:bCs/>
        </w:rPr>
        <w:t xml:space="preserve"> Impact Statement Executive Summary</w:t>
      </w:r>
      <w:bookmarkEnd w:id="4"/>
      <w:bookmarkEnd w:id="5"/>
    </w:p>
    <w:p w:rsidR="001930BC" w:rsidRPr="00AF3906" w:rsidRDefault="001930BC" w:rsidP="001930BC">
      <w:pPr>
        <w:jc w:val="both"/>
        <w:rPr>
          <w:rFonts w:ascii="Arial" w:hAnsi="Arial" w:cs="Arial"/>
        </w:rPr>
      </w:pPr>
      <w:r w:rsidRPr="00AF3906">
        <w:rPr>
          <w:rFonts w:ascii="Arial" w:hAnsi="Arial" w:cs="Arial"/>
        </w:rPr>
        <w:t xml:space="preserve">Currently, there are </w:t>
      </w:r>
      <w:r>
        <w:rPr>
          <w:rFonts w:ascii="Arial" w:hAnsi="Arial" w:cs="Arial"/>
        </w:rPr>
        <w:t>2</w:t>
      </w:r>
      <w:r w:rsidRPr="00AF3906">
        <w:rPr>
          <w:rFonts w:ascii="Arial" w:hAnsi="Arial" w:cs="Arial"/>
        </w:rPr>
        <w:t xml:space="preserve"> programs in operation that restrict what people can purchase with their welfare payments. These programs are IM which was established in 2007 and the CDC program which was established in 2016. These programs run concurrently across several locations in Australia. Both CDC and IM have an objective to restrict the purchase of items such as alcohol and gambling products so participants prioritise expenditure on essential expenses such as rent, food and utilities.</w:t>
      </w:r>
    </w:p>
    <w:p w:rsidR="001930BC" w:rsidRPr="00AF3906" w:rsidRDefault="001930BC" w:rsidP="001930BC">
      <w:pPr>
        <w:jc w:val="both"/>
        <w:rPr>
          <w:rFonts w:ascii="Arial" w:hAnsi="Arial" w:cs="Arial"/>
        </w:rPr>
      </w:pPr>
      <w:r w:rsidRPr="00AF3906">
        <w:rPr>
          <w:rFonts w:ascii="Arial" w:hAnsi="Arial" w:cs="Arial"/>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rsidR="001930BC" w:rsidRPr="00AF3906" w:rsidRDefault="001930BC" w:rsidP="001930BC">
      <w:pPr>
        <w:jc w:val="both"/>
        <w:rPr>
          <w:rFonts w:ascii="Arial" w:hAnsi="Arial" w:cs="Arial"/>
        </w:rPr>
      </w:pPr>
      <w:r w:rsidRPr="00AF3906">
        <w:rPr>
          <w:rFonts w:ascii="Arial" w:hAnsi="Arial" w:cs="Arial"/>
        </w:rPr>
        <w:t xml:space="preserve">Both programs have undergone several evaluations to monitor and evaluate the programs’ successes and shortfalls. These evaluations have established that the CDC program has produced mixed results. The recent audit report of the </w:t>
      </w:r>
      <w:r w:rsidRPr="00AF3906">
        <w:rPr>
          <w:rFonts w:ascii="Arial" w:hAnsi="Arial" w:cs="Arial"/>
          <w:i/>
        </w:rPr>
        <w:t>Cashless Debit Card by the Australian National Audit Office (ANAO)</w:t>
      </w:r>
      <w:r w:rsidRPr="00AF3906">
        <w:rPr>
          <w:rFonts w:ascii="Arial" w:hAnsi="Arial" w:cs="Arial"/>
        </w:rPr>
        <w:t xml:space="preserve"> (published 2022) highlights a lack of available data to confirm that the CDC program is achieving its outcomes and little evidence to support the continuation of the program.</w:t>
      </w:r>
    </w:p>
    <w:p w:rsidR="001930BC" w:rsidRPr="00AF3906" w:rsidRDefault="001930BC" w:rsidP="001930BC">
      <w:pPr>
        <w:jc w:val="both"/>
        <w:rPr>
          <w:rFonts w:ascii="Arial" w:hAnsi="Arial" w:cs="Arial"/>
        </w:rPr>
      </w:pPr>
      <w:r w:rsidRPr="00AF3906">
        <w:rPr>
          <w:rFonts w:ascii="Arial" w:hAnsi="Arial" w:cs="Arial"/>
        </w:rPr>
        <w:t>The Government made an election commitment to abolish the CDC program and consult with communities about alternative options to support individuals and communities including options for voluntary IM.</w:t>
      </w:r>
    </w:p>
    <w:p w:rsidR="001930BC" w:rsidRPr="00AF3906" w:rsidRDefault="001930BC" w:rsidP="001930BC">
      <w:pPr>
        <w:jc w:val="both"/>
        <w:rPr>
          <w:rFonts w:ascii="Arial" w:hAnsi="Arial" w:cs="Arial"/>
        </w:rPr>
      </w:pPr>
      <w:r w:rsidRPr="00AF3906">
        <w:rPr>
          <w:rFonts w:ascii="Arial" w:hAnsi="Arial" w:cs="Arial"/>
        </w:rPr>
        <w:t>In supporting the Government’s implementation of this commitment, the Department of Social Services (the Department) has considered 2 options regarding the future of welfare quarantining.</w:t>
      </w:r>
    </w:p>
    <w:p w:rsidR="001930BC" w:rsidRPr="00AF3906" w:rsidRDefault="001930BC" w:rsidP="001930BC">
      <w:pPr>
        <w:jc w:val="both"/>
        <w:rPr>
          <w:rFonts w:ascii="Arial" w:hAnsi="Arial" w:cs="Arial"/>
        </w:rPr>
      </w:pPr>
      <w:r w:rsidRPr="00AF3906">
        <w:rPr>
          <w:rFonts w:ascii="Arial" w:hAnsi="Arial" w:cs="Arial"/>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rsidR="001930BC" w:rsidRPr="00AF3906" w:rsidRDefault="001930BC" w:rsidP="001930BC">
      <w:pPr>
        <w:jc w:val="both"/>
        <w:rPr>
          <w:rFonts w:ascii="Arial" w:hAnsi="Arial" w:cs="Arial"/>
        </w:rPr>
      </w:pPr>
      <w:r w:rsidRPr="00AF3906">
        <w:rPr>
          <w:rFonts w:ascii="Arial" w:hAnsi="Arial" w:cs="Arial"/>
        </w:rPr>
        <w:t xml:space="preserve">The </w:t>
      </w:r>
      <w:r w:rsidRPr="00AF3906">
        <w:rPr>
          <w:rFonts w:ascii="Arial" w:hAnsi="Arial" w:cs="Arial"/>
          <w:b/>
        </w:rPr>
        <w:t>preferred option is Option 2</w:t>
      </w:r>
      <w:r w:rsidRPr="00AF3906">
        <w:rPr>
          <w:rFonts w:ascii="Arial" w:hAnsi="Arial" w:cs="Arial"/>
        </w:rPr>
        <w:t xml:space="preserve"> where the </w:t>
      </w:r>
      <w:r w:rsidRPr="00AF3906">
        <w:rPr>
          <w:rFonts w:ascii="Arial" w:eastAsia="Calibri" w:hAnsi="Arial" w:cs="Arial"/>
          <w:color w:val="262626"/>
        </w:rPr>
        <w:t xml:space="preserve">CDC program is abolished and reforms are made to IM to enable a greater level of community decision-making. Transitional arrangements including support services would assist those who choose to leave the programs. Option 2 </w:t>
      </w:r>
      <w:r w:rsidRPr="00AF3906">
        <w:rPr>
          <w:rFonts w:ascii="Arial" w:hAnsi="Arial" w:cs="Arial"/>
        </w:rPr>
        <w:t>complements the Government’s strategic priority to give people on these programs more choice on how they spend their income support payments. It will also provide greater value for money given the lack of evidence that the programs are meeting their objectives.</w:t>
      </w:r>
    </w:p>
    <w:p w:rsidR="001930BC" w:rsidRPr="00AF3906" w:rsidRDefault="001930BC" w:rsidP="001930BC">
      <w:pPr>
        <w:jc w:val="both"/>
        <w:rPr>
          <w:rFonts w:ascii="Arial" w:hAnsi="Arial" w:cs="Arial"/>
        </w:rPr>
      </w:pPr>
      <w:r w:rsidRPr="00AF3906">
        <w:rPr>
          <w:rFonts w:ascii="Arial" w:hAnsi="Arial" w:cs="Arial"/>
        </w:rPr>
        <w:t xml:space="preserve">Option 2 will see a reduction in the regulatory burden faced by individuals and businesses in affected locations and provide participants with greater freedom to choose how and where to spend their money and how they manage their finances </w:t>
      </w:r>
      <w:r w:rsidRPr="00AF3906">
        <w:rPr>
          <w:rFonts w:ascii="Arial" w:hAnsi="Arial" w:cs="Arial"/>
        </w:rPr>
        <w:lastRenderedPageBreak/>
        <w:t>including decisions on who they bank with. These are freedoms afforded to most Australians and those on the program have limits placed on these choices. The </w:t>
      </w:r>
      <w:r w:rsidRPr="00AF3906">
        <w:rPr>
          <w:rFonts w:ascii="Arial" w:hAnsi="Arial" w:cs="Arial"/>
          <w:b/>
        </w:rPr>
        <w:t>regulatory save</w:t>
      </w:r>
      <w:r w:rsidRPr="00AF3906">
        <w:rPr>
          <w:rFonts w:ascii="Arial" w:hAnsi="Arial" w:cs="Arial"/>
        </w:rPr>
        <w:t xml:space="preserve"> has been calculated at </w:t>
      </w:r>
      <w:r w:rsidRPr="00AF3906">
        <w:rPr>
          <w:rFonts w:ascii="Arial" w:hAnsi="Arial" w:cs="Arial"/>
          <w:b/>
        </w:rPr>
        <w:t>$21.5m over 10 years</w:t>
      </w:r>
      <w:r w:rsidRPr="00AF3906">
        <w:rPr>
          <w:rFonts w:ascii="Arial" w:hAnsi="Arial" w:cs="Arial"/>
        </w:rPr>
        <w:t>.</w:t>
      </w:r>
    </w:p>
    <w:p w:rsidR="001930BC" w:rsidRPr="00AF3906" w:rsidRDefault="001930BC" w:rsidP="001930BC">
      <w:pPr>
        <w:jc w:val="both"/>
        <w:rPr>
          <w:rFonts w:ascii="Arial" w:hAnsi="Arial" w:cs="Arial"/>
        </w:rPr>
      </w:pPr>
      <w:r w:rsidRPr="00AF3906">
        <w:rPr>
          <w:rFonts w:ascii="Arial" w:hAnsi="Arial" w:cs="Arial"/>
        </w:rPr>
        <w:t>The Department has undertaken consultation with those in affected locations including targeted Ministerial visits by the Minister for Social Services, the Hon Amanda Rishworth MP (the Minister) and the Assistant Minister for Social Services, the Hon</w:t>
      </w:r>
      <w:r>
        <w:rPr>
          <w:rFonts w:ascii="Arial" w:hAnsi="Arial" w:cs="Arial"/>
        </w:rPr>
        <w:t> </w:t>
      </w:r>
      <w:r w:rsidRPr="00AF3906">
        <w:rPr>
          <w:rFonts w:ascii="Arial" w:hAnsi="Arial" w:cs="Arial"/>
        </w:rPr>
        <w:t>Justine Elliot MP (the Assistant Minister). Senator the Hon Patrick Dodson, Senator the Hon Malarndirri McCarthy, and Ms Marion Scrymgour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rsidR="001930BC" w:rsidRPr="00AF3906" w:rsidRDefault="001930BC" w:rsidP="001930BC">
      <w:pPr>
        <w:jc w:val="both"/>
        <w:rPr>
          <w:rFonts w:ascii="Arial" w:hAnsi="Arial" w:cs="Arial"/>
        </w:rPr>
      </w:pPr>
      <w:r w:rsidRPr="00AF3906">
        <w:rPr>
          <w:rFonts w:ascii="Arial" w:hAnsi="Arial" w:cs="Arial"/>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IM could look like.</w:t>
      </w:r>
    </w:p>
    <w:p w:rsidR="001930BC" w:rsidRPr="00AF3906" w:rsidRDefault="001930BC" w:rsidP="001930BC">
      <w:pPr>
        <w:jc w:val="both"/>
        <w:rPr>
          <w:rFonts w:ascii="Arial" w:hAnsi="Arial" w:cs="Arial"/>
        </w:rPr>
      </w:pPr>
      <w:r w:rsidRPr="00AF3906">
        <w:rPr>
          <w:rFonts w:ascii="Arial" w:hAnsi="Arial" w:cs="Arial"/>
        </w:rPr>
        <w:t>At all times, the focus of these consultations is to understand the CDC participants’ experiences and possible impacts on them and their communities to inform implementation arrangements and understand individual and community support needs.</w:t>
      </w:r>
    </w:p>
    <w:p w:rsidR="001930BC" w:rsidRPr="00AF3906" w:rsidRDefault="001930BC" w:rsidP="001930BC">
      <w:pPr>
        <w:jc w:val="both"/>
        <w:rPr>
          <w:rFonts w:ascii="Arial" w:hAnsi="Arial" w:cs="Arial"/>
        </w:rPr>
      </w:pPr>
      <w:r w:rsidRPr="00AF3906">
        <w:rPr>
          <w:rFonts w:ascii="Arial" w:hAnsi="Arial" w:cs="Arial"/>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rsidR="001930BC" w:rsidRPr="00AF3906" w:rsidRDefault="001930BC" w:rsidP="001930BC">
      <w:pPr>
        <w:jc w:val="both"/>
        <w:rPr>
          <w:rFonts w:ascii="Arial" w:hAnsi="Arial" w:cs="Arial"/>
        </w:rPr>
      </w:pPr>
      <w:r w:rsidRPr="00AF3906">
        <w:rPr>
          <w:rFonts w:ascii="Arial" w:hAnsi="Arial" w:cs="Arial"/>
        </w:rPr>
        <w:t xml:space="preserve">Transition will be a staged approach with any future evaluation </w:t>
      </w:r>
      <w:r w:rsidRPr="00AF3906">
        <w:rPr>
          <w:rFonts w:ascii="Arial" w:eastAsia="Calibri" w:hAnsi="Arial" w:cs="Arial"/>
          <w:color w:val="262626"/>
        </w:rPr>
        <w:t xml:space="preserve">focused on the experience of participants coming off the programs and effectiveness of support services. The Department will </w:t>
      </w:r>
      <w:r w:rsidRPr="00AF3906">
        <w:rPr>
          <w:rFonts w:ascii="Arial" w:hAnsi="Arial" w:cs="Arial"/>
        </w:rPr>
        <w:t>consult with affected communities to ensure that the evaluation methodology is fit for purpose. This may include co-designing an evaluation methodology with communities, and identifying measures the communities see as important. It is important to note this information along with any lessons learnt will help develop Government’s future evidence based policy.</w:t>
      </w:r>
    </w:p>
    <w:p w:rsidR="001920F3" w:rsidRPr="00BC76EB" w:rsidRDefault="001920F3" w:rsidP="00801095">
      <w:pPr>
        <w:spacing w:before="0" w:after="200"/>
        <w:rPr>
          <w:rFonts w:ascii="Arial" w:hAnsi="Arial" w:cs="Arial"/>
          <w:b/>
          <w:bCs/>
          <w:szCs w:val="24"/>
        </w:rPr>
      </w:pPr>
    </w:p>
    <w:sectPr w:rsidR="001920F3"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260" w:rsidRDefault="001C7260" w:rsidP="00AD1645">
      <w:pPr>
        <w:spacing w:before="0"/>
      </w:pPr>
      <w:r>
        <w:separator/>
      </w:r>
    </w:p>
  </w:endnote>
  <w:endnote w:type="continuationSeparator" w:id="0">
    <w:p w:rsidR="001C7260" w:rsidRDefault="001C7260" w:rsidP="00AD1645">
      <w:pPr>
        <w:spacing w:before="0"/>
      </w:pPr>
      <w:r>
        <w:continuationSeparator/>
      </w:r>
    </w:p>
  </w:endnote>
  <w:endnote w:type="continuationNotice" w:id="1">
    <w:p w:rsidR="001C7260" w:rsidRDefault="001C72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260" w:rsidRDefault="001C7260" w:rsidP="00AD1645">
      <w:pPr>
        <w:spacing w:before="0"/>
      </w:pPr>
      <w:r>
        <w:separator/>
      </w:r>
    </w:p>
  </w:footnote>
  <w:footnote w:type="continuationSeparator" w:id="0">
    <w:p w:rsidR="001C7260" w:rsidRDefault="001C7260" w:rsidP="00AD1645">
      <w:pPr>
        <w:spacing w:before="0"/>
      </w:pPr>
      <w:r>
        <w:continuationSeparator/>
      </w:r>
    </w:p>
  </w:footnote>
  <w:footnote w:type="continuationNotice" w:id="1">
    <w:p w:rsidR="001C7260" w:rsidRDefault="001C726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E40"/>
    <w:multiLevelType w:val="hybridMultilevel"/>
    <w:tmpl w:val="5E565E5C"/>
    <w:lvl w:ilvl="0" w:tplc="F1C0FA38">
      <w:start w:val="1"/>
      <w:numFmt w:val="decimal"/>
      <w:lvlText w:val="%1."/>
      <w:lvlJc w:val="left"/>
      <w:pPr>
        <w:ind w:left="1080" w:hanging="720"/>
      </w:pPr>
      <w:rPr>
        <w:rFonts w:hint="default"/>
      </w:rPr>
    </w:lvl>
    <w:lvl w:ilvl="1" w:tplc="E3BE6E7A">
      <w:start w:val="1"/>
      <w:numFmt w:val="lowerLetter"/>
      <w:lvlText w:val="(%2)"/>
      <w:lvlJc w:val="left"/>
      <w:pPr>
        <w:ind w:left="1440" w:hanging="360"/>
      </w:pPr>
      <w:rPr>
        <w:rFonts w:hint="default"/>
      </w:rPr>
    </w:lvl>
    <w:lvl w:ilvl="2" w:tplc="3D262348">
      <w:start w:val="1"/>
      <w:numFmt w:val="lowerRoman"/>
      <w:lvlText w:val="(%3)"/>
      <w:lvlJc w:val="right"/>
      <w:pPr>
        <w:ind w:left="2160" w:hanging="180"/>
      </w:pPr>
      <w:rPr>
        <w:rFonts w:hint="default"/>
      </w:rPr>
    </w:lvl>
    <w:lvl w:ilvl="3" w:tplc="3D262348">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F4503"/>
    <w:multiLevelType w:val="hybridMultilevel"/>
    <w:tmpl w:val="7974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E642ED"/>
    <w:multiLevelType w:val="hybridMultilevel"/>
    <w:tmpl w:val="6504E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E1DE6"/>
    <w:multiLevelType w:val="hybridMultilevel"/>
    <w:tmpl w:val="5D1A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480647"/>
    <w:multiLevelType w:val="hybridMultilevel"/>
    <w:tmpl w:val="F8A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4A5827"/>
    <w:multiLevelType w:val="hybridMultilevel"/>
    <w:tmpl w:val="32BE2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0B1349"/>
    <w:multiLevelType w:val="hybridMultilevel"/>
    <w:tmpl w:val="2940C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334E13"/>
    <w:multiLevelType w:val="hybridMultilevel"/>
    <w:tmpl w:val="EA1E07DC"/>
    <w:lvl w:ilvl="0" w:tplc="F1C0FA38">
      <w:start w:val="1"/>
      <w:numFmt w:val="decimal"/>
      <w:lvlText w:val="%1."/>
      <w:lvlJc w:val="left"/>
      <w:pPr>
        <w:ind w:left="1080" w:hanging="720"/>
      </w:pPr>
      <w:rPr>
        <w:rFonts w:hint="default"/>
      </w:rPr>
    </w:lvl>
    <w:lvl w:ilvl="1" w:tplc="E3BE6E7A">
      <w:start w:val="1"/>
      <w:numFmt w:val="lowerLetter"/>
      <w:lvlText w:val="(%2)"/>
      <w:lvlJc w:val="left"/>
      <w:pPr>
        <w:ind w:left="1440" w:hanging="360"/>
      </w:pPr>
      <w:rPr>
        <w:rFonts w:hint="default"/>
      </w:rPr>
    </w:lvl>
    <w:lvl w:ilvl="2" w:tplc="A0D23BAC">
      <w:start w:val="1"/>
      <w:numFmt w:val="lowerLetter"/>
      <w:lvlText w:val="(%3)"/>
      <w:lvlJc w:val="left"/>
      <w:pPr>
        <w:ind w:left="2160" w:hanging="180"/>
      </w:pPr>
      <w:rPr>
        <w:rFonts w:ascii="Arial" w:eastAsia="Times New Roman" w:hAnsi="Arial" w:cs="Arial"/>
      </w:rPr>
    </w:lvl>
    <w:lvl w:ilvl="3" w:tplc="3D262348">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9"/>
  </w:num>
  <w:num w:numId="5">
    <w:abstractNumId w:val="16"/>
  </w:num>
  <w:num w:numId="6">
    <w:abstractNumId w:val="2"/>
  </w:num>
  <w:num w:numId="7">
    <w:abstractNumId w:val="12"/>
  </w:num>
  <w:num w:numId="8">
    <w:abstractNumId w:val="20"/>
  </w:num>
  <w:num w:numId="9">
    <w:abstractNumId w:val="8"/>
  </w:num>
  <w:num w:numId="10">
    <w:abstractNumId w:val="21"/>
  </w:num>
  <w:num w:numId="11">
    <w:abstractNumId w:val="4"/>
  </w:num>
  <w:num w:numId="12">
    <w:abstractNumId w:val="6"/>
  </w:num>
  <w:num w:numId="13">
    <w:abstractNumId w:val="1"/>
  </w:num>
  <w:num w:numId="14">
    <w:abstractNumId w:val="9"/>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13"/>
  </w:num>
  <w:num w:numId="20">
    <w:abstractNumId w:val="10"/>
  </w:num>
  <w:num w:numId="21">
    <w:abstractNumId w:val="17"/>
  </w:num>
  <w:num w:numId="22">
    <w:abstractNumId w:val="0"/>
  </w:num>
  <w:num w:numId="23">
    <w:abstractNumId w:val="3"/>
  </w:num>
  <w:num w:numId="24">
    <w:abstractNumId w:val="11"/>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184206-84A3-4EBD-9A96-03BDC1260422}"/>
    <w:docVar w:name="dgnword-eventsink" w:val="910803640"/>
  </w:docVars>
  <w:rsids>
    <w:rsidRoot w:val="002533F0"/>
    <w:rsid w:val="00000E2A"/>
    <w:rsid w:val="00004004"/>
    <w:rsid w:val="00005512"/>
    <w:rsid w:val="0000668E"/>
    <w:rsid w:val="00011365"/>
    <w:rsid w:val="00011D1C"/>
    <w:rsid w:val="0001205E"/>
    <w:rsid w:val="00016EC3"/>
    <w:rsid w:val="00021ED2"/>
    <w:rsid w:val="000269EE"/>
    <w:rsid w:val="00030B79"/>
    <w:rsid w:val="00031D0B"/>
    <w:rsid w:val="00043B10"/>
    <w:rsid w:val="00043B6D"/>
    <w:rsid w:val="000447B5"/>
    <w:rsid w:val="00045BF2"/>
    <w:rsid w:val="00051C3F"/>
    <w:rsid w:val="0005477B"/>
    <w:rsid w:val="00055135"/>
    <w:rsid w:val="0006693F"/>
    <w:rsid w:val="00066DAE"/>
    <w:rsid w:val="00074C1A"/>
    <w:rsid w:val="000760DC"/>
    <w:rsid w:val="000844AF"/>
    <w:rsid w:val="0008486D"/>
    <w:rsid w:val="00084B46"/>
    <w:rsid w:val="00085730"/>
    <w:rsid w:val="00096B8D"/>
    <w:rsid w:val="000A3595"/>
    <w:rsid w:val="000A772F"/>
    <w:rsid w:val="000B4130"/>
    <w:rsid w:val="000C2DDB"/>
    <w:rsid w:val="000C5204"/>
    <w:rsid w:val="000D13FB"/>
    <w:rsid w:val="000D365F"/>
    <w:rsid w:val="000D6C5B"/>
    <w:rsid w:val="000E02A0"/>
    <w:rsid w:val="000E3915"/>
    <w:rsid w:val="000F25A4"/>
    <w:rsid w:val="0011719D"/>
    <w:rsid w:val="00122CFC"/>
    <w:rsid w:val="00126429"/>
    <w:rsid w:val="001310C6"/>
    <w:rsid w:val="00131590"/>
    <w:rsid w:val="00140359"/>
    <w:rsid w:val="001447AF"/>
    <w:rsid w:val="001502F9"/>
    <w:rsid w:val="0015134A"/>
    <w:rsid w:val="00152472"/>
    <w:rsid w:val="00163809"/>
    <w:rsid w:val="00165875"/>
    <w:rsid w:val="0016653C"/>
    <w:rsid w:val="00175BC6"/>
    <w:rsid w:val="00180705"/>
    <w:rsid w:val="00191AEC"/>
    <w:rsid w:val="001920F3"/>
    <w:rsid w:val="001930BC"/>
    <w:rsid w:val="001A737C"/>
    <w:rsid w:val="001B5379"/>
    <w:rsid w:val="001C036A"/>
    <w:rsid w:val="001C48F6"/>
    <w:rsid w:val="001C64F9"/>
    <w:rsid w:val="001C7260"/>
    <w:rsid w:val="001D69AF"/>
    <w:rsid w:val="001E5B72"/>
    <w:rsid w:val="001E5D12"/>
    <w:rsid w:val="001E630D"/>
    <w:rsid w:val="001E7422"/>
    <w:rsid w:val="001F361B"/>
    <w:rsid w:val="001F40A7"/>
    <w:rsid w:val="001F4805"/>
    <w:rsid w:val="001F4E3C"/>
    <w:rsid w:val="00201989"/>
    <w:rsid w:val="002154EE"/>
    <w:rsid w:val="00224887"/>
    <w:rsid w:val="0022574F"/>
    <w:rsid w:val="002329E1"/>
    <w:rsid w:val="002334D9"/>
    <w:rsid w:val="00234F9E"/>
    <w:rsid w:val="0024465E"/>
    <w:rsid w:val="0024760C"/>
    <w:rsid w:val="002533F0"/>
    <w:rsid w:val="00255F52"/>
    <w:rsid w:val="00263392"/>
    <w:rsid w:val="0026381C"/>
    <w:rsid w:val="002642C7"/>
    <w:rsid w:val="00264C31"/>
    <w:rsid w:val="00267880"/>
    <w:rsid w:val="00272031"/>
    <w:rsid w:val="002741BD"/>
    <w:rsid w:val="00274720"/>
    <w:rsid w:val="00274CAF"/>
    <w:rsid w:val="00276D06"/>
    <w:rsid w:val="00276F09"/>
    <w:rsid w:val="002810A5"/>
    <w:rsid w:val="00283079"/>
    <w:rsid w:val="002912E0"/>
    <w:rsid w:val="002926E3"/>
    <w:rsid w:val="002940EC"/>
    <w:rsid w:val="002A0E63"/>
    <w:rsid w:val="002A2A71"/>
    <w:rsid w:val="002A4841"/>
    <w:rsid w:val="002A523B"/>
    <w:rsid w:val="002A6007"/>
    <w:rsid w:val="002A63EA"/>
    <w:rsid w:val="002A78B4"/>
    <w:rsid w:val="002B0175"/>
    <w:rsid w:val="002C0C80"/>
    <w:rsid w:val="002C0F57"/>
    <w:rsid w:val="002C1403"/>
    <w:rsid w:val="002C1938"/>
    <w:rsid w:val="002C2252"/>
    <w:rsid w:val="002C6177"/>
    <w:rsid w:val="002D0DB2"/>
    <w:rsid w:val="002D0F1C"/>
    <w:rsid w:val="002D35D8"/>
    <w:rsid w:val="002D4522"/>
    <w:rsid w:val="002E0BB1"/>
    <w:rsid w:val="002E45E2"/>
    <w:rsid w:val="002E7ADE"/>
    <w:rsid w:val="002F2A26"/>
    <w:rsid w:val="00300D38"/>
    <w:rsid w:val="00300D8B"/>
    <w:rsid w:val="00303EE1"/>
    <w:rsid w:val="003119FD"/>
    <w:rsid w:val="00312D7B"/>
    <w:rsid w:val="00322468"/>
    <w:rsid w:val="00326C03"/>
    <w:rsid w:val="00327800"/>
    <w:rsid w:val="003320D9"/>
    <w:rsid w:val="00333A9C"/>
    <w:rsid w:val="00334F9D"/>
    <w:rsid w:val="00335188"/>
    <w:rsid w:val="00337065"/>
    <w:rsid w:val="003430FC"/>
    <w:rsid w:val="003434E2"/>
    <w:rsid w:val="00345FFE"/>
    <w:rsid w:val="00346400"/>
    <w:rsid w:val="00351E79"/>
    <w:rsid w:val="0035378F"/>
    <w:rsid w:val="003606C5"/>
    <w:rsid w:val="00361089"/>
    <w:rsid w:val="003646B1"/>
    <w:rsid w:val="00365424"/>
    <w:rsid w:val="00374A77"/>
    <w:rsid w:val="00380666"/>
    <w:rsid w:val="00385213"/>
    <w:rsid w:val="00387D89"/>
    <w:rsid w:val="00390403"/>
    <w:rsid w:val="00392EB6"/>
    <w:rsid w:val="0039362B"/>
    <w:rsid w:val="00393D4E"/>
    <w:rsid w:val="00394743"/>
    <w:rsid w:val="00394BB8"/>
    <w:rsid w:val="003A04AD"/>
    <w:rsid w:val="003B0E38"/>
    <w:rsid w:val="003B2BB8"/>
    <w:rsid w:val="003B44E1"/>
    <w:rsid w:val="003C3031"/>
    <w:rsid w:val="003C3368"/>
    <w:rsid w:val="003C54B6"/>
    <w:rsid w:val="003D34FF"/>
    <w:rsid w:val="003D5781"/>
    <w:rsid w:val="003D71F6"/>
    <w:rsid w:val="003E1784"/>
    <w:rsid w:val="003F2DA0"/>
    <w:rsid w:val="00400273"/>
    <w:rsid w:val="00414CC4"/>
    <w:rsid w:val="00420387"/>
    <w:rsid w:val="0042132E"/>
    <w:rsid w:val="004250E4"/>
    <w:rsid w:val="00425D9C"/>
    <w:rsid w:val="00440E1E"/>
    <w:rsid w:val="0044403A"/>
    <w:rsid w:val="00446D6C"/>
    <w:rsid w:val="0045240C"/>
    <w:rsid w:val="00453FC9"/>
    <w:rsid w:val="00454405"/>
    <w:rsid w:val="00456E3D"/>
    <w:rsid w:val="00456FBD"/>
    <w:rsid w:val="00457792"/>
    <w:rsid w:val="004646E1"/>
    <w:rsid w:val="00470045"/>
    <w:rsid w:val="00470C3D"/>
    <w:rsid w:val="004726FF"/>
    <w:rsid w:val="004814F1"/>
    <w:rsid w:val="00482411"/>
    <w:rsid w:val="004956ED"/>
    <w:rsid w:val="0049646F"/>
    <w:rsid w:val="00497768"/>
    <w:rsid w:val="004A0C19"/>
    <w:rsid w:val="004A126A"/>
    <w:rsid w:val="004A24AF"/>
    <w:rsid w:val="004B3147"/>
    <w:rsid w:val="004B54CA"/>
    <w:rsid w:val="004C163F"/>
    <w:rsid w:val="004C3403"/>
    <w:rsid w:val="004C54F4"/>
    <w:rsid w:val="004D336A"/>
    <w:rsid w:val="004D5A73"/>
    <w:rsid w:val="004E1678"/>
    <w:rsid w:val="004E3A61"/>
    <w:rsid w:val="004E5CBF"/>
    <w:rsid w:val="004F1CD0"/>
    <w:rsid w:val="004F264A"/>
    <w:rsid w:val="004F5308"/>
    <w:rsid w:val="004F69ED"/>
    <w:rsid w:val="00503EF7"/>
    <w:rsid w:val="00511520"/>
    <w:rsid w:val="00527238"/>
    <w:rsid w:val="005332C8"/>
    <w:rsid w:val="00533C52"/>
    <w:rsid w:val="00536060"/>
    <w:rsid w:val="00540BD8"/>
    <w:rsid w:val="0054729F"/>
    <w:rsid w:val="005545DC"/>
    <w:rsid w:val="0055503B"/>
    <w:rsid w:val="00555458"/>
    <w:rsid w:val="005618A0"/>
    <w:rsid w:val="00562CBC"/>
    <w:rsid w:val="00564B47"/>
    <w:rsid w:val="00566538"/>
    <w:rsid w:val="00566BF6"/>
    <w:rsid w:val="00570367"/>
    <w:rsid w:val="00570884"/>
    <w:rsid w:val="00576330"/>
    <w:rsid w:val="0057641C"/>
    <w:rsid w:val="005766D2"/>
    <w:rsid w:val="00591D1A"/>
    <w:rsid w:val="00594251"/>
    <w:rsid w:val="00597E9D"/>
    <w:rsid w:val="005A0825"/>
    <w:rsid w:val="005A2B9C"/>
    <w:rsid w:val="005A44D0"/>
    <w:rsid w:val="005C0790"/>
    <w:rsid w:val="005C390A"/>
    <w:rsid w:val="005C3AA9"/>
    <w:rsid w:val="005C54B4"/>
    <w:rsid w:val="005C78B2"/>
    <w:rsid w:val="005E4167"/>
    <w:rsid w:val="005E4362"/>
    <w:rsid w:val="005E4607"/>
    <w:rsid w:val="005E4E80"/>
    <w:rsid w:val="005E7B26"/>
    <w:rsid w:val="005F41C9"/>
    <w:rsid w:val="005F5E17"/>
    <w:rsid w:val="005F6760"/>
    <w:rsid w:val="00614C63"/>
    <w:rsid w:val="00620404"/>
    <w:rsid w:val="006224D5"/>
    <w:rsid w:val="00622668"/>
    <w:rsid w:val="00622B71"/>
    <w:rsid w:val="00622D63"/>
    <w:rsid w:val="00624E34"/>
    <w:rsid w:val="00627A3A"/>
    <w:rsid w:val="00632F44"/>
    <w:rsid w:val="006402A6"/>
    <w:rsid w:val="006407D3"/>
    <w:rsid w:val="0064167D"/>
    <w:rsid w:val="00645106"/>
    <w:rsid w:val="006474E9"/>
    <w:rsid w:val="00650B9C"/>
    <w:rsid w:val="00650C1C"/>
    <w:rsid w:val="00651D8E"/>
    <w:rsid w:val="006541FC"/>
    <w:rsid w:val="006546B7"/>
    <w:rsid w:val="00660011"/>
    <w:rsid w:val="00663A62"/>
    <w:rsid w:val="006643AB"/>
    <w:rsid w:val="00664882"/>
    <w:rsid w:val="0067070B"/>
    <w:rsid w:val="00681C7F"/>
    <w:rsid w:val="00683FF5"/>
    <w:rsid w:val="00687351"/>
    <w:rsid w:val="00696063"/>
    <w:rsid w:val="00697A80"/>
    <w:rsid w:val="006A1F70"/>
    <w:rsid w:val="006A4CE7"/>
    <w:rsid w:val="006A53BA"/>
    <w:rsid w:val="006A5D55"/>
    <w:rsid w:val="006A6D51"/>
    <w:rsid w:val="006C16CA"/>
    <w:rsid w:val="006C587C"/>
    <w:rsid w:val="006C5E5E"/>
    <w:rsid w:val="006D7E0F"/>
    <w:rsid w:val="006E0BC7"/>
    <w:rsid w:val="006E1B19"/>
    <w:rsid w:val="006F0769"/>
    <w:rsid w:val="006F37F5"/>
    <w:rsid w:val="00701486"/>
    <w:rsid w:val="00711E65"/>
    <w:rsid w:val="007129D6"/>
    <w:rsid w:val="007151C6"/>
    <w:rsid w:val="00720E42"/>
    <w:rsid w:val="00723421"/>
    <w:rsid w:val="00727DF7"/>
    <w:rsid w:val="0073766B"/>
    <w:rsid w:val="00751D54"/>
    <w:rsid w:val="00753000"/>
    <w:rsid w:val="00754D98"/>
    <w:rsid w:val="00762A05"/>
    <w:rsid w:val="007641B8"/>
    <w:rsid w:val="00771003"/>
    <w:rsid w:val="0077461F"/>
    <w:rsid w:val="007772AA"/>
    <w:rsid w:val="0078126B"/>
    <w:rsid w:val="00785261"/>
    <w:rsid w:val="0079011D"/>
    <w:rsid w:val="007907A8"/>
    <w:rsid w:val="007938F3"/>
    <w:rsid w:val="0079557B"/>
    <w:rsid w:val="007A2BB8"/>
    <w:rsid w:val="007A53DD"/>
    <w:rsid w:val="007A615C"/>
    <w:rsid w:val="007B0256"/>
    <w:rsid w:val="007B2F77"/>
    <w:rsid w:val="007B69DD"/>
    <w:rsid w:val="007C4060"/>
    <w:rsid w:val="007C5234"/>
    <w:rsid w:val="007D448D"/>
    <w:rsid w:val="007D6273"/>
    <w:rsid w:val="007E4043"/>
    <w:rsid w:val="007E4FAD"/>
    <w:rsid w:val="007F300E"/>
    <w:rsid w:val="007F31C2"/>
    <w:rsid w:val="007F44F6"/>
    <w:rsid w:val="00801095"/>
    <w:rsid w:val="0080184F"/>
    <w:rsid w:val="00805353"/>
    <w:rsid w:val="00807CD7"/>
    <w:rsid w:val="00814762"/>
    <w:rsid w:val="00816CFA"/>
    <w:rsid w:val="008259BA"/>
    <w:rsid w:val="0083135C"/>
    <w:rsid w:val="00841C22"/>
    <w:rsid w:val="00851CC8"/>
    <w:rsid w:val="00860BE9"/>
    <w:rsid w:val="00864702"/>
    <w:rsid w:val="008669B7"/>
    <w:rsid w:val="008707FE"/>
    <w:rsid w:val="00871F28"/>
    <w:rsid w:val="008761FF"/>
    <w:rsid w:val="00880E92"/>
    <w:rsid w:val="008954BF"/>
    <w:rsid w:val="00896466"/>
    <w:rsid w:val="008B026E"/>
    <w:rsid w:val="008B1AA5"/>
    <w:rsid w:val="008B4CF1"/>
    <w:rsid w:val="008B79E8"/>
    <w:rsid w:val="008D14F6"/>
    <w:rsid w:val="008D2D41"/>
    <w:rsid w:val="008D2FC2"/>
    <w:rsid w:val="008D59CA"/>
    <w:rsid w:val="008D5B2E"/>
    <w:rsid w:val="008D68B6"/>
    <w:rsid w:val="008D6A4B"/>
    <w:rsid w:val="008D7A97"/>
    <w:rsid w:val="008E0A7E"/>
    <w:rsid w:val="008E1D0E"/>
    <w:rsid w:val="008E320A"/>
    <w:rsid w:val="008E38AE"/>
    <w:rsid w:val="008F5351"/>
    <w:rsid w:val="008F5702"/>
    <w:rsid w:val="008F5C8D"/>
    <w:rsid w:val="0090001F"/>
    <w:rsid w:val="0090702B"/>
    <w:rsid w:val="00912ECB"/>
    <w:rsid w:val="009140F6"/>
    <w:rsid w:val="00915A96"/>
    <w:rsid w:val="009225F0"/>
    <w:rsid w:val="00925620"/>
    <w:rsid w:val="00925633"/>
    <w:rsid w:val="00930624"/>
    <w:rsid w:val="00932E80"/>
    <w:rsid w:val="009332B3"/>
    <w:rsid w:val="00935A03"/>
    <w:rsid w:val="009426E4"/>
    <w:rsid w:val="00946730"/>
    <w:rsid w:val="00946E6D"/>
    <w:rsid w:val="00950ACB"/>
    <w:rsid w:val="00951806"/>
    <w:rsid w:val="0095196E"/>
    <w:rsid w:val="00956519"/>
    <w:rsid w:val="00964A97"/>
    <w:rsid w:val="00966756"/>
    <w:rsid w:val="00966F79"/>
    <w:rsid w:val="00970C88"/>
    <w:rsid w:val="00976809"/>
    <w:rsid w:val="009835AB"/>
    <w:rsid w:val="00985038"/>
    <w:rsid w:val="0099649B"/>
    <w:rsid w:val="009A4EAB"/>
    <w:rsid w:val="009A5D3E"/>
    <w:rsid w:val="009B71A9"/>
    <w:rsid w:val="009C55F8"/>
    <w:rsid w:val="009C63A9"/>
    <w:rsid w:val="009C63B6"/>
    <w:rsid w:val="009D1BE5"/>
    <w:rsid w:val="009F3C43"/>
    <w:rsid w:val="00A04F02"/>
    <w:rsid w:val="00A06B72"/>
    <w:rsid w:val="00A11C3C"/>
    <w:rsid w:val="00A263F2"/>
    <w:rsid w:val="00A27E85"/>
    <w:rsid w:val="00A32285"/>
    <w:rsid w:val="00A332ED"/>
    <w:rsid w:val="00A34390"/>
    <w:rsid w:val="00A375D4"/>
    <w:rsid w:val="00A37984"/>
    <w:rsid w:val="00A42690"/>
    <w:rsid w:val="00A4616D"/>
    <w:rsid w:val="00A46203"/>
    <w:rsid w:val="00A52354"/>
    <w:rsid w:val="00A6045B"/>
    <w:rsid w:val="00A63D74"/>
    <w:rsid w:val="00A66DD0"/>
    <w:rsid w:val="00A6722F"/>
    <w:rsid w:val="00A709D5"/>
    <w:rsid w:val="00A719D2"/>
    <w:rsid w:val="00A7558D"/>
    <w:rsid w:val="00A763EC"/>
    <w:rsid w:val="00A8076E"/>
    <w:rsid w:val="00A8767B"/>
    <w:rsid w:val="00A94C22"/>
    <w:rsid w:val="00AA0F80"/>
    <w:rsid w:val="00AA37AC"/>
    <w:rsid w:val="00AA45C6"/>
    <w:rsid w:val="00AA51E7"/>
    <w:rsid w:val="00AA750B"/>
    <w:rsid w:val="00AB3499"/>
    <w:rsid w:val="00AB7356"/>
    <w:rsid w:val="00AC271F"/>
    <w:rsid w:val="00AC635D"/>
    <w:rsid w:val="00AD1347"/>
    <w:rsid w:val="00AD1645"/>
    <w:rsid w:val="00AD1F7C"/>
    <w:rsid w:val="00AD5A3D"/>
    <w:rsid w:val="00AD69FE"/>
    <w:rsid w:val="00AE11F6"/>
    <w:rsid w:val="00AE3176"/>
    <w:rsid w:val="00AF0E6A"/>
    <w:rsid w:val="00B01538"/>
    <w:rsid w:val="00B04EB0"/>
    <w:rsid w:val="00B24531"/>
    <w:rsid w:val="00B246D5"/>
    <w:rsid w:val="00B261D9"/>
    <w:rsid w:val="00B33E33"/>
    <w:rsid w:val="00B376E6"/>
    <w:rsid w:val="00B37ECE"/>
    <w:rsid w:val="00B44F81"/>
    <w:rsid w:val="00B46651"/>
    <w:rsid w:val="00B50EB6"/>
    <w:rsid w:val="00B52B87"/>
    <w:rsid w:val="00B54C30"/>
    <w:rsid w:val="00B57278"/>
    <w:rsid w:val="00B62328"/>
    <w:rsid w:val="00B6419D"/>
    <w:rsid w:val="00B6472A"/>
    <w:rsid w:val="00B73680"/>
    <w:rsid w:val="00B73BA1"/>
    <w:rsid w:val="00B74531"/>
    <w:rsid w:val="00B777D9"/>
    <w:rsid w:val="00B821A0"/>
    <w:rsid w:val="00B82365"/>
    <w:rsid w:val="00B92ABA"/>
    <w:rsid w:val="00B97B22"/>
    <w:rsid w:val="00BA2DB9"/>
    <w:rsid w:val="00BA6C4A"/>
    <w:rsid w:val="00BB0D37"/>
    <w:rsid w:val="00BB3D9C"/>
    <w:rsid w:val="00BC35F6"/>
    <w:rsid w:val="00BC5462"/>
    <w:rsid w:val="00BC76EB"/>
    <w:rsid w:val="00BD1B56"/>
    <w:rsid w:val="00BD25AE"/>
    <w:rsid w:val="00BD3CD8"/>
    <w:rsid w:val="00BD7E9D"/>
    <w:rsid w:val="00BE56A0"/>
    <w:rsid w:val="00BE7148"/>
    <w:rsid w:val="00BF2FB3"/>
    <w:rsid w:val="00C007A0"/>
    <w:rsid w:val="00C012CF"/>
    <w:rsid w:val="00C06E47"/>
    <w:rsid w:val="00C1123B"/>
    <w:rsid w:val="00C21C68"/>
    <w:rsid w:val="00C2733D"/>
    <w:rsid w:val="00C3204C"/>
    <w:rsid w:val="00C3470C"/>
    <w:rsid w:val="00C37944"/>
    <w:rsid w:val="00C37BA8"/>
    <w:rsid w:val="00C37E2B"/>
    <w:rsid w:val="00C4511C"/>
    <w:rsid w:val="00C455A2"/>
    <w:rsid w:val="00C559BF"/>
    <w:rsid w:val="00C66CFA"/>
    <w:rsid w:val="00C7238E"/>
    <w:rsid w:val="00C77B41"/>
    <w:rsid w:val="00C80581"/>
    <w:rsid w:val="00C83547"/>
    <w:rsid w:val="00CA30E0"/>
    <w:rsid w:val="00CA33B2"/>
    <w:rsid w:val="00CA3D78"/>
    <w:rsid w:val="00CA40C3"/>
    <w:rsid w:val="00CA43C4"/>
    <w:rsid w:val="00CA6F15"/>
    <w:rsid w:val="00CA7584"/>
    <w:rsid w:val="00CB344C"/>
    <w:rsid w:val="00CB40F0"/>
    <w:rsid w:val="00CB42CE"/>
    <w:rsid w:val="00CB53E8"/>
    <w:rsid w:val="00CC7EC4"/>
    <w:rsid w:val="00CD0DDB"/>
    <w:rsid w:val="00CD1658"/>
    <w:rsid w:val="00CD642A"/>
    <w:rsid w:val="00CE1802"/>
    <w:rsid w:val="00CF003F"/>
    <w:rsid w:val="00CF0527"/>
    <w:rsid w:val="00D1706F"/>
    <w:rsid w:val="00D2075E"/>
    <w:rsid w:val="00D21D83"/>
    <w:rsid w:val="00D22503"/>
    <w:rsid w:val="00D243C5"/>
    <w:rsid w:val="00D3071D"/>
    <w:rsid w:val="00D31C51"/>
    <w:rsid w:val="00D32150"/>
    <w:rsid w:val="00D351DD"/>
    <w:rsid w:val="00D367AA"/>
    <w:rsid w:val="00D37C2C"/>
    <w:rsid w:val="00D459E0"/>
    <w:rsid w:val="00D520A1"/>
    <w:rsid w:val="00D52B36"/>
    <w:rsid w:val="00D53662"/>
    <w:rsid w:val="00D61C4B"/>
    <w:rsid w:val="00D708CA"/>
    <w:rsid w:val="00D72F4B"/>
    <w:rsid w:val="00D849AE"/>
    <w:rsid w:val="00D86892"/>
    <w:rsid w:val="00D970CA"/>
    <w:rsid w:val="00DB3101"/>
    <w:rsid w:val="00DB6E7A"/>
    <w:rsid w:val="00DC25D3"/>
    <w:rsid w:val="00DC6279"/>
    <w:rsid w:val="00DC765C"/>
    <w:rsid w:val="00DD3BC1"/>
    <w:rsid w:val="00DD61A2"/>
    <w:rsid w:val="00DE0717"/>
    <w:rsid w:val="00DE3A1F"/>
    <w:rsid w:val="00DE655A"/>
    <w:rsid w:val="00E01E71"/>
    <w:rsid w:val="00E027AF"/>
    <w:rsid w:val="00E15CFF"/>
    <w:rsid w:val="00E230ED"/>
    <w:rsid w:val="00E23C53"/>
    <w:rsid w:val="00E32139"/>
    <w:rsid w:val="00E3673B"/>
    <w:rsid w:val="00E375A5"/>
    <w:rsid w:val="00E44FD4"/>
    <w:rsid w:val="00E458EE"/>
    <w:rsid w:val="00E462EF"/>
    <w:rsid w:val="00E6505A"/>
    <w:rsid w:val="00E66BA4"/>
    <w:rsid w:val="00E708B1"/>
    <w:rsid w:val="00E72DC6"/>
    <w:rsid w:val="00E745BB"/>
    <w:rsid w:val="00E747A4"/>
    <w:rsid w:val="00E7675B"/>
    <w:rsid w:val="00E8312D"/>
    <w:rsid w:val="00E87016"/>
    <w:rsid w:val="00E87758"/>
    <w:rsid w:val="00E907A4"/>
    <w:rsid w:val="00E939BE"/>
    <w:rsid w:val="00E9738E"/>
    <w:rsid w:val="00EA16F9"/>
    <w:rsid w:val="00EA2DDC"/>
    <w:rsid w:val="00EA3666"/>
    <w:rsid w:val="00EA677D"/>
    <w:rsid w:val="00EA6829"/>
    <w:rsid w:val="00EA76C2"/>
    <w:rsid w:val="00EA7E58"/>
    <w:rsid w:val="00EB4A53"/>
    <w:rsid w:val="00EB51BC"/>
    <w:rsid w:val="00EC0C59"/>
    <w:rsid w:val="00EC25F5"/>
    <w:rsid w:val="00EC2F21"/>
    <w:rsid w:val="00EC47F6"/>
    <w:rsid w:val="00EC4B5F"/>
    <w:rsid w:val="00ED1D5E"/>
    <w:rsid w:val="00ED6613"/>
    <w:rsid w:val="00EE2764"/>
    <w:rsid w:val="00EF3658"/>
    <w:rsid w:val="00EF4CD5"/>
    <w:rsid w:val="00EF54F0"/>
    <w:rsid w:val="00EF6AB6"/>
    <w:rsid w:val="00F01B91"/>
    <w:rsid w:val="00F0576D"/>
    <w:rsid w:val="00F108ED"/>
    <w:rsid w:val="00F11A0D"/>
    <w:rsid w:val="00F227A4"/>
    <w:rsid w:val="00F247DD"/>
    <w:rsid w:val="00F328DA"/>
    <w:rsid w:val="00F32912"/>
    <w:rsid w:val="00F35271"/>
    <w:rsid w:val="00F35580"/>
    <w:rsid w:val="00F43257"/>
    <w:rsid w:val="00F502A9"/>
    <w:rsid w:val="00F52853"/>
    <w:rsid w:val="00F61711"/>
    <w:rsid w:val="00F61A88"/>
    <w:rsid w:val="00F754A3"/>
    <w:rsid w:val="00F925B9"/>
    <w:rsid w:val="00FA6F53"/>
    <w:rsid w:val="00FA7196"/>
    <w:rsid w:val="00FB030F"/>
    <w:rsid w:val="00FB3B46"/>
    <w:rsid w:val="00FC0375"/>
    <w:rsid w:val="00FC7A79"/>
    <w:rsid w:val="00FD2F20"/>
    <w:rsid w:val="00FD368E"/>
    <w:rsid w:val="00FD5631"/>
    <w:rsid w:val="00FD6BF4"/>
    <w:rsid w:val="00FD7A80"/>
    <w:rsid w:val="00FE2339"/>
    <w:rsid w:val="00FE5C69"/>
    <w:rsid w:val="00FF20B0"/>
    <w:rsid w:val="00FF5304"/>
    <w:rsid w:val="00FF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Subsection"/>
    <w:basedOn w:val="Normal"/>
    <w:link w:val="subsectionChar"/>
    <w:rsid w:val="00F11A0D"/>
    <w:pPr>
      <w:tabs>
        <w:tab w:val="right" w:pos="1021"/>
      </w:tabs>
      <w:spacing w:before="180"/>
      <w:ind w:left="1134" w:hanging="1134"/>
    </w:pPr>
    <w:rPr>
      <w:sz w:val="22"/>
    </w:rPr>
  </w:style>
  <w:style w:type="paragraph" w:customStyle="1" w:styleId="Definition">
    <w:name w:val="Definition"/>
    <w:aliases w:val="dd"/>
    <w:basedOn w:val="Normal"/>
    <w:rsid w:val="00F11A0D"/>
    <w:pPr>
      <w:spacing w:before="180"/>
      <w:ind w:left="1134"/>
    </w:pPr>
    <w:rPr>
      <w:sz w:val="22"/>
    </w:rPr>
  </w:style>
  <w:style w:type="character" w:customStyle="1" w:styleId="subsectionChar">
    <w:name w:val="subsection Char"/>
    <w:aliases w:val="ss Char"/>
    <w:basedOn w:val="DefaultParagraphFont"/>
    <w:link w:val="subsection"/>
    <w:locked/>
    <w:rsid w:val="00F11A0D"/>
    <w:rPr>
      <w:rFonts w:ascii="Times New Roman" w:eastAsia="Times New Roman" w:hAnsi="Times New Roman" w:cs="Times New Roman"/>
      <w:szCs w:val="20"/>
      <w:lang w:eastAsia="en-AU"/>
    </w:rPr>
  </w:style>
  <w:style w:type="paragraph" w:styleId="Revision">
    <w:name w:val="Revision"/>
    <w:hidden/>
    <w:uiPriority w:val="99"/>
    <w:semiHidden/>
    <w:rsid w:val="0026381C"/>
    <w:pPr>
      <w:spacing w:after="0" w:line="240" w:lineRule="auto"/>
    </w:pPr>
    <w:rPr>
      <w:rFonts w:ascii="Times New Roman" w:eastAsia="Times New Roman" w:hAnsi="Times New Roman" w:cs="Times New Roman"/>
      <w:sz w:val="24"/>
      <w:szCs w:val="20"/>
      <w:lang w:eastAsia="en-AU"/>
    </w:rPr>
  </w:style>
  <w:style w:type="character" w:customStyle="1" w:styleId="ui-provider">
    <w:name w:val="ui-provider"/>
    <w:basedOn w:val="DefaultParagraphFont"/>
    <w:rsid w:val="00193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788">
      <w:bodyDiv w:val="1"/>
      <w:marLeft w:val="0"/>
      <w:marRight w:val="0"/>
      <w:marTop w:val="0"/>
      <w:marBottom w:val="0"/>
      <w:divBdr>
        <w:top w:val="none" w:sz="0" w:space="0" w:color="auto"/>
        <w:left w:val="none" w:sz="0" w:space="0" w:color="auto"/>
        <w:bottom w:val="none" w:sz="0" w:space="0" w:color="auto"/>
        <w:right w:val="none" w:sz="0" w:space="0" w:color="auto"/>
      </w:divBdr>
    </w:div>
    <w:div w:id="129906669">
      <w:bodyDiv w:val="1"/>
      <w:marLeft w:val="0"/>
      <w:marRight w:val="0"/>
      <w:marTop w:val="0"/>
      <w:marBottom w:val="0"/>
      <w:divBdr>
        <w:top w:val="none" w:sz="0" w:space="0" w:color="auto"/>
        <w:left w:val="none" w:sz="0" w:space="0" w:color="auto"/>
        <w:bottom w:val="none" w:sz="0" w:space="0" w:color="auto"/>
        <w:right w:val="none" w:sz="0" w:space="0" w:color="auto"/>
      </w:divBdr>
    </w:div>
    <w:div w:id="39598164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93685">
      <w:bodyDiv w:val="1"/>
      <w:marLeft w:val="0"/>
      <w:marRight w:val="0"/>
      <w:marTop w:val="0"/>
      <w:marBottom w:val="0"/>
      <w:divBdr>
        <w:top w:val="none" w:sz="0" w:space="0" w:color="auto"/>
        <w:left w:val="none" w:sz="0" w:space="0" w:color="auto"/>
        <w:bottom w:val="none" w:sz="0" w:space="0" w:color="auto"/>
        <w:right w:val="none" w:sz="0" w:space="0" w:color="auto"/>
      </w:divBdr>
    </w:div>
    <w:div w:id="908998379">
      <w:bodyDiv w:val="1"/>
      <w:marLeft w:val="0"/>
      <w:marRight w:val="0"/>
      <w:marTop w:val="0"/>
      <w:marBottom w:val="0"/>
      <w:divBdr>
        <w:top w:val="none" w:sz="0" w:space="0" w:color="auto"/>
        <w:left w:val="none" w:sz="0" w:space="0" w:color="auto"/>
        <w:bottom w:val="none" w:sz="0" w:space="0" w:color="auto"/>
        <w:right w:val="none" w:sz="0" w:space="0" w:color="auto"/>
      </w:divBdr>
    </w:div>
    <w:div w:id="980430148">
      <w:bodyDiv w:val="1"/>
      <w:marLeft w:val="0"/>
      <w:marRight w:val="0"/>
      <w:marTop w:val="0"/>
      <w:marBottom w:val="0"/>
      <w:divBdr>
        <w:top w:val="none" w:sz="0" w:space="0" w:color="auto"/>
        <w:left w:val="none" w:sz="0" w:space="0" w:color="auto"/>
        <w:bottom w:val="none" w:sz="0" w:space="0" w:color="auto"/>
        <w:right w:val="none" w:sz="0" w:space="0" w:color="auto"/>
      </w:divBdr>
    </w:div>
    <w:div w:id="1064374185">
      <w:bodyDiv w:val="1"/>
      <w:marLeft w:val="0"/>
      <w:marRight w:val="0"/>
      <w:marTop w:val="0"/>
      <w:marBottom w:val="0"/>
      <w:divBdr>
        <w:top w:val="none" w:sz="0" w:space="0" w:color="auto"/>
        <w:left w:val="none" w:sz="0" w:space="0" w:color="auto"/>
        <w:bottom w:val="none" w:sz="0" w:space="0" w:color="auto"/>
        <w:right w:val="none" w:sz="0" w:space="0" w:color="auto"/>
      </w:divBdr>
    </w:div>
    <w:div w:id="1196430024">
      <w:bodyDiv w:val="1"/>
      <w:marLeft w:val="0"/>
      <w:marRight w:val="0"/>
      <w:marTop w:val="0"/>
      <w:marBottom w:val="0"/>
      <w:divBdr>
        <w:top w:val="none" w:sz="0" w:space="0" w:color="auto"/>
        <w:left w:val="none" w:sz="0" w:space="0" w:color="auto"/>
        <w:bottom w:val="none" w:sz="0" w:space="0" w:color="auto"/>
        <w:right w:val="none" w:sz="0" w:space="0" w:color="auto"/>
      </w:divBdr>
    </w:div>
    <w:div w:id="1338774204">
      <w:bodyDiv w:val="1"/>
      <w:marLeft w:val="0"/>
      <w:marRight w:val="0"/>
      <w:marTop w:val="0"/>
      <w:marBottom w:val="0"/>
      <w:divBdr>
        <w:top w:val="none" w:sz="0" w:space="0" w:color="auto"/>
        <w:left w:val="none" w:sz="0" w:space="0" w:color="auto"/>
        <w:bottom w:val="none" w:sz="0" w:space="0" w:color="auto"/>
        <w:right w:val="none" w:sz="0" w:space="0" w:color="auto"/>
      </w:divBdr>
    </w:div>
    <w:div w:id="160695646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1488">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statistics/classifications/australian-and-new-zealand-standard-industrial-classification-anzsic/latest-relea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abolish-cashless-debit-car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A4AA82-5F07-45BE-ADEF-A14E056226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C68360041608409C7BD00FB209A4FE" ma:contentTypeVersion="" ma:contentTypeDescription="PDMS Document Site Content Type" ma:contentTypeScope="" ma:versionID="7094bc8958b0cc750fb7f9efdbe1c314">
  <xsd:schema xmlns:xsd="http://www.w3.org/2001/XMLSchema" xmlns:xs="http://www.w3.org/2001/XMLSchema" xmlns:p="http://schemas.microsoft.com/office/2006/metadata/properties" xmlns:ns2="77A4AA82-5F07-45BE-ADEF-A14E056226D2" targetNamespace="http://schemas.microsoft.com/office/2006/metadata/properties" ma:root="true" ma:fieldsID="aa104af4c38d88620ae5647bb9f63717" ns2:_="">
    <xsd:import namespace="77A4AA82-5F07-45BE-ADEF-A14E056226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AA82-5F07-45BE-ADEF-A14E056226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48E0-B66B-4526-B6AB-4AFB133AC65E}">
  <ds:schemaRefs>
    <ds:schemaRef ds:uri="http://schemas.microsoft.com/sharepoint/v3/contenttype/forms"/>
  </ds:schemaRefs>
</ds:datastoreItem>
</file>

<file path=customXml/itemProps2.xml><?xml version="1.0" encoding="utf-8"?>
<ds:datastoreItem xmlns:ds="http://schemas.openxmlformats.org/officeDocument/2006/customXml" ds:itemID="{8A196124-7391-439E-8101-4E23EC9F26E2}">
  <ds:schemaRefs>
    <ds:schemaRef ds:uri="http://purl.org/dc/terms/"/>
    <ds:schemaRef ds:uri="http://schemas.openxmlformats.org/package/2006/metadata/core-properties"/>
    <ds:schemaRef ds:uri="http://purl.org/dc/elements/1.1/"/>
    <ds:schemaRef ds:uri="http://purl.org/dc/dcmitype/"/>
    <ds:schemaRef ds:uri="77A4AA82-5F07-45BE-ADEF-A14E056226D2"/>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F7D4D4F-616A-411A-9ABA-861220F3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AA82-5F07-45BE-ADEF-A14E0562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D0B8D-D161-4C6E-BADB-E02058BB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6436</Words>
  <Characters>35350</Characters>
  <Application>Microsoft Office Word</Application>
  <DocSecurity>0</DocSecurity>
  <Lines>660</Lines>
  <Paragraphs>154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HOCKING, Lauren</cp:lastModifiedBy>
  <cp:revision>3</cp:revision>
  <cp:lastPrinted>2022-12-13T01:45:00Z</cp:lastPrinted>
  <dcterms:created xsi:type="dcterms:W3CDTF">2023-03-01T06:29:00Z</dcterms:created>
  <dcterms:modified xsi:type="dcterms:W3CDTF">2023-03-01T06:31:00Z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7E94FB5F865A4394875C187E12851851</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2023-03-01T06:31:13Z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C7F185A2ACE9F85751A000ADC184592E</vt:lpwstr>
  </property>
  <property fmtid="{D5CDD505-2E9C-101B-9397-08002B2CF9AE}" pid="21" name="PM_Hash_Salt">
    <vt:lpwstr>8EF9ECBC0CF13564D543549769C996A7</vt:lpwstr>
  </property>
  <property fmtid="{D5CDD505-2E9C-101B-9397-08002B2CF9AE}" pid="22" name="PM_Hash_SHA1">
    <vt:lpwstr>2DF9A213F6E20F79D666B4FB6E0A176265ADF29D</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0x010100266966F133664895A6EE3632470D45F5003AC68360041608409C7BD00FB209A4FE</vt:lpwstr>
  </property>
</Properties>
</file>