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CAE4F" w14:textId="77777777" w:rsidR="00FB640B" w:rsidRPr="008B24C8" w:rsidRDefault="0057002B" w:rsidP="00E51DB4">
      <w:pPr>
        <w:pStyle w:val="ESTitleHeader"/>
        <w:ind w:firstLine="720"/>
      </w:pPr>
      <w:bookmarkStart w:id="0" w:name="_GoBack"/>
      <w:bookmarkEnd w:id="0"/>
      <w:r w:rsidRPr="008B24C8">
        <w:t>EXPLANATORY STATEMENT</w:t>
      </w:r>
    </w:p>
    <w:p w14:paraId="4137EA36" w14:textId="41246890" w:rsidR="0057002B" w:rsidRPr="00927D41" w:rsidRDefault="0057002B" w:rsidP="00BB0CF2">
      <w:pPr>
        <w:pStyle w:val="ESTitleDecisionMaker"/>
        <w:rPr>
          <w:color w:val="FF0000"/>
        </w:rPr>
      </w:pPr>
      <w:r w:rsidRPr="008B24C8">
        <w:t>Issued by authority of the</w:t>
      </w:r>
      <w:r w:rsidR="006B6D4B">
        <w:t xml:space="preserve"> Minister for</w:t>
      </w:r>
      <w:r w:rsidRPr="008B24C8">
        <w:t xml:space="preserve"> </w:t>
      </w:r>
      <w:r w:rsidR="00927D41" w:rsidRPr="00024340">
        <w:rPr>
          <w:color w:val="000000" w:themeColor="text1"/>
        </w:rPr>
        <w:t>Immigration, Citizenship and Multicultural Affairs</w:t>
      </w:r>
    </w:p>
    <w:p w14:paraId="1920E778" w14:textId="77777777" w:rsidR="0057002B" w:rsidRPr="008B24C8" w:rsidRDefault="00E51DB4" w:rsidP="00BB0CF2">
      <w:pPr>
        <w:pStyle w:val="ESTitleEnablingLegislation"/>
      </w:pPr>
      <w:r>
        <w:t>Migration Regulations 1994</w:t>
      </w:r>
    </w:p>
    <w:p w14:paraId="1E5CB5DF" w14:textId="64DBE9A7" w:rsidR="00E51DB4" w:rsidRPr="00E51DB4" w:rsidRDefault="00E51DB4" w:rsidP="00E51DB4">
      <w:pPr>
        <w:spacing w:line="240" w:lineRule="auto"/>
        <w:jc w:val="center"/>
        <w:rPr>
          <w:rFonts w:ascii="Times New Roman" w:hAnsi="Times New Roman" w:cs="Times New Roman"/>
          <w:b/>
          <w:i/>
          <w:lang w:eastAsia="en-AU"/>
        </w:rPr>
      </w:pPr>
      <w:r w:rsidRPr="00E51DB4">
        <w:rPr>
          <w:rFonts w:ascii="Times New Roman" w:hAnsi="Times New Roman" w:cs="Times New Roman"/>
          <w:b/>
          <w:i/>
        </w:rPr>
        <w:t xml:space="preserve">Migration (Arrangements for Resident Return visa applications) Amendment Instrument (LIN </w:t>
      </w:r>
      <w:r w:rsidR="00F60763">
        <w:rPr>
          <w:rFonts w:ascii="Times New Roman" w:hAnsi="Times New Roman" w:cs="Times New Roman"/>
          <w:b/>
          <w:i/>
        </w:rPr>
        <w:t>23/014) 2023</w:t>
      </w:r>
    </w:p>
    <w:p w14:paraId="65B9E63B" w14:textId="41684440" w:rsidR="0057002B" w:rsidRPr="008B24C8" w:rsidRDefault="0057002B" w:rsidP="002D167E">
      <w:pPr>
        <w:pStyle w:val="ESPara"/>
      </w:pPr>
      <w:r w:rsidRPr="008B24C8">
        <w:t>The inst</w:t>
      </w:r>
      <w:r w:rsidR="00E51DB4">
        <w:t xml:space="preserve">rument, Departmental reference LIN </w:t>
      </w:r>
      <w:r w:rsidR="00F60763">
        <w:t>23/014</w:t>
      </w:r>
      <w:r w:rsidRPr="008B24C8">
        <w:t xml:space="preserve">, is made under </w:t>
      </w:r>
      <w:proofErr w:type="spellStart"/>
      <w:r w:rsidR="00E51DB4">
        <w:t>subregulation</w:t>
      </w:r>
      <w:proofErr w:type="spellEnd"/>
      <w:r w:rsidR="00E51DB4">
        <w:t xml:space="preserve"> 2.07(5)</w:t>
      </w:r>
      <w:r w:rsidRPr="008B24C8">
        <w:t xml:space="preserve"> of the </w:t>
      </w:r>
      <w:r w:rsidRPr="008B24C8">
        <w:rPr>
          <w:i/>
        </w:rPr>
        <w:t>Migration Regulations 1994</w:t>
      </w:r>
      <w:r w:rsidR="00E51DB4">
        <w:t xml:space="preserve"> (the </w:t>
      </w:r>
      <w:r w:rsidR="00E51DB4" w:rsidRPr="00E51DB4">
        <w:rPr>
          <w:b/>
          <w:i/>
        </w:rPr>
        <w:t>Regulations</w:t>
      </w:r>
      <w:r w:rsidR="00E51DB4">
        <w:t>).</w:t>
      </w:r>
    </w:p>
    <w:p w14:paraId="27C24472" w14:textId="34321451" w:rsidR="00EA12C9" w:rsidRPr="008B24C8" w:rsidRDefault="00EA12C9" w:rsidP="00E51DB4">
      <w:pPr>
        <w:pStyle w:val="ESPara"/>
      </w:pPr>
      <w:r w:rsidRPr="008B24C8">
        <w:t xml:space="preserve">The instrument </w:t>
      </w:r>
      <w:r w:rsidR="00E51DB4">
        <w:t xml:space="preserve">amends </w:t>
      </w:r>
      <w:r w:rsidR="00E51DB4">
        <w:rPr>
          <w:i/>
        </w:rPr>
        <w:t xml:space="preserve">Migration (Arrangements for Resident Return visa applications) Instrument (LIN </w:t>
      </w:r>
      <w:r w:rsidR="0082327B">
        <w:rPr>
          <w:i/>
        </w:rPr>
        <w:t>22/019</w:t>
      </w:r>
      <w:r w:rsidR="00F60763">
        <w:rPr>
          <w:i/>
        </w:rPr>
        <w:t>) 202</w:t>
      </w:r>
      <w:r w:rsidR="0082327B">
        <w:rPr>
          <w:i/>
        </w:rPr>
        <w:t>2</w:t>
      </w:r>
      <w:r w:rsidR="00050C0E" w:rsidRPr="006F4824">
        <w:t xml:space="preserve"> (LIN 22/019)</w:t>
      </w:r>
      <w:r w:rsidR="00F60763">
        <w:rPr>
          <w:i/>
        </w:rPr>
        <w:t xml:space="preserve"> </w:t>
      </w:r>
      <w:r w:rsidRPr="008B24C8">
        <w:t xml:space="preserve">in accordance with subsection 33(3) of the </w:t>
      </w:r>
      <w:r w:rsidRPr="00E51DB4">
        <w:rPr>
          <w:i/>
        </w:rPr>
        <w:t>Acts Interpretation Act 1901</w:t>
      </w:r>
      <w:r w:rsidRPr="008B24C8">
        <w:t xml:space="preserve">.  That subsection provides that </w:t>
      </w:r>
      <w:r w:rsidR="00100DFC">
        <w:t>a power to make a legislative instrument includes a power to amend or repeal that instrument in the same manner, and subject to the same conditions, as the power to make the instrument</w:t>
      </w:r>
      <w:r w:rsidR="00BD598E" w:rsidRPr="008B24C8">
        <w:t xml:space="preserve">.  </w:t>
      </w:r>
    </w:p>
    <w:p w14:paraId="62C8892D" w14:textId="7324EE5A" w:rsidR="00BD598E" w:rsidRPr="008B24C8" w:rsidRDefault="00461325" w:rsidP="002D167E">
      <w:pPr>
        <w:pStyle w:val="ESPara"/>
      </w:pPr>
      <w:r>
        <w:t xml:space="preserve">The instrument commences on the day after </w:t>
      </w:r>
      <w:r w:rsidR="0082327B">
        <w:t>registration</w:t>
      </w:r>
      <w:r w:rsidR="00AA4557">
        <w:t>, and i</w:t>
      </w:r>
      <w:r w:rsidR="00BD598E" w:rsidRPr="008B24C8">
        <w:t xml:space="preserve">s a </w:t>
      </w:r>
      <w:r w:rsidR="00AA4557">
        <w:t>legislative</w:t>
      </w:r>
      <w:r w:rsidR="00BD598E" w:rsidRPr="008B24C8">
        <w:t xml:space="preserve"> instrument for </w:t>
      </w:r>
      <w:r w:rsidR="00B75478">
        <w:t xml:space="preserve">the </w:t>
      </w:r>
      <w:r w:rsidR="00100DFC">
        <w:rPr>
          <w:i/>
        </w:rPr>
        <w:t>Legislation Act 2003</w:t>
      </w:r>
      <w:r>
        <w:t>.</w:t>
      </w:r>
    </w:p>
    <w:p w14:paraId="4243734A" w14:textId="5B60BED5" w:rsidR="00EA12C9" w:rsidRPr="00BB0CF2" w:rsidRDefault="00BD598E" w:rsidP="00100DFC">
      <w:pPr>
        <w:pStyle w:val="ESHeading"/>
        <w:rPr>
          <w:color w:val="FF0000"/>
        </w:rPr>
      </w:pPr>
      <w:r w:rsidRPr="008B24C8">
        <w:t>Purpose</w:t>
      </w:r>
      <w:r w:rsidR="00BB0CF2">
        <w:t xml:space="preserve"> </w:t>
      </w:r>
    </w:p>
    <w:p w14:paraId="30AAC5F6" w14:textId="1114279F" w:rsidR="00A3641C" w:rsidRDefault="00A3641C" w:rsidP="002D167E">
      <w:pPr>
        <w:pStyle w:val="ESPara"/>
      </w:pPr>
      <w:proofErr w:type="spellStart"/>
      <w:r>
        <w:t>Subregulation</w:t>
      </w:r>
      <w:proofErr w:type="spellEnd"/>
      <w:r>
        <w:t xml:space="preserve"> 2.07(5) of the Regulations provide that if an item of Schedule 1 to the </w:t>
      </w:r>
      <w:r w:rsidR="00491256">
        <w:t>Regulation</w:t>
      </w:r>
      <w:r w:rsidR="00DA62B9">
        <w:t>s</w:t>
      </w:r>
      <w:r w:rsidR="00491256">
        <w:t xml:space="preserve"> prescribes criteria or requirements by reference to a legislative instrument made under that </w:t>
      </w:r>
      <w:proofErr w:type="spellStart"/>
      <w:r w:rsidR="00491256">
        <w:t>subregulation</w:t>
      </w:r>
      <w:proofErr w:type="spellEnd"/>
      <w:r w:rsidR="00491256">
        <w:t>, the Minister may, by legislative instrument</w:t>
      </w:r>
      <w:r w:rsidR="00DA62B9">
        <w:t>,</w:t>
      </w:r>
      <w:r w:rsidR="00491256">
        <w:t xml:space="preserve"> </w:t>
      </w:r>
      <w:r w:rsidR="00DA62B9">
        <w:t>s</w:t>
      </w:r>
      <w:r w:rsidR="00491256">
        <w:t xml:space="preserve">pecify the following: </w:t>
      </w:r>
    </w:p>
    <w:p w14:paraId="22792D4F" w14:textId="77777777" w:rsidR="00491256" w:rsidRDefault="00491256" w:rsidP="00491256">
      <w:pPr>
        <w:pStyle w:val="ESPara"/>
        <w:numPr>
          <w:ilvl w:val="0"/>
          <w:numId w:val="5"/>
        </w:numPr>
        <w:tabs>
          <w:tab w:val="left" w:pos="927"/>
        </w:tabs>
        <w:ind w:left="1134" w:hanging="425"/>
      </w:pPr>
      <w:r>
        <w:t xml:space="preserve">an approved form for making an application for a visa of a specified class; </w:t>
      </w:r>
    </w:p>
    <w:p w14:paraId="1DCBF95B" w14:textId="77777777" w:rsidR="00491256" w:rsidRDefault="00491256" w:rsidP="00491256">
      <w:pPr>
        <w:pStyle w:val="ESPara"/>
        <w:numPr>
          <w:ilvl w:val="0"/>
          <w:numId w:val="5"/>
        </w:numPr>
        <w:tabs>
          <w:tab w:val="left" w:pos="927"/>
        </w:tabs>
        <w:ind w:left="1134" w:hanging="425"/>
      </w:pPr>
      <w:r>
        <w:t>the way in which an application for a visa of a specified class must be made</w:t>
      </w:r>
    </w:p>
    <w:p w14:paraId="3529E0BD" w14:textId="77777777" w:rsidR="00491256" w:rsidRDefault="00491256" w:rsidP="00491256">
      <w:pPr>
        <w:pStyle w:val="ESPara"/>
        <w:numPr>
          <w:ilvl w:val="0"/>
          <w:numId w:val="5"/>
        </w:numPr>
        <w:tabs>
          <w:tab w:val="left" w:pos="927"/>
        </w:tabs>
        <w:ind w:left="1134" w:hanging="425"/>
      </w:pPr>
      <w:r>
        <w:t>the place at which an application for a visa of a specified class must be made;</w:t>
      </w:r>
    </w:p>
    <w:p w14:paraId="229F93D8" w14:textId="77777777" w:rsidR="00491256" w:rsidRDefault="00491256" w:rsidP="00491256">
      <w:pPr>
        <w:pStyle w:val="ESPara"/>
        <w:numPr>
          <w:ilvl w:val="0"/>
          <w:numId w:val="5"/>
        </w:numPr>
        <w:tabs>
          <w:tab w:val="left" w:pos="927"/>
        </w:tabs>
        <w:ind w:left="1134" w:hanging="425"/>
      </w:pPr>
      <w:proofErr w:type="gramStart"/>
      <w:r>
        <w:t>any</w:t>
      </w:r>
      <w:proofErr w:type="gramEnd"/>
      <w:r>
        <w:t xml:space="preserve"> other matter.</w:t>
      </w:r>
    </w:p>
    <w:p w14:paraId="5EF78F7F" w14:textId="6FC088F0" w:rsidR="00B75478" w:rsidRDefault="00E504EF" w:rsidP="00491256">
      <w:pPr>
        <w:pStyle w:val="ESPara"/>
      </w:pPr>
      <w:r>
        <w:t xml:space="preserve">The purpose of this instrument is to </w:t>
      </w:r>
      <w:r w:rsidR="00491256">
        <w:t xml:space="preserve">update LIN </w:t>
      </w:r>
      <w:r w:rsidR="00050C0E">
        <w:t>22/019</w:t>
      </w:r>
      <w:r w:rsidR="00491256">
        <w:t xml:space="preserve"> </w:t>
      </w:r>
      <w:r w:rsidR="00DA62B9">
        <w:t xml:space="preserve">to </w:t>
      </w:r>
      <w:r w:rsidR="00491256">
        <w:t xml:space="preserve">reflect changes to </w:t>
      </w:r>
      <w:r>
        <w:t xml:space="preserve">the </w:t>
      </w:r>
      <w:r w:rsidR="00A3641C">
        <w:t xml:space="preserve">approved </w:t>
      </w:r>
      <w:r w:rsidR="00491256">
        <w:t xml:space="preserve">form, </w:t>
      </w:r>
      <w:r w:rsidR="00A3641C">
        <w:t xml:space="preserve">place </w:t>
      </w:r>
      <w:r w:rsidR="00491256">
        <w:t xml:space="preserve">and manner </w:t>
      </w:r>
      <w:r w:rsidR="00A3641C">
        <w:t>for making an application for a Speci</w:t>
      </w:r>
      <w:r w:rsidR="00491256">
        <w:t xml:space="preserve">al Eligibility (Class CB) visa application. Specifically, the instrument amends the </w:t>
      </w:r>
      <w:r w:rsidR="00DA62B9">
        <w:t xml:space="preserve">address to which an application for a Special Eligibility (Class CB) visa must be sent. </w:t>
      </w:r>
    </w:p>
    <w:p w14:paraId="5A48E6A8" w14:textId="17C3F7E0" w:rsidR="00491256" w:rsidRDefault="00491256" w:rsidP="00491256">
      <w:pPr>
        <w:pStyle w:val="ESPara"/>
      </w:pPr>
      <w:r>
        <w:t xml:space="preserve">Section 4 of the existing LIN </w:t>
      </w:r>
      <w:r w:rsidR="00DA62B9">
        <w:t>22/019</w:t>
      </w:r>
      <w:r>
        <w:t xml:space="preserve"> provides</w:t>
      </w:r>
      <w:r w:rsidR="00DA62B9">
        <w:t xml:space="preserve"> that</w:t>
      </w:r>
      <w:r>
        <w:t xml:space="preserve"> for </w:t>
      </w:r>
      <w:proofErr w:type="spellStart"/>
      <w:r w:rsidR="00EE1C06">
        <w:t>subitem</w:t>
      </w:r>
      <w:proofErr w:type="spellEnd"/>
      <w:r w:rsidR="00EE1C06">
        <w:t xml:space="preserve"> 1118A(1) and paragraph 1118A(3)(a) of Schedule 1 to the Regulation</w:t>
      </w:r>
      <w:r w:rsidR="008C3A1B">
        <w:t>s</w:t>
      </w:r>
      <w:r w:rsidR="00DA62B9">
        <w:t>,</w:t>
      </w:r>
      <w:r w:rsidR="00EE1C06">
        <w:t xml:space="preserve"> an application</w:t>
      </w:r>
      <w:r>
        <w:t xml:space="preserve"> </w:t>
      </w:r>
      <w:r w:rsidR="00DA62B9">
        <w:t xml:space="preserve">for a </w:t>
      </w:r>
      <w:r>
        <w:t xml:space="preserve">Special Eligibility (Class CB) visa </w:t>
      </w:r>
      <w:r w:rsidR="00DA62B9">
        <w:t xml:space="preserve">must </w:t>
      </w:r>
      <w:r>
        <w:t>be made using form 47SV and be posted with sufficient prepaid postage to:</w:t>
      </w:r>
    </w:p>
    <w:p w14:paraId="30F46367" w14:textId="673AA2BF" w:rsidR="007B198A" w:rsidRDefault="007B198A" w:rsidP="007B198A">
      <w:pPr>
        <w:pStyle w:val="ESPara"/>
        <w:numPr>
          <w:ilvl w:val="0"/>
          <w:numId w:val="6"/>
        </w:numPr>
      </w:pPr>
      <w:r>
        <w:t>Department of Home Affairs</w:t>
      </w:r>
      <w:r>
        <w:br/>
        <w:t xml:space="preserve">Locked Bag 7 </w:t>
      </w:r>
      <w:r>
        <w:br/>
        <w:t>Northbridge WA 6865</w:t>
      </w:r>
      <w:r>
        <w:br/>
        <w:t>Australia.</w:t>
      </w:r>
    </w:p>
    <w:p w14:paraId="4F825F10" w14:textId="77777777" w:rsidR="00351E54" w:rsidRDefault="00351E54" w:rsidP="00351E54">
      <w:pPr>
        <w:pStyle w:val="ESPara"/>
        <w:numPr>
          <w:ilvl w:val="0"/>
          <w:numId w:val="0"/>
        </w:numPr>
        <w:ind w:left="567" w:hanging="567"/>
      </w:pPr>
    </w:p>
    <w:p w14:paraId="6FAFF55B" w14:textId="3B937BA6" w:rsidR="00491256" w:rsidRDefault="00EE1C06" w:rsidP="00491256">
      <w:pPr>
        <w:pStyle w:val="ESPara"/>
      </w:pPr>
      <w:r>
        <w:lastRenderedPageBreak/>
        <w:t>There are approximately 10</w:t>
      </w:r>
      <w:r w:rsidR="006D66FF">
        <w:t xml:space="preserve"> </w:t>
      </w:r>
      <w:r w:rsidR="00DA62B9">
        <w:t>S</w:t>
      </w:r>
      <w:r>
        <w:t xml:space="preserve">ubclass 151 (Former Resident) visa applications lodged each year that fall within </w:t>
      </w:r>
      <w:r w:rsidR="00DA62B9">
        <w:t xml:space="preserve">the </w:t>
      </w:r>
      <w:r w:rsidR="003F5378">
        <w:t>Class CB</w:t>
      </w:r>
      <w:r>
        <w:t xml:space="preserve"> </w:t>
      </w:r>
      <w:r w:rsidR="003F5378">
        <w:t>visa category</w:t>
      </w:r>
      <w:r w:rsidR="008C3A1B">
        <w:t xml:space="preserve"> </w:t>
      </w:r>
      <w:r>
        <w:t xml:space="preserve">mentioned in paragraph 6 above. </w:t>
      </w:r>
      <w:r w:rsidR="00DA62B9">
        <w:t>T</w:t>
      </w:r>
      <w:r>
        <w:t xml:space="preserve">his instrument </w:t>
      </w:r>
      <w:r w:rsidR="00DA62B9">
        <w:t>will amend</w:t>
      </w:r>
      <w:r w:rsidR="003F5378">
        <w:t xml:space="preserve"> section 4 </w:t>
      </w:r>
      <w:r w:rsidR="00DA62B9">
        <w:t>of LIN 22/019</w:t>
      </w:r>
      <w:r>
        <w:t xml:space="preserve"> to change the postal address to:</w:t>
      </w:r>
    </w:p>
    <w:p w14:paraId="6BA357DF" w14:textId="4BE3AB8F" w:rsidR="00381BBE" w:rsidRPr="00381BBE" w:rsidRDefault="002B56BB" w:rsidP="00381BBE">
      <w:pPr>
        <w:pStyle w:val="ESPara"/>
        <w:numPr>
          <w:ilvl w:val="0"/>
          <w:numId w:val="6"/>
        </w:numPr>
        <w:rPr>
          <w:color w:val="000000" w:themeColor="text1"/>
        </w:rPr>
      </w:pPr>
      <w:r>
        <w:t xml:space="preserve">Subclass 151 Visa Application </w:t>
      </w:r>
      <w:r w:rsidR="00980204">
        <w:br/>
      </w:r>
      <w:r w:rsidR="00EE1C06">
        <w:t>Department of Home Affairs</w:t>
      </w:r>
      <w:r w:rsidR="00EE1C06">
        <w:br/>
        <w:t>PO B</w:t>
      </w:r>
      <w:r w:rsidR="00381BBE">
        <w:t>ox 9984</w:t>
      </w:r>
      <w:r w:rsidR="00381BBE">
        <w:br/>
        <w:t>Sydney NSW 2001</w:t>
      </w:r>
      <w:r w:rsidR="00381BBE" w:rsidRPr="00381BBE">
        <w:rPr>
          <w:color w:val="000000" w:themeColor="text1"/>
        </w:rPr>
        <w:br/>
        <w:t xml:space="preserve">Australia. </w:t>
      </w:r>
    </w:p>
    <w:p w14:paraId="751635C3" w14:textId="333DC34B" w:rsidR="008B24C8" w:rsidRPr="00381BBE" w:rsidRDefault="00381BBE" w:rsidP="00915032">
      <w:pPr>
        <w:pStyle w:val="ListParagraph"/>
        <w:numPr>
          <w:ilvl w:val="0"/>
          <w:numId w:val="1"/>
        </w:numPr>
        <w:spacing w:before="240" w:after="240" w:line="276" w:lineRule="auto"/>
        <w:ind w:left="567" w:hanging="567"/>
        <w:contextualSpacing w:val="0"/>
        <w:rPr>
          <w:rFonts w:ascii="Times New Roman" w:hAnsi="Times New Roman" w:cs="Times New Roman"/>
          <w:color w:val="000000" w:themeColor="text1"/>
        </w:rPr>
      </w:pPr>
      <w:r w:rsidRPr="00381BBE">
        <w:rPr>
          <w:rFonts w:ascii="Times New Roman" w:hAnsi="Times New Roman" w:cs="Times New Roman"/>
          <w:color w:val="000000" w:themeColor="text1"/>
        </w:rPr>
        <w:t xml:space="preserve">The instrument will maintain all other arrangements previously in place under </w:t>
      </w:r>
      <w:r w:rsidRPr="006D7467">
        <w:rPr>
          <w:rFonts w:ascii="Times New Roman" w:hAnsi="Times New Roman" w:cs="Times New Roman"/>
          <w:color w:val="000000" w:themeColor="text1"/>
        </w:rPr>
        <w:t>LIN 22/019</w:t>
      </w:r>
      <w:r w:rsidRPr="00381BBE">
        <w:rPr>
          <w:rFonts w:ascii="Times New Roman" w:hAnsi="Times New Roman" w:cs="Times New Roman"/>
          <w:i/>
          <w:color w:val="000000" w:themeColor="text1"/>
        </w:rPr>
        <w:t>.</w:t>
      </w:r>
    </w:p>
    <w:p w14:paraId="5474E0C5" w14:textId="10140165" w:rsidR="005A3733" w:rsidRDefault="008B24C8" w:rsidP="00381BBE">
      <w:pPr>
        <w:pStyle w:val="ESHeading"/>
      </w:pPr>
      <w:r w:rsidRPr="008B24C8">
        <w:t>Consultation</w:t>
      </w:r>
    </w:p>
    <w:p w14:paraId="0AE6CF8A" w14:textId="77777777" w:rsidR="00980204" w:rsidRDefault="00381BBE" w:rsidP="00980204">
      <w:pPr>
        <w:pStyle w:val="ESPara"/>
      </w:pPr>
      <w:r>
        <w:rPr>
          <w:color w:val="000000" w:themeColor="text1"/>
        </w:rPr>
        <w:t xml:space="preserve">The Office of Impact Analysis (OIA) (previously known as The </w:t>
      </w:r>
      <w:r w:rsidRPr="008B24C8">
        <w:t>Office o</w:t>
      </w:r>
      <w:r>
        <w:t>f Best Practice Regulation</w:t>
      </w:r>
      <w:r w:rsidR="008C3A1B">
        <w:t xml:space="preserve"> (OBPR)</w:t>
      </w:r>
      <w:r>
        <w:t>) was consulted and considered that the instrument is unlikely to have a more than minor regulatory impact. As such, impact analysis (IA) (previously known as Regulation Impact Statement) is not required (OBPR reference number: OBPR22-03452).</w:t>
      </w:r>
      <w:r w:rsidR="00B86C39">
        <w:t xml:space="preserve"> </w:t>
      </w:r>
    </w:p>
    <w:p w14:paraId="26CB9314" w14:textId="1886EAB5" w:rsidR="00B86C39" w:rsidRDefault="00B86C39" w:rsidP="00980204">
      <w:pPr>
        <w:pStyle w:val="ESPara"/>
      </w:pPr>
      <w:r>
        <w:t>Further external consultation in the development of the instrument was not necessary as the change was of a minor or machinery nature and does not substantially alter the existing arrangements prescribed by the amended instruments.</w:t>
      </w:r>
    </w:p>
    <w:p w14:paraId="4C6E05A0" w14:textId="77777777" w:rsidR="00AA4557" w:rsidRDefault="00464080" w:rsidP="00100DFC">
      <w:pPr>
        <w:pStyle w:val="ESHeading"/>
      </w:pPr>
      <w:r>
        <w:t>Details</w:t>
      </w:r>
      <w:r w:rsidR="00AA4557">
        <w:t xml:space="preserve"> of the instrument</w:t>
      </w:r>
    </w:p>
    <w:p w14:paraId="654E41FE" w14:textId="54261C67" w:rsidR="00AA4F77" w:rsidRDefault="008C3A1B" w:rsidP="00AA4F77">
      <w:pPr>
        <w:pStyle w:val="ESPara"/>
      </w:pPr>
      <w:r>
        <w:t xml:space="preserve">Schedule 1 </w:t>
      </w:r>
      <w:r w:rsidR="00C57424">
        <w:t xml:space="preserve">amends section 4 of LIN 22/019 to </w:t>
      </w:r>
      <w:r>
        <w:t xml:space="preserve">set out the updated postal address for making an application for a </w:t>
      </w:r>
      <w:r w:rsidR="00C57424">
        <w:t>C</w:t>
      </w:r>
      <w:r>
        <w:t>lass CB visa</w:t>
      </w:r>
      <w:r w:rsidR="00A47C8F">
        <w:t>.</w:t>
      </w:r>
    </w:p>
    <w:p w14:paraId="5397360A" w14:textId="77777777" w:rsidR="00AA4557" w:rsidRPr="00AA4557" w:rsidRDefault="00AA4557" w:rsidP="00100DFC">
      <w:pPr>
        <w:pStyle w:val="ESHeading"/>
      </w:pPr>
      <w:r>
        <w:t xml:space="preserve">Parliamentary scrutiny etc.  </w:t>
      </w:r>
    </w:p>
    <w:p w14:paraId="20B23CA8" w14:textId="551C6E96" w:rsidR="00E03DCC" w:rsidRDefault="00E03DCC" w:rsidP="002D167E">
      <w:pPr>
        <w:pStyle w:val="ESPara"/>
      </w:pPr>
      <w:r>
        <w:t xml:space="preserve">The instrument is exempt from disallowance under section 42 of the Legislation Act.  This is because </w:t>
      </w:r>
      <w:r w:rsidR="00A47C8F">
        <w:t xml:space="preserve">instruments made under Part 2 and Schedule 1 to the Regulations are exempt in </w:t>
      </w:r>
      <w:r w:rsidR="00C57424">
        <w:t xml:space="preserve">accordance with </w:t>
      </w:r>
      <w:proofErr w:type="spellStart"/>
      <w:r w:rsidR="00C57424">
        <w:t>subitem</w:t>
      </w:r>
      <w:proofErr w:type="spellEnd"/>
      <w:r w:rsidR="00C57424">
        <w:t xml:space="preserve"> 20(b) of the table in </w:t>
      </w:r>
      <w:r>
        <w:t xml:space="preserve">section 10 of the </w:t>
      </w:r>
      <w:r>
        <w:rPr>
          <w:i/>
        </w:rPr>
        <w:t>Legislation (Exemptions and Other Matters) Regulation 2015</w:t>
      </w:r>
      <w:r w:rsidR="00A47C8F">
        <w:t>.</w:t>
      </w:r>
    </w:p>
    <w:p w14:paraId="70CDAEC1" w14:textId="3ECB6229" w:rsidR="00B75478" w:rsidRDefault="00B75478" w:rsidP="002D167E">
      <w:pPr>
        <w:pStyle w:val="ESPara"/>
      </w:pPr>
      <w:r w:rsidRPr="00B75478">
        <w:t xml:space="preserve">The </w:t>
      </w:r>
      <w:r>
        <w:t xml:space="preserve">instrument was made by </w:t>
      </w:r>
      <w:r w:rsidR="00A47C8F">
        <w:t>a delegate of the Minister,</w:t>
      </w:r>
      <w:r>
        <w:t xml:space="preserve"> in accordance with </w:t>
      </w:r>
      <w:proofErr w:type="spellStart"/>
      <w:r w:rsidR="00A47C8F">
        <w:t>subregulation</w:t>
      </w:r>
      <w:proofErr w:type="spellEnd"/>
      <w:r w:rsidR="00A47C8F">
        <w:t xml:space="preserve"> 2.07(5)</w:t>
      </w:r>
      <w:r w:rsidR="00532F1F">
        <w:t xml:space="preserve">, </w:t>
      </w:r>
      <w:proofErr w:type="spellStart"/>
      <w:r w:rsidR="00532F1F">
        <w:t>subitem</w:t>
      </w:r>
      <w:proofErr w:type="spellEnd"/>
      <w:r w:rsidR="00532F1F">
        <w:t xml:space="preserve"> </w:t>
      </w:r>
      <w:proofErr w:type="gramStart"/>
      <w:r w:rsidR="00532F1F">
        <w:t>1118A(</w:t>
      </w:r>
      <w:proofErr w:type="gramEnd"/>
      <w:r w:rsidR="00532F1F">
        <w:t>1) and paragraph 1118A(3)(a) of Schedule 1</w:t>
      </w:r>
      <w:r w:rsidR="003F5378">
        <w:t xml:space="preserve"> </w:t>
      </w:r>
      <w:r w:rsidR="00A47C8F">
        <w:t xml:space="preserve">to the Regulations. </w:t>
      </w:r>
    </w:p>
    <w:p w14:paraId="1DB60505" w14:textId="00EC7C73" w:rsidR="007E4691" w:rsidRDefault="007E4691" w:rsidP="00915032">
      <w:pPr>
        <w:rPr>
          <w:rFonts w:ascii="Times New Roman" w:hAnsi="Times New Roman" w:cs="Times New Roman"/>
        </w:rPr>
      </w:pPr>
    </w:p>
    <w:sectPr w:rsidR="007E4691" w:rsidSect="004F5CE4"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2F1"/>
    <w:multiLevelType w:val="hybridMultilevel"/>
    <w:tmpl w:val="C6240CC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AE532A9"/>
    <w:multiLevelType w:val="hybridMultilevel"/>
    <w:tmpl w:val="16DE8FA2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512BC"/>
    <w:multiLevelType w:val="hybridMultilevel"/>
    <w:tmpl w:val="E6A26E2A"/>
    <w:lvl w:ilvl="0" w:tplc="38160F3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8A"/>
    <w:rsid w:val="00005F38"/>
    <w:rsid w:val="00024340"/>
    <w:rsid w:val="00050C0E"/>
    <w:rsid w:val="000C2382"/>
    <w:rsid w:val="000D014F"/>
    <w:rsid w:val="00100DFC"/>
    <w:rsid w:val="0012581F"/>
    <w:rsid w:val="0019164E"/>
    <w:rsid w:val="002402E0"/>
    <w:rsid w:val="002B56BB"/>
    <w:rsid w:val="002D167E"/>
    <w:rsid w:val="00345D73"/>
    <w:rsid w:val="00351E54"/>
    <w:rsid w:val="00381BBE"/>
    <w:rsid w:val="003B37FA"/>
    <w:rsid w:val="003F47A8"/>
    <w:rsid w:val="003F5378"/>
    <w:rsid w:val="00404DF7"/>
    <w:rsid w:val="00457D4A"/>
    <w:rsid w:val="00461325"/>
    <w:rsid w:val="00464080"/>
    <w:rsid w:val="00491256"/>
    <w:rsid w:val="004F4C3E"/>
    <w:rsid w:val="004F5CE4"/>
    <w:rsid w:val="00532F1F"/>
    <w:rsid w:val="00560B24"/>
    <w:rsid w:val="0057002B"/>
    <w:rsid w:val="005A3733"/>
    <w:rsid w:val="005C397E"/>
    <w:rsid w:val="00604E06"/>
    <w:rsid w:val="006B6D4B"/>
    <w:rsid w:val="006D66FF"/>
    <w:rsid w:val="006D7467"/>
    <w:rsid w:val="006F4824"/>
    <w:rsid w:val="00712F8A"/>
    <w:rsid w:val="00793A12"/>
    <w:rsid w:val="007B198A"/>
    <w:rsid w:val="007B3813"/>
    <w:rsid w:val="007B79D6"/>
    <w:rsid w:val="007E4691"/>
    <w:rsid w:val="0082327B"/>
    <w:rsid w:val="00870821"/>
    <w:rsid w:val="0088407D"/>
    <w:rsid w:val="008A60C8"/>
    <w:rsid w:val="008B24C8"/>
    <w:rsid w:val="008C3A1B"/>
    <w:rsid w:val="00915032"/>
    <w:rsid w:val="0092132F"/>
    <w:rsid w:val="00927D41"/>
    <w:rsid w:val="00980204"/>
    <w:rsid w:val="00A3641C"/>
    <w:rsid w:val="00A47C8F"/>
    <w:rsid w:val="00A952F8"/>
    <w:rsid w:val="00AA4557"/>
    <w:rsid w:val="00AA4F77"/>
    <w:rsid w:val="00AD5807"/>
    <w:rsid w:val="00B445D9"/>
    <w:rsid w:val="00B65A06"/>
    <w:rsid w:val="00B75478"/>
    <w:rsid w:val="00B86C39"/>
    <w:rsid w:val="00BB0CF2"/>
    <w:rsid w:val="00BD598E"/>
    <w:rsid w:val="00BE33A0"/>
    <w:rsid w:val="00BE3E7F"/>
    <w:rsid w:val="00C57424"/>
    <w:rsid w:val="00C81A5E"/>
    <w:rsid w:val="00C930F2"/>
    <w:rsid w:val="00D40E1E"/>
    <w:rsid w:val="00DA62B9"/>
    <w:rsid w:val="00E03DCC"/>
    <w:rsid w:val="00E45FE2"/>
    <w:rsid w:val="00E504EF"/>
    <w:rsid w:val="00E51DB4"/>
    <w:rsid w:val="00EA12C9"/>
    <w:rsid w:val="00EE1C06"/>
    <w:rsid w:val="00F60763"/>
    <w:rsid w:val="00F76F67"/>
    <w:rsid w:val="00F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27B4F"/>
  <w15:chartTrackingRefBased/>
  <w15:docId w15:val="{2C7ED682-BF03-44CF-A029-36762F2D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ind w:left="1276" w:hanging="425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1DB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1DB4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51DB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DB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4EF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4EF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93A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25627-E302-468D-AAF8-EB448D16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LEE</dc:creator>
  <cp:keywords/>
  <dc:description/>
  <cp:lastModifiedBy>Mariana LEE</cp:lastModifiedBy>
  <cp:revision>2</cp:revision>
  <cp:lastPrinted>2023-01-24T01:15:00Z</cp:lastPrinted>
  <dcterms:created xsi:type="dcterms:W3CDTF">2023-03-01T03:01:00Z</dcterms:created>
  <dcterms:modified xsi:type="dcterms:W3CDTF">2023-03-01T03:01:00Z</dcterms:modified>
</cp:coreProperties>
</file>