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BAB7" w14:textId="0B48C155" w:rsidR="00730A8A" w:rsidRPr="000059B2" w:rsidRDefault="006B634F" w:rsidP="00730A8A">
      <w:pPr>
        <w:pStyle w:val="Title"/>
        <w:jc w:val="left"/>
        <w:rPr>
          <w:color w:val="000000"/>
        </w:rPr>
      </w:pPr>
      <w:r>
        <w:rPr>
          <w:noProof/>
          <w:color w:val="000000"/>
        </w:rPr>
        <w:pict w14:anchorId="40818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ommonwealth Coat of Arms" style="width:111.75pt;height:87pt;visibility:visible;mso-wrap-style:square">
            <v:imagedata r:id="rId13" o:title=""/>
          </v:shape>
        </w:pict>
      </w:r>
    </w:p>
    <w:p w14:paraId="1500FDC9" w14:textId="77777777" w:rsidR="00730A8A" w:rsidRPr="005A3DFF" w:rsidRDefault="00730A8A" w:rsidP="00730A8A">
      <w:pPr>
        <w:pStyle w:val="Title"/>
        <w:rPr>
          <w:color w:val="000000"/>
          <w:sz w:val="24"/>
          <w:szCs w:val="24"/>
        </w:rPr>
      </w:pPr>
    </w:p>
    <w:p w14:paraId="6214D2CC" w14:textId="77777777" w:rsidR="00730A8A" w:rsidRDefault="00730A8A" w:rsidP="00730A8A">
      <w:pPr>
        <w:pStyle w:val="Title"/>
        <w:spacing w:before="0"/>
        <w:rPr>
          <w:color w:val="000000"/>
        </w:rPr>
      </w:pPr>
      <w:r w:rsidRPr="002878FA">
        <w:rPr>
          <w:color w:val="000000"/>
        </w:rPr>
        <w:t xml:space="preserve">Life Insurance (prudential standard) determination </w:t>
      </w:r>
    </w:p>
    <w:p w14:paraId="53E7C096" w14:textId="77777777" w:rsidR="00730A8A" w:rsidRPr="002878FA" w:rsidRDefault="00730A8A" w:rsidP="00730A8A">
      <w:pPr>
        <w:pStyle w:val="Title"/>
        <w:spacing w:before="0"/>
        <w:rPr>
          <w:color w:val="000000"/>
        </w:rPr>
      </w:pPr>
      <w:r w:rsidRPr="002878FA">
        <w:rPr>
          <w:color w:val="000000"/>
        </w:rPr>
        <w:t xml:space="preserve">No. 3 of 2023 </w:t>
      </w:r>
    </w:p>
    <w:p w14:paraId="7CD42A95" w14:textId="77777777" w:rsidR="00730A8A" w:rsidRPr="00774C08" w:rsidRDefault="00730A8A" w:rsidP="00730A8A">
      <w:pPr>
        <w:pStyle w:val="Title"/>
        <w:spacing w:before="360" w:after="240"/>
        <w:jc w:val="both"/>
        <w:rPr>
          <w:color w:val="000000"/>
          <w:sz w:val="28"/>
          <w:szCs w:val="28"/>
        </w:rPr>
      </w:pPr>
      <w:r w:rsidRPr="00A738ED">
        <w:rPr>
          <w:color w:val="000000"/>
          <w:sz w:val="28"/>
          <w:szCs w:val="28"/>
        </w:rPr>
        <w:t xml:space="preserve">Prudential Standard </w:t>
      </w:r>
      <w:r>
        <w:rPr>
          <w:color w:val="000000"/>
          <w:sz w:val="28"/>
          <w:szCs w:val="28"/>
        </w:rPr>
        <w:t xml:space="preserve">LPS 360 Termination Values, Minimum Surrender Values and Paid-up Values </w:t>
      </w:r>
    </w:p>
    <w:p w14:paraId="72728C23" w14:textId="77777777" w:rsidR="00730A8A" w:rsidRPr="00DB038E" w:rsidRDefault="00730A8A" w:rsidP="00730A8A">
      <w:pPr>
        <w:pStyle w:val="ActTitle"/>
        <w:spacing w:before="0" w:after="0"/>
        <w:rPr>
          <w:rFonts w:cs="Arial"/>
          <w:color w:val="000000"/>
          <w:szCs w:val="28"/>
        </w:rPr>
      </w:pPr>
      <w:r w:rsidRPr="00DB038E">
        <w:rPr>
          <w:rFonts w:cs="Arial"/>
          <w:color w:val="000000"/>
          <w:szCs w:val="28"/>
        </w:rPr>
        <w:t xml:space="preserve">Life Insurance Act 1995 </w:t>
      </w:r>
    </w:p>
    <w:p w14:paraId="2F771E37" w14:textId="77777777" w:rsidR="00730A8A" w:rsidRDefault="00730A8A" w:rsidP="00730A8A">
      <w:pPr>
        <w:pStyle w:val="IntroTo"/>
        <w:ind w:left="0" w:firstLine="0"/>
        <w:jc w:val="both"/>
        <w:rPr>
          <w:rFonts w:ascii="Arial" w:hAnsi="Arial" w:cs="Arial"/>
          <w:sz w:val="22"/>
          <w:szCs w:val="22"/>
        </w:rPr>
      </w:pPr>
    </w:p>
    <w:p w14:paraId="07CEF56E" w14:textId="77777777" w:rsidR="00730A8A" w:rsidRPr="001752E0" w:rsidRDefault="00730A8A" w:rsidP="00730A8A">
      <w:pPr>
        <w:pStyle w:val="IntroTo"/>
        <w:jc w:val="both"/>
        <w:rPr>
          <w:rFonts w:ascii="Arial" w:hAnsi="Arial" w:cs="Arial"/>
          <w:color w:val="000000"/>
          <w:sz w:val="22"/>
          <w:szCs w:val="22"/>
        </w:rPr>
      </w:pPr>
      <w:r w:rsidRPr="001752E0">
        <w:rPr>
          <w:rFonts w:ascii="Arial" w:hAnsi="Arial" w:cs="Arial"/>
          <w:sz w:val="22"/>
          <w:szCs w:val="22"/>
        </w:rPr>
        <w:t xml:space="preserve">I, </w:t>
      </w:r>
      <w:r>
        <w:rPr>
          <w:rFonts w:ascii="Arial" w:hAnsi="Arial" w:cs="Arial"/>
          <w:sz w:val="22"/>
          <w:szCs w:val="22"/>
        </w:rPr>
        <w:t>Clare Gibney</w:t>
      </w:r>
      <w:r w:rsidRPr="001752E0">
        <w:rPr>
          <w:rFonts w:ascii="Arial" w:hAnsi="Arial" w:cs="Arial"/>
          <w:sz w:val="22"/>
          <w:szCs w:val="22"/>
        </w:rPr>
        <w:t>, a delegate of APRA</w:t>
      </w:r>
      <w:r>
        <w:rPr>
          <w:rFonts w:ascii="Arial" w:hAnsi="Arial" w:cs="Arial"/>
          <w:sz w:val="22"/>
          <w:szCs w:val="22"/>
        </w:rPr>
        <w:t>:</w:t>
      </w:r>
    </w:p>
    <w:p w14:paraId="29AA4172" w14:textId="77777777" w:rsidR="00730A8A" w:rsidRPr="001752E0" w:rsidRDefault="00730A8A" w:rsidP="00730A8A">
      <w:pPr>
        <w:pStyle w:val="IntroTo"/>
        <w:jc w:val="both"/>
        <w:rPr>
          <w:rFonts w:ascii="Arial" w:hAnsi="Arial" w:cs="Arial"/>
          <w:color w:val="000000"/>
          <w:sz w:val="22"/>
          <w:szCs w:val="22"/>
        </w:rPr>
      </w:pPr>
    </w:p>
    <w:p w14:paraId="039D8D02" w14:textId="77777777" w:rsidR="00730A8A" w:rsidRPr="00361F02" w:rsidRDefault="00730A8A" w:rsidP="00730A8A">
      <w:pPr>
        <w:pStyle w:val="IntroTo"/>
        <w:numPr>
          <w:ilvl w:val="0"/>
          <w:numId w:val="51"/>
        </w:numPr>
        <w:jc w:val="both"/>
        <w:rPr>
          <w:rFonts w:ascii="Arial" w:hAnsi="Arial" w:cs="Arial"/>
          <w:color w:val="000000"/>
          <w:sz w:val="22"/>
          <w:szCs w:val="22"/>
        </w:rPr>
      </w:pPr>
      <w:r w:rsidRPr="00361F02">
        <w:rPr>
          <w:rFonts w:ascii="Arial" w:hAnsi="Arial" w:cs="Arial"/>
          <w:color w:val="000000"/>
          <w:sz w:val="22"/>
          <w:szCs w:val="22"/>
        </w:rPr>
        <w:t xml:space="preserve">under subsection 230A(5) of the </w:t>
      </w:r>
      <w:r w:rsidRPr="002878FA">
        <w:rPr>
          <w:rFonts w:ascii="Arial" w:hAnsi="Arial" w:cs="Arial"/>
          <w:i/>
          <w:color w:val="000000"/>
          <w:sz w:val="22"/>
          <w:szCs w:val="22"/>
        </w:rPr>
        <w:t>Life Insurance Act</w:t>
      </w:r>
      <w:r w:rsidRPr="00361F02">
        <w:rPr>
          <w:rFonts w:ascii="Arial" w:hAnsi="Arial" w:cs="Arial"/>
          <w:color w:val="000000"/>
          <w:sz w:val="22"/>
          <w:szCs w:val="22"/>
        </w:rPr>
        <w:t xml:space="preserve"> (the Act) </w:t>
      </w:r>
      <w:r>
        <w:rPr>
          <w:rFonts w:ascii="Arial" w:hAnsi="Arial" w:cs="Arial"/>
          <w:color w:val="000000"/>
          <w:sz w:val="22"/>
          <w:szCs w:val="22"/>
        </w:rPr>
        <w:t xml:space="preserve">revoke </w:t>
      </w:r>
      <w:r w:rsidRPr="00CD5921">
        <w:rPr>
          <w:rFonts w:ascii="Arial" w:hAnsi="Arial" w:cs="Arial"/>
          <w:color w:val="000000"/>
          <w:sz w:val="22"/>
          <w:szCs w:val="22"/>
          <w:shd w:val="clear" w:color="auto" w:fill="FFFFFF"/>
        </w:rPr>
        <w:t xml:space="preserve">Life </w:t>
      </w:r>
      <w:r w:rsidRPr="00BA78F9">
        <w:rPr>
          <w:rFonts w:ascii="Arial" w:hAnsi="Arial" w:cs="Arial"/>
          <w:color w:val="000000"/>
          <w:sz w:val="22"/>
          <w:szCs w:val="22"/>
          <w:shd w:val="clear" w:color="auto" w:fill="FFFFFF"/>
        </w:rPr>
        <w:t>Insurance (prudential standard) determination No. 13 of 2012,</w:t>
      </w:r>
      <w:r>
        <w:rPr>
          <w:rFonts w:ascii="Arial" w:hAnsi="Arial" w:cs="Arial"/>
          <w:color w:val="000000"/>
          <w:sz w:val="22"/>
          <w:szCs w:val="22"/>
          <w:shd w:val="clear" w:color="auto" w:fill="FFFFFF"/>
        </w:rPr>
        <w:t xml:space="preserve"> including </w:t>
      </w:r>
      <w:r w:rsidRPr="00274F5E">
        <w:rPr>
          <w:rFonts w:ascii="Arial" w:hAnsi="Arial" w:cs="Arial"/>
          <w:i/>
          <w:iCs/>
          <w:color w:val="000000"/>
          <w:sz w:val="22"/>
          <w:szCs w:val="22"/>
          <w:shd w:val="clear" w:color="auto" w:fill="FFFFFF"/>
        </w:rPr>
        <w:t>Prudential Standard</w:t>
      </w:r>
      <w:r w:rsidRPr="00BA78F9">
        <w:rPr>
          <w:rFonts w:ascii="Arial" w:hAnsi="Arial" w:cs="Arial"/>
          <w:i/>
          <w:iCs/>
          <w:color w:val="000000"/>
          <w:sz w:val="22"/>
          <w:szCs w:val="22"/>
          <w:shd w:val="clear" w:color="auto" w:fill="FFFFFF"/>
        </w:rPr>
        <w:t xml:space="preserve"> LPS 360</w:t>
      </w:r>
      <w:r w:rsidRPr="00BA78F9">
        <w:t xml:space="preserve"> </w:t>
      </w:r>
      <w:r w:rsidRPr="00BA78F9">
        <w:rPr>
          <w:rFonts w:ascii="Arial" w:hAnsi="Arial" w:cs="Arial"/>
          <w:i/>
          <w:iCs/>
          <w:color w:val="000000"/>
          <w:sz w:val="22"/>
          <w:szCs w:val="22"/>
          <w:shd w:val="clear" w:color="auto" w:fill="FFFFFF"/>
        </w:rPr>
        <w:t>Termination Values, Minimum Surrender Values and Paid-up Values</w:t>
      </w:r>
      <w:r>
        <w:rPr>
          <w:rFonts w:ascii="Arial" w:hAnsi="Arial" w:cs="Arial"/>
          <w:i/>
          <w:iCs/>
          <w:color w:val="000000"/>
          <w:sz w:val="22"/>
          <w:szCs w:val="22"/>
          <w:shd w:val="clear" w:color="auto" w:fill="FFFFFF"/>
        </w:rPr>
        <w:t xml:space="preserve"> </w:t>
      </w:r>
      <w:r w:rsidRPr="00C41136">
        <w:rPr>
          <w:rFonts w:ascii="Arial" w:hAnsi="Arial" w:cs="Arial"/>
          <w:iCs/>
          <w:color w:val="000000"/>
          <w:sz w:val="22"/>
          <w:szCs w:val="22"/>
          <w:shd w:val="clear" w:color="auto" w:fill="FFFFFF"/>
        </w:rPr>
        <w:t>made under that Determination</w:t>
      </w:r>
      <w:r w:rsidRPr="00BA78F9">
        <w:rPr>
          <w:rFonts w:ascii="Arial" w:hAnsi="Arial" w:cs="Arial"/>
          <w:color w:val="000000"/>
          <w:sz w:val="22"/>
          <w:szCs w:val="22"/>
        </w:rPr>
        <w:t>; and</w:t>
      </w:r>
    </w:p>
    <w:p w14:paraId="4E3729FE" w14:textId="77777777" w:rsidR="00730A8A" w:rsidRDefault="00730A8A" w:rsidP="00730A8A">
      <w:pPr>
        <w:pStyle w:val="IntroTo"/>
        <w:ind w:left="567" w:firstLine="0"/>
        <w:jc w:val="both"/>
        <w:rPr>
          <w:rFonts w:ascii="Arial" w:hAnsi="Arial" w:cs="Arial"/>
          <w:color w:val="000000"/>
          <w:sz w:val="22"/>
          <w:szCs w:val="22"/>
        </w:rPr>
      </w:pPr>
    </w:p>
    <w:p w14:paraId="3552CBD1" w14:textId="77777777" w:rsidR="00730A8A" w:rsidRPr="00274F5E" w:rsidRDefault="00730A8A" w:rsidP="00730A8A">
      <w:pPr>
        <w:pStyle w:val="ListParagraph"/>
        <w:numPr>
          <w:ilvl w:val="0"/>
          <w:numId w:val="51"/>
        </w:numPr>
        <w:spacing w:after="0"/>
        <w:jc w:val="both"/>
        <w:rPr>
          <w:rFonts w:ascii="Arial" w:hAnsi="Arial" w:cs="Arial"/>
          <w:color w:val="000000"/>
          <w:sz w:val="22"/>
          <w:szCs w:val="22"/>
          <w:lang w:eastAsia="en-US"/>
        </w:rPr>
      </w:pPr>
      <w:r w:rsidRPr="00274F5E">
        <w:rPr>
          <w:rFonts w:ascii="Arial" w:hAnsi="Arial" w:cs="Arial"/>
          <w:color w:val="000000"/>
          <w:sz w:val="22"/>
          <w:szCs w:val="22"/>
        </w:rPr>
        <w:t xml:space="preserve">under subsection 230A(1) of the Act, determine </w:t>
      </w:r>
      <w:r w:rsidRPr="00274F5E">
        <w:rPr>
          <w:rFonts w:ascii="Arial" w:hAnsi="Arial" w:cs="Arial"/>
          <w:i/>
          <w:iCs/>
          <w:color w:val="000000"/>
          <w:sz w:val="22"/>
          <w:szCs w:val="22"/>
          <w:shd w:val="clear" w:color="auto" w:fill="FFFFFF"/>
        </w:rPr>
        <w:t>Prudential Standard LPS 360</w:t>
      </w:r>
      <w:r w:rsidRPr="00274F5E">
        <w:t xml:space="preserve"> </w:t>
      </w:r>
      <w:r w:rsidRPr="00274F5E">
        <w:rPr>
          <w:rFonts w:ascii="Arial" w:hAnsi="Arial" w:cs="Arial"/>
          <w:i/>
          <w:iCs/>
          <w:color w:val="000000"/>
          <w:sz w:val="22"/>
          <w:szCs w:val="22"/>
          <w:shd w:val="clear" w:color="auto" w:fill="FFFFFF"/>
        </w:rPr>
        <w:t>Termination Values, Minimum Surrender Values and Paid-up Values</w:t>
      </w:r>
      <w:r>
        <w:rPr>
          <w:rFonts w:ascii="Arial" w:hAnsi="Arial" w:cs="Arial"/>
          <w:i/>
          <w:iCs/>
          <w:color w:val="000000"/>
          <w:sz w:val="22"/>
          <w:szCs w:val="22"/>
          <w:shd w:val="clear" w:color="auto" w:fill="FFFFFF"/>
        </w:rPr>
        <w:t xml:space="preserve">, </w:t>
      </w:r>
      <w:r>
        <w:rPr>
          <w:rFonts w:ascii="Arial" w:hAnsi="Arial" w:cs="Arial"/>
          <w:color w:val="000000"/>
          <w:sz w:val="22"/>
          <w:szCs w:val="22"/>
          <w:shd w:val="clear" w:color="auto" w:fill="FFFFFF"/>
        </w:rPr>
        <w:t>in the form set out in the Schedule,</w:t>
      </w:r>
      <w:r w:rsidRPr="00274F5E">
        <w:rPr>
          <w:rFonts w:ascii="Arial" w:hAnsi="Arial" w:cs="Arial"/>
          <w:color w:val="000000"/>
          <w:sz w:val="22"/>
          <w:szCs w:val="22"/>
        </w:rPr>
        <w:t xml:space="preserve"> which applies to all life companies, including friendly societies. </w:t>
      </w:r>
    </w:p>
    <w:p w14:paraId="4461E2E6" w14:textId="77777777" w:rsidR="00730A8A" w:rsidRPr="00274F5E" w:rsidRDefault="00730A8A" w:rsidP="00730A8A">
      <w:pPr>
        <w:pStyle w:val="IntroTo"/>
        <w:ind w:left="709" w:hanging="709"/>
        <w:jc w:val="both"/>
        <w:rPr>
          <w:rFonts w:ascii="Arial" w:hAnsi="Arial" w:cs="Arial"/>
          <w:sz w:val="22"/>
          <w:szCs w:val="22"/>
        </w:rPr>
      </w:pPr>
    </w:p>
    <w:p w14:paraId="7A4A6073" w14:textId="77777777" w:rsidR="00730A8A" w:rsidRPr="00274F5E" w:rsidRDefault="00730A8A" w:rsidP="00730A8A">
      <w:pPr>
        <w:jc w:val="both"/>
        <w:rPr>
          <w:rFonts w:ascii="Arial" w:hAnsi="Arial" w:cs="Arial"/>
          <w:sz w:val="22"/>
          <w:szCs w:val="22"/>
        </w:rPr>
      </w:pPr>
      <w:r w:rsidRPr="00274F5E">
        <w:rPr>
          <w:rFonts w:ascii="Arial" w:hAnsi="Arial" w:cs="Arial"/>
          <w:sz w:val="22"/>
          <w:szCs w:val="22"/>
        </w:rPr>
        <w:t>This instrument commences on 29 March 2023.</w:t>
      </w:r>
    </w:p>
    <w:p w14:paraId="1263263F" w14:textId="77777777" w:rsidR="00730A8A" w:rsidRPr="00274F5E" w:rsidRDefault="00730A8A" w:rsidP="00730A8A">
      <w:pPr>
        <w:rPr>
          <w:rFonts w:ascii="Arial" w:hAnsi="Arial" w:cs="Arial"/>
          <w:sz w:val="22"/>
          <w:szCs w:val="22"/>
        </w:rPr>
      </w:pPr>
    </w:p>
    <w:p w14:paraId="00BF0C24" w14:textId="78F54BC1" w:rsidR="00730A8A" w:rsidRPr="00274F5E" w:rsidRDefault="00730A8A" w:rsidP="00730A8A">
      <w:pPr>
        <w:rPr>
          <w:rFonts w:ascii="Arial" w:hAnsi="Arial" w:cs="Arial"/>
          <w:sz w:val="22"/>
          <w:szCs w:val="22"/>
        </w:rPr>
      </w:pPr>
      <w:r w:rsidRPr="00274F5E">
        <w:rPr>
          <w:rFonts w:ascii="Arial" w:hAnsi="Arial" w:cs="Arial"/>
          <w:sz w:val="22"/>
          <w:szCs w:val="22"/>
        </w:rPr>
        <w:t xml:space="preserve">Dated: </w:t>
      </w:r>
      <w:r w:rsidR="006B634F">
        <w:rPr>
          <w:rFonts w:ascii="Arial" w:hAnsi="Arial" w:cs="Arial"/>
          <w:sz w:val="22"/>
          <w:szCs w:val="22"/>
        </w:rPr>
        <w:t>7 March 2023</w:t>
      </w:r>
    </w:p>
    <w:p w14:paraId="3C417EF8" w14:textId="77777777" w:rsidR="00730A8A" w:rsidRPr="00274F5E" w:rsidRDefault="00730A8A" w:rsidP="00730A8A">
      <w:pPr>
        <w:rPr>
          <w:rFonts w:ascii="Arial" w:hAnsi="Arial" w:cs="Arial"/>
          <w:sz w:val="22"/>
          <w:szCs w:val="22"/>
        </w:rPr>
      </w:pPr>
    </w:p>
    <w:p w14:paraId="37B0CB49" w14:textId="77777777" w:rsidR="00730A8A" w:rsidRPr="00274F5E" w:rsidRDefault="00730A8A" w:rsidP="00730A8A">
      <w:pPr>
        <w:rPr>
          <w:rFonts w:ascii="Arial" w:hAnsi="Arial" w:cs="Arial"/>
          <w:color w:val="000000"/>
          <w:sz w:val="22"/>
          <w:szCs w:val="22"/>
        </w:rPr>
      </w:pPr>
    </w:p>
    <w:p w14:paraId="147370A3" w14:textId="77777777" w:rsidR="00730A8A" w:rsidRPr="00274F5E" w:rsidRDefault="00730A8A" w:rsidP="00730A8A">
      <w:pPr>
        <w:rPr>
          <w:rFonts w:ascii="Arial" w:hAnsi="Arial" w:cs="Arial"/>
          <w:sz w:val="22"/>
          <w:szCs w:val="22"/>
        </w:rPr>
      </w:pPr>
    </w:p>
    <w:p w14:paraId="2BB4CAC6" w14:textId="77777777" w:rsidR="00730A8A" w:rsidRPr="00274F5E" w:rsidRDefault="00730A8A" w:rsidP="00730A8A">
      <w:pPr>
        <w:rPr>
          <w:rFonts w:ascii="Arial" w:hAnsi="Arial" w:cs="Arial"/>
          <w:sz w:val="22"/>
          <w:szCs w:val="22"/>
        </w:rPr>
      </w:pPr>
      <w:r w:rsidRPr="00274F5E">
        <w:rPr>
          <w:rFonts w:ascii="Arial" w:hAnsi="Arial" w:cs="Arial"/>
          <w:sz w:val="22"/>
          <w:szCs w:val="22"/>
        </w:rPr>
        <w:t xml:space="preserve">Clare Gibney </w:t>
      </w:r>
    </w:p>
    <w:p w14:paraId="51D3D230" w14:textId="77777777" w:rsidR="00730A8A" w:rsidRPr="00274F5E" w:rsidRDefault="00730A8A" w:rsidP="00730A8A">
      <w:pPr>
        <w:rPr>
          <w:rFonts w:ascii="Arial" w:hAnsi="Arial" w:cs="Arial"/>
          <w:sz w:val="22"/>
          <w:szCs w:val="22"/>
        </w:rPr>
      </w:pPr>
      <w:r w:rsidRPr="00274F5E">
        <w:rPr>
          <w:rFonts w:ascii="Arial" w:hAnsi="Arial" w:cs="Arial"/>
          <w:sz w:val="22"/>
          <w:szCs w:val="22"/>
        </w:rPr>
        <w:t>Executive Director</w:t>
      </w:r>
    </w:p>
    <w:p w14:paraId="4633677C" w14:textId="77777777" w:rsidR="00730A8A" w:rsidRPr="00274F5E" w:rsidRDefault="00730A8A" w:rsidP="00730A8A">
      <w:pPr>
        <w:rPr>
          <w:rFonts w:ascii="Arial" w:hAnsi="Arial" w:cs="Arial"/>
          <w:sz w:val="22"/>
          <w:szCs w:val="22"/>
        </w:rPr>
      </w:pPr>
      <w:r w:rsidRPr="00274F5E">
        <w:rPr>
          <w:rFonts w:ascii="Arial" w:hAnsi="Arial" w:cs="Arial"/>
          <w:sz w:val="22"/>
          <w:szCs w:val="22"/>
        </w:rPr>
        <w:t>Policy and Advice Division</w:t>
      </w:r>
    </w:p>
    <w:p w14:paraId="3D15D70A" w14:textId="77777777" w:rsidR="00730A8A" w:rsidRDefault="00730A8A" w:rsidP="00730A8A">
      <w:pPr>
        <w:pStyle w:val="IH"/>
        <w:ind w:left="0" w:firstLine="0"/>
        <w:rPr>
          <w:rFonts w:cs="Arial"/>
          <w:color w:val="000000"/>
          <w:sz w:val="22"/>
          <w:szCs w:val="22"/>
        </w:rPr>
      </w:pPr>
    </w:p>
    <w:p w14:paraId="09E7700E" w14:textId="77777777" w:rsidR="00730A8A" w:rsidRPr="001752E0" w:rsidRDefault="00730A8A" w:rsidP="00730A8A">
      <w:pPr>
        <w:pStyle w:val="IH"/>
        <w:ind w:left="0" w:firstLine="0"/>
        <w:rPr>
          <w:rFonts w:cs="Arial"/>
          <w:color w:val="000000"/>
          <w:sz w:val="22"/>
          <w:szCs w:val="22"/>
        </w:rPr>
      </w:pPr>
      <w:r w:rsidRPr="00274F5E">
        <w:rPr>
          <w:rFonts w:cs="Arial"/>
          <w:color w:val="000000"/>
          <w:sz w:val="22"/>
          <w:szCs w:val="22"/>
        </w:rPr>
        <w:t>Interpretation</w:t>
      </w:r>
    </w:p>
    <w:p w14:paraId="0EC27F43" w14:textId="77777777" w:rsidR="00730A8A" w:rsidRDefault="00730A8A" w:rsidP="00730A8A">
      <w:pPr>
        <w:pStyle w:val="IP"/>
        <w:rPr>
          <w:rFonts w:ascii="Arial" w:hAnsi="Arial" w:cs="Arial"/>
          <w:color w:val="000000"/>
          <w:sz w:val="22"/>
          <w:szCs w:val="22"/>
        </w:rPr>
      </w:pPr>
    </w:p>
    <w:p w14:paraId="5698ED54" w14:textId="77777777" w:rsidR="00730A8A" w:rsidRDefault="00730A8A" w:rsidP="00730A8A">
      <w:pPr>
        <w:pStyle w:val="IP"/>
        <w:rPr>
          <w:rFonts w:ascii="Arial" w:hAnsi="Arial" w:cs="Arial"/>
          <w:color w:val="000000"/>
          <w:sz w:val="22"/>
          <w:szCs w:val="22"/>
        </w:rPr>
      </w:pPr>
      <w:r w:rsidRPr="001752E0">
        <w:rPr>
          <w:rFonts w:ascii="Arial" w:hAnsi="Arial" w:cs="Arial"/>
          <w:color w:val="000000"/>
          <w:sz w:val="22"/>
          <w:szCs w:val="22"/>
        </w:rPr>
        <w:t>In this instrument:</w:t>
      </w:r>
    </w:p>
    <w:p w14:paraId="43D58E00" w14:textId="77777777" w:rsidR="00730A8A" w:rsidRPr="00634839" w:rsidRDefault="00730A8A" w:rsidP="00730A8A">
      <w:pPr>
        <w:rPr>
          <w:lang w:eastAsia="en-US"/>
        </w:rPr>
      </w:pPr>
    </w:p>
    <w:p w14:paraId="72B571B6" w14:textId="77777777" w:rsidR="00730A8A" w:rsidRPr="001752E0" w:rsidRDefault="00730A8A" w:rsidP="00730A8A">
      <w:pPr>
        <w:pStyle w:val="IntroTo"/>
        <w:jc w:val="both"/>
        <w:rPr>
          <w:rFonts w:ascii="Arial" w:hAnsi="Arial" w:cs="Arial"/>
          <w:bCs/>
          <w:iCs/>
          <w:color w:val="000000"/>
          <w:sz w:val="22"/>
          <w:szCs w:val="22"/>
        </w:rPr>
      </w:pPr>
      <w:r w:rsidRPr="001752E0">
        <w:rPr>
          <w:rFonts w:ascii="Arial" w:hAnsi="Arial" w:cs="Arial"/>
          <w:b/>
          <w:bCs/>
          <w:i/>
          <w:iCs/>
          <w:color w:val="000000"/>
          <w:sz w:val="22"/>
          <w:szCs w:val="22"/>
        </w:rPr>
        <w:t xml:space="preserve">APRA </w:t>
      </w:r>
      <w:r w:rsidRPr="001752E0">
        <w:rPr>
          <w:rFonts w:ascii="Arial" w:hAnsi="Arial" w:cs="Arial"/>
          <w:bCs/>
          <w:iCs/>
          <w:color w:val="000000"/>
          <w:sz w:val="22"/>
          <w:szCs w:val="22"/>
        </w:rPr>
        <w:t>means the Australian Prudential Regulation Authority.</w:t>
      </w:r>
    </w:p>
    <w:p w14:paraId="35D8398C" w14:textId="77777777" w:rsidR="00730A8A" w:rsidRPr="001752E0" w:rsidRDefault="00730A8A" w:rsidP="00730A8A">
      <w:pPr>
        <w:pStyle w:val="IntroTo"/>
        <w:ind w:left="0" w:firstLine="0"/>
        <w:jc w:val="both"/>
        <w:rPr>
          <w:rFonts w:ascii="Arial" w:hAnsi="Arial" w:cs="Arial"/>
          <w:color w:val="000000"/>
          <w:sz w:val="22"/>
          <w:szCs w:val="22"/>
        </w:rPr>
      </w:pPr>
      <w:r w:rsidRPr="001752E0">
        <w:rPr>
          <w:rFonts w:ascii="Arial" w:hAnsi="Arial" w:cs="Arial"/>
          <w:b/>
          <w:bCs/>
          <w:i/>
          <w:iCs/>
          <w:color w:val="000000"/>
          <w:sz w:val="22"/>
          <w:szCs w:val="22"/>
        </w:rPr>
        <w:t>friendly society</w:t>
      </w:r>
      <w:r w:rsidRPr="001752E0">
        <w:rPr>
          <w:rFonts w:ascii="Arial" w:hAnsi="Arial" w:cs="Arial"/>
          <w:color w:val="000000"/>
          <w:sz w:val="22"/>
          <w:szCs w:val="22"/>
        </w:rPr>
        <w:t xml:space="preserve"> has the meaning given in section 16C of the </w:t>
      </w:r>
      <w:r w:rsidRPr="00741BEF">
        <w:rPr>
          <w:rFonts w:ascii="Arial" w:hAnsi="Arial" w:cs="Arial"/>
          <w:color w:val="000000"/>
          <w:sz w:val="22"/>
          <w:szCs w:val="22"/>
        </w:rPr>
        <w:t>Act</w:t>
      </w:r>
      <w:r w:rsidRPr="001752E0">
        <w:rPr>
          <w:rFonts w:ascii="Arial" w:hAnsi="Arial" w:cs="Arial"/>
          <w:color w:val="000000"/>
          <w:sz w:val="22"/>
          <w:szCs w:val="22"/>
        </w:rPr>
        <w:t>.</w:t>
      </w:r>
    </w:p>
    <w:p w14:paraId="43246F06" w14:textId="77777777" w:rsidR="00730A8A" w:rsidRDefault="00730A8A" w:rsidP="00730A8A">
      <w:pPr>
        <w:pStyle w:val="IntroTo"/>
        <w:jc w:val="both"/>
        <w:rPr>
          <w:rFonts w:ascii="Arial" w:hAnsi="Arial" w:cs="Arial"/>
          <w:color w:val="000000"/>
          <w:sz w:val="22"/>
          <w:szCs w:val="22"/>
        </w:rPr>
      </w:pPr>
      <w:r w:rsidRPr="001752E0">
        <w:rPr>
          <w:rFonts w:ascii="Arial" w:hAnsi="Arial" w:cs="Arial"/>
          <w:b/>
          <w:bCs/>
          <w:i/>
          <w:iCs/>
          <w:color w:val="000000"/>
          <w:sz w:val="22"/>
          <w:szCs w:val="22"/>
        </w:rPr>
        <w:t>life company</w:t>
      </w:r>
      <w:r w:rsidRPr="001752E0">
        <w:rPr>
          <w:rFonts w:ascii="Arial" w:hAnsi="Arial" w:cs="Arial"/>
          <w:color w:val="000000"/>
          <w:sz w:val="22"/>
          <w:szCs w:val="22"/>
        </w:rPr>
        <w:t xml:space="preserve"> has the meaning given in the Schedule to the</w:t>
      </w:r>
      <w:r>
        <w:rPr>
          <w:rFonts w:ascii="Arial" w:hAnsi="Arial" w:cs="Arial"/>
          <w:color w:val="000000"/>
          <w:sz w:val="22"/>
          <w:szCs w:val="22"/>
        </w:rPr>
        <w:t xml:space="preserve"> </w:t>
      </w:r>
      <w:r w:rsidRPr="00741BEF">
        <w:rPr>
          <w:rFonts w:ascii="Arial" w:hAnsi="Arial" w:cs="Arial"/>
          <w:color w:val="000000"/>
          <w:sz w:val="22"/>
          <w:szCs w:val="22"/>
        </w:rPr>
        <w:t>Act</w:t>
      </w:r>
      <w:r w:rsidRPr="001752E0">
        <w:rPr>
          <w:rFonts w:ascii="Arial" w:hAnsi="Arial" w:cs="Arial"/>
          <w:color w:val="000000"/>
          <w:sz w:val="22"/>
          <w:szCs w:val="22"/>
        </w:rPr>
        <w:t>.</w:t>
      </w:r>
    </w:p>
    <w:p w14:paraId="67C417BD" w14:textId="77777777" w:rsidR="00730A8A" w:rsidRDefault="00730A8A" w:rsidP="00730A8A">
      <w:pPr>
        <w:pStyle w:val="IntroTo"/>
        <w:spacing w:before="120"/>
        <w:ind w:left="0" w:firstLine="0"/>
        <w:jc w:val="both"/>
        <w:rPr>
          <w:rFonts w:ascii="Arial" w:hAnsi="Arial" w:cs="Arial"/>
          <w:color w:val="000000"/>
          <w:sz w:val="22"/>
          <w:szCs w:val="22"/>
          <w:shd w:val="clear" w:color="auto" w:fill="FFFFFF"/>
        </w:rPr>
      </w:pPr>
    </w:p>
    <w:p w14:paraId="68CF9057" w14:textId="77777777" w:rsidR="00730A8A" w:rsidRDefault="00730A8A" w:rsidP="00730A8A">
      <w:pPr>
        <w:pStyle w:val="IntroTo"/>
        <w:spacing w:before="120"/>
        <w:ind w:left="0" w:firstLine="0"/>
        <w:jc w:val="both"/>
        <w:rPr>
          <w:rStyle w:val="CharSchNo"/>
          <w:rFonts w:ascii="Arial" w:hAnsi="Arial" w:cs="Arial"/>
          <w:color w:val="000000"/>
          <w:sz w:val="22"/>
          <w:szCs w:val="22"/>
        </w:rPr>
      </w:pPr>
      <w:r>
        <w:rPr>
          <w:rStyle w:val="CharSchNo"/>
          <w:rFonts w:ascii="Arial" w:hAnsi="Arial" w:cs="Arial"/>
          <w:color w:val="000000"/>
          <w:sz w:val="22"/>
          <w:szCs w:val="22"/>
        </w:rPr>
        <w:br w:type="page"/>
      </w:r>
    </w:p>
    <w:p w14:paraId="7DE13BE8" w14:textId="77777777" w:rsidR="00730A8A" w:rsidRPr="00596671" w:rsidRDefault="00730A8A" w:rsidP="00730A8A">
      <w:pPr>
        <w:pStyle w:val="AS"/>
        <w:spacing w:before="120" w:after="240"/>
        <w:ind w:left="0" w:firstLine="0"/>
        <w:jc w:val="both"/>
        <w:rPr>
          <w:rStyle w:val="CharSchText"/>
          <w:color w:val="000000"/>
        </w:rPr>
      </w:pPr>
      <w:r w:rsidRPr="00596671">
        <w:rPr>
          <w:rStyle w:val="CharSchNo"/>
          <w:color w:val="000000"/>
        </w:rPr>
        <w:t xml:space="preserve">Schedule </w:t>
      </w:r>
    </w:p>
    <w:p w14:paraId="44C43F79" w14:textId="77777777" w:rsidR="00730A8A" w:rsidRDefault="00730A8A" w:rsidP="00730A8A">
      <w:pPr>
        <w:pStyle w:val="Heading1"/>
        <w:rPr>
          <w:sz w:val="22"/>
          <w:szCs w:val="22"/>
        </w:rPr>
        <w:sectPr w:rsidR="00730A8A" w:rsidSect="00CB2879">
          <w:headerReference w:type="default" r:id="rId14"/>
          <w:footerReference w:type="default" r:id="rId15"/>
          <w:pgSz w:w="11907" w:h="16840" w:code="9"/>
          <w:pgMar w:top="709" w:right="1797" w:bottom="1440" w:left="1797" w:header="720" w:footer="720" w:gutter="0"/>
          <w:pgNumType w:start="1"/>
          <w:cols w:space="720"/>
          <w:titlePg/>
          <w:docGrid w:linePitch="326"/>
        </w:sectPr>
      </w:pPr>
      <w:r w:rsidRPr="00B77D54">
        <w:rPr>
          <w:b w:val="0"/>
          <w:i/>
          <w:iCs/>
          <w:color w:val="000000"/>
          <w:sz w:val="22"/>
          <w:szCs w:val="22"/>
          <w:shd w:val="clear" w:color="auto" w:fill="FFFFFF"/>
        </w:rPr>
        <w:t>Prudential Standard</w:t>
      </w:r>
      <w:r w:rsidRPr="00596671">
        <w:rPr>
          <w:b w:val="0"/>
          <w:i/>
          <w:iCs/>
          <w:color w:val="000000"/>
          <w:sz w:val="22"/>
          <w:szCs w:val="22"/>
          <w:shd w:val="clear" w:color="auto" w:fill="FFFFFF"/>
        </w:rPr>
        <w:t xml:space="preserve"> LPS 360</w:t>
      </w:r>
      <w:r>
        <w:rPr>
          <w:b w:val="0"/>
          <w:i/>
          <w:iCs/>
          <w:color w:val="000000"/>
          <w:sz w:val="22"/>
          <w:szCs w:val="22"/>
          <w:shd w:val="clear" w:color="auto" w:fill="FFFFFF"/>
        </w:rPr>
        <w:t xml:space="preserve"> </w:t>
      </w:r>
      <w:r w:rsidRPr="00596671">
        <w:rPr>
          <w:b w:val="0"/>
          <w:i/>
          <w:iCs/>
          <w:color w:val="000000"/>
          <w:sz w:val="22"/>
          <w:szCs w:val="22"/>
          <w:shd w:val="clear" w:color="auto" w:fill="FFFFFF"/>
        </w:rPr>
        <w:t>Termination Values, Minimum Surrender Values and Paid-up Values</w:t>
      </w:r>
      <w:r w:rsidRPr="001752E0">
        <w:rPr>
          <w:b w:val="0"/>
          <w:i/>
          <w:color w:val="000000"/>
          <w:sz w:val="22"/>
          <w:szCs w:val="22"/>
        </w:rPr>
        <w:t xml:space="preserve"> </w:t>
      </w:r>
      <w:r w:rsidRPr="001752E0">
        <w:rPr>
          <w:b w:val="0"/>
          <w:sz w:val="22"/>
          <w:szCs w:val="22"/>
        </w:rPr>
        <w:t>comprises the document commencing on the following page.</w:t>
      </w:r>
      <w:r w:rsidRPr="001752E0">
        <w:rPr>
          <w:sz w:val="22"/>
          <w:szCs w:val="22"/>
        </w:rPr>
        <w:t xml:space="preserve"> </w:t>
      </w:r>
    </w:p>
    <w:p w14:paraId="05555A8E" w14:textId="35708777" w:rsidR="00730A8A" w:rsidRPr="00730A8A" w:rsidRDefault="006B634F" w:rsidP="00730A8A">
      <w:pPr>
        <w:pStyle w:val="Heading5"/>
        <w:spacing w:after="600"/>
        <w:jc w:val="both"/>
        <w:rPr>
          <w:noProof/>
        </w:rPr>
      </w:pPr>
      <w:r>
        <w:rPr>
          <w:noProof/>
        </w:rPr>
        <w:lastRenderedPageBreak/>
        <w:pict w14:anchorId="11CC375D">
          <v:shape id="_x0000_i1026" type="#_x0000_t75" alt="Commonwealth Coat of Arms" style="width:111.75pt;height:87pt;visibility:visible">
            <v:imagedata r:id="rId13" o:title=""/>
          </v:shape>
        </w:pict>
      </w:r>
    </w:p>
    <w:p w14:paraId="05A6BE78" w14:textId="77777777" w:rsidR="009073DE" w:rsidRPr="0095272A" w:rsidRDefault="00E60EE2" w:rsidP="00A62372">
      <w:pPr>
        <w:spacing w:before="120" w:after="360"/>
        <w:jc w:val="both"/>
        <w:rPr>
          <w:rFonts w:ascii="Arial" w:hAnsi="Arial" w:cs="Arial"/>
          <w:b/>
          <w:sz w:val="40"/>
          <w:szCs w:val="40"/>
        </w:rPr>
      </w:pPr>
      <w:r w:rsidRPr="0095272A">
        <w:rPr>
          <w:rFonts w:ascii="Arial" w:hAnsi="Arial" w:cs="Arial"/>
          <w:b/>
          <w:sz w:val="40"/>
          <w:szCs w:val="40"/>
        </w:rPr>
        <w:t xml:space="preserve">Prudential Standard </w:t>
      </w:r>
      <w:r w:rsidR="00A06F22" w:rsidRPr="0095272A">
        <w:rPr>
          <w:rFonts w:ascii="Arial" w:hAnsi="Arial" w:cs="Arial"/>
          <w:b/>
          <w:sz w:val="40"/>
          <w:szCs w:val="40"/>
        </w:rPr>
        <w:t>L</w:t>
      </w:r>
      <w:r w:rsidRPr="0095272A">
        <w:rPr>
          <w:rFonts w:ascii="Arial" w:hAnsi="Arial" w:cs="Arial"/>
          <w:b/>
          <w:sz w:val="40"/>
          <w:szCs w:val="40"/>
        </w:rPr>
        <w:t xml:space="preserve">PS </w:t>
      </w:r>
      <w:r w:rsidR="0080388D" w:rsidRPr="0095272A">
        <w:rPr>
          <w:rFonts w:ascii="Arial" w:hAnsi="Arial" w:cs="Arial"/>
          <w:b/>
          <w:sz w:val="40"/>
          <w:szCs w:val="40"/>
        </w:rPr>
        <w:t>360</w:t>
      </w:r>
    </w:p>
    <w:p w14:paraId="68E5A81B" w14:textId="77777777" w:rsidR="009073DE" w:rsidRPr="0095272A" w:rsidRDefault="00E548E1" w:rsidP="00A62372">
      <w:pPr>
        <w:spacing w:before="120" w:after="360"/>
        <w:jc w:val="both"/>
        <w:rPr>
          <w:rFonts w:ascii="Arial" w:hAnsi="Arial" w:cs="Arial"/>
          <w:b/>
          <w:sz w:val="40"/>
          <w:szCs w:val="40"/>
        </w:rPr>
      </w:pPr>
      <w:r w:rsidRPr="0095272A">
        <w:rPr>
          <w:rFonts w:ascii="Arial" w:hAnsi="Arial" w:cs="Arial"/>
          <w:b/>
          <w:sz w:val="40"/>
          <w:szCs w:val="40"/>
        </w:rPr>
        <w:t xml:space="preserve">Termination Values, </w:t>
      </w:r>
      <w:r w:rsidR="0080388D" w:rsidRPr="0095272A">
        <w:rPr>
          <w:rFonts w:ascii="Arial" w:hAnsi="Arial" w:cs="Arial"/>
          <w:b/>
          <w:sz w:val="40"/>
          <w:szCs w:val="40"/>
        </w:rPr>
        <w:t>Minimum Surrender Values and Paid-up Values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2"/>
      </w:tblGrid>
      <w:tr w:rsidR="00E60EE2" w:rsidRPr="00BA4E53" w14:paraId="0910BA30" w14:textId="77777777" w:rsidTr="00BB1FED">
        <w:tc>
          <w:tcPr>
            <w:tcW w:w="8472" w:type="dxa"/>
            <w:shd w:val="pct10" w:color="auto" w:fill="FFFFFF"/>
          </w:tcPr>
          <w:p w14:paraId="4D6EFB95" w14:textId="77777777" w:rsidR="00A06F22" w:rsidRPr="0095272A" w:rsidRDefault="00E60EE2" w:rsidP="00A62372">
            <w:pPr>
              <w:spacing w:before="120" w:after="240"/>
              <w:jc w:val="both"/>
              <w:rPr>
                <w:rFonts w:ascii="Arial" w:hAnsi="Arial" w:cs="Arial"/>
                <w:b/>
                <w:sz w:val="32"/>
                <w:szCs w:val="32"/>
              </w:rPr>
            </w:pPr>
            <w:r w:rsidRPr="0095272A">
              <w:rPr>
                <w:rFonts w:ascii="Arial" w:hAnsi="Arial" w:cs="Arial"/>
                <w:b/>
                <w:sz w:val="32"/>
                <w:szCs w:val="32"/>
              </w:rPr>
              <w:t>Objective and key requirements of this Prudential Standard</w:t>
            </w:r>
          </w:p>
          <w:p w14:paraId="35B672EC" w14:textId="77777777" w:rsidR="00AF0FD8" w:rsidRPr="00BA4E53" w:rsidRDefault="00243968" w:rsidP="00A62372">
            <w:pPr>
              <w:spacing w:after="240"/>
              <w:jc w:val="both"/>
            </w:pPr>
            <w:r w:rsidRPr="00BA4E53">
              <w:t xml:space="preserve">This Prudential Standard </w:t>
            </w:r>
            <w:r w:rsidR="000D4820" w:rsidRPr="00BA4E53">
              <w:t>sets out the requirements for determining termination values</w:t>
            </w:r>
            <w:r w:rsidR="00FB4622" w:rsidRPr="00BA4E53">
              <w:t>,</w:t>
            </w:r>
            <w:r w:rsidR="000D4820" w:rsidRPr="00BA4E53">
              <w:t xml:space="preserve"> </w:t>
            </w:r>
            <w:r w:rsidR="00FB4622" w:rsidRPr="00BA4E53">
              <w:t xml:space="preserve">minimum </w:t>
            </w:r>
            <w:r w:rsidR="000C43E0" w:rsidRPr="00BA4E53">
              <w:t xml:space="preserve">surrender </w:t>
            </w:r>
            <w:r w:rsidR="00FB4622" w:rsidRPr="00BA4E53">
              <w:t>values and minimum paid-up values</w:t>
            </w:r>
            <w:r w:rsidR="000C43E0" w:rsidRPr="00BA4E53">
              <w:t>.</w:t>
            </w:r>
            <w:r w:rsidR="00BA4A30" w:rsidRPr="00BA4E53">
              <w:t xml:space="preserve"> </w:t>
            </w:r>
            <w:r w:rsidR="00AF0FD8" w:rsidRPr="00BA4E53">
              <w:t>Th</w:t>
            </w:r>
            <w:r w:rsidR="000C43E0" w:rsidRPr="00BA4E53">
              <w:t>e key requirements of this</w:t>
            </w:r>
            <w:r w:rsidR="00AF0FD8" w:rsidRPr="00BA4E53">
              <w:t xml:space="preserve"> Prudential Standard</w:t>
            </w:r>
            <w:r w:rsidR="000C43E0" w:rsidRPr="00BA4E53">
              <w:t xml:space="preserve"> </w:t>
            </w:r>
            <w:r w:rsidR="005773E6" w:rsidRPr="00BA4E53">
              <w:t>are</w:t>
            </w:r>
            <w:r w:rsidR="00AF0FD8" w:rsidRPr="00BA4E53">
              <w:t>:</w:t>
            </w:r>
          </w:p>
          <w:p w14:paraId="3363A1E0" w14:textId="77777777" w:rsidR="00AF0FD8" w:rsidRPr="00BA4E53" w:rsidRDefault="00FB4622" w:rsidP="00EA657E">
            <w:pPr>
              <w:pStyle w:val="ListParagraph"/>
              <w:numPr>
                <w:ilvl w:val="0"/>
                <w:numId w:val="30"/>
              </w:numPr>
              <w:ind w:left="567" w:hanging="567"/>
              <w:jc w:val="both"/>
            </w:pPr>
            <w:r w:rsidRPr="00BA4E53">
              <w:t xml:space="preserve">a life company must calculate the termination values of policies using the methods </w:t>
            </w:r>
            <w:r w:rsidR="005773E6" w:rsidRPr="00BA4E53">
              <w:t>pre</w:t>
            </w:r>
            <w:r w:rsidRPr="00BA4E53">
              <w:t>scribed in this standard.</w:t>
            </w:r>
            <w:r w:rsidR="00117500">
              <w:t xml:space="preserve"> Termination values cannot be less than the minimum termination values prescribed in this standard.</w:t>
            </w:r>
            <w:r w:rsidRPr="00BA4E53">
              <w:t xml:space="preserve"> Termination values are used in determining the capital base of a life company and its statutory funds (refer to Attachment </w:t>
            </w:r>
            <w:r w:rsidR="007F2326" w:rsidRPr="00BA4E53">
              <w:t>H</w:t>
            </w:r>
            <w:r w:rsidRPr="00BA4E53">
              <w:t xml:space="preserve"> </w:t>
            </w:r>
            <w:r w:rsidR="0092629B">
              <w:t>of</w:t>
            </w:r>
            <w:r w:rsidRPr="00BA4E53">
              <w:t xml:space="preserve"> </w:t>
            </w:r>
            <w:r w:rsidRPr="00BA4E53">
              <w:rPr>
                <w:i/>
              </w:rPr>
              <w:t>Prudential Standard LPS 112 Capital Adequacy: Measurement of Capital</w:t>
            </w:r>
            <w:r w:rsidRPr="00BA4E53">
              <w:t>);</w:t>
            </w:r>
          </w:p>
          <w:p w14:paraId="1045D58F" w14:textId="77777777" w:rsidR="00AF0FD8" w:rsidRPr="00BA4E53" w:rsidRDefault="005773E6" w:rsidP="00EA657E">
            <w:pPr>
              <w:pStyle w:val="ListParagraph"/>
              <w:numPr>
                <w:ilvl w:val="0"/>
                <w:numId w:val="30"/>
              </w:numPr>
              <w:ind w:left="567" w:hanging="567"/>
              <w:jc w:val="both"/>
            </w:pPr>
            <w:r w:rsidRPr="00BA4E53">
              <w:t xml:space="preserve">section 207 of the </w:t>
            </w:r>
            <w:r w:rsidRPr="00B314C1">
              <w:rPr>
                <w:i/>
              </w:rPr>
              <w:t>Life Insurance Act</w:t>
            </w:r>
            <w:r w:rsidR="00C44EA9" w:rsidRPr="00B314C1">
              <w:rPr>
                <w:i/>
              </w:rPr>
              <w:t xml:space="preserve"> 1995</w:t>
            </w:r>
            <w:r w:rsidRPr="00BA4E53">
              <w:t xml:space="preserve"> requires a life company to pay a surrender value to a policy owner in some circumstances. This </w:t>
            </w:r>
            <w:r w:rsidR="00C44EA9">
              <w:t>P</w:t>
            </w:r>
            <w:r w:rsidRPr="00BA4E53">
              <w:t xml:space="preserve">rudential </w:t>
            </w:r>
            <w:r w:rsidR="00C44EA9">
              <w:t>S</w:t>
            </w:r>
            <w:r w:rsidRPr="00BA4E53">
              <w:t>tandard specifies the minimum surrender value that must be paid</w:t>
            </w:r>
            <w:r w:rsidR="00AF0FD8" w:rsidRPr="00BA4E53">
              <w:t>; and</w:t>
            </w:r>
          </w:p>
          <w:p w14:paraId="621E97DA" w14:textId="77777777" w:rsidR="00AF0FD8" w:rsidRPr="00BA4E53" w:rsidRDefault="005773E6" w:rsidP="00EA657E">
            <w:pPr>
              <w:pStyle w:val="ListParagraph"/>
              <w:numPr>
                <w:ilvl w:val="0"/>
                <w:numId w:val="30"/>
              </w:numPr>
              <w:ind w:left="567" w:hanging="567"/>
              <w:jc w:val="both"/>
            </w:pPr>
            <w:r w:rsidRPr="00BA4E53">
              <w:t xml:space="preserve">section 209 of the </w:t>
            </w:r>
            <w:r w:rsidRPr="00B314C1">
              <w:rPr>
                <w:i/>
              </w:rPr>
              <w:t>Life Insurance Act</w:t>
            </w:r>
            <w:r w:rsidR="00C44EA9" w:rsidRPr="00B314C1">
              <w:rPr>
                <w:i/>
              </w:rPr>
              <w:t xml:space="preserve"> 1995</w:t>
            </w:r>
            <w:r w:rsidRPr="00BA4E53">
              <w:t xml:space="preserve"> requires a life company to vary a policy in some circumstances if the policy owner requests that no further premiums be paid. This </w:t>
            </w:r>
            <w:r w:rsidR="00C44EA9">
              <w:t>P</w:t>
            </w:r>
            <w:r w:rsidRPr="00BA4E53">
              <w:t xml:space="preserve">rudential </w:t>
            </w:r>
            <w:r w:rsidR="00C44EA9">
              <w:t>S</w:t>
            </w:r>
            <w:r w:rsidRPr="00BA4E53">
              <w:t>tandard specifies the minimum amount of a paid-up policy.</w:t>
            </w:r>
          </w:p>
          <w:p w14:paraId="4AB47C48" w14:textId="77777777" w:rsidR="0078732E" w:rsidRPr="00BA4E53" w:rsidRDefault="0078732E" w:rsidP="00A62372">
            <w:pPr>
              <w:pStyle w:val="NoSpacing"/>
              <w:numPr>
                <w:ilvl w:val="0"/>
                <w:numId w:val="0"/>
              </w:numPr>
              <w:jc w:val="both"/>
            </w:pPr>
          </w:p>
        </w:tc>
      </w:tr>
    </w:tbl>
    <w:p w14:paraId="61C389B8" w14:textId="77777777" w:rsidR="001B26D0" w:rsidRPr="00BA4E53" w:rsidRDefault="001B26D0" w:rsidP="00A62372">
      <w:pPr>
        <w:jc w:val="both"/>
        <w:rPr>
          <w:rFonts w:ascii="Arial" w:hAnsi="Arial" w:cs="Arial"/>
          <w:b/>
          <w:bCs/>
          <w:szCs w:val="26"/>
        </w:rPr>
      </w:pPr>
    </w:p>
    <w:p w14:paraId="25874039" w14:textId="77777777" w:rsidR="00DF3550" w:rsidRPr="00BA4E53" w:rsidRDefault="00DF3550" w:rsidP="00A62372">
      <w:pPr>
        <w:jc w:val="both"/>
        <w:rPr>
          <w:rFonts w:ascii="Arial" w:hAnsi="Arial" w:cs="Arial"/>
          <w:b/>
          <w:bCs/>
          <w:szCs w:val="26"/>
        </w:rPr>
      </w:pPr>
    </w:p>
    <w:p w14:paraId="50B77F28" w14:textId="77777777" w:rsidR="00DF3550" w:rsidRPr="00BA4E53" w:rsidRDefault="00DF3550" w:rsidP="00A62372">
      <w:pPr>
        <w:jc w:val="both"/>
        <w:rPr>
          <w:rFonts w:ascii="Arial" w:hAnsi="Arial" w:cs="Arial"/>
          <w:b/>
          <w:bCs/>
          <w:szCs w:val="26"/>
        </w:rPr>
      </w:pPr>
    </w:p>
    <w:p w14:paraId="2A960111" w14:textId="77777777" w:rsidR="009C3760" w:rsidRDefault="009C3760" w:rsidP="00A62372">
      <w:pPr>
        <w:jc w:val="both"/>
      </w:pPr>
      <w:r>
        <w:br w:type="page"/>
      </w:r>
    </w:p>
    <w:p w14:paraId="57B3B35B" w14:textId="77777777" w:rsidR="0095272A" w:rsidRPr="009A0A8D" w:rsidRDefault="00A6289E" w:rsidP="00A62372">
      <w:pPr>
        <w:pStyle w:val="TOCHeading"/>
        <w:spacing w:before="0"/>
        <w:jc w:val="both"/>
        <w:rPr>
          <w:rFonts w:ascii="Arial" w:hAnsi="Arial" w:cs="Arial"/>
          <w:color w:val="auto"/>
          <w:sz w:val="24"/>
          <w:szCs w:val="24"/>
        </w:rPr>
      </w:pPr>
      <w:r w:rsidRPr="009A0A8D">
        <w:rPr>
          <w:rFonts w:ascii="Arial" w:hAnsi="Arial" w:cs="Arial"/>
          <w:color w:val="auto"/>
          <w:sz w:val="24"/>
          <w:szCs w:val="24"/>
        </w:rPr>
        <w:t>Table o</w:t>
      </w:r>
      <w:r w:rsidR="00D857F7">
        <w:rPr>
          <w:rFonts w:ascii="Arial" w:hAnsi="Arial" w:cs="Arial"/>
          <w:color w:val="auto"/>
          <w:sz w:val="24"/>
          <w:szCs w:val="24"/>
        </w:rPr>
        <w:t>f C</w:t>
      </w:r>
      <w:r w:rsidR="0095272A" w:rsidRPr="009A0A8D">
        <w:rPr>
          <w:rFonts w:ascii="Arial" w:hAnsi="Arial" w:cs="Arial"/>
          <w:color w:val="auto"/>
          <w:sz w:val="24"/>
          <w:szCs w:val="24"/>
        </w:rPr>
        <w:t>ontents</w:t>
      </w:r>
    </w:p>
    <w:p w14:paraId="23F47D28" w14:textId="77777777" w:rsidR="009A0A8D" w:rsidRPr="009A0A8D" w:rsidRDefault="009A0A8D" w:rsidP="00A62372">
      <w:pPr>
        <w:jc w:val="both"/>
        <w:rPr>
          <w:rFonts w:ascii="Arial" w:hAnsi="Arial" w:cs="Arial"/>
          <w:szCs w:val="24"/>
          <w:lang w:val="en-US" w:eastAsia="en-US"/>
        </w:rPr>
      </w:pPr>
    </w:p>
    <w:p w14:paraId="75722BDD" w14:textId="77777777" w:rsidR="006B58B0" w:rsidRDefault="009A001F" w:rsidP="008B6ED6">
      <w:pPr>
        <w:pStyle w:val="TOC3"/>
        <w:rPr>
          <w:rFonts w:ascii="Calibri" w:hAnsi="Calibri" w:cs="Times New Roman"/>
          <w:sz w:val="22"/>
          <w:szCs w:val="22"/>
        </w:rPr>
      </w:pPr>
      <w:r w:rsidRPr="009A0A8D">
        <w:fldChar w:fldCharType="begin"/>
      </w:r>
      <w:r w:rsidR="0095272A" w:rsidRPr="009A0A8D">
        <w:instrText xml:space="preserve"> TOC \o "1-3" \h \z \u </w:instrText>
      </w:r>
      <w:r w:rsidRPr="009A0A8D">
        <w:fldChar w:fldCharType="separate"/>
      </w:r>
      <w:hyperlink w:anchor="_Toc334445565" w:history="1">
        <w:r w:rsidR="006B58B0" w:rsidRPr="00A90620">
          <w:rPr>
            <w:rStyle w:val="Hyperlink"/>
          </w:rPr>
          <w:t>Authority</w:t>
        </w:r>
        <w:r w:rsidR="006B58B0">
          <w:rPr>
            <w:webHidden/>
          </w:rPr>
          <w:tab/>
        </w:r>
        <w:r w:rsidR="006B58B0">
          <w:rPr>
            <w:webHidden/>
          </w:rPr>
          <w:fldChar w:fldCharType="begin"/>
        </w:r>
        <w:r w:rsidR="006B58B0">
          <w:rPr>
            <w:webHidden/>
          </w:rPr>
          <w:instrText xml:space="preserve"> PAGEREF _Toc334445565 \h </w:instrText>
        </w:r>
        <w:r w:rsidR="006B58B0">
          <w:rPr>
            <w:webHidden/>
          </w:rPr>
        </w:r>
        <w:r w:rsidR="006B58B0">
          <w:rPr>
            <w:webHidden/>
          </w:rPr>
          <w:fldChar w:fldCharType="separate"/>
        </w:r>
        <w:r w:rsidR="00756D31">
          <w:rPr>
            <w:webHidden/>
          </w:rPr>
          <w:t>3</w:t>
        </w:r>
        <w:r w:rsidR="006B58B0">
          <w:rPr>
            <w:webHidden/>
          </w:rPr>
          <w:fldChar w:fldCharType="end"/>
        </w:r>
      </w:hyperlink>
    </w:p>
    <w:p w14:paraId="3809B04D" w14:textId="77777777" w:rsidR="006B58B0" w:rsidRDefault="006B634F" w:rsidP="008B6ED6">
      <w:pPr>
        <w:pStyle w:val="TOC3"/>
        <w:rPr>
          <w:rFonts w:ascii="Calibri" w:hAnsi="Calibri" w:cs="Times New Roman"/>
          <w:sz w:val="22"/>
          <w:szCs w:val="22"/>
        </w:rPr>
      </w:pPr>
      <w:hyperlink w:anchor="_Toc334445566" w:history="1">
        <w:r w:rsidR="006B58B0" w:rsidRPr="00A90620">
          <w:rPr>
            <w:rStyle w:val="Hyperlink"/>
          </w:rPr>
          <w:t>Application</w:t>
        </w:r>
        <w:r w:rsidR="006B58B0">
          <w:rPr>
            <w:webHidden/>
          </w:rPr>
          <w:tab/>
        </w:r>
        <w:r w:rsidR="006B58B0">
          <w:rPr>
            <w:webHidden/>
          </w:rPr>
          <w:fldChar w:fldCharType="begin"/>
        </w:r>
        <w:r w:rsidR="006B58B0">
          <w:rPr>
            <w:webHidden/>
          </w:rPr>
          <w:instrText xml:space="preserve"> PAGEREF _Toc334445566 \h </w:instrText>
        </w:r>
        <w:r w:rsidR="006B58B0">
          <w:rPr>
            <w:webHidden/>
          </w:rPr>
        </w:r>
        <w:r w:rsidR="006B58B0">
          <w:rPr>
            <w:webHidden/>
          </w:rPr>
          <w:fldChar w:fldCharType="separate"/>
        </w:r>
        <w:r w:rsidR="00756D31">
          <w:rPr>
            <w:webHidden/>
          </w:rPr>
          <w:t>3</w:t>
        </w:r>
        <w:r w:rsidR="006B58B0">
          <w:rPr>
            <w:webHidden/>
          </w:rPr>
          <w:fldChar w:fldCharType="end"/>
        </w:r>
      </w:hyperlink>
    </w:p>
    <w:p w14:paraId="66BD4CEB" w14:textId="77777777" w:rsidR="006B58B0" w:rsidRDefault="006B634F" w:rsidP="008B6ED6">
      <w:pPr>
        <w:pStyle w:val="TOC3"/>
        <w:rPr>
          <w:rFonts w:ascii="Calibri" w:hAnsi="Calibri" w:cs="Times New Roman"/>
          <w:sz w:val="22"/>
          <w:szCs w:val="22"/>
        </w:rPr>
      </w:pPr>
      <w:hyperlink w:anchor="_Toc334445567" w:history="1">
        <w:r w:rsidR="006B58B0" w:rsidRPr="00A90620">
          <w:rPr>
            <w:rStyle w:val="Hyperlink"/>
          </w:rPr>
          <w:t>Interpretatio</w:t>
        </w:r>
        <w:r w:rsidR="006B58B0" w:rsidRPr="00A90620">
          <w:rPr>
            <w:rStyle w:val="Hyperlink"/>
            <w:rFonts w:eastAsia="MS Mincho"/>
          </w:rPr>
          <w:t>n</w:t>
        </w:r>
        <w:r w:rsidR="006B58B0">
          <w:rPr>
            <w:webHidden/>
          </w:rPr>
          <w:tab/>
        </w:r>
        <w:r w:rsidR="006B58B0">
          <w:rPr>
            <w:webHidden/>
          </w:rPr>
          <w:fldChar w:fldCharType="begin"/>
        </w:r>
        <w:r w:rsidR="006B58B0">
          <w:rPr>
            <w:webHidden/>
          </w:rPr>
          <w:instrText xml:space="preserve"> PAGEREF _Toc334445567 \h </w:instrText>
        </w:r>
        <w:r w:rsidR="006B58B0">
          <w:rPr>
            <w:webHidden/>
          </w:rPr>
        </w:r>
        <w:r w:rsidR="006B58B0">
          <w:rPr>
            <w:webHidden/>
          </w:rPr>
          <w:fldChar w:fldCharType="separate"/>
        </w:r>
        <w:r w:rsidR="00756D31">
          <w:rPr>
            <w:webHidden/>
          </w:rPr>
          <w:t>3</w:t>
        </w:r>
        <w:r w:rsidR="006B58B0">
          <w:rPr>
            <w:webHidden/>
          </w:rPr>
          <w:fldChar w:fldCharType="end"/>
        </w:r>
      </w:hyperlink>
    </w:p>
    <w:p w14:paraId="073CB023" w14:textId="77777777" w:rsidR="006B58B0" w:rsidRPr="008B6ED6" w:rsidRDefault="006B58B0" w:rsidP="008B6ED6">
      <w:pPr>
        <w:pStyle w:val="TOC3"/>
        <w:rPr>
          <w:rStyle w:val="Hyperlink"/>
          <w:color w:val="auto"/>
        </w:rPr>
      </w:pPr>
    </w:p>
    <w:p w14:paraId="3E3DDD3F" w14:textId="77777777" w:rsidR="006B58B0" w:rsidRPr="006B58B0" w:rsidRDefault="006B634F" w:rsidP="008B6ED6">
      <w:pPr>
        <w:pStyle w:val="TOC3"/>
        <w:rPr>
          <w:rFonts w:ascii="Calibri" w:hAnsi="Calibri" w:cs="Times New Roman"/>
          <w:b/>
          <w:sz w:val="22"/>
          <w:szCs w:val="22"/>
        </w:rPr>
      </w:pPr>
      <w:hyperlink w:anchor="_Toc334445568" w:history="1">
        <w:r w:rsidR="006B58B0" w:rsidRPr="006B58B0">
          <w:rPr>
            <w:rStyle w:val="Hyperlink"/>
            <w:b/>
          </w:rPr>
          <w:t>Part A – Termination values</w:t>
        </w:r>
        <w:r w:rsidR="006B58B0" w:rsidRPr="006B58B0">
          <w:rPr>
            <w:webHidden/>
          </w:rPr>
          <w:tab/>
        </w:r>
        <w:r w:rsidR="006B58B0" w:rsidRPr="006B58B0">
          <w:rPr>
            <w:webHidden/>
          </w:rPr>
          <w:fldChar w:fldCharType="begin"/>
        </w:r>
        <w:r w:rsidR="006B58B0" w:rsidRPr="006B58B0">
          <w:rPr>
            <w:webHidden/>
          </w:rPr>
          <w:instrText xml:space="preserve"> PAGEREF _Toc334445568 \h </w:instrText>
        </w:r>
        <w:r w:rsidR="006B58B0" w:rsidRPr="006B58B0">
          <w:rPr>
            <w:webHidden/>
          </w:rPr>
        </w:r>
        <w:r w:rsidR="006B58B0" w:rsidRPr="006B58B0">
          <w:rPr>
            <w:webHidden/>
          </w:rPr>
          <w:fldChar w:fldCharType="separate"/>
        </w:r>
        <w:r w:rsidR="00756D31">
          <w:rPr>
            <w:webHidden/>
          </w:rPr>
          <w:t>3</w:t>
        </w:r>
        <w:r w:rsidR="006B58B0" w:rsidRPr="006B58B0">
          <w:rPr>
            <w:webHidden/>
          </w:rPr>
          <w:fldChar w:fldCharType="end"/>
        </w:r>
      </w:hyperlink>
    </w:p>
    <w:p w14:paraId="665D8C02" w14:textId="77777777" w:rsidR="006B58B0" w:rsidRDefault="006B634F" w:rsidP="008B6ED6">
      <w:pPr>
        <w:pStyle w:val="TOC3"/>
        <w:rPr>
          <w:rFonts w:ascii="Calibri" w:hAnsi="Calibri" w:cs="Times New Roman"/>
          <w:sz w:val="22"/>
          <w:szCs w:val="22"/>
        </w:rPr>
      </w:pPr>
      <w:hyperlink w:anchor="_Toc334445569" w:history="1">
        <w:r w:rsidR="006B58B0" w:rsidRPr="00A90620">
          <w:rPr>
            <w:rStyle w:val="Hyperlink"/>
          </w:rPr>
          <w:t>Definition of termination value</w:t>
        </w:r>
        <w:r w:rsidR="006B58B0">
          <w:rPr>
            <w:webHidden/>
          </w:rPr>
          <w:tab/>
        </w:r>
        <w:r w:rsidR="006B58B0">
          <w:rPr>
            <w:webHidden/>
          </w:rPr>
          <w:fldChar w:fldCharType="begin"/>
        </w:r>
        <w:r w:rsidR="006B58B0">
          <w:rPr>
            <w:webHidden/>
          </w:rPr>
          <w:instrText xml:space="preserve"> PAGEREF _Toc334445569 \h </w:instrText>
        </w:r>
        <w:r w:rsidR="006B58B0">
          <w:rPr>
            <w:webHidden/>
          </w:rPr>
        </w:r>
        <w:r w:rsidR="006B58B0">
          <w:rPr>
            <w:webHidden/>
          </w:rPr>
          <w:fldChar w:fldCharType="separate"/>
        </w:r>
        <w:r w:rsidR="00756D31">
          <w:rPr>
            <w:webHidden/>
          </w:rPr>
          <w:t>3</w:t>
        </w:r>
        <w:r w:rsidR="006B58B0">
          <w:rPr>
            <w:webHidden/>
          </w:rPr>
          <w:fldChar w:fldCharType="end"/>
        </w:r>
      </w:hyperlink>
    </w:p>
    <w:p w14:paraId="2DD10590" w14:textId="77777777" w:rsidR="006B58B0" w:rsidRPr="008B6ED6" w:rsidRDefault="006B58B0" w:rsidP="008B6ED6">
      <w:pPr>
        <w:pStyle w:val="TOC3"/>
        <w:rPr>
          <w:rStyle w:val="Hyperlink"/>
          <w:color w:val="auto"/>
        </w:rPr>
      </w:pPr>
    </w:p>
    <w:p w14:paraId="46CF412D" w14:textId="77777777" w:rsidR="006B58B0" w:rsidRPr="006B58B0" w:rsidRDefault="006B634F" w:rsidP="008B6ED6">
      <w:pPr>
        <w:pStyle w:val="TOC3"/>
        <w:rPr>
          <w:rFonts w:ascii="Calibri" w:hAnsi="Calibri" w:cs="Times New Roman"/>
          <w:b/>
          <w:sz w:val="22"/>
          <w:szCs w:val="22"/>
        </w:rPr>
      </w:pPr>
      <w:hyperlink w:anchor="_Toc334445570" w:history="1">
        <w:r w:rsidR="006B58B0" w:rsidRPr="006B58B0">
          <w:rPr>
            <w:rStyle w:val="Hyperlink"/>
            <w:b/>
          </w:rPr>
          <w:t>Part B – Minimum termination values</w:t>
        </w:r>
        <w:r w:rsidR="006B58B0" w:rsidRPr="006B58B0">
          <w:rPr>
            <w:webHidden/>
          </w:rPr>
          <w:tab/>
        </w:r>
        <w:r w:rsidR="006B58B0" w:rsidRPr="006B58B0">
          <w:rPr>
            <w:webHidden/>
          </w:rPr>
          <w:fldChar w:fldCharType="begin"/>
        </w:r>
        <w:r w:rsidR="006B58B0" w:rsidRPr="006B58B0">
          <w:rPr>
            <w:webHidden/>
          </w:rPr>
          <w:instrText xml:space="preserve"> PAGEREF _Toc334445570 \h </w:instrText>
        </w:r>
        <w:r w:rsidR="006B58B0" w:rsidRPr="006B58B0">
          <w:rPr>
            <w:webHidden/>
          </w:rPr>
        </w:r>
        <w:r w:rsidR="006B58B0" w:rsidRPr="006B58B0">
          <w:rPr>
            <w:webHidden/>
          </w:rPr>
          <w:fldChar w:fldCharType="separate"/>
        </w:r>
        <w:r w:rsidR="00756D31">
          <w:rPr>
            <w:webHidden/>
          </w:rPr>
          <w:t>4</w:t>
        </w:r>
        <w:r w:rsidR="006B58B0" w:rsidRPr="006B58B0">
          <w:rPr>
            <w:webHidden/>
          </w:rPr>
          <w:fldChar w:fldCharType="end"/>
        </w:r>
      </w:hyperlink>
    </w:p>
    <w:p w14:paraId="1804295A" w14:textId="77777777" w:rsidR="006B58B0" w:rsidRDefault="006B634F" w:rsidP="008B6ED6">
      <w:pPr>
        <w:pStyle w:val="TOC3"/>
        <w:rPr>
          <w:rFonts w:ascii="Calibri" w:hAnsi="Calibri" w:cs="Times New Roman"/>
          <w:sz w:val="22"/>
          <w:szCs w:val="22"/>
        </w:rPr>
      </w:pPr>
      <w:hyperlink w:anchor="_Toc334445571" w:history="1">
        <w:r w:rsidR="006B58B0" w:rsidRPr="00A90620">
          <w:rPr>
            <w:rStyle w:val="Hyperlink"/>
          </w:rPr>
          <w:t>Funeral bond business</w:t>
        </w:r>
        <w:r w:rsidR="006B58B0">
          <w:rPr>
            <w:webHidden/>
          </w:rPr>
          <w:tab/>
        </w:r>
        <w:r w:rsidR="006B58B0">
          <w:rPr>
            <w:webHidden/>
          </w:rPr>
          <w:fldChar w:fldCharType="begin"/>
        </w:r>
        <w:r w:rsidR="006B58B0">
          <w:rPr>
            <w:webHidden/>
          </w:rPr>
          <w:instrText xml:space="preserve"> PAGEREF _Toc334445571 \h </w:instrText>
        </w:r>
        <w:r w:rsidR="006B58B0">
          <w:rPr>
            <w:webHidden/>
          </w:rPr>
        </w:r>
        <w:r w:rsidR="006B58B0">
          <w:rPr>
            <w:webHidden/>
          </w:rPr>
          <w:fldChar w:fldCharType="separate"/>
        </w:r>
        <w:r w:rsidR="00756D31">
          <w:rPr>
            <w:webHidden/>
          </w:rPr>
          <w:t>4</w:t>
        </w:r>
        <w:r w:rsidR="006B58B0">
          <w:rPr>
            <w:webHidden/>
          </w:rPr>
          <w:fldChar w:fldCharType="end"/>
        </w:r>
      </w:hyperlink>
    </w:p>
    <w:p w14:paraId="72B3188A" w14:textId="77777777" w:rsidR="006B58B0" w:rsidRDefault="006B634F" w:rsidP="008B6ED6">
      <w:pPr>
        <w:pStyle w:val="TOC3"/>
        <w:rPr>
          <w:rFonts w:ascii="Calibri" w:hAnsi="Calibri" w:cs="Times New Roman"/>
          <w:sz w:val="22"/>
          <w:szCs w:val="22"/>
        </w:rPr>
      </w:pPr>
      <w:hyperlink w:anchor="_Toc334445572" w:history="1">
        <w:r w:rsidR="006B58B0" w:rsidRPr="00A90620">
          <w:rPr>
            <w:rStyle w:val="Hyperlink"/>
          </w:rPr>
          <w:t>Risk business (other than long term risk business)</w:t>
        </w:r>
        <w:r w:rsidR="006B58B0">
          <w:rPr>
            <w:webHidden/>
          </w:rPr>
          <w:tab/>
        </w:r>
        <w:r w:rsidR="006B58B0">
          <w:rPr>
            <w:webHidden/>
          </w:rPr>
          <w:fldChar w:fldCharType="begin"/>
        </w:r>
        <w:r w:rsidR="006B58B0">
          <w:rPr>
            <w:webHidden/>
          </w:rPr>
          <w:instrText xml:space="preserve"> PAGEREF _Toc334445572 \h </w:instrText>
        </w:r>
        <w:r w:rsidR="006B58B0">
          <w:rPr>
            <w:webHidden/>
          </w:rPr>
        </w:r>
        <w:r w:rsidR="006B58B0">
          <w:rPr>
            <w:webHidden/>
          </w:rPr>
          <w:fldChar w:fldCharType="separate"/>
        </w:r>
        <w:r w:rsidR="00756D31">
          <w:rPr>
            <w:webHidden/>
          </w:rPr>
          <w:t>4</w:t>
        </w:r>
        <w:r w:rsidR="006B58B0">
          <w:rPr>
            <w:webHidden/>
          </w:rPr>
          <w:fldChar w:fldCharType="end"/>
        </w:r>
      </w:hyperlink>
    </w:p>
    <w:p w14:paraId="5BC164D6" w14:textId="77777777" w:rsidR="006B58B0" w:rsidRDefault="006B634F" w:rsidP="008B6ED6">
      <w:pPr>
        <w:pStyle w:val="TOC3"/>
        <w:rPr>
          <w:rFonts w:ascii="Calibri" w:hAnsi="Calibri" w:cs="Times New Roman"/>
          <w:sz w:val="22"/>
          <w:szCs w:val="22"/>
        </w:rPr>
      </w:pPr>
      <w:hyperlink w:anchor="_Toc334445573" w:history="1">
        <w:r w:rsidR="006B58B0" w:rsidRPr="00A90620">
          <w:rPr>
            <w:rStyle w:val="Hyperlink"/>
          </w:rPr>
          <w:t>Unbundled investment business</w:t>
        </w:r>
        <w:r w:rsidR="006B58B0">
          <w:rPr>
            <w:webHidden/>
          </w:rPr>
          <w:tab/>
        </w:r>
        <w:r w:rsidR="006B58B0">
          <w:rPr>
            <w:webHidden/>
          </w:rPr>
          <w:fldChar w:fldCharType="begin"/>
        </w:r>
        <w:r w:rsidR="006B58B0">
          <w:rPr>
            <w:webHidden/>
          </w:rPr>
          <w:instrText xml:space="preserve"> PAGEREF _Toc334445573 \h </w:instrText>
        </w:r>
        <w:r w:rsidR="006B58B0">
          <w:rPr>
            <w:webHidden/>
          </w:rPr>
        </w:r>
        <w:r w:rsidR="006B58B0">
          <w:rPr>
            <w:webHidden/>
          </w:rPr>
          <w:fldChar w:fldCharType="separate"/>
        </w:r>
        <w:r w:rsidR="00756D31">
          <w:rPr>
            <w:webHidden/>
          </w:rPr>
          <w:t>5</w:t>
        </w:r>
        <w:r w:rsidR="006B58B0">
          <w:rPr>
            <w:webHidden/>
          </w:rPr>
          <w:fldChar w:fldCharType="end"/>
        </w:r>
      </w:hyperlink>
    </w:p>
    <w:p w14:paraId="25464594" w14:textId="77777777" w:rsidR="006B58B0" w:rsidRDefault="006B634F" w:rsidP="008B6ED6">
      <w:pPr>
        <w:pStyle w:val="TOC3"/>
        <w:rPr>
          <w:rFonts w:ascii="Calibri" w:hAnsi="Calibri" w:cs="Times New Roman"/>
          <w:sz w:val="22"/>
          <w:szCs w:val="22"/>
        </w:rPr>
      </w:pPr>
      <w:hyperlink w:anchor="_Toc334445574" w:history="1">
        <w:r w:rsidR="006B58B0" w:rsidRPr="00A90620">
          <w:rPr>
            <w:rStyle w:val="Hyperlink"/>
          </w:rPr>
          <w:t>Traditional business and long term risk business</w:t>
        </w:r>
        <w:r w:rsidR="006B58B0">
          <w:rPr>
            <w:webHidden/>
          </w:rPr>
          <w:tab/>
        </w:r>
        <w:r w:rsidR="006B58B0">
          <w:rPr>
            <w:webHidden/>
          </w:rPr>
          <w:fldChar w:fldCharType="begin"/>
        </w:r>
        <w:r w:rsidR="006B58B0">
          <w:rPr>
            <w:webHidden/>
          </w:rPr>
          <w:instrText xml:space="preserve"> PAGEREF _Toc334445574 \h </w:instrText>
        </w:r>
        <w:r w:rsidR="006B58B0">
          <w:rPr>
            <w:webHidden/>
          </w:rPr>
        </w:r>
        <w:r w:rsidR="006B58B0">
          <w:rPr>
            <w:webHidden/>
          </w:rPr>
          <w:fldChar w:fldCharType="separate"/>
        </w:r>
        <w:r w:rsidR="00756D31">
          <w:rPr>
            <w:webHidden/>
          </w:rPr>
          <w:t>6</w:t>
        </w:r>
        <w:r w:rsidR="006B58B0">
          <w:rPr>
            <w:webHidden/>
          </w:rPr>
          <w:fldChar w:fldCharType="end"/>
        </w:r>
      </w:hyperlink>
    </w:p>
    <w:p w14:paraId="13E7FE75" w14:textId="77777777" w:rsidR="006B58B0" w:rsidRDefault="006B634F" w:rsidP="008B6ED6">
      <w:pPr>
        <w:pStyle w:val="TOC3"/>
        <w:rPr>
          <w:rFonts w:ascii="Calibri" w:hAnsi="Calibri" w:cs="Times New Roman"/>
          <w:sz w:val="22"/>
          <w:szCs w:val="22"/>
        </w:rPr>
      </w:pPr>
      <w:hyperlink w:anchor="_Toc334445575" w:history="1">
        <w:r w:rsidR="006B58B0" w:rsidRPr="00A90620">
          <w:rPr>
            <w:rStyle w:val="Hyperlink"/>
          </w:rPr>
          <w:t>Immediate annuities and fixed term/rate business</w:t>
        </w:r>
        <w:r w:rsidR="006B58B0">
          <w:rPr>
            <w:webHidden/>
          </w:rPr>
          <w:tab/>
        </w:r>
        <w:r w:rsidR="006B58B0">
          <w:rPr>
            <w:webHidden/>
          </w:rPr>
          <w:fldChar w:fldCharType="begin"/>
        </w:r>
        <w:r w:rsidR="006B58B0">
          <w:rPr>
            <w:webHidden/>
          </w:rPr>
          <w:instrText xml:space="preserve"> PAGEREF _Toc334445575 \h </w:instrText>
        </w:r>
        <w:r w:rsidR="006B58B0">
          <w:rPr>
            <w:webHidden/>
          </w:rPr>
        </w:r>
        <w:r w:rsidR="006B58B0">
          <w:rPr>
            <w:webHidden/>
          </w:rPr>
          <w:fldChar w:fldCharType="separate"/>
        </w:r>
        <w:r w:rsidR="00756D31">
          <w:rPr>
            <w:webHidden/>
          </w:rPr>
          <w:t>7</w:t>
        </w:r>
        <w:r w:rsidR="006B58B0">
          <w:rPr>
            <w:webHidden/>
          </w:rPr>
          <w:fldChar w:fldCharType="end"/>
        </w:r>
      </w:hyperlink>
    </w:p>
    <w:p w14:paraId="4619911D" w14:textId="77777777" w:rsidR="006B58B0" w:rsidRPr="008B6ED6" w:rsidRDefault="006B58B0" w:rsidP="008B6ED6">
      <w:pPr>
        <w:pStyle w:val="TOC3"/>
        <w:rPr>
          <w:rStyle w:val="Hyperlink"/>
          <w:color w:val="auto"/>
        </w:rPr>
      </w:pPr>
    </w:p>
    <w:p w14:paraId="5DE0F1BB" w14:textId="77777777" w:rsidR="006B58B0" w:rsidRPr="006B58B0" w:rsidRDefault="006B634F" w:rsidP="008B6ED6">
      <w:pPr>
        <w:pStyle w:val="TOC3"/>
        <w:rPr>
          <w:rFonts w:ascii="Calibri" w:hAnsi="Calibri" w:cs="Times New Roman"/>
          <w:b/>
          <w:sz w:val="22"/>
          <w:szCs w:val="22"/>
        </w:rPr>
      </w:pPr>
      <w:hyperlink w:anchor="_Toc334445576" w:history="1">
        <w:r w:rsidR="006B58B0" w:rsidRPr="006B58B0">
          <w:rPr>
            <w:rStyle w:val="Hyperlink"/>
            <w:b/>
          </w:rPr>
          <w:t>Part C - Minimum surrender values</w:t>
        </w:r>
        <w:r w:rsidR="006B58B0" w:rsidRPr="006B58B0">
          <w:rPr>
            <w:webHidden/>
          </w:rPr>
          <w:tab/>
        </w:r>
        <w:r w:rsidR="006B58B0" w:rsidRPr="006B58B0">
          <w:rPr>
            <w:webHidden/>
          </w:rPr>
          <w:fldChar w:fldCharType="begin"/>
        </w:r>
        <w:r w:rsidR="006B58B0" w:rsidRPr="006B58B0">
          <w:rPr>
            <w:webHidden/>
          </w:rPr>
          <w:instrText xml:space="preserve"> PAGEREF _Toc334445576 \h </w:instrText>
        </w:r>
        <w:r w:rsidR="006B58B0" w:rsidRPr="006B58B0">
          <w:rPr>
            <w:webHidden/>
          </w:rPr>
        </w:r>
        <w:r w:rsidR="006B58B0" w:rsidRPr="006B58B0">
          <w:rPr>
            <w:webHidden/>
          </w:rPr>
          <w:fldChar w:fldCharType="separate"/>
        </w:r>
        <w:r w:rsidR="00756D31">
          <w:rPr>
            <w:webHidden/>
          </w:rPr>
          <w:t>8</w:t>
        </w:r>
        <w:r w:rsidR="006B58B0" w:rsidRPr="006B58B0">
          <w:rPr>
            <w:webHidden/>
          </w:rPr>
          <w:fldChar w:fldCharType="end"/>
        </w:r>
      </w:hyperlink>
    </w:p>
    <w:p w14:paraId="19A677DD" w14:textId="77777777" w:rsidR="006B58B0" w:rsidRDefault="006B634F" w:rsidP="008B6ED6">
      <w:pPr>
        <w:pStyle w:val="TOC3"/>
        <w:rPr>
          <w:rFonts w:ascii="Calibri" w:hAnsi="Calibri" w:cs="Times New Roman"/>
          <w:sz w:val="22"/>
          <w:szCs w:val="22"/>
        </w:rPr>
      </w:pPr>
      <w:hyperlink w:anchor="_Toc334445577" w:history="1">
        <w:r w:rsidR="006B58B0" w:rsidRPr="00A90620">
          <w:rPr>
            <w:rStyle w:val="Hyperlink"/>
          </w:rPr>
          <w:t>Friendly societies</w:t>
        </w:r>
        <w:r w:rsidR="006B58B0">
          <w:rPr>
            <w:webHidden/>
          </w:rPr>
          <w:tab/>
        </w:r>
        <w:r w:rsidR="006B58B0">
          <w:rPr>
            <w:webHidden/>
          </w:rPr>
          <w:fldChar w:fldCharType="begin"/>
        </w:r>
        <w:r w:rsidR="006B58B0">
          <w:rPr>
            <w:webHidden/>
          </w:rPr>
          <w:instrText xml:space="preserve"> PAGEREF _Toc334445577 \h </w:instrText>
        </w:r>
        <w:r w:rsidR="006B58B0">
          <w:rPr>
            <w:webHidden/>
          </w:rPr>
        </w:r>
        <w:r w:rsidR="006B58B0">
          <w:rPr>
            <w:webHidden/>
          </w:rPr>
          <w:fldChar w:fldCharType="separate"/>
        </w:r>
        <w:r w:rsidR="00756D31">
          <w:rPr>
            <w:webHidden/>
          </w:rPr>
          <w:t>8</w:t>
        </w:r>
        <w:r w:rsidR="006B58B0">
          <w:rPr>
            <w:webHidden/>
          </w:rPr>
          <w:fldChar w:fldCharType="end"/>
        </w:r>
      </w:hyperlink>
    </w:p>
    <w:p w14:paraId="22512677" w14:textId="77777777" w:rsidR="006B58B0" w:rsidRDefault="006B634F" w:rsidP="008B6ED6">
      <w:pPr>
        <w:pStyle w:val="TOC3"/>
        <w:rPr>
          <w:rFonts w:ascii="Calibri" w:hAnsi="Calibri" w:cs="Times New Roman"/>
          <w:sz w:val="22"/>
          <w:szCs w:val="22"/>
        </w:rPr>
      </w:pPr>
      <w:hyperlink w:anchor="_Toc334445578" w:history="1">
        <w:r w:rsidR="006B58B0" w:rsidRPr="00A90620">
          <w:rPr>
            <w:rStyle w:val="Hyperlink"/>
          </w:rPr>
          <w:t>Life companies other than friendly societies</w:t>
        </w:r>
        <w:r w:rsidR="006B58B0">
          <w:rPr>
            <w:webHidden/>
          </w:rPr>
          <w:tab/>
        </w:r>
        <w:r w:rsidR="006B58B0">
          <w:rPr>
            <w:webHidden/>
          </w:rPr>
          <w:fldChar w:fldCharType="begin"/>
        </w:r>
        <w:r w:rsidR="006B58B0">
          <w:rPr>
            <w:webHidden/>
          </w:rPr>
          <w:instrText xml:space="preserve"> PAGEREF _Toc334445578 \h </w:instrText>
        </w:r>
        <w:r w:rsidR="006B58B0">
          <w:rPr>
            <w:webHidden/>
          </w:rPr>
        </w:r>
        <w:r w:rsidR="006B58B0">
          <w:rPr>
            <w:webHidden/>
          </w:rPr>
          <w:fldChar w:fldCharType="separate"/>
        </w:r>
        <w:r w:rsidR="00756D31">
          <w:rPr>
            <w:webHidden/>
          </w:rPr>
          <w:t>8</w:t>
        </w:r>
        <w:r w:rsidR="006B58B0">
          <w:rPr>
            <w:webHidden/>
          </w:rPr>
          <w:fldChar w:fldCharType="end"/>
        </w:r>
      </w:hyperlink>
    </w:p>
    <w:p w14:paraId="1E3D5A28" w14:textId="77777777" w:rsidR="006B58B0" w:rsidRPr="008B6ED6" w:rsidRDefault="006B58B0" w:rsidP="008B6ED6">
      <w:pPr>
        <w:pStyle w:val="TOC3"/>
        <w:rPr>
          <w:rStyle w:val="Hyperlink"/>
          <w:color w:val="auto"/>
        </w:rPr>
      </w:pPr>
    </w:p>
    <w:p w14:paraId="32B8697A" w14:textId="77777777" w:rsidR="006B58B0" w:rsidRPr="006B58B0" w:rsidRDefault="006B634F" w:rsidP="008B6ED6">
      <w:pPr>
        <w:pStyle w:val="TOC3"/>
        <w:rPr>
          <w:rFonts w:ascii="Calibri" w:hAnsi="Calibri" w:cs="Times New Roman"/>
          <w:b/>
          <w:sz w:val="22"/>
          <w:szCs w:val="22"/>
        </w:rPr>
      </w:pPr>
      <w:hyperlink w:anchor="_Toc334445579" w:history="1">
        <w:r w:rsidR="006B58B0" w:rsidRPr="006B58B0">
          <w:rPr>
            <w:rStyle w:val="Hyperlink"/>
            <w:b/>
          </w:rPr>
          <w:t>Part D - Minimum paid-up values</w:t>
        </w:r>
        <w:r w:rsidR="006B58B0" w:rsidRPr="006B58B0">
          <w:rPr>
            <w:webHidden/>
          </w:rPr>
          <w:tab/>
        </w:r>
        <w:r w:rsidR="006B58B0" w:rsidRPr="006B58B0">
          <w:rPr>
            <w:webHidden/>
          </w:rPr>
          <w:fldChar w:fldCharType="begin"/>
        </w:r>
        <w:r w:rsidR="006B58B0" w:rsidRPr="006B58B0">
          <w:rPr>
            <w:webHidden/>
          </w:rPr>
          <w:instrText xml:space="preserve"> PAGEREF _Toc334445579 \h </w:instrText>
        </w:r>
        <w:r w:rsidR="006B58B0" w:rsidRPr="006B58B0">
          <w:rPr>
            <w:webHidden/>
          </w:rPr>
        </w:r>
        <w:r w:rsidR="006B58B0" w:rsidRPr="006B58B0">
          <w:rPr>
            <w:webHidden/>
          </w:rPr>
          <w:fldChar w:fldCharType="separate"/>
        </w:r>
        <w:r w:rsidR="00756D31">
          <w:rPr>
            <w:webHidden/>
          </w:rPr>
          <w:t>9</w:t>
        </w:r>
        <w:r w:rsidR="006B58B0" w:rsidRPr="006B58B0">
          <w:rPr>
            <w:webHidden/>
          </w:rPr>
          <w:fldChar w:fldCharType="end"/>
        </w:r>
      </w:hyperlink>
    </w:p>
    <w:p w14:paraId="67B348F5" w14:textId="77777777" w:rsidR="006B58B0" w:rsidRDefault="006B634F" w:rsidP="008B6ED6">
      <w:pPr>
        <w:pStyle w:val="TOC3"/>
        <w:rPr>
          <w:rFonts w:ascii="Calibri" w:hAnsi="Calibri" w:cs="Times New Roman"/>
          <w:sz w:val="22"/>
          <w:szCs w:val="22"/>
        </w:rPr>
      </w:pPr>
      <w:hyperlink w:anchor="_Toc334445580" w:history="1">
        <w:r w:rsidR="006B58B0" w:rsidRPr="00A90620">
          <w:rPr>
            <w:rStyle w:val="Hyperlink"/>
          </w:rPr>
          <w:t>Friendly societies</w:t>
        </w:r>
        <w:r w:rsidR="006B58B0">
          <w:rPr>
            <w:webHidden/>
          </w:rPr>
          <w:tab/>
        </w:r>
        <w:r w:rsidR="006B58B0">
          <w:rPr>
            <w:webHidden/>
          </w:rPr>
          <w:fldChar w:fldCharType="begin"/>
        </w:r>
        <w:r w:rsidR="006B58B0">
          <w:rPr>
            <w:webHidden/>
          </w:rPr>
          <w:instrText xml:space="preserve"> PAGEREF _Toc334445580 \h </w:instrText>
        </w:r>
        <w:r w:rsidR="006B58B0">
          <w:rPr>
            <w:webHidden/>
          </w:rPr>
        </w:r>
        <w:r w:rsidR="006B58B0">
          <w:rPr>
            <w:webHidden/>
          </w:rPr>
          <w:fldChar w:fldCharType="separate"/>
        </w:r>
        <w:r w:rsidR="00756D31">
          <w:rPr>
            <w:webHidden/>
          </w:rPr>
          <w:t>9</w:t>
        </w:r>
        <w:r w:rsidR="006B58B0">
          <w:rPr>
            <w:webHidden/>
          </w:rPr>
          <w:fldChar w:fldCharType="end"/>
        </w:r>
      </w:hyperlink>
    </w:p>
    <w:p w14:paraId="6402BE76" w14:textId="77777777" w:rsidR="006B58B0" w:rsidRDefault="006B634F" w:rsidP="008B6ED6">
      <w:pPr>
        <w:pStyle w:val="TOC3"/>
        <w:rPr>
          <w:rFonts w:ascii="Calibri" w:hAnsi="Calibri" w:cs="Times New Roman"/>
          <w:sz w:val="22"/>
          <w:szCs w:val="22"/>
        </w:rPr>
      </w:pPr>
      <w:hyperlink w:anchor="_Toc334445581" w:history="1">
        <w:r w:rsidR="006B58B0" w:rsidRPr="00A90620">
          <w:rPr>
            <w:rStyle w:val="Hyperlink"/>
          </w:rPr>
          <w:t>Life companies other than friendly societies</w:t>
        </w:r>
        <w:r w:rsidR="006B58B0">
          <w:rPr>
            <w:webHidden/>
          </w:rPr>
          <w:tab/>
        </w:r>
        <w:r w:rsidR="006B58B0">
          <w:rPr>
            <w:webHidden/>
          </w:rPr>
          <w:fldChar w:fldCharType="begin"/>
        </w:r>
        <w:r w:rsidR="006B58B0">
          <w:rPr>
            <w:webHidden/>
          </w:rPr>
          <w:instrText xml:space="preserve"> PAGEREF _Toc334445581 \h </w:instrText>
        </w:r>
        <w:r w:rsidR="006B58B0">
          <w:rPr>
            <w:webHidden/>
          </w:rPr>
        </w:r>
        <w:r w:rsidR="006B58B0">
          <w:rPr>
            <w:webHidden/>
          </w:rPr>
          <w:fldChar w:fldCharType="separate"/>
        </w:r>
        <w:r w:rsidR="00756D31">
          <w:rPr>
            <w:webHidden/>
          </w:rPr>
          <w:t>9</w:t>
        </w:r>
        <w:r w:rsidR="006B58B0">
          <w:rPr>
            <w:webHidden/>
          </w:rPr>
          <w:fldChar w:fldCharType="end"/>
        </w:r>
      </w:hyperlink>
    </w:p>
    <w:p w14:paraId="58519E71" w14:textId="77777777" w:rsidR="006B58B0" w:rsidRDefault="006B634F" w:rsidP="008B6ED6">
      <w:pPr>
        <w:pStyle w:val="TOC3"/>
        <w:rPr>
          <w:rFonts w:ascii="Calibri" w:hAnsi="Calibri" w:cs="Times New Roman"/>
          <w:sz w:val="22"/>
          <w:szCs w:val="22"/>
        </w:rPr>
      </w:pPr>
      <w:hyperlink w:anchor="_Toc334445582" w:history="1">
        <w:r w:rsidR="006B58B0" w:rsidRPr="00A90620">
          <w:rPr>
            <w:rStyle w:val="Hyperlink"/>
          </w:rPr>
          <w:t>Traditional business and long term risk business of life companies other than friendly societies</w:t>
        </w:r>
        <w:r w:rsidR="006B58B0">
          <w:rPr>
            <w:webHidden/>
          </w:rPr>
          <w:tab/>
        </w:r>
        <w:r w:rsidR="006B58B0">
          <w:rPr>
            <w:webHidden/>
          </w:rPr>
          <w:fldChar w:fldCharType="begin"/>
        </w:r>
        <w:r w:rsidR="006B58B0">
          <w:rPr>
            <w:webHidden/>
          </w:rPr>
          <w:instrText xml:space="preserve"> PAGEREF _Toc334445582 \h </w:instrText>
        </w:r>
        <w:r w:rsidR="006B58B0">
          <w:rPr>
            <w:webHidden/>
          </w:rPr>
        </w:r>
        <w:r w:rsidR="006B58B0">
          <w:rPr>
            <w:webHidden/>
          </w:rPr>
          <w:fldChar w:fldCharType="separate"/>
        </w:r>
        <w:r w:rsidR="00756D31">
          <w:rPr>
            <w:webHidden/>
          </w:rPr>
          <w:t>9</w:t>
        </w:r>
        <w:r w:rsidR="006B58B0">
          <w:rPr>
            <w:webHidden/>
          </w:rPr>
          <w:fldChar w:fldCharType="end"/>
        </w:r>
      </w:hyperlink>
    </w:p>
    <w:p w14:paraId="4E382C44" w14:textId="77777777" w:rsidR="006B58B0" w:rsidRDefault="006B634F" w:rsidP="008B6ED6">
      <w:pPr>
        <w:pStyle w:val="TOC3"/>
        <w:rPr>
          <w:rFonts w:ascii="Calibri" w:hAnsi="Calibri" w:cs="Times New Roman"/>
          <w:sz w:val="22"/>
          <w:szCs w:val="22"/>
        </w:rPr>
      </w:pPr>
      <w:hyperlink w:anchor="_Toc334445583" w:history="1">
        <w:r w:rsidR="006B58B0" w:rsidRPr="00A90620">
          <w:rPr>
            <w:rStyle w:val="Hyperlink"/>
          </w:rPr>
          <w:t>Unbundled investment business of life companies other than friendly societies</w:t>
        </w:r>
        <w:r w:rsidR="006B58B0">
          <w:rPr>
            <w:webHidden/>
          </w:rPr>
          <w:tab/>
        </w:r>
        <w:r w:rsidR="006B58B0">
          <w:rPr>
            <w:webHidden/>
          </w:rPr>
          <w:fldChar w:fldCharType="begin"/>
        </w:r>
        <w:r w:rsidR="006B58B0">
          <w:rPr>
            <w:webHidden/>
          </w:rPr>
          <w:instrText xml:space="preserve"> PAGEREF _Toc334445583 \h </w:instrText>
        </w:r>
        <w:r w:rsidR="006B58B0">
          <w:rPr>
            <w:webHidden/>
          </w:rPr>
        </w:r>
        <w:r w:rsidR="006B58B0">
          <w:rPr>
            <w:webHidden/>
          </w:rPr>
          <w:fldChar w:fldCharType="separate"/>
        </w:r>
        <w:r w:rsidR="00756D31">
          <w:rPr>
            <w:webHidden/>
          </w:rPr>
          <w:t>9</w:t>
        </w:r>
        <w:r w:rsidR="006B58B0">
          <w:rPr>
            <w:webHidden/>
          </w:rPr>
          <w:fldChar w:fldCharType="end"/>
        </w:r>
      </w:hyperlink>
    </w:p>
    <w:p w14:paraId="5C071706" w14:textId="77777777" w:rsidR="006B58B0" w:rsidRPr="008B6ED6" w:rsidRDefault="006B58B0" w:rsidP="008B6ED6">
      <w:pPr>
        <w:pStyle w:val="TOC3"/>
        <w:rPr>
          <w:rStyle w:val="Hyperlink"/>
          <w:color w:val="auto"/>
        </w:rPr>
      </w:pPr>
    </w:p>
    <w:p w14:paraId="170B37B8" w14:textId="77777777" w:rsidR="006B58B0" w:rsidRDefault="006B634F" w:rsidP="008B6ED6">
      <w:pPr>
        <w:pStyle w:val="TOC3"/>
        <w:rPr>
          <w:rFonts w:ascii="Calibri" w:hAnsi="Calibri" w:cs="Times New Roman"/>
          <w:sz w:val="22"/>
          <w:szCs w:val="22"/>
        </w:rPr>
      </w:pPr>
      <w:hyperlink w:anchor="_Toc334445585" w:history="1">
        <w:r w:rsidR="006B58B0" w:rsidRPr="00A90620">
          <w:rPr>
            <w:rStyle w:val="Hyperlink"/>
          </w:rPr>
          <w:t>Adjustments and exclusions</w:t>
        </w:r>
        <w:r w:rsidR="006B58B0">
          <w:rPr>
            <w:webHidden/>
          </w:rPr>
          <w:tab/>
        </w:r>
        <w:r w:rsidR="006B58B0">
          <w:rPr>
            <w:webHidden/>
          </w:rPr>
          <w:fldChar w:fldCharType="begin"/>
        </w:r>
        <w:r w:rsidR="006B58B0">
          <w:rPr>
            <w:webHidden/>
          </w:rPr>
          <w:instrText xml:space="preserve"> PAGEREF _Toc334445585 \h </w:instrText>
        </w:r>
        <w:r w:rsidR="006B58B0">
          <w:rPr>
            <w:webHidden/>
          </w:rPr>
        </w:r>
        <w:r w:rsidR="006B58B0">
          <w:rPr>
            <w:webHidden/>
          </w:rPr>
          <w:fldChar w:fldCharType="separate"/>
        </w:r>
        <w:r w:rsidR="00756D31">
          <w:rPr>
            <w:webHidden/>
          </w:rPr>
          <w:t>10</w:t>
        </w:r>
        <w:r w:rsidR="006B58B0">
          <w:rPr>
            <w:webHidden/>
          </w:rPr>
          <w:fldChar w:fldCharType="end"/>
        </w:r>
      </w:hyperlink>
    </w:p>
    <w:p w14:paraId="24654EF5" w14:textId="77777777" w:rsidR="006B58B0" w:rsidRDefault="006B634F" w:rsidP="008B6ED6">
      <w:pPr>
        <w:pStyle w:val="TOC3"/>
        <w:rPr>
          <w:rFonts w:ascii="Calibri" w:hAnsi="Calibri" w:cs="Times New Roman"/>
          <w:sz w:val="22"/>
          <w:szCs w:val="22"/>
        </w:rPr>
      </w:pPr>
      <w:hyperlink w:anchor="_Toc334445586" w:history="1">
        <w:r w:rsidR="006B58B0" w:rsidRPr="00A90620">
          <w:rPr>
            <w:rStyle w:val="Hyperlink"/>
          </w:rPr>
          <w:t>Determinations made under previous prudential standards</w:t>
        </w:r>
        <w:r w:rsidR="006B58B0">
          <w:rPr>
            <w:webHidden/>
          </w:rPr>
          <w:tab/>
        </w:r>
        <w:r w:rsidR="006B58B0">
          <w:rPr>
            <w:webHidden/>
          </w:rPr>
          <w:fldChar w:fldCharType="begin"/>
        </w:r>
        <w:r w:rsidR="006B58B0">
          <w:rPr>
            <w:webHidden/>
          </w:rPr>
          <w:instrText xml:space="preserve"> PAGEREF _Toc334445586 \h </w:instrText>
        </w:r>
        <w:r w:rsidR="006B58B0">
          <w:rPr>
            <w:webHidden/>
          </w:rPr>
        </w:r>
        <w:r w:rsidR="006B58B0">
          <w:rPr>
            <w:webHidden/>
          </w:rPr>
          <w:fldChar w:fldCharType="separate"/>
        </w:r>
        <w:r w:rsidR="00756D31">
          <w:rPr>
            <w:webHidden/>
          </w:rPr>
          <w:t>10</w:t>
        </w:r>
        <w:r w:rsidR="006B58B0">
          <w:rPr>
            <w:webHidden/>
          </w:rPr>
          <w:fldChar w:fldCharType="end"/>
        </w:r>
      </w:hyperlink>
    </w:p>
    <w:p w14:paraId="5D92E0EC" w14:textId="77777777" w:rsidR="006B58B0" w:rsidRPr="008B6ED6" w:rsidRDefault="006B58B0" w:rsidP="008B6ED6">
      <w:pPr>
        <w:pStyle w:val="TOC3"/>
        <w:rPr>
          <w:rStyle w:val="Hyperlink"/>
          <w:color w:val="auto"/>
        </w:rPr>
      </w:pPr>
    </w:p>
    <w:p w14:paraId="66CBA85B" w14:textId="77777777" w:rsidR="006B58B0" w:rsidRPr="006B58B0" w:rsidRDefault="006B58B0" w:rsidP="008B6ED6">
      <w:pPr>
        <w:pStyle w:val="TOC3"/>
        <w:rPr>
          <w:rStyle w:val="Hyperlink"/>
          <w:b/>
          <w:color w:val="auto"/>
        </w:rPr>
      </w:pPr>
      <w:r w:rsidRPr="006B58B0">
        <w:rPr>
          <w:rStyle w:val="Hyperlink"/>
          <w:b/>
          <w:color w:val="auto"/>
        </w:rPr>
        <w:t>Attachments</w:t>
      </w:r>
    </w:p>
    <w:p w14:paraId="2E06971B" w14:textId="77777777" w:rsidR="006B58B0" w:rsidRPr="006B58B0" w:rsidRDefault="006B58B0" w:rsidP="006B58B0">
      <w:pPr>
        <w:rPr>
          <w:noProof/>
        </w:rPr>
      </w:pPr>
    </w:p>
    <w:p w14:paraId="4DDFBDCD" w14:textId="77777777" w:rsidR="006B58B0" w:rsidRPr="006B58B0" w:rsidRDefault="006B58B0" w:rsidP="008B6ED6">
      <w:pPr>
        <w:pStyle w:val="TOC3"/>
        <w:rPr>
          <w:rFonts w:ascii="Calibri" w:hAnsi="Calibri" w:cs="Times New Roman"/>
          <w:b/>
          <w:sz w:val="22"/>
          <w:szCs w:val="22"/>
        </w:rPr>
      </w:pPr>
      <w:r w:rsidRPr="00AB6436">
        <w:rPr>
          <w:rStyle w:val="Hyperlink"/>
          <w:b/>
          <w:color w:val="auto"/>
          <w:u w:val="none"/>
        </w:rPr>
        <w:t xml:space="preserve">Attachment 1 - </w:t>
      </w:r>
      <w:hyperlink w:anchor="_Toc334445588" w:history="1">
        <w:r w:rsidRPr="006B58B0">
          <w:rPr>
            <w:rStyle w:val="Hyperlink"/>
            <w:b/>
            <w:color w:val="auto"/>
          </w:rPr>
          <w:t>Prescribed parameters</w:t>
        </w:r>
        <w:r w:rsidRPr="006B58B0">
          <w:rPr>
            <w:webHidden/>
          </w:rPr>
          <w:tab/>
        </w:r>
        <w:r w:rsidRPr="006B58B0">
          <w:rPr>
            <w:webHidden/>
          </w:rPr>
          <w:fldChar w:fldCharType="begin"/>
        </w:r>
        <w:r w:rsidRPr="006B58B0">
          <w:rPr>
            <w:webHidden/>
          </w:rPr>
          <w:instrText xml:space="preserve"> PAGEREF _Toc334445588 \h </w:instrText>
        </w:r>
        <w:r w:rsidRPr="006B58B0">
          <w:rPr>
            <w:webHidden/>
          </w:rPr>
        </w:r>
        <w:r w:rsidRPr="006B58B0">
          <w:rPr>
            <w:webHidden/>
          </w:rPr>
          <w:fldChar w:fldCharType="separate"/>
        </w:r>
        <w:r w:rsidR="00756D31">
          <w:rPr>
            <w:webHidden/>
          </w:rPr>
          <w:t>11</w:t>
        </w:r>
        <w:r w:rsidRPr="006B58B0">
          <w:rPr>
            <w:webHidden/>
          </w:rPr>
          <w:fldChar w:fldCharType="end"/>
        </w:r>
      </w:hyperlink>
    </w:p>
    <w:p w14:paraId="1B8136E5" w14:textId="77777777" w:rsidR="006B58B0" w:rsidRPr="006B58B0" w:rsidRDefault="006B58B0" w:rsidP="008B6ED6">
      <w:pPr>
        <w:pStyle w:val="TOC3"/>
        <w:rPr>
          <w:rFonts w:ascii="Calibri" w:hAnsi="Calibri" w:cs="Times New Roman"/>
          <w:sz w:val="22"/>
          <w:szCs w:val="22"/>
        </w:rPr>
      </w:pPr>
      <w:r w:rsidRPr="00AB6436">
        <w:rPr>
          <w:rStyle w:val="Hyperlink"/>
          <w:b/>
          <w:color w:val="auto"/>
          <w:u w:val="none"/>
        </w:rPr>
        <w:t xml:space="preserve">Attachment 2 - </w:t>
      </w:r>
      <w:hyperlink w:anchor="_Toc334445590" w:history="1">
        <w:r w:rsidRPr="006B58B0">
          <w:rPr>
            <w:rStyle w:val="Hyperlink"/>
            <w:b/>
            <w:color w:val="auto"/>
          </w:rPr>
          <w:t>Determination of minimum termination values and paid-up values for traditional business and long-term risk business</w:t>
        </w:r>
        <w:r w:rsidRPr="006B58B0">
          <w:rPr>
            <w:webHidden/>
          </w:rPr>
          <w:tab/>
        </w:r>
        <w:r w:rsidRPr="006B58B0">
          <w:rPr>
            <w:webHidden/>
          </w:rPr>
          <w:fldChar w:fldCharType="begin"/>
        </w:r>
        <w:r w:rsidRPr="006B58B0">
          <w:rPr>
            <w:webHidden/>
          </w:rPr>
          <w:instrText xml:space="preserve"> PAGEREF _Toc334445590 \h </w:instrText>
        </w:r>
        <w:r w:rsidRPr="006B58B0">
          <w:rPr>
            <w:webHidden/>
          </w:rPr>
        </w:r>
        <w:r w:rsidRPr="006B58B0">
          <w:rPr>
            <w:webHidden/>
          </w:rPr>
          <w:fldChar w:fldCharType="separate"/>
        </w:r>
        <w:r w:rsidR="00756D31">
          <w:rPr>
            <w:webHidden/>
          </w:rPr>
          <w:t>15</w:t>
        </w:r>
        <w:r w:rsidRPr="006B58B0">
          <w:rPr>
            <w:webHidden/>
          </w:rPr>
          <w:fldChar w:fldCharType="end"/>
        </w:r>
      </w:hyperlink>
    </w:p>
    <w:p w14:paraId="4723A55D" w14:textId="77777777" w:rsidR="006B58B0" w:rsidRPr="006B58B0" w:rsidRDefault="006B58B0" w:rsidP="008B6ED6">
      <w:pPr>
        <w:pStyle w:val="TOC3"/>
        <w:rPr>
          <w:rFonts w:ascii="Calibri" w:hAnsi="Calibri" w:cs="Times New Roman"/>
          <w:sz w:val="22"/>
          <w:szCs w:val="22"/>
        </w:rPr>
      </w:pPr>
      <w:r w:rsidRPr="00AB6436">
        <w:rPr>
          <w:rStyle w:val="Hyperlink"/>
          <w:b/>
          <w:color w:val="auto"/>
          <w:u w:val="none"/>
        </w:rPr>
        <w:t xml:space="preserve">Attachment 3 - </w:t>
      </w:r>
      <w:hyperlink w:anchor="_Toc334445592" w:history="1">
        <w:r w:rsidRPr="006B58B0">
          <w:rPr>
            <w:rStyle w:val="Hyperlink"/>
            <w:b/>
            <w:color w:val="auto"/>
          </w:rPr>
          <w:t>Calculation of minimum termination values and paid up values for certain types of traditional policies (the specified policies)</w:t>
        </w:r>
        <w:r w:rsidRPr="006B58B0">
          <w:rPr>
            <w:webHidden/>
          </w:rPr>
          <w:tab/>
        </w:r>
        <w:r w:rsidRPr="006B58B0">
          <w:rPr>
            <w:webHidden/>
          </w:rPr>
          <w:fldChar w:fldCharType="begin"/>
        </w:r>
        <w:r w:rsidRPr="006B58B0">
          <w:rPr>
            <w:webHidden/>
          </w:rPr>
          <w:instrText xml:space="preserve"> PAGEREF _Toc334445592 \h </w:instrText>
        </w:r>
        <w:r w:rsidRPr="006B58B0">
          <w:rPr>
            <w:webHidden/>
          </w:rPr>
        </w:r>
        <w:r w:rsidRPr="006B58B0">
          <w:rPr>
            <w:webHidden/>
          </w:rPr>
          <w:fldChar w:fldCharType="separate"/>
        </w:r>
        <w:r w:rsidR="00756D31">
          <w:rPr>
            <w:webHidden/>
          </w:rPr>
          <w:t>19</w:t>
        </w:r>
        <w:r w:rsidRPr="006B58B0">
          <w:rPr>
            <w:webHidden/>
          </w:rPr>
          <w:fldChar w:fldCharType="end"/>
        </w:r>
      </w:hyperlink>
    </w:p>
    <w:p w14:paraId="3D8BC723" w14:textId="77777777" w:rsidR="0095272A" w:rsidRDefault="009A001F" w:rsidP="00A62372">
      <w:pPr>
        <w:jc w:val="both"/>
      </w:pPr>
      <w:r w:rsidRPr="009A0A8D">
        <w:rPr>
          <w:rFonts w:ascii="Arial" w:hAnsi="Arial" w:cs="Arial"/>
          <w:szCs w:val="24"/>
        </w:rPr>
        <w:fldChar w:fldCharType="end"/>
      </w:r>
    </w:p>
    <w:p w14:paraId="36636833" w14:textId="77777777" w:rsidR="00BB1FED" w:rsidRPr="00BA4E53" w:rsidRDefault="00BB1FED" w:rsidP="00A62372">
      <w:pPr>
        <w:jc w:val="both"/>
        <w:rPr>
          <w:rFonts w:ascii="Arial" w:hAnsi="Arial" w:cs="Arial"/>
          <w:b/>
          <w:bCs/>
          <w:szCs w:val="26"/>
        </w:rPr>
      </w:pPr>
      <w:r w:rsidRPr="00BA4E53">
        <w:br w:type="page"/>
      </w:r>
    </w:p>
    <w:p w14:paraId="1EA1483E" w14:textId="77777777" w:rsidR="009073DE" w:rsidRPr="0095272A" w:rsidRDefault="00E60EE2" w:rsidP="00A62372">
      <w:pPr>
        <w:pStyle w:val="Heading3"/>
        <w:jc w:val="both"/>
      </w:pPr>
      <w:bookmarkStart w:id="0" w:name="_Ref324929890"/>
      <w:bookmarkStart w:id="1" w:name="_Toc334445565"/>
      <w:r w:rsidRPr="0095272A">
        <w:t>Authority</w:t>
      </w:r>
      <w:bookmarkEnd w:id="0"/>
      <w:bookmarkEnd w:id="1"/>
      <w:r w:rsidRPr="0095272A">
        <w:t xml:space="preserve"> </w:t>
      </w:r>
    </w:p>
    <w:p w14:paraId="2C5D3297" w14:textId="77777777" w:rsidR="006C52ED" w:rsidRPr="00BA4E53" w:rsidRDefault="006C52ED" w:rsidP="00A62372">
      <w:pPr>
        <w:pStyle w:val="ListParagraph"/>
        <w:ind w:left="567" w:hanging="567"/>
        <w:jc w:val="both"/>
      </w:pPr>
      <w:r w:rsidRPr="00BA4E53">
        <w:t xml:space="preserve">This Prudential Standard is made under paragraph 230A(1)(a) of the </w:t>
      </w:r>
      <w:r w:rsidRPr="00BA4E53">
        <w:rPr>
          <w:i/>
        </w:rPr>
        <w:t xml:space="preserve">Life Insurance Act 1995 </w:t>
      </w:r>
      <w:r w:rsidRPr="00BA4E53">
        <w:t>(</w:t>
      </w:r>
      <w:r w:rsidRPr="004C0EFB">
        <w:t>the Act</w:t>
      </w:r>
      <w:r w:rsidRPr="00BA4E53">
        <w:t>).</w:t>
      </w:r>
    </w:p>
    <w:p w14:paraId="0E6A89F3" w14:textId="77777777" w:rsidR="009073DE" w:rsidRPr="0095272A" w:rsidRDefault="00E60EE2" w:rsidP="00A62372">
      <w:pPr>
        <w:pStyle w:val="Heading3"/>
        <w:jc w:val="both"/>
      </w:pPr>
      <w:bookmarkStart w:id="2" w:name="_Ref324929922"/>
      <w:bookmarkStart w:id="3" w:name="_Toc334445566"/>
      <w:r w:rsidRPr="0095272A">
        <w:t>Application</w:t>
      </w:r>
      <w:bookmarkEnd w:id="2"/>
      <w:bookmarkEnd w:id="3"/>
    </w:p>
    <w:p w14:paraId="283AE082" w14:textId="77777777" w:rsidR="006C52ED" w:rsidRPr="00BA4E53" w:rsidRDefault="006C52ED" w:rsidP="00A62372">
      <w:pPr>
        <w:pStyle w:val="ListParagraph"/>
        <w:ind w:left="567" w:hanging="567"/>
        <w:jc w:val="both"/>
      </w:pPr>
      <w:r w:rsidRPr="00BA4E53">
        <w:rPr>
          <w:rFonts w:eastAsia="MS Mincho"/>
          <w:lang w:eastAsia="ja-JP"/>
        </w:rPr>
        <w:t>This Prudential Standard applies to</w:t>
      </w:r>
      <w:r w:rsidRPr="00BA4E53">
        <w:rPr>
          <w:rFonts w:eastAsia="MS Mincho"/>
          <w:i/>
          <w:lang w:eastAsia="ja-JP"/>
        </w:rPr>
        <w:t xml:space="preserve"> </w:t>
      </w:r>
      <w:r w:rsidRPr="00B621D9">
        <w:rPr>
          <w:rFonts w:eastAsia="MS Mincho"/>
          <w:lang w:eastAsia="ja-JP"/>
        </w:rPr>
        <w:t xml:space="preserve">all life companies including </w:t>
      </w:r>
      <w:r w:rsidRPr="00B621D9">
        <w:rPr>
          <w:rFonts w:eastAsia="MS Mincho"/>
          <w:b/>
          <w:lang w:eastAsia="ja-JP"/>
        </w:rPr>
        <w:t>friendly societies</w:t>
      </w:r>
      <w:r w:rsidRPr="00BA4E53">
        <w:rPr>
          <w:rFonts w:eastAsia="MS Mincho"/>
          <w:i/>
          <w:lang w:eastAsia="ja-JP"/>
        </w:rPr>
        <w:t xml:space="preserve"> </w:t>
      </w:r>
      <w:r w:rsidRPr="00B621D9">
        <w:rPr>
          <w:rFonts w:eastAsia="MS Mincho"/>
          <w:lang w:eastAsia="ja-JP"/>
        </w:rPr>
        <w:t>(together referred</w:t>
      </w:r>
      <w:r w:rsidRPr="00BA4E53">
        <w:rPr>
          <w:rFonts w:eastAsia="MS Mincho"/>
          <w:i/>
          <w:lang w:eastAsia="ja-JP"/>
        </w:rPr>
        <w:t xml:space="preserve"> </w:t>
      </w:r>
      <w:r w:rsidRPr="00BA4E53">
        <w:rPr>
          <w:rFonts w:eastAsia="MS Mincho"/>
          <w:lang w:eastAsia="ja-JP"/>
        </w:rPr>
        <w:t xml:space="preserve">to as </w:t>
      </w:r>
      <w:r w:rsidRPr="00BA4E53">
        <w:rPr>
          <w:rFonts w:eastAsia="MS Mincho"/>
          <w:b/>
          <w:lang w:eastAsia="ja-JP"/>
        </w:rPr>
        <w:t>life companies</w:t>
      </w:r>
      <w:r w:rsidRPr="00BA4E53">
        <w:rPr>
          <w:rFonts w:eastAsia="MS Mincho"/>
          <w:lang w:eastAsia="ja-JP"/>
        </w:rPr>
        <w:t>) registered under the Act</w:t>
      </w:r>
      <w:r w:rsidR="00072799" w:rsidRPr="00BA4E53">
        <w:rPr>
          <w:rFonts w:eastAsia="MS Mincho"/>
          <w:vertAlign w:val="superscript"/>
          <w:lang w:eastAsia="ja-JP"/>
        </w:rPr>
        <w:footnoteReference w:id="1"/>
      </w:r>
      <w:r w:rsidR="001B5541" w:rsidRPr="00BA4E53">
        <w:rPr>
          <w:rFonts w:eastAsia="MS Mincho"/>
          <w:lang w:eastAsia="ja-JP"/>
        </w:rPr>
        <w:t>,</w:t>
      </w:r>
      <w:r w:rsidRPr="00BA4E53">
        <w:rPr>
          <w:rFonts w:eastAsia="MS Mincho"/>
          <w:lang w:eastAsia="ja-JP"/>
        </w:rPr>
        <w:t xml:space="preserve"> except where expressly noted otherwise.</w:t>
      </w:r>
    </w:p>
    <w:p w14:paraId="75C39BA9" w14:textId="77777777" w:rsidR="001073C9" w:rsidRPr="00BA4E53" w:rsidRDefault="001073C9" w:rsidP="00A62372">
      <w:pPr>
        <w:pStyle w:val="ListParagraph"/>
        <w:ind w:left="567" w:hanging="567"/>
        <w:jc w:val="both"/>
      </w:pPr>
      <w:r w:rsidRPr="00BA4E53">
        <w:rPr>
          <w:rFonts w:eastAsia="MS Mincho"/>
          <w:lang w:eastAsia="ja-JP"/>
        </w:rPr>
        <w:t xml:space="preserve">This Prudential Standard only applies to the business of an </w:t>
      </w:r>
      <w:r w:rsidRPr="00D06DD2">
        <w:rPr>
          <w:rFonts w:eastAsia="MS Mincho"/>
          <w:b/>
          <w:lang w:eastAsia="ja-JP"/>
        </w:rPr>
        <w:t>Eligible Foreign Life Insurance Company</w:t>
      </w:r>
      <w:r w:rsidRPr="00BA4E53">
        <w:rPr>
          <w:rFonts w:eastAsia="MS Mincho"/>
          <w:lang w:eastAsia="ja-JP"/>
        </w:rPr>
        <w:t xml:space="preserve"> which is carried on through its Australian statutory funds but not otherwise.</w:t>
      </w:r>
      <w:r w:rsidRPr="00BA4E53">
        <w:rPr>
          <w:rStyle w:val="FootnoteReference"/>
          <w:rFonts w:eastAsia="MS Mincho"/>
          <w:szCs w:val="24"/>
          <w:lang w:eastAsia="ja-JP"/>
        </w:rPr>
        <w:footnoteReference w:id="2"/>
      </w:r>
    </w:p>
    <w:p w14:paraId="6C37AAB0" w14:textId="77777777" w:rsidR="00B9458D" w:rsidRPr="00BA4E53" w:rsidRDefault="00B9458D" w:rsidP="00A62372">
      <w:pPr>
        <w:pStyle w:val="ListParagraph"/>
        <w:ind w:left="567" w:hanging="567"/>
        <w:jc w:val="both"/>
        <w:rPr>
          <w:b/>
        </w:rPr>
      </w:pPr>
      <w:bookmarkStart w:id="4" w:name="OLE_LINK4"/>
      <w:r w:rsidRPr="00BA4E53">
        <w:t>This Prudential Standard applies to life companies from 1 January 2013</w:t>
      </w:r>
      <w:r w:rsidRPr="004C0EFB">
        <w:t>.</w:t>
      </w:r>
    </w:p>
    <w:p w14:paraId="2E9C0B5D" w14:textId="77777777" w:rsidR="009073DE" w:rsidRPr="0095272A" w:rsidRDefault="00E60EE2" w:rsidP="00A62372">
      <w:pPr>
        <w:pStyle w:val="Heading3"/>
        <w:jc w:val="both"/>
        <w:rPr>
          <w:rFonts w:eastAsia="MS Mincho"/>
        </w:rPr>
      </w:pPr>
      <w:bookmarkStart w:id="5" w:name="_Ref324930080"/>
      <w:bookmarkStart w:id="6" w:name="_Toc334445567"/>
      <w:r w:rsidRPr="0095272A">
        <w:t>Interpretatio</w:t>
      </w:r>
      <w:r w:rsidRPr="0095272A">
        <w:rPr>
          <w:rFonts w:eastAsia="MS Mincho"/>
        </w:rPr>
        <w:t>n</w:t>
      </w:r>
      <w:bookmarkEnd w:id="5"/>
      <w:bookmarkEnd w:id="6"/>
    </w:p>
    <w:p w14:paraId="336CB824" w14:textId="77777777" w:rsidR="00A06F22" w:rsidRPr="00BA4E53" w:rsidRDefault="0036016B" w:rsidP="00A62372">
      <w:pPr>
        <w:pStyle w:val="ListParagraph"/>
        <w:ind w:left="567" w:hanging="567"/>
        <w:jc w:val="both"/>
        <w:rPr>
          <w:rFonts w:ascii="Arial" w:hAnsi="Arial"/>
        </w:rPr>
      </w:pPr>
      <w:r>
        <w:rPr>
          <w:rFonts w:eastAsia="MS Mincho"/>
          <w:lang w:eastAsia="ja-JP"/>
        </w:rPr>
        <w:t>Terms that</w:t>
      </w:r>
      <w:r w:rsidR="00E60EE2" w:rsidRPr="00BA4E53">
        <w:t xml:space="preserve"> are defined in </w:t>
      </w:r>
      <w:r w:rsidR="00E60EE2" w:rsidRPr="00BA4E53">
        <w:rPr>
          <w:i/>
        </w:rPr>
        <w:t xml:space="preserve">Prudential Standard </w:t>
      </w:r>
      <w:r w:rsidR="006C52ED" w:rsidRPr="00BA4E53">
        <w:rPr>
          <w:i/>
        </w:rPr>
        <w:t>L</w:t>
      </w:r>
      <w:r w:rsidR="00E60EE2" w:rsidRPr="00BA4E53">
        <w:rPr>
          <w:i/>
        </w:rPr>
        <w:t>PS 001 Definitions</w:t>
      </w:r>
      <w:r>
        <w:rPr>
          <w:i/>
        </w:rPr>
        <w:t xml:space="preserve"> </w:t>
      </w:r>
      <w:r>
        <w:t>appear in bold the first time they are used in this Prudential Standard</w:t>
      </w:r>
      <w:r w:rsidR="00E60EE2" w:rsidRPr="00BA4E53">
        <w:t>.</w:t>
      </w:r>
    </w:p>
    <w:p w14:paraId="6CE1103F" w14:textId="77777777" w:rsidR="0048502F" w:rsidRPr="00BA4E53" w:rsidRDefault="0048502F" w:rsidP="00A62372">
      <w:pPr>
        <w:pStyle w:val="ListParagraph"/>
        <w:ind w:left="567" w:hanging="567"/>
        <w:jc w:val="both"/>
      </w:pPr>
      <w:r w:rsidRPr="00BA4E53">
        <w:t>This Prudential Standard has been written in the context of Australian legislation and bases of taxation. Appropriate adjustment should be made, for example</w:t>
      </w:r>
      <w:r w:rsidR="00D06DD2">
        <w:t>,</w:t>
      </w:r>
      <w:r w:rsidRPr="00BA4E53">
        <w:t xml:space="preserve"> to allow for different bases of taxation (and the implications for parameters prescribed on a net of tax basis) where this standard is being applied to overseas business.</w:t>
      </w:r>
    </w:p>
    <w:p w14:paraId="1139328E" w14:textId="77777777" w:rsidR="00F32CD8" w:rsidRPr="00BA4E53" w:rsidRDefault="00F32CD8" w:rsidP="00A62372">
      <w:pPr>
        <w:pStyle w:val="ListParagraph"/>
        <w:ind w:left="567" w:hanging="567"/>
        <w:jc w:val="both"/>
      </w:pPr>
      <w:r w:rsidRPr="00BA4E53">
        <w:t>The date of commencement is</w:t>
      </w:r>
      <w:r w:rsidR="006E528C" w:rsidRPr="00BA4E53">
        <w:t xml:space="preserve"> defined to be</w:t>
      </w:r>
      <w:r w:rsidRPr="00BA4E53">
        <w:t>:</w:t>
      </w:r>
    </w:p>
    <w:p w14:paraId="5A553A31" w14:textId="77777777" w:rsidR="00F32CD8" w:rsidRPr="00BA4E53" w:rsidRDefault="00F32CD8" w:rsidP="00EA657E">
      <w:pPr>
        <w:pStyle w:val="ListParagraph"/>
        <w:numPr>
          <w:ilvl w:val="0"/>
          <w:numId w:val="8"/>
        </w:numPr>
        <w:ind w:left="1134" w:hanging="567"/>
        <w:jc w:val="both"/>
      </w:pPr>
      <w:r w:rsidRPr="00BA4E53">
        <w:t>in the case of a friendly society, 30 June 2002; and</w:t>
      </w:r>
    </w:p>
    <w:p w14:paraId="12A64404" w14:textId="77777777" w:rsidR="00F32CD8" w:rsidRPr="00BA4E53" w:rsidRDefault="00F32CD8" w:rsidP="00EA657E">
      <w:pPr>
        <w:pStyle w:val="ListParagraph"/>
        <w:numPr>
          <w:ilvl w:val="0"/>
          <w:numId w:val="8"/>
        </w:numPr>
        <w:ind w:left="1134" w:hanging="567"/>
        <w:jc w:val="both"/>
      </w:pPr>
      <w:r w:rsidRPr="00BA4E53">
        <w:t xml:space="preserve">in all other cases, </w:t>
      </w:r>
      <w:smartTag w:uri="urn:schemas-microsoft-com:office:smarttags" w:element="date">
        <w:smartTagPr>
          <w:attr w:name="Month" w:val="6"/>
          <w:attr w:name="Day" w:val="30"/>
          <w:attr w:name="Year" w:val="1998"/>
        </w:smartTagPr>
        <w:r w:rsidRPr="00BA4E53">
          <w:t>30 June 1998</w:t>
        </w:r>
      </w:smartTag>
      <w:r w:rsidRPr="00BA4E53">
        <w:t>.</w:t>
      </w:r>
    </w:p>
    <w:p w14:paraId="0F8C1B9B" w14:textId="77777777" w:rsidR="00D27A49" w:rsidRPr="00BA4E53" w:rsidRDefault="00D27A49" w:rsidP="00A62372">
      <w:pPr>
        <w:pStyle w:val="ListParagraph"/>
        <w:ind w:left="567" w:hanging="567"/>
        <w:jc w:val="both"/>
      </w:pPr>
      <w:r w:rsidRPr="00BA4E53">
        <w:t xml:space="preserve">A life company must, before issuing a policy, obtain the written approval of APRA for the method of calculating the </w:t>
      </w:r>
      <w:r w:rsidRPr="00E34EB0">
        <w:rPr>
          <w:b/>
        </w:rPr>
        <w:t>minimum termination value</w:t>
      </w:r>
      <w:r w:rsidRPr="00BA4E53">
        <w:t xml:space="preserve">, </w:t>
      </w:r>
      <w:r w:rsidRPr="00E34EB0">
        <w:rPr>
          <w:b/>
        </w:rPr>
        <w:t>minimum surrender value</w:t>
      </w:r>
      <w:r w:rsidRPr="00BA4E53">
        <w:t xml:space="preserve"> and </w:t>
      </w:r>
      <w:r w:rsidR="0096525A" w:rsidRPr="0096525A">
        <w:rPr>
          <w:b/>
        </w:rPr>
        <w:t xml:space="preserve">minimum </w:t>
      </w:r>
      <w:r w:rsidRPr="00E34EB0">
        <w:rPr>
          <w:b/>
        </w:rPr>
        <w:t>paid-up value</w:t>
      </w:r>
      <w:r w:rsidRPr="00BA4E53">
        <w:t xml:space="preserve"> if the policy does not belong to any of the types of business described in this </w:t>
      </w:r>
      <w:r w:rsidR="00735F39">
        <w:t>P</w:t>
      </w:r>
      <w:r w:rsidR="00BA4A30" w:rsidRPr="00BA4E53">
        <w:t>rudential</w:t>
      </w:r>
      <w:r w:rsidRPr="00BA4E53">
        <w:t xml:space="preserve"> </w:t>
      </w:r>
      <w:r w:rsidR="00735F39">
        <w:t>S</w:t>
      </w:r>
      <w:r w:rsidRPr="00BA4E53">
        <w:t>tandard.</w:t>
      </w:r>
      <w:r w:rsidR="00544DF1">
        <w:t xml:space="preserve"> </w:t>
      </w:r>
    </w:p>
    <w:p w14:paraId="0D0BCE19" w14:textId="77777777" w:rsidR="003D6E62" w:rsidRPr="0095272A" w:rsidRDefault="003D6E62" w:rsidP="0096525A">
      <w:pPr>
        <w:pStyle w:val="Heading3"/>
        <w:jc w:val="both"/>
        <w:rPr>
          <w:sz w:val="28"/>
        </w:rPr>
      </w:pPr>
      <w:bookmarkStart w:id="7" w:name="_Ref324930110"/>
      <w:bookmarkStart w:id="8" w:name="_Toc334445568"/>
      <w:r w:rsidRPr="0095272A">
        <w:rPr>
          <w:sz w:val="28"/>
        </w:rPr>
        <w:t>Part A – Termination values</w:t>
      </w:r>
      <w:bookmarkEnd w:id="7"/>
      <w:bookmarkEnd w:id="8"/>
    </w:p>
    <w:p w14:paraId="18EE3ED2" w14:textId="77777777" w:rsidR="003D6E62" w:rsidRPr="0095272A" w:rsidRDefault="003D6E62" w:rsidP="0096525A">
      <w:pPr>
        <w:pStyle w:val="Heading3"/>
        <w:jc w:val="both"/>
      </w:pPr>
      <w:bookmarkStart w:id="9" w:name="_Ref324930127"/>
      <w:bookmarkStart w:id="10" w:name="_Toc334445569"/>
      <w:r w:rsidRPr="0095272A">
        <w:t>Definition of termination value</w:t>
      </w:r>
      <w:bookmarkEnd w:id="9"/>
      <w:bookmarkEnd w:id="10"/>
    </w:p>
    <w:p w14:paraId="06ECB870" w14:textId="77777777" w:rsidR="003D6E62" w:rsidRPr="00BA4E53" w:rsidRDefault="003D6E62" w:rsidP="0096525A">
      <w:pPr>
        <w:pStyle w:val="ListParagraph"/>
        <w:keepNext/>
        <w:ind w:left="567" w:hanging="567"/>
        <w:jc w:val="both"/>
        <w:rPr>
          <w:szCs w:val="24"/>
        </w:rPr>
      </w:pPr>
      <w:r w:rsidRPr="00BA4E53">
        <w:rPr>
          <w:szCs w:val="24"/>
        </w:rPr>
        <w:t xml:space="preserve">The </w:t>
      </w:r>
      <w:r w:rsidRPr="00BA4E53">
        <w:rPr>
          <w:b/>
        </w:rPr>
        <w:t>termination</w:t>
      </w:r>
      <w:r w:rsidRPr="00BA4E53">
        <w:rPr>
          <w:b/>
          <w:szCs w:val="24"/>
        </w:rPr>
        <w:t xml:space="preserve"> value</w:t>
      </w:r>
      <w:r w:rsidRPr="00BA4E53">
        <w:rPr>
          <w:szCs w:val="24"/>
        </w:rPr>
        <w:t xml:space="preserve"> of a policy, before adjustments, is </w:t>
      </w:r>
      <w:r w:rsidR="00A9128D" w:rsidRPr="00BA4E53">
        <w:rPr>
          <w:szCs w:val="24"/>
        </w:rPr>
        <w:t>the greater of</w:t>
      </w:r>
      <w:r w:rsidRPr="00BA4E53">
        <w:rPr>
          <w:szCs w:val="24"/>
        </w:rPr>
        <w:t>:</w:t>
      </w:r>
    </w:p>
    <w:p w14:paraId="426C525D" w14:textId="77777777" w:rsidR="002C6A0D" w:rsidRPr="00BA4E53" w:rsidRDefault="00B2154E" w:rsidP="0096525A">
      <w:pPr>
        <w:pStyle w:val="ListParagraph"/>
        <w:keepNext/>
        <w:numPr>
          <w:ilvl w:val="0"/>
          <w:numId w:val="5"/>
        </w:numPr>
        <w:ind w:left="1134" w:hanging="567"/>
        <w:jc w:val="both"/>
      </w:pPr>
      <w:r w:rsidRPr="00BA4E53">
        <w:t xml:space="preserve">the amount that would be paid on the basis used in practice from time to time in the event of voluntary termination </w:t>
      </w:r>
      <w:r w:rsidR="002C6A0D" w:rsidRPr="00BA4E53">
        <w:t xml:space="preserve">having regard for the amount the company is obliged to pay in accordance with the policy </w:t>
      </w:r>
      <w:r w:rsidR="002C6A0D" w:rsidRPr="00BA4E53">
        <w:lastRenderedPageBreak/>
        <w:t>documentation and promotional material and the reasonable expectations of policy owners based on the company’s current practice; and</w:t>
      </w:r>
    </w:p>
    <w:p w14:paraId="50A0A408" w14:textId="77777777" w:rsidR="00A9128D" w:rsidRPr="00BA4E53" w:rsidRDefault="00A9128D" w:rsidP="00A62372">
      <w:pPr>
        <w:pStyle w:val="ListParagraph"/>
        <w:numPr>
          <w:ilvl w:val="0"/>
          <w:numId w:val="5"/>
        </w:numPr>
        <w:ind w:left="1134" w:hanging="567"/>
        <w:jc w:val="both"/>
      </w:pPr>
      <w:r w:rsidRPr="00BA4E53">
        <w:t xml:space="preserve">the </w:t>
      </w:r>
      <w:r w:rsidRPr="00E34EB0">
        <w:t>minimum termination value</w:t>
      </w:r>
      <w:r w:rsidRPr="00BA4E53">
        <w:t>.</w:t>
      </w:r>
    </w:p>
    <w:p w14:paraId="3DC1B67A" w14:textId="77777777" w:rsidR="006564FF" w:rsidRPr="00BA4E53" w:rsidRDefault="006564FF" w:rsidP="00A62372">
      <w:pPr>
        <w:pStyle w:val="ListParagraph"/>
        <w:ind w:left="567" w:hanging="567"/>
        <w:jc w:val="both"/>
      </w:pPr>
      <w:bookmarkStart w:id="11" w:name="_Ref325113695"/>
      <w:r w:rsidRPr="00BA4E53">
        <w:t xml:space="preserve">The termination value of a policy must be adjusted, if necessary, so that it satisfies the </w:t>
      </w:r>
      <w:r w:rsidR="008470FE" w:rsidRPr="00BA4E53">
        <w:t xml:space="preserve">following </w:t>
      </w:r>
      <w:r w:rsidRPr="00BA4E53">
        <w:t>conditions</w:t>
      </w:r>
      <w:r w:rsidR="008470FE" w:rsidRPr="00BA4E53">
        <w:t>:</w:t>
      </w:r>
      <w:bookmarkEnd w:id="11"/>
    </w:p>
    <w:p w14:paraId="4B822B8E" w14:textId="77777777" w:rsidR="003D6E62" w:rsidRPr="00BA4E53" w:rsidRDefault="008470FE" w:rsidP="00EA657E">
      <w:pPr>
        <w:pStyle w:val="ListParagraph"/>
        <w:numPr>
          <w:ilvl w:val="0"/>
          <w:numId w:val="31"/>
        </w:numPr>
        <w:ind w:left="1134" w:hanging="567"/>
        <w:jc w:val="both"/>
      </w:pPr>
      <w:r w:rsidRPr="00BA4E53">
        <w:t>f</w:t>
      </w:r>
      <w:r w:rsidR="003D6E62" w:rsidRPr="00BA4E53">
        <w:t>or an investment</w:t>
      </w:r>
      <w:r w:rsidR="00031D0B">
        <w:t>-</w:t>
      </w:r>
      <w:r w:rsidR="003D6E62" w:rsidRPr="00BA4E53">
        <w:t>linked policy, the unit prices used for determining the termination value must be consistent with the fair values of the assets backing the policy</w:t>
      </w:r>
      <w:r w:rsidRPr="00BA4E53">
        <w:t>;</w:t>
      </w:r>
    </w:p>
    <w:p w14:paraId="5BCDBA21" w14:textId="77777777" w:rsidR="00117500" w:rsidRDefault="008470FE" w:rsidP="00EA657E">
      <w:pPr>
        <w:pStyle w:val="ListParagraph"/>
        <w:numPr>
          <w:ilvl w:val="0"/>
          <w:numId w:val="31"/>
        </w:numPr>
        <w:ind w:left="1134" w:hanging="567"/>
        <w:jc w:val="both"/>
      </w:pPr>
      <w:bookmarkStart w:id="12" w:name="_Ref325113702"/>
      <w:r w:rsidRPr="00BA4E53">
        <w:t>t</w:t>
      </w:r>
      <w:r w:rsidR="006354BC" w:rsidRPr="00BA4E53">
        <w:t xml:space="preserve">he </w:t>
      </w:r>
      <w:r w:rsidRPr="00BA4E53">
        <w:t>termination value cannot be less than</w:t>
      </w:r>
      <w:r w:rsidR="00117500">
        <w:t>:</w:t>
      </w:r>
      <w:bookmarkEnd w:id="12"/>
    </w:p>
    <w:p w14:paraId="7E6A7221" w14:textId="77777777" w:rsidR="00117500" w:rsidRDefault="006354BC" w:rsidP="00EA657E">
      <w:pPr>
        <w:pStyle w:val="ListParagraph"/>
        <w:numPr>
          <w:ilvl w:val="0"/>
          <w:numId w:val="33"/>
        </w:numPr>
        <w:tabs>
          <w:tab w:val="left" w:pos="1701"/>
        </w:tabs>
        <w:ind w:left="1701" w:hanging="567"/>
        <w:jc w:val="both"/>
      </w:pPr>
      <w:r w:rsidRPr="00BA4E53">
        <w:t>the discounted present value of claims incurred prior to the termination date (whether reported or not and taking appropriate account of claims settlement costs)</w:t>
      </w:r>
      <w:r w:rsidR="00117500">
        <w:t>; plus</w:t>
      </w:r>
    </w:p>
    <w:p w14:paraId="54A95CA4" w14:textId="77777777" w:rsidR="003D6E62" w:rsidRPr="00BA4E53" w:rsidRDefault="001216B6" w:rsidP="00EA657E">
      <w:pPr>
        <w:pStyle w:val="ListParagraph"/>
        <w:numPr>
          <w:ilvl w:val="0"/>
          <w:numId w:val="33"/>
        </w:numPr>
        <w:tabs>
          <w:tab w:val="left" w:pos="1701"/>
        </w:tabs>
        <w:ind w:left="1701" w:hanging="567"/>
        <w:jc w:val="both"/>
      </w:pPr>
      <w:r w:rsidRPr="00BA4E53">
        <w:t>the value of the unexpired risks or, where greater, contractual premium refunds</w:t>
      </w:r>
      <w:r w:rsidR="008470FE" w:rsidRPr="00BA4E53">
        <w:t>;</w:t>
      </w:r>
    </w:p>
    <w:p w14:paraId="0053D4C7" w14:textId="77777777" w:rsidR="003D6E62" w:rsidRPr="00BA4E53" w:rsidRDefault="008470FE" w:rsidP="00EA657E">
      <w:pPr>
        <w:pStyle w:val="ListParagraph"/>
        <w:numPr>
          <w:ilvl w:val="0"/>
          <w:numId w:val="31"/>
        </w:numPr>
        <w:ind w:left="1134" w:hanging="567"/>
        <w:jc w:val="both"/>
      </w:pPr>
      <w:bookmarkStart w:id="13" w:name="_Ref325113724"/>
      <w:r w:rsidRPr="00BA4E53">
        <w:t>i</w:t>
      </w:r>
      <w:r w:rsidR="003D6E62" w:rsidRPr="00BA4E53">
        <w:t>f the company’s obligation to pay a termination value under the policy involves:</w:t>
      </w:r>
      <w:bookmarkEnd w:id="13"/>
    </w:p>
    <w:p w14:paraId="2B167790" w14:textId="77777777" w:rsidR="003D6E62" w:rsidRPr="00BA4E53" w:rsidRDefault="003D6E62" w:rsidP="00EA657E">
      <w:pPr>
        <w:pStyle w:val="ListParagraph"/>
        <w:numPr>
          <w:ilvl w:val="0"/>
          <w:numId w:val="32"/>
        </w:numPr>
        <w:tabs>
          <w:tab w:val="left" w:pos="1134"/>
          <w:tab w:val="left" w:pos="1701"/>
        </w:tabs>
        <w:ind w:left="1701" w:hanging="567"/>
        <w:jc w:val="both"/>
      </w:pPr>
      <w:r w:rsidRPr="00BA4E53">
        <w:t>deferred payments; or</w:t>
      </w:r>
    </w:p>
    <w:p w14:paraId="17F59BAB" w14:textId="77777777" w:rsidR="003D6E62" w:rsidRPr="00BA4E53" w:rsidRDefault="003D6E62" w:rsidP="00EA657E">
      <w:pPr>
        <w:pStyle w:val="ListParagraph"/>
        <w:numPr>
          <w:ilvl w:val="0"/>
          <w:numId w:val="32"/>
        </w:numPr>
        <w:tabs>
          <w:tab w:val="left" w:pos="1134"/>
          <w:tab w:val="left" w:pos="1701"/>
        </w:tabs>
        <w:ind w:left="1701" w:hanging="567"/>
        <w:jc w:val="both"/>
      </w:pPr>
      <w:r w:rsidRPr="00BA4E53">
        <w:t xml:space="preserve">payment by instalments over a period </w:t>
      </w:r>
    </w:p>
    <w:p w14:paraId="4461B481" w14:textId="77777777" w:rsidR="003D6E62" w:rsidRPr="00BA4E53" w:rsidRDefault="003D6E62" w:rsidP="00A62372">
      <w:pPr>
        <w:pStyle w:val="ListParagraph"/>
        <w:numPr>
          <w:ilvl w:val="0"/>
          <w:numId w:val="0"/>
        </w:numPr>
        <w:ind w:left="1134"/>
        <w:jc w:val="both"/>
      </w:pPr>
      <w:r w:rsidRPr="00BA4E53">
        <w:t>the termination value is the</w:t>
      </w:r>
      <w:r w:rsidR="00117500">
        <w:t xml:space="preserve"> present</w:t>
      </w:r>
      <w:r w:rsidRPr="00BA4E53">
        <w:t xml:space="preserve"> value of those payments</w:t>
      </w:r>
      <w:r w:rsidR="008470FE" w:rsidRPr="00BA4E53">
        <w:t>;</w:t>
      </w:r>
      <w:r w:rsidR="00A13F81">
        <w:t xml:space="preserve"> and</w:t>
      </w:r>
    </w:p>
    <w:p w14:paraId="73569A58" w14:textId="77777777" w:rsidR="003D6E62" w:rsidRPr="00BA4E53" w:rsidRDefault="008470FE" w:rsidP="00EA657E">
      <w:pPr>
        <w:pStyle w:val="ListParagraph"/>
        <w:numPr>
          <w:ilvl w:val="0"/>
          <w:numId w:val="31"/>
        </w:numPr>
        <w:ind w:left="1134" w:hanging="567"/>
        <w:jc w:val="both"/>
      </w:pPr>
      <w:r w:rsidRPr="00BA4E53">
        <w:t>i</w:t>
      </w:r>
      <w:r w:rsidR="003D6E62" w:rsidRPr="00BA4E53">
        <w:t xml:space="preserve">f the company’s obligation under a policy involves payment of an </w:t>
      </w:r>
      <w:r w:rsidR="007206DA">
        <w:t xml:space="preserve">annuity </w:t>
      </w:r>
      <w:r w:rsidR="003D6E62" w:rsidRPr="00BA4E53">
        <w:t xml:space="preserve">or if the policy is fixed term/rate business or </w:t>
      </w:r>
      <w:r w:rsidR="003D6E62" w:rsidRPr="007737D3">
        <w:rPr>
          <w:b/>
        </w:rPr>
        <w:t>funeral bond business</w:t>
      </w:r>
      <w:r w:rsidR="003D6E62" w:rsidRPr="00BA4E53">
        <w:t xml:space="preserve">, the termination value cannot be less than the </w:t>
      </w:r>
      <w:r w:rsidR="007206DA">
        <w:rPr>
          <w:b/>
        </w:rPr>
        <w:t>r</w:t>
      </w:r>
      <w:r w:rsidR="006E528C" w:rsidRPr="00BA4E53">
        <w:rPr>
          <w:b/>
        </w:rPr>
        <w:t xml:space="preserve">isk-free </w:t>
      </w:r>
      <w:r w:rsidR="007A7292" w:rsidRPr="00BA4E53">
        <w:rPr>
          <w:b/>
        </w:rPr>
        <w:t>b</w:t>
      </w:r>
      <w:r w:rsidR="006E528C" w:rsidRPr="00BA4E53">
        <w:rPr>
          <w:b/>
        </w:rPr>
        <w:t xml:space="preserve">est </w:t>
      </w:r>
      <w:r w:rsidR="007A7292" w:rsidRPr="00BA4E53">
        <w:rPr>
          <w:b/>
        </w:rPr>
        <w:t>e</w:t>
      </w:r>
      <w:r w:rsidR="006E528C" w:rsidRPr="00BA4E53">
        <w:rPr>
          <w:b/>
        </w:rPr>
        <w:t xml:space="preserve">stimate </w:t>
      </w:r>
      <w:r w:rsidR="007A7292" w:rsidRPr="00BA4E53">
        <w:rPr>
          <w:b/>
        </w:rPr>
        <w:t>l</w:t>
      </w:r>
      <w:r w:rsidR="006E528C" w:rsidRPr="00BA4E53">
        <w:rPr>
          <w:b/>
        </w:rPr>
        <w:t>iability</w:t>
      </w:r>
      <w:r w:rsidR="003D6E62" w:rsidRPr="00BA4E53">
        <w:t>.</w:t>
      </w:r>
    </w:p>
    <w:p w14:paraId="5C6C07DF" w14:textId="77777777" w:rsidR="008470FE" w:rsidRPr="00BA4E53" w:rsidRDefault="008470FE" w:rsidP="00A62372">
      <w:pPr>
        <w:pStyle w:val="ListParagraph"/>
        <w:ind w:left="567" w:hanging="567"/>
        <w:jc w:val="both"/>
      </w:pPr>
      <w:r w:rsidRPr="00BA4E53">
        <w:rPr>
          <w:szCs w:val="24"/>
        </w:rPr>
        <w:t>T</w:t>
      </w:r>
      <w:r w:rsidRPr="00BA4E53">
        <w:t xml:space="preserve">he discount rate used for the purpose of subparagraphs </w:t>
      </w:r>
      <w:r w:rsidR="009A001F">
        <w:fldChar w:fldCharType="begin"/>
      </w:r>
      <w:r w:rsidR="00A0780F">
        <w:instrText xml:space="preserve"> REF _Ref325113695 \r \h </w:instrText>
      </w:r>
      <w:r w:rsidR="00A62372">
        <w:instrText xml:space="preserve"> \* MERGEFORMAT </w:instrText>
      </w:r>
      <w:r w:rsidR="009A001F">
        <w:fldChar w:fldCharType="separate"/>
      </w:r>
      <w:r w:rsidR="00756D31">
        <w:t>10</w:t>
      </w:r>
      <w:r w:rsidR="009A001F">
        <w:fldChar w:fldCharType="end"/>
      </w:r>
      <w:r w:rsidR="009A001F">
        <w:fldChar w:fldCharType="begin"/>
      </w:r>
      <w:r w:rsidR="00A0780F">
        <w:instrText xml:space="preserve"> REF _Ref325113702 \r \h </w:instrText>
      </w:r>
      <w:r w:rsidR="00A62372">
        <w:instrText xml:space="preserve"> \* MERGEFORMAT </w:instrText>
      </w:r>
      <w:r w:rsidR="009A001F">
        <w:fldChar w:fldCharType="separate"/>
      </w:r>
      <w:r w:rsidR="00756D31">
        <w:t>(b)</w:t>
      </w:r>
      <w:r w:rsidR="009A001F">
        <w:fldChar w:fldCharType="end"/>
      </w:r>
      <w:r w:rsidRPr="00BA4E53">
        <w:t xml:space="preserve"> and </w:t>
      </w:r>
      <w:r w:rsidR="009A001F">
        <w:fldChar w:fldCharType="begin"/>
      </w:r>
      <w:r w:rsidR="00A0780F">
        <w:instrText xml:space="preserve"> REF _Ref325113695 \r \h </w:instrText>
      </w:r>
      <w:r w:rsidR="00A62372">
        <w:instrText xml:space="preserve"> \* MERGEFORMAT </w:instrText>
      </w:r>
      <w:r w:rsidR="009A001F">
        <w:fldChar w:fldCharType="separate"/>
      </w:r>
      <w:r w:rsidR="00756D31">
        <w:t>10</w:t>
      </w:r>
      <w:r w:rsidR="009A001F">
        <w:fldChar w:fldCharType="end"/>
      </w:r>
      <w:r w:rsidR="009A001F">
        <w:fldChar w:fldCharType="begin"/>
      </w:r>
      <w:r w:rsidR="00A0780F">
        <w:instrText xml:space="preserve"> REF _Ref325113724 \r \h </w:instrText>
      </w:r>
      <w:r w:rsidR="00A62372">
        <w:instrText xml:space="preserve"> \* MERGEFORMAT </w:instrText>
      </w:r>
      <w:r w:rsidR="009A001F">
        <w:fldChar w:fldCharType="separate"/>
      </w:r>
      <w:r w:rsidR="00756D31">
        <w:t>(c)</w:t>
      </w:r>
      <w:r w:rsidR="009A001F">
        <w:fldChar w:fldCharType="end"/>
      </w:r>
      <w:r w:rsidRPr="00BA4E53">
        <w:t xml:space="preserve"> must be the </w:t>
      </w:r>
      <w:r w:rsidRPr="00BA4E53">
        <w:rPr>
          <w:b/>
        </w:rPr>
        <w:t>risk-free discount rate</w:t>
      </w:r>
      <w:r w:rsidRPr="00BA4E53">
        <w:t xml:space="preserve">. The </w:t>
      </w:r>
      <w:r w:rsidRPr="00BA4E53">
        <w:rPr>
          <w:b/>
        </w:rPr>
        <w:t>illiquidity premium</w:t>
      </w:r>
      <w:r w:rsidRPr="00BA4E53">
        <w:t xml:space="preserve"> </w:t>
      </w:r>
      <w:r w:rsidR="007206DA" w:rsidRPr="00BA4E53">
        <w:t>m</w:t>
      </w:r>
      <w:r w:rsidR="007206DA">
        <w:t>ust</w:t>
      </w:r>
      <w:r w:rsidR="007206DA" w:rsidRPr="00BA4E53">
        <w:t xml:space="preserve"> </w:t>
      </w:r>
      <w:r w:rsidRPr="00BA4E53">
        <w:t xml:space="preserve">be added to the risk-free discount rate if the illiquidity premium is used in determining the </w:t>
      </w:r>
      <w:r w:rsidR="007206DA">
        <w:t>r</w:t>
      </w:r>
      <w:r w:rsidRPr="00BA4E53">
        <w:t xml:space="preserve">isk-free </w:t>
      </w:r>
      <w:r w:rsidR="007A7292" w:rsidRPr="00BA4E53">
        <w:t>b</w:t>
      </w:r>
      <w:r w:rsidRPr="00BA4E53">
        <w:t xml:space="preserve">est </w:t>
      </w:r>
      <w:r w:rsidR="007A7292" w:rsidRPr="00BA4E53">
        <w:t>e</w:t>
      </w:r>
      <w:r w:rsidRPr="00BA4E53">
        <w:t xml:space="preserve">stimate </w:t>
      </w:r>
      <w:r w:rsidR="007A7292" w:rsidRPr="00BA4E53">
        <w:t>l</w:t>
      </w:r>
      <w:r w:rsidRPr="00BA4E53">
        <w:t>iability.</w:t>
      </w:r>
    </w:p>
    <w:p w14:paraId="3776D10D" w14:textId="77777777" w:rsidR="00A62EA8" w:rsidRPr="0095272A" w:rsidRDefault="00537552" w:rsidP="00A62372">
      <w:pPr>
        <w:pStyle w:val="Heading3"/>
        <w:jc w:val="both"/>
        <w:rPr>
          <w:sz w:val="28"/>
        </w:rPr>
      </w:pPr>
      <w:bookmarkStart w:id="14" w:name="_Ref324930150"/>
      <w:bookmarkStart w:id="15" w:name="_Toc334445570"/>
      <w:bookmarkEnd w:id="4"/>
      <w:r w:rsidRPr="0095272A">
        <w:rPr>
          <w:sz w:val="28"/>
          <w:szCs w:val="28"/>
        </w:rPr>
        <w:t xml:space="preserve">Part B – </w:t>
      </w:r>
      <w:r w:rsidR="00931660" w:rsidRPr="0095272A">
        <w:rPr>
          <w:sz w:val="28"/>
          <w:szCs w:val="28"/>
        </w:rPr>
        <w:t>M</w:t>
      </w:r>
      <w:r w:rsidR="003D6E62" w:rsidRPr="0095272A">
        <w:rPr>
          <w:sz w:val="28"/>
          <w:szCs w:val="28"/>
        </w:rPr>
        <w:t xml:space="preserve">inimum </w:t>
      </w:r>
      <w:r w:rsidR="00AB1300" w:rsidRPr="0095272A">
        <w:rPr>
          <w:sz w:val="28"/>
          <w:szCs w:val="28"/>
        </w:rPr>
        <w:t>termination</w:t>
      </w:r>
      <w:r w:rsidR="003D6E62" w:rsidRPr="0095272A">
        <w:rPr>
          <w:sz w:val="28"/>
          <w:szCs w:val="28"/>
        </w:rPr>
        <w:t xml:space="preserve"> value</w:t>
      </w:r>
      <w:r w:rsidR="00931660" w:rsidRPr="0095272A">
        <w:rPr>
          <w:sz w:val="28"/>
          <w:szCs w:val="28"/>
        </w:rPr>
        <w:t>s</w:t>
      </w:r>
      <w:bookmarkEnd w:id="14"/>
      <w:bookmarkEnd w:id="15"/>
    </w:p>
    <w:p w14:paraId="643EADCC" w14:textId="77777777" w:rsidR="00471A45" w:rsidRDefault="00471A45" w:rsidP="00A62372">
      <w:pPr>
        <w:pStyle w:val="Heading3"/>
        <w:jc w:val="both"/>
      </w:pPr>
      <w:bookmarkStart w:id="16" w:name="_Toc334445571"/>
      <w:bookmarkStart w:id="17" w:name="_Ref324930166"/>
      <w:r>
        <w:t>Funeral bond business</w:t>
      </w:r>
      <w:bookmarkEnd w:id="16"/>
    </w:p>
    <w:p w14:paraId="539E4F4A" w14:textId="77777777" w:rsidR="00471A45" w:rsidRPr="00BA4E53" w:rsidRDefault="00471A45" w:rsidP="00471A45">
      <w:pPr>
        <w:pStyle w:val="ListParagraph"/>
        <w:ind w:left="567" w:hanging="567"/>
        <w:jc w:val="both"/>
      </w:pPr>
      <w:r w:rsidRPr="00BA4E53">
        <w:t xml:space="preserve">The minimum termination value for </w:t>
      </w:r>
      <w:r w:rsidRPr="0096525A">
        <w:t>funeral bond business</w:t>
      </w:r>
      <w:r w:rsidRPr="00BA4E53">
        <w:t xml:space="preserve"> is zero.</w:t>
      </w:r>
    </w:p>
    <w:p w14:paraId="7B549E19" w14:textId="77777777" w:rsidR="00C166F6" w:rsidRPr="0095272A" w:rsidRDefault="00C166F6" w:rsidP="00A62372">
      <w:pPr>
        <w:pStyle w:val="Heading3"/>
        <w:jc w:val="both"/>
      </w:pPr>
      <w:bookmarkStart w:id="18" w:name="_Toc334445572"/>
      <w:r w:rsidRPr="0095272A">
        <w:t>Risk business (other than long term risk business)</w:t>
      </w:r>
      <w:bookmarkEnd w:id="17"/>
      <w:bookmarkEnd w:id="18"/>
    </w:p>
    <w:p w14:paraId="78422B93" w14:textId="77777777" w:rsidR="00C166F6" w:rsidRPr="00BA4E53" w:rsidRDefault="00C166F6" w:rsidP="00A62372">
      <w:pPr>
        <w:pStyle w:val="ListParagraph"/>
        <w:ind w:left="567" w:hanging="567"/>
        <w:jc w:val="both"/>
      </w:pPr>
      <w:r w:rsidRPr="00BA4E53">
        <w:t xml:space="preserve">The minimum termination value for risk business that is not </w:t>
      </w:r>
      <w:r w:rsidRPr="00BA4E53">
        <w:rPr>
          <w:b/>
        </w:rPr>
        <w:t>long term risk business</w:t>
      </w:r>
      <w:r w:rsidRPr="00BA4E53">
        <w:t xml:space="preserve"> is zero.</w:t>
      </w:r>
    </w:p>
    <w:p w14:paraId="1D8EA868" w14:textId="77777777" w:rsidR="00537552" w:rsidRPr="0095272A" w:rsidRDefault="00537552" w:rsidP="00A62372">
      <w:pPr>
        <w:pStyle w:val="Heading3"/>
        <w:jc w:val="both"/>
      </w:pPr>
      <w:bookmarkStart w:id="19" w:name="_Ref324930180"/>
      <w:bookmarkStart w:id="20" w:name="_Toc334445573"/>
      <w:r w:rsidRPr="0095272A">
        <w:lastRenderedPageBreak/>
        <w:t>Unbundled investment business</w:t>
      </w:r>
      <w:bookmarkEnd w:id="19"/>
      <w:bookmarkEnd w:id="20"/>
    </w:p>
    <w:p w14:paraId="04DF56F5" w14:textId="77777777" w:rsidR="009A7739" w:rsidRPr="00BA4E53" w:rsidRDefault="00303185" w:rsidP="00A62372">
      <w:pPr>
        <w:pStyle w:val="ListParagraph"/>
        <w:ind w:left="567" w:hanging="567"/>
        <w:jc w:val="both"/>
      </w:pPr>
      <w:bookmarkStart w:id="21" w:name="_Ref325441113"/>
      <w:r w:rsidRPr="00BA4E53">
        <w:t>T</w:t>
      </w:r>
      <w:r w:rsidR="009A7739" w:rsidRPr="00BA4E53">
        <w:t xml:space="preserve">he </w:t>
      </w:r>
      <w:r w:rsidR="000D70B8" w:rsidRPr="00BA4E53">
        <w:t>minimum termination</w:t>
      </w:r>
      <w:r w:rsidR="009A7739" w:rsidRPr="00BA4E53">
        <w:t xml:space="preserve"> value </w:t>
      </w:r>
      <w:r w:rsidR="000D70B8" w:rsidRPr="00BA4E53">
        <w:t xml:space="preserve">for </w:t>
      </w:r>
      <w:r w:rsidR="000D70B8" w:rsidRPr="00CB4124">
        <w:rPr>
          <w:b/>
        </w:rPr>
        <w:t>unbundled investment business</w:t>
      </w:r>
      <w:r w:rsidR="000D70B8" w:rsidRPr="00BA4E53">
        <w:t xml:space="preserve"> </w:t>
      </w:r>
      <w:r w:rsidR="009A7739" w:rsidRPr="00BA4E53">
        <w:t>is the sum of:</w:t>
      </w:r>
      <w:bookmarkEnd w:id="21"/>
    </w:p>
    <w:p w14:paraId="071798D3" w14:textId="77777777" w:rsidR="009A7739" w:rsidRPr="00BA4E53" w:rsidRDefault="009A7739" w:rsidP="00EA657E">
      <w:pPr>
        <w:pStyle w:val="ListParagraph"/>
        <w:numPr>
          <w:ilvl w:val="0"/>
          <w:numId w:val="7"/>
        </w:numPr>
        <w:ind w:left="1134" w:hanging="567"/>
        <w:jc w:val="both"/>
      </w:pPr>
      <w:bookmarkStart w:id="22" w:name="_Ref325442191"/>
      <w:r w:rsidRPr="00BA4E53">
        <w:t xml:space="preserve">the </w:t>
      </w:r>
      <w:r w:rsidR="0096525A">
        <w:t>‘</w:t>
      </w:r>
      <w:r w:rsidR="000D70B8" w:rsidRPr="0096525A">
        <w:t>starting</w:t>
      </w:r>
      <w:r w:rsidR="00F32CD8" w:rsidRPr="0096525A">
        <w:t xml:space="preserve"> </w:t>
      </w:r>
      <w:r w:rsidRPr="0096525A">
        <w:t>amount</w:t>
      </w:r>
      <w:r w:rsidR="0096525A">
        <w:t>’</w:t>
      </w:r>
      <w:r w:rsidR="000D70B8" w:rsidRPr="00BA4E53">
        <w:rPr>
          <w:b/>
        </w:rPr>
        <w:t xml:space="preserve"> </w:t>
      </w:r>
      <w:r w:rsidR="000D70B8" w:rsidRPr="00BA4E53">
        <w:t>at the date of commencement</w:t>
      </w:r>
      <w:r w:rsidRPr="00BA4E53">
        <w:t>;</w:t>
      </w:r>
      <w:bookmarkEnd w:id="22"/>
      <w:r w:rsidRPr="00BA4E53">
        <w:t xml:space="preserve"> </w:t>
      </w:r>
    </w:p>
    <w:p w14:paraId="2F4E8363" w14:textId="77777777" w:rsidR="009A7739" w:rsidRPr="00BA4E53" w:rsidRDefault="009A7739" w:rsidP="00EA657E">
      <w:pPr>
        <w:pStyle w:val="ListParagraph"/>
        <w:numPr>
          <w:ilvl w:val="0"/>
          <w:numId w:val="7"/>
        </w:numPr>
        <w:ind w:left="1134" w:hanging="567"/>
        <w:jc w:val="both"/>
      </w:pPr>
      <w:bookmarkStart w:id="23" w:name="_Ref325442198"/>
      <w:r w:rsidRPr="00BA4E53">
        <w:t>the premium(s) paid subsequent to the date of commencement; and</w:t>
      </w:r>
      <w:bookmarkEnd w:id="23"/>
    </w:p>
    <w:p w14:paraId="7213314C" w14:textId="77777777" w:rsidR="009A7739" w:rsidRPr="00BA4E53" w:rsidRDefault="008F2149" w:rsidP="00EA657E">
      <w:pPr>
        <w:pStyle w:val="ListParagraph"/>
        <w:numPr>
          <w:ilvl w:val="0"/>
          <w:numId w:val="7"/>
        </w:numPr>
        <w:ind w:left="1134" w:hanging="567"/>
        <w:jc w:val="both"/>
        <w:rPr>
          <w:b/>
        </w:rPr>
      </w:pPr>
      <w:r w:rsidRPr="00BA4E53">
        <w:t xml:space="preserve">for business other than </w:t>
      </w:r>
      <w:r w:rsidRPr="00BA4E53">
        <w:rPr>
          <w:b/>
        </w:rPr>
        <w:t>education bond business</w:t>
      </w:r>
      <w:r w:rsidRPr="00BA4E53">
        <w:t xml:space="preserve">, </w:t>
      </w:r>
      <w:r w:rsidR="009A7739" w:rsidRPr="00BA4E53">
        <w:t xml:space="preserve">the </w:t>
      </w:r>
      <w:r w:rsidR="0096525A">
        <w:t>‘</w:t>
      </w:r>
      <w:r w:rsidR="009A7739" w:rsidRPr="0096525A">
        <w:t>normal investment earnings</w:t>
      </w:r>
      <w:r w:rsidR="0096525A">
        <w:t>’</w:t>
      </w:r>
      <w:r w:rsidR="009A7739" w:rsidRPr="00BA4E53">
        <w:t xml:space="preserve"> credited in relation to the </w:t>
      </w:r>
      <w:r w:rsidR="000D70B8" w:rsidRPr="00BA4E53">
        <w:t xml:space="preserve">starting </w:t>
      </w:r>
      <w:r w:rsidR="009A7739" w:rsidRPr="00BA4E53">
        <w:t xml:space="preserve">amount in </w:t>
      </w:r>
      <w:r w:rsidR="009A001F">
        <w:fldChar w:fldCharType="begin"/>
      </w:r>
      <w:r w:rsidR="008D4DF5">
        <w:instrText xml:space="preserve"> REF _Ref325442191 \r \h </w:instrText>
      </w:r>
      <w:r w:rsidR="009A001F">
        <w:fldChar w:fldCharType="separate"/>
      </w:r>
      <w:r w:rsidR="00756D31">
        <w:t>(a)</w:t>
      </w:r>
      <w:r w:rsidR="009A001F">
        <w:fldChar w:fldCharType="end"/>
      </w:r>
      <w:r w:rsidR="009A7739" w:rsidRPr="00BA4E53">
        <w:t xml:space="preserve"> and premiums in </w:t>
      </w:r>
      <w:r w:rsidR="009A001F">
        <w:fldChar w:fldCharType="begin"/>
      </w:r>
      <w:r w:rsidR="008D4DF5">
        <w:instrText xml:space="preserve"> REF _Ref325442198 \r \h </w:instrText>
      </w:r>
      <w:r w:rsidR="009A001F">
        <w:fldChar w:fldCharType="separate"/>
      </w:r>
      <w:r w:rsidR="00756D31">
        <w:t>(b)</w:t>
      </w:r>
      <w:r w:rsidR="009A001F">
        <w:fldChar w:fldCharType="end"/>
      </w:r>
      <w:r w:rsidR="009A7739" w:rsidRPr="00BA4E53">
        <w:rPr>
          <w:b/>
        </w:rPr>
        <w:t xml:space="preserve"> </w:t>
      </w:r>
    </w:p>
    <w:p w14:paraId="6557239F" w14:textId="77777777" w:rsidR="009A7739" w:rsidRPr="00BA4E53" w:rsidRDefault="009A7739" w:rsidP="00A62372">
      <w:pPr>
        <w:spacing w:after="240"/>
        <w:ind w:left="567"/>
        <w:jc w:val="both"/>
      </w:pPr>
      <w:r w:rsidRPr="00BA4E53">
        <w:t>re</w:t>
      </w:r>
      <w:r w:rsidR="00A62372">
        <w:t>duced by the sum of:</w:t>
      </w:r>
    </w:p>
    <w:p w14:paraId="5AFE8412" w14:textId="77777777" w:rsidR="009A7739" w:rsidRPr="00BA4E53" w:rsidRDefault="0096525A" w:rsidP="00EA657E">
      <w:pPr>
        <w:pStyle w:val="ListParagraph"/>
        <w:numPr>
          <w:ilvl w:val="0"/>
          <w:numId w:val="7"/>
        </w:numPr>
        <w:ind w:left="1134" w:hanging="567"/>
        <w:jc w:val="both"/>
      </w:pPr>
      <w:bookmarkStart w:id="24" w:name="_Ref325442153"/>
      <w:r>
        <w:t>‘</w:t>
      </w:r>
      <w:r w:rsidR="009A7739" w:rsidRPr="0096525A">
        <w:t>normal ongoing charges</w:t>
      </w:r>
      <w:r>
        <w:t>’</w:t>
      </w:r>
      <w:r w:rsidR="009A7739" w:rsidRPr="00BA4E53">
        <w:t xml:space="preserve"> subsequent to the date of commencement; </w:t>
      </w:r>
      <w:bookmarkEnd w:id="24"/>
    </w:p>
    <w:p w14:paraId="711D834C" w14:textId="77777777" w:rsidR="009A7739" w:rsidRPr="00BA4E53" w:rsidRDefault="009A7739" w:rsidP="00EA657E">
      <w:pPr>
        <w:pStyle w:val="ListParagraph"/>
        <w:numPr>
          <w:ilvl w:val="0"/>
          <w:numId w:val="7"/>
        </w:numPr>
        <w:ind w:left="1134" w:hanging="567"/>
        <w:jc w:val="both"/>
      </w:pPr>
      <w:bookmarkStart w:id="25" w:name="_Ref325441121"/>
      <w:r w:rsidRPr="00BA4E53">
        <w:t>other charges at the level</w:t>
      </w:r>
      <w:r w:rsidR="008D6DCB" w:rsidRPr="00BA4E53">
        <w:t xml:space="preserve"> specified in Attachment 1 - Part II</w:t>
      </w:r>
      <w:r w:rsidRPr="00BA4E53">
        <w:t xml:space="preserve"> in relation to the premium(s) paid subsequent to the date of commencement; </w:t>
      </w:r>
      <w:bookmarkEnd w:id="25"/>
    </w:p>
    <w:p w14:paraId="1442F5DF" w14:textId="77777777" w:rsidR="00DD0A3B" w:rsidRPr="00BA4E53" w:rsidRDefault="009A7739" w:rsidP="00EA657E">
      <w:pPr>
        <w:pStyle w:val="ListParagraph"/>
        <w:numPr>
          <w:ilvl w:val="0"/>
          <w:numId w:val="7"/>
        </w:numPr>
        <w:ind w:left="1134" w:hanging="567"/>
        <w:jc w:val="both"/>
      </w:pPr>
      <w:bookmarkStart w:id="26" w:name="_Ref325442182"/>
      <w:r w:rsidRPr="00BA4E53">
        <w:t>other charges at the fixed dollar level</w:t>
      </w:r>
      <w:r w:rsidR="008D6DCB" w:rsidRPr="00BA4E53">
        <w:t xml:space="preserve"> specified in Attachment 1 - Part I</w:t>
      </w:r>
      <w:r w:rsidRPr="00BA4E53">
        <w:t>; and</w:t>
      </w:r>
      <w:bookmarkEnd w:id="26"/>
    </w:p>
    <w:p w14:paraId="67DF17D8" w14:textId="77777777" w:rsidR="009A7739" w:rsidRPr="00BA4E53" w:rsidRDefault="008F2149" w:rsidP="00EA657E">
      <w:pPr>
        <w:pStyle w:val="ListParagraph"/>
        <w:numPr>
          <w:ilvl w:val="0"/>
          <w:numId w:val="7"/>
        </w:numPr>
        <w:ind w:left="1134" w:hanging="567"/>
        <w:jc w:val="both"/>
      </w:pPr>
      <w:r w:rsidRPr="00BA4E53">
        <w:t xml:space="preserve">for business other than education bond business, </w:t>
      </w:r>
      <w:r w:rsidR="00DD0A3B" w:rsidRPr="00BA4E53">
        <w:t xml:space="preserve">the normal investment earnings on the normal ongoing charges in </w:t>
      </w:r>
      <w:r w:rsidR="009A001F">
        <w:fldChar w:fldCharType="begin"/>
      </w:r>
      <w:r w:rsidR="008D4DF5">
        <w:instrText xml:space="preserve"> REF _Ref325442153 \r \h </w:instrText>
      </w:r>
      <w:r w:rsidR="009A001F">
        <w:fldChar w:fldCharType="separate"/>
      </w:r>
      <w:r w:rsidR="00756D31">
        <w:t>(d)</w:t>
      </w:r>
      <w:r w:rsidR="009A001F">
        <w:fldChar w:fldCharType="end"/>
      </w:r>
      <w:r w:rsidR="00DD0A3B" w:rsidRPr="00BA4E53">
        <w:t xml:space="preserve"> and other charges in </w:t>
      </w:r>
      <w:r w:rsidR="009A001F">
        <w:fldChar w:fldCharType="begin"/>
      </w:r>
      <w:r w:rsidR="008D4DF5">
        <w:instrText xml:space="preserve"> REF _Ref325441121 \r \h </w:instrText>
      </w:r>
      <w:r w:rsidR="009A001F">
        <w:fldChar w:fldCharType="separate"/>
      </w:r>
      <w:r w:rsidR="00756D31">
        <w:t>(e)</w:t>
      </w:r>
      <w:r w:rsidR="009A001F">
        <w:fldChar w:fldCharType="end"/>
      </w:r>
      <w:r w:rsidR="00DD0A3B" w:rsidRPr="00BA4E53">
        <w:t xml:space="preserve"> and </w:t>
      </w:r>
      <w:r w:rsidR="009A001F">
        <w:fldChar w:fldCharType="begin"/>
      </w:r>
      <w:r w:rsidR="008D4DF5">
        <w:instrText xml:space="preserve"> REF _Ref325442182 \r \h </w:instrText>
      </w:r>
      <w:r w:rsidR="009A001F">
        <w:fldChar w:fldCharType="separate"/>
      </w:r>
      <w:r w:rsidR="00756D31">
        <w:t>(f)</w:t>
      </w:r>
      <w:r w:rsidR="009A001F">
        <w:fldChar w:fldCharType="end"/>
      </w:r>
      <w:r w:rsidR="00DD0A3B" w:rsidRPr="00BA4E53">
        <w:t>.</w:t>
      </w:r>
    </w:p>
    <w:p w14:paraId="74A29D45" w14:textId="77777777" w:rsidR="008D6DCB" w:rsidRPr="00BA4E53" w:rsidRDefault="008D6DCB" w:rsidP="00A62372">
      <w:pPr>
        <w:pStyle w:val="ListParagraph"/>
        <w:ind w:left="567" w:hanging="567"/>
        <w:jc w:val="both"/>
      </w:pPr>
      <w:r w:rsidRPr="00BA4E53">
        <w:t>A contractual increase in regular premiums must be treated as if it was a separate policy.</w:t>
      </w:r>
    </w:p>
    <w:p w14:paraId="1D785E2C" w14:textId="77777777" w:rsidR="007504AD" w:rsidRPr="00BA4E53" w:rsidRDefault="007504AD" w:rsidP="00A62372">
      <w:pPr>
        <w:pStyle w:val="ListParagraph"/>
        <w:ind w:left="567" w:hanging="567"/>
        <w:jc w:val="both"/>
      </w:pPr>
      <w:r w:rsidRPr="00BA4E53">
        <w:t xml:space="preserve">For </w:t>
      </w:r>
      <w:r w:rsidR="00D45E80" w:rsidRPr="00BA4E53">
        <w:t xml:space="preserve">regular premium </w:t>
      </w:r>
      <w:r w:rsidRPr="00BA4E53">
        <w:t xml:space="preserve">policies in force at the date of commencement, </w:t>
      </w:r>
      <w:r w:rsidR="00DC7D6C" w:rsidRPr="00BA4E53">
        <w:t xml:space="preserve">the </w:t>
      </w:r>
      <w:r w:rsidR="00D45E80" w:rsidRPr="00BA4E53">
        <w:t>item</w:t>
      </w:r>
      <w:r w:rsidR="00DC7D6C" w:rsidRPr="00BA4E53">
        <w:t xml:space="preserve"> in subparagraph</w:t>
      </w:r>
      <w:r w:rsidR="00D45E80" w:rsidRPr="00BA4E53">
        <w:t xml:space="preserve"> </w:t>
      </w:r>
      <w:r w:rsidR="009A001F">
        <w:fldChar w:fldCharType="begin"/>
      </w:r>
      <w:r w:rsidR="008D4DF5">
        <w:instrText xml:space="preserve"> REF _Ref325441113 \r \h </w:instrText>
      </w:r>
      <w:r w:rsidR="009A001F">
        <w:fldChar w:fldCharType="separate"/>
      </w:r>
      <w:r w:rsidR="00756D31">
        <w:t>14</w:t>
      </w:r>
      <w:r w:rsidR="009A001F">
        <w:fldChar w:fldCharType="end"/>
      </w:r>
      <w:r w:rsidR="009A001F">
        <w:fldChar w:fldCharType="begin"/>
      </w:r>
      <w:r w:rsidR="008D4DF5">
        <w:instrText xml:space="preserve"> REF _Ref325441121 \r \h </w:instrText>
      </w:r>
      <w:r w:rsidR="009A001F">
        <w:fldChar w:fldCharType="separate"/>
      </w:r>
      <w:r w:rsidR="00756D31">
        <w:t>(e)</w:t>
      </w:r>
      <w:r w:rsidR="009A001F">
        <w:fldChar w:fldCharType="end"/>
      </w:r>
      <w:r w:rsidR="00D45E80" w:rsidRPr="00BA4E53">
        <w:t xml:space="preserve"> must be reduced</w:t>
      </w:r>
      <w:r w:rsidR="00DC7D6C" w:rsidRPr="00BA4E53">
        <w:t>, subject to a minimum of zero,</w:t>
      </w:r>
      <w:r w:rsidR="00D45E80" w:rsidRPr="00BA4E53">
        <w:t xml:space="preserve"> </w:t>
      </w:r>
      <w:r w:rsidR="00047B63" w:rsidRPr="00BA4E53">
        <w:t>to allow</w:t>
      </w:r>
      <w:r w:rsidRPr="00BA4E53">
        <w:t xml:space="preserve"> for </w:t>
      </w:r>
      <w:r w:rsidR="00047B63" w:rsidRPr="00BA4E53">
        <w:t>other charges t</w:t>
      </w:r>
      <w:r w:rsidRPr="00BA4E53">
        <w:t xml:space="preserve">hat have already been </w:t>
      </w:r>
      <w:r w:rsidR="00047B63" w:rsidRPr="00BA4E53">
        <w:t>deducted from</w:t>
      </w:r>
      <w:r w:rsidR="00D45E80" w:rsidRPr="00BA4E53">
        <w:t xml:space="preserve"> </w:t>
      </w:r>
      <w:r w:rsidRPr="00BA4E53">
        <w:t>the starting amount.</w:t>
      </w:r>
    </w:p>
    <w:p w14:paraId="2DC18C70" w14:textId="77777777" w:rsidR="00413499" w:rsidRPr="00322B5F" w:rsidRDefault="00413499" w:rsidP="00A62372">
      <w:pPr>
        <w:spacing w:after="240"/>
        <w:jc w:val="both"/>
        <w:rPr>
          <w:rFonts w:ascii="Arial" w:hAnsi="Arial" w:cs="Arial"/>
          <w:b/>
          <w:i/>
        </w:rPr>
      </w:pPr>
      <w:r w:rsidRPr="00322B5F">
        <w:rPr>
          <w:rFonts w:ascii="Arial" w:hAnsi="Arial" w:cs="Arial"/>
          <w:i/>
        </w:rPr>
        <w:t>Starting amount</w:t>
      </w:r>
    </w:p>
    <w:p w14:paraId="75355EFB" w14:textId="77777777" w:rsidR="00E75FA7" w:rsidRPr="00BA4E53" w:rsidRDefault="00E75FA7" w:rsidP="00A62372">
      <w:pPr>
        <w:pStyle w:val="ListParagraph"/>
        <w:ind w:left="567" w:hanging="567"/>
        <w:jc w:val="both"/>
      </w:pPr>
      <w:r w:rsidRPr="00BA4E53">
        <w:t>For a policy issued after the date of commencement, the starting amount is zero.</w:t>
      </w:r>
    </w:p>
    <w:p w14:paraId="1B89A92A" w14:textId="77777777" w:rsidR="00E75FA7" w:rsidRPr="00BA4E53" w:rsidRDefault="00E75FA7" w:rsidP="00A62372">
      <w:pPr>
        <w:pStyle w:val="ListParagraph"/>
        <w:ind w:left="567" w:hanging="567"/>
        <w:jc w:val="both"/>
      </w:pPr>
      <w:r w:rsidRPr="00BA4E53">
        <w:t xml:space="preserve">For </w:t>
      </w:r>
      <w:r w:rsidR="00A77FFE" w:rsidRPr="00BA4E53">
        <w:t>a friendly society</w:t>
      </w:r>
      <w:r w:rsidRPr="00BA4E53">
        <w:t xml:space="preserve">, the starting amount </w:t>
      </w:r>
      <w:r w:rsidR="00A77FFE" w:rsidRPr="00BA4E53">
        <w:t xml:space="preserve">for a policy in force at the date of commencement </w:t>
      </w:r>
      <w:r w:rsidRPr="00BA4E53">
        <w:t xml:space="preserve">is the </w:t>
      </w:r>
      <w:r w:rsidR="0096525A">
        <w:t>‘</w:t>
      </w:r>
      <w:r w:rsidR="00B47DF4" w:rsidRPr="0096525A">
        <w:t xml:space="preserve">normal </w:t>
      </w:r>
      <w:r w:rsidRPr="0096525A">
        <w:t>contractual minimum value</w:t>
      </w:r>
      <w:r w:rsidR="0096525A">
        <w:t>’</w:t>
      </w:r>
      <w:r w:rsidR="002F5B98" w:rsidRPr="00BA4E53">
        <w:t xml:space="preserve"> </w:t>
      </w:r>
      <w:r w:rsidR="00F55C99" w:rsidRPr="00BA4E53">
        <w:t>a</w:t>
      </w:r>
      <w:r w:rsidR="002F5B98" w:rsidRPr="00BA4E53">
        <w:t>t th</w:t>
      </w:r>
      <w:r w:rsidR="00F55C99" w:rsidRPr="00BA4E53">
        <w:t>e date of commencement.</w:t>
      </w:r>
    </w:p>
    <w:p w14:paraId="0B2B6BFB" w14:textId="77777777" w:rsidR="00A77FFE" w:rsidRPr="00BA4E53" w:rsidRDefault="00E75FA7" w:rsidP="00A62372">
      <w:pPr>
        <w:pStyle w:val="ListParagraph"/>
        <w:ind w:left="567" w:hanging="567"/>
        <w:jc w:val="both"/>
      </w:pPr>
      <w:r w:rsidRPr="00BA4E53">
        <w:t xml:space="preserve">For a </w:t>
      </w:r>
      <w:r w:rsidR="00A77FFE" w:rsidRPr="00BA4E53">
        <w:t>life insurer other than a friendly society, the starting amount for a policy in force at the date of commencement is the greater of:</w:t>
      </w:r>
    </w:p>
    <w:p w14:paraId="1BDA26BF" w14:textId="77777777" w:rsidR="00A77FFE" w:rsidRPr="00BA4E53" w:rsidRDefault="00A77FFE" w:rsidP="00A62372">
      <w:pPr>
        <w:pStyle w:val="ListParagraph"/>
        <w:numPr>
          <w:ilvl w:val="1"/>
          <w:numId w:val="3"/>
        </w:numPr>
        <w:ind w:left="1134" w:hanging="567"/>
        <w:jc w:val="both"/>
      </w:pPr>
      <w:r w:rsidRPr="00BA4E53">
        <w:t xml:space="preserve">the </w:t>
      </w:r>
      <w:r w:rsidRPr="00E12737">
        <w:t>normal contractual minimum value</w:t>
      </w:r>
      <w:r w:rsidRPr="00BA4E53">
        <w:t xml:space="preserve"> </w:t>
      </w:r>
      <w:r w:rsidR="00F55C99" w:rsidRPr="00BA4E53">
        <w:t xml:space="preserve">at the date of commencement; </w:t>
      </w:r>
      <w:r w:rsidRPr="00BA4E53">
        <w:t>and</w:t>
      </w:r>
    </w:p>
    <w:p w14:paraId="1B0D2775" w14:textId="77777777" w:rsidR="00A77FFE" w:rsidRPr="00BA4E53" w:rsidRDefault="00A77FFE" w:rsidP="00A62372">
      <w:pPr>
        <w:pStyle w:val="ListParagraph"/>
        <w:numPr>
          <w:ilvl w:val="1"/>
          <w:numId w:val="3"/>
        </w:numPr>
        <w:ind w:left="1134" w:hanging="567"/>
        <w:jc w:val="both"/>
      </w:pPr>
      <w:r w:rsidRPr="00BA4E53">
        <w:t xml:space="preserve">the </w:t>
      </w:r>
      <w:r w:rsidR="00F55C99" w:rsidRPr="00BA4E53">
        <w:t>m</w:t>
      </w:r>
      <w:r w:rsidRPr="00BA4E53">
        <w:t xml:space="preserve">inimum </w:t>
      </w:r>
      <w:r w:rsidR="00F55C99" w:rsidRPr="00BA4E53">
        <w:t>s</w:t>
      </w:r>
      <w:r w:rsidRPr="00BA4E53">
        <w:t xml:space="preserve">urrender </w:t>
      </w:r>
      <w:r w:rsidR="00F55C99" w:rsidRPr="00BA4E53">
        <w:t>v</w:t>
      </w:r>
      <w:r w:rsidRPr="00BA4E53">
        <w:t xml:space="preserve">alue </w:t>
      </w:r>
      <w:r w:rsidR="00F55C99" w:rsidRPr="00BA4E53">
        <w:t xml:space="preserve">at the date of commencement </w:t>
      </w:r>
      <w:r w:rsidR="00593081" w:rsidRPr="00BA4E53">
        <w:t xml:space="preserve">calculated in accordance with </w:t>
      </w:r>
      <w:r w:rsidR="00440F86" w:rsidRPr="00BA4E53">
        <w:t xml:space="preserve">the then </w:t>
      </w:r>
      <w:r w:rsidR="00593081" w:rsidRPr="00BA4E53">
        <w:t xml:space="preserve">actuarial standard </w:t>
      </w:r>
      <w:r w:rsidR="00593081" w:rsidRPr="00BA4E53">
        <w:rPr>
          <w:i/>
        </w:rPr>
        <w:t>Transitional Provisions for the Calculation of Paid-Up Values and Surrender Values</w:t>
      </w:r>
      <w:r w:rsidR="00593081" w:rsidRPr="00BA4E53">
        <w:t>.</w:t>
      </w:r>
    </w:p>
    <w:p w14:paraId="62AF8493" w14:textId="77777777" w:rsidR="00A77FFE" w:rsidRPr="00BA4E53" w:rsidRDefault="00593081" w:rsidP="00A62372">
      <w:pPr>
        <w:pStyle w:val="ListParagraph"/>
        <w:ind w:left="567" w:hanging="567"/>
        <w:jc w:val="both"/>
      </w:pPr>
      <w:r w:rsidRPr="00BA4E53">
        <w:lastRenderedPageBreak/>
        <w:t>The normal contractual minimum value is the contractual minimum value adjusted as appropriate by the life company for the effect of any short term performance guarantees applicable at the date of commencement.</w:t>
      </w:r>
    </w:p>
    <w:p w14:paraId="027DE9C7" w14:textId="77777777" w:rsidR="007635BC" w:rsidRPr="00322B5F" w:rsidRDefault="007635BC" w:rsidP="00514175">
      <w:pPr>
        <w:tabs>
          <w:tab w:val="left" w:pos="1418"/>
        </w:tabs>
        <w:spacing w:after="240"/>
        <w:jc w:val="both"/>
        <w:rPr>
          <w:rFonts w:ascii="Arial" w:hAnsi="Arial" w:cs="Arial"/>
          <w:i/>
        </w:rPr>
      </w:pPr>
      <w:r w:rsidRPr="00322B5F">
        <w:rPr>
          <w:rFonts w:ascii="Arial" w:hAnsi="Arial" w:cs="Arial"/>
          <w:i/>
        </w:rPr>
        <w:t xml:space="preserve">Normal </w:t>
      </w:r>
      <w:r w:rsidR="00B74BC6" w:rsidRPr="00322B5F">
        <w:rPr>
          <w:rFonts w:ascii="Arial" w:hAnsi="Arial" w:cs="Arial"/>
          <w:i/>
        </w:rPr>
        <w:t>i</w:t>
      </w:r>
      <w:r w:rsidRPr="00322B5F">
        <w:rPr>
          <w:rFonts w:ascii="Arial" w:hAnsi="Arial" w:cs="Arial"/>
          <w:i/>
        </w:rPr>
        <w:t xml:space="preserve">nvestment </w:t>
      </w:r>
      <w:r w:rsidR="00B74BC6" w:rsidRPr="00322B5F">
        <w:rPr>
          <w:rFonts w:ascii="Arial" w:hAnsi="Arial" w:cs="Arial"/>
          <w:i/>
        </w:rPr>
        <w:t>e</w:t>
      </w:r>
      <w:r w:rsidRPr="00322B5F">
        <w:rPr>
          <w:rFonts w:ascii="Arial" w:hAnsi="Arial" w:cs="Arial"/>
          <w:i/>
        </w:rPr>
        <w:t>arnings</w:t>
      </w:r>
    </w:p>
    <w:p w14:paraId="337E19C3" w14:textId="77777777" w:rsidR="0003664C" w:rsidRPr="00BA4E53" w:rsidRDefault="004C286A" w:rsidP="00514175">
      <w:pPr>
        <w:pStyle w:val="ListParagraph"/>
        <w:ind w:left="567" w:hanging="567"/>
        <w:jc w:val="both"/>
      </w:pPr>
      <w:r w:rsidRPr="00BA4E53">
        <w:t>N</w:t>
      </w:r>
      <w:r w:rsidR="007635BC" w:rsidRPr="00BA4E53">
        <w:t xml:space="preserve">ormal </w:t>
      </w:r>
      <w:r w:rsidR="00B74BC6" w:rsidRPr="00BA4E53">
        <w:t>i</w:t>
      </w:r>
      <w:r w:rsidR="007635BC" w:rsidRPr="00BA4E53">
        <w:t xml:space="preserve">nvestment </w:t>
      </w:r>
      <w:r w:rsidR="00B74BC6" w:rsidRPr="00BA4E53">
        <w:t>e</w:t>
      </w:r>
      <w:r w:rsidR="007635BC" w:rsidRPr="00BA4E53">
        <w:t>arnings</w:t>
      </w:r>
      <w:r w:rsidR="007635BC" w:rsidRPr="00BA4E53">
        <w:rPr>
          <w:b/>
        </w:rPr>
        <w:t xml:space="preserve"> </w:t>
      </w:r>
      <w:r w:rsidR="007635BC" w:rsidRPr="00BA4E53">
        <w:t>are the investment earnings actually credited to policies</w:t>
      </w:r>
      <w:r w:rsidRPr="00BA4E53">
        <w:t>, net of tax</w:t>
      </w:r>
      <w:r w:rsidR="00F02814" w:rsidRPr="00BA4E53">
        <w:t xml:space="preserve"> but before deductions for charges and expenses</w:t>
      </w:r>
      <w:r w:rsidR="007635BC" w:rsidRPr="00BA4E53">
        <w:t>.</w:t>
      </w:r>
    </w:p>
    <w:p w14:paraId="07AF169A" w14:textId="77777777" w:rsidR="007635BC" w:rsidRPr="00BA4E53" w:rsidRDefault="007635BC" w:rsidP="00514175">
      <w:pPr>
        <w:pStyle w:val="ListParagraph"/>
        <w:ind w:left="567" w:hanging="567"/>
        <w:jc w:val="both"/>
      </w:pPr>
      <w:r w:rsidRPr="00BA4E53">
        <w:t>In the case where investment earnings are credited on a vested and non-vested basis, it is the vested investment earning credits which are considered normal for this purpose provided the non-vested investment</w:t>
      </w:r>
      <w:r w:rsidR="004C286A" w:rsidRPr="00BA4E53">
        <w:t xml:space="preserve"> </w:t>
      </w:r>
      <w:r w:rsidRPr="00BA4E53">
        <w:t>credits are fully, accurately and clearly identified, including the quantum of the non-vested credit, in the policy documentation and promotional material.</w:t>
      </w:r>
      <w:r w:rsidR="0003664C" w:rsidRPr="00BA4E53">
        <w:t xml:space="preserve">  </w:t>
      </w:r>
    </w:p>
    <w:p w14:paraId="6302C45F" w14:textId="77777777" w:rsidR="00413499" w:rsidRPr="00322B5F" w:rsidRDefault="00413499" w:rsidP="00514175">
      <w:pPr>
        <w:keepNext/>
        <w:tabs>
          <w:tab w:val="left" w:pos="1418"/>
        </w:tabs>
        <w:spacing w:after="240"/>
        <w:jc w:val="both"/>
        <w:rPr>
          <w:rFonts w:ascii="Arial" w:hAnsi="Arial" w:cs="Arial"/>
          <w:i/>
        </w:rPr>
      </w:pPr>
      <w:r w:rsidRPr="00322B5F">
        <w:rPr>
          <w:rFonts w:ascii="Arial" w:hAnsi="Arial" w:cs="Arial"/>
          <w:i/>
        </w:rPr>
        <w:t>Normal ongoing charges</w:t>
      </w:r>
    </w:p>
    <w:p w14:paraId="7C3453B7" w14:textId="77777777" w:rsidR="000110D3" w:rsidRPr="00BA4E53" w:rsidRDefault="00413499" w:rsidP="00A62372">
      <w:pPr>
        <w:pStyle w:val="ListParagraph"/>
        <w:ind w:left="567" w:hanging="567"/>
        <w:jc w:val="both"/>
      </w:pPr>
      <w:r w:rsidRPr="00BA4E53">
        <w:t xml:space="preserve">Normal ongoing charges are </w:t>
      </w:r>
      <w:r w:rsidR="00F02814" w:rsidRPr="00BA4E53">
        <w:t xml:space="preserve">all expenses and </w:t>
      </w:r>
      <w:r w:rsidR="0003664C" w:rsidRPr="00BA4E53">
        <w:t>charges</w:t>
      </w:r>
      <w:r w:rsidR="00F02814" w:rsidRPr="00BA4E53">
        <w:t xml:space="preserve"> (whether explicit or implicit)</w:t>
      </w:r>
      <w:r w:rsidR="0003664C" w:rsidRPr="00BA4E53">
        <w:t xml:space="preserve"> actually levied on the policy </w:t>
      </w:r>
      <w:r w:rsidR="00F02814" w:rsidRPr="00BA4E53">
        <w:t>with the exception of those charges for the costs associated with the establishment or termination of the policy</w:t>
      </w:r>
      <w:r w:rsidR="007F2326" w:rsidRPr="00BA4E53">
        <w:t xml:space="preserve"> that are:</w:t>
      </w:r>
      <w:r w:rsidRPr="00BA4E53">
        <w:t xml:space="preserve"> </w:t>
      </w:r>
    </w:p>
    <w:p w14:paraId="7E7C8033" w14:textId="77777777" w:rsidR="007F2326" w:rsidRPr="00BA4E53" w:rsidRDefault="007F2326" w:rsidP="00A62372">
      <w:pPr>
        <w:pStyle w:val="ListParagraph"/>
        <w:numPr>
          <w:ilvl w:val="1"/>
          <w:numId w:val="3"/>
        </w:numPr>
        <w:ind w:left="1134" w:hanging="567"/>
        <w:jc w:val="both"/>
      </w:pPr>
      <w:r w:rsidRPr="00BA4E53">
        <w:t>explicit;</w:t>
      </w:r>
      <w:r w:rsidR="004A45C4">
        <w:t xml:space="preserve"> </w:t>
      </w:r>
      <w:r w:rsidRPr="00BA4E53">
        <w:t>or</w:t>
      </w:r>
    </w:p>
    <w:p w14:paraId="094F13F3" w14:textId="77777777" w:rsidR="007F2326" w:rsidRPr="00BA4E53" w:rsidRDefault="007F2326" w:rsidP="00A62372">
      <w:pPr>
        <w:pStyle w:val="ListParagraph"/>
        <w:numPr>
          <w:ilvl w:val="1"/>
          <w:numId w:val="3"/>
        </w:numPr>
        <w:ind w:left="1134" w:hanging="567"/>
        <w:jc w:val="both"/>
      </w:pPr>
      <w:r w:rsidRPr="00BA4E53">
        <w:t>implicitly applied through differential ongoing charges based on duration or time of premium payment; or</w:t>
      </w:r>
    </w:p>
    <w:p w14:paraId="39BD08A6" w14:textId="77777777" w:rsidR="00413499" w:rsidRPr="00BA4E53" w:rsidRDefault="007F2326" w:rsidP="00A62372">
      <w:pPr>
        <w:pStyle w:val="ListParagraph"/>
        <w:numPr>
          <w:ilvl w:val="1"/>
          <w:numId w:val="3"/>
        </w:numPr>
        <w:ind w:left="1134" w:hanging="567"/>
        <w:jc w:val="both"/>
      </w:pPr>
      <w:r w:rsidRPr="00BA4E53">
        <w:t>for a policy issued after the date of commencement that has level ongoing charges throughout the term of the policy plus an explicit charge on establishment or termination, the life company must determine the normal ongoing charges by excluding from the ongoing charge any component, implicit in the basis for pricing the product, associated with the recovery of the costs of establishment or termination. For this purpose, the life company must deduct from the ongoing charges the identified recovery component for a prescribed period of one third of the term of the policy or 10 years if less.</w:t>
      </w:r>
    </w:p>
    <w:p w14:paraId="2401AB10" w14:textId="77777777" w:rsidR="004A1411" w:rsidRPr="0095272A" w:rsidRDefault="00B74BC6" w:rsidP="00A62372">
      <w:pPr>
        <w:pStyle w:val="Heading3"/>
        <w:jc w:val="both"/>
      </w:pPr>
      <w:bookmarkStart w:id="27" w:name="_Ref324930210"/>
      <w:bookmarkStart w:id="28" w:name="_Toc334445574"/>
      <w:r w:rsidRPr="0095272A">
        <w:t>Traditional business</w:t>
      </w:r>
      <w:r w:rsidR="00C166F6" w:rsidRPr="0095272A">
        <w:t xml:space="preserve"> and long term risk business</w:t>
      </w:r>
      <w:bookmarkEnd w:id="27"/>
      <w:bookmarkEnd w:id="28"/>
    </w:p>
    <w:p w14:paraId="6F0C47B9" w14:textId="77777777" w:rsidR="00AD1E14" w:rsidRPr="00BA4E53" w:rsidRDefault="00AD1E14" w:rsidP="00A62372">
      <w:pPr>
        <w:pStyle w:val="ListParagraph"/>
        <w:ind w:left="567" w:hanging="567"/>
        <w:jc w:val="both"/>
        <w:rPr>
          <w:szCs w:val="24"/>
        </w:rPr>
      </w:pPr>
      <w:r w:rsidRPr="00BA4E53">
        <w:t xml:space="preserve">For </w:t>
      </w:r>
      <w:r w:rsidRPr="00BA4E53">
        <w:rPr>
          <w:b/>
        </w:rPr>
        <w:t xml:space="preserve">traditional business </w:t>
      </w:r>
      <w:r w:rsidRPr="00BA4E53">
        <w:t>and</w:t>
      </w:r>
      <w:r w:rsidRPr="00BA4E53">
        <w:rPr>
          <w:b/>
        </w:rPr>
        <w:t xml:space="preserve"> </w:t>
      </w:r>
      <w:r w:rsidRPr="0096525A">
        <w:t>long term risk business</w:t>
      </w:r>
      <w:r w:rsidRPr="00BA4E53">
        <w:rPr>
          <w:b/>
        </w:rPr>
        <w:t xml:space="preserve"> </w:t>
      </w:r>
      <w:r w:rsidR="006663EE" w:rsidRPr="00BA4E53">
        <w:t>issued by a friendly society prior to the date of commencement</w:t>
      </w:r>
      <w:r w:rsidRPr="00BA4E53">
        <w:t>, the minimum termination value is zero.</w:t>
      </w:r>
      <w:r w:rsidR="006663EE" w:rsidRPr="00BA4E53">
        <w:t xml:space="preserve"> </w:t>
      </w:r>
    </w:p>
    <w:p w14:paraId="452865EA" w14:textId="77777777" w:rsidR="000D42E6" w:rsidRPr="00BA4E53" w:rsidRDefault="000D42E6" w:rsidP="00A62372">
      <w:pPr>
        <w:pStyle w:val="ListParagraph"/>
        <w:ind w:left="567" w:hanging="567"/>
        <w:jc w:val="both"/>
      </w:pPr>
      <w:r w:rsidRPr="00BA4E53">
        <w:t xml:space="preserve">For </w:t>
      </w:r>
      <w:r w:rsidR="008956F9" w:rsidRPr="00E12737">
        <w:t>t</w:t>
      </w:r>
      <w:r w:rsidRPr="00E12737">
        <w:t xml:space="preserve">raditional </w:t>
      </w:r>
      <w:r w:rsidR="008956F9" w:rsidRPr="00E12737">
        <w:t>b</w:t>
      </w:r>
      <w:r w:rsidRPr="00E12737">
        <w:t>usiness</w:t>
      </w:r>
      <w:r w:rsidR="00C166F6" w:rsidRPr="00BA4E53">
        <w:rPr>
          <w:b/>
        </w:rPr>
        <w:t xml:space="preserve"> </w:t>
      </w:r>
      <w:r w:rsidR="00C166F6" w:rsidRPr="00BA4E53">
        <w:t>and</w:t>
      </w:r>
      <w:r w:rsidR="00C166F6" w:rsidRPr="00BA4E53">
        <w:rPr>
          <w:b/>
        </w:rPr>
        <w:t xml:space="preserve"> </w:t>
      </w:r>
      <w:r w:rsidR="00C166F6" w:rsidRPr="00E12737">
        <w:t>long term risk business</w:t>
      </w:r>
      <w:r w:rsidRPr="00BA4E53">
        <w:t xml:space="preserve"> </w:t>
      </w:r>
      <w:r w:rsidR="006663EE" w:rsidRPr="00BA4E53">
        <w:t>issued by a life company that is not a friendly society prior to</w:t>
      </w:r>
      <w:r w:rsidRPr="00BA4E53">
        <w:t xml:space="preserve"> the </w:t>
      </w:r>
      <w:r w:rsidR="00AB414B" w:rsidRPr="00BA4E53">
        <w:t>d</w:t>
      </w:r>
      <w:r w:rsidRPr="00BA4E53">
        <w:t xml:space="preserve">ate of </w:t>
      </w:r>
      <w:r w:rsidR="00AB414B" w:rsidRPr="00BA4E53">
        <w:t>c</w:t>
      </w:r>
      <w:r w:rsidRPr="00BA4E53">
        <w:t>ommencement</w:t>
      </w:r>
      <w:r w:rsidR="006663EE" w:rsidRPr="00BA4E53">
        <w:t>,</w:t>
      </w:r>
      <w:r w:rsidRPr="00BA4E53">
        <w:t xml:space="preserve"> the </w:t>
      </w:r>
      <w:r w:rsidR="00AB414B" w:rsidRPr="00BA4E53">
        <w:t>m</w:t>
      </w:r>
      <w:r w:rsidRPr="00BA4E53">
        <w:t xml:space="preserve">inimum </w:t>
      </w:r>
      <w:r w:rsidR="00EF668B" w:rsidRPr="00BA4E53">
        <w:t xml:space="preserve">termination </w:t>
      </w:r>
      <w:r w:rsidR="00AB414B" w:rsidRPr="00BA4E53">
        <w:t>v</w:t>
      </w:r>
      <w:r w:rsidRPr="00BA4E53">
        <w:t xml:space="preserve">alue </w:t>
      </w:r>
      <w:r w:rsidR="006B403C" w:rsidRPr="00BA4E53">
        <w:t>must be</w:t>
      </w:r>
      <w:r w:rsidRPr="00BA4E53">
        <w:t xml:space="preserve"> determined </w:t>
      </w:r>
      <w:r w:rsidR="006B403C" w:rsidRPr="00BA4E53">
        <w:t xml:space="preserve">using </w:t>
      </w:r>
      <w:r w:rsidRPr="00BA4E53">
        <w:t xml:space="preserve">the method set out in Attachment 2 - Part I, with prescribed parameters as set out in Attachment 1 - Part </w:t>
      </w:r>
      <w:smartTag w:uri="urn:schemas-microsoft-com:office:smarttags" w:element="stockticker">
        <w:r w:rsidRPr="00BA4E53">
          <w:t>III</w:t>
        </w:r>
      </w:smartTag>
      <w:r w:rsidRPr="00BA4E53">
        <w:t>.</w:t>
      </w:r>
    </w:p>
    <w:p w14:paraId="39DA9674" w14:textId="77777777" w:rsidR="000D42E6" w:rsidRPr="00BA4E53" w:rsidRDefault="000D42E6" w:rsidP="00A62372">
      <w:pPr>
        <w:pStyle w:val="ListParagraph"/>
        <w:ind w:left="567" w:hanging="567"/>
        <w:jc w:val="both"/>
      </w:pPr>
      <w:r w:rsidRPr="00BA4E53">
        <w:t xml:space="preserve">For </w:t>
      </w:r>
      <w:r w:rsidR="00AB414B" w:rsidRPr="00BA4E53">
        <w:t>t</w:t>
      </w:r>
      <w:r w:rsidRPr="00BA4E53">
        <w:t xml:space="preserve">raditional </w:t>
      </w:r>
      <w:r w:rsidR="00AB414B" w:rsidRPr="00BA4E53">
        <w:t>b</w:t>
      </w:r>
      <w:r w:rsidRPr="00BA4E53">
        <w:t>usiness</w:t>
      </w:r>
      <w:r w:rsidR="00C166F6" w:rsidRPr="00BA4E53">
        <w:t xml:space="preserve"> and long term risk business</w:t>
      </w:r>
      <w:r w:rsidRPr="00BA4E53">
        <w:t xml:space="preserve"> </w:t>
      </w:r>
      <w:r w:rsidR="00C166F6" w:rsidRPr="00BA4E53">
        <w:t xml:space="preserve">issued </w:t>
      </w:r>
      <w:r w:rsidR="00AD1E14" w:rsidRPr="00BA4E53">
        <w:t>on or after</w:t>
      </w:r>
      <w:r w:rsidRPr="00BA4E53">
        <w:t xml:space="preserve"> the </w:t>
      </w:r>
      <w:r w:rsidR="00AB414B" w:rsidRPr="00BA4E53">
        <w:t>d</w:t>
      </w:r>
      <w:r w:rsidRPr="00BA4E53">
        <w:t xml:space="preserve">ate of </w:t>
      </w:r>
      <w:r w:rsidR="00AB414B" w:rsidRPr="00BA4E53">
        <w:t>c</w:t>
      </w:r>
      <w:r w:rsidRPr="00BA4E53">
        <w:t xml:space="preserve">ommencement the </w:t>
      </w:r>
      <w:r w:rsidR="00AB414B" w:rsidRPr="00BA4E53">
        <w:t>m</w:t>
      </w:r>
      <w:r w:rsidRPr="00BA4E53">
        <w:t xml:space="preserve">inimum </w:t>
      </w:r>
      <w:r w:rsidR="00694949" w:rsidRPr="00BA4E53">
        <w:t>termination</w:t>
      </w:r>
      <w:r w:rsidRPr="00BA4E53">
        <w:t xml:space="preserve"> </w:t>
      </w:r>
      <w:r w:rsidR="00AB414B" w:rsidRPr="00BA4E53">
        <w:t>v</w:t>
      </w:r>
      <w:r w:rsidRPr="00BA4E53">
        <w:t>alue m</w:t>
      </w:r>
      <w:r w:rsidR="006B403C" w:rsidRPr="00BA4E53">
        <w:t>ust</w:t>
      </w:r>
      <w:r w:rsidRPr="00BA4E53">
        <w:t xml:space="preserve"> be determined either:</w:t>
      </w:r>
    </w:p>
    <w:p w14:paraId="11CAAED2" w14:textId="77777777" w:rsidR="000D42E6" w:rsidRPr="00BA4E53" w:rsidRDefault="006B403C" w:rsidP="00EA657E">
      <w:pPr>
        <w:pStyle w:val="ListParagraph"/>
        <w:numPr>
          <w:ilvl w:val="0"/>
          <w:numId w:val="9"/>
        </w:numPr>
        <w:ind w:left="1134" w:hanging="567"/>
        <w:jc w:val="both"/>
      </w:pPr>
      <w:r w:rsidRPr="00BA4E53">
        <w:t xml:space="preserve">using the method set out in Attachment 2 - Part I, with prescribed parameters as set out in Attachment 1 - Part </w:t>
      </w:r>
      <w:smartTag w:uri="urn:schemas-microsoft-com:office:smarttags" w:element="stockticker">
        <w:r w:rsidRPr="00BA4E53">
          <w:t>III</w:t>
        </w:r>
      </w:smartTag>
      <w:r w:rsidR="000D42E6" w:rsidRPr="00BA4E53">
        <w:t>;</w:t>
      </w:r>
      <w:r w:rsidR="004A45C4">
        <w:t xml:space="preserve"> </w:t>
      </w:r>
      <w:r w:rsidR="000D42E6" w:rsidRPr="00BA4E53">
        <w:t>or</w:t>
      </w:r>
    </w:p>
    <w:p w14:paraId="27A15720" w14:textId="77777777" w:rsidR="000D42E6" w:rsidRPr="00BA4E53" w:rsidRDefault="000D42E6" w:rsidP="00EA657E">
      <w:pPr>
        <w:pStyle w:val="ListParagraph"/>
        <w:numPr>
          <w:ilvl w:val="0"/>
          <w:numId w:val="9"/>
        </w:numPr>
        <w:ind w:left="1134" w:hanging="567"/>
        <w:jc w:val="both"/>
      </w:pPr>
      <w:r w:rsidRPr="00BA4E53">
        <w:lastRenderedPageBreak/>
        <w:t>using the method set out in Attachment 2 - Part II, with prescribed parameters as set out in Attachment 1 - Part IV.</w:t>
      </w:r>
    </w:p>
    <w:p w14:paraId="7398403D" w14:textId="77777777" w:rsidR="00FD2ADF" w:rsidRPr="00BA4E53" w:rsidRDefault="00FD2ADF" w:rsidP="00514175">
      <w:pPr>
        <w:pStyle w:val="ListParagraph"/>
        <w:ind w:left="567" w:hanging="567"/>
        <w:jc w:val="both"/>
        <w:rPr>
          <w:szCs w:val="24"/>
        </w:rPr>
      </w:pPr>
      <w:r w:rsidRPr="00BA4E53">
        <w:rPr>
          <w:szCs w:val="24"/>
        </w:rPr>
        <w:t>The method used for determining the minimum termination value must not be changed after the policy is issued.</w:t>
      </w:r>
    </w:p>
    <w:p w14:paraId="32E5474B" w14:textId="77777777" w:rsidR="00BE2EB3" w:rsidRPr="0095272A" w:rsidRDefault="00C166F6" w:rsidP="00514175">
      <w:pPr>
        <w:pStyle w:val="Heading3"/>
        <w:jc w:val="both"/>
      </w:pPr>
      <w:bookmarkStart w:id="29" w:name="_Ref324930234"/>
      <w:bookmarkStart w:id="30" w:name="_Toc334445575"/>
      <w:r w:rsidRPr="0095272A">
        <w:t>I</w:t>
      </w:r>
      <w:r w:rsidR="0024101E" w:rsidRPr="0095272A">
        <w:t>mmediate annuities</w:t>
      </w:r>
      <w:r w:rsidRPr="0095272A">
        <w:t xml:space="preserve"> and fixed term/rate business</w:t>
      </w:r>
      <w:bookmarkEnd w:id="29"/>
      <w:bookmarkEnd w:id="30"/>
    </w:p>
    <w:p w14:paraId="20ECC7B6" w14:textId="77777777" w:rsidR="00BE2EB3" w:rsidRPr="00322B5F" w:rsidRDefault="00BE2EB3" w:rsidP="00514175">
      <w:pPr>
        <w:keepNext/>
        <w:spacing w:after="240"/>
        <w:jc w:val="both"/>
        <w:rPr>
          <w:rFonts w:ascii="Arial" w:hAnsi="Arial" w:cs="Arial"/>
          <w:i/>
        </w:rPr>
      </w:pPr>
      <w:r w:rsidRPr="00322B5F">
        <w:rPr>
          <w:rFonts w:ascii="Arial" w:hAnsi="Arial" w:cs="Arial"/>
          <w:i/>
        </w:rPr>
        <w:t xml:space="preserve">Immediate </w:t>
      </w:r>
      <w:r w:rsidR="00840F3E" w:rsidRPr="00322B5F">
        <w:rPr>
          <w:rFonts w:ascii="Arial" w:hAnsi="Arial" w:cs="Arial"/>
          <w:i/>
        </w:rPr>
        <w:t>l</w:t>
      </w:r>
      <w:r w:rsidRPr="00322B5F">
        <w:rPr>
          <w:rFonts w:ascii="Arial" w:hAnsi="Arial" w:cs="Arial"/>
          <w:i/>
        </w:rPr>
        <w:t xml:space="preserve">ife </w:t>
      </w:r>
      <w:r w:rsidR="00840F3E" w:rsidRPr="00322B5F">
        <w:rPr>
          <w:rFonts w:ascii="Arial" w:hAnsi="Arial" w:cs="Arial"/>
          <w:i/>
        </w:rPr>
        <w:t>a</w:t>
      </w:r>
      <w:r w:rsidRPr="00322B5F">
        <w:rPr>
          <w:rFonts w:ascii="Arial" w:hAnsi="Arial" w:cs="Arial"/>
          <w:i/>
        </w:rPr>
        <w:t>nnuities</w:t>
      </w:r>
    </w:p>
    <w:p w14:paraId="36B66530" w14:textId="77777777" w:rsidR="00BE2EB3" w:rsidRPr="00BA4E53" w:rsidRDefault="00BE2EB3" w:rsidP="00514175">
      <w:pPr>
        <w:pStyle w:val="ListParagraph"/>
        <w:ind w:left="567" w:hanging="567"/>
        <w:jc w:val="both"/>
      </w:pPr>
      <w:bookmarkStart w:id="31" w:name="_Ref320002741"/>
      <w:r w:rsidRPr="00BA4E53">
        <w:t xml:space="preserve">For </w:t>
      </w:r>
      <w:r w:rsidR="00840F3E" w:rsidRPr="00BA4E53">
        <w:t>i</w:t>
      </w:r>
      <w:r w:rsidRPr="00BA4E53">
        <w:t xml:space="preserve">mmediate </w:t>
      </w:r>
      <w:r w:rsidR="00840F3E" w:rsidRPr="00BA4E53">
        <w:t>l</w:t>
      </w:r>
      <w:r w:rsidRPr="00BA4E53">
        <w:t xml:space="preserve">ife </w:t>
      </w:r>
      <w:r w:rsidR="00840F3E" w:rsidRPr="00BA4E53">
        <w:t>a</w:t>
      </w:r>
      <w:r w:rsidRPr="00BA4E53">
        <w:t xml:space="preserve">nnuities other than those covered by paragraphs </w:t>
      </w:r>
      <w:r w:rsidR="009A001F">
        <w:fldChar w:fldCharType="begin"/>
      </w:r>
      <w:r w:rsidR="008D4DF5">
        <w:instrText xml:space="preserve"> REF _Ref320001812 \r \h </w:instrText>
      </w:r>
      <w:r w:rsidR="009A001F">
        <w:fldChar w:fldCharType="separate"/>
      </w:r>
      <w:r w:rsidR="00756D31">
        <w:t>29</w:t>
      </w:r>
      <w:r w:rsidR="009A001F">
        <w:fldChar w:fldCharType="end"/>
      </w:r>
      <w:r w:rsidR="0034731D" w:rsidRPr="00BA4E53">
        <w:t xml:space="preserve"> </w:t>
      </w:r>
      <w:r w:rsidRPr="00BA4E53">
        <w:t xml:space="preserve">and </w:t>
      </w:r>
      <w:r w:rsidR="009A001F">
        <w:fldChar w:fldCharType="begin"/>
      </w:r>
      <w:r w:rsidR="008D4DF5">
        <w:instrText xml:space="preserve"> REF _Ref320001876 \r \h </w:instrText>
      </w:r>
      <w:r w:rsidR="009A001F">
        <w:fldChar w:fldCharType="separate"/>
      </w:r>
      <w:r w:rsidR="00756D31">
        <w:t>31</w:t>
      </w:r>
      <w:r w:rsidR="009A001F">
        <w:fldChar w:fldCharType="end"/>
      </w:r>
      <w:r w:rsidRPr="00BA4E53">
        <w:t xml:space="preserve">, the </w:t>
      </w:r>
      <w:r w:rsidR="00840F3E" w:rsidRPr="00BA4E53">
        <w:t>m</w:t>
      </w:r>
      <w:r w:rsidRPr="00BA4E53">
        <w:t xml:space="preserve">inimum </w:t>
      </w:r>
      <w:r w:rsidR="00694949" w:rsidRPr="00BA4E53">
        <w:t>termination</w:t>
      </w:r>
      <w:r w:rsidRPr="00BA4E53">
        <w:t xml:space="preserve"> </w:t>
      </w:r>
      <w:r w:rsidR="00840F3E" w:rsidRPr="00BA4E53">
        <w:t>v</w:t>
      </w:r>
      <w:r w:rsidRPr="00BA4E53">
        <w:t xml:space="preserve">alue </w:t>
      </w:r>
      <w:r w:rsidR="008F3D18" w:rsidRPr="00BA4E53">
        <w:t>is zero</w:t>
      </w:r>
      <w:r w:rsidRPr="00BA4E53">
        <w:t>.</w:t>
      </w:r>
      <w:bookmarkEnd w:id="31"/>
    </w:p>
    <w:p w14:paraId="0E54B4A3" w14:textId="77777777" w:rsidR="00BE2EB3" w:rsidRPr="00BA4E53" w:rsidRDefault="00BE2EB3" w:rsidP="00514175">
      <w:pPr>
        <w:pStyle w:val="ListParagraph"/>
        <w:ind w:left="567" w:hanging="567"/>
        <w:jc w:val="both"/>
      </w:pPr>
      <w:bookmarkStart w:id="32" w:name="_Ref320001812"/>
      <w:r w:rsidRPr="00BA4E53">
        <w:t xml:space="preserve">For immediate life annuities which provide for a return of the whole or </w:t>
      </w:r>
      <w:r w:rsidR="00840F3E" w:rsidRPr="00BA4E53">
        <w:t xml:space="preserve">a part of purchase price on the </w:t>
      </w:r>
      <w:r w:rsidRPr="00BA4E53">
        <w:t xml:space="preserve">death of the </w:t>
      </w:r>
      <w:r w:rsidR="0034731D" w:rsidRPr="00BA4E53">
        <w:t>annuitant</w:t>
      </w:r>
      <w:r w:rsidRPr="00BA4E53">
        <w:t xml:space="preserve"> (the death benefit), the </w:t>
      </w:r>
      <w:r w:rsidR="00840F3E" w:rsidRPr="00BA4E53">
        <w:t>m</w:t>
      </w:r>
      <w:r w:rsidRPr="00BA4E53">
        <w:t xml:space="preserve">inimum </w:t>
      </w:r>
      <w:r w:rsidR="00694949" w:rsidRPr="00BA4E53">
        <w:t>termination</w:t>
      </w:r>
      <w:r w:rsidRPr="00BA4E53">
        <w:t xml:space="preserve"> </w:t>
      </w:r>
      <w:r w:rsidR="00840F3E" w:rsidRPr="00BA4E53">
        <w:t>v</w:t>
      </w:r>
      <w:r w:rsidRPr="00BA4E53">
        <w:t>alue is determined as the lesser of:</w:t>
      </w:r>
      <w:bookmarkEnd w:id="32"/>
    </w:p>
    <w:p w14:paraId="62A28EA7" w14:textId="77777777" w:rsidR="00BE2EB3" w:rsidRPr="00BA4E53" w:rsidRDefault="00BE2EB3" w:rsidP="00EA657E">
      <w:pPr>
        <w:pStyle w:val="ListParagraph"/>
        <w:numPr>
          <w:ilvl w:val="0"/>
          <w:numId w:val="11"/>
        </w:numPr>
        <w:ind w:left="1134" w:hanging="567"/>
        <w:jc w:val="both"/>
      </w:pPr>
      <w:r w:rsidRPr="00BA4E53">
        <w:t xml:space="preserve">the value, at the </w:t>
      </w:r>
      <w:r w:rsidR="0046128C" w:rsidRPr="00BA4E53">
        <w:t xml:space="preserve">rate </w:t>
      </w:r>
      <w:r w:rsidRPr="00BA4E53">
        <w:t xml:space="preserve">prescribed </w:t>
      </w:r>
      <w:r w:rsidR="0046128C" w:rsidRPr="00BA4E53">
        <w:t>in Attachment 1 - Part V</w:t>
      </w:r>
      <w:r w:rsidRPr="00BA4E53">
        <w:t xml:space="preserve">, of the future payments of: </w:t>
      </w:r>
    </w:p>
    <w:p w14:paraId="11479AC7" w14:textId="77777777" w:rsidR="00BE2EB3" w:rsidRPr="00BA4E53" w:rsidRDefault="00BE2EB3" w:rsidP="00EA657E">
      <w:pPr>
        <w:numPr>
          <w:ilvl w:val="0"/>
          <w:numId w:val="10"/>
        </w:numPr>
        <w:tabs>
          <w:tab w:val="left" w:pos="1701"/>
        </w:tabs>
        <w:spacing w:after="240"/>
        <w:ind w:left="1701" w:hanging="567"/>
        <w:jc w:val="both"/>
      </w:pPr>
      <w:r w:rsidRPr="00BA4E53">
        <w:t xml:space="preserve">income assuming the annuity is a term certain for a term equal to the expectation of life of the </w:t>
      </w:r>
      <w:r w:rsidR="0034731D" w:rsidRPr="00BA4E53">
        <w:t>annuitant</w:t>
      </w:r>
      <w:r w:rsidRPr="00BA4E53">
        <w:t>; and</w:t>
      </w:r>
    </w:p>
    <w:p w14:paraId="03096C4F" w14:textId="77777777" w:rsidR="00BE2EB3" w:rsidRPr="00BA4E53" w:rsidRDefault="00BE2EB3" w:rsidP="00EA657E">
      <w:pPr>
        <w:numPr>
          <w:ilvl w:val="0"/>
          <w:numId w:val="10"/>
        </w:numPr>
        <w:tabs>
          <w:tab w:val="left" w:pos="1701"/>
        </w:tabs>
        <w:spacing w:after="240"/>
        <w:ind w:left="1701" w:hanging="567"/>
        <w:jc w:val="both"/>
      </w:pPr>
      <w:r w:rsidRPr="00BA4E53">
        <w:t>the death benefit assuming payment at the expiration of that term; and</w:t>
      </w:r>
    </w:p>
    <w:p w14:paraId="1B8CC607" w14:textId="77777777" w:rsidR="00BE2EB3" w:rsidRPr="00BA4E53" w:rsidRDefault="00BE2EB3" w:rsidP="00EA657E">
      <w:pPr>
        <w:pStyle w:val="ListParagraph"/>
        <w:numPr>
          <w:ilvl w:val="0"/>
          <w:numId w:val="11"/>
        </w:numPr>
        <w:ind w:left="1134" w:hanging="567"/>
        <w:jc w:val="both"/>
      </w:pPr>
      <w:r w:rsidRPr="00BA4E53">
        <w:t>the face value of the death benefit.</w:t>
      </w:r>
    </w:p>
    <w:p w14:paraId="0295BE49" w14:textId="77777777" w:rsidR="0046128C" w:rsidRPr="00BA4E53" w:rsidRDefault="00BE2EB3" w:rsidP="00514175">
      <w:pPr>
        <w:pStyle w:val="ListParagraph"/>
        <w:ind w:left="567" w:hanging="567"/>
        <w:jc w:val="both"/>
      </w:pPr>
      <w:r w:rsidRPr="00BA4E53">
        <w:t>For the purposes of paragraph</w:t>
      </w:r>
      <w:r w:rsidR="00840F3E" w:rsidRPr="00BA4E53">
        <w:t xml:space="preserve"> </w:t>
      </w:r>
      <w:r w:rsidR="009A001F">
        <w:fldChar w:fldCharType="begin"/>
      </w:r>
      <w:r w:rsidR="008D4DF5">
        <w:instrText xml:space="preserve"> REF _Ref320001812 \r \h </w:instrText>
      </w:r>
      <w:r w:rsidR="009A001F">
        <w:fldChar w:fldCharType="separate"/>
      </w:r>
      <w:r w:rsidR="00756D31">
        <w:t>29</w:t>
      </w:r>
      <w:r w:rsidR="009A001F">
        <w:fldChar w:fldCharType="end"/>
      </w:r>
      <w:r w:rsidRPr="00BA4E53">
        <w:t xml:space="preserve">, the expectation of life of the </w:t>
      </w:r>
      <w:r w:rsidR="00FA3E0D" w:rsidRPr="00BA4E53">
        <w:t xml:space="preserve">annuitant </w:t>
      </w:r>
      <w:r w:rsidR="005B05D6" w:rsidRPr="00BA4E53">
        <w:t xml:space="preserve">must </w:t>
      </w:r>
      <w:r w:rsidRPr="00BA4E53">
        <w:t xml:space="preserve">be determined on the basis last adopted by the </w:t>
      </w:r>
      <w:r w:rsidR="0024101E" w:rsidRPr="00BA4E53">
        <w:t>life company</w:t>
      </w:r>
      <w:r w:rsidRPr="00BA4E53">
        <w:t xml:space="preserve"> for the purposes of </w:t>
      </w:r>
      <w:r w:rsidR="001B647B" w:rsidRPr="00BA4E53">
        <w:rPr>
          <w:i/>
        </w:rPr>
        <w:t xml:space="preserve">Prudential Standard </w:t>
      </w:r>
      <w:r w:rsidR="005B05D6" w:rsidRPr="00BA4E53">
        <w:rPr>
          <w:i/>
        </w:rPr>
        <w:t>LPS 340</w:t>
      </w:r>
      <w:r w:rsidR="001B647B" w:rsidRPr="00BA4E53">
        <w:rPr>
          <w:i/>
        </w:rPr>
        <w:t xml:space="preserve"> Valuation of Policy Liabilities</w:t>
      </w:r>
      <w:r w:rsidRPr="00BA4E53">
        <w:t>.</w:t>
      </w:r>
      <w:r w:rsidR="008470FE" w:rsidRPr="00BA4E53">
        <w:t xml:space="preserve"> </w:t>
      </w:r>
      <w:r w:rsidR="001812D7" w:rsidRPr="00BA4E53">
        <w:t>If t</w:t>
      </w:r>
      <w:r w:rsidR="0046128C" w:rsidRPr="00BA4E53">
        <w:t xml:space="preserve">he annuity provides for more than one life, appropriate allowance </w:t>
      </w:r>
      <w:r w:rsidR="001812D7" w:rsidRPr="00BA4E53">
        <w:t xml:space="preserve">must be made </w:t>
      </w:r>
      <w:r w:rsidR="0046128C" w:rsidRPr="00BA4E53">
        <w:t>for the multiple lives and relevant policy conditions.</w:t>
      </w:r>
    </w:p>
    <w:p w14:paraId="45B1A26D" w14:textId="77777777" w:rsidR="00BE2EB3" w:rsidRPr="00BA4E53" w:rsidRDefault="00BE2EB3" w:rsidP="00514175">
      <w:pPr>
        <w:pStyle w:val="ListParagraph"/>
        <w:ind w:left="567" w:hanging="567"/>
        <w:jc w:val="both"/>
      </w:pPr>
      <w:bookmarkStart w:id="33" w:name="_Ref320001876"/>
      <w:r w:rsidRPr="00BA4E53">
        <w:t xml:space="preserve">For immediate life annuities which provide a return of the balance of the purchase price on </w:t>
      </w:r>
      <w:r w:rsidR="005B05D6" w:rsidRPr="00BA4E53">
        <w:t xml:space="preserve">the </w:t>
      </w:r>
      <w:r w:rsidRPr="00BA4E53">
        <w:t xml:space="preserve">death of the </w:t>
      </w:r>
      <w:r w:rsidR="0034731D" w:rsidRPr="00BA4E53">
        <w:t>annuitant</w:t>
      </w:r>
      <w:r w:rsidRPr="00BA4E53">
        <w:t xml:space="preserve">, the </w:t>
      </w:r>
      <w:r w:rsidR="00840F3E" w:rsidRPr="00BA4E53">
        <w:t>m</w:t>
      </w:r>
      <w:r w:rsidRPr="00BA4E53">
        <w:t xml:space="preserve">inimum </w:t>
      </w:r>
      <w:r w:rsidR="00694949" w:rsidRPr="00BA4E53">
        <w:t>termination</w:t>
      </w:r>
      <w:r w:rsidRPr="00BA4E53">
        <w:t xml:space="preserve"> </w:t>
      </w:r>
      <w:r w:rsidR="00840F3E" w:rsidRPr="00BA4E53">
        <w:t>v</w:t>
      </w:r>
      <w:r w:rsidRPr="00BA4E53">
        <w:t>alue is determined as the value, at the rate</w:t>
      </w:r>
      <w:r w:rsidR="0046128C" w:rsidRPr="00BA4E53">
        <w:t xml:space="preserve"> prescribed in Attachment 1 - Part V</w:t>
      </w:r>
      <w:r w:rsidRPr="00BA4E53">
        <w:t>, of the future payments due to and including the ‘</w:t>
      </w:r>
      <w:r w:rsidRPr="0096525A">
        <w:t>last date’</w:t>
      </w:r>
      <w:r w:rsidRPr="00BA4E53">
        <w:t>.</w:t>
      </w:r>
      <w:bookmarkEnd w:id="33"/>
    </w:p>
    <w:p w14:paraId="4AB11A5F" w14:textId="77777777" w:rsidR="00BE2EB3" w:rsidRPr="00BA4E53" w:rsidRDefault="00BE2EB3" w:rsidP="00514175">
      <w:pPr>
        <w:pStyle w:val="ListParagraph"/>
        <w:ind w:left="567" w:hanging="567"/>
        <w:jc w:val="both"/>
      </w:pPr>
      <w:r w:rsidRPr="00BA4E53">
        <w:t>For the purposes of paragraph</w:t>
      </w:r>
      <w:r w:rsidR="00840F3E" w:rsidRPr="00BA4E53">
        <w:t xml:space="preserve"> </w:t>
      </w:r>
      <w:r w:rsidR="009A001F">
        <w:fldChar w:fldCharType="begin"/>
      </w:r>
      <w:r w:rsidR="008D4DF5">
        <w:instrText xml:space="preserve"> REF _Ref320001876 \r \h </w:instrText>
      </w:r>
      <w:r w:rsidR="009A001F">
        <w:fldChar w:fldCharType="separate"/>
      </w:r>
      <w:r w:rsidR="00756D31">
        <w:t>31</w:t>
      </w:r>
      <w:r w:rsidR="009A001F">
        <w:fldChar w:fldCharType="end"/>
      </w:r>
      <w:r w:rsidRPr="00BA4E53">
        <w:t>, the last date is the date at which the aggregate of the future payments and the payments already made prior to the date of surrender equals the purchase price of the annuity.</w:t>
      </w:r>
      <w:r w:rsidR="004A45C4">
        <w:t xml:space="preserve"> </w:t>
      </w:r>
      <w:r w:rsidRPr="00BA4E53">
        <w:t>The payment on the last date may be a partial payment and should be allowed for accordingly.</w:t>
      </w:r>
    </w:p>
    <w:p w14:paraId="074D9923" w14:textId="77777777" w:rsidR="00BE2EB3" w:rsidRPr="00BA4E53" w:rsidRDefault="00BE2EB3" w:rsidP="00514175">
      <w:pPr>
        <w:pStyle w:val="ListParagraph"/>
        <w:ind w:left="567" w:hanging="567"/>
        <w:jc w:val="both"/>
      </w:pPr>
      <w:r w:rsidRPr="00BA4E53">
        <w:t xml:space="preserve">For immediate annuities payable for a fixed term and life thereafter, the </w:t>
      </w:r>
      <w:r w:rsidR="00840F3E" w:rsidRPr="00BA4E53">
        <w:t>m</w:t>
      </w:r>
      <w:r w:rsidRPr="00BA4E53">
        <w:t xml:space="preserve">inimum </w:t>
      </w:r>
      <w:r w:rsidR="00694949" w:rsidRPr="00BA4E53">
        <w:t>termination</w:t>
      </w:r>
      <w:r w:rsidRPr="00BA4E53">
        <w:t xml:space="preserve"> </w:t>
      </w:r>
      <w:r w:rsidR="00840F3E" w:rsidRPr="00BA4E53">
        <w:t>v</w:t>
      </w:r>
      <w:r w:rsidRPr="00BA4E53">
        <w:t>alue during the fixed term is determined in accordance with paragraph</w:t>
      </w:r>
      <w:r w:rsidR="00840F3E" w:rsidRPr="00BA4E53">
        <w:t xml:space="preserve">s </w:t>
      </w:r>
      <w:r w:rsidR="009A001F">
        <w:fldChar w:fldCharType="begin"/>
      </w:r>
      <w:r w:rsidR="008D4DF5">
        <w:instrText xml:space="preserve"> REF _Ref320002698 \r \h </w:instrText>
      </w:r>
      <w:r w:rsidR="009A001F">
        <w:fldChar w:fldCharType="separate"/>
      </w:r>
      <w:r w:rsidR="00756D31">
        <w:t>35</w:t>
      </w:r>
      <w:r w:rsidR="009A001F">
        <w:fldChar w:fldCharType="end"/>
      </w:r>
      <w:r w:rsidR="0034731D" w:rsidRPr="00BA4E53">
        <w:t xml:space="preserve"> </w:t>
      </w:r>
      <w:r w:rsidR="00840F3E" w:rsidRPr="00BA4E53">
        <w:t xml:space="preserve">and </w:t>
      </w:r>
      <w:r w:rsidR="009A001F">
        <w:fldChar w:fldCharType="begin"/>
      </w:r>
      <w:r w:rsidR="008D4DF5">
        <w:instrText xml:space="preserve"> REF _Ref320002705 \r \h </w:instrText>
      </w:r>
      <w:r w:rsidR="009A001F">
        <w:fldChar w:fldCharType="separate"/>
      </w:r>
      <w:r w:rsidR="00756D31">
        <w:t>36</w:t>
      </w:r>
      <w:r w:rsidR="009A001F">
        <w:fldChar w:fldCharType="end"/>
      </w:r>
      <w:r w:rsidRPr="00BA4E53">
        <w:t>.</w:t>
      </w:r>
      <w:r w:rsidR="004A45C4">
        <w:t xml:space="preserve"> </w:t>
      </w:r>
      <w:r w:rsidRPr="00BA4E53">
        <w:t xml:space="preserve">After the fixed term, the provisions of paragraph </w:t>
      </w:r>
      <w:r w:rsidR="009A001F">
        <w:fldChar w:fldCharType="begin"/>
      </w:r>
      <w:r w:rsidR="008D4DF5">
        <w:instrText xml:space="preserve"> REF _Ref320002741 \r \h </w:instrText>
      </w:r>
      <w:r w:rsidR="009A001F">
        <w:fldChar w:fldCharType="separate"/>
      </w:r>
      <w:r w:rsidR="00756D31">
        <w:t>28</w:t>
      </w:r>
      <w:r w:rsidR="009A001F">
        <w:fldChar w:fldCharType="end"/>
      </w:r>
      <w:r w:rsidR="0034731D" w:rsidRPr="00BA4E53">
        <w:t xml:space="preserve"> apply</w:t>
      </w:r>
      <w:r w:rsidRPr="00BA4E53">
        <w:t>.</w:t>
      </w:r>
    </w:p>
    <w:p w14:paraId="46F89966" w14:textId="77777777" w:rsidR="00614656" w:rsidRPr="00BA4E53" w:rsidRDefault="00614656" w:rsidP="00514175">
      <w:pPr>
        <w:pStyle w:val="ListParagraph"/>
        <w:ind w:left="567" w:hanging="567"/>
        <w:jc w:val="both"/>
      </w:pPr>
      <w:r w:rsidRPr="00BA4E53">
        <w:t>The minimum termination value may be reduced by the fixed dollar amount prescribed in Attachment 1 - Part I.</w:t>
      </w:r>
    </w:p>
    <w:p w14:paraId="4A21B50C" w14:textId="77777777" w:rsidR="00BE2EB3" w:rsidRPr="00322B5F" w:rsidRDefault="00BE2EB3" w:rsidP="00514175">
      <w:pPr>
        <w:keepNext/>
        <w:spacing w:after="240"/>
        <w:jc w:val="both"/>
        <w:rPr>
          <w:rFonts w:ascii="Arial" w:hAnsi="Arial" w:cs="Arial"/>
          <w:b/>
        </w:rPr>
      </w:pPr>
      <w:r w:rsidRPr="00322B5F">
        <w:rPr>
          <w:rFonts w:ascii="Arial" w:hAnsi="Arial" w:cs="Arial"/>
          <w:i/>
        </w:rPr>
        <w:lastRenderedPageBreak/>
        <w:t xml:space="preserve">Immediate </w:t>
      </w:r>
      <w:r w:rsidR="00840F3E" w:rsidRPr="00322B5F">
        <w:rPr>
          <w:rFonts w:ascii="Arial" w:hAnsi="Arial" w:cs="Arial"/>
          <w:i/>
        </w:rPr>
        <w:t>t</w:t>
      </w:r>
      <w:r w:rsidRPr="00322B5F">
        <w:rPr>
          <w:rFonts w:ascii="Arial" w:hAnsi="Arial" w:cs="Arial"/>
          <w:i/>
        </w:rPr>
        <w:t xml:space="preserve">erm </w:t>
      </w:r>
      <w:r w:rsidR="00840F3E" w:rsidRPr="00322B5F">
        <w:rPr>
          <w:rFonts w:ascii="Arial" w:hAnsi="Arial" w:cs="Arial"/>
          <w:i/>
        </w:rPr>
        <w:t>c</w:t>
      </w:r>
      <w:r w:rsidRPr="00322B5F">
        <w:rPr>
          <w:rFonts w:ascii="Arial" w:hAnsi="Arial" w:cs="Arial"/>
          <w:i/>
        </w:rPr>
        <w:t xml:space="preserve">ertain </w:t>
      </w:r>
      <w:r w:rsidR="00840F3E" w:rsidRPr="00322B5F">
        <w:rPr>
          <w:rFonts w:ascii="Arial" w:hAnsi="Arial" w:cs="Arial"/>
          <w:i/>
        </w:rPr>
        <w:t>a</w:t>
      </w:r>
      <w:r w:rsidRPr="00322B5F">
        <w:rPr>
          <w:rFonts w:ascii="Arial" w:hAnsi="Arial" w:cs="Arial"/>
          <w:i/>
        </w:rPr>
        <w:t xml:space="preserve">nnuities and </w:t>
      </w:r>
      <w:r w:rsidR="00840F3E" w:rsidRPr="00322B5F">
        <w:rPr>
          <w:rFonts w:ascii="Arial" w:hAnsi="Arial" w:cs="Arial"/>
          <w:i/>
        </w:rPr>
        <w:t>f</w:t>
      </w:r>
      <w:r w:rsidRPr="00322B5F">
        <w:rPr>
          <w:rFonts w:ascii="Arial" w:hAnsi="Arial" w:cs="Arial"/>
          <w:i/>
        </w:rPr>
        <w:t xml:space="preserve">ixed </w:t>
      </w:r>
      <w:r w:rsidR="00840F3E" w:rsidRPr="00322B5F">
        <w:rPr>
          <w:rFonts w:ascii="Arial" w:hAnsi="Arial" w:cs="Arial"/>
          <w:i/>
        </w:rPr>
        <w:t>t</w:t>
      </w:r>
      <w:r w:rsidRPr="00322B5F">
        <w:rPr>
          <w:rFonts w:ascii="Arial" w:hAnsi="Arial" w:cs="Arial"/>
          <w:i/>
        </w:rPr>
        <w:t>erm/</w:t>
      </w:r>
      <w:r w:rsidR="00840F3E" w:rsidRPr="00322B5F">
        <w:rPr>
          <w:rFonts w:ascii="Arial" w:hAnsi="Arial" w:cs="Arial"/>
          <w:i/>
        </w:rPr>
        <w:t>r</w:t>
      </w:r>
      <w:r w:rsidRPr="00322B5F">
        <w:rPr>
          <w:rFonts w:ascii="Arial" w:hAnsi="Arial" w:cs="Arial"/>
          <w:i/>
        </w:rPr>
        <w:t xml:space="preserve">ate </w:t>
      </w:r>
      <w:r w:rsidR="00840F3E" w:rsidRPr="00322B5F">
        <w:rPr>
          <w:rFonts w:ascii="Arial" w:hAnsi="Arial" w:cs="Arial"/>
          <w:i/>
        </w:rPr>
        <w:t>b</w:t>
      </w:r>
      <w:r w:rsidRPr="00322B5F">
        <w:rPr>
          <w:rFonts w:ascii="Arial" w:hAnsi="Arial" w:cs="Arial"/>
          <w:i/>
        </w:rPr>
        <w:t>usiness</w:t>
      </w:r>
    </w:p>
    <w:p w14:paraId="0A2B62C8" w14:textId="77777777" w:rsidR="00BE2EB3" w:rsidRPr="00BA4E53" w:rsidRDefault="00BE2EB3" w:rsidP="00514175">
      <w:pPr>
        <w:pStyle w:val="ListParagraph"/>
        <w:keepNext/>
        <w:ind w:left="567" w:hanging="567"/>
        <w:jc w:val="both"/>
      </w:pPr>
      <w:bookmarkStart w:id="34" w:name="_Ref320002698"/>
      <w:r w:rsidRPr="00BA4E53">
        <w:t xml:space="preserve">For immediate term certain annuities and </w:t>
      </w:r>
      <w:r w:rsidR="00840F3E" w:rsidRPr="00BA4E53">
        <w:t>f</w:t>
      </w:r>
      <w:r w:rsidRPr="00BA4E53">
        <w:t xml:space="preserve">ixed </w:t>
      </w:r>
      <w:r w:rsidR="00840F3E" w:rsidRPr="00BA4E53">
        <w:t>t</w:t>
      </w:r>
      <w:r w:rsidRPr="00BA4E53">
        <w:t>erm/</w:t>
      </w:r>
      <w:r w:rsidR="00840F3E" w:rsidRPr="00BA4E53">
        <w:t>r</w:t>
      </w:r>
      <w:r w:rsidRPr="00BA4E53">
        <w:t xml:space="preserve">ate </w:t>
      </w:r>
      <w:r w:rsidR="00840F3E" w:rsidRPr="00BA4E53">
        <w:t>b</w:t>
      </w:r>
      <w:r w:rsidRPr="00BA4E53">
        <w:t xml:space="preserve">usiness, the </w:t>
      </w:r>
      <w:r w:rsidR="00840F3E" w:rsidRPr="00BA4E53">
        <w:t>m</w:t>
      </w:r>
      <w:r w:rsidRPr="00BA4E53">
        <w:t xml:space="preserve">inimum </w:t>
      </w:r>
      <w:r w:rsidR="00694949" w:rsidRPr="00BA4E53">
        <w:t>termination</w:t>
      </w:r>
      <w:r w:rsidRPr="00BA4E53">
        <w:t xml:space="preserve"> </w:t>
      </w:r>
      <w:r w:rsidR="00840F3E" w:rsidRPr="00BA4E53">
        <w:t>v</w:t>
      </w:r>
      <w:r w:rsidRPr="00BA4E53">
        <w:t>alue is determined as the value, at the rate</w:t>
      </w:r>
      <w:r w:rsidR="0046128C" w:rsidRPr="00BA4E53">
        <w:t xml:space="preserve"> prescribed in Attachment 1 - Part V</w:t>
      </w:r>
      <w:r w:rsidRPr="00BA4E53">
        <w:t>, of the future guaranteed payments due to the end of the term.</w:t>
      </w:r>
      <w:bookmarkEnd w:id="34"/>
    </w:p>
    <w:p w14:paraId="3D7948D4" w14:textId="77777777" w:rsidR="00BE2EB3" w:rsidRPr="00BA4E53" w:rsidRDefault="00BE2EB3" w:rsidP="00A62372">
      <w:pPr>
        <w:pStyle w:val="ListParagraph"/>
        <w:ind w:left="567" w:hanging="567"/>
        <w:jc w:val="both"/>
      </w:pPr>
      <w:bookmarkStart w:id="35" w:name="_Ref320002705"/>
      <w:r w:rsidRPr="00BA4E53">
        <w:t xml:space="preserve">For </w:t>
      </w:r>
      <w:r w:rsidR="00840F3E" w:rsidRPr="00BA4E53">
        <w:t>f</w:t>
      </w:r>
      <w:r w:rsidRPr="00BA4E53">
        <w:t xml:space="preserve">ixed </w:t>
      </w:r>
      <w:r w:rsidR="00840F3E" w:rsidRPr="00BA4E53">
        <w:t>t</w:t>
      </w:r>
      <w:r w:rsidRPr="00BA4E53">
        <w:t>erm/</w:t>
      </w:r>
      <w:r w:rsidR="00840F3E" w:rsidRPr="00BA4E53">
        <w:t>r</w:t>
      </w:r>
      <w:r w:rsidRPr="00BA4E53">
        <w:t xml:space="preserve">ate </w:t>
      </w:r>
      <w:r w:rsidR="00840F3E" w:rsidRPr="00BA4E53">
        <w:t>b</w:t>
      </w:r>
      <w:r w:rsidRPr="00BA4E53">
        <w:t>usiness the term is that for which the fixed rate is applicable (or current fixed rate, if subject to a roll over mechanism).</w:t>
      </w:r>
      <w:bookmarkEnd w:id="35"/>
    </w:p>
    <w:p w14:paraId="70EBD35D" w14:textId="77777777" w:rsidR="007A1C5E" w:rsidRPr="00BA4E53" w:rsidRDefault="00BE2EB3" w:rsidP="00A62372">
      <w:pPr>
        <w:pStyle w:val="ListParagraph"/>
        <w:ind w:left="567" w:hanging="567"/>
        <w:jc w:val="both"/>
      </w:pPr>
      <w:r w:rsidRPr="00BA4E53">
        <w:t xml:space="preserve">The </w:t>
      </w:r>
      <w:r w:rsidR="00614656" w:rsidRPr="00BA4E53">
        <w:t xml:space="preserve">minimum termination </w:t>
      </w:r>
      <w:r w:rsidRPr="00BA4E53">
        <w:t xml:space="preserve">value </w:t>
      </w:r>
      <w:r w:rsidR="00840F3E" w:rsidRPr="00BA4E53">
        <w:t xml:space="preserve">may be </w:t>
      </w:r>
      <w:r w:rsidRPr="00BA4E53">
        <w:t xml:space="preserve">reduced by </w:t>
      </w:r>
      <w:r w:rsidR="0046128C" w:rsidRPr="00BA4E53">
        <w:t>the</w:t>
      </w:r>
      <w:r w:rsidRPr="00BA4E53">
        <w:t xml:space="preserve"> fixed dollar amount </w:t>
      </w:r>
      <w:r w:rsidR="0046128C" w:rsidRPr="00BA4E53">
        <w:t>prescribed in Attachment 1 - Part I</w:t>
      </w:r>
      <w:r w:rsidRPr="00BA4E53">
        <w:t>.</w:t>
      </w:r>
      <w:r w:rsidR="007A1C5E" w:rsidRPr="00BA4E53">
        <w:t xml:space="preserve"> </w:t>
      </w:r>
    </w:p>
    <w:p w14:paraId="22189BA3" w14:textId="77777777" w:rsidR="00931660" w:rsidRPr="0095272A" w:rsidRDefault="00AF50B9" w:rsidP="00A62372">
      <w:pPr>
        <w:pStyle w:val="Heading3"/>
        <w:jc w:val="both"/>
        <w:rPr>
          <w:sz w:val="28"/>
        </w:rPr>
      </w:pPr>
      <w:bookmarkStart w:id="36" w:name="_Ref324930250"/>
      <w:bookmarkStart w:id="37" w:name="_Toc334445576"/>
      <w:r w:rsidRPr="0095272A">
        <w:rPr>
          <w:sz w:val="28"/>
        </w:rPr>
        <w:t xml:space="preserve">Part C - </w:t>
      </w:r>
      <w:r w:rsidR="00931660" w:rsidRPr="0095272A">
        <w:rPr>
          <w:sz w:val="28"/>
        </w:rPr>
        <w:t>Minimum surrender values</w:t>
      </w:r>
      <w:bookmarkEnd w:id="36"/>
      <w:bookmarkEnd w:id="37"/>
    </w:p>
    <w:p w14:paraId="251771A4" w14:textId="77777777" w:rsidR="00931660" w:rsidRPr="00BA4E53" w:rsidRDefault="00931660" w:rsidP="00A62372">
      <w:pPr>
        <w:pStyle w:val="ListParagraph"/>
        <w:ind w:left="567" w:hanging="567"/>
        <w:jc w:val="both"/>
      </w:pPr>
      <w:r w:rsidRPr="00BA4E53">
        <w:t xml:space="preserve">The minimum surrender value is the lowest value that must be paid to a policy owner if the policy owner requests the company to surrender the policy. The </w:t>
      </w:r>
      <w:r w:rsidR="00D85F3E" w:rsidRPr="00BA4E53">
        <w:t xml:space="preserve">life </w:t>
      </w:r>
      <w:r w:rsidRPr="00BA4E53">
        <w:t>company may be obliged to pay a higher surrender value according to</w:t>
      </w:r>
      <w:r w:rsidRPr="00BA4E53">
        <w:rPr>
          <w:szCs w:val="24"/>
        </w:rPr>
        <w:t xml:space="preserve"> the policy documentation and the promotional material for the policy</w:t>
      </w:r>
      <w:r w:rsidRPr="00BA4E53">
        <w:t>.</w:t>
      </w:r>
    </w:p>
    <w:p w14:paraId="0F6F679D" w14:textId="77777777" w:rsidR="00C0363D" w:rsidRPr="00322B5F" w:rsidRDefault="00C0363D" w:rsidP="00CB4124">
      <w:pPr>
        <w:pStyle w:val="Heading3"/>
      </w:pPr>
      <w:bookmarkStart w:id="38" w:name="_Toc334445577"/>
      <w:r w:rsidRPr="00322B5F">
        <w:t>Friendly societies</w:t>
      </w:r>
      <w:bookmarkEnd w:id="38"/>
    </w:p>
    <w:p w14:paraId="3FE6AD01" w14:textId="77777777" w:rsidR="00C0363D" w:rsidRPr="00BA4E53" w:rsidRDefault="00C0363D" w:rsidP="00A62372">
      <w:pPr>
        <w:pStyle w:val="ListParagraph"/>
        <w:ind w:left="567" w:hanging="567"/>
        <w:jc w:val="both"/>
      </w:pPr>
      <w:r w:rsidRPr="00BA4E53">
        <w:t>There is no minimum surrender value for policies issued by friendly societies.</w:t>
      </w:r>
    </w:p>
    <w:p w14:paraId="0F87D755" w14:textId="77777777" w:rsidR="00C0363D" w:rsidRPr="00322B5F" w:rsidRDefault="00C0363D" w:rsidP="00CB4124">
      <w:pPr>
        <w:pStyle w:val="Heading3"/>
      </w:pPr>
      <w:bookmarkStart w:id="39" w:name="_Toc334445578"/>
      <w:r w:rsidRPr="00322B5F">
        <w:t>Life companies other than friendly societies</w:t>
      </w:r>
      <w:bookmarkEnd w:id="39"/>
    </w:p>
    <w:p w14:paraId="695C94CB" w14:textId="77777777" w:rsidR="00931660" w:rsidRPr="00BA4E53" w:rsidRDefault="00931660" w:rsidP="00A62372">
      <w:pPr>
        <w:pStyle w:val="ListParagraph"/>
        <w:ind w:left="567" w:hanging="567"/>
        <w:jc w:val="both"/>
      </w:pPr>
      <w:bookmarkStart w:id="40" w:name="_Ref325441920"/>
      <w:r w:rsidRPr="00BA4E53">
        <w:t>There is no minimum surrender value for the following types of business:</w:t>
      </w:r>
      <w:bookmarkEnd w:id="40"/>
    </w:p>
    <w:p w14:paraId="1FC52370" w14:textId="77777777" w:rsidR="00931660" w:rsidRPr="00BA4E53" w:rsidRDefault="00931660" w:rsidP="00A62372">
      <w:pPr>
        <w:pStyle w:val="ListParagraph"/>
        <w:numPr>
          <w:ilvl w:val="0"/>
          <w:numId w:val="6"/>
        </w:numPr>
        <w:ind w:left="1134" w:hanging="567"/>
        <w:jc w:val="both"/>
      </w:pPr>
      <w:r w:rsidRPr="00BA4E53">
        <w:t>policies for which:</w:t>
      </w:r>
    </w:p>
    <w:p w14:paraId="68ED448B" w14:textId="77777777" w:rsidR="00931660" w:rsidRPr="00BA4E53" w:rsidRDefault="00931660" w:rsidP="00EA657E">
      <w:pPr>
        <w:pStyle w:val="ListParagraph"/>
        <w:numPr>
          <w:ilvl w:val="0"/>
          <w:numId w:val="29"/>
        </w:numPr>
        <w:tabs>
          <w:tab w:val="left" w:pos="1701"/>
        </w:tabs>
        <w:ind w:left="1701" w:hanging="567"/>
        <w:jc w:val="both"/>
      </w:pPr>
      <w:r w:rsidRPr="00BA4E53">
        <w:t xml:space="preserve">the date of issue was prior to 1 July 1995; </w:t>
      </w:r>
    </w:p>
    <w:p w14:paraId="716B85EC" w14:textId="77777777" w:rsidR="00931660" w:rsidRPr="00BA4E53" w:rsidRDefault="00931660" w:rsidP="00EA657E">
      <w:pPr>
        <w:pStyle w:val="ListParagraph"/>
        <w:numPr>
          <w:ilvl w:val="0"/>
          <w:numId w:val="29"/>
        </w:numPr>
        <w:tabs>
          <w:tab w:val="left" w:pos="1701"/>
        </w:tabs>
        <w:ind w:left="1701" w:hanging="567"/>
        <w:jc w:val="both"/>
      </w:pPr>
      <w:r w:rsidRPr="00BA4E53">
        <w:t>no regulated minimum surrender value applied to the policy at the date of issue; and</w:t>
      </w:r>
    </w:p>
    <w:p w14:paraId="44FDB17C" w14:textId="77777777" w:rsidR="00931660" w:rsidRPr="00BA4E53" w:rsidRDefault="00931660" w:rsidP="00EA657E">
      <w:pPr>
        <w:pStyle w:val="ListParagraph"/>
        <w:numPr>
          <w:ilvl w:val="0"/>
          <w:numId w:val="29"/>
        </w:numPr>
        <w:tabs>
          <w:tab w:val="left" w:pos="1701"/>
        </w:tabs>
        <w:ind w:left="1701" w:hanging="567"/>
        <w:jc w:val="both"/>
      </w:pPr>
      <w:r w:rsidRPr="00BA4E53">
        <w:t>the policy documentation and promotional material clearly discloses the non</w:t>
      </w:r>
      <w:r w:rsidR="00E34EB0">
        <w:t>-</w:t>
      </w:r>
      <w:r w:rsidRPr="00BA4E53">
        <w:t>availability of a surrender entitlement.</w:t>
      </w:r>
    </w:p>
    <w:p w14:paraId="538EBA89" w14:textId="77777777" w:rsidR="00931660" w:rsidRPr="00BA4E53" w:rsidRDefault="00931660" w:rsidP="00A62372">
      <w:pPr>
        <w:pStyle w:val="ListParagraph"/>
        <w:numPr>
          <w:ilvl w:val="0"/>
          <w:numId w:val="6"/>
        </w:numPr>
        <w:ind w:left="1134" w:hanging="567"/>
        <w:jc w:val="both"/>
      </w:pPr>
      <w:r w:rsidRPr="00BA4E53">
        <w:t>regular premium business in force for less than three years;</w:t>
      </w:r>
    </w:p>
    <w:p w14:paraId="25970777" w14:textId="77777777" w:rsidR="00931660" w:rsidRPr="00BA4E53" w:rsidRDefault="00931660" w:rsidP="00A62372">
      <w:pPr>
        <w:pStyle w:val="ListParagraph"/>
        <w:numPr>
          <w:ilvl w:val="0"/>
          <w:numId w:val="6"/>
        </w:numPr>
        <w:ind w:left="1134" w:hanging="567"/>
        <w:jc w:val="both"/>
      </w:pPr>
      <w:r w:rsidRPr="00BA4E53">
        <w:t>overseas business;</w:t>
      </w:r>
    </w:p>
    <w:p w14:paraId="2E063713" w14:textId="77777777" w:rsidR="00931660" w:rsidRPr="00BA4E53" w:rsidRDefault="00931660" w:rsidP="00A62372">
      <w:pPr>
        <w:pStyle w:val="ListParagraph"/>
        <w:numPr>
          <w:ilvl w:val="0"/>
          <w:numId w:val="6"/>
        </w:numPr>
        <w:ind w:left="1134" w:hanging="567"/>
        <w:jc w:val="both"/>
      </w:pPr>
      <w:r w:rsidRPr="00BA4E53">
        <w:rPr>
          <w:b/>
        </w:rPr>
        <w:t>wholesale business</w:t>
      </w:r>
      <w:r w:rsidRPr="00BA4E53">
        <w:t>; and</w:t>
      </w:r>
    </w:p>
    <w:p w14:paraId="3F7B9B62" w14:textId="77777777" w:rsidR="00931660" w:rsidRPr="00BA4E53" w:rsidRDefault="00931660" w:rsidP="00A62372">
      <w:pPr>
        <w:pStyle w:val="ListParagraph"/>
        <w:numPr>
          <w:ilvl w:val="0"/>
          <w:numId w:val="6"/>
        </w:numPr>
        <w:ind w:left="1134" w:hanging="567"/>
        <w:jc w:val="both"/>
      </w:pPr>
      <w:r w:rsidRPr="00BA4E53">
        <w:rPr>
          <w:b/>
        </w:rPr>
        <w:t xml:space="preserve">reinsurance </w:t>
      </w:r>
      <w:r w:rsidRPr="0096525A">
        <w:t>business</w:t>
      </w:r>
      <w:r w:rsidRPr="00BA4E53">
        <w:t>.</w:t>
      </w:r>
    </w:p>
    <w:p w14:paraId="0404E362" w14:textId="77777777" w:rsidR="00931660" w:rsidRPr="00BA4E53" w:rsidRDefault="00931660" w:rsidP="00A62372">
      <w:pPr>
        <w:pStyle w:val="ListParagraph"/>
        <w:ind w:left="567" w:hanging="567"/>
        <w:jc w:val="both"/>
      </w:pPr>
      <w:r w:rsidRPr="00BA4E53">
        <w:t>For policies that are not listed in paragraph</w:t>
      </w:r>
      <w:r w:rsidR="001812D7" w:rsidRPr="00BA4E53">
        <w:t xml:space="preserve"> </w:t>
      </w:r>
      <w:r w:rsidR="009A001F">
        <w:fldChar w:fldCharType="begin"/>
      </w:r>
      <w:r w:rsidR="008D4DF5">
        <w:instrText xml:space="preserve"> REF _Ref325441920 \r \h </w:instrText>
      </w:r>
      <w:r w:rsidR="009A001F">
        <w:fldChar w:fldCharType="separate"/>
      </w:r>
      <w:r w:rsidR="00756D31">
        <w:t>40</w:t>
      </w:r>
      <w:r w:rsidR="009A001F">
        <w:fldChar w:fldCharType="end"/>
      </w:r>
      <w:r w:rsidRPr="00BA4E53">
        <w:t xml:space="preserve">, the minimum surrender value is the minimum termination value. </w:t>
      </w:r>
    </w:p>
    <w:p w14:paraId="4A93E5D7" w14:textId="77777777" w:rsidR="00931660" w:rsidRPr="00BA4E53" w:rsidRDefault="00931660" w:rsidP="00A62372">
      <w:pPr>
        <w:pStyle w:val="ListParagraph"/>
        <w:ind w:left="567" w:hanging="567"/>
        <w:jc w:val="both"/>
      </w:pPr>
      <w:r w:rsidRPr="00BA4E53">
        <w:t xml:space="preserve">The life company must be able to demonstrate that the amount paid to each policy owner who surrenders </w:t>
      </w:r>
      <w:r w:rsidR="001812D7" w:rsidRPr="00BA4E53">
        <w:t>a</w:t>
      </w:r>
      <w:r w:rsidRPr="00BA4E53">
        <w:t xml:space="preserve"> policy is not less than the minimum surrender </w:t>
      </w:r>
      <w:r w:rsidRPr="00BA4E53">
        <w:lastRenderedPageBreak/>
        <w:t>value</w:t>
      </w:r>
      <w:r w:rsidR="001812D7" w:rsidRPr="00BA4E53">
        <w:t xml:space="preserve"> of the policy, less the amount of any debt owed to the company under, or secured by, the policy</w:t>
      </w:r>
      <w:r w:rsidRPr="00BA4E53">
        <w:t>.</w:t>
      </w:r>
    </w:p>
    <w:p w14:paraId="26E54EA3" w14:textId="77777777" w:rsidR="00E55722" w:rsidRPr="0095272A" w:rsidRDefault="003D6E62" w:rsidP="00A62372">
      <w:pPr>
        <w:pStyle w:val="Heading3"/>
        <w:jc w:val="both"/>
        <w:rPr>
          <w:sz w:val="28"/>
        </w:rPr>
      </w:pPr>
      <w:bookmarkStart w:id="41" w:name="_Ref324930268"/>
      <w:bookmarkStart w:id="42" w:name="_Toc334445579"/>
      <w:r w:rsidRPr="0095272A">
        <w:rPr>
          <w:sz w:val="28"/>
        </w:rPr>
        <w:t xml:space="preserve">Part D - </w:t>
      </w:r>
      <w:r w:rsidR="00E55722" w:rsidRPr="0095272A">
        <w:rPr>
          <w:sz w:val="28"/>
        </w:rPr>
        <w:t>Minimum paid-up values</w:t>
      </w:r>
      <w:bookmarkEnd w:id="41"/>
      <w:bookmarkEnd w:id="42"/>
    </w:p>
    <w:p w14:paraId="46067B69" w14:textId="77777777" w:rsidR="00235565" w:rsidRDefault="00235565" w:rsidP="00235565">
      <w:pPr>
        <w:pStyle w:val="ListParagraph"/>
        <w:ind w:left="567" w:hanging="567"/>
      </w:pPr>
      <w:bookmarkStart w:id="43" w:name="_Toc334445580"/>
      <w:r>
        <w:t>The minimum paid-up value is zero for a policy with no</w:t>
      </w:r>
      <w:r w:rsidR="00BE3358">
        <w:t xml:space="preserve"> (or zero)</w:t>
      </w:r>
      <w:r>
        <w:t xml:space="preserve"> minimum surrender value.</w:t>
      </w:r>
    </w:p>
    <w:p w14:paraId="01B94DD4" w14:textId="77777777" w:rsidR="000F2411" w:rsidRPr="00322B5F" w:rsidRDefault="000F2411" w:rsidP="00CB4124">
      <w:pPr>
        <w:pStyle w:val="Heading3"/>
      </w:pPr>
      <w:r w:rsidRPr="00322B5F">
        <w:t>Friendly societies</w:t>
      </w:r>
      <w:bookmarkEnd w:id="43"/>
    </w:p>
    <w:p w14:paraId="3CEB79F5" w14:textId="77777777" w:rsidR="00E55722" w:rsidRPr="00BA4E53" w:rsidRDefault="00C166F6" w:rsidP="00A62372">
      <w:pPr>
        <w:pStyle w:val="ListParagraph"/>
        <w:ind w:left="567" w:hanging="567"/>
        <w:jc w:val="both"/>
      </w:pPr>
      <w:r w:rsidRPr="00BA4E53">
        <w:t>For a</w:t>
      </w:r>
      <w:r w:rsidR="00E55722" w:rsidRPr="00BA4E53">
        <w:t xml:space="preserve"> </w:t>
      </w:r>
      <w:r w:rsidRPr="00BA4E53">
        <w:t xml:space="preserve">policy issued by </w:t>
      </w:r>
      <w:r w:rsidR="00E55722" w:rsidRPr="00BA4E53">
        <w:t xml:space="preserve">a friendly society, the minimum paid-up value </w:t>
      </w:r>
      <w:r w:rsidRPr="00BA4E53">
        <w:t>is zero</w:t>
      </w:r>
      <w:r w:rsidR="00E55722" w:rsidRPr="00BA4E53">
        <w:t>.</w:t>
      </w:r>
    </w:p>
    <w:p w14:paraId="30B291D6" w14:textId="77777777" w:rsidR="006C0971" w:rsidRPr="00322B5F" w:rsidRDefault="006C0971" w:rsidP="00CB4124">
      <w:pPr>
        <w:pStyle w:val="Heading3"/>
      </w:pPr>
      <w:bookmarkStart w:id="44" w:name="_Toc334445581"/>
      <w:r w:rsidRPr="00322B5F">
        <w:t>Life companies other than friendly societies</w:t>
      </w:r>
      <w:bookmarkEnd w:id="44"/>
    </w:p>
    <w:p w14:paraId="4D918373" w14:textId="77777777" w:rsidR="009E5902" w:rsidRPr="00BA4E53" w:rsidRDefault="009E5902" w:rsidP="00A62372">
      <w:pPr>
        <w:pStyle w:val="ListParagraph"/>
        <w:ind w:left="567" w:hanging="567"/>
        <w:jc w:val="both"/>
      </w:pPr>
      <w:r w:rsidRPr="00BA4E53">
        <w:t>Where there is a debt secured by a policy, in determining the minimum paid-up value the life company may either:</w:t>
      </w:r>
    </w:p>
    <w:p w14:paraId="626CC245" w14:textId="77777777" w:rsidR="009E5902" w:rsidRPr="00BA4E53" w:rsidRDefault="009E5902" w:rsidP="00EA657E">
      <w:pPr>
        <w:pStyle w:val="ListParagraph"/>
        <w:numPr>
          <w:ilvl w:val="0"/>
          <w:numId w:val="13"/>
        </w:numPr>
        <w:ind w:left="1134" w:hanging="567"/>
        <w:jc w:val="both"/>
      </w:pPr>
      <w:r w:rsidRPr="00BA4E53">
        <w:t>retain the debt, secured against the paid-up value of that policy; or</w:t>
      </w:r>
    </w:p>
    <w:p w14:paraId="0165B5B3" w14:textId="77777777" w:rsidR="009E5902" w:rsidRPr="00BA4E53" w:rsidRDefault="009E5902" w:rsidP="00EA657E">
      <w:pPr>
        <w:pStyle w:val="ListParagraph"/>
        <w:numPr>
          <w:ilvl w:val="0"/>
          <w:numId w:val="13"/>
        </w:numPr>
        <w:ind w:left="1134" w:hanging="567"/>
        <w:jc w:val="both"/>
      </w:pPr>
      <w:r w:rsidRPr="00BA4E53">
        <w:t>extinguish the debt, reducing the amount of the paid-up value of that policy accordingly.</w:t>
      </w:r>
    </w:p>
    <w:p w14:paraId="35F84555" w14:textId="77777777" w:rsidR="00E55722" w:rsidRPr="00322B5F" w:rsidRDefault="00E55722" w:rsidP="00CB4124">
      <w:pPr>
        <w:pStyle w:val="Heading3"/>
      </w:pPr>
      <w:bookmarkStart w:id="45" w:name="_Toc334445582"/>
      <w:r w:rsidRPr="00322B5F">
        <w:t xml:space="preserve">Traditional </w:t>
      </w:r>
      <w:r w:rsidR="000E23BF" w:rsidRPr="00322B5F">
        <w:t>b</w:t>
      </w:r>
      <w:r w:rsidRPr="00322B5F">
        <w:t>usiness</w:t>
      </w:r>
      <w:r w:rsidR="00C0363D" w:rsidRPr="00322B5F">
        <w:t xml:space="preserve"> and</w:t>
      </w:r>
      <w:r w:rsidR="001E423F" w:rsidRPr="00322B5F">
        <w:t xml:space="preserve"> long term risk business</w:t>
      </w:r>
      <w:r w:rsidR="00693157" w:rsidRPr="00322B5F">
        <w:t xml:space="preserve"> </w:t>
      </w:r>
      <w:r w:rsidR="008A2E81" w:rsidRPr="00322B5F">
        <w:t>of life companies other than friendly societies</w:t>
      </w:r>
      <w:bookmarkEnd w:id="45"/>
    </w:p>
    <w:p w14:paraId="1088954A" w14:textId="77777777" w:rsidR="00E55722" w:rsidRPr="00BA4E53" w:rsidRDefault="00E55722" w:rsidP="00A62372">
      <w:pPr>
        <w:pStyle w:val="ListParagraph"/>
        <w:ind w:left="567" w:hanging="567"/>
        <w:jc w:val="both"/>
      </w:pPr>
      <w:r w:rsidRPr="00BA4E53">
        <w:t xml:space="preserve">For regular premium </w:t>
      </w:r>
      <w:r w:rsidR="000E23BF" w:rsidRPr="00BA4E53">
        <w:t>t</w:t>
      </w:r>
      <w:r w:rsidRPr="00BA4E53">
        <w:t xml:space="preserve">raditional </w:t>
      </w:r>
      <w:r w:rsidR="000E23BF" w:rsidRPr="00BA4E53">
        <w:t>b</w:t>
      </w:r>
      <w:r w:rsidRPr="00BA4E53">
        <w:t xml:space="preserve">usiness </w:t>
      </w:r>
      <w:r w:rsidR="00B225C8" w:rsidRPr="00BA4E53">
        <w:t xml:space="preserve">and </w:t>
      </w:r>
      <w:r w:rsidR="00424820" w:rsidRPr="00BA4E53">
        <w:t>long term risk</w:t>
      </w:r>
      <w:r w:rsidR="00B225C8" w:rsidRPr="00BA4E53">
        <w:t xml:space="preserve"> business </w:t>
      </w:r>
      <w:r w:rsidRPr="00BA4E53">
        <w:t xml:space="preserve">the </w:t>
      </w:r>
      <w:r w:rsidR="000E23BF" w:rsidRPr="00BA4E53">
        <w:t>m</w:t>
      </w:r>
      <w:r w:rsidRPr="00BA4E53">
        <w:t xml:space="preserve">inimum </w:t>
      </w:r>
      <w:r w:rsidR="000E23BF" w:rsidRPr="00BA4E53">
        <w:t>p</w:t>
      </w:r>
      <w:r w:rsidRPr="00BA4E53">
        <w:t xml:space="preserve">aid-up </w:t>
      </w:r>
      <w:r w:rsidR="000E23BF" w:rsidRPr="00BA4E53">
        <w:t>v</w:t>
      </w:r>
      <w:r w:rsidRPr="00BA4E53">
        <w:t>alue is determined as at the date immediately preceding the due date of the first regular premium which is unpaid or not advanced in accordance with non</w:t>
      </w:r>
      <w:r w:rsidR="00CB4124">
        <w:t>-</w:t>
      </w:r>
      <w:r w:rsidRPr="00BA4E53">
        <w:t>forfeiture provisions.</w:t>
      </w:r>
    </w:p>
    <w:p w14:paraId="62D3FACB" w14:textId="77777777" w:rsidR="00424820" w:rsidRPr="00BA4E53" w:rsidRDefault="00E55722" w:rsidP="00A62372">
      <w:pPr>
        <w:pStyle w:val="ListParagraph"/>
        <w:ind w:left="567" w:hanging="567"/>
        <w:jc w:val="both"/>
      </w:pPr>
      <w:r w:rsidRPr="00BA4E53">
        <w:t xml:space="preserve">The amount of the </w:t>
      </w:r>
      <w:r w:rsidR="000E23BF" w:rsidRPr="00BA4E53">
        <w:t>m</w:t>
      </w:r>
      <w:r w:rsidRPr="00BA4E53">
        <w:t xml:space="preserve">inimum </w:t>
      </w:r>
      <w:r w:rsidR="000E23BF" w:rsidRPr="00BA4E53">
        <w:t>p</w:t>
      </w:r>
      <w:r w:rsidRPr="00BA4E53">
        <w:t xml:space="preserve">aid-up </w:t>
      </w:r>
      <w:r w:rsidR="000E23BF" w:rsidRPr="00BA4E53">
        <w:t>v</w:t>
      </w:r>
      <w:r w:rsidRPr="00BA4E53">
        <w:t xml:space="preserve">alue </w:t>
      </w:r>
      <w:r w:rsidR="00424820" w:rsidRPr="00BA4E53">
        <w:t xml:space="preserve">must be </w:t>
      </w:r>
      <w:r w:rsidRPr="00BA4E53">
        <w:t xml:space="preserve">determined </w:t>
      </w:r>
      <w:r w:rsidR="00424820" w:rsidRPr="00BA4E53">
        <w:t>either:</w:t>
      </w:r>
    </w:p>
    <w:p w14:paraId="79491F73" w14:textId="77777777" w:rsidR="00424820" w:rsidRPr="00BA4E53" w:rsidRDefault="00424820" w:rsidP="00A62372">
      <w:pPr>
        <w:pStyle w:val="ListParagraph"/>
        <w:numPr>
          <w:ilvl w:val="1"/>
          <w:numId w:val="3"/>
        </w:numPr>
        <w:ind w:left="1134" w:hanging="567"/>
        <w:jc w:val="both"/>
      </w:pPr>
      <w:r w:rsidRPr="00BA4E53">
        <w:t>using</w:t>
      </w:r>
      <w:r w:rsidR="003B3310" w:rsidRPr="00BA4E53">
        <w:t xml:space="preserve"> the method</w:t>
      </w:r>
      <w:r w:rsidR="00E55722" w:rsidRPr="00BA4E53">
        <w:t xml:space="preserve"> set out in Attachment 2</w:t>
      </w:r>
      <w:r w:rsidRPr="00BA4E53">
        <w:t xml:space="preserve"> </w:t>
      </w:r>
      <w:r w:rsidR="00E55722" w:rsidRPr="00BA4E53">
        <w:t>-</w:t>
      </w:r>
      <w:r w:rsidRPr="00BA4E53">
        <w:t xml:space="preserve"> </w:t>
      </w:r>
      <w:r w:rsidR="00E55722" w:rsidRPr="00BA4E53">
        <w:t>Part I</w:t>
      </w:r>
      <w:r w:rsidRPr="00BA4E53">
        <w:t>, with prescribed parameters as set out in Attachment 1 - Part III;</w:t>
      </w:r>
      <w:r w:rsidR="00E55722" w:rsidRPr="00BA4E53">
        <w:t xml:space="preserve"> </w:t>
      </w:r>
      <w:r w:rsidR="003B3310" w:rsidRPr="00BA4E53">
        <w:t>or</w:t>
      </w:r>
    </w:p>
    <w:p w14:paraId="05487997" w14:textId="77777777" w:rsidR="001A6159" w:rsidRPr="00BA4E53" w:rsidRDefault="00424820" w:rsidP="00A62372">
      <w:pPr>
        <w:pStyle w:val="ListParagraph"/>
        <w:numPr>
          <w:ilvl w:val="1"/>
          <w:numId w:val="3"/>
        </w:numPr>
        <w:ind w:left="1134" w:hanging="567"/>
        <w:jc w:val="both"/>
      </w:pPr>
      <w:r w:rsidRPr="00BA4E53">
        <w:t xml:space="preserve">using the method set out in Attachment 2 - </w:t>
      </w:r>
      <w:r w:rsidR="00E55722" w:rsidRPr="00BA4E53">
        <w:t xml:space="preserve">Part II, </w:t>
      </w:r>
      <w:r w:rsidRPr="00BA4E53">
        <w:t xml:space="preserve">with prescribed </w:t>
      </w:r>
      <w:r w:rsidR="00E55722" w:rsidRPr="00BA4E53">
        <w:t>parameters as set out in Attachment 1</w:t>
      </w:r>
      <w:r w:rsidR="001A6159" w:rsidRPr="00BA4E53">
        <w:t xml:space="preserve"> </w:t>
      </w:r>
      <w:r w:rsidR="00E55722" w:rsidRPr="00BA4E53">
        <w:t>- Part IV.</w:t>
      </w:r>
    </w:p>
    <w:p w14:paraId="486D3E3E" w14:textId="77777777" w:rsidR="00365DF1" w:rsidRPr="00BA4E53" w:rsidRDefault="00163448" w:rsidP="00A62372">
      <w:pPr>
        <w:pStyle w:val="ListParagraph"/>
        <w:ind w:left="567" w:hanging="567"/>
        <w:jc w:val="both"/>
        <w:rPr>
          <w:szCs w:val="24"/>
        </w:rPr>
      </w:pPr>
      <w:r w:rsidRPr="00BA4E53">
        <w:t>T</w:t>
      </w:r>
      <w:r w:rsidR="00E55722" w:rsidRPr="00BA4E53">
        <w:t xml:space="preserve">he </w:t>
      </w:r>
      <w:r w:rsidR="001A6159" w:rsidRPr="00BA4E53">
        <w:t xml:space="preserve">method </w:t>
      </w:r>
      <w:r w:rsidR="00E55722" w:rsidRPr="00BA4E53">
        <w:t xml:space="preserve">adopted </w:t>
      </w:r>
      <w:r w:rsidR="003B3310" w:rsidRPr="00BA4E53">
        <w:t xml:space="preserve">(i.e. Part I or Part II) </w:t>
      </w:r>
      <w:r w:rsidR="006530AB" w:rsidRPr="00BA4E53">
        <w:t xml:space="preserve">must </w:t>
      </w:r>
      <w:r w:rsidR="001A6159" w:rsidRPr="00BA4E53">
        <w:t>be consistent with</w:t>
      </w:r>
      <w:r w:rsidR="00E55722" w:rsidRPr="00BA4E53">
        <w:t xml:space="preserve"> that used for the determination of the </w:t>
      </w:r>
      <w:r w:rsidR="000E23BF" w:rsidRPr="00BA4E53">
        <w:t>m</w:t>
      </w:r>
      <w:r w:rsidR="00E55722" w:rsidRPr="00BA4E53">
        <w:t xml:space="preserve">inimum </w:t>
      </w:r>
      <w:r w:rsidR="00694949" w:rsidRPr="00BA4E53">
        <w:t>termination</w:t>
      </w:r>
      <w:r w:rsidR="00E55722" w:rsidRPr="00BA4E53">
        <w:t xml:space="preserve"> </w:t>
      </w:r>
      <w:r w:rsidR="000E23BF" w:rsidRPr="00BA4E53">
        <w:t>v</w:t>
      </w:r>
      <w:r w:rsidR="00E55722" w:rsidRPr="00BA4E53">
        <w:t>alue.</w:t>
      </w:r>
    </w:p>
    <w:p w14:paraId="21F9A6B1" w14:textId="77777777" w:rsidR="00E55722" w:rsidRPr="00322B5F" w:rsidRDefault="00E55722" w:rsidP="00CB4124">
      <w:pPr>
        <w:pStyle w:val="Heading3"/>
      </w:pPr>
      <w:bookmarkStart w:id="46" w:name="_Toc334445583"/>
      <w:r w:rsidRPr="00322B5F">
        <w:t xml:space="preserve">Unbundled </w:t>
      </w:r>
      <w:r w:rsidR="000E23BF" w:rsidRPr="00322B5F">
        <w:t>i</w:t>
      </w:r>
      <w:r w:rsidRPr="00322B5F">
        <w:t xml:space="preserve">nvestment </w:t>
      </w:r>
      <w:r w:rsidR="000E23BF" w:rsidRPr="00322B5F">
        <w:t>b</w:t>
      </w:r>
      <w:r w:rsidRPr="00322B5F">
        <w:t>usiness</w:t>
      </w:r>
      <w:r w:rsidR="008A2E81" w:rsidRPr="00322B5F">
        <w:t xml:space="preserve"> of life companies other than friendly societies</w:t>
      </w:r>
      <w:bookmarkEnd w:id="46"/>
    </w:p>
    <w:p w14:paraId="017CA9CC" w14:textId="77777777" w:rsidR="00E55722" w:rsidRPr="00BA4E53" w:rsidRDefault="00E55722" w:rsidP="00A62372">
      <w:pPr>
        <w:pStyle w:val="ListParagraph"/>
        <w:ind w:left="567" w:hanging="567"/>
        <w:jc w:val="both"/>
      </w:pPr>
      <w:r w:rsidRPr="00BA4E53">
        <w:t xml:space="preserve">For regular premium </w:t>
      </w:r>
      <w:r w:rsidR="000E23BF" w:rsidRPr="00BA4E53">
        <w:t>u</w:t>
      </w:r>
      <w:r w:rsidRPr="00BA4E53">
        <w:t xml:space="preserve">nbundled </w:t>
      </w:r>
      <w:r w:rsidR="000E23BF" w:rsidRPr="00BA4E53">
        <w:t>i</w:t>
      </w:r>
      <w:r w:rsidRPr="00BA4E53">
        <w:t xml:space="preserve">nvestment </w:t>
      </w:r>
      <w:r w:rsidR="000E23BF" w:rsidRPr="00BA4E53">
        <w:t>b</w:t>
      </w:r>
      <w:r w:rsidRPr="00BA4E53">
        <w:t xml:space="preserve">usiness the </w:t>
      </w:r>
      <w:r w:rsidR="000E23BF" w:rsidRPr="00BA4E53">
        <w:t>m</w:t>
      </w:r>
      <w:r w:rsidRPr="00BA4E53">
        <w:t xml:space="preserve">inimum </w:t>
      </w:r>
      <w:r w:rsidR="000E23BF" w:rsidRPr="00BA4E53">
        <w:t>p</w:t>
      </w:r>
      <w:r w:rsidRPr="00BA4E53">
        <w:t xml:space="preserve">aid-up </w:t>
      </w:r>
      <w:r w:rsidR="000E23BF" w:rsidRPr="00BA4E53">
        <w:t>v</w:t>
      </w:r>
      <w:r w:rsidRPr="00BA4E53">
        <w:t>alue is determined as at the date of the policy becoming paid-up.</w:t>
      </w:r>
      <w:r w:rsidR="004A45C4">
        <w:t xml:space="preserve"> </w:t>
      </w:r>
      <w:r w:rsidRPr="00BA4E53">
        <w:t xml:space="preserve">At that date the </w:t>
      </w:r>
      <w:r w:rsidR="000E23BF" w:rsidRPr="00BA4E53">
        <w:t>m</w:t>
      </w:r>
      <w:r w:rsidRPr="00BA4E53">
        <w:t xml:space="preserve">inimum </w:t>
      </w:r>
      <w:r w:rsidR="000E23BF" w:rsidRPr="00BA4E53">
        <w:t>p</w:t>
      </w:r>
      <w:r w:rsidRPr="00BA4E53">
        <w:t xml:space="preserve">aid-up </w:t>
      </w:r>
      <w:r w:rsidR="000E23BF" w:rsidRPr="00BA4E53">
        <w:t>v</w:t>
      </w:r>
      <w:r w:rsidRPr="00BA4E53">
        <w:t>alue equals the greater of:</w:t>
      </w:r>
    </w:p>
    <w:p w14:paraId="268AB441" w14:textId="77777777" w:rsidR="00E55722" w:rsidRPr="00BA4E53" w:rsidRDefault="00E55722" w:rsidP="00EA657E">
      <w:pPr>
        <w:pStyle w:val="ListParagraph"/>
        <w:numPr>
          <w:ilvl w:val="0"/>
          <w:numId w:val="12"/>
        </w:numPr>
        <w:ind w:left="1134" w:hanging="567"/>
        <w:jc w:val="both"/>
      </w:pPr>
      <w:r w:rsidRPr="00BA4E53">
        <w:t xml:space="preserve">any contractual minimum paid-up value under the policy; and </w:t>
      </w:r>
    </w:p>
    <w:p w14:paraId="3231DD7C" w14:textId="77777777" w:rsidR="00E55722" w:rsidRPr="00BA4E53" w:rsidRDefault="00E55722" w:rsidP="00EA657E">
      <w:pPr>
        <w:pStyle w:val="ListParagraph"/>
        <w:numPr>
          <w:ilvl w:val="0"/>
          <w:numId w:val="12"/>
        </w:numPr>
        <w:ind w:left="1134" w:hanging="567"/>
        <w:jc w:val="both"/>
      </w:pPr>
      <w:r w:rsidRPr="00BA4E53">
        <w:t xml:space="preserve">the </w:t>
      </w:r>
      <w:r w:rsidR="000E23BF" w:rsidRPr="00BA4E53">
        <w:t>m</w:t>
      </w:r>
      <w:r w:rsidRPr="00BA4E53">
        <w:t xml:space="preserve">inimum </w:t>
      </w:r>
      <w:r w:rsidR="00694949" w:rsidRPr="00BA4E53">
        <w:t>termination</w:t>
      </w:r>
      <w:r w:rsidRPr="00BA4E53">
        <w:t xml:space="preserve"> </w:t>
      </w:r>
      <w:r w:rsidR="000E23BF" w:rsidRPr="00BA4E53">
        <w:t>v</w:t>
      </w:r>
      <w:r w:rsidRPr="00BA4E53">
        <w:t>alue.</w:t>
      </w:r>
    </w:p>
    <w:p w14:paraId="3E0AA20B" w14:textId="77777777" w:rsidR="00E55722" w:rsidRDefault="00E55722" w:rsidP="00A62372">
      <w:pPr>
        <w:pStyle w:val="ListParagraph"/>
        <w:ind w:left="567" w:hanging="567"/>
        <w:jc w:val="both"/>
      </w:pPr>
      <w:r w:rsidRPr="00BA4E53">
        <w:lastRenderedPageBreak/>
        <w:t xml:space="preserve">Subsequent to that date, the </w:t>
      </w:r>
      <w:r w:rsidR="00953944" w:rsidRPr="00BA4E53">
        <w:t>m</w:t>
      </w:r>
      <w:r w:rsidRPr="00BA4E53">
        <w:t xml:space="preserve">inimum </w:t>
      </w:r>
      <w:r w:rsidR="00953944" w:rsidRPr="00BA4E53">
        <w:t>p</w:t>
      </w:r>
      <w:r w:rsidRPr="00BA4E53">
        <w:t xml:space="preserve">aid-up </w:t>
      </w:r>
      <w:r w:rsidR="00953944" w:rsidRPr="00BA4E53">
        <w:t>v</w:t>
      </w:r>
      <w:r w:rsidRPr="00BA4E53">
        <w:t>alue may make app</w:t>
      </w:r>
      <w:r w:rsidR="00953944" w:rsidRPr="00BA4E53">
        <w:t xml:space="preserve">ropriate allowance for ongoing </w:t>
      </w:r>
      <w:r w:rsidRPr="00BA4E53">
        <w:t>charges, investment earnings and other policy transactions.</w:t>
      </w:r>
    </w:p>
    <w:p w14:paraId="38F766D6" w14:textId="77777777" w:rsidR="00C475D1" w:rsidRPr="0095272A" w:rsidRDefault="00C475D1" w:rsidP="00A62372">
      <w:pPr>
        <w:pStyle w:val="Heading3"/>
        <w:jc w:val="both"/>
      </w:pPr>
      <w:bookmarkStart w:id="47" w:name="_Ref324930282"/>
      <w:bookmarkStart w:id="48" w:name="_Toc334445585"/>
      <w:r w:rsidRPr="0095272A">
        <w:t>Adjustments and exclusions</w:t>
      </w:r>
      <w:bookmarkEnd w:id="47"/>
      <w:bookmarkEnd w:id="48"/>
    </w:p>
    <w:p w14:paraId="0630F204" w14:textId="77777777" w:rsidR="00C475D1" w:rsidRPr="00BA4E53" w:rsidRDefault="00C475D1" w:rsidP="00A62372">
      <w:pPr>
        <w:pStyle w:val="ListParagraph"/>
        <w:ind w:left="567" w:hanging="567"/>
        <w:jc w:val="both"/>
      </w:pPr>
      <w:r w:rsidRPr="00BA4E53">
        <w:t>APRA may, by notice in writing to a life company, adjust or exclude a specific requirement in this Prudential Standard in relation to that life company.</w:t>
      </w:r>
    </w:p>
    <w:p w14:paraId="1EC147DD" w14:textId="77777777" w:rsidR="00C475D1" w:rsidRPr="0095272A" w:rsidRDefault="00C475D1" w:rsidP="00A62372">
      <w:pPr>
        <w:pStyle w:val="Heading3"/>
        <w:jc w:val="both"/>
      </w:pPr>
      <w:bookmarkStart w:id="49" w:name="_Ref324930317"/>
      <w:bookmarkStart w:id="50" w:name="_Toc334445586"/>
      <w:r w:rsidRPr="0095272A">
        <w:t>Determinations made under previous prudential standards</w:t>
      </w:r>
      <w:bookmarkEnd w:id="49"/>
      <w:bookmarkEnd w:id="50"/>
    </w:p>
    <w:p w14:paraId="77EEBCE7" w14:textId="77777777" w:rsidR="00C475D1" w:rsidRPr="00BA4E53" w:rsidRDefault="00C475D1" w:rsidP="00A62372">
      <w:pPr>
        <w:pStyle w:val="ListParagraph"/>
        <w:ind w:left="567" w:hanging="567"/>
        <w:jc w:val="both"/>
      </w:pPr>
      <w:r w:rsidRPr="00BA4E53">
        <w:t xml:space="preserve">An exercise of APRA’s discretion (such as an approval, waiver or direction) under a previous version of this Prudential Standard continues to have effect as though exercised pursuant to a corresponding power (if any) exercisable by APRA under this Prudential Standard. </w:t>
      </w:r>
      <w:r w:rsidRPr="00BA4E53">
        <w:rPr>
          <w:i/>
        </w:rPr>
        <w:t>Prudential Standard LPS 4.02 Minimum Surrender Values and Paid-up Values</w:t>
      </w:r>
      <w:r w:rsidRPr="00BA4E53">
        <w:t xml:space="preserve"> may be regarded as a previous version of this Prudential Standard.</w:t>
      </w:r>
    </w:p>
    <w:p w14:paraId="1CD1DF09" w14:textId="77777777" w:rsidR="0037038F" w:rsidRPr="00BA4E53" w:rsidRDefault="0037038F" w:rsidP="00A62372">
      <w:pPr>
        <w:jc w:val="both"/>
      </w:pPr>
      <w:r w:rsidRPr="00BA4E53">
        <w:br w:type="page"/>
      </w:r>
    </w:p>
    <w:p w14:paraId="3A660C26" w14:textId="77777777" w:rsidR="00406E8A" w:rsidRPr="0095272A" w:rsidRDefault="00B75E57" w:rsidP="00A62372">
      <w:pPr>
        <w:pStyle w:val="Heading3"/>
        <w:jc w:val="both"/>
      </w:pPr>
      <w:bookmarkStart w:id="51" w:name="_Ref324930349"/>
      <w:bookmarkStart w:id="52" w:name="_Toc334445587"/>
      <w:r w:rsidRPr="0095272A">
        <w:t>Attachment 1</w:t>
      </w:r>
      <w:bookmarkEnd w:id="51"/>
      <w:bookmarkEnd w:id="52"/>
    </w:p>
    <w:p w14:paraId="77ECEA43" w14:textId="77777777" w:rsidR="00B75E57" w:rsidRPr="00BA4E53" w:rsidRDefault="00B75E57" w:rsidP="00A62372">
      <w:pPr>
        <w:pStyle w:val="Heading3"/>
        <w:jc w:val="both"/>
      </w:pPr>
      <w:bookmarkStart w:id="53" w:name="_Toc324952325"/>
      <w:bookmarkStart w:id="54" w:name="_Toc334445588"/>
      <w:r w:rsidRPr="00BA4E53">
        <w:t>Prescribed parameters</w:t>
      </w:r>
      <w:bookmarkEnd w:id="53"/>
      <w:bookmarkEnd w:id="54"/>
    </w:p>
    <w:p w14:paraId="56E41216" w14:textId="77777777" w:rsidR="00406E8A" w:rsidRPr="00BA4E53" w:rsidRDefault="00406E8A" w:rsidP="00EA657E">
      <w:pPr>
        <w:pStyle w:val="ListParagraph"/>
        <w:numPr>
          <w:ilvl w:val="0"/>
          <w:numId w:val="16"/>
        </w:numPr>
        <w:ind w:left="567" w:hanging="567"/>
        <w:jc w:val="both"/>
      </w:pPr>
      <w:r w:rsidRPr="00BA4E53">
        <w:t xml:space="preserve">The prescribed parameters in the following </w:t>
      </w:r>
      <w:r w:rsidR="00CE2778">
        <w:t>p</w:t>
      </w:r>
      <w:r w:rsidRPr="00BA4E53">
        <w:t xml:space="preserve">arts </w:t>
      </w:r>
      <w:r w:rsidR="00B75E57" w:rsidRPr="00BA4E53">
        <w:t xml:space="preserve">of this Attachment </w:t>
      </w:r>
      <w:r w:rsidRPr="00BA4E53">
        <w:t xml:space="preserve">are, where relevant, shown </w:t>
      </w:r>
      <w:smartTag w:uri="urn:schemas-microsoft-com:office:smarttags" w:element="stockticker">
        <w:r w:rsidRPr="00BA4E53">
          <w:t>PRE</w:t>
        </w:r>
      </w:smartTag>
      <w:r w:rsidRPr="00BA4E53">
        <w:t xml:space="preserve"> and POST, to reflect a change in the taxation arrangements for life insuranc</w:t>
      </w:r>
      <w:r w:rsidR="00943866" w:rsidRPr="00BA4E53">
        <w:t>e companies as at 1 July 2000.</w:t>
      </w:r>
    </w:p>
    <w:p w14:paraId="0696B8AD" w14:textId="77777777" w:rsidR="00406E8A" w:rsidRPr="00BA4E53" w:rsidRDefault="00406E8A" w:rsidP="00EA657E">
      <w:pPr>
        <w:pStyle w:val="ListParagraph"/>
        <w:numPr>
          <w:ilvl w:val="0"/>
          <w:numId w:val="17"/>
        </w:numPr>
        <w:ind w:left="1134" w:right="-51" w:hanging="567"/>
        <w:jc w:val="both"/>
      </w:pPr>
      <w:smartTag w:uri="urn:schemas-microsoft-com:office:smarttags" w:element="stockticker">
        <w:r w:rsidRPr="00BA4E53">
          <w:t>PRE</w:t>
        </w:r>
        <w:r w:rsidR="00BD24A5" w:rsidRPr="00BA4E53">
          <w:t xml:space="preserve"> </w:t>
        </w:r>
      </w:smartTag>
      <w:r w:rsidRPr="00BA4E53">
        <w:t>parameters apply in respect of transactions occurring pre 1 July 2000; and</w:t>
      </w:r>
    </w:p>
    <w:p w14:paraId="5F3780CA" w14:textId="77777777" w:rsidR="00406E8A" w:rsidRPr="00BA4E53" w:rsidRDefault="002E13E3" w:rsidP="00EA657E">
      <w:pPr>
        <w:pStyle w:val="ListParagraph"/>
        <w:numPr>
          <w:ilvl w:val="0"/>
          <w:numId w:val="17"/>
        </w:numPr>
        <w:ind w:left="1134" w:right="-51" w:hanging="567"/>
        <w:jc w:val="both"/>
      </w:pPr>
      <w:r w:rsidRPr="00BA4E53">
        <w:t xml:space="preserve">POST </w:t>
      </w:r>
      <w:r w:rsidR="00406E8A" w:rsidRPr="00BA4E53">
        <w:t>parameters apply in respect of transactions occurring post 30 June 2000</w:t>
      </w:r>
    </w:p>
    <w:p w14:paraId="6F54AB35" w14:textId="77777777" w:rsidR="00406E8A" w:rsidRPr="00BA4E53" w:rsidRDefault="00406E8A" w:rsidP="00A62372">
      <w:pPr>
        <w:spacing w:after="240"/>
        <w:ind w:left="567" w:right="-51"/>
        <w:jc w:val="both"/>
      </w:pPr>
      <w:r w:rsidRPr="00BA4E53">
        <w:t>unless specifically stated otherwise.</w:t>
      </w:r>
    </w:p>
    <w:p w14:paraId="1E390AB0" w14:textId="77777777" w:rsidR="00406E8A" w:rsidRPr="00BA4E53" w:rsidRDefault="00406E8A" w:rsidP="00EA657E">
      <w:pPr>
        <w:pStyle w:val="ListParagraph"/>
        <w:numPr>
          <w:ilvl w:val="0"/>
          <w:numId w:val="16"/>
        </w:numPr>
        <w:ind w:left="567" w:hanging="567"/>
        <w:jc w:val="both"/>
      </w:pPr>
      <w:r w:rsidRPr="00BA4E53">
        <w:t>All parameters are effectively net of tax parameters where tax has been provided for at the rates applicable to the different classes of business.</w:t>
      </w:r>
    </w:p>
    <w:p w14:paraId="0D5BD44A" w14:textId="77777777" w:rsidR="00406E8A" w:rsidRPr="00322B5F" w:rsidRDefault="00406E8A" w:rsidP="00A62372">
      <w:pPr>
        <w:spacing w:after="240"/>
        <w:jc w:val="both"/>
        <w:rPr>
          <w:rFonts w:ascii="Arial" w:hAnsi="Arial" w:cs="Arial"/>
          <w:i/>
        </w:rPr>
      </w:pPr>
      <w:r w:rsidRPr="00322B5F">
        <w:rPr>
          <w:rFonts w:ascii="Arial" w:hAnsi="Arial" w:cs="Arial"/>
          <w:i/>
        </w:rPr>
        <w:t xml:space="preserve">Part I - </w:t>
      </w:r>
      <w:r w:rsidR="00BD24A5" w:rsidRPr="00322B5F">
        <w:rPr>
          <w:rFonts w:ascii="Arial" w:hAnsi="Arial" w:cs="Arial"/>
          <w:i/>
        </w:rPr>
        <w:t>f</w:t>
      </w:r>
      <w:r w:rsidRPr="00322B5F">
        <w:rPr>
          <w:rFonts w:ascii="Arial" w:hAnsi="Arial" w:cs="Arial"/>
          <w:i/>
        </w:rPr>
        <w:t xml:space="preserve">ixed </w:t>
      </w:r>
      <w:r w:rsidR="00BD24A5" w:rsidRPr="00322B5F">
        <w:rPr>
          <w:rFonts w:ascii="Arial" w:hAnsi="Arial" w:cs="Arial"/>
          <w:i/>
        </w:rPr>
        <w:t>d</w:t>
      </w:r>
      <w:r w:rsidRPr="00322B5F">
        <w:rPr>
          <w:rFonts w:ascii="Arial" w:hAnsi="Arial" w:cs="Arial"/>
          <w:i/>
        </w:rPr>
        <w:t xml:space="preserve">ollar </w:t>
      </w:r>
      <w:r w:rsidR="00BD24A5" w:rsidRPr="00322B5F">
        <w:rPr>
          <w:rFonts w:ascii="Arial" w:hAnsi="Arial" w:cs="Arial"/>
          <w:i/>
        </w:rPr>
        <w:t>c</w:t>
      </w:r>
      <w:r w:rsidRPr="00322B5F">
        <w:rPr>
          <w:rFonts w:ascii="Arial" w:hAnsi="Arial" w:cs="Arial"/>
          <w:i/>
        </w:rPr>
        <w:t>harge</w:t>
      </w:r>
    </w:p>
    <w:p w14:paraId="16EBBFE6" w14:textId="77777777" w:rsidR="00406E8A" w:rsidRPr="00BA4E53" w:rsidRDefault="00406E8A" w:rsidP="00EA657E">
      <w:pPr>
        <w:pStyle w:val="ListParagraph"/>
        <w:numPr>
          <w:ilvl w:val="0"/>
          <w:numId w:val="16"/>
        </w:numPr>
        <w:ind w:left="567" w:hanging="567"/>
        <w:jc w:val="both"/>
      </w:pPr>
      <w:r w:rsidRPr="00BA4E53">
        <w:t xml:space="preserve">Applicable for </w:t>
      </w:r>
      <w:r w:rsidR="00BD24A5" w:rsidRPr="00BA4E53">
        <w:t>u</w:t>
      </w:r>
      <w:r w:rsidRPr="00BA4E53">
        <w:t xml:space="preserve">nbundled </w:t>
      </w:r>
      <w:r w:rsidR="00BD24A5" w:rsidRPr="00BA4E53">
        <w:t>i</w:t>
      </w:r>
      <w:r w:rsidRPr="00BA4E53">
        <w:t xml:space="preserve">nvestment </w:t>
      </w:r>
      <w:r w:rsidR="00BD24A5" w:rsidRPr="00BA4E53">
        <w:t>b</w:t>
      </w:r>
      <w:r w:rsidRPr="00BA4E53">
        <w:t xml:space="preserve">usiness, </w:t>
      </w:r>
      <w:r w:rsidR="00455F82" w:rsidRPr="00BA4E53">
        <w:t xml:space="preserve">immediate annuities and </w:t>
      </w:r>
      <w:r w:rsidR="00BD24A5" w:rsidRPr="00BA4E53">
        <w:t>f</w:t>
      </w:r>
      <w:r w:rsidRPr="00BA4E53">
        <w:t xml:space="preserve">ixed </w:t>
      </w:r>
      <w:r w:rsidR="00BD24A5" w:rsidRPr="00BA4E53">
        <w:t>t</w:t>
      </w:r>
      <w:r w:rsidRPr="00BA4E53">
        <w:t>erm/</w:t>
      </w:r>
      <w:r w:rsidR="00BD24A5" w:rsidRPr="00BA4E53">
        <w:t>r</w:t>
      </w:r>
      <w:r w:rsidRPr="00BA4E53">
        <w:t xml:space="preserve">ate </w:t>
      </w:r>
      <w:r w:rsidR="00BD24A5" w:rsidRPr="00BA4E53">
        <w:t>b</w:t>
      </w:r>
      <w:r w:rsidRPr="00BA4E53">
        <w:t>usiness</w:t>
      </w:r>
      <w:r w:rsidR="00BD24A5" w:rsidRPr="00BA4E53">
        <w: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2764"/>
        <w:gridCol w:w="2764"/>
      </w:tblGrid>
      <w:tr w:rsidR="00406E8A" w:rsidRPr="00BA4E53" w14:paraId="3BB1D129" w14:textId="77777777" w:rsidTr="00406E8A">
        <w:trPr>
          <w:cantSplit/>
        </w:trPr>
        <w:tc>
          <w:tcPr>
            <w:tcW w:w="2660" w:type="dxa"/>
            <w:tcBorders>
              <w:top w:val="double" w:sz="6" w:space="0" w:color="auto"/>
              <w:left w:val="double" w:sz="6" w:space="0" w:color="auto"/>
              <w:bottom w:val="double" w:sz="6" w:space="0" w:color="auto"/>
              <w:right w:val="nil"/>
            </w:tcBorders>
          </w:tcPr>
          <w:p w14:paraId="6D2DAA0D" w14:textId="77777777" w:rsidR="00406E8A" w:rsidRPr="00BA4E53" w:rsidRDefault="00406E8A" w:rsidP="00A62372">
            <w:pPr>
              <w:jc w:val="both"/>
              <w:rPr>
                <w:b/>
              </w:rPr>
            </w:pPr>
          </w:p>
        </w:tc>
        <w:tc>
          <w:tcPr>
            <w:tcW w:w="2764" w:type="dxa"/>
            <w:tcBorders>
              <w:top w:val="double" w:sz="6" w:space="0" w:color="auto"/>
              <w:left w:val="single" w:sz="6" w:space="0" w:color="auto"/>
              <w:bottom w:val="double" w:sz="6" w:space="0" w:color="auto"/>
              <w:right w:val="single" w:sz="6" w:space="0" w:color="auto"/>
            </w:tcBorders>
          </w:tcPr>
          <w:p w14:paraId="0BE1AA37" w14:textId="77777777" w:rsidR="00406E8A" w:rsidRPr="00BA4E53" w:rsidRDefault="00406E8A" w:rsidP="00A62372">
            <w:pPr>
              <w:jc w:val="both"/>
              <w:rPr>
                <w:b/>
              </w:rPr>
            </w:pPr>
            <w:smartTag w:uri="urn:schemas-microsoft-com:office:smarttags" w:element="stockticker">
              <w:r w:rsidRPr="00BA4E53">
                <w:rPr>
                  <w:b/>
                </w:rPr>
                <w:t>PRE</w:t>
              </w:r>
            </w:smartTag>
          </w:p>
          <w:p w14:paraId="6B4BAC43" w14:textId="77777777" w:rsidR="00406E8A" w:rsidRPr="00BA4E53" w:rsidRDefault="002E13E3" w:rsidP="00A62372">
            <w:pPr>
              <w:jc w:val="both"/>
              <w:rPr>
                <w:b/>
              </w:rPr>
            </w:pPr>
            <w:r w:rsidRPr="00BA4E53">
              <w:rPr>
                <w:b/>
              </w:rPr>
              <w:t>c</w:t>
            </w:r>
            <w:r w:rsidR="00406E8A" w:rsidRPr="00BA4E53">
              <w:rPr>
                <w:b/>
              </w:rPr>
              <w:t>harge</w:t>
            </w:r>
          </w:p>
        </w:tc>
        <w:tc>
          <w:tcPr>
            <w:tcW w:w="2764" w:type="dxa"/>
            <w:tcBorders>
              <w:top w:val="double" w:sz="6" w:space="0" w:color="auto"/>
              <w:left w:val="nil"/>
              <w:bottom w:val="double" w:sz="6" w:space="0" w:color="auto"/>
            </w:tcBorders>
          </w:tcPr>
          <w:p w14:paraId="511C6D97" w14:textId="77777777" w:rsidR="00406E8A" w:rsidRPr="00BA4E53" w:rsidRDefault="00406E8A" w:rsidP="00A62372">
            <w:pPr>
              <w:jc w:val="both"/>
              <w:rPr>
                <w:b/>
              </w:rPr>
            </w:pPr>
            <w:r w:rsidRPr="00BA4E53">
              <w:rPr>
                <w:b/>
              </w:rPr>
              <w:t xml:space="preserve">POST </w:t>
            </w:r>
          </w:p>
          <w:p w14:paraId="4AA51F62" w14:textId="77777777" w:rsidR="00406E8A" w:rsidRPr="00BA4E53" w:rsidRDefault="002E13E3" w:rsidP="00A62372">
            <w:pPr>
              <w:jc w:val="both"/>
              <w:rPr>
                <w:b/>
              </w:rPr>
            </w:pPr>
            <w:r w:rsidRPr="00BA4E53">
              <w:rPr>
                <w:b/>
              </w:rPr>
              <w:t>c</w:t>
            </w:r>
            <w:r w:rsidR="00406E8A" w:rsidRPr="00BA4E53">
              <w:rPr>
                <w:b/>
              </w:rPr>
              <w:t>harge</w:t>
            </w:r>
          </w:p>
        </w:tc>
      </w:tr>
      <w:tr w:rsidR="00406E8A" w:rsidRPr="00BA4E53" w14:paraId="65F2AE32" w14:textId="77777777" w:rsidTr="00406E8A">
        <w:trPr>
          <w:cantSplit/>
        </w:trPr>
        <w:tc>
          <w:tcPr>
            <w:tcW w:w="2660" w:type="dxa"/>
            <w:tcBorders>
              <w:right w:val="nil"/>
            </w:tcBorders>
          </w:tcPr>
          <w:p w14:paraId="2FB1F494" w14:textId="77777777" w:rsidR="00406E8A" w:rsidRPr="00BA4E53" w:rsidRDefault="00406E8A" w:rsidP="00A62372">
            <w:pPr>
              <w:jc w:val="both"/>
            </w:pPr>
          </w:p>
        </w:tc>
        <w:tc>
          <w:tcPr>
            <w:tcW w:w="2764" w:type="dxa"/>
            <w:tcBorders>
              <w:top w:val="nil"/>
              <w:left w:val="single" w:sz="6" w:space="0" w:color="auto"/>
              <w:right w:val="single" w:sz="6" w:space="0" w:color="auto"/>
            </w:tcBorders>
          </w:tcPr>
          <w:p w14:paraId="59008DB5" w14:textId="77777777" w:rsidR="00406E8A" w:rsidRPr="00BA4E53" w:rsidRDefault="00406E8A" w:rsidP="00A62372">
            <w:pPr>
              <w:jc w:val="both"/>
              <w:rPr>
                <w:sz w:val="20"/>
              </w:rPr>
            </w:pPr>
          </w:p>
        </w:tc>
        <w:tc>
          <w:tcPr>
            <w:tcW w:w="2764" w:type="dxa"/>
            <w:tcBorders>
              <w:top w:val="nil"/>
              <w:left w:val="nil"/>
            </w:tcBorders>
          </w:tcPr>
          <w:p w14:paraId="05493E96" w14:textId="77777777" w:rsidR="00406E8A" w:rsidRPr="00BA4E53" w:rsidRDefault="00406E8A" w:rsidP="00A62372">
            <w:pPr>
              <w:jc w:val="both"/>
              <w:rPr>
                <w:sz w:val="20"/>
              </w:rPr>
            </w:pPr>
          </w:p>
        </w:tc>
      </w:tr>
      <w:tr w:rsidR="00406E8A" w:rsidRPr="00BA4E53" w14:paraId="3E813CC2" w14:textId="77777777" w:rsidTr="00406E8A">
        <w:trPr>
          <w:cantSplit/>
        </w:trPr>
        <w:tc>
          <w:tcPr>
            <w:tcW w:w="2660" w:type="dxa"/>
            <w:tcBorders>
              <w:right w:val="nil"/>
            </w:tcBorders>
          </w:tcPr>
          <w:p w14:paraId="2A11ACBA" w14:textId="77777777" w:rsidR="00406E8A" w:rsidRPr="00BA4E53" w:rsidRDefault="00406E8A" w:rsidP="00A62372">
            <w:pPr>
              <w:jc w:val="both"/>
              <w:rPr>
                <w:b/>
              </w:rPr>
            </w:pPr>
            <w:r w:rsidRPr="00BA4E53">
              <w:rPr>
                <w:b/>
              </w:rPr>
              <w:t xml:space="preserve">    Ordinary</w:t>
            </w:r>
          </w:p>
        </w:tc>
        <w:tc>
          <w:tcPr>
            <w:tcW w:w="2764" w:type="dxa"/>
            <w:tcBorders>
              <w:left w:val="single" w:sz="6" w:space="0" w:color="auto"/>
              <w:right w:val="single" w:sz="6" w:space="0" w:color="auto"/>
            </w:tcBorders>
          </w:tcPr>
          <w:p w14:paraId="031C1904" w14:textId="77777777" w:rsidR="00406E8A" w:rsidRPr="00BA4E53" w:rsidRDefault="00406E8A" w:rsidP="00A62372">
            <w:pPr>
              <w:jc w:val="both"/>
            </w:pPr>
            <w:r w:rsidRPr="00BA4E53">
              <w:t>$</w:t>
            </w:r>
            <w:r w:rsidR="00B225C8" w:rsidRPr="00BA4E53">
              <w:t>75</w:t>
            </w:r>
          </w:p>
        </w:tc>
        <w:tc>
          <w:tcPr>
            <w:tcW w:w="2764" w:type="dxa"/>
            <w:tcBorders>
              <w:left w:val="nil"/>
            </w:tcBorders>
          </w:tcPr>
          <w:p w14:paraId="67F85FD4" w14:textId="77777777" w:rsidR="00406E8A" w:rsidRPr="00BA4E53" w:rsidRDefault="00B225C8" w:rsidP="00A62372">
            <w:pPr>
              <w:jc w:val="both"/>
            </w:pPr>
            <w:r w:rsidRPr="00BA4E53">
              <w:t>$90</w:t>
            </w:r>
          </w:p>
        </w:tc>
      </w:tr>
      <w:tr w:rsidR="00406E8A" w:rsidRPr="00BA4E53" w14:paraId="298C09A6" w14:textId="77777777" w:rsidTr="00406E8A">
        <w:trPr>
          <w:cantSplit/>
        </w:trPr>
        <w:tc>
          <w:tcPr>
            <w:tcW w:w="2660" w:type="dxa"/>
            <w:tcBorders>
              <w:right w:val="nil"/>
            </w:tcBorders>
          </w:tcPr>
          <w:p w14:paraId="7F04A8CD" w14:textId="77777777" w:rsidR="00406E8A" w:rsidRPr="00BA4E53" w:rsidRDefault="00406E8A" w:rsidP="00A62372">
            <w:pPr>
              <w:jc w:val="both"/>
              <w:rPr>
                <w:b/>
              </w:rPr>
            </w:pPr>
          </w:p>
          <w:p w14:paraId="70CCC7DE" w14:textId="77777777" w:rsidR="00406E8A" w:rsidRPr="00BA4E53" w:rsidRDefault="00406E8A" w:rsidP="00A62372">
            <w:pPr>
              <w:jc w:val="both"/>
              <w:rPr>
                <w:b/>
              </w:rPr>
            </w:pPr>
            <w:r w:rsidRPr="00BA4E53">
              <w:rPr>
                <w:b/>
              </w:rPr>
              <w:t xml:space="preserve">    Superannuation</w:t>
            </w:r>
          </w:p>
        </w:tc>
        <w:tc>
          <w:tcPr>
            <w:tcW w:w="2764" w:type="dxa"/>
            <w:tcBorders>
              <w:left w:val="single" w:sz="6" w:space="0" w:color="auto"/>
              <w:right w:val="single" w:sz="6" w:space="0" w:color="auto"/>
            </w:tcBorders>
          </w:tcPr>
          <w:p w14:paraId="7B1C722D" w14:textId="77777777" w:rsidR="00406E8A" w:rsidRPr="00BA4E53" w:rsidRDefault="00406E8A" w:rsidP="00A62372">
            <w:pPr>
              <w:jc w:val="both"/>
            </w:pPr>
          </w:p>
          <w:p w14:paraId="0D552329" w14:textId="77777777" w:rsidR="00406E8A" w:rsidRPr="00BA4E53" w:rsidRDefault="00406E8A" w:rsidP="00A62372">
            <w:pPr>
              <w:jc w:val="both"/>
            </w:pPr>
            <w:r w:rsidRPr="00BA4E53">
              <w:t>$</w:t>
            </w:r>
            <w:r w:rsidR="00B225C8" w:rsidRPr="00BA4E53">
              <w:t>120</w:t>
            </w:r>
          </w:p>
        </w:tc>
        <w:tc>
          <w:tcPr>
            <w:tcW w:w="2764" w:type="dxa"/>
            <w:tcBorders>
              <w:left w:val="nil"/>
            </w:tcBorders>
          </w:tcPr>
          <w:p w14:paraId="16328449" w14:textId="77777777" w:rsidR="00406E8A" w:rsidRPr="00BA4E53" w:rsidRDefault="00406E8A" w:rsidP="00A62372">
            <w:pPr>
              <w:jc w:val="both"/>
            </w:pPr>
          </w:p>
          <w:p w14:paraId="2B099453" w14:textId="77777777" w:rsidR="00406E8A" w:rsidRPr="00BA4E53" w:rsidRDefault="00B225C8" w:rsidP="00A62372">
            <w:pPr>
              <w:jc w:val="both"/>
            </w:pPr>
            <w:r w:rsidRPr="00BA4E53">
              <w:t>$90</w:t>
            </w:r>
          </w:p>
        </w:tc>
      </w:tr>
      <w:tr w:rsidR="00406E8A" w:rsidRPr="00BA4E53" w14:paraId="2CD53EF1" w14:textId="77777777" w:rsidTr="00406E8A">
        <w:trPr>
          <w:cantSplit/>
        </w:trPr>
        <w:tc>
          <w:tcPr>
            <w:tcW w:w="2660" w:type="dxa"/>
            <w:tcBorders>
              <w:right w:val="nil"/>
            </w:tcBorders>
          </w:tcPr>
          <w:p w14:paraId="7C5AE271" w14:textId="77777777" w:rsidR="00406E8A" w:rsidRPr="00BA4E53" w:rsidRDefault="00406E8A" w:rsidP="00A62372">
            <w:pPr>
              <w:jc w:val="both"/>
              <w:rPr>
                <w:b/>
              </w:rPr>
            </w:pPr>
          </w:p>
          <w:p w14:paraId="45AE11A5" w14:textId="77777777" w:rsidR="00406E8A" w:rsidRPr="00BA4E53" w:rsidRDefault="00406E8A" w:rsidP="00A62372">
            <w:pPr>
              <w:jc w:val="both"/>
              <w:rPr>
                <w:b/>
              </w:rPr>
            </w:pPr>
            <w:r w:rsidRPr="00BA4E53">
              <w:rPr>
                <w:b/>
              </w:rPr>
              <w:t xml:space="preserve">    Tax </w:t>
            </w:r>
            <w:r w:rsidR="002E13E3" w:rsidRPr="00BA4E53">
              <w:rPr>
                <w:b/>
              </w:rPr>
              <w:t>e</w:t>
            </w:r>
            <w:r w:rsidRPr="00BA4E53">
              <w:rPr>
                <w:b/>
              </w:rPr>
              <w:t>xempt</w:t>
            </w:r>
          </w:p>
        </w:tc>
        <w:tc>
          <w:tcPr>
            <w:tcW w:w="2764" w:type="dxa"/>
            <w:tcBorders>
              <w:left w:val="single" w:sz="6" w:space="0" w:color="auto"/>
              <w:bottom w:val="single" w:sz="6" w:space="0" w:color="auto"/>
              <w:right w:val="single" w:sz="6" w:space="0" w:color="auto"/>
            </w:tcBorders>
          </w:tcPr>
          <w:p w14:paraId="41E7C5E0" w14:textId="77777777" w:rsidR="00406E8A" w:rsidRPr="00BA4E53" w:rsidRDefault="00406E8A" w:rsidP="00A62372">
            <w:pPr>
              <w:jc w:val="both"/>
            </w:pPr>
          </w:p>
          <w:p w14:paraId="739F0188" w14:textId="77777777" w:rsidR="00406E8A" w:rsidRPr="00BA4E53" w:rsidRDefault="00406E8A" w:rsidP="00A62372">
            <w:pPr>
              <w:jc w:val="both"/>
            </w:pPr>
            <w:r w:rsidRPr="00BA4E53">
              <w:t>$</w:t>
            </w:r>
            <w:r w:rsidR="00B225C8" w:rsidRPr="00BA4E53">
              <w:t>13</w:t>
            </w:r>
            <w:r w:rsidR="006D45DE" w:rsidRPr="00BA4E53">
              <w:t>5</w:t>
            </w:r>
          </w:p>
        </w:tc>
        <w:tc>
          <w:tcPr>
            <w:tcW w:w="2764" w:type="dxa"/>
            <w:tcBorders>
              <w:left w:val="nil"/>
              <w:bottom w:val="single" w:sz="6" w:space="0" w:color="auto"/>
            </w:tcBorders>
          </w:tcPr>
          <w:p w14:paraId="360AB279" w14:textId="77777777" w:rsidR="00406E8A" w:rsidRPr="00BA4E53" w:rsidRDefault="00406E8A" w:rsidP="00A62372">
            <w:pPr>
              <w:jc w:val="both"/>
            </w:pPr>
          </w:p>
          <w:p w14:paraId="536D8D5E" w14:textId="77777777" w:rsidR="00406E8A" w:rsidRPr="00BA4E53" w:rsidRDefault="00B225C8" w:rsidP="00A62372">
            <w:pPr>
              <w:jc w:val="both"/>
            </w:pPr>
            <w:r w:rsidRPr="00BA4E53">
              <w:t>$90</w:t>
            </w:r>
          </w:p>
        </w:tc>
      </w:tr>
    </w:tbl>
    <w:p w14:paraId="0BDC7DB1" w14:textId="77777777" w:rsidR="00406E8A" w:rsidRPr="00BA4E53" w:rsidRDefault="00406E8A" w:rsidP="00A62372">
      <w:pPr>
        <w:jc w:val="both"/>
        <w:rPr>
          <w:b/>
        </w:rPr>
      </w:pPr>
    </w:p>
    <w:p w14:paraId="24CEB67C" w14:textId="77777777" w:rsidR="00406E8A" w:rsidRPr="00BA4E53" w:rsidRDefault="00406E8A" w:rsidP="00A62372">
      <w:pPr>
        <w:ind w:left="720" w:hanging="720"/>
        <w:jc w:val="both"/>
        <w:rPr>
          <w:sz w:val="20"/>
        </w:rPr>
      </w:pPr>
      <w:r w:rsidRPr="00BA4E53">
        <w:rPr>
          <w:sz w:val="20"/>
        </w:rPr>
        <w:t>Note:</w:t>
      </w:r>
      <w:r w:rsidRPr="00BA4E53">
        <w:rPr>
          <w:sz w:val="20"/>
        </w:rPr>
        <w:tab/>
        <w:t xml:space="preserve">Dollar amounts are those applying to calendar year </w:t>
      </w:r>
      <w:r w:rsidR="00B225C8" w:rsidRPr="00BA4E53">
        <w:rPr>
          <w:sz w:val="20"/>
        </w:rPr>
        <w:t>201</w:t>
      </w:r>
      <w:r w:rsidR="0076236E" w:rsidRPr="00BA4E53">
        <w:rPr>
          <w:sz w:val="20"/>
        </w:rPr>
        <w:t>2</w:t>
      </w:r>
      <w:r w:rsidRPr="00BA4E53">
        <w:rPr>
          <w:sz w:val="20"/>
        </w:rPr>
        <w:t>.</w:t>
      </w:r>
      <w:r w:rsidR="004A45C4">
        <w:rPr>
          <w:sz w:val="20"/>
        </w:rPr>
        <w:t xml:space="preserve"> </w:t>
      </w:r>
      <w:r w:rsidRPr="00BA4E53">
        <w:rPr>
          <w:sz w:val="20"/>
        </w:rPr>
        <w:t xml:space="preserve">In </w:t>
      </w:r>
      <w:r w:rsidR="004D02B7" w:rsidRPr="00BA4E53">
        <w:rPr>
          <w:sz w:val="20"/>
        </w:rPr>
        <w:t xml:space="preserve">earlier or </w:t>
      </w:r>
      <w:r w:rsidRPr="00BA4E53">
        <w:rPr>
          <w:sz w:val="20"/>
        </w:rPr>
        <w:t>subsequent years the dollar amount applying is that figure indexed in line with the Consumer Price Index (</w:t>
      </w:r>
      <w:smartTag w:uri="urn:schemas-microsoft-com:office:smarttags" w:element="stockticker">
        <w:r w:rsidRPr="00BA4E53">
          <w:rPr>
            <w:sz w:val="20"/>
          </w:rPr>
          <w:t>CPI</w:t>
        </w:r>
      </w:smartTag>
      <w:r w:rsidRPr="00BA4E53">
        <w:rPr>
          <w:sz w:val="20"/>
        </w:rPr>
        <w:t>) as published at 30 September of the immediately preceding year.</w:t>
      </w:r>
    </w:p>
    <w:p w14:paraId="293B7BF4" w14:textId="77777777" w:rsidR="00406E8A" w:rsidRPr="00BA4E53" w:rsidRDefault="00406E8A" w:rsidP="00A62372">
      <w:pPr>
        <w:jc w:val="both"/>
      </w:pPr>
    </w:p>
    <w:p w14:paraId="6A0F0F5D" w14:textId="77777777" w:rsidR="0044664A" w:rsidRPr="003378FD" w:rsidRDefault="00406E8A" w:rsidP="00865EA1">
      <w:pPr>
        <w:pageBreakBefore/>
        <w:spacing w:after="240"/>
        <w:jc w:val="both"/>
        <w:rPr>
          <w:rFonts w:ascii="Arial" w:hAnsi="Arial" w:cs="Arial"/>
          <w:i/>
        </w:rPr>
      </w:pPr>
      <w:r w:rsidRPr="003378FD">
        <w:rPr>
          <w:rFonts w:ascii="Arial" w:hAnsi="Arial" w:cs="Arial"/>
          <w:i/>
        </w:rPr>
        <w:lastRenderedPageBreak/>
        <w:t xml:space="preserve">Part II - </w:t>
      </w:r>
      <w:r w:rsidR="002E13E3" w:rsidRPr="003378FD">
        <w:rPr>
          <w:rFonts w:ascii="Arial" w:hAnsi="Arial" w:cs="Arial"/>
          <w:i/>
        </w:rPr>
        <w:t>u</w:t>
      </w:r>
      <w:r w:rsidRPr="003378FD">
        <w:rPr>
          <w:rFonts w:ascii="Arial" w:hAnsi="Arial" w:cs="Arial"/>
          <w:i/>
        </w:rPr>
        <w:t xml:space="preserve">nbundled </w:t>
      </w:r>
      <w:r w:rsidR="002E13E3" w:rsidRPr="003378FD">
        <w:rPr>
          <w:rFonts w:ascii="Arial" w:hAnsi="Arial" w:cs="Arial"/>
          <w:i/>
        </w:rPr>
        <w:t>i</w:t>
      </w:r>
      <w:r w:rsidRPr="003378FD">
        <w:rPr>
          <w:rFonts w:ascii="Arial" w:hAnsi="Arial" w:cs="Arial"/>
          <w:i/>
        </w:rPr>
        <w:t xml:space="preserve">nvestment </w:t>
      </w:r>
      <w:r w:rsidR="002E13E3" w:rsidRPr="003378FD">
        <w:rPr>
          <w:rFonts w:ascii="Arial" w:hAnsi="Arial" w:cs="Arial"/>
          <w:i/>
        </w:rPr>
        <w:t>b</w:t>
      </w:r>
      <w:r w:rsidRPr="003378FD">
        <w:rPr>
          <w:rFonts w:ascii="Arial" w:hAnsi="Arial" w:cs="Arial"/>
          <w:i/>
        </w:rPr>
        <w:t>usiness</w:t>
      </w:r>
    </w:p>
    <w:tbl>
      <w:tblPr>
        <w:tblW w:w="8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2835"/>
        <w:gridCol w:w="2693"/>
      </w:tblGrid>
      <w:tr w:rsidR="00406E8A" w:rsidRPr="00BA4E53" w14:paraId="24F62068" w14:textId="77777777" w:rsidTr="00CE2778">
        <w:tc>
          <w:tcPr>
            <w:tcW w:w="2660" w:type="dxa"/>
            <w:tcBorders>
              <w:top w:val="double" w:sz="6" w:space="0" w:color="auto"/>
              <w:left w:val="double" w:sz="6" w:space="0" w:color="auto"/>
              <w:bottom w:val="double" w:sz="6" w:space="0" w:color="auto"/>
              <w:right w:val="nil"/>
            </w:tcBorders>
          </w:tcPr>
          <w:p w14:paraId="5ECD46D0" w14:textId="77777777" w:rsidR="00406E8A" w:rsidRPr="00BA4E53" w:rsidRDefault="00406E8A" w:rsidP="00A62372">
            <w:pPr>
              <w:jc w:val="both"/>
              <w:rPr>
                <w:b/>
              </w:rPr>
            </w:pPr>
          </w:p>
        </w:tc>
        <w:tc>
          <w:tcPr>
            <w:tcW w:w="2835" w:type="dxa"/>
            <w:tcBorders>
              <w:top w:val="double" w:sz="6" w:space="0" w:color="auto"/>
              <w:left w:val="nil"/>
              <w:bottom w:val="double" w:sz="6" w:space="0" w:color="auto"/>
              <w:right w:val="nil"/>
            </w:tcBorders>
          </w:tcPr>
          <w:p w14:paraId="04228636" w14:textId="77777777" w:rsidR="00406E8A" w:rsidRPr="00BA4E53" w:rsidRDefault="00406E8A" w:rsidP="00A62372">
            <w:pPr>
              <w:jc w:val="both"/>
              <w:rPr>
                <w:b/>
              </w:rPr>
            </w:pPr>
            <w:smartTag w:uri="urn:schemas-microsoft-com:office:smarttags" w:element="stockticker">
              <w:r w:rsidRPr="00BA4E53">
                <w:rPr>
                  <w:b/>
                </w:rPr>
                <w:t>PRE</w:t>
              </w:r>
            </w:smartTag>
          </w:p>
          <w:p w14:paraId="3B8387A1" w14:textId="77777777" w:rsidR="00406E8A" w:rsidRPr="00BA4E53" w:rsidRDefault="002E13E3" w:rsidP="00A62372">
            <w:pPr>
              <w:jc w:val="both"/>
              <w:rPr>
                <w:b/>
              </w:rPr>
            </w:pPr>
            <w:r w:rsidRPr="00BA4E53">
              <w:rPr>
                <w:b/>
              </w:rPr>
              <w:t>c</w:t>
            </w:r>
            <w:r w:rsidR="00406E8A" w:rsidRPr="00BA4E53">
              <w:rPr>
                <w:b/>
              </w:rPr>
              <w:t>harges</w:t>
            </w:r>
          </w:p>
        </w:tc>
        <w:tc>
          <w:tcPr>
            <w:tcW w:w="2693" w:type="dxa"/>
            <w:tcBorders>
              <w:top w:val="double" w:sz="6" w:space="0" w:color="auto"/>
              <w:left w:val="nil"/>
              <w:bottom w:val="double" w:sz="6" w:space="0" w:color="auto"/>
            </w:tcBorders>
          </w:tcPr>
          <w:p w14:paraId="3FF7064D" w14:textId="77777777" w:rsidR="00406E8A" w:rsidRPr="00BA4E53" w:rsidRDefault="00406E8A" w:rsidP="00A62372">
            <w:pPr>
              <w:jc w:val="both"/>
              <w:rPr>
                <w:b/>
              </w:rPr>
            </w:pPr>
            <w:r w:rsidRPr="00BA4E53">
              <w:rPr>
                <w:b/>
              </w:rPr>
              <w:t xml:space="preserve">POST </w:t>
            </w:r>
          </w:p>
          <w:p w14:paraId="02B99783" w14:textId="77777777" w:rsidR="00406E8A" w:rsidRPr="00BA4E53" w:rsidRDefault="002E13E3" w:rsidP="00A62372">
            <w:pPr>
              <w:jc w:val="both"/>
              <w:rPr>
                <w:b/>
              </w:rPr>
            </w:pPr>
            <w:r w:rsidRPr="00BA4E53">
              <w:rPr>
                <w:b/>
              </w:rPr>
              <w:t>c</w:t>
            </w:r>
            <w:r w:rsidR="00406E8A" w:rsidRPr="00BA4E53">
              <w:rPr>
                <w:b/>
              </w:rPr>
              <w:t>harges</w:t>
            </w:r>
          </w:p>
        </w:tc>
      </w:tr>
      <w:tr w:rsidR="00406E8A" w:rsidRPr="00BA4E53" w14:paraId="52698BE4" w14:textId="77777777" w:rsidTr="00CE2778">
        <w:tc>
          <w:tcPr>
            <w:tcW w:w="2660" w:type="dxa"/>
            <w:tcBorders>
              <w:top w:val="nil"/>
              <w:bottom w:val="nil"/>
            </w:tcBorders>
          </w:tcPr>
          <w:p w14:paraId="114608E2" w14:textId="77777777" w:rsidR="00406E8A" w:rsidRPr="00BA4E53" w:rsidRDefault="00406E8A" w:rsidP="00A62372">
            <w:pPr>
              <w:jc w:val="both"/>
            </w:pPr>
          </w:p>
        </w:tc>
        <w:tc>
          <w:tcPr>
            <w:tcW w:w="2835" w:type="dxa"/>
            <w:tcBorders>
              <w:top w:val="nil"/>
              <w:bottom w:val="nil"/>
            </w:tcBorders>
          </w:tcPr>
          <w:p w14:paraId="46CF7B13" w14:textId="77777777" w:rsidR="00406E8A" w:rsidRPr="00BA4E53" w:rsidRDefault="00406E8A" w:rsidP="00A62372">
            <w:pPr>
              <w:jc w:val="both"/>
              <w:rPr>
                <w:sz w:val="20"/>
              </w:rPr>
            </w:pPr>
          </w:p>
        </w:tc>
        <w:tc>
          <w:tcPr>
            <w:tcW w:w="2693" w:type="dxa"/>
            <w:tcBorders>
              <w:top w:val="nil"/>
              <w:bottom w:val="nil"/>
            </w:tcBorders>
          </w:tcPr>
          <w:p w14:paraId="20B171DA" w14:textId="77777777" w:rsidR="00406E8A" w:rsidRPr="00BA4E53" w:rsidRDefault="00406E8A" w:rsidP="00A62372">
            <w:pPr>
              <w:jc w:val="both"/>
              <w:rPr>
                <w:sz w:val="20"/>
              </w:rPr>
            </w:pPr>
          </w:p>
        </w:tc>
      </w:tr>
      <w:tr w:rsidR="00406E8A" w:rsidRPr="00BA4E53" w14:paraId="4AB1EFE8" w14:textId="77777777" w:rsidTr="0044664A">
        <w:trPr>
          <w:cantSplit/>
        </w:trPr>
        <w:tc>
          <w:tcPr>
            <w:tcW w:w="8188" w:type="dxa"/>
            <w:gridSpan w:val="3"/>
            <w:tcBorders>
              <w:top w:val="nil"/>
              <w:bottom w:val="nil"/>
            </w:tcBorders>
          </w:tcPr>
          <w:p w14:paraId="36287F8C" w14:textId="77777777" w:rsidR="00406E8A" w:rsidRPr="00BA4E53" w:rsidRDefault="00406E8A" w:rsidP="00A62372">
            <w:pPr>
              <w:ind w:right="601"/>
              <w:jc w:val="both"/>
              <w:rPr>
                <w:b/>
              </w:rPr>
            </w:pPr>
            <w:r w:rsidRPr="00BA4E53">
              <w:rPr>
                <w:b/>
                <w:u w:val="single"/>
              </w:rPr>
              <w:t xml:space="preserve">Regular </w:t>
            </w:r>
            <w:r w:rsidR="002E13E3" w:rsidRPr="00BA4E53">
              <w:rPr>
                <w:b/>
                <w:u w:val="single"/>
              </w:rPr>
              <w:t>p</w:t>
            </w:r>
            <w:r w:rsidRPr="00BA4E53">
              <w:rPr>
                <w:b/>
                <w:u w:val="single"/>
              </w:rPr>
              <w:t>remium</w:t>
            </w:r>
          </w:p>
        </w:tc>
      </w:tr>
      <w:tr w:rsidR="00406E8A" w:rsidRPr="00BA4E53" w14:paraId="75743905" w14:textId="77777777" w:rsidTr="00CE2778">
        <w:tc>
          <w:tcPr>
            <w:tcW w:w="2660" w:type="dxa"/>
            <w:tcBorders>
              <w:top w:val="nil"/>
              <w:bottom w:val="nil"/>
              <w:right w:val="nil"/>
            </w:tcBorders>
          </w:tcPr>
          <w:p w14:paraId="274D6D27" w14:textId="77777777" w:rsidR="00406E8A" w:rsidRPr="00BA4E53" w:rsidRDefault="00406E8A" w:rsidP="00A62372">
            <w:pPr>
              <w:jc w:val="both"/>
              <w:rPr>
                <w:b/>
              </w:rPr>
            </w:pPr>
          </w:p>
          <w:p w14:paraId="60612AC9" w14:textId="77777777" w:rsidR="00406E8A" w:rsidRPr="00BA4E53" w:rsidRDefault="00406E8A" w:rsidP="00A62372">
            <w:pPr>
              <w:jc w:val="both"/>
              <w:rPr>
                <w:b/>
              </w:rPr>
            </w:pPr>
            <w:r w:rsidRPr="00BA4E53">
              <w:rPr>
                <w:b/>
              </w:rPr>
              <w:t xml:space="preserve">Ordinary – </w:t>
            </w:r>
            <w:r w:rsidR="00013F62" w:rsidRPr="00BA4E53">
              <w:rPr>
                <w:b/>
              </w:rPr>
              <w:t>a</w:t>
            </w:r>
            <w:r w:rsidRPr="00BA4E53">
              <w:rPr>
                <w:b/>
              </w:rPr>
              <w:t>ll</w:t>
            </w:r>
          </w:p>
          <w:p w14:paraId="0AB35503" w14:textId="77777777" w:rsidR="00406E8A" w:rsidRPr="00BA4E53" w:rsidRDefault="00406E8A" w:rsidP="00A62372">
            <w:pPr>
              <w:jc w:val="both"/>
              <w:rPr>
                <w:b/>
              </w:rPr>
            </w:pPr>
          </w:p>
        </w:tc>
        <w:tc>
          <w:tcPr>
            <w:tcW w:w="2835" w:type="dxa"/>
            <w:tcBorders>
              <w:top w:val="nil"/>
              <w:left w:val="nil"/>
              <w:bottom w:val="nil"/>
              <w:right w:val="nil"/>
            </w:tcBorders>
          </w:tcPr>
          <w:p w14:paraId="1CD10E76" w14:textId="77777777" w:rsidR="00406E8A" w:rsidRPr="00BA4E53" w:rsidRDefault="00406E8A" w:rsidP="00CE2778"/>
          <w:p w14:paraId="1B248B74" w14:textId="77777777" w:rsidR="00406E8A" w:rsidRPr="00BA4E53" w:rsidRDefault="00406E8A" w:rsidP="00CE2778">
            <w:r w:rsidRPr="00BA4E53">
              <w:t>First 1.5 years, 100% of premiums paid or payable</w:t>
            </w:r>
          </w:p>
        </w:tc>
        <w:tc>
          <w:tcPr>
            <w:tcW w:w="2693" w:type="dxa"/>
            <w:tcBorders>
              <w:top w:val="nil"/>
              <w:left w:val="nil"/>
              <w:bottom w:val="nil"/>
            </w:tcBorders>
          </w:tcPr>
          <w:p w14:paraId="640698A9" w14:textId="77777777" w:rsidR="00406E8A" w:rsidRPr="00BA4E53" w:rsidRDefault="00406E8A" w:rsidP="00CE2778"/>
          <w:p w14:paraId="6C1B7C16" w14:textId="77777777" w:rsidR="00406E8A" w:rsidRPr="00BA4E53" w:rsidRDefault="00406E8A" w:rsidP="00CE2778">
            <w:r w:rsidRPr="00BA4E53">
              <w:t>First 1.5 years, 100% of premiums paid or payable</w:t>
            </w:r>
          </w:p>
        </w:tc>
      </w:tr>
      <w:tr w:rsidR="00406E8A" w:rsidRPr="00BA4E53" w14:paraId="48B4DA8F" w14:textId="77777777" w:rsidTr="00CE2778">
        <w:tc>
          <w:tcPr>
            <w:tcW w:w="2660" w:type="dxa"/>
            <w:tcBorders>
              <w:top w:val="nil"/>
              <w:bottom w:val="nil"/>
              <w:right w:val="nil"/>
            </w:tcBorders>
          </w:tcPr>
          <w:p w14:paraId="06BC7DB7" w14:textId="77777777" w:rsidR="00406E8A" w:rsidRPr="00BA4E53" w:rsidRDefault="00406E8A" w:rsidP="00A62372">
            <w:pPr>
              <w:jc w:val="both"/>
              <w:rPr>
                <w:b/>
              </w:rPr>
            </w:pPr>
          </w:p>
          <w:p w14:paraId="082F8391" w14:textId="77777777" w:rsidR="00406E8A" w:rsidRPr="00BA4E53" w:rsidRDefault="002E13E3" w:rsidP="008D4DF5">
            <w:pPr>
              <w:rPr>
                <w:b/>
              </w:rPr>
            </w:pPr>
            <w:r w:rsidRPr="00BA4E53">
              <w:rPr>
                <w:b/>
              </w:rPr>
              <w:t>Superan</w:t>
            </w:r>
            <w:r w:rsidR="00406E8A" w:rsidRPr="00BA4E53">
              <w:rPr>
                <w:b/>
              </w:rPr>
              <w:t>n</w:t>
            </w:r>
            <w:r w:rsidRPr="00BA4E53">
              <w:rPr>
                <w:b/>
              </w:rPr>
              <w:t>uation</w:t>
            </w:r>
            <w:r w:rsidR="00406E8A" w:rsidRPr="00BA4E53">
              <w:rPr>
                <w:b/>
              </w:rPr>
              <w:t xml:space="preserve"> – </w:t>
            </w:r>
            <w:r w:rsidRPr="00BA4E53">
              <w:rPr>
                <w:b/>
              </w:rPr>
              <w:t>p</w:t>
            </w:r>
            <w:r w:rsidR="00406E8A" w:rsidRPr="00BA4E53">
              <w:rPr>
                <w:b/>
              </w:rPr>
              <w:t>articipating</w:t>
            </w:r>
          </w:p>
        </w:tc>
        <w:tc>
          <w:tcPr>
            <w:tcW w:w="2835" w:type="dxa"/>
            <w:tcBorders>
              <w:top w:val="nil"/>
              <w:left w:val="nil"/>
              <w:bottom w:val="nil"/>
              <w:right w:val="nil"/>
            </w:tcBorders>
          </w:tcPr>
          <w:p w14:paraId="21D6F9FD" w14:textId="77777777" w:rsidR="00406E8A" w:rsidRPr="00BA4E53" w:rsidRDefault="00406E8A" w:rsidP="00CE2778"/>
          <w:p w14:paraId="4F412E1C" w14:textId="77777777" w:rsidR="00406E8A" w:rsidRPr="00BA4E53" w:rsidRDefault="00406E8A" w:rsidP="00CE2778">
            <w:r w:rsidRPr="00BA4E53">
              <w:t>First 2 years, 100% of premiums paid or payable</w:t>
            </w:r>
          </w:p>
        </w:tc>
        <w:tc>
          <w:tcPr>
            <w:tcW w:w="2693" w:type="dxa"/>
            <w:tcBorders>
              <w:top w:val="nil"/>
              <w:left w:val="nil"/>
              <w:bottom w:val="nil"/>
            </w:tcBorders>
          </w:tcPr>
          <w:p w14:paraId="1292C1CA" w14:textId="77777777" w:rsidR="00406E8A" w:rsidRPr="00BA4E53" w:rsidRDefault="00406E8A" w:rsidP="00CE2778"/>
          <w:p w14:paraId="23211F27" w14:textId="77777777" w:rsidR="00406E8A" w:rsidRPr="00BA4E53" w:rsidRDefault="00406E8A" w:rsidP="00CE2778">
            <w:r w:rsidRPr="00BA4E53">
              <w:t>First 2 years, 100% of premiums paid or payable</w:t>
            </w:r>
          </w:p>
        </w:tc>
      </w:tr>
      <w:tr w:rsidR="00406E8A" w:rsidRPr="00BA4E53" w14:paraId="187215F1" w14:textId="77777777" w:rsidTr="00CE2778">
        <w:tc>
          <w:tcPr>
            <w:tcW w:w="2660" w:type="dxa"/>
            <w:tcBorders>
              <w:top w:val="nil"/>
              <w:bottom w:val="single" w:sz="6" w:space="0" w:color="auto"/>
              <w:right w:val="nil"/>
            </w:tcBorders>
          </w:tcPr>
          <w:p w14:paraId="5D316D0D" w14:textId="77777777" w:rsidR="00406E8A" w:rsidRPr="00BA4E53" w:rsidRDefault="00406E8A" w:rsidP="00A62372">
            <w:pPr>
              <w:jc w:val="both"/>
              <w:rPr>
                <w:b/>
              </w:rPr>
            </w:pPr>
          </w:p>
          <w:p w14:paraId="4C31620A" w14:textId="77777777" w:rsidR="00406E8A" w:rsidRPr="00BA4E53" w:rsidRDefault="00406E8A" w:rsidP="00A62372">
            <w:pPr>
              <w:jc w:val="both"/>
              <w:rPr>
                <w:b/>
              </w:rPr>
            </w:pPr>
            <w:r w:rsidRPr="00BA4E53">
              <w:rPr>
                <w:b/>
              </w:rPr>
              <w:t>Super</w:t>
            </w:r>
            <w:r w:rsidR="002E13E3" w:rsidRPr="00BA4E53">
              <w:rPr>
                <w:b/>
              </w:rPr>
              <w:t>a</w:t>
            </w:r>
            <w:r w:rsidRPr="00BA4E53">
              <w:rPr>
                <w:b/>
              </w:rPr>
              <w:t>n</w:t>
            </w:r>
            <w:r w:rsidR="002E13E3" w:rsidRPr="00BA4E53">
              <w:rPr>
                <w:b/>
              </w:rPr>
              <w:t>nuation</w:t>
            </w:r>
            <w:r w:rsidRPr="00BA4E53">
              <w:rPr>
                <w:b/>
              </w:rPr>
              <w:t xml:space="preserve"> – </w:t>
            </w:r>
          </w:p>
          <w:p w14:paraId="1D8AFD11" w14:textId="77777777" w:rsidR="00406E8A" w:rsidRPr="00BA4E53" w:rsidRDefault="002E13E3" w:rsidP="00A62372">
            <w:pPr>
              <w:jc w:val="both"/>
              <w:rPr>
                <w:b/>
              </w:rPr>
            </w:pPr>
            <w:r w:rsidRPr="00BA4E53">
              <w:rPr>
                <w:b/>
              </w:rPr>
              <w:t>n</w:t>
            </w:r>
            <w:r w:rsidR="00406E8A" w:rsidRPr="00BA4E53">
              <w:rPr>
                <w:b/>
              </w:rPr>
              <w:t>on-participating</w:t>
            </w:r>
          </w:p>
        </w:tc>
        <w:tc>
          <w:tcPr>
            <w:tcW w:w="2835" w:type="dxa"/>
            <w:tcBorders>
              <w:top w:val="nil"/>
              <w:left w:val="nil"/>
              <w:bottom w:val="single" w:sz="6" w:space="0" w:color="auto"/>
              <w:right w:val="nil"/>
            </w:tcBorders>
          </w:tcPr>
          <w:p w14:paraId="781B2A12" w14:textId="77777777" w:rsidR="00406E8A" w:rsidRPr="00BA4E53" w:rsidRDefault="00406E8A" w:rsidP="00CE2778">
            <w:pPr>
              <w:ind w:firstLine="720"/>
            </w:pPr>
          </w:p>
          <w:p w14:paraId="4529FDE2" w14:textId="77777777" w:rsidR="00406E8A" w:rsidRPr="00BA4E53" w:rsidRDefault="00406E8A" w:rsidP="00CE2778">
            <w:r w:rsidRPr="00BA4E53">
              <w:t>First 2 years, 100% of premiums paid or payable</w:t>
            </w:r>
          </w:p>
        </w:tc>
        <w:tc>
          <w:tcPr>
            <w:tcW w:w="2693" w:type="dxa"/>
            <w:tcBorders>
              <w:top w:val="nil"/>
              <w:left w:val="nil"/>
              <w:bottom w:val="single" w:sz="6" w:space="0" w:color="auto"/>
            </w:tcBorders>
          </w:tcPr>
          <w:p w14:paraId="76FD9EFD" w14:textId="77777777" w:rsidR="00406E8A" w:rsidRPr="00BA4E53" w:rsidRDefault="00406E8A" w:rsidP="00CE2778"/>
          <w:p w14:paraId="7AC95295" w14:textId="77777777" w:rsidR="00406E8A" w:rsidRPr="00BA4E53" w:rsidRDefault="00406E8A" w:rsidP="00CE2778">
            <w:r w:rsidRPr="00BA4E53">
              <w:t>First 1.5 years, 100% of premiums paid or payable</w:t>
            </w:r>
          </w:p>
        </w:tc>
      </w:tr>
    </w:tbl>
    <w:p w14:paraId="6BC0831C" w14:textId="77777777" w:rsidR="00406E8A" w:rsidRPr="00BA4E53" w:rsidRDefault="00406E8A" w:rsidP="00A62372">
      <w:pPr>
        <w:jc w:val="both"/>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2764"/>
        <w:gridCol w:w="2764"/>
      </w:tblGrid>
      <w:tr w:rsidR="00406E8A" w:rsidRPr="00BA4E53" w14:paraId="367EDB7A" w14:textId="77777777" w:rsidTr="00406E8A">
        <w:tc>
          <w:tcPr>
            <w:tcW w:w="2660" w:type="dxa"/>
          </w:tcPr>
          <w:p w14:paraId="5372AABA" w14:textId="77777777" w:rsidR="00406E8A" w:rsidRPr="00BA4E53" w:rsidRDefault="00406E8A" w:rsidP="00A62372">
            <w:pPr>
              <w:jc w:val="both"/>
              <w:rPr>
                <w:b/>
              </w:rPr>
            </w:pPr>
            <w:r w:rsidRPr="00BA4E53">
              <w:br w:type="page"/>
            </w:r>
          </w:p>
        </w:tc>
        <w:tc>
          <w:tcPr>
            <w:tcW w:w="2764" w:type="dxa"/>
          </w:tcPr>
          <w:p w14:paraId="710C8E97" w14:textId="77777777" w:rsidR="00406E8A" w:rsidRPr="00BA4E53" w:rsidRDefault="00406E8A" w:rsidP="00A62372">
            <w:pPr>
              <w:jc w:val="both"/>
              <w:rPr>
                <w:b/>
              </w:rPr>
            </w:pPr>
          </w:p>
        </w:tc>
        <w:tc>
          <w:tcPr>
            <w:tcW w:w="2764" w:type="dxa"/>
          </w:tcPr>
          <w:p w14:paraId="09C71BB6" w14:textId="77777777" w:rsidR="00406E8A" w:rsidRPr="00BA4E53" w:rsidRDefault="00406E8A" w:rsidP="00A62372">
            <w:pPr>
              <w:jc w:val="both"/>
              <w:rPr>
                <w:b/>
              </w:rPr>
            </w:pPr>
          </w:p>
        </w:tc>
      </w:tr>
      <w:tr w:rsidR="00406E8A" w:rsidRPr="00BA4E53" w14:paraId="20052626" w14:textId="77777777" w:rsidTr="00406E8A">
        <w:tc>
          <w:tcPr>
            <w:tcW w:w="2660" w:type="dxa"/>
            <w:tcBorders>
              <w:top w:val="nil"/>
              <w:bottom w:val="nil"/>
            </w:tcBorders>
          </w:tcPr>
          <w:p w14:paraId="3BB6A04D" w14:textId="77777777" w:rsidR="00406E8A" w:rsidRPr="00BA4E53" w:rsidRDefault="00406E8A" w:rsidP="00A62372">
            <w:pPr>
              <w:jc w:val="both"/>
              <w:rPr>
                <w:b/>
                <w:u w:val="single"/>
              </w:rPr>
            </w:pPr>
            <w:r w:rsidRPr="00BA4E53">
              <w:rPr>
                <w:b/>
                <w:u w:val="single"/>
              </w:rPr>
              <w:t xml:space="preserve">Single </w:t>
            </w:r>
            <w:r w:rsidR="00F03AF0" w:rsidRPr="00BA4E53">
              <w:rPr>
                <w:b/>
                <w:u w:val="single"/>
              </w:rPr>
              <w:t>p</w:t>
            </w:r>
            <w:r w:rsidRPr="00BA4E53">
              <w:rPr>
                <w:b/>
                <w:u w:val="single"/>
              </w:rPr>
              <w:t>remium</w:t>
            </w:r>
          </w:p>
          <w:p w14:paraId="683080AA" w14:textId="77777777" w:rsidR="00406E8A" w:rsidRPr="00BA4E53" w:rsidRDefault="00406E8A" w:rsidP="00A62372">
            <w:pPr>
              <w:jc w:val="both"/>
              <w:rPr>
                <w:b/>
                <w:u w:val="single"/>
              </w:rPr>
            </w:pPr>
          </w:p>
        </w:tc>
        <w:tc>
          <w:tcPr>
            <w:tcW w:w="2764" w:type="dxa"/>
            <w:tcBorders>
              <w:top w:val="nil"/>
              <w:bottom w:val="nil"/>
            </w:tcBorders>
          </w:tcPr>
          <w:p w14:paraId="27C4D9AB" w14:textId="77777777" w:rsidR="00406E8A" w:rsidRPr="00CE2778" w:rsidRDefault="00406E8A" w:rsidP="00A62372">
            <w:pPr>
              <w:jc w:val="both"/>
              <w:rPr>
                <w:b/>
                <w:u w:val="single"/>
              </w:rPr>
            </w:pPr>
            <w:smartTag w:uri="urn:schemas-microsoft-com:office:smarttags" w:element="stockticker">
              <w:r w:rsidRPr="00CE2778">
                <w:rPr>
                  <w:b/>
                  <w:u w:val="single"/>
                </w:rPr>
                <w:t>PRE</w:t>
              </w:r>
            </w:smartTag>
          </w:p>
        </w:tc>
        <w:tc>
          <w:tcPr>
            <w:tcW w:w="2764" w:type="dxa"/>
            <w:tcBorders>
              <w:top w:val="nil"/>
              <w:bottom w:val="nil"/>
            </w:tcBorders>
          </w:tcPr>
          <w:p w14:paraId="45DF3BC7" w14:textId="77777777" w:rsidR="00406E8A" w:rsidRPr="00CE2778" w:rsidRDefault="00406E8A" w:rsidP="00A62372">
            <w:pPr>
              <w:jc w:val="both"/>
              <w:rPr>
                <w:b/>
                <w:u w:val="single"/>
              </w:rPr>
            </w:pPr>
            <w:r w:rsidRPr="00CE2778">
              <w:rPr>
                <w:b/>
                <w:u w:val="single"/>
              </w:rPr>
              <w:t>POST</w:t>
            </w:r>
          </w:p>
        </w:tc>
      </w:tr>
      <w:tr w:rsidR="00406E8A" w:rsidRPr="00BA4E53" w14:paraId="4605DA50" w14:textId="77777777" w:rsidTr="00406E8A">
        <w:tc>
          <w:tcPr>
            <w:tcW w:w="2660" w:type="dxa"/>
            <w:tcBorders>
              <w:top w:val="nil"/>
              <w:bottom w:val="nil"/>
              <w:right w:val="nil"/>
            </w:tcBorders>
          </w:tcPr>
          <w:p w14:paraId="00954604" w14:textId="77777777" w:rsidR="00406E8A" w:rsidRPr="00BA4E53" w:rsidRDefault="00406E8A" w:rsidP="00A62372">
            <w:pPr>
              <w:jc w:val="both"/>
              <w:rPr>
                <w:b/>
              </w:rPr>
            </w:pPr>
            <w:r w:rsidRPr="00BA4E53">
              <w:rPr>
                <w:b/>
              </w:rPr>
              <w:t>Ordinary</w:t>
            </w:r>
          </w:p>
        </w:tc>
        <w:tc>
          <w:tcPr>
            <w:tcW w:w="2764" w:type="dxa"/>
            <w:tcBorders>
              <w:top w:val="nil"/>
              <w:left w:val="nil"/>
              <w:bottom w:val="nil"/>
              <w:right w:val="nil"/>
            </w:tcBorders>
          </w:tcPr>
          <w:p w14:paraId="79ABC27E" w14:textId="77777777" w:rsidR="00406E8A" w:rsidRPr="00BA4E53" w:rsidRDefault="00406E8A" w:rsidP="00A62372">
            <w:pPr>
              <w:pStyle w:val="Subject"/>
              <w:jc w:val="both"/>
              <w:rPr>
                <w:b w:val="0"/>
                <w:caps w:val="0"/>
                <w:lang w:val="en-AU"/>
              </w:rPr>
            </w:pPr>
            <w:r w:rsidRPr="00BA4E53">
              <w:rPr>
                <w:b w:val="0"/>
                <w:caps w:val="0"/>
                <w:lang w:val="en-AU"/>
              </w:rPr>
              <w:t>6.0% of premiums paid</w:t>
            </w:r>
          </w:p>
        </w:tc>
        <w:tc>
          <w:tcPr>
            <w:tcW w:w="2764" w:type="dxa"/>
            <w:tcBorders>
              <w:top w:val="nil"/>
              <w:left w:val="nil"/>
              <w:bottom w:val="nil"/>
            </w:tcBorders>
          </w:tcPr>
          <w:p w14:paraId="4D516112" w14:textId="77777777" w:rsidR="00406E8A" w:rsidRPr="00BA4E53" w:rsidRDefault="00406E8A" w:rsidP="00A62372">
            <w:pPr>
              <w:jc w:val="both"/>
            </w:pPr>
            <w:r w:rsidRPr="00BA4E53">
              <w:t>6.5% of premiums paid</w:t>
            </w:r>
          </w:p>
        </w:tc>
      </w:tr>
      <w:tr w:rsidR="00406E8A" w:rsidRPr="00BA4E53" w14:paraId="5EE549FC" w14:textId="77777777" w:rsidTr="00406E8A">
        <w:tc>
          <w:tcPr>
            <w:tcW w:w="2660" w:type="dxa"/>
            <w:tcBorders>
              <w:top w:val="nil"/>
              <w:bottom w:val="nil"/>
              <w:right w:val="nil"/>
            </w:tcBorders>
          </w:tcPr>
          <w:p w14:paraId="699502AE" w14:textId="77777777" w:rsidR="00013F62" w:rsidRPr="00BA4E53" w:rsidRDefault="00013F62" w:rsidP="00A62372">
            <w:pPr>
              <w:jc w:val="both"/>
              <w:rPr>
                <w:b/>
              </w:rPr>
            </w:pPr>
          </w:p>
          <w:p w14:paraId="1494C254" w14:textId="77777777" w:rsidR="00406E8A" w:rsidRPr="00BA4E53" w:rsidRDefault="00013F62" w:rsidP="008D4DF5">
            <w:pPr>
              <w:rPr>
                <w:b/>
              </w:rPr>
            </w:pPr>
            <w:r w:rsidRPr="00BA4E53">
              <w:rPr>
                <w:b/>
              </w:rPr>
              <w:t>S</w:t>
            </w:r>
            <w:r w:rsidR="00406E8A" w:rsidRPr="00BA4E53">
              <w:rPr>
                <w:b/>
              </w:rPr>
              <w:t>up</w:t>
            </w:r>
            <w:r w:rsidRPr="00BA4E53">
              <w:rPr>
                <w:b/>
              </w:rPr>
              <w:t>era</w:t>
            </w:r>
            <w:r w:rsidR="00406E8A" w:rsidRPr="00BA4E53">
              <w:rPr>
                <w:b/>
              </w:rPr>
              <w:t>n</w:t>
            </w:r>
            <w:r w:rsidRPr="00BA4E53">
              <w:rPr>
                <w:b/>
              </w:rPr>
              <w:t>nuation – p</w:t>
            </w:r>
            <w:r w:rsidR="00406E8A" w:rsidRPr="00BA4E53">
              <w:rPr>
                <w:b/>
              </w:rPr>
              <w:t xml:space="preserve">articipating </w:t>
            </w:r>
          </w:p>
        </w:tc>
        <w:tc>
          <w:tcPr>
            <w:tcW w:w="2764" w:type="dxa"/>
            <w:tcBorders>
              <w:top w:val="nil"/>
              <w:left w:val="nil"/>
              <w:bottom w:val="nil"/>
              <w:right w:val="nil"/>
            </w:tcBorders>
          </w:tcPr>
          <w:p w14:paraId="29EFC052" w14:textId="77777777" w:rsidR="00013F62" w:rsidRPr="00BA4E53" w:rsidRDefault="00013F62" w:rsidP="00A62372">
            <w:pPr>
              <w:jc w:val="both"/>
            </w:pPr>
          </w:p>
          <w:p w14:paraId="6DB1DF48" w14:textId="77777777" w:rsidR="00406E8A" w:rsidRPr="00BA4E53" w:rsidRDefault="00406E8A" w:rsidP="00A62372">
            <w:pPr>
              <w:jc w:val="both"/>
            </w:pPr>
            <w:r w:rsidRPr="00BA4E53">
              <w:t>7.5% of premiums paid</w:t>
            </w:r>
          </w:p>
        </w:tc>
        <w:tc>
          <w:tcPr>
            <w:tcW w:w="2764" w:type="dxa"/>
            <w:tcBorders>
              <w:top w:val="nil"/>
              <w:left w:val="nil"/>
              <w:bottom w:val="nil"/>
            </w:tcBorders>
          </w:tcPr>
          <w:p w14:paraId="5BCFB0A9" w14:textId="77777777" w:rsidR="00013F62" w:rsidRPr="00BA4E53" w:rsidRDefault="00013F62" w:rsidP="00A62372">
            <w:pPr>
              <w:jc w:val="both"/>
            </w:pPr>
          </w:p>
          <w:p w14:paraId="49B925A0" w14:textId="77777777" w:rsidR="00406E8A" w:rsidRPr="00BA4E53" w:rsidRDefault="00406E8A" w:rsidP="00A62372">
            <w:pPr>
              <w:jc w:val="both"/>
            </w:pPr>
            <w:r w:rsidRPr="00BA4E53">
              <w:t>7.5% of premiums paid</w:t>
            </w:r>
          </w:p>
        </w:tc>
      </w:tr>
      <w:tr w:rsidR="00406E8A" w:rsidRPr="00BA4E53" w14:paraId="12A15085" w14:textId="77777777" w:rsidTr="00406E8A">
        <w:tc>
          <w:tcPr>
            <w:tcW w:w="2660" w:type="dxa"/>
            <w:tcBorders>
              <w:top w:val="nil"/>
              <w:bottom w:val="nil"/>
              <w:right w:val="nil"/>
            </w:tcBorders>
          </w:tcPr>
          <w:p w14:paraId="1D5420BD" w14:textId="77777777" w:rsidR="00013F62" w:rsidRPr="00BA4E53" w:rsidRDefault="00013F62" w:rsidP="00A62372">
            <w:pPr>
              <w:jc w:val="both"/>
              <w:rPr>
                <w:b/>
              </w:rPr>
            </w:pPr>
          </w:p>
          <w:p w14:paraId="3F78C47B" w14:textId="77777777" w:rsidR="00406E8A" w:rsidRPr="00BA4E53" w:rsidRDefault="00013F62" w:rsidP="00DA58F7">
            <w:pPr>
              <w:rPr>
                <w:b/>
              </w:rPr>
            </w:pPr>
            <w:r w:rsidRPr="00BA4E53">
              <w:rPr>
                <w:b/>
              </w:rPr>
              <w:t>Supera</w:t>
            </w:r>
            <w:r w:rsidR="00406E8A" w:rsidRPr="00BA4E53">
              <w:rPr>
                <w:b/>
              </w:rPr>
              <w:t>n</w:t>
            </w:r>
            <w:r w:rsidRPr="00BA4E53">
              <w:rPr>
                <w:b/>
              </w:rPr>
              <w:t xml:space="preserve">nuation – </w:t>
            </w:r>
            <w:r w:rsidR="00DA58F7">
              <w:rPr>
                <w:b/>
              </w:rPr>
              <w:br/>
            </w:r>
            <w:r w:rsidRPr="00BA4E53">
              <w:rPr>
                <w:b/>
              </w:rPr>
              <w:t>n</w:t>
            </w:r>
            <w:r w:rsidR="00406E8A" w:rsidRPr="00BA4E53">
              <w:rPr>
                <w:b/>
              </w:rPr>
              <w:t>on-</w:t>
            </w:r>
            <w:r w:rsidRPr="00BA4E53">
              <w:rPr>
                <w:b/>
              </w:rPr>
              <w:t>p</w:t>
            </w:r>
            <w:r w:rsidR="00406E8A" w:rsidRPr="00BA4E53">
              <w:rPr>
                <w:b/>
              </w:rPr>
              <w:t>articipating</w:t>
            </w:r>
          </w:p>
        </w:tc>
        <w:tc>
          <w:tcPr>
            <w:tcW w:w="2764" w:type="dxa"/>
            <w:tcBorders>
              <w:top w:val="nil"/>
              <w:left w:val="nil"/>
              <w:bottom w:val="nil"/>
              <w:right w:val="nil"/>
            </w:tcBorders>
          </w:tcPr>
          <w:p w14:paraId="17168A03" w14:textId="77777777" w:rsidR="00013F62" w:rsidRPr="00BA4E53" w:rsidRDefault="00013F62" w:rsidP="00A62372">
            <w:pPr>
              <w:jc w:val="both"/>
            </w:pPr>
          </w:p>
          <w:p w14:paraId="56B95B12" w14:textId="77777777" w:rsidR="00406E8A" w:rsidRPr="00BA4E53" w:rsidRDefault="00406E8A" w:rsidP="00A62372">
            <w:pPr>
              <w:jc w:val="both"/>
            </w:pPr>
            <w:r w:rsidRPr="00BA4E53">
              <w:t>7.5% of premiums paid</w:t>
            </w:r>
          </w:p>
        </w:tc>
        <w:tc>
          <w:tcPr>
            <w:tcW w:w="2764" w:type="dxa"/>
            <w:tcBorders>
              <w:top w:val="nil"/>
              <w:left w:val="nil"/>
              <w:bottom w:val="nil"/>
            </w:tcBorders>
          </w:tcPr>
          <w:p w14:paraId="1FE7B468" w14:textId="77777777" w:rsidR="00013F62" w:rsidRPr="00BA4E53" w:rsidRDefault="00013F62" w:rsidP="00A62372">
            <w:pPr>
              <w:jc w:val="both"/>
            </w:pPr>
          </w:p>
          <w:p w14:paraId="1700BEB8" w14:textId="77777777" w:rsidR="00406E8A" w:rsidRPr="00BA4E53" w:rsidRDefault="00406E8A" w:rsidP="00A62372">
            <w:pPr>
              <w:jc w:val="both"/>
            </w:pPr>
            <w:r w:rsidRPr="00BA4E53">
              <w:t>6.5% of premiums paid</w:t>
            </w:r>
          </w:p>
        </w:tc>
      </w:tr>
      <w:tr w:rsidR="00406E8A" w:rsidRPr="00BA4E53" w14:paraId="5E2691D3" w14:textId="77777777" w:rsidTr="00406E8A">
        <w:tc>
          <w:tcPr>
            <w:tcW w:w="2660" w:type="dxa"/>
            <w:tcBorders>
              <w:top w:val="nil"/>
              <w:bottom w:val="single" w:sz="6" w:space="0" w:color="auto"/>
              <w:right w:val="nil"/>
            </w:tcBorders>
          </w:tcPr>
          <w:p w14:paraId="519AB038" w14:textId="77777777" w:rsidR="00013F62" w:rsidRPr="00BA4E53" w:rsidRDefault="00013F62" w:rsidP="00A62372">
            <w:pPr>
              <w:jc w:val="both"/>
              <w:rPr>
                <w:b/>
              </w:rPr>
            </w:pPr>
          </w:p>
          <w:p w14:paraId="36672D22" w14:textId="77777777" w:rsidR="00406E8A" w:rsidRPr="00BA4E53" w:rsidRDefault="00406E8A" w:rsidP="00A62372">
            <w:pPr>
              <w:jc w:val="both"/>
              <w:rPr>
                <w:b/>
              </w:rPr>
            </w:pPr>
            <w:r w:rsidRPr="00BA4E53">
              <w:rPr>
                <w:b/>
              </w:rPr>
              <w:t xml:space="preserve">Tax </w:t>
            </w:r>
            <w:r w:rsidR="00013F62" w:rsidRPr="00BA4E53">
              <w:rPr>
                <w:b/>
              </w:rPr>
              <w:t>e</w:t>
            </w:r>
            <w:r w:rsidRPr="00BA4E53">
              <w:rPr>
                <w:b/>
              </w:rPr>
              <w:t>xempt</w:t>
            </w:r>
          </w:p>
        </w:tc>
        <w:tc>
          <w:tcPr>
            <w:tcW w:w="2764" w:type="dxa"/>
            <w:tcBorders>
              <w:top w:val="nil"/>
              <w:left w:val="nil"/>
              <w:bottom w:val="single" w:sz="6" w:space="0" w:color="auto"/>
              <w:right w:val="nil"/>
            </w:tcBorders>
          </w:tcPr>
          <w:p w14:paraId="2F3B548F" w14:textId="77777777" w:rsidR="00013F62" w:rsidRPr="00BA4E53" w:rsidRDefault="00013F62" w:rsidP="00A62372">
            <w:pPr>
              <w:jc w:val="both"/>
            </w:pPr>
          </w:p>
          <w:p w14:paraId="1227B84F" w14:textId="77777777" w:rsidR="00406E8A" w:rsidRPr="00BA4E53" w:rsidRDefault="00406E8A" w:rsidP="00A62372">
            <w:pPr>
              <w:jc w:val="both"/>
            </w:pPr>
            <w:r w:rsidRPr="00BA4E53">
              <w:t>9.0% of premiums paid</w:t>
            </w:r>
          </w:p>
        </w:tc>
        <w:tc>
          <w:tcPr>
            <w:tcW w:w="2764" w:type="dxa"/>
            <w:tcBorders>
              <w:top w:val="nil"/>
              <w:left w:val="nil"/>
              <w:bottom w:val="single" w:sz="6" w:space="0" w:color="auto"/>
            </w:tcBorders>
          </w:tcPr>
          <w:p w14:paraId="18D677AF" w14:textId="77777777" w:rsidR="00013F62" w:rsidRPr="00BA4E53" w:rsidRDefault="00013F62" w:rsidP="00A62372">
            <w:pPr>
              <w:jc w:val="both"/>
            </w:pPr>
          </w:p>
          <w:p w14:paraId="76BA24E6" w14:textId="77777777" w:rsidR="00406E8A" w:rsidRPr="00BA4E53" w:rsidRDefault="00406E8A" w:rsidP="00A62372">
            <w:pPr>
              <w:jc w:val="both"/>
            </w:pPr>
            <w:r w:rsidRPr="00BA4E53">
              <w:t>6.5% of premiums paid</w:t>
            </w:r>
          </w:p>
        </w:tc>
      </w:tr>
    </w:tbl>
    <w:p w14:paraId="08B538AD" w14:textId="77777777" w:rsidR="00406E8A" w:rsidRPr="00BA4E53" w:rsidRDefault="00406E8A" w:rsidP="00A62372">
      <w:pPr>
        <w:jc w:val="both"/>
      </w:pPr>
    </w:p>
    <w:p w14:paraId="2B4C0357" w14:textId="77777777" w:rsidR="00406E8A" w:rsidRPr="003378FD" w:rsidRDefault="00406E8A" w:rsidP="00865EA1">
      <w:pPr>
        <w:spacing w:after="240"/>
        <w:jc w:val="both"/>
        <w:rPr>
          <w:rFonts w:ascii="Arial" w:hAnsi="Arial" w:cs="Arial"/>
          <w:i/>
        </w:rPr>
      </w:pPr>
      <w:r w:rsidRPr="003378FD">
        <w:rPr>
          <w:rFonts w:ascii="Arial" w:hAnsi="Arial" w:cs="Arial"/>
          <w:i/>
        </w:rPr>
        <w:t xml:space="preserve">Part </w:t>
      </w:r>
      <w:smartTag w:uri="urn:schemas-microsoft-com:office:smarttags" w:element="stockticker">
        <w:r w:rsidRPr="003378FD">
          <w:rPr>
            <w:rFonts w:ascii="Arial" w:hAnsi="Arial" w:cs="Arial"/>
            <w:i/>
          </w:rPr>
          <w:t>III</w:t>
        </w:r>
      </w:smartTag>
      <w:r w:rsidRPr="003378FD">
        <w:rPr>
          <w:rFonts w:ascii="Arial" w:hAnsi="Arial" w:cs="Arial"/>
          <w:i/>
        </w:rPr>
        <w:t xml:space="preserve"> - </w:t>
      </w:r>
      <w:r w:rsidR="00013F62" w:rsidRPr="003378FD">
        <w:rPr>
          <w:rFonts w:ascii="Arial" w:hAnsi="Arial" w:cs="Arial"/>
          <w:i/>
        </w:rPr>
        <w:t>t</w:t>
      </w:r>
      <w:r w:rsidRPr="003378FD">
        <w:rPr>
          <w:rFonts w:ascii="Arial" w:hAnsi="Arial" w:cs="Arial"/>
          <w:i/>
        </w:rPr>
        <w:t xml:space="preserve">raditional </w:t>
      </w:r>
      <w:r w:rsidR="00013F62" w:rsidRPr="003378FD">
        <w:rPr>
          <w:rFonts w:ascii="Arial" w:hAnsi="Arial" w:cs="Arial"/>
          <w:i/>
        </w:rPr>
        <w:t>b</w:t>
      </w:r>
      <w:r w:rsidRPr="003378FD">
        <w:rPr>
          <w:rFonts w:ascii="Arial" w:hAnsi="Arial" w:cs="Arial"/>
          <w:i/>
        </w:rPr>
        <w:t>usiness</w:t>
      </w:r>
      <w:r w:rsidR="004C132F" w:rsidRPr="003378FD">
        <w:rPr>
          <w:rFonts w:ascii="Arial" w:hAnsi="Arial" w:cs="Arial"/>
          <w:i/>
        </w:rPr>
        <w:t xml:space="preserve"> and </w:t>
      </w:r>
      <w:r w:rsidR="00455F82" w:rsidRPr="003378FD">
        <w:rPr>
          <w:rFonts w:ascii="Arial" w:hAnsi="Arial" w:cs="Arial"/>
          <w:i/>
        </w:rPr>
        <w:t xml:space="preserve">long term risk </w:t>
      </w:r>
      <w:r w:rsidR="004C132F" w:rsidRPr="003378FD">
        <w:rPr>
          <w:rFonts w:ascii="Arial" w:hAnsi="Arial" w:cs="Arial"/>
          <w:i/>
        </w:rPr>
        <w:t>business</w:t>
      </w:r>
      <w:r w:rsidR="00455F82" w:rsidRPr="003378FD">
        <w:rPr>
          <w:rFonts w:ascii="Arial" w:hAnsi="Arial" w:cs="Arial"/>
          <w:i/>
        </w:rPr>
        <w:t xml:space="preserve"> </w:t>
      </w:r>
    </w:p>
    <w:p w14:paraId="1E28E6D1" w14:textId="77777777" w:rsidR="00406E8A" w:rsidRPr="00BA4E53" w:rsidRDefault="00406E8A" w:rsidP="00EA657E">
      <w:pPr>
        <w:pStyle w:val="ListParagraph"/>
        <w:numPr>
          <w:ilvl w:val="0"/>
          <w:numId w:val="16"/>
        </w:numPr>
        <w:ind w:left="567" w:hanging="567"/>
        <w:jc w:val="both"/>
      </w:pPr>
      <w:r w:rsidRPr="00BA4E53">
        <w:t>The following parameters apply:</w:t>
      </w:r>
    </w:p>
    <w:p w14:paraId="222B9AF9" w14:textId="77777777" w:rsidR="00406E8A" w:rsidRPr="00BA4E53" w:rsidRDefault="00406E8A" w:rsidP="00EA657E">
      <w:pPr>
        <w:numPr>
          <w:ilvl w:val="0"/>
          <w:numId w:val="14"/>
        </w:numPr>
        <w:spacing w:after="240"/>
        <w:ind w:left="1134" w:hanging="567"/>
        <w:jc w:val="both"/>
      </w:pPr>
      <w:r w:rsidRPr="00BA4E53">
        <w:t>the rate of interest in determining</w:t>
      </w:r>
      <w:r w:rsidR="00013F62" w:rsidRPr="00BA4E53">
        <w:t xml:space="preserve"> the paid-up value is 4.00% p.a.;</w:t>
      </w:r>
    </w:p>
    <w:p w14:paraId="7DE4FB06" w14:textId="77777777" w:rsidR="00013F62" w:rsidRPr="00BA4E53" w:rsidRDefault="00406E8A" w:rsidP="00EA657E">
      <w:pPr>
        <w:numPr>
          <w:ilvl w:val="0"/>
          <w:numId w:val="14"/>
        </w:numPr>
        <w:spacing w:after="240"/>
        <w:ind w:left="1134" w:hanging="567"/>
        <w:jc w:val="both"/>
      </w:pPr>
      <w:r w:rsidRPr="00BA4E53">
        <w:t>the rate of interest in determining t</w:t>
      </w:r>
      <w:r w:rsidR="00013F62" w:rsidRPr="00BA4E53">
        <w:t xml:space="preserve">he </w:t>
      </w:r>
      <w:r w:rsidR="00694949" w:rsidRPr="00BA4E53">
        <w:t>termination</w:t>
      </w:r>
      <w:r w:rsidR="00013F62" w:rsidRPr="00BA4E53">
        <w:t xml:space="preserve"> value is 4.50% p.a.;</w:t>
      </w:r>
    </w:p>
    <w:p w14:paraId="547F1AB3" w14:textId="77777777" w:rsidR="00406E8A" w:rsidRPr="00BA4E53" w:rsidRDefault="00406E8A" w:rsidP="00EA657E">
      <w:pPr>
        <w:numPr>
          <w:ilvl w:val="0"/>
          <w:numId w:val="14"/>
        </w:numPr>
        <w:spacing w:after="240"/>
        <w:ind w:left="1134" w:hanging="567"/>
        <w:jc w:val="both"/>
      </w:pPr>
      <w:r w:rsidRPr="00BA4E53">
        <w:t xml:space="preserve">the rate of mortality is the </w:t>
      </w:r>
      <w:r w:rsidR="008D4DF5">
        <w:t>‘</w:t>
      </w:r>
      <w:r w:rsidRPr="00BA4E53">
        <w:t>A1924-29 Table</w:t>
      </w:r>
      <w:r w:rsidR="008D4DF5">
        <w:t>’</w:t>
      </w:r>
      <w:r w:rsidR="00013F62" w:rsidRPr="00BA4E53">
        <w:t>; and</w:t>
      </w:r>
    </w:p>
    <w:p w14:paraId="2B30393E" w14:textId="77777777" w:rsidR="00406E8A" w:rsidRPr="00BA4E53" w:rsidRDefault="00406E8A" w:rsidP="00EA657E">
      <w:pPr>
        <w:numPr>
          <w:ilvl w:val="0"/>
          <w:numId w:val="14"/>
        </w:numPr>
        <w:spacing w:after="240"/>
        <w:ind w:left="1134" w:hanging="567"/>
        <w:jc w:val="both"/>
      </w:pPr>
      <w:r w:rsidRPr="00BA4E53">
        <w:t xml:space="preserve">the allowance for cost of services is implicit through the use of a Sprague adjustment in the determination of the </w:t>
      </w:r>
      <w:r w:rsidR="00013F62" w:rsidRPr="00BA4E53">
        <w:t>n</w:t>
      </w:r>
      <w:r w:rsidRPr="00BA4E53">
        <w:t xml:space="preserve">et </w:t>
      </w:r>
      <w:r w:rsidR="00013F62" w:rsidRPr="00BA4E53">
        <w:t>p</w:t>
      </w:r>
      <w:r w:rsidRPr="00BA4E53">
        <w:t>remium, and a further adjustment factor.</w:t>
      </w:r>
      <w:r w:rsidR="004A45C4">
        <w:t xml:space="preserve"> </w:t>
      </w:r>
      <w:r w:rsidRPr="00BA4E53">
        <w:t>These adjustments are part of the prescribed methodology (see Attachment 2).</w:t>
      </w:r>
    </w:p>
    <w:p w14:paraId="7410CECB" w14:textId="77777777" w:rsidR="00406E8A" w:rsidRPr="00BA4E53" w:rsidRDefault="00406E8A" w:rsidP="00EA657E">
      <w:pPr>
        <w:pStyle w:val="ListParagraph"/>
        <w:numPr>
          <w:ilvl w:val="0"/>
          <w:numId w:val="16"/>
        </w:numPr>
        <w:ind w:left="567" w:hanging="567"/>
        <w:jc w:val="both"/>
      </w:pPr>
      <w:r w:rsidRPr="00BA4E53">
        <w:t xml:space="preserve">A reference to mortality in accordance with the </w:t>
      </w:r>
      <w:r w:rsidR="001F27CB" w:rsidRPr="00BA4E53">
        <w:t>‘</w:t>
      </w:r>
      <w:r w:rsidRPr="00BA4E53">
        <w:t>A1924-29 Table</w:t>
      </w:r>
      <w:r w:rsidR="001F27CB" w:rsidRPr="00BA4E53">
        <w:t>’</w:t>
      </w:r>
      <w:r w:rsidRPr="00BA4E53">
        <w:t xml:space="preserve"> is a reference to the ultimate table of mortality included in the tables published for the Institute and Faculty of Actuaries under that short title.</w:t>
      </w:r>
    </w:p>
    <w:p w14:paraId="43DA48B1" w14:textId="77777777" w:rsidR="00406E8A" w:rsidRPr="003378FD" w:rsidRDefault="00406E8A" w:rsidP="00865EA1">
      <w:pPr>
        <w:spacing w:after="240"/>
        <w:jc w:val="both"/>
        <w:rPr>
          <w:rFonts w:ascii="Arial" w:hAnsi="Arial" w:cs="Arial"/>
          <w:i/>
        </w:rPr>
      </w:pPr>
      <w:r w:rsidRPr="003378FD">
        <w:rPr>
          <w:rFonts w:ascii="Arial" w:hAnsi="Arial" w:cs="Arial"/>
          <w:i/>
        </w:rPr>
        <w:lastRenderedPageBreak/>
        <w:t xml:space="preserve">Part IV </w:t>
      </w:r>
      <w:r w:rsidR="00455F82" w:rsidRPr="003378FD">
        <w:rPr>
          <w:rFonts w:ascii="Arial" w:hAnsi="Arial" w:cs="Arial"/>
          <w:i/>
        </w:rPr>
        <w:t>–</w:t>
      </w:r>
      <w:r w:rsidRPr="003378FD">
        <w:rPr>
          <w:rFonts w:ascii="Arial" w:hAnsi="Arial" w:cs="Arial"/>
          <w:i/>
        </w:rPr>
        <w:t xml:space="preserve"> </w:t>
      </w:r>
      <w:r w:rsidR="00455F82" w:rsidRPr="003378FD">
        <w:rPr>
          <w:rFonts w:ascii="Arial" w:hAnsi="Arial" w:cs="Arial"/>
          <w:i/>
        </w:rPr>
        <w:t xml:space="preserve">alternative basis for </w:t>
      </w:r>
      <w:r w:rsidR="00013F62" w:rsidRPr="003378FD">
        <w:rPr>
          <w:rFonts w:ascii="Arial" w:hAnsi="Arial" w:cs="Arial"/>
          <w:i/>
        </w:rPr>
        <w:t>t</w:t>
      </w:r>
      <w:r w:rsidRPr="003378FD">
        <w:rPr>
          <w:rFonts w:ascii="Arial" w:hAnsi="Arial" w:cs="Arial"/>
          <w:i/>
        </w:rPr>
        <w:t xml:space="preserve">raditional </w:t>
      </w:r>
      <w:r w:rsidR="00013F62" w:rsidRPr="003378FD">
        <w:rPr>
          <w:rFonts w:ascii="Arial" w:hAnsi="Arial" w:cs="Arial"/>
          <w:i/>
        </w:rPr>
        <w:t>b</w:t>
      </w:r>
      <w:r w:rsidRPr="003378FD">
        <w:rPr>
          <w:rFonts w:ascii="Arial" w:hAnsi="Arial" w:cs="Arial"/>
          <w:i/>
        </w:rPr>
        <w:t>usiness</w:t>
      </w:r>
      <w:r w:rsidR="00455F82" w:rsidRPr="003378FD">
        <w:rPr>
          <w:rFonts w:ascii="Arial" w:hAnsi="Arial" w:cs="Arial"/>
          <w:i/>
        </w:rPr>
        <w:t xml:space="preserve"> and long term risk business issued after the date of commencement</w:t>
      </w:r>
    </w:p>
    <w:tbl>
      <w:tblPr>
        <w:tblW w:w="93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142"/>
        <w:gridCol w:w="1559"/>
        <w:gridCol w:w="56"/>
        <w:gridCol w:w="1620"/>
        <w:gridCol w:w="25"/>
        <w:gridCol w:w="1985"/>
        <w:gridCol w:w="1984"/>
      </w:tblGrid>
      <w:tr w:rsidR="00406E8A" w:rsidRPr="00BA4E53" w14:paraId="2DC4F293" w14:textId="77777777" w:rsidTr="00406E8A">
        <w:trPr>
          <w:cantSplit/>
        </w:trPr>
        <w:tc>
          <w:tcPr>
            <w:tcW w:w="1951" w:type="dxa"/>
            <w:tcBorders>
              <w:top w:val="double" w:sz="6" w:space="0" w:color="auto"/>
              <w:left w:val="double" w:sz="6" w:space="0" w:color="auto"/>
              <w:bottom w:val="nil"/>
            </w:tcBorders>
          </w:tcPr>
          <w:p w14:paraId="28238D63" w14:textId="77777777" w:rsidR="00406E8A" w:rsidRPr="00BA4E53" w:rsidRDefault="00406E8A" w:rsidP="00A62372">
            <w:pPr>
              <w:jc w:val="both"/>
              <w:rPr>
                <w:szCs w:val="24"/>
              </w:rPr>
            </w:pPr>
          </w:p>
        </w:tc>
        <w:tc>
          <w:tcPr>
            <w:tcW w:w="3402" w:type="dxa"/>
            <w:gridSpan w:val="5"/>
            <w:tcBorders>
              <w:top w:val="double" w:sz="6" w:space="0" w:color="auto"/>
              <w:bottom w:val="nil"/>
            </w:tcBorders>
          </w:tcPr>
          <w:p w14:paraId="76F3D5B2" w14:textId="77777777" w:rsidR="00406E8A" w:rsidRPr="0095272A" w:rsidRDefault="00406E8A" w:rsidP="00A62372">
            <w:pPr>
              <w:jc w:val="both"/>
              <w:rPr>
                <w:b/>
              </w:rPr>
            </w:pPr>
            <w:r w:rsidRPr="0095272A">
              <w:rPr>
                <w:b/>
              </w:rPr>
              <w:t xml:space="preserve">Interest </w:t>
            </w:r>
            <w:r w:rsidR="00013F62" w:rsidRPr="0095272A">
              <w:rPr>
                <w:b/>
              </w:rPr>
              <w:t>r</w:t>
            </w:r>
            <w:r w:rsidRPr="0095272A">
              <w:rPr>
                <w:b/>
              </w:rPr>
              <w:t>ate</w:t>
            </w:r>
          </w:p>
        </w:tc>
        <w:tc>
          <w:tcPr>
            <w:tcW w:w="3969" w:type="dxa"/>
            <w:gridSpan w:val="2"/>
            <w:tcBorders>
              <w:top w:val="double" w:sz="6" w:space="0" w:color="auto"/>
              <w:bottom w:val="nil"/>
              <w:right w:val="double" w:sz="6" w:space="0" w:color="auto"/>
            </w:tcBorders>
          </w:tcPr>
          <w:p w14:paraId="0359F97D" w14:textId="77777777" w:rsidR="00406E8A" w:rsidRPr="0095272A" w:rsidRDefault="00013F62" w:rsidP="00A62372">
            <w:pPr>
              <w:jc w:val="both"/>
              <w:rPr>
                <w:b/>
              </w:rPr>
            </w:pPr>
            <w:r w:rsidRPr="0095272A">
              <w:rPr>
                <w:b/>
              </w:rPr>
              <w:t>Initial e</w:t>
            </w:r>
            <w:r w:rsidR="00406E8A" w:rsidRPr="0095272A">
              <w:rPr>
                <w:b/>
              </w:rPr>
              <w:t xml:space="preserve">xpense </w:t>
            </w:r>
            <w:r w:rsidRPr="0095272A">
              <w:rPr>
                <w:b/>
              </w:rPr>
              <w:t>a</w:t>
            </w:r>
            <w:r w:rsidR="00406E8A" w:rsidRPr="0095272A">
              <w:rPr>
                <w:b/>
              </w:rPr>
              <w:t>llowance</w:t>
            </w:r>
          </w:p>
        </w:tc>
      </w:tr>
      <w:tr w:rsidR="00406E8A" w:rsidRPr="00BA4E53" w14:paraId="7ECA7436" w14:textId="77777777" w:rsidTr="00406E8A">
        <w:trPr>
          <w:cantSplit/>
        </w:trPr>
        <w:tc>
          <w:tcPr>
            <w:tcW w:w="1951" w:type="dxa"/>
            <w:tcBorders>
              <w:top w:val="nil"/>
              <w:left w:val="double" w:sz="6" w:space="0" w:color="auto"/>
              <w:bottom w:val="double" w:sz="6" w:space="0" w:color="auto"/>
            </w:tcBorders>
          </w:tcPr>
          <w:p w14:paraId="779AB3C9" w14:textId="77777777" w:rsidR="00406E8A" w:rsidRPr="00BA4E53" w:rsidRDefault="00406E8A" w:rsidP="00A62372">
            <w:pPr>
              <w:jc w:val="both"/>
            </w:pPr>
          </w:p>
        </w:tc>
        <w:tc>
          <w:tcPr>
            <w:tcW w:w="3402" w:type="dxa"/>
            <w:gridSpan w:val="5"/>
            <w:tcBorders>
              <w:top w:val="nil"/>
              <w:bottom w:val="double" w:sz="6" w:space="0" w:color="auto"/>
            </w:tcBorders>
          </w:tcPr>
          <w:p w14:paraId="04F023AE" w14:textId="77777777" w:rsidR="00406E8A" w:rsidRPr="0095272A" w:rsidRDefault="00406E8A" w:rsidP="00A62372">
            <w:pPr>
              <w:jc w:val="both"/>
              <w:rPr>
                <w:b/>
              </w:rPr>
            </w:pPr>
            <w:r w:rsidRPr="0095272A">
              <w:rPr>
                <w:b/>
              </w:rPr>
              <w:t>(</w:t>
            </w:r>
            <w:r w:rsidR="00956F3A" w:rsidRPr="0095272A">
              <w:rPr>
                <w:b/>
              </w:rPr>
              <w:t>refer n</w:t>
            </w:r>
            <w:r w:rsidRPr="0095272A">
              <w:rPr>
                <w:b/>
              </w:rPr>
              <w:t>ote 1)</w:t>
            </w:r>
          </w:p>
        </w:tc>
        <w:tc>
          <w:tcPr>
            <w:tcW w:w="3969" w:type="dxa"/>
            <w:gridSpan w:val="2"/>
            <w:tcBorders>
              <w:top w:val="nil"/>
              <w:bottom w:val="double" w:sz="6" w:space="0" w:color="auto"/>
              <w:right w:val="double" w:sz="6" w:space="0" w:color="auto"/>
            </w:tcBorders>
          </w:tcPr>
          <w:p w14:paraId="0B956EDB" w14:textId="77777777" w:rsidR="00406E8A" w:rsidRPr="0095272A" w:rsidRDefault="00956F3A" w:rsidP="00A62372">
            <w:pPr>
              <w:jc w:val="both"/>
              <w:rPr>
                <w:b/>
              </w:rPr>
            </w:pPr>
            <w:r w:rsidRPr="0095272A">
              <w:rPr>
                <w:b/>
              </w:rPr>
              <w:t>(refer n</w:t>
            </w:r>
            <w:r w:rsidR="00406E8A" w:rsidRPr="0095272A">
              <w:rPr>
                <w:b/>
              </w:rPr>
              <w:t>ote 4)</w:t>
            </w:r>
          </w:p>
        </w:tc>
      </w:tr>
      <w:tr w:rsidR="00406E8A" w:rsidRPr="00BA4E53" w14:paraId="255427F7" w14:textId="77777777" w:rsidTr="00406E8A">
        <w:tc>
          <w:tcPr>
            <w:tcW w:w="9322" w:type="dxa"/>
            <w:gridSpan w:val="8"/>
          </w:tcPr>
          <w:p w14:paraId="37D945B6" w14:textId="77777777" w:rsidR="00406E8A" w:rsidRPr="00BA4E53" w:rsidRDefault="00406E8A" w:rsidP="00A62372">
            <w:pPr>
              <w:jc w:val="both"/>
              <w:rPr>
                <w:b/>
              </w:rPr>
            </w:pPr>
          </w:p>
        </w:tc>
      </w:tr>
      <w:tr w:rsidR="00406E8A" w:rsidRPr="00BA4E53" w14:paraId="3261CDCA" w14:textId="77777777" w:rsidTr="00406E8A">
        <w:trPr>
          <w:cantSplit/>
        </w:trPr>
        <w:tc>
          <w:tcPr>
            <w:tcW w:w="2093" w:type="dxa"/>
            <w:gridSpan w:val="2"/>
          </w:tcPr>
          <w:p w14:paraId="288E0832" w14:textId="77777777" w:rsidR="00406E8A" w:rsidRPr="00EE1089" w:rsidRDefault="00EE1089" w:rsidP="00A62372">
            <w:pPr>
              <w:jc w:val="both"/>
              <w:rPr>
                <w:b/>
                <w:u w:val="single"/>
              </w:rPr>
            </w:pPr>
            <w:r w:rsidRPr="00EE1089">
              <w:rPr>
                <w:b/>
                <w:u w:val="single"/>
              </w:rPr>
              <w:t>Regular premium</w:t>
            </w:r>
          </w:p>
        </w:tc>
        <w:tc>
          <w:tcPr>
            <w:tcW w:w="1559" w:type="dxa"/>
          </w:tcPr>
          <w:p w14:paraId="6BDD3B5B" w14:textId="77777777" w:rsidR="00406E8A" w:rsidRPr="00BA4E53" w:rsidRDefault="00406E8A" w:rsidP="00A62372">
            <w:pPr>
              <w:jc w:val="both"/>
              <w:rPr>
                <w:b/>
                <w:u w:val="single"/>
              </w:rPr>
            </w:pPr>
            <w:smartTag w:uri="urn:schemas-microsoft-com:office:smarttags" w:element="stockticker">
              <w:r w:rsidRPr="00BA4E53">
                <w:rPr>
                  <w:b/>
                  <w:u w:val="single"/>
                </w:rPr>
                <w:t>PRE</w:t>
              </w:r>
            </w:smartTag>
          </w:p>
        </w:tc>
        <w:tc>
          <w:tcPr>
            <w:tcW w:w="1676" w:type="dxa"/>
            <w:gridSpan w:val="2"/>
          </w:tcPr>
          <w:p w14:paraId="213B000E" w14:textId="77777777" w:rsidR="00406E8A" w:rsidRPr="00BA4E53" w:rsidRDefault="00406E8A" w:rsidP="00A62372">
            <w:pPr>
              <w:jc w:val="both"/>
              <w:rPr>
                <w:b/>
                <w:u w:val="single"/>
              </w:rPr>
            </w:pPr>
            <w:r w:rsidRPr="00BA4E53">
              <w:rPr>
                <w:b/>
                <w:u w:val="single"/>
              </w:rPr>
              <w:t>POST</w:t>
            </w:r>
          </w:p>
        </w:tc>
        <w:tc>
          <w:tcPr>
            <w:tcW w:w="2010" w:type="dxa"/>
            <w:gridSpan w:val="2"/>
          </w:tcPr>
          <w:p w14:paraId="6F7DE56F" w14:textId="77777777" w:rsidR="00406E8A" w:rsidRPr="00BA4E53" w:rsidRDefault="00406E8A" w:rsidP="00A62372">
            <w:pPr>
              <w:jc w:val="both"/>
              <w:rPr>
                <w:b/>
                <w:u w:val="single"/>
              </w:rPr>
            </w:pPr>
            <w:r w:rsidRPr="00BA4E53">
              <w:rPr>
                <w:b/>
                <w:u w:val="single"/>
              </w:rPr>
              <w:t>PRE</w:t>
            </w:r>
          </w:p>
        </w:tc>
        <w:tc>
          <w:tcPr>
            <w:tcW w:w="1984" w:type="dxa"/>
          </w:tcPr>
          <w:p w14:paraId="4BD7D70C" w14:textId="77777777" w:rsidR="00406E8A" w:rsidRPr="00BA4E53" w:rsidRDefault="00406E8A" w:rsidP="00A62372">
            <w:pPr>
              <w:jc w:val="both"/>
              <w:rPr>
                <w:b/>
                <w:u w:val="single"/>
              </w:rPr>
            </w:pPr>
            <w:r w:rsidRPr="00BA4E53">
              <w:rPr>
                <w:b/>
                <w:u w:val="single"/>
              </w:rPr>
              <w:t>POST</w:t>
            </w:r>
          </w:p>
        </w:tc>
      </w:tr>
      <w:tr w:rsidR="00406E8A" w:rsidRPr="00BA4E53" w14:paraId="43C32706" w14:textId="77777777" w:rsidTr="00406E8A">
        <w:trPr>
          <w:cantSplit/>
        </w:trPr>
        <w:tc>
          <w:tcPr>
            <w:tcW w:w="2093" w:type="dxa"/>
            <w:gridSpan w:val="2"/>
          </w:tcPr>
          <w:p w14:paraId="6D207D78" w14:textId="77777777" w:rsidR="00406E8A" w:rsidRPr="00BA4E53" w:rsidRDefault="00406E8A" w:rsidP="00A62372">
            <w:pPr>
              <w:jc w:val="both"/>
              <w:rPr>
                <w:b/>
              </w:rPr>
            </w:pPr>
          </w:p>
          <w:p w14:paraId="127A628D" w14:textId="77777777" w:rsidR="00406E8A" w:rsidRPr="00BA4E53" w:rsidRDefault="00406E8A" w:rsidP="00A62372">
            <w:pPr>
              <w:jc w:val="both"/>
              <w:rPr>
                <w:b/>
              </w:rPr>
            </w:pPr>
            <w:r w:rsidRPr="00BA4E53">
              <w:rPr>
                <w:b/>
              </w:rPr>
              <w:t>Ordinary</w:t>
            </w:r>
          </w:p>
        </w:tc>
        <w:tc>
          <w:tcPr>
            <w:tcW w:w="1559" w:type="dxa"/>
          </w:tcPr>
          <w:p w14:paraId="7C237BBC" w14:textId="77777777" w:rsidR="00406E8A" w:rsidRPr="00BA4E53" w:rsidRDefault="00406E8A" w:rsidP="00A62372">
            <w:pPr>
              <w:jc w:val="both"/>
            </w:pPr>
          </w:p>
          <w:p w14:paraId="784EC432" w14:textId="77777777" w:rsidR="00406E8A" w:rsidRPr="00BA4E53" w:rsidRDefault="00406E8A" w:rsidP="00A62372">
            <w:pPr>
              <w:jc w:val="both"/>
            </w:pPr>
            <w:r w:rsidRPr="00BA4E53">
              <w:t xml:space="preserve">61% of </w:t>
            </w:r>
            <w:r w:rsidR="00956F3A" w:rsidRPr="00BA4E53">
              <w:t>g</w:t>
            </w:r>
            <w:r w:rsidRPr="00BA4E53">
              <w:t xml:space="preserve">ross </w:t>
            </w:r>
            <w:r w:rsidR="00956F3A" w:rsidRPr="00BA4E53">
              <w:t>r</w:t>
            </w:r>
            <w:r w:rsidRPr="00BA4E53">
              <w:t>ate</w:t>
            </w:r>
          </w:p>
        </w:tc>
        <w:tc>
          <w:tcPr>
            <w:tcW w:w="1676" w:type="dxa"/>
            <w:gridSpan w:val="2"/>
          </w:tcPr>
          <w:p w14:paraId="00C99765" w14:textId="77777777" w:rsidR="00406E8A" w:rsidRPr="00BA4E53" w:rsidRDefault="00406E8A" w:rsidP="00A62372">
            <w:pPr>
              <w:jc w:val="both"/>
            </w:pPr>
          </w:p>
          <w:p w14:paraId="50C1C074" w14:textId="77777777" w:rsidR="00406E8A" w:rsidRPr="00BA4E53" w:rsidRDefault="00406E8A" w:rsidP="00A62372">
            <w:pPr>
              <w:jc w:val="both"/>
            </w:pPr>
            <w:r w:rsidRPr="00BA4E53">
              <w:t xml:space="preserve">70% of </w:t>
            </w:r>
          </w:p>
          <w:p w14:paraId="3400F5EA" w14:textId="77777777" w:rsidR="00406E8A" w:rsidRPr="00BA4E53" w:rsidRDefault="00956F3A" w:rsidP="00A62372">
            <w:pPr>
              <w:jc w:val="both"/>
            </w:pPr>
            <w:r w:rsidRPr="00BA4E53">
              <w:t>g</w:t>
            </w:r>
            <w:r w:rsidR="00406E8A" w:rsidRPr="00BA4E53">
              <w:t xml:space="preserve">ross </w:t>
            </w:r>
            <w:r w:rsidRPr="00BA4E53">
              <w:t>r</w:t>
            </w:r>
            <w:r w:rsidR="00406E8A" w:rsidRPr="00BA4E53">
              <w:t>ate</w:t>
            </w:r>
          </w:p>
        </w:tc>
        <w:tc>
          <w:tcPr>
            <w:tcW w:w="2010" w:type="dxa"/>
            <w:gridSpan w:val="2"/>
          </w:tcPr>
          <w:p w14:paraId="23E6D3CC" w14:textId="77777777" w:rsidR="00956F3A" w:rsidRPr="00BA4E53" w:rsidRDefault="00956F3A" w:rsidP="00A62372">
            <w:pPr>
              <w:jc w:val="both"/>
            </w:pPr>
          </w:p>
          <w:p w14:paraId="6957FF04" w14:textId="77777777" w:rsidR="00406E8A" w:rsidRPr="00BA4E53" w:rsidRDefault="00406E8A" w:rsidP="00A62372">
            <w:pPr>
              <w:jc w:val="both"/>
            </w:pPr>
            <w:r w:rsidRPr="00BA4E53">
              <w:t>1.5 year Sprague adjustment</w:t>
            </w:r>
          </w:p>
          <w:p w14:paraId="6FDF2859" w14:textId="77777777" w:rsidR="00406E8A" w:rsidRPr="00BA4E53" w:rsidRDefault="00406E8A" w:rsidP="00A62372">
            <w:pPr>
              <w:jc w:val="both"/>
            </w:pPr>
          </w:p>
          <w:p w14:paraId="5F1BCDC0" w14:textId="77777777" w:rsidR="00406E8A" w:rsidRPr="00BA4E53" w:rsidRDefault="00406E8A" w:rsidP="00A62372">
            <w:pPr>
              <w:jc w:val="both"/>
            </w:pPr>
            <w:r w:rsidRPr="00BA4E53">
              <w:t>Factor = 88%</w:t>
            </w:r>
          </w:p>
          <w:p w14:paraId="48B11C7C" w14:textId="77777777" w:rsidR="00406E8A" w:rsidRPr="00BA4E53" w:rsidRDefault="00406E8A" w:rsidP="00A62372">
            <w:pPr>
              <w:jc w:val="both"/>
            </w:pPr>
          </w:p>
        </w:tc>
        <w:tc>
          <w:tcPr>
            <w:tcW w:w="1984" w:type="dxa"/>
          </w:tcPr>
          <w:p w14:paraId="4D9EA3CD" w14:textId="77777777" w:rsidR="00956F3A" w:rsidRPr="00BA4E53" w:rsidRDefault="00956F3A" w:rsidP="00A62372">
            <w:pPr>
              <w:jc w:val="both"/>
            </w:pPr>
          </w:p>
          <w:p w14:paraId="59FED8BF" w14:textId="77777777" w:rsidR="00406E8A" w:rsidRPr="00BA4E53" w:rsidRDefault="00406E8A" w:rsidP="00A62372">
            <w:pPr>
              <w:jc w:val="both"/>
            </w:pPr>
            <w:r w:rsidRPr="00BA4E53">
              <w:t>1.5 year Sprague adjustment</w:t>
            </w:r>
          </w:p>
          <w:p w14:paraId="20CDF918" w14:textId="77777777" w:rsidR="00406E8A" w:rsidRPr="00BA4E53" w:rsidRDefault="00406E8A" w:rsidP="00A62372">
            <w:pPr>
              <w:jc w:val="both"/>
            </w:pPr>
          </w:p>
          <w:p w14:paraId="18D9E22A" w14:textId="77777777" w:rsidR="00406E8A" w:rsidRPr="00BA4E53" w:rsidRDefault="00406E8A" w:rsidP="00A62372">
            <w:pPr>
              <w:jc w:val="both"/>
            </w:pPr>
            <w:r w:rsidRPr="00BA4E53">
              <w:t>Factor = 88%</w:t>
            </w:r>
          </w:p>
          <w:p w14:paraId="79C633EE" w14:textId="77777777" w:rsidR="00406E8A" w:rsidRPr="00BA4E53" w:rsidRDefault="00406E8A" w:rsidP="00A62372">
            <w:pPr>
              <w:jc w:val="both"/>
            </w:pPr>
          </w:p>
        </w:tc>
      </w:tr>
      <w:tr w:rsidR="00406E8A" w:rsidRPr="00BA4E53" w14:paraId="7511FF8B" w14:textId="77777777" w:rsidTr="00406E8A">
        <w:trPr>
          <w:cantSplit/>
        </w:trPr>
        <w:tc>
          <w:tcPr>
            <w:tcW w:w="2093" w:type="dxa"/>
            <w:gridSpan w:val="2"/>
          </w:tcPr>
          <w:p w14:paraId="30BCEADF" w14:textId="77777777" w:rsidR="00406E8A" w:rsidRPr="00BA4E53" w:rsidRDefault="00406E8A" w:rsidP="00A62372">
            <w:pPr>
              <w:jc w:val="both"/>
              <w:rPr>
                <w:b/>
              </w:rPr>
            </w:pPr>
            <w:r w:rsidRPr="00BA4E53">
              <w:rPr>
                <w:b/>
              </w:rPr>
              <w:t>Superannuation</w:t>
            </w:r>
            <w:r w:rsidR="00956F3A" w:rsidRPr="00BA4E53">
              <w:rPr>
                <w:b/>
              </w:rPr>
              <w:t xml:space="preserve"> p</w:t>
            </w:r>
            <w:r w:rsidRPr="00BA4E53">
              <w:rPr>
                <w:b/>
              </w:rPr>
              <w:t xml:space="preserve">articipating </w:t>
            </w:r>
          </w:p>
          <w:p w14:paraId="5A8B30BF" w14:textId="77777777" w:rsidR="00406E8A" w:rsidRPr="00BA4E53" w:rsidRDefault="00406E8A" w:rsidP="00A62372">
            <w:pPr>
              <w:jc w:val="both"/>
              <w:rPr>
                <w:b/>
              </w:rPr>
            </w:pPr>
          </w:p>
          <w:p w14:paraId="28D9F105" w14:textId="77777777" w:rsidR="00406E8A" w:rsidRPr="00BA4E53" w:rsidRDefault="00406E8A" w:rsidP="00A62372">
            <w:pPr>
              <w:jc w:val="both"/>
              <w:rPr>
                <w:b/>
              </w:rPr>
            </w:pPr>
          </w:p>
          <w:p w14:paraId="4C001A4B" w14:textId="77777777" w:rsidR="00406E8A" w:rsidRPr="00BA4E53" w:rsidRDefault="00406E8A" w:rsidP="00A62372">
            <w:pPr>
              <w:ind w:firstLine="851"/>
              <w:jc w:val="both"/>
              <w:rPr>
                <w:b/>
              </w:rPr>
            </w:pPr>
          </w:p>
        </w:tc>
        <w:tc>
          <w:tcPr>
            <w:tcW w:w="1559" w:type="dxa"/>
          </w:tcPr>
          <w:p w14:paraId="3AFD820B" w14:textId="77777777" w:rsidR="00406E8A" w:rsidRPr="00BA4E53" w:rsidRDefault="00406E8A" w:rsidP="00A62372">
            <w:pPr>
              <w:jc w:val="both"/>
            </w:pPr>
            <w:r w:rsidRPr="00BA4E53">
              <w:t>85% of (</w:t>
            </w:r>
            <w:r w:rsidR="00956F3A" w:rsidRPr="00BA4E53">
              <w:t>g</w:t>
            </w:r>
            <w:r w:rsidRPr="00BA4E53">
              <w:t xml:space="preserve">ross </w:t>
            </w:r>
            <w:r w:rsidR="00956F3A" w:rsidRPr="00BA4E53">
              <w:t>r</w:t>
            </w:r>
            <w:r w:rsidRPr="00BA4E53">
              <w:t>ate less 1%)</w:t>
            </w:r>
          </w:p>
        </w:tc>
        <w:tc>
          <w:tcPr>
            <w:tcW w:w="1676" w:type="dxa"/>
            <w:gridSpan w:val="2"/>
          </w:tcPr>
          <w:p w14:paraId="2A72AED3" w14:textId="77777777" w:rsidR="00406E8A" w:rsidRPr="00BA4E53" w:rsidRDefault="00406E8A" w:rsidP="00A62372">
            <w:pPr>
              <w:jc w:val="both"/>
            </w:pPr>
            <w:r w:rsidRPr="00BA4E53">
              <w:t xml:space="preserve">85% of </w:t>
            </w:r>
          </w:p>
          <w:p w14:paraId="0CA98B6E" w14:textId="77777777" w:rsidR="00406E8A" w:rsidRPr="00BA4E53" w:rsidRDefault="00406E8A" w:rsidP="00A62372">
            <w:pPr>
              <w:jc w:val="both"/>
            </w:pPr>
            <w:r w:rsidRPr="00BA4E53">
              <w:t>(</w:t>
            </w:r>
            <w:r w:rsidR="00956F3A" w:rsidRPr="00BA4E53">
              <w:t>g</w:t>
            </w:r>
            <w:r w:rsidRPr="00BA4E53">
              <w:t xml:space="preserve">ross </w:t>
            </w:r>
            <w:r w:rsidR="00956F3A" w:rsidRPr="00BA4E53">
              <w:t>r</w:t>
            </w:r>
            <w:r w:rsidRPr="00BA4E53">
              <w:t>ate less 1%)</w:t>
            </w:r>
          </w:p>
        </w:tc>
        <w:tc>
          <w:tcPr>
            <w:tcW w:w="2010" w:type="dxa"/>
            <w:gridSpan w:val="2"/>
          </w:tcPr>
          <w:p w14:paraId="5F56A5F8" w14:textId="77777777" w:rsidR="00406E8A" w:rsidRPr="00BA4E53" w:rsidRDefault="00406E8A" w:rsidP="00A62372">
            <w:pPr>
              <w:jc w:val="both"/>
            </w:pPr>
            <w:r w:rsidRPr="00BA4E53">
              <w:t>2 year Sprague adjustment</w:t>
            </w:r>
          </w:p>
          <w:p w14:paraId="1A29FEFA" w14:textId="77777777" w:rsidR="00406E8A" w:rsidRPr="00BA4E53" w:rsidRDefault="00406E8A" w:rsidP="00A62372">
            <w:pPr>
              <w:jc w:val="both"/>
            </w:pPr>
          </w:p>
          <w:p w14:paraId="5827752A" w14:textId="77777777" w:rsidR="00406E8A" w:rsidRPr="00BA4E53" w:rsidRDefault="00406E8A" w:rsidP="00A62372">
            <w:pPr>
              <w:jc w:val="both"/>
            </w:pPr>
            <w:r w:rsidRPr="00BA4E53">
              <w:t xml:space="preserve">Factor = 85% </w:t>
            </w:r>
          </w:p>
        </w:tc>
        <w:tc>
          <w:tcPr>
            <w:tcW w:w="1984" w:type="dxa"/>
          </w:tcPr>
          <w:p w14:paraId="7CC6BCDF" w14:textId="77777777" w:rsidR="00406E8A" w:rsidRPr="00BA4E53" w:rsidRDefault="00406E8A" w:rsidP="00A62372">
            <w:pPr>
              <w:jc w:val="both"/>
            </w:pPr>
            <w:r w:rsidRPr="00BA4E53">
              <w:t>2 year Sprague adjustment</w:t>
            </w:r>
          </w:p>
          <w:p w14:paraId="6F48B770" w14:textId="77777777" w:rsidR="00406E8A" w:rsidRPr="00BA4E53" w:rsidRDefault="00406E8A" w:rsidP="00A62372">
            <w:pPr>
              <w:jc w:val="both"/>
            </w:pPr>
          </w:p>
          <w:p w14:paraId="53B22A6A" w14:textId="77777777" w:rsidR="00406E8A" w:rsidRPr="00BA4E53" w:rsidRDefault="00406E8A" w:rsidP="00A62372">
            <w:pPr>
              <w:jc w:val="both"/>
            </w:pPr>
            <w:r w:rsidRPr="00BA4E53">
              <w:t xml:space="preserve">Factor = 85% </w:t>
            </w:r>
          </w:p>
        </w:tc>
      </w:tr>
      <w:tr w:rsidR="00406E8A" w:rsidRPr="00BA4E53" w14:paraId="2CA5202A" w14:textId="77777777" w:rsidTr="00406E8A">
        <w:trPr>
          <w:cantSplit/>
        </w:trPr>
        <w:tc>
          <w:tcPr>
            <w:tcW w:w="2093" w:type="dxa"/>
            <w:gridSpan w:val="2"/>
          </w:tcPr>
          <w:p w14:paraId="4E856BEF" w14:textId="77777777" w:rsidR="00406E8A" w:rsidRPr="00BA4E53" w:rsidRDefault="00406E8A" w:rsidP="00A62372">
            <w:pPr>
              <w:jc w:val="both"/>
              <w:rPr>
                <w:b/>
              </w:rPr>
            </w:pPr>
            <w:r w:rsidRPr="00BA4E53">
              <w:rPr>
                <w:b/>
              </w:rPr>
              <w:t xml:space="preserve">Superannuation </w:t>
            </w:r>
          </w:p>
          <w:p w14:paraId="6F8A9427" w14:textId="77777777" w:rsidR="00406E8A" w:rsidRPr="00BA4E53" w:rsidRDefault="00956F3A" w:rsidP="00A62372">
            <w:pPr>
              <w:jc w:val="both"/>
              <w:rPr>
                <w:b/>
              </w:rPr>
            </w:pPr>
            <w:r w:rsidRPr="00BA4E53">
              <w:rPr>
                <w:b/>
              </w:rPr>
              <w:t>non-p</w:t>
            </w:r>
            <w:r w:rsidR="00406E8A" w:rsidRPr="00BA4E53">
              <w:rPr>
                <w:b/>
              </w:rPr>
              <w:t>articipating</w:t>
            </w:r>
          </w:p>
          <w:p w14:paraId="32627E53" w14:textId="77777777" w:rsidR="00406E8A" w:rsidRPr="00BA4E53" w:rsidRDefault="00406E8A" w:rsidP="00A62372">
            <w:pPr>
              <w:ind w:firstLine="851"/>
              <w:jc w:val="both"/>
              <w:rPr>
                <w:b/>
              </w:rPr>
            </w:pPr>
          </w:p>
        </w:tc>
        <w:tc>
          <w:tcPr>
            <w:tcW w:w="1559" w:type="dxa"/>
          </w:tcPr>
          <w:p w14:paraId="07950E32" w14:textId="77777777" w:rsidR="00406E8A" w:rsidRPr="00BA4E53" w:rsidRDefault="00406E8A" w:rsidP="00A62372">
            <w:pPr>
              <w:jc w:val="both"/>
            </w:pPr>
            <w:r w:rsidRPr="00BA4E53">
              <w:t xml:space="preserve">85% of </w:t>
            </w:r>
            <w:r w:rsidR="00956F3A" w:rsidRPr="00BA4E53">
              <w:t>g</w:t>
            </w:r>
            <w:r w:rsidRPr="00BA4E53">
              <w:t xml:space="preserve">ross </w:t>
            </w:r>
            <w:r w:rsidR="00956F3A" w:rsidRPr="00BA4E53">
              <w:t>r</w:t>
            </w:r>
            <w:r w:rsidRPr="00BA4E53">
              <w:t>ate</w:t>
            </w:r>
          </w:p>
        </w:tc>
        <w:tc>
          <w:tcPr>
            <w:tcW w:w="1676" w:type="dxa"/>
            <w:gridSpan w:val="2"/>
          </w:tcPr>
          <w:p w14:paraId="7C4E580C" w14:textId="77777777" w:rsidR="00406E8A" w:rsidRPr="00BA4E53" w:rsidRDefault="00406E8A" w:rsidP="00A62372">
            <w:pPr>
              <w:jc w:val="both"/>
            </w:pPr>
            <w:r w:rsidRPr="00BA4E53">
              <w:t xml:space="preserve">85% of </w:t>
            </w:r>
          </w:p>
          <w:p w14:paraId="6494B3ED" w14:textId="77777777" w:rsidR="00406E8A" w:rsidRPr="00BA4E53" w:rsidRDefault="00956F3A" w:rsidP="00A62372">
            <w:pPr>
              <w:jc w:val="both"/>
            </w:pPr>
            <w:r w:rsidRPr="00BA4E53">
              <w:t>g</w:t>
            </w:r>
            <w:r w:rsidR="00406E8A" w:rsidRPr="00BA4E53">
              <w:t xml:space="preserve">ross </w:t>
            </w:r>
            <w:r w:rsidRPr="00BA4E53">
              <w:t>r</w:t>
            </w:r>
            <w:r w:rsidR="00406E8A" w:rsidRPr="00BA4E53">
              <w:t>ate</w:t>
            </w:r>
          </w:p>
        </w:tc>
        <w:tc>
          <w:tcPr>
            <w:tcW w:w="2010" w:type="dxa"/>
            <w:gridSpan w:val="2"/>
          </w:tcPr>
          <w:p w14:paraId="37C776C5" w14:textId="77777777" w:rsidR="00406E8A" w:rsidRPr="00BA4E53" w:rsidRDefault="00406E8A" w:rsidP="00A62372">
            <w:pPr>
              <w:jc w:val="both"/>
            </w:pPr>
            <w:r w:rsidRPr="00BA4E53">
              <w:t>2 year Sprague adjustment</w:t>
            </w:r>
          </w:p>
          <w:p w14:paraId="7A243E14" w14:textId="77777777" w:rsidR="00406E8A" w:rsidRPr="00BA4E53" w:rsidRDefault="00406E8A" w:rsidP="00A62372">
            <w:pPr>
              <w:jc w:val="both"/>
            </w:pPr>
          </w:p>
          <w:p w14:paraId="5B6E6F4A" w14:textId="77777777" w:rsidR="00406E8A" w:rsidRPr="00BA4E53" w:rsidRDefault="00406E8A" w:rsidP="00A62372">
            <w:pPr>
              <w:jc w:val="both"/>
            </w:pPr>
            <w:r w:rsidRPr="00BA4E53">
              <w:t xml:space="preserve">Factor = 85% </w:t>
            </w:r>
          </w:p>
        </w:tc>
        <w:tc>
          <w:tcPr>
            <w:tcW w:w="1984" w:type="dxa"/>
          </w:tcPr>
          <w:p w14:paraId="36B0449F" w14:textId="77777777" w:rsidR="00406E8A" w:rsidRPr="00BA4E53" w:rsidRDefault="00406E8A" w:rsidP="00A62372">
            <w:pPr>
              <w:jc w:val="both"/>
            </w:pPr>
            <w:r w:rsidRPr="00BA4E53">
              <w:t>1.5 year Sprague adjustment</w:t>
            </w:r>
          </w:p>
          <w:p w14:paraId="23456054" w14:textId="77777777" w:rsidR="00406E8A" w:rsidRPr="00BA4E53" w:rsidRDefault="00406E8A" w:rsidP="00A62372">
            <w:pPr>
              <w:jc w:val="both"/>
            </w:pPr>
          </w:p>
          <w:p w14:paraId="378D44D1" w14:textId="77777777" w:rsidR="00406E8A" w:rsidRPr="00BA4E53" w:rsidRDefault="00406E8A" w:rsidP="00A62372">
            <w:pPr>
              <w:jc w:val="both"/>
            </w:pPr>
            <w:r w:rsidRPr="00BA4E53">
              <w:t xml:space="preserve">Factor = 88% </w:t>
            </w:r>
          </w:p>
          <w:p w14:paraId="4195D8A6" w14:textId="77777777" w:rsidR="00406E8A" w:rsidRPr="00BA4E53" w:rsidRDefault="00406E8A" w:rsidP="00A62372">
            <w:pPr>
              <w:jc w:val="both"/>
            </w:pPr>
          </w:p>
        </w:tc>
      </w:tr>
      <w:tr w:rsidR="00406E8A" w:rsidRPr="00BA4E53" w14:paraId="1D65D3B7" w14:textId="77777777" w:rsidTr="00406E8A">
        <w:tc>
          <w:tcPr>
            <w:tcW w:w="2093" w:type="dxa"/>
            <w:gridSpan w:val="2"/>
          </w:tcPr>
          <w:p w14:paraId="55CFA627" w14:textId="77777777" w:rsidR="00406E8A" w:rsidRPr="00BA4E53" w:rsidRDefault="00406E8A" w:rsidP="00A62372">
            <w:pPr>
              <w:spacing w:after="240"/>
              <w:jc w:val="both"/>
            </w:pPr>
          </w:p>
        </w:tc>
        <w:tc>
          <w:tcPr>
            <w:tcW w:w="3235" w:type="dxa"/>
            <w:gridSpan w:val="3"/>
          </w:tcPr>
          <w:p w14:paraId="1A25F72B" w14:textId="77777777" w:rsidR="00406E8A" w:rsidRPr="0095272A" w:rsidRDefault="00406E8A" w:rsidP="00A62372">
            <w:pPr>
              <w:spacing w:after="240"/>
              <w:jc w:val="both"/>
              <w:rPr>
                <w:i/>
                <w:noProof/>
              </w:rPr>
            </w:pPr>
            <w:r w:rsidRPr="0095272A">
              <w:rPr>
                <w:i/>
              </w:rPr>
              <w:t xml:space="preserve">Where </w:t>
            </w:r>
            <w:r w:rsidR="00956F3A" w:rsidRPr="0095272A">
              <w:rPr>
                <w:i/>
              </w:rPr>
              <w:t>g</w:t>
            </w:r>
            <w:r w:rsidRPr="0095272A">
              <w:rPr>
                <w:i/>
              </w:rPr>
              <w:t xml:space="preserve">ross </w:t>
            </w:r>
            <w:r w:rsidR="00956F3A" w:rsidRPr="0095272A">
              <w:rPr>
                <w:i/>
              </w:rPr>
              <w:t>r</w:t>
            </w:r>
            <w:r w:rsidRPr="0095272A">
              <w:rPr>
                <w:i/>
              </w:rPr>
              <w:t>ate is 9.25%</w:t>
            </w:r>
            <w:r w:rsidR="0095272A">
              <w:rPr>
                <w:i/>
              </w:rPr>
              <w:br/>
            </w:r>
          </w:p>
        </w:tc>
        <w:tc>
          <w:tcPr>
            <w:tcW w:w="2010" w:type="dxa"/>
            <w:gridSpan w:val="2"/>
          </w:tcPr>
          <w:p w14:paraId="3D87EDA9" w14:textId="77777777" w:rsidR="00406E8A" w:rsidRPr="00BA4E53" w:rsidRDefault="00406E8A" w:rsidP="00A62372">
            <w:pPr>
              <w:spacing w:after="240"/>
              <w:jc w:val="both"/>
            </w:pPr>
          </w:p>
        </w:tc>
        <w:tc>
          <w:tcPr>
            <w:tcW w:w="1984" w:type="dxa"/>
          </w:tcPr>
          <w:p w14:paraId="22B53959" w14:textId="77777777" w:rsidR="00406E8A" w:rsidRPr="00BA4E53" w:rsidRDefault="00406E8A" w:rsidP="00A62372">
            <w:pPr>
              <w:spacing w:after="240"/>
              <w:jc w:val="both"/>
            </w:pPr>
          </w:p>
        </w:tc>
      </w:tr>
      <w:tr w:rsidR="00406E8A" w:rsidRPr="00BA4E53" w14:paraId="6EF9055E" w14:textId="77777777" w:rsidTr="00406E8A">
        <w:trPr>
          <w:cantSplit/>
        </w:trPr>
        <w:tc>
          <w:tcPr>
            <w:tcW w:w="2093" w:type="dxa"/>
            <w:gridSpan w:val="2"/>
          </w:tcPr>
          <w:p w14:paraId="6677D8CA" w14:textId="77777777" w:rsidR="00406E8A" w:rsidRPr="00BA4E53" w:rsidRDefault="00406E8A" w:rsidP="00A62372">
            <w:pPr>
              <w:jc w:val="both"/>
              <w:rPr>
                <w:b/>
                <w:u w:val="single"/>
              </w:rPr>
            </w:pPr>
            <w:r w:rsidRPr="00BA4E53">
              <w:rPr>
                <w:b/>
                <w:u w:val="single"/>
              </w:rPr>
              <w:t xml:space="preserve">Single </w:t>
            </w:r>
            <w:r w:rsidR="00013F62" w:rsidRPr="00BA4E53">
              <w:rPr>
                <w:b/>
                <w:u w:val="single"/>
              </w:rPr>
              <w:t>p</w:t>
            </w:r>
            <w:r w:rsidRPr="00BA4E53">
              <w:rPr>
                <w:b/>
                <w:u w:val="single"/>
              </w:rPr>
              <w:t>remium</w:t>
            </w:r>
          </w:p>
        </w:tc>
        <w:tc>
          <w:tcPr>
            <w:tcW w:w="1615" w:type="dxa"/>
            <w:gridSpan w:val="2"/>
          </w:tcPr>
          <w:p w14:paraId="1EC497E6" w14:textId="77777777" w:rsidR="00406E8A" w:rsidRPr="00BA4E53" w:rsidRDefault="00406E8A" w:rsidP="00A62372">
            <w:pPr>
              <w:jc w:val="both"/>
              <w:rPr>
                <w:b/>
                <w:u w:val="single"/>
              </w:rPr>
            </w:pPr>
            <w:smartTag w:uri="urn:schemas-microsoft-com:office:smarttags" w:element="stockticker">
              <w:r w:rsidRPr="00BA4E53">
                <w:rPr>
                  <w:b/>
                  <w:u w:val="single"/>
                </w:rPr>
                <w:t>PRE</w:t>
              </w:r>
            </w:smartTag>
          </w:p>
        </w:tc>
        <w:tc>
          <w:tcPr>
            <w:tcW w:w="1620" w:type="dxa"/>
          </w:tcPr>
          <w:p w14:paraId="77041636" w14:textId="77777777" w:rsidR="00406E8A" w:rsidRPr="00BA4E53" w:rsidRDefault="00406E8A" w:rsidP="00A62372">
            <w:pPr>
              <w:jc w:val="both"/>
              <w:rPr>
                <w:b/>
                <w:u w:val="single"/>
              </w:rPr>
            </w:pPr>
            <w:r w:rsidRPr="00BA4E53">
              <w:rPr>
                <w:b/>
                <w:u w:val="single"/>
              </w:rPr>
              <w:t>POST</w:t>
            </w:r>
          </w:p>
        </w:tc>
        <w:tc>
          <w:tcPr>
            <w:tcW w:w="2010" w:type="dxa"/>
            <w:gridSpan w:val="2"/>
          </w:tcPr>
          <w:p w14:paraId="72D516A4" w14:textId="77777777" w:rsidR="00406E8A" w:rsidRPr="00BA4E53" w:rsidRDefault="00406E8A" w:rsidP="00A62372">
            <w:pPr>
              <w:jc w:val="both"/>
              <w:rPr>
                <w:b/>
                <w:u w:val="single"/>
              </w:rPr>
            </w:pPr>
            <w:smartTag w:uri="urn:schemas-microsoft-com:office:smarttags" w:element="stockticker">
              <w:r w:rsidRPr="00BA4E53">
                <w:rPr>
                  <w:b/>
                  <w:u w:val="single"/>
                </w:rPr>
                <w:t>PRE</w:t>
              </w:r>
            </w:smartTag>
          </w:p>
        </w:tc>
        <w:tc>
          <w:tcPr>
            <w:tcW w:w="1984" w:type="dxa"/>
          </w:tcPr>
          <w:p w14:paraId="73D289AF" w14:textId="77777777" w:rsidR="00406E8A" w:rsidRPr="00BA4E53" w:rsidRDefault="00406E8A" w:rsidP="00A62372">
            <w:pPr>
              <w:jc w:val="both"/>
              <w:rPr>
                <w:b/>
                <w:u w:val="single"/>
              </w:rPr>
            </w:pPr>
            <w:r w:rsidRPr="00BA4E53">
              <w:rPr>
                <w:b/>
                <w:u w:val="single"/>
              </w:rPr>
              <w:t>POST</w:t>
            </w:r>
          </w:p>
        </w:tc>
      </w:tr>
      <w:tr w:rsidR="00406E8A" w:rsidRPr="00BA4E53" w14:paraId="60B1C18C" w14:textId="77777777" w:rsidTr="00406E8A">
        <w:trPr>
          <w:cantSplit/>
        </w:trPr>
        <w:tc>
          <w:tcPr>
            <w:tcW w:w="2093" w:type="dxa"/>
            <w:gridSpan w:val="2"/>
          </w:tcPr>
          <w:p w14:paraId="624FDEA8" w14:textId="77777777" w:rsidR="00406E8A" w:rsidRPr="00BA4E53" w:rsidRDefault="00406E8A" w:rsidP="00A62372">
            <w:pPr>
              <w:jc w:val="both"/>
              <w:rPr>
                <w:b/>
              </w:rPr>
            </w:pPr>
          </w:p>
        </w:tc>
        <w:tc>
          <w:tcPr>
            <w:tcW w:w="1615" w:type="dxa"/>
            <w:gridSpan w:val="2"/>
          </w:tcPr>
          <w:p w14:paraId="2D1DC872" w14:textId="77777777" w:rsidR="00406E8A" w:rsidRPr="00BA4E53" w:rsidRDefault="00406E8A" w:rsidP="00A62372">
            <w:pPr>
              <w:jc w:val="both"/>
              <w:rPr>
                <w:b/>
              </w:rPr>
            </w:pPr>
          </w:p>
        </w:tc>
        <w:tc>
          <w:tcPr>
            <w:tcW w:w="1620" w:type="dxa"/>
          </w:tcPr>
          <w:p w14:paraId="6A9F8917" w14:textId="77777777" w:rsidR="00406E8A" w:rsidRPr="00BA4E53" w:rsidRDefault="00406E8A" w:rsidP="00A62372">
            <w:pPr>
              <w:jc w:val="both"/>
              <w:rPr>
                <w:b/>
              </w:rPr>
            </w:pPr>
          </w:p>
        </w:tc>
        <w:tc>
          <w:tcPr>
            <w:tcW w:w="2010" w:type="dxa"/>
            <w:gridSpan w:val="2"/>
          </w:tcPr>
          <w:p w14:paraId="055B22BB" w14:textId="77777777" w:rsidR="00406E8A" w:rsidRPr="00BA4E53" w:rsidRDefault="00406E8A" w:rsidP="00A62372">
            <w:pPr>
              <w:jc w:val="both"/>
              <w:rPr>
                <w:b/>
              </w:rPr>
            </w:pPr>
          </w:p>
        </w:tc>
        <w:tc>
          <w:tcPr>
            <w:tcW w:w="1984" w:type="dxa"/>
          </w:tcPr>
          <w:p w14:paraId="14501E94" w14:textId="77777777" w:rsidR="00406E8A" w:rsidRPr="00BA4E53" w:rsidRDefault="00406E8A" w:rsidP="00A62372">
            <w:pPr>
              <w:jc w:val="both"/>
              <w:rPr>
                <w:b/>
              </w:rPr>
            </w:pPr>
          </w:p>
        </w:tc>
      </w:tr>
      <w:tr w:rsidR="00406E8A" w:rsidRPr="00BA4E53" w14:paraId="257BFDB7" w14:textId="77777777" w:rsidTr="00406E8A">
        <w:trPr>
          <w:cantSplit/>
        </w:trPr>
        <w:tc>
          <w:tcPr>
            <w:tcW w:w="2093" w:type="dxa"/>
            <w:gridSpan w:val="2"/>
          </w:tcPr>
          <w:p w14:paraId="1E5AF107" w14:textId="77777777" w:rsidR="00406E8A" w:rsidRPr="00BA4E53" w:rsidRDefault="00406E8A" w:rsidP="00A62372">
            <w:pPr>
              <w:jc w:val="both"/>
              <w:rPr>
                <w:b/>
              </w:rPr>
            </w:pPr>
            <w:r w:rsidRPr="00BA4E53">
              <w:rPr>
                <w:b/>
              </w:rPr>
              <w:t>Ordinary</w:t>
            </w:r>
          </w:p>
        </w:tc>
        <w:tc>
          <w:tcPr>
            <w:tcW w:w="1615" w:type="dxa"/>
            <w:gridSpan w:val="2"/>
          </w:tcPr>
          <w:p w14:paraId="21DD52DE" w14:textId="77777777" w:rsidR="00406E8A" w:rsidRPr="00BA4E53" w:rsidRDefault="00406E8A" w:rsidP="00A62372">
            <w:pPr>
              <w:jc w:val="both"/>
            </w:pPr>
            <w:r w:rsidRPr="00BA4E53">
              <w:t xml:space="preserve">61% of </w:t>
            </w:r>
          </w:p>
          <w:p w14:paraId="42C0C067" w14:textId="77777777" w:rsidR="00406E8A" w:rsidRPr="00BA4E53" w:rsidRDefault="00956F3A" w:rsidP="00A62372">
            <w:pPr>
              <w:jc w:val="both"/>
            </w:pPr>
            <w:r w:rsidRPr="00BA4E53">
              <w:t>g</w:t>
            </w:r>
            <w:r w:rsidR="00406E8A" w:rsidRPr="00BA4E53">
              <w:t xml:space="preserve">ross </w:t>
            </w:r>
            <w:r w:rsidRPr="00BA4E53">
              <w:t>r</w:t>
            </w:r>
            <w:r w:rsidR="00406E8A" w:rsidRPr="00BA4E53">
              <w:t>ate</w:t>
            </w:r>
          </w:p>
        </w:tc>
        <w:tc>
          <w:tcPr>
            <w:tcW w:w="1620" w:type="dxa"/>
          </w:tcPr>
          <w:p w14:paraId="77A1FA45" w14:textId="77777777" w:rsidR="00406E8A" w:rsidRPr="00BA4E53" w:rsidRDefault="00406E8A" w:rsidP="00A62372">
            <w:pPr>
              <w:jc w:val="both"/>
            </w:pPr>
            <w:r w:rsidRPr="00BA4E53">
              <w:t xml:space="preserve">70% of </w:t>
            </w:r>
          </w:p>
          <w:p w14:paraId="1C0B1484" w14:textId="77777777" w:rsidR="00406E8A" w:rsidRPr="00BA4E53" w:rsidRDefault="00956F3A" w:rsidP="00A62372">
            <w:pPr>
              <w:jc w:val="both"/>
            </w:pPr>
            <w:r w:rsidRPr="00BA4E53">
              <w:t>g</w:t>
            </w:r>
            <w:r w:rsidR="00406E8A" w:rsidRPr="00BA4E53">
              <w:t xml:space="preserve">ross </w:t>
            </w:r>
            <w:r w:rsidRPr="00BA4E53">
              <w:t>r</w:t>
            </w:r>
            <w:r w:rsidR="00406E8A" w:rsidRPr="00BA4E53">
              <w:t>ate</w:t>
            </w:r>
          </w:p>
        </w:tc>
        <w:tc>
          <w:tcPr>
            <w:tcW w:w="2010" w:type="dxa"/>
            <w:gridSpan w:val="2"/>
          </w:tcPr>
          <w:p w14:paraId="701ED1B5" w14:textId="77777777" w:rsidR="00406E8A" w:rsidRPr="00BA4E53" w:rsidRDefault="00406E8A" w:rsidP="00A62372">
            <w:pPr>
              <w:jc w:val="both"/>
            </w:pPr>
            <w:r w:rsidRPr="00BA4E53">
              <w:t>Factor = 94%</w:t>
            </w:r>
          </w:p>
        </w:tc>
        <w:tc>
          <w:tcPr>
            <w:tcW w:w="1984" w:type="dxa"/>
          </w:tcPr>
          <w:p w14:paraId="69601113" w14:textId="77777777" w:rsidR="00406E8A" w:rsidRPr="00BA4E53" w:rsidRDefault="00406E8A" w:rsidP="00A62372">
            <w:pPr>
              <w:jc w:val="both"/>
            </w:pPr>
            <w:r w:rsidRPr="00BA4E53">
              <w:t>Factor = 94%</w:t>
            </w:r>
          </w:p>
        </w:tc>
      </w:tr>
      <w:tr w:rsidR="00406E8A" w:rsidRPr="00BA4E53" w14:paraId="1BFD48B0" w14:textId="77777777" w:rsidTr="00406E8A">
        <w:trPr>
          <w:cantSplit/>
        </w:trPr>
        <w:tc>
          <w:tcPr>
            <w:tcW w:w="2093" w:type="dxa"/>
            <w:gridSpan w:val="2"/>
          </w:tcPr>
          <w:p w14:paraId="20C119F8" w14:textId="77777777" w:rsidR="00406E8A" w:rsidRPr="00BA4E53" w:rsidRDefault="00406E8A" w:rsidP="00A62372">
            <w:pPr>
              <w:jc w:val="both"/>
              <w:rPr>
                <w:b/>
              </w:rPr>
            </w:pPr>
          </w:p>
          <w:p w14:paraId="2B0DF352" w14:textId="77777777" w:rsidR="00406E8A" w:rsidRPr="00BA4E53" w:rsidRDefault="00406E8A" w:rsidP="00A62372">
            <w:pPr>
              <w:jc w:val="both"/>
              <w:rPr>
                <w:b/>
              </w:rPr>
            </w:pPr>
            <w:r w:rsidRPr="00BA4E53">
              <w:rPr>
                <w:b/>
              </w:rPr>
              <w:t>Superannuation</w:t>
            </w:r>
          </w:p>
          <w:p w14:paraId="513C5B6B" w14:textId="77777777" w:rsidR="00406E8A" w:rsidRPr="00BA4E53" w:rsidRDefault="00956F3A" w:rsidP="00A62372">
            <w:pPr>
              <w:jc w:val="both"/>
              <w:rPr>
                <w:b/>
              </w:rPr>
            </w:pPr>
            <w:r w:rsidRPr="00BA4E53">
              <w:rPr>
                <w:b/>
              </w:rPr>
              <w:t>p</w:t>
            </w:r>
            <w:r w:rsidR="00406E8A" w:rsidRPr="00BA4E53">
              <w:rPr>
                <w:b/>
              </w:rPr>
              <w:t xml:space="preserve">articipating </w:t>
            </w:r>
          </w:p>
        </w:tc>
        <w:tc>
          <w:tcPr>
            <w:tcW w:w="1615" w:type="dxa"/>
            <w:gridSpan w:val="2"/>
          </w:tcPr>
          <w:p w14:paraId="138BEE6B" w14:textId="77777777" w:rsidR="00406E8A" w:rsidRPr="00BA4E53" w:rsidRDefault="00406E8A" w:rsidP="00A62372">
            <w:pPr>
              <w:jc w:val="both"/>
            </w:pPr>
          </w:p>
          <w:p w14:paraId="7A462A7A" w14:textId="77777777" w:rsidR="00406E8A" w:rsidRPr="00BA4E53" w:rsidRDefault="00406E8A" w:rsidP="00A62372">
            <w:pPr>
              <w:jc w:val="both"/>
            </w:pPr>
            <w:r w:rsidRPr="00BA4E53">
              <w:t>85% of (</w:t>
            </w:r>
            <w:r w:rsidR="00956F3A" w:rsidRPr="00BA4E53">
              <w:t>g</w:t>
            </w:r>
            <w:r w:rsidRPr="00BA4E53">
              <w:t xml:space="preserve">ross </w:t>
            </w:r>
            <w:r w:rsidR="00956F3A" w:rsidRPr="00BA4E53">
              <w:t>r</w:t>
            </w:r>
            <w:r w:rsidRPr="00BA4E53">
              <w:t>ate less 1%)</w:t>
            </w:r>
          </w:p>
        </w:tc>
        <w:tc>
          <w:tcPr>
            <w:tcW w:w="1620" w:type="dxa"/>
          </w:tcPr>
          <w:p w14:paraId="70D87F95" w14:textId="77777777" w:rsidR="00406E8A" w:rsidRPr="00BA4E53" w:rsidRDefault="00406E8A" w:rsidP="00A62372">
            <w:pPr>
              <w:jc w:val="both"/>
            </w:pPr>
          </w:p>
          <w:p w14:paraId="3CA35B4F" w14:textId="77777777" w:rsidR="00406E8A" w:rsidRPr="00BA4E53" w:rsidRDefault="00406E8A" w:rsidP="00A62372">
            <w:pPr>
              <w:jc w:val="both"/>
            </w:pPr>
            <w:r w:rsidRPr="00BA4E53">
              <w:t>85% of (</w:t>
            </w:r>
            <w:r w:rsidR="00956F3A" w:rsidRPr="00BA4E53">
              <w:t>g</w:t>
            </w:r>
            <w:r w:rsidRPr="00BA4E53">
              <w:t xml:space="preserve">ross </w:t>
            </w:r>
            <w:r w:rsidR="00956F3A" w:rsidRPr="00BA4E53">
              <w:t>r</w:t>
            </w:r>
            <w:r w:rsidRPr="00BA4E53">
              <w:t>ate less 1%)</w:t>
            </w:r>
          </w:p>
        </w:tc>
        <w:tc>
          <w:tcPr>
            <w:tcW w:w="2010" w:type="dxa"/>
            <w:gridSpan w:val="2"/>
          </w:tcPr>
          <w:p w14:paraId="61F2B9FE" w14:textId="77777777" w:rsidR="00406E8A" w:rsidRPr="00BA4E53" w:rsidRDefault="00406E8A" w:rsidP="00A62372">
            <w:pPr>
              <w:jc w:val="both"/>
            </w:pPr>
          </w:p>
          <w:p w14:paraId="37D62C60" w14:textId="77777777" w:rsidR="00406E8A" w:rsidRPr="00BA4E53" w:rsidRDefault="00406E8A" w:rsidP="00A62372">
            <w:pPr>
              <w:jc w:val="both"/>
            </w:pPr>
            <w:r w:rsidRPr="00BA4E53">
              <w:t>Factor = 92.5%</w:t>
            </w:r>
          </w:p>
        </w:tc>
        <w:tc>
          <w:tcPr>
            <w:tcW w:w="1984" w:type="dxa"/>
          </w:tcPr>
          <w:p w14:paraId="2E713651" w14:textId="77777777" w:rsidR="00406E8A" w:rsidRPr="00BA4E53" w:rsidRDefault="00406E8A" w:rsidP="00A62372">
            <w:pPr>
              <w:jc w:val="both"/>
            </w:pPr>
          </w:p>
          <w:p w14:paraId="483D9A4A" w14:textId="77777777" w:rsidR="00406E8A" w:rsidRPr="00BA4E53" w:rsidRDefault="00406E8A" w:rsidP="00A62372">
            <w:pPr>
              <w:jc w:val="both"/>
            </w:pPr>
            <w:r w:rsidRPr="00BA4E53">
              <w:t>Factor = 92.5%</w:t>
            </w:r>
          </w:p>
          <w:p w14:paraId="7E54F30D" w14:textId="77777777" w:rsidR="00406E8A" w:rsidRPr="00BA4E53" w:rsidRDefault="00406E8A" w:rsidP="00A62372">
            <w:pPr>
              <w:jc w:val="both"/>
            </w:pPr>
          </w:p>
        </w:tc>
      </w:tr>
      <w:tr w:rsidR="00406E8A" w:rsidRPr="00BA4E53" w14:paraId="15246444" w14:textId="77777777" w:rsidTr="00406E8A">
        <w:trPr>
          <w:cantSplit/>
        </w:trPr>
        <w:tc>
          <w:tcPr>
            <w:tcW w:w="2093" w:type="dxa"/>
            <w:gridSpan w:val="2"/>
          </w:tcPr>
          <w:p w14:paraId="5EDA514A" w14:textId="77777777" w:rsidR="00406E8A" w:rsidRPr="00BA4E53" w:rsidRDefault="00406E8A" w:rsidP="00A62372">
            <w:pPr>
              <w:jc w:val="both"/>
              <w:rPr>
                <w:b/>
              </w:rPr>
            </w:pPr>
            <w:r w:rsidRPr="00BA4E53">
              <w:rPr>
                <w:b/>
              </w:rPr>
              <w:t xml:space="preserve">  </w:t>
            </w:r>
          </w:p>
          <w:p w14:paraId="786D7D6A" w14:textId="77777777" w:rsidR="00406E8A" w:rsidRPr="00BA4E53" w:rsidRDefault="00406E8A" w:rsidP="00A62372">
            <w:pPr>
              <w:jc w:val="both"/>
              <w:rPr>
                <w:b/>
              </w:rPr>
            </w:pPr>
            <w:r w:rsidRPr="00BA4E53">
              <w:rPr>
                <w:b/>
              </w:rPr>
              <w:t xml:space="preserve">Superannuation </w:t>
            </w:r>
          </w:p>
          <w:p w14:paraId="1B713D2D" w14:textId="77777777" w:rsidR="00406E8A" w:rsidRPr="00BA4E53" w:rsidRDefault="00956F3A" w:rsidP="00A62372">
            <w:pPr>
              <w:jc w:val="both"/>
              <w:rPr>
                <w:b/>
              </w:rPr>
            </w:pPr>
            <w:r w:rsidRPr="00BA4E53">
              <w:rPr>
                <w:b/>
              </w:rPr>
              <w:t>non-p</w:t>
            </w:r>
            <w:r w:rsidR="00406E8A" w:rsidRPr="00BA4E53">
              <w:rPr>
                <w:b/>
              </w:rPr>
              <w:t>articipating</w:t>
            </w:r>
          </w:p>
        </w:tc>
        <w:tc>
          <w:tcPr>
            <w:tcW w:w="1615" w:type="dxa"/>
            <w:gridSpan w:val="2"/>
          </w:tcPr>
          <w:p w14:paraId="6244AFF4" w14:textId="77777777" w:rsidR="00406E8A" w:rsidRPr="00BA4E53" w:rsidRDefault="00406E8A" w:rsidP="00A62372">
            <w:pPr>
              <w:jc w:val="both"/>
            </w:pPr>
          </w:p>
          <w:p w14:paraId="001EFDDC" w14:textId="77777777" w:rsidR="00406E8A" w:rsidRPr="00BA4E53" w:rsidRDefault="00406E8A" w:rsidP="00A62372">
            <w:pPr>
              <w:jc w:val="both"/>
            </w:pPr>
            <w:r w:rsidRPr="00BA4E53">
              <w:t xml:space="preserve">85% of </w:t>
            </w:r>
          </w:p>
          <w:p w14:paraId="3FFD88B6" w14:textId="77777777" w:rsidR="00406E8A" w:rsidRPr="00BA4E53" w:rsidRDefault="00956F3A" w:rsidP="00A62372">
            <w:pPr>
              <w:jc w:val="both"/>
            </w:pPr>
            <w:r w:rsidRPr="00BA4E53">
              <w:t>g</w:t>
            </w:r>
            <w:r w:rsidR="00406E8A" w:rsidRPr="00BA4E53">
              <w:t xml:space="preserve">ross </w:t>
            </w:r>
            <w:r w:rsidRPr="00BA4E53">
              <w:t>r</w:t>
            </w:r>
            <w:r w:rsidR="00406E8A" w:rsidRPr="00BA4E53">
              <w:t>ate</w:t>
            </w:r>
          </w:p>
        </w:tc>
        <w:tc>
          <w:tcPr>
            <w:tcW w:w="1620" w:type="dxa"/>
          </w:tcPr>
          <w:p w14:paraId="7C7272E6" w14:textId="77777777" w:rsidR="00406E8A" w:rsidRPr="00BA4E53" w:rsidRDefault="00406E8A" w:rsidP="00A62372">
            <w:pPr>
              <w:jc w:val="both"/>
            </w:pPr>
          </w:p>
          <w:p w14:paraId="4DAEE667" w14:textId="77777777" w:rsidR="00406E8A" w:rsidRPr="00BA4E53" w:rsidRDefault="00406E8A" w:rsidP="00A62372">
            <w:pPr>
              <w:jc w:val="both"/>
            </w:pPr>
            <w:r w:rsidRPr="00BA4E53">
              <w:t xml:space="preserve">85% of </w:t>
            </w:r>
          </w:p>
          <w:p w14:paraId="49C9D934" w14:textId="77777777" w:rsidR="00406E8A" w:rsidRPr="00BA4E53" w:rsidRDefault="00956F3A" w:rsidP="00A62372">
            <w:pPr>
              <w:jc w:val="both"/>
            </w:pPr>
            <w:r w:rsidRPr="00BA4E53">
              <w:t>g</w:t>
            </w:r>
            <w:r w:rsidR="00406E8A" w:rsidRPr="00BA4E53">
              <w:t xml:space="preserve">ross </w:t>
            </w:r>
            <w:r w:rsidRPr="00BA4E53">
              <w:t>r</w:t>
            </w:r>
            <w:r w:rsidR="00406E8A" w:rsidRPr="00BA4E53">
              <w:t>ate</w:t>
            </w:r>
          </w:p>
        </w:tc>
        <w:tc>
          <w:tcPr>
            <w:tcW w:w="2010" w:type="dxa"/>
            <w:gridSpan w:val="2"/>
          </w:tcPr>
          <w:p w14:paraId="5F9E8D49" w14:textId="77777777" w:rsidR="00406E8A" w:rsidRPr="00BA4E53" w:rsidRDefault="00406E8A" w:rsidP="00A62372">
            <w:pPr>
              <w:jc w:val="both"/>
            </w:pPr>
          </w:p>
          <w:p w14:paraId="609F0ADA" w14:textId="77777777" w:rsidR="00406E8A" w:rsidRPr="00BA4E53" w:rsidRDefault="00406E8A" w:rsidP="00A62372">
            <w:pPr>
              <w:jc w:val="both"/>
            </w:pPr>
            <w:r w:rsidRPr="00BA4E53">
              <w:t>Factor = 92.5%</w:t>
            </w:r>
          </w:p>
          <w:p w14:paraId="50702529" w14:textId="77777777" w:rsidR="00406E8A" w:rsidRPr="00BA4E53" w:rsidRDefault="00406E8A" w:rsidP="00A62372">
            <w:pPr>
              <w:jc w:val="both"/>
            </w:pPr>
          </w:p>
          <w:p w14:paraId="794E792C" w14:textId="77777777" w:rsidR="00406E8A" w:rsidRPr="00BA4E53" w:rsidRDefault="00406E8A" w:rsidP="00A62372">
            <w:pPr>
              <w:jc w:val="both"/>
            </w:pPr>
          </w:p>
        </w:tc>
        <w:tc>
          <w:tcPr>
            <w:tcW w:w="1984" w:type="dxa"/>
          </w:tcPr>
          <w:p w14:paraId="528B80AC" w14:textId="77777777" w:rsidR="00406E8A" w:rsidRPr="00BA4E53" w:rsidRDefault="00406E8A" w:rsidP="00A62372">
            <w:pPr>
              <w:jc w:val="both"/>
            </w:pPr>
          </w:p>
          <w:p w14:paraId="4CD431B5" w14:textId="77777777" w:rsidR="00406E8A" w:rsidRPr="00BA4E53" w:rsidRDefault="00406E8A" w:rsidP="00A62372">
            <w:pPr>
              <w:jc w:val="both"/>
            </w:pPr>
            <w:r w:rsidRPr="00BA4E53">
              <w:t>Factor = 94%</w:t>
            </w:r>
          </w:p>
          <w:p w14:paraId="0383C3D3" w14:textId="77777777" w:rsidR="00406E8A" w:rsidRPr="00BA4E53" w:rsidRDefault="00406E8A" w:rsidP="00A62372">
            <w:pPr>
              <w:jc w:val="both"/>
            </w:pPr>
          </w:p>
          <w:p w14:paraId="70FC2BAC" w14:textId="77777777" w:rsidR="00406E8A" w:rsidRPr="00BA4E53" w:rsidRDefault="00406E8A" w:rsidP="00A62372">
            <w:pPr>
              <w:jc w:val="both"/>
            </w:pPr>
          </w:p>
        </w:tc>
      </w:tr>
      <w:tr w:rsidR="00406E8A" w:rsidRPr="00BA4E53" w14:paraId="5660CCC4" w14:textId="77777777" w:rsidTr="00406E8A">
        <w:trPr>
          <w:cantSplit/>
          <w:trHeight w:val="705"/>
        </w:trPr>
        <w:tc>
          <w:tcPr>
            <w:tcW w:w="2093" w:type="dxa"/>
            <w:gridSpan w:val="2"/>
          </w:tcPr>
          <w:p w14:paraId="30274511" w14:textId="77777777" w:rsidR="00406E8A" w:rsidRPr="00BA4E53" w:rsidRDefault="00406E8A" w:rsidP="00A62372">
            <w:pPr>
              <w:jc w:val="both"/>
              <w:rPr>
                <w:b/>
              </w:rPr>
            </w:pPr>
            <w:r w:rsidRPr="00BA4E53">
              <w:rPr>
                <w:b/>
              </w:rPr>
              <w:t xml:space="preserve">Tax </w:t>
            </w:r>
            <w:r w:rsidR="00956F3A" w:rsidRPr="00BA4E53">
              <w:rPr>
                <w:b/>
              </w:rPr>
              <w:t>e</w:t>
            </w:r>
            <w:r w:rsidRPr="00BA4E53">
              <w:rPr>
                <w:b/>
              </w:rPr>
              <w:t>xempt</w:t>
            </w:r>
          </w:p>
          <w:p w14:paraId="6D917823" w14:textId="77777777" w:rsidR="00406E8A" w:rsidRPr="00BA4E53" w:rsidRDefault="00406E8A" w:rsidP="00A62372">
            <w:pPr>
              <w:jc w:val="both"/>
              <w:rPr>
                <w:b/>
              </w:rPr>
            </w:pPr>
          </w:p>
          <w:p w14:paraId="00BAC430" w14:textId="77777777" w:rsidR="00406E8A" w:rsidRPr="00BA4E53" w:rsidRDefault="00406E8A" w:rsidP="00A62372">
            <w:pPr>
              <w:jc w:val="both"/>
              <w:rPr>
                <w:b/>
              </w:rPr>
            </w:pPr>
          </w:p>
          <w:p w14:paraId="18052774" w14:textId="77777777" w:rsidR="00406E8A" w:rsidRPr="00BA4E53" w:rsidRDefault="00406E8A" w:rsidP="00A62372">
            <w:pPr>
              <w:jc w:val="both"/>
              <w:rPr>
                <w:b/>
              </w:rPr>
            </w:pPr>
          </w:p>
        </w:tc>
        <w:tc>
          <w:tcPr>
            <w:tcW w:w="1615" w:type="dxa"/>
            <w:gridSpan w:val="2"/>
          </w:tcPr>
          <w:p w14:paraId="18C74198" w14:textId="77777777" w:rsidR="00406E8A" w:rsidRPr="00BA4E53" w:rsidRDefault="00406E8A" w:rsidP="00A62372">
            <w:pPr>
              <w:jc w:val="both"/>
            </w:pPr>
            <w:r w:rsidRPr="00BA4E53">
              <w:t xml:space="preserve">100% of </w:t>
            </w:r>
            <w:r w:rsidR="00956F3A" w:rsidRPr="00BA4E53">
              <w:t>g</w:t>
            </w:r>
            <w:r w:rsidRPr="00BA4E53">
              <w:t xml:space="preserve">ross </w:t>
            </w:r>
            <w:r w:rsidR="00956F3A" w:rsidRPr="00BA4E53">
              <w:t>r</w:t>
            </w:r>
            <w:r w:rsidRPr="00BA4E53">
              <w:t>ate</w:t>
            </w:r>
          </w:p>
        </w:tc>
        <w:tc>
          <w:tcPr>
            <w:tcW w:w="1620" w:type="dxa"/>
          </w:tcPr>
          <w:p w14:paraId="2F2C28E4" w14:textId="77777777" w:rsidR="00406E8A" w:rsidRPr="00BA4E53" w:rsidRDefault="00406E8A" w:rsidP="00A62372">
            <w:pPr>
              <w:jc w:val="both"/>
            </w:pPr>
            <w:r w:rsidRPr="00BA4E53">
              <w:t xml:space="preserve">100% of </w:t>
            </w:r>
            <w:r w:rsidR="00956F3A" w:rsidRPr="00BA4E53">
              <w:t>g</w:t>
            </w:r>
            <w:r w:rsidRPr="00BA4E53">
              <w:t xml:space="preserve">ross </w:t>
            </w:r>
            <w:r w:rsidR="00956F3A" w:rsidRPr="00BA4E53">
              <w:t>r</w:t>
            </w:r>
            <w:r w:rsidRPr="00BA4E53">
              <w:t>ate</w:t>
            </w:r>
          </w:p>
        </w:tc>
        <w:tc>
          <w:tcPr>
            <w:tcW w:w="2010" w:type="dxa"/>
            <w:gridSpan w:val="2"/>
          </w:tcPr>
          <w:p w14:paraId="4C298BA8" w14:textId="77777777" w:rsidR="00406E8A" w:rsidRPr="00BA4E53" w:rsidRDefault="00406E8A" w:rsidP="00A62372">
            <w:pPr>
              <w:jc w:val="both"/>
            </w:pPr>
            <w:r w:rsidRPr="00BA4E53">
              <w:t>Factor = 91%</w:t>
            </w:r>
          </w:p>
          <w:p w14:paraId="70DF7F89" w14:textId="77777777" w:rsidR="00406E8A" w:rsidRPr="00BA4E53" w:rsidRDefault="00406E8A" w:rsidP="00A62372">
            <w:pPr>
              <w:pStyle w:val="Subject"/>
              <w:jc w:val="both"/>
              <w:rPr>
                <w:b w:val="0"/>
                <w:caps w:val="0"/>
                <w:lang w:val="en-AU"/>
              </w:rPr>
            </w:pPr>
          </w:p>
        </w:tc>
        <w:tc>
          <w:tcPr>
            <w:tcW w:w="1984" w:type="dxa"/>
          </w:tcPr>
          <w:p w14:paraId="492CA8A6" w14:textId="77777777" w:rsidR="00406E8A" w:rsidRPr="00BA4E53" w:rsidRDefault="00406E8A" w:rsidP="00A62372">
            <w:pPr>
              <w:jc w:val="both"/>
            </w:pPr>
            <w:r w:rsidRPr="00BA4E53">
              <w:t>Factor = 94%</w:t>
            </w:r>
          </w:p>
          <w:p w14:paraId="514EC823" w14:textId="77777777" w:rsidR="00406E8A" w:rsidRPr="00BA4E53" w:rsidRDefault="00406E8A" w:rsidP="00A62372">
            <w:pPr>
              <w:pStyle w:val="Subject"/>
              <w:jc w:val="both"/>
              <w:rPr>
                <w:b w:val="0"/>
                <w:caps w:val="0"/>
                <w:lang w:val="en-AU"/>
              </w:rPr>
            </w:pPr>
          </w:p>
        </w:tc>
      </w:tr>
      <w:tr w:rsidR="00406E8A" w:rsidRPr="00BA4E53" w14:paraId="73F3C5C5" w14:textId="77777777" w:rsidTr="00406E8A">
        <w:trPr>
          <w:cantSplit/>
          <w:trHeight w:val="705"/>
        </w:trPr>
        <w:tc>
          <w:tcPr>
            <w:tcW w:w="2093" w:type="dxa"/>
            <w:gridSpan w:val="2"/>
          </w:tcPr>
          <w:p w14:paraId="5A9C642D" w14:textId="77777777" w:rsidR="00406E8A" w:rsidRPr="00BA4E53" w:rsidRDefault="00406E8A" w:rsidP="00A62372">
            <w:pPr>
              <w:jc w:val="both"/>
              <w:rPr>
                <w:b/>
              </w:rPr>
            </w:pPr>
          </w:p>
        </w:tc>
        <w:tc>
          <w:tcPr>
            <w:tcW w:w="5245" w:type="dxa"/>
            <w:gridSpan w:val="5"/>
          </w:tcPr>
          <w:p w14:paraId="3CBBFE8B" w14:textId="77777777" w:rsidR="00406E8A" w:rsidRPr="00BA4E53" w:rsidRDefault="00956F3A" w:rsidP="00A62372">
            <w:pPr>
              <w:jc w:val="both"/>
              <w:rPr>
                <w:i/>
              </w:rPr>
            </w:pPr>
            <w:r w:rsidRPr="00BA4E53">
              <w:rPr>
                <w:i/>
              </w:rPr>
              <w:t>Where g</w:t>
            </w:r>
            <w:r w:rsidR="00406E8A" w:rsidRPr="00BA4E53">
              <w:rPr>
                <w:i/>
              </w:rPr>
              <w:t xml:space="preserve">ross </w:t>
            </w:r>
            <w:r w:rsidRPr="00BA4E53">
              <w:rPr>
                <w:i/>
              </w:rPr>
              <w:t>r</w:t>
            </w:r>
            <w:r w:rsidR="00406E8A" w:rsidRPr="00BA4E53">
              <w:rPr>
                <w:i/>
              </w:rPr>
              <w:t>ate is (CB Rate + 3%)</w:t>
            </w:r>
          </w:p>
        </w:tc>
        <w:tc>
          <w:tcPr>
            <w:tcW w:w="1984" w:type="dxa"/>
          </w:tcPr>
          <w:p w14:paraId="1320FF6D" w14:textId="77777777" w:rsidR="00406E8A" w:rsidRPr="00BA4E53" w:rsidRDefault="00406E8A" w:rsidP="00A62372">
            <w:pPr>
              <w:jc w:val="both"/>
            </w:pPr>
          </w:p>
        </w:tc>
      </w:tr>
    </w:tbl>
    <w:p w14:paraId="69F71A37" w14:textId="77777777" w:rsidR="00406E8A" w:rsidRPr="00BA4E53" w:rsidRDefault="00406E8A" w:rsidP="00A62372">
      <w:pPr>
        <w:pStyle w:val="Subject"/>
        <w:jc w:val="both"/>
        <w:rPr>
          <w:caps w:val="0"/>
          <w:lang w:val="en-AU"/>
        </w:rPr>
      </w:pPr>
    </w:p>
    <w:p w14:paraId="47B58F5D" w14:textId="77777777" w:rsidR="00406E8A" w:rsidRPr="00BA4E53" w:rsidRDefault="00406E8A" w:rsidP="00865EA1">
      <w:pPr>
        <w:spacing w:after="240"/>
        <w:jc w:val="both"/>
        <w:rPr>
          <w:sz w:val="20"/>
        </w:rPr>
      </w:pPr>
      <w:r w:rsidRPr="00BA4E53">
        <w:rPr>
          <w:sz w:val="20"/>
        </w:rPr>
        <w:t>Notes:</w:t>
      </w:r>
      <w:r w:rsidRPr="00BA4E53">
        <w:rPr>
          <w:sz w:val="20"/>
        </w:rPr>
        <w:tab/>
      </w:r>
    </w:p>
    <w:p w14:paraId="1B49C565" w14:textId="77777777" w:rsidR="00406E8A" w:rsidRPr="00BA4E53" w:rsidRDefault="00406E8A" w:rsidP="00865EA1">
      <w:pPr>
        <w:spacing w:after="240"/>
        <w:ind w:left="567" w:hanging="567"/>
        <w:jc w:val="both"/>
        <w:rPr>
          <w:sz w:val="20"/>
        </w:rPr>
      </w:pPr>
      <w:r w:rsidRPr="00BA4E53">
        <w:rPr>
          <w:sz w:val="20"/>
        </w:rPr>
        <w:t>1.</w:t>
      </w:r>
      <w:r w:rsidRPr="00BA4E53">
        <w:rPr>
          <w:sz w:val="20"/>
        </w:rPr>
        <w:tab/>
        <w:t xml:space="preserve">The </w:t>
      </w:r>
      <w:r w:rsidR="00956F3A" w:rsidRPr="00BA4E53">
        <w:rPr>
          <w:sz w:val="20"/>
        </w:rPr>
        <w:t>i</w:t>
      </w:r>
      <w:r w:rsidRPr="00BA4E53">
        <w:rPr>
          <w:sz w:val="20"/>
        </w:rPr>
        <w:t xml:space="preserve">nterest </w:t>
      </w:r>
      <w:r w:rsidR="00956F3A" w:rsidRPr="00BA4E53">
        <w:rPr>
          <w:sz w:val="20"/>
        </w:rPr>
        <w:t>r</w:t>
      </w:r>
      <w:r w:rsidRPr="00BA4E53">
        <w:rPr>
          <w:sz w:val="20"/>
        </w:rPr>
        <w:t>ates shown are applicable to non-participating business, unless otherwise specified.</w:t>
      </w:r>
      <w:r w:rsidR="004A45C4">
        <w:rPr>
          <w:sz w:val="20"/>
        </w:rPr>
        <w:t xml:space="preserve"> </w:t>
      </w:r>
      <w:r w:rsidRPr="00BA4E53">
        <w:rPr>
          <w:sz w:val="20"/>
        </w:rPr>
        <w:t xml:space="preserve">The applicable interest rates for participating business are determined as for non-participating business, but using </w:t>
      </w:r>
      <w:r w:rsidR="00956F3A" w:rsidRPr="00BA4E53">
        <w:rPr>
          <w:sz w:val="20"/>
        </w:rPr>
        <w:t>gross r</w:t>
      </w:r>
      <w:r w:rsidRPr="00BA4E53">
        <w:rPr>
          <w:sz w:val="20"/>
        </w:rPr>
        <w:t>ate less 1.0%.</w:t>
      </w:r>
    </w:p>
    <w:p w14:paraId="782668AA" w14:textId="77777777" w:rsidR="00406E8A" w:rsidRPr="00BA4E53" w:rsidRDefault="00406E8A" w:rsidP="00865EA1">
      <w:pPr>
        <w:spacing w:after="240"/>
        <w:ind w:left="567" w:hanging="567"/>
        <w:jc w:val="both"/>
        <w:rPr>
          <w:sz w:val="20"/>
        </w:rPr>
      </w:pPr>
      <w:r w:rsidRPr="00BA4E53">
        <w:rPr>
          <w:sz w:val="20"/>
        </w:rPr>
        <w:lastRenderedPageBreak/>
        <w:t>2.</w:t>
      </w:r>
      <w:r w:rsidRPr="00BA4E53">
        <w:rPr>
          <w:sz w:val="20"/>
        </w:rPr>
        <w:tab/>
        <w:t>In all cases the mortality assumption is</w:t>
      </w:r>
      <w:r w:rsidR="00307892">
        <w:rPr>
          <w:sz w:val="20"/>
        </w:rPr>
        <w:t xml:space="preserve"> the</w:t>
      </w:r>
      <w:r w:rsidRPr="00BA4E53">
        <w:rPr>
          <w:sz w:val="20"/>
        </w:rPr>
        <w:t xml:space="preserve"> IA 90-92</w:t>
      </w:r>
      <w:r w:rsidR="00307892">
        <w:rPr>
          <w:sz w:val="20"/>
        </w:rPr>
        <w:t xml:space="preserve"> mortality table published for the Institute of Actuaries of Australia</w:t>
      </w:r>
      <w:r w:rsidRPr="00BA4E53">
        <w:rPr>
          <w:sz w:val="20"/>
        </w:rPr>
        <w:t>.</w:t>
      </w:r>
      <w:r w:rsidR="004A45C4">
        <w:rPr>
          <w:sz w:val="20"/>
        </w:rPr>
        <w:t xml:space="preserve"> </w:t>
      </w:r>
      <w:r w:rsidRPr="00BA4E53">
        <w:rPr>
          <w:sz w:val="20"/>
        </w:rPr>
        <w:t xml:space="preserve">Where a product distinguishes gender and smoker status, the </w:t>
      </w:r>
      <w:r w:rsidR="004C132F" w:rsidRPr="00BA4E53">
        <w:rPr>
          <w:sz w:val="20"/>
        </w:rPr>
        <w:t>life company</w:t>
      </w:r>
      <w:r w:rsidRPr="00BA4E53">
        <w:rPr>
          <w:sz w:val="20"/>
        </w:rPr>
        <w:t xml:space="preserve"> may appropriately reflect this in using the </w:t>
      </w:r>
      <w:r w:rsidR="00307892">
        <w:rPr>
          <w:sz w:val="20"/>
        </w:rPr>
        <w:t>mortality table</w:t>
      </w:r>
      <w:r w:rsidRPr="00BA4E53">
        <w:rPr>
          <w:sz w:val="20"/>
        </w:rPr>
        <w:t>.</w:t>
      </w:r>
    </w:p>
    <w:p w14:paraId="748A2BB4" w14:textId="77777777" w:rsidR="00406E8A" w:rsidRPr="00BA4E53" w:rsidRDefault="00406E8A" w:rsidP="00865EA1">
      <w:pPr>
        <w:spacing w:after="240"/>
        <w:ind w:left="567" w:hanging="567"/>
        <w:jc w:val="both"/>
        <w:rPr>
          <w:sz w:val="20"/>
        </w:rPr>
      </w:pPr>
      <w:r w:rsidRPr="00BA4E53">
        <w:rPr>
          <w:sz w:val="20"/>
        </w:rPr>
        <w:t>3.</w:t>
      </w:r>
      <w:r w:rsidRPr="00BA4E53">
        <w:rPr>
          <w:sz w:val="20"/>
        </w:rPr>
        <w:tab/>
        <w:t>A reference to CB Rate is a reference to the yield on 10 ye</w:t>
      </w:r>
      <w:r w:rsidR="00956F3A" w:rsidRPr="00BA4E53">
        <w:rPr>
          <w:sz w:val="20"/>
        </w:rPr>
        <w:t xml:space="preserve">ar Commonwealth </w:t>
      </w:r>
      <w:r w:rsidRPr="00BA4E53">
        <w:rPr>
          <w:sz w:val="20"/>
        </w:rPr>
        <w:t xml:space="preserve">Government Bonds at date of </w:t>
      </w:r>
      <w:r w:rsidR="004D02B7" w:rsidRPr="00BA4E53">
        <w:rPr>
          <w:sz w:val="20"/>
        </w:rPr>
        <w:t>calculation</w:t>
      </w:r>
      <w:r w:rsidRPr="00BA4E53">
        <w:rPr>
          <w:sz w:val="20"/>
        </w:rPr>
        <w:t>.</w:t>
      </w:r>
    </w:p>
    <w:p w14:paraId="73BB9299" w14:textId="77777777" w:rsidR="00406E8A" w:rsidRPr="00BA4E53" w:rsidRDefault="00406E8A" w:rsidP="00865EA1">
      <w:pPr>
        <w:spacing w:after="240"/>
        <w:ind w:left="567" w:hanging="567"/>
        <w:jc w:val="both"/>
        <w:rPr>
          <w:sz w:val="20"/>
        </w:rPr>
      </w:pPr>
      <w:r w:rsidRPr="00BA4E53">
        <w:rPr>
          <w:sz w:val="20"/>
        </w:rPr>
        <w:t>4.</w:t>
      </w:r>
      <w:r w:rsidRPr="00BA4E53">
        <w:rPr>
          <w:sz w:val="20"/>
        </w:rPr>
        <w:tab/>
        <w:t>Sprague adjustment and Factor refer to the respective items described in the formulae in Attachment 2 - Part II.</w:t>
      </w:r>
    </w:p>
    <w:p w14:paraId="7DF3DB4F" w14:textId="77777777" w:rsidR="00406E8A" w:rsidRPr="003378FD" w:rsidRDefault="00406E8A" w:rsidP="00865EA1">
      <w:pPr>
        <w:spacing w:after="240"/>
        <w:jc w:val="both"/>
        <w:rPr>
          <w:rFonts w:ascii="Arial" w:hAnsi="Arial" w:cs="Arial"/>
          <w:i/>
        </w:rPr>
      </w:pPr>
      <w:r w:rsidRPr="003378FD">
        <w:rPr>
          <w:rFonts w:ascii="Arial" w:hAnsi="Arial" w:cs="Arial"/>
          <w:i/>
        </w:rPr>
        <w:t xml:space="preserve">Part V </w:t>
      </w:r>
      <w:r w:rsidR="00455F82" w:rsidRPr="003378FD">
        <w:rPr>
          <w:rFonts w:ascii="Arial" w:hAnsi="Arial" w:cs="Arial"/>
          <w:i/>
        </w:rPr>
        <w:t>–</w:t>
      </w:r>
      <w:r w:rsidRPr="003378FD">
        <w:rPr>
          <w:rFonts w:ascii="Arial" w:hAnsi="Arial" w:cs="Arial"/>
          <w:i/>
        </w:rPr>
        <w:t xml:space="preserve"> </w:t>
      </w:r>
      <w:r w:rsidR="00455F82" w:rsidRPr="003378FD">
        <w:rPr>
          <w:rFonts w:ascii="Arial" w:hAnsi="Arial" w:cs="Arial"/>
          <w:i/>
        </w:rPr>
        <w:t xml:space="preserve">immediate annuities and </w:t>
      </w:r>
      <w:r w:rsidR="00956F3A" w:rsidRPr="003378FD">
        <w:rPr>
          <w:rFonts w:ascii="Arial" w:hAnsi="Arial" w:cs="Arial"/>
          <w:i/>
        </w:rPr>
        <w:t>f</w:t>
      </w:r>
      <w:r w:rsidRPr="003378FD">
        <w:rPr>
          <w:rFonts w:ascii="Arial" w:hAnsi="Arial" w:cs="Arial"/>
          <w:i/>
        </w:rPr>
        <w:t xml:space="preserve">ixed </w:t>
      </w:r>
      <w:r w:rsidR="00956F3A" w:rsidRPr="003378FD">
        <w:rPr>
          <w:rFonts w:ascii="Arial" w:hAnsi="Arial" w:cs="Arial"/>
          <w:i/>
        </w:rPr>
        <w:t>t</w:t>
      </w:r>
      <w:r w:rsidRPr="003378FD">
        <w:rPr>
          <w:rFonts w:ascii="Arial" w:hAnsi="Arial" w:cs="Arial"/>
          <w:i/>
        </w:rPr>
        <w:t>erm/</w:t>
      </w:r>
      <w:r w:rsidR="00956F3A" w:rsidRPr="003378FD">
        <w:rPr>
          <w:rFonts w:ascii="Arial" w:hAnsi="Arial" w:cs="Arial"/>
          <w:i/>
        </w:rPr>
        <w:t>r</w:t>
      </w:r>
      <w:r w:rsidRPr="003378FD">
        <w:rPr>
          <w:rFonts w:ascii="Arial" w:hAnsi="Arial" w:cs="Arial"/>
          <w:i/>
        </w:rPr>
        <w:t xml:space="preserve">ate </w:t>
      </w:r>
      <w:r w:rsidR="00956F3A" w:rsidRPr="003378FD">
        <w:rPr>
          <w:rFonts w:ascii="Arial" w:hAnsi="Arial" w:cs="Arial"/>
          <w:i/>
        </w:rPr>
        <w:t>b</w:t>
      </w:r>
      <w:r w:rsidRPr="003378FD">
        <w:rPr>
          <w:rFonts w:ascii="Arial" w:hAnsi="Arial" w:cs="Arial"/>
          <w:i/>
        </w:rPr>
        <w:t>usiness</w:t>
      </w:r>
    </w:p>
    <w:tbl>
      <w:tblPr>
        <w:tblW w:w="889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283"/>
        <w:gridCol w:w="3825"/>
        <w:gridCol w:w="2129"/>
      </w:tblGrid>
      <w:tr w:rsidR="00406E8A" w:rsidRPr="00BA4E53" w14:paraId="6CBF3C52" w14:textId="77777777" w:rsidTr="00406E8A">
        <w:trPr>
          <w:cantSplit/>
        </w:trPr>
        <w:tc>
          <w:tcPr>
            <w:tcW w:w="2660" w:type="dxa"/>
            <w:tcBorders>
              <w:top w:val="double" w:sz="6" w:space="0" w:color="auto"/>
              <w:left w:val="double" w:sz="6" w:space="0" w:color="auto"/>
              <w:bottom w:val="double" w:sz="6" w:space="0" w:color="auto"/>
              <w:right w:val="nil"/>
            </w:tcBorders>
          </w:tcPr>
          <w:p w14:paraId="0F315CEA" w14:textId="77777777" w:rsidR="00406E8A" w:rsidRPr="00BA4E53" w:rsidRDefault="00406E8A" w:rsidP="00A62372">
            <w:pPr>
              <w:jc w:val="both"/>
            </w:pPr>
          </w:p>
        </w:tc>
        <w:tc>
          <w:tcPr>
            <w:tcW w:w="283" w:type="dxa"/>
            <w:tcBorders>
              <w:top w:val="double" w:sz="6" w:space="0" w:color="auto"/>
              <w:left w:val="nil"/>
              <w:bottom w:val="double" w:sz="6" w:space="0" w:color="auto"/>
              <w:right w:val="nil"/>
            </w:tcBorders>
          </w:tcPr>
          <w:p w14:paraId="73C6302E" w14:textId="77777777" w:rsidR="00406E8A" w:rsidRPr="00BA4E53" w:rsidRDefault="00406E8A" w:rsidP="00A62372">
            <w:pPr>
              <w:jc w:val="both"/>
              <w:rPr>
                <w:b/>
              </w:rPr>
            </w:pPr>
          </w:p>
        </w:tc>
        <w:tc>
          <w:tcPr>
            <w:tcW w:w="3825" w:type="dxa"/>
            <w:tcBorders>
              <w:top w:val="double" w:sz="6" w:space="0" w:color="auto"/>
              <w:left w:val="nil"/>
              <w:bottom w:val="double" w:sz="6" w:space="0" w:color="auto"/>
              <w:right w:val="nil"/>
            </w:tcBorders>
          </w:tcPr>
          <w:p w14:paraId="1533573D" w14:textId="77777777" w:rsidR="00406E8A" w:rsidRPr="00BA4E53" w:rsidRDefault="00406E8A" w:rsidP="00A62372">
            <w:pPr>
              <w:jc w:val="both"/>
              <w:rPr>
                <w:b/>
              </w:rPr>
            </w:pPr>
            <w:r w:rsidRPr="00BA4E53">
              <w:rPr>
                <w:b/>
              </w:rPr>
              <w:t xml:space="preserve">                        </w:t>
            </w:r>
            <w:smartTag w:uri="urn:schemas-microsoft-com:office:smarttags" w:element="stockticker">
              <w:r w:rsidRPr="00BA4E53">
                <w:rPr>
                  <w:b/>
                </w:rPr>
                <w:t>PRE</w:t>
              </w:r>
            </w:smartTag>
          </w:p>
          <w:p w14:paraId="6DA682D1" w14:textId="77777777" w:rsidR="00406E8A" w:rsidRPr="00BA4E53" w:rsidRDefault="00406E8A" w:rsidP="00A62372">
            <w:pPr>
              <w:jc w:val="both"/>
            </w:pPr>
            <w:r w:rsidRPr="00BA4E53">
              <w:rPr>
                <w:b/>
              </w:rPr>
              <w:t xml:space="preserve">                          </w:t>
            </w:r>
            <w:r w:rsidR="00A83284" w:rsidRPr="00BA4E53">
              <w:rPr>
                <w:b/>
              </w:rPr>
              <w:t>i</w:t>
            </w:r>
            <w:r w:rsidRPr="00BA4E53">
              <w:rPr>
                <w:b/>
              </w:rPr>
              <w:t xml:space="preserve">nterest </w:t>
            </w:r>
            <w:r w:rsidR="00A83284" w:rsidRPr="00BA4E53">
              <w:rPr>
                <w:b/>
              </w:rPr>
              <w:t>r</w:t>
            </w:r>
            <w:r w:rsidRPr="00BA4E53">
              <w:rPr>
                <w:b/>
              </w:rPr>
              <w:t>ate</w:t>
            </w:r>
          </w:p>
        </w:tc>
        <w:tc>
          <w:tcPr>
            <w:tcW w:w="2129" w:type="dxa"/>
            <w:tcBorders>
              <w:top w:val="double" w:sz="6" w:space="0" w:color="auto"/>
              <w:left w:val="nil"/>
              <w:bottom w:val="double" w:sz="6" w:space="0" w:color="auto"/>
              <w:right w:val="double" w:sz="6" w:space="0" w:color="auto"/>
            </w:tcBorders>
          </w:tcPr>
          <w:p w14:paraId="27F58CF4" w14:textId="77777777" w:rsidR="00406E8A" w:rsidRPr="00BA4E53" w:rsidRDefault="00406E8A" w:rsidP="00A62372">
            <w:pPr>
              <w:jc w:val="both"/>
              <w:rPr>
                <w:b/>
              </w:rPr>
            </w:pPr>
            <w:r w:rsidRPr="00BA4E53">
              <w:rPr>
                <w:b/>
              </w:rPr>
              <w:t>POST</w:t>
            </w:r>
          </w:p>
          <w:p w14:paraId="122D3E64" w14:textId="77777777" w:rsidR="00406E8A" w:rsidRPr="00BA4E53" w:rsidRDefault="00A83284" w:rsidP="00A62372">
            <w:pPr>
              <w:jc w:val="both"/>
            </w:pPr>
            <w:r w:rsidRPr="00BA4E53">
              <w:rPr>
                <w:b/>
              </w:rPr>
              <w:t>i</w:t>
            </w:r>
            <w:r w:rsidR="00406E8A" w:rsidRPr="00BA4E53">
              <w:rPr>
                <w:b/>
              </w:rPr>
              <w:t xml:space="preserve">nterest </w:t>
            </w:r>
            <w:r w:rsidRPr="00BA4E53">
              <w:rPr>
                <w:b/>
              </w:rPr>
              <w:t>r</w:t>
            </w:r>
            <w:r w:rsidR="00406E8A" w:rsidRPr="00BA4E53">
              <w:rPr>
                <w:b/>
              </w:rPr>
              <w:t>ate</w:t>
            </w:r>
          </w:p>
        </w:tc>
      </w:tr>
      <w:tr w:rsidR="00406E8A" w:rsidRPr="00BA4E53" w14:paraId="146C0E10" w14:textId="77777777" w:rsidTr="00406E8A">
        <w:trPr>
          <w:cantSplit/>
          <w:trHeight w:val="2273"/>
        </w:trPr>
        <w:tc>
          <w:tcPr>
            <w:tcW w:w="2660" w:type="dxa"/>
            <w:vMerge w:val="restart"/>
          </w:tcPr>
          <w:p w14:paraId="7F7A0641" w14:textId="77777777" w:rsidR="00406E8A" w:rsidRPr="00BA4E53" w:rsidRDefault="00406E8A" w:rsidP="00A62372">
            <w:pPr>
              <w:jc w:val="both"/>
              <w:rPr>
                <w:b/>
              </w:rPr>
            </w:pPr>
          </w:p>
          <w:p w14:paraId="074EDE2F" w14:textId="77777777" w:rsidR="00406E8A" w:rsidRPr="00BA4E53" w:rsidRDefault="00455F82" w:rsidP="00DA58F7">
            <w:pPr>
              <w:rPr>
                <w:b/>
              </w:rPr>
            </w:pPr>
            <w:r w:rsidRPr="00BA4E53">
              <w:rPr>
                <w:b/>
              </w:rPr>
              <w:t>Immediate annuities and f</w:t>
            </w:r>
            <w:r w:rsidR="00406E8A" w:rsidRPr="00BA4E53">
              <w:rPr>
                <w:b/>
              </w:rPr>
              <w:t xml:space="preserve">ixed </w:t>
            </w:r>
            <w:r w:rsidR="00A83284" w:rsidRPr="00BA4E53">
              <w:rPr>
                <w:b/>
              </w:rPr>
              <w:t>t</w:t>
            </w:r>
            <w:r w:rsidR="00406E8A" w:rsidRPr="00BA4E53">
              <w:rPr>
                <w:b/>
              </w:rPr>
              <w:t>erm/</w:t>
            </w:r>
            <w:r w:rsidR="00A83284" w:rsidRPr="00BA4E53">
              <w:rPr>
                <w:b/>
              </w:rPr>
              <w:t>r</w:t>
            </w:r>
            <w:r w:rsidR="00406E8A" w:rsidRPr="00BA4E53">
              <w:rPr>
                <w:b/>
              </w:rPr>
              <w:t xml:space="preserve">ate </w:t>
            </w:r>
            <w:r w:rsidR="00A83284" w:rsidRPr="00BA4E53">
              <w:rPr>
                <w:b/>
              </w:rPr>
              <w:t>b</w:t>
            </w:r>
            <w:r w:rsidR="00406E8A" w:rsidRPr="00BA4E53">
              <w:rPr>
                <w:b/>
              </w:rPr>
              <w:t>usiness</w:t>
            </w:r>
          </w:p>
        </w:tc>
        <w:tc>
          <w:tcPr>
            <w:tcW w:w="283" w:type="dxa"/>
            <w:vMerge w:val="restart"/>
          </w:tcPr>
          <w:p w14:paraId="77AE5A35" w14:textId="77777777" w:rsidR="00406E8A" w:rsidRPr="00BA4E53" w:rsidRDefault="00406E8A" w:rsidP="00A62372">
            <w:pPr>
              <w:jc w:val="both"/>
              <w:rPr>
                <w:b/>
              </w:rPr>
            </w:pPr>
          </w:p>
        </w:tc>
        <w:tc>
          <w:tcPr>
            <w:tcW w:w="3825" w:type="dxa"/>
          </w:tcPr>
          <w:p w14:paraId="76C798BD" w14:textId="77777777" w:rsidR="00406E8A" w:rsidRPr="00BA4E53" w:rsidRDefault="00406E8A" w:rsidP="00A62372">
            <w:pPr>
              <w:jc w:val="both"/>
            </w:pPr>
          </w:p>
          <w:p w14:paraId="623B83AB" w14:textId="77777777" w:rsidR="00406E8A" w:rsidRPr="00BA4E53" w:rsidRDefault="00406E8A" w:rsidP="00A62372">
            <w:pPr>
              <w:jc w:val="both"/>
            </w:pPr>
            <w:r w:rsidRPr="00EE1089">
              <w:rPr>
                <w:b/>
              </w:rPr>
              <w:t>Ordinary:</w:t>
            </w:r>
            <w:r w:rsidRPr="00BA4E53">
              <w:t xml:space="preserve">              61% </w:t>
            </w:r>
            <w:r w:rsidR="00A83284" w:rsidRPr="00BA4E53">
              <w:t>g</w:t>
            </w:r>
            <w:r w:rsidRPr="00BA4E53">
              <w:t xml:space="preserve">ross </w:t>
            </w:r>
            <w:r w:rsidR="00A83284" w:rsidRPr="00BA4E53">
              <w:t>r</w:t>
            </w:r>
            <w:r w:rsidRPr="00BA4E53">
              <w:t>ate</w:t>
            </w:r>
          </w:p>
          <w:p w14:paraId="20371E73" w14:textId="77777777" w:rsidR="00406E8A" w:rsidRPr="00BA4E53" w:rsidRDefault="00406E8A" w:rsidP="00A62372">
            <w:pPr>
              <w:jc w:val="both"/>
            </w:pPr>
          </w:p>
          <w:p w14:paraId="7D97E7C2" w14:textId="77777777" w:rsidR="00406E8A" w:rsidRPr="00BA4E53" w:rsidRDefault="00406E8A" w:rsidP="00A62372">
            <w:pPr>
              <w:jc w:val="both"/>
            </w:pPr>
            <w:r w:rsidRPr="00EE1089">
              <w:rPr>
                <w:b/>
              </w:rPr>
              <w:t>Superannuation:</w:t>
            </w:r>
            <w:r w:rsidRPr="00BA4E53">
              <w:t xml:space="preserve">   85% </w:t>
            </w:r>
            <w:r w:rsidR="00A83284" w:rsidRPr="00BA4E53">
              <w:t>g</w:t>
            </w:r>
            <w:r w:rsidRPr="00BA4E53">
              <w:t xml:space="preserve">ross </w:t>
            </w:r>
            <w:r w:rsidR="00A83284" w:rsidRPr="00BA4E53">
              <w:t>r</w:t>
            </w:r>
            <w:r w:rsidRPr="00BA4E53">
              <w:t>ate</w:t>
            </w:r>
          </w:p>
          <w:p w14:paraId="47A2F057" w14:textId="77777777" w:rsidR="00406E8A" w:rsidRPr="00BA4E53" w:rsidRDefault="00406E8A" w:rsidP="00A62372">
            <w:pPr>
              <w:jc w:val="both"/>
            </w:pPr>
          </w:p>
          <w:p w14:paraId="50EB24FA" w14:textId="77777777" w:rsidR="00406E8A" w:rsidRPr="00BA4E53" w:rsidRDefault="00406E8A" w:rsidP="00A62372">
            <w:pPr>
              <w:jc w:val="both"/>
            </w:pPr>
            <w:r w:rsidRPr="00EE1089">
              <w:rPr>
                <w:b/>
              </w:rPr>
              <w:t xml:space="preserve">Tax </w:t>
            </w:r>
            <w:r w:rsidR="00A83284" w:rsidRPr="00EE1089">
              <w:rPr>
                <w:b/>
              </w:rPr>
              <w:t>e</w:t>
            </w:r>
            <w:r w:rsidRPr="00EE1089">
              <w:rPr>
                <w:b/>
              </w:rPr>
              <w:t>xempt:</w:t>
            </w:r>
            <w:r w:rsidRPr="00BA4E53">
              <w:t xml:space="preserve">       </w:t>
            </w:r>
            <w:r w:rsidR="00A83284" w:rsidRPr="00BA4E53">
              <w:t xml:space="preserve">  </w:t>
            </w:r>
            <w:r w:rsidRPr="00BA4E53">
              <w:t xml:space="preserve">100% </w:t>
            </w:r>
            <w:r w:rsidR="00A83284" w:rsidRPr="00BA4E53">
              <w:t>g</w:t>
            </w:r>
            <w:r w:rsidRPr="00BA4E53">
              <w:t xml:space="preserve">ross </w:t>
            </w:r>
            <w:r w:rsidR="00A83284" w:rsidRPr="00BA4E53">
              <w:t>r</w:t>
            </w:r>
            <w:r w:rsidRPr="00BA4E53">
              <w:t>ate</w:t>
            </w:r>
          </w:p>
        </w:tc>
        <w:tc>
          <w:tcPr>
            <w:tcW w:w="2129" w:type="dxa"/>
          </w:tcPr>
          <w:p w14:paraId="67F66FD2" w14:textId="77777777" w:rsidR="00406E8A" w:rsidRPr="00BA4E53" w:rsidRDefault="00406E8A" w:rsidP="00A62372">
            <w:pPr>
              <w:jc w:val="both"/>
            </w:pPr>
          </w:p>
          <w:p w14:paraId="742CC5CB" w14:textId="77777777" w:rsidR="00406E8A" w:rsidRPr="00BA4E53" w:rsidRDefault="00406E8A" w:rsidP="00A62372">
            <w:pPr>
              <w:jc w:val="both"/>
            </w:pPr>
            <w:r w:rsidRPr="00BA4E53">
              <w:t xml:space="preserve">70% </w:t>
            </w:r>
            <w:r w:rsidR="00A83284" w:rsidRPr="00BA4E53">
              <w:t>g</w:t>
            </w:r>
            <w:r w:rsidRPr="00BA4E53">
              <w:t xml:space="preserve">ross </w:t>
            </w:r>
            <w:r w:rsidR="00A83284" w:rsidRPr="00BA4E53">
              <w:t>r</w:t>
            </w:r>
            <w:r w:rsidRPr="00BA4E53">
              <w:t>ate</w:t>
            </w:r>
          </w:p>
          <w:p w14:paraId="74ACFC45" w14:textId="77777777" w:rsidR="00406E8A" w:rsidRPr="00BA4E53" w:rsidRDefault="00406E8A" w:rsidP="00A62372">
            <w:pPr>
              <w:jc w:val="both"/>
            </w:pPr>
          </w:p>
          <w:p w14:paraId="2B56E944" w14:textId="77777777" w:rsidR="00406E8A" w:rsidRPr="00BA4E53" w:rsidRDefault="00406E8A" w:rsidP="00A62372">
            <w:pPr>
              <w:jc w:val="both"/>
            </w:pPr>
            <w:r w:rsidRPr="00BA4E53">
              <w:t xml:space="preserve">85% </w:t>
            </w:r>
            <w:r w:rsidR="00A83284" w:rsidRPr="00BA4E53">
              <w:t>g</w:t>
            </w:r>
            <w:r w:rsidRPr="00BA4E53">
              <w:t xml:space="preserve">ross </w:t>
            </w:r>
            <w:r w:rsidR="00A83284" w:rsidRPr="00BA4E53">
              <w:t>r</w:t>
            </w:r>
            <w:r w:rsidRPr="00BA4E53">
              <w:t>ate</w:t>
            </w:r>
          </w:p>
          <w:p w14:paraId="403F9578" w14:textId="77777777" w:rsidR="00406E8A" w:rsidRPr="00BA4E53" w:rsidRDefault="00406E8A" w:rsidP="00A62372">
            <w:pPr>
              <w:jc w:val="both"/>
            </w:pPr>
          </w:p>
          <w:p w14:paraId="6255E62C" w14:textId="77777777" w:rsidR="00406E8A" w:rsidRPr="00BA4E53" w:rsidRDefault="00406E8A" w:rsidP="00A62372">
            <w:pPr>
              <w:jc w:val="both"/>
            </w:pPr>
            <w:r w:rsidRPr="00BA4E53">
              <w:t xml:space="preserve">100% </w:t>
            </w:r>
            <w:r w:rsidR="00A83284" w:rsidRPr="00BA4E53">
              <w:t>g</w:t>
            </w:r>
            <w:r w:rsidRPr="00BA4E53">
              <w:t xml:space="preserve">ross </w:t>
            </w:r>
            <w:r w:rsidR="00A83284" w:rsidRPr="00BA4E53">
              <w:t>r</w:t>
            </w:r>
            <w:r w:rsidRPr="00BA4E53">
              <w:t>ate</w:t>
            </w:r>
          </w:p>
        </w:tc>
      </w:tr>
      <w:tr w:rsidR="00406E8A" w:rsidRPr="00BA4E53" w14:paraId="055FEC74" w14:textId="77777777" w:rsidTr="00406E8A">
        <w:trPr>
          <w:cantSplit/>
          <w:trHeight w:val="2272"/>
        </w:trPr>
        <w:tc>
          <w:tcPr>
            <w:tcW w:w="2660" w:type="dxa"/>
            <w:vMerge/>
          </w:tcPr>
          <w:p w14:paraId="10643AC1" w14:textId="77777777" w:rsidR="00406E8A" w:rsidRPr="00BA4E53" w:rsidRDefault="00406E8A" w:rsidP="00A62372">
            <w:pPr>
              <w:jc w:val="both"/>
              <w:rPr>
                <w:b/>
              </w:rPr>
            </w:pPr>
          </w:p>
        </w:tc>
        <w:tc>
          <w:tcPr>
            <w:tcW w:w="283" w:type="dxa"/>
            <w:vMerge/>
          </w:tcPr>
          <w:p w14:paraId="702EC7C4" w14:textId="77777777" w:rsidR="00406E8A" w:rsidRPr="00BA4E53" w:rsidRDefault="00406E8A" w:rsidP="00A62372">
            <w:pPr>
              <w:jc w:val="both"/>
              <w:rPr>
                <w:b/>
              </w:rPr>
            </w:pPr>
          </w:p>
        </w:tc>
        <w:tc>
          <w:tcPr>
            <w:tcW w:w="5954" w:type="dxa"/>
            <w:gridSpan w:val="2"/>
          </w:tcPr>
          <w:p w14:paraId="4DB2993F" w14:textId="77777777" w:rsidR="00406E8A" w:rsidRPr="00BA4E53" w:rsidRDefault="00A83284" w:rsidP="00A62372">
            <w:pPr>
              <w:jc w:val="both"/>
            </w:pPr>
            <w:r w:rsidRPr="00BA4E53">
              <w:t>Where gross r</w:t>
            </w:r>
            <w:r w:rsidR="00406E8A" w:rsidRPr="00BA4E53">
              <w:t>ate is the greater of :</w:t>
            </w:r>
          </w:p>
          <w:p w14:paraId="57ADE738" w14:textId="77777777" w:rsidR="00A83284" w:rsidRPr="00BA4E53" w:rsidRDefault="00A83284" w:rsidP="00A62372">
            <w:pPr>
              <w:jc w:val="both"/>
            </w:pPr>
          </w:p>
          <w:p w14:paraId="458C274F" w14:textId="77777777" w:rsidR="00406E8A" w:rsidRPr="00BA4E53" w:rsidRDefault="00406E8A" w:rsidP="00A62372">
            <w:pPr>
              <w:numPr>
                <w:ilvl w:val="0"/>
                <w:numId w:val="4"/>
              </w:numPr>
              <w:ind w:left="459" w:hanging="459"/>
              <w:jc w:val="both"/>
            </w:pPr>
            <w:r w:rsidRPr="00BA4E53">
              <w:t xml:space="preserve">4% plus the yield on the Commonwealth Government security with a term nearest the outstanding term of the policy at the date of </w:t>
            </w:r>
            <w:r w:rsidR="00455F82" w:rsidRPr="00BA4E53">
              <w:t>calculation</w:t>
            </w:r>
            <w:r w:rsidRPr="00BA4E53">
              <w:t>; and</w:t>
            </w:r>
          </w:p>
          <w:p w14:paraId="2CCCE4FB" w14:textId="77777777" w:rsidR="004C132F" w:rsidRPr="00BA4E53" w:rsidRDefault="004C132F" w:rsidP="00A62372">
            <w:pPr>
              <w:ind w:left="459"/>
              <w:jc w:val="both"/>
            </w:pPr>
          </w:p>
          <w:p w14:paraId="4B793E82" w14:textId="77777777" w:rsidR="00406E8A" w:rsidRPr="00BA4E53" w:rsidRDefault="00406E8A" w:rsidP="00EA657E">
            <w:pPr>
              <w:numPr>
                <w:ilvl w:val="0"/>
                <w:numId w:val="15"/>
              </w:numPr>
              <w:ind w:left="459" w:hanging="459"/>
              <w:jc w:val="both"/>
            </w:pPr>
            <w:r w:rsidRPr="00BA4E53">
              <w:t>the gross (of tax and expenses) yield implicit in the pricing of the policy at issue.</w:t>
            </w:r>
          </w:p>
        </w:tc>
      </w:tr>
    </w:tbl>
    <w:p w14:paraId="4BFECED8" w14:textId="77777777" w:rsidR="00406E8A" w:rsidRPr="00BA4E53" w:rsidRDefault="00406E8A" w:rsidP="00A62372">
      <w:pPr>
        <w:jc w:val="both"/>
      </w:pPr>
    </w:p>
    <w:p w14:paraId="095210DC" w14:textId="77777777" w:rsidR="00406E8A" w:rsidRPr="00BA4E53" w:rsidRDefault="00406E8A" w:rsidP="00865EA1">
      <w:pPr>
        <w:spacing w:after="240"/>
        <w:ind w:left="567" w:hanging="567"/>
        <w:jc w:val="both"/>
        <w:rPr>
          <w:sz w:val="20"/>
        </w:rPr>
      </w:pPr>
      <w:r w:rsidRPr="00BA4E53">
        <w:rPr>
          <w:sz w:val="20"/>
        </w:rPr>
        <w:t>Notes:</w:t>
      </w:r>
      <w:r w:rsidRPr="00BA4E53">
        <w:rPr>
          <w:sz w:val="20"/>
        </w:rPr>
        <w:tab/>
      </w:r>
    </w:p>
    <w:p w14:paraId="2C5D79FA" w14:textId="77777777" w:rsidR="00406E8A" w:rsidRPr="00BA4E53" w:rsidRDefault="00406E8A" w:rsidP="00865EA1">
      <w:pPr>
        <w:spacing w:after="240"/>
        <w:ind w:left="567" w:hanging="567"/>
        <w:jc w:val="both"/>
        <w:rPr>
          <w:sz w:val="20"/>
        </w:rPr>
      </w:pPr>
      <w:r w:rsidRPr="00BA4E53">
        <w:rPr>
          <w:sz w:val="20"/>
        </w:rPr>
        <w:t>1.</w:t>
      </w:r>
      <w:r w:rsidRPr="00BA4E53">
        <w:rPr>
          <w:sz w:val="20"/>
        </w:rPr>
        <w:tab/>
        <w:t xml:space="preserve">Where payments are indexed the </w:t>
      </w:r>
      <w:r w:rsidR="004C132F" w:rsidRPr="00BA4E53">
        <w:rPr>
          <w:sz w:val="20"/>
        </w:rPr>
        <w:t>life company</w:t>
      </w:r>
      <w:r w:rsidRPr="00BA4E53">
        <w:rPr>
          <w:sz w:val="20"/>
        </w:rPr>
        <w:t xml:space="preserve"> should make an appropriate allowance for the rate of indexation.</w:t>
      </w:r>
    </w:p>
    <w:p w14:paraId="191D2C30" w14:textId="77777777" w:rsidR="00F332A3" w:rsidRDefault="00406E8A" w:rsidP="00865EA1">
      <w:pPr>
        <w:spacing w:after="240"/>
        <w:ind w:left="567" w:hanging="567"/>
        <w:jc w:val="both"/>
        <w:rPr>
          <w:sz w:val="20"/>
        </w:rPr>
      </w:pPr>
      <w:r w:rsidRPr="00BA4E53">
        <w:rPr>
          <w:sz w:val="20"/>
        </w:rPr>
        <w:t>2.</w:t>
      </w:r>
      <w:r w:rsidRPr="00BA4E53">
        <w:rPr>
          <w:sz w:val="20"/>
        </w:rPr>
        <w:tab/>
        <w:t xml:space="preserve">The </w:t>
      </w:r>
      <w:r w:rsidR="00A83284" w:rsidRPr="00BA4E53">
        <w:rPr>
          <w:sz w:val="20"/>
        </w:rPr>
        <w:t>i</w:t>
      </w:r>
      <w:r w:rsidRPr="00BA4E53">
        <w:rPr>
          <w:sz w:val="20"/>
        </w:rPr>
        <w:t xml:space="preserve">nterest </w:t>
      </w:r>
      <w:r w:rsidR="00A83284" w:rsidRPr="00BA4E53">
        <w:rPr>
          <w:sz w:val="20"/>
        </w:rPr>
        <w:t>r</w:t>
      </w:r>
      <w:r w:rsidRPr="00BA4E53">
        <w:rPr>
          <w:sz w:val="20"/>
        </w:rPr>
        <w:t>ates shown are applicable to non-participating business.</w:t>
      </w:r>
      <w:r w:rsidR="004A45C4">
        <w:rPr>
          <w:sz w:val="20"/>
        </w:rPr>
        <w:t xml:space="preserve"> </w:t>
      </w:r>
      <w:r w:rsidRPr="00BA4E53">
        <w:rPr>
          <w:sz w:val="20"/>
        </w:rPr>
        <w:t xml:space="preserve">The applicable interest rates for participating business are determined as for non-participating business, but using </w:t>
      </w:r>
      <w:r w:rsidR="00A83284" w:rsidRPr="00BA4E53">
        <w:rPr>
          <w:sz w:val="20"/>
        </w:rPr>
        <w:t>g</w:t>
      </w:r>
      <w:r w:rsidRPr="00BA4E53">
        <w:rPr>
          <w:sz w:val="20"/>
        </w:rPr>
        <w:t xml:space="preserve">ross </w:t>
      </w:r>
      <w:r w:rsidR="00A83284" w:rsidRPr="00BA4E53">
        <w:rPr>
          <w:sz w:val="20"/>
        </w:rPr>
        <w:t>r</w:t>
      </w:r>
      <w:r w:rsidRPr="00BA4E53">
        <w:rPr>
          <w:sz w:val="20"/>
        </w:rPr>
        <w:t>ate less 1.0%.</w:t>
      </w:r>
      <w:r w:rsidR="00F332A3">
        <w:rPr>
          <w:sz w:val="20"/>
        </w:rPr>
        <w:t xml:space="preserve"> </w:t>
      </w:r>
    </w:p>
    <w:p w14:paraId="0F34E20A" w14:textId="77777777" w:rsidR="00406E8A" w:rsidRPr="00BA4E53" w:rsidRDefault="00406E8A" w:rsidP="00865EA1">
      <w:pPr>
        <w:spacing w:after="240"/>
        <w:ind w:left="567" w:hanging="567"/>
        <w:jc w:val="both"/>
        <w:rPr>
          <w:sz w:val="20"/>
        </w:rPr>
      </w:pPr>
      <w:r w:rsidRPr="00BA4E53">
        <w:rPr>
          <w:sz w:val="20"/>
        </w:rPr>
        <w:t>3.</w:t>
      </w:r>
      <w:r w:rsidRPr="00BA4E53">
        <w:rPr>
          <w:sz w:val="20"/>
        </w:rPr>
        <w:tab/>
      </w:r>
      <w:smartTag w:uri="urn:schemas-microsoft-com:office:smarttags" w:element="stockticker">
        <w:r w:rsidRPr="00BA4E53">
          <w:rPr>
            <w:sz w:val="20"/>
          </w:rPr>
          <w:t>PRE</w:t>
        </w:r>
      </w:smartTag>
      <w:r w:rsidRPr="00BA4E53">
        <w:rPr>
          <w:sz w:val="20"/>
        </w:rPr>
        <w:t xml:space="preserve"> and POST for </w:t>
      </w:r>
      <w:r w:rsidR="00A83284" w:rsidRPr="00BA4E53">
        <w:rPr>
          <w:sz w:val="20"/>
        </w:rPr>
        <w:t>o</w:t>
      </w:r>
      <w:r w:rsidRPr="00BA4E53">
        <w:rPr>
          <w:sz w:val="20"/>
        </w:rPr>
        <w:t xml:space="preserve">rdinary </w:t>
      </w:r>
      <w:r w:rsidR="00A83284" w:rsidRPr="00BA4E53">
        <w:rPr>
          <w:sz w:val="20"/>
        </w:rPr>
        <w:t>f</w:t>
      </w:r>
      <w:r w:rsidRPr="00BA4E53">
        <w:rPr>
          <w:sz w:val="20"/>
        </w:rPr>
        <w:t xml:space="preserve">ixed </w:t>
      </w:r>
      <w:r w:rsidR="00A83284" w:rsidRPr="00BA4E53">
        <w:rPr>
          <w:sz w:val="20"/>
        </w:rPr>
        <w:t>t</w:t>
      </w:r>
      <w:r w:rsidRPr="00BA4E53">
        <w:rPr>
          <w:sz w:val="20"/>
        </w:rPr>
        <w:t>erm/</w:t>
      </w:r>
      <w:r w:rsidR="00A83284" w:rsidRPr="00BA4E53">
        <w:rPr>
          <w:sz w:val="20"/>
        </w:rPr>
        <w:t>r</w:t>
      </w:r>
      <w:r w:rsidRPr="00BA4E53">
        <w:rPr>
          <w:sz w:val="20"/>
        </w:rPr>
        <w:t xml:space="preserve">ate </w:t>
      </w:r>
      <w:r w:rsidR="00A83284" w:rsidRPr="00BA4E53">
        <w:rPr>
          <w:sz w:val="20"/>
        </w:rPr>
        <w:t>b</w:t>
      </w:r>
      <w:r w:rsidRPr="00BA4E53">
        <w:rPr>
          <w:sz w:val="20"/>
        </w:rPr>
        <w:t>usiness should be determined on the basis of date of commencement of the policy, or the date of commencement of the current term (if subject to a roll over mechanism).</w:t>
      </w:r>
    </w:p>
    <w:p w14:paraId="7AD060BD" w14:textId="77777777" w:rsidR="00406E8A" w:rsidRPr="00BA4E53" w:rsidRDefault="00406E8A" w:rsidP="00865EA1">
      <w:pPr>
        <w:spacing w:after="240"/>
        <w:ind w:left="567" w:hanging="567"/>
        <w:jc w:val="both"/>
        <w:rPr>
          <w:sz w:val="20"/>
        </w:rPr>
      </w:pPr>
    </w:p>
    <w:p w14:paraId="271C1AF6" w14:textId="77777777" w:rsidR="00F03AF0" w:rsidRPr="0095272A" w:rsidRDefault="00406E8A" w:rsidP="00865EA1">
      <w:pPr>
        <w:pStyle w:val="Heading3"/>
        <w:jc w:val="both"/>
      </w:pPr>
      <w:r w:rsidRPr="00BA4E53">
        <w:br w:type="page"/>
      </w:r>
      <w:bookmarkStart w:id="55" w:name="_Ref324930408"/>
      <w:bookmarkStart w:id="56" w:name="_Toc334445589"/>
      <w:r w:rsidRPr="0095272A">
        <w:lastRenderedPageBreak/>
        <w:t>A</w:t>
      </w:r>
      <w:r w:rsidR="00F03AF0" w:rsidRPr="0095272A">
        <w:t>ttachment 2</w:t>
      </w:r>
      <w:bookmarkEnd w:id="55"/>
      <w:bookmarkEnd w:id="56"/>
    </w:p>
    <w:p w14:paraId="7C432335" w14:textId="77777777" w:rsidR="003E5387" w:rsidRPr="0095272A" w:rsidRDefault="00F03AF0" w:rsidP="00865EA1">
      <w:pPr>
        <w:pStyle w:val="Heading3"/>
        <w:jc w:val="both"/>
      </w:pPr>
      <w:bookmarkStart w:id="57" w:name="_Toc324952327"/>
      <w:bookmarkStart w:id="58" w:name="_Toc334445590"/>
      <w:r w:rsidRPr="0095272A">
        <w:t xml:space="preserve">Determination of minimum </w:t>
      </w:r>
      <w:r w:rsidR="00694949" w:rsidRPr="0095272A">
        <w:t>termination</w:t>
      </w:r>
      <w:r w:rsidRPr="0095272A">
        <w:t xml:space="preserve"> values and paid-up values for traditional business</w:t>
      </w:r>
      <w:r w:rsidR="004C132F" w:rsidRPr="0095272A">
        <w:t xml:space="preserve"> </w:t>
      </w:r>
      <w:r w:rsidR="003E5387" w:rsidRPr="0095272A">
        <w:t>and long-term risk business</w:t>
      </w:r>
      <w:bookmarkEnd w:id="57"/>
      <w:bookmarkEnd w:id="58"/>
    </w:p>
    <w:p w14:paraId="36AAB246" w14:textId="77777777" w:rsidR="00406E8A" w:rsidRPr="00BA4E53" w:rsidRDefault="003E5387" w:rsidP="00865EA1">
      <w:pPr>
        <w:spacing w:after="240"/>
        <w:jc w:val="both"/>
        <w:rPr>
          <w:b/>
        </w:rPr>
      </w:pPr>
      <w:r w:rsidRPr="00BA4E53">
        <w:t>Refer to</w:t>
      </w:r>
      <w:r w:rsidR="004C132F" w:rsidRPr="00BA4E53">
        <w:t xml:space="preserve"> Attachment 3</w:t>
      </w:r>
      <w:r w:rsidRPr="00BA4E53">
        <w:t xml:space="preserve"> for </w:t>
      </w:r>
      <w:r w:rsidR="00A45E34" w:rsidRPr="00BA4E53">
        <w:t xml:space="preserve">variations to </w:t>
      </w:r>
      <w:r w:rsidRPr="00BA4E53">
        <w:t>the requirements for specific types of traditional business.</w:t>
      </w:r>
      <w:r w:rsidR="00517341" w:rsidRPr="00BA4E53">
        <w:t xml:space="preserve"> </w:t>
      </w:r>
    </w:p>
    <w:p w14:paraId="4D85F162" w14:textId="77777777" w:rsidR="00406E8A" w:rsidRPr="003378FD" w:rsidRDefault="00406E8A" w:rsidP="00865EA1">
      <w:pPr>
        <w:spacing w:after="240"/>
        <w:jc w:val="both"/>
        <w:rPr>
          <w:rFonts w:ascii="Arial" w:hAnsi="Arial" w:cs="Arial"/>
          <w:i/>
        </w:rPr>
      </w:pPr>
      <w:r w:rsidRPr="003378FD">
        <w:rPr>
          <w:rFonts w:ascii="Arial" w:hAnsi="Arial" w:cs="Arial"/>
          <w:i/>
        </w:rPr>
        <w:t xml:space="preserve">Part I - In </w:t>
      </w:r>
      <w:r w:rsidR="00CF0459" w:rsidRPr="003378FD">
        <w:rPr>
          <w:rFonts w:ascii="Arial" w:hAnsi="Arial" w:cs="Arial"/>
          <w:i/>
        </w:rPr>
        <w:t>f</w:t>
      </w:r>
      <w:r w:rsidRPr="003378FD">
        <w:rPr>
          <w:rFonts w:ascii="Arial" w:hAnsi="Arial" w:cs="Arial"/>
          <w:i/>
        </w:rPr>
        <w:t xml:space="preserve">orce </w:t>
      </w:r>
      <w:r w:rsidR="00CF0459" w:rsidRPr="003378FD">
        <w:rPr>
          <w:rFonts w:ascii="Arial" w:hAnsi="Arial" w:cs="Arial"/>
          <w:i/>
        </w:rPr>
        <w:t>b</w:t>
      </w:r>
      <w:r w:rsidRPr="003378FD">
        <w:rPr>
          <w:rFonts w:ascii="Arial" w:hAnsi="Arial" w:cs="Arial"/>
          <w:i/>
        </w:rPr>
        <w:t xml:space="preserve">usiness at the </w:t>
      </w:r>
      <w:r w:rsidR="004C132F" w:rsidRPr="003378FD">
        <w:rPr>
          <w:rFonts w:ascii="Arial" w:hAnsi="Arial" w:cs="Arial"/>
          <w:i/>
        </w:rPr>
        <w:t>date of commencement</w:t>
      </w:r>
    </w:p>
    <w:p w14:paraId="268A2128" w14:textId="77777777" w:rsidR="00406E8A" w:rsidRPr="00BA4E53" w:rsidRDefault="00406E8A" w:rsidP="00865EA1">
      <w:pPr>
        <w:spacing w:after="240"/>
        <w:jc w:val="both"/>
        <w:rPr>
          <w:b/>
          <w:u w:val="single"/>
        </w:rPr>
      </w:pPr>
      <w:r w:rsidRPr="00BA4E53">
        <w:rPr>
          <w:b/>
        </w:rPr>
        <w:t xml:space="preserve">A.  </w:t>
      </w:r>
      <w:r w:rsidR="003E5387" w:rsidRPr="00BA4E53">
        <w:rPr>
          <w:b/>
          <w:u w:val="single"/>
        </w:rPr>
        <w:t>M</w:t>
      </w:r>
      <w:r w:rsidR="004D02B7" w:rsidRPr="00BA4E53">
        <w:rPr>
          <w:b/>
          <w:u w:val="single"/>
        </w:rPr>
        <w:t xml:space="preserve">inimum </w:t>
      </w:r>
      <w:r w:rsidR="00694949" w:rsidRPr="00BA4E53">
        <w:rPr>
          <w:b/>
          <w:u w:val="single"/>
        </w:rPr>
        <w:t>termination</w:t>
      </w:r>
      <w:r w:rsidRPr="00BA4E53">
        <w:rPr>
          <w:b/>
          <w:u w:val="single"/>
        </w:rPr>
        <w:t xml:space="preserve"> </w:t>
      </w:r>
      <w:r w:rsidR="000D35DF" w:rsidRPr="00BA4E53">
        <w:rPr>
          <w:b/>
          <w:u w:val="single"/>
        </w:rPr>
        <w:t>v</w:t>
      </w:r>
      <w:r w:rsidRPr="00BA4E53">
        <w:rPr>
          <w:b/>
          <w:u w:val="single"/>
        </w:rPr>
        <w:t>alue</w:t>
      </w:r>
    </w:p>
    <w:p w14:paraId="1C26CC3B" w14:textId="77777777" w:rsidR="00406E8A" w:rsidRPr="00BA4E53" w:rsidRDefault="00406E8A" w:rsidP="00EA657E">
      <w:pPr>
        <w:pStyle w:val="ListParagraph"/>
        <w:numPr>
          <w:ilvl w:val="0"/>
          <w:numId w:val="18"/>
        </w:numPr>
        <w:ind w:left="567" w:hanging="567"/>
        <w:jc w:val="both"/>
        <w:rPr>
          <w:b/>
        </w:rPr>
      </w:pPr>
      <w:r w:rsidRPr="00BA4E53">
        <w:t xml:space="preserve">The </w:t>
      </w:r>
      <w:r w:rsidR="004D02B7" w:rsidRPr="00BA4E53">
        <w:t xml:space="preserve">minimum termination </w:t>
      </w:r>
      <w:r w:rsidRPr="00BA4E53">
        <w:t>value is calculated as</w:t>
      </w:r>
      <w:r w:rsidR="00CF0459" w:rsidRPr="00BA4E53">
        <w:t>:</w:t>
      </w:r>
      <w:r w:rsidRPr="00BA4E53">
        <w:t xml:space="preserve"> </w:t>
      </w:r>
    </w:p>
    <w:p w14:paraId="61F8F611" w14:textId="7B5E3E2D" w:rsidR="00D74529" w:rsidRDefault="006B634F" w:rsidP="00865EA1">
      <w:pPr>
        <w:spacing w:after="240"/>
        <w:ind w:firstLine="567"/>
        <w:jc w:val="both"/>
        <w:rPr>
          <w:noProof/>
        </w:rPr>
      </w:pPr>
      <w:r>
        <w:rPr>
          <w:noProof/>
        </w:rPr>
        <w:pict w14:anchorId="08900310">
          <v:shape id="Picture 15" o:spid="_x0000_i1027" type="#_x0000_t75" alt="Start formula PUV times A End formula &#10;" style="width:55.5pt;height:13.5pt;visibility:visible;mso-wrap-style:square">
            <v:imagedata r:id="rId16" o:title="" cropbottom="6729f" cropleft="4115f" cropright="53767f"/>
          </v:shape>
        </w:pict>
      </w:r>
    </w:p>
    <w:p w14:paraId="1B2BC0CE" w14:textId="757699D8" w:rsidR="00224EFC" w:rsidRPr="00BA4E53" w:rsidRDefault="00224EFC" w:rsidP="00865EA1">
      <w:pPr>
        <w:spacing w:after="240"/>
        <w:ind w:firstLine="567"/>
        <w:jc w:val="both"/>
      </w:pPr>
      <w:r w:rsidRPr="00BA4E53">
        <w:t>where:</w:t>
      </w:r>
      <w:r w:rsidR="00406E8A" w:rsidRPr="00BA4E53">
        <w:t xml:space="preserve"> </w:t>
      </w:r>
      <w:r w:rsidR="00406E8A" w:rsidRPr="00BA4E53">
        <w:tab/>
      </w:r>
    </w:p>
    <w:p w14:paraId="789065B7" w14:textId="77777777" w:rsidR="00406E8A" w:rsidRPr="00BA4E53" w:rsidRDefault="00224EFC" w:rsidP="00EA657E">
      <w:pPr>
        <w:numPr>
          <w:ilvl w:val="0"/>
          <w:numId w:val="19"/>
        </w:numPr>
        <w:spacing w:after="240"/>
        <w:ind w:left="1134" w:hanging="567"/>
        <w:jc w:val="both"/>
      </w:pPr>
      <w:r w:rsidRPr="00BA4E53">
        <w:t xml:space="preserve">PUV </w:t>
      </w:r>
      <w:r w:rsidR="00406E8A" w:rsidRPr="00BA4E53">
        <w:t xml:space="preserve">is the minimum paid-up value at the date of </w:t>
      </w:r>
      <w:r w:rsidR="004D02B7" w:rsidRPr="00BA4E53">
        <w:t>calculation</w:t>
      </w:r>
      <w:r w:rsidR="00636009" w:rsidRPr="00BA4E53">
        <w:t>;</w:t>
      </w:r>
      <w:r w:rsidR="00EE1089">
        <w:t xml:space="preserve"> and</w:t>
      </w:r>
    </w:p>
    <w:p w14:paraId="569B173D" w14:textId="77777777" w:rsidR="00406E8A" w:rsidRPr="00BA4E53" w:rsidRDefault="00406E8A" w:rsidP="00EA657E">
      <w:pPr>
        <w:numPr>
          <w:ilvl w:val="0"/>
          <w:numId w:val="19"/>
        </w:numPr>
        <w:spacing w:after="240"/>
        <w:ind w:left="1134" w:hanging="567"/>
        <w:jc w:val="both"/>
      </w:pPr>
      <w:r w:rsidRPr="00BA4E53">
        <w:t>A</w:t>
      </w:r>
      <w:r w:rsidR="00E01002">
        <w:t xml:space="preserve"> </w:t>
      </w:r>
      <w:r w:rsidRPr="00BA4E53">
        <w:t>is the present value of $1 o</w:t>
      </w:r>
      <w:r w:rsidR="00224EFC" w:rsidRPr="00BA4E53">
        <w:t xml:space="preserve">f paid-up value as at that </w:t>
      </w:r>
      <w:r w:rsidRPr="00BA4E53">
        <w:t>date, according to the contingencies upon w</w:t>
      </w:r>
      <w:r w:rsidR="00224EFC" w:rsidRPr="00BA4E53">
        <w:t xml:space="preserve">hich it is </w:t>
      </w:r>
      <w:r w:rsidRPr="00BA4E53">
        <w:t>payable</w:t>
      </w:r>
      <w:r w:rsidR="0062467C" w:rsidRPr="00BA4E53">
        <w:t>.</w:t>
      </w:r>
    </w:p>
    <w:p w14:paraId="16D75F72" w14:textId="77777777" w:rsidR="00406E8A" w:rsidRPr="00BA4E53" w:rsidRDefault="00406E8A" w:rsidP="00865EA1">
      <w:pPr>
        <w:spacing w:after="240"/>
        <w:jc w:val="both"/>
        <w:rPr>
          <w:b/>
        </w:rPr>
      </w:pPr>
      <w:r w:rsidRPr="00BA4E53">
        <w:rPr>
          <w:b/>
        </w:rPr>
        <w:t xml:space="preserve">B.  </w:t>
      </w:r>
      <w:r w:rsidR="003E5387" w:rsidRPr="00BA4E53">
        <w:rPr>
          <w:b/>
          <w:u w:val="single"/>
        </w:rPr>
        <w:t>M</w:t>
      </w:r>
      <w:r w:rsidRPr="00BA4E53">
        <w:rPr>
          <w:b/>
          <w:u w:val="single"/>
        </w:rPr>
        <w:t xml:space="preserve">inimum </w:t>
      </w:r>
      <w:r w:rsidR="009A4D62" w:rsidRPr="00BA4E53">
        <w:rPr>
          <w:b/>
          <w:u w:val="single"/>
        </w:rPr>
        <w:t>p</w:t>
      </w:r>
      <w:r w:rsidRPr="00BA4E53">
        <w:rPr>
          <w:b/>
          <w:u w:val="single"/>
        </w:rPr>
        <w:t xml:space="preserve">aid-up </w:t>
      </w:r>
      <w:r w:rsidR="009A4D62" w:rsidRPr="00BA4E53">
        <w:rPr>
          <w:b/>
          <w:u w:val="single"/>
        </w:rPr>
        <w:t>v</w:t>
      </w:r>
      <w:r w:rsidRPr="00BA4E53">
        <w:rPr>
          <w:b/>
          <w:u w:val="single"/>
        </w:rPr>
        <w:t>alue</w:t>
      </w:r>
    </w:p>
    <w:p w14:paraId="5F755B8C" w14:textId="77777777" w:rsidR="00406E8A" w:rsidRPr="00BA4E53" w:rsidRDefault="00406E8A" w:rsidP="00EA657E">
      <w:pPr>
        <w:pStyle w:val="ListParagraph"/>
        <w:numPr>
          <w:ilvl w:val="0"/>
          <w:numId w:val="18"/>
        </w:numPr>
        <w:ind w:left="567" w:hanging="567"/>
        <w:jc w:val="both"/>
      </w:pPr>
      <w:bookmarkStart w:id="59" w:name="_Ref320003900"/>
      <w:r w:rsidRPr="00BA4E53">
        <w:t xml:space="preserve">The minimum paid-up policy, excluding </w:t>
      </w:r>
      <w:r w:rsidR="00CF0459" w:rsidRPr="00BA4E53">
        <w:t>b</w:t>
      </w:r>
      <w:r w:rsidRPr="00BA4E53">
        <w:t xml:space="preserve">onus </w:t>
      </w:r>
      <w:r w:rsidR="00CF0459" w:rsidRPr="00BA4E53">
        <w:t>a</w:t>
      </w:r>
      <w:r w:rsidRPr="00BA4E53">
        <w:t>dditions, is:</w:t>
      </w:r>
      <w:bookmarkEnd w:id="59"/>
    </w:p>
    <w:p w14:paraId="34460079" w14:textId="77777777" w:rsidR="00406E8A" w:rsidRPr="00BA4E53" w:rsidRDefault="00CF0459" w:rsidP="00EA657E">
      <w:pPr>
        <w:numPr>
          <w:ilvl w:val="0"/>
          <w:numId w:val="20"/>
        </w:numPr>
        <w:spacing w:after="240"/>
        <w:ind w:left="1134" w:hanging="567"/>
        <w:jc w:val="both"/>
      </w:pPr>
      <w:r w:rsidRPr="00BA4E53">
        <w:t>f</w:t>
      </w:r>
      <w:r w:rsidR="00406E8A" w:rsidRPr="00BA4E53">
        <w:t xml:space="preserve">or a policy which is not a policy for the whole term of life with premiums payable throughout life, but excluding policies covered by </w:t>
      </w:r>
      <w:r w:rsidR="009A001F">
        <w:fldChar w:fldCharType="begin"/>
      </w:r>
      <w:r w:rsidR="00F332A3">
        <w:instrText xml:space="preserve"> REF _Ref325443458 \r \h </w:instrText>
      </w:r>
      <w:r w:rsidR="009A001F">
        <w:fldChar w:fldCharType="separate"/>
      </w:r>
      <w:r w:rsidR="00756D31">
        <w:t>(c)</w:t>
      </w:r>
      <w:r w:rsidR="009A001F">
        <w:fldChar w:fldCharType="end"/>
      </w:r>
      <w:r w:rsidR="00F332A3">
        <w:t xml:space="preserve"> </w:t>
      </w:r>
      <w:r w:rsidR="00406E8A" w:rsidRPr="00BA4E53">
        <w:t>below:</w:t>
      </w:r>
    </w:p>
    <w:p w14:paraId="41D74E11" w14:textId="62C9B645" w:rsidR="00D74529" w:rsidRDefault="006B634F" w:rsidP="00865EA1">
      <w:pPr>
        <w:spacing w:after="240"/>
        <w:ind w:left="828" w:firstLine="306"/>
        <w:jc w:val="both"/>
        <w:rPr>
          <w:noProof/>
        </w:rPr>
      </w:pPr>
      <w:r>
        <w:rPr>
          <w:noProof/>
        </w:rPr>
        <w:pict w14:anchorId="7AC033FE">
          <v:shape id="Picture 16" o:spid="_x0000_i1028" type="#_x0000_t75" alt="Start formula factor times open bracket t divided by n close bracket times SA end formula &#10;" style="width:106.5pt;height:17.25pt;visibility:visible;mso-wrap-style:square">
            <v:imagedata r:id="rId17" o:title="" croptop="-1440f" cropbottom="28087f" cropleft="8723f" cropright="41287f"/>
          </v:shape>
        </w:pict>
      </w:r>
    </w:p>
    <w:p w14:paraId="44FB516E" w14:textId="05484DA4" w:rsidR="00CF0459" w:rsidRPr="00BA4E53" w:rsidRDefault="00CF0459" w:rsidP="00865EA1">
      <w:pPr>
        <w:spacing w:after="240"/>
        <w:ind w:left="828" w:firstLine="306"/>
        <w:jc w:val="both"/>
      </w:pPr>
      <w:r w:rsidRPr="00BA4E53">
        <w:t>where:</w:t>
      </w:r>
    </w:p>
    <w:p w14:paraId="786FD408" w14:textId="77777777" w:rsidR="00CF0459" w:rsidRPr="00BA4E53" w:rsidRDefault="00CF0459" w:rsidP="00EA657E">
      <w:pPr>
        <w:pStyle w:val="ListParagraph"/>
        <w:numPr>
          <w:ilvl w:val="0"/>
          <w:numId w:val="21"/>
        </w:numPr>
        <w:tabs>
          <w:tab w:val="left" w:pos="1701"/>
        </w:tabs>
        <w:ind w:left="1701" w:hanging="567"/>
        <w:jc w:val="both"/>
      </w:pPr>
      <w:r w:rsidRPr="00BA4E53">
        <w:t>SA is the sum insured under the policy;</w:t>
      </w:r>
    </w:p>
    <w:p w14:paraId="75262666" w14:textId="77777777" w:rsidR="00406E8A" w:rsidRPr="00BA4E53" w:rsidRDefault="00CF0459" w:rsidP="00EA657E">
      <w:pPr>
        <w:pStyle w:val="ListParagraph"/>
        <w:numPr>
          <w:ilvl w:val="0"/>
          <w:numId w:val="21"/>
        </w:numPr>
        <w:tabs>
          <w:tab w:val="left" w:pos="1701"/>
        </w:tabs>
        <w:ind w:left="1701" w:hanging="567"/>
        <w:jc w:val="both"/>
      </w:pPr>
      <w:r w:rsidRPr="00BA4E53">
        <w:t>t is the number, in complete years and months, of premiums paid;</w:t>
      </w:r>
    </w:p>
    <w:p w14:paraId="539BFBAF" w14:textId="77777777" w:rsidR="00CF0459" w:rsidRPr="00BA4E53" w:rsidRDefault="00CF0459" w:rsidP="00EA657E">
      <w:pPr>
        <w:pStyle w:val="ListParagraph"/>
        <w:numPr>
          <w:ilvl w:val="0"/>
          <w:numId w:val="21"/>
        </w:numPr>
        <w:tabs>
          <w:tab w:val="left" w:pos="1701"/>
        </w:tabs>
        <w:ind w:left="1701" w:hanging="567"/>
        <w:jc w:val="both"/>
      </w:pPr>
      <w:r w:rsidRPr="00BA4E53">
        <w:t>Factor is</w:t>
      </w:r>
      <w:r w:rsidR="00E01002">
        <w:t xml:space="preserve"> </w:t>
      </w:r>
      <w:r w:rsidRPr="00BA4E53">
        <w:t>70% where three years premiums have been paid, 80% where four years premiums have been paid and 90% where five or more years premiums have been paid; and</w:t>
      </w:r>
    </w:p>
    <w:p w14:paraId="22134051" w14:textId="77777777" w:rsidR="00CF0459" w:rsidRPr="00BA4E53" w:rsidRDefault="00CF0459" w:rsidP="00EA657E">
      <w:pPr>
        <w:pStyle w:val="ListParagraph"/>
        <w:numPr>
          <w:ilvl w:val="0"/>
          <w:numId w:val="21"/>
        </w:numPr>
        <w:tabs>
          <w:tab w:val="left" w:pos="1701"/>
        </w:tabs>
        <w:ind w:left="1701" w:hanging="567"/>
        <w:jc w:val="both"/>
      </w:pPr>
      <w:r w:rsidRPr="00BA4E53">
        <w:t>n is</w:t>
      </w:r>
      <w:r w:rsidR="00E01002">
        <w:t xml:space="preserve"> </w:t>
      </w:r>
      <w:r w:rsidRPr="00BA4E53">
        <w:t>the number, in years and months, of premiums originally payable</w:t>
      </w:r>
      <w:r w:rsidR="00701C61" w:rsidRPr="00BA4E53">
        <w:t>;</w:t>
      </w:r>
    </w:p>
    <w:p w14:paraId="579731CD" w14:textId="77777777" w:rsidR="00406E8A" w:rsidRPr="0096525A" w:rsidRDefault="002D54A1" w:rsidP="00EA657E">
      <w:pPr>
        <w:numPr>
          <w:ilvl w:val="0"/>
          <w:numId w:val="20"/>
        </w:numPr>
        <w:spacing w:after="240"/>
        <w:ind w:left="1134" w:hanging="567"/>
        <w:jc w:val="both"/>
      </w:pPr>
      <w:r w:rsidRPr="00BA4E53">
        <w:t>f</w:t>
      </w:r>
      <w:r w:rsidR="00406E8A" w:rsidRPr="00BA4E53">
        <w:t>or a policy which is a policy for the whole term of life with premiums payable throughout life:</w:t>
      </w:r>
    </w:p>
    <w:p w14:paraId="377A700B" w14:textId="00038825" w:rsidR="00397CE3" w:rsidRDefault="006B634F" w:rsidP="00865EA1">
      <w:pPr>
        <w:spacing w:after="240"/>
        <w:ind w:left="1701" w:hanging="567"/>
        <w:jc w:val="both"/>
        <w:rPr>
          <w:noProof/>
        </w:rPr>
      </w:pPr>
      <w:r>
        <w:rPr>
          <w:noProof/>
        </w:rPr>
        <w:pict w14:anchorId="3F340D72">
          <v:shape id="Picture 17" o:spid="_x0000_i1029" type="#_x0000_t75" alt="Start formula factor times open curly bracket open bracket SA times A close bracket minus open bracket NP times a close bracket close curly bracket times 1 divided by A end formula  &#10;" style="width:209.25pt;height:13.5pt;visibility:visible;mso-wrap-style:square">
            <v:imagedata r:id="rId18" o:title="" cropbottom="6729f" cropright="38611f"/>
          </v:shape>
        </w:pict>
      </w:r>
    </w:p>
    <w:p w14:paraId="657591FE" w14:textId="6339B24F" w:rsidR="001A5258" w:rsidRPr="00BA4E53" w:rsidRDefault="003A163A" w:rsidP="00865EA1">
      <w:pPr>
        <w:spacing w:after="240"/>
        <w:ind w:left="1701" w:hanging="567"/>
        <w:jc w:val="both"/>
      </w:pPr>
      <w:r w:rsidRPr="00BA4E53">
        <w:t>where:</w:t>
      </w:r>
      <w:r w:rsidR="00406E8A" w:rsidRPr="00BA4E53">
        <w:tab/>
      </w:r>
    </w:p>
    <w:p w14:paraId="6A6E9EE7" w14:textId="77777777" w:rsidR="00406E8A" w:rsidRPr="00BA4E53" w:rsidRDefault="001A5258" w:rsidP="00EA657E">
      <w:pPr>
        <w:pStyle w:val="ListParagraph"/>
        <w:numPr>
          <w:ilvl w:val="0"/>
          <w:numId w:val="22"/>
        </w:numPr>
        <w:tabs>
          <w:tab w:val="left" w:pos="1701"/>
        </w:tabs>
        <w:ind w:left="1701" w:hanging="567"/>
        <w:jc w:val="both"/>
      </w:pPr>
      <w:r w:rsidRPr="00BA4E53">
        <w:t xml:space="preserve">SA </w:t>
      </w:r>
      <w:r w:rsidR="00406E8A" w:rsidRPr="00BA4E53">
        <w:t>is the sum insured under the policy</w:t>
      </w:r>
      <w:r w:rsidRPr="00BA4E53">
        <w:t>;</w:t>
      </w:r>
    </w:p>
    <w:p w14:paraId="30D2F7C2" w14:textId="77777777" w:rsidR="00406E8A" w:rsidRPr="00BA4E53" w:rsidRDefault="00406E8A" w:rsidP="00EA657E">
      <w:pPr>
        <w:pStyle w:val="ListParagraph"/>
        <w:numPr>
          <w:ilvl w:val="0"/>
          <w:numId w:val="22"/>
        </w:numPr>
        <w:tabs>
          <w:tab w:val="left" w:pos="1701"/>
        </w:tabs>
        <w:ind w:left="1701" w:hanging="567"/>
        <w:jc w:val="both"/>
      </w:pPr>
      <w:r w:rsidRPr="00BA4E53">
        <w:lastRenderedPageBreak/>
        <w:t>NP</w:t>
      </w:r>
      <w:r w:rsidR="00E01002">
        <w:t xml:space="preserve"> </w:t>
      </w:r>
      <w:r w:rsidRPr="00BA4E53">
        <w:t>is the net premium</w:t>
      </w:r>
      <w:r w:rsidR="001A5258" w:rsidRPr="00BA4E53">
        <w:t>;</w:t>
      </w:r>
    </w:p>
    <w:p w14:paraId="2877A046" w14:textId="77777777" w:rsidR="00406E8A" w:rsidRPr="00BA4E53" w:rsidRDefault="001A5258" w:rsidP="00EA657E">
      <w:pPr>
        <w:pStyle w:val="ListParagraph"/>
        <w:numPr>
          <w:ilvl w:val="0"/>
          <w:numId w:val="22"/>
        </w:numPr>
        <w:tabs>
          <w:tab w:val="left" w:pos="1701"/>
        </w:tabs>
        <w:ind w:left="1701" w:hanging="567"/>
        <w:jc w:val="both"/>
        <w:rPr>
          <w:b/>
        </w:rPr>
      </w:pPr>
      <w:r w:rsidRPr="00BA4E53">
        <w:t xml:space="preserve">A </w:t>
      </w:r>
      <w:r w:rsidR="00406E8A" w:rsidRPr="00BA4E53">
        <w:t>is the present value as at the</w:t>
      </w:r>
      <w:r w:rsidRPr="00BA4E53">
        <w:t xml:space="preserve"> attained age of $1 of sum </w:t>
      </w:r>
      <w:r w:rsidRPr="00BA4E53">
        <w:tab/>
      </w:r>
      <w:r w:rsidR="00406E8A" w:rsidRPr="00BA4E53">
        <w:t>insured according to the cont</w:t>
      </w:r>
      <w:r w:rsidRPr="00BA4E53">
        <w:t xml:space="preserve">ingencies upon which it is </w:t>
      </w:r>
      <w:r w:rsidR="00406E8A" w:rsidRPr="00BA4E53">
        <w:t>payable</w:t>
      </w:r>
      <w:r w:rsidRPr="00BA4E53">
        <w:t>;</w:t>
      </w:r>
    </w:p>
    <w:p w14:paraId="104C6C42" w14:textId="77777777" w:rsidR="00406E8A" w:rsidRPr="00BA4E53" w:rsidRDefault="001A5258" w:rsidP="00EA657E">
      <w:pPr>
        <w:pStyle w:val="ListParagraph"/>
        <w:numPr>
          <w:ilvl w:val="0"/>
          <w:numId w:val="22"/>
        </w:numPr>
        <w:tabs>
          <w:tab w:val="left" w:pos="1701"/>
        </w:tabs>
        <w:ind w:left="1701" w:hanging="567"/>
        <w:jc w:val="both"/>
      </w:pPr>
      <w:r w:rsidRPr="00BA4E53">
        <w:t xml:space="preserve">a </w:t>
      </w:r>
      <w:r w:rsidR="00792F1F" w:rsidRPr="00BA4E53">
        <w:t xml:space="preserve">is the present value </w:t>
      </w:r>
      <w:r w:rsidR="00406E8A" w:rsidRPr="00BA4E53">
        <w:t>at the attain</w:t>
      </w:r>
      <w:r w:rsidRPr="00BA4E53">
        <w:t xml:space="preserve">ed age of $1 p.a. of future </w:t>
      </w:r>
      <w:r w:rsidR="00406E8A" w:rsidRPr="00BA4E53">
        <w:t>net premiums according to t</w:t>
      </w:r>
      <w:r w:rsidRPr="00BA4E53">
        <w:t xml:space="preserve">he contingencies upon which </w:t>
      </w:r>
      <w:r w:rsidR="00406E8A" w:rsidRPr="00BA4E53">
        <w:t>they are payable</w:t>
      </w:r>
      <w:r w:rsidRPr="00BA4E53">
        <w:t>;</w:t>
      </w:r>
    </w:p>
    <w:p w14:paraId="5EE1D6BF" w14:textId="77777777" w:rsidR="00406E8A" w:rsidRPr="00BA4E53" w:rsidRDefault="00406E8A" w:rsidP="00EA657E">
      <w:pPr>
        <w:pStyle w:val="ListParagraph"/>
        <w:numPr>
          <w:ilvl w:val="0"/>
          <w:numId w:val="22"/>
        </w:numPr>
        <w:tabs>
          <w:tab w:val="left" w:pos="1701"/>
        </w:tabs>
        <w:ind w:left="1701" w:hanging="567"/>
        <w:jc w:val="both"/>
      </w:pPr>
      <w:r w:rsidRPr="00BA4E53">
        <w:t>Sprague Adjustment is 1 year</w:t>
      </w:r>
      <w:r w:rsidR="001A5258" w:rsidRPr="00BA4E53">
        <w:t>;</w:t>
      </w:r>
    </w:p>
    <w:p w14:paraId="18F85520" w14:textId="77777777" w:rsidR="00406E8A" w:rsidRPr="00BA4E53" w:rsidRDefault="00406E8A" w:rsidP="00EA657E">
      <w:pPr>
        <w:pStyle w:val="ListParagraph"/>
        <w:numPr>
          <w:ilvl w:val="0"/>
          <w:numId w:val="22"/>
        </w:numPr>
        <w:tabs>
          <w:tab w:val="left" w:pos="1701"/>
        </w:tabs>
        <w:ind w:left="1701" w:hanging="567"/>
        <w:jc w:val="both"/>
      </w:pPr>
      <w:r w:rsidRPr="00BA4E53">
        <w:t>Factor is 90% where the paid-up poli</w:t>
      </w:r>
      <w:r w:rsidR="001A5258" w:rsidRPr="00BA4E53">
        <w:t xml:space="preserve">cy will not participate in </w:t>
      </w:r>
      <w:r w:rsidRPr="00BA4E53">
        <w:t>future profits</w:t>
      </w:r>
      <w:r w:rsidR="001A5258" w:rsidRPr="00BA4E53">
        <w:t xml:space="preserve"> and</w:t>
      </w:r>
      <w:r w:rsidRPr="00BA4E53">
        <w:t xml:space="preserve"> 80% otherwise</w:t>
      </w:r>
      <w:r w:rsidR="001A5258" w:rsidRPr="00BA4E53">
        <w:t>;</w:t>
      </w:r>
      <w:r w:rsidR="00701C61" w:rsidRPr="00BA4E53">
        <w:t xml:space="preserve"> and</w:t>
      </w:r>
    </w:p>
    <w:p w14:paraId="09E66A25" w14:textId="77777777" w:rsidR="00406E8A" w:rsidRPr="00BA4E53" w:rsidRDefault="00406E8A" w:rsidP="00EA657E">
      <w:pPr>
        <w:pStyle w:val="ListParagraph"/>
        <w:numPr>
          <w:ilvl w:val="0"/>
          <w:numId w:val="22"/>
        </w:numPr>
        <w:tabs>
          <w:tab w:val="left" w:pos="1701"/>
        </w:tabs>
        <w:ind w:left="1701" w:hanging="567"/>
        <w:jc w:val="both"/>
        <w:rPr>
          <w:b/>
        </w:rPr>
      </w:pPr>
      <w:r w:rsidRPr="00BA4E53">
        <w:t>attained age means the age</w:t>
      </w:r>
      <w:r w:rsidR="00117500">
        <w:t xml:space="preserve"> next birthday</w:t>
      </w:r>
      <w:r w:rsidR="001A5258" w:rsidRPr="00BA4E53">
        <w:t xml:space="preserve"> of the life </w:t>
      </w:r>
      <w:r w:rsidRPr="00BA4E53">
        <w:t xml:space="preserve">insured </w:t>
      </w:r>
      <w:r w:rsidR="00117500">
        <w:t>at the date of issue of the policy plus the duration of the policy in completed years and months</w:t>
      </w:r>
      <w:r w:rsidR="00EE1089">
        <w:t>;</w:t>
      </w:r>
    </w:p>
    <w:p w14:paraId="6782C5C9" w14:textId="77777777" w:rsidR="00701C61" w:rsidRPr="00BA4E53" w:rsidRDefault="00701C61" w:rsidP="00EA657E">
      <w:pPr>
        <w:numPr>
          <w:ilvl w:val="0"/>
          <w:numId w:val="20"/>
        </w:numPr>
        <w:spacing w:after="240"/>
        <w:ind w:left="1134" w:hanging="567"/>
        <w:jc w:val="both"/>
      </w:pPr>
      <w:bookmarkStart w:id="60" w:name="_Ref325443458"/>
      <w:r w:rsidRPr="00BA4E53">
        <w:t>f</w:t>
      </w:r>
      <w:r w:rsidR="00406E8A" w:rsidRPr="00BA4E53">
        <w:t xml:space="preserve">or a policy which is not a policy for the whole term of life with premiums payable throughout life, but which is a </w:t>
      </w:r>
      <w:r w:rsidRPr="00BA4E53">
        <w:t>l</w:t>
      </w:r>
      <w:r w:rsidR="00406E8A" w:rsidRPr="00BA4E53">
        <w:t xml:space="preserve">ong </w:t>
      </w:r>
      <w:r w:rsidRPr="00BA4E53">
        <w:t>t</w:t>
      </w:r>
      <w:r w:rsidR="00406E8A" w:rsidRPr="00BA4E53">
        <w:t xml:space="preserve">erm </w:t>
      </w:r>
      <w:r w:rsidRPr="00BA4E53">
        <w:t>r</w:t>
      </w:r>
      <w:r w:rsidR="00406E8A" w:rsidRPr="00BA4E53">
        <w:t xml:space="preserve">isk </w:t>
      </w:r>
      <w:r w:rsidRPr="00BA4E53">
        <w:t>p</w:t>
      </w:r>
      <w:r w:rsidR="00406E8A" w:rsidRPr="00BA4E53">
        <w:t>olicy:</w:t>
      </w:r>
      <w:bookmarkEnd w:id="60"/>
    </w:p>
    <w:p w14:paraId="1EEAA0A4" w14:textId="20A66C31" w:rsidR="00701C61" w:rsidRPr="0096525A" w:rsidRDefault="006B634F" w:rsidP="00865EA1">
      <w:pPr>
        <w:spacing w:after="240"/>
        <w:ind w:left="1134"/>
        <w:jc w:val="both"/>
      </w:pPr>
      <w:r>
        <w:rPr>
          <w:noProof/>
        </w:rPr>
        <w:pict w14:anchorId="16DBE3FA">
          <v:shape id="_x0000_i1030" type="#_x0000_t75" alt="Start formula factor times open curly bracket open bracket SA times A close bracket minus open bracket NP times a close bracket close curly bracket times 1 divided by A end formula  &#10;" style="width:201pt;height:13.5pt;visibility:visible;mso-wrap-style:square">
            <v:imagedata r:id="rId18" o:title="" cropbottom="6729f" cropright="38611f"/>
          </v:shape>
        </w:pict>
      </w:r>
    </w:p>
    <w:p w14:paraId="2A216748" w14:textId="3EA1D55A" w:rsidR="00E84627" w:rsidRPr="00BA4E53" w:rsidRDefault="00E84627" w:rsidP="00865EA1">
      <w:pPr>
        <w:tabs>
          <w:tab w:val="left" w:pos="1134"/>
        </w:tabs>
        <w:spacing w:after="240"/>
        <w:jc w:val="both"/>
      </w:pPr>
      <w:r w:rsidRPr="00BA4E53">
        <w:rPr>
          <w:b/>
        </w:rPr>
        <w:tab/>
      </w:r>
      <w:r w:rsidRPr="00BA4E53">
        <w:t>where:</w:t>
      </w:r>
      <w:r w:rsidR="00406E8A" w:rsidRPr="00BA4E53">
        <w:tab/>
      </w:r>
    </w:p>
    <w:p w14:paraId="5E83F55E" w14:textId="77777777" w:rsidR="00406E8A" w:rsidRPr="00BA4E53" w:rsidRDefault="00406E8A" w:rsidP="00EA657E">
      <w:pPr>
        <w:pStyle w:val="ListParagraph"/>
        <w:numPr>
          <w:ilvl w:val="0"/>
          <w:numId w:val="23"/>
        </w:numPr>
        <w:tabs>
          <w:tab w:val="left" w:pos="1701"/>
        </w:tabs>
        <w:ind w:left="1701" w:hanging="567"/>
        <w:jc w:val="both"/>
      </w:pPr>
      <w:r w:rsidRPr="00BA4E53">
        <w:t>SA</w:t>
      </w:r>
      <w:r w:rsidRPr="00BA4E53">
        <w:tab/>
        <w:t>is the sum insured under the policy</w:t>
      </w:r>
      <w:r w:rsidR="00E84627" w:rsidRPr="00BA4E53">
        <w:t>;</w:t>
      </w:r>
    </w:p>
    <w:p w14:paraId="07690A8B" w14:textId="77777777" w:rsidR="00406E8A" w:rsidRPr="00BA4E53" w:rsidRDefault="00406E8A" w:rsidP="00EA657E">
      <w:pPr>
        <w:pStyle w:val="ListParagraph"/>
        <w:numPr>
          <w:ilvl w:val="0"/>
          <w:numId w:val="23"/>
        </w:numPr>
        <w:tabs>
          <w:tab w:val="left" w:pos="1701"/>
        </w:tabs>
        <w:ind w:left="1701" w:hanging="567"/>
        <w:jc w:val="both"/>
      </w:pPr>
      <w:r w:rsidRPr="00BA4E53">
        <w:t>NP</w:t>
      </w:r>
      <w:r w:rsidRPr="00BA4E53">
        <w:tab/>
        <w:t>is the net premium</w:t>
      </w:r>
      <w:r w:rsidR="00E84627" w:rsidRPr="00BA4E53">
        <w:t>;</w:t>
      </w:r>
    </w:p>
    <w:p w14:paraId="63C61F7B" w14:textId="77777777" w:rsidR="00406E8A" w:rsidRPr="00BA4E53" w:rsidRDefault="00E84627" w:rsidP="00EA657E">
      <w:pPr>
        <w:pStyle w:val="ListParagraph"/>
        <w:numPr>
          <w:ilvl w:val="0"/>
          <w:numId w:val="23"/>
        </w:numPr>
        <w:tabs>
          <w:tab w:val="left" w:pos="1701"/>
        </w:tabs>
        <w:ind w:left="1701" w:hanging="567"/>
        <w:jc w:val="both"/>
      </w:pPr>
      <w:r w:rsidRPr="00BA4E53">
        <w:t xml:space="preserve">A </w:t>
      </w:r>
      <w:r w:rsidR="00406E8A" w:rsidRPr="00BA4E53">
        <w:t>is the present value as at the</w:t>
      </w:r>
      <w:r w:rsidRPr="00BA4E53">
        <w:t xml:space="preserve"> attained age of $1 of sum </w:t>
      </w:r>
      <w:r w:rsidR="00406E8A" w:rsidRPr="00BA4E53">
        <w:t>insured according to the cont</w:t>
      </w:r>
      <w:r w:rsidRPr="00BA4E53">
        <w:t xml:space="preserve">ingencies upon which it is </w:t>
      </w:r>
      <w:r w:rsidR="00406E8A" w:rsidRPr="00BA4E53">
        <w:t>payable</w:t>
      </w:r>
      <w:r w:rsidRPr="00BA4E53">
        <w:t>;</w:t>
      </w:r>
    </w:p>
    <w:p w14:paraId="42B2993C" w14:textId="77777777" w:rsidR="00406E8A" w:rsidRPr="00BA4E53" w:rsidRDefault="00E84627" w:rsidP="00EA657E">
      <w:pPr>
        <w:pStyle w:val="ListParagraph"/>
        <w:numPr>
          <w:ilvl w:val="0"/>
          <w:numId w:val="23"/>
        </w:numPr>
        <w:tabs>
          <w:tab w:val="left" w:pos="1701"/>
        </w:tabs>
        <w:ind w:left="1701" w:hanging="567"/>
        <w:jc w:val="both"/>
      </w:pPr>
      <w:r w:rsidRPr="00BA4E53">
        <w:t xml:space="preserve">a </w:t>
      </w:r>
      <w:r w:rsidR="00406E8A" w:rsidRPr="00BA4E53">
        <w:t xml:space="preserve">is the present value at the attained age of $1 p.a. of </w:t>
      </w:r>
      <w:r w:rsidRPr="00BA4E53">
        <w:t xml:space="preserve">future </w:t>
      </w:r>
      <w:r w:rsidR="00406E8A" w:rsidRPr="00BA4E53">
        <w:t>net premiums according to t</w:t>
      </w:r>
      <w:r w:rsidRPr="00BA4E53">
        <w:t xml:space="preserve">he contingencies upon which </w:t>
      </w:r>
      <w:r w:rsidR="00406E8A" w:rsidRPr="00BA4E53">
        <w:t>they are payable</w:t>
      </w:r>
      <w:r w:rsidRPr="00BA4E53">
        <w:t>;</w:t>
      </w:r>
    </w:p>
    <w:p w14:paraId="58AD6DAF" w14:textId="77777777" w:rsidR="00406E8A" w:rsidRPr="00BA4E53" w:rsidRDefault="00406E8A" w:rsidP="00EA657E">
      <w:pPr>
        <w:pStyle w:val="ListParagraph"/>
        <w:numPr>
          <w:ilvl w:val="0"/>
          <w:numId w:val="23"/>
        </w:numPr>
        <w:tabs>
          <w:tab w:val="left" w:pos="1701"/>
        </w:tabs>
        <w:ind w:left="1701" w:hanging="567"/>
        <w:jc w:val="both"/>
      </w:pPr>
      <w:r w:rsidRPr="00BA4E53">
        <w:t>Sprague Adjustment is 1 year</w:t>
      </w:r>
      <w:r w:rsidR="00E84627" w:rsidRPr="00BA4E53">
        <w:t>; and</w:t>
      </w:r>
    </w:p>
    <w:p w14:paraId="1055B914" w14:textId="77777777" w:rsidR="00406E8A" w:rsidRPr="00BA4E53" w:rsidRDefault="00406E8A" w:rsidP="00EA657E">
      <w:pPr>
        <w:pStyle w:val="ListParagraph"/>
        <w:numPr>
          <w:ilvl w:val="0"/>
          <w:numId w:val="23"/>
        </w:numPr>
        <w:tabs>
          <w:tab w:val="left" w:pos="1701"/>
        </w:tabs>
        <w:ind w:left="1701" w:hanging="567"/>
        <w:jc w:val="both"/>
        <w:rPr>
          <w:b/>
        </w:rPr>
      </w:pPr>
      <w:r w:rsidRPr="00BA4E53">
        <w:t xml:space="preserve">attained age means the </w:t>
      </w:r>
      <w:r w:rsidR="00E8686C" w:rsidRPr="00BA4E53">
        <w:t>age</w:t>
      </w:r>
      <w:r w:rsidR="00E8686C">
        <w:t xml:space="preserve"> next birthday</w:t>
      </w:r>
      <w:r w:rsidR="00E8686C" w:rsidRPr="00BA4E53">
        <w:t xml:space="preserve"> of the life insured </w:t>
      </w:r>
      <w:r w:rsidR="00E8686C">
        <w:t>at the date of issue of the policy plus the duration of the policy in completed years and months</w:t>
      </w:r>
      <w:r w:rsidR="00931660" w:rsidRPr="00BA4E53">
        <w:t>.</w:t>
      </w:r>
      <w:r w:rsidRPr="00BA4E53">
        <w:t xml:space="preserve"> </w:t>
      </w:r>
    </w:p>
    <w:p w14:paraId="43A9FA53" w14:textId="77777777" w:rsidR="00406E8A" w:rsidRPr="00BA4E53" w:rsidRDefault="00406E8A" w:rsidP="00EA657E">
      <w:pPr>
        <w:pStyle w:val="ListParagraph"/>
        <w:numPr>
          <w:ilvl w:val="0"/>
          <w:numId w:val="18"/>
        </w:numPr>
        <w:ind w:left="567" w:hanging="567"/>
        <w:jc w:val="both"/>
      </w:pPr>
      <w:r w:rsidRPr="00BA4E53">
        <w:t xml:space="preserve">The amount of the </w:t>
      </w:r>
      <w:r w:rsidR="00E84627" w:rsidRPr="00BA4E53">
        <w:t>m</w:t>
      </w:r>
      <w:r w:rsidRPr="00BA4E53">
        <w:t xml:space="preserve">inimum </w:t>
      </w:r>
      <w:r w:rsidR="00E84627" w:rsidRPr="00BA4E53">
        <w:t>p</w:t>
      </w:r>
      <w:r w:rsidRPr="00BA4E53">
        <w:t xml:space="preserve">aid-up </w:t>
      </w:r>
      <w:r w:rsidR="00E84627" w:rsidRPr="00BA4E53">
        <w:t>v</w:t>
      </w:r>
      <w:r w:rsidRPr="00BA4E53">
        <w:t>alue calculat</w:t>
      </w:r>
      <w:r w:rsidR="00E84627" w:rsidRPr="00BA4E53">
        <w:t xml:space="preserve">ed under paragraph </w:t>
      </w:r>
      <w:r w:rsidR="009A001F">
        <w:fldChar w:fldCharType="begin"/>
      </w:r>
      <w:r w:rsidR="009A001F">
        <w:instrText xml:space="preserve"> REF _Ref320003900 \r \h  \* MERGEFORMAT </w:instrText>
      </w:r>
      <w:r w:rsidR="009A001F">
        <w:fldChar w:fldCharType="separate"/>
      </w:r>
      <w:r w:rsidR="00756D31">
        <w:t>2</w:t>
      </w:r>
      <w:r w:rsidR="009A001F">
        <w:fldChar w:fldCharType="end"/>
      </w:r>
      <w:r w:rsidRPr="00BA4E53">
        <w:t xml:space="preserve"> of this Attachment shall be increa</w:t>
      </w:r>
      <w:r w:rsidR="00E84627" w:rsidRPr="00BA4E53">
        <w:t>sed by the amount of any bonus a</w:t>
      </w:r>
      <w:r w:rsidRPr="00BA4E53">
        <w:t>dditions.</w:t>
      </w:r>
      <w:r w:rsidR="004A45C4">
        <w:t xml:space="preserve"> </w:t>
      </w:r>
      <w:r w:rsidRPr="00BA4E53">
        <w:t xml:space="preserve">Bonus </w:t>
      </w:r>
      <w:r w:rsidR="00E84627" w:rsidRPr="00BA4E53">
        <w:t>a</w:t>
      </w:r>
      <w:r w:rsidRPr="00BA4E53">
        <w:t>dditions are all reversionary bo</w:t>
      </w:r>
      <w:r w:rsidR="00E84627" w:rsidRPr="00BA4E53">
        <w:t xml:space="preserve">nuses declared upon, and still </w:t>
      </w:r>
      <w:r w:rsidRPr="00BA4E53">
        <w:t>attaching to, the original policy, excluding those reversionary bonuses declared between the date of issue of the policy and the earlier of:</w:t>
      </w:r>
    </w:p>
    <w:p w14:paraId="6AF5159F" w14:textId="77777777" w:rsidR="00406E8A" w:rsidRPr="00BA4E53" w:rsidRDefault="00406E8A" w:rsidP="00EA657E">
      <w:pPr>
        <w:numPr>
          <w:ilvl w:val="0"/>
          <w:numId w:val="24"/>
        </w:numPr>
        <w:spacing w:after="240"/>
        <w:ind w:left="1134" w:hanging="567"/>
        <w:jc w:val="both"/>
      </w:pPr>
      <w:r w:rsidRPr="00BA4E53">
        <w:t>the date three years subsequent to the date of issue, and</w:t>
      </w:r>
    </w:p>
    <w:p w14:paraId="574B5BF0" w14:textId="77777777" w:rsidR="00E84627" w:rsidRPr="00BA4E53" w:rsidRDefault="00406E8A" w:rsidP="00EA657E">
      <w:pPr>
        <w:numPr>
          <w:ilvl w:val="0"/>
          <w:numId w:val="24"/>
        </w:numPr>
        <w:spacing w:after="240"/>
        <w:ind w:left="1134" w:hanging="567"/>
        <w:jc w:val="both"/>
      </w:pPr>
      <w:r w:rsidRPr="00BA4E53">
        <w:t>the date of the paid-up policy.</w:t>
      </w:r>
    </w:p>
    <w:p w14:paraId="0112E4AD" w14:textId="77777777" w:rsidR="00406E8A" w:rsidRPr="00BA4E53" w:rsidRDefault="00406E8A" w:rsidP="00EA657E">
      <w:pPr>
        <w:pStyle w:val="ListParagraph"/>
        <w:numPr>
          <w:ilvl w:val="0"/>
          <w:numId w:val="18"/>
        </w:numPr>
        <w:ind w:left="567" w:hanging="567"/>
        <w:jc w:val="both"/>
      </w:pPr>
      <w:r w:rsidRPr="00BA4E53">
        <w:lastRenderedPageBreak/>
        <w:t xml:space="preserve">The net premium for the policy is </w:t>
      </w:r>
      <w:r w:rsidR="00E84627" w:rsidRPr="00BA4E53">
        <w:t xml:space="preserve">such premium, exclusive of any addition for </w:t>
      </w:r>
      <w:r w:rsidRPr="00BA4E53">
        <w:t>bonuses, office expenses and othe</w:t>
      </w:r>
      <w:r w:rsidR="00E84627" w:rsidRPr="00BA4E53">
        <w:t xml:space="preserve">r charges, as is sufficient to provide for the </w:t>
      </w:r>
      <w:r w:rsidRPr="00BA4E53">
        <w:t>risk incurred by the company in issuing the policy.</w:t>
      </w:r>
      <w:r w:rsidR="004A45C4">
        <w:t xml:space="preserve"> </w:t>
      </w:r>
      <w:r w:rsidR="00E84627" w:rsidRPr="00BA4E53">
        <w:t xml:space="preserve">The age at issue is taken as </w:t>
      </w:r>
      <w:r w:rsidRPr="00BA4E53">
        <w:t>age next birthd</w:t>
      </w:r>
      <w:r w:rsidR="00E84627" w:rsidRPr="00BA4E53">
        <w:t xml:space="preserve">ay at the date of issue of the </w:t>
      </w:r>
      <w:r w:rsidRPr="00BA4E53">
        <w:t>policy plus the number of years of Sprague adjustment.</w:t>
      </w:r>
      <w:r w:rsidR="004A45C4">
        <w:t xml:space="preserve"> </w:t>
      </w:r>
      <w:r w:rsidRPr="00BA4E53">
        <w:t>The t</w:t>
      </w:r>
      <w:r w:rsidR="00E84627" w:rsidRPr="00BA4E53">
        <w:t xml:space="preserve">erm at issue </w:t>
      </w:r>
      <w:r w:rsidRPr="00BA4E53">
        <w:t xml:space="preserve">(other </w:t>
      </w:r>
      <w:r w:rsidR="00E84627" w:rsidRPr="00BA4E53">
        <w:t xml:space="preserve">than for a policy for the whole </w:t>
      </w:r>
      <w:r w:rsidRPr="00BA4E53">
        <w:t>term of l</w:t>
      </w:r>
      <w:r w:rsidR="00E84627" w:rsidRPr="00BA4E53">
        <w:t xml:space="preserve">ife) is the original term less </w:t>
      </w:r>
      <w:r w:rsidRPr="00BA4E53">
        <w:t>the number of years of Sprague adjustment.</w:t>
      </w:r>
    </w:p>
    <w:p w14:paraId="4CDB7632" w14:textId="77777777" w:rsidR="00406E8A" w:rsidRPr="003378FD" w:rsidRDefault="00406E8A" w:rsidP="00865EA1">
      <w:pPr>
        <w:spacing w:after="240"/>
        <w:jc w:val="both"/>
        <w:rPr>
          <w:rFonts w:ascii="Arial" w:hAnsi="Arial" w:cs="Arial"/>
          <w:i/>
        </w:rPr>
      </w:pPr>
      <w:r w:rsidRPr="003378FD">
        <w:rPr>
          <w:rFonts w:ascii="Arial" w:hAnsi="Arial" w:cs="Arial"/>
          <w:i/>
        </w:rPr>
        <w:t xml:space="preserve">Part II - </w:t>
      </w:r>
      <w:r w:rsidR="003470C0" w:rsidRPr="003378FD">
        <w:rPr>
          <w:rFonts w:ascii="Arial" w:hAnsi="Arial" w:cs="Arial"/>
          <w:i/>
        </w:rPr>
        <w:t>n</w:t>
      </w:r>
      <w:r w:rsidRPr="003378FD">
        <w:rPr>
          <w:rFonts w:ascii="Arial" w:hAnsi="Arial" w:cs="Arial"/>
          <w:i/>
        </w:rPr>
        <w:t xml:space="preserve">ew </w:t>
      </w:r>
      <w:r w:rsidR="003470C0" w:rsidRPr="003378FD">
        <w:rPr>
          <w:rFonts w:ascii="Arial" w:hAnsi="Arial" w:cs="Arial"/>
          <w:i/>
        </w:rPr>
        <w:t>b</w:t>
      </w:r>
      <w:r w:rsidRPr="003378FD">
        <w:rPr>
          <w:rFonts w:ascii="Arial" w:hAnsi="Arial" w:cs="Arial"/>
          <w:i/>
        </w:rPr>
        <w:t xml:space="preserve">usiness written subsequent to the </w:t>
      </w:r>
      <w:r w:rsidR="00AD1E14" w:rsidRPr="003378FD">
        <w:rPr>
          <w:rFonts w:ascii="Arial" w:hAnsi="Arial" w:cs="Arial"/>
          <w:i/>
        </w:rPr>
        <w:t xml:space="preserve">date of </w:t>
      </w:r>
      <w:r w:rsidR="003470C0" w:rsidRPr="003378FD">
        <w:rPr>
          <w:rFonts w:ascii="Arial" w:hAnsi="Arial" w:cs="Arial"/>
          <w:i/>
        </w:rPr>
        <w:t>c</w:t>
      </w:r>
      <w:r w:rsidRPr="003378FD">
        <w:rPr>
          <w:rFonts w:ascii="Arial" w:hAnsi="Arial" w:cs="Arial"/>
          <w:i/>
        </w:rPr>
        <w:t>ommencement</w:t>
      </w:r>
    </w:p>
    <w:p w14:paraId="1A524298" w14:textId="77777777" w:rsidR="00406E8A" w:rsidRPr="00BA4E53" w:rsidRDefault="00406E8A" w:rsidP="00865EA1">
      <w:pPr>
        <w:spacing w:after="240"/>
        <w:jc w:val="both"/>
        <w:rPr>
          <w:b/>
          <w:u w:val="single"/>
        </w:rPr>
      </w:pPr>
      <w:r w:rsidRPr="00BA4E53">
        <w:rPr>
          <w:b/>
        </w:rPr>
        <w:t xml:space="preserve">A.  </w:t>
      </w:r>
      <w:r w:rsidR="00AD1E14" w:rsidRPr="00BA4E53">
        <w:rPr>
          <w:b/>
          <w:u w:val="single"/>
        </w:rPr>
        <w:t>Minimum</w:t>
      </w:r>
      <w:r w:rsidRPr="00BA4E53">
        <w:rPr>
          <w:b/>
          <w:u w:val="single"/>
        </w:rPr>
        <w:t xml:space="preserve"> </w:t>
      </w:r>
      <w:r w:rsidR="00694949" w:rsidRPr="00BA4E53">
        <w:rPr>
          <w:b/>
          <w:u w:val="single"/>
        </w:rPr>
        <w:t>termination</w:t>
      </w:r>
      <w:r w:rsidRPr="00BA4E53">
        <w:rPr>
          <w:b/>
          <w:u w:val="single"/>
        </w:rPr>
        <w:t xml:space="preserve"> </w:t>
      </w:r>
      <w:r w:rsidR="003470C0" w:rsidRPr="00BA4E53">
        <w:rPr>
          <w:b/>
          <w:u w:val="single"/>
        </w:rPr>
        <w:t>v</w:t>
      </w:r>
      <w:r w:rsidRPr="00BA4E53">
        <w:rPr>
          <w:b/>
          <w:u w:val="single"/>
        </w:rPr>
        <w:t>alue</w:t>
      </w:r>
    </w:p>
    <w:p w14:paraId="60D18BC5" w14:textId="77777777" w:rsidR="003470C0" w:rsidRPr="00BA4E53" w:rsidRDefault="00406E8A" w:rsidP="00EA657E">
      <w:pPr>
        <w:pStyle w:val="ListParagraph"/>
        <w:numPr>
          <w:ilvl w:val="0"/>
          <w:numId w:val="18"/>
        </w:numPr>
        <w:ind w:left="567" w:hanging="567"/>
        <w:jc w:val="both"/>
      </w:pPr>
      <w:r w:rsidRPr="00BA4E53">
        <w:t xml:space="preserve">The </w:t>
      </w:r>
      <w:r w:rsidR="00AD1E14" w:rsidRPr="00BA4E53">
        <w:t xml:space="preserve">minimum termination </w:t>
      </w:r>
      <w:r w:rsidRPr="00BA4E53">
        <w:t>value is calculated as</w:t>
      </w:r>
      <w:r w:rsidR="003470C0" w:rsidRPr="00BA4E53">
        <w:t>:</w:t>
      </w:r>
    </w:p>
    <w:p w14:paraId="52B3FE43" w14:textId="179E2915" w:rsidR="00CA62EF" w:rsidRPr="0096525A" w:rsidRDefault="006B634F" w:rsidP="00865EA1">
      <w:pPr>
        <w:pStyle w:val="ListParagraph"/>
        <w:numPr>
          <w:ilvl w:val="0"/>
          <w:numId w:val="0"/>
        </w:numPr>
        <w:ind w:left="567"/>
        <w:jc w:val="both"/>
      </w:pPr>
      <w:r>
        <w:rPr>
          <w:noProof/>
        </w:rPr>
        <w:pict w14:anchorId="154D692F">
          <v:shape id="_x0000_i1031" type="#_x0000_t75" alt="Start formula factor times open curly bracket open bracket open square bracket SA plus B close square bracket times A close bracket minus open bracket NP times a close bracket close curly bracket end formula&#10;" style="width:209.25pt;height:15pt;visibility:visible;mso-wrap-style:square">
            <v:imagedata r:id="rId19" o:title="" cropbottom="-2691f" cropright="33593f"/>
          </v:shape>
        </w:pict>
      </w:r>
    </w:p>
    <w:p w14:paraId="34F5FCF5" w14:textId="77777777" w:rsidR="003470C0" w:rsidRPr="00BA4E53" w:rsidRDefault="003470C0" w:rsidP="00865EA1">
      <w:pPr>
        <w:spacing w:after="240"/>
        <w:ind w:firstLine="567"/>
        <w:jc w:val="both"/>
      </w:pPr>
      <w:r w:rsidRPr="00BA4E53">
        <w:t>where:</w:t>
      </w:r>
      <w:r w:rsidR="00406E8A" w:rsidRPr="00BA4E53">
        <w:tab/>
      </w:r>
    </w:p>
    <w:p w14:paraId="5BF61187" w14:textId="77777777" w:rsidR="00406E8A" w:rsidRPr="00BA4E53" w:rsidRDefault="003470C0" w:rsidP="00EA657E">
      <w:pPr>
        <w:numPr>
          <w:ilvl w:val="0"/>
          <w:numId w:val="25"/>
        </w:numPr>
        <w:spacing w:after="240"/>
        <w:ind w:left="1134" w:hanging="567"/>
        <w:jc w:val="both"/>
      </w:pPr>
      <w:r w:rsidRPr="00BA4E53">
        <w:t xml:space="preserve">SA </w:t>
      </w:r>
      <w:r w:rsidR="00406E8A" w:rsidRPr="00BA4E53">
        <w:t>is the sum insured under the policy</w:t>
      </w:r>
      <w:r w:rsidRPr="00BA4E53">
        <w:t>;</w:t>
      </w:r>
    </w:p>
    <w:p w14:paraId="0A0B4FAC" w14:textId="77777777" w:rsidR="00406E8A" w:rsidRPr="00BA4E53" w:rsidRDefault="00406E8A" w:rsidP="00EA657E">
      <w:pPr>
        <w:numPr>
          <w:ilvl w:val="0"/>
          <w:numId w:val="25"/>
        </w:numPr>
        <w:spacing w:after="240"/>
        <w:ind w:left="1134" w:hanging="567"/>
        <w:jc w:val="both"/>
      </w:pPr>
      <w:r w:rsidRPr="00BA4E53">
        <w:t>B</w:t>
      </w:r>
      <w:r w:rsidR="00E01002">
        <w:t xml:space="preserve"> </w:t>
      </w:r>
      <w:r w:rsidRPr="00BA4E53">
        <w:t>is the bonus addition</w:t>
      </w:r>
      <w:r w:rsidR="003470C0" w:rsidRPr="00BA4E53">
        <w:t>;</w:t>
      </w:r>
    </w:p>
    <w:p w14:paraId="6EFC34FA" w14:textId="77777777" w:rsidR="00406E8A" w:rsidRPr="00BA4E53" w:rsidRDefault="003470C0" w:rsidP="00EA657E">
      <w:pPr>
        <w:numPr>
          <w:ilvl w:val="0"/>
          <w:numId w:val="25"/>
        </w:numPr>
        <w:spacing w:after="240"/>
        <w:ind w:left="1134" w:hanging="567"/>
        <w:jc w:val="both"/>
      </w:pPr>
      <w:r w:rsidRPr="00BA4E53">
        <w:t xml:space="preserve">NP </w:t>
      </w:r>
      <w:r w:rsidR="00406E8A" w:rsidRPr="00BA4E53">
        <w:t>is the net premium</w:t>
      </w:r>
      <w:r w:rsidRPr="00BA4E53">
        <w:t>;</w:t>
      </w:r>
    </w:p>
    <w:p w14:paraId="5C893D33" w14:textId="77777777" w:rsidR="003470C0" w:rsidRPr="00BA4E53" w:rsidRDefault="00406E8A" w:rsidP="00EA657E">
      <w:pPr>
        <w:numPr>
          <w:ilvl w:val="0"/>
          <w:numId w:val="25"/>
        </w:numPr>
        <w:spacing w:after="240"/>
        <w:ind w:left="1134" w:hanging="567"/>
        <w:jc w:val="both"/>
      </w:pPr>
      <w:r w:rsidRPr="00BA4E53">
        <w:t>A</w:t>
      </w:r>
      <w:r w:rsidR="00E01002">
        <w:t xml:space="preserve"> </w:t>
      </w:r>
      <w:r w:rsidRPr="00BA4E53">
        <w:t xml:space="preserve">is the present value as at the attained age </w:t>
      </w:r>
      <w:r w:rsidR="003470C0" w:rsidRPr="00BA4E53">
        <w:t>of $1</w:t>
      </w:r>
      <w:r w:rsidR="00E01002">
        <w:t xml:space="preserve"> </w:t>
      </w:r>
      <w:r w:rsidR="003470C0" w:rsidRPr="00BA4E53">
        <w:t xml:space="preserve">of sum </w:t>
      </w:r>
      <w:r w:rsidRPr="00BA4E53">
        <w:t>insured according to the cont</w:t>
      </w:r>
      <w:r w:rsidR="003470C0" w:rsidRPr="00BA4E53">
        <w:t xml:space="preserve">ingencies upon which it is </w:t>
      </w:r>
      <w:r w:rsidRPr="00BA4E53">
        <w:t>payable</w:t>
      </w:r>
      <w:r w:rsidR="003470C0" w:rsidRPr="00BA4E53">
        <w:t>;</w:t>
      </w:r>
    </w:p>
    <w:p w14:paraId="17FDBA67" w14:textId="77777777" w:rsidR="00406E8A" w:rsidRPr="00BA4E53" w:rsidRDefault="00D620E2" w:rsidP="00EA657E">
      <w:pPr>
        <w:numPr>
          <w:ilvl w:val="0"/>
          <w:numId w:val="25"/>
        </w:numPr>
        <w:spacing w:after="240"/>
        <w:ind w:left="1134" w:hanging="567"/>
        <w:jc w:val="both"/>
      </w:pPr>
      <w:r w:rsidRPr="00BA4E53">
        <w:t xml:space="preserve">a </w:t>
      </w:r>
      <w:r w:rsidR="00406E8A" w:rsidRPr="00BA4E53">
        <w:t>is the present value at the attain</w:t>
      </w:r>
      <w:r w:rsidRPr="00BA4E53">
        <w:t xml:space="preserve">ed age of $1 p.a. of future </w:t>
      </w:r>
      <w:r w:rsidR="00406E8A" w:rsidRPr="00BA4E53">
        <w:t>net premiums according to t</w:t>
      </w:r>
      <w:r w:rsidR="003470C0" w:rsidRPr="00BA4E53">
        <w:t xml:space="preserve">he contingencies upon which </w:t>
      </w:r>
      <w:r w:rsidR="00406E8A" w:rsidRPr="00BA4E53">
        <w:t>they are payable</w:t>
      </w:r>
      <w:r w:rsidR="003470C0" w:rsidRPr="00BA4E53">
        <w:t>;</w:t>
      </w:r>
    </w:p>
    <w:p w14:paraId="7BE4B1F8" w14:textId="77777777" w:rsidR="00406E8A" w:rsidRPr="00BA4E53" w:rsidRDefault="00406E8A" w:rsidP="00EA657E">
      <w:pPr>
        <w:numPr>
          <w:ilvl w:val="0"/>
          <w:numId w:val="25"/>
        </w:numPr>
        <w:spacing w:after="240"/>
        <w:ind w:left="1134" w:hanging="567"/>
        <w:jc w:val="both"/>
      </w:pPr>
      <w:r w:rsidRPr="00BA4E53">
        <w:t>Factor is as prescribed in Attachment 1 - Part IV</w:t>
      </w:r>
      <w:r w:rsidR="00862D0C" w:rsidRPr="00BA4E53">
        <w:t>;</w:t>
      </w:r>
    </w:p>
    <w:p w14:paraId="0F8C6BE9" w14:textId="77777777" w:rsidR="00406E8A" w:rsidRPr="00BA4E53" w:rsidRDefault="00862D0C" w:rsidP="00EA657E">
      <w:pPr>
        <w:numPr>
          <w:ilvl w:val="0"/>
          <w:numId w:val="25"/>
        </w:numPr>
        <w:spacing w:after="240"/>
        <w:ind w:left="1134" w:hanging="567"/>
        <w:jc w:val="both"/>
      </w:pPr>
      <w:r w:rsidRPr="00BA4E53">
        <w:t>Sprague a</w:t>
      </w:r>
      <w:r w:rsidR="00406E8A" w:rsidRPr="00BA4E53">
        <w:t>djustment is:</w:t>
      </w:r>
    </w:p>
    <w:p w14:paraId="19148404" w14:textId="77777777" w:rsidR="00406E8A" w:rsidRPr="00BA4E53" w:rsidRDefault="00406E8A" w:rsidP="00EA657E">
      <w:pPr>
        <w:pStyle w:val="ListParagraph"/>
        <w:numPr>
          <w:ilvl w:val="0"/>
          <w:numId w:val="26"/>
        </w:numPr>
        <w:tabs>
          <w:tab w:val="left" w:pos="1701"/>
        </w:tabs>
        <w:ind w:left="1701" w:hanging="567"/>
        <w:jc w:val="both"/>
      </w:pPr>
      <w:r w:rsidRPr="00BA4E53">
        <w:t xml:space="preserve">for regular premium business, as </w:t>
      </w:r>
      <w:r w:rsidR="00862D0C" w:rsidRPr="00BA4E53">
        <w:t xml:space="preserve">prescribed in Attachment 1 - </w:t>
      </w:r>
      <w:r w:rsidRPr="00BA4E53">
        <w:t>Part IV;</w:t>
      </w:r>
      <w:r w:rsidR="00862D0C" w:rsidRPr="00BA4E53">
        <w:t xml:space="preserve"> and</w:t>
      </w:r>
    </w:p>
    <w:p w14:paraId="43195409" w14:textId="77777777" w:rsidR="00406E8A" w:rsidRPr="00BA4E53" w:rsidRDefault="00406E8A" w:rsidP="00EA657E">
      <w:pPr>
        <w:pStyle w:val="ListParagraph"/>
        <w:numPr>
          <w:ilvl w:val="0"/>
          <w:numId w:val="26"/>
        </w:numPr>
        <w:tabs>
          <w:tab w:val="left" w:pos="1701"/>
        </w:tabs>
        <w:ind w:left="1701" w:hanging="567"/>
        <w:jc w:val="both"/>
      </w:pPr>
      <w:r w:rsidRPr="00BA4E53">
        <w:t>for single premium business, not relevant</w:t>
      </w:r>
      <w:r w:rsidR="008A397B" w:rsidRPr="00BA4E53">
        <w:t>;</w:t>
      </w:r>
    </w:p>
    <w:p w14:paraId="3DB9BB28" w14:textId="77777777" w:rsidR="00406E8A" w:rsidRPr="00BA4E53" w:rsidRDefault="00406E8A" w:rsidP="00EA657E">
      <w:pPr>
        <w:numPr>
          <w:ilvl w:val="0"/>
          <w:numId w:val="25"/>
        </w:numPr>
        <w:spacing w:after="240"/>
        <w:ind w:left="1134" w:hanging="567"/>
        <w:jc w:val="both"/>
      </w:pPr>
      <w:r w:rsidRPr="00BA4E53">
        <w:t xml:space="preserve">attained age means the </w:t>
      </w:r>
      <w:r w:rsidR="00E8686C" w:rsidRPr="00BA4E53">
        <w:t>age</w:t>
      </w:r>
      <w:r w:rsidR="00E8686C">
        <w:t xml:space="preserve"> next birthday</w:t>
      </w:r>
      <w:r w:rsidR="00E8686C" w:rsidRPr="00BA4E53">
        <w:t xml:space="preserve"> of the life insured </w:t>
      </w:r>
      <w:r w:rsidR="00E8686C">
        <w:t>at the date of issue of the policy plus the duration of the policy in completed years and months.</w:t>
      </w:r>
    </w:p>
    <w:p w14:paraId="194DB7DD" w14:textId="77777777" w:rsidR="00406E8A" w:rsidRPr="00BA4E53" w:rsidRDefault="00406E8A" w:rsidP="00EA657E">
      <w:pPr>
        <w:pStyle w:val="ListParagraph"/>
        <w:numPr>
          <w:ilvl w:val="0"/>
          <w:numId w:val="18"/>
        </w:numPr>
        <w:ind w:left="567" w:hanging="567"/>
        <w:jc w:val="both"/>
      </w:pPr>
      <w:r w:rsidRPr="00BA4E53">
        <w:t>The bonus addition for the policy is all reversionary bon</w:t>
      </w:r>
      <w:r w:rsidR="008A397B" w:rsidRPr="00BA4E53">
        <w:t xml:space="preserve">uses declared upon, and </w:t>
      </w:r>
      <w:r w:rsidRPr="00BA4E53">
        <w:t>still attaching to, the o</w:t>
      </w:r>
      <w:r w:rsidR="008A397B" w:rsidRPr="00BA4E53">
        <w:t>riginal policy, excluding those</w:t>
      </w:r>
      <w:r w:rsidR="0038227F" w:rsidRPr="00BA4E53">
        <w:t xml:space="preserve"> </w:t>
      </w:r>
      <w:r w:rsidR="008A397B" w:rsidRPr="00BA4E53">
        <w:t xml:space="preserve">reversionary bonuses </w:t>
      </w:r>
      <w:r w:rsidRPr="00BA4E53">
        <w:t>declared between the d</w:t>
      </w:r>
      <w:r w:rsidR="008A397B" w:rsidRPr="00BA4E53">
        <w:t>ate of issue of the policy and the earlier of</w:t>
      </w:r>
      <w:r w:rsidRPr="00BA4E53">
        <w:t>:</w:t>
      </w:r>
    </w:p>
    <w:p w14:paraId="559353F4" w14:textId="77777777" w:rsidR="00406E8A" w:rsidRPr="00BA4E53" w:rsidRDefault="00406E8A" w:rsidP="00EA657E">
      <w:pPr>
        <w:numPr>
          <w:ilvl w:val="0"/>
          <w:numId w:val="27"/>
        </w:numPr>
        <w:spacing w:after="240"/>
        <w:ind w:left="1134" w:hanging="567"/>
        <w:jc w:val="both"/>
      </w:pPr>
      <w:r w:rsidRPr="00BA4E53">
        <w:t>the date three years subsequent to the date of issue, and</w:t>
      </w:r>
    </w:p>
    <w:p w14:paraId="10089A1A" w14:textId="77777777" w:rsidR="00406E8A" w:rsidRPr="00BA4E53" w:rsidRDefault="00406E8A" w:rsidP="00EA657E">
      <w:pPr>
        <w:numPr>
          <w:ilvl w:val="0"/>
          <w:numId w:val="27"/>
        </w:numPr>
        <w:spacing w:after="240"/>
        <w:ind w:left="1134" w:hanging="567"/>
        <w:jc w:val="both"/>
      </w:pPr>
      <w:r w:rsidRPr="00BA4E53">
        <w:t>the date of the calculation.</w:t>
      </w:r>
    </w:p>
    <w:p w14:paraId="350C7E7C" w14:textId="77777777" w:rsidR="00406E8A" w:rsidRPr="00BA4E53" w:rsidRDefault="00406E8A" w:rsidP="00EA657E">
      <w:pPr>
        <w:pStyle w:val="ListParagraph"/>
        <w:numPr>
          <w:ilvl w:val="0"/>
          <w:numId w:val="18"/>
        </w:numPr>
        <w:ind w:left="567" w:hanging="567"/>
        <w:jc w:val="both"/>
      </w:pPr>
      <w:r w:rsidRPr="00BA4E53">
        <w:t xml:space="preserve">The net premium for the policy is </w:t>
      </w:r>
      <w:r w:rsidR="008A397B" w:rsidRPr="00BA4E53">
        <w:t xml:space="preserve">such premium, exclusive of any addition for </w:t>
      </w:r>
      <w:r w:rsidRPr="00BA4E53">
        <w:t>bonuses, office expenses and othe</w:t>
      </w:r>
      <w:r w:rsidR="008A397B" w:rsidRPr="00BA4E53">
        <w:t xml:space="preserve">r charges, as is sufficient to </w:t>
      </w:r>
      <w:r w:rsidRPr="00BA4E53">
        <w:t xml:space="preserve">provide for the </w:t>
      </w:r>
      <w:r w:rsidRPr="00BA4E53">
        <w:lastRenderedPageBreak/>
        <w:t>risk incurred by the company in issuing the policy</w:t>
      </w:r>
      <w:r w:rsidR="008A397B" w:rsidRPr="00BA4E53">
        <w:t>.</w:t>
      </w:r>
      <w:r w:rsidR="004A45C4">
        <w:t xml:space="preserve"> </w:t>
      </w:r>
      <w:r w:rsidRPr="00BA4E53">
        <w:t>The age at issue is taken as age next birthd</w:t>
      </w:r>
      <w:r w:rsidR="008A397B" w:rsidRPr="00BA4E53">
        <w:t xml:space="preserve">ay at the date of issue of the </w:t>
      </w:r>
      <w:r w:rsidRPr="00BA4E53">
        <w:t>policy plus the number of years of Spragu</w:t>
      </w:r>
      <w:r w:rsidR="008A397B" w:rsidRPr="00BA4E53">
        <w:t>e adjustment, where relevant.</w:t>
      </w:r>
      <w:r w:rsidR="004A45C4">
        <w:t xml:space="preserve"> </w:t>
      </w:r>
      <w:r w:rsidRPr="00BA4E53">
        <w:t xml:space="preserve">The term at issue (other than for a policy for </w:t>
      </w:r>
      <w:r w:rsidR="008A397B" w:rsidRPr="00BA4E53">
        <w:t xml:space="preserve">the whole term of life) is the </w:t>
      </w:r>
      <w:r w:rsidRPr="00BA4E53">
        <w:t>original term less the number of years of Sprague a</w:t>
      </w:r>
      <w:r w:rsidR="008A397B" w:rsidRPr="00BA4E53">
        <w:t xml:space="preserve">djustment, where </w:t>
      </w:r>
      <w:r w:rsidRPr="00BA4E53">
        <w:t>relevant.</w:t>
      </w:r>
    </w:p>
    <w:p w14:paraId="3B5D26E0" w14:textId="77777777" w:rsidR="00406E8A" w:rsidRPr="00BA4E53" w:rsidRDefault="00406E8A" w:rsidP="00865EA1">
      <w:pPr>
        <w:keepNext/>
        <w:spacing w:after="240"/>
        <w:jc w:val="both"/>
        <w:rPr>
          <w:b/>
        </w:rPr>
      </w:pPr>
      <w:r w:rsidRPr="00BA4E53">
        <w:rPr>
          <w:b/>
        </w:rPr>
        <w:t xml:space="preserve">B.  </w:t>
      </w:r>
      <w:r w:rsidR="003E5387" w:rsidRPr="00BA4E53">
        <w:rPr>
          <w:b/>
          <w:u w:val="single"/>
        </w:rPr>
        <w:t>M</w:t>
      </w:r>
      <w:r w:rsidRPr="00BA4E53">
        <w:rPr>
          <w:b/>
          <w:u w:val="single"/>
        </w:rPr>
        <w:t xml:space="preserve">inimum </w:t>
      </w:r>
      <w:r w:rsidR="0078732E" w:rsidRPr="00BA4E53">
        <w:rPr>
          <w:b/>
          <w:u w:val="single"/>
        </w:rPr>
        <w:t>p</w:t>
      </w:r>
      <w:r w:rsidRPr="00BA4E53">
        <w:rPr>
          <w:b/>
          <w:u w:val="single"/>
        </w:rPr>
        <w:t xml:space="preserve">aid-up </w:t>
      </w:r>
      <w:r w:rsidR="0078732E" w:rsidRPr="00BA4E53">
        <w:rPr>
          <w:b/>
          <w:u w:val="single"/>
        </w:rPr>
        <w:t>v</w:t>
      </w:r>
      <w:r w:rsidRPr="00BA4E53">
        <w:rPr>
          <w:b/>
          <w:u w:val="single"/>
        </w:rPr>
        <w:t>alue</w:t>
      </w:r>
    </w:p>
    <w:p w14:paraId="7FA93251" w14:textId="77777777" w:rsidR="00406E8A" w:rsidRPr="00BA4E53" w:rsidRDefault="00406E8A" w:rsidP="00EA657E">
      <w:pPr>
        <w:pStyle w:val="ListParagraph"/>
        <w:numPr>
          <w:ilvl w:val="0"/>
          <w:numId w:val="18"/>
        </w:numPr>
        <w:ind w:left="567" w:hanging="567"/>
        <w:jc w:val="both"/>
      </w:pPr>
      <w:r w:rsidRPr="00BA4E53">
        <w:t>The paid-up value is calculated as:</w:t>
      </w:r>
    </w:p>
    <w:p w14:paraId="7AD927BB" w14:textId="01D9046A" w:rsidR="00CA62EF" w:rsidRPr="0096525A" w:rsidRDefault="006B634F" w:rsidP="00865EA1">
      <w:pPr>
        <w:spacing w:after="240"/>
        <w:ind w:firstLine="567"/>
        <w:jc w:val="both"/>
      </w:pPr>
      <w:r>
        <w:rPr>
          <w:noProof/>
        </w:rPr>
        <w:pict w14:anchorId="2E1DA314">
          <v:shape id="Picture 21" o:spid="_x0000_i1032" type="#_x0000_t75" alt="Start formula MTV times 1 divided by A end formula" style="width:59.25pt;height:13.5pt;visibility:visible;mso-wrap-style:square">
            <v:imagedata r:id="rId20" o:title="" cropright="56317f"/>
          </v:shape>
        </w:pict>
      </w:r>
    </w:p>
    <w:p w14:paraId="22AB0645" w14:textId="77777777" w:rsidR="0008719A" w:rsidRPr="00BA4E53" w:rsidRDefault="0008719A" w:rsidP="00865EA1">
      <w:pPr>
        <w:tabs>
          <w:tab w:val="left" w:pos="1134"/>
        </w:tabs>
        <w:spacing w:after="240"/>
        <w:ind w:left="1134" w:hanging="567"/>
        <w:jc w:val="both"/>
      </w:pPr>
      <w:r w:rsidRPr="00BA4E53">
        <w:t>where:</w:t>
      </w:r>
      <w:r w:rsidR="00406E8A" w:rsidRPr="00BA4E53">
        <w:tab/>
      </w:r>
    </w:p>
    <w:p w14:paraId="161C3EC4" w14:textId="77777777" w:rsidR="00406E8A" w:rsidRPr="00BA4E53" w:rsidRDefault="00FD4DFF" w:rsidP="00EA657E">
      <w:pPr>
        <w:numPr>
          <w:ilvl w:val="0"/>
          <w:numId w:val="28"/>
        </w:numPr>
        <w:spacing w:after="240"/>
        <w:ind w:left="1134" w:hanging="567"/>
        <w:jc w:val="both"/>
      </w:pPr>
      <w:r w:rsidRPr="00BA4E53">
        <w:t xml:space="preserve">MTV </w:t>
      </w:r>
      <w:r w:rsidR="00406E8A" w:rsidRPr="00BA4E53">
        <w:t xml:space="preserve">is the </w:t>
      </w:r>
      <w:r w:rsidR="0008719A" w:rsidRPr="00BA4E53">
        <w:t>m</w:t>
      </w:r>
      <w:r w:rsidR="00406E8A" w:rsidRPr="00BA4E53">
        <w:t xml:space="preserve">inimum </w:t>
      </w:r>
      <w:r w:rsidR="00694949" w:rsidRPr="00BA4E53">
        <w:t>termination</w:t>
      </w:r>
      <w:r w:rsidR="00406E8A" w:rsidRPr="00BA4E53">
        <w:t xml:space="preserve"> </w:t>
      </w:r>
      <w:r w:rsidR="0008719A" w:rsidRPr="00BA4E53">
        <w:t>v</w:t>
      </w:r>
      <w:r w:rsidR="00406E8A" w:rsidRPr="00BA4E53">
        <w:t>alue</w:t>
      </w:r>
      <w:r w:rsidR="0008719A" w:rsidRPr="00BA4E53">
        <w:t xml:space="preserve"> at the date of the paid-up </w:t>
      </w:r>
      <w:r w:rsidR="00406E8A" w:rsidRPr="00BA4E53">
        <w:t>policy</w:t>
      </w:r>
      <w:r w:rsidR="0008719A" w:rsidRPr="00BA4E53">
        <w:t>; and</w:t>
      </w:r>
    </w:p>
    <w:p w14:paraId="54A0936F" w14:textId="77777777" w:rsidR="00406E8A" w:rsidRPr="00BA4E53" w:rsidRDefault="00406E8A" w:rsidP="00EA657E">
      <w:pPr>
        <w:numPr>
          <w:ilvl w:val="0"/>
          <w:numId w:val="28"/>
        </w:numPr>
        <w:spacing w:after="240"/>
        <w:ind w:left="1134" w:hanging="567"/>
        <w:jc w:val="both"/>
      </w:pPr>
      <w:r w:rsidRPr="00BA4E53">
        <w:t>A</w:t>
      </w:r>
      <w:r w:rsidR="00CB44D0">
        <w:t xml:space="preserve"> </w:t>
      </w:r>
      <w:r w:rsidRPr="00BA4E53">
        <w:t>is the present value of $1 of paid-up value</w:t>
      </w:r>
      <w:r w:rsidR="0008719A" w:rsidRPr="00BA4E53">
        <w:t xml:space="preserve"> as at that date, </w:t>
      </w:r>
      <w:r w:rsidRPr="00BA4E53">
        <w:t>according to the conting</w:t>
      </w:r>
      <w:r w:rsidR="0008719A" w:rsidRPr="00BA4E53">
        <w:t>encies upon which it is payable</w:t>
      </w:r>
      <w:r w:rsidR="00FD4DFF" w:rsidRPr="00BA4E53">
        <w:t>.</w:t>
      </w:r>
    </w:p>
    <w:p w14:paraId="2F44E5F0" w14:textId="77777777" w:rsidR="00406E8A" w:rsidRPr="00BA4E53" w:rsidRDefault="00406E8A" w:rsidP="00A62372">
      <w:pPr>
        <w:jc w:val="both"/>
        <w:rPr>
          <w:b/>
        </w:rPr>
      </w:pPr>
    </w:p>
    <w:p w14:paraId="0135EF26" w14:textId="77777777" w:rsidR="007030F4" w:rsidRPr="0095272A" w:rsidRDefault="0078732E" w:rsidP="00A62372">
      <w:pPr>
        <w:pStyle w:val="Heading3"/>
        <w:jc w:val="both"/>
      </w:pPr>
      <w:r w:rsidRPr="00BA4E53">
        <w:br w:type="page"/>
      </w:r>
      <w:bookmarkStart w:id="61" w:name="_Ref324930514"/>
      <w:bookmarkStart w:id="62" w:name="_Toc334445591"/>
      <w:r w:rsidR="007030F4" w:rsidRPr="0095272A">
        <w:lastRenderedPageBreak/>
        <w:t>Attachment 3</w:t>
      </w:r>
      <w:bookmarkEnd w:id="61"/>
      <w:bookmarkEnd w:id="62"/>
    </w:p>
    <w:p w14:paraId="0D2438CF" w14:textId="77777777" w:rsidR="007030F4" w:rsidRPr="0095272A" w:rsidRDefault="007030F4" w:rsidP="00A62372">
      <w:pPr>
        <w:pStyle w:val="Heading3"/>
        <w:jc w:val="both"/>
      </w:pPr>
      <w:bookmarkStart w:id="63" w:name="_Toc324952329"/>
      <w:bookmarkStart w:id="64" w:name="_Toc334445592"/>
      <w:r w:rsidRPr="0095272A">
        <w:t xml:space="preserve">Calculation of </w:t>
      </w:r>
      <w:r w:rsidR="00D43275" w:rsidRPr="0095272A">
        <w:t xml:space="preserve">minimum </w:t>
      </w:r>
      <w:r w:rsidR="00694949" w:rsidRPr="0095272A">
        <w:t>termination</w:t>
      </w:r>
      <w:r w:rsidRPr="0095272A">
        <w:t xml:space="preserve"> values and paid up values for certain types of traditional policies</w:t>
      </w:r>
      <w:r w:rsidR="007804E9" w:rsidRPr="0095272A">
        <w:t xml:space="preserve"> (the specified policies)</w:t>
      </w:r>
      <w:bookmarkEnd w:id="63"/>
      <w:bookmarkEnd w:id="64"/>
    </w:p>
    <w:p w14:paraId="41A412ED" w14:textId="77777777" w:rsidR="00517341" w:rsidRPr="00BA4E53" w:rsidRDefault="00517341" w:rsidP="00865EA1">
      <w:pPr>
        <w:spacing w:after="240"/>
        <w:jc w:val="both"/>
      </w:pPr>
      <w:r w:rsidRPr="00BA4E53">
        <w:t>These calculations assume that minimum termination values are calculated according to Part I of Attachment 2. If minimum termination value</w:t>
      </w:r>
      <w:r w:rsidR="00763C7C">
        <w:t>s</w:t>
      </w:r>
      <w:r w:rsidRPr="00BA4E53">
        <w:t xml:space="preserve"> are calculated according to Part II of Attachment 2, appropriate changes must be made to the calculations specified in this </w:t>
      </w:r>
      <w:r w:rsidR="001D6408">
        <w:t>A</w:t>
      </w:r>
      <w:r w:rsidRPr="00BA4E53">
        <w:t>ttachment.</w:t>
      </w:r>
    </w:p>
    <w:tbl>
      <w:tblPr>
        <w:tblW w:w="0" w:type="auto"/>
        <w:tblInd w:w="-34" w:type="dxa"/>
        <w:tblLayout w:type="fixed"/>
        <w:tblLook w:val="0000" w:firstRow="0" w:lastRow="0" w:firstColumn="0" w:lastColumn="0" w:noHBand="0" w:noVBand="0"/>
      </w:tblPr>
      <w:tblGrid>
        <w:gridCol w:w="709"/>
        <w:gridCol w:w="1276"/>
        <w:gridCol w:w="2552"/>
        <w:gridCol w:w="3827"/>
      </w:tblGrid>
      <w:tr w:rsidR="0078732E" w:rsidRPr="00BA4E53" w14:paraId="14DB4367" w14:textId="77777777" w:rsidTr="009A147F">
        <w:trPr>
          <w:tblHeader/>
        </w:trPr>
        <w:tc>
          <w:tcPr>
            <w:tcW w:w="709" w:type="dxa"/>
            <w:tcBorders>
              <w:bottom w:val="single" w:sz="2" w:space="0" w:color="auto"/>
            </w:tcBorders>
          </w:tcPr>
          <w:p w14:paraId="4E76D624" w14:textId="77777777" w:rsidR="0078732E" w:rsidRPr="00BA4E53" w:rsidRDefault="0078732E" w:rsidP="00032F14">
            <w:pPr>
              <w:pStyle w:val="TableColHead"/>
              <w:spacing w:before="0" w:after="240"/>
            </w:pPr>
            <w:r w:rsidRPr="00BA4E53">
              <w:t xml:space="preserve">Item </w:t>
            </w:r>
          </w:p>
        </w:tc>
        <w:tc>
          <w:tcPr>
            <w:tcW w:w="1276" w:type="dxa"/>
            <w:tcBorders>
              <w:bottom w:val="single" w:sz="2" w:space="0" w:color="auto"/>
            </w:tcBorders>
          </w:tcPr>
          <w:p w14:paraId="40020289" w14:textId="77777777" w:rsidR="0078732E" w:rsidRPr="00BA4E53" w:rsidRDefault="0078732E" w:rsidP="00032F14">
            <w:pPr>
              <w:pStyle w:val="TableColHead"/>
              <w:spacing w:before="0" w:after="240"/>
            </w:pPr>
            <w:r w:rsidRPr="00BA4E53">
              <w:t>Class of life policy</w:t>
            </w:r>
          </w:p>
        </w:tc>
        <w:tc>
          <w:tcPr>
            <w:tcW w:w="2552" w:type="dxa"/>
            <w:tcBorders>
              <w:bottom w:val="single" w:sz="2" w:space="0" w:color="auto"/>
            </w:tcBorders>
          </w:tcPr>
          <w:p w14:paraId="28282B58" w14:textId="77777777" w:rsidR="0078732E" w:rsidRPr="00BA4E53" w:rsidRDefault="0078732E" w:rsidP="00032F14">
            <w:pPr>
              <w:pStyle w:val="TableColHead"/>
              <w:spacing w:before="0" w:after="240"/>
            </w:pPr>
            <w:r w:rsidRPr="00BA4E53">
              <w:t>Description of policy within the class</w:t>
            </w:r>
          </w:p>
        </w:tc>
        <w:tc>
          <w:tcPr>
            <w:tcW w:w="3827" w:type="dxa"/>
            <w:tcBorders>
              <w:bottom w:val="single" w:sz="2" w:space="0" w:color="auto"/>
            </w:tcBorders>
          </w:tcPr>
          <w:p w14:paraId="2813A630" w14:textId="77777777" w:rsidR="0078732E" w:rsidRPr="00BA4E53" w:rsidRDefault="00D10595" w:rsidP="00032F14">
            <w:pPr>
              <w:pStyle w:val="TableColHead"/>
              <w:spacing w:before="0" w:after="240"/>
            </w:pPr>
            <w:r w:rsidRPr="00BA4E53">
              <w:t>Calculations</w:t>
            </w:r>
          </w:p>
        </w:tc>
      </w:tr>
      <w:tr w:rsidR="0078732E" w:rsidRPr="00BA4E53" w14:paraId="26A68F79" w14:textId="77777777" w:rsidTr="009A147F">
        <w:tc>
          <w:tcPr>
            <w:tcW w:w="709" w:type="dxa"/>
          </w:tcPr>
          <w:p w14:paraId="3AB5703B" w14:textId="77777777" w:rsidR="0078732E" w:rsidRPr="00BA4E53" w:rsidRDefault="0078732E" w:rsidP="00032F14">
            <w:pPr>
              <w:tabs>
                <w:tab w:val="left" w:pos="284"/>
                <w:tab w:val="left" w:pos="1418"/>
                <w:tab w:val="left" w:pos="2977"/>
                <w:tab w:val="left" w:pos="3969"/>
              </w:tabs>
              <w:spacing w:after="240"/>
              <w:jc w:val="both"/>
              <w:rPr>
                <w:sz w:val="22"/>
              </w:rPr>
            </w:pPr>
            <w:r w:rsidRPr="00BA4E53">
              <w:rPr>
                <w:sz w:val="22"/>
              </w:rPr>
              <w:t>1</w:t>
            </w:r>
          </w:p>
        </w:tc>
        <w:tc>
          <w:tcPr>
            <w:tcW w:w="1276" w:type="dxa"/>
          </w:tcPr>
          <w:p w14:paraId="5D9F488B" w14:textId="77777777" w:rsidR="0078732E" w:rsidRPr="00BA4E53" w:rsidRDefault="0078732E" w:rsidP="00032F14">
            <w:pPr>
              <w:tabs>
                <w:tab w:val="left" w:pos="284"/>
                <w:tab w:val="left" w:pos="1418"/>
                <w:tab w:val="left" w:pos="2977"/>
                <w:tab w:val="left" w:pos="3969"/>
              </w:tabs>
              <w:spacing w:after="240"/>
              <w:ind w:left="-23"/>
              <w:jc w:val="both"/>
              <w:rPr>
                <w:sz w:val="22"/>
              </w:rPr>
            </w:pPr>
            <w:r w:rsidRPr="00BA4E53">
              <w:rPr>
                <w:sz w:val="22"/>
              </w:rPr>
              <w:t>Family income</w:t>
            </w:r>
          </w:p>
        </w:tc>
        <w:tc>
          <w:tcPr>
            <w:tcW w:w="2552" w:type="dxa"/>
          </w:tcPr>
          <w:p w14:paraId="42AEF6C7" w14:textId="77777777" w:rsidR="0078732E" w:rsidRPr="0096525A" w:rsidRDefault="0078732E" w:rsidP="00032F14">
            <w:pPr>
              <w:tabs>
                <w:tab w:val="left" w:pos="284"/>
                <w:tab w:val="left" w:pos="485"/>
                <w:tab w:val="left" w:pos="1418"/>
                <w:tab w:val="left" w:pos="2977"/>
                <w:tab w:val="left" w:pos="3969"/>
              </w:tabs>
              <w:spacing w:after="240"/>
              <w:jc w:val="both"/>
              <w:rPr>
                <w:sz w:val="22"/>
              </w:rPr>
            </w:pPr>
            <w:r w:rsidRPr="0096525A">
              <w:rPr>
                <w:sz w:val="22"/>
              </w:rPr>
              <w:t>A policy under which:</w:t>
            </w:r>
          </w:p>
          <w:p w14:paraId="4D3E1AEA" w14:textId="77777777" w:rsidR="0078732E" w:rsidRPr="00265950" w:rsidRDefault="0078732E" w:rsidP="00EA657E">
            <w:pPr>
              <w:numPr>
                <w:ilvl w:val="0"/>
                <w:numId w:val="36"/>
              </w:numPr>
              <w:tabs>
                <w:tab w:val="left" w:pos="567"/>
                <w:tab w:val="left" w:pos="1418"/>
                <w:tab w:val="left" w:pos="2977"/>
                <w:tab w:val="left" w:pos="3969"/>
              </w:tabs>
              <w:spacing w:after="240"/>
              <w:ind w:left="567" w:hanging="567"/>
              <w:jc w:val="both"/>
              <w:rPr>
                <w:sz w:val="22"/>
              </w:rPr>
            </w:pPr>
            <w:r w:rsidRPr="0096525A">
              <w:rPr>
                <w:sz w:val="22"/>
              </w:rPr>
              <w:t xml:space="preserve">an </w:t>
            </w:r>
            <w:r w:rsidRPr="00265950">
              <w:rPr>
                <w:sz w:val="22"/>
              </w:rPr>
              <w:t>amount is payable (the basic sum insured) on the death of the life insured; and</w:t>
            </w:r>
          </w:p>
          <w:p w14:paraId="629B6F0D" w14:textId="77777777" w:rsidR="0078732E" w:rsidRPr="0096525A" w:rsidRDefault="0078732E" w:rsidP="00EA657E">
            <w:pPr>
              <w:numPr>
                <w:ilvl w:val="0"/>
                <w:numId w:val="36"/>
              </w:numPr>
              <w:tabs>
                <w:tab w:val="left" w:pos="567"/>
                <w:tab w:val="left" w:pos="1418"/>
                <w:tab w:val="left" w:pos="2977"/>
                <w:tab w:val="left" w:pos="3969"/>
              </w:tabs>
              <w:spacing w:after="240"/>
              <w:ind w:left="567" w:hanging="567"/>
              <w:jc w:val="both"/>
              <w:rPr>
                <w:sz w:val="22"/>
              </w:rPr>
            </w:pPr>
            <w:r w:rsidRPr="00265950">
              <w:rPr>
                <w:sz w:val="22"/>
              </w:rPr>
              <w:t>an additional amount of life insurance benefits (the additional benefits) is payable</w:t>
            </w:r>
            <w:r w:rsidRPr="0096525A">
              <w:rPr>
                <w:sz w:val="22"/>
              </w:rPr>
              <w:t xml:space="preserve"> if the death of the life insured occurs within the term specified in the policy.</w:t>
            </w:r>
          </w:p>
        </w:tc>
        <w:tc>
          <w:tcPr>
            <w:tcW w:w="3827" w:type="dxa"/>
          </w:tcPr>
          <w:p w14:paraId="00004315" w14:textId="77777777" w:rsidR="00265950" w:rsidRPr="00BB5CCD" w:rsidRDefault="0078732E" w:rsidP="00032F14">
            <w:pPr>
              <w:tabs>
                <w:tab w:val="left" w:pos="472"/>
                <w:tab w:val="left" w:pos="2977"/>
                <w:tab w:val="left" w:pos="3969"/>
              </w:tabs>
              <w:spacing w:after="240"/>
              <w:jc w:val="both"/>
              <w:rPr>
                <w:sz w:val="22"/>
              </w:rPr>
            </w:pPr>
            <w:r w:rsidRPr="0096525A">
              <w:rPr>
                <w:sz w:val="22"/>
              </w:rPr>
              <w:t>1.1</w:t>
            </w:r>
            <w:r w:rsidRPr="0096525A">
              <w:rPr>
                <w:sz w:val="22"/>
              </w:rPr>
              <w:tab/>
            </w:r>
            <w:r w:rsidR="00365DF1" w:rsidRPr="0096525A">
              <w:rPr>
                <w:sz w:val="22"/>
              </w:rPr>
              <w:t>The minimum paid-up value is</w:t>
            </w:r>
            <w:r w:rsidRPr="0096525A">
              <w:rPr>
                <w:sz w:val="22"/>
              </w:rPr>
              <w:t>:</w:t>
            </w:r>
          </w:p>
          <w:p w14:paraId="3B61D2C2" w14:textId="32012010" w:rsidR="00A44EA0" w:rsidRDefault="006B634F" w:rsidP="000C3505">
            <w:pPr>
              <w:tabs>
                <w:tab w:val="left" w:pos="284"/>
                <w:tab w:val="left" w:pos="614"/>
                <w:tab w:val="left" w:pos="2977"/>
                <w:tab w:val="left" w:pos="3969"/>
              </w:tabs>
              <w:spacing w:after="240"/>
              <w:jc w:val="both"/>
              <w:rPr>
                <w:sz w:val="22"/>
              </w:rPr>
            </w:pPr>
            <w:r>
              <w:rPr>
                <w:noProof/>
              </w:rPr>
              <w:pict w14:anchorId="131E098D">
                <v:shape id="_x0000_i1033" type="#_x0000_t75" alt="Start formula PUVB pls open bracket PUVA times ADJ close bracket end formula" style="width:115.5pt;height:12.75pt;visibility:visible;mso-wrap-style:square">
                  <v:imagedata r:id="rId21" o:title="" cropbottom="31350f" cropright="53930f"/>
                </v:shape>
              </w:pict>
            </w:r>
          </w:p>
          <w:p w14:paraId="780AB51C" w14:textId="77777777" w:rsidR="00265950" w:rsidRPr="00265950" w:rsidRDefault="0078732E" w:rsidP="00032F14">
            <w:pPr>
              <w:tabs>
                <w:tab w:val="left" w:pos="284"/>
                <w:tab w:val="left" w:pos="614"/>
                <w:tab w:val="left" w:pos="2977"/>
                <w:tab w:val="left" w:pos="3969"/>
              </w:tabs>
              <w:spacing w:after="240"/>
              <w:jc w:val="both"/>
              <w:rPr>
                <w:sz w:val="22"/>
              </w:rPr>
            </w:pPr>
            <w:r w:rsidRPr="00265950">
              <w:rPr>
                <w:sz w:val="22"/>
              </w:rPr>
              <w:t>where:</w:t>
            </w:r>
          </w:p>
          <w:p w14:paraId="4DD2E74F" w14:textId="77777777" w:rsidR="00265950" w:rsidRDefault="00265950" w:rsidP="00EA657E">
            <w:pPr>
              <w:numPr>
                <w:ilvl w:val="0"/>
                <w:numId w:val="34"/>
              </w:numPr>
              <w:tabs>
                <w:tab w:val="left" w:pos="284"/>
                <w:tab w:val="left" w:pos="614"/>
                <w:tab w:val="left" w:pos="2977"/>
                <w:tab w:val="left" w:pos="3969"/>
              </w:tabs>
              <w:spacing w:after="240"/>
              <w:ind w:left="567" w:hanging="567"/>
              <w:jc w:val="both"/>
              <w:rPr>
                <w:sz w:val="22"/>
              </w:rPr>
            </w:pPr>
            <w:r>
              <w:rPr>
                <w:sz w:val="22"/>
              </w:rPr>
              <w:tab/>
            </w:r>
            <w:r w:rsidR="0078732E" w:rsidRPr="00265950">
              <w:rPr>
                <w:sz w:val="22"/>
              </w:rPr>
              <w:t>PUVB is the amount of the paid</w:t>
            </w:r>
            <w:r w:rsidR="0078732E" w:rsidRPr="00265950">
              <w:rPr>
                <w:sz w:val="22"/>
              </w:rPr>
              <w:noBreakHyphen/>
              <w:t>up policy in respect of the basic sum insured</w:t>
            </w:r>
            <w:r>
              <w:rPr>
                <w:sz w:val="22"/>
              </w:rPr>
              <w:t xml:space="preserve">; </w:t>
            </w:r>
          </w:p>
          <w:p w14:paraId="2F00B085" w14:textId="77777777" w:rsidR="00265950" w:rsidRDefault="00265950" w:rsidP="00EA657E">
            <w:pPr>
              <w:numPr>
                <w:ilvl w:val="0"/>
                <w:numId w:val="34"/>
              </w:numPr>
              <w:tabs>
                <w:tab w:val="left" w:pos="284"/>
                <w:tab w:val="left" w:pos="614"/>
                <w:tab w:val="left" w:pos="2977"/>
                <w:tab w:val="left" w:pos="3969"/>
              </w:tabs>
              <w:spacing w:after="240"/>
              <w:ind w:left="567" w:hanging="567"/>
              <w:jc w:val="both"/>
              <w:rPr>
                <w:sz w:val="22"/>
              </w:rPr>
            </w:pPr>
            <w:r>
              <w:rPr>
                <w:sz w:val="22"/>
              </w:rPr>
              <w:tab/>
            </w:r>
            <w:r w:rsidR="00FC298B" w:rsidRPr="00265950">
              <w:rPr>
                <w:sz w:val="22"/>
              </w:rPr>
              <w:t>PUVA is the amount of the paid</w:t>
            </w:r>
            <w:r w:rsidR="00FC298B" w:rsidRPr="00265950">
              <w:rPr>
                <w:sz w:val="22"/>
              </w:rPr>
              <w:noBreakHyphen/>
              <w:t>up policy in respect of the additional benefits calculated according to Attachment</w:t>
            </w:r>
            <w:r w:rsidR="00517341" w:rsidRPr="00265950">
              <w:rPr>
                <w:sz w:val="22"/>
              </w:rPr>
              <w:t>s</w:t>
            </w:r>
            <w:r w:rsidR="00FC298B" w:rsidRPr="00265950">
              <w:rPr>
                <w:sz w:val="22"/>
              </w:rPr>
              <w:t xml:space="preserve"> 1 and</w:t>
            </w:r>
            <w:r w:rsidR="00F314C4" w:rsidRPr="00265950">
              <w:rPr>
                <w:sz w:val="22"/>
              </w:rPr>
              <w:t xml:space="preserve"> </w:t>
            </w:r>
            <w:r w:rsidR="00FC298B" w:rsidRPr="00265950">
              <w:rPr>
                <w:sz w:val="22"/>
              </w:rPr>
              <w:t>2 of this Prudential Standard, as if, for the purposes of those attachments, the additional benefits were a policy that will not participate in future profits</w:t>
            </w:r>
            <w:r>
              <w:rPr>
                <w:sz w:val="22"/>
              </w:rPr>
              <w:t>; and</w:t>
            </w:r>
          </w:p>
          <w:p w14:paraId="4880AA98" w14:textId="77777777" w:rsidR="00032F14" w:rsidRDefault="00265950" w:rsidP="00EA657E">
            <w:pPr>
              <w:numPr>
                <w:ilvl w:val="0"/>
                <w:numId w:val="34"/>
              </w:numPr>
              <w:tabs>
                <w:tab w:val="left" w:pos="284"/>
                <w:tab w:val="left" w:pos="614"/>
                <w:tab w:val="left" w:pos="2977"/>
                <w:tab w:val="left" w:pos="3969"/>
              </w:tabs>
              <w:spacing w:after="240"/>
              <w:ind w:left="567" w:hanging="567"/>
              <w:jc w:val="both"/>
              <w:rPr>
                <w:sz w:val="22"/>
              </w:rPr>
            </w:pPr>
            <w:r>
              <w:rPr>
                <w:sz w:val="22"/>
              </w:rPr>
              <w:t xml:space="preserve"> </w:t>
            </w:r>
            <w:r>
              <w:rPr>
                <w:sz w:val="22"/>
              </w:rPr>
              <w:tab/>
            </w:r>
            <w:r w:rsidRPr="00265950">
              <w:rPr>
                <w:sz w:val="22"/>
              </w:rPr>
              <w:t>ADJ is calculated according to the following formula</w:t>
            </w:r>
            <w:r>
              <w:rPr>
                <w:sz w:val="22"/>
              </w:rPr>
              <w:t>:</w:t>
            </w:r>
          </w:p>
          <w:p w14:paraId="0B1D5F9D" w14:textId="349B031B" w:rsidR="00265950" w:rsidRDefault="006B634F" w:rsidP="009965DD">
            <w:pPr>
              <w:tabs>
                <w:tab w:val="left" w:pos="284"/>
                <w:tab w:val="left" w:pos="614"/>
                <w:tab w:val="left" w:pos="2977"/>
                <w:tab w:val="left" w:pos="3969"/>
              </w:tabs>
              <w:spacing w:after="240"/>
              <w:ind w:left="614"/>
              <w:jc w:val="both"/>
              <w:rPr>
                <w:sz w:val="22"/>
              </w:rPr>
            </w:pPr>
            <w:r>
              <w:rPr>
                <w:noProof/>
              </w:rPr>
              <w:pict w14:anchorId="017F7709">
                <v:shape id="Picture 24" o:spid="_x0000_i1034" type="#_x0000_t75" alt="Start formula start fraction AA over AB end fraction end formula" style="width:21pt;height:32.25pt;visibility:visible;mso-wrap-style:square">
                  <v:imagedata r:id="rId22" o:title="" cropbottom="19963f" cropright="64205f"/>
                </v:shape>
              </w:pict>
            </w:r>
            <w:r w:rsidR="00265950">
              <w:rPr>
                <w:sz w:val="22"/>
              </w:rPr>
              <w:br/>
            </w:r>
            <w:r w:rsidR="00265950">
              <w:rPr>
                <w:sz w:val="22"/>
              </w:rPr>
              <w:br/>
            </w:r>
            <w:r w:rsidR="00265950" w:rsidRPr="00265950">
              <w:rPr>
                <w:sz w:val="22"/>
              </w:rPr>
              <w:t>where:</w:t>
            </w:r>
          </w:p>
          <w:p w14:paraId="00E9CE13" w14:textId="77777777" w:rsidR="00265950" w:rsidRDefault="00BB5CCD" w:rsidP="00032F14">
            <w:pPr>
              <w:pStyle w:val="Style1"/>
            </w:pPr>
            <w:r>
              <w:tab/>
            </w:r>
            <w:r w:rsidR="00FC298B" w:rsidRPr="00265950">
              <w:t xml:space="preserve">AA is the present value, as at the attained age, of $1 of sum insured according to the contingencies upon which the </w:t>
            </w:r>
            <w:r w:rsidR="00265950">
              <w:t>additional benefits are payable; and</w:t>
            </w:r>
          </w:p>
          <w:p w14:paraId="24935FAF" w14:textId="77777777" w:rsidR="00FC298B" w:rsidRPr="00265950" w:rsidRDefault="00BB5CCD" w:rsidP="00EA657E">
            <w:pPr>
              <w:numPr>
                <w:ilvl w:val="0"/>
                <w:numId w:val="35"/>
              </w:numPr>
              <w:tabs>
                <w:tab w:val="left" w:pos="284"/>
                <w:tab w:val="left" w:pos="614"/>
                <w:tab w:val="left" w:pos="924"/>
                <w:tab w:val="left" w:pos="2977"/>
                <w:tab w:val="left" w:pos="3969"/>
              </w:tabs>
              <w:spacing w:after="240"/>
              <w:ind w:left="1134" w:hanging="567"/>
              <w:jc w:val="both"/>
              <w:rPr>
                <w:sz w:val="22"/>
              </w:rPr>
            </w:pPr>
            <w:r>
              <w:rPr>
                <w:sz w:val="22"/>
              </w:rPr>
              <w:tab/>
            </w:r>
            <w:r w:rsidR="00FC298B" w:rsidRPr="00265950">
              <w:rPr>
                <w:sz w:val="22"/>
              </w:rPr>
              <w:t>AB is the present value, as at the attained age, of</w:t>
            </w:r>
            <w:r>
              <w:rPr>
                <w:sz w:val="22"/>
              </w:rPr>
              <w:t xml:space="preserve"> $1 of sum insured according to </w:t>
            </w:r>
            <w:r w:rsidR="00FC298B" w:rsidRPr="00265950">
              <w:rPr>
                <w:sz w:val="22"/>
              </w:rPr>
              <w:t xml:space="preserve">the contingencies upon which the basic sum </w:t>
            </w:r>
            <w:r w:rsidR="00FC298B" w:rsidRPr="00265950">
              <w:rPr>
                <w:sz w:val="22"/>
              </w:rPr>
              <w:lastRenderedPageBreak/>
              <w:t>insured is payable.</w:t>
            </w:r>
          </w:p>
          <w:p w14:paraId="44CA7991" w14:textId="77777777" w:rsidR="00A45E34" w:rsidRPr="0096525A" w:rsidRDefault="00A45E34" w:rsidP="00032F14">
            <w:pPr>
              <w:tabs>
                <w:tab w:val="left" w:pos="459"/>
                <w:tab w:val="left" w:pos="614"/>
                <w:tab w:val="left" w:pos="2977"/>
                <w:tab w:val="left" w:pos="3969"/>
              </w:tabs>
              <w:spacing w:after="240"/>
              <w:jc w:val="both"/>
              <w:rPr>
                <w:sz w:val="22"/>
              </w:rPr>
            </w:pPr>
            <w:r w:rsidRPr="0096525A">
              <w:rPr>
                <w:sz w:val="22"/>
              </w:rPr>
              <w:t xml:space="preserve">1.2 </w:t>
            </w:r>
            <w:r w:rsidRPr="0096525A">
              <w:rPr>
                <w:sz w:val="22"/>
              </w:rPr>
              <w:tab/>
              <w:t xml:space="preserve">The minimum termination value is calculated </w:t>
            </w:r>
            <w:r w:rsidR="00517341" w:rsidRPr="0096525A">
              <w:rPr>
                <w:sz w:val="22"/>
              </w:rPr>
              <w:t>according to Attachment 2</w:t>
            </w:r>
            <w:r w:rsidRPr="0096525A">
              <w:rPr>
                <w:sz w:val="22"/>
              </w:rPr>
              <w:t>.</w:t>
            </w:r>
          </w:p>
        </w:tc>
      </w:tr>
      <w:tr w:rsidR="0078732E" w:rsidRPr="00BA4E53" w14:paraId="6FFA7B06" w14:textId="77777777" w:rsidTr="009A147F">
        <w:trPr>
          <w:trHeight w:val="1935"/>
        </w:trPr>
        <w:tc>
          <w:tcPr>
            <w:tcW w:w="709" w:type="dxa"/>
          </w:tcPr>
          <w:p w14:paraId="5EDAE461" w14:textId="77777777" w:rsidR="0078732E" w:rsidRPr="00BA4E53" w:rsidRDefault="0078732E" w:rsidP="00032F14">
            <w:pPr>
              <w:tabs>
                <w:tab w:val="left" w:pos="284"/>
                <w:tab w:val="left" w:pos="1418"/>
                <w:tab w:val="left" w:pos="2977"/>
                <w:tab w:val="left" w:pos="3969"/>
              </w:tabs>
              <w:spacing w:after="240"/>
              <w:jc w:val="both"/>
              <w:rPr>
                <w:sz w:val="22"/>
              </w:rPr>
            </w:pPr>
            <w:r w:rsidRPr="00BA4E53">
              <w:rPr>
                <w:sz w:val="22"/>
              </w:rPr>
              <w:lastRenderedPageBreak/>
              <w:t>2</w:t>
            </w:r>
          </w:p>
        </w:tc>
        <w:tc>
          <w:tcPr>
            <w:tcW w:w="1276" w:type="dxa"/>
          </w:tcPr>
          <w:p w14:paraId="0E784BC3" w14:textId="77777777" w:rsidR="0078732E" w:rsidRPr="00BA4E53" w:rsidRDefault="0078732E" w:rsidP="00032F14">
            <w:pPr>
              <w:tabs>
                <w:tab w:val="left" w:pos="284"/>
                <w:tab w:val="left" w:pos="1418"/>
                <w:tab w:val="left" w:pos="2977"/>
                <w:tab w:val="left" w:pos="3969"/>
              </w:tabs>
              <w:spacing w:after="240"/>
              <w:jc w:val="both"/>
              <w:rPr>
                <w:sz w:val="22"/>
              </w:rPr>
            </w:pPr>
            <w:r w:rsidRPr="00BA4E53">
              <w:rPr>
                <w:sz w:val="22"/>
              </w:rPr>
              <w:t xml:space="preserve">Additional benefits </w:t>
            </w:r>
          </w:p>
        </w:tc>
        <w:tc>
          <w:tcPr>
            <w:tcW w:w="2552" w:type="dxa"/>
          </w:tcPr>
          <w:p w14:paraId="37FF283F" w14:textId="77777777" w:rsidR="0078732E" w:rsidRPr="0096525A" w:rsidRDefault="0078732E" w:rsidP="00032F14">
            <w:pPr>
              <w:tabs>
                <w:tab w:val="left" w:pos="284"/>
                <w:tab w:val="left" w:pos="1418"/>
                <w:tab w:val="left" w:pos="2977"/>
                <w:tab w:val="left" w:pos="3969"/>
              </w:tabs>
              <w:spacing w:after="240"/>
              <w:jc w:val="both"/>
              <w:rPr>
                <w:sz w:val="22"/>
              </w:rPr>
            </w:pPr>
            <w:r w:rsidRPr="0096525A">
              <w:rPr>
                <w:sz w:val="22"/>
              </w:rPr>
              <w:t>A policy under which an amount of additional life insurance benefits (</w:t>
            </w:r>
            <w:r w:rsidRPr="00032F14">
              <w:rPr>
                <w:sz w:val="22"/>
              </w:rPr>
              <w:t>the additional benefits</w:t>
            </w:r>
            <w:r w:rsidRPr="0096525A">
              <w:rPr>
                <w:sz w:val="22"/>
              </w:rPr>
              <w:t>) are payable:</w:t>
            </w:r>
          </w:p>
          <w:p w14:paraId="52B7B966" w14:textId="77777777" w:rsidR="0078732E" w:rsidRPr="0096525A" w:rsidRDefault="002B793A" w:rsidP="002B793A">
            <w:pPr>
              <w:pStyle w:val="Style2"/>
            </w:pPr>
            <w:r>
              <w:tab/>
            </w:r>
            <w:r w:rsidR="0078732E" w:rsidRPr="0096525A">
              <w:t>o</w:t>
            </w:r>
            <w:r w:rsidR="00763C7C" w:rsidRPr="0096525A">
              <w:t>n</w:t>
            </w:r>
            <w:r w:rsidR="0078732E" w:rsidRPr="0096525A">
              <w:t xml:space="preserve"> accidental death; or</w:t>
            </w:r>
          </w:p>
          <w:p w14:paraId="6D5066F4" w14:textId="77777777" w:rsidR="00D2536B" w:rsidRPr="0096525A" w:rsidRDefault="002B793A" w:rsidP="002B793A">
            <w:pPr>
              <w:pStyle w:val="Style2"/>
            </w:pPr>
            <w:r>
              <w:tab/>
            </w:r>
            <w:r w:rsidR="00D2536B" w:rsidRPr="0096525A">
              <w:t>o</w:t>
            </w:r>
            <w:r w:rsidR="00763C7C" w:rsidRPr="0096525A">
              <w:t>n</w:t>
            </w:r>
            <w:r w:rsidR="00D2536B" w:rsidRPr="0096525A">
              <w:t xml:space="preserve"> death by an illness specified in the policy; or</w:t>
            </w:r>
          </w:p>
          <w:p w14:paraId="408A83DE" w14:textId="77777777" w:rsidR="00FC298B" w:rsidRPr="0096525A" w:rsidRDefault="002B793A" w:rsidP="002B793A">
            <w:pPr>
              <w:pStyle w:val="Style2"/>
            </w:pPr>
            <w:r>
              <w:tab/>
            </w:r>
            <w:r w:rsidR="00763C7C" w:rsidRPr="0096525A">
              <w:t>o</w:t>
            </w:r>
            <w:r w:rsidR="00D2536B" w:rsidRPr="0096525A">
              <w:t>n an event other than survival or death.</w:t>
            </w:r>
          </w:p>
        </w:tc>
        <w:tc>
          <w:tcPr>
            <w:tcW w:w="3827" w:type="dxa"/>
          </w:tcPr>
          <w:p w14:paraId="1CF1C4C6" w14:textId="77777777" w:rsidR="0078732E" w:rsidRPr="0096525A" w:rsidRDefault="0078732E" w:rsidP="00032F14">
            <w:pPr>
              <w:tabs>
                <w:tab w:val="left" w:pos="472"/>
                <w:tab w:val="left" w:pos="1418"/>
                <w:tab w:val="left" w:pos="2977"/>
                <w:tab w:val="left" w:pos="3969"/>
              </w:tabs>
              <w:spacing w:after="240"/>
              <w:ind w:left="47"/>
              <w:jc w:val="both"/>
              <w:rPr>
                <w:sz w:val="22"/>
              </w:rPr>
            </w:pPr>
            <w:r w:rsidRPr="0096525A">
              <w:rPr>
                <w:sz w:val="22"/>
              </w:rPr>
              <w:t>2.1</w:t>
            </w:r>
            <w:r w:rsidRPr="0096525A">
              <w:rPr>
                <w:sz w:val="22"/>
              </w:rPr>
              <w:tab/>
            </w:r>
            <w:r w:rsidR="00732DEE" w:rsidRPr="0096525A">
              <w:rPr>
                <w:sz w:val="22"/>
              </w:rPr>
              <w:t>I</w:t>
            </w:r>
            <w:r w:rsidRPr="0096525A">
              <w:rPr>
                <w:sz w:val="22"/>
              </w:rPr>
              <w:t xml:space="preserve">n calculating the </w:t>
            </w:r>
            <w:r w:rsidR="00732DEE" w:rsidRPr="0096525A">
              <w:rPr>
                <w:sz w:val="22"/>
              </w:rPr>
              <w:t>minimum</w:t>
            </w:r>
            <w:r w:rsidRPr="0096525A">
              <w:rPr>
                <w:sz w:val="22"/>
              </w:rPr>
              <w:t xml:space="preserve"> paid</w:t>
            </w:r>
            <w:r w:rsidRPr="0096525A">
              <w:rPr>
                <w:sz w:val="22"/>
              </w:rPr>
              <w:noBreakHyphen/>
              <w:t xml:space="preserve">up </w:t>
            </w:r>
            <w:r w:rsidR="00732DEE" w:rsidRPr="0096525A">
              <w:rPr>
                <w:sz w:val="22"/>
              </w:rPr>
              <w:t>value</w:t>
            </w:r>
            <w:r w:rsidRPr="0096525A">
              <w:rPr>
                <w:sz w:val="22"/>
              </w:rPr>
              <w:t>:</w:t>
            </w:r>
          </w:p>
          <w:p w14:paraId="0216B3B4" w14:textId="77777777" w:rsidR="00D2536B" w:rsidRPr="0096525A" w:rsidRDefault="00D2536B" w:rsidP="00032F14">
            <w:pPr>
              <w:keepNext/>
              <w:keepLines/>
              <w:tabs>
                <w:tab w:val="left" w:pos="1418"/>
                <w:tab w:val="left" w:pos="2977"/>
                <w:tab w:val="left" w:pos="3969"/>
              </w:tabs>
              <w:spacing w:after="240"/>
              <w:ind w:left="471" w:hanging="471"/>
              <w:jc w:val="both"/>
              <w:rPr>
                <w:sz w:val="22"/>
              </w:rPr>
            </w:pPr>
            <w:r w:rsidRPr="0096525A">
              <w:rPr>
                <w:sz w:val="22"/>
              </w:rPr>
              <w:t xml:space="preserve">(a) </w:t>
            </w:r>
            <w:r w:rsidRPr="0096525A">
              <w:rPr>
                <w:sz w:val="22"/>
              </w:rPr>
              <w:tab/>
              <w:t xml:space="preserve">the additional benefits are taken not to be part of the calculation; and </w:t>
            </w:r>
          </w:p>
          <w:p w14:paraId="3BF8B6B7" w14:textId="77777777" w:rsidR="00D2536B" w:rsidRPr="0096525A" w:rsidRDefault="00D2536B" w:rsidP="00032F14">
            <w:pPr>
              <w:keepNext/>
              <w:keepLines/>
              <w:tabs>
                <w:tab w:val="left" w:pos="1418"/>
                <w:tab w:val="left" w:pos="2977"/>
                <w:tab w:val="left" w:pos="3969"/>
              </w:tabs>
              <w:spacing w:after="240"/>
              <w:ind w:left="471" w:hanging="471"/>
              <w:jc w:val="both"/>
              <w:rPr>
                <w:sz w:val="22"/>
              </w:rPr>
            </w:pPr>
            <w:r w:rsidRPr="0096525A">
              <w:rPr>
                <w:sz w:val="22"/>
              </w:rPr>
              <w:t>(b)</w:t>
            </w:r>
            <w:r w:rsidRPr="0096525A">
              <w:rPr>
                <w:sz w:val="22"/>
              </w:rPr>
              <w:tab/>
              <w:t>the paid</w:t>
            </w:r>
            <w:r w:rsidRPr="0096525A">
              <w:rPr>
                <w:sz w:val="22"/>
              </w:rPr>
              <w:noBreakHyphen/>
              <w:t>up policy is taken not to provide any part of an additional benefit.</w:t>
            </w:r>
          </w:p>
          <w:p w14:paraId="4F865868" w14:textId="77777777" w:rsidR="00D2536B" w:rsidRPr="0096525A" w:rsidRDefault="00343F36" w:rsidP="00032F14">
            <w:pPr>
              <w:tabs>
                <w:tab w:val="left" w:pos="472"/>
                <w:tab w:val="left" w:pos="1418"/>
                <w:tab w:val="left" w:pos="2977"/>
                <w:tab w:val="left" w:pos="3969"/>
              </w:tabs>
              <w:spacing w:after="240"/>
              <w:ind w:left="47"/>
              <w:jc w:val="both"/>
              <w:rPr>
                <w:sz w:val="22"/>
              </w:rPr>
            </w:pPr>
            <w:r w:rsidRPr="0096525A">
              <w:rPr>
                <w:sz w:val="22"/>
              </w:rPr>
              <w:t>2.2</w:t>
            </w:r>
            <w:r w:rsidRPr="0096525A">
              <w:rPr>
                <w:sz w:val="22"/>
              </w:rPr>
              <w:tab/>
              <w:t xml:space="preserve">The minimum termination value is calculated </w:t>
            </w:r>
            <w:r w:rsidR="00517341" w:rsidRPr="0096525A">
              <w:rPr>
                <w:sz w:val="22"/>
              </w:rPr>
              <w:t>according to</w:t>
            </w:r>
            <w:r w:rsidRPr="0096525A">
              <w:rPr>
                <w:sz w:val="22"/>
              </w:rPr>
              <w:t xml:space="preserve"> Attachment 2.</w:t>
            </w:r>
          </w:p>
        </w:tc>
      </w:tr>
      <w:tr w:rsidR="0078732E" w:rsidRPr="00BA4E53" w14:paraId="55D7CBCF" w14:textId="77777777" w:rsidTr="009A147F">
        <w:tc>
          <w:tcPr>
            <w:tcW w:w="709" w:type="dxa"/>
          </w:tcPr>
          <w:p w14:paraId="774E8EEF" w14:textId="77777777" w:rsidR="0078732E" w:rsidRPr="00BA4E53" w:rsidRDefault="0078732E" w:rsidP="00032F14">
            <w:pPr>
              <w:tabs>
                <w:tab w:val="left" w:pos="284"/>
                <w:tab w:val="left" w:pos="1418"/>
                <w:tab w:val="left" w:pos="2977"/>
                <w:tab w:val="left" w:pos="3969"/>
              </w:tabs>
              <w:spacing w:after="240"/>
              <w:jc w:val="both"/>
              <w:rPr>
                <w:sz w:val="22"/>
              </w:rPr>
            </w:pPr>
            <w:r w:rsidRPr="00BA4E53">
              <w:rPr>
                <w:sz w:val="22"/>
              </w:rPr>
              <w:t>3</w:t>
            </w:r>
          </w:p>
        </w:tc>
        <w:tc>
          <w:tcPr>
            <w:tcW w:w="1276" w:type="dxa"/>
          </w:tcPr>
          <w:p w14:paraId="1BCE6D79" w14:textId="77777777" w:rsidR="0078732E" w:rsidRPr="00BA4E53" w:rsidRDefault="0078732E" w:rsidP="00032F14">
            <w:pPr>
              <w:tabs>
                <w:tab w:val="left" w:pos="284"/>
                <w:tab w:val="left" w:pos="1418"/>
                <w:tab w:val="left" w:pos="2977"/>
                <w:tab w:val="left" w:pos="3969"/>
              </w:tabs>
              <w:spacing w:after="240"/>
              <w:jc w:val="both"/>
              <w:rPr>
                <w:sz w:val="22"/>
              </w:rPr>
            </w:pPr>
            <w:r w:rsidRPr="00BA4E53">
              <w:rPr>
                <w:sz w:val="22"/>
              </w:rPr>
              <w:t>Option</w:t>
            </w:r>
          </w:p>
        </w:tc>
        <w:tc>
          <w:tcPr>
            <w:tcW w:w="2552" w:type="dxa"/>
          </w:tcPr>
          <w:p w14:paraId="594A7E2B" w14:textId="77777777" w:rsidR="0078732E" w:rsidRPr="0096525A" w:rsidRDefault="0078732E" w:rsidP="00032F14">
            <w:pPr>
              <w:tabs>
                <w:tab w:val="left" w:pos="284"/>
                <w:tab w:val="left" w:pos="1418"/>
                <w:tab w:val="left" w:pos="2977"/>
                <w:tab w:val="left" w:pos="3969"/>
              </w:tabs>
              <w:spacing w:after="240"/>
              <w:jc w:val="both"/>
              <w:rPr>
                <w:sz w:val="22"/>
              </w:rPr>
            </w:pPr>
            <w:r w:rsidRPr="0096525A">
              <w:rPr>
                <w:sz w:val="22"/>
              </w:rPr>
              <w:t>A policy (</w:t>
            </w:r>
            <w:r w:rsidRPr="00032F14">
              <w:rPr>
                <w:sz w:val="22"/>
              </w:rPr>
              <w:t>the original policy</w:t>
            </w:r>
            <w:r w:rsidRPr="0096525A">
              <w:rPr>
                <w:sz w:val="22"/>
              </w:rPr>
              <w:t>) under which the contract of insurance may be varied at the option of the policy owner:</w:t>
            </w:r>
          </w:p>
          <w:p w14:paraId="19D70ED7" w14:textId="77777777" w:rsidR="0078732E" w:rsidRPr="0096525A" w:rsidRDefault="00AC1FC1" w:rsidP="00EA657E">
            <w:pPr>
              <w:pStyle w:val="Style2"/>
              <w:numPr>
                <w:ilvl w:val="0"/>
                <w:numId w:val="48"/>
              </w:numPr>
              <w:ind w:left="567" w:hanging="567"/>
            </w:pPr>
            <w:r>
              <w:tab/>
            </w:r>
            <w:r w:rsidR="0078732E" w:rsidRPr="0096525A">
              <w:t>on a date specified in the policy; or</w:t>
            </w:r>
          </w:p>
          <w:p w14:paraId="6A611210" w14:textId="77777777" w:rsidR="0078732E" w:rsidRPr="0096525A" w:rsidRDefault="00AC1FC1" w:rsidP="00AC1FC1">
            <w:pPr>
              <w:pStyle w:val="Style2"/>
            </w:pPr>
            <w:r>
              <w:tab/>
            </w:r>
            <w:r w:rsidR="0078732E" w:rsidRPr="0096525A">
              <w:t>on the happening of an event specified in the policy.</w:t>
            </w:r>
          </w:p>
        </w:tc>
        <w:tc>
          <w:tcPr>
            <w:tcW w:w="3827" w:type="dxa"/>
          </w:tcPr>
          <w:p w14:paraId="28FEE65A" w14:textId="77777777" w:rsidR="0078732E" w:rsidRPr="0096525A" w:rsidRDefault="0078732E" w:rsidP="00032F14">
            <w:pPr>
              <w:tabs>
                <w:tab w:val="left" w:pos="472"/>
                <w:tab w:val="left" w:pos="711"/>
                <w:tab w:val="left" w:pos="2977"/>
                <w:tab w:val="left" w:pos="3969"/>
              </w:tabs>
              <w:spacing w:after="240"/>
              <w:ind w:left="47"/>
              <w:jc w:val="both"/>
              <w:rPr>
                <w:sz w:val="22"/>
              </w:rPr>
            </w:pPr>
            <w:r w:rsidRPr="0096525A">
              <w:rPr>
                <w:sz w:val="22"/>
              </w:rPr>
              <w:t>3.1</w:t>
            </w:r>
            <w:r w:rsidRPr="0096525A">
              <w:rPr>
                <w:sz w:val="22"/>
              </w:rPr>
              <w:tab/>
            </w:r>
            <w:r w:rsidR="00D43275" w:rsidRPr="0096525A">
              <w:rPr>
                <w:sz w:val="22"/>
              </w:rPr>
              <w:t>I</w:t>
            </w:r>
            <w:r w:rsidRPr="0096525A">
              <w:rPr>
                <w:sz w:val="22"/>
              </w:rPr>
              <w:t xml:space="preserve">n calculating the </w:t>
            </w:r>
            <w:r w:rsidR="00D43275" w:rsidRPr="0096525A">
              <w:rPr>
                <w:sz w:val="22"/>
              </w:rPr>
              <w:t>minimum</w:t>
            </w:r>
            <w:r w:rsidRPr="0096525A">
              <w:rPr>
                <w:sz w:val="22"/>
              </w:rPr>
              <w:t xml:space="preserve"> paid</w:t>
            </w:r>
            <w:r w:rsidRPr="0096525A">
              <w:rPr>
                <w:sz w:val="22"/>
              </w:rPr>
              <w:noBreakHyphen/>
              <w:t xml:space="preserve">up </w:t>
            </w:r>
            <w:r w:rsidR="00D43275" w:rsidRPr="0096525A">
              <w:rPr>
                <w:sz w:val="22"/>
              </w:rPr>
              <w:t>value</w:t>
            </w:r>
            <w:r w:rsidR="00343F36" w:rsidRPr="0096525A">
              <w:rPr>
                <w:sz w:val="22"/>
              </w:rPr>
              <w:t xml:space="preserve"> and minimum termination value</w:t>
            </w:r>
            <w:r w:rsidRPr="0096525A">
              <w:rPr>
                <w:sz w:val="22"/>
              </w:rPr>
              <w:t xml:space="preserve"> before the option is exercised, the option</w:t>
            </w:r>
            <w:r w:rsidR="00D43275" w:rsidRPr="0096525A">
              <w:rPr>
                <w:sz w:val="22"/>
              </w:rPr>
              <w:t xml:space="preserve"> is ignored</w:t>
            </w:r>
            <w:r w:rsidRPr="0096525A">
              <w:rPr>
                <w:sz w:val="22"/>
              </w:rPr>
              <w:t>.</w:t>
            </w:r>
          </w:p>
        </w:tc>
      </w:tr>
      <w:tr w:rsidR="0078732E" w:rsidRPr="00BA4E53" w14:paraId="2C09BD50" w14:textId="77777777" w:rsidTr="009A147F">
        <w:tc>
          <w:tcPr>
            <w:tcW w:w="709" w:type="dxa"/>
          </w:tcPr>
          <w:p w14:paraId="52B2981E" w14:textId="77777777" w:rsidR="0078732E" w:rsidRPr="00BA4E53" w:rsidRDefault="0078732E" w:rsidP="00032F14">
            <w:pPr>
              <w:tabs>
                <w:tab w:val="left" w:pos="284"/>
                <w:tab w:val="left" w:pos="1418"/>
                <w:tab w:val="left" w:pos="2977"/>
                <w:tab w:val="left" w:pos="3969"/>
              </w:tabs>
              <w:spacing w:after="240"/>
              <w:jc w:val="both"/>
              <w:rPr>
                <w:sz w:val="22"/>
              </w:rPr>
            </w:pPr>
            <w:r w:rsidRPr="00BA4E53">
              <w:rPr>
                <w:sz w:val="22"/>
              </w:rPr>
              <w:t>4</w:t>
            </w:r>
          </w:p>
        </w:tc>
        <w:tc>
          <w:tcPr>
            <w:tcW w:w="1276" w:type="dxa"/>
          </w:tcPr>
          <w:p w14:paraId="2882A186" w14:textId="77777777" w:rsidR="0078732E" w:rsidRPr="00BA4E53" w:rsidRDefault="0078732E" w:rsidP="00032F14">
            <w:pPr>
              <w:tabs>
                <w:tab w:val="left" w:pos="284"/>
                <w:tab w:val="left" w:pos="1418"/>
                <w:tab w:val="left" w:pos="2977"/>
                <w:tab w:val="left" w:pos="3969"/>
              </w:tabs>
              <w:spacing w:after="240"/>
              <w:jc w:val="both"/>
              <w:rPr>
                <w:sz w:val="22"/>
              </w:rPr>
            </w:pPr>
            <w:r w:rsidRPr="00BA4E53">
              <w:rPr>
                <w:sz w:val="22"/>
              </w:rPr>
              <w:t xml:space="preserve">Altered </w:t>
            </w:r>
          </w:p>
        </w:tc>
        <w:tc>
          <w:tcPr>
            <w:tcW w:w="2552" w:type="dxa"/>
          </w:tcPr>
          <w:p w14:paraId="367B575D" w14:textId="77777777" w:rsidR="0078732E" w:rsidRPr="0096525A" w:rsidRDefault="0078732E" w:rsidP="00032F14">
            <w:pPr>
              <w:tabs>
                <w:tab w:val="left" w:pos="284"/>
                <w:tab w:val="left" w:pos="1418"/>
                <w:tab w:val="left" w:pos="2977"/>
                <w:tab w:val="left" w:pos="3969"/>
              </w:tabs>
              <w:spacing w:after="240"/>
              <w:jc w:val="both"/>
              <w:rPr>
                <w:sz w:val="22"/>
              </w:rPr>
            </w:pPr>
            <w:r w:rsidRPr="0096525A">
              <w:rPr>
                <w:sz w:val="22"/>
              </w:rPr>
              <w:t>A policy under which the contract of insurance (</w:t>
            </w:r>
            <w:r w:rsidRPr="005A670E">
              <w:rPr>
                <w:sz w:val="22"/>
              </w:rPr>
              <w:t>the original contract</w:t>
            </w:r>
            <w:r w:rsidRPr="0096525A">
              <w:rPr>
                <w:sz w:val="22"/>
              </w:rPr>
              <w:t>) is varied, at the request of the policy owner, by a change to:</w:t>
            </w:r>
          </w:p>
          <w:p w14:paraId="34D361C7" w14:textId="77777777" w:rsidR="0078732E" w:rsidRPr="0096525A" w:rsidRDefault="00AC1FC1" w:rsidP="00EA657E">
            <w:pPr>
              <w:pStyle w:val="Style2"/>
              <w:numPr>
                <w:ilvl w:val="0"/>
                <w:numId w:val="49"/>
              </w:numPr>
              <w:ind w:left="567" w:hanging="567"/>
            </w:pPr>
            <w:r>
              <w:tab/>
            </w:r>
            <w:r w:rsidR="0078732E" w:rsidRPr="0096525A">
              <w:t>the date on which the sum insured is payable; or</w:t>
            </w:r>
          </w:p>
          <w:p w14:paraId="2C5AE4B6" w14:textId="77777777" w:rsidR="0078732E" w:rsidRPr="0096525A" w:rsidRDefault="00AC1FC1" w:rsidP="00AC1FC1">
            <w:pPr>
              <w:pStyle w:val="Style2"/>
            </w:pPr>
            <w:r>
              <w:tab/>
            </w:r>
            <w:r w:rsidR="0078732E" w:rsidRPr="0096525A">
              <w:t>the term during which premiums are payable.</w:t>
            </w:r>
          </w:p>
        </w:tc>
        <w:tc>
          <w:tcPr>
            <w:tcW w:w="3827" w:type="dxa"/>
          </w:tcPr>
          <w:p w14:paraId="3604F6A8" w14:textId="77777777" w:rsidR="0078732E" w:rsidRPr="0096525A" w:rsidRDefault="0078732E" w:rsidP="00032F14">
            <w:pPr>
              <w:tabs>
                <w:tab w:val="left" w:pos="472"/>
                <w:tab w:val="left" w:pos="1418"/>
                <w:tab w:val="left" w:pos="2977"/>
                <w:tab w:val="left" w:pos="3969"/>
              </w:tabs>
              <w:spacing w:after="240"/>
              <w:jc w:val="both"/>
              <w:rPr>
                <w:sz w:val="22"/>
              </w:rPr>
            </w:pPr>
            <w:r w:rsidRPr="0096525A">
              <w:rPr>
                <w:sz w:val="22"/>
              </w:rPr>
              <w:t>4.1</w:t>
            </w:r>
            <w:r w:rsidRPr="0096525A">
              <w:rPr>
                <w:sz w:val="22"/>
              </w:rPr>
              <w:tab/>
            </w:r>
            <w:r w:rsidR="00D43275" w:rsidRPr="0096525A">
              <w:rPr>
                <w:sz w:val="22"/>
              </w:rPr>
              <w:t>The minimum paid-up value is</w:t>
            </w:r>
            <w:r w:rsidRPr="0096525A">
              <w:rPr>
                <w:sz w:val="22"/>
              </w:rPr>
              <w:t>:</w:t>
            </w:r>
          </w:p>
          <w:p w14:paraId="0551E9DE" w14:textId="6CE7918C" w:rsidR="000C3505" w:rsidRPr="0096525A" w:rsidRDefault="006B634F" w:rsidP="00032F14">
            <w:pPr>
              <w:tabs>
                <w:tab w:val="left" w:pos="284"/>
                <w:tab w:val="left" w:pos="1418"/>
                <w:tab w:val="left" w:pos="2977"/>
                <w:tab w:val="left" w:pos="3969"/>
              </w:tabs>
              <w:spacing w:after="240"/>
              <w:jc w:val="both"/>
              <w:rPr>
                <w:sz w:val="22"/>
              </w:rPr>
            </w:pPr>
            <w:r>
              <w:rPr>
                <w:noProof/>
              </w:rPr>
              <w:pict w14:anchorId="1A7454F2">
                <v:shape id="Picture 25" o:spid="_x0000_i1035" type="#_x0000_t75" alt="Start formula APUV plus PBPUV end formula&#10;" style="width:93.75pt;height:15.75pt;visibility:visible;mso-wrap-style:square">
                  <v:imagedata r:id="rId23" o:title="" cropbottom="28364f" cropright="57524f"/>
                </v:shape>
              </w:pict>
            </w:r>
          </w:p>
          <w:p w14:paraId="3685DD4D" w14:textId="77777777" w:rsidR="0078732E" w:rsidRPr="0096525A" w:rsidRDefault="0078732E" w:rsidP="00032F14">
            <w:pPr>
              <w:tabs>
                <w:tab w:val="left" w:pos="284"/>
                <w:tab w:val="left" w:pos="1418"/>
                <w:tab w:val="left" w:pos="2977"/>
                <w:tab w:val="left" w:pos="3969"/>
              </w:tabs>
              <w:spacing w:after="240"/>
              <w:jc w:val="both"/>
              <w:rPr>
                <w:sz w:val="22"/>
              </w:rPr>
            </w:pPr>
            <w:r w:rsidRPr="0096525A">
              <w:rPr>
                <w:sz w:val="22"/>
              </w:rPr>
              <w:t>where:</w:t>
            </w:r>
          </w:p>
          <w:p w14:paraId="184835E0" w14:textId="08A73F4C" w:rsidR="0078732E" w:rsidRPr="008217E5" w:rsidRDefault="002B793A" w:rsidP="008217E5">
            <w:pPr>
              <w:pStyle w:val="Style2"/>
              <w:numPr>
                <w:ilvl w:val="0"/>
                <w:numId w:val="38"/>
              </w:numPr>
              <w:ind w:left="567" w:hanging="567"/>
            </w:pPr>
            <w:r>
              <w:tab/>
            </w:r>
            <w:r w:rsidR="0078732E" w:rsidRPr="00032F14">
              <w:t>APUV is the amount of the adjusted paid</w:t>
            </w:r>
            <w:r w:rsidR="0078732E" w:rsidRPr="00032F14">
              <w:noBreakHyphen/>
              <w:t>up policy at the date of variation, being an amount calculated as follows:</w:t>
            </w:r>
          </w:p>
          <w:p w14:paraId="7728AAC6" w14:textId="635776BF" w:rsidR="008217E5" w:rsidRPr="00032F14" w:rsidRDefault="006B634F" w:rsidP="00032F14">
            <w:pPr>
              <w:tabs>
                <w:tab w:val="left" w:pos="284"/>
                <w:tab w:val="left" w:pos="1418"/>
                <w:tab w:val="left" w:pos="2977"/>
                <w:tab w:val="left" w:pos="3969"/>
              </w:tabs>
              <w:spacing w:after="240"/>
              <w:ind w:left="567"/>
              <w:jc w:val="both"/>
              <w:rPr>
                <w:sz w:val="22"/>
              </w:rPr>
            </w:pPr>
            <w:r>
              <w:rPr>
                <w:noProof/>
              </w:rPr>
              <w:pict w14:anchorId="419C583F">
                <v:shape id="Picture 26" o:spid="_x0000_i1036" type="#_x0000_t75" alt="Start formula PUV times start fraction AO over AA end fraction end formula &#10;" style="width:73.5pt;height:27pt;visibility:visible;mso-wrap-style:square;mso-position-vertical:absolute">
                  <v:imagedata r:id="rId24" o:title="" cropbottom="21566f" cropright="60212f"/>
                </v:shape>
              </w:pict>
            </w:r>
          </w:p>
          <w:p w14:paraId="25478D58" w14:textId="77777777" w:rsidR="0078732E" w:rsidRPr="0096525A" w:rsidRDefault="00032F14" w:rsidP="00032F14">
            <w:pPr>
              <w:tabs>
                <w:tab w:val="left" w:pos="284"/>
                <w:tab w:val="left" w:pos="567"/>
                <w:tab w:val="left" w:pos="1418"/>
                <w:tab w:val="left" w:pos="2977"/>
                <w:tab w:val="left" w:pos="3969"/>
              </w:tabs>
              <w:spacing w:after="240"/>
              <w:jc w:val="both"/>
              <w:rPr>
                <w:sz w:val="22"/>
              </w:rPr>
            </w:pPr>
            <w:r>
              <w:rPr>
                <w:sz w:val="22"/>
              </w:rPr>
              <w:tab/>
            </w:r>
            <w:r>
              <w:rPr>
                <w:sz w:val="22"/>
              </w:rPr>
              <w:tab/>
            </w:r>
            <w:r w:rsidR="0078732E" w:rsidRPr="0096525A">
              <w:rPr>
                <w:sz w:val="22"/>
              </w:rPr>
              <w:t>where:</w:t>
            </w:r>
          </w:p>
          <w:p w14:paraId="450640EF" w14:textId="77777777" w:rsidR="00D2536B" w:rsidRPr="0096525A" w:rsidRDefault="005A670E" w:rsidP="00EA657E">
            <w:pPr>
              <w:pStyle w:val="Style1"/>
              <w:numPr>
                <w:ilvl w:val="0"/>
                <w:numId w:val="47"/>
              </w:numPr>
              <w:ind w:left="1134" w:hanging="567"/>
            </w:pPr>
            <w:r>
              <w:tab/>
            </w:r>
            <w:r w:rsidR="0078732E" w:rsidRPr="00032F14">
              <w:t>PUV</w:t>
            </w:r>
            <w:r w:rsidR="0078732E" w:rsidRPr="0096525A">
              <w:t xml:space="preserve"> is the value of the paid</w:t>
            </w:r>
            <w:r w:rsidR="0078732E" w:rsidRPr="0096525A">
              <w:noBreakHyphen/>
              <w:t xml:space="preserve">up policy under the </w:t>
            </w:r>
            <w:r w:rsidR="0078732E" w:rsidRPr="0096525A">
              <w:lastRenderedPageBreak/>
              <w:t>original contract, calculated according to Attachment</w:t>
            </w:r>
            <w:r w:rsidR="00F314C4" w:rsidRPr="0096525A">
              <w:t>s</w:t>
            </w:r>
            <w:r w:rsidR="0078732E" w:rsidRPr="0096525A">
              <w:t xml:space="preserve"> 1 and</w:t>
            </w:r>
            <w:r w:rsidR="00F314C4" w:rsidRPr="0096525A">
              <w:t xml:space="preserve"> </w:t>
            </w:r>
            <w:r w:rsidR="0078732E" w:rsidRPr="0096525A">
              <w:t>2 of this Prudential Standard, as at the day before the date of variation.</w:t>
            </w:r>
          </w:p>
          <w:p w14:paraId="1BF5F41B" w14:textId="77777777" w:rsidR="00D2536B" w:rsidRPr="00032F14" w:rsidRDefault="00032F14" w:rsidP="00032F14">
            <w:pPr>
              <w:pStyle w:val="Style1"/>
            </w:pPr>
            <w:r>
              <w:tab/>
            </w:r>
            <w:r w:rsidR="00D2536B" w:rsidRPr="00032F14">
              <w:t>AO is the present value, as at the attained age, of $1 of sum insured according to the contingencies upon which the sum insured under the original contract was payable.</w:t>
            </w:r>
          </w:p>
          <w:p w14:paraId="45A27D22" w14:textId="77777777" w:rsidR="00D2536B" w:rsidRPr="00032F14" w:rsidRDefault="00032F14" w:rsidP="00032F14">
            <w:pPr>
              <w:pStyle w:val="Style1"/>
            </w:pPr>
            <w:r>
              <w:tab/>
            </w:r>
            <w:r w:rsidR="00D2536B" w:rsidRPr="00032F14">
              <w:t>AA is the present value, as at the attained age, of $1 of sum insured according to the contingencies upon which the sum insured under the original contract, as varied, on the day after the date of variation, is payable.</w:t>
            </w:r>
          </w:p>
          <w:p w14:paraId="05A76C94" w14:textId="77777777" w:rsidR="00D2536B" w:rsidRPr="0096525A" w:rsidRDefault="00032F14" w:rsidP="00032F14">
            <w:pPr>
              <w:pStyle w:val="Style2"/>
            </w:pPr>
            <w:r>
              <w:tab/>
            </w:r>
            <w:r w:rsidR="00D2536B" w:rsidRPr="00032F14">
              <w:t>PBPUV is the amount of the paid</w:t>
            </w:r>
            <w:r w:rsidR="00D2536B" w:rsidRPr="00032F14">
              <w:noBreakHyphen/>
              <w:t>up policy, calculated as if:</w:t>
            </w:r>
          </w:p>
          <w:p w14:paraId="02FD1A79" w14:textId="77777777" w:rsidR="00D2536B" w:rsidRPr="0096525A" w:rsidRDefault="002B793A" w:rsidP="00EA657E">
            <w:pPr>
              <w:pStyle w:val="Style1"/>
              <w:numPr>
                <w:ilvl w:val="0"/>
                <w:numId w:val="39"/>
              </w:numPr>
              <w:ind w:left="1134" w:hanging="567"/>
            </w:pPr>
            <w:r>
              <w:tab/>
            </w:r>
            <w:r w:rsidR="00D2536B" w:rsidRPr="0096525A">
              <w:t xml:space="preserve">the policy came into effect on the date of variation; </w:t>
            </w:r>
          </w:p>
          <w:p w14:paraId="42ED49FB" w14:textId="77777777" w:rsidR="00032F14" w:rsidRPr="002B793A" w:rsidRDefault="002B793A" w:rsidP="002B793A">
            <w:pPr>
              <w:pStyle w:val="Style1"/>
            </w:pPr>
            <w:r>
              <w:tab/>
            </w:r>
            <w:r w:rsidR="00D2536B" w:rsidRPr="002B793A">
              <w:t>the sum insured under the policy is the premium bearing sum insured (</w:t>
            </w:r>
            <w:smartTag w:uri="urn:schemas-microsoft-com:office:smarttags" w:element="stockticker">
              <w:r w:rsidR="00D2536B" w:rsidRPr="002B793A">
                <w:t>PBSI</w:t>
              </w:r>
            </w:smartTag>
            <w:r w:rsidR="00D2536B" w:rsidRPr="002B793A">
              <w:t>) calculated as the total sum insured under the original contract, as varied, on the day after the date of variation, less APUV; and</w:t>
            </w:r>
          </w:p>
          <w:p w14:paraId="243BFA9A" w14:textId="77777777" w:rsidR="00D2536B" w:rsidRPr="0096525A" w:rsidRDefault="002B793A" w:rsidP="002B793A">
            <w:pPr>
              <w:pStyle w:val="Style1"/>
              <w:tabs>
                <w:tab w:val="left" w:pos="567"/>
              </w:tabs>
            </w:pPr>
            <w:r>
              <w:tab/>
            </w:r>
            <w:smartTag w:uri="urn:schemas-microsoft-com:office:smarttags" w:element="stockticker">
              <w:r w:rsidR="00D2536B" w:rsidRPr="00032F14">
                <w:t>PBSI</w:t>
              </w:r>
            </w:smartTag>
            <w:r w:rsidR="00D2536B" w:rsidRPr="00032F14">
              <w:t xml:space="preserve"> </w:t>
            </w:r>
            <w:r w:rsidR="00D2536B" w:rsidRPr="0096525A">
              <w:t>is payable on the same contingencies upon which the total sum insured under the original contract, as varied, on the day after the date of variation, is payable.</w:t>
            </w:r>
          </w:p>
        </w:tc>
      </w:tr>
      <w:tr w:rsidR="0078732E" w:rsidRPr="00BA4E53" w14:paraId="6166A56E" w14:textId="77777777" w:rsidTr="009A147F">
        <w:tc>
          <w:tcPr>
            <w:tcW w:w="709" w:type="dxa"/>
          </w:tcPr>
          <w:p w14:paraId="0CB077F6" w14:textId="77777777" w:rsidR="0078732E" w:rsidRPr="00BA4E53" w:rsidRDefault="0078732E" w:rsidP="00032F14">
            <w:pPr>
              <w:tabs>
                <w:tab w:val="left" w:pos="284"/>
                <w:tab w:val="left" w:pos="1418"/>
                <w:tab w:val="left" w:pos="2977"/>
                <w:tab w:val="left" w:pos="3969"/>
              </w:tabs>
              <w:spacing w:after="240"/>
              <w:jc w:val="both"/>
              <w:rPr>
                <w:sz w:val="22"/>
              </w:rPr>
            </w:pPr>
          </w:p>
        </w:tc>
        <w:tc>
          <w:tcPr>
            <w:tcW w:w="1276" w:type="dxa"/>
          </w:tcPr>
          <w:p w14:paraId="68F6E04C" w14:textId="77777777" w:rsidR="0078732E" w:rsidRPr="00BA4E53" w:rsidRDefault="0078732E" w:rsidP="00032F14">
            <w:pPr>
              <w:tabs>
                <w:tab w:val="left" w:pos="284"/>
                <w:tab w:val="left" w:pos="1418"/>
                <w:tab w:val="left" w:pos="2977"/>
                <w:tab w:val="left" w:pos="3969"/>
              </w:tabs>
              <w:spacing w:after="240"/>
              <w:jc w:val="both"/>
              <w:rPr>
                <w:sz w:val="22"/>
              </w:rPr>
            </w:pPr>
          </w:p>
        </w:tc>
        <w:tc>
          <w:tcPr>
            <w:tcW w:w="2552" w:type="dxa"/>
          </w:tcPr>
          <w:p w14:paraId="6207ABD5" w14:textId="77777777" w:rsidR="0078732E" w:rsidRPr="00BA4E53" w:rsidRDefault="0078732E" w:rsidP="00032F14">
            <w:pPr>
              <w:tabs>
                <w:tab w:val="left" w:pos="284"/>
                <w:tab w:val="left" w:pos="1418"/>
                <w:tab w:val="left" w:pos="2977"/>
                <w:tab w:val="left" w:pos="3969"/>
              </w:tabs>
              <w:spacing w:after="240"/>
              <w:jc w:val="both"/>
              <w:rPr>
                <w:sz w:val="22"/>
              </w:rPr>
            </w:pPr>
          </w:p>
        </w:tc>
        <w:tc>
          <w:tcPr>
            <w:tcW w:w="3827" w:type="dxa"/>
          </w:tcPr>
          <w:p w14:paraId="5B57FD9E" w14:textId="77777777" w:rsidR="0078732E" w:rsidRPr="00BA4E53" w:rsidRDefault="0078732E" w:rsidP="00EA657E">
            <w:pPr>
              <w:keepNext/>
              <w:numPr>
                <w:ilvl w:val="1"/>
                <w:numId w:val="42"/>
              </w:numPr>
              <w:tabs>
                <w:tab w:val="left" w:pos="472"/>
                <w:tab w:val="left" w:pos="2977"/>
                <w:tab w:val="left" w:pos="3969"/>
              </w:tabs>
              <w:spacing w:after="240"/>
              <w:jc w:val="both"/>
              <w:rPr>
                <w:sz w:val="22"/>
              </w:rPr>
            </w:pPr>
            <w:r w:rsidRPr="00BA4E53">
              <w:rPr>
                <w:sz w:val="22"/>
              </w:rPr>
              <w:t>For the purposes only of:</w:t>
            </w:r>
          </w:p>
          <w:p w14:paraId="59A97E2C" w14:textId="77777777" w:rsidR="00863523" w:rsidRPr="00BA4E53" w:rsidRDefault="002B793A" w:rsidP="00EA657E">
            <w:pPr>
              <w:pStyle w:val="Style2"/>
              <w:numPr>
                <w:ilvl w:val="0"/>
                <w:numId w:val="41"/>
              </w:numPr>
              <w:ind w:left="567" w:hanging="567"/>
            </w:pPr>
            <w:r w:rsidRPr="00BA4E53" w:rsidDel="002B793A">
              <w:t xml:space="preserve"> </w:t>
            </w:r>
            <w:r>
              <w:tab/>
            </w:r>
            <w:r w:rsidR="0078732E" w:rsidRPr="00BA4E53">
              <w:t>subsection 209</w:t>
            </w:r>
            <w:r w:rsidR="009A147F" w:rsidRPr="00BA4E53">
              <w:t> </w:t>
            </w:r>
            <w:r w:rsidR="0078732E" w:rsidRPr="00BA4E53">
              <w:t>(1) of the Act; and</w:t>
            </w:r>
          </w:p>
          <w:p w14:paraId="565A4DC7" w14:textId="77777777" w:rsidR="0078732E" w:rsidRPr="00BA4E53" w:rsidRDefault="00863523" w:rsidP="00EA657E">
            <w:pPr>
              <w:pStyle w:val="Style2"/>
              <w:numPr>
                <w:ilvl w:val="0"/>
                <w:numId w:val="41"/>
              </w:numPr>
              <w:ind w:left="567" w:hanging="567"/>
            </w:pPr>
            <w:r>
              <w:tab/>
            </w:r>
            <w:r w:rsidR="0078732E" w:rsidRPr="00BA4E53">
              <w:t xml:space="preserve">the definition of </w:t>
            </w:r>
            <w:r w:rsidR="0096525A">
              <w:t>‘</w:t>
            </w:r>
            <w:r w:rsidR="0078732E" w:rsidRPr="002B793A">
              <w:t>Factor</w:t>
            </w:r>
            <w:r w:rsidR="0096525A" w:rsidRPr="0096525A">
              <w:t>’</w:t>
            </w:r>
            <w:r w:rsidR="0078732E" w:rsidRPr="00BA4E53">
              <w:t xml:space="preserve"> in Attachments 1 and 2 of this </w:t>
            </w:r>
            <w:r w:rsidR="0078732E" w:rsidRPr="00BA4E53">
              <w:lastRenderedPageBreak/>
              <w:t>Prudential Standard, the period for which premiums have been paid under the policy is taken to have started on the date of the original contract.</w:t>
            </w:r>
          </w:p>
        </w:tc>
      </w:tr>
      <w:tr w:rsidR="0078732E" w:rsidRPr="00BA4E53" w14:paraId="6401C955" w14:textId="77777777" w:rsidTr="009A147F">
        <w:tc>
          <w:tcPr>
            <w:tcW w:w="709" w:type="dxa"/>
          </w:tcPr>
          <w:p w14:paraId="39E55A82" w14:textId="77777777" w:rsidR="0078732E" w:rsidRPr="00BA4E53" w:rsidRDefault="0078732E" w:rsidP="00032F14">
            <w:pPr>
              <w:tabs>
                <w:tab w:val="left" w:pos="284"/>
                <w:tab w:val="left" w:pos="1418"/>
                <w:tab w:val="left" w:pos="2977"/>
                <w:tab w:val="left" w:pos="3969"/>
              </w:tabs>
              <w:spacing w:after="240"/>
              <w:jc w:val="both"/>
              <w:rPr>
                <w:sz w:val="22"/>
              </w:rPr>
            </w:pPr>
          </w:p>
        </w:tc>
        <w:tc>
          <w:tcPr>
            <w:tcW w:w="1276" w:type="dxa"/>
          </w:tcPr>
          <w:p w14:paraId="2ECDF622" w14:textId="77777777" w:rsidR="0078732E" w:rsidRPr="00BA4E53" w:rsidRDefault="0078732E" w:rsidP="00032F14">
            <w:pPr>
              <w:tabs>
                <w:tab w:val="left" w:pos="284"/>
                <w:tab w:val="left" w:pos="1418"/>
                <w:tab w:val="left" w:pos="2977"/>
                <w:tab w:val="left" w:pos="3969"/>
              </w:tabs>
              <w:spacing w:after="240"/>
              <w:jc w:val="both"/>
              <w:rPr>
                <w:sz w:val="22"/>
              </w:rPr>
            </w:pPr>
          </w:p>
        </w:tc>
        <w:tc>
          <w:tcPr>
            <w:tcW w:w="2552" w:type="dxa"/>
          </w:tcPr>
          <w:p w14:paraId="2E684614" w14:textId="77777777" w:rsidR="0078732E" w:rsidRPr="00BA4E53" w:rsidRDefault="0078732E" w:rsidP="00032F14">
            <w:pPr>
              <w:tabs>
                <w:tab w:val="left" w:pos="284"/>
                <w:tab w:val="left" w:pos="1418"/>
                <w:tab w:val="left" w:pos="2977"/>
                <w:tab w:val="left" w:pos="3969"/>
              </w:tabs>
              <w:spacing w:after="240"/>
              <w:jc w:val="both"/>
              <w:rPr>
                <w:sz w:val="22"/>
              </w:rPr>
            </w:pPr>
          </w:p>
        </w:tc>
        <w:tc>
          <w:tcPr>
            <w:tcW w:w="3827" w:type="dxa"/>
          </w:tcPr>
          <w:p w14:paraId="71552AEE" w14:textId="77777777" w:rsidR="0078732E" w:rsidRPr="00BA4E53" w:rsidRDefault="0078732E" w:rsidP="00032F14">
            <w:pPr>
              <w:tabs>
                <w:tab w:val="left" w:pos="472"/>
                <w:tab w:val="left" w:pos="2977"/>
                <w:tab w:val="left" w:pos="3969"/>
              </w:tabs>
              <w:spacing w:after="240"/>
              <w:jc w:val="both"/>
              <w:rPr>
                <w:sz w:val="22"/>
              </w:rPr>
            </w:pPr>
            <w:r w:rsidRPr="00BA4E53">
              <w:rPr>
                <w:sz w:val="22"/>
              </w:rPr>
              <w:t>4.3</w:t>
            </w:r>
            <w:r w:rsidRPr="00BA4E53">
              <w:rPr>
                <w:sz w:val="22"/>
              </w:rPr>
              <w:tab/>
              <w:t xml:space="preserve">For the purposes of subitem 4.1, </w:t>
            </w:r>
            <w:r w:rsidR="0096525A" w:rsidRPr="0096525A">
              <w:rPr>
                <w:sz w:val="22"/>
              </w:rPr>
              <w:t>‘</w:t>
            </w:r>
            <w:r w:rsidRPr="00863523">
              <w:rPr>
                <w:sz w:val="22"/>
              </w:rPr>
              <w:t>the date of variation</w:t>
            </w:r>
            <w:r w:rsidR="0096525A" w:rsidRPr="00863523">
              <w:rPr>
                <w:sz w:val="22"/>
              </w:rPr>
              <w:t>’</w:t>
            </w:r>
            <w:r w:rsidRPr="0096525A">
              <w:rPr>
                <w:sz w:val="22"/>
              </w:rPr>
              <w:t xml:space="preserve"> </w:t>
            </w:r>
            <w:r w:rsidRPr="00BA4E53">
              <w:rPr>
                <w:sz w:val="22"/>
              </w:rPr>
              <w:t>means the date on which the first premium is payable under the original contract, as varied.</w:t>
            </w:r>
          </w:p>
          <w:p w14:paraId="6B5CD91B" w14:textId="77777777" w:rsidR="00343F36" w:rsidRPr="00BA4E53" w:rsidRDefault="00343F36" w:rsidP="00032F14">
            <w:pPr>
              <w:tabs>
                <w:tab w:val="left" w:pos="472"/>
                <w:tab w:val="left" w:pos="2977"/>
                <w:tab w:val="left" w:pos="3969"/>
              </w:tabs>
              <w:spacing w:after="240"/>
              <w:jc w:val="both"/>
              <w:rPr>
                <w:sz w:val="22"/>
              </w:rPr>
            </w:pPr>
            <w:r w:rsidRPr="00BA4E53">
              <w:rPr>
                <w:sz w:val="22"/>
              </w:rPr>
              <w:t>4.4</w:t>
            </w:r>
            <w:r w:rsidRPr="00BA4E53">
              <w:rPr>
                <w:sz w:val="22"/>
              </w:rPr>
              <w:tab/>
              <w:t xml:space="preserve">The minimum termination value is calculated </w:t>
            </w:r>
            <w:r w:rsidR="00F314C4" w:rsidRPr="00BA4E53">
              <w:rPr>
                <w:sz w:val="22"/>
              </w:rPr>
              <w:t>according to</w:t>
            </w:r>
            <w:r w:rsidRPr="00BA4E53">
              <w:rPr>
                <w:sz w:val="22"/>
              </w:rPr>
              <w:t xml:space="preserve"> Attachment 2</w:t>
            </w:r>
            <w:r w:rsidR="00F314C4" w:rsidRPr="00BA4E53">
              <w:rPr>
                <w:sz w:val="22"/>
              </w:rPr>
              <w:t>.</w:t>
            </w:r>
          </w:p>
        </w:tc>
      </w:tr>
      <w:tr w:rsidR="0078732E" w:rsidRPr="00BA4E53" w14:paraId="0BDB268F" w14:textId="77777777" w:rsidTr="009A147F">
        <w:tc>
          <w:tcPr>
            <w:tcW w:w="709" w:type="dxa"/>
          </w:tcPr>
          <w:p w14:paraId="3395AAB4" w14:textId="77777777" w:rsidR="0078732E" w:rsidRPr="00BA4E53" w:rsidRDefault="0078732E" w:rsidP="002B793A">
            <w:pPr>
              <w:tabs>
                <w:tab w:val="left" w:pos="284"/>
                <w:tab w:val="left" w:pos="1418"/>
                <w:tab w:val="left" w:pos="2977"/>
                <w:tab w:val="left" w:pos="3969"/>
              </w:tabs>
              <w:spacing w:after="240"/>
              <w:jc w:val="both"/>
              <w:rPr>
                <w:sz w:val="22"/>
              </w:rPr>
            </w:pPr>
            <w:r w:rsidRPr="00BA4E53">
              <w:rPr>
                <w:sz w:val="22"/>
              </w:rPr>
              <w:t>5</w:t>
            </w:r>
          </w:p>
        </w:tc>
        <w:tc>
          <w:tcPr>
            <w:tcW w:w="1276" w:type="dxa"/>
          </w:tcPr>
          <w:p w14:paraId="0FC299A7" w14:textId="77777777" w:rsidR="0078732E" w:rsidRPr="00BA4E53" w:rsidRDefault="0078732E" w:rsidP="002B793A">
            <w:pPr>
              <w:tabs>
                <w:tab w:val="left" w:pos="284"/>
                <w:tab w:val="left" w:pos="1418"/>
                <w:tab w:val="left" w:pos="2977"/>
                <w:tab w:val="left" w:pos="3969"/>
              </w:tabs>
              <w:spacing w:after="240"/>
              <w:jc w:val="both"/>
              <w:rPr>
                <w:sz w:val="22"/>
              </w:rPr>
            </w:pPr>
            <w:r w:rsidRPr="00BA4E53">
              <w:rPr>
                <w:sz w:val="22"/>
              </w:rPr>
              <w:t xml:space="preserve">Increased </w:t>
            </w:r>
          </w:p>
        </w:tc>
        <w:tc>
          <w:tcPr>
            <w:tcW w:w="2552" w:type="dxa"/>
          </w:tcPr>
          <w:p w14:paraId="378D627A" w14:textId="77777777" w:rsidR="0078732E" w:rsidRPr="00BA4E53" w:rsidRDefault="0078732E" w:rsidP="002B793A">
            <w:pPr>
              <w:tabs>
                <w:tab w:val="left" w:pos="284"/>
                <w:tab w:val="left" w:pos="1418"/>
                <w:tab w:val="left" w:pos="2977"/>
                <w:tab w:val="left" w:pos="3969"/>
              </w:tabs>
              <w:spacing w:after="240"/>
              <w:jc w:val="both"/>
              <w:rPr>
                <w:sz w:val="22"/>
              </w:rPr>
            </w:pPr>
            <w:r w:rsidRPr="00BA4E53">
              <w:rPr>
                <w:sz w:val="22"/>
              </w:rPr>
              <w:t xml:space="preserve">A policy under which the contract of </w:t>
            </w:r>
            <w:r w:rsidRPr="00863523">
              <w:rPr>
                <w:sz w:val="22"/>
              </w:rPr>
              <w:t>insurance (the original contract)</w:t>
            </w:r>
            <w:r w:rsidRPr="00BA4E53">
              <w:rPr>
                <w:sz w:val="22"/>
              </w:rPr>
              <w:t xml:space="preserve"> is varied, at the request of the policy owner, by increasing:</w:t>
            </w:r>
          </w:p>
          <w:p w14:paraId="4607AEBF" w14:textId="77777777" w:rsidR="0078732E" w:rsidRPr="00BA4E53" w:rsidRDefault="009B5D23" w:rsidP="00EA657E">
            <w:pPr>
              <w:pStyle w:val="Style2"/>
              <w:numPr>
                <w:ilvl w:val="0"/>
                <w:numId w:val="44"/>
              </w:numPr>
              <w:ind w:left="567" w:hanging="567"/>
            </w:pPr>
            <w:r>
              <w:tab/>
            </w:r>
            <w:r w:rsidR="0078732E" w:rsidRPr="00BA4E53">
              <w:t>both the amount of the sum insured and the amount of each premium; or</w:t>
            </w:r>
          </w:p>
          <w:p w14:paraId="2FC7B9B8" w14:textId="77777777" w:rsidR="0078732E" w:rsidRPr="00BA4E53" w:rsidRDefault="009B5D23" w:rsidP="009B5D23">
            <w:pPr>
              <w:pStyle w:val="Style2"/>
            </w:pPr>
            <w:r>
              <w:tab/>
            </w:r>
            <w:r w:rsidR="0078732E" w:rsidRPr="00BA4E53">
              <w:t>if additional amounts of premium are paid — the amount of the sum insured.</w:t>
            </w:r>
          </w:p>
        </w:tc>
        <w:tc>
          <w:tcPr>
            <w:tcW w:w="3827" w:type="dxa"/>
          </w:tcPr>
          <w:p w14:paraId="1C2C83A4" w14:textId="77777777" w:rsidR="0078732E" w:rsidRPr="00BA4E53" w:rsidRDefault="0078732E" w:rsidP="002B793A">
            <w:pPr>
              <w:tabs>
                <w:tab w:val="left" w:pos="472"/>
                <w:tab w:val="left" w:pos="614"/>
                <w:tab w:val="left" w:pos="2977"/>
                <w:tab w:val="left" w:pos="3969"/>
              </w:tabs>
              <w:spacing w:after="240"/>
              <w:jc w:val="both"/>
              <w:rPr>
                <w:sz w:val="22"/>
              </w:rPr>
            </w:pPr>
            <w:r w:rsidRPr="00BA4E53">
              <w:rPr>
                <w:sz w:val="22"/>
              </w:rPr>
              <w:t>5.1</w:t>
            </w:r>
            <w:r w:rsidRPr="00BA4E53">
              <w:rPr>
                <w:sz w:val="22"/>
              </w:rPr>
              <w:tab/>
            </w:r>
            <w:r w:rsidR="00D43275" w:rsidRPr="00BA4E53">
              <w:rPr>
                <w:sz w:val="22"/>
              </w:rPr>
              <w:t>The minimum paid-up value is</w:t>
            </w:r>
            <w:r w:rsidRPr="00BA4E53">
              <w:rPr>
                <w:sz w:val="22"/>
              </w:rPr>
              <w:t>:</w:t>
            </w:r>
          </w:p>
          <w:p w14:paraId="6DA8D6AD" w14:textId="23C789CB" w:rsidR="008217E5" w:rsidRPr="00BA4E53" w:rsidRDefault="006B634F" w:rsidP="002B793A">
            <w:pPr>
              <w:tabs>
                <w:tab w:val="left" w:pos="284"/>
                <w:tab w:val="left" w:pos="614"/>
                <w:tab w:val="left" w:pos="2977"/>
                <w:tab w:val="left" w:pos="3969"/>
              </w:tabs>
              <w:spacing w:after="240"/>
              <w:ind w:left="284" w:hanging="284"/>
              <w:jc w:val="both"/>
              <w:rPr>
                <w:sz w:val="22"/>
              </w:rPr>
            </w:pPr>
            <w:r>
              <w:rPr>
                <w:noProof/>
              </w:rPr>
              <w:pict w14:anchorId="3498B357">
                <v:shape id="Picture 28" o:spid="_x0000_i1037" type="#_x0000_t75" alt="Start formula PUV plus INCPUV end formula&#10;" style="width:92.25pt;height:15pt;visibility:visible;mso-wrap-style:square">
                  <v:imagedata r:id="rId25" o:title="" cropbottom="31638f" cropright="57896f"/>
                </v:shape>
              </w:pict>
            </w:r>
          </w:p>
          <w:p w14:paraId="3882D41F" w14:textId="77777777" w:rsidR="002B793A" w:rsidRPr="00BA4E53" w:rsidRDefault="0078732E" w:rsidP="002B793A">
            <w:pPr>
              <w:tabs>
                <w:tab w:val="left" w:pos="284"/>
                <w:tab w:val="left" w:pos="614"/>
                <w:tab w:val="left" w:pos="2977"/>
                <w:tab w:val="left" w:pos="3969"/>
              </w:tabs>
              <w:spacing w:after="240"/>
              <w:jc w:val="both"/>
              <w:rPr>
                <w:sz w:val="22"/>
              </w:rPr>
            </w:pPr>
            <w:r w:rsidRPr="00BA4E53">
              <w:rPr>
                <w:sz w:val="22"/>
              </w:rPr>
              <w:t>where:</w:t>
            </w:r>
          </w:p>
          <w:p w14:paraId="0E107AB6" w14:textId="77777777" w:rsidR="0078732E" w:rsidRPr="0096525A" w:rsidRDefault="009B5D23" w:rsidP="00EA657E">
            <w:pPr>
              <w:pStyle w:val="Style2"/>
              <w:numPr>
                <w:ilvl w:val="0"/>
                <w:numId w:val="43"/>
              </w:numPr>
              <w:ind w:left="567" w:hanging="567"/>
            </w:pPr>
            <w:r>
              <w:tab/>
            </w:r>
            <w:r w:rsidR="0078732E" w:rsidRPr="0096525A">
              <w:t xml:space="preserve">PUV is the </w:t>
            </w:r>
            <w:r w:rsidR="006A3F37" w:rsidRPr="0096525A">
              <w:t>minimum</w:t>
            </w:r>
            <w:r w:rsidR="0078732E" w:rsidRPr="0096525A">
              <w:t xml:space="preserve"> paid</w:t>
            </w:r>
            <w:r w:rsidR="0078732E" w:rsidRPr="0096525A">
              <w:noBreakHyphen/>
              <w:t xml:space="preserve">up </w:t>
            </w:r>
            <w:r w:rsidR="006A3F37" w:rsidRPr="0096525A">
              <w:t>value for</w:t>
            </w:r>
            <w:r w:rsidR="0078732E" w:rsidRPr="0096525A">
              <w:t xml:space="preserve"> the original contract, calculated according to Attachments 1 and 2 of this Prudential Standard.</w:t>
            </w:r>
          </w:p>
          <w:p w14:paraId="29405C9A" w14:textId="77777777" w:rsidR="00D2536B" w:rsidRPr="00BA4E53" w:rsidRDefault="009B5D23" w:rsidP="00EA657E">
            <w:pPr>
              <w:pStyle w:val="Style2"/>
              <w:numPr>
                <w:ilvl w:val="0"/>
                <w:numId w:val="43"/>
              </w:numPr>
              <w:ind w:left="567" w:hanging="567"/>
            </w:pPr>
            <w:r>
              <w:tab/>
            </w:r>
            <w:r w:rsidR="00D2536B" w:rsidRPr="00863523">
              <w:t>INCPUV</w:t>
            </w:r>
            <w:r w:rsidR="00D2536B" w:rsidRPr="0096525A">
              <w:t xml:space="preserve"> is the total of the </w:t>
            </w:r>
            <w:r w:rsidR="006A3F37" w:rsidRPr="0096525A">
              <w:t xml:space="preserve">minimum </w:t>
            </w:r>
            <w:r w:rsidR="00D2536B" w:rsidRPr="0096525A">
              <w:t>paid</w:t>
            </w:r>
            <w:r w:rsidR="00D2536B" w:rsidRPr="0096525A">
              <w:noBreakHyphen/>
              <w:t xml:space="preserve">up </w:t>
            </w:r>
            <w:r w:rsidR="006A3F37" w:rsidRPr="0096525A">
              <w:t>values</w:t>
            </w:r>
            <w:r w:rsidR="00D2536B" w:rsidRPr="00BA4E53">
              <w:t>, in respect of each increase of the original contract, calculated according to Attachments 1 and 2 of this Prudential Standard, as if, for the purposes of those Attachments, each increase was a policy:</w:t>
            </w:r>
          </w:p>
          <w:p w14:paraId="252D5A89" w14:textId="77777777" w:rsidR="00D2536B" w:rsidRPr="00BA4E53" w:rsidRDefault="002B793A" w:rsidP="00EA657E">
            <w:pPr>
              <w:pStyle w:val="Style1"/>
              <w:numPr>
                <w:ilvl w:val="0"/>
                <w:numId w:val="40"/>
              </w:numPr>
              <w:ind w:left="1134" w:hanging="567"/>
            </w:pPr>
            <w:r>
              <w:tab/>
            </w:r>
            <w:r w:rsidR="00D2536B" w:rsidRPr="00BA4E53">
              <w:t xml:space="preserve">that was effected on the date of the increase; </w:t>
            </w:r>
          </w:p>
          <w:p w14:paraId="57F70466" w14:textId="77777777" w:rsidR="00D2536B" w:rsidRPr="00BA4E53" w:rsidRDefault="002B793A" w:rsidP="002B793A">
            <w:pPr>
              <w:pStyle w:val="Style1"/>
            </w:pPr>
            <w:r>
              <w:tab/>
            </w:r>
            <w:r w:rsidR="00D2536B" w:rsidRPr="00BA4E53">
              <w:t>under which the sum insured is the amount of the increase; and</w:t>
            </w:r>
          </w:p>
          <w:p w14:paraId="3A709399" w14:textId="77777777" w:rsidR="00D2536B" w:rsidRPr="00BA4E53" w:rsidRDefault="002B793A" w:rsidP="002B793A">
            <w:pPr>
              <w:pStyle w:val="Style1"/>
            </w:pPr>
            <w:r>
              <w:tab/>
            </w:r>
            <w:r w:rsidR="00D2536B" w:rsidRPr="00BA4E53">
              <w:t>under which the period for which premiums have been paid started on the date of the increase.</w:t>
            </w:r>
          </w:p>
        </w:tc>
      </w:tr>
      <w:tr w:rsidR="0078732E" w:rsidRPr="00BA4E53" w14:paraId="68F48C58" w14:textId="77777777" w:rsidTr="009A147F">
        <w:tc>
          <w:tcPr>
            <w:tcW w:w="709" w:type="dxa"/>
          </w:tcPr>
          <w:p w14:paraId="7162E47C" w14:textId="77777777" w:rsidR="0078732E" w:rsidRPr="00BA4E53" w:rsidRDefault="0078732E" w:rsidP="00032F14">
            <w:pPr>
              <w:tabs>
                <w:tab w:val="left" w:pos="284"/>
                <w:tab w:val="left" w:pos="1418"/>
                <w:tab w:val="left" w:pos="2977"/>
                <w:tab w:val="left" w:pos="3969"/>
              </w:tabs>
              <w:spacing w:after="240"/>
              <w:jc w:val="both"/>
              <w:rPr>
                <w:sz w:val="22"/>
              </w:rPr>
            </w:pPr>
          </w:p>
        </w:tc>
        <w:tc>
          <w:tcPr>
            <w:tcW w:w="1276" w:type="dxa"/>
          </w:tcPr>
          <w:p w14:paraId="79E44D26" w14:textId="77777777" w:rsidR="0078732E" w:rsidRPr="00BA4E53" w:rsidRDefault="0078732E" w:rsidP="00032F14">
            <w:pPr>
              <w:tabs>
                <w:tab w:val="left" w:pos="284"/>
                <w:tab w:val="left" w:pos="1418"/>
                <w:tab w:val="left" w:pos="2977"/>
                <w:tab w:val="left" w:pos="3969"/>
              </w:tabs>
              <w:spacing w:after="240"/>
              <w:jc w:val="both"/>
              <w:rPr>
                <w:sz w:val="22"/>
              </w:rPr>
            </w:pPr>
          </w:p>
        </w:tc>
        <w:tc>
          <w:tcPr>
            <w:tcW w:w="2552" w:type="dxa"/>
          </w:tcPr>
          <w:p w14:paraId="46709E6B" w14:textId="77777777" w:rsidR="0078732E" w:rsidRPr="00BA4E53" w:rsidRDefault="0078732E" w:rsidP="00032F14">
            <w:pPr>
              <w:keepNext/>
              <w:keepLines/>
              <w:tabs>
                <w:tab w:val="left" w:pos="284"/>
                <w:tab w:val="left" w:pos="1418"/>
                <w:tab w:val="left" w:pos="2977"/>
                <w:tab w:val="left" w:pos="3969"/>
              </w:tabs>
              <w:spacing w:after="240"/>
              <w:jc w:val="both"/>
              <w:rPr>
                <w:sz w:val="22"/>
              </w:rPr>
            </w:pPr>
          </w:p>
        </w:tc>
        <w:tc>
          <w:tcPr>
            <w:tcW w:w="3827" w:type="dxa"/>
          </w:tcPr>
          <w:p w14:paraId="697A5333" w14:textId="77777777" w:rsidR="00AD7CDA" w:rsidRDefault="00AD7CDA" w:rsidP="00AD7CDA">
            <w:pPr>
              <w:keepNext/>
              <w:tabs>
                <w:tab w:val="left" w:pos="472"/>
                <w:tab w:val="left" w:pos="614"/>
                <w:tab w:val="left" w:pos="2977"/>
                <w:tab w:val="left" w:pos="3969"/>
              </w:tabs>
              <w:spacing w:after="240"/>
              <w:jc w:val="both"/>
              <w:rPr>
                <w:sz w:val="22"/>
              </w:rPr>
            </w:pPr>
          </w:p>
          <w:p w14:paraId="14D6ADB0" w14:textId="77777777" w:rsidR="00AD7CDA" w:rsidRDefault="00AD7CDA" w:rsidP="00AD7CDA">
            <w:pPr>
              <w:keepNext/>
              <w:tabs>
                <w:tab w:val="left" w:pos="472"/>
                <w:tab w:val="left" w:pos="614"/>
                <w:tab w:val="left" w:pos="2977"/>
                <w:tab w:val="left" w:pos="3969"/>
              </w:tabs>
              <w:spacing w:after="240"/>
              <w:jc w:val="both"/>
              <w:rPr>
                <w:sz w:val="22"/>
              </w:rPr>
            </w:pPr>
          </w:p>
          <w:p w14:paraId="0AD1EA78" w14:textId="77777777" w:rsidR="0078732E" w:rsidRPr="0096525A" w:rsidRDefault="0078732E" w:rsidP="00AD7CDA">
            <w:pPr>
              <w:keepNext/>
              <w:tabs>
                <w:tab w:val="left" w:pos="472"/>
                <w:tab w:val="left" w:pos="614"/>
                <w:tab w:val="left" w:pos="2977"/>
                <w:tab w:val="left" w:pos="3969"/>
              </w:tabs>
              <w:spacing w:after="240"/>
              <w:jc w:val="both"/>
              <w:rPr>
                <w:sz w:val="22"/>
              </w:rPr>
            </w:pPr>
            <w:r w:rsidRPr="0096525A">
              <w:rPr>
                <w:sz w:val="22"/>
              </w:rPr>
              <w:t>5.2</w:t>
            </w:r>
            <w:r w:rsidRPr="0096525A">
              <w:rPr>
                <w:sz w:val="22"/>
              </w:rPr>
              <w:tab/>
            </w:r>
            <w:r w:rsidR="006A3F37" w:rsidRPr="0096525A">
              <w:rPr>
                <w:sz w:val="22"/>
              </w:rPr>
              <w:t>T</w:t>
            </w:r>
            <w:r w:rsidRPr="0096525A">
              <w:rPr>
                <w:sz w:val="22"/>
              </w:rPr>
              <w:t xml:space="preserve">he </w:t>
            </w:r>
            <w:r w:rsidR="006A3F37" w:rsidRPr="0096525A">
              <w:rPr>
                <w:sz w:val="22"/>
              </w:rPr>
              <w:t xml:space="preserve">minimum </w:t>
            </w:r>
            <w:r w:rsidR="00694949" w:rsidRPr="0096525A">
              <w:rPr>
                <w:sz w:val="22"/>
              </w:rPr>
              <w:t>termination</w:t>
            </w:r>
            <w:r w:rsidRPr="0096525A">
              <w:rPr>
                <w:sz w:val="22"/>
              </w:rPr>
              <w:t xml:space="preserve"> value of </w:t>
            </w:r>
            <w:r w:rsidRPr="0096525A">
              <w:rPr>
                <w:sz w:val="22"/>
              </w:rPr>
              <w:lastRenderedPageBreak/>
              <w:t>the policy is:</w:t>
            </w:r>
          </w:p>
          <w:p w14:paraId="6AE762B6" w14:textId="05226EFD" w:rsidR="009843A2" w:rsidRPr="0096525A" w:rsidRDefault="006B634F" w:rsidP="00AD7CDA">
            <w:pPr>
              <w:keepNext/>
              <w:tabs>
                <w:tab w:val="left" w:pos="472"/>
                <w:tab w:val="left" w:pos="614"/>
                <w:tab w:val="left" w:pos="2977"/>
                <w:tab w:val="left" w:pos="3969"/>
              </w:tabs>
              <w:spacing w:after="240"/>
              <w:jc w:val="both"/>
              <w:rPr>
                <w:sz w:val="22"/>
              </w:rPr>
            </w:pPr>
            <w:r>
              <w:rPr>
                <w:noProof/>
              </w:rPr>
              <w:pict w14:anchorId="0EBE2CA3">
                <v:shape id="Picture 29" o:spid="_x0000_i1038" type="#_x0000_t75" alt="Start formula SV plus INCSV end formula &#10;" style="width:82.5pt;height:13.5pt;visibility:visible;mso-wrap-style:square">
                  <v:imagedata r:id="rId26" o:title="" cropbottom="33898f" cropright="55241f"/>
                </v:shape>
              </w:pict>
            </w:r>
          </w:p>
          <w:p w14:paraId="1220ACF2" w14:textId="77777777" w:rsidR="0078732E" w:rsidRPr="0096525A" w:rsidRDefault="0078732E" w:rsidP="00AD7CDA">
            <w:pPr>
              <w:keepNext/>
              <w:tabs>
                <w:tab w:val="left" w:pos="472"/>
                <w:tab w:val="left" w:pos="614"/>
                <w:tab w:val="left" w:pos="2977"/>
                <w:tab w:val="left" w:pos="3969"/>
              </w:tabs>
              <w:spacing w:after="240"/>
              <w:jc w:val="both"/>
              <w:rPr>
                <w:i/>
                <w:sz w:val="22"/>
              </w:rPr>
            </w:pPr>
            <w:r w:rsidRPr="0096525A">
              <w:rPr>
                <w:sz w:val="22"/>
              </w:rPr>
              <w:t>where:</w:t>
            </w:r>
          </w:p>
          <w:p w14:paraId="0A978467" w14:textId="77777777" w:rsidR="00D2536B" w:rsidRPr="00AD7CDA" w:rsidRDefault="00AD7CDA" w:rsidP="00EA657E">
            <w:pPr>
              <w:keepNext/>
              <w:numPr>
                <w:ilvl w:val="0"/>
                <w:numId w:val="45"/>
              </w:numPr>
              <w:tabs>
                <w:tab w:val="left" w:pos="284"/>
                <w:tab w:val="left" w:pos="614"/>
                <w:tab w:val="left" w:pos="2977"/>
                <w:tab w:val="left" w:pos="3969"/>
              </w:tabs>
              <w:spacing w:after="240"/>
              <w:ind w:left="567" w:hanging="567"/>
              <w:jc w:val="both"/>
              <w:rPr>
                <w:sz w:val="22"/>
              </w:rPr>
            </w:pPr>
            <w:r>
              <w:rPr>
                <w:sz w:val="22"/>
              </w:rPr>
              <w:tab/>
            </w:r>
            <w:r w:rsidR="0078732E" w:rsidRPr="00AD7CDA">
              <w:rPr>
                <w:sz w:val="22"/>
              </w:rPr>
              <w:t xml:space="preserve">SV is the </w:t>
            </w:r>
            <w:r w:rsidR="006A3F37" w:rsidRPr="00AD7CDA">
              <w:rPr>
                <w:sz w:val="22"/>
              </w:rPr>
              <w:t xml:space="preserve">minimum </w:t>
            </w:r>
            <w:r w:rsidR="00694949" w:rsidRPr="00AD7CDA">
              <w:rPr>
                <w:sz w:val="22"/>
              </w:rPr>
              <w:t>termination</w:t>
            </w:r>
            <w:r w:rsidR="0078732E" w:rsidRPr="00AD7CDA">
              <w:rPr>
                <w:sz w:val="22"/>
              </w:rPr>
              <w:t xml:space="preserve"> value </w:t>
            </w:r>
            <w:r w:rsidR="006A3F37" w:rsidRPr="00AD7CDA">
              <w:rPr>
                <w:sz w:val="22"/>
              </w:rPr>
              <w:t>of</w:t>
            </w:r>
            <w:r w:rsidR="0078732E" w:rsidRPr="00AD7CDA">
              <w:rPr>
                <w:sz w:val="22"/>
              </w:rPr>
              <w:t xml:space="preserve"> the original contract, calculated according to Attachments 1 and 2 of this Prudential Standard</w:t>
            </w:r>
            <w:r>
              <w:rPr>
                <w:sz w:val="22"/>
              </w:rPr>
              <w:t>; and</w:t>
            </w:r>
          </w:p>
          <w:p w14:paraId="71BF17A4" w14:textId="77777777" w:rsidR="00D2536B" w:rsidRPr="0096525A" w:rsidRDefault="00AD7CDA" w:rsidP="00EA657E">
            <w:pPr>
              <w:numPr>
                <w:ilvl w:val="0"/>
                <w:numId w:val="45"/>
              </w:numPr>
              <w:tabs>
                <w:tab w:val="left" w:pos="472"/>
                <w:tab w:val="left" w:pos="614"/>
                <w:tab w:val="left" w:pos="2977"/>
                <w:tab w:val="left" w:pos="3969"/>
              </w:tabs>
              <w:spacing w:after="240"/>
              <w:ind w:left="567" w:hanging="567"/>
              <w:jc w:val="both"/>
              <w:rPr>
                <w:sz w:val="22"/>
              </w:rPr>
            </w:pPr>
            <w:r>
              <w:rPr>
                <w:sz w:val="22"/>
              </w:rPr>
              <w:tab/>
            </w:r>
            <w:r w:rsidR="00D2536B" w:rsidRPr="00AD7CDA">
              <w:rPr>
                <w:sz w:val="22"/>
              </w:rPr>
              <w:t xml:space="preserve">INCSV is the total of the </w:t>
            </w:r>
            <w:r w:rsidR="006A3F37" w:rsidRPr="00AD7CDA">
              <w:rPr>
                <w:sz w:val="22"/>
              </w:rPr>
              <w:t>minimum</w:t>
            </w:r>
            <w:r w:rsidR="00D2536B" w:rsidRPr="00AD7CDA">
              <w:rPr>
                <w:sz w:val="22"/>
              </w:rPr>
              <w:t xml:space="preserve"> termination value</w:t>
            </w:r>
            <w:r w:rsidR="006A3F37" w:rsidRPr="00AD7CDA">
              <w:rPr>
                <w:sz w:val="22"/>
              </w:rPr>
              <w:t>s</w:t>
            </w:r>
            <w:r w:rsidR="00D2536B" w:rsidRPr="0096525A">
              <w:rPr>
                <w:sz w:val="22"/>
              </w:rPr>
              <w:t>, in respect of each increase of the original contract, calculated according to Attachments 1 and 2 of this Prudential Standard, as if, for the purposes of those Attachments, each increase was a policy:</w:t>
            </w:r>
          </w:p>
          <w:p w14:paraId="4AFADF92" w14:textId="77777777" w:rsidR="00D2536B" w:rsidRPr="0096525A" w:rsidRDefault="00AD7CDA" w:rsidP="00EA657E">
            <w:pPr>
              <w:pStyle w:val="Style1"/>
              <w:numPr>
                <w:ilvl w:val="0"/>
                <w:numId w:val="46"/>
              </w:numPr>
              <w:ind w:left="1134" w:hanging="567"/>
            </w:pPr>
            <w:r>
              <w:tab/>
            </w:r>
            <w:r w:rsidR="00D2536B" w:rsidRPr="0096525A">
              <w:t xml:space="preserve">that was effected on the date of the increase; </w:t>
            </w:r>
          </w:p>
          <w:p w14:paraId="155FBA96" w14:textId="77777777" w:rsidR="00D2536B" w:rsidRPr="0096525A" w:rsidRDefault="00AD7CDA" w:rsidP="00AD7CDA">
            <w:pPr>
              <w:pStyle w:val="Style1"/>
            </w:pPr>
            <w:r>
              <w:tab/>
            </w:r>
            <w:r w:rsidR="00D2536B" w:rsidRPr="0096525A">
              <w:t>under which the sum insured is the amount of the increase; and</w:t>
            </w:r>
          </w:p>
          <w:p w14:paraId="1485B81A" w14:textId="77777777" w:rsidR="00D2536B" w:rsidRPr="0096525A" w:rsidRDefault="00AD7CDA" w:rsidP="00AD7CDA">
            <w:pPr>
              <w:pStyle w:val="Style1"/>
              <w:rPr>
                <w:i/>
              </w:rPr>
            </w:pPr>
            <w:r>
              <w:tab/>
            </w:r>
            <w:r w:rsidR="00D2536B" w:rsidRPr="0096525A">
              <w:t>under which the period for which premiums have been paid started on the date of the increase.</w:t>
            </w:r>
          </w:p>
        </w:tc>
      </w:tr>
      <w:tr w:rsidR="0078732E" w14:paraId="39B887D3" w14:textId="77777777" w:rsidTr="009A147F">
        <w:tc>
          <w:tcPr>
            <w:tcW w:w="709" w:type="dxa"/>
          </w:tcPr>
          <w:p w14:paraId="08B8F014" w14:textId="77777777" w:rsidR="0078732E" w:rsidRPr="00BA4E53" w:rsidRDefault="006A3F37" w:rsidP="00032F14">
            <w:pPr>
              <w:tabs>
                <w:tab w:val="left" w:pos="284"/>
                <w:tab w:val="left" w:pos="1418"/>
                <w:tab w:val="left" w:pos="2977"/>
                <w:tab w:val="left" w:pos="3969"/>
              </w:tabs>
              <w:spacing w:after="240"/>
              <w:jc w:val="both"/>
              <w:rPr>
                <w:sz w:val="22"/>
              </w:rPr>
            </w:pPr>
            <w:r w:rsidRPr="00BA4E53">
              <w:rPr>
                <w:sz w:val="22"/>
              </w:rPr>
              <w:lastRenderedPageBreak/>
              <w:t>6</w:t>
            </w:r>
          </w:p>
        </w:tc>
        <w:tc>
          <w:tcPr>
            <w:tcW w:w="1276" w:type="dxa"/>
          </w:tcPr>
          <w:p w14:paraId="39DED627" w14:textId="77777777" w:rsidR="0078732E" w:rsidRPr="00BA4E53" w:rsidRDefault="0078732E" w:rsidP="00032F14">
            <w:pPr>
              <w:tabs>
                <w:tab w:val="left" w:pos="284"/>
                <w:tab w:val="left" w:pos="1418"/>
                <w:tab w:val="left" w:pos="2977"/>
                <w:tab w:val="left" w:pos="3969"/>
              </w:tabs>
              <w:spacing w:after="240"/>
              <w:jc w:val="both"/>
              <w:rPr>
                <w:sz w:val="22"/>
              </w:rPr>
            </w:pPr>
            <w:r w:rsidRPr="00BA4E53">
              <w:rPr>
                <w:sz w:val="22"/>
              </w:rPr>
              <w:t>Paid</w:t>
            </w:r>
            <w:r w:rsidRPr="00BA4E53">
              <w:rPr>
                <w:sz w:val="22"/>
              </w:rPr>
              <w:noBreakHyphen/>
              <w:t>up</w:t>
            </w:r>
          </w:p>
        </w:tc>
        <w:tc>
          <w:tcPr>
            <w:tcW w:w="2552" w:type="dxa"/>
          </w:tcPr>
          <w:p w14:paraId="34CA7A6C" w14:textId="77777777" w:rsidR="0078732E" w:rsidRPr="00BA4E53" w:rsidRDefault="0078732E" w:rsidP="00032F14">
            <w:pPr>
              <w:tabs>
                <w:tab w:val="left" w:pos="284"/>
                <w:tab w:val="left" w:pos="1418"/>
                <w:tab w:val="left" w:pos="2977"/>
                <w:tab w:val="left" w:pos="3969"/>
              </w:tabs>
              <w:spacing w:after="240"/>
              <w:jc w:val="both"/>
              <w:rPr>
                <w:sz w:val="22"/>
              </w:rPr>
            </w:pPr>
            <w:r w:rsidRPr="00BA4E53">
              <w:rPr>
                <w:sz w:val="22"/>
              </w:rPr>
              <w:t>A paid</w:t>
            </w:r>
            <w:r w:rsidRPr="00BA4E53">
              <w:rPr>
                <w:sz w:val="22"/>
              </w:rPr>
              <w:noBreakHyphen/>
              <w:t>up policy under section 209 of the Act.</w:t>
            </w:r>
          </w:p>
        </w:tc>
        <w:tc>
          <w:tcPr>
            <w:tcW w:w="3827" w:type="dxa"/>
          </w:tcPr>
          <w:p w14:paraId="56C75C6C" w14:textId="77777777" w:rsidR="0078732E" w:rsidRDefault="006A3F37" w:rsidP="00032F14">
            <w:pPr>
              <w:keepNext/>
              <w:keepLines/>
              <w:tabs>
                <w:tab w:val="left" w:pos="472"/>
                <w:tab w:val="left" w:pos="755"/>
                <w:tab w:val="left" w:pos="2977"/>
                <w:tab w:val="left" w:pos="3969"/>
              </w:tabs>
              <w:spacing w:after="240"/>
              <w:jc w:val="both"/>
              <w:rPr>
                <w:sz w:val="22"/>
              </w:rPr>
            </w:pPr>
            <w:r w:rsidRPr="00BA4E53">
              <w:rPr>
                <w:sz w:val="22"/>
              </w:rPr>
              <w:t>6</w:t>
            </w:r>
            <w:r w:rsidR="0078732E" w:rsidRPr="00BA4E53">
              <w:rPr>
                <w:sz w:val="22"/>
              </w:rPr>
              <w:t>.1</w:t>
            </w:r>
            <w:r w:rsidR="0078732E" w:rsidRPr="00BA4E53">
              <w:rPr>
                <w:sz w:val="22"/>
              </w:rPr>
              <w:tab/>
            </w:r>
            <w:r w:rsidRPr="00BA4E53">
              <w:rPr>
                <w:sz w:val="22"/>
              </w:rPr>
              <w:t>The minimum</w:t>
            </w:r>
            <w:r w:rsidR="0078732E" w:rsidRPr="00BA4E53">
              <w:rPr>
                <w:sz w:val="22"/>
              </w:rPr>
              <w:t xml:space="preserve"> paid</w:t>
            </w:r>
            <w:r w:rsidR="0078732E" w:rsidRPr="00BA4E53">
              <w:rPr>
                <w:sz w:val="22"/>
              </w:rPr>
              <w:noBreakHyphen/>
              <w:t>up value of the policy is the actual amount of the paid</w:t>
            </w:r>
            <w:r w:rsidR="0078732E" w:rsidRPr="00BA4E53">
              <w:rPr>
                <w:sz w:val="22"/>
              </w:rPr>
              <w:noBreakHyphen/>
              <w:t>up policy.</w:t>
            </w:r>
          </w:p>
          <w:p w14:paraId="3931773F" w14:textId="77777777" w:rsidR="00343F36" w:rsidRDefault="00343F36" w:rsidP="00032F14">
            <w:pPr>
              <w:keepNext/>
              <w:keepLines/>
              <w:tabs>
                <w:tab w:val="left" w:pos="472"/>
                <w:tab w:val="left" w:pos="755"/>
                <w:tab w:val="left" w:pos="2977"/>
                <w:tab w:val="left" w:pos="3969"/>
              </w:tabs>
              <w:spacing w:after="240"/>
              <w:jc w:val="both"/>
              <w:rPr>
                <w:sz w:val="22"/>
              </w:rPr>
            </w:pPr>
            <w:r w:rsidRPr="00BA4E53">
              <w:rPr>
                <w:sz w:val="22"/>
              </w:rPr>
              <w:t>6.2</w:t>
            </w:r>
            <w:r w:rsidRPr="00BA4E53">
              <w:rPr>
                <w:sz w:val="22"/>
              </w:rPr>
              <w:tab/>
              <w:t xml:space="preserve">The minimum termination value is calculated </w:t>
            </w:r>
            <w:r w:rsidR="00F314C4" w:rsidRPr="00BA4E53">
              <w:rPr>
                <w:sz w:val="22"/>
              </w:rPr>
              <w:t>according to</w:t>
            </w:r>
            <w:r w:rsidRPr="00BA4E53">
              <w:rPr>
                <w:sz w:val="22"/>
              </w:rPr>
              <w:t xml:space="preserve"> Attachment 2</w:t>
            </w:r>
            <w:r w:rsidR="00F314C4" w:rsidRPr="00BA4E53">
              <w:rPr>
                <w:sz w:val="22"/>
              </w:rPr>
              <w:t>.</w:t>
            </w:r>
          </w:p>
        </w:tc>
      </w:tr>
    </w:tbl>
    <w:p w14:paraId="773F7E9E" w14:textId="77777777" w:rsidR="0078732E" w:rsidRDefault="0078732E" w:rsidP="00A62372">
      <w:pPr>
        <w:ind w:right="-476"/>
        <w:jc w:val="both"/>
        <w:rPr>
          <w:b/>
        </w:rPr>
      </w:pPr>
    </w:p>
    <w:p w14:paraId="59E972DA" w14:textId="77777777" w:rsidR="000213F1" w:rsidRDefault="000213F1" w:rsidP="00A62372">
      <w:pPr>
        <w:ind w:right="-476"/>
        <w:jc w:val="both"/>
        <w:rPr>
          <w:b/>
        </w:rPr>
      </w:pPr>
    </w:p>
    <w:sectPr w:rsidR="000213F1" w:rsidSect="004B3569">
      <w:headerReference w:type="default" r:id="rId27"/>
      <w:footerReference w:type="default" r:id="rId2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2DF6" w14:textId="77777777" w:rsidR="008D6DC1" w:rsidRDefault="008D6DC1">
      <w:r>
        <w:separator/>
      </w:r>
    </w:p>
  </w:endnote>
  <w:endnote w:type="continuationSeparator" w:id="0">
    <w:p w14:paraId="58A41FEA" w14:textId="77777777" w:rsidR="008D6DC1" w:rsidRDefault="008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3712" w14:textId="54443E86" w:rsidR="00730A8A" w:rsidRPr="00602C26" w:rsidRDefault="00730A8A">
    <w:pPr>
      <w:pStyle w:val="Footer"/>
      <w:jc w:val="right"/>
      <w:rPr>
        <w:rFonts w:ascii="Arial" w:hAnsi="Arial" w:cs="Arial"/>
        <w:sz w:val="22"/>
        <w:szCs w:val="22"/>
      </w:rPr>
    </w:pPr>
  </w:p>
  <w:p w14:paraId="7FE194DD" w14:textId="77777777" w:rsidR="00730A8A" w:rsidRDefault="0073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BF30" w14:textId="77777777" w:rsidR="00634821" w:rsidRPr="0016687F" w:rsidRDefault="00634821" w:rsidP="00896B5E">
    <w:pPr>
      <w:pStyle w:val="Footer"/>
      <w:jc w:val="right"/>
      <w:rPr>
        <w:rStyle w:val="PageNumber"/>
        <w:b/>
        <w:szCs w:val="24"/>
      </w:rPr>
    </w:pPr>
    <w:r w:rsidRPr="00EC137D">
      <w:rPr>
        <w:b/>
        <w:szCs w:val="24"/>
      </w:rPr>
      <w:t xml:space="preserve">LPS </w:t>
    </w:r>
    <w:r>
      <w:rPr>
        <w:b/>
        <w:szCs w:val="24"/>
      </w:rPr>
      <w:t>360</w:t>
    </w:r>
    <w:r w:rsidRPr="00EC137D">
      <w:rPr>
        <w:b/>
        <w:szCs w:val="24"/>
      </w:rPr>
      <w:t xml:space="preserve"> - </w:t>
    </w:r>
    <w:r w:rsidRPr="00EC137D">
      <w:rPr>
        <w:rStyle w:val="PageNumber"/>
        <w:b/>
        <w:szCs w:val="24"/>
      </w:rPr>
      <w:fldChar w:fldCharType="begin"/>
    </w:r>
    <w:r w:rsidRPr="00EC137D">
      <w:rPr>
        <w:rStyle w:val="PageNumber"/>
        <w:b/>
        <w:szCs w:val="24"/>
      </w:rPr>
      <w:instrText xml:space="preserve"> PAGE </w:instrText>
    </w:r>
    <w:r w:rsidRPr="00EC137D">
      <w:rPr>
        <w:rStyle w:val="PageNumber"/>
        <w:b/>
        <w:szCs w:val="24"/>
      </w:rPr>
      <w:fldChar w:fldCharType="separate"/>
    </w:r>
    <w:r w:rsidR="00756D31">
      <w:rPr>
        <w:rStyle w:val="PageNumber"/>
        <w:b/>
        <w:noProof/>
        <w:szCs w:val="24"/>
      </w:rPr>
      <w:t>23</w:t>
    </w:r>
    <w:r w:rsidRPr="00EC137D">
      <w:rPr>
        <w:rStyle w:val="PageNumber"/>
        <w:b/>
        <w:szCs w:val="24"/>
      </w:rPr>
      <w:fldChar w:fldCharType="end"/>
    </w:r>
  </w:p>
  <w:p w14:paraId="119B6FDA" w14:textId="77777777" w:rsidR="00634821" w:rsidRDefault="00634821" w:rsidP="00A04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1579" w14:textId="77777777" w:rsidR="008D6DC1" w:rsidRDefault="008D6DC1">
      <w:r>
        <w:separator/>
      </w:r>
    </w:p>
  </w:footnote>
  <w:footnote w:type="continuationSeparator" w:id="0">
    <w:p w14:paraId="6AAF4CE1" w14:textId="77777777" w:rsidR="008D6DC1" w:rsidRDefault="008D6DC1">
      <w:r>
        <w:continuationSeparator/>
      </w:r>
    </w:p>
  </w:footnote>
  <w:footnote w:id="1">
    <w:p w14:paraId="1A256F3F" w14:textId="77777777" w:rsidR="00634821" w:rsidRDefault="00634821">
      <w:pPr>
        <w:pStyle w:val="FootnoteText"/>
        <w:tabs>
          <w:tab w:val="left" w:pos="567"/>
        </w:tabs>
        <w:jc w:val="both"/>
        <w:rPr>
          <w:rStyle w:val="FootnoteReference"/>
          <w:rFonts w:ascii="Times New Roman" w:hAnsi="Times New Roman"/>
          <w:sz w:val="24"/>
        </w:rPr>
      </w:pPr>
      <w:r w:rsidRPr="006C52ED">
        <w:rPr>
          <w:rStyle w:val="FootnoteReference"/>
          <w:rFonts w:ascii="Times New Roman" w:hAnsi="Times New Roman"/>
        </w:rPr>
        <w:footnoteRef/>
      </w:r>
      <w:r w:rsidRPr="006C52ED">
        <w:rPr>
          <w:rStyle w:val="FootnoteReference"/>
          <w:rFonts w:ascii="Times New Roman" w:hAnsi="Times New Roman"/>
        </w:rPr>
        <w:t xml:space="preserve"> </w:t>
      </w:r>
      <w:r w:rsidRPr="006C52ED">
        <w:rPr>
          <w:rFonts w:ascii="Times New Roman" w:hAnsi="Times New Roman"/>
        </w:rPr>
        <w:tab/>
        <w:t xml:space="preserve">Refer </w:t>
      </w:r>
      <w:r>
        <w:rPr>
          <w:rFonts w:ascii="Times New Roman" w:hAnsi="Times New Roman"/>
        </w:rPr>
        <w:t xml:space="preserve">to </w:t>
      </w:r>
      <w:r w:rsidRPr="006C52ED">
        <w:rPr>
          <w:rFonts w:ascii="Times New Roman" w:hAnsi="Times New Roman"/>
        </w:rPr>
        <w:t>subsection 21(1) of the Act.</w:t>
      </w:r>
    </w:p>
  </w:footnote>
  <w:footnote w:id="2">
    <w:p w14:paraId="2929926A" w14:textId="77777777" w:rsidR="00634821" w:rsidRDefault="00634821">
      <w:pPr>
        <w:pStyle w:val="FootnoteText"/>
        <w:tabs>
          <w:tab w:val="left" w:pos="567"/>
        </w:tabs>
        <w:jc w:val="both"/>
        <w:rPr>
          <w:rFonts w:ascii="Times New Roman" w:hAnsi="Times New Roman"/>
        </w:rPr>
      </w:pPr>
      <w:r w:rsidRPr="005D3C80">
        <w:rPr>
          <w:rStyle w:val="FootnoteReference"/>
          <w:rFonts w:ascii="Times New Roman" w:hAnsi="Times New Roman"/>
        </w:rPr>
        <w:footnoteRef/>
      </w:r>
      <w:r w:rsidRPr="005D3C80">
        <w:rPr>
          <w:rFonts w:ascii="Times New Roman" w:hAnsi="Times New Roman"/>
        </w:rPr>
        <w:t xml:space="preserve"> </w:t>
      </w:r>
      <w:r w:rsidRPr="005D3C80">
        <w:rPr>
          <w:rFonts w:ascii="Times New Roman" w:hAnsi="Times New Roman"/>
        </w:rPr>
        <w:tab/>
        <w:t>Refer</w:t>
      </w:r>
      <w:r>
        <w:rPr>
          <w:rFonts w:ascii="Times New Roman" w:hAnsi="Times New Roman"/>
        </w:rPr>
        <w:t xml:space="preserve"> to</w:t>
      </w:r>
      <w:r w:rsidRPr="005D3C80">
        <w:rPr>
          <w:rFonts w:ascii="Times New Roman" w:hAnsi="Times New Roman"/>
        </w:rPr>
        <w:t xml:space="preserve"> section 16ZD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A75B" w14:textId="77777777" w:rsidR="00730A8A" w:rsidRPr="00C97C02" w:rsidRDefault="00730A8A" w:rsidP="00C97C02">
    <w:pPr>
      <w:pStyle w:val="Heade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8FD5" w14:textId="289DABDF" w:rsidR="00634821" w:rsidRDefault="00B81A3C" w:rsidP="00B67999">
    <w:pPr>
      <w:pStyle w:val="Header"/>
      <w:jc w:val="right"/>
    </w:pPr>
    <w:r>
      <w:t>March</w:t>
    </w:r>
    <w:r w:rsidR="003C6838">
      <w:t xml:space="preserve"> 20</w:t>
    </w:r>
    <w:r>
      <w:t>2</w:t>
    </w:r>
    <w:r w:rsidR="003C683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3697C"/>
    <w:multiLevelType w:val="hybridMultilevel"/>
    <w:tmpl w:val="137E1A52"/>
    <w:lvl w:ilvl="0" w:tplc="1556F552">
      <w:start w:val="1"/>
      <w:numFmt w:val="lowerRoman"/>
      <w:lvlText w:val="(%1)"/>
      <w:lvlJc w:val="left"/>
      <w:pPr>
        <w:ind w:left="1140" w:hanging="360"/>
      </w:pPr>
      <w:rPr>
        <w:rFonts w:hint="default"/>
        <w:b w:val="0"/>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 w15:restartNumberingAfterBreak="0">
    <w:nsid w:val="06D55481"/>
    <w:multiLevelType w:val="singleLevel"/>
    <w:tmpl w:val="FFFFFFFF"/>
    <w:lvl w:ilvl="0">
      <w:start w:val="1"/>
      <w:numFmt w:val="bullet"/>
      <w:lvlText w:val=""/>
      <w:legacy w:legacy="1" w:legacySpace="0" w:legacyIndent="283"/>
      <w:lvlJc w:val="left"/>
      <w:pPr>
        <w:ind w:left="2551" w:hanging="283"/>
      </w:pPr>
      <w:rPr>
        <w:rFonts w:ascii="Symbol" w:hAnsi="Symbol" w:hint="default"/>
      </w:rPr>
    </w:lvl>
  </w:abstractNum>
  <w:abstractNum w:abstractNumId="3" w15:restartNumberingAfterBreak="0">
    <w:nsid w:val="0A187B21"/>
    <w:multiLevelType w:val="multilevel"/>
    <w:tmpl w:val="E084B1F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7E2882"/>
    <w:multiLevelType w:val="singleLevel"/>
    <w:tmpl w:val="3BE40E38"/>
    <w:lvl w:ilvl="0">
      <w:start w:val="1"/>
      <w:numFmt w:val="lowerRoman"/>
      <w:lvlText w:val="(%1)"/>
      <w:lvlJc w:val="left"/>
      <w:pPr>
        <w:ind w:left="3240" w:hanging="360"/>
      </w:pPr>
      <w:rPr>
        <w:rFonts w:hint="default"/>
      </w:rPr>
    </w:lvl>
  </w:abstractNum>
  <w:abstractNum w:abstractNumId="5" w15:restartNumberingAfterBreak="0">
    <w:nsid w:val="126A22A9"/>
    <w:multiLevelType w:val="hybridMultilevel"/>
    <w:tmpl w:val="E5522638"/>
    <w:lvl w:ilvl="0" w:tplc="8D5441E6">
      <w:start w:val="1"/>
      <w:numFmt w:val="decimal"/>
      <w:pStyle w:val="ListParagraph"/>
      <w:lvlText w:val="%1."/>
      <w:lvlJc w:val="left"/>
      <w:pPr>
        <w:ind w:left="1353" w:hanging="360"/>
      </w:pPr>
      <w:rPr>
        <w:rFonts w:ascii="Times New Roman" w:hAnsi="Times New Roman" w:cs="Times New Roman" w:hint="default"/>
        <w:b w:val="0"/>
        <w:i w:val="0"/>
        <w:sz w:val="24"/>
        <w:szCs w:val="24"/>
      </w:rPr>
    </w:lvl>
    <w:lvl w:ilvl="1" w:tplc="67F6A29C">
      <w:start w:val="1"/>
      <w:numFmt w:val="lowerLetter"/>
      <w:lvlText w:val="(%2)"/>
      <w:lvlJc w:val="left"/>
      <w:pPr>
        <w:ind w:left="2160" w:hanging="360"/>
      </w:pPr>
      <w:rPr>
        <w:rFonts w:hint="default"/>
      </w:rPr>
    </w:lvl>
    <w:lvl w:ilvl="2" w:tplc="737CCE20">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DFC7966"/>
    <w:multiLevelType w:val="hybridMultilevel"/>
    <w:tmpl w:val="A992E78A"/>
    <w:lvl w:ilvl="0" w:tplc="6E866CB8">
      <w:start w:val="1"/>
      <w:numFmt w:val="lowerLetter"/>
      <w:lvlText w:val="(%1)"/>
      <w:lvlJc w:val="left"/>
      <w:pPr>
        <w:ind w:left="4608" w:hanging="360"/>
      </w:pPr>
      <w:rPr>
        <w:rFonts w:ascii="Times New Roman" w:hAnsi="Times New Roman" w:hint="default"/>
        <w:b w:val="0"/>
        <w:i w:val="0"/>
        <w:sz w:val="24"/>
        <w:szCs w:val="24"/>
      </w:rPr>
    </w:lvl>
    <w:lvl w:ilvl="1" w:tplc="0C090019" w:tentative="1">
      <w:start w:val="1"/>
      <w:numFmt w:val="lowerLetter"/>
      <w:lvlText w:val="%2."/>
      <w:lvlJc w:val="left"/>
      <w:pPr>
        <w:ind w:left="5328" w:hanging="360"/>
      </w:pPr>
    </w:lvl>
    <w:lvl w:ilvl="2" w:tplc="0C09001B" w:tentative="1">
      <w:start w:val="1"/>
      <w:numFmt w:val="lowerRoman"/>
      <w:lvlText w:val="%3."/>
      <w:lvlJc w:val="right"/>
      <w:pPr>
        <w:ind w:left="6048" w:hanging="180"/>
      </w:pPr>
    </w:lvl>
    <w:lvl w:ilvl="3" w:tplc="0C09000F" w:tentative="1">
      <w:start w:val="1"/>
      <w:numFmt w:val="decimal"/>
      <w:lvlText w:val="%4."/>
      <w:lvlJc w:val="left"/>
      <w:pPr>
        <w:ind w:left="6768" w:hanging="360"/>
      </w:pPr>
    </w:lvl>
    <w:lvl w:ilvl="4" w:tplc="0C090019" w:tentative="1">
      <w:start w:val="1"/>
      <w:numFmt w:val="lowerLetter"/>
      <w:lvlText w:val="%5."/>
      <w:lvlJc w:val="left"/>
      <w:pPr>
        <w:ind w:left="7488" w:hanging="360"/>
      </w:pPr>
    </w:lvl>
    <w:lvl w:ilvl="5" w:tplc="0C09001B" w:tentative="1">
      <w:start w:val="1"/>
      <w:numFmt w:val="lowerRoman"/>
      <w:lvlText w:val="%6."/>
      <w:lvlJc w:val="right"/>
      <w:pPr>
        <w:ind w:left="8208" w:hanging="180"/>
      </w:pPr>
    </w:lvl>
    <w:lvl w:ilvl="6" w:tplc="0C09000F" w:tentative="1">
      <w:start w:val="1"/>
      <w:numFmt w:val="decimal"/>
      <w:lvlText w:val="%7."/>
      <w:lvlJc w:val="left"/>
      <w:pPr>
        <w:ind w:left="8928" w:hanging="360"/>
      </w:pPr>
    </w:lvl>
    <w:lvl w:ilvl="7" w:tplc="0C090019" w:tentative="1">
      <w:start w:val="1"/>
      <w:numFmt w:val="lowerLetter"/>
      <w:lvlText w:val="%8."/>
      <w:lvlJc w:val="left"/>
      <w:pPr>
        <w:ind w:left="9648" w:hanging="360"/>
      </w:pPr>
    </w:lvl>
    <w:lvl w:ilvl="8" w:tplc="0C09001B" w:tentative="1">
      <w:start w:val="1"/>
      <w:numFmt w:val="lowerRoman"/>
      <w:lvlText w:val="%9."/>
      <w:lvlJc w:val="right"/>
      <w:pPr>
        <w:ind w:left="10368" w:hanging="180"/>
      </w:pPr>
    </w:lvl>
  </w:abstractNum>
  <w:abstractNum w:abstractNumId="7" w15:restartNumberingAfterBreak="0">
    <w:nsid w:val="1EE97B1A"/>
    <w:multiLevelType w:val="hybridMultilevel"/>
    <w:tmpl w:val="C46AD34C"/>
    <w:lvl w:ilvl="0" w:tplc="64DA7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229F8"/>
    <w:multiLevelType w:val="hybridMultilevel"/>
    <w:tmpl w:val="C3505A9E"/>
    <w:lvl w:ilvl="0" w:tplc="C56C41E6">
      <w:start w:val="1"/>
      <w:numFmt w:val="lowerRoman"/>
      <w:pStyle w:val="Style1"/>
      <w:lvlText w:val="(%1)"/>
      <w:lvlJc w:val="left"/>
      <w:pPr>
        <w:ind w:left="2001" w:hanging="360"/>
      </w:pPr>
      <w:rPr>
        <w:rFonts w:hint="default"/>
        <w:i w:val="0"/>
      </w:rPr>
    </w:lvl>
    <w:lvl w:ilvl="1" w:tplc="0C090019" w:tentative="1">
      <w:start w:val="1"/>
      <w:numFmt w:val="lowerLetter"/>
      <w:lvlText w:val="%2."/>
      <w:lvlJc w:val="left"/>
      <w:pPr>
        <w:ind w:left="2721" w:hanging="360"/>
      </w:pPr>
    </w:lvl>
    <w:lvl w:ilvl="2" w:tplc="0C09001B" w:tentative="1">
      <w:start w:val="1"/>
      <w:numFmt w:val="lowerRoman"/>
      <w:lvlText w:val="%3."/>
      <w:lvlJc w:val="right"/>
      <w:pPr>
        <w:ind w:left="3441" w:hanging="180"/>
      </w:pPr>
    </w:lvl>
    <w:lvl w:ilvl="3" w:tplc="0C09000F" w:tentative="1">
      <w:start w:val="1"/>
      <w:numFmt w:val="decimal"/>
      <w:lvlText w:val="%4."/>
      <w:lvlJc w:val="left"/>
      <w:pPr>
        <w:ind w:left="4161" w:hanging="360"/>
      </w:pPr>
    </w:lvl>
    <w:lvl w:ilvl="4" w:tplc="0C090019" w:tentative="1">
      <w:start w:val="1"/>
      <w:numFmt w:val="lowerLetter"/>
      <w:lvlText w:val="%5."/>
      <w:lvlJc w:val="left"/>
      <w:pPr>
        <w:ind w:left="4881" w:hanging="360"/>
      </w:pPr>
    </w:lvl>
    <w:lvl w:ilvl="5" w:tplc="0C09001B" w:tentative="1">
      <w:start w:val="1"/>
      <w:numFmt w:val="lowerRoman"/>
      <w:lvlText w:val="%6."/>
      <w:lvlJc w:val="right"/>
      <w:pPr>
        <w:ind w:left="5601" w:hanging="180"/>
      </w:pPr>
    </w:lvl>
    <w:lvl w:ilvl="6" w:tplc="0C09000F" w:tentative="1">
      <w:start w:val="1"/>
      <w:numFmt w:val="decimal"/>
      <w:lvlText w:val="%7."/>
      <w:lvlJc w:val="left"/>
      <w:pPr>
        <w:ind w:left="6321" w:hanging="360"/>
      </w:pPr>
    </w:lvl>
    <w:lvl w:ilvl="7" w:tplc="0C090019" w:tentative="1">
      <w:start w:val="1"/>
      <w:numFmt w:val="lowerLetter"/>
      <w:lvlText w:val="%8."/>
      <w:lvlJc w:val="left"/>
      <w:pPr>
        <w:ind w:left="7041" w:hanging="360"/>
      </w:pPr>
    </w:lvl>
    <w:lvl w:ilvl="8" w:tplc="0C09001B" w:tentative="1">
      <w:start w:val="1"/>
      <w:numFmt w:val="lowerRoman"/>
      <w:lvlText w:val="%9."/>
      <w:lvlJc w:val="right"/>
      <w:pPr>
        <w:ind w:left="7761" w:hanging="180"/>
      </w:pPr>
    </w:lvl>
  </w:abstractNum>
  <w:abstractNum w:abstractNumId="9" w15:restartNumberingAfterBreak="0">
    <w:nsid w:val="2E69271C"/>
    <w:multiLevelType w:val="hybridMultilevel"/>
    <w:tmpl w:val="37CE5D02"/>
    <w:lvl w:ilvl="0" w:tplc="ED568CBA">
      <w:start w:val="1"/>
      <w:numFmt w:val="lowerRoman"/>
      <w:lvlText w:val="(%1)"/>
      <w:lvlJc w:val="left"/>
      <w:pPr>
        <w:ind w:left="4897" w:hanging="360"/>
      </w:pPr>
      <w:rPr>
        <w:rFonts w:hint="default"/>
        <w:b w:val="0"/>
        <w:i w:val="0"/>
        <w:sz w:val="24"/>
        <w:szCs w:val="24"/>
      </w:rPr>
    </w:lvl>
    <w:lvl w:ilvl="1" w:tplc="0C090019">
      <w:start w:val="1"/>
      <w:numFmt w:val="lowerLetter"/>
      <w:lvlText w:val="%2."/>
      <w:lvlJc w:val="left"/>
      <w:pPr>
        <w:ind w:left="5328" w:hanging="360"/>
      </w:pPr>
    </w:lvl>
    <w:lvl w:ilvl="2" w:tplc="0C09001B" w:tentative="1">
      <w:start w:val="1"/>
      <w:numFmt w:val="lowerRoman"/>
      <w:lvlText w:val="%3."/>
      <w:lvlJc w:val="right"/>
      <w:pPr>
        <w:ind w:left="6048" w:hanging="180"/>
      </w:pPr>
    </w:lvl>
    <w:lvl w:ilvl="3" w:tplc="0C09000F" w:tentative="1">
      <w:start w:val="1"/>
      <w:numFmt w:val="decimal"/>
      <w:lvlText w:val="%4."/>
      <w:lvlJc w:val="left"/>
      <w:pPr>
        <w:ind w:left="6768" w:hanging="360"/>
      </w:pPr>
    </w:lvl>
    <w:lvl w:ilvl="4" w:tplc="0C090019" w:tentative="1">
      <w:start w:val="1"/>
      <w:numFmt w:val="lowerLetter"/>
      <w:lvlText w:val="%5."/>
      <w:lvlJc w:val="left"/>
      <w:pPr>
        <w:ind w:left="7488" w:hanging="360"/>
      </w:pPr>
    </w:lvl>
    <w:lvl w:ilvl="5" w:tplc="0C09001B" w:tentative="1">
      <w:start w:val="1"/>
      <w:numFmt w:val="lowerRoman"/>
      <w:lvlText w:val="%6."/>
      <w:lvlJc w:val="right"/>
      <w:pPr>
        <w:ind w:left="8208" w:hanging="180"/>
      </w:pPr>
    </w:lvl>
    <w:lvl w:ilvl="6" w:tplc="0C09000F" w:tentative="1">
      <w:start w:val="1"/>
      <w:numFmt w:val="decimal"/>
      <w:lvlText w:val="%7."/>
      <w:lvlJc w:val="left"/>
      <w:pPr>
        <w:ind w:left="8928" w:hanging="360"/>
      </w:pPr>
    </w:lvl>
    <w:lvl w:ilvl="7" w:tplc="0C090019" w:tentative="1">
      <w:start w:val="1"/>
      <w:numFmt w:val="lowerLetter"/>
      <w:lvlText w:val="%8."/>
      <w:lvlJc w:val="left"/>
      <w:pPr>
        <w:ind w:left="9648" w:hanging="360"/>
      </w:pPr>
    </w:lvl>
    <w:lvl w:ilvl="8" w:tplc="0C09001B" w:tentative="1">
      <w:start w:val="1"/>
      <w:numFmt w:val="lowerRoman"/>
      <w:lvlText w:val="%9."/>
      <w:lvlJc w:val="right"/>
      <w:pPr>
        <w:ind w:left="10368" w:hanging="180"/>
      </w:pPr>
    </w:lvl>
  </w:abstractNum>
  <w:abstractNum w:abstractNumId="10" w15:restartNumberingAfterBreak="0">
    <w:nsid w:val="30E02E6F"/>
    <w:multiLevelType w:val="singleLevel"/>
    <w:tmpl w:val="64DA7346"/>
    <w:lvl w:ilvl="0">
      <w:start w:val="1"/>
      <w:numFmt w:val="lowerLetter"/>
      <w:lvlText w:val="(%1)"/>
      <w:lvlJc w:val="left"/>
      <w:pPr>
        <w:ind w:left="360" w:hanging="360"/>
      </w:pPr>
      <w:rPr>
        <w:rFonts w:hint="default"/>
      </w:rPr>
    </w:lvl>
  </w:abstractNum>
  <w:abstractNum w:abstractNumId="11" w15:restartNumberingAfterBreak="0">
    <w:nsid w:val="35A2426C"/>
    <w:multiLevelType w:val="hybridMultilevel"/>
    <w:tmpl w:val="E2824A8E"/>
    <w:lvl w:ilvl="0" w:tplc="ED568CBA">
      <w:start w:val="1"/>
      <w:numFmt w:val="lowerRoman"/>
      <w:lvlText w:val="(%1)"/>
      <w:lvlJc w:val="left"/>
      <w:pPr>
        <w:ind w:left="1140" w:hanging="360"/>
      </w:pPr>
      <w:rPr>
        <w:rFonts w:hint="default"/>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2" w15:restartNumberingAfterBreak="0">
    <w:nsid w:val="363F3FA4"/>
    <w:multiLevelType w:val="hybridMultilevel"/>
    <w:tmpl w:val="95C8B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32560"/>
    <w:multiLevelType w:val="hybridMultilevel"/>
    <w:tmpl w:val="A992E78A"/>
    <w:lvl w:ilvl="0" w:tplc="6E866CB8">
      <w:start w:val="1"/>
      <w:numFmt w:val="lowerLetter"/>
      <w:lvlText w:val="(%1)"/>
      <w:lvlJc w:val="left"/>
      <w:pPr>
        <w:ind w:left="4608" w:hanging="360"/>
      </w:pPr>
      <w:rPr>
        <w:rFonts w:ascii="Times New Roman" w:hAnsi="Times New Roman" w:hint="default"/>
        <w:b w:val="0"/>
        <w:i w:val="0"/>
        <w:sz w:val="24"/>
        <w:szCs w:val="24"/>
      </w:rPr>
    </w:lvl>
    <w:lvl w:ilvl="1" w:tplc="0C090019" w:tentative="1">
      <w:start w:val="1"/>
      <w:numFmt w:val="lowerLetter"/>
      <w:lvlText w:val="%2."/>
      <w:lvlJc w:val="left"/>
      <w:pPr>
        <w:ind w:left="5328" w:hanging="360"/>
      </w:pPr>
    </w:lvl>
    <w:lvl w:ilvl="2" w:tplc="0C09001B" w:tentative="1">
      <w:start w:val="1"/>
      <w:numFmt w:val="lowerRoman"/>
      <w:lvlText w:val="%3."/>
      <w:lvlJc w:val="right"/>
      <w:pPr>
        <w:ind w:left="6048" w:hanging="180"/>
      </w:pPr>
    </w:lvl>
    <w:lvl w:ilvl="3" w:tplc="0C09000F" w:tentative="1">
      <w:start w:val="1"/>
      <w:numFmt w:val="decimal"/>
      <w:lvlText w:val="%4."/>
      <w:lvlJc w:val="left"/>
      <w:pPr>
        <w:ind w:left="6768" w:hanging="360"/>
      </w:pPr>
    </w:lvl>
    <w:lvl w:ilvl="4" w:tplc="0C090019" w:tentative="1">
      <w:start w:val="1"/>
      <w:numFmt w:val="lowerLetter"/>
      <w:lvlText w:val="%5."/>
      <w:lvlJc w:val="left"/>
      <w:pPr>
        <w:ind w:left="7488" w:hanging="360"/>
      </w:pPr>
    </w:lvl>
    <w:lvl w:ilvl="5" w:tplc="0C09001B" w:tentative="1">
      <w:start w:val="1"/>
      <w:numFmt w:val="lowerRoman"/>
      <w:lvlText w:val="%6."/>
      <w:lvlJc w:val="right"/>
      <w:pPr>
        <w:ind w:left="8208" w:hanging="180"/>
      </w:pPr>
    </w:lvl>
    <w:lvl w:ilvl="6" w:tplc="0C09000F" w:tentative="1">
      <w:start w:val="1"/>
      <w:numFmt w:val="decimal"/>
      <w:lvlText w:val="%7."/>
      <w:lvlJc w:val="left"/>
      <w:pPr>
        <w:ind w:left="8928" w:hanging="360"/>
      </w:pPr>
    </w:lvl>
    <w:lvl w:ilvl="7" w:tplc="0C090019" w:tentative="1">
      <w:start w:val="1"/>
      <w:numFmt w:val="lowerLetter"/>
      <w:lvlText w:val="%8."/>
      <w:lvlJc w:val="left"/>
      <w:pPr>
        <w:ind w:left="9648" w:hanging="360"/>
      </w:pPr>
    </w:lvl>
    <w:lvl w:ilvl="8" w:tplc="0C09001B" w:tentative="1">
      <w:start w:val="1"/>
      <w:numFmt w:val="lowerRoman"/>
      <w:lvlText w:val="%9."/>
      <w:lvlJc w:val="right"/>
      <w:pPr>
        <w:ind w:left="10368" w:hanging="180"/>
      </w:pPr>
    </w:lvl>
  </w:abstractNum>
  <w:abstractNum w:abstractNumId="14" w15:restartNumberingAfterBreak="0">
    <w:nsid w:val="36C27C23"/>
    <w:multiLevelType w:val="hybridMultilevel"/>
    <w:tmpl w:val="3EF484CA"/>
    <w:lvl w:ilvl="0" w:tplc="64DA7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E5F09"/>
    <w:multiLevelType w:val="hybridMultilevel"/>
    <w:tmpl w:val="2FDC8366"/>
    <w:lvl w:ilvl="0" w:tplc="ED568CB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BC2ABF"/>
    <w:multiLevelType w:val="hybridMultilevel"/>
    <w:tmpl w:val="A992E78A"/>
    <w:lvl w:ilvl="0" w:tplc="6E866CB8">
      <w:start w:val="1"/>
      <w:numFmt w:val="lowerLetter"/>
      <w:lvlText w:val="(%1)"/>
      <w:lvlJc w:val="left"/>
      <w:pPr>
        <w:ind w:left="4608" w:hanging="360"/>
      </w:pPr>
      <w:rPr>
        <w:rFonts w:ascii="Times New Roman" w:hAnsi="Times New Roman" w:hint="default"/>
        <w:b w:val="0"/>
        <w:i w:val="0"/>
        <w:sz w:val="24"/>
        <w:szCs w:val="24"/>
      </w:rPr>
    </w:lvl>
    <w:lvl w:ilvl="1" w:tplc="0C090019" w:tentative="1">
      <w:start w:val="1"/>
      <w:numFmt w:val="lowerLetter"/>
      <w:lvlText w:val="%2."/>
      <w:lvlJc w:val="left"/>
      <w:pPr>
        <w:ind w:left="5328" w:hanging="360"/>
      </w:pPr>
    </w:lvl>
    <w:lvl w:ilvl="2" w:tplc="0C09001B" w:tentative="1">
      <w:start w:val="1"/>
      <w:numFmt w:val="lowerRoman"/>
      <w:lvlText w:val="%3."/>
      <w:lvlJc w:val="right"/>
      <w:pPr>
        <w:ind w:left="6048" w:hanging="180"/>
      </w:pPr>
    </w:lvl>
    <w:lvl w:ilvl="3" w:tplc="0C09000F" w:tentative="1">
      <w:start w:val="1"/>
      <w:numFmt w:val="decimal"/>
      <w:lvlText w:val="%4."/>
      <w:lvlJc w:val="left"/>
      <w:pPr>
        <w:ind w:left="6768" w:hanging="360"/>
      </w:pPr>
    </w:lvl>
    <w:lvl w:ilvl="4" w:tplc="0C090019" w:tentative="1">
      <w:start w:val="1"/>
      <w:numFmt w:val="lowerLetter"/>
      <w:lvlText w:val="%5."/>
      <w:lvlJc w:val="left"/>
      <w:pPr>
        <w:ind w:left="7488" w:hanging="360"/>
      </w:pPr>
    </w:lvl>
    <w:lvl w:ilvl="5" w:tplc="0C09001B" w:tentative="1">
      <w:start w:val="1"/>
      <w:numFmt w:val="lowerRoman"/>
      <w:lvlText w:val="%6."/>
      <w:lvlJc w:val="right"/>
      <w:pPr>
        <w:ind w:left="8208" w:hanging="180"/>
      </w:pPr>
    </w:lvl>
    <w:lvl w:ilvl="6" w:tplc="0C09000F" w:tentative="1">
      <w:start w:val="1"/>
      <w:numFmt w:val="decimal"/>
      <w:lvlText w:val="%7."/>
      <w:lvlJc w:val="left"/>
      <w:pPr>
        <w:ind w:left="8928" w:hanging="360"/>
      </w:pPr>
    </w:lvl>
    <w:lvl w:ilvl="7" w:tplc="0C090019" w:tentative="1">
      <w:start w:val="1"/>
      <w:numFmt w:val="lowerLetter"/>
      <w:lvlText w:val="%8."/>
      <w:lvlJc w:val="left"/>
      <w:pPr>
        <w:ind w:left="9648" w:hanging="360"/>
      </w:pPr>
    </w:lvl>
    <w:lvl w:ilvl="8" w:tplc="0C09001B" w:tentative="1">
      <w:start w:val="1"/>
      <w:numFmt w:val="lowerRoman"/>
      <w:lvlText w:val="%9."/>
      <w:lvlJc w:val="right"/>
      <w:pPr>
        <w:ind w:left="10368" w:hanging="180"/>
      </w:pPr>
    </w:lvl>
  </w:abstractNum>
  <w:abstractNum w:abstractNumId="17" w15:restartNumberingAfterBreak="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174AB2"/>
    <w:multiLevelType w:val="hybridMultilevel"/>
    <w:tmpl w:val="137E1A52"/>
    <w:lvl w:ilvl="0" w:tplc="1556F552">
      <w:start w:val="1"/>
      <w:numFmt w:val="lowerRoman"/>
      <w:lvlText w:val="(%1)"/>
      <w:lvlJc w:val="left"/>
      <w:pPr>
        <w:ind w:left="1494" w:hanging="360"/>
      </w:pPr>
      <w:rPr>
        <w:rFonts w:hint="default"/>
        <w:b w:val="0"/>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9" w15:restartNumberingAfterBreak="0">
    <w:nsid w:val="3A6F0009"/>
    <w:multiLevelType w:val="hybridMultilevel"/>
    <w:tmpl w:val="EAF8C8BE"/>
    <w:lvl w:ilvl="0" w:tplc="64DA7346">
      <w:start w:val="1"/>
      <w:numFmt w:val="lowerLetter"/>
      <w:lvlText w:val="(%1)"/>
      <w:lvlJc w:val="left"/>
      <w:pPr>
        <w:ind w:left="754" w:hanging="360"/>
      </w:pPr>
      <w:rPr>
        <w:rFonts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0" w15:restartNumberingAfterBreak="0">
    <w:nsid w:val="3CB4030D"/>
    <w:multiLevelType w:val="singleLevel"/>
    <w:tmpl w:val="64DA7346"/>
    <w:lvl w:ilvl="0">
      <w:start w:val="1"/>
      <w:numFmt w:val="lowerLetter"/>
      <w:lvlText w:val="(%1)"/>
      <w:lvlJc w:val="left"/>
      <w:pPr>
        <w:ind w:left="720" w:hanging="360"/>
      </w:pPr>
      <w:rPr>
        <w:rFonts w:hint="default"/>
      </w:rPr>
    </w:lvl>
  </w:abstractNum>
  <w:abstractNum w:abstractNumId="21" w15:restartNumberingAfterBreak="0">
    <w:nsid w:val="3E981D59"/>
    <w:multiLevelType w:val="hybridMultilevel"/>
    <w:tmpl w:val="B9B038BC"/>
    <w:lvl w:ilvl="0" w:tplc="8F94AFF4">
      <w:start w:val="1"/>
      <w:numFmt w:val="lowerLetter"/>
      <w:lvlText w:val="(%1)"/>
      <w:lvlJc w:val="left"/>
      <w:pPr>
        <w:ind w:left="615" w:hanging="36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22" w15:restartNumberingAfterBreak="0">
    <w:nsid w:val="4B733E6A"/>
    <w:multiLevelType w:val="hybridMultilevel"/>
    <w:tmpl w:val="35E4D91A"/>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664DB9"/>
    <w:multiLevelType w:val="hybridMultilevel"/>
    <w:tmpl w:val="FEAE0FAA"/>
    <w:lvl w:ilvl="0" w:tplc="ECFAC90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08A7CE6"/>
    <w:multiLevelType w:val="hybridMultilevel"/>
    <w:tmpl w:val="A992E78A"/>
    <w:lvl w:ilvl="0" w:tplc="6E866CB8">
      <w:start w:val="1"/>
      <w:numFmt w:val="lowerLetter"/>
      <w:lvlText w:val="(%1)"/>
      <w:lvlJc w:val="left"/>
      <w:pPr>
        <w:ind w:left="4608" w:hanging="360"/>
      </w:pPr>
      <w:rPr>
        <w:rFonts w:ascii="Times New Roman" w:hAnsi="Times New Roman" w:hint="default"/>
        <w:b w:val="0"/>
        <w:i w:val="0"/>
        <w:sz w:val="24"/>
        <w:szCs w:val="24"/>
      </w:rPr>
    </w:lvl>
    <w:lvl w:ilvl="1" w:tplc="0C090019" w:tentative="1">
      <w:start w:val="1"/>
      <w:numFmt w:val="lowerLetter"/>
      <w:lvlText w:val="%2."/>
      <w:lvlJc w:val="left"/>
      <w:pPr>
        <w:ind w:left="5328" w:hanging="360"/>
      </w:pPr>
    </w:lvl>
    <w:lvl w:ilvl="2" w:tplc="0C09001B" w:tentative="1">
      <w:start w:val="1"/>
      <w:numFmt w:val="lowerRoman"/>
      <w:lvlText w:val="%3."/>
      <w:lvlJc w:val="right"/>
      <w:pPr>
        <w:ind w:left="6048" w:hanging="180"/>
      </w:pPr>
    </w:lvl>
    <w:lvl w:ilvl="3" w:tplc="0C09000F" w:tentative="1">
      <w:start w:val="1"/>
      <w:numFmt w:val="decimal"/>
      <w:lvlText w:val="%4."/>
      <w:lvlJc w:val="left"/>
      <w:pPr>
        <w:ind w:left="6768" w:hanging="360"/>
      </w:pPr>
    </w:lvl>
    <w:lvl w:ilvl="4" w:tplc="0C090019" w:tentative="1">
      <w:start w:val="1"/>
      <w:numFmt w:val="lowerLetter"/>
      <w:lvlText w:val="%5."/>
      <w:lvlJc w:val="left"/>
      <w:pPr>
        <w:ind w:left="7488" w:hanging="360"/>
      </w:pPr>
    </w:lvl>
    <w:lvl w:ilvl="5" w:tplc="0C09001B" w:tentative="1">
      <w:start w:val="1"/>
      <w:numFmt w:val="lowerRoman"/>
      <w:lvlText w:val="%6."/>
      <w:lvlJc w:val="right"/>
      <w:pPr>
        <w:ind w:left="8208" w:hanging="180"/>
      </w:pPr>
    </w:lvl>
    <w:lvl w:ilvl="6" w:tplc="0C09000F" w:tentative="1">
      <w:start w:val="1"/>
      <w:numFmt w:val="decimal"/>
      <w:lvlText w:val="%7."/>
      <w:lvlJc w:val="left"/>
      <w:pPr>
        <w:ind w:left="8928" w:hanging="360"/>
      </w:pPr>
    </w:lvl>
    <w:lvl w:ilvl="7" w:tplc="0C090019" w:tentative="1">
      <w:start w:val="1"/>
      <w:numFmt w:val="lowerLetter"/>
      <w:lvlText w:val="%8."/>
      <w:lvlJc w:val="left"/>
      <w:pPr>
        <w:ind w:left="9648" w:hanging="360"/>
      </w:pPr>
    </w:lvl>
    <w:lvl w:ilvl="8" w:tplc="0C09001B" w:tentative="1">
      <w:start w:val="1"/>
      <w:numFmt w:val="lowerRoman"/>
      <w:lvlText w:val="%9."/>
      <w:lvlJc w:val="right"/>
      <w:pPr>
        <w:ind w:left="10368" w:hanging="180"/>
      </w:pPr>
    </w:lvl>
  </w:abstractNum>
  <w:abstractNum w:abstractNumId="25" w15:restartNumberingAfterBreak="0">
    <w:nsid w:val="51963800"/>
    <w:multiLevelType w:val="hybridMultilevel"/>
    <w:tmpl w:val="A992E78A"/>
    <w:lvl w:ilvl="0" w:tplc="6E866CB8">
      <w:start w:val="1"/>
      <w:numFmt w:val="lowerLetter"/>
      <w:lvlText w:val="(%1)"/>
      <w:lvlJc w:val="left"/>
      <w:pPr>
        <w:ind w:left="4608" w:hanging="360"/>
      </w:pPr>
      <w:rPr>
        <w:rFonts w:ascii="Times New Roman" w:hAnsi="Times New Roman" w:hint="default"/>
        <w:b w:val="0"/>
        <w:i w:val="0"/>
        <w:sz w:val="24"/>
        <w:szCs w:val="24"/>
      </w:rPr>
    </w:lvl>
    <w:lvl w:ilvl="1" w:tplc="0C090019" w:tentative="1">
      <w:start w:val="1"/>
      <w:numFmt w:val="lowerLetter"/>
      <w:lvlText w:val="%2."/>
      <w:lvlJc w:val="left"/>
      <w:pPr>
        <w:ind w:left="5328" w:hanging="360"/>
      </w:pPr>
    </w:lvl>
    <w:lvl w:ilvl="2" w:tplc="0C09001B" w:tentative="1">
      <w:start w:val="1"/>
      <w:numFmt w:val="lowerRoman"/>
      <w:lvlText w:val="%3."/>
      <w:lvlJc w:val="right"/>
      <w:pPr>
        <w:ind w:left="6048" w:hanging="180"/>
      </w:pPr>
    </w:lvl>
    <w:lvl w:ilvl="3" w:tplc="0C09000F" w:tentative="1">
      <w:start w:val="1"/>
      <w:numFmt w:val="decimal"/>
      <w:lvlText w:val="%4."/>
      <w:lvlJc w:val="left"/>
      <w:pPr>
        <w:ind w:left="6768" w:hanging="360"/>
      </w:pPr>
    </w:lvl>
    <w:lvl w:ilvl="4" w:tplc="0C090019" w:tentative="1">
      <w:start w:val="1"/>
      <w:numFmt w:val="lowerLetter"/>
      <w:lvlText w:val="%5."/>
      <w:lvlJc w:val="left"/>
      <w:pPr>
        <w:ind w:left="7488" w:hanging="360"/>
      </w:pPr>
    </w:lvl>
    <w:lvl w:ilvl="5" w:tplc="0C09001B" w:tentative="1">
      <w:start w:val="1"/>
      <w:numFmt w:val="lowerRoman"/>
      <w:lvlText w:val="%6."/>
      <w:lvlJc w:val="right"/>
      <w:pPr>
        <w:ind w:left="8208" w:hanging="180"/>
      </w:pPr>
    </w:lvl>
    <w:lvl w:ilvl="6" w:tplc="0C09000F" w:tentative="1">
      <w:start w:val="1"/>
      <w:numFmt w:val="decimal"/>
      <w:lvlText w:val="%7."/>
      <w:lvlJc w:val="left"/>
      <w:pPr>
        <w:ind w:left="8928" w:hanging="360"/>
      </w:pPr>
    </w:lvl>
    <w:lvl w:ilvl="7" w:tplc="0C090019" w:tentative="1">
      <w:start w:val="1"/>
      <w:numFmt w:val="lowerLetter"/>
      <w:lvlText w:val="%8."/>
      <w:lvlJc w:val="left"/>
      <w:pPr>
        <w:ind w:left="9648" w:hanging="360"/>
      </w:pPr>
    </w:lvl>
    <w:lvl w:ilvl="8" w:tplc="0C09001B" w:tentative="1">
      <w:start w:val="1"/>
      <w:numFmt w:val="lowerRoman"/>
      <w:lvlText w:val="%9."/>
      <w:lvlJc w:val="right"/>
      <w:pPr>
        <w:ind w:left="10368" w:hanging="180"/>
      </w:pPr>
    </w:lvl>
  </w:abstractNum>
  <w:abstractNum w:abstractNumId="26"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D10190"/>
    <w:multiLevelType w:val="hybridMultilevel"/>
    <w:tmpl w:val="42228702"/>
    <w:lvl w:ilvl="0" w:tplc="C87E1614">
      <w:start w:val="1"/>
      <w:numFmt w:val="lowerLetter"/>
      <w:pStyle w:val="Style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78610D"/>
    <w:multiLevelType w:val="hybridMultilevel"/>
    <w:tmpl w:val="E01414B4"/>
    <w:lvl w:ilvl="0" w:tplc="6E866CB8">
      <w:start w:val="1"/>
      <w:numFmt w:val="lowerLetter"/>
      <w:lvlText w:val="(%1)"/>
      <w:lvlJc w:val="left"/>
      <w:pPr>
        <w:ind w:left="720" w:hanging="360"/>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7C2923"/>
    <w:multiLevelType w:val="hybridMultilevel"/>
    <w:tmpl w:val="137E1A52"/>
    <w:lvl w:ilvl="0" w:tplc="1556F552">
      <w:start w:val="1"/>
      <w:numFmt w:val="lowerRoman"/>
      <w:lvlText w:val="(%1)"/>
      <w:lvlJc w:val="left"/>
      <w:pPr>
        <w:ind w:left="1140" w:hanging="360"/>
      </w:pPr>
      <w:rPr>
        <w:rFonts w:hint="default"/>
        <w:b w:val="0"/>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0" w15:restartNumberingAfterBreak="0">
    <w:nsid w:val="65362305"/>
    <w:multiLevelType w:val="singleLevel"/>
    <w:tmpl w:val="6E866CB8"/>
    <w:lvl w:ilvl="0">
      <w:start w:val="1"/>
      <w:numFmt w:val="lowerLetter"/>
      <w:lvlText w:val="(%1)"/>
      <w:lvlJc w:val="left"/>
      <w:pPr>
        <w:ind w:left="720" w:hanging="360"/>
      </w:pPr>
      <w:rPr>
        <w:rFonts w:ascii="Times New Roman" w:hAnsi="Times New Roman" w:hint="default"/>
        <w:b w:val="0"/>
        <w:i w:val="0"/>
        <w:sz w:val="24"/>
        <w:szCs w:val="24"/>
      </w:rPr>
    </w:lvl>
  </w:abstractNum>
  <w:abstractNum w:abstractNumId="31" w15:restartNumberingAfterBreak="0">
    <w:nsid w:val="67F85FAA"/>
    <w:multiLevelType w:val="singleLevel"/>
    <w:tmpl w:val="6E866CB8"/>
    <w:lvl w:ilvl="0">
      <w:start w:val="1"/>
      <w:numFmt w:val="lowerLetter"/>
      <w:lvlText w:val="(%1)"/>
      <w:lvlJc w:val="left"/>
      <w:pPr>
        <w:ind w:left="720" w:hanging="360"/>
      </w:pPr>
      <w:rPr>
        <w:rFonts w:ascii="Times New Roman" w:hAnsi="Times New Roman" w:hint="default"/>
        <w:b w:val="0"/>
        <w:i w:val="0"/>
        <w:sz w:val="24"/>
        <w:szCs w:val="24"/>
      </w:rPr>
    </w:lvl>
  </w:abstractNum>
  <w:abstractNum w:abstractNumId="32" w15:restartNumberingAfterBreak="0">
    <w:nsid w:val="68F663A1"/>
    <w:multiLevelType w:val="hybridMultilevel"/>
    <w:tmpl w:val="A992E78A"/>
    <w:lvl w:ilvl="0" w:tplc="6E866CB8">
      <w:start w:val="1"/>
      <w:numFmt w:val="lowerLetter"/>
      <w:lvlText w:val="(%1)"/>
      <w:lvlJc w:val="left"/>
      <w:pPr>
        <w:ind w:left="4608" w:hanging="360"/>
      </w:pPr>
      <w:rPr>
        <w:rFonts w:ascii="Times New Roman" w:hAnsi="Times New Roman" w:hint="default"/>
        <w:b w:val="0"/>
        <w:i w:val="0"/>
        <w:sz w:val="24"/>
        <w:szCs w:val="24"/>
      </w:rPr>
    </w:lvl>
    <w:lvl w:ilvl="1" w:tplc="0C090019" w:tentative="1">
      <w:start w:val="1"/>
      <w:numFmt w:val="lowerLetter"/>
      <w:lvlText w:val="%2."/>
      <w:lvlJc w:val="left"/>
      <w:pPr>
        <w:ind w:left="5328" w:hanging="360"/>
      </w:pPr>
    </w:lvl>
    <w:lvl w:ilvl="2" w:tplc="0C09001B" w:tentative="1">
      <w:start w:val="1"/>
      <w:numFmt w:val="lowerRoman"/>
      <w:lvlText w:val="%3."/>
      <w:lvlJc w:val="right"/>
      <w:pPr>
        <w:ind w:left="6048" w:hanging="180"/>
      </w:pPr>
    </w:lvl>
    <w:lvl w:ilvl="3" w:tplc="0C09000F" w:tentative="1">
      <w:start w:val="1"/>
      <w:numFmt w:val="decimal"/>
      <w:lvlText w:val="%4."/>
      <w:lvlJc w:val="left"/>
      <w:pPr>
        <w:ind w:left="6768" w:hanging="360"/>
      </w:pPr>
    </w:lvl>
    <w:lvl w:ilvl="4" w:tplc="0C090019" w:tentative="1">
      <w:start w:val="1"/>
      <w:numFmt w:val="lowerLetter"/>
      <w:lvlText w:val="%5."/>
      <w:lvlJc w:val="left"/>
      <w:pPr>
        <w:ind w:left="7488" w:hanging="360"/>
      </w:pPr>
    </w:lvl>
    <w:lvl w:ilvl="5" w:tplc="0C09001B" w:tentative="1">
      <w:start w:val="1"/>
      <w:numFmt w:val="lowerRoman"/>
      <w:lvlText w:val="%6."/>
      <w:lvlJc w:val="right"/>
      <w:pPr>
        <w:ind w:left="8208" w:hanging="180"/>
      </w:pPr>
    </w:lvl>
    <w:lvl w:ilvl="6" w:tplc="0C09000F" w:tentative="1">
      <w:start w:val="1"/>
      <w:numFmt w:val="decimal"/>
      <w:lvlText w:val="%7."/>
      <w:lvlJc w:val="left"/>
      <w:pPr>
        <w:ind w:left="8928" w:hanging="360"/>
      </w:pPr>
    </w:lvl>
    <w:lvl w:ilvl="7" w:tplc="0C090019" w:tentative="1">
      <w:start w:val="1"/>
      <w:numFmt w:val="lowerLetter"/>
      <w:lvlText w:val="%8."/>
      <w:lvlJc w:val="left"/>
      <w:pPr>
        <w:ind w:left="9648" w:hanging="360"/>
      </w:pPr>
    </w:lvl>
    <w:lvl w:ilvl="8" w:tplc="0C09001B" w:tentative="1">
      <w:start w:val="1"/>
      <w:numFmt w:val="lowerRoman"/>
      <w:lvlText w:val="%9."/>
      <w:lvlJc w:val="right"/>
      <w:pPr>
        <w:ind w:left="10368" w:hanging="180"/>
      </w:pPr>
    </w:lvl>
  </w:abstractNum>
  <w:abstractNum w:abstractNumId="33" w15:restartNumberingAfterBreak="0">
    <w:nsid w:val="6B4F7EF7"/>
    <w:multiLevelType w:val="hybridMultilevel"/>
    <w:tmpl w:val="A992E78A"/>
    <w:lvl w:ilvl="0" w:tplc="6E866CB8">
      <w:start w:val="1"/>
      <w:numFmt w:val="lowerLetter"/>
      <w:lvlText w:val="(%1)"/>
      <w:lvlJc w:val="left"/>
      <w:pPr>
        <w:ind w:left="4608" w:hanging="360"/>
      </w:pPr>
      <w:rPr>
        <w:rFonts w:ascii="Times New Roman" w:hAnsi="Times New Roman" w:hint="default"/>
        <w:b w:val="0"/>
        <w:i w:val="0"/>
        <w:sz w:val="24"/>
        <w:szCs w:val="24"/>
      </w:rPr>
    </w:lvl>
    <w:lvl w:ilvl="1" w:tplc="0C090019">
      <w:start w:val="1"/>
      <w:numFmt w:val="lowerLetter"/>
      <w:lvlText w:val="%2."/>
      <w:lvlJc w:val="left"/>
      <w:pPr>
        <w:ind w:left="5328" w:hanging="360"/>
      </w:pPr>
    </w:lvl>
    <w:lvl w:ilvl="2" w:tplc="0C09001B" w:tentative="1">
      <w:start w:val="1"/>
      <w:numFmt w:val="lowerRoman"/>
      <w:lvlText w:val="%3."/>
      <w:lvlJc w:val="right"/>
      <w:pPr>
        <w:ind w:left="6048" w:hanging="180"/>
      </w:pPr>
    </w:lvl>
    <w:lvl w:ilvl="3" w:tplc="0C09000F" w:tentative="1">
      <w:start w:val="1"/>
      <w:numFmt w:val="decimal"/>
      <w:lvlText w:val="%4."/>
      <w:lvlJc w:val="left"/>
      <w:pPr>
        <w:ind w:left="6768" w:hanging="360"/>
      </w:pPr>
    </w:lvl>
    <w:lvl w:ilvl="4" w:tplc="0C090019" w:tentative="1">
      <w:start w:val="1"/>
      <w:numFmt w:val="lowerLetter"/>
      <w:lvlText w:val="%5."/>
      <w:lvlJc w:val="left"/>
      <w:pPr>
        <w:ind w:left="7488" w:hanging="360"/>
      </w:pPr>
    </w:lvl>
    <w:lvl w:ilvl="5" w:tplc="0C09001B" w:tentative="1">
      <w:start w:val="1"/>
      <w:numFmt w:val="lowerRoman"/>
      <w:lvlText w:val="%6."/>
      <w:lvlJc w:val="right"/>
      <w:pPr>
        <w:ind w:left="8208" w:hanging="180"/>
      </w:pPr>
    </w:lvl>
    <w:lvl w:ilvl="6" w:tplc="0C09000F" w:tentative="1">
      <w:start w:val="1"/>
      <w:numFmt w:val="decimal"/>
      <w:lvlText w:val="%7."/>
      <w:lvlJc w:val="left"/>
      <w:pPr>
        <w:ind w:left="8928" w:hanging="360"/>
      </w:pPr>
    </w:lvl>
    <w:lvl w:ilvl="7" w:tplc="0C090019" w:tentative="1">
      <w:start w:val="1"/>
      <w:numFmt w:val="lowerLetter"/>
      <w:lvlText w:val="%8."/>
      <w:lvlJc w:val="left"/>
      <w:pPr>
        <w:ind w:left="9648" w:hanging="360"/>
      </w:pPr>
    </w:lvl>
    <w:lvl w:ilvl="8" w:tplc="0C09001B" w:tentative="1">
      <w:start w:val="1"/>
      <w:numFmt w:val="lowerRoman"/>
      <w:lvlText w:val="%9."/>
      <w:lvlJc w:val="right"/>
      <w:pPr>
        <w:ind w:left="10368" w:hanging="180"/>
      </w:pPr>
    </w:lvl>
  </w:abstractNum>
  <w:abstractNum w:abstractNumId="34" w15:restartNumberingAfterBreak="0">
    <w:nsid w:val="6C611585"/>
    <w:multiLevelType w:val="singleLevel"/>
    <w:tmpl w:val="64DA7346"/>
    <w:lvl w:ilvl="0">
      <w:start w:val="1"/>
      <w:numFmt w:val="lowerLetter"/>
      <w:lvlText w:val="(%1)"/>
      <w:lvlJc w:val="left"/>
      <w:pPr>
        <w:ind w:left="720" w:hanging="360"/>
      </w:pPr>
      <w:rPr>
        <w:rFonts w:hint="default"/>
      </w:rPr>
    </w:lvl>
  </w:abstractNum>
  <w:abstractNum w:abstractNumId="35" w15:restartNumberingAfterBreak="0">
    <w:nsid w:val="6DD314EF"/>
    <w:multiLevelType w:val="singleLevel"/>
    <w:tmpl w:val="05EC9F4A"/>
    <w:lvl w:ilvl="0">
      <w:start w:val="1"/>
      <w:numFmt w:val="lowerLetter"/>
      <w:pStyle w:val="bullet"/>
      <w:lvlText w:val="(%1)"/>
      <w:lvlJc w:val="left"/>
      <w:pPr>
        <w:tabs>
          <w:tab w:val="num" w:pos="1134"/>
        </w:tabs>
        <w:ind w:left="1134" w:hanging="567"/>
      </w:pPr>
      <w:rPr>
        <w:rFonts w:hint="default"/>
        <w:sz w:val="24"/>
        <w:szCs w:val="24"/>
      </w:rPr>
    </w:lvl>
  </w:abstractNum>
  <w:abstractNum w:abstractNumId="36" w15:restartNumberingAfterBreak="0">
    <w:nsid w:val="734B5FE0"/>
    <w:multiLevelType w:val="hybridMultilevel"/>
    <w:tmpl w:val="A992E78A"/>
    <w:lvl w:ilvl="0" w:tplc="6E866CB8">
      <w:start w:val="1"/>
      <w:numFmt w:val="lowerLetter"/>
      <w:lvlText w:val="(%1)"/>
      <w:lvlJc w:val="left"/>
      <w:pPr>
        <w:ind w:left="4608" w:hanging="360"/>
      </w:pPr>
      <w:rPr>
        <w:rFonts w:ascii="Times New Roman" w:hAnsi="Times New Roman" w:hint="default"/>
        <w:b w:val="0"/>
        <w:i w:val="0"/>
        <w:sz w:val="24"/>
        <w:szCs w:val="24"/>
      </w:rPr>
    </w:lvl>
    <w:lvl w:ilvl="1" w:tplc="0C090019" w:tentative="1">
      <w:start w:val="1"/>
      <w:numFmt w:val="lowerLetter"/>
      <w:lvlText w:val="%2."/>
      <w:lvlJc w:val="left"/>
      <w:pPr>
        <w:ind w:left="5328" w:hanging="360"/>
      </w:pPr>
    </w:lvl>
    <w:lvl w:ilvl="2" w:tplc="0C09001B" w:tentative="1">
      <w:start w:val="1"/>
      <w:numFmt w:val="lowerRoman"/>
      <w:lvlText w:val="%3."/>
      <w:lvlJc w:val="right"/>
      <w:pPr>
        <w:ind w:left="6048" w:hanging="180"/>
      </w:pPr>
    </w:lvl>
    <w:lvl w:ilvl="3" w:tplc="0C09000F" w:tentative="1">
      <w:start w:val="1"/>
      <w:numFmt w:val="decimal"/>
      <w:lvlText w:val="%4."/>
      <w:lvlJc w:val="left"/>
      <w:pPr>
        <w:ind w:left="6768" w:hanging="360"/>
      </w:pPr>
    </w:lvl>
    <w:lvl w:ilvl="4" w:tplc="0C090019" w:tentative="1">
      <w:start w:val="1"/>
      <w:numFmt w:val="lowerLetter"/>
      <w:lvlText w:val="%5."/>
      <w:lvlJc w:val="left"/>
      <w:pPr>
        <w:ind w:left="7488" w:hanging="360"/>
      </w:pPr>
    </w:lvl>
    <w:lvl w:ilvl="5" w:tplc="0C09001B" w:tentative="1">
      <w:start w:val="1"/>
      <w:numFmt w:val="lowerRoman"/>
      <w:lvlText w:val="%6."/>
      <w:lvlJc w:val="right"/>
      <w:pPr>
        <w:ind w:left="8208" w:hanging="180"/>
      </w:pPr>
    </w:lvl>
    <w:lvl w:ilvl="6" w:tplc="0C09000F" w:tentative="1">
      <w:start w:val="1"/>
      <w:numFmt w:val="decimal"/>
      <w:lvlText w:val="%7."/>
      <w:lvlJc w:val="left"/>
      <w:pPr>
        <w:ind w:left="8928" w:hanging="360"/>
      </w:pPr>
    </w:lvl>
    <w:lvl w:ilvl="7" w:tplc="0C090019" w:tentative="1">
      <w:start w:val="1"/>
      <w:numFmt w:val="lowerLetter"/>
      <w:lvlText w:val="%8."/>
      <w:lvlJc w:val="left"/>
      <w:pPr>
        <w:ind w:left="9648" w:hanging="360"/>
      </w:pPr>
    </w:lvl>
    <w:lvl w:ilvl="8" w:tplc="0C09001B" w:tentative="1">
      <w:start w:val="1"/>
      <w:numFmt w:val="lowerRoman"/>
      <w:lvlText w:val="%9."/>
      <w:lvlJc w:val="right"/>
      <w:pPr>
        <w:ind w:left="10368" w:hanging="180"/>
      </w:pPr>
    </w:lvl>
  </w:abstractNum>
  <w:abstractNum w:abstractNumId="37" w15:restartNumberingAfterBreak="0">
    <w:nsid w:val="756C6F0B"/>
    <w:multiLevelType w:val="singleLevel"/>
    <w:tmpl w:val="6E866CB8"/>
    <w:lvl w:ilvl="0">
      <w:start w:val="1"/>
      <w:numFmt w:val="lowerLetter"/>
      <w:lvlText w:val="(%1)"/>
      <w:lvlJc w:val="left"/>
      <w:pPr>
        <w:ind w:left="720" w:hanging="360"/>
      </w:pPr>
      <w:rPr>
        <w:rFonts w:ascii="Times New Roman" w:hAnsi="Times New Roman" w:hint="default"/>
        <w:b w:val="0"/>
        <w:i w:val="0"/>
        <w:sz w:val="24"/>
        <w:szCs w:val="24"/>
      </w:rPr>
    </w:lvl>
  </w:abstractNum>
  <w:abstractNum w:abstractNumId="38" w15:restartNumberingAfterBreak="0">
    <w:nsid w:val="78897FDB"/>
    <w:multiLevelType w:val="singleLevel"/>
    <w:tmpl w:val="6E866CB8"/>
    <w:lvl w:ilvl="0">
      <w:start w:val="1"/>
      <w:numFmt w:val="lowerLetter"/>
      <w:lvlText w:val="(%1)"/>
      <w:lvlJc w:val="left"/>
      <w:pPr>
        <w:ind w:left="360" w:hanging="360"/>
      </w:pPr>
      <w:rPr>
        <w:rFonts w:ascii="Times New Roman" w:hAnsi="Times New Roman" w:hint="default"/>
        <w:b w:val="0"/>
        <w:i w:val="0"/>
        <w:sz w:val="24"/>
        <w:szCs w:val="24"/>
      </w:rPr>
    </w:lvl>
  </w:abstractNum>
  <w:abstractNum w:abstractNumId="39" w15:restartNumberingAfterBreak="0">
    <w:nsid w:val="7BE131F1"/>
    <w:multiLevelType w:val="singleLevel"/>
    <w:tmpl w:val="3A983270"/>
    <w:lvl w:ilvl="0">
      <w:start w:val="1"/>
      <w:numFmt w:val="decimal"/>
      <w:lvlText w:val="%1."/>
      <w:lvlJc w:val="left"/>
      <w:pPr>
        <w:tabs>
          <w:tab w:val="num" w:pos="567"/>
        </w:tabs>
        <w:ind w:left="567" w:hanging="567"/>
      </w:pPr>
      <w:rPr>
        <w:rFonts w:ascii="Times New Roman" w:hAnsi="Times New Roman" w:cs="Times New Roman" w:hint="default"/>
        <w:b w:val="0"/>
        <w:i w:val="0"/>
        <w:strike w:val="0"/>
        <w:color w:val="auto"/>
      </w:rPr>
    </w:lvl>
  </w:abstractNum>
  <w:num w:numId="1" w16cid:durableId="1881701570">
    <w:abstractNumId w:val="35"/>
  </w:num>
  <w:num w:numId="2" w16cid:durableId="1614902852">
    <w:abstractNumId w:val="17"/>
  </w:num>
  <w:num w:numId="3" w16cid:durableId="1874269388">
    <w:abstractNumId w:val="5"/>
  </w:num>
  <w:num w:numId="4" w16cid:durableId="4208748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567691097">
    <w:abstractNumId w:val="24"/>
  </w:num>
  <w:num w:numId="6" w16cid:durableId="714889385">
    <w:abstractNumId w:val="33"/>
  </w:num>
  <w:num w:numId="7" w16cid:durableId="559439862">
    <w:abstractNumId w:val="6"/>
  </w:num>
  <w:num w:numId="8" w16cid:durableId="713579251">
    <w:abstractNumId w:val="36"/>
  </w:num>
  <w:num w:numId="9" w16cid:durableId="1637024518">
    <w:abstractNumId w:val="25"/>
  </w:num>
  <w:num w:numId="10" w16cid:durableId="485783744">
    <w:abstractNumId w:val="4"/>
  </w:num>
  <w:num w:numId="11" w16cid:durableId="1100032654">
    <w:abstractNumId w:val="16"/>
  </w:num>
  <w:num w:numId="12" w16cid:durableId="1345278481">
    <w:abstractNumId w:val="32"/>
  </w:num>
  <w:num w:numId="13" w16cid:durableId="772089661">
    <w:abstractNumId w:val="13"/>
  </w:num>
  <w:num w:numId="14" w16cid:durableId="1985356040">
    <w:abstractNumId w:val="31"/>
  </w:num>
  <w:num w:numId="15" w16cid:durableId="2001273146">
    <w:abstractNumId w:val="2"/>
  </w:num>
  <w:num w:numId="16" w16cid:durableId="772869122">
    <w:abstractNumId w:val="5"/>
    <w:lvlOverride w:ilvl="0">
      <w:startOverride w:val="1"/>
    </w:lvlOverride>
  </w:num>
  <w:num w:numId="17" w16cid:durableId="1714966300">
    <w:abstractNumId w:val="28"/>
  </w:num>
  <w:num w:numId="18" w16cid:durableId="723219443">
    <w:abstractNumId w:val="5"/>
    <w:lvlOverride w:ilvl="0">
      <w:startOverride w:val="1"/>
    </w:lvlOverride>
  </w:num>
  <w:num w:numId="19" w16cid:durableId="1883904654">
    <w:abstractNumId w:val="30"/>
  </w:num>
  <w:num w:numId="20" w16cid:durableId="1856337600">
    <w:abstractNumId w:val="38"/>
  </w:num>
  <w:num w:numId="21" w16cid:durableId="1997804276">
    <w:abstractNumId w:val="11"/>
  </w:num>
  <w:num w:numId="22" w16cid:durableId="1174609565">
    <w:abstractNumId w:val="18"/>
  </w:num>
  <w:num w:numId="23" w16cid:durableId="684866608">
    <w:abstractNumId w:val="1"/>
  </w:num>
  <w:num w:numId="24" w16cid:durableId="1082800822">
    <w:abstractNumId w:val="37"/>
  </w:num>
  <w:num w:numId="25" w16cid:durableId="592052979">
    <w:abstractNumId w:val="10"/>
  </w:num>
  <w:num w:numId="26" w16cid:durableId="1162892009">
    <w:abstractNumId w:val="29"/>
  </w:num>
  <w:num w:numId="27" w16cid:durableId="159736952">
    <w:abstractNumId w:val="20"/>
  </w:num>
  <w:num w:numId="28" w16cid:durableId="339816990">
    <w:abstractNumId w:val="34"/>
  </w:num>
  <w:num w:numId="29" w16cid:durableId="1442796702">
    <w:abstractNumId w:val="9"/>
  </w:num>
  <w:num w:numId="30" w16cid:durableId="1837914673">
    <w:abstractNumId w:val="12"/>
  </w:num>
  <w:num w:numId="31" w16cid:durableId="1218199444">
    <w:abstractNumId w:val="22"/>
  </w:num>
  <w:num w:numId="32" w16cid:durableId="1281107188">
    <w:abstractNumId w:val="15"/>
  </w:num>
  <w:num w:numId="33" w16cid:durableId="1521966601">
    <w:abstractNumId w:val="23"/>
  </w:num>
  <w:num w:numId="34" w16cid:durableId="1268392336">
    <w:abstractNumId w:val="7"/>
  </w:num>
  <w:num w:numId="35" w16cid:durableId="1153521904">
    <w:abstractNumId w:val="8"/>
  </w:num>
  <w:num w:numId="36" w16cid:durableId="1078206395">
    <w:abstractNumId w:val="19"/>
  </w:num>
  <w:num w:numId="37" w16cid:durableId="1981692022">
    <w:abstractNumId w:val="27"/>
  </w:num>
  <w:num w:numId="38" w16cid:durableId="1463646203">
    <w:abstractNumId w:val="27"/>
    <w:lvlOverride w:ilvl="0">
      <w:startOverride w:val="1"/>
    </w:lvlOverride>
  </w:num>
  <w:num w:numId="39" w16cid:durableId="1032607056">
    <w:abstractNumId w:val="8"/>
    <w:lvlOverride w:ilvl="0">
      <w:startOverride w:val="1"/>
    </w:lvlOverride>
  </w:num>
  <w:num w:numId="40" w16cid:durableId="862790655">
    <w:abstractNumId w:val="8"/>
    <w:lvlOverride w:ilvl="0">
      <w:startOverride w:val="1"/>
    </w:lvlOverride>
  </w:num>
  <w:num w:numId="41" w16cid:durableId="361051720">
    <w:abstractNumId w:val="27"/>
    <w:lvlOverride w:ilvl="0">
      <w:startOverride w:val="1"/>
    </w:lvlOverride>
  </w:num>
  <w:num w:numId="42" w16cid:durableId="894975668">
    <w:abstractNumId w:val="3"/>
  </w:num>
  <w:num w:numId="43" w16cid:durableId="1124230419">
    <w:abstractNumId w:val="14"/>
  </w:num>
  <w:num w:numId="44" w16cid:durableId="1297907580">
    <w:abstractNumId w:val="27"/>
    <w:lvlOverride w:ilvl="0">
      <w:startOverride w:val="1"/>
    </w:lvlOverride>
  </w:num>
  <w:num w:numId="45" w16cid:durableId="380596862">
    <w:abstractNumId w:val="21"/>
  </w:num>
  <w:num w:numId="46" w16cid:durableId="307175832">
    <w:abstractNumId w:val="8"/>
    <w:lvlOverride w:ilvl="0">
      <w:startOverride w:val="1"/>
    </w:lvlOverride>
  </w:num>
  <w:num w:numId="47" w16cid:durableId="2084791751">
    <w:abstractNumId w:val="8"/>
    <w:lvlOverride w:ilvl="0">
      <w:startOverride w:val="1"/>
    </w:lvlOverride>
  </w:num>
  <w:num w:numId="48" w16cid:durableId="1180698693">
    <w:abstractNumId w:val="27"/>
    <w:lvlOverride w:ilvl="0">
      <w:startOverride w:val="1"/>
    </w:lvlOverride>
  </w:num>
  <w:num w:numId="49" w16cid:durableId="1568297802">
    <w:abstractNumId w:val="27"/>
    <w:lvlOverride w:ilvl="0">
      <w:startOverride w:val="1"/>
    </w:lvlOverride>
  </w:num>
  <w:num w:numId="50" w16cid:durableId="500319653">
    <w:abstractNumId w:val="39"/>
  </w:num>
  <w:num w:numId="51" w16cid:durableId="81802619">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67"/>
  <w:noPunctuationKerning/>
  <w:characterSpacingControl w:val="doNotCompress"/>
  <w:hdrShapeDefaults>
    <o:shapedefaults v:ext="edit" spidmax="2222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3CB"/>
    <w:rsid w:val="00000181"/>
    <w:rsid w:val="00000395"/>
    <w:rsid w:val="000007D2"/>
    <w:rsid w:val="00001020"/>
    <w:rsid w:val="000010FE"/>
    <w:rsid w:val="0000117B"/>
    <w:rsid w:val="000021C7"/>
    <w:rsid w:val="0000238F"/>
    <w:rsid w:val="000024D9"/>
    <w:rsid w:val="0000275B"/>
    <w:rsid w:val="00002BDF"/>
    <w:rsid w:val="00003569"/>
    <w:rsid w:val="000038A9"/>
    <w:rsid w:val="000043FF"/>
    <w:rsid w:val="000045E3"/>
    <w:rsid w:val="000047BA"/>
    <w:rsid w:val="0000495F"/>
    <w:rsid w:val="00005250"/>
    <w:rsid w:val="000059F3"/>
    <w:rsid w:val="0000630D"/>
    <w:rsid w:val="00007443"/>
    <w:rsid w:val="000101EF"/>
    <w:rsid w:val="0001023C"/>
    <w:rsid w:val="00011096"/>
    <w:rsid w:val="000110D3"/>
    <w:rsid w:val="00011624"/>
    <w:rsid w:val="00012416"/>
    <w:rsid w:val="000127BD"/>
    <w:rsid w:val="00012EC6"/>
    <w:rsid w:val="00012FBF"/>
    <w:rsid w:val="000133E6"/>
    <w:rsid w:val="0001354E"/>
    <w:rsid w:val="000137FB"/>
    <w:rsid w:val="00013F62"/>
    <w:rsid w:val="000140C0"/>
    <w:rsid w:val="00015B55"/>
    <w:rsid w:val="00016524"/>
    <w:rsid w:val="00016593"/>
    <w:rsid w:val="00016EFE"/>
    <w:rsid w:val="00016FAC"/>
    <w:rsid w:val="0002001C"/>
    <w:rsid w:val="00020766"/>
    <w:rsid w:val="000213F1"/>
    <w:rsid w:val="00021761"/>
    <w:rsid w:val="00022AD8"/>
    <w:rsid w:val="00023228"/>
    <w:rsid w:val="00024005"/>
    <w:rsid w:val="000245ED"/>
    <w:rsid w:val="00025741"/>
    <w:rsid w:val="00025A5E"/>
    <w:rsid w:val="00026951"/>
    <w:rsid w:val="00026B50"/>
    <w:rsid w:val="0003081F"/>
    <w:rsid w:val="00030CD4"/>
    <w:rsid w:val="00031D0B"/>
    <w:rsid w:val="00032568"/>
    <w:rsid w:val="000325F4"/>
    <w:rsid w:val="00032F14"/>
    <w:rsid w:val="00034EDC"/>
    <w:rsid w:val="00035745"/>
    <w:rsid w:val="0003664C"/>
    <w:rsid w:val="00036D06"/>
    <w:rsid w:val="00036E3C"/>
    <w:rsid w:val="0003711C"/>
    <w:rsid w:val="00037970"/>
    <w:rsid w:val="00037BBF"/>
    <w:rsid w:val="00037D6A"/>
    <w:rsid w:val="000407FC"/>
    <w:rsid w:val="00040BF4"/>
    <w:rsid w:val="000410FA"/>
    <w:rsid w:val="0004149A"/>
    <w:rsid w:val="00041663"/>
    <w:rsid w:val="00041BBE"/>
    <w:rsid w:val="000421F4"/>
    <w:rsid w:val="00042437"/>
    <w:rsid w:val="000424BD"/>
    <w:rsid w:val="00042995"/>
    <w:rsid w:val="0004331D"/>
    <w:rsid w:val="000434DF"/>
    <w:rsid w:val="00043DFE"/>
    <w:rsid w:val="00044216"/>
    <w:rsid w:val="00045121"/>
    <w:rsid w:val="0004543C"/>
    <w:rsid w:val="00045453"/>
    <w:rsid w:val="00046A34"/>
    <w:rsid w:val="00046E40"/>
    <w:rsid w:val="00046F4A"/>
    <w:rsid w:val="00047B63"/>
    <w:rsid w:val="0005115F"/>
    <w:rsid w:val="00051520"/>
    <w:rsid w:val="00051527"/>
    <w:rsid w:val="000520D1"/>
    <w:rsid w:val="000521D5"/>
    <w:rsid w:val="00052B98"/>
    <w:rsid w:val="000542DD"/>
    <w:rsid w:val="00055490"/>
    <w:rsid w:val="00055703"/>
    <w:rsid w:val="00055ED3"/>
    <w:rsid w:val="00056744"/>
    <w:rsid w:val="00056C87"/>
    <w:rsid w:val="00056D69"/>
    <w:rsid w:val="000576B8"/>
    <w:rsid w:val="00057E74"/>
    <w:rsid w:val="0006072A"/>
    <w:rsid w:val="00060A6F"/>
    <w:rsid w:val="000610FA"/>
    <w:rsid w:val="0006158B"/>
    <w:rsid w:val="00064240"/>
    <w:rsid w:val="0006447B"/>
    <w:rsid w:val="00064AA4"/>
    <w:rsid w:val="00065DCC"/>
    <w:rsid w:val="00065E39"/>
    <w:rsid w:val="00066559"/>
    <w:rsid w:val="0006661E"/>
    <w:rsid w:val="000669DD"/>
    <w:rsid w:val="0006749F"/>
    <w:rsid w:val="00067BF2"/>
    <w:rsid w:val="00070A64"/>
    <w:rsid w:val="0007115A"/>
    <w:rsid w:val="000715D5"/>
    <w:rsid w:val="0007217C"/>
    <w:rsid w:val="00072670"/>
    <w:rsid w:val="00072799"/>
    <w:rsid w:val="000727D0"/>
    <w:rsid w:val="000752AA"/>
    <w:rsid w:val="0007696C"/>
    <w:rsid w:val="000776E4"/>
    <w:rsid w:val="00077E5D"/>
    <w:rsid w:val="000803A2"/>
    <w:rsid w:val="00080412"/>
    <w:rsid w:val="00080588"/>
    <w:rsid w:val="0008065F"/>
    <w:rsid w:val="00080CB9"/>
    <w:rsid w:val="0008156C"/>
    <w:rsid w:val="00081802"/>
    <w:rsid w:val="00082EB7"/>
    <w:rsid w:val="00082F0F"/>
    <w:rsid w:val="000832B9"/>
    <w:rsid w:val="00083E13"/>
    <w:rsid w:val="00084293"/>
    <w:rsid w:val="00084953"/>
    <w:rsid w:val="00084EC3"/>
    <w:rsid w:val="0008673E"/>
    <w:rsid w:val="0008719A"/>
    <w:rsid w:val="00087323"/>
    <w:rsid w:val="00087C88"/>
    <w:rsid w:val="00087D10"/>
    <w:rsid w:val="00090027"/>
    <w:rsid w:val="0009046B"/>
    <w:rsid w:val="00090479"/>
    <w:rsid w:val="00090F82"/>
    <w:rsid w:val="00091055"/>
    <w:rsid w:val="00091096"/>
    <w:rsid w:val="00091168"/>
    <w:rsid w:val="000923FD"/>
    <w:rsid w:val="0009258D"/>
    <w:rsid w:val="00092987"/>
    <w:rsid w:val="00092D61"/>
    <w:rsid w:val="00092F34"/>
    <w:rsid w:val="00092FED"/>
    <w:rsid w:val="0009340B"/>
    <w:rsid w:val="0009538A"/>
    <w:rsid w:val="00096B80"/>
    <w:rsid w:val="00097B6A"/>
    <w:rsid w:val="000A0374"/>
    <w:rsid w:val="000A0F02"/>
    <w:rsid w:val="000A1E52"/>
    <w:rsid w:val="000A1E97"/>
    <w:rsid w:val="000A2FE1"/>
    <w:rsid w:val="000A3E82"/>
    <w:rsid w:val="000A3F41"/>
    <w:rsid w:val="000A40A1"/>
    <w:rsid w:val="000A4D35"/>
    <w:rsid w:val="000A4DCD"/>
    <w:rsid w:val="000A5299"/>
    <w:rsid w:val="000A564F"/>
    <w:rsid w:val="000A5A7F"/>
    <w:rsid w:val="000A6F8A"/>
    <w:rsid w:val="000A731A"/>
    <w:rsid w:val="000A7AEE"/>
    <w:rsid w:val="000A7B32"/>
    <w:rsid w:val="000A7CAF"/>
    <w:rsid w:val="000A7FD5"/>
    <w:rsid w:val="000B18F9"/>
    <w:rsid w:val="000B2E37"/>
    <w:rsid w:val="000B32B2"/>
    <w:rsid w:val="000B372C"/>
    <w:rsid w:val="000B3FAA"/>
    <w:rsid w:val="000B626E"/>
    <w:rsid w:val="000B7A2A"/>
    <w:rsid w:val="000C06DF"/>
    <w:rsid w:val="000C0DE8"/>
    <w:rsid w:val="000C18D2"/>
    <w:rsid w:val="000C1A14"/>
    <w:rsid w:val="000C1E0C"/>
    <w:rsid w:val="000C2675"/>
    <w:rsid w:val="000C2704"/>
    <w:rsid w:val="000C3505"/>
    <w:rsid w:val="000C43E0"/>
    <w:rsid w:val="000C55CD"/>
    <w:rsid w:val="000C5960"/>
    <w:rsid w:val="000C5D25"/>
    <w:rsid w:val="000C65FB"/>
    <w:rsid w:val="000C6D09"/>
    <w:rsid w:val="000C7553"/>
    <w:rsid w:val="000D0417"/>
    <w:rsid w:val="000D073A"/>
    <w:rsid w:val="000D0AC1"/>
    <w:rsid w:val="000D1708"/>
    <w:rsid w:val="000D2272"/>
    <w:rsid w:val="000D2B6F"/>
    <w:rsid w:val="000D35DF"/>
    <w:rsid w:val="000D3C73"/>
    <w:rsid w:val="000D42E6"/>
    <w:rsid w:val="000D4820"/>
    <w:rsid w:val="000D57A5"/>
    <w:rsid w:val="000D5B21"/>
    <w:rsid w:val="000D5DA2"/>
    <w:rsid w:val="000D61BD"/>
    <w:rsid w:val="000D62E7"/>
    <w:rsid w:val="000D693F"/>
    <w:rsid w:val="000D6AF7"/>
    <w:rsid w:val="000D6DF2"/>
    <w:rsid w:val="000D70B8"/>
    <w:rsid w:val="000D72C9"/>
    <w:rsid w:val="000D7CE1"/>
    <w:rsid w:val="000E08A6"/>
    <w:rsid w:val="000E0EE0"/>
    <w:rsid w:val="000E168F"/>
    <w:rsid w:val="000E1756"/>
    <w:rsid w:val="000E1770"/>
    <w:rsid w:val="000E1820"/>
    <w:rsid w:val="000E23BF"/>
    <w:rsid w:val="000E30AC"/>
    <w:rsid w:val="000E34B9"/>
    <w:rsid w:val="000E3947"/>
    <w:rsid w:val="000E401B"/>
    <w:rsid w:val="000E441F"/>
    <w:rsid w:val="000E482F"/>
    <w:rsid w:val="000E4BAD"/>
    <w:rsid w:val="000E4E2F"/>
    <w:rsid w:val="000E4F04"/>
    <w:rsid w:val="000E4FC9"/>
    <w:rsid w:val="000E511D"/>
    <w:rsid w:val="000E5392"/>
    <w:rsid w:val="000E5C35"/>
    <w:rsid w:val="000E5CFC"/>
    <w:rsid w:val="000E63AF"/>
    <w:rsid w:val="000E6442"/>
    <w:rsid w:val="000E66D2"/>
    <w:rsid w:val="000E710D"/>
    <w:rsid w:val="000E79B2"/>
    <w:rsid w:val="000E7EDC"/>
    <w:rsid w:val="000F0A4C"/>
    <w:rsid w:val="000F1392"/>
    <w:rsid w:val="000F1D93"/>
    <w:rsid w:val="000F1E83"/>
    <w:rsid w:val="000F2375"/>
    <w:rsid w:val="000F2411"/>
    <w:rsid w:val="000F307B"/>
    <w:rsid w:val="000F4D87"/>
    <w:rsid w:val="000F517F"/>
    <w:rsid w:val="000F574D"/>
    <w:rsid w:val="000F617D"/>
    <w:rsid w:val="000F65B3"/>
    <w:rsid w:val="000F68B3"/>
    <w:rsid w:val="000F75DC"/>
    <w:rsid w:val="001003AB"/>
    <w:rsid w:val="00100697"/>
    <w:rsid w:val="00101133"/>
    <w:rsid w:val="00101165"/>
    <w:rsid w:val="00101614"/>
    <w:rsid w:val="0010268E"/>
    <w:rsid w:val="00102D92"/>
    <w:rsid w:val="0010365D"/>
    <w:rsid w:val="00103A96"/>
    <w:rsid w:val="00103C04"/>
    <w:rsid w:val="00103C7A"/>
    <w:rsid w:val="00104443"/>
    <w:rsid w:val="00104EC5"/>
    <w:rsid w:val="0010574E"/>
    <w:rsid w:val="00106136"/>
    <w:rsid w:val="00106B13"/>
    <w:rsid w:val="00107099"/>
    <w:rsid w:val="001073C9"/>
    <w:rsid w:val="00107708"/>
    <w:rsid w:val="0010771A"/>
    <w:rsid w:val="00110BD2"/>
    <w:rsid w:val="00111A6A"/>
    <w:rsid w:val="00112124"/>
    <w:rsid w:val="00112A7A"/>
    <w:rsid w:val="00112F64"/>
    <w:rsid w:val="00113758"/>
    <w:rsid w:val="00113B7A"/>
    <w:rsid w:val="00113F5B"/>
    <w:rsid w:val="00114090"/>
    <w:rsid w:val="0011525B"/>
    <w:rsid w:val="0011526B"/>
    <w:rsid w:val="0011678B"/>
    <w:rsid w:val="00117500"/>
    <w:rsid w:val="00120ADB"/>
    <w:rsid w:val="001216B6"/>
    <w:rsid w:val="00121A69"/>
    <w:rsid w:val="00122A6D"/>
    <w:rsid w:val="001236E8"/>
    <w:rsid w:val="00124D5E"/>
    <w:rsid w:val="00124F48"/>
    <w:rsid w:val="00125F18"/>
    <w:rsid w:val="00126699"/>
    <w:rsid w:val="0012674F"/>
    <w:rsid w:val="00126EA2"/>
    <w:rsid w:val="00127605"/>
    <w:rsid w:val="00130290"/>
    <w:rsid w:val="00130362"/>
    <w:rsid w:val="00130C82"/>
    <w:rsid w:val="00130F06"/>
    <w:rsid w:val="001326C4"/>
    <w:rsid w:val="001328EF"/>
    <w:rsid w:val="0013330B"/>
    <w:rsid w:val="00133F44"/>
    <w:rsid w:val="001343FF"/>
    <w:rsid w:val="00135A69"/>
    <w:rsid w:val="00135C8C"/>
    <w:rsid w:val="0013604C"/>
    <w:rsid w:val="00136375"/>
    <w:rsid w:val="001365C4"/>
    <w:rsid w:val="00136AC2"/>
    <w:rsid w:val="00137226"/>
    <w:rsid w:val="001405DA"/>
    <w:rsid w:val="00140D3C"/>
    <w:rsid w:val="00141164"/>
    <w:rsid w:val="00142588"/>
    <w:rsid w:val="001427B2"/>
    <w:rsid w:val="0014356B"/>
    <w:rsid w:val="0014541A"/>
    <w:rsid w:val="0014565E"/>
    <w:rsid w:val="00145794"/>
    <w:rsid w:val="00145925"/>
    <w:rsid w:val="00145B91"/>
    <w:rsid w:val="00146011"/>
    <w:rsid w:val="00146695"/>
    <w:rsid w:val="001471F1"/>
    <w:rsid w:val="0014799D"/>
    <w:rsid w:val="00150C39"/>
    <w:rsid w:val="00150C91"/>
    <w:rsid w:val="00151997"/>
    <w:rsid w:val="001527EE"/>
    <w:rsid w:val="00152AAC"/>
    <w:rsid w:val="00152F9C"/>
    <w:rsid w:val="0015307F"/>
    <w:rsid w:val="001532B2"/>
    <w:rsid w:val="0015359A"/>
    <w:rsid w:val="00154F00"/>
    <w:rsid w:val="00155413"/>
    <w:rsid w:val="001555FF"/>
    <w:rsid w:val="00156228"/>
    <w:rsid w:val="001562DC"/>
    <w:rsid w:val="001564F0"/>
    <w:rsid w:val="001567D5"/>
    <w:rsid w:val="00156EE1"/>
    <w:rsid w:val="00157128"/>
    <w:rsid w:val="00157335"/>
    <w:rsid w:val="001608F1"/>
    <w:rsid w:val="00160F66"/>
    <w:rsid w:val="00161067"/>
    <w:rsid w:val="001610C2"/>
    <w:rsid w:val="00161375"/>
    <w:rsid w:val="00161573"/>
    <w:rsid w:val="00161881"/>
    <w:rsid w:val="00162906"/>
    <w:rsid w:val="00163448"/>
    <w:rsid w:val="001637B9"/>
    <w:rsid w:val="00163D9E"/>
    <w:rsid w:val="00164B6A"/>
    <w:rsid w:val="00164E10"/>
    <w:rsid w:val="00165D0F"/>
    <w:rsid w:val="001662CB"/>
    <w:rsid w:val="0016678B"/>
    <w:rsid w:val="0016687F"/>
    <w:rsid w:val="0016720F"/>
    <w:rsid w:val="001674FA"/>
    <w:rsid w:val="001704D3"/>
    <w:rsid w:val="00170906"/>
    <w:rsid w:val="00170F92"/>
    <w:rsid w:val="00171D0E"/>
    <w:rsid w:val="00171FB2"/>
    <w:rsid w:val="00172042"/>
    <w:rsid w:val="00172C8D"/>
    <w:rsid w:val="00172EB9"/>
    <w:rsid w:val="00172EDC"/>
    <w:rsid w:val="00173330"/>
    <w:rsid w:val="00173362"/>
    <w:rsid w:val="00173B55"/>
    <w:rsid w:val="00173E9E"/>
    <w:rsid w:val="00173F45"/>
    <w:rsid w:val="00175292"/>
    <w:rsid w:val="00175ED1"/>
    <w:rsid w:val="00176776"/>
    <w:rsid w:val="00176ECC"/>
    <w:rsid w:val="001803DD"/>
    <w:rsid w:val="00180705"/>
    <w:rsid w:val="001812D7"/>
    <w:rsid w:val="001816C2"/>
    <w:rsid w:val="001817AB"/>
    <w:rsid w:val="001823D0"/>
    <w:rsid w:val="00183434"/>
    <w:rsid w:val="001839CF"/>
    <w:rsid w:val="001844DB"/>
    <w:rsid w:val="00185F19"/>
    <w:rsid w:val="001860BA"/>
    <w:rsid w:val="00186A49"/>
    <w:rsid w:val="00186AE8"/>
    <w:rsid w:val="00186B01"/>
    <w:rsid w:val="00186D59"/>
    <w:rsid w:val="00186E5D"/>
    <w:rsid w:val="001908CB"/>
    <w:rsid w:val="001917EA"/>
    <w:rsid w:val="001919BA"/>
    <w:rsid w:val="001925E3"/>
    <w:rsid w:val="001931C1"/>
    <w:rsid w:val="00193452"/>
    <w:rsid w:val="0019382F"/>
    <w:rsid w:val="0019683C"/>
    <w:rsid w:val="00196C0F"/>
    <w:rsid w:val="00196DBD"/>
    <w:rsid w:val="001976F4"/>
    <w:rsid w:val="00197E8B"/>
    <w:rsid w:val="001A06E1"/>
    <w:rsid w:val="001A1DA0"/>
    <w:rsid w:val="001A299D"/>
    <w:rsid w:val="001A2B4F"/>
    <w:rsid w:val="001A4685"/>
    <w:rsid w:val="001A4A8F"/>
    <w:rsid w:val="001A4F02"/>
    <w:rsid w:val="001A5258"/>
    <w:rsid w:val="001A6159"/>
    <w:rsid w:val="001A63BA"/>
    <w:rsid w:val="001A6985"/>
    <w:rsid w:val="001A6AE4"/>
    <w:rsid w:val="001A6B6A"/>
    <w:rsid w:val="001A7143"/>
    <w:rsid w:val="001A71BA"/>
    <w:rsid w:val="001A72A3"/>
    <w:rsid w:val="001A76E0"/>
    <w:rsid w:val="001A78D1"/>
    <w:rsid w:val="001A7EE8"/>
    <w:rsid w:val="001B010B"/>
    <w:rsid w:val="001B1312"/>
    <w:rsid w:val="001B26D0"/>
    <w:rsid w:val="001B2AAC"/>
    <w:rsid w:val="001B2DE0"/>
    <w:rsid w:val="001B38C1"/>
    <w:rsid w:val="001B40B2"/>
    <w:rsid w:val="001B4FC4"/>
    <w:rsid w:val="001B5541"/>
    <w:rsid w:val="001B598A"/>
    <w:rsid w:val="001B647B"/>
    <w:rsid w:val="001B66E2"/>
    <w:rsid w:val="001B6ACC"/>
    <w:rsid w:val="001B6BC9"/>
    <w:rsid w:val="001B7034"/>
    <w:rsid w:val="001B7352"/>
    <w:rsid w:val="001B7F7B"/>
    <w:rsid w:val="001C1C34"/>
    <w:rsid w:val="001C20D2"/>
    <w:rsid w:val="001C2223"/>
    <w:rsid w:val="001C24DD"/>
    <w:rsid w:val="001C2946"/>
    <w:rsid w:val="001C29AA"/>
    <w:rsid w:val="001C3A5A"/>
    <w:rsid w:val="001C4082"/>
    <w:rsid w:val="001C41B2"/>
    <w:rsid w:val="001C42C2"/>
    <w:rsid w:val="001C4693"/>
    <w:rsid w:val="001C55E8"/>
    <w:rsid w:val="001C56AF"/>
    <w:rsid w:val="001C5A92"/>
    <w:rsid w:val="001C5B82"/>
    <w:rsid w:val="001C5C18"/>
    <w:rsid w:val="001C6078"/>
    <w:rsid w:val="001C695E"/>
    <w:rsid w:val="001D0280"/>
    <w:rsid w:val="001D077C"/>
    <w:rsid w:val="001D0AF0"/>
    <w:rsid w:val="001D198E"/>
    <w:rsid w:val="001D2B98"/>
    <w:rsid w:val="001D38B0"/>
    <w:rsid w:val="001D3B54"/>
    <w:rsid w:val="001D408C"/>
    <w:rsid w:val="001D480A"/>
    <w:rsid w:val="001D6408"/>
    <w:rsid w:val="001D67D7"/>
    <w:rsid w:val="001D717A"/>
    <w:rsid w:val="001D7703"/>
    <w:rsid w:val="001D7DF6"/>
    <w:rsid w:val="001E1D82"/>
    <w:rsid w:val="001E2473"/>
    <w:rsid w:val="001E2DB7"/>
    <w:rsid w:val="001E2F2C"/>
    <w:rsid w:val="001E33F5"/>
    <w:rsid w:val="001E3C0F"/>
    <w:rsid w:val="001E3EB2"/>
    <w:rsid w:val="001E40F7"/>
    <w:rsid w:val="001E41D1"/>
    <w:rsid w:val="001E423F"/>
    <w:rsid w:val="001E4608"/>
    <w:rsid w:val="001E4C2A"/>
    <w:rsid w:val="001E4F99"/>
    <w:rsid w:val="001E651B"/>
    <w:rsid w:val="001E791A"/>
    <w:rsid w:val="001E7D65"/>
    <w:rsid w:val="001F05C8"/>
    <w:rsid w:val="001F0D99"/>
    <w:rsid w:val="001F100C"/>
    <w:rsid w:val="001F149A"/>
    <w:rsid w:val="001F20A0"/>
    <w:rsid w:val="001F2185"/>
    <w:rsid w:val="001F2509"/>
    <w:rsid w:val="001F26D3"/>
    <w:rsid w:val="001F27CB"/>
    <w:rsid w:val="001F2C0D"/>
    <w:rsid w:val="001F45B7"/>
    <w:rsid w:val="001F473E"/>
    <w:rsid w:val="001F4967"/>
    <w:rsid w:val="001F49A2"/>
    <w:rsid w:val="001F4CAE"/>
    <w:rsid w:val="001F543D"/>
    <w:rsid w:val="001F5600"/>
    <w:rsid w:val="001F57EE"/>
    <w:rsid w:val="001F6227"/>
    <w:rsid w:val="001F687B"/>
    <w:rsid w:val="001F6A5E"/>
    <w:rsid w:val="001F7194"/>
    <w:rsid w:val="001F76BF"/>
    <w:rsid w:val="00200AEF"/>
    <w:rsid w:val="00200E41"/>
    <w:rsid w:val="00201226"/>
    <w:rsid w:val="00201831"/>
    <w:rsid w:val="00201899"/>
    <w:rsid w:val="00201C74"/>
    <w:rsid w:val="0020209A"/>
    <w:rsid w:val="0020210B"/>
    <w:rsid w:val="002021BC"/>
    <w:rsid w:val="00202AB6"/>
    <w:rsid w:val="00202C62"/>
    <w:rsid w:val="00202F19"/>
    <w:rsid w:val="00203447"/>
    <w:rsid w:val="002039DF"/>
    <w:rsid w:val="00205029"/>
    <w:rsid w:val="0020590B"/>
    <w:rsid w:val="002071A6"/>
    <w:rsid w:val="002101DE"/>
    <w:rsid w:val="002101FF"/>
    <w:rsid w:val="00210897"/>
    <w:rsid w:val="00210F87"/>
    <w:rsid w:val="00211D6B"/>
    <w:rsid w:val="00211EC5"/>
    <w:rsid w:val="00212336"/>
    <w:rsid w:val="00212360"/>
    <w:rsid w:val="002126CB"/>
    <w:rsid w:val="002135B7"/>
    <w:rsid w:val="00213A14"/>
    <w:rsid w:val="00213A77"/>
    <w:rsid w:val="00213A84"/>
    <w:rsid w:val="00213B7C"/>
    <w:rsid w:val="00213CA0"/>
    <w:rsid w:val="00213DC4"/>
    <w:rsid w:val="00213F39"/>
    <w:rsid w:val="00214B08"/>
    <w:rsid w:val="00215053"/>
    <w:rsid w:val="0021524D"/>
    <w:rsid w:val="00215DD5"/>
    <w:rsid w:val="00215E1C"/>
    <w:rsid w:val="00216137"/>
    <w:rsid w:val="002162C3"/>
    <w:rsid w:val="002167B0"/>
    <w:rsid w:val="00217188"/>
    <w:rsid w:val="0021783A"/>
    <w:rsid w:val="00217876"/>
    <w:rsid w:val="00220E3E"/>
    <w:rsid w:val="00221FB8"/>
    <w:rsid w:val="00222292"/>
    <w:rsid w:val="002223EF"/>
    <w:rsid w:val="00223441"/>
    <w:rsid w:val="00223D52"/>
    <w:rsid w:val="00224132"/>
    <w:rsid w:val="00224320"/>
    <w:rsid w:val="00224E1A"/>
    <w:rsid w:val="00224EFC"/>
    <w:rsid w:val="00225678"/>
    <w:rsid w:val="00225F7D"/>
    <w:rsid w:val="002260B1"/>
    <w:rsid w:val="0022630D"/>
    <w:rsid w:val="002265FA"/>
    <w:rsid w:val="00226695"/>
    <w:rsid w:val="00226740"/>
    <w:rsid w:val="00226A4E"/>
    <w:rsid w:val="002273B9"/>
    <w:rsid w:val="0022762C"/>
    <w:rsid w:val="00227DC5"/>
    <w:rsid w:val="00231162"/>
    <w:rsid w:val="002311C5"/>
    <w:rsid w:val="002313D6"/>
    <w:rsid w:val="00231414"/>
    <w:rsid w:val="00231E92"/>
    <w:rsid w:val="00233572"/>
    <w:rsid w:val="002336EA"/>
    <w:rsid w:val="0023373F"/>
    <w:rsid w:val="00233F23"/>
    <w:rsid w:val="00234DB8"/>
    <w:rsid w:val="00235110"/>
    <w:rsid w:val="0023513F"/>
    <w:rsid w:val="00235565"/>
    <w:rsid w:val="00236652"/>
    <w:rsid w:val="0023689E"/>
    <w:rsid w:val="00236BDD"/>
    <w:rsid w:val="002370AB"/>
    <w:rsid w:val="002374A4"/>
    <w:rsid w:val="00237942"/>
    <w:rsid w:val="00240493"/>
    <w:rsid w:val="0024101E"/>
    <w:rsid w:val="00241823"/>
    <w:rsid w:val="0024278C"/>
    <w:rsid w:val="00243968"/>
    <w:rsid w:val="0024398B"/>
    <w:rsid w:val="00243CCB"/>
    <w:rsid w:val="00244287"/>
    <w:rsid w:val="002455C1"/>
    <w:rsid w:val="00245B4D"/>
    <w:rsid w:val="00246244"/>
    <w:rsid w:val="0024627B"/>
    <w:rsid w:val="002464D4"/>
    <w:rsid w:val="0024697C"/>
    <w:rsid w:val="00250D63"/>
    <w:rsid w:val="00250F4E"/>
    <w:rsid w:val="0025190F"/>
    <w:rsid w:val="00252EDA"/>
    <w:rsid w:val="0025302C"/>
    <w:rsid w:val="00253D58"/>
    <w:rsid w:val="00254E0B"/>
    <w:rsid w:val="00254E90"/>
    <w:rsid w:val="00255074"/>
    <w:rsid w:val="002567D0"/>
    <w:rsid w:val="0025732E"/>
    <w:rsid w:val="002577AA"/>
    <w:rsid w:val="00257E98"/>
    <w:rsid w:val="002603DF"/>
    <w:rsid w:val="002605CE"/>
    <w:rsid w:val="00261AED"/>
    <w:rsid w:val="002631F8"/>
    <w:rsid w:val="0026331B"/>
    <w:rsid w:val="00263CD4"/>
    <w:rsid w:val="00264117"/>
    <w:rsid w:val="00265070"/>
    <w:rsid w:val="002653F8"/>
    <w:rsid w:val="00265950"/>
    <w:rsid w:val="0026625D"/>
    <w:rsid w:val="0026634A"/>
    <w:rsid w:val="002663FA"/>
    <w:rsid w:val="002664F2"/>
    <w:rsid w:val="00266511"/>
    <w:rsid w:val="0026771D"/>
    <w:rsid w:val="002677F6"/>
    <w:rsid w:val="00267CF2"/>
    <w:rsid w:val="00270465"/>
    <w:rsid w:val="002705CC"/>
    <w:rsid w:val="00270D35"/>
    <w:rsid w:val="00271A49"/>
    <w:rsid w:val="00271B3D"/>
    <w:rsid w:val="0027286B"/>
    <w:rsid w:val="0027306F"/>
    <w:rsid w:val="002730A0"/>
    <w:rsid w:val="002732B8"/>
    <w:rsid w:val="00273783"/>
    <w:rsid w:val="00273F9D"/>
    <w:rsid w:val="002740AB"/>
    <w:rsid w:val="002747F8"/>
    <w:rsid w:val="002749D8"/>
    <w:rsid w:val="00274D08"/>
    <w:rsid w:val="00275A45"/>
    <w:rsid w:val="00275EA5"/>
    <w:rsid w:val="0027741F"/>
    <w:rsid w:val="002775F3"/>
    <w:rsid w:val="0027760C"/>
    <w:rsid w:val="00277655"/>
    <w:rsid w:val="00277801"/>
    <w:rsid w:val="00277AA4"/>
    <w:rsid w:val="002801F7"/>
    <w:rsid w:val="0028130C"/>
    <w:rsid w:val="00281CF7"/>
    <w:rsid w:val="00282056"/>
    <w:rsid w:val="00282654"/>
    <w:rsid w:val="002836BE"/>
    <w:rsid w:val="00284159"/>
    <w:rsid w:val="00285111"/>
    <w:rsid w:val="00285137"/>
    <w:rsid w:val="00285661"/>
    <w:rsid w:val="00286041"/>
    <w:rsid w:val="002870FC"/>
    <w:rsid w:val="002874D6"/>
    <w:rsid w:val="002901B0"/>
    <w:rsid w:val="00290263"/>
    <w:rsid w:val="00290CDF"/>
    <w:rsid w:val="0029165D"/>
    <w:rsid w:val="00291988"/>
    <w:rsid w:val="00291F7C"/>
    <w:rsid w:val="00293F53"/>
    <w:rsid w:val="00294F3D"/>
    <w:rsid w:val="0029560E"/>
    <w:rsid w:val="002961FF"/>
    <w:rsid w:val="00296C0D"/>
    <w:rsid w:val="00297038"/>
    <w:rsid w:val="00297267"/>
    <w:rsid w:val="00297628"/>
    <w:rsid w:val="002A012C"/>
    <w:rsid w:val="002A0F77"/>
    <w:rsid w:val="002A175A"/>
    <w:rsid w:val="002A1B92"/>
    <w:rsid w:val="002A1D40"/>
    <w:rsid w:val="002A208C"/>
    <w:rsid w:val="002A3270"/>
    <w:rsid w:val="002A38E8"/>
    <w:rsid w:val="002A39E6"/>
    <w:rsid w:val="002A47A1"/>
    <w:rsid w:val="002A4AC8"/>
    <w:rsid w:val="002A4F87"/>
    <w:rsid w:val="002A55ED"/>
    <w:rsid w:val="002A6015"/>
    <w:rsid w:val="002A6FAF"/>
    <w:rsid w:val="002A7445"/>
    <w:rsid w:val="002A752E"/>
    <w:rsid w:val="002A7A48"/>
    <w:rsid w:val="002B045D"/>
    <w:rsid w:val="002B0747"/>
    <w:rsid w:val="002B0E7E"/>
    <w:rsid w:val="002B13C4"/>
    <w:rsid w:val="002B1638"/>
    <w:rsid w:val="002B179C"/>
    <w:rsid w:val="002B1ABB"/>
    <w:rsid w:val="002B1DD6"/>
    <w:rsid w:val="002B1E22"/>
    <w:rsid w:val="002B2A0C"/>
    <w:rsid w:val="002B314B"/>
    <w:rsid w:val="002B3D99"/>
    <w:rsid w:val="002B41EF"/>
    <w:rsid w:val="002B4458"/>
    <w:rsid w:val="002B46A1"/>
    <w:rsid w:val="002B47E4"/>
    <w:rsid w:val="002B4DE5"/>
    <w:rsid w:val="002B5344"/>
    <w:rsid w:val="002B53E8"/>
    <w:rsid w:val="002B589C"/>
    <w:rsid w:val="002B5A79"/>
    <w:rsid w:val="002B5E05"/>
    <w:rsid w:val="002B70D9"/>
    <w:rsid w:val="002B793A"/>
    <w:rsid w:val="002C1519"/>
    <w:rsid w:val="002C1BD4"/>
    <w:rsid w:val="002C2793"/>
    <w:rsid w:val="002C3218"/>
    <w:rsid w:val="002C3225"/>
    <w:rsid w:val="002C3E2F"/>
    <w:rsid w:val="002C4494"/>
    <w:rsid w:val="002C482A"/>
    <w:rsid w:val="002C4B34"/>
    <w:rsid w:val="002C5659"/>
    <w:rsid w:val="002C6A0D"/>
    <w:rsid w:val="002C6B09"/>
    <w:rsid w:val="002C6FCC"/>
    <w:rsid w:val="002C73F4"/>
    <w:rsid w:val="002D0A9B"/>
    <w:rsid w:val="002D0C13"/>
    <w:rsid w:val="002D0C18"/>
    <w:rsid w:val="002D1562"/>
    <w:rsid w:val="002D16B4"/>
    <w:rsid w:val="002D18DA"/>
    <w:rsid w:val="002D2961"/>
    <w:rsid w:val="002D2C88"/>
    <w:rsid w:val="002D2F4B"/>
    <w:rsid w:val="002D36A6"/>
    <w:rsid w:val="002D4B80"/>
    <w:rsid w:val="002D4D73"/>
    <w:rsid w:val="002D5080"/>
    <w:rsid w:val="002D529E"/>
    <w:rsid w:val="002D54A1"/>
    <w:rsid w:val="002D59D4"/>
    <w:rsid w:val="002D5CD4"/>
    <w:rsid w:val="002D6691"/>
    <w:rsid w:val="002D6896"/>
    <w:rsid w:val="002D691B"/>
    <w:rsid w:val="002D698D"/>
    <w:rsid w:val="002D69FE"/>
    <w:rsid w:val="002D78F6"/>
    <w:rsid w:val="002E0253"/>
    <w:rsid w:val="002E0B90"/>
    <w:rsid w:val="002E0C59"/>
    <w:rsid w:val="002E13E3"/>
    <w:rsid w:val="002E15CF"/>
    <w:rsid w:val="002E17A5"/>
    <w:rsid w:val="002E1D9F"/>
    <w:rsid w:val="002E204B"/>
    <w:rsid w:val="002E220E"/>
    <w:rsid w:val="002E2237"/>
    <w:rsid w:val="002E290B"/>
    <w:rsid w:val="002E3547"/>
    <w:rsid w:val="002E37BB"/>
    <w:rsid w:val="002E3C4F"/>
    <w:rsid w:val="002E432E"/>
    <w:rsid w:val="002E44B4"/>
    <w:rsid w:val="002E552B"/>
    <w:rsid w:val="002E5B3A"/>
    <w:rsid w:val="002E65EA"/>
    <w:rsid w:val="002E773A"/>
    <w:rsid w:val="002E79C4"/>
    <w:rsid w:val="002F0D60"/>
    <w:rsid w:val="002F1B05"/>
    <w:rsid w:val="002F1E80"/>
    <w:rsid w:val="002F2A50"/>
    <w:rsid w:val="002F36A3"/>
    <w:rsid w:val="002F4ADA"/>
    <w:rsid w:val="002F5B72"/>
    <w:rsid w:val="002F5B98"/>
    <w:rsid w:val="002F5D3E"/>
    <w:rsid w:val="00300012"/>
    <w:rsid w:val="00300A01"/>
    <w:rsid w:val="00300DC1"/>
    <w:rsid w:val="0030102A"/>
    <w:rsid w:val="0030127A"/>
    <w:rsid w:val="00301CA2"/>
    <w:rsid w:val="00302445"/>
    <w:rsid w:val="00302BDA"/>
    <w:rsid w:val="00303185"/>
    <w:rsid w:val="00303A95"/>
    <w:rsid w:val="00303CA3"/>
    <w:rsid w:val="00304372"/>
    <w:rsid w:val="00304795"/>
    <w:rsid w:val="0030559B"/>
    <w:rsid w:val="00305C19"/>
    <w:rsid w:val="00305D6C"/>
    <w:rsid w:val="00306304"/>
    <w:rsid w:val="00306483"/>
    <w:rsid w:val="00306DFE"/>
    <w:rsid w:val="00306FC1"/>
    <w:rsid w:val="0030701E"/>
    <w:rsid w:val="00307892"/>
    <w:rsid w:val="00307972"/>
    <w:rsid w:val="00307B0F"/>
    <w:rsid w:val="00307FD5"/>
    <w:rsid w:val="0031083F"/>
    <w:rsid w:val="00310895"/>
    <w:rsid w:val="0031117C"/>
    <w:rsid w:val="00311514"/>
    <w:rsid w:val="00311ABE"/>
    <w:rsid w:val="00311D98"/>
    <w:rsid w:val="00316CB9"/>
    <w:rsid w:val="003202A4"/>
    <w:rsid w:val="003219D2"/>
    <w:rsid w:val="00321A4C"/>
    <w:rsid w:val="0032224C"/>
    <w:rsid w:val="003223E8"/>
    <w:rsid w:val="003225D4"/>
    <w:rsid w:val="00322814"/>
    <w:rsid w:val="00322982"/>
    <w:rsid w:val="00322B5F"/>
    <w:rsid w:val="0032316C"/>
    <w:rsid w:val="003241BD"/>
    <w:rsid w:val="003252CD"/>
    <w:rsid w:val="0032576A"/>
    <w:rsid w:val="003257D0"/>
    <w:rsid w:val="003259BF"/>
    <w:rsid w:val="00325B5D"/>
    <w:rsid w:val="00325C3A"/>
    <w:rsid w:val="0032628D"/>
    <w:rsid w:val="00326FAF"/>
    <w:rsid w:val="00327693"/>
    <w:rsid w:val="00327D43"/>
    <w:rsid w:val="00327F0B"/>
    <w:rsid w:val="00327F66"/>
    <w:rsid w:val="0033028C"/>
    <w:rsid w:val="00330776"/>
    <w:rsid w:val="00330892"/>
    <w:rsid w:val="003308ED"/>
    <w:rsid w:val="00330B1D"/>
    <w:rsid w:val="00331759"/>
    <w:rsid w:val="00332ED7"/>
    <w:rsid w:val="00333C44"/>
    <w:rsid w:val="0033423C"/>
    <w:rsid w:val="0033458E"/>
    <w:rsid w:val="00335D4A"/>
    <w:rsid w:val="00336A65"/>
    <w:rsid w:val="00337750"/>
    <w:rsid w:val="003378FD"/>
    <w:rsid w:val="00337CB6"/>
    <w:rsid w:val="00340268"/>
    <w:rsid w:val="00340CC4"/>
    <w:rsid w:val="00340D0E"/>
    <w:rsid w:val="00341082"/>
    <w:rsid w:val="003418EE"/>
    <w:rsid w:val="00341D8A"/>
    <w:rsid w:val="00341F34"/>
    <w:rsid w:val="00342D85"/>
    <w:rsid w:val="00343A94"/>
    <w:rsid w:val="00343F36"/>
    <w:rsid w:val="0034420F"/>
    <w:rsid w:val="0034491F"/>
    <w:rsid w:val="00344A78"/>
    <w:rsid w:val="00345F13"/>
    <w:rsid w:val="00345FE1"/>
    <w:rsid w:val="00346A52"/>
    <w:rsid w:val="00346DBD"/>
    <w:rsid w:val="00346E62"/>
    <w:rsid w:val="003470C0"/>
    <w:rsid w:val="003470C4"/>
    <w:rsid w:val="0034731D"/>
    <w:rsid w:val="003479D8"/>
    <w:rsid w:val="003500CC"/>
    <w:rsid w:val="003504F4"/>
    <w:rsid w:val="00350508"/>
    <w:rsid w:val="00350C32"/>
    <w:rsid w:val="0035117E"/>
    <w:rsid w:val="003518DA"/>
    <w:rsid w:val="00351AD9"/>
    <w:rsid w:val="00352B05"/>
    <w:rsid w:val="00352D32"/>
    <w:rsid w:val="00354479"/>
    <w:rsid w:val="003544BD"/>
    <w:rsid w:val="00354E12"/>
    <w:rsid w:val="00355372"/>
    <w:rsid w:val="003563CE"/>
    <w:rsid w:val="00356405"/>
    <w:rsid w:val="0036016B"/>
    <w:rsid w:val="003601AC"/>
    <w:rsid w:val="0036094F"/>
    <w:rsid w:val="00360ECA"/>
    <w:rsid w:val="00362171"/>
    <w:rsid w:val="00362325"/>
    <w:rsid w:val="003628CD"/>
    <w:rsid w:val="00363559"/>
    <w:rsid w:val="00363CCA"/>
    <w:rsid w:val="0036471A"/>
    <w:rsid w:val="00364BAA"/>
    <w:rsid w:val="003650D6"/>
    <w:rsid w:val="003652B9"/>
    <w:rsid w:val="00365443"/>
    <w:rsid w:val="00365DF1"/>
    <w:rsid w:val="0036692E"/>
    <w:rsid w:val="0036752B"/>
    <w:rsid w:val="00367CED"/>
    <w:rsid w:val="0037038F"/>
    <w:rsid w:val="00370546"/>
    <w:rsid w:val="003705A0"/>
    <w:rsid w:val="00370C86"/>
    <w:rsid w:val="00372057"/>
    <w:rsid w:val="00372297"/>
    <w:rsid w:val="00373D6E"/>
    <w:rsid w:val="0037473A"/>
    <w:rsid w:val="00375867"/>
    <w:rsid w:val="00375B85"/>
    <w:rsid w:val="003765EC"/>
    <w:rsid w:val="00376690"/>
    <w:rsid w:val="0037670E"/>
    <w:rsid w:val="0037742E"/>
    <w:rsid w:val="00377718"/>
    <w:rsid w:val="00377C7D"/>
    <w:rsid w:val="00377FCA"/>
    <w:rsid w:val="00380762"/>
    <w:rsid w:val="00380C09"/>
    <w:rsid w:val="0038227F"/>
    <w:rsid w:val="00382556"/>
    <w:rsid w:val="00383352"/>
    <w:rsid w:val="00383A14"/>
    <w:rsid w:val="00384340"/>
    <w:rsid w:val="003848C4"/>
    <w:rsid w:val="00384FEE"/>
    <w:rsid w:val="0038536D"/>
    <w:rsid w:val="003854EA"/>
    <w:rsid w:val="003865D4"/>
    <w:rsid w:val="00386851"/>
    <w:rsid w:val="0038700B"/>
    <w:rsid w:val="00387A3C"/>
    <w:rsid w:val="00387BF7"/>
    <w:rsid w:val="00390149"/>
    <w:rsid w:val="00390593"/>
    <w:rsid w:val="00390FE8"/>
    <w:rsid w:val="003912CD"/>
    <w:rsid w:val="00391407"/>
    <w:rsid w:val="003919ED"/>
    <w:rsid w:val="00391A62"/>
    <w:rsid w:val="00391BBD"/>
    <w:rsid w:val="00392579"/>
    <w:rsid w:val="0039261C"/>
    <w:rsid w:val="00392E88"/>
    <w:rsid w:val="00393D7E"/>
    <w:rsid w:val="00393DE9"/>
    <w:rsid w:val="00393E42"/>
    <w:rsid w:val="00394863"/>
    <w:rsid w:val="00394A9B"/>
    <w:rsid w:val="0039525D"/>
    <w:rsid w:val="00395749"/>
    <w:rsid w:val="0039574D"/>
    <w:rsid w:val="00396652"/>
    <w:rsid w:val="0039694C"/>
    <w:rsid w:val="00396BD0"/>
    <w:rsid w:val="00396D06"/>
    <w:rsid w:val="003970C2"/>
    <w:rsid w:val="00397CE3"/>
    <w:rsid w:val="003A0287"/>
    <w:rsid w:val="003A0565"/>
    <w:rsid w:val="003A0A9D"/>
    <w:rsid w:val="003A0BA2"/>
    <w:rsid w:val="003A1165"/>
    <w:rsid w:val="003A163A"/>
    <w:rsid w:val="003A1CF7"/>
    <w:rsid w:val="003A1E50"/>
    <w:rsid w:val="003A2537"/>
    <w:rsid w:val="003A3E53"/>
    <w:rsid w:val="003A4027"/>
    <w:rsid w:val="003A58A1"/>
    <w:rsid w:val="003A6317"/>
    <w:rsid w:val="003A63B8"/>
    <w:rsid w:val="003A6668"/>
    <w:rsid w:val="003A7F2B"/>
    <w:rsid w:val="003B0FEB"/>
    <w:rsid w:val="003B1132"/>
    <w:rsid w:val="003B20D2"/>
    <w:rsid w:val="003B27DA"/>
    <w:rsid w:val="003B292A"/>
    <w:rsid w:val="003B2AA4"/>
    <w:rsid w:val="003B31A9"/>
    <w:rsid w:val="003B3310"/>
    <w:rsid w:val="003B33D9"/>
    <w:rsid w:val="003B4AEB"/>
    <w:rsid w:val="003B5A7B"/>
    <w:rsid w:val="003B5FC3"/>
    <w:rsid w:val="003B60E4"/>
    <w:rsid w:val="003B6394"/>
    <w:rsid w:val="003B6AF0"/>
    <w:rsid w:val="003B70F3"/>
    <w:rsid w:val="003B7259"/>
    <w:rsid w:val="003B74A8"/>
    <w:rsid w:val="003B7784"/>
    <w:rsid w:val="003B7FE6"/>
    <w:rsid w:val="003C1B9D"/>
    <w:rsid w:val="003C1E39"/>
    <w:rsid w:val="003C20E7"/>
    <w:rsid w:val="003C2CC5"/>
    <w:rsid w:val="003C2F9D"/>
    <w:rsid w:val="003C3F8E"/>
    <w:rsid w:val="003C418E"/>
    <w:rsid w:val="003C4215"/>
    <w:rsid w:val="003C4296"/>
    <w:rsid w:val="003C4487"/>
    <w:rsid w:val="003C4EC1"/>
    <w:rsid w:val="003C5734"/>
    <w:rsid w:val="003C5DAA"/>
    <w:rsid w:val="003C639A"/>
    <w:rsid w:val="003C6838"/>
    <w:rsid w:val="003C6EC7"/>
    <w:rsid w:val="003C7278"/>
    <w:rsid w:val="003C74F2"/>
    <w:rsid w:val="003D0086"/>
    <w:rsid w:val="003D0B65"/>
    <w:rsid w:val="003D16E6"/>
    <w:rsid w:val="003D2732"/>
    <w:rsid w:val="003D2C30"/>
    <w:rsid w:val="003D2C91"/>
    <w:rsid w:val="003D2FCC"/>
    <w:rsid w:val="003D3BFA"/>
    <w:rsid w:val="003D418C"/>
    <w:rsid w:val="003D42D9"/>
    <w:rsid w:val="003D57AB"/>
    <w:rsid w:val="003D61BC"/>
    <w:rsid w:val="003D63D1"/>
    <w:rsid w:val="003D6754"/>
    <w:rsid w:val="003D6E62"/>
    <w:rsid w:val="003D76AC"/>
    <w:rsid w:val="003D779F"/>
    <w:rsid w:val="003E17F4"/>
    <w:rsid w:val="003E24A1"/>
    <w:rsid w:val="003E2961"/>
    <w:rsid w:val="003E2F37"/>
    <w:rsid w:val="003E336A"/>
    <w:rsid w:val="003E3A53"/>
    <w:rsid w:val="003E41E8"/>
    <w:rsid w:val="003E5387"/>
    <w:rsid w:val="003E62E8"/>
    <w:rsid w:val="003E674F"/>
    <w:rsid w:val="003E7437"/>
    <w:rsid w:val="003E75E1"/>
    <w:rsid w:val="003E7DBB"/>
    <w:rsid w:val="003F03A7"/>
    <w:rsid w:val="003F0997"/>
    <w:rsid w:val="003F0FE8"/>
    <w:rsid w:val="003F11FC"/>
    <w:rsid w:val="003F1630"/>
    <w:rsid w:val="003F1658"/>
    <w:rsid w:val="003F28CB"/>
    <w:rsid w:val="003F34E8"/>
    <w:rsid w:val="003F3D19"/>
    <w:rsid w:val="003F3E27"/>
    <w:rsid w:val="003F440E"/>
    <w:rsid w:val="003F47F7"/>
    <w:rsid w:val="003F553F"/>
    <w:rsid w:val="003F5C6B"/>
    <w:rsid w:val="003F5CF7"/>
    <w:rsid w:val="003F5F4A"/>
    <w:rsid w:val="003F6396"/>
    <w:rsid w:val="003F6EEF"/>
    <w:rsid w:val="003F7223"/>
    <w:rsid w:val="003F7E02"/>
    <w:rsid w:val="00400793"/>
    <w:rsid w:val="0040128C"/>
    <w:rsid w:val="004012D4"/>
    <w:rsid w:val="00401707"/>
    <w:rsid w:val="0040278B"/>
    <w:rsid w:val="00402A43"/>
    <w:rsid w:val="004039BA"/>
    <w:rsid w:val="004039DA"/>
    <w:rsid w:val="00403D53"/>
    <w:rsid w:val="00403E1C"/>
    <w:rsid w:val="0040479B"/>
    <w:rsid w:val="0040580B"/>
    <w:rsid w:val="0040588A"/>
    <w:rsid w:val="00405E29"/>
    <w:rsid w:val="00406006"/>
    <w:rsid w:val="00406089"/>
    <w:rsid w:val="00406E8A"/>
    <w:rsid w:val="00407ABE"/>
    <w:rsid w:val="00410D83"/>
    <w:rsid w:val="0041144F"/>
    <w:rsid w:val="00411637"/>
    <w:rsid w:val="00411A42"/>
    <w:rsid w:val="00411C69"/>
    <w:rsid w:val="00412911"/>
    <w:rsid w:val="00412AED"/>
    <w:rsid w:val="00413499"/>
    <w:rsid w:val="0041382D"/>
    <w:rsid w:val="00413BB5"/>
    <w:rsid w:val="00414136"/>
    <w:rsid w:val="0041469F"/>
    <w:rsid w:val="00414ED2"/>
    <w:rsid w:val="0041514C"/>
    <w:rsid w:val="00415436"/>
    <w:rsid w:val="00415458"/>
    <w:rsid w:val="00415E28"/>
    <w:rsid w:val="004162D8"/>
    <w:rsid w:val="00416563"/>
    <w:rsid w:val="0041678A"/>
    <w:rsid w:val="00416C13"/>
    <w:rsid w:val="00417081"/>
    <w:rsid w:val="00420242"/>
    <w:rsid w:val="00420919"/>
    <w:rsid w:val="00420F32"/>
    <w:rsid w:val="00420F9B"/>
    <w:rsid w:val="00421228"/>
    <w:rsid w:val="00421D0C"/>
    <w:rsid w:val="00421D21"/>
    <w:rsid w:val="00421FAB"/>
    <w:rsid w:val="0042297E"/>
    <w:rsid w:val="00422C0B"/>
    <w:rsid w:val="00424820"/>
    <w:rsid w:val="004249F5"/>
    <w:rsid w:val="00424C07"/>
    <w:rsid w:val="00425EB2"/>
    <w:rsid w:val="00426107"/>
    <w:rsid w:val="004261D9"/>
    <w:rsid w:val="00427874"/>
    <w:rsid w:val="00427CA2"/>
    <w:rsid w:val="004301C9"/>
    <w:rsid w:val="00431C58"/>
    <w:rsid w:val="00431C8C"/>
    <w:rsid w:val="0043230E"/>
    <w:rsid w:val="00432403"/>
    <w:rsid w:val="0043251A"/>
    <w:rsid w:val="00432682"/>
    <w:rsid w:val="0043280A"/>
    <w:rsid w:val="00432A91"/>
    <w:rsid w:val="00432C7F"/>
    <w:rsid w:val="00434057"/>
    <w:rsid w:val="0043463F"/>
    <w:rsid w:val="00435488"/>
    <w:rsid w:val="004360D1"/>
    <w:rsid w:val="004361E0"/>
    <w:rsid w:val="00436971"/>
    <w:rsid w:val="004377EA"/>
    <w:rsid w:val="00437AE8"/>
    <w:rsid w:val="00437B1D"/>
    <w:rsid w:val="00440240"/>
    <w:rsid w:val="0044054D"/>
    <w:rsid w:val="0044060E"/>
    <w:rsid w:val="0044073B"/>
    <w:rsid w:val="00440A5F"/>
    <w:rsid w:val="00440F86"/>
    <w:rsid w:val="004416AC"/>
    <w:rsid w:val="0044175A"/>
    <w:rsid w:val="00441AC8"/>
    <w:rsid w:val="00442845"/>
    <w:rsid w:val="00442FC7"/>
    <w:rsid w:val="00443891"/>
    <w:rsid w:val="00444675"/>
    <w:rsid w:val="0044664A"/>
    <w:rsid w:val="00446A9B"/>
    <w:rsid w:val="00447CF2"/>
    <w:rsid w:val="00450572"/>
    <w:rsid w:val="00451271"/>
    <w:rsid w:val="00451664"/>
    <w:rsid w:val="004517D3"/>
    <w:rsid w:val="004519CB"/>
    <w:rsid w:val="0045281E"/>
    <w:rsid w:val="0045346F"/>
    <w:rsid w:val="00454323"/>
    <w:rsid w:val="00454EA9"/>
    <w:rsid w:val="00455D32"/>
    <w:rsid w:val="00455F82"/>
    <w:rsid w:val="00456550"/>
    <w:rsid w:val="0045690E"/>
    <w:rsid w:val="00457706"/>
    <w:rsid w:val="00457B40"/>
    <w:rsid w:val="00457DD0"/>
    <w:rsid w:val="00461159"/>
    <w:rsid w:val="0046128C"/>
    <w:rsid w:val="00461B91"/>
    <w:rsid w:val="00461FF0"/>
    <w:rsid w:val="00462B47"/>
    <w:rsid w:val="004631EF"/>
    <w:rsid w:val="0046426D"/>
    <w:rsid w:val="004648BE"/>
    <w:rsid w:val="00464A29"/>
    <w:rsid w:val="00464CAB"/>
    <w:rsid w:val="004659A4"/>
    <w:rsid w:val="00465BC0"/>
    <w:rsid w:val="0046696A"/>
    <w:rsid w:val="00466ECB"/>
    <w:rsid w:val="004673D2"/>
    <w:rsid w:val="004700D5"/>
    <w:rsid w:val="004709E5"/>
    <w:rsid w:val="00470AD0"/>
    <w:rsid w:val="00471A45"/>
    <w:rsid w:val="00472256"/>
    <w:rsid w:val="00472F75"/>
    <w:rsid w:val="004737E8"/>
    <w:rsid w:val="00473EA8"/>
    <w:rsid w:val="00475860"/>
    <w:rsid w:val="00476094"/>
    <w:rsid w:val="004767E8"/>
    <w:rsid w:val="0047698D"/>
    <w:rsid w:val="00476A8F"/>
    <w:rsid w:val="00477365"/>
    <w:rsid w:val="00477C31"/>
    <w:rsid w:val="00477C33"/>
    <w:rsid w:val="00477D1E"/>
    <w:rsid w:val="004801B7"/>
    <w:rsid w:val="004807AB"/>
    <w:rsid w:val="00480CC0"/>
    <w:rsid w:val="00480DE7"/>
    <w:rsid w:val="004816DB"/>
    <w:rsid w:val="0048188E"/>
    <w:rsid w:val="004844E6"/>
    <w:rsid w:val="00484683"/>
    <w:rsid w:val="0048502F"/>
    <w:rsid w:val="00485536"/>
    <w:rsid w:val="00485714"/>
    <w:rsid w:val="00485B15"/>
    <w:rsid w:val="00485BAA"/>
    <w:rsid w:val="004863B3"/>
    <w:rsid w:val="004864F0"/>
    <w:rsid w:val="00486792"/>
    <w:rsid w:val="00486A13"/>
    <w:rsid w:val="00486D6D"/>
    <w:rsid w:val="0048750A"/>
    <w:rsid w:val="0048761D"/>
    <w:rsid w:val="00487D5D"/>
    <w:rsid w:val="00490F3B"/>
    <w:rsid w:val="00491075"/>
    <w:rsid w:val="004913D4"/>
    <w:rsid w:val="00491FA1"/>
    <w:rsid w:val="004947AA"/>
    <w:rsid w:val="004954BD"/>
    <w:rsid w:val="0049562B"/>
    <w:rsid w:val="00495B3C"/>
    <w:rsid w:val="00496F40"/>
    <w:rsid w:val="0049764A"/>
    <w:rsid w:val="004A0028"/>
    <w:rsid w:val="004A0EF3"/>
    <w:rsid w:val="004A0F27"/>
    <w:rsid w:val="004A1411"/>
    <w:rsid w:val="004A187B"/>
    <w:rsid w:val="004A1E8A"/>
    <w:rsid w:val="004A2449"/>
    <w:rsid w:val="004A318B"/>
    <w:rsid w:val="004A391F"/>
    <w:rsid w:val="004A3F1D"/>
    <w:rsid w:val="004A431A"/>
    <w:rsid w:val="004A45C4"/>
    <w:rsid w:val="004A6908"/>
    <w:rsid w:val="004A6E56"/>
    <w:rsid w:val="004A7ADD"/>
    <w:rsid w:val="004B064B"/>
    <w:rsid w:val="004B06A0"/>
    <w:rsid w:val="004B0EF3"/>
    <w:rsid w:val="004B1115"/>
    <w:rsid w:val="004B1999"/>
    <w:rsid w:val="004B1A46"/>
    <w:rsid w:val="004B1D5B"/>
    <w:rsid w:val="004B1D8C"/>
    <w:rsid w:val="004B1DE1"/>
    <w:rsid w:val="004B3569"/>
    <w:rsid w:val="004B3B89"/>
    <w:rsid w:val="004B3EF0"/>
    <w:rsid w:val="004B406A"/>
    <w:rsid w:val="004B5088"/>
    <w:rsid w:val="004B5F88"/>
    <w:rsid w:val="004B6745"/>
    <w:rsid w:val="004B7231"/>
    <w:rsid w:val="004C035C"/>
    <w:rsid w:val="004C08E9"/>
    <w:rsid w:val="004C0EFB"/>
    <w:rsid w:val="004C132F"/>
    <w:rsid w:val="004C2481"/>
    <w:rsid w:val="004C286A"/>
    <w:rsid w:val="004C3142"/>
    <w:rsid w:val="004C330A"/>
    <w:rsid w:val="004C3433"/>
    <w:rsid w:val="004C34A2"/>
    <w:rsid w:val="004C3652"/>
    <w:rsid w:val="004C3766"/>
    <w:rsid w:val="004C3B8D"/>
    <w:rsid w:val="004C3C45"/>
    <w:rsid w:val="004C5217"/>
    <w:rsid w:val="004C53B3"/>
    <w:rsid w:val="004C5AA3"/>
    <w:rsid w:val="004C65FE"/>
    <w:rsid w:val="004C6B83"/>
    <w:rsid w:val="004C6C73"/>
    <w:rsid w:val="004C6F1E"/>
    <w:rsid w:val="004C6F6F"/>
    <w:rsid w:val="004C797E"/>
    <w:rsid w:val="004C79F9"/>
    <w:rsid w:val="004D02B7"/>
    <w:rsid w:val="004D0E3E"/>
    <w:rsid w:val="004D1111"/>
    <w:rsid w:val="004D15B2"/>
    <w:rsid w:val="004D167B"/>
    <w:rsid w:val="004D2007"/>
    <w:rsid w:val="004D22C0"/>
    <w:rsid w:val="004D24F1"/>
    <w:rsid w:val="004D25C4"/>
    <w:rsid w:val="004D2A83"/>
    <w:rsid w:val="004D2CCF"/>
    <w:rsid w:val="004D3429"/>
    <w:rsid w:val="004D3B01"/>
    <w:rsid w:val="004D4270"/>
    <w:rsid w:val="004D56A5"/>
    <w:rsid w:val="004D6711"/>
    <w:rsid w:val="004D6F82"/>
    <w:rsid w:val="004D7A8B"/>
    <w:rsid w:val="004D7AD1"/>
    <w:rsid w:val="004D7C1C"/>
    <w:rsid w:val="004E1346"/>
    <w:rsid w:val="004E1648"/>
    <w:rsid w:val="004E1F23"/>
    <w:rsid w:val="004E267B"/>
    <w:rsid w:val="004E2BAB"/>
    <w:rsid w:val="004E2F12"/>
    <w:rsid w:val="004E347B"/>
    <w:rsid w:val="004E3619"/>
    <w:rsid w:val="004E3E32"/>
    <w:rsid w:val="004E4D0C"/>
    <w:rsid w:val="004E51F4"/>
    <w:rsid w:val="004E5213"/>
    <w:rsid w:val="004E53E6"/>
    <w:rsid w:val="004E5793"/>
    <w:rsid w:val="004E6CF9"/>
    <w:rsid w:val="004E7F13"/>
    <w:rsid w:val="004F00CD"/>
    <w:rsid w:val="004F0480"/>
    <w:rsid w:val="004F15D4"/>
    <w:rsid w:val="004F2334"/>
    <w:rsid w:val="004F3009"/>
    <w:rsid w:val="004F397E"/>
    <w:rsid w:val="004F3CC9"/>
    <w:rsid w:val="004F3EF5"/>
    <w:rsid w:val="004F4AED"/>
    <w:rsid w:val="004F4E44"/>
    <w:rsid w:val="004F510B"/>
    <w:rsid w:val="004F5B58"/>
    <w:rsid w:val="004F603E"/>
    <w:rsid w:val="004F6408"/>
    <w:rsid w:val="004F6C36"/>
    <w:rsid w:val="004F7AFF"/>
    <w:rsid w:val="004F7B80"/>
    <w:rsid w:val="004F7C6B"/>
    <w:rsid w:val="004F7E7E"/>
    <w:rsid w:val="004F7EEA"/>
    <w:rsid w:val="0050013F"/>
    <w:rsid w:val="005013C9"/>
    <w:rsid w:val="00501F2D"/>
    <w:rsid w:val="0050230F"/>
    <w:rsid w:val="005029E3"/>
    <w:rsid w:val="0050327D"/>
    <w:rsid w:val="00503894"/>
    <w:rsid w:val="00503935"/>
    <w:rsid w:val="005051A9"/>
    <w:rsid w:val="00505826"/>
    <w:rsid w:val="005058D1"/>
    <w:rsid w:val="00505A04"/>
    <w:rsid w:val="005062C5"/>
    <w:rsid w:val="00507CE0"/>
    <w:rsid w:val="0051008C"/>
    <w:rsid w:val="005103B8"/>
    <w:rsid w:val="00510910"/>
    <w:rsid w:val="005119B0"/>
    <w:rsid w:val="00511B3C"/>
    <w:rsid w:val="00511F81"/>
    <w:rsid w:val="00513E87"/>
    <w:rsid w:val="00513FD1"/>
    <w:rsid w:val="00514175"/>
    <w:rsid w:val="0051465F"/>
    <w:rsid w:val="00515030"/>
    <w:rsid w:val="005153C7"/>
    <w:rsid w:val="00515691"/>
    <w:rsid w:val="00515C9B"/>
    <w:rsid w:val="005162BC"/>
    <w:rsid w:val="005163F9"/>
    <w:rsid w:val="00516CBF"/>
    <w:rsid w:val="00517341"/>
    <w:rsid w:val="005175B3"/>
    <w:rsid w:val="00517AE7"/>
    <w:rsid w:val="00517FA6"/>
    <w:rsid w:val="00520F0D"/>
    <w:rsid w:val="00522D38"/>
    <w:rsid w:val="00522D89"/>
    <w:rsid w:val="005239BC"/>
    <w:rsid w:val="00524261"/>
    <w:rsid w:val="00525CE6"/>
    <w:rsid w:val="005260CE"/>
    <w:rsid w:val="00527880"/>
    <w:rsid w:val="00530602"/>
    <w:rsid w:val="00530823"/>
    <w:rsid w:val="005308D4"/>
    <w:rsid w:val="00530CCE"/>
    <w:rsid w:val="00531808"/>
    <w:rsid w:val="0053194E"/>
    <w:rsid w:val="00531E12"/>
    <w:rsid w:val="0053234D"/>
    <w:rsid w:val="00532583"/>
    <w:rsid w:val="00532E7C"/>
    <w:rsid w:val="00534893"/>
    <w:rsid w:val="005357EC"/>
    <w:rsid w:val="00535D19"/>
    <w:rsid w:val="0053663B"/>
    <w:rsid w:val="00536BF0"/>
    <w:rsid w:val="005374E8"/>
    <w:rsid w:val="00537552"/>
    <w:rsid w:val="00540058"/>
    <w:rsid w:val="0054060D"/>
    <w:rsid w:val="00540B1B"/>
    <w:rsid w:val="00540E41"/>
    <w:rsid w:val="00541D4C"/>
    <w:rsid w:val="00541DCE"/>
    <w:rsid w:val="00542CE5"/>
    <w:rsid w:val="00543D27"/>
    <w:rsid w:val="00544206"/>
    <w:rsid w:val="00544DF1"/>
    <w:rsid w:val="00544F0C"/>
    <w:rsid w:val="00546297"/>
    <w:rsid w:val="00546352"/>
    <w:rsid w:val="005463BE"/>
    <w:rsid w:val="00546636"/>
    <w:rsid w:val="00547798"/>
    <w:rsid w:val="00547D63"/>
    <w:rsid w:val="0055000E"/>
    <w:rsid w:val="0055070B"/>
    <w:rsid w:val="00550892"/>
    <w:rsid w:val="005513FC"/>
    <w:rsid w:val="0055143C"/>
    <w:rsid w:val="005522E9"/>
    <w:rsid w:val="00552C9D"/>
    <w:rsid w:val="00553107"/>
    <w:rsid w:val="005536A9"/>
    <w:rsid w:val="0055498D"/>
    <w:rsid w:val="00554A56"/>
    <w:rsid w:val="00554D10"/>
    <w:rsid w:val="00554E93"/>
    <w:rsid w:val="00555F5E"/>
    <w:rsid w:val="005560C1"/>
    <w:rsid w:val="0055708A"/>
    <w:rsid w:val="00557C56"/>
    <w:rsid w:val="00560A9B"/>
    <w:rsid w:val="00560C21"/>
    <w:rsid w:val="00560D96"/>
    <w:rsid w:val="00560FF1"/>
    <w:rsid w:val="00561488"/>
    <w:rsid w:val="005618B2"/>
    <w:rsid w:val="00561AF1"/>
    <w:rsid w:val="00562CA2"/>
    <w:rsid w:val="00562EA8"/>
    <w:rsid w:val="00563665"/>
    <w:rsid w:val="00564E8C"/>
    <w:rsid w:val="005655E8"/>
    <w:rsid w:val="00565E80"/>
    <w:rsid w:val="0056655E"/>
    <w:rsid w:val="00566921"/>
    <w:rsid w:val="00566A5D"/>
    <w:rsid w:val="00566E44"/>
    <w:rsid w:val="00567BC6"/>
    <w:rsid w:val="00567D1A"/>
    <w:rsid w:val="005702DF"/>
    <w:rsid w:val="00570CDC"/>
    <w:rsid w:val="00570E50"/>
    <w:rsid w:val="00571881"/>
    <w:rsid w:val="00572939"/>
    <w:rsid w:val="00573323"/>
    <w:rsid w:val="00573BFB"/>
    <w:rsid w:val="00573E31"/>
    <w:rsid w:val="00574055"/>
    <w:rsid w:val="00574A1D"/>
    <w:rsid w:val="00574E28"/>
    <w:rsid w:val="005770A8"/>
    <w:rsid w:val="005773E6"/>
    <w:rsid w:val="00577BF9"/>
    <w:rsid w:val="005804F4"/>
    <w:rsid w:val="00581DFD"/>
    <w:rsid w:val="005820B2"/>
    <w:rsid w:val="00582816"/>
    <w:rsid w:val="005829BB"/>
    <w:rsid w:val="00582F34"/>
    <w:rsid w:val="0058414D"/>
    <w:rsid w:val="00584509"/>
    <w:rsid w:val="00584DCA"/>
    <w:rsid w:val="005851A1"/>
    <w:rsid w:val="00585309"/>
    <w:rsid w:val="005859C4"/>
    <w:rsid w:val="00585C07"/>
    <w:rsid w:val="005876D0"/>
    <w:rsid w:val="00587BAE"/>
    <w:rsid w:val="00590BD2"/>
    <w:rsid w:val="00591A26"/>
    <w:rsid w:val="00591A7C"/>
    <w:rsid w:val="0059252D"/>
    <w:rsid w:val="00592994"/>
    <w:rsid w:val="00593081"/>
    <w:rsid w:val="00593325"/>
    <w:rsid w:val="005952D2"/>
    <w:rsid w:val="005952F1"/>
    <w:rsid w:val="00595E95"/>
    <w:rsid w:val="005962BF"/>
    <w:rsid w:val="0059676D"/>
    <w:rsid w:val="00596862"/>
    <w:rsid w:val="00597020"/>
    <w:rsid w:val="005976E3"/>
    <w:rsid w:val="005A0ADA"/>
    <w:rsid w:val="005A103B"/>
    <w:rsid w:val="005A1262"/>
    <w:rsid w:val="005A13D1"/>
    <w:rsid w:val="005A1759"/>
    <w:rsid w:val="005A1ADD"/>
    <w:rsid w:val="005A1F2E"/>
    <w:rsid w:val="005A31E8"/>
    <w:rsid w:val="005A3332"/>
    <w:rsid w:val="005A3AAF"/>
    <w:rsid w:val="005A3D69"/>
    <w:rsid w:val="005A45E3"/>
    <w:rsid w:val="005A4D09"/>
    <w:rsid w:val="005A536D"/>
    <w:rsid w:val="005A6556"/>
    <w:rsid w:val="005A670E"/>
    <w:rsid w:val="005A6B98"/>
    <w:rsid w:val="005A6E2E"/>
    <w:rsid w:val="005A6E99"/>
    <w:rsid w:val="005A6F65"/>
    <w:rsid w:val="005A7EAF"/>
    <w:rsid w:val="005B00CC"/>
    <w:rsid w:val="005B05D6"/>
    <w:rsid w:val="005B1245"/>
    <w:rsid w:val="005B1AAC"/>
    <w:rsid w:val="005B1F2B"/>
    <w:rsid w:val="005B29A3"/>
    <w:rsid w:val="005B3443"/>
    <w:rsid w:val="005B3AA1"/>
    <w:rsid w:val="005B4C05"/>
    <w:rsid w:val="005B571B"/>
    <w:rsid w:val="005B5B43"/>
    <w:rsid w:val="005B60D5"/>
    <w:rsid w:val="005B6448"/>
    <w:rsid w:val="005B773C"/>
    <w:rsid w:val="005C0168"/>
    <w:rsid w:val="005C01E3"/>
    <w:rsid w:val="005C0728"/>
    <w:rsid w:val="005C08BE"/>
    <w:rsid w:val="005C0902"/>
    <w:rsid w:val="005C1559"/>
    <w:rsid w:val="005C1632"/>
    <w:rsid w:val="005C1FC7"/>
    <w:rsid w:val="005C2630"/>
    <w:rsid w:val="005C2B14"/>
    <w:rsid w:val="005C34C5"/>
    <w:rsid w:val="005C3B7D"/>
    <w:rsid w:val="005C4530"/>
    <w:rsid w:val="005C4ABB"/>
    <w:rsid w:val="005C4BC8"/>
    <w:rsid w:val="005C5194"/>
    <w:rsid w:val="005C5454"/>
    <w:rsid w:val="005C5955"/>
    <w:rsid w:val="005C5C23"/>
    <w:rsid w:val="005C62AB"/>
    <w:rsid w:val="005C6882"/>
    <w:rsid w:val="005C73DF"/>
    <w:rsid w:val="005C78DB"/>
    <w:rsid w:val="005C7A7F"/>
    <w:rsid w:val="005C7FF9"/>
    <w:rsid w:val="005D0075"/>
    <w:rsid w:val="005D0369"/>
    <w:rsid w:val="005D03C7"/>
    <w:rsid w:val="005D074D"/>
    <w:rsid w:val="005D152E"/>
    <w:rsid w:val="005D208A"/>
    <w:rsid w:val="005D2488"/>
    <w:rsid w:val="005D2BEB"/>
    <w:rsid w:val="005D2CC6"/>
    <w:rsid w:val="005D2EE6"/>
    <w:rsid w:val="005D3588"/>
    <w:rsid w:val="005D4235"/>
    <w:rsid w:val="005D46B5"/>
    <w:rsid w:val="005D4CC5"/>
    <w:rsid w:val="005D4FF6"/>
    <w:rsid w:val="005D527C"/>
    <w:rsid w:val="005D62F4"/>
    <w:rsid w:val="005D63C1"/>
    <w:rsid w:val="005D6448"/>
    <w:rsid w:val="005D68F5"/>
    <w:rsid w:val="005D6931"/>
    <w:rsid w:val="005D6BA5"/>
    <w:rsid w:val="005D6DB3"/>
    <w:rsid w:val="005D7354"/>
    <w:rsid w:val="005D7A51"/>
    <w:rsid w:val="005E00D1"/>
    <w:rsid w:val="005E1DFF"/>
    <w:rsid w:val="005E25B0"/>
    <w:rsid w:val="005E26AF"/>
    <w:rsid w:val="005E2D38"/>
    <w:rsid w:val="005E2E16"/>
    <w:rsid w:val="005E3A5D"/>
    <w:rsid w:val="005E3F3F"/>
    <w:rsid w:val="005E4A8D"/>
    <w:rsid w:val="005E4E06"/>
    <w:rsid w:val="005E4F0E"/>
    <w:rsid w:val="005E58BA"/>
    <w:rsid w:val="005E718B"/>
    <w:rsid w:val="005F0C89"/>
    <w:rsid w:val="005F0C99"/>
    <w:rsid w:val="005F0DAF"/>
    <w:rsid w:val="005F1071"/>
    <w:rsid w:val="005F1370"/>
    <w:rsid w:val="005F200B"/>
    <w:rsid w:val="005F2793"/>
    <w:rsid w:val="005F2EC8"/>
    <w:rsid w:val="005F2F04"/>
    <w:rsid w:val="005F309F"/>
    <w:rsid w:val="005F3444"/>
    <w:rsid w:val="005F4431"/>
    <w:rsid w:val="005F4B2A"/>
    <w:rsid w:val="005F5BD8"/>
    <w:rsid w:val="005F6070"/>
    <w:rsid w:val="005F62E9"/>
    <w:rsid w:val="00600318"/>
    <w:rsid w:val="00600F6A"/>
    <w:rsid w:val="00601399"/>
    <w:rsid w:val="00602253"/>
    <w:rsid w:val="00602646"/>
    <w:rsid w:val="00602A1D"/>
    <w:rsid w:val="00602BB0"/>
    <w:rsid w:val="00602BFE"/>
    <w:rsid w:val="00603A92"/>
    <w:rsid w:val="00603C46"/>
    <w:rsid w:val="0060499D"/>
    <w:rsid w:val="00604A94"/>
    <w:rsid w:val="00605856"/>
    <w:rsid w:val="0061005F"/>
    <w:rsid w:val="00610236"/>
    <w:rsid w:val="00610692"/>
    <w:rsid w:val="00611401"/>
    <w:rsid w:val="00611E55"/>
    <w:rsid w:val="00611FC6"/>
    <w:rsid w:val="00612CBE"/>
    <w:rsid w:val="00612F83"/>
    <w:rsid w:val="00613073"/>
    <w:rsid w:val="0061373F"/>
    <w:rsid w:val="00613A2B"/>
    <w:rsid w:val="00614656"/>
    <w:rsid w:val="00614F9E"/>
    <w:rsid w:val="00615462"/>
    <w:rsid w:val="00615AE7"/>
    <w:rsid w:val="00615C40"/>
    <w:rsid w:val="006163D3"/>
    <w:rsid w:val="00616E96"/>
    <w:rsid w:val="0062039F"/>
    <w:rsid w:val="006210EF"/>
    <w:rsid w:val="00621542"/>
    <w:rsid w:val="0062193D"/>
    <w:rsid w:val="00621E57"/>
    <w:rsid w:val="00622597"/>
    <w:rsid w:val="006229AA"/>
    <w:rsid w:val="00623908"/>
    <w:rsid w:val="00623917"/>
    <w:rsid w:val="006239C3"/>
    <w:rsid w:val="00623B08"/>
    <w:rsid w:val="00623F6C"/>
    <w:rsid w:val="0062467C"/>
    <w:rsid w:val="00624832"/>
    <w:rsid w:val="006248B0"/>
    <w:rsid w:val="0062564E"/>
    <w:rsid w:val="0062680D"/>
    <w:rsid w:val="0062692D"/>
    <w:rsid w:val="006272A8"/>
    <w:rsid w:val="00632E41"/>
    <w:rsid w:val="006330E8"/>
    <w:rsid w:val="00633605"/>
    <w:rsid w:val="00633F35"/>
    <w:rsid w:val="00633F49"/>
    <w:rsid w:val="00634821"/>
    <w:rsid w:val="00634DAD"/>
    <w:rsid w:val="00634F6E"/>
    <w:rsid w:val="006354BC"/>
    <w:rsid w:val="00636009"/>
    <w:rsid w:val="00636465"/>
    <w:rsid w:val="00636D97"/>
    <w:rsid w:val="00637640"/>
    <w:rsid w:val="00637693"/>
    <w:rsid w:val="00637CD7"/>
    <w:rsid w:val="00637FA2"/>
    <w:rsid w:val="00640125"/>
    <w:rsid w:val="00640620"/>
    <w:rsid w:val="006416C6"/>
    <w:rsid w:val="00641933"/>
    <w:rsid w:val="00641BCC"/>
    <w:rsid w:val="006437B7"/>
    <w:rsid w:val="00643EA9"/>
    <w:rsid w:val="006443C5"/>
    <w:rsid w:val="0064604D"/>
    <w:rsid w:val="00646149"/>
    <w:rsid w:val="006462EA"/>
    <w:rsid w:val="006464A6"/>
    <w:rsid w:val="00646772"/>
    <w:rsid w:val="0064685A"/>
    <w:rsid w:val="00646AAD"/>
    <w:rsid w:val="0065010C"/>
    <w:rsid w:val="006511F0"/>
    <w:rsid w:val="006520A7"/>
    <w:rsid w:val="00652CB2"/>
    <w:rsid w:val="00652CD8"/>
    <w:rsid w:val="006530AB"/>
    <w:rsid w:val="00653B82"/>
    <w:rsid w:val="00653FCB"/>
    <w:rsid w:val="00654415"/>
    <w:rsid w:val="00654D4B"/>
    <w:rsid w:val="00655BA4"/>
    <w:rsid w:val="0065611F"/>
    <w:rsid w:val="006564FF"/>
    <w:rsid w:val="0065653F"/>
    <w:rsid w:val="0065673A"/>
    <w:rsid w:val="00657137"/>
    <w:rsid w:val="00657458"/>
    <w:rsid w:val="006607AE"/>
    <w:rsid w:val="006609B0"/>
    <w:rsid w:val="00661343"/>
    <w:rsid w:val="006613C3"/>
    <w:rsid w:val="006638E7"/>
    <w:rsid w:val="00664289"/>
    <w:rsid w:val="00664B7A"/>
    <w:rsid w:val="00664BC8"/>
    <w:rsid w:val="00664CD2"/>
    <w:rsid w:val="006657FF"/>
    <w:rsid w:val="00665A2D"/>
    <w:rsid w:val="00665D7B"/>
    <w:rsid w:val="006663EE"/>
    <w:rsid w:val="006665E5"/>
    <w:rsid w:val="00666EF4"/>
    <w:rsid w:val="00667F29"/>
    <w:rsid w:val="0067045C"/>
    <w:rsid w:val="006714DA"/>
    <w:rsid w:val="00671DDF"/>
    <w:rsid w:val="00671F40"/>
    <w:rsid w:val="00671FEB"/>
    <w:rsid w:val="006720F6"/>
    <w:rsid w:val="006726F0"/>
    <w:rsid w:val="0067309A"/>
    <w:rsid w:val="006739B4"/>
    <w:rsid w:val="00673FC9"/>
    <w:rsid w:val="006743DE"/>
    <w:rsid w:val="00674E5A"/>
    <w:rsid w:val="00674F9D"/>
    <w:rsid w:val="00674FE3"/>
    <w:rsid w:val="006757D5"/>
    <w:rsid w:val="00675E28"/>
    <w:rsid w:val="0068024B"/>
    <w:rsid w:val="0068095F"/>
    <w:rsid w:val="00680A0A"/>
    <w:rsid w:val="006834B7"/>
    <w:rsid w:val="006834E8"/>
    <w:rsid w:val="00686D23"/>
    <w:rsid w:val="0068749B"/>
    <w:rsid w:val="0068756C"/>
    <w:rsid w:val="00690010"/>
    <w:rsid w:val="0069030C"/>
    <w:rsid w:val="006903D8"/>
    <w:rsid w:val="0069068F"/>
    <w:rsid w:val="00690C72"/>
    <w:rsid w:val="00690DCD"/>
    <w:rsid w:val="0069114E"/>
    <w:rsid w:val="00691AA3"/>
    <w:rsid w:val="00693157"/>
    <w:rsid w:val="00693ED6"/>
    <w:rsid w:val="006944CC"/>
    <w:rsid w:val="006946E8"/>
    <w:rsid w:val="0069480B"/>
    <w:rsid w:val="00694949"/>
    <w:rsid w:val="00695199"/>
    <w:rsid w:val="006951C3"/>
    <w:rsid w:val="00695470"/>
    <w:rsid w:val="00695723"/>
    <w:rsid w:val="00696902"/>
    <w:rsid w:val="00696B89"/>
    <w:rsid w:val="00697536"/>
    <w:rsid w:val="006977D5"/>
    <w:rsid w:val="006A05A8"/>
    <w:rsid w:val="006A1622"/>
    <w:rsid w:val="006A1C52"/>
    <w:rsid w:val="006A2470"/>
    <w:rsid w:val="006A2716"/>
    <w:rsid w:val="006A2BE7"/>
    <w:rsid w:val="006A2D55"/>
    <w:rsid w:val="006A2E6B"/>
    <w:rsid w:val="006A33A5"/>
    <w:rsid w:val="006A3DD3"/>
    <w:rsid w:val="006A3F37"/>
    <w:rsid w:val="006A4C2A"/>
    <w:rsid w:val="006A55B8"/>
    <w:rsid w:val="006A5877"/>
    <w:rsid w:val="006A60E8"/>
    <w:rsid w:val="006A6500"/>
    <w:rsid w:val="006B047D"/>
    <w:rsid w:val="006B0A2A"/>
    <w:rsid w:val="006B11B4"/>
    <w:rsid w:val="006B14BB"/>
    <w:rsid w:val="006B1ACE"/>
    <w:rsid w:val="006B2EA9"/>
    <w:rsid w:val="006B3F67"/>
    <w:rsid w:val="006B403C"/>
    <w:rsid w:val="006B40AD"/>
    <w:rsid w:val="006B442F"/>
    <w:rsid w:val="006B4DC4"/>
    <w:rsid w:val="006B58B0"/>
    <w:rsid w:val="006B634F"/>
    <w:rsid w:val="006B63EF"/>
    <w:rsid w:val="006B69F2"/>
    <w:rsid w:val="006B7625"/>
    <w:rsid w:val="006B77D0"/>
    <w:rsid w:val="006C0050"/>
    <w:rsid w:val="006C0819"/>
    <w:rsid w:val="006C08E5"/>
    <w:rsid w:val="006C0971"/>
    <w:rsid w:val="006C0A5C"/>
    <w:rsid w:val="006C134A"/>
    <w:rsid w:val="006C1D86"/>
    <w:rsid w:val="006C203D"/>
    <w:rsid w:val="006C23AB"/>
    <w:rsid w:val="006C27EE"/>
    <w:rsid w:val="006C2DC5"/>
    <w:rsid w:val="006C3196"/>
    <w:rsid w:val="006C3427"/>
    <w:rsid w:val="006C379C"/>
    <w:rsid w:val="006C3A13"/>
    <w:rsid w:val="006C4480"/>
    <w:rsid w:val="006C4FFF"/>
    <w:rsid w:val="006C52ED"/>
    <w:rsid w:val="006C5D76"/>
    <w:rsid w:val="006C61BA"/>
    <w:rsid w:val="006C70E6"/>
    <w:rsid w:val="006C719E"/>
    <w:rsid w:val="006D08E5"/>
    <w:rsid w:val="006D0F71"/>
    <w:rsid w:val="006D288A"/>
    <w:rsid w:val="006D3F56"/>
    <w:rsid w:val="006D45AE"/>
    <w:rsid w:val="006D45DE"/>
    <w:rsid w:val="006D4D05"/>
    <w:rsid w:val="006D5986"/>
    <w:rsid w:val="006D5BD7"/>
    <w:rsid w:val="006D69A1"/>
    <w:rsid w:val="006D7054"/>
    <w:rsid w:val="006D70CC"/>
    <w:rsid w:val="006D7839"/>
    <w:rsid w:val="006D79D2"/>
    <w:rsid w:val="006D7EF9"/>
    <w:rsid w:val="006E0CED"/>
    <w:rsid w:val="006E150C"/>
    <w:rsid w:val="006E4AD8"/>
    <w:rsid w:val="006E4F6F"/>
    <w:rsid w:val="006E528C"/>
    <w:rsid w:val="006E56EF"/>
    <w:rsid w:val="006E5E79"/>
    <w:rsid w:val="006E62DA"/>
    <w:rsid w:val="006E65E3"/>
    <w:rsid w:val="006E6C47"/>
    <w:rsid w:val="006E740E"/>
    <w:rsid w:val="006F0AB4"/>
    <w:rsid w:val="006F1657"/>
    <w:rsid w:val="006F1675"/>
    <w:rsid w:val="006F1764"/>
    <w:rsid w:val="006F1F35"/>
    <w:rsid w:val="006F21F0"/>
    <w:rsid w:val="006F3F1E"/>
    <w:rsid w:val="006F4537"/>
    <w:rsid w:val="006F469C"/>
    <w:rsid w:val="006F484F"/>
    <w:rsid w:val="006F485C"/>
    <w:rsid w:val="006F4EAC"/>
    <w:rsid w:val="006F6272"/>
    <w:rsid w:val="006F6956"/>
    <w:rsid w:val="006F6EAE"/>
    <w:rsid w:val="006F7C06"/>
    <w:rsid w:val="00701222"/>
    <w:rsid w:val="007013DC"/>
    <w:rsid w:val="00701B10"/>
    <w:rsid w:val="00701C61"/>
    <w:rsid w:val="00702216"/>
    <w:rsid w:val="007030D4"/>
    <w:rsid w:val="007030F4"/>
    <w:rsid w:val="007033A5"/>
    <w:rsid w:val="007035D3"/>
    <w:rsid w:val="0070388E"/>
    <w:rsid w:val="00704CCE"/>
    <w:rsid w:val="00705283"/>
    <w:rsid w:val="007059F0"/>
    <w:rsid w:val="00706595"/>
    <w:rsid w:val="00706B03"/>
    <w:rsid w:val="00706FC4"/>
    <w:rsid w:val="0070767D"/>
    <w:rsid w:val="00707AF2"/>
    <w:rsid w:val="00712292"/>
    <w:rsid w:val="00713684"/>
    <w:rsid w:val="00714F8C"/>
    <w:rsid w:val="00715389"/>
    <w:rsid w:val="0071586F"/>
    <w:rsid w:val="00715CEC"/>
    <w:rsid w:val="0071705B"/>
    <w:rsid w:val="00717F89"/>
    <w:rsid w:val="007206DA"/>
    <w:rsid w:val="007214D6"/>
    <w:rsid w:val="007217B3"/>
    <w:rsid w:val="007220B1"/>
    <w:rsid w:val="00722793"/>
    <w:rsid w:val="00722AE8"/>
    <w:rsid w:val="00722E8C"/>
    <w:rsid w:val="00722FB6"/>
    <w:rsid w:val="00723078"/>
    <w:rsid w:val="00723F84"/>
    <w:rsid w:val="00724118"/>
    <w:rsid w:val="0072470A"/>
    <w:rsid w:val="00724B4B"/>
    <w:rsid w:val="00724F71"/>
    <w:rsid w:val="00725157"/>
    <w:rsid w:val="00725A97"/>
    <w:rsid w:val="007265D6"/>
    <w:rsid w:val="00726DE2"/>
    <w:rsid w:val="00726E06"/>
    <w:rsid w:val="00727694"/>
    <w:rsid w:val="0073060F"/>
    <w:rsid w:val="00730614"/>
    <w:rsid w:val="00730A8A"/>
    <w:rsid w:val="00731D5B"/>
    <w:rsid w:val="00732AAD"/>
    <w:rsid w:val="00732DEE"/>
    <w:rsid w:val="007331C4"/>
    <w:rsid w:val="00733454"/>
    <w:rsid w:val="007346AA"/>
    <w:rsid w:val="00734904"/>
    <w:rsid w:val="00735035"/>
    <w:rsid w:val="00735075"/>
    <w:rsid w:val="007351F4"/>
    <w:rsid w:val="007355FA"/>
    <w:rsid w:val="00735F39"/>
    <w:rsid w:val="007375D6"/>
    <w:rsid w:val="0073776E"/>
    <w:rsid w:val="00737CF4"/>
    <w:rsid w:val="00740B20"/>
    <w:rsid w:val="0074101C"/>
    <w:rsid w:val="00742315"/>
    <w:rsid w:val="00742812"/>
    <w:rsid w:val="00742E3A"/>
    <w:rsid w:val="00743618"/>
    <w:rsid w:val="00743A4B"/>
    <w:rsid w:val="00744456"/>
    <w:rsid w:val="00744D26"/>
    <w:rsid w:val="00745353"/>
    <w:rsid w:val="0074542E"/>
    <w:rsid w:val="00745914"/>
    <w:rsid w:val="00745BB8"/>
    <w:rsid w:val="0074739E"/>
    <w:rsid w:val="00750291"/>
    <w:rsid w:val="007504AD"/>
    <w:rsid w:val="00750821"/>
    <w:rsid w:val="00750A3B"/>
    <w:rsid w:val="00750DA8"/>
    <w:rsid w:val="007515B5"/>
    <w:rsid w:val="00751A79"/>
    <w:rsid w:val="00752264"/>
    <w:rsid w:val="00753A62"/>
    <w:rsid w:val="00753E09"/>
    <w:rsid w:val="007540A9"/>
    <w:rsid w:val="007540C8"/>
    <w:rsid w:val="00754A5B"/>
    <w:rsid w:val="00755095"/>
    <w:rsid w:val="0075660D"/>
    <w:rsid w:val="00756D31"/>
    <w:rsid w:val="00757A66"/>
    <w:rsid w:val="00757CC6"/>
    <w:rsid w:val="00757EC4"/>
    <w:rsid w:val="007607B2"/>
    <w:rsid w:val="0076099C"/>
    <w:rsid w:val="00761B21"/>
    <w:rsid w:val="00761BE6"/>
    <w:rsid w:val="00761DD2"/>
    <w:rsid w:val="0076236E"/>
    <w:rsid w:val="007627AA"/>
    <w:rsid w:val="00762ECF"/>
    <w:rsid w:val="007635BC"/>
    <w:rsid w:val="007637D5"/>
    <w:rsid w:val="00763C7C"/>
    <w:rsid w:val="00763CD8"/>
    <w:rsid w:val="00764443"/>
    <w:rsid w:val="00764E53"/>
    <w:rsid w:val="0076589C"/>
    <w:rsid w:val="0076653B"/>
    <w:rsid w:val="007676A4"/>
    <w:rsid w:val="0077061D"/>
    <w:rsid w:val="00770766"/>
    <w:rsid w:val="00771194"/>
    <w:rsid w:val="00772825"/>
    <w:rsid w:val="007730CE"/>
    <w:rsid w:val="00773104"/>
    <w:rsid w:val="00773788"/>
    <w:rsid w:val="007737D3"/>
    <w:rsid w:val="00773AE8"/>
    <w:rsid w:val="00773D9B"/>
    <w:rsid w:val="007740D5"/>
    <w:rsid w:val="007744EC"/>
    <w:rsid w:val="00774927"/>
    <w:rsid w:val="00776BB0"/>
    <w:rsid w:val="007804E9"/>
    <w:rsid w:val="00780A59"/>
    <w:rsid w:val="00780BBE"/>
    <w:rsid w:val="00781DBE"/>
    <w:rsid w:val="00783347"/>
    <w:rsid w:val="0078465E"/>
    <w:rsid w:val="007849F5"/>
    <w:rsid w:val="00784A84"/>
    <w:rsid w:val="00784B0B"/>
    <w:rsid w:val="0078537D"/>
    <w:rsid w:val="00786E8A"/>
    <w:rsid w:val="00787312"/>
    <w:rsid w:val="0078732E"/>
    <w:rsid w:val="00790542"/>
    <w:rsid w:val="00790B1D"/>
    <w:rsid w:val="0079180C"/>
    <w:rsid w:val="00792270"/>
    <w:rsid w:val="0079260D"/>
    <w:rsid w:val="00792F1F"/>
    <w:rsid w:val="00793004"/>
    <w:rsid w:val="0079585E"/>
    <w:rsid w:val="007958A7"/>
    <w:rsid w:val="0079614F"/>
    <w:rsid w:val="007968D5"/>
    <w:rsid w:val="00796D4A"/>
    <w:rsid w:val="00796DC2"/>
    <w:rsid w:val="0079715F"/>
    <w:rsid w:val="007A0A37"/>
    <w:rsid w:val="007A11B0"/>
    <w:rsid w:val="007A1C5E"/>
    <w:rsid w:val="007A2A3D"/>
    <w:rsid w:val="007A2DBF"/>
    <w:rsid w:val="007A38C6"/>
    <w:rsid w:val="007A3BCB"/>
    <w:rsid w:val="007A5694"/>
    <w:rsid w:val="007A6439"/>
    <w:rsid w:val="007A683F"/>
    <w:rsid w:val="007A6F12"/>
    <w:rsid w:val="007A7292"/>
    <w:rsid w:val="007A7954"/>
    <w:rsid w:val="007A7DAF"/>
    <w:rsid w:val="007B059C"/>
    <w:rsid w:val="007B0B05"/>
    <w:rsid w:val="007B10CE"/>
    <w:rsid w:val="007B41C1"/>
    <w:rsid w:val="007B41CC"/>
    <w:rsid w:val="007B5814"/>
    <w:rsid w:val="007B5C6C"/>
    <w:rsid w:val="007B5F87"/>
    <w:rsid w:val="007B694F"/>
    <w:rsid w:val="007B6E70"/>
    <w:rsid w:val="007B709E"/>
    <w:rsid w:val="007B75CA"/>
    <w:rsid w:val="007B7985"/>
    <w:rsid w:val="007C01F9"/>
    <w:rsid w:val="007C0613"/>
    <w:rsid w:val="007C0DDA"/>
    <w:rsid w:val="007C1656"/>
    <w:rsid w:val="007C1DFF"/>
    <w:rsid w:val="007C2517"/>
    <w:rsid w:val="007C25A0"/>
    <w:rsid w:val="007C2E61"/>
    <w:rsid w:val="007C4766"/>
    <w:rsid w:val="007C49F2"/>
    <w:rsid w:val="007C5D82"/>
    <w:rsid w:val="007C6B41"/>
    <w:rsid w:val="007C7808"/>
    <w:rsid w:val="007C7B47"/>
    <w:rsid w:val="007C7BDD"/>
    <w:rsid w:val="007C7CAB"/>
    <w:rsid w:val="007D01D2"/>
    <w:rsid w:val="007D0B2E"/>
    <w:rsid w:val="007D1743"/>
    <w:rsid w:val="007D359B"/>
    <w:rsid w:val="007D3886"/>
    <w:rsid w:val="007D3E3C"/>
    <w:rsid w:val="007D3EDA"/>
    <w:rsid w:val="007D4343"/>
    <w:rsid w:val="007D4712"/>
    <w:rsid w:val="007D4917"/>
    <w:rsid w:val="007D4F41"/>
    <w:rsid w:val="007D5044"/>
    <w:rsid w:val="007D5BFF"/>
    <w:rsid w:val="007D67A1"/>
    <w:rsid w:val="007D6F4A"/>
    <w:rsid w:val="007D7015"/>
    <w:rsid w:val="007D7A08"/>
    <w:rsid w:val="007E0485"/>
    <w:rsid w:val="007E04D5"/>
    <w:rsid w:val="007E04F8"/>
    <w:rsid w:val="007E05C5"/>
    <w:rsid w:val="007E0F88"/>
    <w:rsid w:val="007E1821"/>
    <w:rsid w:val="007E2747"/>
    <w:rsid w:val="007E2943"/>
    <w:rsid w:val="007E3578"/>
    <w:rsid w:val="007E3AF3"/>
    <w:rsid w:val="007E4C2E"/>
    <w:rsid w:val="007E4E7A"/>
    <w:rsid w:val="007E5193"/>
    <w:rsid w:val="007E59A6"/>
    <w:rsid w:val="007E6B3C"/>
    <w:rsid w:val="007F0729"/>
    <w:rsid w:val="007F0A6F"/>
    <w:rsid w:val="007F0ABE"/>
    <w:rsid w:val="007F0E26"/>
    <w:rsid w:val="007F1FEF"/>
    <w:rsid w:val="007F2326"/>
    <w:rsid w:val="007F2569"/>
    <w:rsid w:val="007F334A"/>
    <w:rsid w:val="007F34EE"/>
    <w:rsid w:val="007F3A26"/>
    <w:rsid w:val="007F40B2"/>
    <w:rsid w:val="007F411F"/>
    <w:rsid w:val="007F4782"/>
    <w:rsid w:val="007F49E9"/>
    <w:rsid w:val="007F4D9F"/>
    <w:rsid w:val="007F58A0"/>
    <w:rsid w:val="007F65F5"/>
    <w:rsid w:val="007F67AF"/>
    <w:rsid w:val="007F7D96"/>
    <w:rsid w:val="00800E71"/>
    <w:rsid w:val="00800E7F"/>
    <w:rsid w:val="008011D9"/>
    <w:rsid w:val="00801469"/>
    <w:rsid w:val="008014F1"/>
    <w:rsid w:val="00801AFD"/>
    <w:rsid w:val="00802120"/>
    <w:rsid w:val="00802B83"/>
    <w:rsid w:val="00802D8A"/>
    <w:rsid w:val="00803110"/>
    <w:rsid w:val="0080388D"/>
    <w:rsid w:val="00803925"/>
    <w:rsid w:val="00803CF4"/>
    <w:rsid w:val="008048BC"/>
    <w:rsid w:val="008052B4"/>
    <w:rsid w:val="008058FF"/>
    <w:rsid w:val="00806EC9"/>
    <w:rsid w:val="00806F57"/>
    <w:rsid w:val="00807C98"/>
    <w:rsid w:val="00807EEF"/>
    <w:rsid w:val="00810109"/>
    <w:rsid w:val="00810876"/>
    <w:rsid w:val="00810898"/>
    <w:rsid w:val="00810FA2"/>
    <w:rsid w:val="00810FF7"/>
    <w:rsid w:val="00811E18"/>
    <w:rsid w:val="00813789"/>
    <w:rsid w:val="008146DF"/>
    <w:rsid w:val="00814BCF"/>
    <w:rsid w:val="00814F81"/>
    <w:rsid w:val="008152B1"/>
    <w:rsid w:val="00815A4C"/>
    <w:rsid w:val="00816810"/>
    <w:rsid w:val="00816F4A"/>
    <w:rsid w:val="00817A59"/>
    <w:rsid w:val="00817AEE"/>
    <w:rsid w:val="0082029F"/>
    <w:rsid w:val="0082085E"/>
    <w:rsid w:val="008210D6"/>
    <w:rsid w:val="008217E5"/>
    <w:rsid w:val="00821F1A"/>
    <w:rsid w:val="00822B9D"/>
    <w:rsid w:val="0082320B"/>
    <w:rsid w:val="00823FF5"/>
    <w:rsid w:val="008246C0"/>
    <w:rsid w:val="00825685"/>
    <w:rsid w:val="00826111"/>
    <w:rsid w:val="008265E1"/>
    <w:rsid w:val="0082696D"/>
    <w:rsid w:val="00826DDA"/>
    <w:rsid w:val="00827705"/>
    <w:rsid w:val="00830CDD"/>
    <w:rsid w:val="00830FC1"/>
    <w:rsid w:val="00831CA3"/>
    <w:rsid w:val="00832E14"/>
    <w:rsid w:val="00832EAB"/>
    <w:rsid w:val="00833040"/>
    <w:rsid w:val="008335FB"/>
    <w:rsid w:val="0083434F"/>
    <w:rsid w:val="00834535"/>
    <w:rsid w:val="00834728"/>
    <w:rsid w:val="00834F93"/>
    <w:rsid w:val="00834F9B"/>
    <w:rsid w:val="008351A9"/>
    <w:rsid w:val="00836FF7"/>
    <w:rsid w:val="00837170"/>
    <w:rsid w:val="00837573"/>
    <w:rsid w:val="00840AB1"/>
    <w:rsid w:val="00840F3E"/>
    <w:rsid w:val="00841274"/>
    <w:rsid w:val="0084132C"/>
    <w:rsid w:val="0084187F"/>
    <w:rsid w:val="008423CF"/>
    <w:rsid w:val="00842D7C"/>
    <w:rsid w:val="00842ED0"/>
    <w:rsid w:val="00845DA3"/>
    <w:rsid w:val="00846128"/>
    <w:rsid w:val="00846462"/>
    <w:rsid w:val="00846508"/>
    <w:rsid w:val="00846E15"/>
    <w:rsid w:val="008470FE"/>
    <w:rsid w:val="00847D90"/>
    <w:rsid w:val="008503FA"/>
    <w:rsid w:val="00850724"/>
    <w:rsid w:val="008519DA"/>
    <w:rsid w:val="008526C1"/>
    <w:rsid w:val="00852866"/>
    <w:rsid w:val="00852917"/>
    <w:rsid w:val="00852E9E"/>
    <w:rsid w:val="008536E0"/>
    <w:rsid w:val="00854573"/>
    <w:rsid w:val="008546BE"/>
    <w:rsid w:val="00854C22"/>
    <w:rsid w:val="00856BFE"/>
    <w:rsid w:val="00860935"/>
    <w:rsid w:val="00860BC3"/>
    <w:rsid w:val="0086109B"/>
    <w:rsid w:val="00861FCE"/>
    <w:rsid w:val="00862BFE"/>
    <w:rsid w:val="00862D0C"/>
    <w:rsid w:val="00863523"/>
    <w:rsid w:val="00864062"/>
    <w:rsid w:val="008642F9"/>
    <w:rsid w:val="008644BC"/>
    <w:rsid w:val="00865177"/>
    <w:rsid w:val="008656A8"/>
    <w:rsid w:val="008659CC"/>
    <w:rsid w:val="00865EA1"/>
    <w:rsid w:val="00866768"/>
    <w:rsid w:val="00867279"/>
    <w:rsid w:val="008676FF"/>
    <w:rsid w:val="00867AD0"/>
    <w:rsid w:val="00867C85"/>
    <w:rsid w:val="0087002B"/>
    <w:rsid w:val="00870543"/>
    <w:rsid w:val="00870858"/>
    <w:rsid w:val="0087174F"/>
    <w:rsid w:val="0087186C"/>
    <w:rsid w:val="008718B8"/>
    <w:rsid w:val="00871B2A"/>
    <w:rsid w:val="00871BD2"/>
    <w:rsid w:val="00871D6C"/>
    <w:rsid w:val="008725E6"/>
    <w:rsid w:val="0087260F"/>
    <w:rsid w:val="00872803"/>
    <w:rsid w:val="00873AD4"/>
    <w:rsid w:val="00873F3A"/>
    <w:rsid w:val="008742AE"/>
    <w:rsid w:val="00874986"/>
    <w:rsid w:val="00874A42"/>
    <w:rsid w:val="008750CE"/>
    <w:rsid w:val="0087551F"/>
    <w:rsid w:val="00875B83"/>
    <w:rsid w:val="00875BBB"/>
    <w:rsid w:val="008779A7"/>
    <w:rsid w:val="008808E9"/>
    <w:rsid w:val="00881196"/>
    <w:rsid w:val="008816D9"/>
    <w:rsid w:val="00881D4D"/>
    <w:rsid w:val="00881E3C"/>
    <w:rsid w:val="00882840"/>
    <w:rsid w:val="00884C2B"/>
    <w:rsid w:val="008856A3"/>
    <w:rsid w:val="00885943"/>
    <w:rsid w:val="00885AAB"/>
    <w:rsid w:val="008865E2"/>
    <w:rsid w:val="00886889"/>
    <w:rsid w:val="00886ACE"/>
    <w:rsid w:val="0089050B"/>
    <w:rsid w:val="00890A51"/>
    <w:rsid w:val="00891898"/>
    <w:rsid w:val="00892426"/>
    <w:rsid w:val="00892654"/>
    <w:rsid w:val="008926F6"/>
    <w:rsid w:val="008936F9"/>
    <w:rsid w:val="00893A18"/>
    <w:rsid w:val="00893BB4"/>
    <w:rsid w:val="0089553E"/>
    <w:rsid w:val="008956F9"/>
    <w:rsid w:val="00895D16"/>
    <w:rsid w:val="00895F48"/>
    <w:rsid w:val="008965C3"/>
    <w:rsid w:val="008965CB"/>
    <w:rsid w:val="00896B5E"/>
    <w:rsid w:val="00897022"/>
    <w:rsid w:val="008A076B"/>
    <w:rsid w:val="008A0B77"/>
    <w:rsid w:val="008A16CC"/>
    <w:rsid w:val="008A249D"/>
    <w:rsid w:val="008A2C0C"/>
    <w:rsid w:val="008A2E81"/>
    <w:rsid w:val="008A397B"/>
    <w:rsid w:val="008A3AC3"/>
    <w:rsid w:val="008A3FD0"/>
    <w:rsid w:val="008A4027"/>
    <w:rsid w:val="008A4429"/>
    <w:rsid w:val="008A461C"/>
    <w:rsid w:val="008A572F"/>
    <w:rsid w:val="008A6DA3"/>
    <w:rsid w:val="008A7330"/>
    <w:rsid w:val="008A75AE"/>
    <w:rsid w:val="008A7DFE"/>
    <w:rsid w:val="008B0FFB"/>
    <w:rsid w:val="008B13C0"/>
    <w:rsid w:val="008B1B9C"/>
    <w:rsid w:val="008B22D4"/>
    <w:rsid w:val="008B2590"/>
    <w:rsid w:val="008B262F"/>
    <w:rsid w:val="008B2C30"/>
    <w:rsid w:val="008B2D21"/>
    <w:rsid w:val="008B300F"/>
    <w:rsid w:val="008B31CA"/>
    <w:rsid w:val="008B340C"/>
    <w:rsid w:val="008B364C"/>
    <w:rsid w:val="008B36FE"/>
    <w:rsid w:val="008B3871"/>
    <w:rsid w:val="008B39C6"/>
    <w:rsid w:val="008B4DED"/>
    <w:rsid w:val="008B54E2"/>
    <w:rsid w:val="008B5E06"/>
    <w:rsid w:val="008B5EF0"/>
    <w:rsid w:val="008B65C3"/>
    <w:rsid w:val="008B6C9B"/>
    <w:rsid w:val="008B6ED6"/>
    <w:rsid w:val="008B70C5"/>
    <w:rsid w:val="008B70FC"/>
    <w:rsid w:val="008C0302"/>
    <w:rsid w:val="008C0350"/>
    <w:rsid w:val="008C0630"/>
    <w:rsid w:val="008C21F1"/>
    <w:rsid w:val="008C2351"/>
    <w:rsid w:val="008C3FE8"/>
    <w:rsid w:val="008C4B76"/>
    <w:rsid w:val="008C4D27"/>
    <w:rsid w:val="008C5156"/>
    <w:rsid w:val="008C5900"/>
    <w:rsid w:val="008C5AA3"/>
    <w:rsid w:val="008C5EA8"/>
    <w:rsid w:val="008C64F9"/>
    <w:rsid w:val="008C69E9"/>
    <w:rsid w:val="008C6AB8"/>
    <w:rsid w:val="008C7147"/>
    <w:rsid w:val="008C7DB7"/>
    <w:rsid w:val="008D01A4"/>
    <w:rsid w:val="008D08BA"/>
    <w:rsid w:val="008D09DE"/>
    <w:rsid w:val="008D1A6C"/>
    <w:rsid w:val="008D1D48"/>
    <w:rsid w:val="008D1E21"/>
    <w:rsid w:val="008D219A"/>
    <w:rsid w:val="008D29B9"/>
    <w:rsid w:val="008D396F"/>
    <w:rsid w:val="008D4DF5"/>
    <w:rsid w:val="008D5423"/>
    <w:rsid w:val="008D6D77"/>
    <w:rsid w:val="008D6DC1"/>
    <w:rsid w:val="008D6DCB"/>
    <w:rsid w:val="008D7029"/>
    <w:rsid w:val="008D70F2"/>
    <w:rsid w:val="008D77F0"/>
    <w:rsid w:val="008D7FAC"/>
    <w:rsid w:val="008E02FC"/>
    <w:rsid w:val="008E17DD"/>
    <w:rsid w:val="008E2314"/>
    <w:rsid w:val="008E26E6"/>
    <w:rsid w:val="008E29C0"/>
    <w:rsid w:val="008E2C47"/>
    <w:rsid w:val="008E405F"/>
    <w:rsid w:val="008E6022"/>
    <w:rsid w:val="008E6642"/>
    <w:rsid w:val="008E79DB"/>
    <w:rsid w:val="008E7A30"/>
    <w:rsid w:val="008F10F1"/>
    <w:rsid w:val="008F1652"/>
    <w:rsid w:val="008F17D8"/>
    <w:rsid w:val="008F1BB5"/>
    <w:rsid w:val="008F2149"/>
    <w:rsid w:val="008F2367"/>
    <w:rsid w:val="008F2789"/>
    <w:rsid w:val="008F33CB"/>
    <w:rsid w:val="008F33EB"/>
    <w:rsid w:val="008F3D18"/>
    <w:rsid w:val="008F4392"/>
    <w:rsid w:val="008F4AF3"/>
    <w:rsid w:val="008F4E01"/>
    <w:rsid w:val="008F4FD0"/>
    <w:rsid w:val="008F5942"/>
    <w:rsid w:val="008F6526"/>
    <w:rsid w:val="008F708B"/>
    <w:rsid w:val="008F7621"/>
    <w:rsid w:val="009004A0"/>
    <w:rsid w:val="0090053C"/>
    <w:rsid w:val="009011E6"/>
    <w:rsid w:val="00901CA9"/>
    <w:rsid w:val="00902395"/>
    <w:rsid w:val="00902B47"/>
    <w:rsid w:val="00902F44"/>
    <w:rsid w:val="0090332D"/>
    <w:rsid w:val="00903553"/>
    <w:rsid w:val="009040E4"/>
    <w:rsid w:val="009061DC"/>
    <w:rsid w:val="0090635B"/>
    <w:rsid w:val="009073DE"/>
    <w:rsid w:val="00907BC9"/>
    <w:rsid w:val="009112E5"/>
    <w:rsid w:val="009112F9"/>
    <w:rsid w:val="009118AA"/>
    <w:rsid w:val="00911A37"/>
    <w:rsid w:val="00911C4E"/>
    <w:rsid w:val="00912354"/>
    <w:rsid w:val="009125D4"/>
    <w:rsid w:val="00913D18"/>
    <w:rsid w:val="00913E8B"/>
    <w:rsid w:val="00914511"/>
    <w:rsid w:val="00914A37"/>
    <w:rsid w:val="00914D0B"/>
    <w:rsid w:val="009152F0"/>
    <w:rsid w:val="00915C38"/>
    <w:rsid w:val="00916446"/>
    <w:rsid w:val="00916AAE"/>
    <w:rsid w:val="00917146"/>
    <w:rsid w:val="00917327"/>
    <w:rsid w:val="00920BD1"/>
    <w:rsid w:val="00921252"/>
    <w:rsid w:val="0092178A"/>
    <w:rsid w:val="009230CA"/>
    <w:rsid w:val="009230D5"/>
    <w:rsid w:val="00923D40"/>
    <w:rsid w:val="00925FEB"/>
    <w:rsid w:val="0092629B"/>
    <w:rsid w:val="00926D3F"/>
    <w:rsid w:val="009274E3"/>
    <w:rsid w:val="00927612"/>
    <w:rsid w:val="00930E16"/>
    <w:rsid w:val="00930FFC"/>
    <w:rsid w:val="009312C8"/>
    <w:rsid w:val="00931660"/>
    <w:rsid w:val="009342B3"/>
    <w:rsid w:val="009352CC"/>
    <w:rsid w:val="00935DD8"/>
    <w:rsid w:val="00936028"/>
    <w:rsid w:val="00936552"/>
    <w:rsid w:val="009368AA"/>
    <w:rsid w:val="00936AE0"/>
    <w:rsid w:val="00936CA1"/>
    <w:rsid w:val="00937BA2"/>
    <w:rsid w:val="009402CF"/>
    <w:rsid w:val="00940893"/>
    <w:rsid w:val="00940C5F"/>
    <w:rsid w:val="00940EC9"/>
    <w:rsid w:val="00940EDF"/>
    <w:rsid w:val="00941331"/>
    <w:rsid w:val="009417E9"/>
    <w:rsid w:val="00941B61"/>
    <w:rsid w:val="00941CC6"/>
    <w:rsid w:val="00941D82"/>
    <w:rsid w:val="00941E4D"/>
    <w:rsid w:val="00941F1A"/>
    <w:rsid w:val="009428E0"/>
    <w:rsid w:val="00943146"/>
    <w:rsid w:val="00943866"/>
    <w:rsid w:val="00943AF7"/>
    <w:rsid w:val="00943F8A"/>
    <w:rsid w:val="009449C6"/>
    <w:rsid w:val="009450B4"/>
    <w:rsid w:val="0094619A"/>
    <w:rsid w:val="00946E88"/>
    <w:rsid w:val="00947004"/>
    <w:rsid w:val="0094799E"/>
    <w:rsid w:val="00947F72"/>
    <w:rsid w:val="00950D7C"/>
    <w:rsid w:val="00951B93"/>
    <w:rsid w:val="0095272A"/>
    <w:rsid w:val="00953054"/>
    <w:rsid w:val="0095363E"/>
    <w:rsid w:val="00953944"/>
    <w:rsid w:val="009539EC"/>
    <w:rsid w:val="009544ED"/>
    <w:rsid w:val="0095453F"/>
    <w:rsid w:val="00954753"/>
    <w:rsid w:val="009551E6"/>
    <w:rsid w:val="0095573D"/>
    <w:rsid w:val="009565E9"/>
    <w:rsid w:val="0095660F"/>
    <w:rsid w:val="0095664B"/>
    <w:rsid w:val="00956F3A"/>
    <w:rsid w:val="00957515"/>
    <w:rsid w:val="009602E8"/>
    <w:rsid w:val="00960C48"/>
    <w:rsid w:val="00960F9A"/>
    <w:rsid w:val="0096185C"/>
    <w:rsid w:val="00962BC1"/>
    <w:rsid w:val="00963457"/>
    <w:rsid w:val="00963961"/>
    <w:rsid w:val="00963FF2"/>
    <w:rsid w:val="0096419F"/>
    <w:rsid w:val="00964F3B"/>
    <w:rsid w:val="0096525A"/>
    <w:rsid w:val="009654B4"/>
    <w:rsid w:val="00966996"/>
    <w:rsid w:val="00967093"/>
    <w:rsid w:val="009672BF"/>
    <w:rsid w:val="00967E37"/>
    <w:rsid w:val="00967E38"/>
    <w:rsid w:val="009701AE"/>
    <w:rsid w:val="0097043E"/>
    <w:rsid w:val="00970D93"/>
    <w:rsid w:val="00970DF9"/>
    <w:rsid w:val="00971195"/>
    <w:rsid w:val="009712C0"/>
    <w:rsid w:val="009717C0"/>
    <w:rsid w:val="00971A8F"/>
    <w:rsid w:val="00972179"/>
    <w:rsid w:val="00973E90"/>
    <w:rsid w:val="00974189"/>
    <w:rsid w:val="00974783"/>
    <w:rsid w:val="009749BD"/>
    <w:rsid w:val="00974DE4"/>
    <w:rsid w:val="00975522"/>
    <w:rsid w:val="00975B7E"/>
    <w:rsid w:val="0097631D"/>
    <w:rsid w:val="00977727"/>
    <w:rsid w:val="00977CD2"/>
    <w:rsid w:val="00980B93"/>
    <w:rsid w:val="00980E51"/>
    <w:rsid w:val="009812CA"/>
    <w:rsid w:val="00981BFA"/>
    <w:rsid w:val="00981CEE"/>
    <w:rsid w:val="00981F58"/>
    <w:rsid w:val="00982898"/>
    <w:rsid w:val="00982AD9"/>
    <w:rsid w:val="00983D82"/>
    <w:rsid w:val="009843A2"/>
    <w:rsid w:val="0098642D"/>
    <w:rsid w:val="00986D27"/>
    <w:rsid w:val="009877EE"/>
    <w:rsid w:val="0099055F"/>
    <w:rsid w:val="00990ACD"/>
    <w:rsid w:val="0099108B"/>
    <w:rsid w:val="00991640"/>
    <w:rsid w:val="009917CF"/>
    <w:rsid w:val="00991924"/>
    <w:rsid w:val="00991AAF"/>
    <w:rsid w:val="009925A4"/>
    <w:rsid w:val="00993575"/>
    <w:rsid w:val="00993DD4"/>
    <w:rsid w:val="00995053"/>
    <w:rsid w:val="009958E0"/>
    <w:rsid w:val="00995C70"/>
    <w:rsid w:val="0099658C"/>
    <w:rsid w:val="009965DD"/>
    <w:rsid w:val="009967CB"/>
    <w:rsid w:val="009972C7"/>
    <w:rsid w:val="009979B8"/>
    <w:rsid w:val="00997B7A"/>
    <w:rsid w:val="009A001F"/>
    <w:rsid w:val="009A012C"/>
    <w:rsid w:val="009A0A8D"/>
    <w:rsid w:val="009A0C97"/>
    <w:rsid w:val="009A0CA9"/>
    <w:rsid w:val="009A0CF8"/>
    <w:rsid w:val="009A0DAA"/>
    <w:rsid w:val="009A147F"/>
    <w:rsid w:val="009A1D3C"/>
    <w:rsid w:val="009A2479"/>
    <w:rsid w:val="009A320A"/>
    <w:rsid w:val="009A44F2"/>
    <w:rsid w:val="009A4788"/>
    <w:rsid w:val="009A4D62"/>
    <w:rsid w:val="009A51D8"/>
    <w:rsid w:val="009A5697"/>
    <w:rsid w:val="009A5799"/>
    <w:rsid w:val="009A5882"/>
    <w:rsid w:val="009A641E"/>
    <w:rsid w:val="009A664C"/>
    <w:rsid w:val="009A7739"/>
    <w:rsid w:val="009A7B03"/>
    <w:rsid w:val="009B13D1"/>
    <w:rsid w:val="009B2169"/>
    <w:rsid w:val="009B31E2"/>
    <w:rsid w:val="009B381E"/>
    <w:rsid w:val="009B3B5C"/>
    <w:rsid w:val="009B5735"/>
    <w:rsid w:val="009B5CB4"/>
    <w:rsid w:val="009B5D23"/>
    <w:rsid w:val="009B6557"/>
    <w:rsid w:val="009B7097"/>
    <w:rsid w:val="009B7200"/>
    <w:rsid w:val="009B7BA6"/>
    <w:rsid w:val="009B7FB6"/>
    <w:rsid w:val="009C112A"/>
    <w:rsid w:val="009C1905"/>
    <w:rsid w:val="009C24EB"/>
    <w:rsid w:val="009C2EB1"/>
    <w:rsid w:val="009C3760"/>
    <w:rsid w:val="009C3BC1"/>
    <w:rsid w:val="009C4268"/>
    <w:rsid w:val="009C4802"/>
    <w:rsid w:val="009C510A"/>
    <w:rsid w:val="009C5638"/>
    <w:rsid w:val="009C633C"/>
    <w:rsid w:val="009C6BD2"/>
    <w:rsid w:val="009C6BDD"/>
    <w:rsid w:val="009C6DBE"/>
    <w:rsid w:val="009C6DC6"/>
    <w:rsid w:val="009D01B6"/>
    <w:rsid w:val="009D1BA7"/>
    <w:rsid w:val="009D266F"/>
    <w:rsid w:val="009D26AE"/>
    <w:rsid w:val="009D30FD"/>
    <w:rsid w:val="009D3EFB"/>
    <w:rsid w:val="009D402F"/>
    <w:rsid w:val="009D4825"/>
    <w:rsid w:val="009D529C"/>
    <w:rsid w:val="009D6476"/>
    <w:rsid w:val="009D70E5"/>
    <w:rsid w:val="009D71D1"/>
    <w:rsid w:val="009D734F"/>
    <w:rsid w:val="009D776F"/>
    <w:rsid w:val="009E0C0D"/>
    <w:rsid w:val="009E0F95"/>
    <w:rsid w:val="009E1318"/>
    <w:rsid w:val="009E1D6E"/>
    <w:rsid w:val="009E1E5A"/>
    <w:rsid w:val="009E25FF"/>
    <w:rsid w:val="009E3492"/>
    <w:rsid w:val="009E3B1F"/>
    <w:rsid w:val="009E3D54"/>
    <w:rsid w:val="009E3EE7"/>
    <w:rsid w:val="009E4FDE"/>
    <w:rsid w:val="009E5106"/>
    <w:rsid w:val="009E5902"/>
    <w:rsid w:val="009E5DD0"/>
    <w:rsid w:val="009E6AF8"/>
    <w:rsid w:val="009E703F"/>
    <w:rsid w:val="009E7B11"/>
    <w:rsid w:val="009F006F"/>
    <w:rsid w:val="009F0222"/>
    <w:rsid w:val="009F096B"/>
    <w:rsid w:val="009F1E32"/>
    <w:rsid w:val="009F213D"/>
    <w:rsid w:val="009F2E53"/>
    <w:rsid w:val="009F5128"/>
    <w:rsid w:val="009F6654"/>
    <w:rsid w:val="009F6C81"/>
    <w:rsid w:val="009F71C8"/>
    <w:rsid w:val="009F7797"/>
    <w:rsid w:val="009F78A0"/>
    <w:rsid w:val="009F7DD9"/>
    <w:rsid w:val="00A006D4"/>
    <w:rsid w:val="00A01693"/>
    <w:rsid w:val="00A019E8"/>
    <w:rsid w:val="00A01C78"/>
    <w:rsid w:val="00A01E07"/>
    <w:rsid w:val="00A02144"/>
    <w:rsid w:val="00A029D4"/>
    <w:rsid w:val="00A02FFC"/>
    <w:rsid w:val="00A04C7B"/>
    <w:rsid w:val="00A04EEA"/>
    <w:rsid w:val="00A05C96"/>
    <w:rsid w:val="00A05E5F"/>
    <w:rsid w:val="00A05F9F"/>
    <w:rsid w:val="00A06F22"/>
    <w:rsid w:val="00A0769E"/>
    <w:rsid w:val="00A0780F"/>
    <w:rsid w:val="00A07E60"/>
    <w:rsid w:val="00A10E29"/>
    <w:rsid w:val="00A113F1"/>
    <w:rsid w:val="00A1199B"/>
    <w:rsid w:val="00A13A07"/>
    <w:rsid w:val="00A13F81"/>
    <w:rsid w:val="00A1452E"/>
    <w:rsid w:val="00A146B0"/>
    <w:rsid w:val="00A15771"/>
    <w:rsid w:val="00A15D3B"/>
    <w:rsid w:val="00A16123"/>
    <w:rsid w:val="00A1686A"/>
    <w:rsid w:val="00A16BD1"/>
    <w:rsid w:val="00A16EE1"/>
    <w:rsid w:val="00A170FF"/>
    <w:rsid w:val="00A17121"/>
    <w:rsid w:val="00A20123"/>
    <w:rsid w:val="00A20298"/>
    <w:rsid w:val="00A20364"/>
    <w:rsid w:val="00A205C9"/>
    <w:rsid w:val="00A21447"/>
    <w:rsid w:val="00A21E99"/>
    <w:rsid w:val="00A235F9"/>
    <w:rsid w:val="00A23B44"/>
    <w:rsid w:val="00A23B7C"/>
    <w:rsid w:val="00A2498F"/>
    <w:rsid w:val="00A25204"/>
    <w:rsid w:val="00A2554B"/>
    <w:rsid w:val="00A2597B"/>
    <w:rsid w:val="00A25B38"/>
    <w:rsid w:val="00A30315"/>
    <w:rsid w:val="00A314D1"/>
    <w:rsid w:val="00A31DB2"/>
    <w:rsid w:val="00A3215C"/>
    <w:rsid w:val="00A32332"/>
    <w:rsid w:val="00A323EF"/>
    <w:rsid w:val="00A3247C"/>
    <w:rsid w:val="00A32AF3"/>
    <w:rsid w:val="00A33FA5"/>
    <w:rsid w:val="00A33FB3"/>
    <w:rsid w:val="00A34DF1"/>
    <w:rsid w:val="00A35097"/>
    <w:rsid w:val="00A35920"/>
    <w:rsid w:val="00A35BAF"/>
    <w:rsid w:val="00A37EB1"/>
    <w:rsid w:val="00A402B2"/>
    <w:rsid w:val="00A40656"/>
    <w:rsid w:val="00A40A41"/>
    <w:rsid w:val="00A40C69"/>
    <w:rsid w:val="00A410DD"/>
    <w:rsid w:val="00A42E3A"/>
    <w:rsid w:val="00A445A3"/>
    <w:rsid w:val="00A44EA0"/>
    <w:rsid w:val="00A455FA"/>
    <w:rsid w:val="00A45E34"/>
    <w:rsid w:val="00A461E9"/>
    <w:rsid w:val="00A4624C"/>
    <w:rsid w:val="00A466A1"/>
    <w:rsid w:val="00A46E5C"/>
    <w:rsid w:val="00A47069"/>
    <w:rsid w:val="00A50548"/>
    <w:rsid w:val="00A505AA"/>
    <w:rsid w:val="00A50A21"/>
    <w:rsid w:val="00A5132F"/>
    <w:rsid w:val="00A514BF"/>
    <w:rsid w:val="00A518B0"/>
    <w:rsid w:val="00A51FD7"/>
    <w:rsid w:val="00A5244D"/>
    <w:rsid w:val="00A53003"/>
    <w:rsid w:val="00A532AF"/>
    <w:rsid w:val="00A536D2"/>
    <w:rsid w:val="00A537DC"/>
    <w:rsid w:val="00A539BC"/>
    <w:rsid w:val="00A550BA"/>
    <w:rsid w:val="00A55A4F"/>
    <w:rsid w:val="00A5658A"/>
    <w:rsid w:val="00A5728C"/>
    <w:rsid w:val="00A57DFC"/>
    <w:rsid w:val="00A60E83"/>
    <w:rsid w:val="00A62372"/>
    <w:rsid w:val="00A6289E"/>
    <w:rsid w:val="00A62EA8"/>
    <w:rsid w:val="00A63090"/>
    <w:rsid w:val="00A63150"/>
    <w:rsid w:val="00A6388B"/>
    <w:rsid w:val="00A63D22"/>
    <w:rsid w:val="00A63E6A"/>
    <w:rsid w:val="00A63F83"/>
    <w:rsid w:val="00A64008"/>
    <w:rsid w:val="00A644CC"/>
    <w:rsid w:val="00A64992"/>
    <w:rsid w:val="00A64B85"/>
    <w:rsid w:val="00A64C2E"/>
    <w:rsid w:val="00A64C64"/>
    <w:rsid w:val="00A65719"/>
    <w:rsid w:val="00A66398"/>
    <w:rsid w:val="00A6690F"/>
    <w:rsid w:val="00A66DEC"/>
    <w:rsid w:val="00A67B8C"/>
    <w:rsid w:val="00A701D2"/>
    <w:rsid w:val="00A70500"/>
    <w:rsid w:val="00A70993"/>
    <w:rsid w:val="00A709EB"/>
    <w:rsid w:val="00A71A86"/>
    <w:rsid w:val="00A71D29"/>
    <w:rsid w:val="00A73654"/>
    <w:rsid w:val="00A737AF"/>
    <w:rsid w:val="00A73C9A"/>
    <w:rsid w:val="00A746D7"/>
    <w:rsid w:val="00A74B0C"/>
    <w:rsid w:val="00A75534"/>
    <w:rsid w:val="00A75575"/>
    <w:rsid w:val="00A760F7"/>
    <w:rsid w:val="00A764BA"/>
    <w:rsid w:val="00A764F9"/>
    <w:rsid w:val="00A76D8C"/>
    <w:rsid w:val="00A7771F"/>
    <w:rsid w:val="00A779CB"/>
    <w:rsid w:val="00A77F80"/>
    <w:rsid w:val="00A77FFE"/>
    <w:rsid w:val="00A801BB"/>
    <w:rsid w:val="00A80D6C"/>
    <w:rsid w:val="00A816FC"/>
    <w:rsid w:val="00A819B3"/>
    <w:rsid w:val="00A821A1"/>
    <w:rsid w:val="00A82979"/>
    <w:rsid w:val="00A83284"/>
    <w:rsid w:val="00A83D03"/>
    <w:rsid w:val="00A8434A"/>
    <w:rsid w:val="00A844BA"/>
    <w:rsid w:val="00A848AB"/>
    <w:rsid w:val="00A84B38"/>
    <w:rsid w:val="00A84D70"/>
    <w:rsid w:val="00A85511"/>
    <w:rsid w:val="00A85CF3"/>
    <w:rsid w:val="00A86DCC"/>
    <w:rsid w:val="00A871CB"/>
    <w:rsid w:val="00A87384"/>
    <w:rsid w:val="00A87B9F"/>
    <w:rsid w:val="00A87BAD"/>
    <w:rsid w:val="00A90EB0"/>
    <w:rsid w:val="00A9128D"/>
    <w:rsid w:val="00A9152C"/>
    <w:rsid w:val="00A916C3"/>
    <w:rsid w:val="00A927A3"/>
    <w:rsid w:val="00A945DC"/>
    <w:rsid w:val="00A94BFD"/>
    <w:rsid w:val="00A965D5"/>
    <w:rsid w:val="00A97773"/>
    <w:rsid w:val="00AA0604"/>
    <w:rsid w:val="00AA0DB3"/>
    <w:rsid w:val="00AA13AD"/>
    <w:rsid w:val="00AA20C6"/>
    <w:rsid w:val="00AA2E1B"/>
    <w:rsid w:val="00AA303D"/>
    <w:rsid w:val="00AA374B"/>
    <w:rsid w:val="00AA3881"/>
    <w:rsid w:val="00AA398B"/>
    <w:rsid w:val="00AA3F1E"/>
    <w:rsid w:val="00AA4463"/>
    <w:rsid w:val="00AA46C3"/>
    <w:rsid w:val="00AA4AFB"/>
    <w:rsid w:val="00AA4BE9"/>
    <w:rsid w:val="00AA51BD"/>
    <w:rsid w:val="00AA541B"/>
    <w:rsid w:val="00AA5599"/>
    <w:rsid w:val="00AA6D94"/>
    <w:rsid w:val="00AB08E8"/>
    <w:rsid w:val="00AB0DA9"/>
    <w:rsid w:val="00AB1300"/>
    <w:rsid w:val="00AB1A9A"/>
    <w:rsid w:val="00AB2A6F"/>
    <w:rsid w:val="00AB2A76"/>
    <w:rsid w:val="00AB2EFC"/>
    <w:rsid w:val="00AB414B"/>
    <w:rsid w:val="00AB4F06"/>
    <w:rsid w:val="00AB4F5F"/>
    <w:rsid w:val="00AB501F"/>
    <w:rsid w:val="00AB6306"/>
    <w:rsid w:val="00AB6429"/>
    <w:rsid w:val="00AB6436"/>
    <w:rsid w:val="00AB6EF7"/>
    <w:rsid w:val="00AB6F3C"/>
    <w:rsid w:val="00AB75AE"/>
    <w:rsid w:val="00AB78DA"/>
    <w:rsid w:val="00AC110D"/>
    <w:rsid w:val="00AC13AC"/>
    <w:rsid w:val="00AC19AE"/>
    <w:rsid w:val="00AC1E2D"/>
    <w:rsid w:val="00AC1FC1"/>
    <w:rsid w:val="00AC2036"/>
    <w:rsid w:val="00AC28E0"/>
    <w:rsid w:val="00AC2923"/>
    <w:rsid w:val="00AC3A2D"/>
    <w:rsid w:val="00AC629B"/>
    <w:rsid w:val="00AC64ED"/>
    <w:rsid w:val="00AC6838"/>
    <w:rsid w:val="00AC6BA7"/>
    <w:rsid w:val="00AC7BF1"/>
    <w:rsid w:val="00AD005F"/>
    <w:rsid w:val="00AD1BFF"/>
    <w:rsid w:val="00AD1C32"/>
    <w:rsid w:val="00AD1E14"/>
    <w:rsid w:val="00AD23E8"/>
    <w:rsid w:val="00AD3D9D"/>
    <w:rsid w:val="00AD5454"/>
    <w:rsid w:val="00AD6612"/>
    <w:rsid w:val="00AD6A42"/>
    <w:rsid w:val="00AD779B"/>
    <w:rsid w:val="00AD7AF9"/>
    <w:rsid w:val="00AD7CDA"/>
    <w:rsid w:val="00AD7EE9"/>
    <w:rsid w:val="00AD7F45"/>
    <w:rsid w:val="00AE032A"/>
    <w:rsid w:val="00AE0380"/>
    <w:rsid w:val="00AE091C"/>
    <w:rsid w:val="00AE0FE2"/>
    <w:rsid w:val="00AE12F8"/>
    <w:rsid w:val="00AE3587"/>
    <w:rsid w:val="00AE35BE"/>
    <w:rsid w:val="00AE3D8E"/>
    <w:rsid w:val="00AE5508"/>
    <w:rsid w:val="00AE5939"/>
    <w:rsid w:val="00AE5ADB"/>
    <w:rsid w:val="00AE65BF"/>
    <w:rsid w:val="00AE6826"/>
    <w:rsid w:val="00AE76B7"/>
    <w:rsid w:val="00AE7818"/>
    <w:rsid w:val="00AE7B18"/>
    <w:rsid w:val="00AF0442"/>
    <w:rsid w:val="00AF0FD8"/>
    <w:rsid w:val="00AF1D3D"/>
    <w:rsid w:val="00AF1E21"/>
    <w:rsid w:val="00AF22B2"/>
    <w:rsid w:val="00AF268D"/>
    <w:rsid w:val="00AF2776"/>
    <w:rsid w:val="00AF2D1D"/>
    <w:rsid w:val="00AF461D"/>
    <w:rsid w:val="00AF47A8"/>
    <w:rsid w:val="00AF50B9"/>
    <w:rsid w:val="00AF63D7"/>
    <w:rsid w:val="00AF7863"/>
    <w:rsid w:val="00B02F0F"/>
    <w:rsid w:val="00B03D50"/>
    <w:rsid w:val="00B054C4"/>
    <w:rsid w:val="00B0574C"/>
    <w:rsid w:val="00B06441"/>
    <w:rsid w:val="00B0762A"/>
    <w:rsid w:val="00B07E5A"/>
    <w:rsid w:val="00B07E9E"/>
    <w:rsid w:val="00B101C4"/>
    <w:rsid w:val="00B10617"/>
    <w:rsid w:val="00B1097C"/>
    <w:rsid w:val="00B10998"/>
    <w:rsid w:val="00B11247"/>
    <w:rsid w:val="00B115CA"/>
    <w:rsid w:val="00B11A83"/>
    <w:rsid w:val="00B11BF8"/>
    <w:rsid w:val="00B11C0E"/>
    <w:rsid w:val="00B11E75"/>
    <w:rsid w:val="00B12156"/>
    <w:rsid w:val="00B13229"/>
    <w:rsid w:val="00B146BE"/>
    <w:rsid w:val="00B1479A"/>
    <w:rsid w:val="00B14FF7"/>
    <w:rsid w:val="00B154A5"/>
    <w:rsid w:val="00B15824"/>
    <w:rsid w:val="00B159BF"/>
    <w:rsid w:val="00B17A7C"/>
    <w:rsid w:val="00B20163"/>
    <w:rsid w:val="00B2099A"/>
    <w:rsid w:val="00B20AB6"/>
    <w:rsid w:val="00B20BDA"/>
    <w:rsid w:val="00B20DC8"/>
    <w:rsid w:val="00B20F2B"/>
    <w:rsid w:val="00B210A2"/>
    <w:rsid w:val="00B2154E"/>
    <w:rsid w:val="00B225C8"/>
    <w:rsid w:val="00B22762"/>
    <w:rsid w:val="00B22E64"/>
    <w:rsid w:val="00B231CA"/>
    <w:rsid w:val="00B231D1"/>
    <w:rsid w:val="00B23DBE"/>
    <w:rsid w:val="00B23F0D"/>
    <w:rsid w:val="00B250F7"/>
    <w:rsid w:val="00B25319"/>
    <w:rsid w:val="00B256A5"/>
    <w:rsid w:val="00B25F67"/>
    <w:rsid w:val="00B263A6"/>
    <w:rsid w:val="00B26577"/>
    <w:rsid w:val="00B27788"/>
    <w:rsid w:val="00B30F63"/>
    <w:rsid w:val="00B314C1"/>
    <w:rsid w:val="00B31C77"/>
    <w:rsid w:val="00B31D41"/>
    <w:rsid w:val="00B32330"/>
    <w:rsid w:val="00B327A7"/>
    <w:rsid w:val="00B32DB0"/>
    <w:rsid w:val="00B33879"/>
    <w:rsid w:val="00B33949"/>
    <w:rsid w:val="00B3404D"/>
    <w:rsid w:val="00B34393"/>
    <w:rsid w:val="00B3496D"/>
    <w:rsid w:val="00B3608F"/>
    <w:rsid w:val="00B361A8"/>
    <w:rsid w:val="00B37B10"/>
    <w:rsid w:val="00B37B21"/>
    <w:rsid w:val="00B37B85"/>
    <w:rsid w:val="00B40C9C"/>
    <w:rsid w:val="00B40E46"/>
    <w:rsid w:val="00B41DD4"/>
    <w:rsid w:val="00B4216A"/>
    <w:rsid w:val="00B42586"/>
    <w:rsid w:val="00B429E0"/>
    <w:rsid w:val="00B4329D"/>
    <w:rsid w:val="00B43701"/>
    <w:rsid w:val="00B43C2C"/>
    <w:rsid w:val="00B43C65"/>
    <w:rsid w:val="00B43FAE"/>
    <w:rsid w:val="00B44161"/>
    <w:rsid w:val="00B44A9A"/>
    <w:rsid w:val="00B457E8"/>
    <w:rsid w:val="00B45F0F"/>
    <w:rsid w:val="00B463F2"/>
    <w:rsid w:val="00B46415"/>
    <w:rsid w:val="00B465C2"/>
    <w:rsid w:val="00B465EF"/>
    <w:rsid w:val="00B46DE0"/>
    <w:rsid w:val="00B47DF4"/>
    <w:rsid w:val="00B5141A"/>
    <w:rsid w:val="00B518CB"/>
    <w:rsid w:val="00B52433"/>
    <w:rsid w:val="00B528C2"/>
    <w:rsid w:val="00B536E7"/>
    <w:rsid w:val="00B5377F"/>
    <w:rsid w:val="00B53BBA"/>
    <w:rsid w:val="00B542CC"/>
    <w:rsid w:val="00B54711"/>
    <w:rsid w:val="00B5485E"/>
    <w:rsid w:val="00B54889"/>
    <w:rsid w:val="00B55F63"/>
    <w:rsid w:val="00B561E0"/>
    <w:rsid w:val="00B606DD"/>
    <w:rsid w:val="00B612E6"/>
    <w:rsid w:val="00B61BCE"/>
    <w:rsid w:val="00B61C4B"/>
    <w:rsid w:val="00B61EB3"/>
    <w:rsid w:val="00B61EEC"/>
    <w:rsid w:val="00B621D9"/>
    <w:rsid w:val="00B626CF"/>
    <w:rsid w:val="00B629CD"/>
    <w:rsid w:val="00B6316A"/>
    <w:rsid w:val="00B63F02"/>
    <w:rsid w:val="00B647DB"/>
    <w:rsid w:val="00B6711E"/>
    <w:rsid w:val="00B673D8"/>
    <w:rsid w:val="00B67950"/>
    <w:rsid w:val="00B67999"/>
    <w:rsid w:val="00B67C78"/>
    <w:rsid w:val="00B67CDB"/>
    <w:rsid w:val="00B70311"/>
    <w:rsid w:val="00B70B70"/>
    <w:rsid w:val="00B70EB5"/>
    <w:rsid w:val="00B71704"/>
    <w:rsid w:val="00B7190D"/>
    <w:rsid w:val="00B719C7"/>
    <w:rsid w:val="00B732A5"/>
    <w:rsid w:val="00B735F7"/>
    <w:rsid w:val="00B737AE"/>
    <w:rsid w:val="00B738C6"/>
    <w:rsid w:val="00B741F4"/>
    <w:rsid w:val="00B74356"/>
    <w:rsid w:val="00B74B68"/>
    <w:rsid w:val="00B74BC6"/>
    <w:rsid w:val="00B750F5"/>
    <w:rsid w:val="00B7567C"/>
    <w:rsid w:val="00B75E57"/>
    <w:rsid w:val="00B75FD9"/>
    <w:rsid w:val="00B75FF5"/>
    <w:rsid w:val="00B763C3"/>
    <w:rsid w:val="00B76789"/>
    <w:rsid w:val="00B77C36"/>
    <w:rsid w:val="00B800D7"/>
    <w:rsid w:val="00B81A3C"/>
    <w:rsid w:val="00B81B7E"/>
    <w:rsid w:val="00B82202"/>
    <w:rsid w:val="00B8264E"/>
    <w:rsid w:val="00B82EFB"/>
    <w:rsid w:val="00B8334E"/>
    <w:rsid w:val="00B8340B"/>
    <w:rsid w:val="00B84074"/>
    <w:rsid w:val="00B84477"/>
    <w:rsid w:val="00B84CEA"/>
    <w:rsid w:val="00B86574"/>
    <w:rsid w:val="00B8758D"/>
    <w:rsid w:val="00B87A1E"/>
    <w:rsid w:val="00B90D04"/>
    <w:rsid w:val="00B9234A"/>
    <w:rsid w:val="00B92C27"/>
    <w:rsid w:val="00B93257"/>
    <w:rsid w:val="00B939B0"/>
    <w:rsid w:val="00B93C21"/>
    <w:rsid w:val="00B9435D"/>
    <w:rsid w:val="00B9458D"/>
    <w:rsid w:val="00B94660"/>
    <w:rsid w:val="00B94F45"/>
    <w:rsid w:val="00B95207"/>
    <w:rsid w:val="00B9546A"/>
    <w:rsid w:val="00B95A16"/>
    <w:rsid w:val="00B96501"/>
    <w:rsid w:val="00B969FE"/>
    <w:rsid w:val="00B96E1C"/>
    <w:rsid w:val="00B97167"/>
    <w:rsid w:val="00B973E6"/>
    <w:rsid w:val="00B9786C"/>
    <w:rsid w:val="00B97B2B"/>
    <w:rsid w:val="00B97EC7"/>
    <w:rsid w:val="00BA0299"/>
    <w:rsid w:val="00BA0FFA"/>
    <w:rsid w:val="00BA2015"/>
    <w:rsid w:val="00BA2303"/>
    <w:rsid w:val="00BA2507"/>
    <w:rsid w:val="00BA27CF"/>
    <w:rsid w:val="00BA4A30"/>
    <w:rsid w:val="00BA4B2F"/>
    <w:rsid w:val="00BA4E53"/>
    <w:rsid w:val="00BA55F4"/>
    <w:rsid w:val="00BA5F23"/>
    <w:rsid w:val="00BA60C2"/>
    <w:rsid w:val="00BA672C"/>
    <w:rsid w:val="00BA7E2C"/>
    <w:rsid w:val="00BA7FC6"/>
    <w:rsid w:val="00BB0662"/>
    <w:rsid w:val="00BB1185"/>
    <w:rsid w:val="00BB11E4"/>
    <w:rsid w:val="00BB1794"/>
    <w:rsid w:val="00BB185C"/>
    <w:rsid w:val="00BB1FED"/>
    <w:rsid w:val="00BB280D"/>
    <w:rsid w:val="00BB2AA4"/>
    <w:rsid w:val="00BB3122"/>
    <w:rsid w:val="00BB413E"/>
    <w:rsid w:val="00BB444E"/>
    <w:rsid w:val="00BB462D"/>
    <w:rsid w:val="00BB5177"/>
    <w:rsid w:val="00BB5220"/>
    <w:rsid w:val="00BB5CCD"/>
    <w:rsid w:val="00BB65AD"/>
    <w:rsid w:val="00BB6FCD"/>
    <w:rsid w:val="00BB710B"/>
    <w:rsid w:val="00BB718C"/>
    <w:rsid w:val="00BB725D"/>
    <w:rsid w:val="00BB74BD"/>
    <w:rsid w:val="00BB7860"/>
    <w:rsid w:val="00BC259A"/>
    <w:rsid w:val="00BC41E6"/>
    <w:rsid w:val="00BC449B"/>
    <w:rsid w:val="00BC5442"/>
    <w:rsid w:val="00BC5968"/>
    <w:rsid w:val="00BC5AC4"/>
    <w:rsid w:val="00BC5AFA"/>
    <w:rsid w:val="00BC7E5D"/>
    <w:rsid w:val="00BD047F"/>
    <w:rsid w:val="00BD0F50"/>
    <w:rsid w:val="00BD0F83"/>
    <w:rsid w:val="00BD192B"/>
    <w:rsid w:val="00BD1BBF"/>
    <w:rsid w:val="00BD1D76"/>
    <w:rsid w:val="00BD1FF6"/>
    <w:rsid w:val="00BD1FF7"/>
    <w:rsid w:val="00BD24A5"/>
    <w:rsid w:val="00BD24D2"/>
    <w:rsid w:val="00BD2598"/>
    <w:rsid w:val="00BD2AE3"/>
    <w:rsid w:val="00BD3E47"/>
    <w:rsid w:val="00BD3F33"/>
    <w:rsid w:val="00BD40CA"/>
    <w:rsid w:val="00BD4433"/>
    <w:rsid w:val="00BD4868"/>
    <w:rsid w:val="00BD4869"/>
    <w:rsid w:val="00BD4F01"/>
    <w:rsid w:val="00BD5352"/>
    <w:rsid w:val="00BD58C0"/>
    <w:rsid w:val="00BD5999"/>
    <w:rsid w:val="00BD60AB"/>
    <w:rsid w:val="00BD61EF"/>
    <w:rsid w:val="00BD6CFB"/>
    <w:rsid w:val="00BD707C"/>
    <w:rsid w:val="00BE03CD"/>
    <w:rsid w:val="00BE095F"/>
    <w:rsid w:val="00BE099C"/>
    <w:rsid w:val="00BE0D5D"/>
    <w:rsid w:val="00BE15AA"/>
    <w:rsid w:val="00BE1D8F"/>
    <w:rsid w:val="00BE2C39"/>
    <w:rsid w:val="00BE2DA0"/>
    <w:rsid w:val="00BE2EB3"/>
    <w:rsid w:val="00BE325C"/>
    <w:rsid w:val="00BE3358"/>
    <w:rsid w:val="00BE3E21"/>
    <w:rsid w:val="00BE3EC5"/>
    <w:rsid w:val="00BE3F06"/>
    <w:rsid w:val="00BE5174"/>
    <w:rsid w:val="00BE611D"/>
    <w:rsid w:val="00BE650B"/>
    <w:rsid w:val="00BF1943"/>
    <w:rsid w:val="00BF27FC"/>
    <w:rsid w:val="00BF3D99"/>
    <w:rsid w:val="00BF3F2B"/>
    <w:rsid w:val="00BF4253"/>
    <w:rsid w:val="00BF4D48"/>
    <w:rsid w:val="00BF4EB0"/>
    <w:rsid w:val="00BF5CBE"/>
    <w:rsid w:val="00BF5E2E"/>
    <w:rsid w:val="00BF618B"/>
    <w:rsid w:val="00BF6A78"/>
    <w:rsid w:val="00BF6C81"/>
    <w:rsid w:val="00BF6FE0"/>
    <w:rsid w:val="00BF78E6"/>
    <w:rsid w:val="00C004BE"/>
    <w:rsid w:val="00C00E43"/>
    <w:rsid w:val="00C00E9B"/>
    <w:rsid w:val="00C0265A"/>
    <w:rsid w:val="00C029EC"/>
    <w:rsid w:val="00C02EB4"/>
    <w:rsid w:val="00C031BA"/>
    <w:rsid w:val="00C0345F"/>
    <w:rsid w:val="00C0363D"/>
    <w:rsid w:val="00C04182"/>
    <w:rsid w:val="00C04A48"/>
    <w:rsid w:val="00C07191"/>
    <w:rsid w:val="00C07B7D"/>
    <w:rsid w:val="00C10256"/>
    <w:rsid w:val="00C1061D"/>
    <w:rsid w:val="00C108AF"/>
    <w:rsid w:val="00C10C70"/>
    <w:rsid w:val="00C110C8"/>
    <w:rsid w:val="00C12644"/>
    <w:rsid w:val="00C1268E"/>
    <w:rsid w:val="00C12725"/>
    <w:rsid w:val="00C13150"/>
    <w:rsid w:val="00C14C91"/>
    <w:rsid w:val="00C14FD4"/>
    <w:rsid w:val="00C16113"/>
    <w:rsid w:val="00C166F6"/>
    <w:rsid w:val="00C1741E"/>
    <w:rsid w:val="00C1752D"/>
    <w:rsid w:val="00C17A2A"/>
    <w:rsid w:val="00C17EDB"/>
    <w:rsid w:val="00C21226"/>
    <w:rsid w:val="00C2158E"/>
    <w:rsid w:val="00C21970"/>
    <w:rsid w:val="00C224A5"/>
    <w:rsid w:val="00C22731"/>
    <w:rsid w:val="00C22F88"/>
    <w:rsid w:val="00C23063"/>
    <w:rsid w:val="00C2338A"/>
    <w:rsid w:val="00C23484"/>
    <w:rsid w:val="00C2409E"/>
    <w:rsid w:val="00C244DE"/>
    <w:rsid w:val="00C251B7"/>
    <w:rsid w:val="00C252D4"/>
    <w:rsid w:val="00C2581A"/>
    <w:rsid w:val="00C25BEC"/>
    <w:rsid w:val="00C26128"/>
    <w:rsid w:val="00C261A7"/>
    <w:rsid w:val="00C26983"/>
    <w:rsid w:val="00C303C1"/>
    <w:rsid w:val="00C30818"/>
    <w:rsid w:val="00C30CFA"/>
    <w:rsid w:val="00C30EB6"/>
    <w:rsid w:val="00C31C40"/>
    <w:rsid w:val="00C32DC2"/>
    <w:rsid w:val="00C339F9"/>
    <w:rsid w:val="00C33EBE"/>
    <w:rsid w:val="00C33FEF"/>
    <w:rsid w:val="00C34125"/>
    <w:rsid w:val="00C345A8"/>
    <w:rsid w:val="00C349D9"/>
    <w:rsid w:val="00C35157"/>
    <w:rsid w:val="00C37849"/>
    <w:rsid w:val="00C40576"/>
    <w:rsid w:val="00C40C16"/>
    <w:rsid w:val="00C416D5"/>
    <w:rsid w:val="00C41D65"/>
    <w:rsid w:val="00C41F6D"/>
    <w:rsid w:val="00C42001"/>
    <w:rsid w:val="00C42283"/>
    <w:rsid w:val="00C42827"/>
    <w:rsid w:val="00C42E31"/>
    <w:rsid w:val="00C437E8"/>
    <w:rsid w:val="00C43DC8"/>
    <w:rsid w:val="00C44417"/>
    <w:rsid w:val="00C449EE"/>
    <w:rsid w:val="00C44EA9"/>
    <w:rsid w:val="00C458EA"/>
    <w:rsid w:val="00C46262"/>
    <w:rsid w:val="00C46323"/>
    <w:rsid w:val="00C475D1"/>
    <w:rsid w:val="00C47639"/>
    <w:rsid w:val="00C476A0"/>
    <w:rsid w:val="00C5078F"/>
    <w:rsid w:val="00C5101C"/>
    <w:rsid w:val="00C51DFE"/>
    <w:rsid w:val="00C524CB"/>
    <w:rsid w:val="00C53B0B"/>
    <w:rsid w:val="00C5489C"/>
    <w:rsid w:val="00C5507A"/>
    <w:rsid w:val="00C55E24"/>
    <w:rsid w:val="00C56438"/>
    <w:rsid w:val="00C57373"/>
    <w:rsid w:val="00C5775A"/>
    <w:rsid w:val="00C6046A"/>
    <w:rsid w:val="00C61C4C"/>
    <w:rsid w:val="00C630E9"/>
    <w:rsid w:val="00C642C2"/>
    <w:rsid w:val="00C6486F"/>
    <w:rsid w:val="00C64C94"/>
    <w:rsid w:val="00C64DFE"/>
    <w:rsid w:val="00C64E92"/>
    <w:rsid w:val="00C656CA"/>
    <w:rsid w:val="00C66339"/>
    <w:rsid w:val="00C66E03"/>
    <w:rsid w:val="00C67820"/>
    <w:rsid w:val="00C67B8F"/>
    <w:rsid w:val="00C7066A"/>
    <w:rsid w:val="00C7096C"/>
    <w:rsid w:val="00C70B10"/>
    <w:rsid w:val="00C710F3"/>
    <w:rsid w:val="00C711F1"/>
    <w:rsid w:val="00C71CF9"/>
    <w:rsid w:val="00C72792"/>
    <w:rsid w:val="00C72AC7"/>
    <w:rsid w:val="00C72CC5"/>
    <w:rsid w:val="00C73031"/>
    <w:rsid w:val="00C73129"/>
    <w:rsid w:val="00C7399A"/>
    <w:rsid w:val="00C7408E"/>
    <w:rsid w:val="00C7528D"/>
    <w:rsid w:val="00C75447"/>
    <w:rsid w:val="00C75885"/>
    <w:rsid w:val="00C7589B"/>
    <w:rsid w:val="00C75A52"/>
    <w:rsid w:val="00C75E2F"/>
    <w:rsid w:val="00C7636C"/>
    <w:rsid w:val="00C763EA"/>
    <w:rsid w:val="00C76FAD"/>
    <w:rsid w:val="00C7753E"/>
    <w:rsid w:val="00C77542"/>
    <w:rsid w:val="00C77BA6"/>
    <w:rsid w:val="00C77F3B"/>
    <w:rsid w:val="00C81838"/>
    <w:rsid w:val="00C82155"/>
    <w:rsid w:val="00C8279B"/>
    <w:rsid w:val="00C83115"/>
    <w:rsid w:val="00C831B4"/>
    <w:rsid w:val="00C834BD"/>
    <w:rsid w:val="00C83596"/>
    <w:rsid w:val="00C835F9"/>
    <w:rsid w:val="00C8360A"/>
    <w:rsid w:val="00C83F92"/>
    <w:rsid w:val="00C8430D"/>
    <w:rsid w:val="00C8487C"/>
    <w:rsid w:val="00C8506A"/>
    <w:rsid w:val="00C855F0"/>
    <w:rsid w:val="00C8564F"/>
    <w:rsid w:val="00C85CE7"/>
    <w:rsid w:val="00C85E88"/>
    <w:rsid w:val="00C8638E"/>
    <w:rsid w:val="00C866D3"/>
    <w:rsid w:val="00C8676C"/>
    <w:rsid w:val="00C86AB4"/>
    <w:rsid w:val="00C86AB7"/>
    <w:rsid w:val="00C86BF0"/>
    <w:rsid w:val="00C87C53"/>
    <w:rsid w:val="00C90D84"/>
    <w:rsid w:val="00C90E29"/>
    <w:rsid w:val="00C921AC"/>
    <w:rsid w:val="00C922AD"/>
    <w:rsid w:val="00C92A33"/>
    <w:rsid w:val="00C931DC"/>
    <w:rsid w:val="00C93759"/>
    <w:rsid w:val="00C9426A"/>
    <w:rsid w:val="00C94708"/>
    <w:rsid w:val="00C94A14"/>
    <w:rsid w:val="00C94FED"/>
    <w:rsid w:val="00C9535F"/>
    <w:rsid w:val="00C96570"/>
    <w:rsid w:val="00C965E8"/>
    <w:rsid w:val="00C97928"/>
    <w:rsid w:val="00C97938"/>
    <w:rsid w:val="00CA02DB"/>
    <w:rsid w:val="00CA05F3"/>
    <w:rsid w:val="00CA08E7"/>
    <w:rsid w:val="00CA0F79"/>
    <w:rsid w:val="00CA160B"/>
    <w:rsid w:val="00CA1EA9"/>
    <w:rsid w:val="00CA2B7A"/>
    <w:rsid w:val="00CA2BAC"/>
    <w:rsid w:val="00CA5108"/>
    <w:rsid w:val="00CA62EF"/>
    <w:rsid w:val="00CA633B"/>
    <w:rsid w:val="00CA6DDB"/>
    <w:rsid w:val="00CA7056"/>
    <w:rsid w:val="00CA72C6"/>
    <w:rsid w:val="00CA7675"/>
    <w:rsid w:val="00CA77E9"/>
    <w:rsid w:val="00CA790F"/>
    <w:rsid w:val="00CA7AC9"/>
    <w:rsid w:val="00CA7FE1"/>
    <w:rsid w:val="00CB1E49"/>
    <w:rsid w:val="00CB2435"/>
    <w:rsid w:val="00CB33C1"/>
    <w:rsid w:val="00CB3451"/>
    <w:rsid w:val="00CB4124"/>
    <w:rsid w:val="00CB44D0"/>
    <w:rsid w:val="00CB479D"/>
    <w:rsid w:val="00CB4C13"/>
    <w:rsid w:val="00CB4E6E"/>
    <w:rsid w:val="00CB6172"/>
    <w:rsid w:val="00CB634E"/>
    <w:rsid w:val="00CB6C1A"/>
    <w:rsid w:val="00CC061D"/>
    <w:rsid w:val="00CC0A96"/>
    <w:rsid w:val="00CC34CC"/>
    <w:rsid w:val="00CC3600"/>
    <w:rsid w:val="00CC3634"/>
    <w:rsid w:val="00CC54FC"/>
    <w:rsid w:val="00CC5F75"/>
    <w:rsid w:val="00CC64E2"/>
    <w:rsid w:val="00CC79B9"/>
    <w:rsid w:val="00CD086E"/>
    <w:rsid w:val="00CD0E84"/>
    <w:rsid w:val="00CD1858"/>
    <w:rsid w:val="00CD21EA"/>
    <w:rsid w:val="00CD2A11"/>
    <w:rsid w:val="00CD392E"/>
    <w:rsid w:val="00CD3B5B"/>
    <w:rsid w:val="00CD3F6C"/>
    <w:rsid w:val="00CD4027"/>
    <w:rsid w:val="00CD50F7"/>
    <w:rsid w:val="00CD58A1"/>
    <w:rsid w:val="00CD5934"/>
    <w:rsid w:val="00CD6495"/>
    <w:rsid w:val="00CD67C4"/>
    <w:rsid w:val="00CD7558"/>
    <w:rsid w:val="00CD79D7"/>
    <w:rsid w:val="00CE0093"/>
    <w:rsid w:val="00CE0383"/>
    <w:rsid w:val="00CE14CE"/>
    <w:rsid w:val="00CE168E"/>
    <w:rsid w:val="00CE2778"/>
    <w:rsid w:val="00CE2EFD"/>
    <w:rsid w:val="00CE3421"/>
    <w:rsid w:val="00CE4456"/>
    <w:rsid w:val="00CE57E6"/>
    <w:rsid w:val="00CE59B8"/>
    <w:rsid w:val="00CE5B06"/>
    <w:rsid w:val="00CE5CC6"/>
    <w:rsid w:val="00CE5D29"/>
    <w:rsid w:val="00CE69FA"/>
    <w:rsid w:val="00CE6BDE"/>
    <w:rsid w:val="00CE74EB"/>
    <w:rsid w:val="00CE75AA"/>
    <w:rsid w:val="00CE7AE8"/>
    <w:rsid w:val="00CE7DD9"/>
    <w:rsid w:val="00CF0459"/>
    <w:rsid w:val="00CF0BE1"/>
    <w:rsid w:val="00CF0E23"/>
    <w:rsid w:val="00CF146A"/>
    <w:rsid w:val="00CF20F4"/>
    <w:rsid w:val="00CF24C8"/>
    <w:rsid w:val="00CF2515"/>
    <w:rsid w:val="00CF27E4"/>
    <w:rsid w:val="00CF344B"/>
    <w:rsid w:val="00CF4255"/>
    <w:rsid w:val="00CF4298"/>
    <w:rsid w:val="00CF4DB5"/>
    <w:rsid w:val="00CF4F05"/>
    <w:rsid w:val="00CF5C17"/>
    <w:rsid w:val="00CF6000"/>
    <w:rsid w:val="00CF606A"/>
    <w:rsid w:val="00CF6112"/>
    <w:rsid w:val="00CF6696"/>
    <w:rsid w:val="00CF75EF"/>
    <w:rsid w:val="00CF762B"/>
    <w:rsid w:val="00CF7A01"/>
    <w:rsid w:val="00CF7BF6"/>
    <w:rsid w:val="00CF7C53"/>
    <w:rsid w:val="00CF7E64"/>
    <w:rsid w:val="00D00392"/>
    <w:rsid w:val="00D004B5"/>
    <w:rsid w:val="00D013A8"/>
    <w:rsid w:val="00D01F1E"/>
    <w:rsid w:val="00D02785"/>
    <w:rsid w:val="00D02EEC"/>
    <w:rsid w:val="00D03233"/>
    <w:rsid w:val="00D035D8"/>
    <w:rsid w:val="00D041A0"/>
    <w:rsid w:val="00D041A5"/>
    <w:rsid w:val="00D0492A"/>
    <w:rsid w:val="00D050DC"/>
    <w:rsid w:val="00D053C5"/>
    <w:rsid w:val="00D0620C"/>
    <w:rsid w:val="00D068F8"/>
    <w:rsid w:val="00D06DD2"/>
    <w:rsid w:val="00D07DDE"/>
    <w:rsid w:val="00D10267"/>
    <w:rsid w:val="00D102D6"/>
    <w:rsid w:val="00D10595"/>
    <w:rsid w:val="00D11429"/>
    <w:rsid w:val="00D1148C"/>
    <w:rsid w:val="00D11993"/>
    <w:rsid w:val="00D119BD"/>
    <w:rsid w:val="00D11CB7"/>
    <w:rsid w:val="00D121C2"/>
    <w:rsid w:val="00D12B64"/>
    <w:rsid w:val="00D1338C"/>
    <w:rsid w:val="00D14903"/>
    <w:rsid w:val="00D14F02"/>
    <w:rsid w:val="00D15456"/>
    <w:rsid w:val="00D155A6"/>
    <w:rsid w:val="00D15A13"/>
    <w:rsid w:val="00D15CF2"/>
    <w:rsid w:val="00D16E44"/>
    <w:rsid w:val="00D179CD"/>
    <w:rsid w:val="00D17E2C"/>
    <w:rsid w:val="00D20786"/>
    <w:rsid w:val="00D20F6F"/>
    <w:rsid w:val="00D21648"/>
    <w:rsid w:val="00D216FD"/>
    <w:rsid w:val="00D2192F"/>
    <w:rsid w:val="00D21CE5"/>
    <w:rsid w:val="00D21FE3"/>
    <w:rsid w:val="00D2210F"/>
    <w:rsid w:val="00D2250F"/>
    <w:rsid w:val="00D239CF"/>
    <w:rsid w:val="00D2417A"/>
    <w:rsid w:val="00D24709"/>
    <w:rsid w:val="00D2536B"/>
    <w:rsid w:val="00D253A5"/>
    <w:rsid w:val="00D2568B"/>
    <w:rsid w:val="00D26802"/>
    <w:rsid w:val="00D268F7"/>
    <w:rsid w:val="00D26AF0"/>
    <w:rsid w:val="00D26BE2"/>
    <w:rsid w:val="00D2744B"/>
    <w:rsid w:val="00D27A49"/>
    <w:rsid w:val="00D302E8"/>
    <w:rsid w:val="00D31C9E"/>
    <w:rsid w:val="00D328A1"/>
    <w:rsid w:val="00D32B56"/>
    <w:rsid w:val="00D34C68"/>
    <w:rsid w:val="00D35289"/>
    <w:rsid w:val="00D3675E"/>
    <w:rsid w:val="00D36AB8"/>
    <w:rsid w:val="00D36BD1"/>
    <w:rsid w:val="00D37C42"/>
    <w:rsid w:val="00D40FB4"/>
    <w:rsid w:val="00D412DF"/>
    <w:rsid w:val="00D424C4"/>
    <w:rsid w:val="00D429BD"/>
    <w:rsid w:val="00D42A77"/>
    <w:rsid w:val="00D43275"/>
    <w:rsid w:val="00D438B8"/>
    <w:rsid w:val="00D43978"/>
    <w:rsid w:val="00D44873"/>
    <w:rsid w:val="00D44F59"/>
    <w:rsid w:val="00D4536B"/>
    <w:rsid w:val="00D4552D"/>
    <w:rsid w:val="00D45E80"/>
    <w:rsid w:val="00D46ED8"/>
    <w:rsid w:val="00D50C5E"/>
    <w:rsid w:val="00D52C1D"/>
    <w:rsid w:val="00D535FC"/>
    <w:rsid w:val="00D539BD"/>
    <w:rsid w:val="00D540F6"/>
    <w:rsid w:val="00D54586"/>
    <w:rsid w:val="00D548F5"/>
    <w:rsid w:val="00D54CC3"/>
    <w:rsid w:val="00D55728"/>
    <w:rsid w:val="00D55A27"/>
    <w:rsid w:val="00D57222"/>
    <w:rsid w:val="00D57E5A"/>
    <w:rsid w:val="00D57ECC"/>
    <w:rsid w:val="00D604BF"/>
    <w:rsid w:val="00D60DDC"/>
    <w:rsid w:val="00D60F94"/>
    <w:rsid w:val="00D612C1"/>
    <w:rsid w:val="00D61F12"/>
    <w:rsid w:val="00D620E2"/>
    <w:rsid w:val="00D62595"/>
    <w:rsid w:val="00D62831"/>
    <w:rsid w:val="00D62C14"/>
    <w:rsid w:val="00D6315F"/>
    <w:rsid w:val="00D637D8"/>
    <w:rsid w:val="00D63FE5"/>
    <w:rsid w:val="00D65A62"/>
    <w:rsid w:val="00D662CD"/>
    <w:rsid w:val="00D70BB3"/>
    <w:rsid w:val="00D70BEB"/>
    <w:rsid w:val="00D70D7A"/>
    <w:rsid w:val="00D71F61"/>
    <w:rsid w:val="00D7226A"/>
    <w:rsid w:val="00D722EB"/>
    <w:rsid w:val="00D72E58"/>
    <w:rsid w:val="00D73D77"/>
    <w:rsid w:val="00D7442F"/>
    <w:rsid w:val="00D74529"/>
    <w:rsid w:val="00D74771"/>
    <w:rsid w:val="00D7526D"/>
    <w:rsid w:val="00D75A35"/>
    <w:rsid w:val="00D76D18"/>
    <w:rsid w:val="00D77067"/>
    <w:rsid w:val="00D775E2"/>
    <w:rsid w:val="00D80004"/>
    <w:rsid w:val="00D8134F"/>
    <w:rsid w:val="00D8150B"/>
    <w:rsid w:val="00D81A31"/>
    <w:rsid w:val="00D8226B"/>
    <w:rsid w:val="00D82AA8"/>
    <w:rsid w:val="00D82D41"/>
    <w:rsid w:val="00D83519"/>
    <w:rsid w:val="00D8376E"/>
    <w:rsid w:val="00D83BEB"/>
    <w:rsid w:val="00D83C1F"/>
    <w:rsid w:val="00D85127"/>
    <w:rsid w:val="00D857F7"/>
    <w:rsid w:val="00D85842"/>
    <w:rsid w:val="00D85A9D"/>
    <w:rsid w:val="00D85F3E"/>
    <w:rsid w:val="00D8607D"/>
    <w:rsid w:val="00D864D3"/>
    <w:rsid w:val="00D86F14"/>
    <w:rsid w:val="00D87B4C"/>
    <w:rsid w:val="00D901D8"/>
    <w:rsid w:val="00D90C4D"/>
    <w:rsid w:val="00D91A7B"/>
    <w:rsid w:val="00D9365B"/>
    <w:rsid w:val="00D93814"/>
    <w:rsid w:val="00D9398A"/>
    <w:rsid w:val="00D93A44"/>
    <w:rsid w:val="00D9461A"/>
    <w:rsid w:val="00D95025"/>
    <w:rsid w:val="00D9554B"/>
    <w:rsid w:val="00D96165"/>
    <w:rsid w:val="00D96BD5"/>
    <w:rsid w:val="00D97253"/>
    <w:rsid w:val="00D976FB"/>
    <w:rsid w:val="00D97843"/>
    <w:rsid w:val="00DA08A8"/>
    <w:rsid w:val="00DA12F1"/>
    <w:rsid w:val="00DA174F"/>
    <w:rsid w:val="00DA1B8B"/>
    <w:rsid w:val="00DA204D"/>
    <w:rsid w:val="00DA229D"/>
    <w:rsid w:val="00DA23DA"/>
    <w:rsid w:val="00DA31DB"/>
    <w:rsid w:val="00DA3A42"/>
    <w:rsid w:val="00DA3EA4"/>
    <w:rsid w:val="00DA45CC"/>
    <w:rsid w:val="00DA481E"/>
    <w:rsid w:val="00DA58F7"/>
    <w:rsid w:val="00DA5FA4"/>
    <w:rsid w:val="00DA698E"/>
    <w:rsid w:val="00DA7B06"/>
    <w:rsid w:val="00DB1384"/>
    <w:rsid w:val="00DB138E"/>
    <w:rsid w:val="00DB1BBC"/>
    <w:rsid w:val="00DB256D"/>
    <w:rsid w:val="00DB26EE"/>
    <w:rsid w:val="00DB309F"/>
    <w:rsid w:val="00DB38FD"/>
    <w:rsid w:val="00DB4942"/>
    <w:rsid w:val="00DB57A5"/>
    <w:rsid w:val="00DB5A87"/>
    <w:rsid w:val="00DB5BD5"/>
    <w:rsid w:val="00DB5EBD"/>
    <w:rsid w:val="00DB63D2"/>
    <w:rsid w:val="00DB6F46"/>
    <w:rsid w:val="00DB72A7"/>
    <w:rsid w:val="00DB76D9"/>
    <w:rsid w:val="00DC003C"/>
    <w:rsid w:val="00DC02A1"/>
    <w:rsid w:val="00DC110F"/>
    <w:rsid w:val="00DC2472"/>
    <w:rsid w:val="00DC356C"/>
    <w:rsid w:val="00DC372F"/>
    <w:rsid w:val="00DC3DC3"/>
    <w:rsid w:val="00DC4236"/>
    <w:rsid w:val="00DC5A80"/>
    <w:rsid w:val="00DC6740"/>
    <w:rsid w:val="00DC70FB"/>
    <w:rsid w:val="00DC7D6C"/>
    <w:rsid w:val="00DD0A3B"/>
    <w:rsid w:val="00DD0CE1"/>
    <w:rsid w:val="00DD27AC"/>
    <w:rsid w:val="00DD3BA2"/>
    <w:rsid w:val="00DD5118"/>
    <w:rsid w:val="00DD524A"/>
    <w:rsid w:val="00DD5D44"/>
    <w:rsid w:val="00DD6BCC"/>
    <w:rsid w:val="00DD75C9"/>
    <w:rsid w:val="00DD788E"/>
    <w:rsid w:val="00DD792F"/>
    <w:rsid w:val="00DE01FE"/>
    <w:rsid w:val="00DE10F2"/>
    <w:rsid w:val="00DE2B3B"/>
    <w:rsid w:val="00DE2EB9"/>
    <w:rsid w:val="00DE44F6"/>
    <w:rsid w:val="00DE475A"/>
    <w:rsid w:val="00DE4CED"/>
    <w:rsid w:val="00DE5031"/>
    <w:rsid w:val="00DE584F"/>
    <w:rsid w:val="00DE5ED4"/>
    <w:rsid w:val="00DE60FB"/>
    <w:rsid w:val="00DE67CD"/>
    <w:rsid w:val="00DE6B4F"/>
    <w:rsid w:val="00DE71E1"/>
    <w:rsid w:val="00DE73FB"/>
    <w:rsid w:val="00DE75FD"/>
    <w:rsid w:val="00DE7F18"/>
    <w:rsid w:val="00DF0185"/>
    <w:rsid w:val="00DF17FB"/>
    <w:rsid w:val="00DF1E61"/>
    <w:rsid w:val="00DF21B4"/>
    <w:rsid w:val="00DF299D"/>
    <w:rsid w:val="00DF2DAE"/>
    <w:rsid w:val="00DF3550"/>
    <w:rsid w:val="00DF36C4"/>
    <w:rsid w:val="00DF5011"/>
    <w:rsid w:val="00DF51C7"/>
    <w:rsid w:val="00DF620B"/>
    <w:rsid w:val="00DF6E88"/>
    <w:rsid w:val="00DF6ECD"/>
    <w:rsid w:val="00DF7A38"/>
    <w:rsid w:val="00DF7EE2"/>
    <w:rsid w:val="00E0034D"/>
    <w:rsid w:val="00E01002"/>
    <w:rsid w:val="00E020CF"/>
    <w:rsid w:val="00E02D7A"/>
    <w:rsid w:val="00E03735"/>
    <w:rsid w:val="00E04311"/>
    <w:rsid w:val="00E0451C"/>
    <w:rsid w:val="00E047DB"/>
    <w:rsid w:val="00E04D7C"/>
    <w:rsid w:val="00E0568E"/>
    <w:rsid w:val="00E05D28"/>
    <w:rsid w:val="00E066F8"/>
    <w:rsid w:val="00E06EB2"/>
    <w:rsid w:val="00E0743E"/>
    <w:rsid w:val="00E101C2"/>
    <w:rsid w:val="00E10420"/>
    <w:rsid w:val="00E10667"/>
    <w:rsid w:val="00E1076A"/>
    <w:rsid w:val="00E107ED"/>
    <w:rsid w:val="00E109A5"/>
    <w:rsid w:val="00E10A02"/>
    <w:rsid w:val="00E10B13"/>
    <w:rsid w:val="00E114D6"/>
    <w:rsid w:val="00E117A8"/>
    <w:rsid w:val="00E11D74"/>
    <w:rsid w:val="00E12737"/>
    <w:rsid w:val="00E13740"/>
    <w:rsid w:val="00E149F2"/>
    <w:rsid w:val="00E14ACD"/>
    <w:rsid w:val="00E14FB5"/>
    <w:rsid w:val="00E1523E"/>
    <w:rsid w:val="00E16494"/>
    <w:rsid w:val="00E168B1"/>
    <w:rsid w:val="00E17324"/>
    <w:rsid w:val="00E17341"/>
    <w:rsid w:val="00E200AF"/>
    <w:rsid w:val="00E2058A"/>
    <w:rsid w:val="00E20A06"/>
    <w:rsid w:val="00E20D8A"/>
    <w:rsid w:val="00E2117A"/>
    <w:rsid w:val="00E21CEC"/>
    <w:rsid w:val="00E21F2D"/>
    <w:rsid w:val="00E2221B"/>
    <w:rsid w:val="00E22961"/>
    <w:rsid w:val="00E22F4C"/>
    <w:rsid w:val="00E23202"/>
    <w:rsid w:val="00E258D3"/>
    <w:rsid w:val="00E267D0"/>
    <w:rsid w:val="00E26FFD"/>
    <w:rsid w:val="00E27AF9"/>
    <w:rsid w:val="00E30504"/>
    <w:rsid w:val="00E30559"/>
    <w:rsid w:val="00E30596"/>
    <w:rsid w:val="00E3086C"/>
    <w:rsid w:val="00E3107F"/>
    <w:rsid w:val="00E32AAF"/>
    <w:rsid w:val="00E32BF9"/>
    <w:rsid w:val="00E32E28"/>
    <w:rsid w:val="00E32FC1"/>
    <w:rsid w:val="00E34EB0"/>
    <w:rsid w:val="00E3587C"/>
    <w:rsid w:val="00E365ED"/>
    <w:rsid w:val="00E3759C"/>
    <w:rsid w:val="00E4007B"/>
    <w:rsid w:val="00E40A5B"/>
    <w:rsid w:val="00E40F75"/>
    <w:rsid w:val="00E41120"/>
    <w:rsid w:val="00E43AD1"/>
    <w:rsid w:val="00E44E5C"/>
    <w:rsid w:val="00E45381"/>
    <w:rsid w:val="00E458D0"/>
    <w:rsid w:val="00E46C3B"/>
    <w:rsid w:val="00E46CE0"/>
    <w:rsid w:val="00E47C99"/>
    <w:rsid w:val="00E505F0"/>
    <w:rsid w:val="00E50FCC"/>
    <w:rsid w:val="00E5151A"/>
    <w:rsid w:val="00E5227B"/>
    <w:rsid w:val="00E52CC6"/>
    <w:rsid w:val="00E535B5"/>
    <w:rsid w:val="00E53B87"/>
    <w:rsid w:val="00E54213"/>
    <w:rsid w:val="00E548D0"/>
    <w:rsid w:val="00E548E1"/>
    <w:rsid w:val="00E55621"/>
    <w:rsid w:val="00E55722"/>
    <w:rsid w:val="00E557A5"/>
    <w:rsid w:val="00E5585A"/>
    <w:rsid w:val="00E55917"/>
    <w:rsid w:val="00E55C0E"/>
    <w:rsid w:val="00E57876"/>
    <w:rsid w:val="00E57FD1"/>
    <w:rsid w:val="00E60139"/>
    <w:rsid w:val="00E605A3"/>
    <w:rsid w:val="00E609FE"/>
    <w:rsid w:val="00E60EE2"/>
    <w:rsid w:val="00E614E4"/>
    <w:rsid w:val="00E61A79"/>
    <w:rsid w:val="00E623DD"/>
    <w:rsid w:val="00E62D8F"/>
    <w:rsid w:val="00E63654"/>
    <w:rsid w:val="00E64622"/>
    <w:rsid w:val="00E649BA"/>
    <w:rsid w:val="00E64C2F"/>
    <w:rsid w:val="00E65C38"/>
    <w:rsid w:val="00E66344"/>
    <w:rsid w:val="00E66454"/>
    <w:rsid w:val="00E66803"/>
    <w:rsid w:val="00E66944"/>
    <w:rsid w:val="00E66DF8"/>
    <w:rsid w:val="00E674B1"/>
    <w:rsid w:val="00E70A21"/>
    <w:rsid w:val="00E712B6"/>
    <w:rsid w:val="00E71D7B"/>
    <w:rsid w:val="00E71EF6"/>
    <w:rsid w:val="00E7285D"/>
    <w:rsid w:val="00E7317A"/>
    <w:rsid w:val="00E7323C"/>
    <w:rsid w:val="00E734AC"/>
    <w:rsid w:val="00E73AF6"/>
    <w:rsid w:val="00E74BF9"/>
    <w:rsid w:val="00E75021"/>
    <w:rsid w:val="00E75356"/>
    <w:rsid w:val="00E75FA7"/>
    <w:rsid w:val="00E766AC"/>
    <w:rsid w:val="00E7678A"/>
    <w:rsid w:val="00E76EB6"/>
    <w:rsid w:val="00E77174"/>
    <w:rsid w:val="00E772DA"/>
    <w:rsid w:val="00E80385"/>
    <w:rsid w:val="00E806A0"/>
    <w:rsid w:val="00E81A6B"/>
    <w:rsid w:val="00E81D62"/>
    <w:rsid w:val="00E81F31"/>
    <w:rsid w:val="00E82153"/>
    <w:rsid w:val="00E82A13"/>
    <w:rsid w:val="00E83657"/>
    <w:rsid w:val="00E83E1E"/>
    <w:rsid w:val="00E8418E"/>
    <w:rsid w:val="00E84483"/>
    <w:rsid w:val="00E84627"/>
    <w:rsid w:val="00E8505B"/>
    <w:rsid w:val="00E8532B"/>
    <w:rsid w:val="00E8686C"/>
    <w:rsid w:val="00E86C20"/>
    <w:rsid w:val="00E86FDA"/>
    <w:rsid w:val="00E87601"/>
    <w:rsid w:val="00E90AFA"/>
    <w:rsid w:val="00E90E14"/>
    <w:rsid w:val="00E917DE"/>
    <w:rsid w:val="00E917F1"/>
    <w:rsid w:val="00E91EC1"/>
    <w:rsid w:val="00E91F68"/>
    <w:rsid w:val="00E92267"/>
    <w:rsid w:val="00E9230F"/>
    <w:rsid w:val="00E930A2"/>
    <w:rsid w:val="00E9313E"/>
    <w:rsid w:val="00E936E3"/>
    <w:rsid w:val="00E93923"/>
    <w:rsid w:val="00E95978"/>
    <w:rsid w:val="00E9619A"/>
    <w:rsid w:val="00E96390"/>
    <w:rsid w:val="00E970DD"/>
    <w:rsid w:val="00EA11AD"/>
    <w:rsid w:val="00EA3146"/>
    <w:rsid w:val="00EA334C"/>
    <w:rsid w:val="00EA3452"/>
    <w:rsid w:val="00EA3E01"/>
    <w:rsid w:val="00EA3E47"/>
    <w:rsid w:val="00EA46BC"/>
    <w:rsid w:val="00EA4CD2"/>
    <w:rsid w:val="00EA657E"/>
    <w:rsid w:val="00EA65F3"/>
    <w:rsid w:val="00EA68AE"/>
    <w:rsid w:val="00EB019B"/>
    <w:rsid w:val="00EB08AE"/>
    <w:rsid w:val="00EB08B8"/>
    <w:rsid w:val="00EB1103"/>
    <w:rsid w:val="00EB1DF3"/>
    <w:rsid w:val="00EB1F81"/>
    <w:rsid w:val="00EB233D"/>
    <w:rsid w:val="00EB2BF8"/>
    <w:rsid w:val="00EB334E"/>
    <w:rsid w:val="00EB3C65"/>
    <w:rsid w:val="00EB40DC"/>
    <w:rsid w:val="00EB464C"/>
    <w:rsid w:val="00EB4FEB"/>
    <w:rsid w:val="00EB51E4"/>
    <w:rsid w:val="00EB573E"/>
    <w:rsid w:val="00EB5CE5"/>
    <w:rsid w:val="00EB62A5"/>
    <w:rsid w:val="00EB674A"/>
    <w:rsid w:val="00EB6EEF"/>
    <w:rsid w:val="00EB75DF"/>
    <w:rsid w:val="00EB774F"/>
    <w:rsid w:val="00EB7E5D"/>
    <w:rsid w:val="00EC03D6"/>
    <w:rsid w:val="00EC04AE"/>
    <w:rsid w:val="00EC0854"/>
    <w:rsid w:val="00EC137D"/>
    <w:rsid w:val="00EC1FBD"/>
    <w:rsid w:val="00EC279D"/>
    <w:rsid w:val="00EC3910"/>
    <w:rsid w:val="00EC42A3"/>
    <w:rsid w:val="00EC4582"/>
    <w:rsid w:val="00EC52EA"/>
    <w:rsid w:val="00EC56B4"/>
    <w:rsid w:val="00EC58A9"/>
    <w:rsid w:val="00EC6758"/>
    <w:rsid w:val="00EC6F59"/>
    <w:rsid w:val="00EC738E"/>
    <w:rsid w:val="00EC77FD"/>
    <w:rsid w:val="00ED0675"/>
    <w:rsid w:val="00ED0DB3"/>
    <w:rsid w:val="00ED107B"/>
    <w:rsid w:val="00ED1150"/>
    <w:rsid w:val="00ED135E"/>
    <w:rsid w:val="00ED1C0B"/>
    <w:rsid w:val="00ED2561"/>
    <w:rsid w:val="00ED31CB"/>
    <w:rsid w:val="00ED51B4"/>
    <w:rsid w:val="00ED593E"/>
    <w:rsid w:val="00ED5FBB"/>
    <w:rsid w:val="00ED6475"/>
    <w:rsid w:val="00ED6525"/>
    <w:rsid w:val="00EE06E0"/>
    <w:rsid w:val="00EE0969"/>
    <w:rsid w:val="00EE0C0C"/>
    <w:rsid w:val="00EE0C3D"/>
    <w:rsid w:val="00EE0CA1"/>
    <w:rsid w:val="00EE0D6D"/>
    <w:rsid w:val="00EE1089"/>
    <w:rsid w:val="00EE12CC"/>
    <w:rsid w:val="00EE1492"/>
    <w:rsid w:val="00EE1B4E"/>
    <w:rsid w:val="00EE1E69"/>
    <w:rsid w:val="00EE222F"/>
    <w:rsid w:val="00EE2347"/>
    <w:rsid w:val="00EE27E8"/>
    <w:rsid w:val="00EE2800"/>
    <w:rsid w:val="00EE38D2"/>
    <w:rsid w:val="00EE4003"/>
    <w:rsid w:val="00EE44C9"/>
    <w:rsid w:val="00EE452A"/>
    <w:rsid w:val="00EE4586"/>
    <w:rsid w:val="00EE47D9"/>
    <w:rsid w:val="00EE5043"/>
    <w:rsid w:val="00EE53F7"/>
    <w:rsid w:val="00EE544C"/>
    <w:rsid w:val="00EE660F"/>
    <w:rsid w:val="00EE71B2"/>
    <w:rsid w:val="00EF0E78"/>
    <w:rsid w:val="00EF10A4"/>
    <w:rsid w:val="00EF12B4"/>
    <w:rsid w:val="00EF17A7"/>
    <w:rsid w:val="00EF1F91"/>
    <w:rsid w:val="00EF29BB"/>
    <w:rsid w:val="00EF3E07"/>
    <w:rsid w:val="00EF4F9D"/>
    <w:rsid w:val="00EF5898"/>
    <w:rsid w:val="00EF5C0D"/>
    <w:rsid w:val="00EF6154"/>
    <w:rsid w:val="00EF668B"/>
    <w:rsid w:val="00EF673E"/>
    <w:rsid w:val="00EF70C2"/>
    <w:rsid w:val="00EF72FE"/>
    <w:rsid w:val="00EF7C65"/>
    <w:rsid w:val="00EF7CE5"/>
    <w:rsid w:val="00F0117C"/>
    <w:rsid w:val="00F0138E"/>
    <w:rsid w:val="00F0201C"/>
    <w:rsid w:val="00F02814"/>
    <w:rsid w:val="00F038C3"/>
    <w:rsid w:val="00F03AF0"/>
    <w:rsid w:val="00F04226"/>
    <w:rsid w:val="00F04362"/>
    <w:rsid w:val="00F0472D"/>
    <w:rsid w:val="00F06000"/>
    <w:rsid w:val="00F062DD"/>
    <w:rsid w:val="00F06712"/>
    <w:rsid w:val="00F078F7"/>
    <w:rsid w:val="00F1027A"/>
    <w:rsid w:val="00F10F62"/>
    <w:rsid w:val="00F1104C"/>
    <w:rsid w:val="00F126B3"/>
    <w:rsid w:val="00F12D10"/>
    <w:rsid w:val="00F13FD8"/>
    <w:rsid w:val="00F14B7B"/>
    <w:rsid w:val="00F14EB7"/>
    <w:rsid w:val="00F1547B"/>
    <w:rsid w:val="00F16BC3"/>
    <w:rsid w:val="00F17944"/>
    <w:rsid w:val="00F2222A"/>
    <w:rsid w:val="00F2261F"/>
    <w:rsid w:val="00F22C4F"/>
    <w:rsid w:val="00F236D3"/>
    <w:rsid w:val="00F23821"/>
    <w:rsid w:val="00F23925"/>
    <w:rsid w:val="00F23B08"/>
    <w:rsid w:val="00F24708"/>
    <w:rsid w:val="00F24F4F"/>
    <w:rsid w:val="00F2676B"/>
    <w:rsid w:val="00F267DF"/>
    <w:rsid w:val="00F26E24"/>
    <w:rsid w:val="00F30F8F"/>
    <w:rsid w:val="00F310AD"/>
    <w:rsid w:val="00F314C4"/>
    <w:rsid w:val="00F31726"/>
    <w:rsid w:val="00F32290"/>
    <w:rsid w:val="00F3257E"/>
    <w:rsid w:val="00F32953"/>
    <w:rsid w:val="00F32CD8"/>
    <w:rsid w:val="00F332A3"/>
    <w:rsid w:val="00F3346E"/>
    <w:rsid w:val="00F3366A"/>
    <w:rsid w:val="00F35145"/>
    <w:rsid w:val="00F35468"/>
    <w:rsid w:val="00F35C98"/>
    <w:rsid w:val="00F35F2C"/>
    <w:rsid w:val="00F36811"/>
    <w:rsid w:val="00F36B29"/>
    <w:rsid w:val="00F372A5"/>
    <w:rsid w:val="00F400CC"/>
    <w:rsid w:val="00F40F6F"/>
    <w:rsid w:val="00F425C7"/>
    <w:rsid w:val="00F43DDC"/>
    <w:rsid w:val="00F43E05"/>
    <w:rsid w:val="00F44592"/>
    <w:rsid w:val="00F4469E"/>
    <w:rsid w:val="00F446BF"/>
    <w:rsid w:val="00F44C42"/>
    <w:rsid w:val="00F44C57"/>
    <w:rsid w:val="00F45BC6"/>
    <w:rsid w:val="00F46E2C"/>
    <w:rsid w:val="00F47149"/>
    <w:rsid w:val="00F475DF"/>
    <w:rsid w:val="00F5077D"/>
    <w:rsid w:val="00F507AD"/>
    <w:rsid w:val="00F51786"/>
    <w:rsid w:val="00F5226D"/>
    <w:rsid w:val="00F52912"/>
    <w:rsid w:val="00F53E23"/>
    <w:rsid w:val="00F54189"/>
    <w:rsid w:val="00F5443C"/>
    <w:rsid w:val="00F5445E"/>
    <w:rsid w:val="00F548B1"/>
    <w:rsid w:val="00F55C99"/>
    <w:rsid w:val="00F55F11"/>
    <w:rsid w:val="00F55F46"/>
    <w:rsid w:val="00F566B7"/>
    <w:rsid w:val="00F5782A"/>
    <w:rsid w:val="00F57E83"/>
    <w:rsid w:val="00F60C64"/>
    <w:rsid w:val="00F61AA0"/>
    <w:rsid w:val="00F61AC6"/>
    <w:rsid w:val="00F61F69"/>
    <w:rsid w:val="00F62124"/>
    <w:rsid w:val="00F62B41"/>
    <w:rsid w:val="00F637AF"/>
    <w:rsid w:val="00F63BA8"/>
    <w:rsid w:val="00F63F04"/>
    <w:rsid w:val="00F64837"/>
    <w:rsid w:val="00F64B94"/>
    <w:rsid w:val="00F65818"/>
    <w:rsid w:val="00F658AE"/>
    <w:rsid w:val="00F66428"/>
    <w:rsid w:val="00F66AB1"/>
    <w:rsid w:val="00F66CCA"/>
    <w:rsid w:val="00F67D70"/>
    <w:rsid w:val="00F70227"/>
    <w:rsid w:val="00F717A9"/>
    <w:rsid w:val="00F71A7D"/>
    <w:rsid w:val="00F71D5D"/>
    <w:rsid w:val="00F71F98"/>
    <w:rsid w:val="00F71FF4"/>
    <w:rsid w:val="00F72109"/>
    <w:rsid w:val="00F723FC"/>
    <w:rsid w:val="00F728D2"/>
    <w:rsid w:val="00F75AE4"/>
    <w:rsid w:val="00F75BC4"/>
    <w:rsid w:val="00F76870"/>
    <w:rsid w:val="00F76A5A"/>
    <w:rsid w:val="00F76B57"/>
    <w:rsid w:val="00F76EC8"/>
    <w:rsid w:val="00F77469"/>
    <w:rsid w:val="00F77BBE"/>
    <w:rsid w:val="00F8006F"/>
    <w:rsid w:val="00F80DBB"/>
    <w:rsid w:val="00F80E85"/>
    <w:rsid w:val="00F81370"/>
    <w:rsid w:val="00F81532"/>
    <w:rsid w:val="00F8196D"/>
    <w:rsid w:val="00F81C24"/>
    <w:rsid w:val="00F82AFC"/>
    <w:rsid w:val="00F84D9D"/>
    <w:rsid w:val="00F85277"/>
    <w:rsid w:val="00F8547E"/>
    <w:rsid w:val="00F8700C"/>
    <w:rsid w:val="00F876CB"/>
    <w:rsid w:val="00F879F6"/>
    <w:rsid w:val="00F91741"/>
    <w:rsid w:val="00F91A1B"/>
    <w:rsid w:val="00F93217"/>
    <w:rsid w:val="00F9350D"/>
    <w:rsid w:val="00F937C6"/>
    <w:rsid w:val="00F93BC5"/>
    <w:rsid w:val="00F93D45"/>
    <w:rsid w:val="00F94D10"/>
    <w:rsid w:val="00F95524"/>
    <w:rsid w:val="00F960B9"/>
    <w:rsid w:val="00F96713"/>
    <w:rsid w:val="00F96D4C"/>
    <w:rsid w:val="00F9742B"/>
    <w:rsid w:val="00F97FC0"/>
    <w:rsid w:val="00FA07C2"/>
    <w:rsid w:val="00FA1872"/>
    <w:rsid w:val="00FA1C1D"/>
    <w:rsid w:val="00FA1E12"/>
    <w:rsid w:val="00FA2373"/>
    <w:rsid w:val="00FA2677"/>
    <w:rsid w:val="00FA29FC"/>
    <w:rsid w:val="00FA3A48"/>
    <w:rsid w:val="00FA3E0D"/>
    <w:rsid w:val="00FA3F9E"/>
    <w:rsid w:val="00FA44F6"/>
    <w:rsid w:val="00FA496D"/>
    <w:rsid w:val="00FA4A3A"/>
    <w:rsid w:val="00FA61F7"/>
    <w:rsid w:val="00FA62CF"/>
    <w:rsid w:val="00FA6424"/>
    <w:rsid w:val="00FA684C"/>
    <w:rsid w:val="00FA6A95"/>
    <w:rsid w:val="00FA7519"/>
    <w:rsid w:val="00FA7663"/>
    <w:rsid w:val="00FA7C64"/>
    <w:rsid w:val="00FB12D3"/>
    <w:rsid w:val="00FB1E0B"/>
    <w:rsid w:val="00FB2B79"/>
    <w:rsid w:val="00FB2E21"/>
    <w:rsid w:val="00FB30C4"/>
    <w:rsid w:val="00FB3FEA"/>
    <w:rsid w:val="00FB4622"/>
    <w:rsid w:val="00FB4739"/>
    <w:rsid w:val="00FB4A8B"/>
    <w:rsid w:val="00FB4E06"/>
    <w:rsid w:val="00FB50FF"/>
    <w:rsid w:val="00FB5563"/>
    <w:rsid w:val="00FB6205"/>
    <w:rsid w:val="00FB7581"/>
    <w:rsid w:val="00FB77AB"/>
    <w:rsid w:val="00FB7979"/>
    <w:rsid w:val="00FC1887"/>
    <w:rsid w:val="00FC298B"/>
    <w:rsid w:val="00FC4201"/>
    <w:rsid w:val="00FC4E4E"/>
    <w:rsid w:val="00FC5501"/>
    <w:rsid w:val="00FC5999"/>
    <w:rsid w:val="00FC5AE6"/>
    <w:rsid w:val="00FC5CC7"/>
    <w:rsid w:val="00FC60B3"/>
    <w:rsid w:val="00FC64E2"/>
    <w:rsid w:val="00FC6860"/>
    <w:rsid w:val="00FC7806"/>
    <w:rsid w:val="00FD0993"/>
    <w:rsid w:val="00FD16C2"/>
    <w:rsid w:val="00FD2ADF"/>
    <w:rsid w:val="00FD2F69"/>
    <w:rsid w:val="00FD38A1"/>
    <w:rsid w:val="00FD3CEC"/>
    <w:rsid w:val="00FD4DFF"/>
    <w:rsid w:val="00FD4E3E"/>
    <w:rsid w:val="00FD511D"/>
    <w:rsid w:val="00FD542F"/>
    <w:rsid w:val="00FD573C"/>
    <w:rsid w:val="00FD6CE3"/>
    <w:rsid w:val="00FD6F68"/>
    <w:rsid w:val="00FD7967"/>
    <w:rsid w:val="00FD7CA1"/>
    <w:rsid w:val="00FE08BF"/>
    <w:rsid w:val="00FE13BB"/>
    <w:rsid w:val="00FE2C5A"/>
    <w:rsid w:val="00FE76AD"/>
    <w:rsid w:val="00FE7A41"/>
    <w:rsid w:val="00FE7E2B"/>
    <w:rsid w:val="00FF0A10"/>
    <w:rsid w:val="00FF0E39"/>
    <w:rsid w:val="00FF16A9"/>
    <w:rsid w:val="00FF1709"/>
    <w:rsid w:val="00FF2784"/>
    <w:rsid w:val="00FF2F2E"/>
    <w:rsid w:val="00FF4728"/>
    <w:rsid w:val="00FF5EF7"/>
    <w:rsid w:val="00FF6261"/>
    <w:rsid w:val="00FF64A6"/>
    <w:rsid w:val="00FF6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22209"/>
    <o:shapelayout v:ext="edit">
      <o:idmap v:ext="edit" data="1"/>
    </o:shapelayout>
  </w:shapeDefaults>
  <w:decimalSymbol w:val="."/>
  <w:listSeparator w:val=","/>
  <w14:docId w14:val="6D81519D"/>
  <w15:chartTrackingRefBased/>
  <w15:docId w15:val="{56C0B46B-3939-4C3F-9FD0-A9581AB4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B4"/>
    <w:rPr>
      <w:sz w:val="24"/>
    </w:rPr>
  </w:style>
  <w:style w:type="paragraph" w:styleId="Heading1">
    <w:name w:val="heading 1"/>
    <w:basedOn w:val="Normal"/>
    <w:next w:val="Normal"/>
    <w:qFormat/>
    <w:rsid w:val="006A4C2A"/>
    <w:pPr>
      <w:keepNext/>
      <w:outlineLvl w:val="0"/>
    </w:pPr>
    <w:rPr>
      <w:rFonts w:ascii="Arial" w:hAnsi="Arial" w:cs="Arial"/>
      <w:b/>
      <w:bCs/>
      <w:kern w:val="32"/>
      <w:sz w:val="40"/>
      <w:szCs w:val="32"/>
    </w:rPr>
  </w:style>
  <w:style w:type="paragraph" w:styleId="Heading2">
    <w:name w:val="heading 2"/>
    <w:basedOn w:val="Normal"/>
    <w:next w:val="Normal"/>
    <w:qFormat/>
    <w:rsid w:val="006A4C2A"/>
    <w:pPr>
      <w:keepNext/>
      <w:outlineLvl w:val="1"/>
    </w:pPr>
    <w:rPr>
      <w:rFonts w:ascii="Arial" w:hAnsi="Arial" w:cs="Arial"/>
      <w:b/>
      <w:bCs/>
      <w:iCs/>
      <w:sz w:val="32"/>
      <w:szCs w:val="28"/>
    </w:rPr>
  </w:style>
  <w:style w:type="paragraph" w:styleId="Heading3">
    <w:name w:val="heading 3"/>
    <w:basedOn w:val="Normal"/>
    <w:next w:val="Normal"/>
    <w:qFormat/>
    <w:rsid w:val="006A4C2A"/>
    <w:pPr>
      <w:keepNext/>
      <w:spacing w:after="240"/>
      <w:outlineLvl w:val="2"/>
    </w:pPr>
    <w:rPr>
      <w:rFonts w:ascii="Arial" w:hAnsi="Arial" w:cs="Arial"/>
      <w:b/>
      <w:bCs/>
      <w:szCs w:val="26"/>
    </w:rPr>
  </w:style>
  <w:style w:type="paragraph" w:styleId="Heading4">
    <w:name w:val="heading 4"/>
    <w:basedOn w:val="Normal"/>
    <w:next w:val="Normal"/>
    <w:qFormat/>
    <w:rsid w:val="002D16B4"/>
    <w:pPr>
      <w:keepNext/>
      <w:outlineLvl w:val="3"/>
    </w:pPr>
    <w:rPr>
      <w:b/>
      <w:i/>
      <w:sz w:val="32"/>
    </w:rPr>
  </w:style>
  <w:style w:type="paragraph" w:styleId="Heading5">
    <w:name w:val="heading 5"/>
    <w:basedOn w:val="Normal"/>
    <w:next w:val="Normal"/>
    <w:qFormat/>
    <w:rsid w:val="002D16B4"/>
    <w:pPr>
      <w:keepNext/>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BodyText">
    <w:name w:val="Body Text"/>
    <w:basedOn w:val="Normal"/>
    <w:autoRedefine/>
    <w:rsid w:val="000521D5"/>
    <w:pPr>
      <w:tabs>
        <w:tab w:val="left" w:pos="0"/>
      </w:tabs>
      <w:spacing w:after="240"/>
      <w:jc w:val="both"/>
    </w:pPr>
    <w:rPr>
      <w:szCs w:val="24"/>
    </w:rPr>
  </w:style>
  <w:style w:type="character" w:styleId="CommentReference">
    <w:name w:val="annotation reference"/>
    <w:basedOn w:val="DefaultParagraphFont"/>
    <w:semiHidden/>
    <w:rsid w:val="002D16B4"/>
    <w:rPr>
      <w:sz w:val="16"/>
    </w:rPr>
  </w:style>
  <w:style w:type="paragraph" w:styleId="FootnoteText">
    <w:name w:val="footnote text"/>
    <w:basedOn w:val="Normal"/>
    <w:link w:val="FootnoteTextChar"/>
    <w:uiPriority w:val="99"/>
    <w:semiHidden/>
    <w:rsid w:val="002D16B4"/>
    <w:rPr>
      <w:rFonts w:ascii="Arial" w:hAnsi="Arial"/>
      <w:sz w:val="20"/>
    </w:rPr>
  </w:style>
  <w:style w:type="paragraph" w:customStyle="1" w:styleId="bullet">
    <w:name w:val="bullet"/>
    <w:basedOn w:val="BodyText"/>
    <w:rsid w:val="002D16B4"/>
    <w:pPr>
      <w:numPr>
        <w:numId w:val="1"/>
      </w:numPr>
    </w:pPr>
  </w:style>
  <w:style w:type="character" w:styleId="FootnoteReference">
    <w:name w:val="footnote reference"/>
    <w:basedOn w:val="DefaultParagraphFont"/>
    <w:semiHidden/>
    <w:rsid w:val="002D16B4"/>
    <w:rPr>
      <w:vertAlign w:val="superscript"/>
    </w:rPr>
  </w:style>
  <w:style w:type="character" w:customStyle="1" w:styleId="StyleBodyText13ptCharCharChar">
    <w:name w:val="Style Body Text + 13 pt Char Char Char"/>
    <w:basedOn w:val="DefaultParagraphFont"/>
    <w:rsid w:val="002D16B4"/>
    <w:rPr>
      <w:sz w:val="24"/>
      <w:lang w:val="en-AU" w:eastAsia="en-AU" w:bidi="ar-SA"/>
    </w:rPr>
  </w:style>
  <w:style w:type="paragraph" w:styleId="BalloonText">
    <w:name w:val="Balloon Text"/>
    <w:basedOn w:val="Normal"/>
    <w:semiHidden/>
    <w:rsid w:val="00B11C0E"/>
    <w:rPr>
      <w:rFonts w:ascii="Tahoma" w:hAnsi="Tahoma" w:cs="Tahoma"/>
      <w:sz w:val="16"/>
      <w:szCs w:val="16"/>
    </w:rPr>
  </w:style>
  <w:style w:type="paragraph" w:styleId="Header">
    <w:name w:val="header"/>
    <w:basedOn w:val="Normal"/>
    <w:link w:val="HeaderChar"/>
    <w:rsid w:val="003A0287"/>
    <w:pPr>
      <w:tabs>
        <w:tab w:val="center" w:pos="4153"/>
        <w:tab w:val="right" w:pos="8306"/>
      </w:tabs>
    </w:pPr>
  </w:style>
  <w:style w:type="paragraph" w:styleId="Footer">
    <w:name w:val="footer"/>
    <w:basedOn w:val="Normal"/>
    <w:link w:val="FooterChar"/>
    <w:uiPriority w:val="99"/>
    <w:rsid w:val="003A0287"/>
    <w:pPr>
      <w:tabs>
        <w:tab w:val="center" w:pos="4153"/>
        <w:tab w:val="right" w:pos="8306"/>
      </w:tabs>
    </w:pPr>
  </w:style>
  <w:style w:type="paragraph" w:styleId="CommentText">
    <w:name w:val="annotation text"/>
    <w:basedOn w:val="Normal"/>
    <w:semiHidden/>
    <w:rsid w:val="00EA65F3"/>
    <w:rPr>
      <w:sz w:val="20"/>
    </w:rPr>
  </w:style>
  <w:style w:type="paragraph" w:styleId="CommentSubject">
    <w:name w:val="annotation subject"/>
    <w:basedOn w:val="CommentText"/>
    <w:next w:val="CommentText"/>
    <w:semiHidden/>
    <w:rsid w:val="00EA65F3"/>
    <w:rPr>
      <w:b/>
      <w:bCs/>
    </w:rPr>
  </w:style>
  <w:style w:type="character" w:styleId="PageNumber">
    <w:name w:val="page number"/>
    <w:basedOn w:val="DefaultParagraphFont"/>
    <w:rsid w:val="00896B5E"/>
  </w:style>
  <w:style w:type="paragraph" w:customStyle="1" w:styleId="Normalalpha">
    <w:name w:val="Normal alpha"/>
    <w:basedOn w:val="Normal"/>
    <w:rsid w:val="00725A97"/>
    <w:pPr>
      <w:spacing w:after="240"/>
      <w:jc w:val="both"/>
    </w:pPr>
  </w:style>
  <w:style w:type="table" w:styleId="TableGrid">
    <w:name w:val="Table Grid"/>
    <w:basedOn w:val="TableNormal"/>
    <w:rsid w:val="0072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B356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B3569"/>
    <w:rPr>
      <w:rFonts w:ascii="Arial" w:hAnsi="Arial" w:cs="Arial"/>
      <w:b/>
      <w:bCs/>
      <w:kern w:val="28"/>
      <w:sz w:val="32"/>
      <w:szCs w:val="32"/>
    </w:rPr>
  </w:style>
  <w:style w:type="paragraph" w:customStyle="1" w:styleId="ActTitle">
    <w:name w:val="Act Title"/>
    <w:basedOn w:val="Normal"/>
    <w:next w:val="IntroTo"/>
    <w:rsid w:val="004B3569"/>
    <w:pPr>
      <w:pBdr>
        <w:bottom w:val="single" w:sz="4" w:space="3" w:color="auto"/>
      </w:pBdr>
      <w:spacing w:before="480" w:after="240"/>
    </w:pPr>
    <w:rPr>
      <w:rFonts w:ascii="Arial" w:hAnsi="Arial"/>
      <w:i/>
      <w:iCs/>
      <w:sz w:val="28"/>
    </w:rPr>
  </w:style>
  <w:style w:type="paragraph" w:customStyle="1" w:styleId="IntroTo">
    <w:name w:val="IntroTo:"/>
    <w:basedOn w:val="Normal"/>
    <w:rsid w:val="004B3569"/>
    <w:pPr>
      <w:ind w:left="720" w:hanging="720"/>
    </w:pPr>
    <w:rPr>
      <w:lang w:eastAsia="en-US"/>
    </w:rPr>
  </w:style>
  <w:style w:type="paragraph" w:customStyle="1" w:styleId="IH">
    <w:name w:val="IH"/>
    <w:aliases w:val="Interpretation heading"/>
    <w:basedOn w:val="Normal"/>
    <w:next w:val="Normal"/>
    <w:rsid w:val="004B3569"/>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4B3569"/>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4B3569"/>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4B3569"/>
  </w:style>
  <w:style w:type="paragraph" w:styleId="ListParagraph">
    <w:name w:val="List Paragraph"/>
    <w:basedOn w:val="Normal"/>
    <w:uiPriority w:val="34"/>
    <w:qFormat/>
    <w:rsid w:val="000043FF"/>
    <w:pPr>
      <w:numPr>
        <w:numId w:val="3"/>
      </w:numPr>
      <w:spacing w:after="240"/>
    </w:pPr>
  </w:style>
  <w:style w:type="paragraph" w:customStyle="1" w:styleId="Default">
    <w:name w:val="Default"/>
    <w:rsid w:val="00305C19"/>
    <w:pPr>
      <w:autoSpaceDE w:val="0"/>
      <w:autoSpaceDN w:val="0"/>
      <w:adjustRightInd w:val="0"/>
    </w:pPr>
    <w:rPr>
      <w:color w:val="000000"/>
      <w:sz w:val="24"/>
      <w:szCs w:val="24"/>
    </w:rPr>
  </w:style>
  <w:style w:type="paragraph" w:styleId="Revision">
    <w:name w:val="Revision"/>
    <w:hidden/>
    <w:uiPriority w:val="99"/>
    <w:semiHidden/>
    <w:rsid w:val="008D29B9"/>
    <w:rPr>
      <w:sz w:val="24"/>
    </w:rPr>
  </w:style>
  <w:style w:type="character" w:styleId="PlaceholderText">
    <w:name w:val="Placeholder Text"/>
    <w:basedOn w:val="DefaultParagraphFont"/>
    <w:uiPriority w:val="99"/>
    <w:semiHidden/>
    <w:rsid w:val="00F31726"/>
    <w:rPr>
      <w:color w:val="808080"/>
    </w:rPr>
  </w:style>
  <w:style w:type="paragraph" w:styleId="NoSpacing">
    <w:name w:val="No Spacing"/>
    <w:aliases w:val="Normal bullet list"/>
    <w:uiPriority w:val="1"/>
    <w:qFormat/>
    <w:rsid w:val="006A4C2A"/>
    <w:pPr>
      <w:numPr>
        <w:numId w:val="2"/>
      </w:numPr>
      <w:spacing w:after="240"/>
    </w:pPr>
    <w:rPr>
      <w:sz w:val="24"/>
    </w:rPr>
  </w:style>
  <w:style w:type="character" w:customStyle="1" w:styleId="FootnoteTextChar">
    <w:name w:val="Footnote Text Char"/>
    <w:basedOn w:val="DefaultParagraphFont"/>
    <w:link w:val="FootnoteText"/>
    <w:uiPriority w:val="99"/>
    <w:semiHidden/>
    <w:rsid w:val="00253D58"/>
    <w:rPr>
      <w:rFonts w:ascii="Arial" w:hAnsi="Arial"/>
    </w:rPr>
  </w:style>
  <w:style w:type="paragraph" w:customStyle="1" w:styleId="GPSHeading">
    <w:name w:val="GPS Heading"/>
    <w:basedOn w:val="Normal"/>
    <w:qFormat/>
    <w:rsid w:val="006F6956"/>
    <w:pPr>
      <w:spacing w:before="120" w:after="240"/>
    </w:pPr>
    <w:rPr>
      <w:rFonts w:ascii="Arial" w:hAnsi="Arial"/>
      <w:b/>
      <w:bCs/>
      <w:szCs w:val="24"/>
    </w:rPr>
  </w:style>
  <w:style w:type="paragraph" w:styleId="BodyTextIndent3">
    <w:name w:val="Body Text Indent 3"/>
    <w:basedOn w:val="Normal"/>
    <w:link w:val="BodyTextIndent3Char"/>
    <w:unhideWhenUsed/>
    <w:rsid w:val="000D42E6"/>
    <w:pPr>
      <w:spacing w:after="120"/>
      <w:ind w:left="283"/>
    </w:pPr>
    <w:rPr>
      <w:sz w:val="16"/>
      <w:szCs w:val="16"/>
    </w:rPr>
  </w:style>
  <w:style w:type="character" w:customStyle="1" w:styleId="BodyTextIndent3Char">
    <w:name w:val="Body Text Indent 3 Char"/>
    <w:basedOn w:val="DefaultParagraphFont"/>
    <w:link w:val="BodyTextIndent3"/>
    <w:rsid w:val="000D42E6"/>
    <w:rPr>
      <w:sz w:val="16"/>
      <w:szCs w:val="16"/>
    </w:rPr>
  </w:style>
  <w:style w:type="paragraph" w:styleId="BodyText2">
    <w:name w:val="Body Text 2"/>
    <w:basedOn w:val="Normal"/>
    <w:link w:val="BodyText2Char"/>
    <w:unhideWhenUsed/>
    <w:rsid w:val="000D42E6"/>
    <w:pPr>
      <w:spacing w:after="120" w:line="480" w:lineRule="auto"/>
    </w:pPr>
  </w:style>
  <w:style w:type="character" w:customStyle="1" w:styleId="BodyText2Char">
    <w:name w:val="Body Text 2 Char"/>
    <w:basedOn w:val="DefaultParagraphFont"/>
    <w:link w:val="BodyText2"/>
    <w:rsid w:val="000D42E6"/>
    <w:rPr>
      <w:sz w:val="24"/>
    </w:rPr>
  </w:style>
  <w:style w:type="paragraph" w:styleId="Signature">
    <w:name w:val="Signature"/>
    <w:basedOn w:val="Normal"/>
    <w:link w:val="SignatureChar"/>
    <w:rsid w:val="00406E8A"/>
    <w:pPr>
      <w:spacing w:before="720"/>
    </w:pPr>
  </w:style>
  <w:style w:type="character" w:customStyle="1" w:styleId="SignatureChar">
    <w:name w:val="Signature Char"/>
    <w:basedOn w:val="DefaultParagraphFont"/>
    <w:link w:val="Signature"/>
    <w:rsid w:val="00406E8A"/>
    <w:rPr>
      <w:sz w:val="24"/>
    </w:rPr>
  </w:style>
  <w:style w:type="paragraph" w:customStyle="1" w:styleId="Subject">
    <w:name w:val="Subject"/>
    <w:basedOn w:val="Normal"/>
    <w:next w:val="Normal"/>
    <w:rsid w:val="00406E8A"/>
    <w:rPr>
      <w:b/>
      <w:caps/>
      <w:lang w:val="en-GB" w:eastAsia="en-US"/>
    </w:rPr>
  </w:style>
  <w:style w:type="paragraph" w:customStyle="1" w:styleId="Schedulereference">
    <w:name w:val="Schedule reference"/>
    <w:basedOn w:val="Normal"/>
    <w:next w:val="Normal"/>
    <w:rsid w:val="0078732E"/>
    <w:pPr>
      <w:keepNext/>
      <w:keepLines/>
      <w:spacing w:before="60" w:line="200" w:lineRule="exact"/>
      <w:ind w:left="2410"/>
    </w:pPr>
    <w:rPr>
      <w:rFonts w:ascii="Arial" w:hAnsi="Arial"/>
      <w:sz w:val="18"/>
      <w:szCs w:val="24"/>
      <w:lang w:eastAsia="en-US"/>
    </w:rPr>
  </w:style>
  <w:style w:type="paragraph" w:customStyle="1" w:styleId="TableColHead">
    <w:name w:val="TableColHead"/>
    <w:basedOn w:val="Normal"/>
    <w:rsid w:val="0078732E"/>
    <w:pPr>
      <w:keepNext/>
      <w:spacing w:before="120" w:after="60" w:line="200" w:lineRule="exact"/>
    </w:pPr>
    <w:rPr>
      <w:rFonts w:ascii="Arial" w:hAnsi="Arial"/>
      <w:b/>
      <w:sz w:val="18"/>
      <w:szCs w:val="24"/>
      <w:lang w:eastAsia="en-US"/>
    </w:rPr>
  </w:style>
  <w:style w:type="character" w:styleId="Hyperlink">
    <w:name w:val="Hyperlink"/>
    <w:basedOn w:val="DefaultParagraphFont"/>
    <w:uiPriority w:val="99"/>
    <w:unhideWhenUsed/>
    <w:rsid w:val="00B225C8"/>
    <w:rPr>
      <w:color w:val="0000FF"/>
      <w:u w:val="single"/>
    </w:rPr>
  </w:style>
  <w:style w:type="paragraph" w:styleId="TOC3">
    <w:name w:val="toc 3"/>
    <w:basedOn w:val="Normal"/>
    <w:next w:val="Normal"/>
    <w:autoRedefine/>
    <w:uiPriority w:val="39"/>
    <w:unhideWhenUsed/>
    <w:qFormat/>
    <w:rsid w:val="008B6ED6"/>
    <w:pPr>
      <w:tabs>
        <w:tab w:val="right" w:leader="dot" w:pos="8303"/>
      </w:tabs>
      <w:jc w:val="both"/>
    </w:pPr>
    <w:rPr>
      <w:rFonts w:ascii="Arial" w:hAnsi="Arial" w:cs="Arial"/>
      <w:noProof/>
    </w:rPr>
  </w:style>
  <w:style w:type="paragraph" w:styleId="TOC1">
    <w:name w:val="toc 1"/>
    <w:basedOn w:val="Normal"/>
    <w:next w:val="Normal"/>
    <w:autoRedefine/>
    <w:uiPriority w:val="39"/>
    <w:unhideWhenUsed/>
    <w:rsid w:val="009C3760"/>
    <w:pPr>
      <w:spacing w:after="100"/>
    </w:pPr>
  </w:style>
  <w:style w:type="paragraph" w:styleId="TOC2">
    <w:name w:val="toc 2"/>
    <w:basedOn w:val="Normal"/>
    <w:next w:val="Normal"/>
    <w:autoRedefine/>
    <w:uiPriority w:val="39"/>
    <w:unhideWhenUsed/>
    <w:rsid w:val="009C3760"/>
    <w:pPr>
      <w:spacing w:after="100"/>
      <w:ind w:left="240"/>
    </w:pPr>
  </w:style>
  <w:style w:type="paragraph" w:styleId="TOCHeading">
    <w:name w:val="TOC Heading"/>
    <w:basedOn w:val="Heading1"/>
    <w:next w:val="Normal"/>
    <w:uiPriority w:val="39"/>
    <w:semiHidden/>
    <w:unhideWhenUsed/>
    <w:qFormat/>
    <w:rsid w:val="0095272A"/>
    <w:pPr>
      <w:keepLines/>
      <w:spacing w:before="480" w:line="276" w:lineRule="auto"/>
      <w:outlineLvl w:val="9"/>
    </w:pPr>
    <w:rPr>
      <w:rFonts w:ascii="Cambria" w:hAnsi="Cambria" w:cs="Times New Roman"/>
      <w:color w:val="365F91"/>
      <w:kern w:val="0"/>
      <w:sz w:val="28"/>
      <w:szCs w:val="28"/>
      <w:lang w:val="en-US" w:eastAsia="en-US"/>
    </w:rPr>
  </w:style>
  <w:style w:type="paragraph" w:customStyle="1" w:styleId="Style1">
    <w:name w:val="Style1"/>
    <w:basedOn w:val="Normal"/>
    <w:link w:val="Style1Char"/>
    <w:qFormat/>
    <w:rsid w:val="00032F14"/>
    <w:pPr>
      <w:numPr>
        <w:numId w:val="35"/>
      </w:numPr>
      <w:tabs>
        <w:tab w:val="left" w:pos="284"/>
        <w:tab w:val="left" w:pos="614"/>
        <w:tab w:val="left" w:pos="924"/>
        <w:tab w:val="left" w:pos="2977"/>
        <w:tab w:val="left" w:pos="3969"/>
      </w:tabs>
      <w:spacing w:after="240"/>
      <w:ind w:left="1134" w:hanging="567"/>
      <w:jc w:val="both"/>
    </w:pPr>
    <w:rPr>
      <w:sz w:val="22"/>
    </w:rPr>
  </w:style>
  <w:style w:type="paragraph" w:customStyle="1" w:styleId="Style2">
    <w:name w:val="Style2"/>
    <w:basedOn w:val="Normal"/>
    <w:link w:val="Style2Char"/>
    <w:qFormat/>
    <w:rsid w:val="00032F14"/>
    <w:pPr>
      <w:numPr>
        <w:numId w:val="37"/>
      </w:numPr>
      <w:tabs>
        <w:tab w:val="left" w:pos="284"/>
        <w:tab w:val="left" w:pos="1418"/>
        <w:tab w:val="left" w:pos="2977"/>
        <w:tab w:val="left" w:pos="3969"/>
      </w:tabs>
      <w:spacing w:after="240"/>
      <w:ind w:left="567" w:hanging="567"/>
      <w:jc w:val="both"/>
    </w:pPr>
    <w:rPr>
      <w:sz w:val="22"/>
    </w:rPr>
  </w:style>
  <w:style w:type="character" w:customStyle="1" w:styleId="Style1Char">
    <w:name w:val="Style1 Char"/>
    <w:basedOn w:val="DefaultParagraphFont"/>
    <w:link w:val="Style1"/>
    <w:rsid w:val="00032F14"/>
    <w:rPr>
      <w:sz w:val="22"/>
    </w:rPr>
  </w:style>
  <w:style w:type="character" w:customStyle="1" w:styleId="HeaderChar">
    <w:name w:val="Header Char"/>
    <w:basedOn w:val="DefaultParagraphFont"/>
    <w:link w:val="Header"/>
    <w:rsid w:val="00B8340B"/>
    <w:rPr>
      <w:sz w:val="24"/>
    </w:rPr>
  </w:style>
  <w:style w:type="character" w:customStyle="1" w:styleId="Style2Char">
    <w:name w:val="Style2 Char"/>
    <w:basedOn w:val="DefaultParagraphFont"/>
    <w:link w:val="Style2"/>
    <w:rsid w:val="00032F14"/>
    <w:rPr>
      <w:sz w:val="22"/>
    </w:rPr>
  </w:style>
  <w:style w:type="character" w:customStyle="1" w:styleId="FooterChar">
    <w:name w:val="Footer Char"/>
    <w:basedOn w:val="DefaultParagraphFont"/>
    <w:link w:val="Footer"/>
    <w:uiPriority w:val="99"/>
    <w:rsid w:val="00B8340B"/>
    <w:rPr>
      <w:sz w:val="24"/>
    </w:rPr>
  </w:style>
  <w:style w:type="paragraph" w:customStyle="1" w:styleId="ASref">
    <w:name w:val="AS ref"/>
    <w:basedOn w:val="Normal"/>
    <w:next w:val="Normal"/>
    <w:rsid w:val="00B8340B"/>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8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585">
      <w:bodyDiv w:val="1"/>
      <w:marLeft w:val="0"/>
      <w:marRight w:val="0"/>
      <w:marTop w:val="0"/>
      <w:marBottom w:val="0"/>
      <w:divBdr>
        <w:top w:val="none" w:sz="0" w:space="0" w:color="auto"/>
        <w:left w:val="none" w:sz="0" w:space="0" w:color="auto"/>
        <w:bottom w:val="none" w:sz="0" w:space="0" w:color="auto"/>
        <w:right w:val="none" w:sz="0" w:space="0" w:color="auto"/>
      </w:divBdr>
    </w:div>
    <w:div w:id="2518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LPS 360 Termination Values, Minimum Surrender Values and Paid-up Values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5JENXJJSCC7A-445999044-11957</_dlc_DocId>
    <_dlc_DocIdUrl xmlns="814d62cb-2db6-4c25-ab62-b9075facbc11">
      <Url>https://im/teams/LEGAL/_layouts/15/DocIdRedir.aspx?ID=5JENXJJSCC7A-445999044-11957</Url>
      <Description>5JENXJJSCC7A-445999044-11957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Props1.xml><?xml version="1.0" encoding="utf-8"?>
<ds:datastoreItem xmlns:ds="http://schemas.openxmlformats.org/officeDocument/2006/customXml" ds:itemID="{0225809C-DD80-4AF3-8E73-3D01F08C4D5A}">
  <ds:schemaRefs>
    <ds:schemaRef ds:uri="http://schemas.microsoft.com/sharepoint/events"/>
  </ds:schemaRefs>
</ds:datastoreItem>
</file>

<file path=customXml/itemProps2.xml><?xml version="1.0" encoding="utf-8"?>
<ds:datastoreItem xmlns:ds="http://schemas.openxmlformats.org/officeDocument/2006/customXml" ds:itemID="{AE64C152-2088-4C4A-A390-D993A15830CB}">
  <ds:schemaRefs>
    <ds:schemaRef ds:uri="http://schemas.microsoft.com/sharepoint/v3/contenttype/forms"/>
  </ds:schemaRefs>
</ds:datastoreItem>
</file>

<file path=customXml/itemProps3.xml><?xml version="1.0" encoding="utf-8"?>
<ds:datastoreItem xmlns:ds="http://schemas.openxmlformats.org/officeDocument/2006/customXml" ds:itemID="{ED9E3BD6-6CC1-41A9-8571-B4436F17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3205E-5395-4784-A853-718ACD9DA8C2}">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814d62cb-2db6-4c25-ab62-b9075facbc11"/>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8C35A8E-BC6D-4995-BACB-F776AE774A24}">
  <ds:schemaRefs>
    <ds:schemaRef ds:uri="http://schemas.openxmlformats.org/officeDocument/2006/bibliography"/>
  </ds:schemaRefs>
</ds:datastoreItem>
</file>

<file path=customXml/itemProps6.xml><?xml version="1.0" encoding="utf-8"?>
<ds:datastoreItem xmlns:ds="http://schemas.openxmlformats.org/officeDocument/2006/customXml" ds:itemID="{13A8CE99-99A3-4B86-BCAB-6DA530B2A4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6307</Words>
  <Characters>31535</Characters>
  <Application>Microsoft Office Word</Application>
  <DocSecurity>0</DocSecurity>
  <Lines>1167</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37251</CharactersWithSpaces>
  <SharedDoc>false</SharedDoc>
  <HLinks>
    <vt:vector size="144" baseType="variant">
      <vt:variant>
        <vt:i4>1835062</vt:i4>
      </vt:variant>
      <vt:variant>
        <vt:i4>140</vt:i4>
      </vt:variant>
      <vt:variant>
        <vt:i4>0</vt:i4>
      </vt:variant>
      <vt:variant>
        <vt:i4>5</vt:i4>
      </vt:variant>
      <vt:variant>
        <vt:lpwstr/>
      </vt:variant>
      <vt:variant>
        <vt:lpwstr>_Toc334445592</vt:lpwstr>
      </vt:variant>
      <vt:variant>
        <vt:i4>1835062</vt:i4>
      </vt:variant>
      <vt:variant>
        <vt:i4>134</vt:i4>
      </vt:variant>
      <vt:variant>
        <vt:i4>0</vt:i4>
      </vt:variant>
      <vt:variant>
        <vt:i4>5</vt:i4>
      </vt:variant>
      <vt:variant>
        <vt:lpwstr/>
      </vt:variant>
      <vt:variant>
        <vt:lpwstr>_Toc334445590</vt:lpwstr>
      </vt:variant>
      <vt:variant>
        <vt:i4>1900598</vt:i4>
      </vt:variant>
      <vt:variant>
        <vt:i4>128</vt:i4>
      </vt:variant>
      <vt:variant>
        <vt:i4>0</vt:i4>
      </vt:variant>
      <vt:variant>
        <vt:i4>5</vt:i4>
      </vt:variant>
      <vt:variant>
        <vt:lpwstr/>
      </vt:variant>
      <vt:variant>
        <vt:lpwstr>_Toc334445588</vt:lpwstr>
      </vt:variant>
      <vt:variant>
        <vt:i4>1900598</vt:i4>
      </vt:variant>
      <vt:variant>
        <vt:i4>122</vt:i4>
      </vt:variant>
      <vt:variant>
        <vt:i4>0</vt:i4>
      </vt:variant>
      <vt:variant>
        <vt:i4>5</vt:i4>
      </vt:variant>
      <vt:variant>
        <vt:lpwstr/>
      </vt:variant>
      <vt:variant>
        <vt:lpwstr>_Toc334445586</vt:lpwstr>
      </vt:variant>
      <vt:variant>
        <vt:i4>1900598</vt:i4>
      </vt:variant>
      <vt:variant>
        <vt:i4>116</vt:i4>
      </vt:variant>
      <vt:variant>
        <vt:i4>0</vt:i4>
      </vt:variant>
      <vt:variant>
        <vt:i4>5</vt:i4>
      </vt:variant>
      <vt:variant>
        <vt:lpwstr/>
      </vt:variant>
      <vt:variant>
        <vt:lpwstr>_Toc334445585</vt:lpwstr>
      </vt:variant>
      <vt:variant>
        <vt:i4>1900598</vt:i4>
      </vt:variant>
      <vt:variant>
        <vt:i4>110</vt:i4>
      </vt:variant>
      <vt:variant>
        <vt:i4>0</vt:i4>
      </vt:variant>
      <vt:variant>
        <vt:i4>5</vt:i4>
      </vt:variant>
      <vt:variant>
        <vt:lpwstr/>
      </vt:variant>
      <vt:variant>
        <vt:lpwstr>_Toc334445583</vt:lpwstr>
      </vt:variant>
      <vt:variant>
        <vt:i4>1900598</vt:i4>
      </vt:variant>
      <vt:variant>
        <vt:i4>104</vt:i4>
      </vt:variant>
      <vt:variant>
        <vt:i4>0</vt:i4>
      </vt:variant>
      <vt:variant>
        <vt:i4>5</vt:i4>
      </vt:variant>
      <vt:variant>
        <vt:lpwstr/>
      </vt:variant>
      <vt:variant>
        <vt:lpwstr>_Toc334445582</vt:lpwstr>
      </vt:variant>
      <vt:variant>
        <vt:i4>1900598</vt:i4>
      </vt:variant>
      <vt:variant>
        <vt:i4>98</vt:i4>
      </vt:variant>
      <vt:variant>
        <vt:i4>0</vt:i4>
      </vt:variant>
      <vt:variant>
        <vt:i4>5</vt:i4>
      </vt:variant>
      <vt:variant>
        <vt:lpwstr/>
      </vt:variant>
      <vt:variant>
        <vt:lpwstr>_Toc334445581</vt:lpwstr>
      </vt:variant>
      <vt:variant>
        <vt:i4>1900598</vt:i4>
      </vt:variant>
      <vt:variant>
        <vt:i4>92</vt:i4>
      </vt:variant>
      <vt:variant>
        <vt:i4>0</vt:i4>
      </vt:variant>
      <vt:variant>
        <vt:i4>5</vt:i4>
      </vt:variant>
      <vt:variant>
        <vt:lpwstr/>
      </vt:variant>
      <vt:variant>
        <vt:lpwstr>_Toc334445580</vt:lpwstr>
      </vt:variant>
      <vt:variant>
        <vt:i4>1179702</vt:i4>
      </vt:variant>
      <vt:variant>
        <vt:i4>86</vt:i4>
      </vt:variant>
      <vt:variant>
        <vt:i4>0</vt:i4>
      </vt:variant>
      <vt:variant>
        <vt:i4>5</vt:i4>
      </vt:variant>
      <vt:variant>
        <vt:lpwstr/>
      </vt:variant>
      <vt:variant>
        <vt:lpwstr>_Toc334445579</vt:lpwstr>
      </vt:variant>
      <vt:variant>
        <vt:i4>1179702</vt:i4>
      </vt:variant>
      <vt:variant>
        <vt:i4>80</vt:i4>
      </vt:variant>
      <vt:variant>
        <vt:i4>0</vt:i4>
      </vt:variant>
      <vt:variant>
        <vt:i4>5</vt:i4>
      </vt:variant>
      <vt:variant>
        <vt:lpwstr/>
      </vt:variant>
      <vt:variant>
        <vt:lpwstr>_Toc334445578</vt:lpwstr>
      </vt:variant>
      <vt:variant>
        <vt:i4>1179702</vt:i4>
      </vt:variant>
      <vt:variant>
        <vt:i4>74</vt:i4>
      </vt:variant>
      <vt:variant>
        <vt:i4>0</vt:i4>
      </vt:variant>
      <vt:variant>
        <vt:i4>5</vt:i4>
      </vt:variant>
      <vt:variant>
        <vt:lpwstr/>
      </vt:variant>
      <vt:variant>
        <vt:lpwstr>_Toc334445577</vt:lpwstr>
      </vt:variant>
      <vt:variant>
        <vt:i4>1179702</vt:i4>
      </vt:variant>
      <vt:variant>
        <vt:i4>68</vt:i4>
      </vt:variant>
      <vt:variant>
        <vt:i4>0</vt:i4>
      </vt:variant>
      <vt:variant>
        <vt:i4>5</vt:i4>
      </vt:variant>
      <vt:variant>
        <vt:lpwstr/>
      </vt:variant>
      <vt:variant>
        <vt:lpwstr>_Toc334445576</vt:lpwstr>
      </vt:variant>
      <vt:variant>
        <vt:i4>1179702</vt:i4>
      </vt:variant>
      <vt:variant>
        <vt:i4>62</vt:i4>
      </vt:variant>
      <vt:variant>
        <vt:i4>0</vt:i4>
      </vt:variant>
      <vt:variant>
        <vt:i4>5</vt:i4>
      </vt:variant>
      <vt:variant>
        <vt:lpwstr/>
      </vt:variant>
      <vt:variant>
        <vt:lpwstr>_Toc334445575</vt:lpwstr>
      </vt:variant>
      <vt:variant>
        <vt:i4>1179702</vt:i4>
      </vt:variant>
      <vt:variant>
        <vt:i4>56</vt:i4>
      </vt:variant>
      <vt:variant>
        <vt:i4>0</vt:i4>
      </vt:variant>
      <vt:variant>
        <vt:i4>5</vt:i4>
      </vt:variant>
      <vt:variant>
        <vt:lpwstr/>
      </vt:variant>
      <vt:variant>
        <vt:lpwstr>_Toc334445574</vt:lpwstr>
      </vt:variant>
      <vt:variant>
        <vt:i4>1179702</vt:i4>
      </vt:variant>
      <vt:variant>
        <vt:i4>50</vt:i4>
      </vt:variant>
      <vt:variant>
        <vt:i4>0</vt:i4>
      </vt:variant>
      <vt:variant>
        <vt:i4>5</vt:i4>
      </vt:variant>
      <vt:variant>
        <vt:lpwstr/>
      </vt:variant>
      <vt:variant>
        <vt:lpwstr>_Toc334445573</vt:lpwstr>
      </vt:variant>
      <vt:variant>
        <vt:i4>1179702</vt:i4>
      </vt:variant>
      <vt:variant>
        <vt:i4>44</vt:i4>
      </vt:variant>
      <vt:variant>
        <vt:i4>0</vt:i4>
      </vt:variant>
      <vt:variant>
        <vt:i4>5</vt:i4>
      </vt:variant>
      <vt:variant>
        <vt:lpwstr/>
      </vt:variant>
      <vt:variant>
        <vt:lpwstr>_Toc334445572</vt:lpwstr>
      </vt:variant>
      <vt:variant>
        <vt:i4>1179702</vt:i4>
      </vt:variant>
      <vt:variant>
        <vt:i4>38</vt:i4>
      </vt:variant>
      <vt:variant>
        <vt:i4>0</vt:i4>
      </vt:variant>
      <vt:variant>
        <vt:i4>5</vt:i4>
      </vt:variant>
      <vt:variant>
        <vt:lpwstr/>
      </vt:variant>
      <vt:variant>
        <vt:lpwstr>_Toc334445571</vt:lpwstr>
      </vt:variant>
      <vt:variant>
        <vt:i4>1179702</vt:i4>
      </vt:variant>
      <vt:variant>
        <vt:i4>32</vt:i4>
      </vt:variant>
      <vt:variant>
        <vt:i4>0</vt:i4>
      </vt:variant>
      <vt:variant>
        <vt:i4>5</vt:i4>
      </vt:variant>
      <vt:variant>
        <vt:lpwstr/>
      </vt:variant>
      <vt:variant>
        <vt:lpwstr>_Toc334445570</vt:lpwstr>
      </vt:variant>
      <vt:variant>
        <vt:i4>1245238</vt:i4>
      </vt:variant>
      <vt:variant>
        <vt:i4>26</vt:i4>
      </vt:variant>
      <vt:variant>
        <vt:i4>0</vt:i4>
      </vt:variant>
      <vt:variant>
        <vt:i4>5</vt:i4>
      </vt:variant>
      <vt:variant>
        <vt:lpwstr/>
      </vt:variant>
      <vt:variant>
        <vt:lpwstr>_Toc334445569</vt:lpwstr>
      </vt:variant>
      <vt:variant>
        <vt:i4>1245238</vt:i4>
      </vt:variant>
      <vt:variant>
        <vt:i4>20</vt:i4>
      </vt:variant>
      <vt:variant>
        <vt:i4>0</vt:i4>
      </vt:variant>
      <vt:variant>
        <vt:i4>5</vt:i4>
      </vt:variant>
      <vt:variant>
        <vt:lpwstr/>
      </vt:variant>
      <vt:variant>
        <vt:lpwstr>_Toc334445568</vt:lpwstr>
      </vt:variant>
      <vt:variant>
        <vt:i4>1245238</vt:i4>
      </vt:variant>
      <vt:variant>
        <vt:i4>14</vt:i4>
      </vt:variant>
      <vt:variant>
        <vt:i4>0</vt:i4>
      </vt:variant>
      <vt:variant>
        <vt:i4>5</vt:i4>
      </vt:variant>
      <vt:variant>
        <vt:lpwstr/>
      </vt:variant>
      <vt:variant>
        <vt:lpwstr>_Toc334445567</vt:lpwstr>
      </vt:variant>
      <vt:variant>
        <vt:i4>1245238</vt:i4>
      </vt:variant>
      <vt:variant>
        <vt:i4>8</vt:i4>
      </vt:variant>
      <vt:variant>
        <vt:i4>0</vt:i4>
      </vt:variant>
      <vt:variant>
        <vt:i4>5</vt:i4>
      </vt:variant>
      <vt:variant>
        <vt:lpwstr/>
      </vt:variant>
      <vt:variant>
        <vt:lpwstr>_Toc334445566</vt:lpwstr>
      </vt:variant>
      <vt:variant>
        <vt:i4>1245238</vt:i4>
      </vt:variant>
      <vt:variant>
        <vt:i4>2</vt:i4>
      </vt:variant>
      <vt:variant>
        <vt:i4>0</vt:i4>
      </vt:variant>
      <vt:variant>
        <vt:i4>5</vt:i4>
      </vt:variant>
      <vt:variant>
        <vt:lpwstr/>
      </vt:variant>
      <vt:variant>
        <vt:lpwstr>_Toc334445565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 360 Termination Values, Minimum Surrender Values and Paid-up Values</dc:title>
  <dc:subject/>
  <dc:creator>Kate Bible</dc:creator>
  <cp:keywords>[SEC=OFFICIAL]</cp:keywords>
  <dc:description/>
  <cp:lastModifiedBy>Toni Michalis</cp:lastModifiedBy>
  <cp:revision>3</cp:revision>
  <cp:lastPrinted>2012-12-03T04:35:00Z</cp:lastPrinted>
  <dcterms:created xsi:type="dcterms:W3CDTF">2023-03-07T09:25:00Z</dcterms:created>
  <dcterms:modified xsi:type="dcterms:W3CDTF">2023-03-07T09:47:00Z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v=2022.1;a=SHA256;h=FC39DF37E6A64660E6F82847094CA4DCC1CFED3D967F8F881D81BEA8FE242877</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2023-02-26T21:50:23Z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0E0077631AFE6F22124C5A2D78423E8D</vt:lpwstr>
  </property>
  <property fmtid="{D5CDD505-2E9C-101B-9397-08002B2CF9AE}" pid="18" name="MSIP_Label_c0129afb-6481-4f92-bc9f-5a4a6346364d_SetDate">
    <vt:lpwstr>2023-02-26T21:50:23Z</vt:lpwstr>
  </property>
  <property fmtid="{D5CDD505-2E9C-101B-9397-08002B2CF9AE}" pid="19" name="MSIP_Label_c0129afb-6481-4f92-bc9f-5a4a6346364d_ActionId">
    <vt:lpwstr>5f2c4b09260e4fd4817bd2b55bf99123</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3FBCAFB9C34E413AB64E5365DD4C4F82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2152ABFD0155B764937945F21D2F0121</vt:lpwstr>
  </property>
  <property fmtid="{D5CDD505-2E9C-101B-9397-08002B2CF9AE}" pid="33" name="PM_Hash_SHA1">
    <vt:lpwstr>B9DEAD2616EBBCD884D76B9D31DD1F49F5D3F631</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0x0101008CA7A4F8331B45C7B0D3158B4994D0CA0200577EC0F5A1FBFC498F9A8436B963F8A6</vt:lpwstr>
  </property>
  <property fmtid="{D5CDD505-2E9C-101B-9397-08002B2CF9AE}" pid="37" name="APRAPeriod">
    <vt:lpwstr/>
  </property>
  <property fmtid="{D5CDD505-2E9C-101B-9397-08002B2CF9AE}" pid="38" name="APRAPRSG">
    <vt:lpwstr/>
  </property>
  <property fmtid="{D5CDD505-2E9C-101B-9397-08002B2CF9AE}" pid="39" name="APRAActivity">
    <vt:lpwstr>10;#Registration|390476ce-d76d-4e8d-905f-28e32d2df127;#109;#Statutory instrument|fe68928c-5a9c-4caf-bc8c-6c18cedcb17f</vt:lpwstr>
  </property>
  <property fmtid="{D5CDD505-2E9C-101B-9397-08002B2CF9AE}" pid="40" name="APRAYear">
    <vt:lpwstr/>
  </property>
  <property fmtid="{D5CDD505-2E9C-101B-9397-08002B2CF9AE}" pid="41" name="APRAIndustry">
    <vt:lpwstr/>
  </property>
  <property fmtid="{D5CDD505-2E9C-101B-9397-08002B2CF9AE}" pid="42" name="_dlc_DocIdItemGuid">
    <vt:lpwstr>75265c80-9a79-4b16-87a6-7dbc662b6066</vt:lpwstr>
  </property>
  <property fmtid="{D5CDD505-2E9C-101B-9397-08002B2CF9AE}" pid="43" name="IsLocked">
    <vt:lpwstr>Yes</vt:lpwstr>
  </property>
  <property fmtid="{D5CDD505-2E9C-101B-9397-08002B2CF9AE}" pid="4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45" name="IT system type">
    <vt:lpwstr/>
  </property>
  <property fmtid="{D5CDD505-2E9C-101B-9397-08002B2CF9AE}" pid="46" name="APRACategory">
    <vt:lpwstr/>
  </property>
  <property fmtid="{D5CDD505-2E9C-101B-9397-08002B2CF9AE}" pid="47" name="APRADocumentType">
    <vt:lpwstr>142;#Prudential standard|6ce5a155-9ab2-41e3-9b2a-5baab4b7f1d1;#58;#Legal instrument|71fd6ed3-d6d6-4975-ba99-bfe45802e734</vt:lpwstr>
  </property>
  <property fmtid="{D5CDD505-2E9C-101B-9397-08002B2CF9AE}" pid="48" name="APRAStatus">
    <vt:lpwstr>19;#Final|84d6b2d0-8498-4d62-bf46-bab38babbe9e</vt:lpwstr>
  </property>
  <property fmtid="{D5CDD505-2E9C-101B-9397-08002B2CF9AE}" pid="49" name="APRAEntityAdviceSupport">
    <vt:lpwstr/>
  </property>
  <property fmtid="{D5CDD505-2E9C-101B-9397-08002B2CF9AE}" pid="50" name="APRALegislation">
    <vt:lpwstr/>
  </property>
  <property fmtid="{D5CDD505-2E9C-101B-9397-08002B2CF9AE}" pid="51" name="APRAExternalOrganisation">
    <vt:lpwstr/>
  </property>
  <property fmtid="{D5CDD505-2E9C-101B-9397-08002B2CF9AE}" pid="52" name="APRAIRTR">
    <vt:lpwstr/>
  </property>
  <property fmtid="{D5CDD505-2E9C-101B-9397-08002B2CF9AE}" pid="53" name="RecordPoint_WorkflowType">
    <vt:lpwstr>ActiveSubmitStub</vt:lpwstr>
  </property>
  <property fmtid="{D5CDD505-2E9C-101B-9397-08002B2CF9AE}" pid="54" name="RecordPoint_ActiveItemSiteId">
    <vt:lpwstr>{88691c01-5bbb-4215-adc0-66cb7065b0af}</vt:lpwstr>
  </property>
  <property fmtid="{D5CDD505-2E9C-101B-9397-08002B2CF9AE}" pid="55" name="RecordPoint_ActiveItemListId">
    <vt:lpwstr>{0e59e171-09d8-4401-800a-327154450cb3}</vt:lpwstr>
  </property>
  <property fmtid="{D5CDD505-2E9C-101B-9397-08002B2CF9AE}" pid="56" name="RecordPoint_ActiveItemUniqueId">
    <vt:lpwstr>{75265c80-9a79-4b16-87a6-7dbc662b6066}</vt:lpwstr>
  </property>
  <property fmtid="{D5CDD505-2E9C-101B-9397-08002B2CF9AE}" pid="57" name="RecordPoint_ActiveItemWebId">
    <vt:lpwstr>{75a71c27-8d66-4282-ae60-1bfc22a83be1}</vt:lpwstr>
  </property>
  <property fmtid="{D5CDD505-2E9C-101B-9397-08002B2CF9AE}" pid="58" name="RecordPoint_RecordNumberSubmitted">
    <vt:lpwstr/>
  </property>
  <property fmtid="{D5CDD505-2E9C-101B-9397-08002B2CF9AE}" pid="59" name="RecordPoint_SubmissionCompleted">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