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23E1" w14:textId="2FEAA8F5" w:rsidR="003A5C17" w:rsidRDefault="008A2696" w:rsidP="00F037CC">
      <w:pPr>
        <w:pStyle w:val="Heading1"/>
        <w:jc w:val="center"/>
        <w:rPr>
          <w:caps w:val="0"/>
        </w:rPr>
      </w:pPr>
      <w:r w:rsidRPr="00B25CD3">
        <w:rPr>
          <w:caps w:val="0"/>
        </w:rPr>
        <w:t xml:space="preserve">Agricultural and Veterinary Chemicals Code </w:t>
      </w:r>
      <w:r w:rsidR="0045502F" w:rsidRPr="00B25CD3">
        <w:rPr>
          <w:caps w:val="0"/>
        </w:rPr>
        <w:t>(MRL</w:t>
      </w:r>
      <w:r w:rsidR="00CC61A3" w:rsidRPr="00B25CD3">
        <w:rPr>
          <w:caps w:val="0"/>
        </w:rPr>
        <w:t> S</w:t>
      </w:r>
      <w:r w:rsidR="0045502F" w:rsidRPr="00B25CD3">
        <w:rPr>
          <w:caps w:val="0"/>
        </w:rPr>
        <w:t>tandard)</w:t>
      </w:r>
      <w:r w:rsidRPr="00B25CD3">
        <w:rPr>
          <w:caps w:val="0"/>
        </w:rPr>
        <w:t xml:space="preserve"> </w:t>
      </w:r>
      <w:r w:rsidR="00CC61A3" w:rsidRPr="00B25CD3">
        <w:rPr>
          <w:caps w:val="0"/>
        </w:rPr>
        <w:t>Amend</w:t>
      </w:r>
      <w:r w:rsidR="002119E3" w:rsidRPr="00B25CD3">
        <w:rPr>
          <w:caps w:val="0"/>
        </w:rPr>
        <w:t xml:space="preserve">ment </w:t>
      </w:r>
      <w:r w:rsidRPr="00B25CD3">
        <w:rPr>
          <w:caps w:val="0"/>
        </w:rPr>
        <w:t xml:space="preserve">Instrument </w:t>
      </w:r>
      <w:r w:rsidR="00CC61A3" w:rsidRPr="00B25CD3">
        <w:rPr>
          <w:caps w:val="0"/>
        </w:rPr>
        <w:t>(No. </w:t>
      </w:r>
      <w:r w:rsidR="00B25CD3" w:rsidRPr="00B25CD3">
        <w:rPr>
          <w:caps w:val="0"/>
        </w:rPr>
        <w:t>2</w:t>
      </w:r>
      <w:r w:rsidR="00CC61A3" w:rsidRPr="00B25CD3">
        <w:rPr>
          <w:caps w:val="0"/>
        </w:rPr>
        <w:t xml:space="preserve">) </w:t>
      </w:r>
      <w:r w:rsidRPr="00B25CD3">
        <w:rPr>
          <w:caps w:val="0"/>
        </w:rPr>
        <w:t>20</w:t>
      </w:r>
      <w:r w:rsidR="00B25CD3" w:rsidRPr="00B25CD3">
        <w:rPr>
          <w:caps w:val="0"/>
        </w:rPr>
        <w:t>23</w:t>
      </w:r>
    </w:p>
    <w:p w14:paraId="5D045FA7" w14:textId="77777777" w:rsidR="008A2696" w:rsidRPr="008A2696" w:rsidRDefault="008A2696" w:rsidP="008A2696"/>
    <w:p w14:paraId="0BD67F9C" w14:textId="77777777" w:rsidR="008A2696" w:rsidRPr="00784B4A" w:rsidRDefault="008A2696" w:rsidP="00784B4A">
      <w:pPr>
        <w:pStyle w:val="Title"/>
      </w:pPr>
      <w:r w:rsidRPr="00784B4A">
        <w:t>Explanatory Statement</w:t>
      </w:r>
    </w:p>
    <w:p w14:paraId="3EEA3367" w14:textId="77777777" w:rsidR="008A2696" w:rsidRDefault="008A2696" w:rsidP="008A2696">
      <w:pPr>
        <w:jc w:val="center"/>
      </w:pPr>
      <w:r>
        <w:t>Issued by</w:t>
      </w:r>
      <w:r w:rsidR="00B94F5A">
        <w:t xml:space="preserve"> the Australian Pesticides and Veterinary Medicines Authority</w:t>
      </w:r>
    </w:p>
    <w:p w14:paraId="39C2C4F2" w14:textId="77777777" w:rsidR="008A2696" w:rsidRDefault="008A2696" w:rsidP="008A2696">
      <w:pPr>
        <w:pBdr>
          <w:bottom w:val="single" w:sz="4" w:space="1" w:color="auto"/>
        </w:pBdr>
      </w:pPr>
    </w:p>
    <w:p w14:paraId="000A392E" w14:textId="77777777" w:rsidR="008A2696" w:rsidRDefault="008A2696" w:rsidP="008A2696">
      <w:pPr>
        <w:pStyle w:val="Heading1"/>
      </w:pPr>
      <w:r>
        <w:t>Introduction</w:t>
      </w:r>
    </w:p>
    <w:p w14:paraId="23405535" w14:textId="77777777"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14:paraId="76118E45" w14:textId="77777777"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14:paraId="1A8BE780" w14:textId="77777777"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14:paraId="043CEBDA" w14:textId="77777777" w:rsidR="00E957C2" w:rsidRPr="003654D8" w:rsidRDefault="003654D8" w:rsidP="003654D8">
      <w:pPr>
        <w:ind w:left="720"/>
        <w:rPr>
          <w:color w:val="000000"/>
          <w:sz w:val="20"/>
          <w:shd w:val="clear" w:color="auto" w:fill="FFFFFF"/>
        </w:rPr>
      </w:pPr>
      <w:r w:rsidRPr="003654D8">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14:paraId="3030AF36" w14:textId="77777777"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14:paraId="56BE7A1D" w14:textId="77777777"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14:paraId="645FA005" w14:textId="77777777"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14:paraId="438AD8D3" w14:textId="77777777" w:rsidR="000609E6" w:rsidRDefault="000609E6" w:rsidP="000609E6">
      <w:pPr>
        <w:pStyle w:val="Heading2"/>
        <w:rPr>
          <w:rFonts w:eastAsia="Times New Roman" w:cs="Times New Roman"/>
        </w:rPr>
      </w:pPr>
      <w:r>
        <w:rPr>
          <w:rFonts w:eastAsia="Times New Roman" w:cs="Times New Roman"/>
        </w:rPr>
        <w:t>How the maximum residues limits are determined</w:t>
      </w:r>
    </w:p>
    <w:p w14:paraId="40ACFDE7" w14:textId="77777777"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14:paraId="47956C4C" w14:textId="77777777"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14:paraId="4A68703B" w14:textId="77777777" w:rsidR="00153D4C" w:rsidRDefault="00153D4C" w:rsidP="00153D4C">
      <w:pPr>
        <w:pStyle w:val="Heading1"/>
      </w:pPr>
      <w:r>
        <w:lastRenderedPageBreak/>
        <w:t>Process before instrument was made</w:t>
      </w:r>
    </w:p>
    <w:p w14:paraId="23A6725C" w14:textId="77777777" w:rsidR="00153D4C" w:rsidRDefault="00153D4C" w:rsidP="00153D4C">
      <w:pPr>
        <w:pStyle w:val="Heading2"/>
      </w:pPr>
      <w:r>
        <w:t>Regulatory impact analysis</w:t>
      </w:r>
    </w:p>
    <w:p w14:paraId="437DEE9E" w14:textId="77777777"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14:paraId="5137E9E8" w14:textId="77777777"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14:paraId="69154032" w14:textId="77777777" w:rsidR="00153D4C" w:rsidRDefault="00153D4C" w:rsidP="00153D4C">
      <w:pPr>
        <w:pStyle w:val="Heading2"/>
      </w:pPr>
      <w:r>
        <w:t>Consultation before making</w:t>
      </w:r>
    </w:p>
    <w:p w14:paraId="6F4CB2FA" w14:textId="77777777"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14:paraId="6C7B017A" w14:textId="77777777"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14:paraId="45F48B73" w14:textId="77777777" w:rsidR="00153D4C" w:rsidRDefault="00153D4C" w:rsidP="00153D4C">
      <w:pPr>
        <w:pStyle w:val="Heading2"/>
      </w:pPr>
      <w:r>
        <w:t>Statement of compatibility with human rights obligations</w:t>
      </w:r>
    </w:p>
    <w:p w14:paraId="5196846E" w14:textId="77777777" w:rsidR="00227314" w:rsidRDefault="00196DBA" w:rsidP="00153D4C">
      <w:r>
        <w:t xml:space="preserve">A statement of compatibility has been prepared and is at </w:t>
      </w:r>
      <w:r>
        <w:rPr>
          <w:u w:val="single"/>
        </w:rPr>
        <w:t>Attachment A</w:t>
      </w:r>
      <w:r>
        <w:t>.</w:t>
      </w:r>
    </w:p>
    <w:p w14:paraId="16635F02" w14:textId="77777777" w:rsidR="009A7448" w:rsidRDefault="009A7448" w:rsidP="009A7448">
      <w:pPr>
        <w:pStyle w:val="Heading2"/>
      </w:pPr>
      <w:r>
        <w:t>Disallowance</w:t>
      </w:r>
      <w:r w:rsidR="00BE6B54">
        <w:t xml:space="preserve"> and Sunsetting</w:t>
      </w:r>
    </w:p>
    <w:p w14:paraId="7D408A8B" w14:textId="77777777"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sunsetting.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14:paraId="300FE6E4" w14:textId="77777777"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14:paraId="6D197DFC" w14:textId="77777777" w:rsidR="00F13057" w:rsidRDefault="00F13057" w:rsidP="00F13057">
      <w:pPr>
        <w:pStyle w:val="Heading1"/>
      </w:pPr>
      <w:r>
        <w:t>Other issues</w:t>
      </w:r>
    </w:p>
    <w:p w14:paraId="06031F7E" w14:textId="77777777" w:rsidR="00F13057" w:rsidRDefault="00F13057" w:rsidP="00F13057">
      <w:pPr>
        <w:pStyle w:val="Heading2"/>
      </w:pPr>
      <w:r>
        <w:t>Matter incorporated by reference</w:t>
      </w:r>
    </w:p>
    <w:p w14:paraId="40DBCA76" w14:textId="77777777"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14:paraId="4AF2F8B8" w14:textId="77777777"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14:paraId="663C7B3D" w14:textId="77777777" w:rsidR="00BE6B54" w:rsidRDefault="00BE6B54" w:rsidP="00BE6B54">
      <w:r w:rsidRPr="00B83585">
        <w:t xml:space="preserve">The Standard can also be accessed via the Standards Australia website for a fee (see https://www.standards.org.au/standards-catalogue/sa-snz/publicsafety/me-071/as--2706-2003). </w:t>
      </w:r>
    </w:p>
    <w:p w14:paraId="3950CF8B" w14:textId="77777777" w:rsidR="00F13057" w:rsidRDefault="00F13057" w:rsidP="00F13057">
      <w:pPr>
        <w:pStyle w:val="Heading2"/>
      </w:pPr>
      <w:r>
        <w:lastRenderedPageBreak/>
        <w:t>More information</w:t>
      </w:r>
    </w:p>
    <w:p w14:paraId="6C36CF0D" w14:textId="77777777"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14:paraId="0DB21179" w14:textId="77777777"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14:paraId="03550A3B" w14:textId="77777777" w:rsidR="00196DBA" w:rsidRPr="00196DBA" w:rsidRDefault="00196DBA" w:rsidP="00196DBA">
      <w:r w:rsidRPr="00196DBA">
        <w:rPr>
          <w:i/>
        </w:rPr>
        <w:t>Prepared in accordance with Part 3 of the Human Rights (Parliamentary Scrutiny) Act 2011</w:t>
      </w:r>
    </w:p>
    <w:p w14:paraId="7076208B" w14:textId="77777777"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14:paraId="7ECB6DA7" w14:textId="77777777"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14:paraId="5D3AABDB" w14:textId="77777777" w:rsidR="00196DBA" w:rsidRPr="00196DBA" w:rsidRDefault="00196DBA" w:rsidP="00196DBA">
      <w:pPr>
        <w:pStyle w:val="Heading2"/>
      </w:pPr>
      <w:r w:rsidRPr="00196DBA">
        <w:t>Overview of the Legislative Instrument</w:t>
      </w:r>
    </w:p>
    <w:p w14:paraId="2EDFEB11" w14:textId="77777777"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14:paraId="5F49C457" w14:textId="77777777" w:rsidR="00196DBA" w:rsidRPr="00196DBA" w:rsidRDefault="00885A98" w:rsidP="00196DBA">
      <w:pPr>
        <w:pStyle w:val="Heading2"/>
      </w:pPr>
      <w:r>
        <w:t>Human rights implications</w:t>
      </w:r>
    </w:p>
    <w:p w14:paraId="2BFE1D4A" w14:textId="77777777"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14:paraId="4EB677FF" w14:textId="77777777"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14:paraId="492662DA" w14:textId="77777777"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14:paraId="60AB30A4" w14:textId="77777777" w:rsidR="00196DBA" w:rsidRPr="00196DBA" w:rsidRDefault="00196DBA" w:rsidP="00196DBA">
      <w:pPr>
        <w:pStyle w:val="Heading2"/>
      </w:pPr>
      <w:r w:rsidRPr="00196DBA">
        <w:t>Conclusion</w:t>
      </w:r>
    </w:p>
    <w:p w14:paraId="2275EF8D" w14:textId="77777777"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14:paraId="2173C440" w14:textId="77777777" w:rsidR="00F13057" w:rsidRDefault="00F13057" w:rsidP="00F13057">
      <w:pPr>
        <w:pStyle w:val="Heading1"/>
        <w:tabs>
          <w:tab w:val="left" w:pos="6946"/>
        </w:tabs>
      </w:pPr>
      <w:r>
        <w:lastRenderedPageBreak/>
        <w:t>Notes on Items</w:t>
      </w:r>
      <w:r>
        <w:tab/>
      </w:r>
      <w:r w:rsidR="00196DBA">
        <w:rPr>
          <w:u w:val="single"/>
        </w:rPr>
        <w:t>Attachment B</w:t>
      </w:r>
    </w:p>
    <w:p w14:paraId="713C7E6C" w14:textId="77777777" w:rsidR="00F13057" w:rsidRPr="009C4E52" w:rsidRDefault="00F613DC" w:rsidP="00F613DC">
      <w:pPr>
        <w:pStyle w:val="Heading2"/>
      </w:pPr>
      <w:r w:rsidRPr="009C4E52">
        <w:t>Item 1 – Name of instrument</w:t>
      </w:r>
    </w:p>
    <w:p w14:paraId="38CAF7C3" w14:textId="242457C3" w:rsidR="00F613DC" w:rsidRPr="009C4E52" w:rsidRDefault="00F613DC" w:rsidP="00F613DC">
      <w:r w:rsidRPr="009C4E52">
        <w:t>This item provides for the Instrument to be nam</w:t>
      </w:r>
      <w:r w:rsidRPr="00B25CD3">
        <w:t xml:space="preserve">ed as the </w:t>
      </w:r>
      <w:r w:rsidRPr="00B25CD3">
        <w:rPr>
          <w:i/>
        </w:rPr>
        <w:t xml:space="preserve">Agricultural and Veterinary Chemicals Code </w:t>
      </w:r>
      <w:r w:rsidR="00E62C91" w:rsidRPr="00B25CD3">
        <w:rPr>
          <w:i/>
        </w:rPr>
        <w:t xml:space="preserve">(MRL Standard) </w:t>
      </w:r>
      <w:r w:rsidR="00660211" w:rsidRPr="00B25CD3">
        <w:rPr>
          <w:i/>
        </w:rPr>
        <w:t>Amendment Instrument (No. </w:t>
      </w:r>
      <w:r w:rsidR="00B25CD3" w:rsidRPr="00B25CD3">
        <w:rPr>
          <w:i/>
        </w:rPr>
        <w:t>2</w:t>
      </w:r>
      <w:r w:rsidR="00660211" w:rsidRPr="00B25CD3">
        <w:rPr>
          <w:i/>
        </w:rPr>
        <w:t>)</w:t>
      </w:r>
      <w:r w:rsidRPr="00B25CD3">
        <w:rPr>
          <w:i/>
        </w:rPr>
        <w:t xml:space="preserve"> 20</w:t>
      </w:r>
      <w:r w:rsidR="00B25CD3" w:rsidRPr="00B25CD3">
        <w:rPr>
          <w:i/>
        </w:rPr>
        <w:t>23</w:t>
      </w:r>
      <w:r w:rsidRPr="00B25CD3">
        <w:t>.</w:t>
      </w:r>
    </w:p>
    <w:p w14:paraId="5D8FB780" w14:textId="77777777" w:rsidR="00F613DC" w:rsidRPr="009C4E52" w:rsidRDefault="00F613DC" w:rsidP="00F613DC">
      <w:pPr>
        <w:pStyle w:val="Heading2"/>
      </w:pPr>
      <w:r w:rsidRPr="009C4E52">
        <w:t>Item 2 – Commencement</w:t>
      </w:r>
    </w:p>
    <w:p w14:paraId="6D7F8429" w14:textId="77777777" w:rsidR="00F613DC" w:rsidRPr="009C4E52" w:rsidRDefault="00F613DC" w:rsidP="00F613DC">
      <w:r w:rsidRPr="009C4E52">
        <w:t>This item provides for the Instrument to commence on the day after the day it is registered.</w:t>
      </w:r>
    </w:p>
    <w:p w14:paraId="4FFE10DB" w14:textId="77777777" w:rsidR="00F613DC" w:rsidRPr="009C4E52" w:rsidRDefault="00F613DC" w:rsidP="00F613DC">
      <w:pPr>
        <w:pStyle w:val="Heading2"/>
      </w:pPr>
      <w:r w:rsidRPr="009C4E52">
        <w:t>Item 3 – Authority</w:t>
      </w:r>
    </w:p>
    <w:p w14:paraId="60D9740E" w14:textId="77777777" w:rsidR="00191A94" w:rsidRDefault="00191A94" w:rsidP="00191A94">
      <w:r w:rsidRPr="009C4E52">
        <w:t xml:space="preserve">This item provides that the Instrument is made under </w:t>
      </w:r>
      <w:r w:rsidR="00E62C91">
        <w:t>s</w:t>
      </w:r>
      <w:r w:rsidR="00660211">
        <w:t>ubsection 6(2</w:t>
      </w:r>
      <w:r w:rsidR="00E62C91">
        <w:t>) for the purposes of subparagraph 5A(3)(b)(iii)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14:paraId="11461667" w14:textId="77777777" w:rsidR="00660211" w:rsidRDefault="00660211" w:rsidP="00191A94">
      <w:r>
        <w:t>This instrument relies on the power contained in subsection 6(2) to vary an approval given by the APVMA under subsection 6(1).  It is considered that the approval referred to in subparagraph 5A(3)(b)(iii) does not expressly confer a power on the APVMA to give it.</w:t>
      </w:r>
    </w:p>
    <w:p w14:paraId="48D634AD" w14:textId="77777777" w:rsidR="00191A94" w:rsidRDefault="00B63620" w:rsidP="00191A94">
      <w:pPr>
        <w:pStyle w:val="Heading2"/>
      </w:pPr>
      <w:r>
        <w:t>Item 4 – Schedules</w:t>
      </w:r>
    </w:p>
    <w:p w14:paraId="5CAFA0B8" w14:textId="77777777" w:rsidR="00B63620" w:rsidRDefault="00B63620" w:rsidP="00B63620">
      <w:r>
        <w:t>This item gives the amendments their legal effect, by providing that each instrument specified in the Schedule is amended as set out in the applicable items of the Schedule.</w:t>
      </w:r>
    </w:p>
    <w:p w14:paraId="58B5A4CF" w14:textId="77777777" w:rsidR="00B63620" w:rsidRDefault="00B63620" w:rsidP="00B63620">
      <w:pPr>
        <w:pStyle w:val="Heading2"/>
      </w:pPr>
      <w:r>
        <w:t>Schedule 1</w:t>
      </w:r>
    </w:p>
    <w:p w14:paraId="4B807D9A"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30593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25C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944F"/>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47205d68462844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A2970682</value>
    </field>
    <field name="Objective-Title">
      <value order="0">Amendment Instrument Explanatory Statement  - 2019 APVMA MRL Standard (No. 2) 2023</value>
    </field>
    <field name="Objective-Description">
      <value order="0"/>
    </field>
    <field name="Objective-CreationStamp">
      <value order="0">2019-08-28T03:29:04Z</value>
    </field>
    <field name="Objective-IsApproved">
      <value order="0">true</value>
    </field>
    <field name="Objective-IsPublished">
      <value order="0">true</value>
    </field>
    <field name="Objective-DatePublished">
      <value order="0">2023-03-16T04:08:15Z</value>
    </field>
    <field name="Objective-ModificationStamp">
      <value order="0">2023-03-16T04:09:34Z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02 March 15 2023</value>
    </field>
    <field name="Objective-Parent">
      <value order="0">2023 APVMA 2023 02 March 15 2023</value>
    </field>
    <field name="Objective-State">
      <value order="0">Published</value>
    </field>
    <field name="Objective-VersionId">
      <value order="0">vA4423704</value>
    </field>
    <field name="Objective-Version">
      <value order="0">2.0</value>
    </field>
    <field name="Objective-VersionNumber">
      <value order="0">2</value>
    </field>
    <field name="Objective-VersionComment">
      <value order="0"/>
    </field>
    <field name="Objective-FileNumber">
      <value order="0">2023\0123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14</cp:revision>
  <dcterms:created xsi:type="dcterms:W3CDTF">2019-08-19T01:48:00Z</dcterms:created>
  <dcterms:modified xsi:type="dcterms:W3CDTF">2023-03-16T04:03:00Z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A2970682</vt:lpwstr>
  </property>
  <property fmtid="{D5CDD505-2E9C-101B-9397-08002B2CF9AE}" pid="4" name="Objective-Title">
    <vt:lpwstr>Amendment Instrument Explanatory Statement  - 2019 APVMA MRL Standard (No. 2) 2023</vt:lpwstr>
  </property>
  <property fmtid="{D5CDD505-2E9C-101B-9397-08002B2CF9AE}" pid="5" name="Objective-Description">
    <vt:lpwstr/>
  </property>
  <property fmtid="{D5CDD505-2E9C-101B-9397-08002B2CF9AE}" pid="6" name="Objective-CreationStamp">
    <vt:filetime>2023-02-15T01:57:29Z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2023-03-16T04:08:15Z</vt:filetime>
  </property>
  <property fmtid="{D5CDD505-2E9C-101B-9397-08002B2CF9AE}" pid="10" name="Objective-ModificationStamp">
    <vt:filetime>2023-03-16T04:09:34Z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02 March 15 2023:</vt:lpwstr>
  </property>
  <property fmtid="{D5CDD505-2E9C-101B-9397-08002B2CF9AE}" pid="13" name="Objective-Parent">
    <vt:lpwstr>2023 APVMA 2023 02 March 15 2023</vt:lpwstr>
  </property>
  <property fmtid="{D5CDD505-2E9C-101B-9397-08002B2CF9AE}" pid="14" name="Objective-State">
    <vt:lpwstr>Published</vt:lpwstr>
  </property>
  <property fmtid="{D5CDD505-2E9C-101B-9397-08002B2CF9AE}" pid="15" name="Objective-VersionId">
    <vt:lpwstr>vA4423704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2023\0123</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