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2A01" w14:textId="77777777" w:rsidR="00C2501A" w:rsidRPr="001C74C0" w:rsidRDefault="00C2501A" w:rsidP="005B7824">
      <w:pPr>
        <w:keepNext/>
        <w:jc w:val="both"/>
        <w:outlineLvl w:val="1"/>
        <w:rPr>
          <w:rFonts w:ascii="Arial" w:hAnsi="Arial" w:cs="Arial"/>
          <w:b/>
          <w:sz w:val="40"/>
          <w:szCs w:val="40"/>
          <w:lang w:val="en-US"/>
        </w:rPr>
      </w:pPr>
    </w:p>
    <w:p w14:paraId="04AE743C" w14:textId="77777777" w:rsidR="00C2501A" w:rsidRPr="003F21BB" w:rsidRDefault="00C2501A" w:rsidP="00C2501A">
      <w:pPr>
        <w:rPr>
          <w:color w:val="000000"/>
          <w:lang w:val="en-US"/>
        </w:rPr>
      </w:pPr>
      <w:bookmarkStart w:id="0" w:name="_Toc168113228"/>
      <w:r>
        <w:rPr>
          <w:noProof/>
          <w:color w:val="000000"/>
        </w:rPr>
        <w:drawing>
          <wp:inline distT="0" distB="0" distL="0" distR="0" wp14:anchorId="5D0D260B" wp14:editId="5C794BF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3ADE575" w14:textId="77777777" w:rsidR="00C2501A" w:rsidRPr="003F21BB" w:rsidRDefault="00C2501A" w:rsidP="00C2501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14</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3148942B" w14:textId="77777777" w:rsidR="00C2501A" w:rsidRPr="003F21BB" w:rsidRDefault="00C2501A" w:rsidP="00C2501A">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AC014D">
        <w:rPr>
          <w:rFonts w:ascii="Arial" w:hAnsi="Arial" w:cs="Arial"/>
          <w:b/>
          <w:bCs/>
          <w:color w:val="000000"/>
          <w:sz w:val="28"/>
          <w:szCs w:val="28"/>
        </w:rPr>
        <w:t>GRS 310.0 Income Statement</w:t>
      </w:r>
    </w:p>
    <w:p w14:paraId="48690738" w14:textId="77777777" w:rsidR="00C2501A" w:rsidRPr="003F21BB" w:rsidRDefault="00C2501A" w:rsidP="00C2501A">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0046C1C5" w14:textId="77777777" w:rsidR="00C2501A" w:rsidRPr="003F21BB" w:rsidRDefault="00C2501A" w:rsidP="00C2501A">
      <w:pPr>
        <w:ind w:left="720" w:hanging="720"/>
        <w:rPr>
          <w:color w:val="000000"/>
          <w:sz w:val="24"/>
        </w:rPr>
      </w:pPr>
    </w:p>
    <w:p w14:paraId="35844E8D" w14:textId="77777777" w:rsidR="00C2501A" w:rsidRPr="007924D0" w:rsidRDefault="00C2501A" w:rsidP="00C2501A">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2FC6429A" w14:textId="77777777" w:rsidR="00C2501A" w:rsidRDefault="00C2501A" w:rsidP="00C2501A">
      <w:pPr>
        <w:jc w:val="both"/>
        <w:rPr>
          <w:color w:val="000000"/>
          <w:sz w:val="24"/>
          <w:szCs w:val="24"/>
        </w:rPr>
      </w:pPr>
    </w:p>
    <w:p w14:paraId="63F5EBD4" w14:textId="77777777" w:rsidR="00C2501A" w:rsidRPr="004F7A0C" w:rsidRDefault="00C2501A" w:rsidP="00C2501A">
      <w:pPr>
        <w:pStyle w:val="ListParagraph"/>
        <w:numPr>
          <w:ilvl w:val="0"/>
          <w:numId w:val="32"/>
        </w:numPr>
        <w:jc w:val="both"/>
        <w:rPr>
          <w:sz w:val="24"/>
          <w:szCs w:val="24"/>
        </w:rPr>
      </w:pPr>
      <w:r w:rsidRPr="004F7A0C">
        <w:rPr>
          <w:sz w:val="24"/>
          <w:szCs w:val="24"/>
        </w:rPr>
        <w:t>REVOKE Financial Sector (Collection of Data) (reporting standard) determination No. 1</w:t>
      </w:r>
      <w:r>
        <w:rPr>
          <w:sz w:val="24"/>
          <w:szCs w:val="24"/>
        </w:rPr>
        <w:t>7</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GRS 310.0 Income Statement</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6C6514B5" w14:textId="77777777" w:rsidR="00C2501A" w:rsidRPr="004F7A0C" w:rsidRDefault="00C2501A" w:rsidP="00C2501A">
      <w:pPr>
        <w:pStyle w:val="ListParagraph"/>
        <w:rPr>
          <w:sz w:val="24"/>
          <w:szCs w:val="24"/>
        </w:rPr>
      </w:pPr>
    </w:p>
    <w:p w14:paraId="7CD844C8" w14:textId="77777777" w:rsidR="00C2501A" w:rsidRDefault="00C2501A" w:rsidP="00C2501A">
      <w:pPr>
        <w:pStyle w:val="ListParagraph"/>
        <w:numPr>
          <w:ilvl w:val="0"/>
          <w:numId w:val="32"/>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GRS 310.0 Income Statement</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0FD3B58E" w14:textId="77777777" w:rsidR="00C2501A" w:rsidRPr="007924D0" w:rsidRDefault="00C2501A" w:rsidP="00C2501A">
      <w:pPr>
        <w:pStyle w:val="ListParagraph"/>
        <w:rPr>
          <w:sz w:val="24"/>
          <w:szCs w:val="24"/>
        </w:rPr>
      </w:pPr>
    </w:p>
    <w:p w14:paraId="47E8B6AB" w14:textId="77777777" w:rsidR="00C2501A" w:rsidRPr="007924D0" w:rsidRDefault="00C2501A" w:rsidP="00C2501A">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45B48CCC" w14:textId="77777777" w:rsidR="00C2501A" w:rsidRPr="007924D0" w:rsidRDefault="00C2501A" w:rsidP="00C2501A">
      <w:pPr>
        <w:jc w:val="both"/>
        <w:rPr>
          <w:sz w:val="24"/>
          <w:szCs w:val="24"/>
          <w:lang w:val="en-US"/>
        </w:rPr>
      </w:pPr>
    </w:p>
    <w:p w14:paraId="3A8A3D4F" w14:textId="77777777" w:rsidR="00C2501A" w:rsidRPr="007924D0" w:rsidRDefault="00C2501A" w:rsidP="00C2501A">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645ED950" w14:textId="77777777" w:rsidR="00C2501A" w:rsidRPr="007924D0" w:rsidRDefault="00C2501A" w:rsidP="00C2501A">
      <w:pPr>
        <w:jc w:val="both"/>
        <w:rPr>
          <w:sz w:val="24"/>
          <w:szCs w:val="24"/>
          <w:lang w:val="en-US"/>
        </w:rPr>
      </w:pPr>
    </w:p>
    <w:p w14:paraId="25C3B532" w14:textId="187641F9" w:rsidR="00C2501A" w:rsidRPr="003F21BB" w:rsidRDefault="00C2501A" w:rsidP="00C2501A">
      <w:pPr>
        <w:jc w:val="both"/>
        <w:rPr>
          <w:sz w:val="24"/>
          <w:szCs w:val="24"/>
          <w:lang w:val="en-US"/>
        </w:rPr>
      </w:pPr>
      <w:r w:rsidRPr="007924D0">
        <w:rPr>
          <w:sz w:val="24"/>
          <w:szCs w:val="24"/>
          <w:lang w:val="en-US"/>
        </w:rPr>
        <w:t xml:space="preserve">Dated: </w:t>
      </w:r>
      <w:r w:rsidR="00AA30D0">
        <w:rPr>
          <w:sz w:val="24"/>
          <w:szCs w:val="24"/>
          <w:lang w:val="en-US"/>
        </w:rPr>
        <w:t>16</w:t>
      </w:r>
      <w:r w:rsidRPr="007924D0">
        <w:rPr>
          <w:sz w:val="24"/>
          <w:szCs w:val="24"/>
          <w:lang w:val="en-US"/>
        </w:rPr>
        <w:t xml:space="preserve"> March 202</w:t>
      </w:r>
      <w:r>
        <w:rPr>
          <w:sz w:val="24"/>
          <w:szCs w:val="24"/>
          <w:lang w:val="en-US"/>
        </w:rPr>
        <w:t>3</w:t>
      </w:r>
    </w:p>
    <w:p w14:paraId="600AFE8D" w14:textId="77777777" w:rsidR="00C2501A" w:rsidRPr="003F21BB" w:rsidRDefault="00C2501A" w:rsidP="00C2501A">
      <w:pPr>
        <w:jc w:val="both"/>
        <w:rPr>
          <w:i/>
          <w:sz w:val="24"/>
          <w:szCs w:val="24"/>
          <w:lang w:val="en-US"/>
        </w:rPr>
      </w:pPr>
    </w:p>
    <w:p w14:paraId="20D45AB0" w14:textId="77777777" w:rsidR="00C2501A" w:rsidRPr="003F21BB" w:rsidRDefault="00C2501A" w:rsidP="00C2501A">
      <w:pPr>
        <w:jc w:val="both"/>
        <w:rPr>
          <w:color w:val="000000"/>
          <w:sz w:val="24"/>
          <w:szCs w:val="24"/>
          <w:lang w:val="en-US"/>
        </w:rPr>
      </w:pPr>
    </w:p>
    <w:p w14:paraId="0DA7E842" w14:textId="77777777" w:rsidR="00C2501A" w:rsidRPr="003F21BB" w:rsidRDefault="00C2501A" w:rsidP="00C2501A">
      <w:pPr>
        <w:jc w:val="both"/>
        <w:rPr>
          <w:sz w:val="24"/>
          <w:szCs w:val="24"/>
          <w:lang w:val="en-US"/>
        </w:rPr>
      </w:pPr>
    </w:p>
    <w:p w14:paraId="7D85E90A" w14:textId="77777777" w:rsidR="00C2501A" w:rsidRPr="003F21BB" w:rsidRDefault="00C2501A" w:rsidP="00C2501A">
      <w:pPr>
        <w:jc w:val="both"/>
        <w:rPr>
          <w:sz w:val="24"/>
          <w:szCs w:val="24"/>
          <w:lang w:val="en-US"/>
        </w:rPr>
      </w:pPr>
      <w:r>
        <w:rPr>
          <w:sz w:val="24"/>
          <w:szCs w:val="24"/>
          <w:lang w:val="en-US"/>
        </w:rPr>
        <w:t>Michael Murphy</w:t>
      </w:r>
    </w:p>
    <w:p w14:paraId="154A2643" w14:textId="4CFE2AB8" w:rsidR="00C2501A" w:rsidRPr="003F21BB" w:rsidRDefault="00A30658" w:rsidP="00C2501A">
      <w:pPr>
        <w:jc w:val="both"/>
        <w:rPr>
          <w:sz w:val="24"/>
          <w:szCs w:val="24"/>
          <w:lang w:val="en-US"/>
        </w:rPr>
      </w:pPr>
      <w:r>
        <w:rPr>
          <w:sz w:val="24"/>
          <w:szCs w:val="24"/>
          <w:lang w:val="en-US"/>
        </w:rPr>
        <w:t>General Manager – Chief Data Officer (Acting)</w:t>
      </w:r>
      <w:r w:rsidR="00C2501A">
        <w:rPr>
          <w:sz w:val="24"/>
          <w:szCs w:val="24"/>
          <w:lang w:val="en-US"/>
        </w:rPr>
        <w:t>,</w:t>
      </w:r>
    </w:p>
    <w:p w14:paraId="58AA951B" w14:textId="77777777" w:rsidR="00C2501A" w:rsidRPr="003F21BB" w:rsidRDefault="00C2501A" w:rsidP="00C2501A">
      <w:pPr>
        <w:jc w:val="both"/>
        <w:rPr>
          <w:sz w:val="24"/>
          <w:szCs w:val="24"/>
          <w:lang w:val="en-US"/>
        </w:rPr>
      </w:pPr>
      <w:r>
        <w:rPr>
          <w:sz w:val="24"/>
          <w:szCs w:val="24"/>
          <w:lang w:val="en-US"/>
        </w:rPr>
        <w:t>Technology and Data</w:t>
      </w:r>
      <w:r w:rsidRPr="003F21BB">
        <w:rPr>
          <w:sz w:val="24"/>
          <w:szCs w:val="24"/>
          <w:lang w:val="en-US"/>
        </w:rPr>
        <w:t xml:space="preserve"> Division</w:t>
      </w:r>
    </w:p>
    <w:p w14:paraId="5C8349F7" w14:textId="170524F4" w:rsidR="00AA30D0" w:rsidRDefault="00AA30D0">
      <w:pPr>
        <w:rPr>
          <w:sz w:val="24"/>
          <w:szCs w:val="24"/>
          <w:lang w:val="en-US"/>
        </w:rPr>
      </w:pPr>
      <w:r>
        <w:rPr>
          <w:sz w:val="24"/>
          <w:szCs w:val="24"/>
          <w:lang w:val="en-US"/>
        </w:rPr>
        <w:br w:type="page"/>
      </w:r>
    </w:p>
    <w:p w14:paraId="6C7150E7" w14:textId="77777777" w:rsidR="00C2501A" w:rsidRPr="003F21BB" w:rsidRDefault="00C2501A" w:rsidP="00C2501A">
      <w:pPr>
        <w:jc w:val="both"/>
        <w:rPr>
          <w:b/>
          <w:sz w:val="24"/>
          <w:szCs w:val="24"/>
          <w:lang w:val="en-US"/>
        </w:rPr>
      </w:pPr>
      <w:r w:rsidRPr="003F21BB">
        <w:rPr>
          <w:b/>
          <w:color w:val="000000"/>
          <w:sz w:val="24"/>
          <w:szCs w:val="24"/>
          <w:lang w:val="en-US"/>
        </w:rPr>
        <w:lastRenderedPageBreak/>
        <w:t>Interpretation</w:t>
      </w:r>
    </w:p>
    <w:p w14:paraId="5239AA00" w14:textId="77777777" w:rsidR="00C2501A" w:rsidRPr="003F21BB" w:rsidRDefault="00C2501A" w:rsidP="00C2501A">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093B940D" w14:textId="77777777" w:rsidR="00C2501A" w:rsidRPr="003F21BB" w:rsidRDefault="00C2501A" w:rsidP="00C2501A">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4DAB663A" w14:textId="77777777" w:rsidR="00C2501A" w:rsidRPr="003F21BB" w:rsidRDefault="00C2501A" w:rsidP="00C2501A">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437D9F0E" w14:textId="77777777" w:rsidR="00C2501A" w:rsidRPr="003F21BB" w:rsidRDefault="00C2501A" w:rsidP="00C2501A">
      <w:pPr>
        <w:spacing w:before="240"/>
        <w:ind w:left="720" w:hanging="720"/>
        <w:jc w:val="both"/>
        <w:rPr>
          <w:color w:val="000000"/>
          <w:sz w:val="24"/>
          <w:szCs w:val="24"/>
        </w:rPr>
      </w:pPr>
    </w:p>
    <w:p w14:paraId="02BA8BDB" w14:textId="77777777" w:rsidR="00C2501A" w:rsidRPr="003F21BB" w:rsidRDefault="00C2501A" w:rsidP="00C2501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993F0C7" w14:textId="77777777" w:rsidR="00C2501A" w:rsidRPr="003F21BB" w:rsidRDefault="00C2501A" w:rsidP="00C2501A">
      <w:pPr>
        <w:keepNext/>
        <w:autoSpaceDE w:val="0"/>
        <w:autoSpaceDN w:val="0"/>
        <w:spacing w:before="60" w:line="200" w:lineRule="exact"/>
        <w:rPr>
          <w:rFonts w:ascii="Arial" w:hAnsi="Arial" w:cs="Arial"/>
          <w:color w:val="000000"/>
          <w:sz w:val="18"/>
          <w:szCs w:val="18"/>
        </w:rPr>
      </w:pPr>
    </w:p>
    <w:p w14:paraId="4B88E02E" w14:textId="4FFEB62C" w:rsidR="00C2501A" w:rsidRDefault="00C2501A" w:rsidP="00C2501A">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 xml:space="preserve">GRS 310.0 Income Statement </w:t>
      </w:r>
      <w:r w:rsidRPr="003F21BB">
        <w:rPr>
          <w:bCs/>
          <w:sz w:val="24"/>
          <w:szCs w:val="24"/>
          <w:lang w:val="en-US"/>
        </w:rPr>
        <w:t>comprises the document commencing on the following page.</w:t>
      </w:r>
      <w:bookmarkEnd w:id="0"/>
    </w:p>
    <w:p w14:paraId="4F857D3B" w14:textId="77777777" w:rsidR="00AA30D0" w:rsidRDefault="00AA30D0" w:rsidP="00C2501A">
      <w:pPr>
        <w:tabs>
          <w:tab w:val="center" w:pos="4320"/>
          <w:tab w:val="right" w:pos="8640"/>
        </w:tabs>
        <w:jc w:val="both"/>
        <w:rPr>
          <w:bCs/>
          <w:sz w:val="24"/>
          <w:szCs w:val="24"/>
          <w:lang w:val="en-US"/>
        </w:rPr>
        <w:sectPr w:rsidR="00AA30D0" w:rsidSect="00BA1CBE">
          <w:headerReference w:type="default" r:id="rId14"/>
          <w:footerReference w:type="default" r:id="rId15"/>
          <w:headerReference w:type="first" r:id="rId16"/>
          <w:footerReference w:type="first" r:id="rId17"/>
          <w:pgSz w:w="11907" w:h="16840" w:code="9"/>
          <w:pgMar w:top="1440" w:right="1440" w:bottom="1440" w:left="1440" w:header="720" w:footer="720" w:gutter="0"/>
          <w:pgNumType w:start="1"/>
          <w:cols w:space="720"/>
          <w:titlePg/>
          <w:docGrid w:linePitch="272"/>
        </w:sectPr>
      </w:pPr>
    </w:p>
    <w:p w14:paraId="3345946A" w14:textId="233C231C" w:rsidR="005B7824" w:rsidRPr="005B7824" w:rsidRDefault="00E73113" w:rsidP="005B7824">
      <w:pPr>
        <w:keepNext/>
        <w:jc w:val="both"/>
        <w:outlineLvl w:val="1"/>
        <w:rPr>
          <w:rFonts w:ascii="Arial" w:hAnsi="Arial" w:cs="Arial"/>
          <w:b/>
          <w:sz w:val="40"/>
          <w:szCs w:val="40"/>
          <w:lang w:val="en-US"/>
        </w:rPr>
      </w:pPr>
      <w:r w:rsidRPr="007E506F">
        <w:rPr>
          <w:rFonts w:ascii="Arial" w:hAnsi="Arial"/>
          <w:b/>
          <w:noProof/>
          <w:sz w:val="32"/>
          <w:lang w:val="en-US"/>
        </w:rPr>
        <w:lastRenderedPageBreak/>
        <w:drawing>
          <wp:inline distT="0" distB="0" distL="0" distR="0" wp14:anchorId="4F157849" wp14:editId="68F4BB6C">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0F5B684C" w14:textId="77777777" w:rsidR="005B7824" w:rsidRPr="005B7824" w:rsidRDefault="005B7824" w:rsidP="005B7824">
      <w:pPr>
        <w:keepNext/>
        <w:jc w:val="both"/>
        <w:outlineLvl w:val="1"/>
        <w:rPr>
          <w:rFonts w:ascii="Arial" w:hAnsi="Arial" w:cs="Arial"/>
          <w:b/>
          <w:sz w:val="40"/>
          <w:szCs w:val="40"/>
          <w:lang w:val="en-US"/>
        </w:rPr>
      </w:pPr>
    </w:p>
    <w:p w14:paraId="40BCF185"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BD3CB7">
        <w:rPr>
          <w:rFonts w:ascii="Arial" w:hAnsi="Arial" w:cs="Arial"/>
          <w:b/>
          <w:sz w:val="40"/>
          <w:szCs w:val="40"/>
          <w:lang w:val="en-US"/>
        </w:rPr>
        <w:t>3</w:t>
      </w:r>
      <w:r w:rsidR="00080EEF">
        <w:rPr>
          <w:rFonts w:ascii="Arial" w:hAnsi="Arial" w:cs="Arial"/>
          <w:b/>
          <w:sz w:val="40"/>
          <w:szCs w:val="40"/>
          <w:lang w:val="en-US"/>
        </w:rPr>
        <w:t>1</w:t>
      </w:r>
      <w:r w:rsidR="00BD3CB7">
        <w:rPr>
          <w:rFonts w:ascii="Arial" w:hAnsi="Arial" w:cs="Arial"/>
          <w:b/>
          <w:sz w:val="40"/>
          <w:szCs w:val="40"/>
          <w:lang w:val="en-US"/>
        </w:rPr>
        <w:t>0</w:t>
      </w:r>
      <w:r w:rsidR="00FB07B0">
        <w:rPr>
          <w:rFonts w:ascii="Arial" w:hAnsi="Arial" w:cs="Arial"/>
          <w:b/>
          <w:sz w:val="40"/>
          <w:szCs w:val="40"/>
          <w:lang w:val="en-US"/>
        </w:rPr>
        <w:t>.0</w:t>
      </w:r>
    </w:p>
    <w:p w14:paraId="2B8A40DA" w14:textId="77777777" w:rsidR="005B7824" w:rsidRPr="005B7824" w:rsidRDefault="005B7824" w:rsidP="005B7824">
      <w:pPr>
        <w:jc w:val="both"/>
        <w:rPr>
          <w:b/>
          <w:sz w:val="28"/>
          <w:lang w:val="en-US"/>
        </w:rPr>
      </w:pPr>
    </w:p>
    <w:p w14:paraId="71E6B43F" w14:textId="77777777" w:rsidR="005B7824" w:rsidRPr="005B7824" w:rsidRDefault="00080EEF" w:rsidP="005B7824">
      <w:pPr>
        <w:keepNext/>
        <w:jc w:val="both"/>
        <w:outlineLvl w:val="0"/>
        <w:rPr>
          <w:rFonts w:ascii="Arial" w:hAnsi="Arial" w:cs="Arial"/>
          <w:b/>
          <w:sz w:val="40"/>
          <w:szCs w:val="40"/>
          <w:lang w:val="en-US"/>
        </w:rPr>
      </w:pPr>
      <w:r>
        <w:rPr>
          <w:rFonts w:ascii="Arial" w:hAnsi="Arial" w:cs="Arial"/>
          <w:b/>
          <w:sz w:val="40"/>
          <w:szCs w:val="40"/>
          <w:lang w:val="en-US"/>
        </w:rPr>
        <w:t>Income Statement</w:t>
      </w:r>
    </w:p>
    <w:p w14:paraId="3A9DD8E9" w14:textId="77777777" w:rsidR="005B7824" w:rsidRPr="005B7824" w:rsidRDefault="005B7824" w:rsidP="005B7824">
      <w:pPr>
        <w:jc w:val="both"/>
        <w:rPr>
          <w:sz w:val="28"/>
          <w:lang w:val="en-US"/>
        </w:rPr>
      </w:pPr>
    </w:p>
    <w:p w14:paraId="54973E95"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4948AF1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4722B2D"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080EEF">
        <w:rPr>
          <w:sz w:val="24"/>
          <w:lang w:val="en-US"/>
        </w:rPr>
        <w:t>income statement</w:t>
      </w:r>
      <w:r w:rsidRPr="005B7824">
        <w:rPr>
          <w:sz w:val="24"/>
          <w:lang w:val="en-US"/>
        </w:rPr>
        <w:t xml:space="preserve">. </w:t>
      </w:r>
    </w:p>
    <w:p w14:paraId="2AEF0FB3"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BD3CB7">
        <w:rPr>
          <w:i/>
          <w:sz w:val="24"/>
          <w:lang w:val="en-US"/>
        </w:rPr>
        <w:t>3</w:t>
      </w:r>
      <w:r w:rsidR="00080EEF">
        <w:rPr>
          <w:i/>
          <w:sz w:val="24"/>
          <w:lang w:val="en-US"/>
        </w:rPr>
        <w:t>1</w:t>
      </w:r>
      <w:r w:rsidR="00BD3CB7">
        <w:rPr>
          <w:i/>
          <w:sz w:val="24"/>
          <w:lang w:val="en-US"/>
        </w:rPr>
        <w:t>0</w:t>
      </w:r>
      <w:r w:rsidR="00FB07B0">
        <w:rPr>
          <w:i/>
          <w:sz w:val="24"/>
          <w:lang w:val="en-US"/>
        </w:rPr>
        <w:t xml:space="preserve">.0 </w:t>
      </w:r>
      <w:r w:rsidR="00080EEF">
        <w:rPr>
          <w:i/>
          <w:sz w:val="24"/>
          <w:lang w:val="en-US"/>
        </w:rPr>
        <w:t>Income Statement</w:t>
      </w:r>
      <w:r w:rsidRPr="005B7824">
        <w:rPr>
          <w:sz w:val="24"/>
          <w:lang w:val="en-US"/>
        </w:rPr>
        <w:t xml:space="preserve"> and associated specific instructions and must be read in conjunction with the general instruction guide</w:t>
      </w:r>
      <w:r w:rsidR="00341BA2">
        <w:rPr>
          <w:sz w:val="24"/>
          <w:lang w:val="en-US"/>
        </w:rPr>
        <w:t>.</w:t>
      </w:r>
    </w:p>
    <w:p w14:paraId="303A2244"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4141552F"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026DB4AF"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45B9516D"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717590BF"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BD3CB7">
        <w:rPr>
          <w:i/>
          <w:sz w:val="24"/>
          <w:lang w:val="en-US"/>
        </w:rPr>
        <w:t>3</w:t>
      </w:r>
      <w:r w:rsidR="00080EEF">
        <w:rPr>
          <w:i/>
          <w:sz w:val="24"/>
          <w:lang w:val="en-US"/>
        </w:rPr>
        <w:t>1</w:t>
      </w:r>
      <w:r w:rsidR="00BD3CB7">
        <w:rPr>
          <w:i/>
          <w:sz w:val="24"/>
          <w:lang w:val="en-US"/>
        </w:rPr>
        <w:t>0</w:t>
      </w:r>
      <w:r w:rsidR="00FB07B0">
        <w:rPr>
          <w:i/>
          <w:sz w:val="24"/>
          <w:lang w:val="en-US"/>
        </w:rPr>
        <w:t xml:space="preserve">.0 </w:t>
      </w:r>
      <w:r w:rsidR="00080EEF">
        <w:rPr>
          <w:i/>
          <w:sz w:val="24"/>
          <w:lang w:val="en-US"/>
        </w:rPr>
        <w:t xml:space="preserve">Income Statement </w:t>
      </w:r>
      <w:r w:rsidRPr="005B7824">
        <w:rPr>
          <w:sz w:val="24"/>
          <w:lang w:val="en-US"/>
        </w:rPr>
        <w:t xml:space="preserve">(GRF </w:t>
      </w:r>
      <w:r w:rsidR="00BD3CB7">
        <w:rPr>
          <w:sz w:val="24"/>
          <w:lang w:val="en-US"/>
        </w:rPr>
        <w:t>3</w:t>
      </w:r>
      <w:r w:rsidR="00080EEF">
        <w:rPr>
          <w:sz w:val="24"/>
          <w:lang w:val="en-US"/>
        </w:rPr>
        <w:t>1</w:t>
      </w:r>
      <w:r w:rsidR="00BD3CB7">
        <w:rPr>
          <w:sz w:val="24"/>
          <w:lang w:val="en-US"/>
        </w:rPr>
        <w:t>0</w:t>
      </w:r>
      <w:r w:rsidR="00FB07B0">
        <w:rPr>
          <w:sz w:val="24"/>
          <w:lang w:val="en-US"/>
        </w:rPr>
        <w:t>.0</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463EF18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77C5023D" w14:textId="23F09D00"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FC4F02">
        <w:rPr>
          <w:sz w:val="24"/>
          <w:szCs w:val="24"/>
          <w:lang w:val="en-US"/>
        </w:rPr>
        <w:t xml:space="preserve"> </w:t>
      </w:r>
      <w:r w:rsidR="00D74239">
        <w:rPr>
          <w:sz w:val="24"/>
          <w:szCs w:val="24"/>
          <w:lang w:val="en-US"/>
        </w:rPr>
        <w:t>1 April 2023</w:t>
      </w:r>
      <w:r w:rsidRPr="005B7824">
        <w:rPr>
          <w:sz w:val="24"/>
          <w:szCs w:val="24"/>
          <w:lang w:val="en-US"/>
        </w:rPr>
        <w:t xml:space="preserve">. </w:t>
      </w:r>
      <w:r w:rsidRPr="005B7824">
        <w:rPr>
          <w:sz w:val="24"/>
          <w:lang w:val="en-US"/>
        </w:rPr>
        <w:t xml:space="preserve"> </w:t>
      </w:r>
    </w:p>
    <w:p w14:paraId="5BF3C675"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321170B7"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BD3CB7">
        <w:rPr>
          <w:sz w:val="24"/>
          <w:lang w:val="en-US"/>
        </w:rPr>
        <w:t>3</w:t>
      </w:r>
      <w:r w:rsidR="00080EEF">
        <w:rPr>
          <w:sz w:val="24"/>
          <w:lang w:val="en-US"/>
        </w:rPr>
        <w:t>1</w:t>
      </w:r>
      <w:r w:rsidR="00BD3CB7">
        <w:rPr>
          <w:sz w:val="24"/>
          <w:lang w:val="en-US"/>
        </w:rPr>
        <w:t>0</w:t>
      </w:r>
      <w:r w:rsidR="00FB07B0">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621DD9C5" w14:textId="7A779E55" w:rsidR="005B7824" w:rsidRPr="005B7824" w:rsidRDefault="001A0F0F"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0B98261E" w14:textId="77777777" w:rsidR="008346B2" w:rsidRPr="00F01667" w:rsidRDefault="008346B2" w:rsidP="00FC4F02">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66FB167A" w14:textId="77777777" w:rsidR="008346B2" w:rsidRPr="00F01667" w:rsidRDefault="008346B2" w:rsidP="00FC4F02">
      <w:pPr>
        <w:spacing w:after="240"/>
        <w:ind w:left="567"/>
        <w:jc w:val="both"/>
        <w:rPr>
          <w:sz w:val="24"/>
          <w:szCs w:val="24"/>
          <w:lang w:val="en-US"/>
        </w:rPr>
      </w:pPr>
      <w:r w:rsidRPr="00F01667">
        <w:rPr>
          <w:sz w:val="24"/>
          <w:szCs w:val="24"/>
          <w:lang w:val="en-US"/>
        </w:rPr>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1E35BDF3" w14:textId="4FB867E6" w:rsidR="005B7824" w:rsidRPr="009E64E0" w:rsidRDefault="008346B2" w:rsidP="00FC4F02">
      <w:pPr>
        <w:spacing w:after="240"/>
        <w:ind w:left="567"/>
        <w:jc w:val="both"/>
        <w:rPr>
          <w:sz w:val="24"/>
          <w:szCs w:val="24"/>
          <w:lang w:val="en-US"/>
        </w:rPr>
      </w:pPr>
      <w:r w:rsidRPr="00F01667">
        <w:rPr>
          <w:sz w:val="24"/>
          <w:szCs w:val="24"/>
          <w:lang w:val="en-US"/>
        </w:rPr>
        <w:lastRenderedPageBreak/>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0EC4DE0F" w14:textId="77777777" w:rsidR="005B7824" w:rsidRPr="005B7824" w:rsidRDefault="005B7824" w:rsidP="00FC4F02">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3187A391" w14:textId="77777777"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3B9ABB68"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3A14546E"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38F7DD06"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Pr="005B7824">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Pr="005B7824">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7E6F996" w14:textId="77777777"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Pr="005B7824">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Pr="005B7824">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1301B122"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42F51D53"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5072C6ED"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Pr="005B7824">
        <w:rPr>
          <w:sz w:val="24"/>
          <w:lang w:val="en-US"/>
        </w:rPr>
        <w:t>7</w:t>
      </w:r>
      <w:r w:rsidRPr="005B7824">
        <w:rPr>
          <w:sz w:val="24"/>
          <w:lang w:val="en-US"/>
        </w:rPr>
        <w:fldChar w:fldCharType="end"/>
      </w:r>
      <w:r w:rsidRPr="005B7824">
        <w:rPr>
          <w:sz w:val="24"/>
          <w:lang w:val="en-US"/>
        </w:rPr>
        <w:t>, within the time specified by notice in writing.</w:t>
      </w:r>
    </w:p>
    <w:p w14:paraId="5E4660C4" w14:textId="77777777"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4CFB23E8" w14:textId="77777777" w:rsidR="005B7824" w:rsidRPr="00FC4F02" w:rsidRDefault="005B7824" w:rsidP="005B7824">
      <w:pPr>
        <w:keepNext/>
        <w:spacing w:after="240"/>
        <w:jc w:val="both"/>
        <w:outlineLvl w:val="0"/>
        <w:rPr>
          <w:rFonts w:ascii="Arial" w:hAnsi="Arial" w:cs="Arial"/>
          <w:b/>
          <w:sz w:val="24"/>
          <w:lang w:val="en-US"/>
        </w:rPr>
      </w:pPr>
      <w:r w:rsidRPr="00FC4F02">
        <w:rPr>
          <w:rFonts w:ascii="Arial" w:hAnsi="Arial" w:cs="Arial"/>
          <w:b/>
          <w:sz w:val="24"/>
          <w:lang w:val="en-US"/>
        </w:rPr>
        <w:t>Quality control</w:t>
      </w:r>
    </w:p>
    <w:p w14:paraId="599D59EA"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048F4FA9"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08EFBE38"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w:t>
      </w:r>
      <w:r w:rsidRPr="005B7824">
        <w:rPr>
          <w:sz w:val="24"/>
          <w:lang w:val="en-US"/>
        </w:rPr>
        <w:lastRenderedPageBreak/>
        <w:t xml:space="preserve">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70612A2E"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5A9C1D9F"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322940CB" w14:textId="391C6DF3"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73A77207" w14:textId="12B2E463"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79CE5EEA"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7D1C3841"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3EA7228E"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2CE56EB0"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78D42C40"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7EB29D0A"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7248050E" w14:textId="2AAF1BBA" w:rsidR="00FF30AD" w:rsidRPr="004E2023"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BD3CB7">
        <w:rPr>
          <w:snapToGrid w:val="0"/>
          <w:sz w:val="24"/>
          <w:lang w:eastAsia="en-US"/>
        </w:rPr>
        <w:t>3</w:t>
      </w:r>
      <w:r w:rsidR="00080EEF">
        <w:rPr>
          <w:snapToGrid w:val="0"/>
          <w:sz w:val="24"/>
          <w:lang w:eastAsia="en-US"/>
        </w:rPr>
        <w:t>1</w:t>
      </w:r>
      <w:r w:rsidR="00BD3CB7">
        <w:rPr>
          <w:snapToGrid w:val="0"/>
          <w:sz w:val="24"/>
          <w:lang w:eastAsia="en-US"/>
        </w:rPr>
        <w:t>0</w:t>
      </w:r>
      <w:r w:rsidR="00FB07B0">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11AAC8E8" w14:textId="20442B90" w:rsidR="005B7824" w:rsidRPr="00FC4F02" w:rsidRDefault="005B7824" w:rsidP="00FC4F02">
      <w:pPr>
        <w:keepNext/>
        <w:spacing w:after="240"/>
        <w:jc w:val="both"/>
        <w:outlineLvl w:val="0"/>
        <w:rPr>
          <w:rFonts w:ascii="Arial" w:hAnsi="Arial" w:cs="Arial"/>
          <w:b/>
          <w:sz w:val="24"/>
          <w:lang w:val="en-US"/>
        </w:rPr>
      </w:pPr>
      <w:r w:rsidRPr="00FC4F02">
        <w:rPr>
          <w:rFonts w:ascii="Arial" w:hAnsi="Arial" w:cs="Arial"/>
          <w:b/>
          <w:sz w:val="24"/>
          <w:lang w:val="en-US"/>
        </w:rPr>
        <w:t>Transition</w:t>
      </w:r>
    </w:p>
    <w:p w14:paraId="5FEA2094" w14:textId="77777777" w:rsidR="005B7824" w:rsidRPr="005B7824" w:rsidRDefault="005B7824" w:rsidP="005B7824">
      <w:pPr>
        <w:numPr>
          <w:ilvl w:val="1"/>
          <w:numId w:val="23"/>
        </w:numPr>
        <w:spacing w:after="240"/>
        <w:jc w:val="both"/>
        <w:rPr>
          <w:sz w:val="24"/>
          <w:szCs w:val="24"/>
          <w:lang w:val="en-US"/>
        </w:rPr>
      </w:pPr>
      <w:r w:rsidRPr="005B7824">
        <w:rPr>
          <w:sz w:val="24"/>
          <w:szCs w:val="24"/>
          <w:lang w:val="en-US"/>
        </w:rPr>
        <w:t>An insurer must report under the old reporting standard in respect of a transitional reporting period. For these purposes:</w:t>
      </w:r>
    </w:p>
    <w:p w14:paraId="33F0C5BA" w14:textId="69936ED2"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w:t>
      </w:r>
      <w:r w:rsidR="002D53F9">
        <w:rPr>
          <w:sz w:val="24"/>
          <w:szCs w:val="24"/>
          <w:lang w:val="en-US"/>
        </w:rPr>
        <w:t>;</w:t>
      </w:r>
      <w:r w:rsidRPr="005B7824">
        <w:rPr>
          <w:sz w:val="24"/>
          <w:szCs w:val="24"/>
          <w:lang w:val="en-US"/>
        </w:rPr>
        <w:t xml:space="preserve"> and</w:t>
      </w:r>
    </w:p>
    <w:p w14:paraId="36DE42FE"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07BCDCA0" w14:textId="77777777" w:rsidR="005B7824" w:rsidRPr="005B7824" w:rsidRDefault="005B7824" w:rsidP="005B7824">
      <w:pPr>
        <w:numPr>
          <w:ilvl w:val="0"/>
          <w:numId w:val="25"/>
        </w:numPr>
        <w:tabs>
          <w:tab w:val="left" w:pos="1134"/>
        </w:tabs>
        <w:spacing w:after="240"/>
        <w:ind w:left="1134" w:hanging="567"/>
        <w:jc w:val="both"/>
        <w:rPr>
          <w:sz w:val="24"/>
          <w:szCs w:val="24"/>
        </w:rPr>
      </w:pPr>
      <w:r w:rsidRPr="005B7824">
        <w:rPr>
          <w:sz w:val="24"/>
          <w:szCs w:val="24"/>
        </w:rPr>
        <w:t>which ended before the date of revocation of the old reporting standard; and</w:t>
      </w:r>
    </w:p>
    <w:p w14:paraId="73688B23" w14:textId="77777777" w:rsidR="005B7824" w:rsidRDefault="005B7824" w:rsidP="005B7824">
      <w:pPr>
        <w:numPr>
          <w:ilvl w:val="0"/>
          <w:numId w:val="25"/>
        </w:numPr>
        <w:tabs>
          <w:tab w:val="left" w:pos="1134"/>
        </w:tabs>
        <w:spacing w:after="240"/>
        <w:ind w:left="1134" w:hanging="567"/>
        <w:contextualSpacing/>
        <w:jc w:val="both"/>
        <w:rPr>
          <w:sz w:val="24"/>
          <w:szCs w:val="24"/>
        </w:rPr>
      </w:pPr>
      <w:r w:rsidRPr="005B7824">
        <w:rPr>
          <w:sz w:val="24"/>
          <w:szCs w:val="24"/>
        </w:rPr>
        <w:t>in relation to which the insurer was required, under the old reporting standard, to report by a date on or after the date of revocation of the old reporting standard.</w:t>
      </w:r>
    </w:p>
    <w:p w14:paraId="0CAEB395" w14:textId="77777777" w:rsidR="005B7824" w:rsidRPr="005B7824" w:rsidRDefault="005B7824" w:rsidP="005B7824">
      <w:pPr>
        <w:spacing w:after="240"/>
        <w:ind w:left="567"/>
        <w:contextualSpacing/>
        <w:jc w:val="both"/>
        <w:rPr>
          <w:sz w:val="24"/>
          <w:szCs w:val="24"/>
        </w:rPr>
      </w:pPr>
    </w:p>
    <w:p w14:paraId="252C03F7"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24A0F459"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 xml:space="preserve">Interpretation </w:t>
      </w:r>
    </w:p>
    <w:p w14:paraId="4DCAB719"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74DF1FD5"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2ED521D8"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418031DC" w14:textId="580F6101" w:rsidR="005B7824" w:rsidRPr="005B7824" w:rsidRDefault="005B7824" w:rsidP="009C057C">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9C057C">
        <w:rPr>
          <w:sz w:val="24"/>
          <w:szCs w:val="24"/>
          <w:lang w:val="en-US"/>
        </w:rPr>
        <w:t>.</w:t>
      </w:r>
      <w:r w:rsidR="009C057C" w:rsidRPr="009C057C">
        <w:rPr>
          <w:sz w:val="24"/>
          <w:szCs w:val="24"/>
        </w:rPr>
        <w:t xml:space="preserve"> </w:t>
      </w:r>
      <w:r w:rsidR="009C057C" w:rsidRPr="00952A58">
        <w:rPr>
          <w:sz w:val="24"/>
          <w:szCs w:val="24"/>
        </w:rPr>
        <w:t>The Australian Reinsurance Pool Corporation is also an APRA-authorised reinsurer for the purposes of this definition</w:t>
      </w:r>
      <w:r w:rsidR="009C057C">
        <w:rPr>
          <w:sz w:val="24"/>
          <w:szCs w:val="24"/>
        </w:rPr>
        <w:t>;</w:t>
      </w:r>
    </w:p>
    <w:p w14:paraId="6E05AF5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6B23B3E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53BA94E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37EECA2B"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5ECE9734"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368B9FF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258402F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5473C2A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78008970"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47A5940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362CEAF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743F13C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Pr="005B7824">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Pr="005B7824">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xml:space="preserve">. </w:t>
      </w:r>
    </w:p>
    <w:p w14:paraId="32E73B92" w14:textId="77777777" w:rsidR="00726E2A" w:rsidRDefault="00726E2A" w:rsidP="00760AC5">
      <w:pPr>
        <w:pStyle w:val="Header"/>
        <w:jc w:val="both"/>
        <w:rPr>
          <w:bCs/>
        </w:rPr>
        <w:sectPr w:rsidR="00726E2A" w:rsidSect="00BA1CBE">
          <w:headerReference w:type="default" r:id="rId18"/>
          <w:footerReference w:type="default" r:id="rId19"/>
          <w:headerReference w:type="first" r:id="rId20"/>
          <w:footerReference w:type="first" r:id="rId21"/>
          <w:pgSz w:w="11907" w:h="16840" w:code="9"/>
          <w:pgMar w:top="1440" w:right="1440" w:bottom="1440" w:left="1440" w:header="720" w:footer="720" w:gutter="0"/>
          <w:pgNumType w:start="1"/>
          <w:cols w:space="720"/>
          <w:titlePg/>
          <w:docGrid w:linePitch="272"/>
        </w:sectPr>
      </w:pPr>
    </w:p>
    <w:tbl>
      <w:tblPr>
        <w:tblW w:w="8806" w:type="dxa"/>
        <w:tblInd w:w="108" w:type="dxa"/>
        <w:tblLook w:val="0400" w:firstRow="0" w:lastRow="0" w:firstColumn="0" w:lastColumn="0" w:noHBand="0" w:noVBand="1"/>
      </w:tblPr>
      <w:tblGrid>
        <w:gridCol w:w="8806"/>
      </w:tblGrid>
      <w:tr w:rsidR="002E6B58" w:rsidRPr="000612C5" w14:paraId="1B0CB629" w14:textId="77777777" w:rsidTr="001F5BC7">
        <w:trPr>
          <w:trHeight w:val="300"/>
        </w:trPr>
        <w:tc>
          <w:tcPr>
            <w:tcW w:w="8806" w:type="dxa"/>
            <w:shd w:val="clear" w:color="auto" w:fill="auto"/>
            <w:noWrap/>
            <w:vAlign w:val="bottom"/>
            <w:hideMark/>
          </w:tcPr>
          <w:p w14:paraId="390F4D13" w14:textId="77777777" w:rsidR="002E6B58" w:rsidRPr="00FC4F02" w:rsidRDefault="002E6B58" w:rsidP="001F5BC7">
            <w:pPr>
              <w:jc w:val="center"/>
              <w:rPr>
                <w:rFonts w:ascii="Arial" w:hAnsi="Arial" w:cs="Arial"/>
                <w:sz w:val="32"/>
                <w:szCs w:val="32"/>
              </w:rPr>
            </w:pPr>
            <w:r w:rsidRPr="00FC4F02">
              <w:rPr>
                <w:rFonts w:ascii="Arial" w:hAnsi="Arial" w:cs="Arial"/>
                <w:b/>
                <w:bCs/>
                <w:sz w:val="32"/>
                <w:szCs w:val="32"/>
              </w:rPr>
              <w:lastRenderedPageBreak/>
              <w:t>GRF_310_0_L: Income Statement</w:t>
            </w:r>
          </w:p>
        </w:tc>
      </w:tr>
    </w:tbl>
    <w:p w14:paraId="51B4F7B8" w14:textId="77777777" w:rsidR="002E6B58" w:rsidRPr="000612C5" w:rsidRDefault="002E6B58" w:rsidP="002E6B58">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2E6B58" w:rsidRPr="000612C5" w14:paraId="0EDAE71C" w14:textId="77777777" w:rsidTr="001F5BC7">
        <w:trPr>
          <w:trHeight w:val="317"/>
        </w:trPr>
        <w:tc>
          <w:tcPr>
            <w:tcW w:w="4394" w:type="dxa"/>
            <w:tcBorders>
              <w:top w:val="nil"/>
              <w:left w:val="nil"/>
              <w:bottom w:val="single" w:sz="4" w:space="0" w:color="auto"/>
              <w:right w:val="nil"/>
            </w:tcBorders>
            <w:vAlign w:val="bottom"/>
            <w:hideMark/>
          </w:tcPr>
          <w:p w14:paraId="269029DC" w14:textId="77777777" w:rsidR="002E6B58" w:rsidRPr="000612C5" w:rsidRDefault="002E6B58" w:rsidP="001F5BC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03A29280" w14:textId="77777777" w:rsidR="002E6B58" w:rsidRPr="000612C5" w:rsidRDefault="002E6B58" w:rsidP="001F5BC7">
            <w:pPr>
              <w:rPr>
                <w:rFonts w:ascii="Arial" w:hAnsi="Arial" w:cs="Arial"/>
                <w:b/>
                <w:bCs/>
              </w:rPr>
            </w:pPr>
            <w:r w:rsidRPr="000612C5">
              <w:rPr>
                <w:rFonts w:ascii="Arial" w:hAnsi="Arial" w:cs="Arial"/>
                <w:b/>
                <w:bCs/>
              </w:rPr>
              <w:t>Institution Name</w:t>
            </w:r>
          </w:p>
        </w:tc>
      </w:tr>
      <w:tr w:rsidR="002E6B58" w:rsidRPr="000612C5" w14:paraId="097CCA4F" w14:textId="77777777" w:rsidTr="001F5BC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EE0CFE5" w14:textId="77777777" w:rsidR="002E6B58" w:rsidRPr="000612C5" w:rsidRDefault="002E6B58" w:rsidP="001F5BC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1948346" w14:textId="77777777" w:rsidR="002E6B58" w:rsidRPr="000612C5" w:rsidRDefault="002E6B58" w:rsidP="001F5BC7">
            <w:pPr>
              <w:rPr>
                <w:rFonts w:ascii="Arial" w:hAnsi="Arial" w:cs="Arial"/>
              </w:rPr>
            </w:pPr>
          </w:p>
        </w:tc>
      </w:tr>
      <w:tr w:rsidR="002E6B58" w:rsidRPr="000612C5" w14:paraId="0F8C69A0" w14:textId="77777777" w:rsidTr="001F5BC7">
        <w:trPr>
          <w:trHeight w:val="317"/>
        </w:trPr>
        <w:tc>
          <w:tcPr>
            <w:tcW w:w="4394" w:type="dxa"/>
            <w:tcBorders>
              <w:top w:val="single" w:sz="4" w:space="0" w:color="auto"/>
              <w:left w:val="nil"/>
              <w:bottom w:val="single" w:sz="4" w:space="0" w:color="auto"/>
              <w:right w:val="nil"/>
            </w:tcBorders>
            <w:noWrap/>
            <w:vAlign w:val="bottom"/>
            <w:hideMark/>
          </w:tcPr>
          <w:p w14:paraId="1369DCD1" w14:textId="77777777" w:rsidR="002E6B58" w:rsidRPr="000612C5" w:rsidRDefault="002E6B58" w:rsidP="001F5BC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F490688" w14:textId="77777777" w:rsidR="002E6B58" w:rsidRPr="000612C5" w:rsidRDefault="002E6B58" w:rsidP="001F5BC7">
            <w:pPr>
              <w:rPr>
                <w:rFonts w:ascii="Arial" w:hAnsi="Arial" w:cs="Arial"/>
                <w:b/>
              </w:rPr>
            </w:pPr>
            <w:r w:rsidRPr="000612C5">
              <w:rPr>
                <w:rFonts w:ascii="Arial" w:hAnsi="Arial" w:cs="Arial"/>
                <w:b/>
              </w:rPr>
              <w:t xml:space="preserve">Scale Factor </w:t>
            </w:r>
          </w:p>
        </w:tc>
      </w:tr>
      <w:tr w:rsidR="002E6B58" w:rsidRPr="000612C5" w14:paraId="198F12D9" w14:textId="77777777" w:rsidTr="001F5BC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8BCC6EA" w14:textId="77777777" w:rsidR="002E6B58" w:rsidRPr="000612C5" w:rsidRDefault="002E6B58" w:rsidP="001F5BC7">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D27C3CB" w14:textId="77777777" w:rsidR="002E6B58" w:rsidRPr="007D32E5" w:rsidRDefault="002E6B58" w:rsidP="001F5BC7">
            <w:pPr>
              <w:rPr>
                <w:rFonts w:ascii="Arial" w:hAnsi="Arial" w:cs="Arial"/>
                <w:color w:val="000000"/>
                <w:sz w:val="24"/>
                <w:szCs w:val="24"/>
              </w:rPr>
            </w:pPr>
            <w:r>
              <w:rPr>
                <w:rFonts w:ascii="Arial" w:hAnsi="Arial" w:cs="Arial"/>
                <w:color w:val="000000"/>
              </w:rPr>
              <w:t>Thousands of dollars no decimal place</w:t>
            </w:r>
          </w:p>
        </w:tc>
      </w:tr>
      <w:tr w:rsidR="002E6B58" w:rsidRPr="000612C5" w14:paraId="0F2F402C" w14:textId="77777777" w:rsidTr="001F5BC7">
        <w:trPr>
          <w:trHeight w:val="317"/>
        </w:trPr>
        <w:tc>
          <w:tcPr>
            <w:tcW w:w="4394" w:type="dxa"/>
            <w:tcBorders>
              <w:top w:val="single" w:sz="4" w:space="0" w:color="auto"/>
              <w:bottom w:val="single" w:sz="4" w:space="0" w:color="auto"/>
            </w:tcBorders>
            <w:noWrap/>
            <w:vAlign w:val="bottom"/>
          </w:tcPr>
          <w:p w14:paraId="20D2C8FB" w14:textId="77777777" w:rsidR="002E6B58" w:rsidRPr="000612C5" w:rsidRDefault="002E6B58" w:rsidP="001F5BC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5174F6DC" w14:textId="77777777" w:rsidR="002E6B58" w:rsidRPr="000612C5" w:rsidRDefault="002E6B58" w:rsidP="001F5BC7">
            <w:pPr>
              <w:rPr>
                <w:rFonts w:ascii="Arial" w:hAnsi="Arial" w:cs="Arial"/>
              </w:rPr>
            </w:pPr>
          </w:p>
        </w:tc>
      </w:tr>
      <w:tr w:rsidR="002E6B58" w:rsidRPr="000612C5" w14:paraId="536B1ED0" w14:textId="77777777" w:rsidTr="001F5BC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22BDA131" w14:textId="77777777" w:rsidR="002E6B58" w:rsidRPr="007D32E5" w:rsidRDefault="002E6B58" w:rsidP="001F5BC7">
            <w:pPr>
              <w:rPr>
                <w:rFonts w:ascii="Arial" w:hAnsi="Arial" w:cs="Arial"/>
                <w:color w:val="000000"/>
                <w:sz w:val="24"/>
                <w:szCs w:val="24"/>
              </w:rPr>
            </w:pPr>
            <w:r>
              <w:rPr>
                <w:rFonts w:ascii="Arial" w:hAnsi="Arial" w:cs="Arial"/>
                <w:color w:val="000000"/>
              </w:rPr>
              <w:t>Licensed Insurer</w:t>
            </w:r>
          </w:p>
        </w:tc>
        <w:tc>
          <w:tcPr>
            <w:tcW w:w="4395" w:type="dxa"/>
            <w:tcBorders>
              <w:left w:val="single" w:sz="4" w:space="0" w:color="auto"/>
            </w:tcBorders>
            <w:noWrap/>
            <w:vAlign w:val="bottom"/>
          </w:tcPr>
          <w:p w14:paraId="5FDD9A08" w14:textId="77777777" w:rsidR="002E6B58" w:rsidRPr="000612C5" w:rsidRDefault="002E6B58" w:rsidP="001F5BC7">
            <w:pPr>
              <w:rPr>
                <w:rFonts w:ascii="Arial" w:hAnsi="Arial" w:cs="Arial"/>
              </w:rPr>
            </w:pPr>
          </w:p>
        </w:tc>
      </w:tr>
    </w:tbl>
    <w:p w14:paraId="4F89FFB5" w14:textId="77777777" w:rsidR="002E6B58" w:rsidRPr="000612C5" w:rsidRDefault="002E6B58" w:rsidP="002E6B58">
      <w:pPr>
        <w:rPr>
          <w:rFonts w:ascii="Arial" w:hAnsi="Arial" w:cs="Arial"/>
        </w:rPr>
      </w:pPr>
    </w:p>
    <w:tbl>
      <w:tblPr>
        <w:tblW w:w="8789" w:type="dxa"/>
        <w:tblInd w:w="108" w:type="dxa"/>
        <w:tblLook w:val="04A0" w:firstRow="1" w:lastRow="0" w:firstColumn="1" w:lastColumn="0" w:noHBand="0" w:noVBand="1"/>
      </w:tblPr>
      <w:tblGrid>
        <w:gridCol w:w="6663"/>
        <w:gridCol w:w="2126"/>
      </w:tblGrid>
      <w:tr w:rsidR="002E6B58" w:rsidRPr="000612C5" w14:paraId="7B75338F" w14:textId="77777777" w:rsidTr="001F5BC7">
        <w:trPr>
          <w:trHeight w:val="300"/>
        </w:trPr>
        <w:tc>
          <w:tcPr>
            <w:tcW w:w="6663" w:type="dxa"/>
            <w:tcBorders>
              <w:top w:val="nil"/>
              <w:left w:val="nil"/>
              <w:right w:val="single" w:sz="4" w:space="0" w:color="auto"/>
            </w:tcBorders>
          </w:tcPr>
          <w:p w14:paraId="7C239D0A" w14:textId="77777777" w:rsidR="002E6B58" w:rsidRPr="000612C5" w:rsidRDefault="002E6B58" w:rsidP="001F5BC7">
            <w:pPr>
              <w:pStyle w:val="ListParagraph"/>
              <w:ind w:left="0"/>
              <w:rPr>
                <w:rFonts w:ascii="Arial" w:hAnsi="Arial" w:cs="Arial"/>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841C" w14:textId="77777777" w:rsidR="002E6B58" w:rsidRPr="000612C5" w:rsidRDefault="002E6B58" w:rsidP="001F5BC7">
            <w:pPr>
              <w:jc w:val="center"/>
              <w:rPr>
                <w:rFonts w:ascii="Arial" w:hAnsi="Arial" w:cs="Arial"/>
                <w:b/>
                <w:bCs/>
              </w:rPr>
            </w:pPr>
            <w:r w:rsidRPr="00306A18">
              <w:rPr>
                <w:rFonts w:ascii="Arial" w:hAnsi="Arial" w:cs="Arial"/>
                <w:b/>
                <w:bCs/>
              </w:rPr>
              <w:t>Category of insurer</w:t>
            </w:r>
          </w:p>
        </w:tc>
      </w:tr>
      <w:tr w:rsidR="002E6B58" w:rsidRPr="000612C5" w14:paraId="195268ED" w14:textId="77777777" w:rsidTr="001F5BC7">
        <w:trPr>
          <w:trHeight w:val="300"/>
        </w:trPr>
        <w:tc>
          <w:tcPr>
            <w:tcW w:w="6663" w:type="dxa"/>
            <w:tcBorders>
              <w:top w:val="nil"/>
              <w:left w:val="nil"/>
              <w:right w:val="single" w:sz="4" w:space="0" w:color="auto"/>
            </w:tcBorders>
          </w:tcPr>
          <w:p w14:paraId="5A47EBDC" w14:textId="77777777" w:rsidR="002E6B58" w:rsidRPr="00306A18" w:rsidRDefault="002E6B58" w:rsidP="001F5BC7">
            <w:pPr>
              <w:pStyle w:val="ListParagraph"/>
              <w:ind w:left="0"/>
              <w:rPr>
                <w:rFonts w:ascii="Arial" w:hAnsi="Arial" w:cs="Arial"/>
                <w:bCs/>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3AF4" w14:textId="77777777" w:rsidR="002E6B58" w:rsidRPr="000612C5" w:rsidRDefault="002E6B58" w:rsidP="001F5BC7">
            <w:pPr>
              <w:jc w:val="center"/>
              <w:rPr>
                <w:rFonts w:ascii="Arial" w:hAnsi="Arial" w:cs="Arial"/>
                <w:color w:val="000000"/>
              </w:rPr>
            </w:pPr>
          </w:p>
        </w:tc>
      </w:tr>
      <w:tr w:rsidR="002E6B58" w:rsidRPr="000612C5" w14:paraId="469CFD15" w14:textId="77777777" w:rsidTr="00750BF1">
        <w:trPr>
          <w:trHeight w:val="300"/>
        </w:trPr>
        <w:tc>
          <w:tcPr>
            <w:tcW w:w="6663" w:type="dxa"/>
            <w:tcBorders>
              <w:right w:val="dotDash" w:sz="4" w:space="0" w:color="auto"/>
            </w:tcBorders>
          </w:tcPr>
          <w:p w14:paraId="09900E1D" w14:textId="77777777" w:rsidR="002E6B58" w:rsidRPr="000612C5" w:rsidRDefault="002E6B58" w:rsidP="001F5BC7">
            <w:pPr>
              <w:jc w:val="center"/>
              <w:rPr>
                <w:rFonts w:ascii="Arial" w:hAnsi="Arial" w:cs="Arial"/>
              </w:rPr>
            </w:pPr>
          </w:p>
        </w:tc>
        <w:tc>
          <w:tcPr>
            <w:tcW w:w="2126" w:type="dxa"/>
            <w:tcBorders>
              <w:top w:val="single" w:sz="4" w:space="0" w:color="auto"/>
              <w:left w:val="dotDash" w:sz="4" w:space="0" w:color="auto"/>
              <w:bottom w:val="dotDash" w:sz="4" w:space="0" w:color="auto"/>
              <w:right w:val="dotDash" w:sz="4" w:space="0" w:color="auto"/>
            </w:tcBorders>
            <w:shd w:val="clear" w:color="auto" w:fill="auto"/>
            <w:vAlign w:val="bottom"/>
          </w:tcPr>
          <w:p w14:paraId="767A22FB" w14:textId="439A96A3" w:rsidR="002E6B58" w:rsidRPr="00306A18" w:rsidRDefault="002E6B58" w:rsidP="001F5BC7">
            <w:pPr>
              <w:jc w:val="center"/>
              <w:rPr>
                <w:rFonts w:ascii="Arial" w:hAnsi="Arial" w:cs="Arial"/>
              </w:rPr>
            </w:pPr>
          </w:p>
        </w:tc>
      </w:tr>
      <w:tr w:rsidR="002E6B58" w:rsidRPr="000612C5" w14:paraId="4C0AA1D6" w14:textId="77777777" w:rsidTr="00750BF1">
        <w:trPr>
          <w:trHeight w:val="300"/>
        </w:trPr>
        <w:tc>
          <w:tcPr>
            <w:tcW w:w="6663" w:type="dxa"/>
            <w:tcBorders>
              <w:right w:val="dotDash" w:sz="4" w:space="0" w:color="auto"/>
            </w:tcBorders>
          </w:tcPr>
          <w:p w14:paraId="0FA5D8E3" w14:textId="77777777" w:rsidR="002E6B58" w:rsidRPr="000612C5" w:rsidRDefault="002E6B58" w:rsidP="001F5BC7">
            <w:pPr>
              <w:jc w:val="center"/>
              <w:rPr>
                <w:rFonts w:ascii="Arial" w:hAnsi="Arial" w:cs="Arial"/>
              </w:rPr>
            </w:pPr>
          </w:p>
        </w:tc>
        <w:tc>
          <w:tcPr>
            <w:tcW w:w="2126" w:type="dxa"/>
            <w:tcBorders>
              <w:top w:val="dotDash" w:sz="4" w:space="0" w:color="auto"/>
              <w:left w:val="dotDash" w:sz="4" w:space="0" w:color="auto"/>
              <w:bottom w:val="dotDash" w:sz="4" w:space="0" w:color="auto"/>
              <w:right w:val="dotDash" w:sz="4" w:space="0" w:color="auto"/>
            </w:tcBorders>
            <w:shd w:val="clear" w:color="auto" w:fill="auto"/>
            <w:vAlign w:val="bottom"/>
          </w:tcPr>
          <w:p w14:paraId="687E302A" w14:textId="1C91D6F7" w:rsidR="002E6B58" w:rsidRPr="00306A18" w:rsidRDefault="002E6B58" w:rsidP="001F5BC7">
            <w:pPr>
              <w:jc w:val="center"/>
              <w:rPr>
                <w:rFonts w:ascii="Arial" w:hAnsi="Arial" w:cs="Arial"/>
              </w:rPr>
            </w:pPr>
          </w:p>
        </w:tc>
      </w:tr>
      <w:tr w:rsidR="002E6B58" w:rsidRPr="000612C5" w14:paraId="5725EF8F" w14:textId="77777777" w:rsidTr="00750BF1">
        <w:trPr>
          <w:trHeight w:val="300"/>
        </w:trPr>
        <w:tc>
          <w:tcPr>
            <w:tcW w:w="6663" w:type="dxa"/>
            <w:tcBorders>
              <w:right w:val="dotDash" w:sz="4" w:space="0" w:color="auto"/>
            </w:tcBorders>
          </w:tcPr>
          <w:p w14:paraId="4EEF5BC5" w14:textId="77777777" w:rsidR="002E6B58" w:rsidRPr="000612C5" w:rsidRDefault="002E6B58" w:rsidP="001F5BC7">
            <w:pPr>
              <w:jc w:val="center"/>
              <w:rPr>
                <w:rFonts w:ascii="Arial" w:hAnsi="Arial" w:cs="Arial"/>
              </w:rPr>
            </w:pPr>
          </w:p>
        </w:tc>
        <w:tc>
          <w:tcPr>
            <w:tcW w:w="2126" w:type="dxa"/>
            <w:tcBorders>
              <w:top w:val="dotDash" w:sz="4" w:space="0" w:color="auto"/>
              <w:left w:val="dotDash" w:sz="4" w:space="0" w:color="auto"/>
              <w:bottom w:val="dotDash" w:sz="4" w:space="0" w:color="auto"/>
              <w:right w:val="dotDash" w:sz="4" w:space="0" w:color="auto"/>
            </w:tcBorders>
            <w:shd w:val="clear" w:color="auto" w:fill="auto"/>
            <w:vAlign w:val="bottom"/>
          </w:tcPr>
          <w:p w14:paraId="4FA063EA" w14:textId="21F276BD" w:rsidR="002E6B58" w:rsidRPr="00306A18" w:rsidRDefault="002E6B58" w:rsidP="001F5BC7">
            <w:pPr>
              <w:jc w:val="center"/>
              <w:rPr>
                <w:rFonts w:ascii="Arial" w:hAnsi="Arial" w:cs="Arial"/>
              </w:rPr>
            </w:pPr>
          </w:p>
        </w:tc>
      </w:tr>
      <w:tr w:rsidR="002E6B58" w:rsidRPr="000612C5" w14:paraId="4FC481F2" w14:textId="77777777" w:rsidTr="001F5BC7">
        <w:trPr>
          <w:trHeight w:val="300"/>
        </w:trPr>
        <w:tc>
          <w:tcPr>
            <w:tcW w:w="6663" w:type="dxa"/>
            <w:tcBorders>
              <w:right w:val="dotDash" w:sz="4" w:space="0" w:color="auto"/>
            </w:tcBorders>
          </w:tcPr>
          <w:p w14:paraId="65641BD6" w14:textId="77777777" w:rsidR="002E6B58" w:rsidRPr="000612C5" w:rsidRDefault="002E6B58" w:rsidP="001F5BC7">
            <w:pPr>
              <w:jc w:val="center"/>
              <w:rPr>
                <w:rFonts w:ascii="Arial" w:hAnsi="Arial" w:cs="Arial"/>
              </w:rPr>
            </w:pPr>
          </w:p>
        </w:tc>
        <w:tc>
          <w:tcPr>
            <w:tcW w:w="2126" w:type="dxa"/>
            <w:tcBorders>
              <w:top w:val="dotDash" w:sz="4" w:space="0" w:color="auto"/>
              <w:left w:val="dotDash" w:sz="4" w:space="0" w:color="auto"/>
              <w:bottom w:val="dotDash" w:sz="4" w:space="0" w:color="auto"/>
              <w:right w:val="dotDash" w:sz="4" w:space="0" w:color="auto"/>
            </w:tcBorders>
            <w:shd w:val="clear" w:color="auto" w:fill="auto"/>
            <w:vAlign w:val="bottom"/>
          </w:tcPr>
          <w:p w14:paraId="4C8CC73E" w14:textId="6DC1E555" w:rsidR="002E6B58" w:rsidRPr="00306A18" w:rsidRDefault="002E6B58" w:rsidP="001F5BC7">
            <w:pPr>
              <w:jc w:val="center"/>
              <w:rPr>
                <w:rFonts w:ascii="Arial" w:hAnsi="Arial" w:cs="Arial"/>
              </w:rPr>
            </w:pPr>
          </w:p>
        </w:tc>
      </w:tr>
      <w:tr w:rsidR="002E6B58" w:rsidRPr="000612C5" w14:paraId="3398C2B4" w14:textId="77777777" w:rsidTr="001F5BC7">
        <w:trPr>
          <w:trHeight w:val="300"/>
        </w:trPr>
        <w:tc>
          <w:tcPr>
            <w:tcW w:w="6663" w:type="dxa"/>
            <w:tcBorders>
              <w:right w:val="dotDash" w:sz="4" w:space="0" w:color="auto"/>
            </w:tcBorders>
          </w:tcPr>
          <w:p w14:paraId="40B9F462" w14:textId="77777777" w:rsidR="002E6B58" w:rsidRPr="000612C5" w:rsidRDefault="002E6B58" w:rsidP="001F5BC7">
            <w:pPr>
              <w:jc w:val="center"/>
              <w:rPr>
                <w:rFonts w:ascii="Arial" w:hAnsi="Arial" w:cs="Arial"/>
              </w:rPr>
            </w:pPr>
          </w:p>
        </w:tc>
        <w:tc>
          <w:tcPr>
            <w:tcW w:w="2126" w:type="dxa"/>
            <w:tcBorders>
              <w:top w:val="dotDash" w:sz="4" w:space="0" w:color="auto"/>
              <w:left w:val="dotDash" w:sz="4" w:space="0" w:color="auto"/>
              <w:bottom w:val="dotDash" w:sz="4" w:space="0" w:color="auto"/>
              <w:right w:val="dotDash" w:sz="4" w:space="0" w:color="auto"/>
            </w:tcBorders>
            <w:shd w:val="clear" w:color="auto" w:fill="auto"/>
            <w:vAlign w:val="bottom"/>
          </w:tcPr>
          <w:p w14:paraId="38E13AC7" w14:textId="4287E251" w:rsidR="002E6B58" w:rsidRPr="00306A18" w:rsidRDefault="002E6B58" w:rsidP="001F5BC7">
            <w:pPr>
              <w:jc w:val="center"/>
              <w:rPr>
                <w:rFonts w:ascii="Arial" w:hAnsi="Arial" w:cs="Arial"/>
              </w:rPr>
            </w:pPr>
          </w:p>
        </w:tc>
      </w:tr>
    </w:tbl>
    <w:p w14:paraId="06724823" w14:textId="77777777" w:rsidR="002E6B58" w:rsidRDefault="002E6B58" w:rsidP="002E6B58">
      <w:pPr>
        <w:rPr>
          <w:rFonts w:ascii="Arial" w:hAnsi="Arial" w:cs="Arial"/>
        </w:rPr>
      </w:pPr>
    </w:p>
    <w:tbl>
      <w:tblPr>
        <w:tblW w:w="8789" w:type="dxa"/>
        <w:tblInd w:w="108" w:type="dxa"/>
        <w:tblLook w:val="04A0" w:firstRow="1" w:lastRow="0" w:firstColumn="1" w:lastColumn="0" w:noHBand="0" w:noVBand="1"/>
      </w:tblPr>
      <w:tblGrid>
        <w:gridCol w:w="6663"/>
        <w:gridCol w:w="2126"/>
      </w:tblGrid>
      <w:tr w:rsidR="002E6B58" w:rsidRPr="000612C5" w14:paraId="4E1A87F7" w14:textId="77777777" w:rsidTr="001F5BC7">
        <w:trPr>
          <w:trHeight w:val="315"/>
        </w:trPr>
        <w:tc>
          <w:tcPr>
            <w:tcW w:w="6663" w:type="dxa"/>
            <w:tcBorders>
              <w:top w:val="nil"/>
              <w:left w:val="nil"/>
              <w:bottom w:val="nil"/>
            </w:tcBorders>
            <w:shd w:val="clear" w:color="auto" w:fill="auto"/>
            <w:noWrap/>
            <w:vAlign w:val="bottom"/>
            <w:hideMark/>
          </w:tcPr>
          <w:p w14:paraId="69462AE6" w14:textId="77777777" w:rsidR="002E6B58" w:rsidRPr="000612C5" w:rsidRDefault="002E6B58" w:rsidP="001F5BC7">
            <w:pPr>
              <w:pStyle w:val="ListParagraph"/>
              <w:ind w:left="0"/>
              <w:rPr>
                <w:rFonts w:ascii="Arial" w:hAnsi="Arial" w:cs="Arial"/>
                <w:bCs/>
              </w:rPr>
            </w:pPr>
            <w:r w:rsidRPr="00C02BC2">
              <w:rPr>
                <w:rFonts w:ascii="Arial" w:hAnsi="Arial" w:cs="Arial"/>
                <w:bCs/>
              </w:rPr>
              <w:t>Premium revenue:</w:t>
            </w:r>
          </w:p>
        </w:tc>
        <w:tc>
          <w:tcPr>
            <w:tcW w:w="2126" w:type="dxa"/>
            <w:tcBorders>
              <w:bottom w:val="single" w:sz="4" w:space="0" w:color="auto"/>
            </w:tcBorders>
            <w:shd w:val="clear" w:color="auto" w:fill="auto"/>
            <w:noWrap/>
            <w:vAlign w:val="bottom"/>
            <w:hideMark/>
          </w:tcPr>
          <w:p w14:paraId="43E89EA2" w14:textId="77777777" w:rsidR="002E6B58" w:rsidRPr="000612C5" w:rsidRDefault="002E6B58" w:rsidP="001F5BC7">
            <w:pPr>
              <w:jc w:val="center"/>
              <w:rPr>
                <w:rFonts w:ascii="Arial" w:hAnsi="Arial" w:cs="Arial"/>
              </w:rPr>
            </w:pPr>
          </w:p>
        </w:tc>
      </w:tr>
      <w:tr w:rsidR="002E6B58" w:rsidRPr="000612C5" w14:paraId="1DE078A8" w14:textId="77777777" w:rsidTr="001F5BC7">
        <w:trPr>
          <w:trHeight w:val="315"/>
        </w:trPr>
        <w:tc>
          <w:tcPr>
            <w:tcW w:w="6663" w:type="dxa"/>
            <w:tcBorders>
              <w:top w:val="nil"/>
              <w:left w:val="nil"/>
              <w:bottom w:val="nil"/>
              <w:right w:val="single" w:sz="4" w:space="0" w:color="auto"/>
            </w:tcBorders>
            <w:shd w:val="clear" w:color="auto" w:fill="auto"/>
            <w:noWrap/>
            <w:vAlign w:val="bottom"/>
            <w:hideMark/>
          </w:tcPr>
          <w:p w14:paraId="6ADEE3C6" w14:textId="77777777" w:rsidR="002E6B58" w:rsidRPr="000612C5" w:rsidRDefault="002E6B58" w:rsidP="001F5BC7">
            <w:pPr>
              <w:pStyle w:val="ListParagraph"/>
              <w:ind w:left="284"/>
              <w:rPr>
                <w:rFonts w:ascii="Arial" w:hAnsi="Arial" w:cs="Arial"/>
                <w:bCs/>
              </w:rPr>
            </w:pPr>
            <w:r w:rsidRPr="00C02BC2">
              <w:rPr>
                <w:rFonts w:ascii="Arial" w:hAnsi="Arial" w:cs="Arial"/>
                <w:bCs/>
              </w:rPr>
              <w:t>Direct business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502FE" w14:textId="77777777" w:rsidR="002E6B58" w:rsidRPr="00DE70C0" w:rsidRDefault="002E6B58" w:rsidP="001F5BC7">
            <w:pPr>
              <w:ind w:firstLineChars="100" w:firstLine="200"/>
              <w:jc w:val="center"/>
              <w:rPr>
                <w:rFonts w:ascii="Arial" w:hAnsi="Arial" w:cs="Arial"/>
              </w:rPr>
            </w:pPr>
          </w:p>
        </w:tc>
      </w:tr>
      <w:tr w:rsidR="002E6B58" w:rsidRPr="000612C5" w14:paraId="12C86291" w14:textId="77777777" w:rsidTr="001F5BC7">
        <w:trPr>
          <w:trHeight w:val="315"/>
        </w:trPr>
        <w:tc>
          <w:tcPr>
            <w:tcW w:w="6663" w:type="dxa"/>
            <w:tcBorders>
              <w:top w:val="nil"/>
              <w:left w:val="nil"/>
              <w:bottom w:val="nil"/>
              <w:right w:val="single" w:sz="4" w:space="0" w:color="auto"/>
            </w:tcBorders>
            <w:shd w:val="clear" w:color="auto" w:fill="auto"/>
            <w:noWrap/>
            <w:vAlign w:val="bottom"/>
            <w:hideMark/>
          </w:tcPr>
          <w:p w14:paraId="47818937" w14:textId="77777777" w:rsidR="002E6B58" w:rsidRPr="000612C5" w:rsidRDefault="002E6B58" w:rsidP="001F5BC7">
            <w:pPr>
              <w:pStyle w:val="ListParagraph"/>
              <w:ind w:left="284"/>
              <w:rPr>
                <w:rFonts w:ascii="Arial" w:hAnsi="Arial" w:cs="Arial"/>
                <w:bCs/>
              </w:rPr>
            </w:pPr>
            <w:r w:rsidRPr="00C02BC2">
              <w:rPr>
                <w:rFonts w:ascii="Arial" w:hAnsi="Arial" w:cs="Arial"/>
                <w:bCs/>
              </w:rPr>
              <w:t>Inwards reinsurance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9E80F" w14:textId="77777777" w:rsidR="002E6B58" w:rsidRPr="00DE70C0" w:rsidRDefault="002E6B58" w:rsidP="001F5BC7">
            <w:pPr>
              <w:ind w:firstLineChars="100" w:firstLine="200"/>
              <w:jc w:val="center"/>
              <w:rPr>
                <w:rFonts w:ascii="Arial" w:hAnsi="Arial" w:cs="Arial"/>
              </w:rPr>
            </w:pPr>
          </w:p>
        </w:tc>
      </w:tr>
      <w:tr w:rsidR="002E6B58" w:rsidRPr="000612C5" w14:paraId="2028457F"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2C7A035C" w14:textId="77777777" w:rsidR="002E6B58" w:rsidRPr="00C02BC2" w:rsidRDefault="002E6B58" w:rsidP="001F5BC7">
            <w:pPr>
              <w:pStyle w:val="ListParagraph"/>
              <w:ind w:left="284"/>
              <w:rPr>
                <w:rFonts w:ascii="Arial" w:hAnsi="Arial" w:cs="Arial"/>
                <w:bCs/>
              </w:rPr>
            </w:pPr>
            <w:r w:rsidRPr="00C02BC2">
              <w:rPr>
                <w:rFonts w:ascii="Arial" w:hAnsi="Arial" w:cs="Arial"/>
                <w:bCs/>
              </w:rPr>
              <w:t>Fire service levy (and other levies imposed by state and territory governments)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9A1D" w14:textId="77777777" w:rsidR="002E6B58" w:rsidRPr="00DE70C0" w:rsidRDefault="002E6B58" w:rsidP="001F5BC7">
            <w:pPr>
              <w:ind w:firstLineChars="100" w:firstLine="200"/>
              <w:jc w:val="center"/>
              <w:rPr>
                <w:rFonts w:ascii="Arial" w:hAnsi="Arial" w:cs="Arial"/>
              </w:rPr>
            </w:pPr>
          </w:p>
        </w:tc>
      </w:tr>
      <w:tr w:rsidR="002E6B58" w:rsidRPr="000612C5" w14:paraId="00436B1A"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3FECF63" w14:textId="77777777" w:rsidR="002E6B58" w:rsidRPr="005861CC" w:rsidRDefault="002E6B58" w:rsidP="001F5BC7">
            <w:pPr>
              <w:pStyle w:val="ListParagraph"/>
              <w:ind w:left="0"/>
              <w:rPr>
                <w:rFonts w:ascii="Arial" w:hAnsi="Arial" w:cs="Arial"/>
                <w:b/>
                <w:bCs/>
              </w:rPr>
            </w:pPr>
            <w:r w:rsidRPr="005861CC">
              <w:rPr>
                <w:rFonts w:ascii="Arial" w:hAnsi="Arial" w:cs="Arial"/>
                <w:b/>
                <w:bCs/>
              </w:rPr>
              <w:t>Total premium revenue</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66CFED" w14:textId="77777777" w:rsidR="002E6B58" w:rsidRPr="00DE70C0" w:rsidRDefault="002E6B58" w:rsidP="001F5BC7">
            <w:pPr>
              <w:ind w:firstLineChars="100" w:firstLine="200"/>
              <w:jc w:val="center"/>
              <w:rPr>
                <w:rFonts w:ascii="Arial" w:hAnsi="Arial" w:cs="Arial"/>
                <w:bCs/>
              </w:rPr>
            </w:pPr>
          </w:p>
        </w:tc>
      </w:tr>
      <w:tr w:rsidR="002E6B58" w:rsidRPr="000612C5" w14:paraId="55006847" w14:textId="77777777" w:rsidTr="001F5BC7">
        <w:trPr>
          <w:trHeight w:val="315"/>
        </w:trPr>
        <w:tc>
          <w:tcPr>
            <w:tcW w:w="6663" w:type="dxa"/>
            <w:tcBorders>
              <w:top w:val="nil"/>
              <w:left w:val="nil"/>
              <w:bottom w:val="nil"/>
            </w:tcBorders>
            <w:shd w:val="clear" w:color="auto" w:fill="auto"/>
            <w:noWrap/>
            <w:vAlign w:val="bottom"/>
          </w:tcPr>
          <w:p w14:paraId="35707A2B" w14:textId="77777777" w:rsidR="002E6B58" w:rsidRPr="00C02BC2" w:rsidRDefault="002E6B58" w:rsidP="001F5BC7">
            <w:pPr>
              <w:pStyle w:val="ListParagraph"/>
              <w:ind w:left="567"/>
              <w:rPr>
                <w:rFonts w:ascii="Arial" w:hAnsi="Arial" w:cs="Arial"/>
                <w:bCs/>
              </w:rPr>
            </w:pPr>
          </w:p>
        </w:tc>
        <w:tc>
          <w:tcPr>
            <w:tcW w:w="2126" w:type="dxa"/>
            <w:tcBorders>
              <w:top w:val="single" w:sz="4" w:space="0" w:color="auto"/>
              <w:bottom w:val="single" w:sz="4" w:space="0" w:color="auto"/>
            </w:tcBorders>
            <w:shd w:val="clear" w:color="auto" w:fill="auto"/>
            <w:noWrap/>
            <w:vAlign w:val="bottom"/>
          </w:tcPr>
          <w:p w14:paraId="370BA687" w14:textId="77777777" w:rsidR="002E6B58" w:rsidRPr="00DE70C0" w:rsidRDefault="002E6B58" w:rsidP="001F5BC7">
            <w:pPr>
              <w:ind w:firstLineChars="100" w:firstLine="200"/>
              <w:jc w:val="center"/>
              <w:rPr>
                <w:rFonts w:ascii="Arial" w:hAnsi="Arial" w:cs="Arial"/>
              </w:rPr>
            </w:pPr>
          </w:p>
        </w:tc>
      </w:tr>
      <w:tr w:rsidR="002E6B58" w:rsidRPr="000612C5" w14:paraId="522C489D"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BAD4077" w14:textId="77777777" w:rsidR="002E6B58" w:rsidRPr="00C02BC2" w:rsidRDefault="002E6B58" w:rsidP="001F5BC7">
            <w:pPr>
              <w:pStyle w:val="ListParagraph"/>
              <w:ind w:left="0"/>
              <w:rPr>
                <w:rFonts w:ascii="Arial" w:hAnsi="Arial" w:cs="Arial"/>
                <w:bCs/>
              </w:rPr>
            </w:pPr>
            <w:r w:rsidRPr="00C02BC2">
              <w:rPr>
                <w:rFonts w:ascii="Arial" w:hAnsi="Arial" w:cs="Arial"/>
                <w:bCs/>
              </w:rPr>
              <w:t>Outwards reinsurance expense relating to current and prior years cover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ED273" w14:textId="77777777" w:rsidR="002E6B58" w:rsidRPr="00DE70C0" w:rsidRDefault="002E6B58" w:rsidP="001F5BC7">
            <w:pPr>
              <w:ind w:firstLineChars="100" w:firstLine="200"/>
              <w:jc w:val="center"/>
              <w:rPr>
                <w:rFonts w:ascii="Arial" w:hAnsi="Arial" w:cs="Arial"/>
              </w:rPr>
            </w:pPr>
          </w:p>
        </w:tc>
      </w:tr>
      <w:tr w:rsidR="002E6B58" w:rsidRPr="000612C5" w14:paraId="5E745B6F"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7EA89C7" w14:textId="77777777" w:rsidR="002E6B58" w:rsidRPr="005861CC" w:rsidRDefault="002E6B58" w:rsidP="001F5BC7">
            <w:pPr>
              <w:pStyle w:val="ListParagraph"/>
              <w:ind w:left="0"/>
              <w:rPr>
                <w:rFonts w:ascii="Arial" w:hAnsi="Arial" w:cs="Arial"/>
                <w:b/>
                <w:bCs/>
              </w:rPr>
            </w:pPr>
            <w:r w:rsidRPr="005861CC">
              <w:rPr>
                <w:rFonts w:ascii="Arial" w:hAnsi="Arial" w:cs="Arial"/>
                <w:b/>
                <w:bCs/>
              </w:rPr>
              <w:t>Net premium revenue</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B4497F" w14:textId="77777777" w:rsidR="002E6B58" w:rsidRPr="00DE70C0" w:rsidRDefault="002E6B58" w:rsidP="001F5BC7">
            <w:pPr>
              <w:ind w:firstLineChars="100" w:firstLine="200"/>
              <w:jc w:val="center"/>
              <w:rPr>
                <w:rFonts w:ascii="Arial" w:hAnsi="Arial" w:cs="Arial"/>
                <w:bCs/>
              </w:rPr>
            </w:pPr>
          </w:p>
        </w:tc>
      </w:tr>
      <w:tr w:rsidR="002E6B58" w:rsidRPr="000612C5" w14:paraId="3B0C4F42" w14:textId="77777777" w:rsidTr="001F5BC7">
        <w:trPr>
          <w:trHeight w:val="315"/>
        </w:trPr>
        <w:tc>
          <w:tcPr>
            <w:tcW w:w="6663" w:type="dxa"/>
            <w:tcBorders>
              <w:top w:val="nil"/>
              <w:left w:val="nil"/>
              <w:bottom w:val="nil"/>
            </w:tcBorders>
            <w:shd w:val="clear" w:color="auto" w:fill="auto"/>
            <w:noWrap/>
            <w:vAlign w:val="bottom"/>
          </w:tcPr>
          <w:p w14:paraId="30E4AA69" w14:textId="77777777" w:rsidR="002E6B58" w:rsidRPr="00C02BC2" w:rsidRDefault="002E6B58" w:rsidP="001F5BC7">
            <w:pPr>
              <w:pStyle w:val="ListParagraph"/>
              <w:ind w:left="284"/>
              <w:rPr>
                <w:rFonts w:ascii="Arial" w:hAnsi="Arial" w:cs="Arial"/>
                <w:bCs/>
              </w:rPr>
            </w:pPr>
            <w:r w:rsidRPr="00C02BC2">
              <w:rPr>
                <w:rFonts w:ascii="Arial" w:hAnsi="Arial" w:cs="Arial"/>
                <w:bCs/>
              </w:rPr>
              <w:t>Claims expense:</w:t>
            </w:r>
          </w:p>
        </w:tc>
        <w:tc>
          <w:tcPr>
            <w:tcW w:w="2126" w:type="dxa"/>
            <w:tcBorders>
              <w:top w:val="single" w:sz="4" w:space="0" w:color="auto"/>
            </w:tcBorders>
            <w:shd w:val="clear" w:color="auto" w:fill="auto"/>
            <w:noWrap/>
            <w:vAlign w:val="bottom"/>
          </w:tcPr>
          <w:p w14:paraId="4F6A4600" w14:textId="77777777" w:rsidR="002E6B58" w:rsidRPr="00DE70C0" w:rsidRDefault="002E6B58" w:rsidP="001F5BC7">
            <w:pPr>
              <w:ind w:firstLineChars="100" w:firstLine="200"/>
              <w:jc w:val="center"/>
              <w:rPr>
                <w:rFonts w:ascii="Arial" w:hAnsi="Arial" w:cs="Arial"/>
              </w:rPr>
            </w:pPr>
          </w:p>
        </w:tc>
      </w:tr>
      <w:tr w:rsidR="002E6B58" w:rsidRPr="000612C5" w14:paraId="26429EE0" w14:textId="77777777" w:rsidTr="001F5BC7">
        <w:trPr>
          <w:trHeight w:val="315"/>
        </w:trPr>
        <w:tc>
          <w:tcPr>
            <w:tcW w:w="6663" w:type="dxa"/>
            <w:tcBorders>
              <w:top w:val="nil"/>
              <w:left w:val="nil"/>
              <w:bottom w:val="nil"/>
            </w:tcBorders>
            <w:shd w:val="clear" w:color="auto" w:fill="auto"/>
            <w:noWrap/>
            <w:vAlign w:val="bottom"/>
          </w:tcPr>
          <w:p w14:paraId="624967F9" w14:textId="77777777" w:rsidR="002E6B58" w:rsidRPr="005861CC" w:rsidRDefault="002E6B58" w:rsidP="001F5BC7">
            <w:pPr>
              <w:pStyle w:val="ListParagraph"/>
              <w:ind w:left="567"/>
              <w:rPr>
                <w:rFonts w:ascii="Arial" w:hAnsi="Arial" w:cs="Arial"/>
                <w:bCs/>
                <w:i/>
              </w:rPr>
            </w:pPr>
            <w:r w:rsidRPr="005861CC">
              <w:rPr>
                <w:rFonts w:ascii="Arial" w:hAnsi="Arial" w:cs="Arial"/>
                <w:bCs/>
                <w:i/>
              </w:rPr>
              <w:t>Associated with direct business:</w:t>
            </w:r>
          </w:p>
        </w:tc>
        <w:tc>
          <w:tcPr>
            <w:tcW w:w="2126" w:type="dxa"/>
            <w:tcBorders>
              <w:bottom w:val="single" w:sz="4" w:space="0" w:color="auto"/>
            </w:tcBorders>
            <w:shd w:val="clear" w:color="auto" w:fill="auto"/>
            <w:noWrap/>
            <w:vAlign w:val="bottom"/>
          </w:tcPr>
          <w:p w14:paraId="3526A2DC" w14:textId="77777777" w:rsidR="002E6B58" w:rsidRPr="00DE70C0" w:rsidRDefault="002E6B58" w:rsidP="001F5BC7">
            <w:pPr>
              <w:ind w:firstLineChars="100" w:firstLine="200"/>
              <w:jc w:val="center"/>
              <w:rPr>
                <w:rFonts w:ascii="Arial" w:hAnsi="Arial" w:cs="Arial"/>
              </w:rPr>
            </w:pPr>
          </w:p>
        </w:tc>
      </w:tr>
      <w:tr w:rsidR="002E6B58" w:rsidRPr="000612C5" w14:paraId="2A1E0B89"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4D5BFC1" w14:textId="77777777" w:rsidR="002E6B58" w:rsidRPr="00C02BC2" w:rsidRDefault="002E6B58" w:rsidP="001F5BC7">
            <w:pPr>
              <w:pStyle w:val="ListParagraph"/>
              <w:ind w:left="851"/>
              <w:rPr>
                <w:rFonts w:ascii="Arial" w:hAnsi="Arial" w:cs="Arial"/>
                <w:bCs/>
              </w:rPr>
            </w:pPr>
            <w:r w:rsidRPr="00C02BC2">
              <w:rPr>
                <w:rFonts w:ascii="Arial" w:hAnsi="Arial" w:cs="Arial"/>
                <w:bCs/>
              </w:rPr>
              <w:t>Paid claims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3AC8" w14:textId="77777777" w:rsidR="002E6B58" w:rsidRPr="00DE70C0" w:rsidRDefault="002E6B58" w:rsidP="001F5BC7">
            <w:pPr>
              <w:ind w:firstLineChars="100" w:firstLine="200"/>
              <w:jc w:val="center"/>
              <w:rPr>
                <w:rFonts w:ascii="Arial" w:hAnsi="Arial" w:cs="Arial"/>
              </w:rPr>
            </w:pPr>
          </w:p>
        </w:tc>
      </w:tr>
      <w:tr w:rsidR="002E6B58" w:rsidRPr="000612C5" w14:paraId="024223BA"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DAD4A6E" w14:textId="77777777" w:rsidR="002E6B58" w:rsidRPr="00C02BC2" w:rsidRDefault="002E6B58" w:rsidP="001F5BC7">
            <w:pPr>
              <w:pStyle w:val="ListParagraph"/>
              <w:ind w:left="851"/>
              <w:rPr>
                <w:rFonts w:ascii="Arial" w:hAnsi="Arial" w:cs="Arial"/>
                <w:bCs/>
              </w:rPr>
            </w:pPr>
            <w:r w:rsidRPr="00C02BC2">
              <w:rPr>
                <w:rFonts w:ascii="Arial" w:hAnsi="Arial" w:cs="Arial"/>
                <w:bCs/>
              </w:rPr>
              <w:t>Movement in OCL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D389F" w14:textId="77777777" w:rsidR="002E6B58" w:rsidRPr="00DE70C0" w:rsidRDefault="002E6B58" w:rsidP="001F5BC7">
            <w:pPr>
              <w:ind w:firstLineChars="100" w:firstLine="200"/>
              <w:jc w:val="center"/>
              <w:rPr>
                <w:rFonts w:ascii="Arial" w:hAnsi="Arial" w:cs="Arial"/>
              </w:rPr>
            </w:pPr>
          </w:p>
        </w:tc>
      </w:tr>
      <w:tr w:rsidR="002E6B58" w:rsidRPr="000612C5" w14:paraId="799BB01F" w14:textId="77777777" w:rsidTr="001F5BC7">
        <w:trPr>
          <w:trHeight w:val="315"/>
        </w:trPr>
        <w:tc>
          <w:tcPr>
            <w:tcW w:w="6663" w:type="dxa"/>
            <w:tcBorders>
              <w:top w:val="nil"/>
              <w:left w:val="nil"/>
              <w:bottom w:val="nil"/>
            </w:tcBorders>
            <w:shd w:val="clear" w:color="auto" w:fill="auto"/>
            <w:noWrap/>
            <w:vAlign w:val="bottom"/>
          </w:tcPr>
          <w:p w14:paraId="3E6142A1" w14:textId="77777777" w:rsidR="002E6B58" w:rsidRPr="005861CC" w:rsidRDefault="002E6B58" w:rsidP="001F5BC7">
            <w:pPr>
              <w:pStyle w:val="ListParagraph"/>
              <w:ind w:left="567"/>
              <w:rPr>
                <w:rFonts w:ascii="Arial" w:hAnsi="Arial" w:cs="Arial"/>
                <w:bCs/>
                <w:i/>
              </w:rPr>
            </w:pPr>
            <w:r w:rsidRPr="005861CC">
              <w:rPr>
                <w:rFonts w:ascii="Arial" w:hAnsi="Arial" w:cs="Arial"/>
                <w:bCs/>
                <w:i/>
              </w:rPr>
              <w:t>Associated with inwards reinsurance:</w:t>
            </w:r>
          </w:p>
        </w:tc>
        <w:tc>
          <w:tcPr>
            <w:tcW w:w="2126" w:type="dxa"/>
            <w:tcBorders>
              <w:top w:val="single" w:sz="4" w:space="0" w:color="auto"/>
              <w:bottom w:val="single" w:sz="4" w:space="0" w:color="auto"/>
            </w:tcBorders>
            <w:shd w:val="clear" w:color="auto" w:fill="auto"/>
            <w:noWrap/>
            <w:vAlign w:val="bottom"/>
          </w:tcPr>
          <w:p w14:paraId="3445ECD6" w14:textId="77777777" w:rsidR="002E6B58" w:rsidRPr="00DE70C0" w:rsidRDefault="002E6B58" w:rsidP="001F5BC7">
            <w:pPr>
              <w:ind w:firstLineChars="100" w:firstLine="200"/>
              <w:jc w:val="center"/>
              <w:rPr>
                <w:rFonts w:ascii="Arial" w:hAnsi="Arial" w:cs="Arial"/>
              </w:rPr>
            </w:pPr>
          </w:p>
        </w:tc>
      </w:tr>
      <w:tr w:rsidR="002E6B58" w:rsidRPr="000612C5" w14:paraId="64EEA0A0"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4C0820E" w14:textId="77777777" w:rsidR="002E6B58" w:rsidRPr="00C02BC2" w:rsidRDefault="002E6B58" w:rsidP="001F5BC7">
            <w:pPr>
              <w:pStyle w:val="ListParagraph"/>
              <w:ind w:left="851"/>
              <w:rPr>
                <w:rFonts w:ascii="Arial" w:hAnsi="Arial" w:cs="Arial"/>
                <w:bCs/>
              </w:rPr>
            </w:pPr>
            <w:r w:rsidRPr="00C02BC2">
              <w:rPr>
                <w:rFonts w:ascii="Arial" w:hAnsi="Arial" w:cs="Arial"/>
                <w:bCs/>
              </w:rPr>
              <w:t>Paid claims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A4966" w14:textId="77777777" w:rsidR="002E6B58" w:rsidRPr="00DE70C0" w:rsidRDefault="002E6B58" w:rsidP="001F5BC7">
            <w:pPr>
              <w:ind w:firstLineChars="100" w:firstLine="200"/>
              <w:jc w:val="center"/>
              <w:rPr>
                <w:rFonts w:ascii="Arial" w:hAnsi="Arial" w:cs="Arial"/>
              </w:rPr>
            </w:pPr>
          </w:p>
        </w:tc>
      </w:tr>
      <w:tr w:rsidR="002E6B58" w:rsidRPr="000612C5" w14:paraId="1FD6076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3194FA69" w14:textId="77777777" w:rsidR="002E6B58" w:rsidRPr="00C02BC2" w:rsidRDefault="002E6B58" w:rsidP="001F5BC7">
            <w:pPr>
              <w:pStyle w:val="ListParagraph"/>
              <w:ind w:left="851"/>
              <w:rPr>
                <w:rFonts w:ascii="Arial" w:hAnsi="Arial" w:cs="Arial"/>
                <w:bCs/>
              </w:rPr>
            </w:pPr>
            <w:r w:rsidRPr="00C02BC2">
              <w:rPr>
                <w:rFonts w:ascii="Arial" w:hAnsi="Arial" w:cs="Arial"/>
                <w:bCs/>
              </w:rPr>
              <w:t>Movement in OCL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5148" w14:textId="77777777" w:rsidR="002E6B58" w:rsidRPr="00DE70C0" w:rsidRDefault="002E6B58" w:rsidP="001F5BC7">
            <w:pPr>
              <w:ind w:firstLineChars="100" w:firstLine="200"/>
              <w:jc w:val="center"/>
              <w:rPr>
                <w:rFonts w:ascii="Arial" w:hAnsi="Arial" w:cs="Arial"/>
              </w:rPr>
            </w:pPr>
          </w:p>
        </w:tc>
      </w:tr>
      <w:tr w:rsidR="002E6B58" w:rsidRPr="000612C5" w14:paraId="02A7AEB5"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70E6E8DC" w14:textId="77777777" w:rsidR="002E6B58" w:rsidRPr="005861CC" w:rsidRDefault="002E6B58" w:rsidP="001F5BC7">
            <w:pPr>
              <w:pStyle w:val="ListParagraph"/>
              <w:ind w:left="0"/>
              <w:rPr>
                <w:rFonts w:ascii="Arial" w:hAnsi="Arial" w:cs="Arial"/>
                <w:b/>
                <w:bCs/>
              </w:rPr>
            </w:pPr>
            <w:r w:rsidRPr="005861CC">
              <w:rPr>
                <w:rFonts w:ascii="Arial" w:hAnsi="Arial" w:cs="Arial"/>
                <w:b/>
                <w:bCs/>
              </w:rPr>
              <w:t>Gross claims expense</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803615" w14:textId="77777777" w:rsidR="002E6B58" w:rsidRPr="00DE70C0" w:rsidRDefault="002E6B58" w:rsidP="001F5BC7">
            <w:pPr>
              <w:ind w:firstLineChars="100" w:firstLine="200"/>
              <w:jc w:val="center"/>
              <w:rPr>
                <w:rFonts w:ascii="Arial" w:hAnsi="Arial" w:cs="Arial"/>
                <w:bCs/>
              </w:rPr>
            </w:pPr>
          </w:p>
        </w:tc>
      </w:tr>
      <w:tr w:rsidR="002E6B58" w:rsidRPr="000612C5" w14:paraId="36F13496"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75E5F885" w14:textId="77777777" w:rsidR="002E6B58" w:rsidRPr="00C02BC2" w:rsidRDefault="002E6B58" w:rsidP="001F5BC7">
            <w:pPr>
              <w:pStyle w:val="ListParagraph"/>
              <w:ind w:left="0"/>
              <w:rPr>
                <w:rFonts w:ascii="Arial" w:hAnsi="Arial" w:cs="Arial"/>
                <w:bCs/>
              </w:rPr>
            </w:pPr>
            <w:r w:rsidRPr="00C02BC2">
              <w:rPr>
                <w:rFonts w:ascii="Arial" w:hAnsi="Arial" w:cs="Arial"/>
                <w:bCs/>
              </w:rPr>
              <w:t>Non-reinsurance recoveries revenue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BEAF3" w14:textId="77777777" w:rsidR="002E6B58" w:rsidRPr="00DE70C0" w:rsidRDefault="002E6B58" w:rsidP="001F5BC7">
            <w:pPr>
              <w:ind w:firstLineChars="100" w:firstLine="200"/>
              <w:jc w:val="center"/>
              <w:rPr>
                <w:rFonts w:ascii="Arial" w:hAnsi="Arial" w:cs="Arial"/>
              </w:rPr>
            </w:pPr>
          </w:p>
        </w:tc>
      </w:tr>
      <w:tr w:rsidR="002E6B58" w:rsidRPr="000612C5" w14:paraId="16A3BAB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E7B1CD5" w14:textId="77777777" w:rsidR="002E6B58" w:rsidRPr="00C02BC2" w:rsidRDefault="002E6B58" w:rsidP="001F5BC7">
            <w:pPr>
              <w:pStyle w:val="ListParagraph"/>
              <w:ind w:left="0"/>
              <w:rPr>
                <w:rFonts w:ascii="Arial" w:hAnsi="Arial" w:cs="Arial"/>
                <w:bCs/>
              </w:rPr>
            </w:pPr>
            <w:r w:rsidRPr="00C02BC2">
              <w:rPr>
                <w:rFonts w:ascii="Arial" w:hAnsi="Arial" w:cs="Arial"/>
                <w:bCs/>
              </w:rPr>
              <w:t>Reinsurance recoveries revenue relating to current and prior years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DF604" w14:textId="77777777" w:rsidR="002E6B58" w:rsidRPr="00DE70C0" w:rsidRDefault="002E6B58" w:rsidP="001F5BC7">
            <w:pPr>
              <w:ind w:firstLineChars="100" w:firstLine="200"/>
              <w:jc w:val="center"/>
              <w:rPr>
                <w:rFonts w:ascii="Arial" w:hAnsi="Arial" w:cs="Arial"/>
              </w:rPr>
            </w:pPr>
          </w:p>
        </w:tc>
      </w:tr>
      <w:tr w:rsidR="002E6B58" w:rsidRPr="000612C5" w14:paraId="66F99D0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223FC2D9" w14:textId="77777777" w:rsidR="002E6B58" w:rsidRPr="005861CC" w:rsidRDefault="002E6B58" w:rsidP="001F5BC7">
            <w:pPr>
              <w:pStyle w:val="ListParagraph"/>
              <w:ind w:left="0"/>
              <w:rPr>
                <w:rFonts w:ascii="Arial" w:hAnsi="Arial" w:cs="Arial"/>
                <w:b/>
                <w:bCs/>
              </w:rPr>
            </w:pPr>
            <w:r w:rsidRPr="005861CC">
              <w:rPr>
                <w:rFonts w:ascii="Arial" w:hAnsi="Arial" w:cs="Arial"/>
                <w:b/>
                <w:bCs/>
              </w:rPr>
              <w:t>Total recoveries</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22BEAD" w14:textId="77777777" w:rsidR="002E6B58" w:rsidRPr="00DE70C0" w:rsidRDefault="002E6B58" w:rsidP="001F5BC7">
            <w:pPr>
              <w:ind w:firstLineChars="100" w:firstLine="200"/>
              <w:jc w:val="center"/>
              <w:rPr>
                <w:rFonts w:ascii="Arial" w:hAnsi="Arial" w:cs="Arial"/>
                <w:bCs/>
              </w:rPr>
            </w:pPr>
          </w:p>
        </w:tc>
      </w:tr>
      <w:tr w:rsidR="002E6B58" w:rsidRPr="000612C5" w14:paraId="47E2F260"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10A1FDE" w14:textId="77777777" w:rsidR="002E6B58" w:rsidRPr="005861CC" w:rsidRDefault="002E6B58" w:rsidP="001F5BC7">
            <w:pPr>
              <w:pStyle w:val="ListParagraph"/>
              <w:ind w:left="0"/>
              <w:rPr>
                <w:rFonts w:ascii="Arial" w:hAnsi="Arial" w:cs="Arial"/>
                <w:b/>
                <w:bCs/>
              </w:rPr>
            </w:pPr>
            <w:r w:rsidRPr="005861CC">
              <w:rPr>
                <w:rFonts w:ascii="Arial" w:hAnsi="Arial" w:cs="Arial"/>
                <w:b/>
                <w:bCs/>
              </w:rPr>
              <w:t>Net claims expense</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75379A" w14:textId="77777777" w:rsidR="002E6B58" w:rsidRPr="00DE70C0" w:rsidRDefault="002E6B58" w:rsidP="001F5BC7">
            <w:pPr>
              <w:ind w:firstLineChars="100" w:firstLine="200"/>
              <w:jc w:val="center"/>
              <w:rPr>
                <w:rFonts w:ascii="Arial" w:hAnsi="Arial" w:cs="Arial"/>
                <w:bCs/>
              </w:rPr>
            </w:pPr>
          </w:p>
        </w:tc>
      </w:tr>
      <w:tr w:rsidR="002E6B58" w:rsidRPr="000612C5" w14:paraId="734BE97A"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8792823" w14:textId="77777777" w:rsidR="002E6B58" w:rsidRPr="005861CC" w:rsidRDefault="002E6B58" w:rsidP="001F5BC7">
            <w:pPr>
              <w:pStyle w:val="ListParagraph"/>
              <w:ind w:left="284"/>
              <w:rPr>
                <w:rFonts w:ascii="Arial" w:hAnsi="Arial" w:cs="Arial"/>
                <w:bCs/>
                <w:i/>
              </w:rPr>
            </w:pPr>
            <w:r w:rsidRPr="005861CC">
              <w:rPr>
                <w:rFonts w:ascii="Arial" w:hAnsi="Arial" w:cs="Arial"/>
                <w:bCs/>
                <w:i/>
              </w:rPr>
              <w:t>Net claims expense which is: Current period net claims expense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5A9B3" w14:textId="77777777" w:rsidR="002E6B58" w:rsidRPr="00DE70C0" w:rsidRDefault="002E6B58" w:rsidP="001F5BC7">
            <w:pPr>
              <w:ind w:firstLineChars="100" w:firstLine="200"/>
              <w:jc w:val="center"/>
              <w:rPr>
                <w:rFonts w:ascii="Arial" w:hAnsi="Arial" w:cs="Arial"/>
              </w:rPr>
            </w:pPr>
          </w:p>
        </w:tc>
      </w:tr>
      <w:tr w:rsidR="002E6B58" w:rsidRPr="000612C5" w14:paraId="34EF0784"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248E907" w14:textId="77777777" w:rsidR="002E6B58" w:rsidRPr="005861CC" w:rsidRDefault="002E6B58" w:rsidP="001F5BC7">
            <w:pPr>
              <w:pStyle w:val="ListParagraph"/>
              <w:ind w:left="284"/>
              <w:rPr>
                <w:rFonts w:ascii="Arial" w:hAnsi="Arial" w:cs="Arial"/>
                <w:bCs/>
                <w:i/>
              </w:rPr>
            </w:pPr>
            <w:r w:rsidRPr="005861CC">
              <w:rPr>
                <w:rFonts w:ascii="Arial" w:hAnsi="Arial" w:cs="Arial"/>
                <w:bCs/>
                <w:i/>
              </w:rPr>
              <w:t>Net claims expense which is: Non-recurring items that are part of total net claims expense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8731" w14:textId="77777777" w:rsidR="002E6B58" w:rsidRPr="00DE70C0" w:rsidRDefault="002E6B58" w:rsidP="001F5BC7">
            <w:pPr>
              <w:ind w:firstLineChars="100" w:firstLine="200"/>
              <w:jc w:val="center"/>
              <w:rPr>
                <w:rFonts w:ascii="Arial" w:hAnsi="Arial" w:cs="Arial"/>
              </w:rPr>
            </w:pPr>
          </w:p>
        </w:tc>
      </w:tr>
      <w:tr w:rsidR="002E6B58" w:rsidRPr="000612C5" w14:paraId="527DE357"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1002CF2" w14:textId="77777777" w:rsidR="002E6B58" w:rsidRPr="00C02BC2" w:rsidRDefault="002E6B58" w:rsidP="001F5BC7">
            <w:pPr>
              <w:pStyle w:val="ListParagraph"/>
              <w:ind w:left="0"/>
              <w:rPr>
                <w:rFonts w:ascii="Arial" w:hAnsi="Arial" w:cs="Arial"/>
                <w:bCs/>
              </w:rPr>
            </w:pPr>
            <w:r w:rsidRPr="00C02BC2">
              <w:rPr>
                <w:rFonts w:ascii="Arial" w:hAnsi="Arial" w:cs="Arial"/>
                <w:bCs/>
              </w:rPr>
              <w:t>Acquisition costs (excluding the results of the liability adequacy tests)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102A" w14:textId="77777777" w:rsidR="002E6B58" w:rsidRPr="00DE70C0" w:rsidRDefault="002E6B58" w:rsidP="001F5BC7">
            <w:pPr>
              <w:ind w:firstLineChars="100" w:firstLine="200"/>
              <w:jc w:val="center"/>
              <w:rPr>
                <w:rFonts w:ascii="Arial" w:hAnsi="Arial" w:cs="Arial"/>
              </w:rPr>
            </w:pPr>
          </w:p>
        </w:tc>
      </w:tr>
      <w:tr w:rsidR="002E6B58" w:rsidRPr="000612C5" w14:paraId="7C134D0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2875067" w14:textId="77777777" w:rsidR="002E6B58" w:rsidRPr="00C02BC2" w:rsidRDefault="002E6B58" w:rsidP="001F5BC7">
            <w:pPr>
              <w:pStyle w:val="ListParagraph"/>
              <w:ind w:left="0"/>
              <w:rPr>
                <w:rFonts w:ascii="Arial" w:hAnsi="Arial" w:cs="Arial"/>
                <w:bCs/>
              </w:rPr>
            </w:pPr>
            <w:r w:rsidRPr="00C02BC2">
              <w:rPr>
                <w:rFonts w:ascii="Arial" w:hAnsi="Arial" w:cs="Arial"/>
                <w:bCs/>
              </w:rPr>
              <w:t>Results of liability adequacy tests (current year)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46A6A" w14:textId="77777777" w:rsidR="002E6B58" w:rsidRPr="00DE70C0" w:rsidRDefault="002E6B58" w:rsidP="001F5BC7">
            <w:pPr>
              <w:ind w:firstLineChars="100" w:firstLine="200"/>
              <w:jc w:val="center"/>
              <w:rPr>
                <w:rFonts w:ascii="Arial" w:hAnsi="Arial" w:cs="Arial"/>
              </w:rPr>
            </w:pPr>
          </w:p>
        </w:tc>
      </w:tr>
      <w:tr w:rsidR="002E6B58" w:rsidRPr="000612C5" w14:paraId="611122D2"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B7F14A9" w14:textId="77777777" w:rsidR="002E6B58" w:rsidRPr="00C02BC2" w:rsidRDefault="002E6B58" w:rsidP="001F5BC7">
            <w:pPr>
              <w:pStyle w:val="ListParagraph"/>
              <w:ind w:left="0"/>
              <w:rPr>
                <w:rFonts w:ascii="Arial" w:hAnsi="Arial" w:cs="Arial"/>
                <w:bCs/>
              </w:rPr>
            </w:pPr>
            <w:r w:rsidRPr="00C02BC2">
              <w:rPr>
                <w:rFonts w:ascii="Arial" w:hAnsi="Arial" w:cs="Arial"/>
                <w:bCs/>
              </w:rPr>
              <w:t>Results of liability adequacy tests (prior years)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84879" w14:textId="77777777" w:rsidR="002E6B58" w:rsidRPr="00DE70C0" w:rsidRDefault="002E6B58" w:rsidP="001F5BC7">
            <w:pPr>
              <w:ind w:firstLineChars="100" w:firstLine="200"/>
              <w:jc w:val="center"/>
              <w:rPr>
                <w:rFonts w:ascii="Arial" w:hAnsi="Arial" w:cs="Arial"/>
              </w:rPr>
            </w:pPr>
          </w:p>
        </w:tc>
      </w:tr>
      <w:tr w:rsidR="002E6B58" w:rsidRPr="000612C5" w14:paraId="05BE3BF4"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971BC76" w14:textId="77777777" w:rsidR="002E6B58" w:rsidRPr="00C02BC2" w:rsidRDefault="002E6B58" w:rsidP="001F5BC7">
            <w:pPr>
              <w:pStyle w:val="ListParagraph"/>
              <w:ind w:left="0"/>
              <w:rPr>
                <w:rFonts w:ascii="Arial" w:hAnsi="Arial" w:cs="Arial"/>
                <w:bCs/>
              </w:rPr>
            </w:pPr>
            <w:r w:rsidRPr="00C02BC2">
              <w:rPr>
                <w:rFonts w:ascii="Arial" w:hAnsi="Arial" w:cs="Arial"/>
                <w:bCs/>
              </w:rPr>
              <w:t>Levies and charges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7E377" w14:textId="77777777" w:rsidR="002E6B58" w:rsidRPr="00DE70C0" w:rsidRDefault="002E6B58" w:rsidP="001F5BC7">
            <w:pPr>
              <w:ind w:firstLineChars="100" w:firstLine="200"/>
              <w:jc w:val="center"/>
              <w:rPr>
                <w:rFonts w:ascii="Arial" w:hAnsi="Arial" w:cs="Arial"/>
              </w:rPr>
            </w:pPr>
          </w:p>
        </w:tc>
      </w:tr>
      <w:tr w:rsidR="002E6B58" w:rsidRPr="000612C5" w14:paraId="7C83853B"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E0EAC72" w14:textId="77777777" w:rsidR="002E6B58" w:rsidRPr="00C02BC2" w:rsidRDefault="002E6B58" w:rsidP="001F5BC7">
            <w:pPr>
              <w:pStyle w:val="ListParagraph"/>
              <w:ind w:left="0"/>
              <w:rPr>
                <w:rFonts w:ascii="Arial" w:hAnsi="Arial" w:cs="Arial"/>
                <w:bCs/>
              </w:rPr>
            </w:pPr>
            <w:r w:rsidRPr="00C02BC2">
              <w:rPr>
                <w:rFonts w:ascii="Arial" w:hAnsi="Arial" w:cs="Arial"/>
                <w:bCs/>
              </w:rPr>
              <w:lastRenderedPageBreak/>
              <w:t>Commission revenue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A8315" w14:textId="77777777" w:rsidR="002E6B58" w:rsidRPr="00DE70C0" w:rsidRDefault="002E6B58" w:rsidP="001F5BC7">
            <w:pPr>
              <w:ind w:firstLineChars="100" w:firstLine="200"/>
              <w:jc w:val="center"/>
              <w:rPr>
                <w:rFonts w:ascii="Arial" w:hAnsi="Arial" w:cs="Arial"/>
              </w:rPr>
            </w:pPr>
          </w:p>
        </w:tc>
      </w:tr>
      <w:tr w:rsidR="002E6B58" w:rsidRPr="000612C5" w14:paraId="40A4DD4F"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C9B2902" w14:textId="77777777" w:rsidR="002E6B58" w:rsidRPr="00C02BC2" w:rsidRDefault="002E6B58" w:rsidP="001F5BC7">
            <w:pPr>
              <w:pStyle w:val="ListParagraph"/>
              <w:ind w:left="0"/>
              <w:rPr>
                <w:rFonts w:ascii="Arial" w:hAnsi="Arial" w:cs="Arial"/>
                <w:bCs/>
              </w:rPr>
            </w:pPr>
            <w:r w:rsidRPr="00C02BC2">
              <w:rPr>
                <w:rFonts w:ascii="Arial" w:hAnsi="Arial" w:cs="Arial"/>
                <w:bCs/>
              </w:rPr>
              <w:t>Commission expense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1263D" w14:textId="77777777" w:rsidR="002E6B58" w:rsidRPr="00DE70C0" w:rsidRDefault="002E6B58" w:rsidP="001F5BC7">
            <w:pPr>
              <w:ind w:firstLineChars="100" w:firstLine="200"/>
              <w:jc w:val="center"/>
              <w:rPr>
                <w:rFonts w:ascii="Arial" w:hAnsi="Arial" w:cs="Arial"/>
              </w:rPr>
            </w:pPr>
          </w:p>
        </w:tc>
      </w:tr>
      <w:tr w:rsidR="002E6B58" w:rsidRPr="000612C5" w14:paraId="76A19670"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FCAEFCD" w14:textId="77777777" w:rsidR="002E6B58" w:rsidRPr="00C02BC2" w:rsidRDefault="002E6B58" w:rsidP="001F5BC7">
            <w:pPr>
              <w:pStyle w:val="ListParagraph"/>
              <w:ind w:left="0"/>
              <w:rPr>
                <w:rFonts w:ascii="Arial" w:hAnsi="Arial" w:cs="Arial"/>
                <w:bCs/>
              </w:rPr>
            </w:pPr>
            <w:r w:rsidRPr="00C02BC2">
              <w:rPr>
                <w:rFonts w:ascii="Arial" w:hAnsi="Arial" w:cs="Arial"/>
                <w:bCs/>
              </w:rPr>
              <w:t>Other underwriting expenses</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5E459D" w14:textId="77777777" w:rsidR="002E6B58" w:rsidRPr="00DE70C0" w:rsidRDefault="002E6B58" w:rsidP="001F5BC7">
            <w:pPr>
              <w:ind w:firstLineChars="100" w:firstLine="200"/>
              <w:jc w:val="center"/>
              <w:rPr>
                <w:rFonts w:ascii="Arial" w:hAnsi="Arial" w:cs="Arial"/>
                <w:bCs/>
              </w:rPr>
            </w:pPr>
          </w:p>
        </w:tc>
      </w:tr>
      <w:tr w:rsidR="002E6B58" w:rsidRPr="000612C5" w14:paraId="5BADA1AF"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30153103" w14:textId="77777777" w:rsidR="002E6B58" w:rsidRPr="005861CC" w:rsidRDefault="002E6B58" w:rsidP="001F5BC7">
            <w:pPr>
              <w:pStyle w:val="ListParagraph"/>
              <w:ind w:left="0"/>
              <w:rPr>
                <w:rFonts w:ascii="Arial" w:hAnsi="Arial" w:cs="Arial"/>
                <w:b/>
                <w:bCs/>
              </w:rPr>
            </w:pPr>
            <w:r w:rsidRPr="005861CC">
              <w:rPr>
                <w:rFonts w:ascii="Arial" w:hAnsi="Arial" w:cs="Arial"/>
                <w:b/>
                <w:bCs/>
              </w:rPr>
              <w:t>Total underwriting expenses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61057" w14:textId="77777777" w:rsidR="002E6B58" w:rsidRPr="00DE70C0" w:rsidRDefault="002E6B58" w:rsidP="001F5BC7">
            <w:pPr>
              <w:ind w:firstLineChars="100" w:firstLine="200"/>
              <w:jc w:val="center"/>
              <w:rPr>
                <w:rFonts w:ascii="Arial" w:hAnsi="Arial" w:cs="Arial"/>
              </w:rPr>
            </w:pPr>
          </w:p>
        </w:tc>
      </w:tr>
      <w:tr w:rsidR="002E6B58" w:rsidRPr="000612C5" w14:paraId="06128CC6"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2F20ACBD" w14:textId="77777777" w:rsidR="002E6B58" w:rsidRPr="005861CC" w:rsidRDefault="002E6B58" w:rsidP="001F5BC7">
            <w:pPr>
              <w:pStyle w:val="ListParagraph"/>
              <w:ind w:left="0"/>
              <w:rPr>
                <w:rFonts w:ascii="Arial" w:hAnsi="Arial" w:cs="Arial"/>
                <w:b/>
                <w:bCs/>
              </w:rPr>
            </w:pPr>
            <w:r w:rsidRPr="005861CC">
              <w:rPr>
                <w:rFonts w:ascii="Arial" w:hAnsi="Arial" w:cs="Arial"/>
                <w:b/>
                <w:bCs/>
              </w:rPr>
              <w:t>Underwriting result</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F934C" w14:textId="77777777" w:rsidR="002E6B58" w:rsidRPr="00DE70C0" w:rsidRDefault="002E6B58" w:rsidP="001F5BC7">
            <w:pPr>
              <w:ind w:firstLineChars="100" w:firstLine="200"/>
              <w:jc w:val="center"/>
              <w:rPr>
                <w:rFonts w:ascii="Arial" w:hAnsi="Arial" w:cs="Arial"/>
                <w:bCs/>
              </w:rPr>
            </w:pPr>
          </w:p>
        </w:tc>
      </w:tr>
      <w:tr w:rsidR="002E6B58" w:rsidRPr="000612C5" w14:paraId="619A49C5"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0AF4A52" w14:textId="77777777" w:rsidR="002E6B58" w:rsidRPr="00C02BC2" w:rsidRDefault="002E6B58" w:rsidP="001F5BC7">
            <w:pPr>
              <w:pStyle w:val="ListParagraph"/>
              <w:ind w:left="0"/>
              <w:rPr>
                <w:rFonts w:ascii="Arial" w:hAnsi="Arial" w:cs="Arial"/>
                <w:bCs/>
              </w:rPr>
            </w:pPr>
            <w:r w:rsidRPr="00C02BC2">
              <w:rPr>
                <w:rFonts w:ascii="Arial" w:hAnsi="Arial" w:cs="Arial"/>
                <w:bCs/>
              </w:rPr>
              <w:t>Investment income on assets backing insurance liabilities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2DCB8" w14:textId="77777777" w:rsidR="002E6B58" w:rsidRPr="00DE70C0" w:rsidRDefault="002E6B58" w:rsidP="001F5BC7">
            <w:pPr>
              <w:ind w:firstLineChars="100" w:firstLine="200"/>
              <w:jc w:val="center"/>
              <w:rPr>
                <w:rFonts w:ascii="Arial" w:hAnsi="Arial" w:cs="Arial"/>
              </w:rPr>
            </w:pPr>
          </w:p>
        </w:tc>
      </w:tr>
      <w:tr w:rsidR="002E6B58" w:rsidRPr="000612C5" w14:paraId="0F6456D2"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770CFCFB" w14:textId="77777777" w:rsidR="002E6B58" w:rsidRPr="00C02BC2" w:rsidRDefault="002E6B58" w:rsidP="001F5BC7">
            <w:pPr>
              <w:pStyle w:val="ListParagraph"/>
              <w:ind w:left="0"/>
              <w:rPr>
                <w:rFonts w:ascii="Arial" w:hAnsi="Arial" w:cs="Arial"/>
                <w:bCs/>
              </w:rPr>
            </w:pPr>
            <w:r w:rsidRPr="00C02BC2">
              <w:rPr>
                <w:rFonts w:ascii="Arial" w:hAnsi="Arial" w:cs="Arial"/>
                <w:bCs/>
              </w:rPr>
              <w:t>Investment expenses on assets backing insurance liabilities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21109" w14:textId="77777777" w:rsidR="002E6B58" w:rsidRPr="00DE70C0" w:rsidRDefault="002E6B58" w:rsidP="001F5BC7">
            <w:pPr>
              <w:ind w:firstLineChars="100" w:firstLine="200"/>
              <w:jc w:val="center"/>
              <w:rPr>
                <w:rFonts w:ascii="Arial" w:hAnsi="Arial" w:cs="Arial"/>
              </w:rPr>
            </w:pPr>
          </w:p>
        </w:tc>
      </w:tr>
      <w:tr w:rsidR="002E6B58" w:rsidRPr="000612C5" w14:paraId="7C562300"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76373E2" w14:textId="77777777" w:rsidR="002E6B58" w:rsidRPr="005861CC" w:rsidRDefault="002E6B58" w:rsidP="001F5BC7">
            <w:pPr>
              <w:pStyle w:val="ListParagraph"/>
              <w:ind w:left="0"/>
              <w:rPr>
                <w:rFonts w:ascii="Arial" w:hAnsi="Arial" w:cs="Arial"/>
                <w:b/>
                <w:bCs/>
              </w:rPr>
            </w:pPr>
            <w:r w:rsidRPr="005861CC">
              <w:rPr>
                <w:rFonts w:ascii="Arial" w:hAnsi="Arial" w:cs="Arial"/>
                <w:b/>
                <w:bCs/>
              </w:rPr>
              <w:t>Insurance result</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61646A" w14:textId="77777777" w:rsidR="002E6B58" w:rsidRPr="00DE70C0" w:rsidRDefault="002E6B58" w:rsidP="001F5BC7">
            <w:pPr>
              <w:ind w:firstLineChars="100" w:firstLine="200"/>
              <w:jc w:val="center"/>
              <w:rPr>
                <w:rFonts w:ascii="Arial" w:hAnsi="Arial" w:cs="Arial"/>
                <w:bCs/>
              </w:rPr>
            </w:pPr>
          </w:p>
        </w:tc>
      </w:tr>
      <w:tr w:rsidR="002E6B58" w:rsidRPr="000612C5" w14:paraId="5B38F7B2"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F89B7CE" w14:textId="77777777" w:rsidR="002E6B58" w:rsidRPr="00C02BC2" w:rsidRDefault="002E6B58" w:rsidP="001F5BC7">
            <w:pPr>
              <w:pStyle w:val="ListParagraph"/>
              <w:ind w:left="0"/>
              <w:rPr>
                <w:rFonts w:ascii="Arial" w:hAnsi="Arial" w:cs="Arial"/>
                <w:bCs/>
              </w:rPr>
            </w:pPr>
            <w:r w:rsidRPr="00C02BC2">
              <w:rPr>
                <w:rFonts w:ascii="Arial" w:hAnsi="Arial" w:cs="Arial"/>
                <w:bCs/>
              </w:rPr>
              <w:t>Investment income on shareholders' funds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D169B" w14:textId="77777777" w:rsidR="002E6B58" w:rsidRPr="00DE70C0" w:rsidRDefault="002E6B58" w:rsidP="001F5BC7">
            <w:pPr>
              <w:ind w:firstLineChars="100" w:firstLine="200"/>
              <w:jc w:val="center"/>
              <w:rPr>
                <w:rFonts w:ascii="Arial" w:hAnsi="Arial" w:cs="Arial"/>
              </w:rPr>
            </w:pPr>
          </w:p>
        </w:tc>
      </w:tr>
      <w:tr w:rsidR="002E6B58" w:rsidRPr="000612C5" w14:paraId="658FAEC4"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33835B21" w14:textId="77777777" w:rsidR="002E6B58" w:rsidRPr="00C02BC2" w:rsidRDefault="002E6B58" w:rsidP="001F5BC7">
            <w:pPr>
              <w:pStyle w:val="ListParagraph"/>
              <w:ind w:left="0"/>
              <w:rPr>
                <w:rFonts w:ascii="Arial" w:hAnsi="Arial" w:cs="Arial"/>
                <w:bCs/>
              </w:rPr>
            </w:pPr>
            <w:r w:rsidRPr="00C02BC2">
              <w:rPr>
                <w:rFonts w:ascii="Arial" w:hAnsi="Arial" w:cs="Arial"/>
                <w:bCs/>
              </w:rPr>
              <w:t>Other operating income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BD74E" w14:textId="77777777" w:rsidR="002E6B58" w:rsidRPr="00DE70C0" w:rsidRDefault="002E6B58" w:rsidP="001F5BC7">
            <w:pPr>
              <w:ind w:firstLineChars="100" w:firstLine="200"/>
              <w:jc w:val="center"/>
              <w:rPr>
                <w:rFonts w:ascii="Arial" w:hAnsi="Arial" w:cs="Arial"/>
              </w:rPr>
            </w:pPr>
          </w:p>
        </w:tc>
      </w:tr>
      <w:tr w:rsidR="002E6B58" w:rsidRPr="000612C5" w14:paraId="7145B76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4307077" w14:textId="77777777" w:rsidR="002E6B58" w:rsidRPr="00C02BC2" w:rsidRDefault="002E6B58" w:rsidP="001F5BC7">
            <w:pPr>
              <w:pStyle w:val="ListParagraph"/>
              <w:ind w:left="0"/>
              <w:rPr>
                <w:rFonts w:ascii="Arial" w:hAnsi="Arial" w:cs="Arial"/>
                <w:bCs/>
              </w:rPr>
            </w:pPr>
            <w:r w:rsidRPr="00C02BC2">
              <w:rPr>
                <w:rFonts w:ascii="Arial" w:hAnsi="Arial" w:cs="Arial"/>
                <w:bCs/>
              </w:rPr>
              <w:t>Other operating expenses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6836" w14:textId="77777777" w:rsidR="002E6B58" w:rsidRPr="00DE70C0" w:rsidRDefault="002E6B58" w:rsidP="001F5BC7">
            <w:pPr>
              <w:ind w:firstLineChars="100" w:firstLine="200"/>
              <w:jc w:val="center"/>
              <w:rPr>
                <w:rFonts w:ascii="Arial" w:hAnsi="Arial" w:cs="Arial"/>
              </w:rPr>
            </w:pPr>
          </w:p>
        </w:tc>
      </w:tr>
      <w:tr w:rsidR="002E6B58" w:rsidRPr="000612C5" w14:paraId="03D2AD49"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A9AF2AC" w14:textId="77777777" w:rsidR="002E6B58" w:rsidRPr="00C02BC2" w:rsidRDefault="002E6B58" w:rsidP="001F5BC7">
            <w:pPr>
              <w:pStyle w:val="ListParagraph"/>
              <w:ind w:left="0"/>
              <w:rPr>
                <w:rFonts w:ascii="Arial" w:hAnsi="Arial" w:cs="Arial"/>
                <w:bCs/>
              </w:rPr>
            </w:pPr>
            <w:r w:rsidRPr="00C02BC2">
              <w:rPr>
                <w:rFonts w:ascii="Arial" w:hAnsi="Arial" w:cs="Arial"/>
                <w:bCs/>
              </w:rPr>
              <w:t>Bargain purchase immediately recognised in profit or loss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C5FC4" w14:textId="77777777" w:rsidR="002E6B58" w:rsidRPr="00DE70C0" w:rsidRDefault="002E6B58" w:rsidP="001F5BC7">
            <w:pPr>
              <w:ind w:firstLineChars="100" w:firstLine="200"/>
              <w:jc w:val="center"/>
              <w:rPr>
                <w:rFonts w:ascii="Arial" w:hAnsi="Arial" w:cs="Arial"/>
              </w:rPr>
            </w:pPr>
          </w:p>
        </w:tc>
      </w:tr>
      <w:tr w:rsidR="002E6B58" w:rsidRPr="000612C5" w14:paraId="038AC7E0"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44E7D25" w14:textId="77777777" w:rsidR="002E6B58" w:rsidRPr="00C02BC2" w:rsidRDefault="002E6B58" w:rsidP="001F5BC7">
            <w:pPr>
              <w:pStyle w:val="ListParagraph"/>
              <w:ind w:left="0"/>
              <w:rPr>
                <w:rFonts w:ascii="Arial" w:hAnsi="Arial" w:cs="Arial"/>
                <w:bCs/>
              </w:rPr>
            </w:pPr>
            <w:r w:rsidRPr="00C02BC2">
              <w:rPr>
                <w:rFonts w:ascii="Arial" w:hAnsi="Arial" w:cs="Arial"/>
                <w:bCs/>
              </w:rPr>
              <w:t>Profit (loss) from non-cur</w:t>
            </w:r>
            <w:r>
              <w:rPr>
                <w:rFonts w:ascii="Arial" w:hAnsi="Arial" w:cs="Arial"/>
                <w:bCs/>
              </w:rPr>
              <w:t xml:space="preserve">rent assets and disposal groups </w:t>
            </w:r>
            <w:r w:rsidRPr="00C02BC2">
              <w:rPr>
                <w:rFonts w:ascii="Arial" w:hAnsi="Arial" w:cs="Arial"/>
                <w:bCs/>
              </w:rPr>
              <w:t>classified as held for sale and not qualifying as discontinued operations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3D40E" w14:textId="77777777" w:rsidR="002E6B58" w:rsidRPr="00DE70C0" w:rsidRDefault="002E6B58" w:rsidP="001F5BC7">
            <w:pPr>
              <w:ind w:firstLineChars="100" w:firstLine="200"/>
              <w:jc w:val="center"/>
              <w:rPr>
                <w:rFonts w:ascii="Arial" w:hAnsi="Arial" w:cs="Arial"/>
              </w:rPr>
            </w:pPr>
          </w:p>
        </w:tc>
      </w:tr>
      <w:tr w:rsidR="002E6B58" w:rsidRPr="000612C5" w14:paraId="02EF76F9"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7E2284FC" w14:textId="77777777" w:rsidR="002E6B58" w:rsidRPr="005861CC" w:rsidRDefault="002E6B58" w:rsidP="001F5BC7">
            <w:pPr>
              <w:pStyle w:val="ListParagraph"/>
              <w:ind w:left="0"/>
              <w:rPr>
                <w:rFonts w:ascii="Arial" w:hAnsi="Arial" w:cs="Arial"/>
                <w:b/>
                <w:bCs/>
              </w:rPr>
            </w:pPr>
            <w:r w:rsidRPr="005861CC">
              <w:rPr>
                <w:rFonts w:ascii="Arial" w:hAnsi="Arial" w:cs="Arial"/>
                <w:b/>
                <w:bCs/>
              </w:rPr>
              <w:t>Profit (loss) from continuing operations before income tax expense (benefit)</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54A29F" w14:textId="77777777" w:rsidR="002E6B58" w:rsidRPr="00DE70C0" w:rsidRDefault="002E6B58" w:rsidP="001F5BC7">
            <w:pPr>
              <w:ind w:firstLineChars="100" w:firstLine="200"/>
              <w:jc w:val="center"/>
              <w:rPr>
                <w:rFonts w:ascii="Arial" w:hAnsi="Arial" w:cs="Arial"/>
                <w:bCs/>
              </w:rPr>
            </w:pPr>
          </w:p>
        </w:tc>
      </w:tr>
      <w:tr w:rsidR="002E6B58" w:rsidRPr="000612C5" w14:paraId="268BBB99"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37B3CD54" w14:textId="77777777" w:rsidR="002E6B58" w:rsidRPr="00C02BC2" w:rsidRDefault="002E6B58" w:rsidP="001F5BC7">
            <w:pPr>
              <w:pStyle w:val="ListParagraph"/>
              <w:ind w:left="0"/>
              <w:rPr>
                <w:rFonts w:ascii="Arial" w:hAnsi="Arial" w:cs="Arial"/>
                <w:bCs/>
              </w:rPr>
            </w:pPr>
            <w:r w:rsidRPr="00C02BC2">
              <w:rPr>
                <w:rFonts w:ascii="Arial" w:hAnsi="Arial" w:cs="Arial"/>
                <w:bCs/>
              </w:rPr>
              <w:t>Income tax expense (benefit) from continuing operations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8E311" w14:textId="77777777" w:rsidR="002E6B58" w:rsidRPr="00DE70C0" w:rsidRDefault="002E6B58" w:rsidP="001F5BC7">
            <w:pPr>
              <w:ind w:firstLineChars="100" w:firstLine="200"/>
              <w:jc w:val="center"/>
              <w:rPr>
                <w:rFonts w:ascii="Arial" w:hAnsi="Arial" w:cs="Arial"/>
              </w:rPr>
            </w:pPr>
          </w:p>
        </w:tc>
      </w:tr>
      <w:tr w:rsidR="002E6B58" w:rsidRPr="000612C5" w14:paraId="76EBF23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9A8ADCE" w14:textId="77777777" w:rsidR="002E6B58" w:rsidRPr="005861CC" w:rsidRDefault="002E6B58" w:rsidP="001F5BC7">
            <w:pPr>
              <w:pStyle w:val="ListParagraph"/>
              <w:ind w:left="0"/>
              <w:rPr>
                <w:rFonts w:ascii="Arial" w:hAnsi="Arial" w:cs="Arial"/>
                <w:b/>
                <w:bCs/>
              </w:rPr>
            </w:pPr>
            <w:r w:rsidRPr="005861CC">
              <w:rPr>
                <w:rFonts w:ascii="Arial" w:hAnsi="Arial" w:cs="Arial"/>
                <w:b/>
                <w:bCs/>
              </w:rPr>
              <w:t>Profit (loss) from continuing operations after income tax</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208DC8" w14:textId="77777777" w:rsidR="002E6B58" w:rsidRPr="00DE70C0" w:rsidRDefault="002E6B58" w:rsidP="001F5BC7">
            <w:pPr>
              <w:ind w:firstLineChars="100" w:firstLine="200"/>
              <w:jc w:val="center"/>
              <w:rPr>
                <w:rFonts w:ascii="Arial" w:hAnsi="Arial" w:cs="Arial"/>
                <w:bCs/>
              </w:rPr>
            </w:pPr>
          </w:p>
        </w:tc>
      </w:tr>
      <w:tr w:rsidR="002E6B58" w:rsidRPr="000612C5" w14:paraId="27FEF89F"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4B92464" w14:textId="77777777" w:rsidR="002E6B58" w:rsidRPr="00C02BC2" w:rsidRDefault="002E6B58" w:rsidP="001F5BC7">
            <w:pPr>
              <w:pStyle w:val="ListParagraph"/>
              <w:ind w:left="0"/>
              <w:rPr>
                <w:rFonts w:ascii="Arial" w:hAnsi="Arial" w:cs="Arial"/>
                <w:bCs/>
              </w:rPr>
            </w:pPr>
            <w:r w:rsidRPr="00C02BC2">
              <w:rPr>
                <w:rFonts w:ascii="Arial" w:hAnsi="Arial" w:cs="Arial"/>
                <w:bCs/>
              </w:rPr>
              <w:t>Profit (loss) from discontinued operations after income tax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5F182" w14:textId="77777777" w:rsidR="002E6B58" w:rsidRPr="00DE70C0" w:rsidRDefault="002E6B58" w:rsidP="001F5BC7">
            <w:pPr>
              <w:ind w:firstLineChars="100" w:firstLine="200"/>
              <w:jc w:val="center"/>
              <w:rPr>
                <w:rFonts w:ascii="Arial" w:hAnsi="Arial" w:cs="Arial"/>
              </w:rPr>
            </w:pPr>
          </w:p>
        </w:tc>
      </w:tr>
      <w:tr w:rsidR="002E6B58" w:rsidRPr="000612C5" w14:paraId="3F823B1D"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7B94B0EB" w14:textId="77777777" w:rsidR="002E6B58" w:rsidRPr="005861CC" w:rsidRDefault="002E6B58" w:rsidP="001F5BC7">
            <w:pPr>
              <w:pStyle w:val="ListParagraph"/>
              <w:ind w:left="0"/>
              <w:rPr>
                <w:rFonts w:ascii="Arial" w:hAnsi="Arial" w:cs="Arial"/>
                <w:b/>
                <w:bCs/>
              </w:rPr>
            </w:pPr>
            <w:r w:rsidRPr="005861CC">
              <w:rPr>
                <w:rFonts w:ascii="Arial" w:hAnsi="Arial" w:cs="Arial"/>
                <w:b/>
                <w:bCs/>
              </w:rPr>
              <w:t>Net profit (loss) after income tax attributable to members of the company</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541A50" w14:textId="77777777" w:rsidR="002E6B58" w:rsidRPr="00DE70C0" w:rsidRDefault="002E6B58" w:rsidP="001F5BC7">
            <w:pPr>
              <w:ind w:firstLineChars="100" w:firstLine="200"/>
              <w:jc w:val="center"/>
              <w:rPr>
                <w:rFonts w:ascii="Arial" w:hAnsi="Arial" w:cs="Arial"/>
                <w:bCs/>
              </w:rPr>
            </w:pPr>
          </w:p>
        </w:tc>
      </w:tr>
      <w:tr w:rsidR="002E6B58" w:rsidRPr="000612C5" w14:paraId="68387ACE" w14:textId="77777777" w:rsidTr="001F5BC7">
        <w:trPr>
          <w:trHeight w:val="315"/>
        </w:trPr>
        <w:tc>
          <w:tcPr>
            <w:tcW w:w="6663" w:type="dxa"/>
            <w:tcBorders>
              <w:top w:val="nil"/>
              <w:left w:val="nil"/>
              <w:bottom w:val="nil"/>
            </w:tcBorders>
            <w:shd w:val="clear" w:color="auto" w:fill="auto"/>
            <w:noWrap/>
            <w:vAlign w:val="bottom"/>
          </w:tcPr>
          <w:p w14:paraId="0222AF64" w14:textId="77777777" w:rsidR="002E6B58" w:rsidRPr="00C02BC2" w:rsidRDefault="002E6B58" w:rsidP="001F5BC7">
            <w:pPr>
              <w:pStyle w:val="ListParagraph"/>
              <w:ind w:left="0"/>
              <w:rPr>
                <w:rFonts w:ascii="Arial" w:hAnsi="Arial" w:cs="Arial"/>
                <w:bCs/>
              </w:rPr>
            </w:pPr>
          </w:p>
        </w:tc>
        <w:tc>
          <w:tcPr>
            <w:tcW w:w="2126" w:type="dxa"/>
            <w:tcBorders>
              <w:top w:val="single" w:sz="4" w:space="0" w:color="auto"/>
            </w:tcBorders>
            <w:shd w:val="clear" w:color="auto" w:fill="auto"/>
            <w:noWrap/>
            <w:vAlign w:val="bottom"/>
          </w:tcPr>
          <w:p w14:paraId="07AF395E" w14:textId="77777777" w:rsidR="002E6B58" w:rsidRPr="00DE70C0" w:rsidRDefault="002E6B58" w:rsidP="001F5BC7">
            <w:pPr>
              <w:jc w:val="center"/>
              <w:rPr>
                <w:rFonts w:ascii="Arial" w:hAnsi="Arial" w:cs="Arial"/>
              </w:rPr>
            </w:pPr>
          </w:p>
        </w:tc>
      </w:tr>
      <w:tr w:rsidR="002E6B58" w:rsidRPr="000612C5" w14:paraId="6887D5A1" w14:textId="77777777" w:rsidTr="001F5BC7">
        <w:trPr>
          <w:trHeight w:val="315"/>
        </w:trPr>
        <w:tc>
          <w:tcPr>
            <w:tcW w:w="6663" w:type="dxa"/>
            <w:tcBorders>
              <w:top w:val="nil"/>
              <w:left w:val="nil"/>
              <w:bottom w:val="nil"/>
            </w:tcBorders>
            <w:shd w:val="clear" w:color="auto" w:fill="auto"/>
            <w:noWrap/>
            <w:vAlign w:val="bottom"/>
          </w:tcPr>
          <w:p w14:paraId="59CC0F63" w14:textId="77777777" w:rsidR="002E6B58" w:rsidRPr="005861CC" w:rsidRDefault="002E6B58" w:rsidP="001F5BC7">
            <w:pPr>
              <w:pStyle w:val="ListParagraph"/>
              <w:ind w:left="0"/>
              <w:rPr>
                <w:rFonts w:ascii="Arial" w:hAnsi="Arial" w:cs="Arial"/>
                <w:b/>
                <w:bCs/>
              </w:rPr>
            </w:pPr>
            <w:r w:rsidRPr="005861CC">
              <w:rPr>
                <w:rFonts w:ascii="Arial" w:hAnsi="Arial" w:cs="Arial"/>
                <w:b/>
                <w:bCs/>
              </w:rPr>
              <w:t>Opening / closing balance of retained earnings (</w:t>
            </w:r>
            <w:proofErr w:type="spellStart"/>
            <w:r w:rsidRPr="005861CC">
              <w:rPr>
                <w:rFonts w:ascii="Arial" w:hAnsi="Arial" w:cs="Arial"/>
                <w:b/>
                <w:bCs/>
              </w:rPr>
              <w:t>non Category</w:t>
            </w:r>
            <w:proofErr w:type="spellEnd"/>
            <w:r w:rsidRPr="005861CC">
              <w:rPr>
                <w:rFonts w:ascii="Arial" w:hAnsi="Arial" w:cs="Arial"/>
                <w:b/>
                <w:bCs/>
              </w:rPr>
              <w:t xml:space="preserve"> C insurers only)</w:t>
            </w:r>
          </w:p>
        </w:tc>
        <w:tc>
          <w:tcPr>
            <w:tcW w:w="2126" w:type="dxa"/>
            <w:tcBorders>
              <w:bottom w:val="single" w:sz="4" w:space="0" w:color="auto"/>
            </w:tcBorders>
            <w:shd w:val="clear" w:color="auto" w:fill="auto"/>
            <w:noWrap/>
            <w:vAlign w:val="bottom"/>
          </w:tcPr>
          <w:p w14:paraId="04771C5D" w14:textId="77777777" w:rsidR="002E6B58" w:rsidRPr="00DE70C0" w:rsidRDefault="002E6B58" w:rsidP="001F5BC7">
            <w:pPr>
              <w:jc w:val="center"/>
              <w:rPr>
                <w:rFonts w:ascii="Arial" w:hAnsi="Arial" w:cs="Arial"/>
              </w:rPr>
            </w:pPr>
          </w:p>
        </w:tc>
      </w:tr>
      <w:tr w:rsidR="002E6B58" w:rsidRPr="000612C5" w14:paraId="0B504126"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3E1B6405" w14:textId="77777777" w:rsidR="002E6B58" w:rsidRPr="00C02BC2" w:rsidRDefault="002E6B58" w:rsidP="001F5BC7">
            <w:pPr>
              <w:pStyle w:val="ListParagraph"/>
              <w:ind w:left="0"/>
              <w:rPr>
                <w:rFonts w:ascii="Arial" w:hAnsi="Arial" w:cs="Arial"/>
                <w:bCs/>
              </w:rPr>
            </w:pPr>
            <w:r w:rsidRPr="00C02BC2">
              <w:rPr>
                <w:rFonts w:ascii="Arial" w:hAnsi="Arial" w:cs="Arial"/>
                <w:bCs/>
              </w:rPr>
              <w:t>Retained earnings at the beginning of the financial year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8E830" w14:textId="77777777" w:rsidR="002E6B58" w:rsidRPr="00DE70C0" w:rsidRDefault="002E6B58" w:rsidP="001F5BC7">
            <w:pPr>
              <w:ind w:firstLineChars="100" w:firstLine="200"/>
              <w:jc w:val="center"/>
              <w:rPr>
                <w:rFonts w:ascii="Arial" w:hAnsi="Arial" w:cs="Arial"/>
              </w:rPr>
            </w:pPr>
          </w:p>
        </w:tc>
      </w:tr>
      <w:tr w:rsidR="002E6B58" w:rsidRPr="000612C5" w14:paraId="292F82EB"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20DFFBC4" w14:textId="77777777" w:rsidR="002E6B58" w:rsidRPr="00C02BC2" w:rsidRDefault="002E6B58" w:rsidP="001F5BC7">
            <w:pPr>
              <w:pStyle w:val="ListParagraph"/>
              <w:ind w:left="0"/>
              <w:rPr>
                <w:rFonts w:ascii="Arial" w:hAnsi="Arial" w:cs="Arial"/>
                <w:bCs/>
              </w:rPr>
            </w:pPr>
            <w:r w:rsidRPr="00B23961">
              <w:rPr>
                <w:rFonts w:ascii="Arial" w:hAnsi="Arial" w:cs="Arial"/>
                <w:bCs/>
              </w:rPr>
              <w:t xml:space="preserve">Adjustments to retained earnings </w:t>
            </w:r>
            <w:r>
              <w:rPr>
                <w:rFonts w:ascii="Arial" w:hAnsi="Arial" w:cs="Arial"/>
                <w:bCs/>
              </w:rPr>
              <w:t xml:space="preserve">due to change in accounting </w:t>
            </w:r>
            <w:r w:rsidRPr="00B23961">
              <w:rPr>
                <w:rFonts w:ascii="Arial" w:hAnsi="Arial" w:cs="Arial"/>
                <w:bCs/>
              </w:rPr>
              <w:t>policies / standards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4114" w14:textId="77777777" w:rsidR="002E6B58" w:rsidRPr="00DE70C0" w:rsidRDefault="002E6B58" w:rsidP="001F5BC7">
            <w:pPr>
              <w:ind w:firstLineChars="100" w:firstLine="200"/>
              <w:jc w:val="center"/>
              <w:rPr>
                <w:rFonts w:ascii="Arial" w:hAnsi="Arial" w:cs="Arial"/>
              </w:rPr>
            </w:pPr>
          </w:p>
        </w:tc>
      </w:tr>
      <w:tr w:rsidR="002E6B58" w:rsidRPr="000612C5" w14:paraId="089A34C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EBE455E" w14:textId="77777777" w:rsidR="002E6B58" w:rsidRPr="00C02BC2" w:rsidRDefault="002E6B58" w:rsidP="001F5BC7">
            <w:pPr>
              <w:pStyle w:val="ListParagraph"/>
              <w:ind w:left="0"/>
              <w:rPr>
                <w:rFonts w:ascii="Arial" w:hAnsi="Arial" w:cs="Arial"/>
                <w:bCs/>
              </w:rPr>
            </w:pPr>
            <w:r w:rsidRPr="00B23961">
              <w:rPr>
                <w:rFonts w:ascii="Arial" w:hAnsi="Arial" w:cs="Arial"/>
                <w:bCs/>
              </w:rPr>
              <w:t>Reduction in retained earnings on share buy back</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7F261" w14:textId="77777777" w:rsidR="002E6B58" w:rsidRPr="00DE70C0" w:rsidRDefault="002E6B58" w:rsidP="001F5BC7">
            <w:pPr>
              <w:ind w:firstLineChars="100" w:firstLine="200"/>
              <w:jc w:val="center"/>
              <w:rPr>
                <w:rFonts w:ascii="Arial" w:hAnsi="Arial" w:cs="Arial"/>
              </w:rPr>
            </w:pPr>
          </w:p>
        </w:tc>
      </w:tr>
      <w:tr w:rsidR="002E6B58" w:rsidRPr="000612C5" w14:paraId="584EDB4B"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EE873D7" w14:textId="77777777" w:rsidR="002E6B58" w:rsidRPr="00C02BC2" w:rsidRDefault="002E6B58" w:rsidP="001F5BC7">
            <w:pPr>
              <w:pStyle w:val="ListParagraph"/>
              <w:ind w:left="0"/>
              <w:rPr>
                <w:rFonts w:ascii="Arial" w:hAnsi="Arial" w:cs="Arial"/>
                <w:bCs/>
              </w:rPr>
            </w:pPr>
            <w:r w:rsidRPr="00B23961">
              <w:rPr>
                <w:rFonts w:ascii="Arial" w:hAnsi="Arial" w:cs="Arial"/>
                <w:bCs/>
              </w:rPr>
              <w:t>Amounts transferred to / from reserves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0D100" w14:textId="77777777" w:rsidR="002E6B58" w:rsidRPr="00DE70C0" w:rsidRDefault="002E6B58" w:rsidP="001F5BC7">
            <w:pPr>
              <w:ind w:firstLineChars="100" w:firstLine="200"/>
              <w:jc w:val="center"/>
              <w:rPr>
                <w:rFonts w:ascii="Arial" w:hAnsi="Arial" w:cs="Arial"/>
              </w:rPr>
            </w:pPr>
          </w:p>
        </w:tc>
      </w:tr>
      <w:tr w:rsidR="002E6B58" w:rsidRPr="000612C5" w14:paraId="16A59D2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43FB478" w14:textId="77777777" w:rsidR="002E6B58" w:rsidRPr="005861CC" w:rsidRDefault="002E6B58" w:rsidP="001F5BC7">
            <w:pPr>
              <w:pStyle w:val="ListParagraph"/>
              <w:ind w:left="0"/>
              <w:rPr>
                <w:rFonts w:ascii="Arial" w:hAnsi="Arial" w:cs="Arial"/>
                <w:b/>
                <w:bCs/>
              </w:rPr>
            </w:pPr>
            <w:r w:rsidRPr="005861CC">
              <w:rPr>
                <w:rFonts w:ascii="Arial" w:hAnsi="Arial" w:cs="Arial"/>
                <w:b/>
                <w:bCs/>
              </w:rPr>
              <w:t>Total available for appropriation</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FB52D5" w14:textId="77777777" w:rsidR="002E6B58" w:rsidRPr="00DE70C0" w:rsidRDefault="002E6B58" w:rsidP="001F5BC7">
            <w:pPr>
              <w:ind w:firstLineChars="100" w:firstLine="200"/>
              <w:jc w:val="center"/>
              <w:rPr>
                <w:rFonts w:ascii="Arial" w:hAnsi="Arial" w:cs="Arial"/>
                <w:bCs/>
              </w:rPr>
            </w:pPr>
          </w:p>
        </w:tc>
      </w:tr>
      <w:tr w:rsidR="002E6B58" w:rsidRPr="000612C5" w14:paraId="1E2D774D"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A8AD109" w14:textId="77777777" w:rsidR="002E6B58" w:rsidRPr="00C02BC2" w:rsidRDefault="002E6B58" w:rsidP="001F5BC7">
            <w:pPr>
              <w:pStyle w:val="ListParagraph"/>
              <w:ind w:left="0"/>
              <w:rPr>
                <w:rFonts w:ascii="Arial" w:hAnsi="Arial" w:cs="Arial"/>
                <w:bCs/>
              </w:rPr>
            </w:pPr>
            <w:r w:rsidRPr="00B23961">
              <w:rPr>
                <w:rFonts w:ascii="Arial" w:hAnsi="Arial" w:cs="Arial"/>
                <w:bCs/>
              </w:rPr>
              <w:t>Dividends declared or paid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2760" w14:textId="77777777" w:rsidR="002E6B58" w:rsidRPr="00DE70C0" w:rsidRDefault="002E6B58" w:rsidP="001F5BC7">
            <w:pPr>
              <w:ind w:firstLineChars="100" w:firstLine="200"/>
              <w:jc w:val="center"/>
              <w:rPr>
                <w:rFonts w:ascii="Arial" w:hAnsi="Arial" w:cs="Arial"/>
              </w:rPr>
            </w:pPr>
          </w:p>
        </w:tc>
      </w:tr>
      <w:tr w:rsidR="002E6B58" w:rsidRPr="000612C5" w14:paraId="23ED645A"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1468E40" w14:textId="77777777" w:rsidR="002E6B58" w:rsidRPr="005861CC" w:rsidRDefault="002E6B58" w:rsidP="001F5BC7">
            <w:pPr>
              <w:pStyle w:val="ListParagraph"/>
              <w:ind w:left="0"/>
              <w:rPr>
                <w:rFonts w:ascii="Arial" w:hAnsi="Arial" w:cs="Arial"/>
                <w:b/>
                <w:bCs/>
              </w:rPr>
            </w:pPr>
            <w:r w:rsidRPr="005861CC">
              <w:rPr>
                <w:rFonts w:ascii="Arial" w:hAnsi="Arial" w:cs="Arial"/>
                <w:b/>
                <w:bCs/>
              </w:rPr>
              <w:t>Retained earnings at the end of the reporting period</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CC1FD1" w14:textId="77777777" w:rsidR="002E6B58" w:rsidRPr="00DE70C0" w:rsidRDefault="002E6B58" w:rsidP="001F5BC7">
            <w:pPr>
              <w:ind w:firstLineChars="100" w:firstLine="200"/>
              <w:jc w:val="center"/>
              <w:rPr>
                <w:rFonts w:ascii="Arial" w:hAnsi="Arial" w:cs="Arial"/>
                <w:bCs/>
              </w:rPr>
            </w:pPr>
          </w:p>
        </w:tc>
      </w:tr>
      <w:tr w:rsidR="002E6B58" w:rsidRPr="000612C5" w14:paraId="3975F93F" w14:textId="77777777" w:rsidTr="001F5BC7">
        <w:trPr>
          <w:trHeight w:val="315"/>
        </w:trPr>
        <w:tc>
          <w:tcPr>
            <w:tcW w:w="6663" w:type="dxa"/>
            <w:tcBorders>
              <w:top w:val="nil"/>
              <w:left w:val="nil"/>
              <w:bottom w:val="nil"/>
            </w:tcBorders>
            <w:shd w:val="clear" w:color="auto" w:fill="auto"/>
            <w:noWrap/>
            <w:vAlign w:val="bottom"/>
          </w:tcPr>
          <w:p w14:paraId="652F98D9" w14:textId="77777777" w:rsidR="002E6B58" w:rsidRPr="00B23961" w:rsidRDefault="002E6B58" w:rsidP="001F5BC7">
            <w:pPr>
              <w:pStyle w:val="ListParagraph"/>
              <w:ind w:left="0"/>
              <w:rPr>
                <w:rFonts w:ascii="Arial" w:hAnsi="Arial" w:cs="Arial"/>
                <w:bCs/>
              </w:rPr>
            </w:pPr>
          </w:p>
        </w:tc>
        <w:tc>
          <w:tcPr>
            <w:tcW w:w="2126" w:type="dxa"/>
            <w:tcBorders>
              <w:top w:val="single" w:sz="4" w:space="0" w:color="auto"/>
            </w:tcBorders>
            <w:shd w:val="clear" w:color="auto" w:fill="auto"/>
            <w:noWrap/>
            <w:vAlign w:val="bottom"/>
          </w:tcPr>
          <w:p w14:paraId="6E07B9F6" w14:textId="77777777" w:rsidR="002E6B58" w:rsidRPr="00DE70C0" w:rsidRDefault="002E6B58" w:rsidP="001F5BC7">
            <w:pPr>
              <w:jc w:val="center"/>
              <w:rPr>
                <w:rFonts w:ascii="Arial" w:hAnsi="Arial" w:cs="Arial"/>
              </w:rPr>
            </w:pPr>
          </w:p>
        </w:tc>
      </w:tr>
      <w:tr w:rsidR="002E6B58" w:rsidRPr="000612C5" w14:paraId="6DD82DCE" w14:textId="77777777" w:rsidTr="001F5BC7">
        <w:trPr>
          <w:trHeight w:val="315"/>
        </w:trPr>
        <w:tc>
          <w:tcPr>
            <w:tcW w:w="6663" w:type="dxa"/>
            <w:tcBorders>
              <w:top w:val="nil"/>
              <w:left w:val="nil"/>
              <w:bottom w:val="nil"/>
            </w:tcBorders>
            <w:shd w:val="clear" w:color="auto" w:fill="auto"/>
            <w:noWrap/>
            <w:vAlign w:val="bottom"/>
          </w:tcPr>
          <w:p w14:paraId="7DE7A87F" w14:textId="77777777" w:rsidR="002E6B58" w:rsidRPr="005861CC" w:rsidRDefault="002E6B58" w:rsidP="001F5BC7">
            <w:pPr>
              <w:pStyle w:val="ListParagraph"/>
              <w:ind w:left="0"/>
              <w:rPr>
                <w:rFonts w:ascii="Arial" w:hAnsi="Arial" w:cs="Arial"/>
                <w:b/>
                <w:bCs/>
              </w:rPr>
            </w:pPr>
            <w:r w:rsidRPr="005861CC">
              <w:rPr>
                <w:rFonts w:ascii="Arial" w:hAnsi="Arial" w:cs="Arial"/>
                <w:b/>
                <w:bCs/>
              </w:rPr>
              <w:t>Opening / closing balance of retained earnings (Category C insurers only)</w:t>
            </w:r>
          </w:p>
        </w:tc>
        <w:tc>
          <w:tcPr>
            <w:tcW w:w="2126" w:type="dxa"/>
            <w:tcBorders>
              <w:bottom w:val="single" w:sz="4" w:space="0" w:color="auto"/>
            </w:tcBorders>
            <w:shd w:val="clear" w:color="auto" w:fill="auto"/>
            <w:noWrap/>
            <w:vAlign w:val="bottom"/>
          </w:tcPr>
          <w:p w14:paraId="3B37FC55" w14:textId="77777777" w:rsidR="002E6B58" w:rsidRPr="00DE70C0" w:rsidRDefault="002E6B58" w:rsidP="001F5BC7">
            <w:pPr>
              <w:jc w:val="center"/>
              <w:rPr>
                <w:rFonts w:ascii="Arial" w:hAnsi="Arial" w:cs="Arial"/>
              </w:rPr>
            </w:pPr>
          </w:p>
        </w:tc>
      </w:tr>
      <w:tr w:rsidR="002E6B58" w:rsidRPr="000612C5" w14:paraId="7C51C6F1"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19622B61" w14:textId="77777777" w:rsidR="002E6B58" w:rsidRPr="00B23961" w:rsidRDefault="002E6B58" w:rsidP="001F5BC7">
            <w:pPr>
              <w:pStyle w:val="ListParagraph"/>
              <w:ind w:left="0"/>
              <w:rPr>
                <w:rFonts w:ascii="Arial" w:hAnsi="Arial" w:cs="Arial"/>
                <w:bCs/>
              </w:rPr>
            </w:pPr>
            <w:r w:rsidRPr="00B23961">
              <w:rPr>
                <w:rFonts w:ascii="Arial" w:hAnsi="Arial" w:cs="Arial"/>
                <w:bCs/>
              </w:rPr>
              <w:t>Retained earnings at the beginning of the financial year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6DF4F" w14:textId="77777777" w:rsidR="002E6B58" w:rsidRPr="00DE70C0" w:rsidRDefault="002E6B58" w:rsidP="001F5BC7">
            <w:pPr>
              <w:ind w:firstLineChars="100" w:firstLine="200"/>
              <w:jc w:val="center"/>
              <w:rPr>
                <w:rFonts w:ascii="Arial" w:hAnsi="Arial" w:cs="Arial"/>
              </w:rPr>
            </w:pPr>
          </w:p>
        </w:tc>
      </w:tr>
      <w:tr w:rsidR="002E6B58" w:rsidRPr="000612C5" w14:paraId="60FF91A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84A054F" w14:textId="77777777" w:rsidR="002E6B58" w:rsidRPr="00B23961" w:rsidRDefault="002E6B58" w:rsidP="001F5BC7">
            <w:pPr>
              <w:pStyle w:val="ListParagraph"/>
              <w:ind w:left="0"/>
              <w:rPr>
                <w:rFonts w:ascii="Arial" w:hAnsi="Arial" w:cs="Arial"/>
                <w:bCs/>
              </w:rPr>
            </w:pPr>
            <w:r w:rsidRPr="00B23961">
              <w:rPr>
                <w:rFonts w:ascii="Arial" w:hAnsi="Arial" w:cs="Arial"/>
                <w:bCs/>
              </w:rPr>
              <w:t>Adjustments to retained earnings due to change in accounting policies / standards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87FB" w14:textId="77777777" w:rsidR="002E6B58" w:rsidRPr="00DE70C0" w:rsidRDefault="002E6B58" w:rsidP="001F5BC7">
            <w:pPr>
              <w:ind w:firstLineChars="100" w:firstLine="200"/>
              <w:jc w:val="center"/>
              <w:rPr>
                <w:rFonts w:ascii="Arial" w:hAnsi="Arial" w:cs="Arial"/>
              </w:rPr>
            </w:pPr>
          </w:p>
        </w:tc>
      </w:tr>
      <w:tr w:rsidR="002E6B58" w:rsidRPr="000612C5" w14:paraId="7CFEF01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784B6D3" w14:textId="77777777" w:rsidR="002E6B58" w:rsidRPr="00B23961" w:rsidRDefault="002E6B58" w:rsidP="001F5BC7">
            <w:pPr>
              <w:pStyle w:val="ListParagraph"/>
              <w:ind w:left="0"/>
              <w:rPr>
                <w:rFonts w:ascii="Arial" w:hAnsi="Arial" w:cs="Arial"/>
                <w:bCs/>
              </w:rPr>
            </w:pPr>
            <w:r w:rsidRPr="00B23961">
              <w:rPr>
                <w:rFonts w:ascii="Arial" w:hAnsi="Arial" w:cs="Arial"/>
                <w:bCs/>
              </w:rPr>
              <w:t>Aggregate of amounts transferred from / to reserves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684BC" w14:textId="77777777" w:rsidR="002E6B58" w:rsidRPr="00DE70C0" w:rsidRDefault="002E6B58" w:rsidP="001F5BC7">
            <w:pPr>
              <w:ind w:firstLineChars="100" w:firstLine="200"/>
              <w:jc w:val="center"/>
              <w:rPr>
                <w:rFonts w:ascii="Arial" w:hAnsi="Arial" w:cs="Arial"/>
              </w:rPr>
            </w:pPr>
          </w:p>
        </w:tc>
      </w:tr>
      <w:tr w:rsidR="002E6B58" w:rsidRPr="000612C5" w14:paraId="0F7A7B1E"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5B4DB3B7" w14:textId="77777777" w:rsidR="002E6B58" w:rsidRPr="00B23961" w:rsidRDefault="002E6B58" w:rsidP="001F5BC7">
            <w:pPr>
              <w:pStyle w:val="ListParagraph"/>
              <w:ind w:left="0"/>
              <w:rPr>
                <w:rFonts w:ascii="Arial" w:hAnsi="Arial" w:cs="Arial"/>
                <w:bCs/>
              </w:rPr>
            </w:pPr>
            <w:r w:rsidRPr="00B23961">
              <w:rPr>
                <w:rFonts w:ascii="Arial" w:hAnsi="Arial" w:cs="Arial"/>
                <w:bCs/>
              </w:rPr>
              <w:t>Aggregate of amounts transferred from parent entity (i.e. contributions of capital)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45C01" w14:textId="77777777" w:rsidR="002E6B58" w:rsidRPr="00DE70C0" w:rsidRDefault="002E6B58" w:rsidP="001F5BC7">
            <w:pPr>
              <w:ind w:firstLineChars="100" w:firstLine="200"/>
              <w:jc w:val="center"/>
              <w:rPr>
                <w:rFonts w:ascii="Arial" w:hAnsi="Arial" w:cs="Arial"/>
              </w:rPr>
            </w:pPr>
          </w:p>
        </w:tc>
      </w:tr>
      <w:tr w:rsidR="002E6B58" w:rsidRPr="000612C5" w14:paraId="774850F7"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68D1DED3" w14:textId="77777777" w:rsidR="002E6B58" w:rsidRPr="00B23961" w:rsidRDefault="002E6B58" w:rsidP="001F5BC7">
            <w:pPr>
              <w:pStyle w:val="ListParagraph"/>
              <w:ind w:left="0"/>
              <w:rPr>
                <w:rFonts w:ascii="Arial" w:hAnsi="Arial" w:cs="Arial"/>
                <w:bCs/>
              </w:rPr>
            </w:pPr>
            <w:r w:rsidRPr="00B23961">
              <w:rPr>
                <w:rFonts w:ascii="Arial" w:hAnsi="Arial" w:cs="Arial"/>
                <w:bCs/>
              </w:rPr>
              <w:t>Aggregate of amounts transferred to parent entity (i.e. dividends)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E35F1" w14:textId="77777777" w:rsidR="002E6B58" w:rsidRPr="00DE70C0" w:rsidRDefault="002E6B58" w:rsidP="001F5BC7">
            <w:pPr>
              <w:ind w:firstLineChars="100" w:firstLine="200"/>
              <w:jc w:val="center"/>
              <w:rPr>
                <w:rFonts w:ascii="Arial" w:hAnsi="Arial" w:cs="Arial"/>
              </w:rPr>
            </w:pPr>
          </w:p>
        </w:tc>
      </w:tr>
      <w:tr w:rsidR="002E6B58" w:rsidRPr="000612C5" w14:paraId="7ADCF7CC"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2C56FB95" w14:textId="77777777" w:rsidR="002E6B58" w:rsidRPr="00B23961" w:rsidRDefault="002E6B58" w:rsidP="001F5BC7">
            <w:pPr>
              <w:pStyle w:val="ListParagraph"/>
              <w:ind w:left="0"/>
              <w:rPr>
                <w:rFonts w:ascii="Arial" w:hAnsi="Arial" w:cs="Arial"/>
                <w:bCs/>
              </w:rPr>
            </w:pPr>
            <w:r w:rsidRPr="00B23961">
              <w:rPr>
                <w:rFonts w:ascii="Arial" w:hAnsi="Arial" w:cs="Arial"/>
                <w:bCs/>
              </w:rPr>
              <w:t>Aggregate of other amounts</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FE53AE" w14:textId="77777777" w:rsidR="002E6B58" w:rsidRPr="00DE70C0" w:rsidRDefault="002E6B58" w:rsidP="001F5BC7">
            <w:pPr>
              <w:ind w:firstLineChars="100" w:firstLine="200"/>
              <w:jc w:val="center"/>
              <w:rPr>
                <w:rFonts w:ascii="Arial" w:hAnsi="Arial" w:cs="Arial"/>
                <w:bCs/>
              </w:rPr>
            </w:pPr>
          </w:p>
        </w:tc>
      </w:tr>
      <w:tr w:rsidR="002E6B58" w:rsidRPr="000612C5" w14:paraId="3B808B48"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0A1B5927" w14:textId="77777777" w:rsidR="002E6B58" w:rsidRPr="00B23961" w:rsidRDefault="002E6B58" w:rsidP="001F5BC7">
            <w:pPr>
              <w:pStyle w:val="ListParagraph"/>
              <w:ind w:left="0"/>
              <w:rPr>
                <w:rFonts w:ascii="Arial" w:hAnsi="Arial" w:cs="Arial"/>
                <w:bCs/>
              </w:rPr>
            </w:pPr>
            <w:r w:rsidRPr="00B23961">
              <w:rPr>
                <w:rFonts w:ascii="Arial" w:hAnsi="Arial" w:cs="Arial"/>
                <w:bCs/>
              </w:rPr>
              <w:t>Head office transfers declared or paid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7F360" w14:textId="77777777" w:rsidR="002E6B58" w:rsidRPr="00DE70C0" w:rsidRDefault="002E6B58" w:rsidP="001F5BC7">
            <w:pPr>
              <w:ind w:firstLineChars="100" w:firstLine="200"/>
              <w:jc w:val="center"/>
              <w:rPr>
                <w:rFonts w:ascii="Arial" w:hAnsi="Arial" w:cs="Arial"/>
              </w:rPr>
            </w:pPr>
          </w:p>
        </w:tc>
      </w:tr>
      <w:tr w:rsidR="002E6B58" w:rsidRPr="000612C5" w14:paraId="57876AA7" w14:textId="77777777" w:rsidTr="001F5BC7">
        <w:trPr>
          <w:trHeight w:val="315"/>
        </w:trPr>
        <w:tc>
          <w:tcPr>
            <w:tcW w:w="6663" w:type="dxa"/>
            <w:tcBorders>
              <w:top w:val="nil"/>
              <w:left w:val="nil"/>
              <w:bottom w:val="nil"/>
              <w:right w:val="single" w:sz="4" w:space="0" w:color="auto"/>
            </w:tcBorders>
            <w:shd w:val="clear" w:color="auto" w:fill="auto"/>
            <w:noWrap/>
            <w:vAlign w:val="bottom"/>
          </w:tcPr>
          <w:p w14:paraId="4D6C2817" w14:textId="77777777" w:rsidR="002E6B58" w:rsidRPr="005861CC" w:rsidRDefault="002E6B58" w:rsidP="001F5BC7">
            <w:pPr>
              <w:pStyle w:val="ListParagraph"/>
              <w:ind w:left="0"/>
              <w:rPr>
                <w:rFonts w:ascii="Arial" w:hAnsi="Arial" w:cs="Arial"/>
                <w:b/>
                <w:bCs/>
              </w:rPr>
            </w:pPr>
            <w:r w:rsidRPr="005861CC">
              <w:rPr>
                <w:rFonts w:ascii="Arial" w:hAnsi="Arial" w:cs="Arial"/>
                <w:b/>
                <w:bCs/>
              </w:rPr>
              <w:t>Retained earnings at the end of the reporting period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AD984" w14:textId="77777777" w:rsidR="002E6B58" w:rsidRPr="00DE70C0" w:rsidRDefault="002E6B58" w:rsidP="001F5BC7">
            <w:pPr>
              <w:ind w:firstLineChars="100" w:firstLine="200"/>
              <w:jc w:val="center"/>
              <w:rPr>
                <w:rFonts w:ascii="Arial" w:hAnsi="Arial" w:cs="Arial"/>
              </w:rPr>
            </w:pPr>
          </w:p>
        </w:tc>
      </w:tr>
    </w:tbl>
    <w:p w14:paraId="5230E6A6" w14:textId="28E8E9BC" w:rsidR="00874CA1" w:rsidRDefault="00874CA1" w:rsidP="00760AC5">
      <w:pPr>
        <w:pStyle w:val="Header"/>
        <w:jc w:val="both"/>
        <w:sectPr w:rsidR="00874CA1" w:rsidSect="009E64E0">
          <w:headerReference w:type="default" r:id="rId22"/>
          <w:footerReference w:type="default" r:id="rId23"/>
          <w:headerReference w:type="first" r:id="rId24"/>
          <w:footerReference w:type="first" r:id="rId25"/>
          <w:pgSz w:w="11907" w:h="16840" w:code="9"/>
          <w:pgMar w:top="1440" w:right="1440" w:bottom="1440" w:left="1440" w:header="720" w:footer="720" w:gutter="0"/>
          <w:pgNumType w:start="1"/>
          <w:cols w:space="720"/>
          <w:docGrid w:linePitch="272"/>
        </w:sectPr>
      </w:pPr>
    </w:p>
    <w:p w14:paraId="390D5D20" w14:textId="77777777" w:rsidR="00874CA1" w:rsidRPr="00874CA1" w:rsidRDefault="00874CA1" w:rsidP="00874CA1">
      <w:pPr>
        <w:keepNext/>
        <w:spacing w:before="120" w:after="360"/>
        <w:jc w:val="center"/>
        <w:rPr>
          <w:rFonts w:ascii="Arial" w:hAnsi="Arial" w:cs="Arial"/>
          <w:b/>
          <w:sz w:val="32"/>
          <w:szCs w:val="32"/>
        </w:rPr>
      </w:pPr>
      <w:r w:rsidRPr="00874CA1">
        <w:rPr>
          <w:rFonts w:ascii="Arial" w:hAnsi="Arial" w:cs="Arial"/>
          <w:b/>
          <w:bCs/>
          <w:sz w:val="32"/>
          <w:szCs w:val="32"/>
        </w:rPr>
        <w:lastRenderedPageBreak/>
        <w:t>GRF_310_0: Income Statement</w:t>
      </w:r>
    </w:p>
    <w:p w14:paraId="50BA60E7" w14:textId="77777777" w:rsidR="00874CA1" w:rsidRPr="00874CA1" w:rsidRDefault="00874CA1" w:rsidP="00AA30D0">
      <w:pPr>
        <w:keepNext/>
        <w:spacing w:after="240"/>
        <w:jc w:val="both"/>
        <w:rPr>
          <w:rFonts w:ascii="Arial" w:hAnsi="Arial" w:cs="Arial"/>
          <w:b/>
          <w:sz w:val="32"/>
          <w:szCs w:val="32"/>
        </w:rPr>
      </w:pPr>
      <w:r w:rsidRPr="00874CA1">
        <w:rPr>
          <w:sz w:val="24"/>
          <w:szCs w:val="24"/>
        </w:rPr>
        <w:t>These instructions must be read in conjunction with the general instruction guide.</w:t>
      </w:r>
    </w:p>
    <w:p w14:paraId="19245450" w14:textId="77777777" w:rsidR="00874CA1" w:rsidRPr="00874CA1" w:rsidRDefault="00874CA1" w:rsidP="00AA30D0">
      <w:pPr>
        <w:keepNext/>
        <w:spacing w:after="240"/>
        <w:jc w:val="both"/>
        <w:rPr>
          <w:rFonts w:ascii="Arial" w:hAnsi="Arial" w:cs="Arial"/>
          <w:b/>
          <w:sz w:val="32"/>
          <w:szCs w:val="32"/>
        </w:rPr>
      </w:pPr>
      <w:r w:rsidRPr="00874CA1">
        <w:rPr>
          <w:rFonts w:ascii="Arial" w:hAnsi="Arial" w:cs="Arial"/>
          <w:b/>
          <w:sz w:val="32"/>
          <w:szCs w:val="32"/>
        </w:rPr>
        <w:t>Explanatory notes</w:t>
      </w:r>
    </w:p>
    <w:p w14:paraId="21C34519" w14:textId="540BF6DF"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Direct business and inwards reinsurance</w:t>
      </w:r>
    </w:p>
    <w:p w14:paraId="5B3EA739" w14:textId="77777777" w:rsidR="00874CA1" w:rsidRPr="00874CA1" w:rsidRDefault="00874CA1" w:rsidP="00AA30D0">
      <w:pPr>
        <w:spacing w:after="240"/>
        <w:jc w:val="both"/>
        <w:rPr>
          <w:sz w:val="24"/>
          <w:szCs w:val="24"/>
        </w:rPr>
      </w:pPr>
      <w:r w:rsidRPr="00874CA1">
        <w:rPr>
          <w:sz w:val="24"/>
          <w:szCs w:val="24"/>
        </w:rPr>
        <w:t xml:space="preserve">Direct business and inwards reinsurance correspond to the business written by the reporting insurer on the direct classes of business and reinsurance classes of business respectively, as defined in </w:t>
      </w:r>
      <w:r w:rsidRPr="00874CA1">
        <w:rPr>
          <w:i/>
          <w:iCs/>
          <w:sz w:val="24"/>
          <w:szCs w:val="24"/>
        </w:rPr>
        <w:t>Prudential Standard GPS 001 Definitions</w:t>
      </w:r>
      <w:r w:rsidRPr="00874CA1">
        <w:rPr>
          <w:sz w:val="24"/>
          <w:szCs w:val="24"/>
        </w:rPr>
        <w:t xml:space="preserve"> (GPS 001).</w:t>
      </w:r>
    </w:p>
    <w:p w14:paraId="0DA21911" w14:textId="6A8D192D" w:rsidR="00874CA1" w:rsidRPr="00874CA1" w:rsidRDefault="00874CA1" w:rsidP="00AA30D0">
      <w:pPr>
        <w:keepNext/>
        <w:spacing w:after="240"/>
        <w:jc w:val="both"/>
        <w:rPr>
          <w:rFonts w:ascii="Arial" w:hAnsi="Arial" w:cs="Arial"/>
          <w:b/>
          <w:sz w:val="32"/>
          <w:szCs w:val="32"/>
        </w:rPr>
      </w:pPr>
      <w:r w:rsidRPr="00874CA1">
        <w:rPr>
          <w:rFonts w:ascii="Arial" w:hAnsi="Arial" w:cs="Arial"/>
          <w:b/>
          <w:sz w:val="32"/>
          <w:szCs w:val="32"/>
        </w:rPr>
        <w:t>Instructions for specific items</w:t>
      </w:r>
    </w:p>
    <w:p w14:paraId="1EA84F1C"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Category of insurer</w:t>
      </w:r>
    </w:p>
    <w:p w14:paraId="39EFA5E9" w14:textId="77777777" w:rsidR="00874CA1" w:rsidRPr="00874CA1" w:rsidRDefault="00874CA1" w:rsidP="00AA30D0">
      <w:pPr>
        <w:spacing w:after="240"/>
        <w:jc w:val="both"/>
        <w:rPr>
          <w:sz w:val="24"/>
          <w:szCs w:val="24"/>
        </w:rPr>
      </w:pPr>
      <w:r w:rsidRPr="00874CA1">
        <w:rPr>
          <w:sz w:val="24"/>
          <w:szCs w:val="24"/>
        </w:rPr>
        <w:t>The different categories of insurer are defined in GPS 001.  The reporting insurer is required to select the category from the drop-down box which best describes their status.</w:t>
      </w:r>
    </w:p>
    <w:p w14:paraId="39BCB316" w14:textId="4679CFC4"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Premium revenue: Direct business</w:t>
      </w:r>
    </w:p>
    <w:p w14:paraId="172F2BDC" w14:textId="3B04DF7C" w:rsidR="00874CA1" w:rsidRPr="00874CA1" w:rsidRDefault="00874CA1" w:rsidP="00AA30D0">
      <w:pPr>
        <w:spacing w:after="240"/>
        <w:jc w:val="both"/>
        <w:rPr>
          <w:sz w:val="24"/>
          <w:szCs w:val="24"/>
        </w:rPr>
      </w:pPr>
      <w:r w:rsidRPr="00874CA1">
        <w:rPr>
          <w:sz w:val="24"/>
          <w:szCs w:val="24"/>
        </w:rPr>
        <w:t xml:space="preserve">This is the value of premium revenue earned during the relevant period on direct business. This item is to be determined in accordance with </w:t>
      </w:r>
      <w:r w:rsidRPr="00874CA1">
        <w:rPr>
          <w:i/>
          <w:iCs/>
          <w:sz w:val="24"/>
          <w:szCs w:val="24"/>
        </w:rPr>
        <w:t>Australian Accounting Standard AASB 1023 General Insurance Contracts</w:t>
      </w:r>
      <w:r w:rsidRPr="00874CA1">
        <w:rPr>
          <w:sz w:val="24"/>
          <w:szCs w:val="24"/>
        </w:rPr>
        <w:t xml:space="preserve"> (AASB 1023). This item excludes any fire service levy or other levies imposed by state and territory governments and is gross of any associated outwards reinsurance expense. Insurance contracts are classified as 'direct' when the reporting insurer has a contract directly with a policyholder that is not an insurer or reinsurer.</w:t>
      </w:r>
    </w:p>
    <w:p w14:paraId="07B25ABC" w14:textId="740EA477" w:rsidR="00874CA1" w:rsidRPr="00874CA1" w:rsidRDefault="00874CA1" w:rsidP="00AA30D0">
      <w:pPr>
        <w:keepNext/>
        <w:spacing w:after="240"/>
        <w:ind w:left="390" w:hanging="390"/>
        <w:jc w:val="both"/>
        <w:rPr>
          <w:rFonts w:ascii="Arial" w:hAnsi="Arial" w:cs="Arial"/>
          <w:b/>
          <w:sz w:val="24"/>
          <w:szCs w:val="24"/>
        </w:rPr>
      </w:pPr>
      <w:r w:rsidRPr="00874CA1">
        <w:rPr>
          <w:rFonts w:ascii="Arial" w:hAnsi="Arial" w:cs="Arial"/>
          <w:b/>
          <w:sz w:val="24"/>
          <w:szCs w:val="24"/>
        </w:rPr>
        <w:t>Premium revenue: Inwards reinsurance</w:t>
      </w:r>
    </w:p>
    <w:p w14:paraId="604FA088" w14:textId="77777777" w:rsidR="00874CA1" w:rsidRPr="00874CA1" w:rsidRDefault="00874CA1" w:rsidP="00AA30D0">
      <w:pPr>
        <w:spacing w:after="240"/>
        <w:jc w:val="both"/>
        <w:rPr>
          <w:sz w:val="24"/>
          <w:szCs w:val="24"/>
        </w:rPr>
      </w:pPr>
      <w:r w:rsidRPr="00874CA1">
        <w:rPr>
          <w:sz w:val="24"/>
          <w:szCs w:val="24"/>
        </w:rPr>
        <w:t>This is the value of premium revenue earned during the relevant period on inwards reinsurance business. This item is to be determined in accordance with AASB 1023. This item excludes any fire service levy or other levies imposed by state and territory governments and is gross of any associated outwards reinsurance expense.</w:t>
      </w:r>
    </w:p>
    <w:p w14:paraId="69CE711F"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Premium revenue: Fire service levy (and other levies imposed by state and territory governments)</w:t>
      </w:r>
    </w:p>
    <w:p w14:paraId="2FD6ABCC" w14:textId="77777777" w:rsidR="00874CA1" w:rsidRPr="00874CA1" w:rsidRDefault="00874CA1" w:rsidP="00AA30D0">
      <w:pPr>
        <w:spacing w:after="240"/>
        <w:jc w:val="both"/>
        <w:rPr>
          <w:sz w:val="24"/>
          <w:szCs w:val="24"/>
        </w:rPr>
      </w:pPr>
      <w:r w:rsidRPr="00874CA1">
        <w:rPr>
          <w:sz w:val="24"/>
          <w:szCs w:val="24"/>
        </w:rPr>
        <w:t xml:space="preserve">This is the value of insurance premium revenue derived from fire service and other state and territory government levies (FSL) that was earned during the relevant period.  This item is to be determined in accordance with AASB 1023. This item is gross of any associated outwards reinsurance expense. </w:t>
      </w:r>
    </w:p>
    <w:p w14:paraId="59897C69"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Total premium revenue</w:t>
      </w:r>
    </w:p>
    <w:p w14:paraId="0A76B70B"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Premium revenue: Direct business</w:t>
      </w:r>
      <w:r w:rsidRPr="00874CA1">
        <w:rPr>
          <w:sz w:val="24"/>
          <w:szCs w:val="24"/>
        </w:rPr>
        <w:t xml:space="preserve"> plus </w:t>
      </w:r>
      <w:r w:rsidRPr="00874CA1">
        <w:rPr>
          <w:i/>
          <w:iCs/>
          <w:sz w:val="24"/>
          <w:szCs w:val="24"/>
        </w:rPr>
        <w:t>Premium revenue: Inwards reinsurance</w:t>
      </w:r>
      <w:r w:rsidRPr="00874CA1">
        <w:rPr>
          <w:sz w:val="24"/>
          <w:szCs w:val="24"/>
        </w:rPr>
        <w:t xml:space="preserve"> plus </w:t>
      </w:r>
      <w:r w:rsidRPr="00874CA1">
        <w:rPr>
          <w:i/>
          <w:iCs/>
          <w:sz w:val="24"/>
          <w:szCs w:val="24"/>
        </w:rPr>
        <w:t>Fire service levy (and other levies imposed by state and territory governments)</w:t>
      </w:r>
      <w:r w:rsidRPr="00874CA1">
        <w:rPr>
          <w:sz w:val="24"/>
          <w:szCs w:val="24"/>
        </w:rPr>
        <w:t>.</w:t>
      </w:r>
      <w:r w:rsidRPr="00874CA1">
        <w:rPr>
          <w:sz w:val="24"/>
          <w:szCs w:val="24"/>
        </w:rPr>
        <w:tab/>
      </w:r>
    </w:p>
    <w:p w14:paraId="0758CDE2" w14:textId="77777777"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lastRenderedPageBreak/>
        <w:t>Outwards reinsurance expense relating to current and prior years cover</w:t>
      </w:r>
    </w:p>
    <w:p w14:paraId="74DF0302" w14:textId="77777777" w:rsidR="00874CA1" w:rsidRPr="00874CA1" w:rsidRDefault="00874CA1" w:rsidP="00AA30D0">
      <w:pPr>
        <w:spacing w:after="240"/>
        <w:jc w:val="both"/>
        <w:rPr>
          <w:sz w:val="24"/>
          <w:szCs w:val="24"/>
        </w:rPr>
      </w:pPr>
      <w:r w:rsidRPr="00874CA1">
        <w:rPr>
          <w:sz w:val="24"/>
          <w:szCs w:val="24"/>
        </w:rPr>
        <w:t>This is the value of reinsurance expense recognised during the relevant period, as determined in accordance with AASB 1023. Reinsurance expense represents the full costs of reinsurance entered into during the relevant period plus deferred reinsurance expense (DRE) at the beginning of the period, less DRE at the end of the relevant period.</w:t>
      </w:r>
    </w:p>
    <w:p w14:paraId="2A834E80" w14:textId="77777777"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Net premium revenue</w:t>
      </w:r>
    </w:p>
    <w:p w14:paraId="0A675833"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Total premium revenue</w:t>
      </w:r>
      <w:r w:rsidRPr="00874CA1">
        <w:rPr>
          <w:sz w:val="24"/>
          <w:szCs w:val="24"/>
        </w:rPr>
        <w:t xml:space="preserve"> less </w:t>
      </w:r>
      <w:r w:rsidRPr="00874CA1">
        <w:rPr>
          <w:i/>
          <w:iCs/>
          <w:sz w:val="24"/>
          <w:szCs w:val="24"/>
        </w:rPr>
        <w:t>Outwards reinsurance expense relating to current and prior years cover</w:t>
      </w:r>
      <w:r w:rsidRPr="00874CA1">
        <w:rPr>
          <w:sz w:val="24"/>
          <w:szCs w:val="24"/>
        </w:rPr>
        <w:t>.</w:t>
      </w:r>
    </w:p>
    <w:p w14:paraId="39AF4BE2" w14:textId="49D09EF9"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Claims expense - Associated with direct business: Paid claims</w:t>
      </w:r>
    </w:p>
    <w:p w14:paraId="14FEEF27" w14:textId="77777777" w:rsidR="00874CA1" w:rsidRPr="00874CA1" w:rsidRDefault="00874CA1" w:rsidP="00AA30D0">
      <w:pPr>
        <w:keepNext/>
        <w:spacing w:after="240"/>
        <w:jc w:val="both"/>
        <w:rPr>
          <w:sz w:val="24"/>
          <w:szCs w:val="24"/>
        </w:rPr>
      </w:pPr>
      <w:r w:rsidRPr="00874CA1">
        <w:rPr>
          <w:sz w:val="24"/>
          <w:szCs w:val="24"/>
        </w:rPr>
        <w:t>This is the value of insurance claim payment expenses relating to direct business, recognised during the relevant period, gross of any associated insurance recoveries. This item is to be determined in accordance with AASB 1023.</w:t>
      </w:r>
    </w:p>
    <w:p w14:paraId="13295AAD" w14:textId="5C004A4E"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Claims expense - Associated with direct business: Movement in OCL</w:t>
      </w:r>
    </w:p>
    <w:p w14:paraId="34885878" w14:textId="77777777" w:rsidR="00874CA1" w:rsidRPr="00874CA1" w:rsidRDefault="00874CA1" w:rsidP="00AA30D0">
      <w:pPr>
        <w:spacing w:after="240"/>
        <w:jc w:val="both"/>
        <w:rPr>
          <w:sz w:val="24"/>
          <w:szCs w:val="24"/>
        </w:rPr>
      </w:pPr>
      <w:r w:rsidRPr="00874CA1">
        <w:rPr>
          <w:sz w:val="24"/>
          <w:szCs w:val="24"/>
        </w:rPr>
        <w:t>This item represents the movement in the outstanding claims liabilities (OCL) relating to direct business for the relevant period and is to be determined in accordance with AASB 1023. It is calculated as: OCL at the end of the reporting period less the OCL at the beginning of the financial year.</w:t>
      </w:r>
    </w:p>
    <w:p w14:paraId="6DB6C138" w14:textId="77777777"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Claims expense - Associated with inwards reinsurance: Paid claims</w:t>
      </w:r>
    </w:p>
    <w:p w14:paraId="171F6214" w14:textId="77777777" w:rsidR="00874CA1" w:rsidRPr="00874CA1" w:rsidRDefault="00874CA1" w:rsidP="00AA30D0">
      <w:pPr>
        <w:keepNext/>
        <w:spacing w:after="240"/>
        <w:jc w:val="both"/>
        <w:rPr>
          <w:sz w:val="24"/>
          <w:szCs w:val="24"/>
        </w:rPr>
      </w:pPr>
      <w:r w:rsidRPr="00874CA1">
        <w:rPr>
          <w:sz w:val="24"/>
          <w:szCs w:val="24"/>
        </w:rPr>
        <w:t>This is the value of insurance claim payment expenses relating to inwards reinsurance business, recognised during the relevant period, gross of any associated insurance recoveries. This item is to be determined in accordance with AASB 1023.</w:t>
      </w:r>
    </w:p>
    <w:p w14:paraId="2A025FED" w14:textId="3B3F106E"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Claims expense - Associated with inwards reinsurance: Movement in OCL</w:t>
      </w:r>
    </w:p>
    <w:p w14:paraId="3826C597" w14:textId="77777777" w:rsidR="00874CA1" w:rsidRPr="00874CA1" w:rsidRDefault="00874CA1" w:rsidP="00AA30D0">
      <w:pPr>
        <w:spacing w:after="240"/>
        <w:jc w:val="both"/>
        <w:rPr>
          <w:sz w:val="24"/>
          <w:szCs w:val="24"/>
        </w:rPr>
      </w:pPr>
      <w:r w:rsidRPr="00874CA1">
        <w:rPr>
          <w:sz w:val="24"/>
          <w:szCs w:val="24"/>
        </w:rPr>
        <w:t>This item represents the movement in the OCL relating to inwards reinsurance business for the relevant period and is to be determined in accordance with AASB 1023. It is calculated as: OCL at the end of the reporting period less the OCL at the beginning of the financial year.</w:t>
      </w:r>
    </w:p>
    <w:p w14:paraId="4276F810" w14:textId="77777777" w:rsidR="00874CA1" w:rsidRPr="00874CA1" w:rsidRDefault="00874CA1" w:rsidP="00AA30D0">
      <w:pPr>
        <w:spacing w:after="240"/>
        <w:ind w:left="567" w:hanging="567"/>
        <w:jc w:val="both"/>
        <w:rPr>
          <w:rFonts w:ascii="Arial" w:hAnsi="Arial" w:cs="Arial"/>
          <w:b/>
          <w:sz w:val="24"/>
          <w:szCs w:val="24"/>
        </w:rPr>
      </w:pPr>
      <w:r w:rsidRPr="00874CA1">
        <w:rPr>
          <w:rFonts w:ascii="Arial" w:hAnsi="Arial" w:cs="Arial"/>
          <w:b/>
          <w:sz w:val="24"/>
          <w:szCs w:val="24"/>
        </w:rPr>
        <w:t>Gross claims expense</w:t>
      </w:r>
    </w:p>
    <w:p w14:paraId="69175F38"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sz w:val="24"/>
          <w:szCs w:val="24"/>
        </w:rPr>
        <w:t>Associated with Direct business: Paid claims</w:t>
      </w:r>
      <w:r w:rsidRPr="00874CA1">
        <w:rPr>
          <w:sz w:val="24"/>
          <w:szCs w:val="24"/>
        </w:rPr>
        <w:t xml:space="preserve"> plus </w:t>
      </w:r>
      <w:r w:rsidRPr="00874CA1">
        <w:rPr>
          <w:i/>
          <w:sz w:val="24"/>
          <w:szCs w:val="24"/>
        </w:rPr>
        <w:t>Associated with Direct business: Movement in OCL</w:t>
      </w:r>
      <w:r w:rsidRPr="00874CA1">
        <w:rPr>
          <w:sz w:val="24"/>
          <w:szCs w:val="24"/>
        </w:rPr>
        <w:t xml:space="preserve"> plus </w:t>
      </w:r>
      <w:r w:rsidRPr="00874CA1">
        <w:rPr>
          <w:i/>
          <w:sz w:val="24"/>
          <w:szCs w:val="24"/>
        </w:rPr>
        <w:t>Associated with Inwards reinsurance: Paid claims</w:t>
      </w:r>
      <w:r w:rsidRPr="00874CA1">
        <w:rPr>
          <w:sz w:val="24"/>
          <w:szCs w:val="24"/>
        </w:rPr>
        <w:t xml:space="preserve"> plus </w:t>
      </w:r>
      <w:r w:rsidRPr="00874CA1">
        <w:rPr>
          <w:i/>
          <w:sz w:val="24"/>
          <w:szCs w:val="24"/>
        </w:rPr>
        <w:t>Associated with Inwards reinsurance: Movement in OCL</w:t>
      </w:r>
      <w:r w:rsidRPr="00874CA1">
        <w:rPr>
          <w:sz w:val="24"/>
          <w:szCs w:val="24"/>
        </w:rPr>
        <w:t>.</w:t>
      </w:r>
    </w:p>
    <w:p w14:paraId="40ACC647" w14:textId="7AB47868"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Non-reinsurance recoveries revenue</w:t>
      </w:r>
    </w:p>
    <w:p w14:paraId="3F3F70F4"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revenue from recoveries other than those from reinsurance in respect of claims. This item is determined in accordance with the AASB 1023.</w:t>
      </w:r>
    </w:p>
    <w:p w14:paraId="7FDD0E56" w14:textId="38642329"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lastRenderedPageBreak/>
        <w:t>Reinsurance recoveries revenue related to current and prior years</w:t>
      </w:r>
    </w:p>
    <w:p w14:paraId="5E7C074E"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revenue from reinsurance recoveries in respect of claims. This item is to be determined in accordance with AASB 1023.</w:t>
      </w:r>
    </w:p>
    <w:p w14:paraId="57312429" w14:textId="77777777"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Total recoveries</w:t>
      </w:r>
    </w:p>
    <w:p w14:paraId="13451728"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Non-reinsurance recoveries revenue</w:t>
      </w:r>
      <w:r w:rsidRPr="00874CA1">
        <w:rPr>
          <w:sz w:val="24"/>
          <w:szCs w:val="24"/>
        </w:rPr>
        <w:t xml:space="preserve"> plus </w:t>
      </w:r>
      <w:r w:rsidRPr="00874CA1">
        <w:rPr>
          <w:i/>
          <w:iCs/>
          <w:sz w:val="24"/>
          <w:szCs w:val="24"/>
        </w:rPr>
        <w:t>Reinsurance recoveries revenue relating to current and prior years</w:t>
      </w:r>
      <w:r w:rsidRPr="00874CA1">
        <w:rPr>
          <w:sz w:val="24"/>
          <w:szCs w:val="24"/>
        </w:rPr>
        <w:t>.</w:t>
      </w:r>
    </w:p>
    <w:p w14:paraId="5C962056"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Net claims expense</w:t>
      </w:r>
    </w:p>
    <w:p w14:paraId="06637609"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Gross claims expense</w:t>
      </w:r>
      <w:r w:rsidRPr="00874CA1">
        <w:rPr>
          <w:sz w:val="24"/>
          <w:szCs w:val="24"/>
        </w:rPr>
        <w:t xml:space="preserve"> less </w:t>
      </w:r>
      <w:r w:rsidRPr="00874CA1">
        <w:rPr>
          <w:i/>
          <w:iCs/>
          <w:sz w:val="24"/>
          <w:szCs w:val="24"/>
        </w:rPr>
        <w:t>Total recoveries</w:t>
      </w:r>
      <w:r w:rsidRPr="00874CA1">
        <w:rPr>
          <w:sz w:val="24"/>
          <w:szCs w:val="24"/>
        </w:rPr>
        <w:t>.</w:t>
      </w:r>
    </w:p>
    <w:p w14:paraId="30B3F53D" w14:textId="77777777" w:rsidR="00874CA1" w:rsidRPr="00874CA1" w:rsidRDefault="00874CA1" w:rsidP="00AA30D0">
      <w:pPr>
        <w:keepNext/>
        <w:spacing w:after="240"/>
        <w:jc w:val="both"/>
        <w:rPr>
          <w:rFonts w:ascii="Arial" w:hAnsi="Arial" w:cs="Arial"/>
          <w:b/>
          <w:i/>
          <w:sz w:val="24"/>
          <w:szCs w:val="24"/>
        </w:rPr>
      </w:pPr>
      <w:r w:rsidRPr="00874CA1">
        <w:rPr>
          <w:rFonts w:ascii="Arial" w:hAnsi="Arial" w:cs="Arial"/>
          <w:b/>
          <w:i/>
          <w:sz w:val="24"/>
          <w:szCs w:val="24"/>
        </w:rPr>
        <w:t>Net claims expense which is: Current period net claims expense</w:t>
      </w:r>
    </w:p>
    <w:p w14:paraId="02D3E0F5" w14:textId="77777777" w:rsidR="00874CA1" w:rsidRPr="00874CA1" w:rsidRDefault="00874CA1" w:rsidP="00AA30D0">
      <w:pPr>
        <w:spacing w:after="240"/>
        <w:jc w:val="both"/>
        <w:rPr>
          <w:sz w:val="24"/>
          <w:szCs w:val="24"/>
        </w:rPr>
      </w:pPr>
      <w:r w:rsidRPr="00874CA1">
        <w:rPr>
          <w:sz w:val="24"/>
          <w:szCs w:val="24"/>
        </w:rPr>
        <w:t xml:space="preserve">This is the value of net insurance claims expense recognised during the relevant period, but which only relate to the current period. Current period net claims expense represents: current period claims payments; current period reported outstanding case estimates (i.e. case estimates created in the current period); and current period incurred but not reported (and incurred but not enough reported) claims expenses. </w:t>
      </w:r>
    </w:p>
    <w:p w14:paraId="1569C889" w14:textId="77777777" w:rsidR="00874CA1" w:rsidRPr="00874CA1" w:rsidRDefault="00874CA1" w:rsidP="00AA30D0">
      <w:pPr>
        <w:spacing w:after="240"/>
        <w:jc w:val="both"/>
        <w:rPr>
          <w:sz w:val="24"/>
          <w:szCs w:val="24"/>
        </w:rPr>
      </w:pPr>
      <w:r w:rsidRPr="00874CA1">
        <w:rPr>
          <w:sz w:val="24"/>
          <w:szCs w:val="24"/>
        </w:rPr>
        <w:t xml:space="preserve">Current period net claims expense should be defined and reported according to the following: net of all </w:t>
      </w:r>
      <w:proofErr w:type="spellStart"/>
      <w:r w:rsidRPr="00874CA1">
        <w:rPr>
          <w:sz w:val="24"/>
          <w:szCs w:val="24"/>
        </w:rPr>
        <w:t>recoverables</w:t>
      </w:r>
      <w:proofErr w:type="spellEnd"/>
      <w:r w:rsidRPr="00874CA1">
        <w:rPr>
          <w:sz w:val="24"/>
          <w:szCs w:val="24"/>
        </w:rPr>
        <w:t xml:space="preserve"> (including input tax credits reinsurance, salvage, subrogation and other recovery types); inclusive of claims handling expense, assuming that industry generally includes claims handling costs with the claim paid component of the incurred claims expense; the outstanding claims component be inflated only i.e. undiscounted; and the outstanding claims component be on a central estimate basis i.e. without risk margins.</w:t>
      </w:r>
    </w:p>
    <w:p w14:paraId="163EE5B9" w14:textId="77777777" w:rsidR="00874CA1" w:rsidRPr="00874CA1" w:rsidRDefault="00874CA1" w:rsidP="00AA30D0">
      <w:pPr>
        <w:spacing w:after="240"/>
        <w:jc w:val="both"/>
        <w:rPr>
          <w:sz w:val="24"/>
          <w:szCs w:val="24"/>
        </w:rPr>
      </w:pPr>
      <w:r w:rsidRPr="00874CA1">
        <w:rPr>
          <w:sz w:val="24"/>
          <w:szCs w:val="24"/>
        </w:rPr>
        <w:t>'Current period' should only include claims incurred in the current accident year. For this purpose the current accident year should be aligned to the insurer's current financial year.</w:t>
      </w:r>
    </w:p>
    <w:p w14:paraId="05FFAC4C" w14:textId="77777777" w:rsidR="00874CA1" w:rsidRPr="00874CA1" w:rsidRDefault="00874CA1" w:rsidP="00AA30D0">
      <w:pPr>
        <w:spacing w:after="240"/>
        <w:jc w:val="both"/>
        <w:rPr>
          <w:sz w:val="24"/>
          <w:szCs w:val="24"/>
        </w:rPr>
      </w:pPr>
      <w:r w:rsidRPr="00874CA1">
        <w:rPr>
          <w:sz w:val="24"/>
          <w:szCs w:val="24"/>
        </w:rPr>
        <w:t>For reinsurers, claims expense in the current financial year to date attributable to each of the current and immediately prior underwriting years should be adopted.</w:t>
      </w:r>
    </w:p>
    <w:p w14:paraId="3C819B07" w14:textId="357E7A96" w:rsidR="00874CA1" w:rsidRPr="00874CA1" w:rsidRDefault="00874CA1" w:rsidP="00AA30D0">
      <w:pPr>
        <w:spacing w:after="240"/>
        <w:jc w:val="both"/>
        <w:rPr>
          <w:rFonts w:ascii="Arial" w:hAnsi="Arial" w:cs="Arial"/>
          <w:b/>
          <w:i/>
          <w:sz w:val="24"/>
          <w:szCs w:val="24"/>
        </w:rPr>
      </w:pPr>
      <w:r w:rsidRPr="00874CA1">
        <w:rPr>
          <w:rFonts w:ascii="Arial" w:hAnsi="Arial" w:cs="Arial"/>
          <w:b/>
          <w:i/>
          <w:sz w:val="24"/>
          <w:szCs w:val="24"/>
        </w:rPr>
        <w:t>Net claims expense which is: Non-recurring items that are part of total net claims expense</w:t>
      </w:r>
    </w:p>
    <w:p w14:paraId="532536F4" w14:textId="77777777" w:rsidR="00874CA1" w:rsidRPr="00874CA1" w:rsidRDefault="00874CA1" w:rsidP="00AA30D0">
      <w:pPr>
        <w:spacing w:after="240"/>
        <w:jc w:val="both"/>
        <w:rPr>
          <w:sz w:val="24"/>
          <w:szCs w:val="24"/>
        </w:rPr>
      </w:pPr>
      <w:r w:rsidRPr="00874CA1">
        <w:rPr>
          <w:sz w:val="24"/>
          <w:szCs w:val="24"/>
        </w:rPr>
        <w:t>This is the value of net insurance claims expense recognised during the relevant period, but which only relate to non-recurring items. Non-recurring net claims expense represents those net claims expenses that are not classified as current period, and is a balancing item such that current period net claims expense and non-recurring claims expense are equal to net claims expense.</w:t>
      </w:r>
    </w:p>
    <w:p w14:paraId="55BA1F8E" w14:textId="6192BE05"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Acquisition costs (excluding the results of the liability adequacy tests)</w:t>
      </w:r>
    </w:p>
    <w:p w14:paraId="60598085"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all acquisition costs recognised as expenses. This is determined in accordance with AASB 1023.</w:t>
      </w:r>
      <w:r w:rsidRPr="00874CA1" w:rsidDel="00700557">
        <w:rPr>
          <w:sz w:val="24"/>
          <w:szCs w:val="24"/>
        </w:rPr>
        <w:t xml:space="preserve"> </w:t>
      </w:r>
    </w:p>
    <w:p w14:paraId="64A46AC5" w14:textId="77777777" w:rsidR="00874CA1" w:rsidRPr="00874CA1" w:rsidRDefault="00874CA1" w:rsidP="00AA30D0">
      <w:pPr>
        <w:spacing w:after="240"/>
        <w:jc w:val="both"/>
        <w:rPr>
          <w:sz w:val="24"/>
          <w:szCs w:val="24"/>
        </w:rPr>
      </w:pPr>
      <w:r w:rsidRPr="00874CA1">
        <w:rPr>
          <w:sz w:val="24"/>
          <w:szCs w:val="24"/>
        </w:rPr>
        <w:t xml:space="preserve">Acquisition costs are incurred in obtaining and recording insurance contracts. They include commission or brokerage paid to agent or brokers for obtaining business for the insurer, selling </w:t>
      </w:r>
      <w:r w:rsidRPr="00874CA1">
        <w:rPr>
          <w:sz w:val="24"/>
          <w:szCs w:val="24"/>
        </w:rPr>
        <w:lastRenderedPageBreak/>
        <w:t>and underwriting costs such as advertising and risk assessment, the administrative costs of recording policy information and premium collection costs.</w:t>
      </w:r>
    </w:p>
    <w:p w14:paraId="12A0FC75" w14:textId="4B775FC1" w:rsidR="00874CA1" w:rsidRPr="00874CA1" w:rsidRDefault="00874CA1" w:rsidP="00AA30D0">
      <w:pPr>
        <w:spacing w:after="240"/>
        <w:jc w:val="both"/>
        <w:rPr>
          <w:sz w:val="24"/>
          <w:szCs w:val="24"/>
        </w:rPr>
      </w:pPr>
      <w:r w:rsidRPr="00874CA1">
        <w:rPr>
          <w:sz w:val="24"/>
          <w:szCs w:val="24"/>
        </w:rPr>
        <w:t>For the purposes of this item exclude: commission expenses and results of the liability adequacy test (LAT).</w:t>
      </w:r>
    </w:p>
    <w:p w14:paraId="4501D5C4" w14:textId="2E64A9BC"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Results of liability adequacy tests (current year)</w:t>
      </w:r>
    </w:p>
    <w:p w14:paraId="7272A20F"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any adjustments to deferred acquisition costs or the unexpired risk liability as a result of performing the LAT. This item is determined in accordance with AASB 1023. Report at this item only the results of the LAT performed in the current relevant period.</w:t>
      </w:r>
    </w:p>
    <w:p w14:paraId="32BFFBD5" w14:textId="77777777" w:rsidR="00874CA1" w:rsidRPr="00874CA1" w:rsidRDefault="00874CA1" w:rsidP="00AA30D0">
      <w:pPr>
        <w:spacing w:after="240"/>
        <w:jc w:val="both"/>
        <w:rPr>
          <w:sz w:val="24"/>
          <w:szCs w:val="24"/>
        </w:rPr>
      </w:pPr>
      <w:r w:rsidRPr="00874CA1">
        <w:rPr>
          <w:sz w:val="24"/>
          <w:szCs w:val="24"/>
        </w:rPr>
        <w:t>LAT means an assessment of whether the carrying amount of an insurance liability needs to be increased (or the carrying amount of the related deferred acquisition costs or related intangible assets decreased) based on a review of future cash flows.</w:t>
      </w:r>
    </w:p>
    <w:p w14:paraId="0A2CE0E4" w14:textId="77777777" w:rsidR="00874CA1" w:rsidRPr="00874CA1" w:rsidRDefault="00874CA1" w:rsidP="00AA30D0">
      <w:pPr>
        <w:spacing w:after="240"/>
        <w:jc w:val="both"/>
        <w:rPr>
          <w:sz w:val="24"/>
          <w:szCs w:val="24"/>
        </w:rPr>
      </w:pPr>
      <w:r w:rsidRPr="00874CA1">
        <w:rPr>
          <w:sz w:val="24"/>
          <w:szCs w:val="24"/>
        </w:rPr>
        <w:t>Results of LAT failures should be reported as a positive value.</w:t>
      </w:r>
    </w:p>
    <w:p w14:paraId="76BC3B61" w14:textId="589BE93F"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Results of liability adequacy tests (prior years)</w:t>
      </w:r>
    </w:p>
    <w:p w14:paraId="2E3EED0E"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any adjustments to deferred acquisition costs or the unexpired risk liability as a result of performing the LAT. This item is determined in accordance with AASB 1023. Report at this item only the results of the LAT performed in prior years which have a profit or loss impact in the current relevant period.</w:t>
      </w:r>
    </w:p>
    <w:p w14:paraId="3F18EC75" w14:textId="77777777" w:rsidR="00874CA1" w:rsidRPr="00874CA1" w:rsidRDefault="00874CA1" w:rsidP="00AA30D0">
      <w:pPr>
        <w:spacing w:after="240"/>
        <w:jc w:val="both"/>
        <w:rPr>
          <w:sz w:val="24"/>
          <w:szCs w:val="24"/>
        </w:rPr>
      </w:pPr>
      <w:r w:rsidRPr="00874CA1">
        <w:rPr>
          <w:sz w:val="24"/>
          <w:szCs w:val="24"/>
        </w:rPr>
        <w:t>Results of LAT failures should be reported as a positive value.</w:t>
      </w:r>
    </w:p>
    <w:p w14:paraId="3A340B16"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Levies and charges</w:t>
      </w:r>
    </w:p>
    <w:p w14:paraId="799A28E0" w14:textId="77777777" w:rsidR="00874CA1" w:rsidRPr="00874CA1" w:rsidRDefault="00874CA1" w:rsidP="00AA30D0">
      <w:pPr>
        <w:spacing w:after="240"/>
        <w:jc w:val="both"/>
        <w:rPr>
          <w:sz w:val="24"/>
          <w:szCs w:val="24"/>
        </w:rPr>
      </w:pPr>
      <w:r w:rsidRPr="00874CA1">
        <w:rPr>
          <w:sz w:val="24"/>
          <w:szCs w:val="24"/>
        </w:rPr>
        <w:t xml:space="preserve">This is the value, for the relevant period, of levies and charges payable by the reporting insurer and determined in accordance with AASB 1023. </w:t>
      </w:r>
    </w:p>
    <w:p w14:paraId="2A1F0A12"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Commission revenue</w:t>
      </w:r>
    </w:p>
    <w:p w14:paraId="03D20F36"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commission revenue earned in relation to the insurance business and excludes 'premium rebates' received from reinsurers. 'Premium rebates' should be reported as an offset to any reported outwards reinsurance expense, in accordance with AASB 1023.</w:t>
      </w:r>
    </w:p>
    <w:p w14:paraId="4F0B8184"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Commission expense</w:t>
      </w:r>
    </w:p>
    <w:p w14:paraId="07749726" w14:textId="77777777" w:rsidR="00874CA1" w:rsidRPr="00874CA1" w:rsidRDefault="00874CA1" w:rsidP="00AA30D0">
      <w:pPr>
        <w:spacing w:after="240"/>
        <w:jc w:val="both"/>
        <w:rPr>
          <w:sz w:val="24"/>
          <w:szCs w:val="24"/>
        </w:rPr>
      </w:pPr>
      <w:r w:rsidRPr="00874CA1">
        <w:rPr>
          <w:sz w:val="24"/>
          <w:szCs w:val="24"/>
        </w:rPr>
        <w:t xml:space="preserve">This is the value, for the duration of the relevant period, of commission or brokerage paid for obtaining business for the insurer. </w:t>
      </w:r>
    </w:p>
    <w:p w14:paraId="1ED73964"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Other underwriting expenses</w:t>
      </w:r>
    </w:p>
    <w:p w14:paraId="41C167BA" w14:textId="77777777" w:rsidR="00874CA1" w:rsidRPr="00874CA1" w:rsidRDefault="00874CA1" w:rsidP="00AA30D0">
      <w:pPr>
        <w:spacing w:after="240"/>
        <w:jc w:val="both"/>
        <w:rPr>
          <w:sz w:val="24"/>
          <w:szCs w:val="24"/>
        </w:rPr>
      </w:pPr>
      <w:r w:rsidRPr="00874CA1">
        <w:rPr>
          <w:sz w:val="24"/>
          <w:szCs w:val="24"/>
        </w:rPr>
        <w:t>This is a balancing item and is the value, for the duration of the relevant period, of any other underwriting expenses. This item is determined in accordance with AASB 1023. Other underwriting expenses excludes: acquisition costs and the results of liability adequacy tests; levies and charges; and commission expense.</w:t>
      </w:r>
    </w:p>
    <w:p w14:paraId="33B51F77" w14:textId="77777777" w:rsidR="00874CA1" w:rsidRPr="00874CA1" w:rsidRDefault="00874CA1" w:rsidP="00AA30D0">
      <w:pPr>
        <w:spacing w:after="240"/>
        <w:jc w:val="both"/>
        <w:rPr>
          <w:sz w:val="24"/>
          <w:szCs w:val="24"/>
        </w:rPr>
      </w:pPr>
      <w:r w:rsidRPr="00874CA1">
        <w:rPr>
          <w:sz w:val="24"/>
          <w:szCs w:val="24"/>
        </w:rPr>
        <w:lastRenderedPageBreak/>
        <w:t xml:space="preserve">It is automatically calculated as </w:t>
      </w:r>
      <w:r w:rsidRPr="00874CA1">
        <w:rPr>
          <w:i/>
          <w:sz w:val="24"/>
          <w:szCs w:val="24"/>
        </w:rPr>
        <w:t>Total underwriting expenses</w:t>
      </w:r>
      <w:r w:rsidRPr="00874CA1">
        <w:rPr>
          <w:sz w:val="24"/>
          <w:szCs w:val="24"/>
        </w:rPr>
        <w:t xml:space="preserve"> less the sum of </w:t>
      </w:r>
      <w:r w:rsidRPr="00874CA1">
        <w:rPr>
          <w:i/>
          <w:iCs/>
          <w:sz w:val="24"/>
          <w:szCs w:val="24"/>
        </w:rPr>
        <w:t>Acquisition costs (excluding the results of the liability adequacy tests)</w:t>
      </w:r>
      <w:r w:rsidRPr="00874CA1">
        <w:rPr>
          <w:sz w:val="24"/>
          <w:szCs w:val="24"/>
        </w:rPr>
        <w:t xml:space="preserve">, </w:t>
      </w:r>
      <w:r w:rsidRPr="00874CA1">
        <w:rPr>
          <w:i/>
          <w:iCs/>
          <w:sz w:val="24"/>
          <w:szCs w:val="24"/>
        </w:rPr>
        <w:t>Results of liability adequacy tests (current year)</w:t>
      </w:r>
      <w:r w:rsidRPr="00874CA1">
        <w:rPr>
          <w:sz w:val="24"/>
          <w:szCs w:val="24"/>
        </w:rPr>
        <w:t xml:space="preserve">, </w:t>
      </w:r>
      <w:r w:rsidRPr="00874CA1">
        <w:rPr>
          <w:i/>
          <w:iCs/>
          <w:sz w:val="24"/>
          <w:szCs w:val="24"/>
        </w:rPr>
        <w:t>Results of liability adequacy tests (prior years)</w:t>
      </w:r>
      <w:r w:rsidRPr="00874CA1">
        <w:rPr>
          <w:sz w:val="24"/>
          <w:szCs w:val="24"/>
        </w:rPr>
        <w:t xml:space="preserve">, </w:t>
      </w:r>
      <w:r w:rsidRPr="00874CA1">
        <w:rPr>
          <w:i/>
          <w:iCs/>
          <w:sz w:val="24"/>
          <w:szCs w:val="24"/>
        </w:rPr>
        <w:t>Levies and charges</w:t>
      </w:r>
      <w:r w:rsidRPr="00874CA1">
        <w:rPr>
          <w:sz w:val="24"/>
          <w:szCs w:val="24"/>
        </w:rPr>
        <w:t xml:space="preserve">, </w:t>
      </w:r>
      <w:r w:rsidRPr="00874CA1">
        <w:rPr>
          <w:i/>
          <w:iCs/>
          <w:sz w:val="24"/>
          <w:szCs w:val="24"/>
        </w:rPr>
        <w:t>Commission expense</w:t>
      </w:r>
      <w:r w:rsidRPr="00874CA1">
        <w:rPr>
          <w:sz w:val="24"/>
          <w:szCs w:val="24"/>
        </w:rPr>
        <w:t xml:space="preserve">, </w:t>
      </w:r>
      <w:r w:rsidRPr="00874CA1">
        <w:rPr>
          <w:i/>
          <w:iCs/>
          <w:sz w:val="24"/>
          <w:szCs w:val="24"/>
        </w:rPr>
        <w:t>Other underwriting expenses</w:t>
      </w:r>
      <w:r w:rsidRPr="00874CA1">
        <w:rPr>
          <w:sz w:val="24"/>
          <w:szCs w:val="24"/>
        </w:rPr>
        <w:t xml:space="preserve"> plus </w:t>
      </w:r>
      <w:r w:rsidRPr="00874CA1">
        <w:rPr>
          <w:i/>
          <w:iCs/>
          <w:sz w:val="24"/>
          <w:szCs w:val="24"/>
        </w:rPr>
        <w:t>Commission revenue</w:t>
      </w:r>
      <w:r w:rsidRPr="00874CA1">
        <w:rPr>
          <w:sz w:val="24"/>
          <w:szCs w:val="24"/>
        </w:rPr>
        <w:t>.</w:t>
      </w:r>
    </w:p>
    <w:p w14:paraId="4684EA5A"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Total underwriting expenses</w:t>
      </w:r>
    </w:p>
    <w:p w14:paraId="741F5B87" w14:textId="77777777" w:rsidR="00874CA1" w:rsidRPr="00874CA1" w:rsidRDefault="00874CA1" w:rsidP="00AA30D0">
      <w:pPr>
        <w:spacing w:after="240"/>
        <w:jc w:val="both"/>
        <w:rPr>
          <w:sz w:val="24"/>
          <w:szCs w:val="24"/>
        </w:rPr>
      </w:pPr>
      <w:r w:rsidRPr="00874CA1">
        <w:rPr>
          <w:sz w:val="24"/>
          <w:szCs w:val="24"/>
        </w:rPr>
        <w:t xml:space="preserve">This is the total of underwriting expenses of the reporting insurer, including acquisition costs, the results of liability adequacy tests, levies and charges and commission expense net of commission revenue. </w:t>
      </w:r>
    </w:p>
    <w:p w14:paraId="72074C44"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Underwriting result</w:t>
      </w:r>
    </w:p>
    <w:p w14:paraId="1D05C138" w14:textId="07E7463B"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Net premium revenue</w:t>
      </w:r>
      <w:r w:rsidRPr="00874CA1">
        <w:rPr>
          <w:sz w:val="24"/>
          <w:szCs w:val="24"/>
        </w:rPr>
        <w:t xml:space="preserve"> less </w:t>
      </w:r>
      <w:r w:rsidRPr="00874CA1">
        <w:rPr>
          <w:i/>
          <w:iCs/>
          <w:sz w:val="24"/>
          <w:szCs w:val="24"/>
        </w:rPr>
        <w:t>Net claims expense</w:t>
      </w:r>
      <w:r w:rsidRPr="00874CA1">
        <w:rPr>
          <w:sz w:val="24"/>
          <w:szCs w:val="24"/>
        </w:rPr>
        <w:t xml:space="preserve"> less </w:t>
      </w:r>
      <w:r w:rsidRPr="00874CA1">
        <w:rPr>
          <w:i/>
          <w:iCs/>
          <w:sz w:val="24"/>
          <w:szCs w:val="24"/>
        </w:rPr>
        <w:t>Total underwriting expenses</w:t>
      </w:r>
      <w:r w:rsidRPr="00874CA1">
        <w:rPr>
          <w:sz w:val="24"/>
          <w:szCs w:val="24"/>
        </w:rPr>
        <w:t>.</w:t>
      </w:r>
    </w:p>
    <w:p w14:paraId="00D24635"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Investment income on assets backing insurance liabilities</w:t>
      </w:r>
    </w:p>
    <w:p w14:paraId="1DDC0FF6" w14:textId="77777777" w:rsidR="00874CA1" w:rsidRPr="00874CA1" w:rsidRDefault="00874CA1" w:rsidP="00AA30D0">
      <w:pPr>
        <w:spacing w:after="240"/>
        <w:jc w:val="both"/>
        <w:rPr>
          <w:sz w:val="24"/>
          <w:szCs w:val="24"/>
        </w:rPr>
      </w:pPr>
      <w:r w:rsidRPr="00874CA1">
        <w:rPr>
          <w:sz w:val="24"/>
          <w:szCs w:val="24"/>
        </w:rPr>
        <w:t xml:space="preserve">Report the value of investment income, including realised and unrealised capital gains/losses associated with the entity's investments backing insurance liabilities. </w:t>
      </w:r>
    </w:p>
    <w:p w14:paraId="1E5D0665"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Investment expenses on assets backing insurance liabilities</w:t>
      </w:r>
    </w:p>
    <w:p w14:paraId="71CB0E3E" w14:textId="77777777" w:rsidR="00874CA1" w:rsidRPr="00874CA1" w:rsidRDefault="00874CA1" w:rsidP="00AA30D0">
      <w:pPr>
        <w:spacing w:after="240"/>
        <w:jc w:val="both"/>
        <w:rPr>
          <w:sz w:val="24"/>
          <w:szCs w:val="24"/>
        </w:rPr>
      </w:pPr>
      <w:r w:rsidRPr="00874CA1">
        <w:rPr>
          <w:sz w:val="24"/>
          <w:szCs w:val="24"/>
        </w:rPr>
        <w:t>Report the value of all expenses which are associated with the generation of income on the entity's investments backing insurance liabilities. Do not include expenses of an administrative or operating nature.</w:t>
      </w:r>
    </w:p>
    <w:p w14:paraId="15EE55E7"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Insurance result</w:t>
      </w:r>
    </w:p>
    <w:p w14:paraId="7362340A"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Underwriting result</w:t>
      </w:r>
      <w:r w:rsidRPr="00874CA1">
        <w:rPr>
          <w:sz w:val="24"/>
          <w:szCs w:val="24"/>
        </w:rPr>
        <w:t xml:space="preserve"> plus </w:t>
      </w:r>
      <w:r w:rsidRPr="00874CA1">
        <w:rPr>
          <w:i/>
          <w:iCs/>
          <w:sz w:val="24"/>
          <w:szCs w:val="24"/>
        </w:rPr>
        <w:t>Investment income on assets backing insurance liabilities</w:t>
      </w:r>
      <w:r w:rsidRPr="00874CA1">
        <w:rPr>
          <w:sz w:val="24"/>
          <w:szCs w:val="24"/>
        </w:rPr>
        <w:t xml:space="preserve"> less </w:t>
      </w:r>
      <w:r w:rsidRPr="00874CA1">
        <w:rPr>
          <w:i/>
          <w:iCs/>
          <w:sz w:val="24"/>
          <w:szCs w:val="24"/>
        </w:rPr>
        <w:t>Investment expenses on assets backing insurance liabilities</w:t>
      </w:r>
      <w:r w:rsidRPr="00874CA1">
        <w:rPr>
          <w:sz w:val="24"/>
          <w:szCs w:val="24"/>
        </w:rPr>
        <w:t>.</w:t>
      </w:r>
    </w:p>
    <w:p w14:paraId="19735B85"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Investment income on shareholders’ funds</w:t>
      </w:r>
    </w:p>
    <w:p w14:paraId="2788BF4F" w14:textId="77777777" w:rsidR="00FC4F02" w:rsidRPr="00874CA1" w:rsidRDefault="00874CA1" w:rsidP="00AA30D0">
      <w:pPr>
        <w:spacing w:after="240"/>
        <w:jc w:val="both"/>
        <w:rPr>
          <w:sz w:val="24"/>
          <w:szCs w:val="24"/>
        </w:rPr>
      </w:pPr>
      <w:r w:rsidRPr="00874CA1">
        <w:rPr>
          <w:sz w:val="24"/>
          <w:szCs w:val="24"/>
        </w:rPr>
        <w:t>Report the value of investment income, including realised and unrealised capital gains/losses associated with the entity's investments which do not back insurance liabilities.</w:t>
      </w:r>
    </w:p>
    <w:p w14:paraId="798AC8C4" w14:textId="1AFF84D0" w:rsidR="00874CA1" w:rsidRPr="00874CA1" w:rsidRDefault="00874CA1" w:rsidP="00AA30D0">
      <w:pPr>
        <w:spacing w:after="240"/>
        <w:jc w:val="both"/>
        <w:rPr>
          <w:sz w:val="24"/>
          <w:szCs w:val="24"/>
        </w:rPr>
      </w:pPr>
      <w:r w:rsidRPr="00874CA1">
        <w:rPr>
          <w:sz w:val="24"/>
          <w:szCs w:val="24"/>
        </w:rPr>
        <w:t>In cases where the insurer has an existing internal split of the assets between shareholders and insurance liabilities then this should be used to determine the investment income attributable to shareholder funds. Otherwise insurers must assume that the insurance liabilities are backed by investment assets and proportionally allocate the investment income to the insurance liabilities and the balance to shareholders' funds.</w:t>
      </w:r>
    </w:p>
    <w:p w14:paraId="5C450408" w14:textId="77777777" w:rsidR="00874CA1" w:rsidRPr="00874CA1" w:rsidRDefault="00874CA1" w:rsidP="00AA30D0">
      <w:pPr>
        <w:spacing w:after="240"/>
        <w:jc w:val="both"/>
        <w:rPr>
          <w:sz w:val="24"/>
          <w:szCs w:val="24"/>
        </w:rPr>
      </w:pPr>
      <w:r w:rsidRPr="00874CA1">
        <w:rPr>
          <w:sz w:val="24"/>
          <w:szCs w:val="24"/>
        </w:rPr>
        <w:t>This amount should correspond to Item 1.10.1 in GRF 310.3.</w:t>
      </w:r>
    </w:p>
    <w:p w14:paraId="5EB8986C"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Other operating income</w:t>
      </w:r>
    </w:p>
    <w:p w14:paraId="6ABC4830"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other operating income. This item represents all income which is not considered part of the insurance result or investment income on shareholders' funds.</w:t>
      </w:r>
    </w:p>
    <w:p w14:paraId="542A5B4A" w14:textId="77777777" w:rsidR="00874CA1" w:rsidRPr="00874CA1" w:rsidRDefault="00874CA1" w:rsidP="00AA30D0">
      <w:pPr>
        <w:spacing w:after="240"/>
        <w:jc w:val="both"/>
        <w:rPr>
          <w:sz w:val="24"/>
          <w:szCs w:val="24"/>
        </w:rPr>
      </w:pPr>
      <w:r w:rsidRPr="00874CA1">
        <w:rPr>
          <w:sz w:val="24"/>
          <w:szCs w:val="24"/>
        </w:rPr>
        <w:t>This amount should correspond to Item 2.8 in GRF 310.3.</w:t>
      </w:r>
    </w:p>
    <w:p w14:paraId="77FCF767"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lastRenderedPageBreak/>
        <w:t>Other operating expenses</w:t>
      </w:r>
    </w:p>
    <w:p w14:paraId="3EAC1C3C" w14:textId="77777777" w:rsidR="00874CA1" w:rsidRPr="00874CA1" w:rsidRDefault="00874CA1" w:rsidP="00AA30D0">
      <w:pPr>
        <w:spacing w:after="240"/>
        <w:jc w:val="both"/>
        <w:rPr>
          <w:sz w:val="24"/>
          <w:szCs w:val="24"/>
        </w:rPr>
      </w:pPr>
      <w:r w:rsidRPr="00874CA1">
        <w:rPr>
          <w:sz w:val="24"/>
          <w:szCs w:val="24"/>
        </w:rPr>
        <w:t>This is the value, for the duration of the relevant period, of other operating expenses. This item represents all expenses which are not associated with the generation of investment income on assets backing insurance liabilities.</w:t>
      </w:r>
    </w:p>
    <w:p w14:paraId="6BC40056" w14:textId="77777777" w:rsidR="00874CA1" w:rsidRPr="00874CA1" w:rsidRDefault="00874CA1" w:rsidP="00AA30D0">
      <w:pPr>
        <w:spacing w:after="240"/>
        <w:jc w:val="both"/>
        <w:rPr>
          <w:sz w:val="24"/>
          <w:szCs w:val="24"/>
        </w:rPr>
      </w:pPr>
      <w:r w:rsidRPr="00874CA1">
        <w:rPr>
          <w:sz w:val="24"/>
          <w:szCs w:val="24"/>
        </w:rPr>
        <w:t>This amount should correspond to Item 3.5 in GRF 310.3.</w:t>
      </w:r>
    </w:p>
    <w:p w14:paraId="594DDB93"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Bargain purchase immediately recognised in profit and loss</w:t>
      </w:r>
    </w:p>
    <w:p w14:paraId="1AED8BD1" w14:textId="77777777" w:rsidR="00874CA1" w:rsidRPr="00874CA1" w:rsidRDefault="00874CA1" w:rsidP="00AA30D0">
      <w:pPr>
        <w:spacing w:after="240"/>
        <w:jc w:val="both"/>
        <w:rPr>
          <w:sz w:val="24"/>
          <w:szCs w:val="24"/>
        </w:rPr>
      </w:pPr>
      <w:r w:rsidRPr="00874CA1">
        <w:rPr>
          <w:sz w:val="24"/>
          <w:szCs w:val="24"/>
        </w:rPr>
        <w:t xml:space="preserve">This item must be completed in accordance with the requirements of </w:t>
      </w:r>
      <w:r w:rsidRPr="00874CA1">
        <w:rPr>
          <w:i/>
          <w:iCs/>
          <w:sz w:val="24"/>
          <w:szCs w:val="24"/>
        </w:rPr>
        <w:t>Accounting Standard AASB 3 Business Combinations</w:t>
      </w:r>
      <w:r w:rsidRPr="00874CA1">
        <w:rPr>
          <w:sz w:val="24"/>
          <w:szCs w:val="24"/>
        </w:rPr>
        <w:t xml:space="preserve"> (AASB 3).</w:t>
      </w:r>
    </w:p>
    <w:p w14:paraId="26199C9B"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Profit (loss) from non-current assets and disposal groups classified as held for sale and not qualifying as discontinued operations</w:t>
      </w:r>
    </w:p>
    <w:p w14:paraId="3F99AB51" w14:textId="77777777" w:rsidR="00874CA1" w:rsidRPr="00874CA1" w:rsidRDefault="00874CA1" w:rsidP="00AA30D0">
      <w:pPr>
        <w:spacing w:after="240"/>
        <w:jc w:val="both"/>
        <w:rPr>
          <w:sz w:val="24"/>
          <w:szCs w:val="24"/>
        </w:rPr>
      </w:pPr>
      <w:r w:rsidRPr="00874CA1">
        <w:rPr>
          <w:sz w:val="24"/>
          <w:szCs w:val="24"/>
        </w:rPr>
        <w:t xml:space="preserve">Report any gain or loss on the remeasurement of a non-current asset (or disposal group) classified as held for sale that does not meet the definition of a discontinued operation. This item must be completed in accordance with the requirements of </w:t>
      </w:r>
      <w:r w:rsidRPr="00874CA1">
        <w:rPr>
          <w:i/>
          <w:iCs/>
          <w:sz w:val="24"/>
          <w:szCs w:val="24"/>
        </w:rPr>
        <w:t>Australian Accounting Standard AASB 5 Non-current Assets Held for Sale and Discontinued Operations</w:t>
      </w:r>
      <w:r w:rsidRPr="00874CA1">
        <w:rPr>
          <w:sz w:val="24"/>
          <w:szCs w:val="24"/>
        </w:rPr>
        <w:t xml:space="preserve"> (AASB 5).</w:t>
      </w:r>
    </w:p>
    <w:p w14:paraId="054E276F" w14:textId="28714F8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Profit (loss) from continuing operations before income tax expense (benefit)</w:t>
      </w:r>
    </w:p>
    <w:p w14:paraId="224B7B1C"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Insurance result</w:t>
      </w:r>
      <w:r w:rsidRPr="00874CA1">
        <w:rPr>
          <w:sz w:val="24"/>
          <w:szCs w:val="24"/>
        </w:rPr>
        <w:t xml:space="preserve"> plus </w:t>
      </w:r>
      <w:r w:rsidRPr="00874CA1">
        <w:rPr>
          <w:i/>
          <w:iCs/>
          <w:sz w:val="24"/>
          <w:szCs w:val="24"/>
        </w:rPr>
        <w:t>Investment income on shareholders' funds</w:t>
      </w:r>
      <w:r w:rsidRPr="00874CA1">
        <w:rPr>
          <w:sz w:val="24"/>
          <w:szCs w:val="24"/>
        </w:rPr>
        <w:t xml:space="preserve"> plus </w:t>
      </w:r>
      <w:r w:rsidRPr="00874CA1">
        <w:rPr>
          <w:i/>
          <w:iCs/>
          <w:sz w:val="24"/>
          <w:szCs w:val="24"/>
        </w:rPr>
        <w:t>Other operating income</w:t>
      </w:r>
      <w:r w:rsidRPr="00874CA1">
        <w:rPr>
          <w:sz w:val="24"/>
          <w:szCs w:val="24"/>
        </w:rPr>
        <w:t xml:space="preserve"> less </w:t>
      </w:r>
      <w:r w:rsidRPr="00874CA1">
        <w:rPr>
          <w:i/>
          <w:iCs/>
          <w:sz w:val="24"/>
          <w:szCs w:val="24"/>
        </w:rPr>
        <w:t>Other operating expenses</w:t>
      </w:r>
      <w:r w:rsidRPr="00874CA1">
        <w:rPr>
          <w:sz w:val="24"/>
          <w:szCs w:val="24"/>
        </w:rPr>
        <w:t xml:space="preserve"> less </w:t>
      </w:r>
      <w:r w:rsidRPr="00874CA1">
        <w:rPr>
          <w:i/>
          <w:iCs/>
          <w:sz w:val="24"/>
          <w:szCs w:val="24"/>
        </w:rPr>
        <w:t>Bargain purchase immediately recognised in profit or loss</w:t>
      </w:r>
      <w:r w:rsidRPr="00874CA1">
        <w:rPr>
          <w:sz w:val="24"/>
          <w:szCs w:val="24"/>
        </w:rPr>
        <w:t xml:space="preserve"> plus </w:t>
      </w:r>
      <w:r w:rsidRPr="00874CA1">
        <w:rPr>
          <w:i/>
          <w:iCs/>
          <w:sz w:val="24"/>
          <w:szCs w:val="24"/>
        </w:rPr>
        <w:t>Profit (loss) from non-current assets and disposal groups classified as held for sale and not qualifying as discontinued operations.</w:t>
      </w:r>
    </w:p>
    <w:p w14:paraId="44BE93F9"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Income tax expense (benefit) from continuing operations</w:t>
      </w:r>
    </w:p>
    <w:p w14:paraId="5E3F9724" w14:textId="77777777" w:rsidR="00874CA1" w:rsidRPr="00874CA1" w:rsidRDefault="00874CA1" w:rsidP="00AA30D0">
      <w:pPr>
        <w:spacing w:after="240"/>
        <w:jc w:val="both"/>
        <w:rPr>
          <w:sz w:val="24"/>
          <w:szCs w:val="24"/>
        </w:rPr>
      </w:pPr>
      <w:r w:rsidRPr="00874CA1">
        <w:rPr>
          <w:sz w:val="24"/>
          <w:szCs w:val="24"/>
        </w:rPr>
        <w:t xml:space="preserve">This is the income tax expense (benefit) attributable to the profit (loss) from continuing operations for the relevant period. Income tax expense is reported in accordance with </w:t>
      </w:r>
      <w:r w:rsidRPr="00874CA1">
        <w:rPr>
          <w:i/>
          <w:iCs/>
          <w:sz w:val="24"/>
          <w:szCs w:val="24"/>
        </w:rPr>
        <w:t>Australian Accounting Standard AASB 112 Income Taxes</w:t>
      </w:r>
      <w:r w:rsidRPr="00874CA1">
        <w:rPr>
          <w:sz w:val="24"/>
          <w:szCs w:val="24"/>
        </w:rPr>
        <w:t xml:space="preserve"> (AASB 112).</w:t>
      </w:r>
    </w:p>
    <w:p w14:paraId="48961832" w14:textId="333C56E9"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Profit (loss) from continuing operations after income tax</w:t>
      </w:r>
    </w:p>
    <w:p w14:paraId="412B0105"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Profit (loss) from continuing operations before income tax expense (benefit)</w:t>
      </w:r>
      <w:r w:rsidRPr="00874CA1">
        <w:rPr>
          <w:sz w:val="24"/>
          <w:szCs w:val="24"/>
        </w:rPr>
        <w:t xml:space="preserve"> less </w:t>
      </w:r>
      <w:r w:rsidRPr="00874CA1">
        <w:rPr>
          <w:i/>
          <w:iCs/>
          <w:sz w:val="24"/>
          <w:szCs w:val="24"/>
        </w:rPr>
        <w:t>Income tax expense (benefit) from continuing operations.</w:t>
      </w:r>
    </w:p>
    <w:p w14:paraId="29D2E1E7" w14:textId="2CDF002A" w:rsidR="00874CA1" w:rsidRPr="00874CA1" w:rsidRDefault="00874CA1" w:rsidP="00AA30D0">
      <w:pPr>
        <w:keepNext/>
        <w:spacing w:after="240"/>
        <w:ind w:left="567" w:hanging="567"/>
        <w:jc w:val="both"/>
        <w:rPr>
          <w:rFonts w:ascii="Arial" w:hAnsi="Arial" w:cs="Arial"/>
          <w:b/>
          <w:sz w:val="24"/>
          <w:szCs w:val="24"/>
        </w:rPr>
      </w:pPr>
      <w:r w:rsidRPr="00874CA1">
        <w:rPr>
          <w:rFonts w:ascii="Arial" w:hAnsi="Arial" w:cs="Arial"/>
          <w:b/>
          <w:sz w:val="24"/>
          <w:szCs w:val="24"/>
        </w:rPr>
        <w:t>Profit (loss) from discontinued operations after income tax</w:t>
      </w:r>
    </w:p>
    <w:p w14:paraId="1A312087" w14:textId="77777777" w:rsidR="00874CA1" w:rsidRPr="00874CA1" w:rsidRDefault="00874CA1" w:rsidP="00AA30D0">
      <w:pPr>
        <w:spacing w:after="240"/>
        <w:jc w:val="both"/>
        <w:rPr>
          <w:sz w:val="24"/>
          <w:szCs w:val="24"/>
        </w:rPr>
      </w:pPr>
      <w:r w:rsidRPr="00874CA1">
        <w:rPr>
          <w:sz w:val="24"/>
          <w:szCs w:val="24"/>
        </w:rPr>
        <w:t xml:space="preserve">This is the profit (loss) after tax from discontinued operations for the relevant period. This item is calculated in accordance with AASB 5. It represents the operating results of discontinued operations and the gain or loss on sale of the discontinued operations. Remeasurement gains or losses of non-current assets or disposal groups classified as held for sale which meet the definition of a discontinued operation are excluded from this value. </w:t>
      </w:r>
    </w:p>
    <w:p w14:paraId="69B9AB10"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Net profit (loss) after income tax attributable to members of the company</w:t>
      </w:r>
    </w:p>
    <w:p w14:paraId="12E484B8"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Profit (loss) from continuing operations after income tax</w:t>
      </w:r>
      <w:r w:rsidRPr="00874CA1">
        <w:rPr>
          <w:sz w:val="24"/>
          <w:szCs w:val="24"/>
        </w:rPr>
        <w:t xml:space="preserve"> plus </w:t>
      </w:r>
      <w:r w:rsidRPr="00874CA1">
        <w:rPr>
          <w:i/>
          <w:iCs/>
          <w:sz w:val="24"/>
          <w:szCs w:val="24"/>
        </w:rPr>
        <w:t>Profit (loss) from discontinued operations after income tax</w:t>
      </w:r>
      <w:r w:rsidRPr="00874CA1">
        <w:rPr>
          <w:sz w:val="24"/>
          <w:szCs w:val="24"/>
        </w:rPr>
        <w:t>.</w:t>
      </w:r>
    </w:p>
    <w:p w14:paraId="63C43CA4"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lastRenderedPageBreak/>
        <w:t>Opening / closing balance of retained earnings (</w:t>
      </w:r>
      <w:proofErr w:type="spellStart"/>
      <w:r w:rsidRPr="00874CA1">
        <w:rPr>
          <w:rFonts w:ascii="Arial" w:hAnsi="Arial" w:cs="Arial"/>
          <w:b/>
          <w:sz w:val="24"/>
          <w:szCs w:val="24"/>
        </w:rPr>
        <w:t>non Category</w:t>
      </w:r>
      <w:proofErr w:type="spellEnd"/>
      <w:r w:rsidRPr="00874CA1">
        <w:rPr>
          <w:rFonts w:ascii="Arial" w:hAnsi="Arial" w:cs="Arial"/>
          <w:b/>
          <w:sz w:val="24"/>
          <w:szCs w:val="24"/>
        </w:rPr>
        <w:t xml:space="preserve"> C insurers only)</w:t>
      </w:r>
    </w:p>
    <w:p w14:paraId="7A574973" w14:textId="77777777" w:rsidR="00874CA1" w:rsidRPr="00874CA1" w:rsidRDefault="00874CA1" w:rsidP="00AA30D0">
      <w:pPr>
        <w:spacing w:after="240"/>
        <w:jc w:val="both"/>
        <w:rPr>
          <w:sz w:val="24"/>
          <w:szCs w:val="24"/>
        </w:rPr>
      </w:pPr>
      <w:r w:rsidRPr="00874CA1">
        <w:rPr>
          <w:sz w:val="24"/>
          <w:szCs w:val="24"/>
        </w:rPr>
        <w:t>This section is to be completed by insurers that are not classified as category C insurers as per GPS 001.</w:t>
      </w:r>
    </w:p>
    <w:p w14:paraId="01A9B3DF" w14:textId="1E04A50B"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Retained earnings at the beginning of the financial year</w:t>
      </w:r>
    </w:p>
    <w:p w14:paraId="6666257C" w14:textId="77777777" w:rsidR="00874CA1" w:rsidRPr="00874CA1" w:rsidRDefault="00874CA1" w:rsidP="00AA30D0">
      <w:pPr>
        <w:spacing w:after="240"/>
        <w:jc w:val="both"/>
        <w:rPr>
          <w:sz w:val="24"/>
          <w:szCs w:val="24"/>
        </w:rPr>
      </w:pPr>
      <w:r w:rsidRPr="00874CA1">
        <w:rPr>
          <w:sz w:val="24"/>
          <w:szCs w:val="24"/>
        </w:rPr>
        <w:t>This is the value, as at the relevant date, of retained earnings at the beginning of the current financial year.</w:t>
      </w:r>
    </w:p>
    <w:p w14:paraId="77B8FE15" w14:textId="77777777" w:rsidR="00874CA1" w:rsidRPr="00874CA1" w:rsidRDefault="00874CA1" w:rsidP="00AA30D0">
      <w:pPr>
        <w:spacing w:after="240"/>
        <w:jc w:val="both"/>
        <w:rPr>
          <w:rFonts w:ascii="Arial" w:hAnsi="Arial" w:cs="Arial"/>
          <w:b/>
          <w:sz w:val="24"/>
          <w:szCs w:val="24"/>
        </w:rPr>
      </w:pPr>
      <w:r w:rsidRPr="00874CA1">
        <w:rPr>
          <w:rFonts w:ascii="Arial" w:hAnsi="Arial" w:cs="Arial"/>
          <w:b/>
          <w:sz w:val="24"/>
          <w:szCs w:val="24"/>
        </w:rPr>
        <w:t>Adjustments to retained earnings due to change in accounting policies / standards</w:t>
      </w:r>
    </w:p>
    <w:p w14:paraId="0EF8507C" w14:textId="77777777" w:rsidR="00874CA1" w:rsidRPr="00874CA1" w:rsidRDefault="00874CA1" w:rsidP="00AA30D0">
      <w:pPr>
        <w:spacing w:after="240"/>
        <w:jc w:val="both"/>
        <w:rPr>
          <w:sz w:val="24"/>
          <w:szCs w:val="24"/>
        </w:rPr>
      </w:pPr>
      <w:r w:rsidRPr="00874CA1">
        <w:rPr>
          <w:sz w:val="24"/>
          <w:szCs w:val="24"/>
        </w:rPr>
        <w:t>This is the value of aggregate adjustments to retained earnings due to changes in accounting policies or accounting treatment as required by a revised Australian Accounting Standard.</w:t>
      </w:r>
    </w:p>
    <w:p w14:paraId="67346B67"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Reduction in retained earnings on share buy back</w:t>
      </w:r>
    </w:p>
    <w:p w14:paraId="76B8ECE3" w14:textId="77777777" w:rsidR="00FC4F02" w:rsidRPr="00874CA1" w:rsidRDefault="00874CA1" w:rsidP="00AA30D0">
      <w:pPr>
        <w:spacing w:after="240"/>
        <w:jc w:val="both"/>
        <w:rPr>
          <w:sz w:val="24"/>
          <w:szCs w:val="24"/>
        </w:rPr>
      </w:pPr>
      <w:r w:rsidRPr="00874CA1">
        <w:rPr>
          <w:sz w:val="24"/>
          <w:szCs w:val="24"/>
        </w:rPr>
        <w:t>This is the value of the reduction in the reporting insurer's retained earnings due to the buy back, or repurchase, of shares on issue during the relevant period. This represents the portion of the consideration used for share buy backs that is allocated to retained earnings.</w:t>
      </w:r>
    </w:p>
    <w:p w14:paraId="61093DC2" w14:textId="437D3D1E" w:rsidR="00874CA1" w:rsidRPr="00874CA1" w:rsidRDefault="00874CA1" w:rsidP="00AA30D0">
      <w:pPr>
        <w:spacing w:after="240"/>
        <w:jc w:val="both"/>
        <w:rPr>
          <w:sz w:val="24"/>
          <w:szCs w:val="24"/>
        </w:rPr>
      </w:pPr>
      <w:r w:rsidRPr="00874CA1">
        <w:rPr>
          <w:sz w:val="24"/>
          <w:szCs w:val="24"/>
        </w:rPr>
        <w:t>Any reduction to retained earnings due to a buy back is to be reported as a negative amount.</w:t>
      </w:r>
    </w:p>
    <w:p w14:paraId="3A933888"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Amounts transferred from / to reserves</w:t>
      </w:r>
    </w:p>
    <w:p w14:paraId="3CEC9951" w14:textId="77777777" w:rsidR="00874CA1" w:rsidRPr="00874CA1" w:rsidRDefault="00874CA1" w:rsidP="00AA30D0">
      <w:pPr>
        <w:spacing w:after="240"/>
        <w:jc w:val="both"/>
        <w:rPr>
          <w:sz w:val="24"/>
          <w:szCs w:val="24"/>
        </w:rPr>
      </w:pPr>
      <w:r w:rsidRPr="00874CA1">
        <w:rPr>
          <w:sz w:val="24"/>
          <w:szCs w:val="24"/>
        </w:rPr>
        <w:t>This is the value, for the relevant period, of funds that have been transferred to (from) retained earnings from (to) reserves.</w:t>
      </w:r>
    </w:p>
    <w:p w14:paraId="5BC27F15" w14:textId="77777777" w:rsidR="00874CA1" w:rsidRPr="00874CA1" w:rsidRDefault="00874CA1" w:rsidP="00AA30D0">
      <w:pPr>
        <w:spacing w:after="240"/>
        <w:jc w:val="both"/>
        <w:rPr>
          <w:sz w:val="24"/>
          <w:szCs w:val="24"/>
        </w:rPr>
      </w:pPr>
      <w:r w:rsidRPr="00874CA1">
        <w:rPr>
          <w:sz w:val="24"/>
          <w:szCs w:val="24"/>
        </w:rPr>
        <w:t>Amounts transferred to retained earnings are to be reported as a positive amount.</w:t>
      </w:r>
    </w:p>
    <w:p w14:paraId="4F922D7B"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Total available for appropriation</w:t>
      </w:r>
    </w:p>
    <w:p w14:paraId="35E7B441"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Net profit (loss) after income tax attributable to members of the company</w:t>
      </w:r>
      <w:r w:rsidRPr="00874CA1">
        <w:rPr>
          <w:sz w:val="24"/>
          <w:szCs w:val="24"/>
        </w:rPr>
        <w:t xml:space="preserve"> plus </w:t>
      </w:r>
      <w:r w:rsidRPr="00874CA1">
        <w:rPr>
          <w:i/>
          <w:iCs/>
          <w:sz w:val="24"/>
          <w:szCs w:val="24"/>
        </w:rPr>
        <w:t>Retained earnings at the beginning of the financial year</w:t>
      </w:r>
      <w:r w:rsidRPr="00874CA1">
        <w:rPr>
          <w:sz w:val="24"/>
          <w:szCs w:val="24"/>
        </w:rPr>
        <w:t xml:space="preserve"> plus </w:t>
      </w:r>
      <w:r w:rsidRPr="00874CA1">
        <w:rPr>
          <w:i/>
          <w:iCs/>
          <w:sz w:val="24"/>
          <w:szCs w:val="24"/>
        </w:rPr>
        <w:t>Adjustments to retained earnings due to change in accounting policies / standards</w:t>
      </w:r>
      <w:r w:rsidRPr="00874CA1">
        <w:rPr>
          <w:sz w:val="24"/>
          <w:szCs w:val="24"/>
        </w:rPr>
        <w:t xml:space="preserve"> plus </w:t>
      </w:r>
      <w:r w:rsidRPr="00874CA1">
        <w:rPr>
          <w:i/>
          <w:iCs/>
          <w:sz w:val="24"/>
          <w:szCs w:val="24"/>
        </w:rPr>
        <w:t xml:space="preserve">Reduction in retained earnings on share </w:t>
      </w:r>
      <w:proofErr w:type="spellStart"/>
      <w:r w:rsidRPr="00874CA1">
        <w:rPr>
          <w:i/>
          <w:iCs/>
          <w:sz w:val="24"/>
          <w:szCs w:val="24"/>
        </w:rPr>
        <w:t>buy back</w:t>
      </w:r>
      <w:proofErr w:type="spellEnd"/>
      <w:r w:rsidRPr="00874CA1">
        <w:rPr>
          <w:sz w:val="24"/>
          <w:szCs w:val="24"/>
        </w:rPr>
        <w:t xml:space="preserve"> plus </w:t>
      </w:r>
      <w:r w:rsidRPr="00874CA1">
        <w:rPr>
          <w:i/>
          <w:iCs/>
          <w:sz w:val="24"/>
          <w:szCs w:val="24"/>
        </w:rPr>
        <w:t>Amounts transferred from / to reserves</w:t>
      </w:r>
      <w:r w:rsidRPr="00874CA1">
        <w:rPr>
          <w:sz w:val="24"/>
          <w:szCs w:val="24"/>
        </w:rPr>
        <w:t>.</w:t>
      </w:r>
    </w:p>
    <w:p w14:paraId="14FB0306"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Dividends declared or paid</w:t>
      </w:r>
    </w:p>
    <w:p w14:paraId="70C2026A" w14:textId="77777777" w:rsidR="00742160" w:rsidRPr="00874CA1" w:rsidRDefault="00874CA1" w:rsidP="00AA30D0">
      <w:pPr>
        <w:spacing w:after="240"/>
        <w:jc w:val="both"/>
        <w:rPr>
          <w:sz w:val="24"/>
          <w:szCs w:val="24"/>
        </w:rPr>
      </w:pPr>
      <w:r w:rsidRPr="00874CA1">
        <w:rPr>
          <w:sz w:val="24"/>
          <w:szCs w:val="24"/>
        </w:rPr>
        <w:t>Report dividends which are declared or paid by the reporting insurer. A dividend is the amount paid out of a company's profits to its shareholders (interim and final dividend). The annual dividend equals the final dividend plus the interim dividend if declared.</w:t>
      </w:r>
    </w:p>
    <w:p w14:paraId="7CAFB5BF" w14:textId="009DDCD5" w:rsidR="00874CA1" w:rsidRPr="00874CA1" w:rsidRDefault="00874CA1" w:rsidP="00AA30D0">
      <w:pPr>
        <w:spacing w:after="240"/>
        <w:jc w:val="both"/>
        <w:rPr>
          <w:sz w:val="24"/>
          <w:szCs w:val="24"/>
        </w:rPr>
      </w:pPr>
      <w:r w:rsidRPr="00874CA1">
        <w:rPr>
          <w:sz w:val="24"/>
          <w:szCs w:val="24"/>
        </w:rPr>
        <w:t>Dividends declared or paid are to be reported as a positive amount.</w:t>
      </w:r>
    </w:p>
    <w:p w14:paraId="7BDC65E8"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Retained earnings at the end of the reporting period</w:t>
      </w:r>
    </w:p>
    <w:p w14:paraId="513E697F" w14:textId="77777777" w:rsidR="00874CA1" w:rsidRPr="00874CA1" w:rsidRDefault="00874CA1" w:rsidP="00AA30D0">
      <w:pPr>
        <w:spacing w:after="240"/>
        <w:jc w:val="both"/>
        <w:rPr>
          <w:sz w:val="24"/>
          <w:szCs w:val="24"/>
        </w:rPr>
      </w:pPr>
      <w:r w:rsidRPr="00874CA1">
        <w:rPr>
          <w:sz w:val="24"/>
          <w:szCs w:val="24"/>
        </w:rPr>
        <w:t xml:space="preserve">This is automatically calculated as </w:t>
      </w:r>
      <w:r w:rsidRPr="00874CA1">
        <w:rPr>
          <w:i/>
          <w:iCs/>
          <w:sz w:val="24"/>
          <w:szCs w:val="24"/>
        </w:rPr>
        <w:t>Total available for appropriation</w:t>
      </w:r>
      <w:r w:rsidRPr="00874CA1">
        <w:rPr>
          <w:sz w:val="24"/>
          <w:szCs w:val="24"/>
        </w:rPr>
        <w:t xml:space="preserve"> less </w:t>
      </w:r>
      <w:r w:rsidRPr="00874CA1">
        <w:rPr>
          <w:i/>
          <w:iCs/>
          <w:sz w:val="24"/>
          <w:szCs w:val="24"/>
        </w:rPr>
        <w:t>Dividends declared or paid.</w:t>
      </w:r>
    </w:p>
    <w:p w14:paraId="6261FC7C"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lastRenderedPageBreak/>
        <w:t>Opening / closing balance of retained earnings (Category C insurers only)</w:t>
      </w:r>
    </w:p>
    <w:p w14:paraId="64200899" w14:textId="77777777" w:rsidR="00874CA1" w:rsidRPr="00874CA1" w:rsidRDefault="00874CA1" w:rsidP="00AA30D0">
      <w:pPr>
        <w:spacing w:after="240"/>
        <w:jc w:val="both"/>
        <w:rPr>
          <w:sz w:val="24"/>
          <w:szCs w:val="24"/>
        </w:rPr>
      </w:pPr>
      <w:r w:rsidRPr="00874CA1">
        <w:rPr>
          <w:sz w:val="24"/>
          <w:szCs w:val="24"/>
        </w:rPr>
        <w:t>This section is to be completed by insurers that are classified as category C insurers as per GPS 001.</w:t>
      </w:r>
    </w:p>
    <w:p w14:paraId="3BF6B078"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Retained earnings at the beginning of the financial year</w:t>
      </w:r>
    </w:p>
    <w:p w14:paraId="01DCD21A" w14:textId="77777777" w:rsidR="00874CA1" w:rsidRPr="00874CA1" w:rsidRDefault="00874CA1" w:rsidP="00AA30D0">
      <w:pPr>
        <w:spacing w:after="240"/>
        <w:jc w:val="both"/>
        <w:rPr>
          <w:sz w:val="24"/>
          <w:szCs w:val="24"/>
        </w:rPr>
      </w:pPr>
      <w:r w:rsidRPr="00874CA1">
        <w:rPr>
          <w:sz w:val="24"/>
          <w:szCs w:val="24"/>
        </w:rPr>
        <w:t>This is the value, as at the relevant date, of retained earnings at the beginning of the current financial year.</w:t>
      </w:r>
    </w:p>
    <w:p w14:paraId="0F74CF25"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Adjustments to retained earnings due to change in accounting policies / standards</w:t>
      </w:r>
    </w:p>
    <w:p w14:paraId="0F3B6B8E" w14:textId="77777777" w:rsidR="00874CA1" w:rsidRPr="00874CA1" w:rsidRDefault="00874CA1" w:rsidP="00AA30D0">
      <w:pPr>
        <w:spacing w:after="240"/>
        <w:jc w:val="both"/>
        <w:rPr>
          <w:sz w:val="24"/>
          <w:szCs w:val="24"/>
        </w:rPr>
      </w:pPr>
      <w:r w:rsidRPr="00874CA1">
        <w:rPr>
          <w:sz w:val="24"/>
          <w:szCs w:val="24"/>
        </w:rPr>
        <w:t>This is the value of aggregate adjustments to retained earnings due to changes in accounting policies or accounting treatment as required by a revised Australian Accounting Standard.</w:t>
      </w:r>
    </w:p>
    <w:p w14:paraId="7599D809"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Aggregate of amounts transferred to / from retained earnings</w:t>
      </w:r>
    </w:p>
    <w:p w14:paraId="2A01CCFA" w14:textId="77777777" w:rsidR="00874CA1" w:rsidRPr="00874CA1" w:rsidRDefault="00874CA1" w:rsidP="00AA30D0">
      <w:pPr>
        <w:spacing w:after="240"/>
        <w:jc w:val="both"/>
        <w:rPr>
          <w:sz w:val="24"/>
          <w:szCs w:val="24"/>
        </w:rPr>
      </w:pPr>
      <w:r w:rsidRPr="00874CA1">
        <w:rPr>
          <w:sz w:val="24"/>
          <w:szCs w:val="24"/>
        </w:rPr>
        <w:t>This is the value, for the relevant period, of funds that have been transferred to (from) retained earnings from (to) reserves.</w:t>
      </w:r>
    </w:p>
    <w:p w14:paraId="22216877" w14:textId="77777777" w:rsidR="00874CA1" w:rsidRPr="00874CA1" w:rsidRDefault="00874CA1" w:rsidP="00AA30D0">
      <w:pPr>
        <w:spacing w:after="240"/>
        <w:jc w:val="both"/>
        <w:rPr>
          <w:sz w:val="24"/>
          <w:szCs w:val="24"/>
        </w:rPr>
      </w:pPr>
      <w:r w:rsidRPr="00874CA1">
        <w:rPr>
          <w:sz w:val="24"/>
          <w:szCs w:val="24"/>
        </w:rPr>
        <w:t>Amounts transferred to retained earnings are to be reported as a positive amount.</w:t>
      </w:r>
    </w:p>
    <w:p w14:paraId="76B1684E" w14:textId="77777777" w:rsidR="00874CA1" w:rsidRPr="00874CA1" w:rsidRDefault="00874CA1" w:rsidP="00AA30D0">
      <w:pPr>
        <w:keepNext/>
        <w:spacing w:after="240"/>
        <w:jc w:val="both"/>
        <w:rPr>
          <w:rFonts w:ascii="Arial" w:hAnsi="Arial" w:cs="Arial"/>
          <w:b/>
          <w:sz w:val="24"/>
          <w:szCs w:val="24"/>
        </w:rPr>
      </w:pPr>
      <w:r w:rsidRPr="00874CA1">
        <w:rPr>
          <w:rFonts w:ascii="Arial" w:hAnsi="Arial" w:cs="Arial"/>
          <w:b/>
          <w:sz w:val="24"/>
          <w:szCs w:val="24"/>
        </w:rPr>
        <w:t>Aggregate of amounts transferred from parent entity (i.e. capital contributions)</w:t>
      </w:r>
    </w:p>
    <w:p w14:paraId="0EFB78B1" w14:textId="77777777" w:rsidR="00874CA1" w:rsidRPr="00874CA1" w:rsidRDefault="00874CA1" w:rsidP="00AA30D0">
      <w:pPr>
        <w:spacing w:after="240"/>
        <w:jc w:val="both"/>
        <w:rPr>
          <w:sz w:val="24"/>
          <w:szCs w:val="24"/>
        </w:rPr>
      </w:pPr>
      <w:r w:rsidRPr="00874CA1">
        <w:rPr>
          <w:sz w:val="24"/>
          <w:szCs w:val="24"/>
        </w:rPr>
        <w:t>Report the value of funds received and allocated to retained earnings during the reporting period. This item refers only to funds that are capital contributions from the parent entity and are not required to be repaid.</w:t>
      </w:r>
    </w:p>
    <w:p w14:paraId="6051D79F" w14:textId="77777777" w:rsidR="00874CA1" w:rsidRPr="00874CA1" w:rsidRDefault="00874CA1" w:rsidP="00AA30D0">
      <w:pPr>
        <w:keepNext/>
        <w:spacing w:after="240"/>
        <w:ind w:left="390" w:hanging="390"/>
        <w:jc w:val="both"/>
        <w:rPr>
          <w:rFonts w:ascii="Arial" w:hAnsi="Arial" w:cs="Arial"/>
          <w:b/>
          <w:sz w:val="24"/>
          <w:szCs w:val="24"/>
        </w:rPr>
      </w:pPr>
      <w:r w:rsidRPr="00874CA1">
        <w:rPr>
          <w:rFonts w:ascii="Arial" w:hAnsi="Arial" w:cs="Arial"/>
          <w:b/>
          <w:sz w:val="24"/>
          <w:szCs w:val="24"/>
        </w:rPr>
        <w:t>Aggregate of amounts transferred to parent entity (i.e. dividends)</w:t>
      </w:r>
    </w:p>
    <w:p w14:paraId="3EC9C6E1" w14:textId="77777777" w:rsidR="00874CA1" w:rsidRPr="00874CA1" w:rsidRDefault="00874CA1" w:rsidP="00AA30D0">
      <w:pPr>
        <w:spacing w:after="240"/>
        <w:jc w:val="both"/>
        <w:rPr>
          <w:sz w:val="24"/>
          <w:szCs w:val="24"/>
        </w:rPr>
      </w:pPr>
      <w:r w:rsidRPr="00874CA1">
        <w:rPr>
          <w:sz w:val="24"/>
          <w:szCs w:val="24"/>
        </w:rPr>
        <w:t>Report the amount of dividends or funds transferred to the parent entity during the reporting period.</w:t>
      </w:r>
    </w:p>
    <w:p w14:paraId="5DDF7097" w14:textId="77777777" w:rsidR="00874CA1" w:rsidRPr="00874CA1" w:rsidRDefault="00874CA1" w:rsidP="00AA30D0">
      <w:pPr>
        <w:spacing w:after="240"/>
        <w:jc w:val="both"/>
        <w:rPr>
          <w:sz w:val="24"/>
          <w:szCs w:val="24"/>
        </w:rPr>
      </w:pPr>
      <w:r w:rsidRPr="00874CA1">
        <w:rPr>
          <w:sz w:val="24"/>
          <w:szCs w:val="24"/>
        </w:rPr>
        <w:t>Amounts transferred to the parent entity are to be reported as a negative amount.</w:t>
      </w:r>
    </w:p>
    <w:p w14:paraId="5FEF3C4D" w14:textId="77777777" w:rsidR="00874CA1" w:rsidRPr="00874CA1" w:rsidRDefault="00874CA1" w:rsidP="00AA30D0">
      <w:pPr>
        <w:keepNext/>
        <w:spacing w:after="240"/>
        <w:ind w:left="390" w:hanging="390"/>
        <w:jc w:val="both"/>
        <w:rPr>
          <w:rFonts w:ascii="Arial" w:hAnsi="Arial" w:cs="Arial"/>
          <w:b/>
          <w:sz w:val="24"/>
          <w:szCs w:val="24"/>
        </w:rPr>
      </w:pPr>
      <w:r w:rsidRPr="00874CA1">
        <w:rPr>
          <w:rFonts w:ascii="Arial" w:hAnsi="Arial" w:cs="Arial"/>
          <w:b/>
          <w:sz w:val="24"/>
          <w:szCs w:val="24"/>
        </w:rPr>
        <w:t>Aggregate of other amounts</w:t>
      </w:r>
    </w:p>
    <w:p w14:paraId="77E941F1" w14:textId="77777777" w:rsidR="00874CA1" w:rsidRPr="00874CA1" w:rsidRDefault="00874CA1" w:rsidP="00AA30D0">
      <w:pPr>
        <w:spacing w:after="240"/>
        <w:jc w:val="both"/>
        <w:rPr>
          <w:sz w:val="24"/>
          <w:szCs w:val="24"/>
        </w:rPr>
      </w:pPr>
      <w:r w:rsidRPr="00874CA1">
        <w:rPr>
          <w:sz w:val="24"/>
          <w:szCs w:val="24"/>
        </w:rPr>
        <w:t>This is a balancing item and is the aggregate of any other amounts that are transferred to or from reserves or retained earnings.</w:t>
      </w:r>
    </w:p>
    <w:p w14:paraId="4A93B0F0" w14:textId="77777777" w:rsidR="00874CA1" w:rsidRPr="00874CA1" w:rsidRDefault="00874CA1" w:rsidP="00AA30D0">
      <w:pPr>
        <w:spacing w:after="240"/>
        <w:jc w:val="both"/>
        <w:rPr>
          <w:sz w:val="24"/>
          <w:szCs w:val="24"/>
        </w:rPr>
      </w:pPr>
      <w:r w:rsidRPr="00874CA1">
        <w:rPr>
          <w:sz w:val="24"/>
          <w:szCs w:val="24"/>
        </w:rPr>
        <w:t>This is automatically calculated by the form. Amounts transferred to retained earnings will appear as a positive amount.</w:t>
      </w:r>
    </w:p>
    <w:p w14:paraId="1EF7C0BB" w14:textId="77777777" w:rsidR="00874CA1" w:rsidRPr="00874CA1" w:rsidRDefault="00874CA1" w:rsidP="00AA30D0">
      <w:pPr>
        <w:keepNext/>
        <w:spacing w:after="240"/>
        <w:ind w:left="390" w:hanging="390"/>
        <w:jc w:val="both"/>
        <w:rPr>
          <w:rFonts w:ascii="Arial" w:hAnsi="Arial" w:cs="Arial"/>
          <w:b/>
          <w:sz w:val="24"/>
          <w:szCs w:val="24"/>
        </w:rPr>
      </w:pPr>
      <w:r w:rsidRPr="00874CA1">
        <w:rPr>
          <w:rFonts w:ascii="Arial" w:hAnsi="Arial" w:cs="Arial"/>
          <w:b/>
          <w:sz w:val="24"/>
          <w:szCs w:val="24"/>
        </w:rPr>
        <w:t>Head office transfers declared or paid</w:t>
      </w:r>
    </w:p>
    <w:p w14:paraId="21A97BBC" w14:textId="77777777" w:rsidR="00874CA1" w:rsidRPr="00874CA1" w:rsidRDefault="00874CA1" w:rsidP="00AA30D0">
      <w:pPr>
        <w:spacing w:after="240"/>
        <w:jc w:val="both"/>
        <w:rPr>
          <w:sz w:val="24"/>
          <w:szCs w:val="24"/>
        </w:rPr>
      </w:pPr>
      <w:r w:rsidRPr="00874CA1">
        <w:rPr>
          <w:sz w:val="24"/>
          <w:szCs w:val="24"/>
        </w:rPr>
        <w:t xml:space="preserve">Report any head office transfers declared or paid that are not reported in </w:t>
      </w:r>
      <w:r w:rsidRPr="00874CA1">
        <w:rPr>
          <w:i/>
          <w:iCs/>
          <w:sz w:val="24"/>
          <w:szCs w:val="24"/>
        </w:rPr>
        <w:t>Aggregate of amounts transferred to parent entity (i.e. dividends)</w:t>
      </w:r>
      <w:r w:rsidRPr="00874CA1">
        <w:rPr>
          <w:sz w:val="24"/>
          <w:szCs w:val="24"/>
        </w:rPr>
        <w:t>.</w:t>
      </w:r>
    </w:p>
    <w:p w14:paraId="7DFC9ECE" w14:textId="77777777" w:rsidR="00874CA1" w:rsidRPr="00874CA1" w:rsidRDefault="00874CA1" w:rsidP="00AA30D0">
      <w:pPr>
        <w:spacing w:after="240"/>
        <w:jc w:val="both"/>
        <w:rPr>
          <w:sz w:val="24"/>
          <w:szCs w:val="24"/>
        </w:rPr>
      </w:pPr>
      <w:r w:rsidRPr="00874CA1">
        <w:rPr>
          <w:sz w:val="24"/>
          <w:szCs w:val="24"/>
        </w:rPr>
        <w:t>Head office transfers declared or paid are to be reported as a positive amount.</w:t>
      </w:r>
    </w:p>
    <w:p w14:paraId="5F6537ED" w14:textId="77777777" w:rsidR="00874CA1" w:rsidRPr="00874CA1" w:rsidRDefault="00874CA1" w:rsidP="00AA30D0">
      <w:pPr>
        <w:keepNext/>
        <w:spacing w:after="240"/>
        <w:ind w:left="390" w:hanging="390"/>
        <w:jc w:val="both"/>
        <w:rPr>
          <w:rFonts w:ascii="Arial" w:hAnsi="Arial" w:cs="Arial"/>
          <w:b/>
          <w:sz w:val="24"/>
          <w:szCs w:val="24"/>
        </w:rPr>
      </w:pPr>
      <w:r w:rsidRPr="00874CA1">
        <w:rPr>
          <w:rFonts w:ascii="Arial" w:hAnsi="Arial" w:cs="Arial"/>
          <w:b/>
          <w:sz w:val="24"/>
          <w:szCs w:val="24"/>
        </w:rPr>
        <w:lastRenderedPageBreak/>
        <w:t>Retained earnings at the end of the reporting period</w:t>
      </w:r>
    </w:p>
    <w:p w14:paraId="491F58F0" w14:textId="77777777" w:rsidR="00874CA1" w:rsidRPr="00874CA1" w:rsidRDefault="00874CA1" w:rsidP="00AA30D0">
      <w:pPr>
        <w:spacing w:after="240"/>
        <w:jc w:val="both"/>
        <w:rPr>
          <w:sz w:val="24"/>
          <w:szCs w:val="24"/>
        </w:rPr>
      </w:pPr>
      <w:r w:rsidRPr="00874CA1">
        <w:rPr>
          <w:sz w:val="24"/>
          <w:szCs w:val="24"/>
        </w:rPr>
        <w:t>This is the value, as at the relevant date, of retained earnings at the end of the current reporting period.</w:t>
      </w:r>
    </w:p>
    <w:sectPr w:rsidR="00874CA1" w:rsidRPr="00874CA1" w:rsidSect="00750BF1">
      <w:headerReference w:type="default" r:id="rId26"/>
      <w:footerReference w:type="default" r:id="rId27"/>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133B" w14:textId="77777777" w:rsidR="0015599F" w:rsidRDefault="0015599F" w:rsidP="00CC70E3">
      <w:r>
        <w:separator/>
      </w:r>
    </w:p>
  </w:endnote>
  <w:endnote w:type="continuationSeparator" w:id="0">
    <w:p w14:paraId="7DB6E579" w14:textId="77777777" w:rsidR="0015599F" w:rsidRDefault="0015599F"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CA64" w14:textId="77B7087F" w:rsidR="00FE4DC7" w:rsidRPr="00750BF1" w:rsidRDefault="00FE4DC7" w:rsidP="005B7824">
    <w:pPr>
      <w:pStyle w:val="Footer"/>
      <w:framePr w:wrap="around" w:vAnchor="text" w:hAnchor="margin" w:xAlign="right" w:y="1"/>
      <w:jc w:val="right"/>
      <w:rPr>
        <w:b/>
        <w:sz w:val="24"/>
        <w:szCs w:val="24"/>
      </w:rPr>
    </w:pPr>
  </w:p>
  <w:p w14:paraId="25402177" w14:textId="77777777" w:rsidR="00FE4DC7" w:rsidRPr="009C0CA4" w:rsidRDefault="00FE4DC7" w:rsidP="005B7824">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05A5" w14:textId="77777777" w:rsidR="00FE4DC7" w:rsidRPr="00540965" w:rsidRDefault="00FE4DC7" w:rsidP="005B7824">
    <w:pPr>
      <w:pStyle w:val="Footer"/>
      <w:jc w:val="right"/>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DB20" w14:textId="77777777" w:rsidR="00AA30D0" w:rsidRPr="00750BF1" w:rsidRDefault="00AA30D0" w:rsidP="005B7824">
    <w:pPr>
      <w:pStyle w:val="Footer"/>
      <w:framePr w:wrap="around" w:vAnchor="text" w:hAnchor="margin" w:xAlign="right" w:y="1"/>
      <w:jc w:val="right"/>
      <w:rPr>
        <w:b/>
        <w:sz w:val="24"/>
        <w:szCs w:val="24"/>
      </w:rPr>
    </w:pPr>
    <w:r w:rsidRPr="00750BF1">
      <w:rPr>
        <w:b/>
        <w:sz w:val="24"/>
        <w:szCs w:val="24"/>
      </w:rPr>
      <w:t xml:space="preserve">GRS 310.0 - </w:t>
    </w:r>
    <w:r w:rsidRPr="00750BF1">
      <w:rPr>
        <w:rStyle w:val="PageNumber"/>
        <w:b/>
        <w:sz w:val="24"/>
        <w:szCs w:val="24"/>
      </w:rPr>
      <w:fldChar w:fldCharType="begin"/>
    </w:r>
    <w:r w:rsidRPr="00750BF1">
      <w:rPr>
        <w:rStyle w:val="PageNumber"/>
        <w:b/>
        <w:sz w:val="24"/>
        <w:szCs w:val="24"/>
      </w:rPr>
      <w:instrText xml:space="preserve"> PAGE </w:instrText>
    </w:r>
    <w:r w:rsidRPr="00750BF1">
      <w:rPr>
        <w:rStyle w:val="PageNumber"/>
        <w:b/>
        <w:sz w:val="24"/>
        <w:szCs w:val="24"/>
      </w:rPr>
      <w:fldChar w:fldCharType="separate"/>
    </w:r>
    <w:r w:rsidRPr="00750BF1">
      <w:rPr>
        <w:rStyle w:val="PageNumber"/>
        <w:b/>
        <w:noProof/>
        <w:sz w:val="24"/>
        <w:szCs w:val="24"/>
      </w:rPr>
      <w:t>5</w:t>
    </w:r>
    <w:r w:rsidRPr="00750BF1">
      <w:rPr>
        <w:rStyle w:val="PageNumber"/>
        <w:b/>
        <w:sz w:val="24"/>
        <w:szCs w:val="24"/>
      </w:rPr>
      <w:fldChar w:fldCharType="end"/>
    </w:r>
  </w:p>
  <w:p w14:paraId="6E3F2361" w14:textId="77777777" w:rsidR="00AA30D0" w:rsidRPr="009C0CA4" w:rsidRDefault="00AA30D0"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642B" w14:textId="77777777" w:rsidR="00AA30D0" w:rsidRPr="00750BF1" w:rsidRDefault="00AA30D0" w:rsidP="00E339E7">
    <w:pPr>
      <w:pStyle w:val="Footer"/>
      <w:framePr w:wrap="around" w:vAnchor="text" w:hAnchor="margin" w:xAlign="right" w:y="1"/>
      <w:jc w:val="right"/>
      <w:rPr>
        <w:b/>
        <w:sz w:val="24"/>
        <w:szCs w:val="24"/>
      </w:rPr>
    </w:pPr>
    <w:r w:rsidRPr="00750BF1">
      <w:rPr>
        <w:b/>
        <w:sz w:val="24"/>
        <w:szCs w:val="24"/>
      </w:rPr>
      <w:t xml:space="preserve">GRS 310.0 - </w:t>
    </w:r>
    <w:r w:rsidRPr="00750BF1">
      <w:rPr>
        <w:rStyle w:val="PageNumber"/>
        <w:b/>
        <w:sz w:val="24"/>
        <w:szCs w:val="24"/>
      </w:rPr>
      <w:fldChar w:fldCharType="begin"/>
    </w:r>
    <w:r w:rsidRPr="00750BF1">
      <w:rPr>
        <w:rStyle w:val="PageNumber"/>
        <w:b/>
        <w:sz w:val="24"/>
        <w:szCs w:val="24"/>
      </w:rPr>
      <w:instrText xml:space="preserve"> PAGE </w:instrText>
    </w:r>
    <w:r w:rsidRPr="00750BF1">
      <w:rPr>
        <w:rStyle w:val="PageNumber"/>
        <w:b/>
        <w:sz w:val="24"/>
        <w:szCs w:val="24"/>
      </w:rPr>
      <w:fldChar w:fldCharType="separate"/>
    </w:r>
    <w:r w:rsidRPr="00750BF1">
      <w:rPr>
        <w:rStyle w:val="PageNumber"/>
        <w:b/>
        <w:noProof/>
        <w:sz w:val="24"/>
        <w:szCs w:val="24"/>
      </w:rPr>
      <w:t>1</w:t>
    </w:r>
    <w:r w:rsidRPr="00750BF1">
      <w:rPr>
        <w:rStyle w:val="PageNumber"/>
        <w:b/>
        <w:sz w:val="24"/>
        <w:szCs w:val="24"/>
      </w:rPr>
      <w:fldChar w:fldCharType="end"/>
    </w:r>
  </w:p>
  <w:p w14:paraId="4D72968B" w14:textId="77777777" w:rsidR="00AA30D0" w:rsidRPr="00540965" w:rsidRDefault="00AA30D0"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CCB0" w14:textId="77777777" w:rsidR="00874CA1" w:rsidRPr="00750BF1" w:rsidRDefault="00874CA1" w:rsidP="005B7824">
    <w:pPr>
      <w:pStyle w:val="Footer"/>
      <w:framePr w:wrap="around" w:vAnchor="text" w:hAnchor="margin" w:xAlign="right" w:y="1"/>
      <w:jc w:val="right"/>
      <w:rPr>
        <w:b/>
        <w:sz w:val="24"/>
        <w:szCs w:val="24"/>
      </w:rPr>
    </w:pPr>
    <w:r w:rsidRPr="00750BF1">
      <w:rPr>
        <w:b/>
        <w:sz w:val="24"/>
        <w:szCs w:val="24"/>
      </w:rPr>
      <w:t xml:space="preserve">GRF 310.0 Form - </w:t>
    </w:r>
    <w:r w:rsidRPr="00750BF1">
      <w:rPr>
        <w:rStyle w:val="PageNumber"/>
        <w:b/>
        <w:sz w:val="24"/>
        <w:szCs w:val="24"/>
      </w:rPr>
      <w:fldChar w:fldCharType="begin"/>
    </w:r>
    <w:r w:rsidRPr="00750BF1">
      <w:rPr>
        <w:rStyle w:val="PageNumber"/>
        <w:b/>
        <w:sz w:val="24"/>
        <w:szCs w:val="24"/>
      </w:rPr>
      <w:instrText xml:space="preserve"> PAGE </w:instrText>
    </w:r>
    <w:r w:rsidRPr="00750BF1">
      <w:rPr>
        <w:rStyle w:val="PageNumber"/>
        <w:b/>
        <w:sz w:val="24"/>
        <w:szCs w:val="24"/>
      </w:rPr>
      <w:fldChar w:fldCharType="separate"/>
    </w:r>
    <w:r w:rsidR="007632CF" w:rsidRPr="00750BF1">
      <w:rPr>
        <w:rStyle w:val="PageNumber"/>
        <w:b/>
        <w:noProof/>
        <w:sz w:val="24"/>
        <w:szCs w:val="24"/>
      </w:rPr>
      <w:t>2</w:t>
    </w:r>
    <w:r w:rsidRPr="00750BF1">
      <w:rPr>
        <w:rStyle w:val="PageNumber"/>
        <w:b/>
        <w:sz w:val="24"/>
        <w:szCs w:val="24"/>
      </w:rPr>
      <w:fldChar w:fldCharType="end"/>
    </w:r>
  </w:p>
  <w:p w14:paraId="6815534D" w14:textId="77777777" w:rsidR="00874CA1" w:rsidRPr="009C0CA4" w:rsidRDefault="00874CA1" w:rsidP="005B7824">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A410" w14:textId="77777777" w:rsidR="00FE4DC7" w:rsidRPr="00540965" w:rsidRDefault="00FE4DC7" w:rsidP="005B7824">
    <w:pPr>
      <w:pStyle w:val="Footer"/>
      <w:jc w:val="right"/>
      <w:rPr>
        <w:b/>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D69E" w14:textId="77777777" w:rsidR="00874CA1" w:rsidRPr="00750BF1" w:rsidRDefault="00874CA1" w:rsidP="005B7824">
    <w:pPr>
      <w:pStyle w:val="Footer"/>
      <w:framePr w:wrap="around" w:vAnchor="text" w:hAnchor="margin" w:xAlign="right" w:y="1"/>
      <w:jc w:val="right"/>
      <w:rPr>
        <w:b/>
        <w:sz w:val="24"/>
        <w:szCs w:val="24"/>
      </w:rPr>
    </w:pPr>
    <w:r w:rsidRPr="00750BF1">
      <w:rPr>
        <w:b/>
        <w:sz w:val="24"/>
        <w:szCs w:val="24"/>
      </w:rPr>
      <w:t xml:space="preserve">GRF 310.0 Instructions- </w:t>
    </w:r>
    <w:r w:rsidRPr="00750BF1">
      <w:rPr>
        <w:rStyle w:val="PageNumber"/>
        <w:b/>
        <w:sz w:val="24"/>
        <w:szCs w:val="24"/>
      </w:rPr>
      <w:fldChar w:fldCharType="begin"/>
    </w:r>
    <w:r w:rsidRPr="00750BF1">
      <w:rPr>
        <w:rStyle w:val="PageNumber"/>
        <w:b/>
        <w:sz w:val="24"/>
        <w:szCs w:val="24"/>
      </w:rPr>
      <w:instrText xml:space="preserve"> PAGE </w:instrText>
    </w:r>
    <w:r w:rsidRPr="00750BF1">
      <w:rPr>
        <w:rStyle w:val="PageNumber"/>
        <w:b/>
        <w:sz w:val="24"/>
        <w:szCs w:val="24"/>
      </w:rPr>
      <w:fldChar w:fldCharType="separate"/>
    </w:r>
    <w:r w:rsidR="007632CF" w:rsidRPr="00750BF1">
      <w:rPr>
        <w:rStyle w:val="PageNumber"/>
        <w:b/>
        <w:noProof/>
        <w:sz w:val="24"/>
        <w:szCs w:val="24"/>
      </w:rPr>
      <w:t>9</w:t>
    </w:r>
    <w:r w:rsidRPr="00750BF1">
      <w:rPr>
        <w:rStyle w:val="PageNumber"/>
        <w:b/>
        <w:sz w:val="24"/>
        <w:szCs w:val="24"/>
      </w:rPr>
      <w:fldChar w:fldCharType="end"/>
    </w:r>
  </w:p>
  <w:p w14:paraId="28554610" w14:textId="77777777" w:rsidR="00874CA1" w:rsidRPr="009C0CA4" w:rsidRDefault="00874CA1" w:rsidP="005B782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7AA4" w14:textId="77777777" w:rsidR="0015599F" w:rsidRDefault="0015599F" w:rsidP="00CC70E3">
      <w:r>
        <w:separator/>
      </w:r>
    </w:p>
  </w:footnote>
  <w:footnote w:type="continuationSeparator" w:id="0">
    <w:p w14:paraId="3CD5B7AF" w14:textId="77777777" w:rsidR="0015599F" w:rsidRDefault="0015599F"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0A19" w14:textId="50434A63" w:rsidR="00FE4DC7" w:rsidRPr="00750BF1" w:rsidRDefault="00FE4DC7" w:rsidP="00572938">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10C4" w14:textId="073D2864" w:rsidR="00FE4DC7" w:rsidRPr="00750BF1" w:rsidRDefault="00FE4DC7" w:rsidP="00750BF1">
    <w:pPr>
      <w:pStyle w:val="Header"/>
      <w:tabs>
        <w:tab w:val="clear" w:pos="8640"/>
        <w:tab w:val="right" w:pos="8364"/>
      </w:tabs>
      <w:jc w:val="right"/>
      <w:rPr>
        <w:b/>
        <w:sz w:val="24"/>
        <w:szCs w:val="24"/>
      </w:rPr>
    </w:pPr>
    <w:r>
      <w:tab/>
    </w:r>
    <w:r>
      <w:rPr>
        <w:sz w:val="24"/>
        <w:szCs w:val="24"/>
      </w:rPr>
      <w:tab/>
    </w:r>
  </w:p>
  <w:p w14:paraId="246DFF01" w14:textId="77777777" w:rsidR="00FE4DC7" w:rsidRPr="00D74779" w:rsidRDefault="00FE4DC7"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AE8" w14:textId="77777777" w:rsidR="00AA30D0" w:rsidRPr="00750BF1" w:rsidRDefault="00AA30D0" w:rsidP="00572938">
    <w:pPr>
      <w:pStyle w:val="Header"/>
      <w:tabs>
        <w:tab w:val="clear" w:pos="8640"/>
        <w:tab w:val="right" w:pos="8364"/>
      </w:tabs>
      <w:jc w:val="right"/>
      <w:rPr>
        <w:b/>
        <w:sz w:val="24"/>
        <w:szCs w:val="24"/>
      </w:rPr>
    </w:pPr>
    <w:r>
      <w:rPr>
        <w:sz w:val="24"/>
        <w:szCs w:val="24"/>
      </w:rPr>
      <w:tab/>
    </w:r>
    <w:r>
      <w:rPr>
        <w:sz w:val="24"/>
        <w:szCs w:val="24"/>
      </w:rPr>
      <w:tab/>
    </w:r>
    <w:r w:rsidRPr="00750BF1">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432" w14:textId="77777777" w:rsidR="00AA30D0" w:rsidRPr="00750BF1" w:rsidRDefault="00AA30D0" w:rsidP="00750BF1">
    <w:pPr>
      <w:pStyle w:val="Header"/>
      <w:tabs>
        <w:tab w:val="clear" w:pos="8640"/>
        <w:tab w:val="right" w:pos="8364"/>
      </w:tabs>
      <w:jc w:val="right"/>
      <w:rPr>
        <w:b/>
        <w:sz w:val="24"/>
        <w:szCs w:val="24"/>
      </w:rPr>
    </w:pPr>
    <w:r>
      <w:tab/>
    </w:r>
    <w:r>
      <w:rPr>
        <w:sz w:val="24"/>
        <w:szCs w:val="24"/>
      </w:rPr>
      <w:tab/>
    </w:r>
    <w:r w:rsidRPr="00750BF1">
      <w:rPr>
        <w:b/>
        <w:sz w:val="24"/>
        <w:szCs w:val="24"/>
      </w:rPr>
      <w:t>April 2023</w:t>
    </w:r>
  </w:p>
  <w:p w14:paraId="4BDD3885" w14:textId="77777777" w:rsidR="00AA30D0" w:rsidRPr="00D74779" w:rsidRDefault="00AA30D0"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62B9" w14:textId="580B64BA" w:rsidR="00874CA1" w:rsidRPr="00750BF1" w:rsidRDefault="00874CA1" w:rsidP="00750BF1">
    <w:pPr>
      <w:pStyle w:val="Header"/>
      <w:tabs>
        <w:tab w:val="clear" w:pos="8640"/>
        <w:tab w:val="right" w:pos="8364"/>
      </w:tabs>
      <w:jc w:val="right"/>
      <w:rPr>
        <w:b/>
        <w:sz w:val="24"/>
        <w:szCs w:val="24"/>
      </w:rPr>
    </w:pPr>
    <w:r>
      <w:rPr>
        <w:sz w:val="24"/>
        <w:szCs w:val="24"/>
      </w:rPr>
      <w:tab/>
    </w:r>
    <w:r>
      <w:rPr>
        <w:sz w:val="24"/>
        <w:szCs w:val="24"/>
      </w:rPr>
      <w:tab/>
    </w:r>
    <w:r w:rsidR="00E250D6" w:rsidRPr="00750BF1">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2ABA" w14:textId="77777777" w:rsidR="00FE4DC7" w:rsidRPr="00D74779" w:rsidRDefault="00FE4DC7" w:rsidP="005B7824">
    <w:pPr>
      <w:pStyle w:val="Header"/>
      <w:tabs>
        <w:tab w:val="clear" w:pos="8640"/>
        <w:tab w:val="right" w:pos="8364"/>
      </w:tabs>
      <w:jc w:val="both"/>
      <w:rPr>
        <w:sz w:val="24"/>
        <w:szCs w:val="24"/>
      </w:rPr>
    </w:pPr>
    <w:r>
      <w:rPr>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BD79" w14:textId="480CF470" w:rsidR="00874CA1" w:rsidRPr="00972382" w:rsidRDefault="00874CA1" w:rsidP="00972382">
    <w:pPr>
      <w:pStyle w:val="Header"/>
      <w:tabs>
        <w:tab w:val="clear" w:pos="8640"/>
        <w:tab w:val="right" w:pos="8364"/>
      </w:tabs>
      <w:jc w:val="right"/>
      <w:rPr>
        <w:b/>
        <w:sz w:val="24"/>
        <w:szCs w:val="24"/>
      </w:rPr>
    </w:pPr>
    <w:r>
      <w:rPr>
        <w:sz w:val="24"/>
        <w:szCs w:val="24"/>
      </w:rPr>
      <w:tab/>
    </w:r>
    <w:r>
      <w:rPr>
        <w:sz w:val="24"/>
        <w:szCs w:val="24"/>
      </w:rPr>
      <w:tab/>
    </w:r>
    <w:r w:rsidR="00572938" w:rsidRPr="00972382">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6"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0301E"/>
    <w:multiLevelType w:val="hybridMultilevel"/>
    <w:tmpl w:val="339E9D18"/>
    <w:lvl w:ilvl="0" w:tplc="B86EE266">
      <w:start w:val="1"/>
      <w:numFmt w:val="bullet"/>
      <w:lvlText w:val=""/>
      <w:lvlJc w:val="left"/>
      <w:pPr>
        <w:ind w:left="1791" w:hanging="360"/>
      </w:pPr>
      <w:rPr>
        <w:rFonts w:ascii="Symbol" w:hAnsi="Symbol" w:hint="default"/>
      </w:rPr>
    </w:lvl>
    <w:lvl w:ilvl="1" w:tplc="15FA98C8">
      <w:start w:val="1"/>
      <w:numFmt w:val="bullet"/>
      <w:lvlText w:val="o"/>
      <w:lvlJc w:val="left"/>
      <w:pPr>
        <w:ind w:left="2511" w:hanging="360"/>
      </w:pPr>
      <w:rPr>
        <w:rFonts w:ascii="Courier New" w:hAnsi="Courier New" w:cs="Courier New" w:hint="default"/>
      </w:rPr>
    </w:lvl>
    <w:lvl w:ilvl="2" w:tplc="CC929994">
      <w:start w:val="1"/>
      <w:numFmt w:val="bullet"/>
      <w:lvlText w:val=""/>
      <w:lvlJc w:val="left"/>
      <w:pPr>
        <w:ind w:left="3231" w:hanging="360"/>
      </w:pPr>
      <w:rPr>
        <w:rFonts w:ascii="Symbol" w:hAnsi="Symbol" w:hint="default"/>
      </w:rPr>
    </w:lvl>
    <w:lvl w:ilvl="3" w:tplc="59B83F34" w:tentative="1">
      <w:start w:val="1"/>
      <w:numFmt w:val="bullet"/>
      <w:lvlText w:val=""/>
      <w:lvlJc w:val="left"/>
      <w:pPr>
        <w:ind w:left="3951" w:hanging="360"/>
      </w:pPr>
      <w:rPr>
        <w:rFonts w:ascii="Symbol" w:hAnsi="Symbol" w:hint="default"/>
      </w:rPr>
    </w:lvl>
    <w:lvl w:ilvl="4" w:tplc="102855BE" w:tentative="1">
      <w:start w:val="1"/>
      <w:numFmt w:val="bullet"/>
      <w:lvlText w:val="o"/>
      <w:lvlJc w:val="left"/>
      <w:pPr>
        <w:ind w:left="4671" w:hanging="360"/>
      </w:pPr>
      <w:rPr>
        <w:rFonts w:ascii="Courier New" w:hAnsi="Courier New" w:cs="Courier New" w:hint="default"/>
      </w:rPr>
    </w:lvl>
    <w:lvl w:ilvl="5" w:tplc="ABDE0966" w:tentative="1">
      <w:start w:val="1"/>
      <w:numFmt w:val="bullet"/>
      <w:lvlText w:val=""/>
      <w:lvlJc w:val="left"/>
      <w:pPr>
        <w:ind w:left="5391" w:hanging="360"/>
      </w:pPr>
      <w:rPr>
        <w:rFonts w:ascii="Wingdings" w:hAnsi="Wingdings" w:hint="default"/>
      </w:rPr>
    </w:lvl>
    <w:lvl w:ilvl="6" w:tplc="E7F8A034" w:tentative="1">
      <w:start w:val="1"/>
      <w:numFmt w:val="bullet"/>
      <w:lvlText w:val=""/>
      <w:lvlJc w:val="left"/>
      <w:pPr>
        <w:ind w:left="6111" w:hanging="360"/>
      </w:pPr>
      <w:rPr>
        <w:rFonts w:ascii="Symbol" w:hAnsi="Symbol" w:hint="default"/>
      </w:rPr>
    </w:lvl>
    <w:lvl w:ilvl="7" w:tplc="6332EA12" w:tentative="1">
      <w:start w:val="1"/>
      <w:numFmt w:val="bullet"/>
      <w:lvlText w:val="o"/>
      <w:lvlJc w:val="left"/>
      <w:pPr>
        <w:ind w:left="6831" w:hanging="360"/>
      </w:pPr>
      <w:rPr>
        <w:rFonts w:ascii="Courier New" w:hAnsi="Courier New" w:cs="Courier New" w:hint="default"/>
      </w:rPr>
    </w:lvl>
    <w:lvl w:ilvl="8" w:tplc="79C4B008" w:tentative="1">
      <w:start w:val="1"/>
      <w:numFmt w:val="bullet"/>
      <w:lvlText w:val=""/>
      <w:lvlJc w:val="left"/>
      <w:pPr>
        <w:ind w:left="7551" w:hanging="360"/>
      </w:pPr>
      <w:rPr>
        <w:rFonts w:ascii="Wingdings" w:hAnsi="Wingdings" w:hint="default"/>
      </w:rPr>
    </w:lvl>
  </w:abstractNum>
  <w:abstractNum w:abstractNumId="10"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50A23"/>
    <w:multiLevelType w:val="hybridMultilevel"/>
    <w:tmpl w:val="019E798C"/>
    <w:lvl w:ilvl="0" w:tplc="5AB8BEE4">
      <w:start w:val="1"/>
      <w:numFmt w:val="bullet"/>
      <w:lvlText w:val=""/>
      <w:lvlJc w:val="left"/>
      <w:pPr>
        <w:ind w:left="720" w:hanging="360"/>
      </w:pPr>
      <w:rPr>
        <w:rFonts w:ascii="Symbol" w:hAnsi="Symbol" w:hint="default"/>
      </w:rPr>
    </w:lvl>
    <w:lvl w:ilvl="1" w:tplc="D764D1E2" w:tentative="1">
      <w:start w:val="1"/>
      <w:numFmt w:val="bullet"/>
      <w:lvlText w:val="o"/>
      <w:lvlJc w:val="left"/>
      <w:pPr>
        <w:ind w:left="1440" w:hanging="360"/>
      </w:pPr>
      <w:rPr>
        <w:rFonts w:ascii="Courier New" w:hAnsi="Courier New" w:cs="Courier New" w:hint="default"/>
      </w:rPr>
    </w:lvl>
    <w:lvl w:ilvl="2" w:tplc="8222B3A2" w:tentative="1">
      <w:start w:val="1"/>
      <w:numFmt w:val="bullet"/>
      <w:lvlText w:val=""/>
      <w:lvlJc w:val="left"/>
      <w:pPr>
        <w:ind w:left="2160" w:hanging="360"/>
      </w:pPr>
      <w:rPr>
        <w:rFonts w:ascii="Wingdings" w:hAnsi="Wingdings" w:hint="default"/>
      </w:rPr>
    </w:lvl>
    <w:lvl w:ilvl="3" w:tplc="D3CA8B42" w:tentative="1">
      <w:start w:val="1"/>
      <w:numFmt w:val="bullet"/>
      <w:lvlText w:val=""/>
      <w:lvlJc w:val="left"/>
      <w:pPr>
        <w:ind w:left="2880" w:hanging="360"/>
      </w:pPr>
      <w:rPr>
        <w:rFonts w:ascii="Symbol" w:hAnsi="Symbol" w:hint="default"/>
      </w:rPr>
    </w:lvl>
    <w:lvl w:ilvl="4" w:tplc="C4045F84" w:tentative="1">
      <w:start w:val="1"/>
      <w:numFmt w:val="bullet"/>
      <w:lvlText w:val="o"/>
      <w:lvlJc w:val="left"/>
      <w:pPr>
        <w:ind w:left="3600" w:hanging="360"/>
      </w:pPr>
      <w:rPr>
        <w:rFonts w:ascii="Courier New" w:hAnsi="Courier New" w:cs="Courier New" w:hint="default"/>
      </w:rPr>
    </w:lvl>
    <w:lvl w:ilvl="5" w:tplc="A568F4D2" w:tentative="1">
      <w:start w:val="1"/>
      <w:numFmt w:val="bullet"/>
      <w:lvlText w:val=""/>
      <w:lvlJc w:val="left"/>
      <w:pPr>
        <w:ind w:left="4320" w:hanging="360"/>
      </w:pPr>
      <w:rPr>
        <w:rFonts w:ascii="Wingdings" w:hAnsi="Wingdings" w:hint="default"/>
      </w:rPr>
    </w:lvl>
    <w:lvl w:ilvl="6" w:tplc="A2CE3FAC" w:tentative="1">
      <w:start w:val="1"/>
      <w:numFmt w:val="bullet"/>
      <w:lvlText w:val=""/>
      <w:lvlJc w:val="left"/>
      <w:pPr>
        <w:ind w:left="5040" w:hanging="360"/>
      </w:pPr>
      <w:rPr>
        <w:rFonts w:ascii="Symbol" w:hAnsi="Symbol" w:hint="default"/>
      </w:rPr>
    </w:lvl>
    <w:lvl w:ilvl="7" w:tplc="0FB4A9C4" w:tentative="1">
      <w:start w:val="1"/>
      <w:numFmt w:val="bullet"/>
      <w:lvlText w:val="o"/>
      <w:lvlJc w:val="left"/>
      <w:pPr>
        <w:ind w:left="5760" w:hanging="360"/>
      </w:pPr>
      <w:rPr>
        <w:rFonts w:ascii="Courier New" w:hAnsi="Courier New" w:cs="Courier New" w:hint="default"/>
      </w:rPr>
    </w:lvl>
    <w:lvl w:ilvl="8" w:tplc="2DA2ED76" w:tentative="1">
      <w:start w:val="1"/>
      <w:numFmt w:val="bullet"/>
      <w:lvlText w:val=""/>
      <w:lvlJc w:val="left"/>
      <w:pPr>
        <w:ind w:left="6480" w:hanging="360"/>
      </w:pPr>
      <w:rPr>
        <w:rFonts w:ascii="Wingdings" w:hAnsi="Wingdings" w:hint="default"/>
      </w:rPr>
    </w:lvl>
  </w:abstractNum>
  <w:abstractNum w:abstractNumId="21"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7"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700086885">
    <w:abstractNumId w:val="18"/>
  </w:num>
  <w:num w:numId="2" w16cid:durableId="410086476">
    <w:abstractNumId w:val="22"/>
  </w:num>
  <w:num w:numId="3" w16cid:durableId="4211016">
    <w:abstractNumId w:val="29"/>
  </w:num>
  <w:num w:numId="4" w16cid:durableId="1390886111">
    <w:abstractNumId w:val="2"/>
  </w:num>
  <w:num w:numId="5" w16cid:durableId="534392082">
    <w:abstractNumId w:val="0"/>
  </w:num>
  <w:num w:numId="6" w16cid:durableId="877472813">
    <w:abstractNumId w:val="27"/>
  </w:num>
  <w:num w:numId="7" w16cid:durableId="1225792915">
    <w:abstractNumId w:val="20"/>
  </w:num>
  <w:num w:numId="8" w16cid:durableId="1230724753">
    <w:abstractNumId w:val="6"/>
  </w:num>
  <w:num w:numId="9" w16cid:durableId="1811901915">
    <w:abstractNumId w:val="12"/>
  </w:num>
  <w:num w:numId="10" w16cid:durableId="373042893">
    <w:abstractNumId w:val="21"/>
  </w:num>
  <w:num w:numId="11" w16cid:durableId="1987514403">
    <w:abstractNumId w:val="31"/>
  </w:num>
  <w:num w:numId="12" w16cid:durableId="1246257071">
    <w:abstractNumId w:val="17"/>
  </w:num>
  <w:num w:numId="13" w16cid:durableId="2039038204">
    <w:abstractNumId w:val="19"/>
  </w:num>
  <w:num w:numId="14" w16cid:durableId="860316844">
    <w:abstractNumId w:val="9"/>
  </w:num>
  <w:num w:numId="15" w16cid:durableId="1922255078">
    <w:abstractNumId w:val="5"/>
  </w:num>
  <w:num w:numId="16" w16cid:durableId="170612258">
    <w:abstractNumId w:val="11"/>
  </w:num>
  <w:num w:numId="17" w16cid:durableId="966545044">
    <w:abstractNumId w:val="16"/>
  </w:num>
  <w:num w:numId="18" w16cid:durableId="1554341872">
    <w:abstractNumId w:val="3"/>
  </w:num>
  <w:num w:numId="19" w16cid:durableId="274561371">
    <w:abstractNumId w:val="10"/>
  </w:num>
  <w:num w:numId="20" w16cid:durableId="1975406429">
    <w:abstractNumId w:val="26"/>
  </w:num>
  <w:num w:numId="21" w16cid:durableId="1202401199">
    <w:abstractNumId w:val="14"/>
  </w:num>
  <w:num w:numId="22" w16cid:durableId="1070929512">
    <w:abstractNumId w:val="24"/>
  </w:num>
  <w:num w:numId="23" w16cid:durableId="826288652">
    <w:abstractNumId w:val="7"/>
  </w:num>
  <w:num w:numId="24" w16cid:durableId="770275778">
    <w:abstractNumId w:val="13"/>
  </w:num>
  <w:num w:numId="25" w16cid:durableId="854155932">
    <w:abstractNumId w:val="4"/>
  </w:num>
  <w:num w:numId="26" w16cid:durableId="602154692">
    <w:abstractNumId w:val="8"/>
  </w:num>
  <w:num w:numId="27" w16cid:durableId="1844662626">
    <w:abstractNumId w:val="15"/>
  </w:num>
  <w:num w:numId="28" w16cid:durableId="1209951974">
    <w:abstractNumId w:val="30"/>
  </w:num>
  <w:num w:numId="29" w16cid:durableId="1697778432">
    <w:abstractNumId w:val="1"/>
  </w:num>
  <w:num w:numId="30" w16cid:durableId="2067758694">
    <w:abstractNumId w:val="23"/>
  </w:num>
  <w:num w:numId="31" w16cid:durableId="1348365566">
    <w:abstractNumId w:val="28"/>
  </w:num>
  <w:num w:numId="32" w16cid:durableId="85820470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5C1"/>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599F"/>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0F0F"/>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2B2"/>
    <w:rsid w:val="001C27FB"/>
    <w:rsid w:val="001C3191"/>
    <w:rsid w:val="001C3A25"/>
    <w:rsid w:val="001C489C"/>
    <w:rsid w:val="001C6960"/>
    <w:rsid w:val="001C6988"/>
    <w:rsid w:val="001C7489"/>
    <w:rsid w:val="001C74C0"/>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07FD5"/>
    <w:rsid w:val="0021069E"/>
    <w:rsid w:val="002109F7"/>
    <w:rsid w:val="00211A0B"/>
    <w:rsid w:val="00212CFC"/>
    <w:rsid w:val="00213266"/>
    <w:rsid w:val="00213803"/>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29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212"/>
    <w:rsid w:val="002B4408"/>
    <w:rsid w:val="002B4B9A"/>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3F9"/>
    <w:rsid w:val="002D5472"/>
    <w:rsid w:val="002D5AE1"/>
    <w:rsid w:val="002D61D4"/>
    <w:rsid w:val="002D7016"/>
    <w:rsid w:val="002D7B30"/>
    <w:rsid w:val="002E0E23"/>
    <w:rsid w:val="002E1366"/>
    <w:rsid w:val="002E1B4A"/>
    <w:rsid w:val="002E2077"/>
    <w:rsid w:val="002E54E2"/>
    <w:rsid w:val="002E56A2"/>
    <w:rsid w:val="002E5968"/>
    <w:rsid w:val="002E6B58"/>
    <w:rsid w:val="002E6B9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528D"/>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4542"/>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389"/>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0B0C"/>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76F"/>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023"/>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12A"/>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2938"/>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5F3F"/>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2EBF"/>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37B8"/>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5AE4"/>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82F"/>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2592"/>
    <w:rsid w:val="007335BD"/>
    <w:rsid w:val="00733755"/>
    <w:rsid w:val="00734B7F"/>
    <w:rsid w:val="007351D2"/>
    <w:rsid w:val="0073529C"/>
    <w:rsid w:val="00735951"/>
    <w:rsid w:val="007413AA"/>
    <w:rsid w:val="00742160"/>
    <w:rsid w:val="0074241F"/>
    <w:rsid w:val="0074297F"/>
    <w:rsid w:val="00743D6D"/>
    <w:rsid w:val="007457CE"/>
    <w:rsid w:val="00745A42"/>
    <w:rsid w:val="00745C78"/>
    <w:rsid w:val="00750BF1"/>
    <w:rsid w:val="00750D79"/>
    <w:rsid w:val="00751858"/>
    <w:rsid w:val="007527DD"/>
    <w:rsid w:val="00753F55"/>
    <w:rsid w:val="007557FF"/>
    <w:rsid w:val="00755B95"/>
    <w:rsid w:val="00755D66"/>
    <w:rsid w:val="007564B0"/>
    <w:rsid w:val="00756B26"/>
    <w:rsid w:val="00756F06"/>
    <w:rsid w:val="0075749E"/>
    <w:rsid w:val="007578B6"/>
    <w:rsid w:val="007579DD"/>
    <w:rsid w:val="00760AC5"/>
    <w:rsid w:val="00761845"/>
    <w:rsid w:val="0076216A"/>
    <w:rsid w:val="007628F6"/>
    <w:rsid w:val="007632CF"/>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2931"/>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506F"/>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6B2"/>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CA1"/>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843"/>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38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057C"/>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64E0"/>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0658"/>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0D0"/>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2D4"/>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1CBE"/>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67EC"/>
    <w:rsid w:val="00BD68A1"/>
    <w:rsid w:val="00BD6C13"/>
    <w:rsid w:val="00BD7006"/>
    <w:rsid w:val="00BD7D78"/>
    <w:rsid w:val="00BD7FA7"/>
    <w:rsid w:val="00BE09C9"/>
    <w:rsid w:val="00BE153A"/>
    <w:rsid w:val="00BE3527"/>
    <w:rsid w:val="00BE3E8C"/>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1A"/>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7EF"/>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279AF"/>
    <w:rsid w:val="00D32CA4"/>
    <w:rsid w:val="00D335D5"/>
    <w:rsid w:val="00D33E3D"/>
    <w:rsid w:val="00D341C8"/>
    <w:rsid w:val="00D3499C"/>
    <w:rsid w:val="00D35661"/>
    <w:rsid w:val="00D35DE8"/>
    <w:rsid w:val="00D35E19"/>
    <w:rsid w:val="00D35EBF"/>
    <w:rsid w:val="00D366F6"/>
    <w:rsid w:val="00D36D34"/>
    <w:rsid w:val="00D36F90"/>
    <w:rsid w:val="00D37795"/>
    <w:rsid w:val="00D401A9"/>
    <w:rsid w:val="00D404D6"/>
    <w:rsid w:val="00D409AF"/>
    <w:rsid w:val="00D40E93"/>
    <w:rsid w:val="00D40F78"/>
    <w:rsid w:val="00D42F23"/>
    <w:rsid w:val="00D43BCE"/>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239"/>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B7AD9"/>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0D6"/>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09C"/>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113"/>
    <w:rsid w:val="00E73446"/>
    <w:rsid w:val="00E75C93"/>
    <w:rsid w:val="00E75E04"/>
    <w:rsid w:val="00E76093"/>
    <w:rsid w:val="00E766C9"/>
    <w:rsid w:val="00E779C0"/>
    <w:rsid w:val="00E77A9A"/>
    <w:rsid w:val="00E77E38"/>
    <w:rsid w:val="00E80732"/>
    <w:rsid w:val="00E80BB5"/>
    <w:rsid w:val="00E82B3F"/>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424"/>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3DF8"/>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597"/>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4F02"/>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2B36"/>
    <w:rsid w:val="00FE341C"/>
    <w:rsid w:val="00FE44DA"/>
    <w:rsid w:val="00FE4A1C"/>
    <w:rsid w:val="00FE4DC7"/>
    <w:rsid w:val="00FE4E82"/>
    <w:rsid w:val="00FE5501"/>
    <w:rsid w:val="00FE64C6"/>
    <w:rsid w:val="00FE6879"/>
    <w:rsid w:val="00FE68B8"/>
    <w:rsid w:val="00FE6B72"/>
    <w:rsid w:val="00FE6B7C"/>
    <w:rsid w:val="00FF17CB"/>
    <w:rsid w:val="00FF257A"/>
    <w:rsid w:val="00FF3096"/>
    <w:rsid w:val="00FF30AD"/>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5"/>
    <o:shapelayout v:ext="edit">
      <o:idmap v:ext="edit" data="1"/>
    </o:shapelayout>
  </w:shapeDefaults>
  <w:decimalSymbol w:val="."/>
  <w:listSeparator w:val=","/>
  <w14:docId w14:val="23D6A18F"/>
  <w15:chartTrackingRefBased/>
  <w15:docId w15:val="{A7E4EBDC-0A58-42D4-AB57-9D8672FE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46675481">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44932397">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13137961">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5JENXJJSCC7A-445999044-12042</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https://im/teams/LEGAL/_layouts/15/DocIdRedir.aspx?ID=5JENXJJSCC7A-445999044-12042</Url>
      <Description>5JENXJJSCC7A-445999044-12042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310.0 Income Statement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A13774-563C-4D66-BAA5-F111DFF74655}">
  <ds:schemaRefs>
    <ds:schemaRef ds:uri="http://schemas.microsoft.com/sharepoint/v3/contenttype/forms"/>
  </ds:schemaRefs>
</ds:datastoreItem>
</file>

<file path=customXml/itemProps2.xml><?xml version="1.0" encoding="utf-8"?>
<ds:datastoreItem xmlns:ds="http://schemas.openxmlformats.org/officeDocument/2006/customXml" ds:itemID="{40D46103-8929-448C-8407-9B3D4554DC2B}">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814d62cb-2db6-4c25-ab62-b9075facbc11"/>
    <ds:schemaRef ds:uri="http://schemas.microsoft.com/office/2006/metadata/properties"/>
  </ds:schemaRefs>
</ds:datastoreItem>
</file>

<file path=customXml/itemProps3.xml><?xml version="1.0" encoding="utf-8"?>
<ds:datastoreItem xmlns:ds="http://schemas.openxmlformats.org/officeDocument/2006/customXml" ds:itemID="{B8BCB55A-F954-4F52-BC6A-A368FA25CC0F}"/>
</file>

<file path=customXml/itemProps4.xml><?xml version="1.0" encoding="utf-8"?>
<ds:datastoreItem xmlns:ds="http://schemas.openxmlformats.org/officeDocument/2006/customXml" ds:itemID="{5088A189-E353-4A10-9BEB-8AC609D7D1EB}">
  <ds:schemaRefs>
    <ds:schemaRef ds:uri="Microsoft.SharePoint.Taxonomy.ContentTypeSync"/>
  </ds:schemaRefs>
</ds:datastoreItem>
</file>

<file path=customXml/itemProps5.xml><?xml version="1.0" encoding="utf-8"?>
<ds:datastoreItem xmlns:ds="http://schemas.openxmlformats.org/officeDocument/2006/customXml" ds:itemID="{24E72193-6854-4CCD-8894-AF1047B8E654}">
  <ds:schemaRefs>
    <ds:schemaRef ds:uri="http://schemas.openxmlformats.org/officeDocument/2006/bibliography"/>
  </ds:schemaRefs>
</ds:datastoreItem>
</file>

<file path=customXml/itemProps6.xml><?xml version="1.0" encoding="utf-8"?>
<ds:datastoreItem xmlns:ds="http://schemas.openxmlformats.org/officeDocument/2006/customXml" ds:itemID="{FA6297B7-AE1F-4E6E-9F62-2475A753B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5016</Words>
  <Characters>27891</Characters>
  <Application>Microsoft Office Word</Application>
  <DocSecurity>0</DocSecurity>
  <Lines>648</Lines>
  <Paragraphs>350</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2023-03-16T07:22:00Z</dcterms:created>
  <dcterms:modified xsi:type="dcterms:W3CDTF">2023-03-16T07:22:00Z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4E1BC037D07F43BF9741A4FE2AFDC6D0</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2023-01-17T00:54:03Z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F913CCF4A2A6C3A31B2C328A13DD6F7F</vt:lpwstr>
  </property>
  <property fmtid="{D5CDD505-2E9C-101B-9397-08002B2CF9AE}" pid="22" name="PM_Hash_Salt">
    <vt:lpwstr>035CD46403DD131C895EA491287C0B6B</vt:lpwstr>
  </property>
  <property fmtid="{D5CDD505-2E9C-101B-9397-08002B2CF9AE}" pid="23" name="PM_Hash_SHA1">
    <vt:lpwstr>96FD2AD5C8BAB639B6CCF752221A5141C0525102</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be03c835-9f24-42bd-b331-288cdaa9a8fc</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{be03c835-9f24-42bd-b331-288cdaa9a8fc}</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2023-01-17T00:54:03Z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v=2022.1;a=SHA256;h=7A29866BDCC498563A47282A54365F1769DBAEB3AF911D9416CB6B32EB9CA8DE</vt:lpwstr>
  </property>
  <property fmtid="{D5CDD505-2E9C-101B-9397-08002B2CF9AE}" pid="58" name="MSIP_Label_c0129afb-6481-4f92-bc9f-5a4a6346364d_ContentBits">
    <vt:lpwstr>0</vt:lpwstr>
  </property>
  <property fmtid="{D5CDD505-2E9C-101B-9397-08002B2CF9AE}" pid="59" name="MSIP_Label_c0129afb-6481-4f92-bc9f-5a4a6346364d_ActionId">
    <vt:lpwstr>758cd9aeb6584c508157e77f6debeaca</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