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A483" w14:textId="77777777" w:rsidR="00164E73" w:rsidRPr="003F21BB" w:rsidRDefault="00164E73" w:rsidP="00164E73">
      <w:pPr>
        <w:rPr>
          <w:color w:val="000000"/>
          <w:sz w:val="20"/>
          <w:szCs w:val="20"/>
          <w:lang w:val="en-US"/>
        </w:rPr>
      </w:pPr>
      <w:bookmarkStart w:id="0" w:name="_Toc168113228"/>
      <w:r>
        <w:rPr>
          <w:noProof/>
          <w:color w:val="000000"/>
          <w:sz w:val="20"/>
          <w:szCs w:val="20"/>
        </w:rPr>
        <w:drawing>
          <wp:inline distT="0" distB="0" distL="0" distR="0" wp14:anchorId="3AB24E7C" wp14:editId="6579B8B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C480085" w14:textId="77777777" w:rsidR="00164E73" w:rsidRPr="003F21BB" w:rsidRDefault="00164E73" w:rsidP="00164E73">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Collection of Data) (reporting standard) determination No.</w:t>
      </w:r>
      <w:r>
        <w:rPr>
          <w:rFonts w:ascii="Arial" w:hAnsi="Arial" w:cs="Arial"/>
          <w:b/>
          <w:bCs/>
          <w:color w:val="000000"/>
          <w:sz w:val="40"/>
          <w:szCs w:val="40"/>
        </w:rPr>
        <w:t xml:space="preserve"> 25</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6148BA5E" w14:textId="77777777" w:rsidR="00164E73" w:rsidRPr="003F21BB" w:rsidRDefault="00164E73" w:rsidP="00164E73">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C71BE2">
        <w:rPr>
          <w:rFonts w:ascii="Arial" w:hAnsi="Arial" w:cs="Arial"/>
          <w:b/>
          <w:bCs/>
          <w:color w:val="000000"/>
          <w:sz w:val="28"/>
          <w:szCs w:val="28"/>
        </w:rPr>
        <w:t>LRS 112.3 Related Party Risks</w:t>
      </w:r>
    </w:p>
    <w:p w14:paraId="3E229000" w14:textId="77777777" w:rsidR="00164E73" w:rsidRPr="003F21BB" w:rsidRDefault="00164E73" w:rsidP="00164E73">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4EFB2066" w14:textId="77777777" w:rsidR="00164E73" w:rsidRPr="003F21BB" w:rsidRDefault="00164E73" w:rsidP="00164E73">
      <w:pPr>
        <w:ind w:left="720" w:hanging="720"/>
        <w:rPr>
          <w:color w:val="000000"/>
          <w:szCs w:val="20"/>
        </w:rPr>
      </w:pPr>
    </w:p>
    <w:p w14:paraId="1316BF13" w14:textId="77777777" w:rsidR="00164E73" w:rsidRPr="007924D0" w:rsidRDefault="00164E73" w:rsidP="00164E73">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6AAD0375" w14:textId="77777777" w:rsidR="00164E73" w:rsidRDefault="00164E73" w:rsidP="00164E73">
      <w:pPr>
        <w:jc w:val="both"/>
        <w:rPr>
          <w:color w:val="000000"/>
        </w:rPr>
      </w:pPr>
    </w:p>
    <w:p w14:paraId="0A6A8B41" w14:textId="77777777" w:rsidR="00164E73" w:rsidRPr="004F7A0C" w:rsidRDefault="00164E73" w:rsidP="00164E73">
      <w:pPr>
        <w:pStyle w:val="ListParagraph"/>
        <w:numPr>
          <w:ilvl w:val="0"/>
          <w:numId w:val="11"/>
        </w:numPr>
        <w:jc w:val="both"/>
        <w:rPr>
          <w:sz w:val="24"/>
          <w:szCs w:val="24"/>
        </w:rPr>
      </w:pPr>
      <w:r w:rsidRPr="004F7A0C">
        <w:rPr>
          <w:sz w:val="24"/>
          <w:szCs w:val="24"/>
        </w:rPr>
        <w:t xml:space="preserve">REVOKE Financial Sector (Collection of Data) (reporting standard) determination No. </w:t>
      </w:r>
      <w:r>
        <w:rPr>
          <w:sz w:val="24"/>
          <w:szCs w:val="24"/>
        </w:rPr>
        <w:t>45</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LRS 112.3 Related Party Risks</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346CF7BC" w14:textId="77777777" w:rsidR="00164E73" w:rsidRPr="004F7A0C" w:rsidRDefault="00164E73" w:rsidP="00164E73">
      <w:pPr>
        <w:pStyle w:val="ListParagraph"/>
        <w:rPr>
          <w:sz w:val="24"/>
          <w:szCs w:val="24"/>
        </w:rPr>
      </w:pPr>
    </w:p>
    <w:p w14:paraId="5368A6D6" w14:textId="77777777" w:rsidR="00164E73" w:rsidRDefault="00164E73" w:rsidP="00164E73">
      <w:pPr>
        <w:pStyle w:val="ListParagraph"/>
        <w:numPr>
          <w:ilvl w:val="0"/>
          <w:numId w:val="11"/>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LRS 112.3 Related Party Risks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0D53AC7" w14:textId="77777777" w:rsidR="00164E73" w:rsidRPr="007924D0" w:rsidRDefault="00164E73" w:rsidP="00164E73">
      <w:pPr>
        <w:pStyle w:val="ListParagraph"/>
        <w:rPr>
          <w:sz w:val="24"/>
          <w:szCs w:val="24"/>
        </w:rPr>
      </w:pPr>
    </w:p>
    <w:p w14:paraId="3F3CD8BB" w14:textId="77777777" w:rsidR="00164E73" w:rsidRPr="007924D0" w:rsidRDefault="00164E73" w:rsidP="00164E73">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1C536244" w14:textId="77777777" w:rsidR="00164E73" w:rsidRPr="007924D0" w:rsidRDefault="00164E73" w:rsidP="00164E73">
      <w:pPr>
        <w:jc w:val="both"/>
        <w:rPr>
          <w:lang w:val="en-US"/>
        </w:rPr>
      </w:pPr>
    </w:p>
    <w:p w14:paraId="45ED867F" w14:textId="77777777" w:rsidR="00164E73" w:rsidRPr="007924D0" w:rsidRDefault="00164E73" w:rsidP="00164E73">
      <w:pPr>
        <w:jc w:val="both"/>
        <w:rPr>
          <w:lang w:val="en-US"/>
        </w:rPr>
      </w:pPr>
      <w:r w:rsidRPr="007924D0">
        <w:rPr>
          <w:lang w:val="en-US"/>
        </w:rPr>
        <w:t>This instrument commences on 1 April 202</w:t>
      </w:r>
      <w:r>
        <w:rPr>
          <w:lang w:val="en-US"/>
        </w:rPr>
        <w:t>3</w:t>
      </w:r>
      <w:r w:rsidRPr="007924D0">
        <w:rPr>
          <w:lang w:val="en-US"/>
        </w:rPr>
        <w:t>.</w:t>
      </w:r>
    </w:p>
    <w:p w14:paraId="444D8E07" w14:textId="77777777" w:rsidR="00164E73" w:rsidRPr="007924D0" w:rsidRDefault="00164E73" w:rsidP="00164E73">
      <w:pPr>
        <w:jc w:val="both"/>
        <w:rPr>
          <w:lang w:val="en-US"/>
        </w:rPr>
      </w:pPr>
    </w:p>
    <w:p w14:paraId="6E4E7EDA" w14:textId="2078BB26" w:rsidR="00164E73" w:rsidRPr="003F21BB" w:rsidRDefault="00164E73" w:rsidP="00164E73">
      <w:pPr>
        <w:jc w:val="both"/>
        <w:rPr>
          <w:lang w:val="en-US"/>
        </w:rPr>
      </w:pPr>
      <w:r w:rsidRPr="007924D0">
        <w:rPr>
          <w:lang w:val="en-US"/>
        </w:rPr>
        <w:t xml:space="preserve">Dated: </w:t>
      </w:r>
      <w:r w:rsidR="00AE30D7">
        <w:rPr>
          <w:lang w:val="en-US"/>
        </w:rPr>
        <w:t>16</w:t>
      </w:r>
      <w:r w:rsidRPr="007924D0">
        <w:rPr>
          <w:lang w:val="en-US"/>
        </w:rPr>
        <w:t xml:space="preserve"> March 202</w:t>
      </w:r>
      <w:r>
        <w:rPr>
          <w:lang w:val="en-US"/>
        </w:rPr>
        <w:t>3</w:t>
      </w:r>
    </w:p>
    <w:p w14:paraId="54656901" w14:textId="77777777" w:rsidR="00164E73" w:rsidRPr="003F21BB" w:rsidRDefault="00164E73" w:rsidP="00164E73">
      <w:pPr>
        <w:jc w:val="both"/>
        <w:rPr>
          <w:i/>
          <w:lang w:val="en-US"/>
        </w:rPr>
      </w:pPr>
    </w:p>
    <w:p w14:paraId="58817013" w14:textId="77777777" w:rsidR="00164E73" w:rsidRPr="003F21BB" w:rsidRDefault="00164E73" w:rsidP="00164E73">
      <w:pPr>
        <w:jc w:val="both"/>
        <w:rPr>
          <w:lang w:val="en-US"/>
        </w:rPr>
      </w:pPr>
    </w:p>
    <w:p w14:paraId="78B575C5" w14:textId="77777777" w:rsidR="00164E73" w:rsidRPr="003F21BB" w:rsidRDefault="00164E73" w:rsidP="00164E73">
      <w:pPr>
        <w:jc w:val="both"/>
        <w:rPr>
          <w:lang w:val="en-US"/>
        </w:rPr>
      </w:pPr>
      <w:r>
        <w:rPr>
          <w:lang w:val="en-US"/>
        </w:rPr>
        <w:t>Michael Murphy</w:t>
      </w:r>
    </w:p>
    <w:p w14:paraId="647403D8" w14:textId="77777777" w:rsidR="00164E73" w:rsidRPr="003F21BB" w:rsidRDefault="00164E73" w:rsidP="00164E73">
      <w:pPr>
        <w:jc w:val="both"/>
        <w:rPr>
          <w:lang w:val="en-US"/>
        </w:rPr>
      </w:pPr>
      <w:r>
        <w:rPr>
          <w:lang w:val="en-US"/>
        </w:rPr>
        <w:t>General Manager – Chief Data Officer (Acting),</w:t>
      </w:r>
    </w:p>
    <w:p w14:paraId="51C46A48" w14:textId="38609EE2" w:rsidR="00AE30D7" w:rsidRDefault="00164E73" w:rsidP="00164E73">
      <w:pPr>
        <w:jc w:val="both"/>
        <w:rPr>
          <w:lang w:val="en-US"/>
        </w:rPr>
      </w:pPr>
      <w:r>
        <w:rPr>
          <w:lang w:val="en-US"/>
        </w:rPr>
        <w:t>Technology and Data</w:t>
      </w:r>
      <w:r w:rsidRPr="003F21BB">
        <w:rPr>
          <w:lang w:val="en-US"/>
        </w:rPr>
        <w:t xml:space="preserve"> Division</w:t>
      </w:r>
    </w:p>
    <w:p w14:paraId="6DBC1253" w14:textId="77777777" w:rsidR="00AE30D7" w:rsidRDefault="00AE30D7">
      <w:pPr>
        <w:rPr>
          <w:lang w:val="en-US"/>
        </w:rPr>
      </w:pPr>
      <w:r>
        <w:rPr>
          <w:lang w:val="en-US"/>
        </w:rPr>
        <w:br w:type="page"/>
      </w:r>
    </w:p>
    <w:p w14:paraId="0A228BF3" w14:textId="77777777" w:rsidR="00164E73" w:rsidRPr="003F21BB" w:rsidRDefault="00164E73" w:rsidP="00164E73">
      <w:pPr>
        <w:jc w:val="both"/>
        <w:rPr>
          <w:b/>
          <w:lang w:val="en-US"/>
        </w:rPr>
      </w:pPr>
      <w:r w:rsidRPr="003F21BB">
        <w:rPr>
          <w:b/>
          <w:color w:val="000000"/>
          <w:lang w:val="en-US"/>
        </w:rPr>
        <w:lastRenderedPageBreak/>
        <w:t>Interpretation</w:t>
      </w:r>
    </w:p>
    <w:p w14:paraId="6A5F9389" w14:textId="77777777" w:rsidR="00164E73" w:rsidRPr="003F21BB" w:rsidRDefault="00164E73" w:rsidP="00164E73">
      <w:pPr>
        <w:keepNext/>
        <w:tabs>
          <w:tab w:val="right" w:pos="794"/>
        </w:tabs>
        <w:spacing w:before="240" w:line="260" w:lineRule="exact"/>
        <w:ind w:left="964" w:hanging="964"/>
        <w:jc w:val="both"/>
        <w:rPr>
          <w:color w:val="000000"/>
        </w:rPr>
      </w:pPr>
      <w:r w:rsidRPr="003F21BB">
        <w:rPr>
          <w:color w:val="000000"/>
        </w:rPr>
        <w:t>In this Determination:</w:t>
      </w:r>
    </w:p>
    <w:p w14:paraId="6FABD9B1" w14:textId="77777777" w:rsidR="00164E73" w:rsidRPr="003F21BB" w:rsidRDefault="00164E73" w:rsidP="00164E73">
      <w:pPr>
        <w:spacing w:before="120"/>
        <w:jc w:val="both"/>
        <w:rPr>
          <w:color w:val="000000"/>
        </w:rPr>
      </w:pPr>
      <w:r w:rsidRPr="003F21BB">
        <w:rPr>
          <w:b/>
          <w:i/>
          <w:color w:val="000000"/>
        </w:rPr>
        <w:t>APRA</w:t>
      </w:r>
      <w:r w:rsidRPr="003F21BB">
        <w:rPr>
          <w:color w:val="000000"/>
        </w:rPr>
        <w:t xml:space="preserve"> means the Australian Prudential Regulation Authority.</w:t>
      </w:r>
    </w:p>
    <w:p w14:paraId="2ECB3CDC" w14:textId="77777777" w:rsidR="00164E73" w:rsidRPr="003F21BB" w:rsidRDefault="00164E73" w:rsidP="00164E73">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2E967DF9" w14:textId="77777777" w:rsidR="00164E73" w:rsidRPr="003F21BB" w:rsidRDefault="00164E73" w:rsidP="00164E73">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5E6B7480" w14:textId="77777777" w:rsidR="00164E73" w:rsidRPr="003F21BB" w:rsidRDefault="00164E73" w:rsidP="00164E73">
      <w:pPr>
        <w:keepNext/>
        <w:autoSpaceDE w:val="0"/>
        <w:autoSpaceDN w:val="0"/>
        <w:spacing w:before="60" w:line="200" w:lineRule="exact"/>
        <w:rPr>
          <w:rFonts w:ascii="Arial" w:hAnsi="Arial" w:cs="Arial"/>
          <w:color w:val="000000"/>
          <w:sz w:val="18"/>
          <w:szCs w:val="18"/>
        </w:rPr>
      </w:pPr>
    </w:p>
    <w:p w14:paraId="5B61316F" w14:textId="77777777" w:rsidR="00164E73" w:rsidRPr="003F21BB" w:rsidRDefault="00164E73" w:rsidP="00164E73">
      <w:pPr>
        <w:tabs>
          <w:tab w:val="center" w:pos="4320"/>
          <w:tab w:val="right" w:pos="8640"/>
        </w:tabs>
        <w:jc w:val="both"/>
        <w:rPr>
          <w:bCs/>
          <w:lang w:val="en-US"/>
        </w:rPr>
      </w:pPr>
      <w:r w:rsidRPr="002D3393">
        <w:rPr>
          <w:i/>
          <w:color w:val="000000"/>
        </w:rPr>
        <w:t xml:space="preserve">Reporting Standard </w:t>
      </w:r>
      <w:r>
        <w:rPr>
          <w:i/>
        </w:rPr>
        <w:t>LRS 112.3 Related Party Risks</w:t>
      </w:r>
      <w:r w:rsidRPr="003F21BB">
        <w:rPr>
          <w:bCs/>
          <w:lang w:val="en-US"/>
        </w:rPr>
        <w:t xml:space="preserve"> comprises the document commencing on the following page.</w:t>
      </w:r>
      <w:bookmarkEnd w:id="0"/>
    </w:p>
    <w:p w14:paraId="33C05061" w14:textId="77777777" w:rsidR="00AE30D7" w:rsidRDefault="00AE30D7">
      <w:pPr>
        <w:rPr>
          <w:rFonts w:cs="Arial"/>
          <w:sz w:val="40"/>
          <w:szCs w:val="40"/>
        </w:rPr>
        <w:sectPr w:rsidR="00AE30D7" w:rsidSect="005C0199">
          <w:pgSz w:w="11906" w:h="16838"/>
          <w:pgMar w:top="1440" w:right="1440" w:bottom="1440" w:left="1440" w:header="708" w:footer="708" w:gutter="0"/>
          <w:pgNumType w:start="1"/>
          <w:cols w:space="708"/>
          <w:docGrid w:linePitch="360"/>
        </w:sectPr>
      </w:pPr>
    </w:p>
    <w:p w14:paraId="5E49CA76" w14:textId="66D03454" w:rsidR="00E63AB5" w:rsidRPr="003F62B4" w:rsidRDefault="00941B4D" w:rsidP="003C6BD0">
      <w:pPr>
        <w:spacing w:before="120" w:after="240"/>
        <w:jc w:val="both"/>
        <w:rPr>
          <w:rFonts w:cs="Arial"/>
          <w:sz w:val="40"/>
          <w:szCs w:val="40"/>
        </w:rPr>
      </w:pPr>
      <w:r w:rsidRPr="003F62B4">
        <w:rPr>
          <w:noProof/>
        </w:rPr>
        <w:lastRenderedPageBreak/>
        <w:drawing>
          <wp:inline distT="0" distB="0" distL="0" distR="0" wp14:anchorId="0BED4095" wp14:editId="222C4D41">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FE90C20" w14:textId="77777777" w:rsidR="00E63AB5" w:rsidRPr="003F62B4" w:rsidRDefault="00E63AB5" w:rsidP="003C6BD0">
      <w:pPr>
        <w:pStyle w:val="Heading1"/>
        <w:spacing w:before="120"/>
        <w:jc w:val="both"/>
        <w:rPr>
          <w:szCs w:val="40"/>
        </w:rPr>
      </w:pPr>
      <w:r>
        <w:rPr>
          <w:szCs w:val="40"/>
        </w:rPr>
        <w:t xml:space="preserve">Reporting Standard LRS </w:t>
      </w:r>
      <w:r w:rsidR="00562A94">
        <w:rPr>
          <w:noProof/>
          <w:szCs w:val="40"/>
        </w:rPr>
        <w:t>112</w:t>
      </w:r>
      <w:r w:rsidR="00C611E9">
        <w:rPr>
          <w:noProof/>
          <w:szCs w:val="40"/>
        </w:rPr>
        <w:t>.</w:t>
      </w:r>
      <w:r w:rsidR="00B25EC4">
        <w:rPr>
          <w:noProof/>
          <w:szCs w:val="40"/>
        </w:rPr>
        <w:t>3</w:t>
      </w:r>
    </w:p>
    <w:p w14:paraId="3A82F9BF" w14:textId="77777777" w:rsidR="00E63AB5" w:rsidRPr="003F62B4" w:rsidRDefault="00B25EC4" w:rsidP="003C6BD0">
      <w:pPr>
        <w:pStyle w:val="Heading2"/>
        <w:spacing w:before="120"/>
        <w:rPr>
          <w:rFonts w:cs="Arial"/>
          <w:sz w:val="40"/>
          <w:szCs w:val="40"/>
        </w:rPr>
      </w:pPr>
      <w:r>
        <w:rPr>
          <w:rFonts w:cs="Arial"/>
          <w:noProof/>
          <w:sz w:val="40"/>
          <w:szCs w:val="40"/>
        </w:rPr>
        <w:t>Related Party Exposures</w:t>
      </w:r>
    </w:p>
    <w:p w14:paraId="4DB3F139"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0B39F393"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CF2C2A">
        <w:rPr>
          <w:lang w:val="en-US"/>
        </w:rPr>
        <w:t xml:space="preserve">a life company’s </w:t>
      </w:r>
      <w:r w:rsidR="00B25EC4">
        <w:rPr>
          <w:lang w:val="en-US"/>
        </w:rPr>
        <w:t xml:space="preserve">related party exposures. </w:t>
      </w:r>
      <w:r w:rsidRPr="001E1DA7">
        <w:rPr>
          <w:lang w:val="en-US"/>
        </w:rPr>
        <w:t xml:space="preserve"> </w:t>
      </w:r>
    </w:p>
    <w:p w14:paraId="4941F60A" w14:textId="77777777" w:rsidR="00E63AB5"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B6561D">
        <w:rPr>
          <w:i/>
          <w:lang w:val="en-US"/>
        </w:rPr>
        <w:t>Form</w:t>
      </w:r>
      <w:r w:rsidR="00E94F5C">
        <w:rPr>
          <w:i/>
          <w:lang w:val="en-US"/>
        </w:rPr>
        <w:t xml:space="preserve"> </w:t>
      </w:r>
      <w:r w:rsidR="00E94F5C">
        <w:rPr>
          <w:i/>
          <w:noProof/>
        </w:rPr>
        <w:t>LRF 112.</w:t>
      </w:r>
      <w:r w:rsidR="00B25EC4">
        <w:rPr>
          <w:i/>
          <w:noProof/>
        </w:rPr>
        <w:t>3</w:t>
      </w:r>
      <w:r w:rsidR="00E94F5C" w:rsidRPr="007A79ED">
        <w:rPr>
          <w:i/>
          <w:noProof/>
        </w:rPr>
        <w:t xml:space="preserve"> </w:t>
      </w:r>
      <w:r w:rsidR="00B25EC4">
        <w:rPr>
          <w:i/>
          <w:noProof/>
        </w:rPr>
        <w:t>Related Party Exposures</w:t>
      </w:r>
      <w:r w:rsidR="00A66DEE">
        <w:rPr>
          <w:i/>
          <w:lang w:val="en-US"/>
        </w:rPr>
        <w:t xml:space="preserve"> </w:t>
      </w:r>
      <w:r w:rsidR="003E0659">
        <w:rPr>
          <w:lang w:val="en-US"/>
        </w:rPr>
        <w:t xml:space="preserve">and associated </w:t>
      </w:r>
      <w:r w:rsidR="00CC3EEE">
        <w:rPr>
          <w:lang w:val="en-US"/>
        </w:rPr>
        <w:t xml:space="preserve">specific </w:t>
      </w:r>
      <w:r w:rsidR="00A26EE2">
        <w:rPr>
          <w:lang w:val="en-US"/>
        </w:rPr>
        <w:t xml:space="preserve">instructions and must be read in conjunction with the general instruction guide. </w:t>
      </w:r>
    </w:p>
    <w:p w14:paraId="0288BAD9"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5274C8CF" w14:textId="77777777" w:rsidR="00E63AB5" w:rsidRDefault="001E1DA7" w:rsidP="00CD5AA4">
      <w:pPr>
        <w:keepNext/>
        <w:spacing w:after="240"/>
        <w:jc w:val="both"/>
        <w:rPr>
          <w:rFonts w:ascii="Arial" w:hAnsi="Arial" w:cs="Arial"/>
          <w:b/>
        </w:rPr>
      </w:pPr>
      <w:r>
        <w:rPr>
          <w:rFonts w:ascii="Arial" w:hAnsi="Arial" w:cs="Arial"/>
          <w:b/>
        </w:rPr>
        <w:t>Authority</w:t>
      </w:r>
    </w:p>
    <w:p w14:paraId="65488CF5" w14:textId="77777777" w:rsidR="001E1DA7" w:rsidRPr="000511D1" w:rsidRDefault="001E1DA7" w:rsidP="00CD5AA4">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2B548918" w14:textId="77777777" w:rsidR="001E1DA7" w:rsidRPr="001E1DA7" w:rsidRDefault="001E1DA7" w:rsidP="00CD5AA4">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651C1B62" w14:textId="77777777" w:rsidR="00E63AB5" w:rsidRPr="00F25F0E" w:rsidRDefault="003E0659" w:rsidP="00CD5AA4">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B6561D">
        <w:rPr>
          <w:i/>
        </w:rPr>
        <w:t>Form</w:t>
      </w:r>
      <w:r w:rsidR="00E63AB5" w:rsidRPr="00FF748D">
        <w:rPr>
          <w:lang w:val="en-AU"/>
        </w:rPr>
        <w:t xml:space="preserve"> </w:t>
      </w:r>
      <w:r w:rsidR="00F4642E">
        <w:rPr>
          <w:i/>
          <w:noProof/>
          <w:lang w:val="en-AU"/>
        </w:rPr>
        <w:t>LRF 112</w:t>
      </w:r>
      <w:r w:rsidR="00C611E9">
        <w:rPr>
          <w:i/>
          <w:noProof/>
          <w:lang w:val="en-AU"/>
        </w:rPr>
        <w:t>.</w:t>
      </w:r>
      <w:r w:rsidR="00B25EC4">
        <w:rPr>
          <w:i/>
          <w:noProof/>
          <w:lang w:val="en-AU"/>
        </w:rPr>
        <w:t>3</w:t>
      </w:r>
      <w:r w:rsidR="00DF5370" w:rsidRPr="007A79ED">
        <w:rPr>
          <w:i/>
          <w:noProof/>
          <w:lang w:val="en-AU"/>
        </w:rPr>
        <w:t xml:space="preserve"> </w:t>
      </w:r>
      <w:r w:rsidR="00B25EC4">
        <w:rPr>
          <w:i/>
          <w:noProof/>
          <w:lang w:val="en-AU"/>
        </w:rPr>
        <w:t>Related Party Exposures</w:t>
      </w:r>
      <w:r w:rsidR="00CF2C2A">
        <w:rPr>
          <w:i/>
          <w:noProof/>
          <w:lang w:val="en-AU"/>
        </w:rPr>
        <w:t xml:space="preserve"> </w:t>
      </w:r>
      <w:r w:rsidR="00CF2C2A">
        <w:rPr>
          <w:noProof/>
          <w:lang w:val="en-AU"/>
        </w:rPr>
        <w:t>(LRF 112.3)</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02536B40" w14:textId="77777777" w:rsidR="00E63AB5" w:rsidRPr="00BB0250" w:rsidRDefault="00E63AB5" w:rsidP="00CD5AA4">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55463843" w14:textId="16458608" w:rsidR="00E63AB5" w:rsidRPr="00E51713" w:rsidRDefault="00E63AB5" w:rsidP="00CD5AA4">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4E66CE">
        <w:t>April 2023</w:t>
      </w:r>
      <w:r w:rsidR="00FD4D5C" w:rsidRPr="003304E6">
        <w:t>.</w:t>
      </w:r>
    </w:p>
    <w:p w14:paraId="01E93D29" w14:textId="77777777" w:rsidR="00E63AB5" w:rsidRPr="00726659" w:rsidRDefault="00E63AB5" w:rsidP="00CD5AA4">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6BDBF7B4" w14:textId="77777777" w:rsidR="00E63AB5" w:rsidRPr="001E6318" w:rsidRDefault="00E63AB5" w:rsidP="00CD5AA4">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CF2C2A" w:rsidRPr="00CF2C2A">
        <w:t>LRF 112.3</w:t>
      </w:r>
      <w:r w:rsidR="00846C4D">
        <w:t xml:space="preserve"> </w:t>
      </w:r>
      <w:r w:rsidRPr="00726659">
        <w:t xml:space="preserve">for each reporting period. </w:t>
      </w:r>
    </w:p>
    <w:p w14:paraId="70BA9BDE" w14:textId="77777777" w:rsidR="00E63AB5" w:rsidRPr="008354E5" w:rsidRDefault="00E63AB5" w:rsidP="00CD5AA4">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41FA7E92" w14:textId="49A52737" w:rsidR="00E63AB5" w:rsidRPr="003E1694" w:rsidRDefault="00E00277" w:rsidP="00CD5AA4">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26E7E30F" w14:textId="77777777" w:rsidR="009E3EB6" w:rsidRDefault="002F0553" w:rsidP="00CD5AA4">
      <w:pPr>
        <w:numPr>
          <w:ilvl w:val="0"/>
          <w:numId w:val="2"/>
        </w:numPr>
        <w:spacing w:after="240"/>
        <w:ind w:left="567" w:hanging="567"/>
        <w:jc w:val="both"/>
      </w:pPr>
      <w:r>
        <w:t>The information required by this Reporting Standard must be given to APRA:</w:t>
      </w:r>
    </w:p>
    <w:p w14:paraId="4E442C98" w14:textId="45F38770" w:rsidR="009E3EB6" w:rsidRPr="005C0199" w:rsidRDefault="009E3EB6" w:rsidP="00CD5AA4">
      <w:pPr>
        <w:numPr>
          <w:ilvl w:val="1"/>
          <w:numId w:val="2"/>
        </w:numPr>
        <w:spacing w:after="240"/>
        <w:ind w:left="1134" w:hanging="566"/>
        <w:jc w:val="both"/>
      </w:pPr>
      <w:r>
        <w:t>i</w:t>
      </w:r>
      <w:r w:rsidRPr="005C0199">
        <w:t>n electronic format using an electronic method available on APRA’s website; or</w:t>
      </w:r>
    </w:p>
    <w:p w14:paraId="41D688AC" w14:textId="09D7CAA1" w:rsidR="00651F74" w:rsidRPr="005C0199" w:rsidRDefault="009E3EB6" w:rsidP="00CD5AA4">
      <w:pPr>
        <w:numPr>
          <w:ilvl w:val="1"/>
          <w:numId w:val="2"/>
        </w:numPr>
        <w:spacing w:after="240"/>
        <w:ind w:left="1134" w:hanging="566"/>
        <w:jc w:val="both"/>
      </w:pPr>
      <w:r>
        <w:t>by a method notified by APRA prior to submission.</w:t>
      </w:r>
    </w:p>
    <w:p w14:paraId="3DDFDF2A" w14:textId="1A0A759A" w:rsidR="00E63AB5" w:rsidRPr="003E1694" w:rsidRDefault="00E63AB5" w:rsidP="00CD5AA4">
      <w:pPr>
        <w:keepNext/>
        <w:spacing w:after="240"/>
        <w:jc w:val="both"/>
        <w:rPr>
          <w:rFonts w:ascii="Arial" w:hAnsi="Arial" w:cs="Arial"/>
          <w:b/>
        </w:rPr>
      </w:pPr>
      <w:r w:rsidRPr="003E1694">
        <w:rPr>
          <w:rFonts w:ascii="Arial" w:hAnsi="Arial" w:cs="Arial"/>
          <w:b/>
        </w:rPr>
        <w:t>Reporting periods and due dates</w:t>
      </w:r>
    </w:p>
    <w:p w14:paraId="50811D15" w14:textId="77777777" w:rsidR="00AC19F5" w:rsidRDefault="00E63AB5" w:rsidP="00CD5AA4">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314661">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04458BC5" w14:textId="77777777" w:rsidR="00AC19F5" w:rsidRPr="00CD5AA4" w:rsidRDefault="00AC19F5" w:rsidP="00CD5AA4">
      <w:pPr>
        <w:numPr>
          <w:ilvl w:val="1"/>
          <w:numId w:val="2"/>
        </w:numPr>
        <w:spacing w:after="240"/>
        <w:ind w:left="1134" w:hanging="566"/>
        <w:jc w:val="both"/>
      </w:pPr>
      <w:bookmarkStart w:id="2" w:name="_Ref339262675"/>
      <w:r>
        <w:t xml:space="preserve">in respect of each </w:t>
      </w:r>
      <w:r w:rsidRPr="004F30BC">
        <w:t>quarter</w:t>
      </w:r>
      <w:r>
        <w:t xml:space="preserve"> based on the financial year of the life company on an unaudited basis; and</w:t>
      </w:r>
      <w:bookmarkEnd w:id="2"/>
    </w:p>
    <w:p w14:paraId="7B0FAF92" w14:textId="77777777" w:rsidR="00AC19F5" w:rsidRPr="00CD5AA4" w:rsidRDefault="00AC19F5" w:rsidP="00CD5AA4">
      <w:pPr>
        <w:numPr>
          <w:ilvl w:val="1"/>
          <w:numId w:val="2"/>
        </w:numPr>
        <w:spacing w:after="240"/>
        <w:ind w:left="1134" w:hanging="566"/>
        <w:jc w:val="both"/>
      </w:pPr>
      <w:bookmarkStart w:id="3" w:name="_Ref339262677"/>
      <w:r>
        <w:t>in respect of each financial year of the life company on an audited basis.</w:t>
      </w:r>
      <w:bookmarkEnd w:id="3"/>
    </w:p>
    <w:p w14:paraId="23CF7E49" w14:textId="77777777" w:rsidR="00E63AB5" w:rsidRPr="00AC19F5" w:rsidRDefault="00E63AB5" w:rsidP="00CD5AA4">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6A2C6EF0" w14:textId="77777777" w:rsidR="00E63AB5" w:rsidRPr="00E63AB5" w:rsidRDefault="00E63AB5" w:rsidP="00CD5AA4">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CF2C2A">
        <w:rPr>
          <w:i/>
          <w:sz w:val="20"/>
          <w:szCs w:val="20"/>
        </w:rPr>
        <w:t xml:space="preserve"> </w:t>
      </w:r>
      <w:r w:rsidR="00CF2C2A">
        <w:rPr>
          <w:sz w:val="20"/>
          <w:szCs w:val="20"/>
        </w:rPr>
        <w:t>(LPS 310)</w:t>
      </w:r>
      <w:r w:rsidRPr="00E63AB5">
        <w:rPr>
          <w:sz w:val="20"/>
          <w:szCs w:val="20"/>
        </w:rPr>
        <w:t>.</w:t>
      </w:r>
    </w:p>
    <w:p w14:paraId="45A8E4C6" w14:textId="25658F0F" w:rsidR="00E63AB5" w:rsidRPr="003F62B4" w:rsidRDefault="00CC3EEE" w:rsidP="00CD5AA4">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rsidR="00267BE5">
        <w:fldChar w:fldCharType="begin"/>
      </w:r>
      <w:r w:rsidR="00267BE5">
        <w:instrText xml:space="preserve"> REF _Ref339262675 \r \h </w:instrText>
      </w:r>
      <w:r w:rsidR="00267BE5">
        <w:fldChar w:fldCharType="separate"/>
      </w:r>
      <w:r w:rsidR="0055583A">
        <w:t>7(a)</w:t>
      </w:r>
      <w:r w:rsidR="00267BE5">
        <w:fldChar w:fldCharType="end"/>
      </w:r>
      <w:r>
        <w:t xml:space="preserve"> or </w:t>
      </w:r>
      <w:r w:rsidR="00267BE5">
        <w:fldChar w:fldCharType="begin"/>
      </w:r>
      <w:r w:rsidR="00267BE5">
        <w:instrText xml:space="preserve"> REF _Ref339262677 \r \h </w:instrText>
      </w:r>
      <w:r w:rsidR="00267BE5">
        <w:fldChar w:fldCharType="separate"/>
      </w:r>
      <w:r w:rsidR="0055583A">
        <w:t>7(b)</w:t>
      </w:r>
      <w:r w:rsidR="00267BE5">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B5D55DF" w14:textId="77777777" w:rsidR="001E5464" w:rsidRDefault="00700450" w:rsidP="00CD5AA4">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6B432F7" w14:textId="77777777" w:rsidR="001E5464" w:rsidRDefault="001E5464" w:rsidP="00CD5AA4">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0A13F763" w14:textId="77777777" w:rsidR="00700450" w:rsidRPr="00516AF3" w:rsidRDefault="001E5464" w:rsidP="00CD5AA4">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314661">
        <w:t>8</w:t>
      </w:r>
      <w:r>
        <w:fldChar w:fldCharType="end"/>
      </w:r>
      <w:r>
        <w:t>, within the time specified by notice in writing</w:t>
      </w:r>
      <w:r w:rsidR="00E70D28">
        <w:t>.</w:t>
      </w:r>
    </w:p>
    <w:p w14:paraId="3B0659A5" w14:textId="77777777" w:rsidR="00E63AB5" w:rsidRPr="003E1694" w:rsidRDefault="00E63AB5" w:rsidP="00CD5AA4">
      <w:pPr>
        <w:keepNext/>
        <w:spacing w:after="240"/>
        <w:jc w:val="both"/>
        <w:rPr>
          <w:rFonts w:ascii="Arial" w:hAnsi="Arial" w:cs="Arial"/>
          <w:b/>
        </w:rPr>
      </w:pPr>
      <w:r w:rsidRPr="003E1694">
        <w:rPr>
          <w:rFonts w:ascii="Arial" w:hAnsi="Arial" w:cs="Arial"/>
          <w:b/>
        </w:rPr>
        <w:t>Quality control</w:t>
      </w:r>
    </w:p>
    <w:p w14:paraId="7DA9F01F" w14:textId="77777777" w:rsidR="006558A6" w:rsidRDefault="00E63AB5" w:rsidP="00CD5AA4">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7B6DC5A7" w14:textId="77777777" w:rsidR="006558A6" w:rsidRDefault="00700450" w:rsidP="00CD5AA4">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3D448331" w14:textId="77777777" w:rsidR="002D6983" w:rsidRDefault="006558A6" w:rsidP="00CD5AA4">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0869BB75" w14:textId="77777777" w:rsidR="00E63AB5" w:rsidRDefault="003E0659" w:rsidP="00CD5AA4">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5B492403" w14:textId="77777777" w:rsidR="00E63AB5" w:rsidRPr="000A1DF3" w:rsidRDefault="00E63AB5" w:rsidP="00CD5AA4">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1FF75CE3" w14:textId="77777777" w:rsidR="00E63AB5" w:rsidRPr="003D49DC" w:rsidRDefault="00E63AB5" w:rsidP="00CD5AA4">
      <w:pPr>
        <w:keepNext/>
        <w:spacing w:after="240"/>
        <w:jc w:val="both"/>
        <w:rPr>
          <w:rFonts w:ascii="Arial" w:hAnsi="Arial" w:cs="Arial"/>
          <w:b/>
        </w:rPr>
      </w:pPr>
      <w:r w:rsidRPr="003D49DC">
        <w:rPr>
          <w:rFonts w:ascii="Arial" w:hAnsi="Arial" w:cs="Arial"/>
          <w:b/>
        </w:rPr>
        <w:t>Authorisation</w:t>
      </w:r>
    </w:p>
    <w:p w14:paraId="6FB3231D" w14:textId="002137F6" w:rsidR="00F1293A" w:rsidRDefault="00F1293A" w:rsidP="00CD5AA4">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465707A5" w14:textId="77777777" w:rsidR="00F1293A" w:rsidRDefault="00F1293A" w:rsidP="00CD5AA4">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13CD2561" w14:textId="77777777" w:rsidR="00F1293A" w:rsidRDefault="00F1293A" w:rsidP="00CD5AA4">
      <w:pPr>
        <w:numPr>
          <w:ilvl w:val="1"/>
          <w:numId w:val="1"/>
        </w:numPr>
        <w:spacing w:after="240"/>
        <w:jc w:val="both"/>
      </w:pPr>
      <w:r>
        <w:t xml:space="preserve">the Principal Executive Officer of the </w:t>
      </w:r>
      <w:r w:rsidR="00EC6547">
        <w:t>life company</w:t>
      </w:r>
      <w:r>
        <w:t>; or</w:t>
      </w:r>
    </w:p>
    <w:p w14:paraId="401FA4F3" w14:textId="77777777" w:rsidR="00697B00" w:rsidRPr="00CE0A57" w:rsidRDefault="00F1293A" w:rsidP="00CD5AA4">
      <w:pPr>
        <w:numPr>
          <w:ilvl w:val="1"/>
          <w:numId w:val="1"/>
        </w:numPr>
        <w:spacing w:after="240"/>
        <w:jc w:val="both"/>
      </w:pPr>
      <w:r>
        <w:t>the Chief Financial Officer of the</w:t>
      </w:r>
      <w:r w:rsidR="00EC6547">
        <w:t xml:space="preserve"> life company</w:t>
      </w:r>
      <w:r>
        <w:t>.</w:t>
      </w:r>
    </w:p>
    <w:p w14:paraId="1907C649" w14:textId="77777777" w:rsidR="00697B00" w:rsidRPr="00CD5AA4" w:rsidRDefault="0026618D" w:rsidP="00CD5AA4">
      <w:pPr>
        <w:keepNext/>
        <w:spacing w:after="240"/>
        <w:jc w:val="both"/>
        <w:rPr>
          <w:rFonts w:ascii="Arial" w:hAnsi="Arial" w:cs="Arial"/>
          <w:b/>
        </w:rPr>
      </w:pPr>
      <w:r w:rsidRPr="00CD5AA4">
        <w:rPr>
          <w:rFonts w:ascii="Arial" w:hAnsi="Arial" w:cs="Arial"/>
          <w:b/>
        </w:rPr>
        <w:t>Variations</w:t>
      </w:r>
    </w:p>
    <w:p w14:paraId="5A4EA759" w14:textId="77777777" w:rsidR="00697B00" w:rsidRDefault="00697B00" w:rsidP="00CD5AA4">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CF2C2A">
        <w:t>LRF 112</w:t>
      </w:r>
      <w:r w:rsidR="00B25EC4" w:rsidRPr="00CF2C2A">
        <w:t>.3</w:t>
      </w:r>
      <w:r w:rsidR="00B25EC4" w:rsidRPr="00B25EC4">
        <w:rPr>
          <w:i/>
        </w:rPr>
        <w:t xml:space="preserve"> </w:t>
      </w:r>
      <w:r w:rsidRPr="008B2820">
        <w:t xml:space="preserve">in relation to that </w:t>
      </w:r>
      <w:r>
        <w:t>life company</w:t>
      </w:r>
      <w:r w:rsidRPr="008B2820">
        <w:t xml:space="preserve">. </w:t>
      </w:r>
    </w:p>
    <w:p w14:paraId="1676F074" w14:textId="77777777" w:rsidR="00E63AB5" w:rsidRPr="00BB0250" w:rsidRDefault="00E63AB5" w:rsidP="00CD5AA4">
      <w:pPr>
        <w:keepNext/>
        <w:spacing w:after="240"/>
        <w:jc w:val="both"/>
        <w:rPr>
          <w:rFonts w:ascii="Arial" w:hAnsi="Arial" w:cs="Arial"/>
          <w:b/>
        </w:rPr>
      </w:pPr>
      <w:r>
        <w:rPr>
          <w:rFonts w:ascii="Arial" w:hAnsi="Arial" w:cs="Arial"/>
          <w:b/>
        </w:rPr>
        <w:t>Interpretation</w:t>
      </w:r>
    </w:p>
    <w:p w14:paraId="6BF353ED" w14:textId="77777777" w:rsidR="00E63AB5" w:rsidRDefault="00E63AB5" w:rsidP="00CD5AA4">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70E7975E" w14:textId="77777777" w:rsidR="001D27D0" w:rsidRDefault="0026618D" w:rsidP="00CD5AA4">
      <w:pPr>
        <w:numPr>
          <w:ilvl w:val="0"/>
          <w:numId w:val="5"/>
        </w:numPr>
        <w:spacing w:after="240"/>
        <w:jc w:val="both"/>
      </w:pPr>
      <w:r>
        <w:t>u</w:t>
      </w:r>
      <w:r w:rsidR="001D27D0">
        <w:t xml:space="preserve">nless the contrary intention appears, words and expressions have the meanings given to them in </w:t>
      </w:r>
      <w:r w:rsidR="00CF2C2A" w:rsidRPr="00CF2C2A">
        <w:rPr>
          <w:i/>
        </w:rPr>
        <w:t xml:space="preserve">Prudential Standard </w:t>
      </w:r>
      <w:r w:rsidR="001D27D0" w:rsidRPr="00CF2C2A">
        <w:rPr>
          <w:i/>
        </w:rPr>
        <w:t>LPS 001</w:t>
      </w:r>
      <w:r w:rsidR="00CF2C2A" w:rsidRPr="00CF2C2A">
        <w:rPr>
          <w:i/>
        </w:rPr>
        <w:t xml:space="preserve"> Definitions</w:t>
      </w:r>
      <w:r w:rsidR="00CF2C2A">
        <w:t xml:space="preserve"> (LPS 001)</w:t>
      </w:r>
      <w:r w:rsidR="001D27D0">
        <w:t>;</w:t>
      </w:r>
      <w:r w:rsidR="000511D1">
        <w:t xml:space="preserve"> and</w:t>
      </w:r>
    </w:p>
    <w:p w14:paraId="7FA6DD1E" w14:textId="77777777" w:rsidR="0026618D" w:rsidRPr="0026618D" w:rsidRDefault="0026618D" w:rsidP="00CD5AA4">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3F7DBE5C" w14:textId="77777777" w:rsidR="00337337" w:rsidRDefault="0026618D" w:rsidP="00CD5AA4">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55FCB001" w14:textId="15326D5C" w:rsidR="00F36940" w:rsidRPr="00F36940" w:rsidRDefault="00F36940" w:rsidP="00CD5AA4">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DC37FF" w:rsidRPr="005C0199">
        <w:rPr>
          <w:bCs/>
        </w:rPr>
        <w:t>;</w:t>
      </w:r>
    </w:p>
    <w:p w14:paraId="59F8F55F" w14:textId="77777777" w:rsidR="0026618D" w:rsidRPr="0026618D" w:rsidRDefault="0026618D" w:rsidP="00CD5AA4">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EEA23A4" w14:textId="38CD5121" w:rsidR="001D27D0" w:rsidRPr="001D27D0" w:rsidRDefault="0026618D" w:rsidP="00CD5AA4">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DC37FF">
        <w:t>and</w:t>
      </w:r>
    </w:p>
    <w:p w14:paraId="37661429" w14:textId="0203DED2" w:rsidR="001D27D0" w:rsidRPr="001D27D0" w:rsidRDefault="001D27D0" w:rsidP="00CD5AA4">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267BE5">
        <w:fldChar w:fldCharType="begin"/>
      </w:r>
      <w:r w:rsidR="00267BE5">
        <w:instrText xml:space="preserve"> REF _Ref339262675 \r \h </w:instrText>
      </w:r>
      <w:r w:rsidR="00267BE5">
        <w:fldChar w:fldCharType="separate"/>
      </w:r>
      <w:r w:rsidR="0055583A">
        <w:t>7(a)</w:t>
      </w:r>
      <w:r w:rsidR="00267BE5">
        <w:fldChar w:fldCharType="end"/>
      </w:r>
      <w:r w:rsidR="0026618D">
        <w:t xml:space="preserve"> or </w:t>
      </w:r>
      <w:r w:rsidR="00267BE5">
        <w:fldChar w:fldCharType="begin"/>
      </w:r>
      <w:r w:rsidR="00267BE5">
        <w:instrText xml:space="preserve"> REF _Ref339262677 \r \h </w:instrText>
      </w:r>
      <w:r w:rsidR="00267BE5">
        <w:fldChar w:fldCharType="separate"/>
      </w:r>
      <w:r w:rsidR="0055583A">
        <w:t>7(b)</w:t>
      </w:r>
      <w:r w:rsidR="00267BE5">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314661">
        <w:t>8</w:t>
      </w:r>
      <w:r w:rsidR="0026618D">
        <w:fldChar w:fldCharType="end"/>
      </w:r>
      <w:r w:rsidRPr="001D27D0">
        <w:t>.</w:t>
      </w:r>
    </w:p>
    <w:p w14:paraId="62202A9B" w14:textId="77777777" w:rsidR="00CF2C2A" w:rsidRDefault="00CF2C2A" w:rsidP="003C6BD0">
      <w:pPr>
        <w:keepNext/>
        <w:spacing w:before="120" w:after="240"/>
        <w:ind w:left="567"/>
        <w:jc w:val="both"/>
        <w:sectPr w:rsidR="00CF2C2A" w:rsidSect="005C0199">
          <w:headerReference w:type="default" r:id="rId14"/>
          <w:footerReference w:type="default" r:id="rId15"/>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DB153A" w:rsidRPr="00DB153A" w14:paraId="6FCACFCE" w14:textId="77777777" w:rsidTr="00B725EE">
        <w:trPr>
          <w:trHeight w:val="300"/>
        </w:trPr>
        <w:tc>
          <w:tcPr>
            <w:tcW w:w="8806" w:type="dxa"/>
            <w:shd w:val="clear" w:color="auto" w:fill="auto"/>
            <w:noWrap/>
            <w:vAlign w:val="bottom"/>
            <w:hideMark/>
          </w:tcPr>
          <w:p w14:paraId="2429B9D4" w14:textId="77777777" w:rsidR="00DB153A" w:rsidRPr="00DB153A" w:rsidRDefault="00DB153A" w:rsidP="00DB153A">
            <w:pPr>
              <w:jc w:val="center"/>
              <w:rPr>
                <w:rFonts w:ascii="Arial" w:hAnsi="Arial" w:cs="Arial"/>
                <w:sz w:val="16"/>
                <w:szCs w:val="16"/>
              </w:rPr>
            </w:pPr>
            <w:r w:rsidRPr="00DB153A">
              <w:rPr>
                <w:rFonts w:ascii="Arial" w:hAnsi="Arial" w:cs="Arial"/>
                <w:b/>
                <w:bCs/>
                <w:sz w:val="32"/>
                <w:szCs w:val="32"/>
              </w:rPr>
              <w:lastRenderedPageBreak/>
              <w:t>LRF_112_3: Related Party Exposures</w:t>
            </w:r>
          </w:p>
        </w:tc>
      </w:tr>
    </w:tbl>
    <w:p w14:paraId="52931137" w14:textId="77777777" w:rsidR="00DB153A" w:rsidRPr="00DB153A" w:rsidRDefault="00DB153A" w:rsidP="00DB153A">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DB153A" w:rsidRPr="00DB153A" w14:paraId="0B1AF3B8" w14:textId="77777777" w:rsidTr="00B725EE">
        <w:trPr>
          <w:trHeight w:val="317"/>
        </w:trPr>
        <w:tc>
          <w:tcPr>
            <w:tcW w:w="6946" w:type="dxa"/>
            <w:tcBorders>
              <w:top w:val="nil"/>
              <w:left w:val="nil"/>
              <w:bottom w:val="single" w:sz="4" w:space="0" w:color="auto"/>
              <w:right w:val="nil"/>
            </w:tcBorders>
            <w:vAlign w:val="bottom"/>
            <w:hideMark/>
          </w:tcPr>
          <w:p w14:paraId="6F083CBA" w14:textId="77777777" w:rsidR="00DB153A" w:rsidRPr="00DB153A" w:rsidRDefault="00DB153A" w:rsidP="00DB153A">
            <w:pPr>
              <w:rPr>
                <w:rFonts w:ascii="Arial" w:eastAsia="Calibri" w:hAnsi="Arial" w:cs="Arial"/>
                <w:b/>
                <w:bCs/>
                <w:sz w:val="22"/>
                <w:szCs w:val="22"/>
              </w:rPr>
            </w:pPr>
            <w:r w:rsidRPr="00DB153A">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2A0E8BEE" w14:textId="77777777" w:rsidR="00DB153A" w:rsidRPr="00DB153A" w:rsidRDefault="00DB153A" w:rsidP="00DB153A">
            <w:pPr>
              <w:rPr>
                <w:rFonts w:ascii="Arial" w:eastAsia="Calibri" w:hAnsi="Arial" w:cs="Arial"/>
                <w:b/>
                <w:bCs/>
                <w:sz w:val="22"/>
                <w:szCs w:val="22"/>
              </w:rPr>
            </w:pPr>
            <w:r w:rsidRPr="00DB153A">
              <w:rPr>
                <w:rFonts w:ascii="Arial" w:eastAsia="Calibri" w:hAnsi="Arial" w:cs="Arial"/>
                <w:b/>
                <w:bCs/>
                <w:sz w:val="22"/>
                <w:szCs w:val="22"/>
              </w:rPr>
              <w:t>Institution Name</w:t>
            </w:r>
          </w:p>
        </w:tc>
      </w:tr>
      <w:tr w:rsidR="00DB153A" w:rsidRPr="00DB153A" w14:paraId="4EBE49EE"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4048D8C" w14:textId="77777777" w:rsidR="00DB153A" w:rsidRPr="00DB153A" w:rsidRDefault="00DB153A" w:rsidP="00DB153A">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DB6F412" w14:textId="77777777" w:rsidR="00DB153A" w:rsidRPr="00DB153A" w:rsidRDefault="00DB153A" w:rsidP="00DB153A">
            <w:pPr>
              <w:rPr>
                <w:rFonts w:ascii="Arial" w:hAnsi="Arial" w:cs="Arial"/>
                <w:sz w:val="22"/>
                <w:szCs w:val="22"/>
              </w:rPr>
            </w:pPr>
            <w:r w:rsidRPr="00DB153A">
              <w:rPr>
                <w:rFonts w:ascii="Arial" w:hAnsi="Arial" w:cs="Arial"/>
                <w:sz w:val="22"/>
                <w:szCs w:val="22"/>
              </w:rPr>
              <w:t>Life companies, including friendly societies</w:t>
            </w:r>
          </w:p>
        </w:tc>
      </w:tr>
      <w:tr w:rsidR="00DB153A" w:rsidRPr="00DB153A" w14:paraId="4649CACA" w14:textId="77777777" w:rsidTr="00B725EE">
        <w:trPr>
          <w:trHeight w:val="317"/>
        </w:trPr>
        <w:tc>
          <w:tcPr>
            <w:tcW w:w="6946" w:type="dxa"/>
            <w:tcBorders>
              <w:top w:val="single" w:sz="4" w:space="0" w:color="auto"/>
              <w:left w:val="nil"/>
              <w:bottom w:val="single" w:sz="4" w:space="0" w:color="auto"/>
              <w:right w:val="nil"/>
            </w:tcBorders>
            <w:noWrap/>
            <w:vAlign w:val="bottom"/>
            <w:hideMark/>
          </w:tcPr>
          <w:p w14:paraId="7526FECF" w14:textId="77777777" w:rsidR="00DB153A" w:rsidRPr="00DB153A" w:rsidRDefault="00DB153A" w:rsidP="00DB153A">
            <w:pPr>
              <w:rPr>
                <w:rFonts w:ascii="Arial" w:eastAsia="Calibri" w:hAnsi="Arial" w:cs="Arial"/>
                <w:b/>
                <w:sz w:val="22"/>
                <w:szCs w:val="22"/>
              </w:rPr>
            </w:pPr>
            <w:r w:rsidRPr="00DB153A">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740A32BF" w14:textId="77777777" w:rsidR="00DB153A" w:rsidRPr="00DB153A" w:rsidRDefault="00DB153A" w:rsidP="00DB153A">
            <w:pPr>
              <w:rPr>
                <w:rFonts w:ascii="Arial" w:eastAsia="Calibri" w:hAnsi="Arial" w:cs="Arial"/>
                <w:b/>
                <w:sz w:val="22"/>
                <w:szCs w:val="22"/>
              </w:rPr>
            </w:pPr>
            <w:r w:rsidRPr="00DB153A">
              <w:rPr>
                <w:rFonts w:ascii="Arial" w:eastAsia="Calibri" w:hAnsi="Arial" w:cs="Arial"/>
                <w:b/>
                <w:sz w:val="22"/>
                <w:szCs w:val="22"/>
              </w:rPr>
              <w:t xml:space="preserve">Scale Factor </w:t>
            </w:r>
          </w:p>
        </w:tc>
      </w:tr>
      <w:tr w:rsidR="00DB153A" w:rsidRPr="00DB153A" w14:paraId="399C90AF"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F57589" w14:textId="77777777" w:rsidR="00DB153A" w:rsidRPr="00DB153A" w:rsidRDefault="00DB153A" w:rsidP="00DB153A">
            <w:pPr>
              <w:rPr>
                <w:rFonts w:ascii="Arial" w:hAnsi="Arial" w:cs="Arial"/>
                <w:sz w:val="22"/>
                <w:szCs w:val="22"/>
              </w:rPr>
            </w:pPr>
            <w:r w:rsidRPr="00DB153A">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AACD8E" w14:textId="77777777" w:rsidR="00DB153A" w:rsidRPr="00DB153A" w:rsidRDefault="00DB153A" w:rsidP="00DB153A">
            <w:pPr>
              <w:rPr>
                <w:rFonts w:ascii="Arial" w:hAnsi="Arial" w:cs="Arial"/>
                <w:sz w:val="22"/>
                <w:szCs w:val="22"/>
              </w:rPr>
            </w:pPr>
            <w:r w:rsidRPr="00DB153A">
              <w:rPr>
                <w:rFonts w:ascii="Arial" w:hAnsi="Arial" w:cs="Arial"/>
                <w:sz w:val="22"/>
                <w:szCs w:val="22"/>
              </w:rPr>
              <w:t>Thousands</w:t>
            </w:r>
          </w:p>
        </w:tc>
      </w:tr>
      <w:tr w:rsidR="00DB153A" w:rsidRPr="00DB153A" w14:paraId="05F7AD60" w14:textId="77777777" w:rsidTr="00B725EE">
        <w:trPr>
          <w:trHeight w:val="317"/>
        </w:trPr>
        <w:tc>
          <w:tcPr>
            <w:tcW w:w="6946" w:type="dxa"/>
            <w:tcBorders>
              <w:top w:val="single" w:sz="4" w:space="0" w:color="auto"/>
              <w:bottom w:val="single" w:sz="4" w:space="0" w:color="auto"/>
            </w:tcBorders>
            <w:noWrap/>
            <w:vAlign w:val="bottom"/>
          </w:tcPr>
          <w:p w14:paraId="46676A15" w14:textId="77777777" w:rsidR="00DB153A" w:rsidRPr="00DB153A" w:rsidRDefault="00DB153A" w:rsidP="00DB153A">
            <w:pPr>
              <w:rPr>
                <w:rFonts w:ascii="Arial" w:hAnsi="Arial" w:cs="Arial"/>
                <w:sz w:val="22"/>
                <w:szCs w:val="22"/>
              </w:rPr>
            </w:pPr>
            <w:r w:rsidRPr="00DB153A">
              <w:rPr>
                <w:rFonts w:ascii="Arial" w:eastAsia="Calibri" w:hAnsi="Arial" w:cs="Arial"/>
                <w:b/>
                <w:sz w:val="22"/>
                <w:szCs w:val="22"/>
              </w:rPr>
              <w:t>Reporting Consolidation</w:t>
            </w:r>
          </w:p>
        </w:tc>
        <w:tc>
          <w:tcPr>
            <w:tcW w:w="6946" w:type="dxa"/>
            <w:tcBorders>
              <w:top w:val="single" w:sz="4" w:space="0" w:color="auto"/>
            </w:tcBorders>
            <w:noWrap/>
            <w:vAlign w:val="bottom"/>
          </w:tcPr>
          <w:p w14:paraId="085D7FAC" w14:textId="77777777" w:rsidR="00DB153A" w:rsidRPr="00DB153A" w:rsidRDefault="00DB153A" w:rsidP="00DB153A">
            <w:pPr>
              <w:rPr>
                <w:rFonts w:ascii="Arial" w:hAnsi="Arial" w:cs="Arial"/>
                <w:sz w:val="22"/>
                <w:szCs w:val="22"/>
              </w:rPr>
            </w:pPr>
          </w:p>
        </w:tc>
      </w:tr>
      <w:tr w:rsidR="00DB153A" w:rsidRPr="00DB153A" w14:paraId="1FAE18D0"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9C2DEB8" w14:textId="77777777" w:rsidR="00DB153A" w:rsidRPr="00DB153A" w:rsidRDefault="00DB153A" w:rsidP="00DB153A">
            <w:pPr>
              <w:rPr>
                <w:rFonts w:ascii="Arial" w:hAnsi="Arial" w:cs="Arial"/>
                <w:sz w:val="22"/>
                <w:szCs w:val="22"/>
              </w:rPr>
            </w:pPr>
            <w:r w:rsidRPr="00DB153A">
              <w:rPr>
                <w:rFonts w:ascii="Arial" w:hAnsi="Arial" w:cs="Arial"/>
                <w:sz w:val="22"/>
                <w:szCs w:val="22"/>
              </w:rPr>
              <w:t>Statutory fund / general fund</w:t>
            </w:r>
          </w:p>
        </w:tc>
        <w:tc>
          <w:tcPr>
            <w:tcW w:w="6946" w:type="dxa"/>
            <w:tcBorders>
              <w:left w:val="single" w:sz="4" w:space="0" w:color="auto"/>
            </w:tcBorders>
            <w:noWrap/>
            <w:vAlign w:val="bottom"/>
          </w:tcPr>
          <w:p w14:paraId="13E6FE15" w14:textId="77777777" w:rsidR="00DB153A" w:rsidRPr="00DB153A" w:rsidRDefault="00DB153A" w:rsidP="00DB153A">
            <w:pPr>
              <w:rPr>
                <w:rFonts w:ascii="Arial" w:hAnsi="Arial" w:cs="Arial"/>
                <w:sz w:val="22"/>
                <w:szCs w:val="22"/>
              </w:rPr>
            </w:pPr>
          </w:p>
        </w:tc>
      </w:tr>
    </w:tbl>
    <w:p w14:paraId="74FAAB57" w14:textId="77777777" w:rsidR="00DB153A" w:rsidRPr="00DB153A" w:rsidRDefault="00DB153A" w:rsidP="00DB153A">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DB153A" w:rsidRPr="00DB153A" w14:paraId="4F179E2B" w14:textId="77777777" w:rsidTr="00B725EE">
        <w:tc>
          <w:tcPr>
            <w:tcW w:w="8789" w:type="dxa"/>
          </w:tcPr>
          <w:p w14:paraId="4F8C2942" w14:textId="77777777" w:rsidR="00DB153A" w:rsidRPr="00DB153A" w:rsidRDefault="00DB153A" w:rsidP="00DB153A">
            <w:pPr>
              <w:rPr>
                <w:rFonts w:ascii="Arial" w:hAnsi="Arial" w:cs="Arial"/>
                <w:b/>
                <w:bCs/>
              </w:rPr>
            </w:pPr>
            <w:r w:rsidRPr="00DB153A">
              <w:rPr>
                <w:rFonts w:ascii="Arial" w:hAnsi="Arial" w:cs="Arial"/>
                <w:b/>
                <w:bCs/>
              </w:rPr>
              <w:t>Section 1: Investments in subsidiaries, joint ventures and associates and contributions to regulatory adjustments</w:t>
            </w:r>
          </w:p>
        </w:tc>
      </w:tr>
    </w:tbl>
    <w:p w14:paraId="581BC59D" w14:textId="77777777" w:rsidR="00DB153A" w:rsidRPr="00DB153A" w:rsidRDefault="00DB153A" w:rsidP="00DB153A">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993"/>
        <w:gridCol w:w="993"/>
        <w:gridCol w:w="993"/>
        <w:gridCol w:w="993"/>
        <w:gridCol w:w="992"/>
        <w:gridCol w:w="992"/>
        <w:gridCol w:w="992"/>
        <w:gridCol w:w="992"/>
        <w:gridCol w:w="992"/>
        <w:gridCol w:w="992"/>
        <w:gridCol w:w="992"/>
        <w:gridCol w:w="992"/>
        <w:gridCol w:w="992"/>
        <w:gridCol w:w="992"/>
      </w:tblGrid>
      <w:tr w:rsidR="00DB153A" w:rsidRPr="00DB153A" w14:paraId="29C818F3" w14:textId="77777777" w:rsidTr="00B725EE">
        <w:trPr>
          <w:trHeight w:val="317"/>
        </w:trPr>
        <w:tc>
          <w:tcPr>
            <w:tcW w:w="993" w:type="dxa"/>
            <w:tcBorders>
              <w:top w:val="single" w:sz="4" w:space="0" w:color="auto"/>
              <w:left w:val="single" w:sz="4" w:space="0" w:color="auto"/>
              <w:bottom w:val="nil"/>
              <w:right w:val="single" w:sz="4" w:space="0" w:color="auto"/>
            </w:tcBorders>
            <w:shd w:val="clear" w:color="auto" w:fill="auto"/>
            <w:vAlign w:val="bottom"/>
            <w:hideMark/>
          </w:tcPr>
          <w:p w14:paraId="3C790AC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Name</w:t>
            </w:r>
          </w:p>
        </w:tc>
        <w:tc>
          <w:tcPr>
            <w:tcW w:w="993" w:type="dxa"/>
            <w:tcBorders>
              <w:top w:val="single" w:sz="4" w:space="0" w:color="auto"/>
              <w:left w:val="nil"/>
              <w:bottom w:val="nil"/>
              <w:right w:val="single" w:sz="4" w:space="0" w:color="auto"/>
            </w:tcBorders>
            <w:shd w:val="clear" w:color="auto" w:fill="auto"/>
            <w:vAlign w:val="bottom"/>
            <w:hideMark/>
          </w:tcPr>
          <w:p w14:paraId="0A9E451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ACN / ABN</w:t>
            </w:r>
          </w:p>
        </w:tc>
        <w:tc>
          <w:tcPr>
            <w:tcW w:w="993" w:type="dxa"/>
            <w:tcBorders>
              <w:top w:val="single" w:sz="4" w:space="0" w:color="auto"/>
              <w:left w:val="nil"/>
              <w:bottom w:val="nil"/>
              <w:right w:val="single" w:sz="4" w:space="0" w:color="auto"/>
            </w:tcBorders>
            <w:shd w:val="clear" w:color="auto" w:fill="auto"/>
            <w:vAlign w:val="bottom"/>
            <w:hideMark/>
          </w:tcPr>
          <w:p w14:paraId="74CE2972"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Category</w:t>
            </w:r>
          </w:p>
        </w:tc>
        <w:tc>
          <w:tcPr>
            <w:tcW w:w="993" w:type="dxa"/>
            <w:tcBorders>
              <w:top w:val="single" w:sz="4" w:space="0" w:color="auto"/>
              <w:left w:val="nil"/>
              <w:bottom w:val="nil"/>
              <w:right w:val="single" w:sz="4" w:space="0" w:color="000000"/>
            </w:tcBorders>
            <w:shd w:val="clear" w:color="auto" w:fill="auto"/>
            <w:vAlign w:val="bottom"/>
            <w:hideMark/>
          </w:tcPr>
          <w:p w14:paraId="2418F84C"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Description / nature of business</w:t>
            </w:r>
          </w:p>
        </w:tc>
        <w:tc>
          <w:tcPr>
            <w:tcW w:w="992" w:type="dxa"/>
            <w:tcBorders>
              <w:top w:val="single" w:sz="4" w:space="0" w:color="auto"/>
              <w:left w:val="nil"/>
              <w:bottom w:val="nil"/>
              <w:right w:val="single" w:sz="4" w:space="0" w:color="000000"/>
            </w:tcBorders>
            <w:vAlign w:val="bottom"/>
          </w:tcPr>
          <w:p w14:paraId="6CFA351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Country of incorporation</w:t>
            </w:r>
          </w:p>
        </w:tc>
        <w:tc>
          <w:tcPr>
            <w:tcW w:w="992" w:type="dxa"/>
            <w:tcBorders>
              <w:top w:val="single" w:sz="4" w:space="0" w:color="auto"/>
              <w:left w:val="nil"/>
              <w:bottom w:val="nil"/>
              <w:right w:val="single" w:sz="4" w:space="0" w:color="000000"/>
            </w:tcBorders>
            <w:vAlign w:val="bottom"/>
          </w:tcPr>
          <w:p w14:paraId="55D3265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Total assets</w:t>
            </w:r>
          </w:p>
        </w:tc>
        <w:tc>
          <w:tcPr>
            <w:tcW w:w="992" w:type="dxa"/>
            <w:tcBorders>
              <w:top w:val="single" w:sz="4" w:space="0" w:color="auto"/>
              <w:left w:val="nil"/>
              <w:bottom w:val="nil"/>
              <w:right w:val="single" w:sz="4" w:space="0" w:color="000000"/>
            </w:tcBorders>
            <w:vAlign w:val="bottom"/>
          </w:tcPr>
          <w:p w14:paraId="2071DA8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Value of investment net of goodwill and other intangibles</w:t>
            </w:r>
          </w:p>
        </w:tc>
        <w:tc>
          <w:tcPr>
            <w:tcW w:w="992" w:type="dxa"/>
            <w:tcBorders>
              <w:top w:val="single" w:sz="4" w:space="0" w:color="auto"/>
              <w:left w:val="nil"/>
              <w:bottom w:val="nil"/>
              <w:right w:val="single" w:sz="4" w:space="0" w:color="000000"/>
            </w:tcBorders>
            <w:vAlign w:val="bottom"/>
          </w:tcPr>
          <w:p w14:paraId="4ADA26FE"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Ownership percentage (%)</w:t>
            </w:r>
          </w:p>
        </w:tc>
        <w:tc>
          <w:tcPr>
            <w:tcW w:w="992" w:type="dxa"/>
            <w:tcBorders>
              <w:top w:val="single" w:sz="4" w:space="0" w:color="auto"/>
              <w:left w:val="nil"/>
              <w:bottom w:val="nil"/>
              <w:right w:val="single" w:sz="4" w:space="0" w:color="000000"/>
            </w:tcBorders>
            <w:vAlign w:val="bottom"/>
          </w:tcPr>
          <w:p w14:paraId="2E16BAF6"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Goodwill</w:t>
            </w:r>
          </w:p>
        </w:tc>
        <w:tc>
          <w:tcPr>
            <w:tcW w:w="992" w:type="dxa"/>
            <w:tcBorders>
              <w:top w:val="single" w:sz="4" w:space="0" w:color="auto"/>
              <w:left w:val="nil"/>
              <w:bottom w:val="nil"/>
              <w:right w:val="single" w:sz="4" w:space="0" w:color="000000"/>
            </w:tcBorders>
            <w:vAlign w:val="bottom"/>
          </w:tcPr>
          <w:p w14:paraId="390F3D4B"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Other intangibles</w:t>
            </w:r>
          </w:p>
        </w:tc>
        <w:tc>
          <w:tcPr>
            <w:tcW w:w="992" w:type="dxa"/>
            <w:tcBorders>
              <w:top w:val="single" w:sz="4" w:space="0" w:color="auto"/>
              <w:left w:val="nil"/>
              <w:bottom w:val="nil"/>
              <w:right w:val="single" w:sz="4" w:space="0" w:color="000000"/>
            </w:tcBorders>
            <w:vAlign w:val="bottom"/>
          </w:tcPr>
          <w:p w14:paraId="18AF3C7E"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Adjustment for goodwill / other intangibles</w:t>
            </w:r>
          </w:p>
        </w:tc>
        <w:tc>
          <w:tcPr>
            <w:tcW w:w="992" w:type="dxa"/>
            <w:tcBorders>
              <w:top w:val="single" w:sz="4" w:space="0" w:color="auto"/>
              <w:left w:val="nil"/>
              <w:bottom w:val="nil"/>
              <w:right w:val="single" w:sz="4" w:space="0" w:color="000000"/>
            </w:tcBorders>
            <w:vAlign w:val="bottom"/>
          </w:tcPr>
          <w:p w14:paraId="15B063E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 xml:space="preserve">Nature of regulatory capital requirement                                                                                                                                                                                                                                                                                                                                                                                                                                                                                                                                                                                                                                                                                 </w:t>
            </w:r>
          </w:p>
        </w:tc>
        <w:tc>
          <w:tcPr>
            <w:tcW w:w="992" w:type="dxa"/>
            <w:tcBorders>
              <w:top w:val="single" w:sz="4" w:space="0" w:color="auto"/>
              <w:left w:val="nil"/>
              <w:bottom w:val="nil"/>
              <w:right w:val="single" w:sz="4" w:space="0" w:color="000000"/>
            </w:tcBorders>
            <w:vAlign w:val="bottom"/>
          </w:tcPr>
          <w:p w14:paraId="2AF44166"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Regulatory capital requirement</w:t>
            </w:r>
          </w:p>
        </w:tc>
        <w:tc>
          <w:tcPr>
            <w:tcW w:w="992" w:type="dxa"/>
            <w:tcBorders>
              <w:top w:val="single" w:sz="4" w:space="0" w:color="auto"/>
              <w:left w:val="nil"/>
              <w:bottom w:val="nil"/>
              <w:right w:val="single" w:sz="4" w:space="0" w:color="000000"/>
            </w:tcBorders>
            <w:vAlign w:val="bottom"/>
          </w:tcPr>
          <w:p w14:paraId="777DA24B"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Adjustment for regulatory capital requirement</w:t>
            </w:r>
          </w:p>
        </w:tc>
      </w:tr>
      <w:tr w:rsidR="00DB153A" w:rsidRPr="00DB153A" w14:paraId="34ACD947" w14:textId="77777777" w:rsidTr="00B725EE">
        <w:trPr>
          <w:trHeight w:val="317"/>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7C71E5EF"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auto" w:fill="auto"/>
            <w:vAlign w:val="bottom"/>
            <w:hideMark/>
          </w:tcPr>
          <w:p w14:paraId="388F02DA"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(2)</w:t>
            </w:r>
          </w:p>
        </w:tc>
        <w:tc>
          <w:tcPr>
            <w:tcW w:w="993" w:type="dxa"/>
            <w:tcBorders>
              <w:top w:val="nil"/>
              <w:left w:val="nil"/>
              <w:bottom w:val="single" w:sz="4" w:space="0" w:color="auto"/>
              <w:right w:val="single" w:sz="4" w:space="0" w:color="auto"/>
            </w:tcBorders>
            <w:shd w:val="clear" w:color="auto" w:fill="auto"/>
            <w:vAlign w:val="bottom"/>
            <w:hideMark/>
          </w:tcPr>
          <w:p w14:paraId="616D36F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(3)</w:t>
            </w:r>
          </w:p>
        </w:tc>
        <w:tc>
          <w:tcPr>
            <w:tcW w:w="993" w:type="dxa"/>
            <w:tcBorders>
              <w:top w:val="nil"/>
              <w:left w:val="nil"/>
              <w:bottom w:val="single" w:sz="4" w:space="0" w:color="auto"/>
              <w:right w:val="single" w:sz="4" w:space="0" w:color="000000"/>
            </w:tcBorders>
            <w:shd w:val="clear" w:color="auto" w:fill="auto"/>
            <w:vAlign w:val="bottom"/>
            <w:hideMark/>
          </w:tcPr>
          <w:p w14:paraId="35E19BE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(4)</w:t>
            </w:r>
          </w:p>
        </w:tc>
        <w:tc>
          <w:tcPr>
            <w:tcW w:w="992" w:type="dxa"/>
            <w:tcBorders>
              <w:top w:val="nil"/>
              <w:left w:val="nil"/>
              <w:bottom w:val="single" w:sz="4" w:space="0" w:color="auto"/>
              <w:right w:val="single" w:sz="4" w:space="0" w:color="000000"/>
            </w:tcBorders>
            <w:vAlign w:val="bottom"/>
          </w:tcPr>
          <w:p w14:paraId="2B2703C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(5)</w:t>
            </w:r>
          </w:p>
        </w:tc>
        <w:tc>
          <w:tcPr>
            <w:tcW w:w="992" w:type="dxa"/>
            <w:tcBorders>
              <w:top w:val="nil"/>
              <w:left w:val="nil"/>
              <w:bottom w:val="single" w:sz="4" w:space="0" w:color="auto"/>
              <w:right w:val="single" w:sz="4" w:space="0" w:color="000000"/>
            </w:tcBorders>
            <w:vAlign w:val="bottom"/>
          </w:tcPr>
          <w:p w14:paraId="12C7A8E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(6)</w:t>
            </w:r>
          </w:p>
        </w:tc>
        <w:tc>
          <w:tcPr>
            <w:tcW w:w="992" w:type="dxa"/>
            <w:tcBorders>
              <w:top w:val="nil"/>
              <w:left w:val="nil"/>
              <w:bottom w:val="single" w:sz="4" w:space="0" w:color="auto"/>
              <w:right w:val="single" w:sz="4" w:space="0" w:color="000000"/>
            </w:tcBorders>
            <w:vAlign w:val="bottom"/>
          </w:tcPr>
          <w:p w14:paraId="10A68832"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(7)</w:t>
            </w:r>
          </w:p>
        </w:tc>
        <w:tc>
          <w:tcPr>
            <w:tcW w:w="992" w:type="dxa"/>
            <w:tcBorders>
              <w:top w:val="nil"/>
              <w:left w:val="nil"/>
              <w:bottom w:val="single" w:sz="4" w:space="0" w:color="auto"/>
              <w:right w:val="single" w:sz="4" w:space="0" w:color="000000"/>
            </w:tcBorders>
            <w:vAlign w:val="bottom"/>
          </w:tcPr>
          <w:p w14:paraId="5FC3B27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(8)</w:t>
            </w:r>
          </w:p>
        </w:tc>
        <w:tc>
          <w:tcPr>
            <w:tcW w:w="992" w:type="dxa"/>
            <w:tcBorders>
              <w:top w:val="nil"/>
              <w:left w:val="nil"/>
              <w:bottom w:val="single" w:sz="4" w:space="0" w:color="auto"/>
              <w:right w:val="single" w:sz="4" w:space="0" w:color="000000"/>
            </w:tcBorders>
            <w:vAlign w:val="bottom"/>
          </w:tcPr>
          <w:p w14:paraId="71A16F7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(9)</w:t>
            </w:r>
          </w:p>
        </w:tc>
        <w:tc>
          <w:tcPr>
            <w:tcW w:w="992" w:type="dxa"/>
            <w:tcBorders>
              <w:top w:val="nil"/>
              <w:left w:val="nil"/>
              <w:bottom w:val="single" w:sz="4" w:space="0" w:color="auto"/>
              <w:right w:val="single" w:sz="4" w:space="0" w:color="000000"/>
            </w:tcBorders>
            <w:vAlign w:val="bottom"/>
          </w:tcPr>
          <w:p w14:paraId="593D2C73"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(10)</w:t>
            </w:r>
          </w:p>
        </w:tc>
        <w:tc>
          <w:tcPr>
            <w:tcW w:w="992" w:type="dxa"/>
            <w:tcBorders>
              <w:top w:val="nil"/>
              <w:left w:val="nil"/>
              <w:bottom w:val="single" w:sz="4" w:space="0" w:color="auto"/>
              <w:right w:val="single" w:sz="4" w:space="0" w:color="000000"/>
            </w:tcBorders>
            <w:vAlign w:val="bottom"/>
          </w:tcPr>
          <w:p w14:paraId="1ADF0EEC"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(11)</w:t>
            </w:r>
          </w:p>
        </w:tc>
        <w:tc>
          <w:tcPr>
            <w:tcW w:w="992" w:type="dxa"/>
            <w:tcBorders>
              <w:top w:val="nil"/>
              <w:left w:val="nil"/>
              <w:bottom w:val="single" w:sz="4" w:space="0" w:color="auto"/>
              <w:right w:val="single" w:sz="4" w:space="0" w:color="000000"/>
            </w:tcBorders>
            <w:vAlign w:val="bottom"/>
          </w:tcPr>
          <w:p w14:paraId="7A4C30B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(12)</w:t>
            </w:r>
          </w:p>
        </w:tc>
        <w:tc>
          <w:tcPr>
            <w:tcW w:w="992" w:type="dxa"/>
            <w:tcBorders>
              <w:top w:val="nil"/>
              <w:left w:val="nil"/>
              <w:bottom w:val="single" w:sz="4" w:space="0" w:color="auto"/>
              <w:right w:val="single" w:sz="4" w:space="0" w:color="000000"/>
            </w:tcBorders>
            <w:vAlign w:val="bottom"/>
          </w:tcPr>
          <w:p w14:paraId="57F623D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(13)</w:t>
            </w:r>
          </w:p>
        </w:tc>
        <w:tc>
          <w:tcPr>
            <w:tcW w:w="992" w:type="dxa"/>
            <w:tcBorders>
              <w:top w:val="nil"/>
              <w:left w:val="nil"/>
              <w:bottom w:val="single" w:sz="4" w:space="0" w:color="auto"/>
              <w:right w:val="single" w:sz="4" w:space="0" w:color="000000"/>
            </w:tcBorders>
            <w:vAlign w:val="bottom"/>
          </w:tcPr>
          <w:p w14:paraId="18CABC77"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(14)</w:t>
            </w:r>
          </w:p>
        </w:tc>
      </w:tr>
      <w:tr w:rsidR="00DB153A" w:rsidRPr="00DB153A" w14:paraId="7CB84CC2" w14:textId="77777777" w:rsidTr="00B725EE">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84D89"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D636B51"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A18E780" w14:textId="77777777" w:rsidR="00DB153A" w:rsidRPr="00DB153A" w:rsidRDefault="00DB153A" w:rsidP="00DB153A">
            <w:pPr>
              <w:ind w:firstLineChars="100" w:firstLine="220"/>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28761AFA"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55F5BDD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4F81A758"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3BFDAF9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E4503E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8B4620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B228D74"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479950D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5FC0113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666055A5"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18C29AC6" w14:textId="77777777" w:rsidR="00DB153A" w:rsidRPr="00DB153A" w:rsidRDefault="00DB153A" w:rsidP="00DB153A">
            <w:pPr>
              <w:jc w:val="center"/>
              <w:rPr>
                <w:rFonts w:ascii="Arial" w:eastAsia="Calibri" w:hAnsi="Arial" w:cs="Arial"/>
                <w:color w:val="000000"/>
                <w:sz w:val="22"/>
                <w:szCs w:val="22"/>
                <w:lang w:eastAsia="en-US"/>
              </w:rPr>
            </w:pPr>
          </w:p>
        </w:tc>
      </w:tr>
      <w:tr w:rsidR="00DB153A" w:rsidRPr="00DB153A" w14:paraId="2489DFA5" w14:textId="77777777" w:rsidTr="00B725EE">
        <w:trPr>
          <w:trHeight w:val="317"/>
        </w:trPr>
        <w:tc>
          <w:tcPr>
            <w:tcW w:w="993" w:type="dxa"/>
            <w:tcBorders>
              <w:top w:val="single" w:sz="4" w:space="0" w:color="auto"/>
            </w:tcBorders>
            <w:shd w:val="clear" w:color="auto" w:fill="auto"/>
            <w:noWrap/>
            <w:vAlign w:val="bottom"/>
          </w:tcPr>
          <w:p w14:paraId="45659C79"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nil"/>
              <w:right w:val="dotDash" w:sz="4" w:space="0" w:color="auto"/>
            </w:tcBorders>
            <w:shd w:val="clear" w:color="auto" w:fill="auto"/>
            <w:noWrap/>
            <w:vAlign w:val="bottom"/>
          </w:tcPr>
          <w:p w14:paraId="66309A4F"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19CA60F" w14:textId="156C9A15"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dotDash" w:sz="4" w:space="0" w:color="auto"/>
            </w:tcBorders>
            <w:shd w:val="clear" w:color="auto" w:fill="auto"/>
            <w:vAlign w:val="bottom"/>
          </w:tcPr>
          <w:p w14:paraId="219B73B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vAlign w:val="bottom"/>
          </w:tcPr>
          <w:p w14:paraId="63B37E2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77FBD1B1"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12A87B9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nil"/>
            </w:tcBorders>
            <w:vAlign w:val="bottom"/>
          </w:tcPr>
          <w:p w14:paraId="649A5FA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1154063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5F7F84E8"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right w:val="dotDash" w:sz="4" w:space="0" w:color="auto"/>
            </w:tcBorders>
            <w:shd w:val="clear" w:color="auto" w:fill="auto"/>
            <w:vAlign w:val="bottom"/>
          </w:tcPr>
          <w:p w14:paraId="3A1AAE1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dotDash" w:sz="4" w:space="0" w:color="auto"/>
              <w:bottom w:val="dotDash" w:sz="4" w:space="0" w:color="auto"/>
              <w:right w:val="dotDash" w:sz="4" w:space="0" w:color="auto"/>
            </w:tcBorders>
            <w:vAlign w:val="bottom"/>
          </w:tcPr>
          <w:p w14:paraId="2C94B0B2" w14:textId="025FD693"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dotDash" w:sz="4" w:space="0" w:color="auto"/>
            </w:tcBorders>
            <w:shd w:val="clear" w:color="auto" w:fill="auto"/>
            <w:vAlign w:val="bottom"/>
          </w:tcPr>
          <w:p w14:paraId="5F4B736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6C9829D6"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EF9EA6C" w14:textId="77777777" w:rsidTr="00B725EE">
        <w:trPr>
          <w:trHeight w:val="317"/>
        </w:trPr>
        <w:tc>
          <w:tcPr>
            <w:tcW w:w="993" w:type="dxa"/>
            <w:shd w:val="clear" w:color="auto" w:fill="auto"/>
            <w:noWrap/>
            <w:vAlign w:val="bottom"/>
          </w:tcPr>
          <w:p w14:paraId="58557BCE"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right w:val="dotDash" w:sz="4" w:space="0" w:color="auto"/>
            </w:tcBorders>
            <w:shd w:val="clear" w:color="auto" w:fill="auto"/>
            <w:noWrap/>
            <w:vAlign w:val="bottom"/>
          </w:tcPr>
          <w:p w14:paraId="627B76E2"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8CAF44" w14:textId="31B77710" w:rsidR="00DB153A" w:rsidRPr="00DB153A" w:rsidRDefault="00DB153A" w:rsidP="00DB153A">
            <w:pPr>
              <w:jc w:val="center"/>
              <w:rPr>
                <w:rFonts w:ascii="Arial" w:eastAsia="Calibri" w:hAnsi="Arial" w:cs="Arial"/>
                <w:color w:val="000000"/>
                <w:sz w:val="20"/>
                <w:szCs w:val="20"/>
                <w:lang w:eastAsia="en-US"/>
              </w:rPr>
            </w:pPr>
          </w:p>
        </w:tc>
        <w:tc>
          <w:tcPr>
            <w:tcW w:w="993" w:type="dxa"/>
            <w:tcBorders>
              <w:left w:val="dotDash" w:sz="4" w:space="0" w:color="auto"/>
            </w:tcBorders>
            <w:shd w:val="clear" w:color="auto" w:fill="auto"/>
            <w:vAlign w:val="bottom"/>
          </w:tcPr>
          <w:p w14:paraId="712CA48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58B0032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737555EA"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776DEA0A"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4EB8818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74E410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3020B43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right w:val="dotDash" w:sz="4" w:space="0" w:color="auto"/>
            </w:tcBorders>
            <w:shd w:val="clear" w:color="auto" w:fill="auto"/>
            <w:vAlign w:val="bottom"/>
          </w:tcPr>
          <w:p w14:paraId="71AE1DD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3FBC5B23" w14:textId="665F6C8C"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tcBorders>
            <w:shd w:val="clear" w:color="auto" w:fill="auto"/>
            <w:vAlign w:val="bottom"/>
          </w:tcPr>
          <w:p w14:paraId="38011BD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D96D86F"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6BBAAD20" w14:textId="77777777" w:rsidTr="00B725EE">
        <w:trPr>
          <w:trHeight w:val="317"/>
        </w:trPr>
        <w:tc>
          <w:tcPr>
            <w:tcW w:w="993" w:type="dxa"/>
            <w:shd w:val="clear" w:color="auto" w:fill="auto"/>
            <w:noWrap/>
            <w:vAlign w:val="bottom"/>
          </w:tcPr>
          <w:p w14:paraId="14A311BF"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right w:val="dotDash" w:sz="4" w:space="0" w:color="auto"/>
            </w:tcBorders>
            <w:shd w:val="clear" w:color="auto" w:fill="auto"/>
            <w:noWrap/>
            <w:vAlign w:val="bottom"/>
          </w:tcPr>
          <w:p w14:paraId="4EEC7E1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AD160F" w14:textId="75D421AB" w:rsidR="00DB153A" w:rsidRPr="00DB153A" w:rsidRDefault="00DB153A" w:rsidP="00DB153A">
            <w:pPr>
              <w:jc w:val="center"/>
              <w:rPr>
                <w:rFonts w:ascii="Arial" w:eastAsia="Calibri" w:hAnsi="Arial" w:cs="Arial"/>
                <w:color w:val="000000"/>
                <w:sz w:val="20"/>
                <w:szCs w:val="20"/>
                <w:lang w:eastAsia="en-US"/>
              </w:rPr>
            </w:pPr>
          </w:p>
        </w:tc>
        <w:tc>
          <w:tcPr>
            <w:tcW w:w="993" w:type="dxa"/>
            <w:tcBorders>
              <w:left w:val="dotDash" w:sz="4" w:space="0" w:color="auto"/>
            </w:tcBorders>
            <w:shd w:val="clear" w:color="auto" w:fill="auto"/>
            <w:vAlign w:val="bottom"/>
          </w:tcPr>
          <w:p w14:paraId="48342D0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4AFDE0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39E66C4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57D45AD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8AE1120"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8D3A76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AC91B4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right w:val="dotDash" w:sz="4" w:space="0" w:color="auto"/>
            </w:tcBorders>
            <w:shd w:val="clear" w:color="auto" w:fill="auto"/>
            <w:vAlign w:val="bottom"/>
          </w:tcPr>
          <w:p w14:paraId="6027D02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726A2B55" w14:textId="661C875E"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tcBorders>
            <w:shd w:val="clear" w:color="auto" w:fill="auto"/>
            <w:vAlign w:val="bottom"/>
          </w:tcPr>
          <w:p w14:paraId="6E0D45A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E36E9F9"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10B10AB6" w14:textId="77777777" w:rsidTr="00B725EE">
        <w:trPr>
          <w:trHeight w:val="317"/>
        </w:trPr>
        <w:tc>
          <w:tcPr>
            <w:tcW w:w="993" w:type="dxa"/>
            <w:tcBorders>
              <w:bottom w:val="single" w:sz="4" w:space="0" w:color="auto"/>
            </w:tcBorders>
            <w:shd w:val="clear" w:color="auto" w:fill="auto"/>
            <w:noWrap/>
            <w:vAlign w:val="bottom"/>
          </w:tcPr>
          <w:p w14:paraId="7390A34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bottom w:val="single" w:sz="4" w:space="0" w:color="auto"/>
            </w:tcBorders>
            <w:shd w:val="clear" w:color="auto" w:fill="auto"/>
            <w:noWrap/>
            <w:vAlign w:val="bottom"/>
          </w:tcPr>
          <w:p w14:paraId="0ED3CD8E"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bottom w:val="single" w:sz="4" w:space="0" w:color="auto"/>
            </w:tcBorders>
            <w:shd w:val="clear" w:color="auto" w:fill="auto"/>
            <w:noWrap/>
            <w:vAlign w:val="bottom"/>
          </w:tcPr>
          <w:p w14:paraId="6E818B7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bottom w:val="single" w:sz="4" w:space="0" w:color="auto"/>
            </w:tcBorders>
            <w:shd w:val="clear" w:color="auto" w:fill="auto"/>
            <w:vAlign w:val="bottom"/>
          </w:tcPr>
          <w:p w14:paraId="7ACF332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79E98B78"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0F987EFF"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684CAE9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60D39CC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3132F6D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0B34101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right w:val="dotDash" w:sz="4" w:space="0" w:color="auto"/>
            </w:tcBorders>
            <w:shd w:val="clear" w:color="auto" w:fill="auto"/>
            <w:vAlign w:val="bottom"/>
          </w:tcPr>
          <w:p w14:paraId="675AEDF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266911BA" w14:textId="6F8210DD"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bottom w:val="single" w:sz="4" w:space="0" w:color="auto"/>
            </w:tcBorders>
            <w:shd w:val="clear" w:color="auto" w:fill="auto"/>
            <w:vAlign w:val="bottom"/>
          </w:tcPr>
          <w:p w14:paraId="27D9C7F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68DA1052"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04E6DDC5" w14:textId="77777777" w:rsidTr="00B725EE">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9153" w14:textId="77777777" w:rsidR="00DB153A" w:rsidRPr="00DB153A" w:rsidRDefault="00DB153A" w:rsidP="00DB153A">
            <w:pPr>
              <w:jc w:val="center"/>
              <w:rPr>
                <w:rFonts w:ascii="Arial" w:eastAsia="Calibri" w:hAnsi="Arial" w:cs="Arial"/>
                <w:color w:val="000000"/>
                <w:sz w:val="22"/>
                <w:szCs w:val="22"/>
                <w:lang w:eastAsia="en-US"/>
              </w:rPr>
            </w:pPr>
            <w:r w:rsidRPr="00DB153A">
              <w:rPr>
                <w:rFonts w:ascii="Arial" w:eastAsia="Calibri" w:hAnsi="Arial" w:cs="Arial"/>
                <w:color w:val="000000"/>
                <w:sz w:val="22"/>
                <w:szCs w:val="22"/>
                <w:lang w:eastAsia="en-US"/>
              </w:rPr>
              <w:t>Total</w:t>
            </w:r>
          </w:p>
        </w:tc>
        <w:tc>
          <w:tcPr>
            <w:tcW w:w="993" w:type="dxa"/>
            <w:tcBorders>
              <w:top w:val="single" w:sz="4" w:space="0" w:color="auto"/>
              <w:left w:val="single" w:sz="4" w:space="0" w:color="auto"/>
              <w:bottom w:val="single" w:sz="4" w:space="0" w:color="auto"/>
            </w:tcBorders>
            <w:shd w:val="clear" w:color="auto" w:fill="auto"/>
            <w:noWrap/>
            <w:vAlign w:val="bottom"/>
          </w:tcPr>
          <w:p w14:paraId="2B78199C"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bottom w:val="single" w:sz="4" w:space="0" w:color="auto"/>
            </w:tcBorders>
            <w:shd w:val="clear" w:color="auto" w:fill="auto"/>
            <w:noWrap/>
            <w:vAlign w:val="bottom"/>
          </w:tcPr>
          <w:p w14:paraId="397B4446"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bottom w:val="single" w:sz="4" w:space="0" w:color="auto"/>
            </w:tcBorders>
            <w:shd w:val="clear" w:color="auto" w:fill="auto"/>
            <w:vAlign w:val="bottom"/>
          </w:tcPr>
          <w:p w14:paraId="48F6F9A9"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bottom w:val="single" w:sz="4" w:space="0" w:color="auto"/>
              <w:right w:val="single" w:sz="4" w:space="0" w:color="auto"/>
            </w:tcBorders>
            <w:shd w:val="clear" w:color="auto" w:fill="auto"/>
            <w:vAlign w:val="bottom"/>
          </w:tcPr>
          <w:p w14:paraId="45D4A621"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9F622B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429FBC4C"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left w:val="single" w:sz="4" w:space="0" w:color="auto"/>
              <w:right w:val="single" w:sz="4" w:space="0" w:color="auto"/>
            </w:tcBorders>
            <w:shd w:val="clear" w:color="auto" w:fill="auto"/>
            <w:vAlign w:val="bottom"/>
          </w:tcPr>
          <w:p w14:paraId="05079152"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E5EA4E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FE7CDA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ACAA823"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dotDash" w:sz="4" w:space="0" w:color="auto"/>
              <w:left w:val="single" w:sz="4" w:space="0" w:color="auto"/>
              <w:right w:val="single" w:sz="4" w:space="0" w:color="auto"/>
            </w:tcBorders>
            <w:shd w:val="clear" w:color="auto" w:fill="auto"/>
          </w:tcPr>
          <w:p w14:paraId="2BA12055" w14:textId="77777777" w:rsidR="00DB153A" w:rsidRPr="00DB153A" w:rsidRDefault="00DB153A" w:rsidP="00DB153A">
            <w:pP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F6219A5"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17EB4B1" w14:textId="77777777" w:rsidR="00DB153A" w:rsidRPr="00DB153A" w:rsidRDefault="00DB153A" w:rsidP="00DB153A">
            <w:pPr>
              <w:jc w:val="center"/>
              <w:rPr>
                <w:rFonts w:ascii="Arial" w:eastAsia="Calibri" w:hAnsi="Arial" w:cs="Arial"/>
                <w:color w:val="000000"/>
                <w:sz w:val="22"/>
                <w:szCs w:val="22"/>
                <w:lang w:eastAsia="en-US"/>
              </w:rPr>
            </w:pPr>
          </w:p>
        </w:tc>
      </w:tr>
    </w:tbl>
    <w:p w14:paraId="27D67E86" w14:textId="77777777" w:rsidR="00DB153A" w:rsidRPr="00DB153A" w:rsidRDefault="00DB153A" w:rsidP="00DB153A">
      <w:pPr>
        <w:rPr>
          <w:rFonts w:ascii="Arial" w:hAnsi="Arial" w:cs="Arial"/>
          <w:bCs/>
        </w:rPr>
      </w:pPr>
    </w:p>
    <w:tbl>
      <w:tblPr>
        <w:tblW w:w="13892" w:type="dxa"/>
        <w:tblInd w:w="108" w:type="dxa"/>
        <w:tblLook w:val="04A0" w:firstRow="1" w:lastRow="0" w:firstColumn="1" w:lastColumn="0" w:noHBand="0" w:noVBand="1"/>
      </w:tblPr>
      <w:tblGrid>
        <w:gridCol w:w="13892"/>
      </w:tblGrid>
      <w:tr w:rsidR="00DB153A" w:rsidRPr="00DB153A" w14:paraId="798A55A5" w14:textId="77777777" w:rsidTr="00B725EE">
        <w:tc>
          <w:tcPr>
            <w:tcW w:w="8789" w:type="dxa"/>
          </w:tcPr>
          <w:p w14:paraId="6AC097BE" w14:textId="77777777" w:rsidR="00DB153A" w:rsidRPr="00DB153A" w:rsidRDefault="00DB153A" w:rsidP="00DB153A">
            <w:pPr>
              <w:rPr>
                <w:rFonts w:ascii="Arial" w:hAnsi="Arial" w:cs="Arial"/>
                <w:b/>
                <w:bCs/>
              </w:rPr>
            </w:pPr>
            <w:r w:rsidRPr="00DB153A">
              <w:rPr>
                <w:rFonts w:ascii="Arial" w:hAnsi="Arial" w:cs="Arial"/>
                <w:b/>
                <w:bCs/>
              </w:rPr>
              <w:lastRenderedPageBreak/>
              <w:t>Section 2: Other related party exposures</w:t>
            </w:r>
          </w:p>
        </w:tc>
      </w:tr>
    </w:tbl>
    <w:p w14:paraId="4B04A449" w14:textId="77777777" w:rsidR="00DB153A" w:rsidRPr="00DB153A" w:rsidRDefault="00DB153A" w:rsidP="00DB153A">
      <w:pPr>
        <w:rPr>
          <w:rFonts w:ascii="Arial" w:eastAsia="Calibri" w:hAnsi="Arial" w:cs="Arial"/>
          <w:sz w:val="22"/>
          <w:szCs w:val="22"/>
          <w:lang w:eastAsia="en-US"/>
        </w:rPr>
      </w:pPr>
    </w:p>
    <w:tbl>
      <w:tblPr>
        <w:tblW w:w="8806" w:type="dxa"/>
        <w:tblInd w:w="93" w:type="dxa"/>
        <w:tblLayout w:type="fixed"/>
        <w:tblLook w:val="04A0" w:firstRow="1" w:lastRow="0" w:firstColumn="1" w:lastColumn="0" w:noHBand="0" w:noVBand="1"/>
      </w:tblPr>
      <w:tblGrid>
        <w:gridCol w:w="1761"/>
        <w:gridCol w:w="1761"/>
        <w:gridCol w:w="1762"/>
        <w:gridCol w:w="1762"/>
        <w:gridCol w:w="1760"/>
      </w:tblGrid>
      <w:tr w:rsidR="00DB153A" w:rsidRPr="00DB153A" w14:paraId="43D72B9D" w14:textId="77777777" w:rsidTr="00B725EE">
        <w:trPr>
          <w:trHeight w:val="317"/>
        </w:trPr>
        <w:tc>
          <w:tcPr>
            <w:tcW w:w="1761" w:type="dxa"/>
            <w:tcBorders>
              <w:top w:val="single" w:sz="4" w:space="0" w:color="auto"/>
              <w:left w:val="single" w:sz="4" w:space="0" w:color="auto"/>
              <w:bottom w:val="nil"/>
              <w:right w:val="single" w:sz="4" w:space="0" w:color="auto"/>
            </w:tcBorders>
            <w:shd w:val="clear" w:color="auto" w:fill="auto"/>
            <w:vAlign w:val="bottom"/>
            <w:hideMark/>
          </w:tcPr>
          <w:p w14:paraId="0C1F5C6A"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Name</w:t>
            </w:r>
          </w:p>
        </w:tc>
        <w:tc>
          <w:tcPr>
            <w:tcW w:w="1761" w:type="dxa"/>
            <w:tcBorders>
              <w:top w:val="single" w:sz="4" w:space="0" w:color="auto"/>
              <w:left w:val="nil"/>
              <w:bottom w:val="nil"/>
              <w:right w:val="single" w:sz="4" w:space="0" w:color="auto"/>
            </w:tcBorders>
            <w:shd w:val="clear" w:color="auto" w:fill="auto"/>
            <w:vAlign w:val="bottom"/>
            <w:hideMark/>
          </w:tcPr>
          <w:p w14:paraId="2A290475"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ACN / ABN</w:t>
            </w:r>
          </w:p>
        </w:tc>
        <w:tc>
          <w:tcPr>
            <w:tcW w:w="1762" w:type="dxa"/>
            <w:tcBorders>
              <w:top w:val="single" w:sz="4" w:space="0" w:color="auto"/>
              <w:left w:val="nil"/>
              <w:bottom w:val="nil"/>
              <w:right w:val="single" w:sz="4" w:space="0" w:color="auto"/>
            </w:tcBorders>
            <w:shd w:val="clear" w:color="auto" w:fill="auto"/>
            <w:vAlign w:val="bottom"/>
            <w:hideMark/>
          </w:tcPr>
          <w:p w14:paraId="029CCDF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Category</w:t>
            </w:r>
          </w:p>
        </w:tc>
        <w:tc>
          <w:tcPr>
            <w:tcW w:w="1762" w:type="dxa"/>
            <w:tcBorders>
              <w:top w:val="single" w:sz="4" w:space="0" w:color="auto"/>
              <w:left w:val="nil"/>
              <w:bottom w:val="nil"/>
              <w:right w:val="single" w:sz="4" w:space="0" w:color="000000"/>
            </w:tcBorders>
            <w:shd w:val="clear" w:color="auto" w:fill="auto"/>
            <w:vAlign w:val="bottom"/>
            <w:hideMark/>
          </w:tcPr>
          <w:p w14:paraId="5495CE2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Type of exposure</w:t>
            </w:r>
          </w:p>
        </w:tc>
        <w:tc>
          <w:tcPr>
            <w:tcW w:w="1760" w:type="dxa"/>
            <w:tcBorders>
              <w:top w:val="single" w:sz="4" w:space="0" w:color="auto"/>
              <w:left w:val="nil"/>
              <w:bottom w:val="nil"/>
              <w:right w:val="single" w:sz="4" w:space="0" w:color="000000"/>
            </w:tcBorders>
            <w:vAlign w:val="bottom"/>
          </w:tcPr>
          <w:p w14:paraId="12117C38"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Fair value of exposure</w:t>
            </w:r>
          </w:p>
        </w:tc>
      </w:tr>
      <w:tr w:rsidR="00DB153A" w:rsidRPr="00DB153A" w14:paraId="0D7B17B1" w14:textId="77777777" w:rsidTr="00B725EE">
        <w:trPr>
          <w:trHeight w:val="317"/>
        </w:trPr>
        <w:tc>
          <w:tcPr>
            <w:tcW w:w="1761" w:type="dxa"/>
            <w:tcBorders>
              <w:top w:val="nil"/>
              <w:left w:val="single" w:sz="4" w:space="0" w:color="auto"/>
              <w:bottom w:val="single" w:sz="4" w:space="0" w:color="auto"/>
              <w:right w:val="single" w:sz="4" w:space="0" w:color="auto"/>
            </w:tcBorders>
            <w:shd w:val="clear" w:color="auto" w:fill="auto"/>
            <w:vAlign w:val="bottom"/>
            <w:hideMark/>
          </w:tcPr>
          <w:p w14:paraId="30B0F383"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w:t>
            </w:r>
          </w:p>
        </w:tc>
        <w:tc>
          <w:tcPr>
            <w:tcW w:w="1761" w:type="dxa"/>
            <w:tcBorders>
              <w:top w:val="nil"/>
              <w:left w:val="nil"/>
              <w:bottom w:val="single" w:sz="4" w:space="0" w:color="auto"/>
              <w:right w:val="single" w:sz="4" w:space="0" w:color="auto"/>
            </w:tcBorders>
            <w:shd w:val="clear" w:color="auto" w:fill="auto"/>
            <w:vAlign w:val="bottom"/>
            <w:hideMark/>
          </w:tcPr>
          <w:p w14:paraId="0F7ABB6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(2)</w:t>
            </w:r>
          </w:p>
        </w:tc>
        <w:tc>
          <w:tcPr>
            <w:tcW w:w="1762" w:type="dxa"/>
            <w:tcBorders>
              <w:top w:val="nil"/>
              <w:left w:val="nil"/>
              <w:bottom w:val="single" w:sz="4" w:space="0" w:color="auto"/>
              <w:right w:val="single" w:sz="4" w:space="0" w:color="auto"/>
            </w:tcBorders>
            <w:shd w:val="clear" w:color="auto" w:fill="auto"/>
            <w:vAlign w:val="bottom"/>
            <w:hideMark/>
          </w:tcPr>
          <w:p w14:paraId="727393C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(3)</w:t>
            </w:r>
          </w:p>
        </w:tc>
        <w:tc>
          <w:tcPr>
            <w:tcW w:w="1762" w:type="dxa"/>
            <w:tcBorders>
              <w:top w:val="nil"/>
              <w:left w:val="nil"/>
              <w:bottom w:val="single" w:sz="4" w:space="0" w:color="auto"/>
              <w:right w:val="single" w:sz="4" w:space="0" w:color="000000"/>
            </w:tcBorders>
            <w:shd w:val="clear" w:color="auto" w:fill="auto"/>
            <w:vAlign w:val="bottom"/>
            <w:hideMark/>
          </w:tcPr>
          <w:p w14:paraId="56F98985"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(4)</w:t>
            </w:r>
          </w:p>
        </w:tc>
        <w:tc>
          <w:tcPr>
            <w:tcW w:w="1760" w:type="dxa"/>
            <w:tcBorders>
              <w:top w:val="nil"/>
              <w:left w:val="nil"/>
              <w:bottom w:val="single" w:sz="4" w:space="0" w:color="auto"/>
              <w:right w:val="single" w:sz="4" w:space="0" w:color="000000"/>
            </w:tcBorders>
            <w:vAlign w:val="bottom"/>
          </w:tcPr>
          <w:p w14:paraId="3E1D84C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(5)</w:t>
            </w:r>
          </w:p>
        </w:tc>
      </w:tr>
      <w:tr w:rsidR="00DB153A" w:rsidRPr="00DB153A" w14:paraId="36107260" w14:textId="77777777" w:rsidTr="00B725EE">
        <w:trPr>
          <w:trHeight w:val="317"/>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89587" w14:textId="77777777" w:rsidR="00DB153A" w:rsidRPr="00DB153A" w:rsidRDefault="00DB153A" w:rsidP="00DB153A">
            <w:pPr>
              <w:jc w:val="center"/>
              <w:rPr>
                <w:rFonts w:ascii="Arial" w:eastAsia="Calibri" w:hAnsi="Arial" w:cs="Arial"/>
                <w:color w:val="000000"/>
                <w:sz w:val="22"/>
                <w:szCs w:val="22"/>
                <w:lang w:eastAsia="en-US"/>
              </w:rP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699D26AB"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4CE16B07"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left w:val="nil"/>
              <w:bottom w:val="single" w:sz="4" w:space="0" w:color="auto"/>
              <w:right w:val="single" w:sz="4" w:space="0" w:color="auto"/>
            </w:tcBorders>
            <w:shd w:val="clear" w:color="auto" w:fill="auto"/>
            <w:vAlign w:val="bottom"/>
          </w:tcPr>
          <w:p w14:paraId="7ED3BD83" w14:textId="77777777" w:rsidR="00DB153A" w:rsidRPr="00DB153A" w:rsidRDefault="00DB153A" w:rsidP="00DB153A">
            <w:pPr>
              <w:jc w:val="center"/>
              <w:rPr>
                <w:rFonts w:ascii="Arial" w:eastAsia="Calibri" w:hAnsi="Arial" w:cs="Arial"/>
                <w:color w:val="000000"/>
                <w:sz w:val="22"/>
                <w:szCs w:val="22"/>
                <w:lang w:eastAsia="en-US"/>
              </w:rPr>
            </w:pPr>
          </w:p>
        </w:tc>
        <w:tc>
          <w:tcPr>
            <w:tcW w:w="1760" w:type="dxa"/>
            <w:tcBorders>
              <w:top w:val="single" w:sz="4" w:space="0" w:color="auto"/>
              <w:left w:val="nil"/>
              <w:bottom w:val="single" w:sz="4" w:space="0" w:color="auto"/>
              <w:right w:val="single" w:sz="4" w:space="0" w:color="auto"/>
            </w:tcBorders>
            <w:vAlign w:val="bottom"/>
          </w:tcPr>
          <w:p w14:paraId="1C1A3FDB" w14:textId="77777777" w:rsidR="00DB153A" w:rsidRPr="00DB153A" w:rsidRDefault="00DB153A" w:rsidP="00DB153A">
            <w:pPr>
              <w:jc w:val="center"/>
              <w:rPr>
                <w:rFonts w:ascii="Arial" w:eastAsia="Calibri" w:hAnsi="Arial" w:cs="Arial"/>
                <w:color w:val="000000"/>
                <w:sz w:val="22"/>
                <w:szCs w:val="22"/>
                <w:lang w:eastAsia="en-US"/>
              </w:rPr>
            </w:pPr>
          </w:p>
        </w:tc>
      </w:tr>
      <w:tr w:rsidR="00DB153A" w:rsidRPr="00DB153A" w14:paraId="59D11670" w14:textId="77777777" w:rsidTr="00B725EE">
        <w:trPr>
          <w:trHeight w:val="317"/>
        </w:trPr>
        <w:tc>
          <w:tcPr>
            <w:tcW w:w="1761" w:type="dxa"/>
            <w:tcBorders>
              <w:top w:val="single" w:sz="4" w:space="0" w:color="auto"/>
            </w:tcBorders>
            <w:shd w:val="clear" w:color="auto" w:fill="auto"/>
            <w:noWrap/>
            <w:vAlign w:val="bottom"/>
          </w:tcPr>
          <w:p w14:paraId="3000A118"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top w:val="single" w:sz="4" w:space="0" w:color="auto"/>
              <w:right w:val="dotDash" w:sz="4" w:space="0" w:color="auto"/>
            </w:tcBorders>
            <w:shd w:val="clear" w:color="auto" w:fill="auto"/>
            <w:noWrap/>
            <w:vAlign w:val="bottom"/>
          </w:tcPr>
          <w:p w14:paraId="2330F5DB"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85487C2" w14:textId="6BCDE7D1"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single" w:sz="4" w:space="0" w:color="auto"/>
              <w:left w:val="dotDash" w:sz="4" w:space="0" w:color="auto"/>
              <w:bottom w:val="dotDash" w:sz="4" w:space="0" w:color="auto"/>
              <w:right w:val="dotDash" w:sz="4" w:space="0" w:color="auto"/>
            </w:tcBorders>
            <w:shd w:val="clear" w:color="auto" w:fill="auto"/>
            <w:vAlign w:val="bottom"/>
          </w:tcPr>
          <w:p w14:paraId="4DE8F5F7" w14:textId="55432EBE" w:rsidR="00DB153A" w:rsidRPr="00DB153A" w:rsidRDefault="00DB153A" w:rsidP="00DB153A">
            <w:pPr>
              <w:jc w:val="center"/>
              <w:rPr>
                <w:rFonts w:ascii="Arial" w:eastAsia="Calibri" w:hAnsi="Arial" w:cs="Arial"/>
                <w:color w:val="000000"/>
                <w:sz w:val="20"/>
                <w:szCs w:val="20"/>
                <w:lang w:eastAsia="en-US"/>
              </w:rPr>
            </w:pPr>
          </w:p>
        </w:tc>
        <w:tc>
          <w:tcPr>
            <w:tcW w:w="1760" w:type="dxa"/>
            <w:tcBorders>
              <w:top w:val="single" w:sz="4" w:space="0" w:color="auto"/>
              <w:left w:val="dotDash" w:sz="4" w:space="0" w:color="auto"/>
            </w:tcBorders>
            <w:shd w:val="clear" w:color="auto" w:fill="auto"/>
            <w:vAlign w:val="bottom"/>
          </w:tcPr>
          <w:p w14:paraId="7D30F26C"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5A41C0FC" w14:textId="77777777" w:rsidTr="00B725EE">
        <w:trPr>
          <w:trHeight w:val="317"/>
        </w:trPr>
        <w:tc>
          <w:tcPr>
            <w:tcW w:w="1761" w:type="dxa"/>
            <w:shd w:val="clear" w:color="auto" w:fill="auto"/>
            <w:noWrap/>
            <w:vAlign w:val="bottom"/>
          </w:tcPr>
          <w:p w14:paraId="4556B49B"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2A5B8A0F"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CC1C92" w14:textId="0D650592"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7570CC93" w14:textId="77935DA5"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036524CF"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23C87D0C" w14:textId="77777777" w:rsidTr="00B725EE">
        <w:trPr>
          <w:trHeight w:val="317"/>
        </w:trPr>
        <w:tc>
          <w:tcPr>
            <w:tcW w:w="1761" w:type="dxa"/>
            <w:shd w:val="clear" w:color="auto" w:fill="auto"/>
            <w:noWrap/>
            <w:vAlign w:val="bottom"/>
          </w:tcPr>
          <w:p w14:paraId="27956EB2"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2AC472C4"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738359" w14:textId="6B7C7834"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6382C55F" w14:textId="211C4712"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2ADAB7C3"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017A6FBC" w14:textId="77777777" w:rsidTr="00B725EE">
        <w:trPr>
          <w:trHeight w:val="317"/>
        </w:trPr>
        <w:tc>
          <w:tcPr>
            <w:tcW w:w="1761" w:type="dxa"/>
            <w:shd w:val="clear" w:color="auto" w:fill="auto"/>
            <w:noWrap/>
            <w:vAlign w:val="bottom"/>
          </w:tcPr>
          <w:p w14:paraId="5D71FA97"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78A76CC3"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0462FC" w14:textId="54DF51D5"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255637FD" w14:textId="16533F7C"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77AEA199"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6A5381FF" w14:textId="77777777" w:rsidTr="00B725EE">
        <w:trPr>
          <w:trHeight w:val="317"/>
        </w:trPr>
        <w:tc>
          <w:tcPr>
            <w:tcW w:w="1761" w:type="dxa"/>
            <w:shd w:val="clear" w:color="auto" w:fill="auto"/>
            <w:noWrap/>
            <w:vAlign w:val="bottom"/>
          </w:tcPr>
          <w:p w14:paraId="511D2A3B"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66E9F658"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9C7C44" w14:textId="12B72921"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6657FE90" w14:textId="17B1897E"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58CDCD8D"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239AE31" w14:textId="77777777" w:rsidTr="00B725EE">
        <w:trPr>
          <w:trHeight w:val="317"/>
        </w:trPr>
        <w:tc>
          <w:tcPr>
            <w:tcW w:w="1761" w:type="dxa"/>
            <w:shd w:val="clear" w:color="auto" w:fill="auto"/>
            <w:noWrap/>
            <w:vAlign w:val="bottom"/>
          </w:tcPr>
          <w:p w14:paraId="20AF036F"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shd w:val="clear" w:color="auto" w:fill="auto"/>
            <w:noWrap/>
            <w:vAlign w:val="bottom"/>
          </w:tcPr>
          <w:p w14:paraId="75236D19"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right w:val="dotDash" w:sz="4" w:space="0" w:color="auto"/>
            </w:tcBorders>
            <w:shd w:val="clear" w:color="auto" w:fill="auto"/>
            <w:noWrap/>
            <w:vAlign w:val="bottom"/>
          </w:tcPr>
          <w:p w14:paraId="6B1D45A0"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5D04FA8B" w14:textId="10F46A96"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230C843C"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9EA6680" w14:textId="77777777" w:rsidTr="00B725EE">
        <w:trPr>
          <w:trHeight w:val="317"/>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358F" w14:textId="77777777" w:rsidR="00DB153A" w:rsidRPr="00DB153A" w:rsidRDefault="00DB153A" w:rsidP="00DB153A">
            <w:pPr>
              <w:jc w:val="center"/>
              <w:rPr>
                <w:rFonts w:ascii="Arial" w:eastAsia="Calibri" w:hAnsi="Arial" w:cs="Arial"/>
                <w:color w:val="000000"/>
                <w:sz w:val="22"/>
                <w:szCs w:val="22"/>
                <w:lang w:eastAsia="en-US"/>
              </w:rPr>
            </w:pPr>
            <w:r w:rsidRPr="00DB153A">
              <w:rPr>
                <w:rFonts w:ascii="Arial" w:eastAsia="Calibri" w:hAnsi="Arial" w:cs="Arial"/>
                <w:color w:val="000000"/>
                <w:sz w:val="22"/>
                <w:szCs w:val="22"/>
                <w:lang w:eastAsia="en-US"/>
              </w:rPr>
              <w:t>Total</w:t>
            </w:r>
          </w:p>
        </w:tc>
        <w:tc>
          <w:tcPr>
            <w:tcW w:w="1761" w:type="dxa"/>
            <w:tcBorders>
              <w:top w:val="single" w:sz="4" w:space="0" w:color="auto"/>
              <w:left w:val="single" w:sz="4" w:space="0" w:color="auto"/>
              <w:bottom w:val="single" w:sz="4" w:space="0" w:color="auto"/>
            </w:tcBorders>
            <w:shd w:val="clear" w:color="auto" w:fill="auto"/>
            <w:noWrap/>
            <w:vAlign w:val="bottom"/>
          </w:tcPr>
          <w:p w14:paraId="32A98EDC"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bottom w:val="single" w:sz="4" w:space="0" w:color="auto"/>
            </w:tcBorders>
            <w:shd w:val="clear" w:color="auto" w:fill="auto"/>
            <w:noWrap/>
          </w:tcPr>
          <w:p w14:paraId="2DDA5495"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bottom w:val="single" w:sz="4" w:space="0" w:color="auto"/>
              <w:right w:val="single" w:sz="4" w:space="0" w:color="auto"/>
            </w:tcBorders>
            <w:shd w:val="clear" w:color="auto" w:fill="auto"/>
            <w:vAlign w:val="bottom"/>
          </w:tcPr>
          <w:p w14:paraId="2BEB969F" w14:textId="77777777" w:rsidR="00DB153A" w:rsidRPr="00DB153A" w:rsidRDefault="00DB153A" w:rsidP="00DB153A">
            <w:pPr>
              <w:jc w:val="center"/>
              <w:rPr>
                <w:rFonts w:ascii="Arial" w:eastAsia="Calibri" w:hAnsi="Arial" w:cs="Arial"/>
                <w:color w:val="000000"/>
                <w:sz w:val="22"/>
                <w:szCs w:val="22"/>
                <w:lang w:eastAsia="en-US"/>
              </w:rPr>
            </w:pPr>
          </w:p>
        </w:tc>
        <w:tc>
          <w:tcPr>
            <w:tcW w:w="1760" w:type="dxa"/>
            <w:tcBorders>
              <w:top w:val="single" w:sz="4" w:space="0" w:color="auto"/>
              <w:left w:val="single" w:sz="4" w:space="0" w:color="auto"/>
              <w:bottom w:val="single" w:sz="4" w:space="0" w:color="auto"/>
              <w:right w:val="single" w:sz="4" w:space="0" w:color="auto"/>
            </w:tcBorders>
            <w:shd w:val="clear" w:color="auto" w:fill="A6A6A6"/>
            <w:vAlign w:val="bottom"/>
          </w:tcPr>
          <w:p w14:paraId="07FE17F9" w14:textId="77777777" w:rsidR="00DB153A" w:rsidRPr="00DB153A" w:rsidRDefault="00DB153A" w:rsidP="00DB153A">
            <w:pPr>
              <w:jc w:val="center"/>
              <w:rPr>
                <w:rFonts w:ascii="Arial" w:eastAsia="Calibri" w:hAnsi="Arial" w:cs="Arial"/>
                <w:color w:val="000000"/>
                <w:sz w:val="22"/>
                <w:szCs w:val="22"/>
                <w:lang w:eastAsia="en-US"/>
              </w:rPr>
            </w:pPr>
          </w:p>
        </w:tc>
      </w:tr>
    </w:tbl>
    <w:p w14:paraId="706B1B6E" w14:textId="77777777" w:rsidR="004E66CE" w:rsidRDefault="004E66CE" w:rsidP="004E66CE">
      <w:pPr>
        <w:rPr>
          <w:rFonts w:ascii="Arial" w:hAnsi="Arial" w:cs="Arial"/>
        </w:rPr>
      </w:pPr>
    </w:p>
    <w:p w14:paraId="5808507B" w14:textId="77777777" w:rsidR="004E66CE" w:rsidRPr="00A34ADD" w:rsidRDefault="004E66CE" w:rsidP="004E66CE"/>
    <w:p w14:paraId="070F619E" w14:textId="7BB454F3" w:rsidR="00B372F0" w:rsidRDefault="00B372F0" w:rsidP="00C94512">
      <w:pPr>
        <w:keepNext/>
        <w:spacing w:before="120" w:after="240"/>
        <w:jc w:val="both"/>
        <w:sectPr w:rsidR="00B372F0" w:rsidSect="00C94512">
          <w:headerReference w:type="default" r:id="rId16"/>
          <w:footerReference w:type="default" r:id="rId17"/>
          <w:pgSz w:w="16838" w:h="11906" w:orient="landscape"/>
          <w:pgMar w:top="1800" w:right="1245" w:bottom="1800" w:left="1134" w:header="708" w:footer="708" w:gutter="0"/>
          <w:pgNumType w:start="1"/>
          <w:cols w:space="708"/>
          <w:docGrid w:linePitch="360"/>
        </w:sectPr>
      </w:pPr>
    </w:p>
    <w:p w14:paraId="74208DB0" w14:textId="77777777" w:rsidR="00B372F0" w:rsidRPr="00B372F0" w:rsidRDefault="00B372F0" w:rsidP="003A4E4C">
      <w:pPr>
        <w:keepNext/>
        <w:spacing w:before="120" w:after="240"/>
        <w:jc w:val="center"/>
        <w:rPr>
          <w:rFonts w:ascii="Arial" w:hAnsi="Arial" w:cs="Arial"/>
          <w:b/>
          <w:sz w:val="32"/>
          <w:szCs w:val="32"/>
        </w:rPr>
      </w:pPr>
      <w:r w:rsidRPr="00B372F0">
        <w:rPr>
          <w:rFonts w:ascii="Arial" w:hAnsi="Arial" w:cs="Arial"/>
          <w:b/>
          <w:bCs/>
          <w:sz w:val="32"/>
          <w:szCs w:val="32"/>
        </w:rPr>
        <w:lastRenderedPageBreak/>
        <w:t>LRF_112_3 Related Party Exposures</w:t>
      </w:r>
    </w:p>
    <w:p w14:paraId="1FE887FC" w14:textId="77777777" w:rsidR="00B372F0" w:rsidRPr="00B372F0" w:rsidRDefault="00B372F0" w:rsidP="00CD5AA4">
      <w:pPr>
        <w:keepNext/>
        <w:spacing w:after="240"/>
        <w:jc w:val="both"/>
        <w:rPr>
          <w:b/>
        </w:rPr>
      </w:pPr>
      <w:r w:rsidRPr="00B372F0">
        <w:t>These instructions must be read in conjunction with the general instruction guide.</w:t>
      </w:r>
    </w:p>
    <w:p w14:paraId="36B58984" w14:textId="77777777" w:rsidR="00B372F0" w:rsidRPr="00B372F0" w:rsidRDefault="00B372F0" w:rsidP="00CD5AA4">
      <w:pPr>
        <w:keepNext/>
        <w:spacing w:after="240"/>
        <w:jc w:val="both"/>
        <w:rPr>
          <w:rFonts w:ascii="Arial" w:hAnsi="Arial" w:cs="Arial"/>
          <w:b/>
          <w:sz w:val="32"/>
          <w:szCs w:val="32"/>
        </w:rPr>
      </w:pPr>
      <w:r w:rsidRPr="00B372F0">
        <w:rPr>
          <w:rFonts w:ascii="Arial" w:hAnsi="Arial" w:cs="Arial"/>
          <w:b/>
          <w:sz w:val="32"/>
          <w:szCs w:val="32"/>
        </w:rPr>
        <w:t>Explanatory notes</w:t>
      </w:r>
    </w:p>
    <w:p w14:paraId="6D6964EB" w14:textId="77777777" w:rsidR="00B372F0" w:rsidRPr="00B372F0" w:rsidRDefault="00B372F0" w:rsidP="00CD5AA4">
      <w:pPr>
        <w:keepNext/>
        <w:spacing w:after="240"/>
        <w:jc w:val="both"/>
        <w:rPr>
          <w:rFonts w:ascii="Arial" w:hAnsi="Arial" w:cs="Arial"/>
          <w:b/>
        </w:rPr>
      </w:pPr>
      <w:r w:rsidRPr="00B372F0">
        <w:rPr>
          <w:rFonts w:ascii="Arial" w:hAnsi="Arial" w:cs="Arial"/>
          <w:b/>
        </w:rPr>
        <w:t>Reported exposures</w:t>
      </w:r>
    </w:p>
    <w:p w14:paraId="7F516EA6" w14:textId="77777777" w:rsidR="00B372F0" w:rsidRPr="00B372F0" w:rsidRDefault="00B372F0" w:rsidP="00CD5AA4">
      <w:pPr>
        <w:spacing w:after="240"/>
        <w:jc w:val="both"/>
      </w:pPr>
      <w:r w:rsidRPr="00B372F0">
        <w:t xml:space="preserve">All equity investments in subsidiaries, associates and joint ventures should be reported in Section 1, Columns 1 to 8, regardless of whether the investment is subject to the regulatory adjustments relating to goodwill, intangibles and regulatory capital requirements.  </w:t>
      </w:r>
    </w:p>
    <w:p w14:paraId="720ECA11" w14:textId="77777777" w:rsidR="00B372F0" w:rsidRPr="00B372F0" w:rsidRDefault="00B372F0" w:rsidP="00CD5AA4">
      <w:pPr>
        <w:spacing w:after="240"/>
        <w:jc w:val="both"/>
      </w:pPr>
      <w:r w:rsidRPr="00B372F0">
        <w:t>Columns 9 to 14 do not apply to investments in a subsidiary, joint venture or associate that:</w:t>
      </w:r>
    </w:p>
    <w:p w14:paraId="3C6AE071" w14:textId="77777777" w:rsidR="00B372F0" w:rsidRPr="00B372F0" w:rsidRDefault="00B372F0" w:rsidP="00CD5AA4">
      <w:pPr>
        <w:numPr>
          <w:ilvl w:val="0"/>
          <w:numId w:val="8"/>
        </w:numPr>
        <w:spacing w:after="240"/>
        <w:jc w:val="both"/>
      </w:pPr>
      <w:r w:rsidRPr="00B372F0">
        <w:t xml:space="preserve">is operationally independent; </w:t>
      </w:r>
    </w:p>
    <w:p w14:paraId="6B31290A" w14:textId="77777777" w:rsidR="00B372F0" w:rsidRPr="00B372F0" w:rsidRDefault="00B372F0" w:rsidP="00CD5AA4">
      <w:pPr>
        <w:numPr>
          <w:ilvl w:val="0"/>
          <w:numId w:val="8"/>
        </w:numPr>
        <w:spacing w:after="240"/>
        <w:jc w:val="both"/>
      </w:pPr>
      <w:r w:rsidRPr="00B372F0">
        <w:t xml:space="preserve">represents a genuine arm's-length investment; </w:t>
      </w:r>
    </w:p>
    <w:p w14:paraId="5800443D" w14:textId="77777777" w:rsidR="00B372F0" w:rsidRPr="00B372F0" w:rsidRDefault="00B372F0" w:rsidP="00CD5AA4">
      <w:pPr>
        <w:numPr>
          <w:ilvl w:val="0"/>
          <w:numId w:val="8"/>
        </w:numPr>
        <w:spacing w:after="240"/>
        <w:jc w:val="both"/>
      </w:pPr>
      <w:r w:rsidRPr="00B372F0">
        <w:t>is not subject to regulatory capital requirements; and</w:t>
      </w:r>
    </w:p>
    <w:p w14:paraId="1D46CFAC" w14:textId="77777777" w:rsidR="00B372F0" w:rsidRPr="00B372F0" w:rsidRDefault="00B372F0" w:rsidP="00CD5AA4">
      <w:pPr>
        <w:numPr>
          <w:ilvl w:val="0"/>
          <w:numId w:val="8"/>
        </w:numPr>
        <w:spacing w:after="240"/>
        <w:jc w:val="both"/>
      </w:pPr>
      <w:r w:rsidRPr="00B372F0">
        <w:t>does not undertake life insurance business or business related to insurance business.</w:t>
      </w:r>
    </w:p>
    <w:p w14:paraId="4099C876" w14:textId="77777777" w:rsidR="00B372F0" w:rsidRPr="00B372F0" w:rsidRDefault="00B372F0" w:rsidP="00CD5AA4">
      <w:pPr>
        <w:spacing w:after="240"/>
        <w:jc w:val="both"/>
      </w:pPr>
      <w:r w:rsidRPr="00B372F0">
        <w:t>Any other related party exposures (both on and off-balance sheet) are to be reported in Section 2.</w:t>
      </w:r>
    </w:p>
    <w:p w14:paraId="66AC1B93" w14:textId="77777777" w:rsidR="00B372F0" w:rsidRPr="00B372F0" w:rsidRDefault="00B372F0" w:rsidP="00CD5AA4">
      <w:pPr>
        <w:spacing w:after="240"/>
        <w:jc w:val="both"/>
      </w:pPr>
      <w:r w:rsidRPr="00B372F0">
        <w:t>Exposures to the same related party across multiple types of exposures should be reported on separate lines.</w:t>
      </w:r>
    </w:p>
    <w:p w14:paraId="73AAC5E5" w14:textId="77777777" w:rsidR="00B372F0" w:rsidRPr="00B372F0" w:rsidRDefault="00B372F0" w:rsidP="00CD5AA4">
      <w:pPr>
        <w:keepNext/>
        <w:spacing w:after="240"/>
        <w:jc w:val="both"/>
        <w:rPr>
          <w:rFonts w:ascii="Arial" w:hAnsi="Arial" w:cs="Arial"/>
          <w:b/>
        </w:rPr>
      </w:pPr>
      <w:r w:rsidRPr="00B372F0">
        <w:rPr>
          <w:rFonts w:ascii="Arial" w:hAnsi="Arial" w:cs="Arial"/>
          <w:b/>
        </w:rPr>
        <w:t>Joint operations</w:t>
      </w:r>
    </w:p>
    <w:p w14:paraId="7D01F07C" w14:textId="77777777" w:rsidR="006E6B41" w:rsidRDefault="00B372F0" w:rsidP="00CD5AA4">
      <w:pPr>
        <w:spacing w:after="240"/>
        <w:jc w:val="both"/>
        <w:rPr>
          <w:rFonts w:ascii="Arial" w:hAnsi="Arial" w:cs="Arial"/>
          <w:b/>
          <w:sz w:val="32"/>
          <w:szCs w:val="32"/>
        </w:rPr>
      </w:pPr>
      <w:r w:rsidRPr="00B372F0">
        <w:t xml:space="preserve">For the purposes of this form, a joint operation as defined under </w:t>
      </w:r>
      <w:r w:rsidRPr="00B372F0">
        <w:rPr>
          <w:i/>
        </w:rPr>
        <w:t xml:space="preserve">Australian Accounting </w:t>
      </w:r>
      <w:r w:rsidRPr="006E6B41">
        <w:t>Standard</w:t>
      </w:r>
      <w:r w:rsidRPr="00B372F0">
        <w:rPr>
          <w:i/>
        </w:rPr>
        <w:t xml:space="preserve"> AASB 11 Joint </w:t>
      </w:r>
      <w:r w:rsidRPr="00A55ECE">
        <w:t>Arrangements</w:t>
      </w:r>
      <w:r w:rsidRPr="00B372F0">
        <w:t xml:space="preserve"> (AASB 11) is to be treated as a joint venture.</w:t>
      </w:r>
      <w:r w:rsidR="006E6B41" w:rsidRPr="006E6B41">
        <w:rPr>
          <w:rFonts w:ascii="Arial" w:hAnsi="Arial" w:cs="Arial"/>
          <w:b/>
          <w:sz w:val="32"/>
          <w:szCs w:val="32"/>
        </w:rPr>
        <w:t xml:space="preserve"> </w:t>
      </w:r>
    </w:p>
    <w:p w14:paraId="4B3C2461" w14:textId="477F62E6" w:rsidR="006E6B41" w:rsidRPr="00B372F0" w:rsidRDefault="006E6B41" w:rsidP="00CD5AA4">
      <w:pPr>
        <w:spacing w:after="240"/>
        <w:jc w:val="both"/>
        <w:rPr>
          <w:rFonts w:ascii="Arial" w:hAnsi="Arial" w:cs="Arial"/>
          <w:b/>
          <w:sz w:val="32"/>
          <w:szCs w:val="32"/>
        </w:rPr>
      </w:pPr>
      <w:r w:rsidRPr="00B372F0">
        <w:rPr>
          <w:rFonts w:ascii="Arial" w:hAnsi="Arial" w:cs="Arial"/>
          <w:b/>
          <w:sz w:val="32"/>
          <w:szCs w:val="32"/>
        </w:rPr>
        <w:t>Instructions for specific items</w:t>
      </w:r>
    </w:p>
    <w:p w14:paraId="71834F1B" w14:textId="77777777" w:rsidR="006E6B41" w:rsidRPr="00B372F0" w:rsidRDefault="006E6B41" w:rsidP="00CD5AA4">
      <w:pPr>
        <w:spacing w:after="240"/>
        <w:jc w:val="both"/>
        <w:rPr>
          <w:rFonts w:ascii="Arial" w:hAnsi="Arial" w:cs="Arial"/>
          <w:b/>
          <w:bCs/>
        </w:rPr>
      </w:pPr>
      <w:r w:rsidRPr="00B372F0">
        <w:rPr>
          <w:rFonts w:ascii="Arial" w:hAnsi="Arial" w:cs="Arial"/>
          <w:b/>
        </w:rPr>
        <w:t xml:space="preserve">Section 1: </w:t>
      </w:r>
      <w:r w:rsidRPr="00B372F0">
        <w:rPr>
          <w:rFonts w:ascii="Arial" w:hAnsi="Arial" w:cs="Arial"/>
          <w:b/>
          <w:bCs/>
        </w:rPr>
        <w:t>Investments in subsidiaries, joint ventures and associates and contributions to regulatory adjustments</w:t>
      </w:r>
    </w:p>
    <w:p w14:paraId="6A052D52" w14:textId="77777777" w:rsidR="006E6B41" w:rsidRPr="00B372F0" w:rsidRDefault="006E6B41" w:rsidP="00CD5AA4">
      <w:pPr>
        <w:numPr>
          <w:ilvl w:val="1"/>
          <w:numId w:val="7"/>
        </w:numPr>
        <w:spacing w:after="240"/>
        <w:jc w:val="both"/>
        <w:rPr>
          <w:rFonts w:ascii="Arial" w:hAnsi="Arial" w:cs="Arial"/>
          <w:b/>
        </w:rPr>
      </w:pPr>
      <w:r w:rsidRPr="00B372F0">
        <w:rPr>
          <w:rFonts w:ascii="Arial" w:hAnsi="Arial" w:cs="Arial"/>
          <w:b/>
        </w:rPr>
        <w:t>Name</w:t>
      </w:r>
    </w:p>
    <w:p w14:paraId="63A89461" w14:textId="77777777" w:rsidR="006E6B41" w:rsidRPr="00B372F0" w:rsidRDefault="006E6B41" w:rsidP="00CD5AA4">
      <w:pPr>
        <w:spacing w:after="240"/>
        <w:jc w:val="both"/>
      </w:pPr>
      <w:r w:rsidRPr="00B372F0">
        <w:t>This column reports the registered business name of the subsidiary, joint venture or associate of the life company.</w:t>
      </w:r>
    </w:p>
    <w:p w14:paraId="5344B191"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ACN / ABN</w:t>
      </w:r>
    </w:p>
    <w:p w14:paraId="5806F168" w14:textId="77777777" w:rsidR="00423877" w:rsidRDefault="00B372F0" w:rsidP="00CD5AA4">
      <w:pPr>
        <w:spacing w:after="240"/>
        <w:jc w:val="both"/>
      </w:pPr>
      <w:r w:rsidRPr="00B372F0">
        <w:t xml:space="preserve">Where relevant, this column reports the Australian Company Number (ACN) of the reported subsidiary, associate or joint venture.  In cases where an entity doesn’t have an ACN but it does have an Australian Business Number (ABN) or an Australian Registered Body Number (ARBN), the ABN or ARBN should be reported.  </w:t>
      </w:r>
    </w:p>
    <w:p w14:paraId="0D5CFA05" w14:textId="5C290DEF" w:rsidR="00B372F0" w:rsidRDefault="00B372F0" w:rsidP="00CD5AA4">
      <w:pPr>
        <w:spacing w:after="240"/>
        <w:jc w:val="both"/>
      </w:pPr>
      <w:r w:rsidRPr="00B372F0">
        <w:t>If an entity does not have an ACN, ABN, or ARBN the column should be left blank.</w:t>
      </w:r>
    </w:p>
    <w:p w14:paraId="4E21F178" w14:textId="3236224A" w:rsidR="00423877" w:rsidRPr="00B372F0" w:rsidRDefault="00423877" w:rsidP="00CD5AA4">
      <w:pPr>
        <w:spacing w:after="240"/>
        <w:jc w:val="both"/>
      </w:pPr>
      <w:r>
        <w:lastRenderedPageBreak/>
        <w:t>Input the number without spaces.</w:t>
      </w:r>
    </w:p>
    <w:p w14:paraId="17AD53C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Category</w:t>
      </w:r>
    </w:p>
    <w:p w14:paraId="6F73357B" w14:textId="77777777" w:rsidR="00B372F0" w:rsidRPr="00B372F0" w:rsidRDefault="00B372F0" w:rsidP="00CD5AA4">
      <w:pPr>
        <w:spacing w:after="240"/>
        <w:jc w:val="both"/>
      </w:pPr>
      <w:r w:rsidRPr="00B372F0">
        <w:t>This column reports the appropriate category of the related entity i.e. whether it is a subsidiary, joint venture or associate.</w:t>
      </w:r>
    </w:p>
    <w:p w14:paraId="31D7A120"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Description / nature of business</w:t>
      </w:r>
    </w:p>
    <w:p w14:paraId="384D22C4" w14:textId="77777777" w:rsidR="00B372F0" w:rsidRPr="00B372F0" w:rsidRDefault="00B372F0" w:rsidP="00CD5AA4">
      <w:pPr>
        <w:spacing w:after="240"/>
        <w:jc w:val="both"/>
      </w:pPr>
      <w:r w:rsidRPr="00B372F0">
        <w:t>This column provides a brief description of the main business conducted by the subsidiary, joint venture or associate.</w:t>
      </w:r>
    </w:p>
    <w:p w14:paraId="023B806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Country of incorporation</w:t>
      </w:r>
    </w:p>
    <w:p w14:paraId="3FB91EDF" w14:textId="77777777" w:rsidR="00B372F0" w:rsidRPr="00B372F0" w:rsidRDefault="00B372F0" w:rsidP="00CD5AA4">
      <w:pPr>
        <w:spacing w:after="240"/>
        <w:jc w:val="both"/>
      </w:pPr>
      <w:r w:rsidRPr="00B372F0">
        <w:t>This column reports the country in which the subsidiary, joint venture or associate is incorporated.</w:t>
      </w:r>
    </w:p>
    <w:p w14:paraId="3BE220B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Total assets</w:t>
      </w:r>
    </w:p>
    <w:p w14:paraId="76DBADC9" w14:textId="1124161C" w:rsidR="008E39F4" w:rsidRPr="00B372F0" w:rsidRDefault="00B372F0" w:rsidP="00CD5AA4">
      <w:pPr>
        <w:spacing w:after="240"/>
        <w:jc w:val="both"/>
      </w:pPr>
      <w:r w:rsidRPr="00B372F0">
        <w:t>This column reports the total assets of the subsidiary, joint venture or associate as reported on its statement of financial position</w:t>
      </w:r>
      <w:r w:rsidR="008E39F4">
        <w:t>.</w:t>
      </w:r>
    </w:p>
    <w:p w14:paraId="6B01C518"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Value of investment net of goodwill and other intangibles</w:t>
      </w:r>
    </w:p>
    <w:p w14:paraId="312C7C0E" w14:textId="16EEE912" w:rsidR="00C94512" w:rsidRPr="00B372F0" w:rsidRDefault="00B372F0" w:rsidP="00CD5AA4">
      <w:pPr>
        <w:spacing w:after="240"/>
        <w:jc w:val="both"/>
      </w:pPr>
      <w:r w:rsidRPr="00B372F0">
        <w:t>This column reports the value of the investment in the subsidiary, joint venture or associate as reported on the life company's statement of financial position, adjusted for goodwill and intangible assets.</w:t>
      </w:r>
    </w:p>
    <w:p w14:paraId="12A00080"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Ownership percentage (%)</w:t>
      </w:r>
    </w:p>
    <w:p w14:paraId="1F3FF90E" w14:textId="77777777" w:rsidR="00B372F0" w:rsidRPr="00B372F0" w:rsidRDefault="00B372F0" w:rsidP="00CD5AA4">
      <w:pPr>
        <w:spacing w:after="240"/>
        <w:jc w:val="both"/>
      </w:pPr>
      <w:r w:rsidRPr="00B372F0">
        <w:t>This column reports the percentage of ownership interest held by the reporting life company in the subsidiary, joint venture or associate.</w:t>
      </w:r>
    </w:p>
    <w:p w14:paraId="74425DA8" w14:textId="3070F57B" w:rsidR="00B372F0" w:rsidRDefault="00B372F0" w:rsidP="00CD5AA4">
      <w:pPr>
        <w:spacing w:after="240"/>
        <w:jc w:val="both"/>
      </w:pPr>
      <w:r w:rsidRPr="00B372F0">
        <w:t>Figures are to be reported in percentage points.</w:t>
      </w:r>
    </w:p>
    <w:p w14:paraId="310FF27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Goodwill</w:t>
      </w:r>
    </w:p>
    <w:p w14:paraId="4BD67402" w14:textId="77777777" w:rsidR="00B372F0" w:rsidRPr="00B372F0" w:rsidRDefault="00B372F0" w:rsidP="00CD5AA4">
      <w:pPr>
        <w:spacing w:after="240"/>
        <w:jc w:val="both"/>
      </w:pPr>
      <w:r w:rsidRPr="00B372F0">
        <w:t xml:space="preserve">This is the value of goodwill reported on the statement of financial position of the subsidiary, joint venture or associate, net of adjustments to profit or loss reflecting changes arising from any impairment. </w:t>
      </w:r>
    </w:p>
    <w:p w14:paraId="7D2D5F51" w14:textId="77777777" w:rsidR="00B372F0" w:rsidRPr="00B372F0" w:rsidRDefault="00B372F0" w:rsidP="00CD5AA4">
      <w:pPr>
        <w:spacing w:after="240"/>
        <w:jc w:val="both"/>
      </w:pPr>
      <w:r w:rsidRPr="00B372F0">
        <w:t>The amounts reported must be net of any associated deferred tax liability that would be extinguished if the assets involved become impaired or derecognised under Australian Accounting Standards.</w:t>
      </w:r>
    </w:p>
    <w:p w14:paraId="50AEAA86"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Other intangibles</w:t>
      </w:r>
    </w:p>
    <w:p w14:paraId="57D0B982" w14:textId="77777777" w:rsidR="00B372F0" w:rsidRPr="00B372F0" w:rsidRDefault="00B372F0" w:rsidP="00CD5AA4">
      <w:pPr>
        <w:spacing w:after="240"/>
        <w:jc w:val="both"/>
      </w:pPr>
      <w:r w:rsidRPr="00B372F0">
        <w:t>This is the value of intangible assets, other than goodwill reported on the statement of financial position of the subsidiary, joint venture or associate,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7D69A077"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lastRenderedPageBreak/>
        <w:t>Adjustment for goodwill / other intangibles</w:t>
      </w:r>
    </w:p>
    <w:p w14:paraId="583DF92E" w14:textId="2149A677" w:rsidR="00B372F0" w:rsidRDefault="00B372F0" w:rsidP="00CD5AA4">
      <w:pPr>
        <w:spacing w:after="240"/>
        <w:jc w:val="both"/>
      </w:pPr>
      <w:r w:rsidRPr="00B372F0">
        <w:t xml:space="preserve">This column reports the amount of regulatory adjustments applied in respect of goodwill (net of impairment) and other intangible assets (net of impairment) in relation to investments in subsidiaries, joint ventures and associates as required by </w:t>
      </w:r>
      <w:r w:rsidRPr="00B372F0">
        <w:rPr>
          <w:i/>
        </w:rPr>
        <w:t>Prudential Standard LPS 112 Capital Adequacy: Measurement of Capital</w:t>
      </w:r>
      <w:r w:rsidRPr="00B372F0">
        <w:t xml:space="preserve"> (LPS 112).</w:t>
      </w:r>
    </w:p>
    <w:p w14:paraId="7B9EB6FD" w14:textId="76A137C0" w:rsidR="00B75D5E" w:rsidRPr="00B372F0" w:rsidRDefault="00B75D5E" w:rsidP="00CD5AA4">
      <w:pPr>
        <w:spacing w:after="240"/>
        <w:jc w:val="both"/>
      </w:pPr>
      <w:r w:rsidRPr="00B75D5E">
        <w:t>This adjustment is automatically calculated as column 8 multiplied by the sum of  columns 9 and 10.</w:t>
      </w:r>
    </w:p>
    <w:p w14:paraId="2F41C26E"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Nature of regulatory capital requirement</w:t>
      </w:r>
    </w:p>
    <w:p w14:paraId="08CCD2CD" w14:textId="77777777" w:rsidR="00B372F0" w:rsidRPr="00B372F0" w:rsidRDefault="00B372F0" w:rsidP="00CD5AA4">
      <w:pPr>
        <w:spacing w:after="240"/>
        <w:jc w:val="both"/>
      </w:pPr>
      <w:r w:rsidRPr="00B372F0">
        <w:t>This column reports the nature of the regulatory capital requirement (if any) of the subsidiary, joint venture or associate.  An appropriate category is to be selected from the drop-down box, which is either:</w:t>
      </w:r>
    </w:p>
    <w:p w14:paraId="34BFB7F9" w14:textId="77777777" w:rsidR="00B372F0" w:rsidRPr="00B372F0" w:rsidRDefault="00B372F0" w:rsidP="00CD5AA4">
      <w:pPr>
        <w:numPr>
          <w:ilvl w:val="0"/>
          <w:numId w:val="8"/>
        </w:numPr>
        <w:spacing w:after="240"/>
        <w:jc w:val="both"/>
      </w:pPr>
      <w:r w:rsidRPr="00B372F0">
        <w:t xml:space="preserve">the prescribed capital amount if the investment is in a life company as defined under the </w:t>
      </w:r>
      <w:r w:rsidRPr="00B372F0">
        <w:rPr>
          <w:i/>
        </w:rPr>
        <w:t>Life Insurance Act 1995</w:t>
      </w:r>
      <w:r w:rsidRPr="00B372F0">
        <w:t xml:space="preserve">; </w:t>
      </w:r>
    </w:p>
    <w:p w14:paraId="3A019975" w14:textId="77777777" w:rsidR="00B372F0" w:rsidRPr="00B372F0" w:rsidRDefault="00B372F0" w:rsidP="00CD5AA4">
      <w:pPr>
        <w:numPr>
          <w:ilvl w:val="0"/>
          <w:numId w:val="8"/>
        </w:numPr>
        <w:spacing w:after="240"/>
        <w:jc w:val="both"/>
      </w:pPr>
      <w:r w:rsidRPr="00B372F0">
        <w:t xml:space="preserve">the equivalent amount to the prescribed capital amount if the investment is an entity carrying on life insurance business in a foreign jurisdiction; </w:t>
      </w:r>
    </w:p>
    <w:p w14:paraId="6A68FAB6" w14:textId="77777777" w:rsidR="00B372F0" w:rsidRPr="00B372F0" w:rsidRDefault="00B372F0" w:rsidP="00CD5AA4">
      <w:pPr>
        <w:numPr>
          <w:ilvl w:val="0"/>
          <w:numId w:val="8"/>
        </w:numPr>
        <w:spacing w:after="240"/>
        <w:jc w:val="both"/>
      </w:pPr>
      <w:r w:rsidRPr="00B372F0">
        <w:t>a comparable regulatory capital requirement as agreed with APRA; or</w:t>
      </w:r>
    </w:p>
    <w:p w14:paraId="586716D2" w14:textId="1225E845" w:rsidR="00B372F0" w:rsidRDefault="00B372F0" w:rsidP="00CD5AA4">
      <w:pPr>
        <w:numPr>
          <w:ilvl w:val="0"/>
          <w:numId w:val="8"/>
        </w:numPr>
        <w:spacing w:after="240"/>
        <w:jc w:val="both"/>
      </w:pPr>
      <w:r w:rsidRPr="00B372F0">
        <w:t>no regulatory capital requirement.</w:t>
      </w:r>
    </w:p>
    <w:p w14:paraId="05E3560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Regulatory capital requirement</w:t>
      </w:r>
    </w:p>
    <w:p w14:paraId="7D68E971" w14:textId="77777777" w:rsidR="00B372F0" w:rsidRPr="00B372F0" w:rsidRDefault="00B372F0" w:rsidP="00CD5AA4">
      <w:pPr>
        <w:spacing w:after="240"/>
        <w:jc w:val="both"/>
      </w:pPr>
      <w:r w:rsidRPr="00B372F0">
        <w:t xml:space="preserve">This column reports, where applicable, the regulatory capital requirement of the subsidiary, joint venture or associate.  </w:t>
      </w:r>
    </w:p>
    <w:p w14:paraId="3CD08126" w14:textId="77777777" w:rsidR="00B372F0" w:rsidRPr="00B372F0" w:rsidRDefault="00B372F0" w:rsidP="00CD5AA4">
      <w:pPr>
        <w:spacing w:after="240"/>
        <w:jc w:val="both"/>
      </w:pPr>
      <w:r w:rsidRPr="00B372F0">
        <w:t>Where such capital requirements do not exist, this item should be reported as zero.</w:t>
      </w:r>
    </w:p>
    <w:p w14:paraId="25F7544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Adjustment for regulatory capital requirement</w:t>
      </w:r>
    </w:p>
    <w:p w14:paraId="1C6876CB" w14:textId="77777777" w:rsidR="00B372F0" w:rsidRPr="00B372F0" w:rsidRDefault="00B372F0" w:rsidP="00CD5AA4">
      <w:pPr>
        <w:spacing w:after="240"/>
        <w:jc w:val="both"/>
      </w:pPr>
      <w:r w:rsidRPr="00B372F0">
        <w:t xml:space="preserve">This column reports the adjustment for investment in subsidiaries, joint ventures and associates that are subject to regulatory capital requirements.  </w:t>
      </w:r>
    </w:p>
    <w:p w14:paraId="0B086713" w14:textId="77777777" w:rsidR="00B75D5E" w:rsidRDefault="00B372F0" w:rsidP="00CD5AA4">
      <w:pPr>
        <w:spacing w:after="240"/>
        <w:jc w:val="both"/>
      </w:pPr>
      <w:r w:rsidRPr="00B372F0">
        <w:t xml:space="preserve">As per Attachment B of LPS 112, this adjustment is calculated automatically as the lesser of the life company's share of the regulatory capital requirements and the value of the investment </w:t>
      </w:r>
    </w:p>
    <w:p w14:paraId="40DDEE98" w14:textId="372D52DE" w:rsidR="00B75D5E" w:rsidRPr="00B372F0" w:rsidRDefault="00B372F0" w:rsidP="00CD5AA4">
      <w:pPr>
        <w:spacing w:after="240"/>
        <w:jc w:val="both"/>
      </w:pPr>
      <w:r w:rsidRPr="00B372F0">
        <w:t>that is recorded on the life company's balance sheet after adjustment for any intangible component as reported in column (11).</w:t>
      </w:r>
    </w:p>
    <w:p w14:paraId="58ACF7AB" w14:textId="77777777" w:rsidR="00B372F0" w:rsidRPr="00C94512" w:rsidRDefault="00B372F0" w:rsidP="00CD5AA4">
      <w:pPr>
        <w:spacing w:after="240"/>
        <w:jc w:val="both"/>
        <w:rPr>
          <w:rFonts w:ascii="Arial" w:hAnsi="Arial" w:cs="Arial"/>
          <w:b/>
        </w:rPr>
      </w:pPr>
      <w:r w:rsidRPr="00C94512">
        <w:rPr>
          <w:rFonts w:ascii="Arial" w:hAnsi="Arial" w:cs="Arial"/>
          <w:b/>
        </w:rPr>
        <w:t>Section 2: Other related party exposures</w:t>
      </w:r>
    </w:p>
    <w:p w14:paraId="7EA64C09"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Name</w:t>
      </w:r>
    </w:p>
    <w:p w14:paraId="4CBFEB35" w14:textId="77777777" w:rsidR="00B372F0" w:rsidRPr="00B372F0" w:rsidRDefault="00B372F0" w:rsidP="00CD5AA4">
      <w:pPr>
        <w:spacing w:after="240"/>
        <w:jc w:val="both"/>
      </w:pPr>
      <w:r w:rsidRPr="00B372F0">
        <w:t>This column reports the registered business name of the relevant individual related party that the life company has exposures to.</w:t>
      </w:r>
    </w:p>
    <w:p w14:paraId="79AF267E" w14:textId="77777777" w:rsidR="00B372F0" w:rsidRPr="00B372F0" w:rsidRDefault="00B372F0" w:rsidP="00CD5AA4">
      <w:pPr>
        <w:keepNext/>
        <w:numPr>
          <w:ilvl w:val="1"/>
          <w:numId w:val="9"/>
        </w:numPr>
        <w:spacing w:after="240"/>
        <w:ind w:left="357" w:hanging="357"/>
        <w:jc w:val="both"/>
        <w:rPr>
          <w:rFonts w:ascii="Arial" w:hAnsi="Arial" w:cs="Arial"/>
          <w:b/>
        </w:rPr>
      </w:pPr>
      <w:r w:rsidRPr="00B372F0">
        <w:rPr>
          <w:rFonts w:ascii="Arial" w:hAnsi="Arial" w:cs="Arial"/>
          <w:b/>
        </w:rPr>
        <w:lastRenderedPageBreak/>
        <w:t>ACN / ABN</w:t>
      </w:r>
    </w:p>
    <w:p w14:paraId="4F64B299" w14:textId="77777777" w:rsidR="00B372F0" w:rsidRPr="00B372F0" w:rsidRDefault="00B372F0" w:rsidP="00CD5AA4">
      <w:pPr>
        <w:spacing w:after="240"/>
        <w:jc w:val="both"/>
      </w:pPr>
      <w:r w:rsidRPr="00B372F0">
        <w:t>Where relevant, this column reports the Australian Company Number (ACN) of the reported subsidiary, associate or joint venture.  In cases where an entity doesn’t have an ACN but it does have an Australian Business Number (ABN) or an Australian Registered Body Number (ARBN), the ABN or ARBN should be reported.  If an entity does not have an ACN, ABN, or ARBN the column should be left blank.</w:t>
      </w:r>
    </w:p>
    <w:p w14:paraId="6524771D" w14:textId="77777777" w:rsidR="00B372F0" w:rsidRPr="00B372F0" w:rsidRDefault="00B372F0" w:rsidP="00CD5AA4">
      <w:pPr>
        <w:spacing w:after="240"/>
        <w:jc w:val="both"/>
      </w:pPr>
      <w:r w:rsidRPr="00B372F0">
        <w:t>Input the number without spaces.</w:t>
      </w:r>
    </w:p>
    <w:p w14:paraId="42FA8414"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Category</w:t>
      </w:r>
    </w:p>
    <w:p w14:paraId="1FA9C65D" w14:textId="77777777" w:rsidR="00B372F0" w:rsidRPr="00B372F0" w:rsidRDefault="00B372F0" w:rsidP="00CD5AA4">
      <w:pPr>
        <w:spacing w:after="240"/>
        <w:jc w:val="both"/>
      </w:pPr>
      <w:r w:rsidRPr="00B372F0">
        <w:t>This column reports the appropriate category of the related party i.e. whether it is the parent, subsidiary, associate, joint venture or other related parties.</w:t>
      </w:r>
    </w:p>
    <w:p w14:paraId="4F2BA21F"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Type of exposure</w:t>
      </w:r>
    </w:p>
    <w:p w14:paraId="57F74BEA" w14:textId="5551352A" w:rsidR="00B372F0" w:rsidRDefault="00B372F0" w:rsidP="00CD5AA4">
      <w:pPr>
        <w:spacing w:after="240"/>
        <w:jc w:val="both"/>
      </w:pPr>
      <w:r w:rsidRPr="00B372F0">
        <w:t>This column reports the appropriate category for the exposure to the related party.</w:t>
      </w:r>
    </w:p>
    <w:p w14:paraId="452822E1"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Fair value of exposure</w:t>
      </w:r>
    </w:p>
    <w:p w14:paraId="2FCEE788" w14:textId="77777777" w:rsidR="009C724D" w:rsidRPr="007B11E4" w:rsidRDefault="00B372F0" w:rsidP="00CD5AA4">
      <w:pPr>
        <w:spacing w:after="240"/>
        <w:jc w:val="both"/>
      </w:pPr>
      <w:r w:rsidRPr="00B372F0">
        <w:t>This column reports the fair value of the exposures to the related party.</w:t>
      </w:r>
    </w:p>
    <w:sectPr w:rsidR="009C724D" w:rsidRPr="007B11E4" w:rsidSect="00423877">
      <w:headerReference w:type="default" r:id="rId18"/>
      <w:footerReference w:type="default" r:id="rId1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7C9E" w14:textId="77777777" w:rsidR="004570C2" w:rsidRDefault="004570C2" w:rsidP="0090207E">
      <w:r>
        <w:separator/>
      </w:r>
    </w:p>
  </w:endnote>
  <w:endnote w:type="continuationSeparator" w:id="0">
    <w:p w14:paraId="245F630B" w14:textId="77777777" w:rsidR="004570C2" w:rsidRDefault="004570C2" w:rsidP="0090207E">
      <w:r>
        <w:continuationSeparator/>
      </w:r>
    </w:p>
  </w:endnote>
  <w:endnote w:type="continuationNotice" w:id="1">
    <w:p w14:paraId="696179CC" w14:textId="77777777" w:rsidR="00120D66" w:rsidRDefault="00120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ECF" w14:textId="77777777" w:rsidR="00723C5F" w:rsidRPr="00D00571" w:rsidRDefault="00723C5F" w:rsidP="003C6BD0">
    <w:pPr>
      <w:pStyle w:val="Footer"/>
      <w:jc w:val="right"/>
      <w:rPr>
        <w:b/>
      </w:rPr>
    </w:pPr>
    <w:r w:rsidRPr="00D00571">
      <w:rPr>
        <w:b/>
      </w:rPr>
      <w:t xml:space="preserve">LRS 112.3 - </w:t>
    </w:r>
    <w:r w:rsidRPr="00D00571">
      <w:rPr>
        <w:rStyle w:val="PageNumber"/>
        <w:b/>
      </w:rPr>
      <w:fldChar w:fldCharType="begin"/>
    </w:r>
    <w:r w:rsidRPr="00D00571">
      <w:rPr>
        <w:rStyle w:val="PageNumber"/>
        <w:b/>
      </w:rPr>
      <w:instrText xml:space="preserve"> PAGE </w:instrText>
    </w:r>
    <w:r w:rsidRPr="00D00571">
      <w:rPr>
        <w:rStyle w:val="PageNumber"/>
        <w:b/>
      </w:rPr>
      <w:fldChar w:fldCharType="separate"/>
    </w:r>
    <w:r w:rsidRPr="00D00571">
      <w:rPr>
        <w:rStyle w:val="PageNumber"/>
        <w:b/>
        <w:noProof/>
      </w:rPr>
      <w:t>2</w:t>
    </w:r>
    <w:r w:rsidRPr="00D00571">
      <w:rPr>
        <w:rStyle w:val="PageNumber"/>
        <w:b/>
      </w:rPr>
      <w:fldChar w:fldCharType="end"/>
    </w:r>
  </w:p>
  <w:p w14:paraId="58E491DA" w14:textId="77777777" w:rsidR="00723C5F" w:rsidRPr="003C6BD0" w:rsidRDefault="00723C5F"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257" w14:textId="77777777" w:rsidR="000A7982" w:rsidRPr="00D00571" w:rsidRDefault="000A7982">
    <w:pPr>
      <w:pStyle w:val="Footer"/>
      <w:jc w:val="right"/>
      <w:rPr>
        <w:b/>
      </w:rPr>
    </w:pPr>
    <w:r w:rsidRPr="00D00571">
      <w:rPr>
        <w:b/>
      </w:rPr>
      <w:t xml:space="preserve">LRF 112.3 Form - </w:t>
    </w:r>
    <w:r w:rsidRPr="00D00571">
      <w:rPr>
        <w:b/>
      </w:rPr>
      <w:fldChar w:fldCharType="begin"/>
    </w:r>
    <w:r w:rsidRPr="00D00571">
      <w:rPr>
        <w:b/>
      </w:rPr>
      <w:instrText xml:space="preserve"> PAGE   \* MERGEFORMAT </w:instrText>
    </w:r>
    <w:r w:rsidRPr="00D00571">
      <w:rPr>
        <w:b/>
      </w:rPr>
      <w:fldChar w:fldCharType="separate"/>
    </w:r>
    <w:r w:rsidR="00314661" w:rsidRPr="00D00571">
      <w:rPr>
        <w:b/>
        <w:noProof/>
      </w:rPr>
      <w:t>1</w:t>
    </w:r>
    <w:r w:rsidRPr="00D00571">
      <w:rPr>
        <w:b/>
      </w:rPr>
      <w:fldChar w:fldCharType="end"/>
    </w:r>
  </w:p>
  <w:p w14:paraId="51E638D7" w14:textId="77777777" w:rsidR="00CF2C2A" w:rsidRPr="003C6BD0" w:rsidRDefault="00CF2C2A"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0C4C" w14:textId="77777777" w:rsidR="009356EC" w:rsidRPr="00D00571" w:rsidRDefault="009356EC" w:rsidP="009356EC">
    <w:pPr>
      <w:pStyle w:val="Footer"/>
      <w:jc w:val="right"/>
      <w:rPr>
        <w:b/>
      </w:rPr>
    </w:pPr>
    <w:r w:rsidRPr="00D00571">
      <w:rPr>
        <w:b/>
      </w:rPr>
      <w:t xml:space="preserve">LRF 112.3 Instructions - </w:t>
    </w:r>
    <w:r w:rsidRPr="00D00571">
      <w:rPr>
        <w:rStyle w:val="PageNumber"/>
        <w:b/>
      </w:rPr>
      <w:fldChar w:fldCharType="begin"/>
    </w:r>
    <w:r w:rsidRPr="00D00571">
      <w:rPr>
        <w:rStyle w:val="PageNumber"/>
        <w:b/>
      </w:rPr>
      <w:instrText xml:space="preserve"> PAGE </w:instrText>
    </w:r>
    <w:r w:rsidRPr="00D00571">
      <w:rPr>
        <w:rStyle w:val="PageNumber"/>
        <w:b/>
      </w:rPr>
      <w:fldChar w:fldCharType="separate"/>
    </w:r>
    <w:r w:rsidR="00314661" w:rsidRPr="00D00571">
      <w:rPr>
        <w:rStyle w:val="PageNumber"/>
        <w:b/>
        <w:noProof/>
      </w:rPr>
      <w:t>5</w:t>
    </w:r>
    <w:r w:rsidRPr="00D00571">
      <w:rPr>
        <w:rStyle w:val="PageNumber"/>
        <w:b/>
      </w:rPr>
      <w:fldChar w:fldCharType="end"/>
    </w:r>
  </w:p>
  <w:p w14:paraId="20138046" w14:textId="77777777" w:rsidR="009356EC" w:rsidRPr="003C6BD0" w:rsidRDefault="009356EC" w:rsidP="009356EC">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9B83" w14:textId="77777777" w:rsidR="004570C2" w:rsidRDefault="004570C2" w:rsidP="0090207E">
      <w:r>
        <w:separator/>
      </w:r>
    </w:p>
  </w:footnote>
  <w:footnote w:type="continuationSeparator" w:id="0">
    <w:p w14:paraId="05318835" w14:textId="77777777" w:rsidR="004570C2" w:rsidRDefault="004570C2" w:rsidP="0090207E">
      <w:r>
        <w:continuationSeparator/>
      </w:r>
    </w:p>
  </w:footnote>
  <w:footnote w:type="continuationNotice" w:id="1">
    <w:p w14:paraId="2196993A" w14:textId="77777777" w:rsidR="00120D66" w:rsidRDefault="00120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BFD1" w14:textId="77777777" w:rsidR="00723C5F" w:rsidRDefault="00723C5F" w:rsidP="00925C71">
    <w:pPr>
      <w:pStyle w:val="Header"/>
      <w:jc w:val="right"/>
    </w:pPr>
    <w:r w:rsidRPr="005C0199">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D9D3" w14:textId="36F0A3BA" w:rsidR="00CF2C2A" w:rsidRPr="005C0199" w:rsidRDefault="00D00571" w:rsidP="005C0199">
    <w:pPr>
      <w:pStyle w:val="Header"/>
      <w:jc w:val="right"/>
      <w:rPr>
        <w:b/>
      </w:rPr>
    </w:pPr>
    <w:r>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573" w14:textId="7A43BA4B" w:rsidR="009356EC" w:rsidRDefault="009356EC" w:rsidP="005C0199">
    <w:pPr>
      <w:pStyle w:val="Header"/>
      <w:tabs>
        <w:tab w:val="right" w:pos="8364"/>
      </w:tabs>
      <w:jc w:val="right"/>
    </w:pPr>
    <w:r>
      <w:rPr>
        <w:b/>
      </w:rPr>
      <w:tab/>
    </w:r>
    <w:r>
      <w:tab/>
    </w:r>
    <w:r w:rsidR="004E66CE" w:rsidRPr="005C0199">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245"/>
    <w:multiLevelType w:val="hybridMultilevel"/>
    <w:tmpl w:val="59E65BB8"/>
    <w:lvl w:ilvl="0" w:tplc="24A64A4C">
      <w:start w:val="1"/>
      <w:numFmt w:val="lowerLetter"/>
      <w:lvlText w:val="(%1)"/>
      <w:lvlJc w:val="left"/>
      <w:pPr>
        <w:ind w:left="927" w:hanging="360"/>
      </w:pPr>
      <w:rPr>
        <w:rFonts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229B425C"/>
    <w:multiLevelType w:val="hybridMultilevel"/>
    <w:tmpl w:val="31143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DBF1AD1"/>
    <w:multiLevelType w:val="multilevel"/>
    <w:tmpl w:val="F61653CE"/>
    <w:lvl w:ilvl="0">
      <w:start w:val="2"/>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F610744"/>
    <w:multiLevelType w:val="multilevel"/>
    <w:tmpl w:val="2FF2E21C"/>
    <w:numStyleLink w:val="TableNum"/>
  </w:abstractNum>
  <w:abstractNum w:abstractNumId="9"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8009754">
    <w:abstractNumId w:val="6"/>
  </w:num>
  <w:num w:numId="2" w16cid:durableId="1835534209">
    <w:abstractNumId w:val="3"/>
  </w:num>
  <w:num w:numId="3" w16cid:durableId="1749761993">
    <w:abstractNumId w:val="2"/>
  </w:num>
  <w:num w:numId="4" w16cid:durableId="5790780">
    <w:abstractNumId w:val="1"/>
  </w:num>
  <w:num w:numId="5" w16cid:durableId="1579050700">
    <w:abstractNumId w:val="10"/>
  </w:num>
  <w:num w:numId="6" w16cid:durableId="413087388">
    <w:abstractNumId w:val="5"/>
  </w:num>
  <w:num w:numId="7" w16cid:durableId="2106343015">
    <w:abstractNumId w:val="8"/>
  </w:num>
  <w:num w:numId="8" w16cid:durableId="679937880">
    <w:abstractNumId w:val="4"/>
  </w:num>
  <w:num w:numId="9" w16cid:durableId="1736246941">
    <w:abstractNumId w:val="7"/>
  </w:num>
  <w:num w:numId="10" w16cid:durableId="905337020">
    <w:abstractNumId w:val="0"/>
  </w:num>
  <w:num w:numId="11" w16cid:durableId="143192440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AFE"/>
    <w:rsid w:val="00024E8B"/>
    <w:rsid w:val="000312F6"/>
    <w:rsid w:val="000511D1"/>
    <w:rsid w:val="00064CD5"/>
    <w:rsid w:val="00067989"/>
    <w:rsid w:val="000701D1"/>
    <w:rsid w:val="000928C5"/>
    <w:rsid w:val="00093029"/>
    <w:rsid w:val="000A5723"/>
    <w:rsid w:val="000A7982"/>
    <w:rsid w:val="000C5509"/>
    <w:rsid w:val="000C5B8E"/>
    <w:rsid w:val="000E1425"/>
    <w:rsid w:val="000E60DD"/>
    <w:rsid w:val="000F2096"/>
    <w:rsid w:val="000F2CA0"/>
    <w:rsid w:val="000F345F"/>
    <w:rsid w:val="000F3F02"/>
    <w:rsid w:val="00115A68"/>
    <w:rsid w:val="00120D66"/>
    <w:rsid w:val="00126634"/>
    <w:rsid w:val="001377D5"/>
    <w:rsid w:val="0015165F"/>
    <w:rsid w:val="00164E73"/>
    <w:rsid w:val="00184511"/>
    <w:rsid w:val="00186F73"/>
    <w:rsid w:val="00192E50"/>
    <w:rsid w:val="00194461"/>
    <w:rsid w:val="001B031A"/>
    <w:rsid w:val="001C53B5"/>
    <w:rsid w:val="001D27D0"/>
    <w:rsid w:val="001D4BED"/>
    <w:rsid w:val="001E1DA7"/>
    <w:rsid w:val="001E5464"/>
    <w:rsid w:val="001F44B8"/>
    <w:rsid w:val="00213786"/>
    <w:rsid w:val="00215F2B"/>
    <w:rsid w:val="00226B5E"/>
    <w:rsid w:val="00235826"/>
    <w:rsid w:val="00240721"/>
    <w:rsid w:val="00242AE4"/>
    <w:rsid w:val="00247444"/>
    <w:rsid w:val="0026618D"/>
    <w:rsid w:val="00267BE5"/>
    <w:rsid w:val="00271EEE"/>
    <w:rsid w:val="002766E5"/>
    <w:rsid w:val="0028136D"/>
    <w:rsid w:val="00283817"/>
    <w:rsid w:val="002A1873"/>
    <w:rsid w:val="002B084E"/>
    <w:rsid w:val="002B4361"/>
    <w:rsid w:val="002B56C8"/>
    <w:rsid w:val="002D6983"/>
    <w:rsid w:val="002E1411"/>
    <w:rsid w:val="002F0553"/>
    <w:rsid w:val="002F63C9"/>
    <w:rsid w:val="002F6EF6"/>
    <w:rsid w:val="002F7E2D"/>
    <w:rsid w:val="003001F8"/>
    <w:rsid w:val="00314661"/>
    <w:rsid w:val="00316D34"/>
    <w:rsid w:val="00327079"/>
    <w:rsid w:val="003304E6"/>
    <w:rsid w:val="00330A55"/>
    <w:rsid w:val="00331EA1"/>
    <w:rsid w:val="00333202"/>
    <w:rsid w:val="00337337"/>
    <w:rsid w:val="00342BAF"/>
    <w:rsid w:val="00343FE3"/>
    <w:rsid w:val="00356617"/>
    <w:rsid w:val="0035692D"/>
    <w:rsid w:val="00367EA9"/>
    <w:rsid w:val="00376E4B"/>
    <w:rsid w:val="00393F4D"/>
    <w:rsid w:val="0039500C"/>
    <w:rsid w:val="00396B5C"/>
    <w:rsid w:val="003A3489"/>
    <w:rsid w:val="003A47D2"/>
    <w:rsid w:val="003A4A92"/>
    <w:rsid w:val="003A4E4C"/>
    <w:rsid w:val="003B139A"/>
    <w:rsid w:val="003B37D7"/>
    <w:rsid w:val="003B4B56"/>
    <w:rsid w:val="003C3322"/>
    <w:rsid w:val="003C3FAD"/>
    <w:rsid w:val="003C6BD0"/>
    <w:rsid w:val="003D6DEE"/>
    <w:rsid w:val="003E0659"/>
    <w:rsid w:val="003E39FC"/>
    <w:rsid w:val="003E3C9B"/>
    <w:rsid w:val="003E7D98"/>
    <w:rsid w:val="003F3CCA"/>
    <w:rsid w:val="003F7649"/>
    <w:rsid w:val="00402B24"/>
    <w:rsid w:val="00406F03"/>
    <w:rsid w:val="00423877"/>
    <w:rsid w:val="00437612"/>
    <w:rsid w:val="00444EC8"/>
    <w:rsid w:val="00447CFF"/>
    <w:rsid w:val="00453DD5"/>
    <w:rsid w:val="00454920"/>
    <w:rsid w:val="004570C2"/>
    <w:rsid w:val="00484235"/>
    <w:rsid w:val="00484F36"/>
    <w:rsid w:val="00485141"/>
    <w:rsid w:val="00492121"/>
    <w:rsid w:val="004931EC"/>
    <w:rsid w:val="00493CAF"/>
    <w:rsid w:val="004945DA"/>
    <w:rsid w:val="00495B00"/>
    <w:rsid w:val="00497C51"/>
    <w:rsid w:val="004C76D4"/>
    <w:rsid w:val="004D1C22"/>
    <w:rsid w:val="004E66CE"/>
    <w:rsid w:val="00506564"/>
    <w:rsid w:val="00507E86"/>
    <w:rsid w:val="005117BE"/>
    <w:rsid w:val="00516AF3"/>
    <w:rsid w:val="00517597"/>
    <w:rsid w:val="00524F2F"/>
    <w:rsid w:val="00525129"/>
    <w:rsid w:val="00525A93"/>
    <w:rsid w:val="00526464"/>
    <w:rsid w:val="0053032F"/>
    <w:rsid w:val="00530969"/>
    <w:rsid w:val="005323F9"/>
    <w:rsid w:val="00535D4C"/>
    <w:rsid w:val="005414B5"/>
    <w:rsid w:val="00543FFF"/>
    <w:rsid w:val="0055583A"/>
    <w:rsid w:val="00561A0D"/>
    <w:rsid w:val="005624AB"/>
    <w:rsid w:val="0056299A"/>
    <w:rsid w:val="00562A94"/>
    <w:rsid w:val="00567B6D"/>
    <w:rsid w:val="00575189"/>
    <w:rsid w:val="00584739"/>
    <w:rsid w:val="005872B8"/>
    <w:rsid w:val="00593967"/>
    <w:rsid w:val="005A0832"/>
    <w:rsid w:val="005A6A51"/>
    <w:rsid w:val="005B0CDA"/>
    <w:rsid w:val="005B3F82"/>
    <w:rsid w:val="005C0199"/>
    <w:rsid w:val="005C4D32"/>
    <w:rsid w:val="005C54D4"/>
    <w:rsid w:val="005C7973"/>
    <w:rsid w:val="005D65A5"/>
    <w:rsid w:val="005E6F95"/>
    <w:rsid w:val="005F7538"/>
    <w:rsid w:val="005F7C77"/>
    <w:rsid w:val="00607DD0"/>
    <w:rsid w:val="0061091F"/>
    <w:rsid w:val="0061766C"/>
    <w:rsid w:val="00621D00"/>
    <w:rsid w:val="0062706D"/>
    <w:rsid w:val="00630E53"/>
    <w:rsid w:val="006322E7"/>
    <w:rsid w:val="00640523"/>
    <w:rsid w:val="00651F74"/>
    <w:rsid w:val="006558A6"/>
    <w:rsid w:val="00682CD9"/>
    <w:rsid w:val="00684B76"/>
    <w:rsid w:val="00685B71"/>
    <w:rsid w:val="00693228"/>
    <w:rsid w:val="00694E18"/>
    <w:rsid w:val="00697B00"/>
    <w:rsid w:val="006A3919"/>
    <w:rsid w:val="006A6EFB"/>
    <w:rsid w:val="006B0D35"/>
    <w:rsid w:val="006B56A6"/>
    <w:rsid w:val="006B7496"/>
    <w:rsid w:val="006B7FAF"/>
    <w:rsid w:val="006C1A98"/>
    <w:rsid w:val="006C2D8D"/>
    <w:rsid w:val="006C5616"/>
    <w:rsid w:val="006E4AA3"/>
    <w:rsid w:val="006E4E69"/>
    <w:rsid w:val="006E4F31"/>
    <w:rsid w:val="006E6B41"/>
    <w:rsid w:val="006F2CED"/>
    <w:rsid w:val="006F449B"/>
    <w:rsid w:val="0070032E"/>
    <w:rsid w:val="00700450"/>
    <w:rsid w:val="0070332B"/>
    <w:rsid w:val="00705127"/>
    <w:rsid w:val="0071429E"/>
    <w:rsid w:val="00721965"/>
    <w:rsid w:val="00723AF4"/>
    <w:rsid w:val="00723C5F"/>
    <w:rsid w:val="00724C19"/>
    <w:rsid w:val="007254F5"/>
    <w:rsid w:val="00732C2C"/>
    <w:rsid w:val="00736EA7"/>
    <w:rsid w:val="00737AC5"/>
    <w:rsid w:val="00750475"/>
    <w:rsid w:val="0077251D"/>
    <w:rsid w:val="00772714"/>
    <w:rsid w:val="00775580"/>
    <w:rsid w:val="007766F9"/>
    <w:rsid w:val="00781B65"/>
    <w:rsid w:val="00785DA0"/>
    <w:rsid w:val="007874DC"/>
    <w:rsid w:val="00787DF7"/>
    <w:rsid w:val="00790DBA"/>
    <w:rsid w:val="007A0BE4"/>
    <w:rsid w:val="007A25C6"/>
    <w:rsid w:val="007A2660"/>
    <w:rsid w:val="007A7703"/>
    <w:rsid w:val="007A7767"/>
    <w:rsid w:val="007B0036"/>
    <w:rsid w:val="007B0877"/>
    <w:rsid w:val="007B11E4"/>
    <w:rsid w:val="007D5660"/>
    <w:rsid w:val="007E7BBC"/>
    <w:rsid w:val="007F419C"/>
    <w:rsid w:val="00835768"/>
    <w:rsid w:val="0084158B"/>
    <w:rsid w:val="00842D80"/>
    <w:rsid w:val="00846C4D"/>
    <w:rsid w:val="00861E54"/>
    <w:rsid w:val="008676C0"/>
    <w:rsid w:val="0087026D"/>
    <w:rsid w:val="008718D0"/>
    <w:rsid w:val="00875CA5"/>
    <w:rsid w:val="00880E4F"/>
    <w:rsid w:val="00892B6B"/>
    <w:rsid w:val="00894FF9"/>
    <w:rsid w:val="00896CD8"/>
    <w:rsid w:val="00896FB1"/>
    <w:rsid w:val="008B1B02"/>
    <w:rsid w:val="008B3721"/>
    <w:rsid w:val="008C0427"/>
    <w:rsid w:val="008C491E"/>
    <w:rsid w:val="008D2432"/>
    <w:rsid w:val="008D3C4C"/>
    <w:rsid w:val="008E39F4"/>
    <w:rsid w:val="008F16E5"/>
    <w:rsid w:val="008F4038"/>
    <w:rsid w:val="00901A46"/>
    <w:rsid w:val="0090207E"/>
    <w:rsid w:val="00903E50"/>
    <w:rsid w:val="00904786"/>
    <w:rsid w:val="00905084"/>
    <w:rsid w:val="00910025"/>
    <w:rsid w:val="00910E20"/>
    <w:rsid w:val="00912316"/>
    <w:rsid w:val="00916182"/>
    <w:rsid w:val="00925C71"/>
    <w:rsid w:val="009356EC"/>
    <w:rsid w:val="00941B4D"/>
    <w:rsid w:val="009423EF"/>
    <w:rsid w:val="00944259"/>
    <w:rsid w:val="0096185C"/>
    <w:rsid w:val="00961900"/>
    <w:rsid w:val="00967AFF"/>
    <w:rsid w:val="00980C33"/>
    <w:rsid w:val="00980CD1"/>
    <w:rsid w:val="00985078"/>
    <w:rsid w:val="0099253D"/>
    <w:rsid w:val="00996062"/>
    <w:rsid w:val="009A027F"/>
    <w:rsid w:val="009A5F57"/>
    <w:rsid w:val="009B6C08"/>
    <w:rsid w:val="009C1E6D"/>
    <w:rsid w:val="009C4C29"/>
    <w:rsid w:val="009C5155"/>
    <w:rsid w:val="009C724D"/>
    <w:rsid w:val="009C7AB4"/>
    <w:rsid w:val="009E2C99"/>
    <w:rsid w:val="009E3EB6"/>
    <w:rsid w:val="009E48C7"/>
    <w:rsid w:val="009F7C9C"/>
    <w:rsid w:val="00A02BFF"/>
    <w:rsid w:val="00A14EDC"/>
    <w:rsid w:val="00A21FD8"/>
    <w:rsid w:val="00A26EE2"/>
    <w:rsid w:val="00A3306D"/>
    <w:rsid w:val="00A352F2"/>
    <w:rsid w:val="00A4179D"/>
    <w:rsid w:val="00A43974"/>
    <w:rsid w:val="00A43CA7"/>
    <w:rsid w:val="00A46090"/>
    <w:rsid w:val="00A46DD5"/>
    <w:rsid w:val="00A51988"/>
    <w:rsid w:val="00A55ECE"/>
    <w:rsid w:val="00A56E9D"/>
    <w:rsid w:val="00A60C9A"/>
    <w:rsid w:val="00A66DEE"/>
    <w:rsid w:val="00A72750"/>
    <w:rsid w:val="00A730F2"/>
    <w:rsid w:val="00A77904"/>
    <w:rsid w:val="00A84C29"/>
    <w:rsid w:val="00A904CC"/>
    <w:rsid w:val="00A9334B"/>
    <w:rsid w:val="00A97E6C"/>
    <w:rsid w:val="00AA0A8B"/>
    <w:rsid w:val="00AA2268"/>
    <w:rsid w:val="00AA2550"/>
    <w:rsid w:val="00AA2C56"/>
    <w:rsid w:val="00AA4E8A"/>
    <w:rsid w:val="00AB40E3"/>
    <w:rsid w:val="00AB50C2"/>
    <w:rsid w:val="00AB6BDB"/>
    <w:rsid w:val="00AC19F5"/>
    <w:rsid w:val="00AC4DD1"/>
    <w:rsid w:val="00AD62C5"/>
    <w:rsid w:val="00AE30D7"/>
    <w:rsid w:val="00AE41A6"/>
    <w:rsid w:val="00AE4629"/>
    <w:rsid w:val="00AF4B3A"/>
    <w:rsid w:val="00AF5089"/>
    <w:rsid w:val="00B028DD"/>
    <w:rsid w:val="00B07B5C"/>
    <w:rsid w:val="00B2468C"/>
    <w:rsid w:val="00B25EC4"/>
    <w:rsid w:val="00B312BB"/>
    <w:rsid w:val="00B372F0"/>
    <w:rsid w:val="00B40D59"/>
    <w:rsid w:val="00B41DE4"/>
    <w:rsid w:val="00B44398"/>
    <w:rsid w:val="00B46C3F"/>
    <w:rsid w:val="00B52964"/>
    <w:rsid w:val="00B6561D"/>
    <w:rsid w:val="00B70368"/>
    <w:rsid w:val="00B703D0"/>
    <w:rsid w:val="00B73D32"/>
    <w:rsid w:val="00B74BDF"/>
    <w:rsid w:val="00B75D5E"/>
    <w:rsid w:val="00B82936"/>
    <w:rsid w:val="00B91606"/>
    <w:rsid w:val="00B9589C"/>
    <w:rsid w:val="00B96206"/>
    <w:rsid w:val="00BB0250"/>
    <w:rsid w:val="00BB25C4"/>
    <w:rsid w:val="00BC4F7B"/>
    <w:rsid w:val="00BD0DDE"/>
    <w:rsid w:val="00BD3826"/>
    <w:rsid w:val="00BD4BF0"/>
    <w:rsid w:val="00BD73F4"/>
    <w:rsid w:val="00BE09F1"/>
    <w:rsid w:val="00BE3B55"/>
    <w:rsid w:val="00BF26E6"/>
    <w:rsid w:val="00C064CB"/>
    <w:rsid w:val="00C235EC"/>
    <w:rsid w:val="00C25421"/>
    <w:rsid w:val="00C30A03"/>
    <w:rsid w:val="00C35BF8"/>
    <w:rsid w:val="00C35FE6"/>
    <w:rsid w:val="00C611E9"/>
    <w:rsid w:val="00C70D64"/>
    <w:rsid w:val="00C71D7E"/>
    <w:rsid w:val="00C73B80"/>
    <w:rsid w:val="00C76128"/>
    <w:rsid w:val="00C94512"/>
    <w:rsid w:val="00CA016B"/>
    <w:rsid w:val="00CA6FE5"/>
    <w:rsid w:val="00CB17F7"/>
    <w:rsid w:val="00CB3127"/>
    <w:rsid w:val="00CC3EEE"/>
    <w:rsid w:val="00CC51A2"/>
    <w:rsid w:val="00CC6735"/>
    <w:rsid w:val="00CD0A0D"/>
    <w:rsid w:val="00CD2DC6"/>
    <w:rsid w:val="00CD5AA4"/>
    <w:rsid w:val="00CE3550"/>
    <w:rsid w:val="00CE4466"/>
    <w:rsid w:val="00CE7910"/>
    <w:rsid w:val="00CF0F75"/>
    <w:rsid w:val="00CF17A1"/>
    <w:rsid w:val="00CF2C2A"/>
    <w:rsid w:val="00CF57AA"/>
    <w:rsid w:val="00D00571"/>
    <w:rsid w:val="00D01408"/>
    <w:rsid w:val="00D12C09"/>
    <w:rsid w:val="00D226B7"/>
    <w:rsid w:val="00D250DA"/>
    <w:rsid w:val="00D474FA"/>
    <w:rsid w:val="00D54202"/>
    <w:rsid w:val="00D61A44"/>
    <w:rsid w:val="00D63CF6"/>
    <w:rsid w:val="00D67843"/>
    <w:rsid w:val="00D715A1"/>
    <w:rsid w:val="00D83C67"/>
    <w:rsid w:val="00D85CA2"/>
    <w:rsid w:val="00DA33E0"/>
    <w:rsid w:val="00DA690C"/>
    <w:rsid w:val="00DB153A"/>
    <w:rsid w:val="00DB2515"/>
    <w:rsid w:val="00DC37FF"/>
    <w:rsid w:val="00DD54A2"/>
    <w:rsid w:val="00DE0DB4"/>
    <w:rsid w:val="00DE327C"/>
    <w:rsid w:val="00DE71BD"/>
    <w:rsid w:val="00DF02A8"/>
    <w:rsid w:val="00DF321F"/>
    <w:rsid w:val="00DF5370"/>
    <w:rsid w:val="00E00277"/>
    <w:rsid w:val="00E14E58"/>
    <w:rsid w:val="00E22A96"/>
    <w:rsid w:val="00E35F03"/>
    <w:rsid w:val="00E42F10"/>
    <w:rsid w:val="00E43683"/>
    <w:rsid w:val="00E44295"/>
    <w:rsid w:val="00E60E08"/>
    <w:rsid w:val="00E63AB5"/>
    <w:rsid w:val="00E70D28"/>
    <w:rsid w:val="00E7542B"/>
    <w:rsid w:val="00E75509"/>
    <w:rsid w:val="00E838B6"/>
    <w:rsid w:val="00E842B6"/>
    <w:rsid w:val="00E84353"/>
    <w:rsid w:val="00E87B75"/>
    <w:rsid w:val="00E94F5C"/>
    <w:rsid w:val="00EA2010"/>
    <w:rsid w:val="00EA2565"/>
    <w:rsid w:val="00EA32D0"/>
    <w:rsid w:val="00EB2953"/>
    <w:rsid w:val="00EC1FED"/>
    <w:rsid w:val="00EC2A7D"/>
    <w:rsid w:val="00EC4955"/>
    <w:rsid w:val="00EC6547"/>
    <w:rsid w:val="00ED0AF1"/>
    <w:rsid w:val="00ED2BB7"/>
    <w:rsid w:val="00ED6DA8"/>
    <w:rsid w:val="00EE1562"/>
    <w:rsid w:val="00EE1956"/>
    <w:rsid w:val="00EF5BF4"/>
    <w:rsid w:val="00EF6D25"/>
    <w:rsid w:val="00F0040B"/>
    <w:rsid w:val="00F017F6"/>
    <w:rsid w:val="00F04FD5"/>
    <w:rsid w:val="00F0795F"/>
    <w:rsid w:val="00F10210"/>
    <w:rsid w:val="00F1293A"/>
    <w:rsid w:val="00F25F0E"/>
    <w:rsid w:val="00F26297"/>
    <w:rsid w:val="00F36940"/>
    <w:rsid w:val="00F41AB1"/>
    <w:rsid w:val="00F45C26"/>
    <w:rsid w:val="00F4642E"/>
    <w:rsid w:val="00F55713"/>
    <w:rsid w:val="00F559E0"/>
    <w:rsid w:val="00F56FD1"/>
    <w:rsid w:val="00F631D8"/>
    <w:rsid w:val="00F642DC"/>
    <w:rsid w:val="00F72B62"/>
    <w:rsid w:val="00F84B73"/>
    <w:rsid w:val="00F902D1"/>
    <w:rsid w:val="00FA7586"/>
    <w:rsid w:val="00FB1365"/>
    <w:rsid w:val="00FC00FD"/>
    <w:rsid w:val="00FC2669"/>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2FD72E9A"/>
  <w15:chartTrackingRefBased/>
  <w15:docId w15:val="{89AA80EF-76D4-483D-A4C8-B301504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TableNum">
    <w:name w:val="Table Num"/>
    <w:uiPriority w:val="99"/>
    <w:rsid w:val="00B372F0"/>
    <w:pPr>
      <w:numPr>
        <w:numId w:val="6"/>
      </w:numPr>
    </w:pPr>
  </w:style>
  <w:style w:type="table" w:styleId="PlainTable1">
    <w:name w:val="Plain Table 1"/>
    <w:basedOn w:val="TableNormal"/>
    <w:uiPriority w:val="41"/>
    <w:rsid w:val="004E66CE"/>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474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75669180">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5JENXJJSCC7A-445999044-12053</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112.3 Related Party Exposures</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https://im/teams/LEGAL/_layouts/15/DocIdRedir.aspx?ID=5JENXJJSCC7A-445999044-12053</Url>
      <Description>5JENXJJSCC7A-445999044-12053</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C8151-8302-4D92-9A05-3D77F1871FB5}">
  <ds:schemaRefs>
    <ds:schemaRef ds:uri="http://schemas.openxmlformats.org/officeDocument/2006/bibliography"/>
  </ds:schemaRefs>
</ds:datastoreItem>
</file>

<file path=customXml/itemProps2.xml><?xml version="1.0" encoding="utf-8"?>
<ds:datastoreItem xmlns:ds="http://schemas.openxmlformats.org/officeDocument/2006/customXml" ds:itemID="{B32F9689-A810-4DCE-A8CA-2099DE4ACA52}">
  <ds:schemaRefs>
    <ds:schemaRef ds:uri="http://schemas.microsoft.com/sharepoint/events"/>
  </ds:schemaRefs>
</ds:datastoreItem>
</file>

<file path=customXml/itemProps3.xml><?xml version="1.0" encoding="utf-8"?>
<ds:datastoreItem xmlns:ds="http://schemas.openxmlformats.org/officeDocument/2006/customXml" ds:itemID="{7B5695DD-4ADA-4188-ACC0-A6E66B778F3D}">
  <ds:schemaRefs>
    <ds:schemaRef ds:uri="Microsoft.SharePoint.Taxonomy.ContentTypeSync"/>
  </ds:schemaRefs>
</ds:datastoreItem>
</file>

<file path=customXml/itemProps4.xml><?xml version="1.0" encoding="utf-8"?>
<ds:datastoreItem xmlns:ds="http://schemas.openxmlformats.org/officeDocument/2006/customXml" ds:itemID="{9B96EDEF-0530-4AB7-97B9-E48EA2CA4309}">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814d62cb-2db6-4c25-ab62-b9075facbc11"/>
    <ds:schemaRef ds:uri="http://purl.org/dc/elements/1.1/"/>
    <ds:schemaRef ds:uri="http://purl.org/dc/dcmityp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5709C17-2758-4A55-93FD-B5B48A69C277}">
  <ds:schemaRefs>
    <ds:schemaRef ds:uri="http://schemas.microsoft.com/sharepoint/v3/contenttype/forms"/>
  </ds:schemaRefs>
</ds:datastoreItem>
</file>

<file path=customXml/itemProps6.xml><?xml version="1.0" encoding="utf-8"?>
<ds:datastoreItem xmlns:ds="http://schemas.openxmlformats.org/officeDocument/2006/customXml" ds:itemID="{09F518D0-A7DF-49EA-97E9-32ADF996A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2489</Words>
  <Characters>13541</Characters>
  <Application>Microsoft Office Word</Application>
  <DocSecurity>0</DocSecurity>
  <Lines>520</Lines>
  <Paragraphs>232</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Toni Michalis</dc:creator>
  <cp:keywords>[SEC=OFFICIAL]</cp:keywords>
  <cp:lastModifiedBy>Toni Michalis</cp:lastModifiedBy>
  <cp:revision>2</cp:revision>
  <cp:lastPrinted>2009-07-22T03:35:00Z</cp:lastPrinted>
  <dcterms:created xsi:type="dcterms:W3CDTF">2023-03-23T23:21:00Z</dcterms:created>
  <dcterms:modified xsi:type="dcterms:W3CDTF">2023-03-23T23:21:00Z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AE1B8BD115C047BFB9FB2ED262084A9D</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2023-01-17T03:40:34Z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77944555E8F51EA75F8E2025D47CFF60</vt:lpwstr>
  </property>
  <property fmtid="{D5CDD505-2E9C-101B-9397-08002B2CF9AE}" pid="22" name="PM_Hash_Salt">
    <vt:lpwstr>6C92E65667126AB1C113DBE51DD58B53</vt:lpwstr>
  </property>
  <property fmtid="{D5CDD505-2E9C-101B-9397-08002B2CF9AE}" pid="23" name="PM_Hash_SHA1">
    <vt:lpwstr>14FFC49A42C45119587CCA7423615C900F42EFBF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2023-01-17T03:40:34Z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{b1c99db8-2b28-4326-b3f0-2e5aebeb3556}</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b1c99db8-2b28-4326-b3f0-2e5aebeb3556</vt:lpwstr>
  </property>
  <property fmtid="{D5CDD505-2E9C-101B-9397-08002B2CF9AE}" pid="54" name="APRACategory">
    <vt:lpwstr/>
  </property>
  <property fmtid="{D5CDD505-2E9C-101B-9397-08002B2CF9AE}" pid="55" name="MSIP_Label_c0129afb-6481-4f92-bc9f-5a4a6346364d_Method">
    <vt:lpwstr>Privileged</vt:lpwstr>
  </property>
  <property fmtid="{D5CDD505-2E9C-101B-9397-08002B2CF9AE}" pid="56" name="PMHMAC">
    <vt:lpwstr>v=2022.1;a=SHA256;h=F0C62D43F10408BFC843B98AB4004FDDF82443571C988C45D00C9D51907F62E8</vt:lpwstr>
  </property>
  <property fmtid="{D5CDD505-2E9C-101B-9397-08002B2CF9AE}" pid="57" name="MSIP_Label_c0129afb-6481-4f92-bc9f-5a4a6346364d_ContentBits">
    <vt:lpwstr>0</vt:lpwstr>
  </property>
  <property fmtid="{D5CDD505-2E9C-101B-9397-08002B2CF9AE}" pid="58" name="MSIP_Label_c0129afb-6481-4f92-bc9f-5a4a6346364d_ActionId">
    <vt:lpwstr>b1e03b3a847b4f12882638e3322c9b06</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