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2B429003">
            <wp:extent cx="1504950" cy="1104900"/>
            <wp:effectExtent l="0" t="0" r="0" b="0"/>
            <wp:docPr id="1" name="Picture 1" descr="Commonwealth of Australia coat of ar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5920FE39" w:rsidR="00CF05C2" w:rsidRDefault="00CF05C2" w:rsidP="00CF05C2">
      <w:pPr>
        <w:pStyle w:val="ShortT"/>
      </w:pPr>
      <w:r>
        <w:t>Radiocommunications Advisory Guidelines (</w:t>
      </w:r>
      <w:r w:rsidR="00BC27E7">
        <w:t xml:space="preserve">Managing Interference </w:t>
      </w:r>
      <w:r w:rsidR="00EF75CF">
        <w:t>from</w:t>
      </w:r>
      <w:r w:rsidR="00BC27E7">
        <w:t xml:space="preserve"> Spectrum Licensed </w:t>
      </w:r>
      <w:r w:rsidR="00EF75CF">
        <w:t>Transmitters</w:t>
      </w:r>
      <w:r w:rsidR="00BC27E7">
        <w:t xml:space="preserve"> – 1800 MHz Band</w:t>
      </w:r>
      <w:r>
        <w:t>) 202</w:t>
      </w:r>
      <w:r w:rsidR="00DA18E3">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627A85A4"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0F6A30">
        <w:rPr>
          <w:rFonts w:ascii="Times New Roman" w:hAnsi="Times New Roman" w:cs="Times New Roman"/>
        </w:rPr>
        <w:t xml:space="preserve"> 16 March 2023</w:t>
      </w:r>
    </w:p>
    <w:p w14:paraId="34D627C3" w14:textId="4BEDA220" w:rsidR="000F6A30" w:rsidRDefault="000F6A30" w:rsidP="000F6A3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6722385B" w14:textId="35684A30" w:rsidR="000F6A30" w:rsidRDefault="000F6A30" w:rsidP="000F6A3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75C7EE00" w:rsidR="00CF05C2" w:rsidRDefault="00CF05C2" w:rsidP="000F6A3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2025BD5" w14:textId="7F89A828" w:rsidR="000F6A30" w:rsidRDefault="000F6A30" w:rsidP="000F6A30">
      <w:pPr>
        <w:tabs>
          <w:tab w:val="left" w:pos="3119"/>
        </w:tabs>
        <w:spacing w:after="0" w:line="300" w:lineRule="atLeast"/>
        <w:ind w:right="375"/>
        <w:jc w:val="right"/>
        <w:rPr>
          <w:rFonts w:ascii="Times New Roman" w:hAnsi="Times New Roman" w:cs="Times New Roman"/>
        </w:rPr>
      </w:pPr>
    </w:p>
    <w:p w14:paraId="5F05060F" w14:textId="1CC1BE57" w:rsidR="000F6A30" w:rsidRDefault="000F6A30" w:rsidP="000F6A3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788FA935" w14:textId="4B6F865A" w:rsidR="000F6A30" w:rsidRDefault="000F6A30" w:rsidP="000F6A3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0F6A30">
      <w:pPr>
        <w:tabs>
          <w:tab w:val="left" w:pos="3119"/>
        </w:tabs>
        <w:spacing w:after="0" w:line="300" w:lineRule="atLeast"/>
        <w:ind w:right="375"/>
        <w:jc w:val="right"/>
        <w:rPr>
          <w:rFonts w:ascii="Times New Roman" w:hAnsi="Times New Roman" w:cs="Times New Roman"/>
        </w:rPr>
      </w:pPr>
      <w:r w:rsidRPr="000F6A30">
        <w:rPr>
          <w:rFonts w:ascii="Times New Roman" w:hAnsi="Times New Roman" w:cs="Times New Roman"/>
          <w:strike/>
        </w:rPr>
        <w:t>Member</w:t>
      </w: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proofErr w:type="gramStart"/>
      <w:r>
        <w:rPr>
          <w:rStyle w:val="CharSectno"/>
        </w:rPr>
        <w:t>1</w:t>
      </w:r>
      <w:r>
        <w:t xml:space="preserve">  Name</w:t>
      </w:r>
      <w:proofErr w:type="gramEnd"/>
    </w:p>
    <w:p w14:paraId="0568E939" w14:textId="4816CF3F" w:rsidR="00CF05C2" w:rsidRDefault="00CF05C2" w:rsidP="00CF05C2">
      <w:pPr>
        <w:pStyle w:val="subsection"/>
      </w:pPr>
      <w:r>
        <w:tab/>
      </w:r>
      <w:r>
        <w:tab/>
      </w:r>
      <w:r w:rsidR="00DA18E3">
        <w:t>These are</w:t>
      </w:r>
      <w:r>
        <w:t xml:space="preserve"> the </w:t>
      </w:r>
      <w:r>
        <w:rPr>
          <w:i/>
          <w:iCs/>
        </w:rPr>
        <w:t>Radiocommunications Advisory Guidelines (</w:t>
      </w:r>
      <w:r w:rsidR="00BC27E7">
        <w:rPr>
          <w:i/>
          <w:iCs/>
        </w:rPr>
        <w:t xml:space="preserve">Managing Interference </w:t>
      </w:r>
      <w:r w:rsidR="00BC2B23">
        <w:rPr>
          <w:i/>
          <w:iCs/>
        </w:rPr>
        <w:t>from</w:t>
      </w:r>
      <w:r w:rsidR="00BC27E7">
        <w:rPr>
          <w:i/>
          <w:iCs/>
        </w:rPr>
        <w:t xml:space="preserve"> Spectrum Licensed </w:t>
      </w:r>
      <w:r w:rsidR="00BC2B23">
        <w:rPr>
          <w:i/>
          <w:iCs/>
        </w:rPr>
        <w:t>Transmitters</w:t>
      </w:r>
      <w:r w:rsidR="00BC27E7">
        <w:rPr>
          <w:i/>
          <w:iCs/>
        </w:rPr>
        <w:t xml:space="preserve"> – 1800 MHz Band</w:t>
      </w:r>
      <w:r>
        <w:rPr>
          <w:i/>
          <w:iCs/>
        </w:rPr>
        <w:t>) 202</w:t>
      </w:r>
      <w:r w:rsidR="00DA18E3">
        <w:rPr>
          <w:i/>
          <w:iCs/>
        </w:rPr>
        <w:t>3</w:t>
      </w:r>
      <w:r>
        <w:t>.</w:t>
      </w:r>
    </w:p>
    <w:p w14:paraId="24C7E821" w14:textId="6D3B62FD" w:rsidR="00CF05C2" w:rsidRDefault="00CF05C2" w:rsidP="00CF05C2">
      <w:pPr>
        <w:pStyle w:val="ActHead5"/>
      </w:pPr>
      <w:bookmarkStart w:id="2" w:name="_Toc444596032"/>
      <w:proofErr w:type="gramStart"/>
      <w:r>
        <w:rPr>
          <w:rStyle w:val="CharSectno"/>
        </w:rPr>
        <w:t>2</w:t>
      </w:r>
      <w:r>
        <w:t xml:space="preserve">  Commencemen</w:t>
      </w:r>
      <w:bookmarkEnd w:id="2"/>
      <w:r>
        <w:t>t</w:t>
      </w:r>
      <w:proofErr w:type="gramEnd"/>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CF05C2">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proofErr w:type="gramStart"/>
      <w:r>
        <w:rPr>
          <w:rStyle w:val="CharSectno"/>
        </w:rPr>
        <w:t>3</w:t>
      </w:r>
      <w:r>
        <w:t xml:space="preserve">  Authority</w:t>
      </w:r>
      <w:bookmarkEnd w:id="3"/>
      <w:proofErr w:type="gramEnd"/>
    </w:p>
    <w:p w14:paraId="2EC4376D" w14:textId="1BDA9190" w:rsidR="00CF05C2" w:rsidRDefault="00CF05C2" w:rsidP="00CF05C2">
      <w:pPr>
        <w:pStyle w:val="subsection"/>
      </w:pPr>
      <w:r>
        <w:tab/>
      </w:r>
      <w:r>
        <w:tab/>
        <w:t>This instrument is made under section 262 of the Act.</w:t>
      </w:r>
    </w:p>
    <w:p w14:paraId="388F0B58" w14:textId="57183298" w:rsidR="00CF05C2" w:rsidRDefault="00CF05C2" w:rsidP="00CF05C2">
      <w:pPr>
        <w:pStyle w:val="ActHead5"/>
        <w:rPr>
          <w:i/>
        </w:rPr>
      </w:pPr>
      <w:bookmarkStart w:id="4" w:name="_Toc444596034"/>
      <w:proofErr w:type="gramStart"/>
      <w:r>
        <w:t>4  Repeal</w:t>
      </w:r>
      <w:proofErr w:type="gramEnd"/>
      <w:r>
        <w:t xml:space="preserve"> of the </w:t>
      </w:r>
      <w:r>
        <w:rPr>
          <w:i/>
        </w:rPr>
        <w:t>Radiocommunications Advisory Guidelines (</w:t>
      </w:r>
      <w:r w:rsidR="00A06486">
        <w:rPr>
          <w:i/>
        </w:rPr>
        <w:t xml:space="preserve">Managing Interference </w:t>
      </w:r>
      <w:r w:rsidR="00BC2B23">
        <w:rPr>
          <w:i/>
        </w:rPr>
        <w:t>from</w:t>
      </w:r>
      <w:r w:rsidR="00A06486">
        <w:rPr>
          <w:i/>
        </w:rPr>
        <w:t xml:space="preserve"> Spectrum Licensed </w:t>
      </w:r>
      <w:r w:rsidR="00BC2B23">
        <w:rPr>
          <w:i/>
        </w:rPr>
        <w:t>Transmitters</w:t>
      </w:r>
      <w:r w:rsidR="00A06486">
        <w:rPr>
          <w:i/>
        </w:rPr>
        <w:t xml:space="preserve"> – 1800 MHz Band</w:t>
      </w:r>
      <w:r>
        <w:rPr>
          <w:i/>
        </w:rPr>
        <w:t>) 2012</w:t>
      </w:r>
    </w:p>
    <w:p w14:paraId="62B2F207" w14:textId="2B21DBB1" w:rsidR="00CF05C2" w:rsidRDefault="00CF05C2" w:rsidP="00CF05C2">
      <w:pPr>
        <w:pStyle w:val="subsection"/>
        <w:rPr>
          <w:rStyle w:val="CharSectno"/>
        </w:rPr>
      </w:pPr>
      <w:r>
        <w:tab/>
      </w:r>
      <w:r>
        <w:tab/>
        <w:t xml:space="preserve">The </w:t>
      </w:r>
      <w:r>
        <w:rPr>
          <w:i/>
        </w:rPr>
        <w:t>Radiocommunications Advisory Guidelines (</w:t>
      </w:r>
      <w:r w:rsidR="00A06486">
        <w:rPr>
          <w:i/>
        </w:rPr>
        <w:t xml:space="preserve">Managing Interference </w:t>
      </w:r>
      <w:r w:rsidR="00BC2B23">
        <w:rPr>
          <w:i/>
        </w:rPr>
        <w:t>from</w:t>
      </w:r>
      <w:r w:rsidR="00A06486">
        <w:rPr>
          <w:i/>
        </w:rPr>
        <w:t xml:space="preserve"> Spectrum Licensed </w:t>
      </w:r>
      <w:r w:rsidR="00BC2B23">
        <w:rPr>
          <w:i/>
        </w:rPr>
        <w:t>Transmitters</w:t>
      </w:r>
      <w:r w:rsidR="00A06486">
        <w:rPr>
          <w:i/>
        </w:rPr>
        <w:t xml:space="preserve"> – 1800 MHz Band</w:t>
      </w:r>
      <w:r>
        <w:rPr>
          <w:i/>
        </w:rPr>
        <w:t>) 20</w:t>
      </w:r>
      <w:r w:rsidR="002044F5">
        <w:rPr>
          <w:i/>
        </w:rPr>
        <w:t>1</w:t>
      </w:r>
      <w:r>
        <w:rPr>
          <w:i/>
        </w:rPr>
        <w:t xml:space="preserve">2 </w:t>
      </w:r>
      <w:r>
        <w:t>[F2012L0204</w:t>
      </w:r>
      <w:r w:rsidR="00A96890">
        <w:t>8</w:t>
      </w:r>
      <w:r>
        <w:t xml:space="preserve">] </w:t>
      </w:r>
      <w:r w:rsidR="00DA18E3">
        <w:t>are</w:t>
      </w:r>
      <w:r>
        <w:t xml:space="preserve"> repealed.</w:t>
      </w:r>
    </w:p>
    <w:p w14:paraId="05FBE631" w14:textId="77777777" w:rsidR="00CF05C2" w:rsidRDefault="00CF05C2" w:rsidP="00CF05C2">
      <w:pPr>
        <w:pStyle w:val="ActHead5"/>
      </w:pPr>
      <w:proofErr w:type="gramStart"/>
      <w:r>
        <w:rPr>
          <w:rStyle w:val="CharSectno"/>
        </w:rPr>
        <w:t>5</w:t>
      </w:r>
      <w:r>
        <w:t xml:space="preserve">  Definitions</w:t>
      </w:r>
      <w:bookmarkEnd w:id="4"/>
      <w:proofErr w:type="gramEnd"/>
    </w:p>
    <w:p w14:paraId="2BBA8BA4" w14:textId="416F6FD4" w:rsidR="00CF05C2" w:rsidRDefault="00CF05C2" w:rsidP="00CF05C2">
      <w:pPr>
        <w:pStyle w:val="subsection"/>
      </w:pPr>
      <w:r>
        <w:tab/>
        <w:t>(1)</w:t>
      </w:r>
      <w:r>
        <w:tab/>
        <w:t>In this instrument</w:t>
      </w:r>
      <w:r w:rsidR="00DE0445">
        <w:t>, unless the contrary intention appears</w:t>
      </w:r>
      <w:r>
        <w:t>:</w:t>
      </w:r>
    </w:p>
    <w:p w14:paraId="2E8BE201" w14:textId="77777777" w:rsidR="00CF05C2" w:rsidRDefault="00CF05C2" w:rsidP="00CF05C2">
      <w:pPr>
        <w:pStyle w:val="Definition"/>
        <w:rPr>
          <w:bCs/>
          <w:iCs/>
        </w:rPr>
      </w:pPr>
      <w:r>
        <w:rPr>
          <w:b/>
          <w:i/>
        </w:rPr>
        <w:t>1800 MHz band</w:t>
      </w:r>
      <w:r>
        <w:rPr>
          <w:bCs/>
          <w:iCs/>
        </w:rPr>
        <w:t xml:space="preserve"> means the 1800 MHz lower band and the 1800 MHz upper band.</w:t>
      </w:r>
    </w:p>
    <w:p w14:paraId="476A0885" w14:textId="77777777" w:rsidR="00CF05C2" w:rsidRDefault="00CF05C2" w:rsidP="00CF05C2">
      <w:pPr>
        <w:pStyle w:val="Definition"/>
        <w:rPr>
          <w:bCs/>
          <w:iCs/>
        </w:rPr>
      </w:pPr>
      <w:r>
        <w:rPr>
          <w:b/>
          <w:i/>
        </w:rPr>
        <w:t xml:space="preserve">1800 MHz lower band </w:t>
      </w:r>
      <w:r>
        <w:rPr>
          <w:bCs/>
          <w:iCs/>
        </w:rPr>
        <w:t xml:space="preserve">means the frequency band 1710 MHz to 1785 </w:t>
      </w:r>
      <w:proofErr w:type="spellStart"/>
      <w:r>
        <w:rPr>
          <w:bCs/>
          <w:iCs/>
        </w:rPr>
        <w:t>MHz.</w:t>
      </w:r>
      <w:proofErr w:type="spellEnd"/>
    </w:p>
    <w:p w14:paraId="09029499" w14:textId="4FAE514F" w:rsidR="00890AD6" w:rsidRDefault="00890AD6" w:rsidP="00890AD6">
      <w:pPr>
        <w:pStyle w:val="Definition"/>
        <w:rPr>
          <w:bCs/>
          <w:iCs/>
        </w:rPr>
      </w:pPr>
      <w:r>
        <w:rPr>
          <w:b/>
          <w:i/>
        </w:rPr>
        <w:t xml:space="preserve">1800 MHz spectrum licence </w:t>
      </w:r>
      <w:r>
        <w:rPr>
          <w:bCs/>
          <w:iCs/>
        </w:rPr>
        <w:t>means a spectrum licence that authorises the operation of radiocommunications devices in the 1800 MHz band.</w:t>
      </w:r>
    </w:p>
    <w:p w14:paraId="49D5AD15" w14:textId="0B7FF153" w:rsidR="00CF05C2" w:rsidRDefault="00CF05C2" w:rsidP="00CF05C2">
      <w:pPr>
        <w:pStyle w:val="Definition"/>
        <w:rPr>
          <w:bCs/>
          <w:iCs/>
        </w:rPr>
      </w:pPr>
      <w:r>
        <w:rPr>
          <w:b/>
          <w:i/>
        </w:rPr>
        <w:t>1800 MHz upper band</w:t>
      </w:r>
      <w:r>
        <w:rPr>
          <w:bCs/>
          <w:iCs/>
        </w:rPr>
        <w:t xml:space="preserve"> means the frequency band 1805 MHz to 1880 </w:t>
      </w:r>
      <w:proofErr w:type="spellStart"/>
      <w:r>
        <w:rPr>
          <w:bCs/>
          <w:iCs/>
        </w:rPr>
        <w:t>MHz.</w:t>
      </w:r>
      <w:proofErr w:type="spellEnd"/>
    </w:p>
    <w:p w14:paraId="1E3A6EC4" w14:textId="77777777" w:rsidR="00CF05C2" w:rsidRDefault="00CF05C2" w:rsidP="00CF05C2">
      <w:pPr>
        <w:pStyle w:val="Definition"/>
      </w:pPr>
      <w:r>
        <w:rPr>
          <w:b/>
          <w:i/>
        </w:rPr>
        <w:t>Act</w:t>
      </w:r>
      <w:r>
        <w:t xml:space="preserve"> means the </w:t>
      </w:r>
      <w:r>
        <w:rPr>
          <w:i/>
        </w:rPr>
        <w:t>Radiocommunications Act 1992</w:t>
      </w:r>
      <w:r>
        <w:t>.</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DC13F1">
        <w:rPr>
          <w:b/>
          <w:i/>
        </w:rPr>
        <w:t>the 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705CB2DF" w14:textId="1BFC9F99" w:rsidR="00CF05C2" w:rsidRDefault="00DC13F1" w:rsidP="00CF05C2">
      <w:pPr>
        <w:pStyle w:val="Definition"/>
        <w:rPr>
          <w:bCs/>
          <w:iCs/>
        </w:rPr>
      </w:pPr>
      <w:r>
        <w:rPr>
          <w:b/>
          <w:i/>
        </w:rPr>
        <w:t>blocking</w:t>
      </w:r>
      <w:r w:rsidR="00B44313">
        <w:rPr>
          <w:bCs/>
          <w:iCs/>
        </w:rPr>
        <w:t xml:space="preserve"> </w:t>
      </w:r>
      <w:r>
        <w:rPr>
          <w:bCs/>
          <w:iCs/>
        </w:rPr>
        <w:t xml:space="preserve">means the measure of the ability of a radiocommunications receiver to receive a wanted signal in the presence of a </w:t>
      </w:r>
      <w:proofErr w:type="gramStart"/>
      <w:r>
        <w:rPr>
          <w:bCs/>
          <w:iCs/>
        </w:rPr>
        <w:t>high level</w:t>
      </w:r>
      <w:proofErr w:type="gramEnd"/>
      <w:r>
        <w:rPr>
          <w:bCs/>
          <w:iCs/>
        </w:rPr>
        <w:t xml:space="preserve"> unwanted interferer on frequencies other than those of an adjacent channel.</w:t>
      </w:r>
    </w:p>
    <w:p w14:paraId="2951E8E2" w14:textId="79F38255" w:rsidR="00004C49" w:rsidRDefault="00004C49" w:rsidP="005D2A26">
      <w:pPr>
        <w:pStyle w:val="Definition"/>
      </w:pPr>
      <w:r>
        <w:rPr>
          <w:b/>
          <w:bCs/>
          <w:i/>
          <w:iCs/>
        </w:rPr>
        <w:t>Category 1 receiver</w:t>
      </w:r>
      <w:r>
        <w:t xml:space="preserve">: </w:t>
      </w:r>
      <w:r w:rsidR="00651125">
        <w:t>see paragraph 9(a).</w:t>
      </w:r>
    </w:p>
    <w:p w14:paraId="0DDBE819" w14:textId="3EB6E7DF" w:rsidR="00651125" w:rsidRPr="00651125" w:rsidRDefault="00651125" w:rsidP="005D2A26">
      <w:pPr>
        <w:pStyle w:val="Definition"/>
      </w:pPr>
      <w:r>
        <w:rPr>
          <w:b/>
          <w:bCs/>
          <w:i/>
          <w:iCs/>
        </w:rPr>
        <w:t>Category 2 receiver</w:t>
      </w:r>
      <w:r>
        <w:t>: see paragraph 9(b).</w:t>
      </w:r>
    </w:p>
    <w:p w14:paraId="3E67CEE8" w14:textId="18845F8A" w:rsidR="005D2A26" w:rsidRDefault="005D2A26" w:rsidP="00E72F18">
      <w:pPr>
        <w:pStyle w:val="Definition"/>
        <w:keepNext/>
        <w:rPr>
          <w:bCs/>
          <w:iCs/>
        </w:rPr>
      </w:pPr>
      <w:r>
        <w:rPr>
          <w:b/>
          <w:i/>
        </w:rPr>
        <w:t>Cellular Devices Class Licence</w:t>
      </w:r>
      <w:r>
        <w:rPr>
          <w:bCs/>
          <w:iCs/>
        </w:rPr>
        <w:t xml:space="preserve"> means:</w:t>
      </w:r>
    </w:p>
    <w:p w14:paraId="0B3A99A0" w14:textId="77777777" w:rsidR="00D53362" w:rsidRDefault="00D53362" w:rsidP="00D53362">
      <w:pPr>
        <w:pStyle w:val="paragraph"/>
        <w:rPr>
          <w:bCs/>
          <w:iCs/>
        </w:rPr>
      </w:pPr>
      <w:r>
        <w:rPr>
          <w:bCs/>
          <w:iCs/>
        </w:rPr>
        <w:tab/>
      </w:r>
      <w:r w:rsidR="005D2A26">
        <w:rPr>
          <w:bCs/>
          <w:iCs/>
        </w:rPr>
        <w:t>(a)</w:t>
      </w:r>
      <w:r w:rsidR="005D2A26">
        <w:rPr>
          <w:bCs/>
          <w:iCs/>
        </w:rPr>
        <w:tab/>
      </w:r>
      <w:r w:rsidR="005D2A26" w:rsidRPr="00D53362">
        <w:t>the</w:t>
      </w:r>
      <w:r w:rsidR="005D2A26">
        <w:rPr>
          <w:bCs/>
          <w:iCs/>
        </w:rPr>
        <w:t xml:space="preserve"> </w:t>
      </w:r>
      <w:r w:rsidR="005D2A26">
        <w:rPr>
          <w:bCs/>
          <w:i/>
        </w:rPr>
        <w:t>Radiocommunications (Cellular Mobile Telecommunications Devices) Class Licence 2014</w:t>
      </w:r>
      <w:r w:rsidR="005D2A26">
        <w:rPr>
          <w:bCs/>
          <w:iCs/>
        </w:rPr>
        <w:t>; or</w:t>
      </w:r>
    </w:p>
    <w:p w14:paraId="5EAE1A5C" w14:textId="170E9CC7" w:rsidR="005D2A26" w:rsidRPr="00333400" w:rsidRDefault="00D53362" w:rsidP="00D53362">
      <w:pPr>
        <w:pStyle w:val="paragraph"/>
        <w:rPr>
          <w:bCs/>
          <w:iCs/>
        </w:rPr>
      </w:pPr>
      <w:r>
        <w:rPr>
          <w:bCs/>
          <w:iCs/>
        </w:rPr>
        <w:tab/>
      </w:r>
      <w:r w:rsidR="005D2A26">
        <w:rPr>
          <w:bCs/>
          <w:iCs/>
        </w:rPr>
        <w:t>(b)</w:t>
      </w:r>
      <w:r w:rsidR="005D2A26">
        <w:rPr>
          <w:bCs/>
          <w:iCs/>
        </w:rPr>
        <w:tab/>
        <w:t>if another instrument replaces that class licence – the other instrument.</w:t>
      </w:r>
    </w:p>
    <w:p w14:paraId="7BB134CB" w14:textId="21FC202B" w:rsidR="000B635E" w:rsidRDefault="000B635E" w:rsidP="000B635E">
      <w:pPr>
        <w:pStyle w:val="Definition"/>
        <w:rPr>
          <w:bCs/>
          <w:iCs/>
        </w:rPr>
      </w:pPr>
      <w:r>
        <w:rPr>
          <w:b/>
          <w:i/>
        </w:rPr>
        <w:lastRenderedPageBreak/>
        <w:t>centre frequency</w:t>
      </w:r>
      <w:r>
        <w:rPr>
          <w:bCs/>
          <w:iCs/>
        </w:rPr>
        <w:t>, in relation to a radiocommunications transmitter, means the frequency midway between the lower and upper frequency limits of the transmitter’s occupied bandwidth.</w:t>
      </w:r>
    </w:p>
    <w:p w14:paraId="606AC758" w14:textId="6D37FA11" w:rsidR="001A4E73" w:rsidRDefault="001A4E73" w:rsidP="000B635E">
      <w:pPr>
        <w:pStyle w:val="Definition"/>
        <w:rPr>
          <w:bCs/>
          <w:iCs/>
        </w:rPr>
      </w:pPr>
      <w:r>
        <w:rPr>
          <w:b/>
          <w:i/>
        </w:rPr>
        <w:t xml:space="preserve">CEPT Report 41 </w:t>
      </w:r>
      <w:r>
        <w:rPr>
          <w:bCs/>
          <w:iCs/>
        </w:rPr>
        <w:t xml:space="preserve">means </w:t>
      </w:r>
      <w:r w:rsidR="007C4334">
        <w:rPr>
          <w:bCs/>
          <w:iCs/>
        </w:rPr>
        <w:t xml:space="preserve">CEPT Report 041, </w:t>
      </w:r>
      <w:r w:rsidR="009D1C81">
        <w:rPr>
          <w:bCs/>
          <w:iCs/>
        </w:rPr>
        <w:t>“</w:t>
      </w:r>
      <w:r w:rsidR="007C4334">
        <w:rPr>
          <w:bCs/>
          <w:iCs/>
        </w:rPr>
        <w:t>Report from CEPT to Eu</w:t>
      </w:r>
      <w:r w:rsidR="009D1C81">
        <w:rPr>
          <w:bCs/>
          <w:iCs/>
        </w:rPr>
        <w:t xml:space="preserve">ropean Commission in response to Task 2 of the Mandate </w:t>
      </w:r>
      <w:r w:rsidR="00351821">
        <w:rPr>
          <w:bCs/>
          <w:iCs/>
        </w:rPr>
        <w:t xml:space="preserve">to CEPT on the 900/1800 MHz bands: Compatibility between LTE and WiMAX operating within the bands 880-915 MHz / 925-960 MHz and 1710-1785 MHz / 1805-1880 MHz (900/1800 MHz bands) and systems operating in adjacent bands”, </w:t>
      </w:r>
      <w:r w:rsidR="00F02BF6">
        <w:rPr>
          <w:bCs/>
          <w:iCs/>
        </w:rPr>
        <w:t>published by the European Conference of Postal and Telecommunications Administration</w:t>
      </w:r>
      <w:r w:rsidR="00E21D57">
        <w:rPr>
          <w:bCs/>
          <w:iCs/>
        </w:rPr>
        <w:t>s</w:t>
      </w:r>
      <w:r w:rsidR="00F02BF6">
        <w:rPr>
          <w:bCs/>
          <w:iCs/>
        </w:rPr>
        <w:t>.</w:t>
      </w:r>
    </w:p>
    <w:p w14:paraId="5D1FD3AB" w14:textId="3E6897A8" w:rsidR="00F02BF6" w:rsidRPr="001A4E73" w:rsidRDefault="00F02BF6" w:rsidP="00F02BF6">
      <w:pPr>
        <w:pStyle w:val="notetext"/>
        <w:rPr>
          <w:bCs/>
          <w:iCs/>
        </w:rPr>
      </w:pPr>
      <w:r>
        <w:rPr>
          <w:bCs/>
          <w:iCs/>
        </w:rPr>
        <w:t>Note:</w:t>
      </w:r>
      <w:r>
        <w:rPr>
          <w:bCs/>
          <w:iCs/>
        </w:rPr>
        <w:tab/>
        <w:t xml:space="preserve">CEPT Report 41 is available, free of charge, from </w:t>
      </w:r>
      <w:r w:rsidR="000A1E56">
        <w:rPr>
          <w:bCs/>
          <w:iCs/>
        </w:rPr>
        <w:t xml:space="preserve">the website of the European Communications Office at </w:t>
      </w:r>
      <w:hyperlink r:id="rId14" w:history="1">
        <w:r w:rsidR="00F42DBE" w:rsidRPr="0045746E">
          <w:rPr>
            <w:rStyle w:val="Hyperlink"/>
            <w:bCs/>
            <w:iCs/>
          </w:rPr>
          <w:t>docdb.cept.org</w:t>
        </w:r>
      </w:hyperlink>
      <w:r w:rsidR="00F42DBE">
        <w:rPr>
          <w:bCs/>
          <w:iCs/>
        </w:rPr>
        <w:t xml:space="preserve">. </w:t>
      </w:r>
    </w:p>
    <w:p w14:paraId="74C049B1" w14:textId="03F3E204" w:rsidR="00BD6A4E" w:rsidRDefault="00BD6A4E" w:rsidP="00EC69B1">
      <w:pPr>
        <w:pStyle w:val="Definition"/>
        <w:rPr>
          <w:bCs/>
          <w:iCs/>
        </w:rPr>
      </w:pPr>
      <w:r>
        <w:rPr>
          <w:b/>
          <w:i/>
        </w:rPr>
        <w:t>Cordless Devices Class Licence</w:t>
      </w:r>
      <w:r w:rsidR="00333400">
        <w:rPr>
          <w:bCs/>
          <w:iCs/>
        </w:rPr>
        <w:t xml:space="preserve"> means:</w:t>
      </w:r>
    </w:p>
    <w:p w14:paraId="645C023F" w14:textId="77777777" w:rsidR="00D53362" w:rsidRDefault="00D53362" w:rsidP="00D53362">
      <w:pPr>
        <w:pStyle w:val="paragraph"/>
        <w:rPr>
          <w:bCs/>
          <w:iCs/>
        </w:rPr>
      </w:pPr>
      <w:r>
        <w:rPr>
          <w:bCs/>
          <w:iCs/>
        </w:rPr>
        <w:tab/>
      </w:r>
      <w:r w:rsidR="00333400">
        <w:rPr>
          <w:bCs/>
          <w:iCs/>
        </w:rPr>
        <w:t>(a)</w:t>
      </w:r>
      <w:r w:rsidR="00333400">
        <w:rPr>
          <w:bCs/>
          <w:iCs/>
        </w:rPr>
        <w:tab/>
        <w:t xml:space="preserve">the </w:t>
      </w:r>
      <w:r w:rsidR="00333400">
        <w:rPr>
          <w:bCs/>
          <w:i/>
        </w:rPr>
        <w:t>Radiocommunications (Cordless Communications Devices) Class Licence 2014</w:t>
      </w:r>
      <w:r w:rsidR="00333400">
        <w:rPr>
          <w:bCs/>
          <w:iCs/>
        </w:rPr>
        <w:t>; or</w:t>
      </w:r>
    </w:p>
    <w:p w14:paraId="344BE166" w14:textId="5C3A1A7A" w:rsidR="00333400" w:rsidRPr="00333400" w:rsidRDefault="00D53362" w:rsidP="00D53362">
      <w:pPr>
        <w:pStyle w:val="paragraph"/>
        <w:rPr>
          <w:bCs/>
          <w:iCs/>
        </w:rPr>
      </w:pPr>
      <w:r>
        <w:rPr>
          <w:bCs/>
          <w:iCs/>
        </w:rPr>
        <w:tab/>
      </w:r>
      <w:r w:rsidR="00333400">
        <w:rPr>
          <w:bCs/>
          <w:iCs/>
        </w:rPr>
        <w:t>(b)</w:t>
      </w:r>
      <w:r w:rsidR="00333400">
        <w:rPr>
          <w:bCs/>
          <w:iCs/>
        </w:rPr>
        <w:tab/>
        <w:t>if a</w:t>
      </w:r>
      <w:r w:rsidR="00B87E48">
        <w:rPr>
          <w:bCs/>
          <w:iCs/>
        </w:rPr>
        <w:t>nother instrument replaces that class licence – the other instrument.</w:t>
      </w:r>
    </w:p>
    <w:p w14:paraId="15F93C32" w14:textId="36861710" w:rsidR="000210E0" w:rsidRDefault="000210E0" w:rsidP="00EC69B1">
      <w:pPr>
        <w:pStyle w:val="Definition"/>
        <w:rPr>
          <w:bCs/>
          <w:iCs/>
        </w:rPr>
      </w:pPr>
      <w:r>
        <w:rPr>
          <w:b/>
          <w:i/>
        </w:rPr>
        <w:t>Cordless Devices Equipment Rules</w:t>
      </w:r>
      <w:r>
        <w:rPr>
          <w:bCs/>
          <w:iCs/>
        </w:rPr>
        <w:t xml:space="preserve"> means:</w:t>
      </w:r>
    </w:p>
    <w:p w14:paraId="512FA391" w14:textId="668DAFF9" w:rsidR="000210E0" w:rsidRDefault="00D53362" w:rsidP="00D53362">
      <w:pPr>
        <w:pStyle w:val="paragraph"/>
        <w:rPr>
          <w:bCs/>
          <w:iCs/>
        </w:rPr>
      </w:pPr>
      <w:r>
        <w:rPr>
          <w:bCs/>
          <w:iCs/>
        </w:rPr>
        <w:tab/>
      </w:r>
      <w:r w:rsidR="000210E0">
        <w:rPr>
          <w:bCs/>
          <w:iCs/>
        </w:rPr>
        <w:t>(a)</w:t>
      </w:r>
      <w:r w:rsidR="000210E0">
        <w:rPr>
          <w:bCs/>
          <w:iCs/>
        </w:rPr>
        <w:tab/>
      </w:r>
      <w:r w:rsidR="00257EBB">
        <w:rPr>
          <w:bCs/>
          <w:iCs/>
        </w:rPr>
        <w:t xml:space="preserve">the </w:t>
      </w:r>
      <w:r w:rsidR="00DF71D7">
        <w:rPr>
          <w:bCs/>
          <w:iCs/>
        </w:rPr>
        <w:t>Digital Enhanced Cordless Telecommunications Equipment Standard</w:t>
      </w:r>
      <w:r w:rsidR="007F746B">
        <w:rPr>
          <w:bCs/>
          <w:iCs/>
        </w:rPr>
        <w:t xml:space="preserve"> (</w:t>
      </w:r>
      <w:r w:rsidR="007F746B" w:rsidRPr="007F746B">
        <w:rPr>
          <w:b/>
          <w:i/>
        </w:rPr>
        <w:t>Cordless</w:t>
      </w:r>
      <w:r w:rsidR="00566E78">
        <w:rPr>
          <w:b/>
          <w:i/>
        </w:rPr>
        <w:t xml:space="preserve"> Devices</w:t>
      </w:r>
      <w:r w:rsidR="007F746B" w:rsidRPr="007F746B">
        <w:rPr>
          <w:b/>
          <w:i/>
        </w:rPr>
        <w:t xml:space="preserve"> Standard</w:t>
      </w:r>
      <w:r w:rsidR="007F746B">
        <w:rPr>
          <w:bCs/>
          <w:iCs/>
        </w:rPr>
        <w:t>)</w:t>
      </w:r>
      <w:r w:rsidR="00DF71D7">
        <w:rPr>
          <w:bCs/>
          <w:iCs/>
        </w:rPr>
        <w:t xml:space="preserve">, set out in </w:t>
      </w:r>
      <w:r w:rsidR="00FF2C8A">
        <w:rPr>
          <w:bCs/>
          <w:iCs/>
        </w:rPr>
        <w:t>item</w:t>
      </w:r>
      <w:r w:rsidR="00DF71D7">
        <w:rPr>
          <w:bCs/>
          <w:iCs/>
        </w:rPr>
        <w:t xml:space="preserve"> 13 of </w:t>
      </w:r>
      <w:r w:rsidR="00FF2C8A">
        <w:rPr>
          <w:bCs/>
          <w:iCs/>
        </w:rPr>
        <w:t>the table in clause</w:t>
      </w:r>
      <w:r w:rsidR="007A1E8D">
        <w:rPr>
          <w:bCs/>
          <w:iCs/>
        </w:rPr>
        <w:t xml:space="preserve"> </w:t>
      </w:r>
      <w:r w:rsidR="00FF2C8A">
        <w:rPr>
          <w:bCs/>
          <w:iCs/>
        </w:rPr>
        <w:t xml:space="preserve">3 of </w:t>
      </w:r>
      <w:r w:rsidR="007F746B">
        <w:rPr>
          <w:bCs/>
          <w:iCs/>
        </w:rPr>
        <w:t xml:space="preserve">Schedule 5 to </w:t>
      </w:r>
      <w:r w:rsidR="000210E0">
        <w:rPr>
          <w:bCs/>
          <w:iCs/>
        </w:rPr>
        <w:t xml:space="preserve">the </w:t>
      </w:r>
      <w:r w:rsidR="000210E0">
        <w:rPr>
          <w:bCs/>
          <w:i/>
        </w:rPr>
        <w:t xml:space="preserve">Radiocommunications </w:t>
      </w:r>
      <w:r w:rsidR="007F746B">
        <w:rPr>
          <w:bCs/>
          <w:i/>
        </w:rPr>
        <w:t xml:space="preserve">Equipment </w:t>
      </w:r>
      <w:r w:rsidR="000210E0">
        <w:rPr>
          <w:bCs/>
          <w:i/>
        </w:rPr>
        <w:t>(</w:t>
      </w:r>
      <w:r w:rsidR="00FF2C8A">
        <w:rPr>
          <w:bCs/>
          <w:i/>
        </w:rPr>
        <w:t>General</w:t>
      </w:r>
      <w:r w:rsidR="000210E0">
        <w:rPr>
          <w:bCs/>
          <w:i/>
        </w:rPr>
        <w:t xml:space="preserve">) </w:t>
      </w:r>
      <w:r w:rsidR="00FF2C8A">
        <w:rPr>
          <w:bCs/>
          <w:i/>
        </w:rPr>
        <w:t>Rules 2021</w:t>
      </w:r>
      <w:r w:rsidR="000210E0">
        <w:rPr>
          <w:bCs/>
          <w:iCs/>
        </w:rPr>
        <w:t>; or</w:t>
      </w:r>
    </w:p>
    <w:p w14:paraId="4E2A88F0" w14:textId="1C0DBD5F" w:rsidR="000210E0" w:rsidRPr="000210E0" w:rsidRDefault="00D53362" w:rsidP="00D53362">
      <w:pPr>
        <w:pStyle w:val="paragraph"/>
        <w:rPr>
          <w:bCs/>
          <w:iCs/>
        </w:rPr>
      </w:pPr>
      <w:r>
        <w:rPr>
          <w:bCs/>
          <w:iCs/>
        </w:rPr>
        <w:tab/>
      </w:r>
      <w:r w:rsidR="000210E0">
        <w:rPr>
          <w:bCs/>
          <w:iCs/>
        </w:rPr>
        <w:t>(b)</w:t>
      </w:r>
      <w:r w:rsidR="000210E0">
        <w:rPr>
          <w:bCs/>
          <w:iCs/>
        </w:rPr>
        <w:tab/>
        <w:t xml:space="preserve">if equipment rules are made </w:t>
      </w:r>
      <w:r w:rsidR="00B74879">
        <w:rPr>
          <w:bCs/>
          <w:iCs/>
        </w:rPr>
        <w:t xml:space="preserve">to replace the Cordless </w:t>
      </w:r>
      <w:r w:rsidR="00566E78">
        <w:rPr>
          <w:bCs/>
          <w:iCs/>
        </w:rPr>
        <w:t xml:space="preserve">Devices </w:t>
      </w:r>
      <w:r w:rsidR="00B74879">
        <w:rPr>
          <w:bCs/>
          <w:iCs/>
        </w:rPr>
        <w:t>Standard</w:t>
      </w:r>
      <w:r w:rsidR="00E54E6A">
        <w:rPr>
          <w:bCs/>
          <w:iCs/>
        </w:rPr>
        <w:t xml:space="preserve"> – those equipment rules</w:t>
      </w:r>
      <w:r w:rsidR="0078495F">
        <w:rPr>
          <w:bCs/>
          <w:iCs/>
        </w:rPr>
        <w:t>, to the extent that they perform the same or substantial</w:t>
      </w:r>
      <w:r w:rsidR="0008120F">
        <w:rPr>
          <w:bCs/>
          <w:iCs/>
        </w:rPr>
        <w:t>ly</w:t>
      </w:r>
      <w:r w:rsidR="0078495F">
        <w:rPr>
          <w:bCs/>
          <w:iCs/>
        </w:rPr>
        <w:t xml:space="preserve"> the same function as </w:t>
      </w:r>
      <w:r w:rsidR="00FF2C8A">
        <w:rPr>
          <w:bCs/>
          <w:iCs/>
        </w:rPr>
        <w:t>the Cordless Standard</w:t>
      </w:r>
      <w:r w:rsidR="0078495F">
        <w:rPr>
          <w:bCs/>
          <w:iCs/>
        </w:rPr>
        <w:t>.</w:t>
      </w:r>
    </w:p>
    <w:p w14:paraId="5753A157" w14:textId="2C9680F6" w:rsidR="00356047" w:rsidRDefault="00D10AAA" w:rsidP="00356047">
      <w:pPr>
        <w:pStyle w:val="Definition"/>
        <w:rPr>
          <w:bCs/>
          <w:iCs/>
        </w:rPr>
      </w:pPr>
      <w:r>
        <w:rPr>
          <w:b/>
          <w:i/>
        </w:rPr>
        <w:t>E</w:t>
      </w:r>
      <w:r w:rsidR="00E31CC0">
        <w:rPr>
          <w:b/>
          <w:i/>
        </w:rPr>
        <w:t>C</w:t>
      </w:r>
      <w:r>
        <w:rPr>
          <w:b/>
          <w:i/>
        </w:rPr>
        <w:t xml:space="preserve">C Report 96 </w:t>
      </w:r>
      <w:r>
        <w:rPr>
          <w:bCs/>
          <w:iCs/>
        </w:rPr>
        <w:t>means E</w:t>
      </w:r>
      <w:r w:rsidR="00E31CC0">
        <w:rPr>
          <w:bCs/>
          <w:iCs/>
        </w:rPr>
        <w:t>C</w:t>
      </w:r>
      <w:r>
        <w:rPr>
          <w:bCs/>
          <w:iCs/>
        </w:rPr>
        <w:t xml:space="preserve">C </w:t>
      </w:r>
      <w:r w:rsidR="00D466B3">
        <w:rPr>
          <w:bCs/>
          <w:iCs/>
        </w:rPr>
        <w:t xml:space="preserve">Report 096, “Compatibility between UMTS 900/1800 and systems operating in adjacent bands”, published </w:t>
      </w:r>
      <w:r w:rsidR="005E1674">
        <w:rPr>
          <w:bCs/>
          <w:iCs/>
        </w:rPr>
        <w:t>by the E</w:t>
      </w:r>
      <w:r w:rsidR="00356047">
        <w:rPr>
          <w:bCs/>
          <w:iCs/>
        </w:rPr>
        <w:t>lectronic</w:t>
      </w:r>
      <w:r w:rsidR="005E1674">
        <w:rPr>
          <w:bCs/>
          <w:iCs/>
        </w:rPr>
        <w:t xml:space="preserve"> Communication</w:t>
      </w:r>
      <w:r w:rsidR="00356047">
        <w:rPr>
          <w:bCs/>
          <w:iCs/>
        </w:rPr>
        <w:t>s</w:t>
      </w:r>
      <w:r w:rsidR="005E1674">
        <w:rPr>
          <w:bCs/>
          <w:iCs/>
        </w:rPr>
        <w:t xml:space="preserve"> C</w:t>
      </w:r>
      <w:r w:rsidR="00356047">
        <w:rPr>
          <w:bCs/>
          <w:iCs/>
        </w:rPr>
        <w:t>ommittee of the European Conference of Postal and Telecommunications Administration</w:t>
      </w:r>
      <w:r w:rsidR="00EB414C">
        <w:rPr>
          <w:bCs/>
          <w:iCs/>
        </w:rPr>
        <w:t>s</w:t>
      </w:r>
      <w:r w:rsidR="00356047">
        <w:rPr>
          <w:bCs/>
          <w:iCs/>
        </w:rPr>
        <w:t>.</w:t>
      </w:r>
    </w:p>
    <w:p w14:paraId="3E61798C" w14:textId="2E8AB8F0" w:rsidR="00356047" w:rsidRPr="001A4E73" w:rsidRDefault="00356047" w:rsidP="00356047">
      <w:pPr>
        <w:pStyle w:val="notetext"/>
        <w:rPr>
          <w:bCs/>
          <w:iCs/>
        </w:rPr>
      </w:pPr>
      <w:r>
        <w:rPr>
          <w:bCs/>
          <w:iCs/>
        </w:rPr>
        <w:t>Note:</w:t>
      </w:r>
      <w:r>
        <w:rPr>
          <w:bCs/>
          <w:iCs/>
        </w:rPr>
        <w:tab/>
        <w:t>E</w:t>
      </w:r>
      <w:r w:rsidR="00E31CC0">
        <w:rPr>
          <w:bCs/>
          <w:iCs/>
        </w:rPr>
        <w:t>C</w:t>
      </w:r>
      <w:r>
        <w:rPr>
          <w:bCs/>
          <w:iCs/>
        </w:rPr>
        <w:t xml:space="preserve">C Report 96 is available, free of charge, from the website of the European Communications Office at </w:t>
      </w:r>
      <w:hyperlink r:id="rId15" w:history="1">
        <w:r w:rsidRPr="0045746E">
          <w:rPr>
            <w:rStyle w:val="Hyperlink"/>
            <w:bCs/>
            <w:iCs/>
          </w:rPr>
          <w:t>docdb.cept.org</w:t>
        </w:r>
      </w:hyperlink>
      <w:r>
        <w:rPr>
          <w:bCs/>
          <w:iCs/>
        </w:rPr>
        <w:t xml:space="preserve">. </w:t>
      </w:r>
    </w:p>
    <w:p w14:paraId="6E98BDB3" w14:textId="24140AA3" w:rsidR="00356047" w:rsidRDefault="00356047" w:rsidP="00356047">
      <w:pPr>
        <w:pStyle w:val="Definition"/>
        <w:rPr>
          <w:bCs/>
          <w:iCs/>
        </w:rPr>
      </w:pPr>
      <w:r>
        <w:rPr>
          <w:b/>
          <w:i/>
        </w:rPr>
        <w:t>E</w:t>
      </w:r>
      <w:r w:rsidR="00E31CC0">
        <w:rPr>
          <w:b/>
          <w:i/>
        </w:rPr>
        <w:t>C</w:t>
      </w:r>
      <w:r>
        <w:rPr>
          <w:b/>
          <w:i/>
        </w:rPr>
        <w:t xml:space="preserve">C Report </w:t>
      </w:r>
      <w:r w:rsidR="006B13B6">
        <w:rPr>
          <w:b/>
          <w:i/>
        </w:rPr>
        <w:t>14</w:t>
      </w:r>
      <w:r>
        <w:rPr>
          <w:b/>
          <w:i/>
        </w:rPr>
        <w:t xml:space="preserve">6 </w:t>
      </w:r>
      <w:r>
        <w:rPr>
          <w:bCs/>
          <w:iCs/>
        </w:rPr>
        <w:t>means E</w:t>
      </w:r>
      <w:r w:rsidR="00E31CC0">
        <w:rPr>
          <w:bCs/>
          <w:iCs/>
        </w:rPr>
        <w:t>C</w:t>
      </w:r>
      <w:r>
        <w:rPr>
          <w:bCs/>
          <w:iCs/>
        </w:rPr>
        <w:t xml:space="preserve">C Report </w:t>
      </w:r>
      <w:r w:rsidR="00AB5225">
        <w:rPr>
          <w:bCs/>
          <w:iCs/>
        </w:rPr>
        <w:t>146</w:t>
      </w:r>
      <w:r>
        <w:rPr>
          <w:bCs/>
          <w:iCs/>
        </w:rPr>
        <w:t>, “</w:t>
      </w:r>
      <w:r w:rsidR="00AB5225">
        <w:rPr>
          <w:bCs/>
          <w:iCs/>
        </w:rPr>
        <w:t>Compatibility between GSM MCBTS and other services (TRR, RSBN/PRMG</w:t>
      </w:r>
      <w:r w:rsidR="008E4B1A">
        <w:rPr>
          <w:bCs/>
          <w:iCs/>
        </w:rPr>
        <w:t>, HC-SDMA, GSM-R, DME, MIDS, DECT</w:t>
      </w:r>
      <w:r>
        <w:rPr>
          <w:bCs/>
          <w:iCs/>
        </w:rPr>
        <w:t>”, published by the Electronic Communications Committee of the European Conference of Postal and Telecommunications Administration</w:t>
      </w:r>
      <w:r w:rsidR="00B957F8">
        <w:rPr>
          <w:bCs/>
          <w:iCs/>
        </w:rPr>
        <w:t>s</w:t>
      </w:r>
      <w:r>
        <w:rPr>
          <w:bCs/>
          <w:iCs/>
        </w:rPr>
        <w:t>.</w:t>
      </w:r>
    </w:p>
    <w:p w14:paraId="74B25B7C" w14:textId="24209946" w:rsidR="00356047" w:rsidRPr="001A4E73" w:rsidRDefault="00356047" w:rsidP="00356047">
      <w:pPr>
        <w:pStyle w:val="notetext"/>
        <w:rPr>
          <w:bCs/>
          <w:iCs/>
        </w:rPr>
      </w:pPr>
      <w:r>
        <w:rPr>
          <w:bCs/>
          <w:iCs/>
        </w:rPr>
        <w:t>Note:</w:t>
      </w:r>
      <w:r>
        <w:rPr>
          <w:bCs/>
          <w:iCs/>
        </w:rPr>
        <w:tab/>
        <w:t>E</w:t>
      </w:r>
      <w:r w:rsidR="00E31CC0">
        <w:rPr>
          <w:bCs/>
          <w:iCs/>
        </w:rPr>
        <w:t>C</w:t>
      </w:r>
      <w:r>
        <w:rPr>
          <w:bCs/>
          <w:iCs/>
        </w:rPr>
        <w:t>C Report</w:t>
      </w:r>
      <w:r w:rsidR="008E4B1A">
        <w:rPr>
          <w:bCs/>
          <w:iCs/>
        </w:rPr>
        <w:t xml:space="preserve"> 146</w:t>
      </w:r>
      <w:r>
        <w:rPr>
          <w:bCs/>
          <w:iCs/>
        </w:rPr>
        <w:t xml:space="preserve"> is available, free of charge, from the website of the European Communications Office at </w:t>
      </w:r>
      <w:hyperlink r:id="rId16" w:history="1">
        <w:r w:rsidRPr="0045746E">
          <w:rPr>
            <w:rStyle w:val="Hyperlink"/>
            <w:bCs/>
            <w:iCs/>
          </w:rPr>
          <w:t>docdb.cept.org</w:t>
        </w:r>
      </w:hyperlink>
      <w:r>
        <w:rPr>
          <w:bCs/>
          <w:iCs/>
        </w:rPr>
        <w:t xml:space="preserve">. </w:t>
      </w:r>
    </w:p>
    <w:p w14:paraId="20C81B77" w14:textId="52DFE45B" w:rsidR="008E4B1A" w:rsidRDefault="008E4B1A" w:rsidP="008E4B1A">
      <w:pPr>
        <w:pStyle w:val="Definition"/>
        <w:rPr>
          <w:bCs/>
          <w:iCs/>
        </w:rPr>
      </w:pPr>
      <w:r>
        <w:rPr>
          <w:b/>
          <w:i/>
        </w:rPr>
        <w:t>E</w:t>
      </w:r>
      <w:r w:rsidR="00E31CC0">
        <w:rPr>
          <w:b/>
          <w:i/>
        </w:rPr>
        <w:t>C</w:t>
      </w:r>
      <w:r>
        <w:rPr>
          <w:b/>
          <w:i/>
        </w:rPr>
        <w:t>C Report 1</w:t>
      </w:r>
      <w:r w:rsidR="008A0D99">
        <w:rPr>
          <w:b/>
          <w:i/>
        </w:rPr>
        <w:t>62</w:t>
      </w:r>
      <w:r>
        <w:rPr>
          <w:b/>
          <w:i/>
        </w:rPr>
        <w:t xml:space="preserve"> </w:t>
      </w:r>
      <w:r>
        <w:rPr>
          <w:bCs/>
          <w:iCs/>
        </w:rPr>
        <w:t>means E</w:t>
      </w:r>
      <w:r w:rsidR="00E31CC0">
        <w:rPr>
          <w:bCs/>
          <w:iCs/>
        </w:rPr>
        <w:t>C</w:t>
      </w:r>
      <w:r>
        <w:rPr>
          <w:bCs/>
          <w:iCs/>
        </w:rPr>
        <w:t>C Report 1</w:t>
      </w:r>
      <w:r w:rsidR="008A0D99">
        <w:rPr>
          <w:bCs/>
          <w:iCs/>
        </w:rPr>
        <w:t>62</w:t>
      </w:r>
      <w:r>
        <w:rPr>
          <w:bCs/>
          <w:iCs/>
        </w:rPr>
        <w:t>, “</w:t>
      </w:r>
      <w:r w:rsidR="008A0D99">
        <w:rPr>
          <w:bCs/>
          <w:iCs/>
        </w:rPr>
        <w:t>Practical mechanism to improve the compatibility between GS</w:t>
      </w:r>
      <w:r w:rsidR="00396183">
        <w:rPr>
          <w:bCs/>
          <w:iCs/>
        </w:rPr>
        <w:t>M-R and public mobile networks and guidance on practical coordination</w:t>
      </w:r>
      <w:r>
        <w:rPr>
          <w:bCs/>
          <w:iCs/>
        </w:rPr>
        <w:t>”, published by the Electronic Communications Committee of the European Conference of Postal and Telecommunications Administration</w:t>
      </w:r>
      <w:r w:rsidR="00B957F8">
        <w:rPr>
          <w:bCs/>
          <w:iCs/>
        </w:rPr>
        <w:t>s</w:t>
      </w:r>
      <w:r>
        <w:rPr>
          <w:bCs/>
          <w:iCs/>
        </w:rPr>
        <w:t>.</w:t>
      </w:r>
    </w:p>
    <w:p w14:paraId="37D25C0E" w14:textId="52CB4280" w:rsidR="008E4B1A" w:rsidRPr="001A4E73" w:rsidRDefault="008E4B1A" w:rsidP="008E4B1A">
      <w:pPr>
        <w:pStyle w:val="notetext"/>
        <w:rPr>
          <w:bCs/>
          <w:iCs/>
        </w:rPr>
      </w:pPr>
      <w:r>
        <w:rPr>
          <w:bCs/>
          <w:iCs/>
        </w:rPr>
        <w:t>Note:</w:t>
      </w:r>
      <w:r>
        <w:rPr>
          <w:bCs/>
          <w:iCs/>
        </w:rPr>
        <w:tab/>
        <w:t>E</w:t>
      </w:r>
      <w:r w:rsidR="00E31CC0">
        <w:rPr>
          <w:bCs/>
          <w:iCs/>
        </w:rPr>
        <w:t>C</w:t>
      </w:r>
      <w:r>
        <w:rPr>
          <w:bCs/>
          <w:iCs/>
        </w:rPr>
        <w:t xml:space="preserve">C Report </w:t>
      </w:r>
      <w:r w:rsidR="00396183">
        <w:rPr>
          <w:bCs/>
          <w:iCs/>
        </w:rPr>
        <w:t>162</w:t>
      </w:r>
      <w:r>
        <w:rPr>
          <w:bCs/>
          <w:iCs/>
        </w:rPr>
        <w:t xml:space="preserve"> is available, free of charge, from the website of the European Communications Office at </w:t>
      </w:r>
      <w:hyperlink r:id="rId17" w:history="1">
        <w:r w:rsidRPr="0045746E">
          <w:rPr>
            <w:rStyle w:val="Hyperlink"/>
            <w:bCs/>
            <w:iCs/>
          </w:rPr>
          <w:t>docdb.cept.org</w:t>
        </w:r>
      </w:hyperlink>
      <w:r>
        <w:rPr>
          <w:bCs/>
          <w:iCs/>
        </w:rPr>
        <w:t xml:space="preserve">. </w:t>
      </w:r>
    </w:p>
    <w:p w14:paraId="49FE2D0B" w14:textId="5AA1CFA8" w:rsidR="00633AAF" w:rsidRPr="002C2CDD" w:rsidRDefault="00633AAF" w:rsidP="0046470E">
      <w:pPr>
        <w:pStyle w:val="Definition"/>
        <w:rPr>
          <w:bCs/>
          <w:iCs/>
        </w:rPr>
      </w:pPr>
      <w:r>
        <w:rPr>
          <w:b/>
          <w:i/>
        </w:rPr>
        <w:t xml:space="preserve">effective antenna height </w:t>
      </w:r>
      <w:r w:rsidR="00F2398A">
        <w:rPr>
          <w:bCs/>
          <w:iCs/>
        </w:rPr>
        <w:t>has the meaning given by the section 145 determination.</w:t>
      </w:r>
    </w:p>
    <w:p w14:paraId="14A42E03" w14:textId="7ED845E4" w:rsidR="0045582F" w:rsidRPr="0045582F" w:rsidRDefault="0045582F" w:rsidP="0046470E">
      <w:pPr>
        <w:pStyle w:val="Definition"/>
        <w:rPr>
          <w:bCs/>
          <w:iCs/>
        </w:rPr>
      </w:pPr>
      <w:r>
        <w:rPr>
          <w:b/>
          <w:i/>
        </w:rPr>
        <w:t>fixed service</w:t>
      </w:r>
      <w:r>
        <w:rPr>
          <w:bCs/>
          <w:iCs/>
        </w:rPr>
        <w:t xml:space="preserve"> means a radiocommunication service between fixed points.</w:t>
      </w:r>
    </w:p>
    <w:p w14:paraId="38E581C0" w14:textId="7B76B900" w:rsidR="0046470E" w:rsidRDefault="0046470E" w:rsidP="0046470E">
      <w:pPr>
        <w:pStyle w:val="Definition"/>
        <w:rPr>
          <w:bCs/>
          <w:iCs/>
        </w:rPr>
      </w:pPr>
      <w:r>
        <w:rPr>
          <w:b/>
          <w:i/>
        </w:rPr>
        <w:t>fixed transmitter</w:t>
      </w:r>
      <w:r>
        <w:rPr>
          <w:bCs/>
          <w:iCs/>
        </w:rPr>
        <w:t xml:space="preserve"> means a radiocommunications transmitter:</w:t>
      </w:r>
    </w:p>
    <w:p w14:paraId="57AF7279" w14:textId="1098961C" w:rsidR="0046470E" w:rsidRDefault="00D53362" w:rsidP="00D53362">
      <w:pPr>
        <w:pStyle w:val="paragraph"/>
        <w:rPr>
          <w:bCs/>
          <w:iCs/>
        </w:rPr>
      </w:pPr>
      <w:r>
        <w:rPr>
          <w:bCs/>
          <w:iCs/>
        </w:rPr>
        <w:tab/>
      </w:r>
      <w:r w:rsidR="0046470E">
        <w:rPr>
          <w:bCs/>
          <w:iCs/>
        </w:rPr>
        <w:t>(a)</w:t>
      </w:r>
      <w:r w:rsidR="0046470E">
        <w:rPr>
          <w:bCs/>
          <w:iCs/>
        </w:rPr>
        <w:tab/>
        <w:t xml:space="preserve">located at a </w:t>
      </w:r>
      <w:r w:rsidR="0046470E" w:rsidRPr="004A6A32">
        <w:rPr>
          <w:iCs/>
        </w:rPr>
        <w:t>fixed</w:t>
      </w:r>
      <w:r w:rsidR="0046470E">
        <w:rPr>
          <w:bCs/>
          <w:iCs/>
        </w:rPr>
        <w:t xml:space="preserve"> point on land or sea; and</w:t>
      </w:r>
    </w:p>
    <w:p w14:paraId="00C76FFE" w14:textId="516DD1CB" w:rsidR="0046470E" w:rsidRPr="004A6A32" w:rsidRDefault="00D53362" w:rsidP="00D53362">
      <w:pPr>
        <w:pStyle w:val="paragraph"/>
        <w:rPr>
          <w:bCs/>
          <w:iCs/>
        </w:rPr>
      </w:pPr>
      <w:r>
        <w:rPr>
          <w:bCs/>
          <w:iCs/>
        </w:rPr>
        <w:tab/>
      </w:r>
      <w:r w:rsidR="0046470E">
        <w:rPr>
          <w:bCs/>
          <w:iCs/>
        </w:rPr>
        <w:t>(b)</w:t>
      </w:r>
      <w:r w:rsidR="0046470E">
        <w:rPr>
          <w:bCs/>
          <w:iCs/>
        </w:rPr>
        <w:tab/>
        <w:t>not designed or intended for use while in motion.</w:t>
      </w:r>
    </w:p>
    <w:p w14:paraId="4B4E1F50" w14:textId="3F98AEE9" w:rsidR="00BE31CB" w:rsidRDefault="00BE31CB" w:rsidP="00BE31CB">
      <w:pPr>
        <w:pStyle w:val="Definition"/>
        <w:rPr>
          <w:bCs/>
          <w:iCs/>
        </w:rPr>
      </w:pPr>
      <w:r>
        <w:rPr>
          <w:b/>
          <w:i/>
        </w:rPr>
        <w:lastRenderedPageBreak/>
        <w:t>geographic area</w:t>
      </w:r>
      <w:r>
        <w:rPr>
          <w:bCs/>
          <w:iCs/>
        </w:rPr>
        <w:t>, for a spectrum licence, means the area within which operation of a radiocommunications device is authorised under the licence.</w:t>
      </w:r>
    </w:p>
    <w:p w14:paraId="7D833BCA" w14:textId="14A4C53B" w:rsidR="00CF1FBA" w:rsidRPr="00AF612B" w:rsidRDefault="00CF1FBA" w:rsidP="00CF05C2">
      <w:pPr>
        <w:pStyle w:val="Definition"/>
        <w:rPr>
          <w:bCs/>
          <w:iCs/>
        </w:rPr>
      </w:pPr>
      <w:r>
        <w:rPr>
          <w:b/>
          <w:i/>
        </w:rPr>
        <w:t>GSM-R</w:t>
      </w:r>
      <w:r w:rsidR="00AF612B">
        <w:rPr>
          <w:bCs/>
          <w:iCs/>
        </w:rPr>
        <w:t xml:space="preserve"> means the Global System for Mobile Communications – Railway.</w:t>
      </w:r>
    </w:p>
    <w:p w14:paraId="13369572" w14:textId="394EBDF9" w:rsidR="00883310" w:rsidRDefault="00883310" w:rsidP="00B03EBB">
      <w:pPr>
        <w:pStyle w:val="Definition"/>
        <w:rPr>
          <w:b/>
          <w:i/>
        </w:rPr>
      </w:pPr>
      <w:r>
        <w:rPr>
          <w:b/>
          <w:i/>
        </w:rPr>
        <w:t>GSO</w:t>
      </w:r>
      <w:r w:rsidRPr="00883310">
        <w:rPr>
          <w:bCs/>
          <w:iCs/>
        </w:rPr>
        <w:t>:</w:t>
      </w:r>
      <w:r>
        <w:rPr>
          <w:bCs/>
          <w:iCs/>
        </w:rPr>
        <w:t xml:space="preserve"> see subsection 11(2).</w:t>
      </w:r>
    </w:p>
    <w:p w14:paraId="21EEFB91" w14:textId="356F8B0F" w:rsidR="00B03EBB" w:rsidRPr="00306651" w:rsidRDefault="00B03EBB" w:rsidP="00B03EBB">
      <w:pPr>
        <w:pStyle w:val="Definition"/>
        <w:rPr>
          <w:bCs/>
          <w:iCs/>
        </w:rPr>
      </w:pPr>
      <w:r>
        <w:rPr>
          <w:b/>
          <w:i/>
        </w:rPr>
        <w:t>high sited</w:t>
      </w:r>
      <w:r>
        <w:rPr>
          <w:bCs/>
          <w:iCs/>
        </w:rPr>
        <w:t>: see subsection (2).</w:t>
      </w:r>
    </w:p>
    <w:p w14:paraId="70CA2899" w14:textId="5E637D33" w:rsidR="00CF05C2" w:rsidRDefault="00401B44" w:rsidP="00CF05C2">
      <w:pPr>
        <w:pStyle w:val="Definition"/>
        <w:rPr>
          <w:bCs/>
          <w:iCs/>
        </w:rPr>
      </w:pPr>
      <w:r>
        <w:rPr>
          <w:b/>
          <w:i/>
        </w:rPr>
        <w:t>in-band</w:t>
      </w:r>
      <w:r w:rsidR="00CF05C2">
        <w:rPr>
          <w:bCs/>
          <w:iCs/>
        </w:rPr>
        <w:t xml:space="preserve"> means:</w:t>
      </w:r>
    </w:p>
    <w:p w14:paraId="16847AA8" w14:textId="69F82D97" w:rsidR="00CF05C2" w:rsidRDefault="00D53362" w:rsidP="00D53362">
      <w:pPr>
        <w:pStyle w:val="paragraph"/>
        <w:rPr>
          <w:bCs/>
          <w:iCs/>
        </w:rPr>
      </w:pPr>
      <w:r>
        <w:rPr>
          <w:bCs/>
          <w:iCs/>
        </w:rPr>
        <w:tab/>
      </w:r>
      <w:r w:rsidR="00CF05C2">
        <w:rPr>
          <w:bCs/>
          <w:iCs/>
        </w:rPr>
        <w:t>(a)</w:t>
      </w:r>
      <w:r w:rsidR="00CF05C2">
        <w:rPr>
          <w:bCs/>
          <w:iCs/>
        </w:rPr>
        <w:tab/>
      </w:r>
      <w:r w:rsidR="00401B44">
        <w:rPr>
          <w:bCs/>
          <w:iCs/>
        </w:rPr>
        <w:t xml:space="preserve">for a radiocommunications device operated under a spectrum licence – the part of the spectrum within which the operation of radiocommunications devices is authorised under the </w:t>
      </w:r>
      <w:proofErr w:type="gramStart"/>
      <w:r w:rsidR="00401B44">
        <w:rPr>
          <w:bCs/>
          <w:iCs/>
        </w:rPr>
        <w:t>licence</w:t>
      </w:r>
      <w:r w:rsidR="00CF05C2">
        <w:rPr>
          <w:bCs/>
          <w:iCs/>
        </w:rPr>
        <w:t>;</w:t>
      </w:r>
      <w:proofErr w:type="gramEnd"/>
      <w:r w:rsidR="00CF05C2">
        <w:rPr>
          <w:bCs/>
          <w:iCs/>
        </w:rPr>
        <w:t xml:space="preserve"> </w:t>
      </w:r>
    </w:p>
    <w:p w14:paraId="73072B2C" w14:textId="6C5DC59D" w:rsidR="002A0CBB" w:rsidRDefault="00D53362" w:rsidP="00D53362">
      <w:pPr>
        <w:pStyle w:val="paragraph"/>
        <w:rPr>
          <w:bCs/>
          <w:iCs/>
        </w:rPr>
      </w:pPr>
      <w:r>
        <w:rPr>
          <w:bCs/>
          <w:iCs/>
        </w:rPr>
        <w:tab/>
      </w:r>
      <w:r w:rsidR="002A0CBB">
        <w:rPr>
          <w:bCs/>
          <w:iCs/>
        </w:rPr>
        <w:t>(b)</w:t>
      </w:r>
      <w:r w:rsidR="002A0CBB">
        <w:rPr>
          <w:bCs/>
          <w:iCs/>
        </w:rPr>
        <w:tab/>
        <w:t>for a radiocommunications device operated under an apparatus licence that specifies a frequency band</w:t>
      </w:r>
      <w:r w:rsidR="00E565F8">
        <w:rPr>
          <w:bCs/>
          <w:iCs/>
        </w:rPr>
        <w:t xml:space="preserve"> </w:t>
      </w:r>
      <w:r w:rsidR="002A0CBB">
        <w:rPr>
          <w:bCs/>
          <w:iCs/>
        </w:rPr>
        <w:t xml:space="preserve">– the frequencies within the lower frequency limit and the upper frequency limit specified in the </w:t>
      </w:r>
      <w:proofErr w:type="gramStart"/>
      <w:r w:rsidR="002A0CBB">
        <w:rPr>
          <w:bCs/>
          <w:iCs/>
        </w:rPr>
        <w:t>licence;</w:t>
      </w:r>
      <w:proofErr w:type="gramEnd"/>
    </w:p>
    <w:p w14:paraId="751028F3" w14:textId="5C1C4C19" w:rsidR="002A0CBB" w:rsidRPr="004A6A32" w:rsidRDefault="00D53362" w:rsidP="00D53362">
      <w:pPr>
        <w:pStyle w:val="paragraph"/>
        <w:rPr>
          <w:bCs/>
          <w:iCs/>
        </w:rPr>
      </w:pPr>
      <w:r>
        <w:rPr>
          <w:bCs/>
          <w:iCs/>
        </w:rPr>
        <w:tab/>
      </w:r>
      <w:r w:rsidR="002A0CBB">
        <w:rPr>
          <w:bCs/>
          <w:iCs/>
        </w:rPr>
        <w:t>(c)</w:t>
      </w:r>
      <w:r w:rsidR="002A0CBB">
        <w:rPr>
          <w:bCs/>
          <w:iCs/>
        </w:rPr>
        <w:tab/>
        <w:t xml:space="preserve">for a radiocommunications device operated under an apparatus licence that specifies a specific frequency </w:t>
      </w:r>
      <w:r w:rsidR="003E671D">
        <w:rPr>
          <w:bCs/>
          <w:iCs/>
        </w:rPr>
        <w:t>and bandwidth</w:t>
      </w:r>
      <w:r w:rsidR="003E671D" w:rsidRPr="00935096">
        <w:rPr>
          <w:bCs/>
          <w:iCs/>
        </w:rPr>
        <w:t xml:space="preserve"> – </w:t>
      </w:r>
      <w:r w:rsidR="003E671D">
        <w:rPr>
          <w:bCs/>
          <w:iCs/>
        </w:rPr>
        <w:t>the frequencies within that bandwidth, when centred on the specific frequency</w:t>
      </w:r>
      <w:r w:rsidR="002A0CBB">
        <w:rPr>
          <w:bCs/>
          <w:iCs/>
        </w:rPr>
        <w:t>.</w:t>
      </w:r>
    </w:p>
    <w:p w14:paraId="1E4BD73D" w14:textId="428947DC" w:rsidR="005B3E7E" w:rsidRDefault="005B3E7E" w:rsidP="00CF05C2">
      <w:pPr>
        <w:pStyle w:val="Definition"/>
      </w:pPr>
      <w:r>
        <w:rPr>
          <w:b/>
          <w:i/>
        </w:rPr>
        <w:t>ITU-R</w:t>
      </w:r>
      <w:r w:rsidR="003E671D">
        <w:rPr>
          <w:b/>
          <w:i/>
        </w:rPr>
        <w:t xml:space="preserve"> Recommendation</w:t>
      </w:r>
      <w:r>
        <w:rPr>
          <w:b/>
          <w:i/>
        </w:rPr>
        <w:t xml:space="preserve"> </w:t>
      </w:r>
      <w:r>
        <w:t xml:space="preserve">means </w:t>
      </w:r>
      <w:r w:rsidR="003E671D">
        <w:t xml:space="preserve">a recommendation made by the </w:t>
      </w:r>
      <w:r>
        <w:t>Radiocommunication Sector of the International Telecommunication Union.</w:t>
      </w:r>
    </w:p>
    <w:p w14:paraId="66E8E45E" w14:textId="066773DE" w:rsidR="003E671D" w:rsidRDefault="003E671D" w:rsidP="00505451">
      <w:pPr>
        <w:pStyle w:val="LI-BodyTextNote"/>
        <w:spacing w:before="122"/>
        <w:ind w:left="1985" w:hanging="851"/>
        <w:rPr>
          <w:b/>
          <w:i/>
        </w:rPr>
      </w:pPr>
      <w:r>
        <w:t>Note:</w:t>
      </w:r>
      <w:r>
        <w:tab/>
        <w:t xml:space="preserve">ITU-R Recommendations are available, free of charge, from the website of the International Telecommunication Union at </w:t>
      </w:r>
      <w:hyperlink r:id="rId18" w:history="1">
        <w:r w:rsidRPr="006C0087">
          <w:rPr>
            <w:rStyle w:val="Hyperlink"/>
          </w:rPr>
          <w:t>www.itu.int</w:t>
        </w:r>
      </w:hyperlink>
      <w:r>
        <w:t xml:space="preserve">. </w:t>
      </w:r>
    </w:p>
    <w:p w14:paraId="5DACF088" w14:textId="77777777" w:rsidR="00E35F1C" w:rsidRPr="00306651" w:rsidRDefault="00E35F1C" w:rsidP="00E35F1C">
      <w:pPr>
        <w:pStyle w:val="Definition"/>
        <w:rPr>
          <w:bCs/>
          <w:iCs/>
        </w:rPr>
      </w:pPr>
      <w:r>
        <w:rPr>
          <w:b/>
          <w:i/>
        </w:rPr>
        <w:t>low sited</w:t>
      </w:r>
      <w:r>
        <w:rPr>
          <w:bCs/>
          <w:iCs/>
        </w:rPr>
        <w:t>: see subsection (3).</w:t>
      </w:r>
    </w:p>
    <w:p w14:paraId="1DC9AC29" w14:textId="04629438" w:rsidR="00A3011F" w:rsidRPr="00A3011F" w:rsidRDefault="00A3011F" w:rsidP="007E256B">
      <w:pPr>
        <w:pStyle w:val="Definition"/>
        <w:rPr>
          <w:bCs/>
          <w:iCs/>
        </w:rPr>
      </w:pPr>
      <w:r>
        <w:rPr>
          <w:b/>
          <w:i/>
        </w:rPr>
        <w:t xml:space="preserve">meteorological-satellite service </w:t>
      </w:r>
      <w:r>
        <w:rPr>
          <w:bCs/>
          <w:iCs/>
        </w:rPr>
        <w:t>means an earth exploration-satellite service that is used for meteorological purposes.</w:t>
      </w:r>
    </w:p>
    <w:p w14:paraId="5332EBF2" w14:textId="33C20123" w:rsidR="00841541" w:rsidRDefault="00841541" w:rsidP="00841541">
      <w:pPr>
        <w:pStyle w:val="Definition"/>
        <w:rPr>
          <w:bCs/>
          <w:iCs/>
        </w:rPr>
      </w:pPr>
      <w:r>
        <w:rPr>
          <w:b/>
          <w:i/>
        </w:rPr>
        <w:t xml:space="preserve">mobile transmitter </w:t>
      </w:r>
      <w:r>
        <w:rPr>
          <w:bCs/>
          <w:iCs/>
        </w:rPr>
        <w:t>means a</w:t>
      </w:r>
      <w:r w:rsidR="002E489A">
        <w:rPr>
          <w:bCs/>
          <w:iCs/>
        </w:rPr>
        <w:t xml:space="preserve"> radiocommunications</w:t>
      </w:r>
      <w:r>
        <w:rPr>
          <w:bCs/>
          <w:iCs/>
        </w:rPr>
        <w:t xml:space="preserve"> </w:t>
      </w:r>
      <w:r w:rsidR="002E489A">
        <w:rPr>
          <w:bCs/>
          <w:iCs/>
        </w:rPr>
        <w:t>transmitter</w:t>
      </w:r>
      <w:r>
        <w:rPr>
          <w:bCs/>
          <w:iCs/>
        </w:rPr>
        <w:t xml:space="preserve"> that is used:</w:t>
      </w:r>
    </w:p>
    <w:p w14:paraId="639290D5" w14:textId="627A1850" w:rsidR="00841541" w:rsidRDefault="00D53362" w:rsidP="00D53362">
      <w:pPr>
        <w:pStyle w:val="paragraph"/>
        <w:rPr>
          <w:bCs/>
          <w:iCs/>
        </w:rPr>
      </w:pPr>
      <w:r>
        <w:rPr>
          <w:bCs/>
          <w:iCs/>
        </w:rPr>
        <w:tab/>
      </w:r>
      <w:r w:rsidR="00841541">
        <w:rPr>
          <w:bCs/>
          <w:iCs/>
        </w:rPr>
        <w:t>(a)</w:t>
      </w:r>
      <w:r w:rsidR="00841541">
        <w:rPr>
          <w:bCs/>
          <w:iCs/>
        </w:rPr>
        <w:tab/>
        <w:t>while in motion on land, on water or in the air; or</w:t>
      </w:r>
    </w:p>
    <w:p w14:paraId="08CB2721" w14:textId="3BD3B8A5" w:rsidR="00841541" w:rsidRDefault="00D53362" w:rsidP="00D53362">
      <w:pPr>
        <w:pStyle w:val="paragraph"/>
        <w:rPr>
          <w:bCs/>
          <w:iCs/>
        </w:rPr>
      </w:pPr>
      <w:r>
        <w:rPr>
          <w:bCs/>
          <w:iCs/>
        </w:rPr>
        <w:tab/>
      </w:r>
      <w:r w:rsidR="00841541">
        <w:rPr>
          <w:bCs/>
          <w:iCs/>
        </w:rPr>
        <w:t>(b)</w:t>
      </w:r>
      <w:r w:rsidR="00841541">
        <w:rPr>
          <w:bCs/>
          <w:iCs/>
        </w:rPr>
        <w:tab/>
        <w:t>in a stationary position at unspecified points on land, on water or in the air.</w:t>
      </w:r>
    </w:p>
    <w:p w14:paraId="1F688984" w14:textId="5012AB7E" w:rsidR="00883310" w:rsidRDefault="00883310" w:rsidP="00883310">
      <w:pPr>
        <w:pStyle w:val="Definition"/>
        <w:rPr>
          <w:b/>
          <w:i/>
        </w:rPr>
      </w:pPr>
      <w:r>
        <w:rPr>
          <w:b/>
          <w:i/>
        </w:rPr>
        <w:t>NGSO</w:t>
      </w:r>
      <w:r w:rsidRPr="00883310">
        <w:rPr>
          <w:bCs/>
          <w:iCs/>
        </w:rPr>
        <w:t>:</w:t>
      </w:r>
      <w:r>
        <w:rPr>
          <w:bCs/>
          <w:iCs/>
        </w:rPr>
        <w:t xml:space="preserve"> see subsection 11(2).</w:t>
      </w:r>
    </w:p>
    <w:p w14:paraId="2A0BEDFF" w14:textId="087043CE" w:rsidR="00AA7BF1" w:rsidRDefault="007E7D85" w:rsidP="00CF05C2">
      <w:pPr>
        <w:pStyle w:val="Definition"/>
        <w:rPr>
          <w:bCs/>
          <w:iCs/>
        </w:rPr>
      </w:pPr>
      <w:r>
        <w:rPr>
          <w:b/>
          <w:i/>
        </w:rPr>
        <w:t>out-of-band</w:t>
      </w:r>
      <w:r>
        <w:rPr>
          <w:bCs/>
          <w:iCs/>
        </w:rPr>
        <w:t>, for a radiocommunications device, means a frequency other than an in-band frequency.</w:t>
      </w:r>
    </w:p>
    <w:p w14:paraId="395A0A2A" w14:textId="03EEB71C" w:rsidR="000A4356" w:rsidRDefault="000A4356" w:rsidP="00E76303">
      <w:pPr>
        <w:pStyle w:val="Definition"/>
        <w:rPr>
          <w:bCs/>
          <w:iCs/>
        </w:rPr>
      </w:pPr>
      <w:r>
        <w:rPr>
          <w:b/>
          <w:i/>
        </w:rPr>
        <w:t>point to point</w:t>
      </w:r>
      <w:r w:rsidR="00AD63A2">
        <w:rPr>
          <w:b/>
          <w:i/>
        </w:rPr>
        <w:t xml:space="preserve"> fixed</w:t>
      </w:r>
      <w:r>
        <w:rPr>
          <w:b/>
          <w:i/>
        </w:rPr>
        <w:t xml:space="preserve"> service</w:t>
      </w:r>
      <w:r>
        <w:rPr>
          <w:bCs/>
          <w:iCs/>
        </w:rPr>
        <w:t xml:space="preserve"> means a radiocommunication service using point to point stations.</w:t>
      </w:r>
    </w:p>
    <w:p w14:paraId="01DBF275" w14:textId="77777777" w:rsidR="00E46879" w:rsidRDefault="00E46879" w:rsidP="00E46879">
      <w:pPr>
        <w:pStyle w:val="Definition"/>
        <w:rPr>
          <w:bCs/>
          <w:iCs/>
        </w:rPr>
      </w:pPr>
      <w:r>
        <w:rPr>
          <w:b/>
          <w:i/>
        </w:rPr>
        <w:t xml:space="preserve">Radio Regulations </w:t>
      </w:r>
      <w:r>
        <w:rPr>
          <w:bCs/>
          <w:iCs/>
        </w:rPr>
        <w:t>means the document titled ‘Radio Regulations’, published by the International Telecommunication Union.</w:t>
      </w:r>
    </w:p>
    <w:p w14:paraId="6DF11F29" w14:textId="77777777" w:rsidR="00E46879" w:rsidRDefault="00E46879" w:rsidP="00E46879">
      <w:pPr>
        <w:pStyle w:val="notetext"/>
        <w:rPr>
          <w:bCs/>
          <w:iCs/>
        </w:rPr>
      </w:pPr>
      <w:r>
        <w:rPr>
          <w:bCs/>
          <w:iCs/>
        </w:rPr>
        <w:t>Note 1:</w:t>
      </w:r>
      <w:r>
        <w:rPr>
          <w:bCs/>
          <w:iCs/>
        </w:rPr>
        <w:tab/>
        <w:t>The Radio Regulations are not regulations made by the Governor-General under the Act.</w:t>
      </w:r>
    </w:p>
    <w:p w14:paraId="56454BA0" w14:textId="77777777" w:rsidR="00E46879" w:rsidRDefault="00E46879" w:rsidP="00E46879">
      <w:pPr>
        <w:pStyle w:val="notetext"/>
        <w:rPr>
          <w:bCs/>
          <w:iCs/>
        </w:rPr>
      </w:pPr>
      <w:r>
        <w:rPr>
          <w:bCs/>
          <w:iCs/>
        </w:rPr>
        <w:t>Note 2:</w:t>
      </w:r>
      <w:r>
        <w:rPr>
          <w:bCs/>
          <w:iCs/>
        </w:rPr>
        <w:tab/>
        <w:t xml:space="preserve">The Radio Regulations are available, free of charge, from the International Telecommunication Union’s website at </w:t>
      </w:r>
      <w:hyperlink r:id="rId19" w:history="1">
        <w:r w:rsidRPr="00B565E0">
          <w:rPr>
            <w:rStyle w:val="Hyperlink"/>
            <w:bCs/>
            <w:iCs/>
          </w:rPr>
          <w:t>www.itu.int</w:t>
        </w:r>
      </w:hyperlink>
      <w:r>
        <w:rPr>
          <w:bCs/>
          <w:iCs/>
        </w:rPr>
        <w:t xml:space="preserve">. </w:t>
      </w:r>
    </w:p>
    <w:p w14:paraId="2185A649" w14:textId="6498EE5D" w:rsidR="00181F97" w:rsidRDefault="00181F97" w:rsidP="00CF05C2">
      <w:pPr>
        <w:pStyle w:val="Definition"/>
        <w:rPr>
          <w:bCs/>
          <w:iCs/>
        </w:rPr>
      </w:pPr>
      <w:r>
        <w:rPr>
          <w:b/>
          <w:i/>
        </w:rPr>
        <w:t xml:space="preserve">RALI FX 3 </w:t>
      </w:r>
      <w:r w:rsidR="00377E5E">
        <w:rPr>
          <w:bCs/>
          <w:iCs/>
        </w:rPr>
        <w:t>means the Radiocommunications Assignment and Licensing Instruction FX </w:t>
      </w:r>
      <w:r w:rsidR="00377E5E" w:rsidRPr="00377E5E">
        <w:rPr>
          <w:bCs/>
          <w:iCs/>
        </w:rPr>
        <w:t>3</w:t>
      </w:r>
      <w:r w:rsidR="00377E5E">
        <w:rPr>
          <w:bCs/>
          <w:iCs/>
        </w:rPr>
        <w:t xml:space="preserve"> </w:t>
      </w:r>
      <w:r w:rsidR="007523CC">
        <w:rPr>
          <w:bCs/>
          <w:i/>
        </w:rPr>
        <w:t xml:space="preserve">Microwave </w:t>
      </w:r>
      <w:r w:rsidR="003E431A">
        <w:rPr>
          <w:bCs/>
          <w:i/>
        </w:rPr>
        <w:t>f</w:t>
      </w:r>
      <w:r w:rsidR="007523CC">
        <w:rPr>
          <w:bCs/>
          <w:i/>
        </w:rPr>
        <w:t xml:space="preserve">ixed </w:t>
      </w:r>
      <w:r w:rsidR="003E431A">
        <w:rPr>
          <w:bCs/>
          <w:i/>
        </w:rPr>
        <w:t>s</w:t>
      </w:r>
      <w:r w:rsidR="007523CC">
        <w:rPr>
          <w:bCs/>
          <w:i/>
        </w:rPr>
        <w:t>ervices</w:t>
      </w:r>
      <w:r w:rsidR="003E431A">
        <w:rPr>
          <w:bCs/>
          <w:i/>
        </w:rPr>
        <w:t xml:space="preserve"> f</w:t>
      </w:r>
      <w:r w:rsidR="007523CC">
        <w:rPr>
          <w:bCs/>
          <w:i/>
        </w:rPr>
        <w:t xml:space="preserve">requency </w:t>
      </w:r>
      <w:r w:rsidR="003E431A">
        <w:rPr>
          <w:bCs/>
          <w:i/>
        </w:rPr>
        <w:t>c</w:t>
      </w:r>
      <w:r w:rsidR="007523CC">
        <w:rPr>
          <w:bCs/>
          <w:i/>
        </w:rPr>
        <w:t>oordination</w:t>
      </w:r>
      <w:r w:rsidR="007523CC">
        <w:rPr>
          <w:bCs/>
          <w:iCs/>
        </w:rPr>
        <w:t>, published by the ACMA.</w:t>
      </w:r>
    </w:p>
    <w:p w14:paraId="44FD5F16" w14:textId="3D0DC568" w:rsidR="007523CC" w:rsidRPr="007523CC" w:rsidRDefault="007523CC" w:rsidP="007523CC">
      <w:pPr>
        <w:pStyle w:val="notetext"/>
        <w:rPr>
          <w:bCs/>
          <w:iCs/>
        </w:rPr>
      </w:pPr>
      <w:r>
        <w:rPr>
          <w:bCs/>
          <w:iCs/>
        </w:rPr>
        <w:t>Note:</w:t>
      </w:r>
      <w:r>
        <w:rPr>
          <w:bCs/>
          <w:iCs/>
        </w:rPr>
        <w:tab/>
        <w:t xml:space="preserve">RALI FX 3 is available, free of charge, from the ACMA’s website at </w:t>
      </w:r>
      <w:hyperlink r:id="rId20" w:history="1">
        <w:r w:rsidRPr="00D057AC">
          <w:rPr>
            <w:rStyle w:val="Hyperlink"/>
            <w:bCs/>
            <w:iCs/>
          </w:rPr>
          <w:t>www.acma.gov.au</w:t>
        </w:r>
      </w:hyperlink>
      <w:r>
        <w:rPr>
          <w:bCs/>
          <w:iCs/>
        </w:rPr>
        <w:t xml:space="preserve">. </w:t>
      </w:r>
    </w:p>
    <w:p w14:paraId="2955F8DC" w14:textId="42253913" w:rsidR="007523CC" w:rsidRDefault="007523CC" w:rsidP="00CF05C2">
      <w:pPr>
        <w:pStyle w:val="Definition"/>
        <w:rPr>
          <w:bCs/>
          <w:iCs/>
        </w:rPr>
      </w:pPr>
      <w:r>
        <w:rPr>
          <w:b/>
          <w:i/>
        </w:rPr>
        <w:t>RALI MS 31</w:t>
      </w:r>
      <w:r>
        <w:rPr>
          <w:bCs/>
          <w:iCs/>
        </w:rPr>
        <w:t xml:space="preserve"> means the Radiocommunications Assignment and Licensing Instruction MS 31 </w:t>
      </w:r>
      <w:r>
        <w:rPr>
          <w:bCs/>
          <w:i/>
        </w:rPr>
        <w:t xml:space="preserve">Notification </w:t>
      </w:r>
      <w:r w:rsidR="00E412F6">
        <w:rPr>
          <w:bCs/>
          <w:i/>
        </w:rPr>
        <w:t>z</w:t>
      </w:r>
      <w:r>
        <w:rPr>
          <w:bCs/>
          <w:i/>
        </w:rPr>
        <w:t xml:space="preserve">ones for </w:t>
      </w:r>
      <w:r w:rsidR="00E412F6">
        <w:rPr>
          <w:bCs/>
          <w:i/>
        </w:rPr>
        <w:t>a</w:t>
      </w:r>
      <w:r>
        <w:rPr>
          <w:bCs/>
          <w:i/>
        </w:rPr>
        <w:t xml:space="preserve">pparatus </w:t>
      </w:r>
      <w:r w:rsidR="00E412F6">
        <w:rPr>
          <w:bCs/>
          <w:i/>
        </w:rPr>
        <w:t>l</w:t>
      </w:r>
      <w:r>
        <w:rPr>
          <w:bCs/>
          <w:i/>
        </w:rPr>
        <w:t xml:space="preserve">icensed </w:t>
      </w:r>
      <w:r w:rsidR="00E412F6">
        <w:rPr>
          <w:bCs/>
          <w:i/>
        </w:rPr>
        <w:t>s</w:t>
      </w:r>
      <w:r>
        <w:rPr>
          <w:bCs/>
          <w:i/>
        </w:rPr>
        <w:t xml:space="preserve">ervices </w:t>
      </w:r>
      <w:r w:rsidR="00E412F6">
        <w:rPr>
          <w:bCs/>
          <w:i/>
        </w:rPr>
        <w:t>a</w:t>
      </w:r>
      <w:r>
        <w:rPr>
          <w:bCs/>
          <w:i/>
        </w:rPr>
        <w:t xml:space="preserve">round </w:t>
      </w:r>
      <w:r w:rsidR="00E412F6">
        <w:rPr>
          <w:bCs/>
          <w:i/>
        </w:rPr>
        <w:t>r</w:t>
      </w:r>
      <w:r>
        <w:rPr>
          <w:bCs/>
          <w:i/>
        </w:rPr>
        <w:t xml:space="preserve">adio </w:t>
      </w:r>
      <w:r w:rsidR="00E412F6">
        <w:rPr>
          <w:bCs/>
          <w:i/>
        </w:rPr>
        <w:t>a</w:t>
      </w:r>
      <w:r>
        <w:rPr>
          <w:bCs/>
          <w:i/>
        </w:rPr>
        <w:t xml:space="preserve">stronomy </w:t>
      </w:r>
      <w:r w:rsidR="00E412F6">
        <w:rPr>
          <w:bCs/>
          <w:i/>
        </w:rPr>
        <w:t>f</w:t>
      </w:r>
      <w:r>
        <w:rPr>
          <w:bCs/>
          <w:i/>
        </w:rPr>
        <w:t>acilities</w:t>
      </w:r>
      <w:r>
        <w:rPr>
          <w:bCs/>
          <w:iCs/>
        </w:rPr>
        <w:t>, published by the ACMA.</w:t>
      </w:r>
    </w:p>
    <w:p w14:paraId="2AB02005" w14:textId="1912AC50" w:rsidR="007523CC" w:rsidRPr="007523CC" w:rsidRDefault="007523CC" w:rsidP="007523CC">
      <w:pPr>
        <w:pStyle w:val="notetext"/>
        <w:rPr>
          <w:bCs/>
          <w:iCs/>
        </w:rPr>
      </w:pPr>
      <w:r>
        <w:rPr>
          <w:bCs/>
          <w:iCs/>
        </w:rPr>
        <w:t>Note:</w:t>
      </w:r>
      <w:r>
        <w:rPr>
          <w:bCs/>
          <w:iCs/>
        </w:rPr>
        <w:tab/>
        <w:t xml:space="preserve">RALI </w:t>
      </w:r>
      <w:r w:rsidR="00BE715F">
        <w:rPr>
          <w:bCs/>
          <w:iCs/>
        </w:rPr>
        <w:t>MS 31</w:t>
      </w:r>
      <w:r>
        <w:rPr>
          <w:bCs/>
          <w:iCs/>
        </w:rPr>
        <w:t xml:space="preserve"> is available, free of charge, from the ACMA’s website at </w:t>
      </w:r>
      <w:hyperlink r:id="rId21" w:history="1">
        <w:r w:rsidRPr="00D057AC">
          <w:rPr>
            <w:rStyle w:val="Hyperlink"/>
            <w:bCs/>
            <w:iCs/>
          </w:rPr>
          <w:t>www.acma.gov.au</w:t>
        </w:r>
      </w:hyperlink>
      <w:r>
        <w:rPr>
          <w:bCs/>
          <w:iCs/>
        </w:rPr>
        <w:t xml:space="preserve">. </w:t>
      </w:r>
    </w:p>
    <w:p w14:paraId="6CAE4F3A" w14:textId="419528AC" w:rsidR="007523CC" w:rsidRPr="00BE715F" w:rsidRDefault="007523CC" w:rsidP="00B356CA">
      <w:pPr>
        <w:pStyle w:val="Definition"/>
        <w:keepNext/>
        <w:rPr>
          <w:bCs/>
          <w:iCs/>
        </w:rPr>
      </w:pPr>
      <w:r w:rsidRPr="007523CC">
        <w:rPr>
          <w:b/>
          <w:i/>
        </w:rPr>
        <w:lastRenderedPageBreak/>
        <w:t xml:space="preserve">RALI MS 34 </w:t>
      </w:r>
      <w:r>
        <w:rPr>
          <w:bCs/>
          <w:iCs/>
        </w:rPr>
        <w:t xml:space="preserve">means the Radiocommunications Assignment and Licensing Instruction MS 34 </w:t>
      </w:r>
      <w:r w:rsidR="00BE715F">
        <w:rPr>
          <w:bCs/>
          <w:i/>
        </w:rPr>
        <w:t>Frequency coordination and licensing procedures for apparatus licensed PTS in the 1800 MHz bands</w:t>
      </w:r>
      <w:r w:rsidR="00BE715F">
        <w:rPr>
          <w:bCs/>
          <w:iCs/>
        </w:rPr>
        <w:t>, published by the ACMA.</w:t>
      </w:r>
    </w:p>
    <w:p w14:paraId="3CBF03CA" w14:textId="479CEB28" w:rsidR="00BE715F" w:rsidRPr="007523CC" w:rsidRDefault="00BE715F" w:rsidP="00BE715F">
      <w:pPr>
        <w:pStyle w:val="notetext"/>
        <w:rPr>
          <w:bCs/>
          <w:iCs/>
        </w:rPr>
      </w:pPr>
      <w:r>
        <w:rPr>
          <w:bCs/>
          <w:iCs/>
        </w:rPr>
        <w:t>Note:</w:t>
      </w:r>
      <w:r>
        <w:rPr>
          <w:bCs/>
          <w:iCs/>
        </w:rPr>
        <w:tab/>
        <w:t xml:space="preserve">RALI MS 34 is available, free of charge, from the ACMA’s website at </w:t>
      </w:r>
      <w:hyperlink r:id="rId22" w:history="1">
        <w:r w:rsidRPr="00D057AC">
          <w:rPr>
            <w:rStyle w:val="Hyperlink"/>
            <w:bCs/>
            <w:iCs/>
          </w:rPr>
          <w:t>www.acma.gov.au</w:t>
        </w:r>
      </w:hyperlink>
      <w:r>
        <w:rPr>
          <w:bCs/>
          <w:iCs/>
        </w:rPr>
        <w:t xml:space="preserve">. </w:t>
      </w:r>
    </w:p>
    <w:p w14:paraId="667773BA" w14:textId="27B46DD9" w:rsidR="001530F2" w:rsidRDefault="001530F2" w:rsidP="00CF05C2">
      <w:pPr>
        <w:pStyle w:val="Definition"/>
        <w:rPr>
          <w:bCs/>
          <w:iCs/>
        </w:rPr>
      </w:pPr>
      <w:r>
        <w:rPr>
          <w:b/>
          <w:i/>
        </w:rPr>
        <w:t>section 145 determination</w:t>
      </w:r>
      <w:r>
        <w:rPr>
          <w:bCs/>
          <w:iCs/>
        </w:rPr>
        <w:t xml:space="preserve"> means the </w:t>
      </w:r>
      <w:r>
        <w:rPr>
          <w:bCs/>
          <w:i/>
        </w:rPr>
        <w:t xml:space="preserve">Radiocommunications (Unacceptable Levels of </w:t>
      </w:r>
      <w:r w:rsidR="006424F7">
        <w:rPr>
          <w:bCs/>
          <w:i/>
        </w:rPr>
        <w:t>Interference – 1800 MHz Band) Determination 202</w:t>
      </w:r>
      <w:r w:rsidR="00DA18E3">
        <w:rPr>
          <w:bCs/>
          <w:i/>
        </w:rPr>
        <w:t>3</w:t>
      </w:r>
      <w:r w:rsidR="006424F7">
        <w:rPr>
          <w:bCs/>
          <w:iCs/>
        </w:rPr>
        <w:t>.</w:t>
      </w:r>
    </w:p>
    <w:p w14:paraId="4FE44C9E" w14:textId="39433777" w:rsidR="006424F7" w:rsidRPr="006424F7" w:rsidRDefault="006424F7" w:rsidP="006424F7">
      <w:pPr>
        <w:pStyle w:val="notetext"/>
        <w:rPr>
          <w:bCs/>
          <w:iCs/>
        </w:rPr>
      </w:pPr>
      <w:r>
        <w:rPr>
          <w:bCs/>
          <w:iCs/>
        </w:rPr>
        <w:t>Note:</w:t>
      </w:r>
      <w:r>
        <w:rPr>
          <w:bCs/>
          <w:iCs/>
        </w:rPr>
        <w:tab/>
        <w:t xml:space="preserve">The section 145 determination is available, free of charge, from the Federal Register of Legislation at </w:t>
      </w:r>
      <w:hyperlink r:id="rId23" w:history="1">
        <w:r w:rsidRPr="006A3D35">
          <w:rPr>
            <w:rStyle w:val="Hyperlink"/>
            <w:bCs/>
            <w:iCs/>
          </w:rPr>
          <w:t>www.legislation.gov.au</w:t>
        </w:r>
      </w:hyperlink>
      <w:r>
        <w:rPr>
          <w:bCs/>
          <w:iCs/>
        </w:rPr>
        <w:t xml:space="preserve">. </w:t>
      </w:r>
    </w:p>
    <w:p w14:paraId="46ACB012" w14:textId="382422D8" w:rsidR="005102F4" w:rsidRDefault="005102F4" w:rsidP="00CF05C2">
      <w:pPr>
        <w:pStyle w:val="Definition"/>
        <w:rPr>
          <w:bCs/>
          <w:iCs/>
        </w:rPr>
      </w:pPr>
      <w:r>
        <w:rPr>
          <w:b/>
          <w:i/>
        </w:rPr>
        <w:t>spectrum space</w:t>
      </w:r>
      <w:r w:rsidR="00CF05C2">
        <w:rPr>
          <w:bCs/>
          <w:iCs/>
        </w:rPr>
        <w:t xml:space="preserve"> means</w:t>
      </w:r>
      <w:r>
        <w:rPr>
          <w:bCs/>
          <w:iCs/>
        </w:rPr>
        <w:t xml:space="preserve"> the </w:t>
      </w:r>
      <w:proofErr w:type="gramStart"/>
      <w:r>
        <w:rPr>
          <w:bCs/>
          <w:iCs/>
        </w:rPr>
        <w:t>3 dimensional</w:t>
      </w:r>
      <w:proofErr w:type="gramEnd"/>
      <w:r>
        <w:rPr>
          <w:bCs/>
          <w:iCs/>
        </w:rPr>
        <w:t xml:space="preserve"> space consisting of a frequency band and a geographic area.</w:t>
      </w:r>
    </w:p>
    <w:p w14:paraId="2FB8C79D" w14:textId="77777777" w:rsidR="00CF05C2" w:rsidRDefault="00CF05C2" w:rsidP="00CF05C2">
      <w:pPr>
        <w:pStyle w:val="notetext"/>
      </w:pPr>
      <w:r>
        <w:t>Note:</w:t>
      </w:r>
      <w:r>
        <w:tab/>
      </w:r>
      <w:proofErr w:type="gramStart"/>
      <w:r>
        <w:t>A number of</w:t>
      </w:r>
      <w:proofErr w:type="gramEnd"/>
      <w:r>
        <w:t xml:space="preserve"> other expressions used in this instrument are defined in the Act, including the following:</w:t>
      </w:r>
    </w:p>
    <w:p w14:paraId="5ECE9817" w14:textId="1D2D676C" w:rsidR="00CF05C2" w:rsidRDefault="00CF05C2" w:rsidP="00CF05C2">
      <w:pPr>
        <w:pStyle w:val="notepara"/>
      </w:pPr>
      <w:r>
        <w:t>(a)</w:t>
      </w:r>
      <w:r>
        <w:tab/>
      </w:r>
      <w:proofErr w:type="gramStart"/>
      <w:r>
        <w:t>ACMA;</w:t>
      </w:r>
      <w:proofErr w:type="gramEnd"/>
    </w:p>
    <w:p w14:paraId="71E55068" w14:textId="31EE27C3" w:rsidR="008C17BD" w:rsidRDefault="008C17BD" w:rsidP="00CF05C2">
      <w:pPr>
        <w:pStyle w:val="notepara"/>
      </w:pPr>
      <w:r>
        <w:t>(b)</w:t>
      </w:r>
      <w:r>
        <w:tab/>
        <w:t xml:space="preserve">apparatus </w:t>
      </w:r>
      <w:proofErr w:type="gramStart"/>
      <w:r>
        <w:t>licence;</w:t>
      </w:r>
      <w:proofErr w:type="gramEnd"/>
    </w:p>
    <w:p w14:paraId="1878378A" w14:textId="6D66089B" w:rsidR="00B0709A" w:rsidRDefault="00B0709A" w:rsidP="00CF05C2">
      <w:pPr>
        <w:pStyle w:val="notepara"/>
      </w:pPr>
      <w:r>
        <w:t>(c)</w:t>
      </w:r>
      <w:r>
        <w:tab/>
        <w:t xml:space="preserve">class </w:t>
      </w:r>
      <w:proofErr w:type="gramStart"/>
      <w:r>
        <w:t>licence;</w:t>
      </w:r>
      <w:proofErr w:type="gramEnd"/>
    </w:p>
    <w:p w14:paraId="7E650E5A" w14:textId="4C3F10C5" w:rsidR="00E46879" w:rsidRDefault="00E46879" w:rsidP="00CF05C2">
      <w:pPr>
        <w:pStyle w:val="notepara"/>
      </w:pPr>
      <w:r>
        <w:t>(d)</w:t>
      </w:r>
      <w:r>
        <w:tab/>
        <w:t xml:space="preserve">core </w:t>
      </w:r>
      <w:proofErr w:type="gramStart"/>
      <w:r>
        <w:t>conditions;</w:t>
      </w:r>
      <w:proofErr w:type="gramEnd"/>
    </w:p>
    <w:p w14:paraId="426A9C2A" w14:textId="7C392364" w:rsidR="00C72C43" w:rsidRDefault="00C72C43" w:rsidP="00CF05C2">
      <w:pPr>
        <w:pStyle w:val="notepara"/>
      </w:pPr>
      <w:r>
        <w:t>(</w:t>
      </w:r>
      <w:r w:rsidR="00E46879">
        <w:t>e</w:t>
      </w:r>
      <w:r>
        <w:t>)</w:t>
      </w:r>
      <w:r>
        <w:tab/>
        <w:t xml:space="preserve">equipment </w:t>
      </w:r>
      <w:proofErr w:type="gramStart"/>
      <w:r>
        <w:t>rules;</w:t>
      </w:r>
      <w:proofErr w:type="gramEnd"/>
    </w:p>
    <w:p w14:paraId="3E80AC9D" w14:textId="2DF3F3F6" w:rsidR="00CF05C2" w:rsidRDefault="00CF05C2" w:rsidP="00CF05C2">
      <w:pPr>
        <w:pStyle w:val="notepara"/>
      </w:pPr>
      <w:r>
        <w:t>(</w:t>
      </w:r>
      <w:r w:rsidR="00E46879">
        <w:t>f</w:t>
      </w:r>
      <w:r>
        <w:t>)</w:t>
      </w:r>
      <w:r>
        <w:tab/>
        <w:t xml:space="preserve">frequency </w:t>
      </w:r>
      <w:proofErr w:type="gramStart"/>
      <w:r>
        <w:t>band;</w:t>
      </w:r>
      <w:proofErr w:type="gramEnd"/>
    </w:p>
    <w:p w14:paraId="696AE171" w14:textId="72D784A2" w:rsidR="00CF05C2" w:rsidRDefault="00CF05C2" w:rsidP="00CF05C2">
      <w:pPr>
        <w:pStyle w:val="notepara"/>
      </w:pPr>
      <w:r>
        <w:t>(</w:t>
      </w:r>
      <w:r w:rsidR="00E46879">
        <w:t>g</w:t>
      </w:r>
      <w:r>
        <w:t>)</w:t>
      </w:r>
      <w:r>
        <w:tab/>
      </w:r>
      <w:proofErr w:type="gramStart"/>
      <w:r>
        <w:t>interference;</w:t>
      </w:r>
      <w:proofErr w:type="gramEnd"/>
    </w:p>
    <w:p w14:paraId="510821BA" w14:textId="10CB5C94" w:rsidR="0086494B" w:rsidRDefault="0086494B" w:rsidP="00CF05C2">
      <w:pPr>
        <w:pStyle w:val="notepara"/>
      </w:pPr>
      <w:r>
        <w:t>(</w:t>
      </w:r>
      <w:r w:rsidR="00C471FD">
        <w:t>h</w:t>
      </w:r>
      <w:r>
        <w:t>)</w:t>
      </w:r>
      <w:r w:rsidR="00A736BA">
        <w:tab/>
      </w:r>
      <w:proofErr w:type="gramStart"/>
      <w:r>
        <w:t>radiocommunication;</w:t>
      </w:r>
      <w:proofErr w:type="gramEnd"/>
    </w:p>
    <w:p w14:paraId="4457A728" w14:textId="1DD75839" w:rsidR="00CF05C2" w:rsidRDefault="00CF05C2" w:rsidP="00CF05C2">
      <w:pPr>
        <w:pStyle w:val="notepara"/>
      </w:pPr>
      <w:r>
        <w:t>(</w:t>
      </w:r>
      <w:r w:rsidR="00C471FD">
        <w:t>i</w:t>
      </w:r>
      <w:r>
        <w:t>)</w:t>
      </w:r>
      <w:r>
        <w:tab/>
        <w:t xml:space="preserve">radiocommunications </w:t>
      </w:r>
      <w:proofErr w:type="gramStart"/>
      <w:r>
        <w:t>device;</w:t>
      </w:r>
      <w:proofErr w:type="gramEnd"/>
    </w:p>
    <w:p w14:paraId="71B49414" w14:textId="2B148A52" w:rsidR="00CF05C2" w:rsidRDefault="00CF05C2" w:rsidP="00CF05C2">
      <w:pPr>
        <w:pStyle w:val="notepara"/>
      </w:pPr>
      <w:r>
        <w:t>(</w:t>
      </w:r>
      <w:r w:rsidR="00C471FD">
        <w:t>j</w:t>
      </w:r>
      <w:r>
        <w:t>)</w:t>
      </w:r>
      <w:r>
        <w:tab/>
        <w:t xml:space="preserve">radiocommunications </w:t>
      </w:r>
      <w:proofErr w:type="gramStart"/>
      <w:r>
        <w:t>receiver;</w:t>
      </w:r>
      <w:proofErr w:type="gramEnd"/>
    </w:p>
    <w:p w14:paraId="37A1A858" w14:textId="64EDBA42" w:rsidR="00CF05C2" w:rsidRDefault="00CF05C2" w:rsidP="00CF05C2">
      <w:pPr>
        <w:pStyle w:val="notepara"/>
      </w:pPr>
      <w:r>
        <w:t>(</w:t>
      </w:r>
      <w:r w:rsidR="00C471FD">
        <w:t>k</w:t>
      </w:r>
      <w:r>
        <w:t>)</w:t>
      </w:r>
      <w:r>
        <w:tab/>
        <w:t xml:space="preserve">radiocommunications </w:t>
      </w:r>
      <w:proofErr w:type="gramStart"/>
      <w:r>
        <w:t>transmitter;</w:t>
      </w:r>
      <w:proofErr w:type="gramEnd"/>
    </w:p>
    <w:p w14:paraId="4FC41328" w14:textId="24D7190F" w:rsidR="00CF05C2" w:rsidRDefault="00CF05C2" w:rsidP="00CF05C2">
      <w:pPr>
        <w:pStyle w:val="notepara"/>
      </w:pPr>
      <w:r>
        <w:t>(</w:t>
      </w:r>
      <w:r w:rsidR="00C471FD">
        <w:t>l</w:t>
      </w:r>
      <w:r>
        <w:t>)</w:t>
      </w:r>
      <w:r>
        <w:tab/>
        <w:t xml:space="preserve">radio </w:t>
      </w:r>
      <w:proofErr w:type="gramStart"/>
      <w:r>
        <w:t>emission;</w:t>
      </w:r>
      <w:proofErr w:type="gramEnd"/>
    </w:p>
    <w:p w14:paraId="3F7A0521" w14:textId="1F5CE3AA" w:rsidR="00C36D5F" w:rsidRDefault="00C36D5F" w:rsidP="00CF05C2">
      <w:pPr>
        <w:pStyle w:val="notepara"/>
      </w:pPr>
      <w:r>
        <w:t>(</w:t>
      </w:r>
      <w:r w:rsidR="00C471FD">
        <w:t>m</w:t>
      </w:r>
      <w:r>
        <w:t>)</w:t>
      </w:r>
      <w:r>
        <w:tab/>
      </w:r>
      <w:proofErr w:type="gramStart"/>
      <w:r>
        <w:t>Register;</w:t>
      </w:r>
      <w:proofErr w:type="gramEnd"/>
    </w:p>
    <w:p w14:paraId="35D1D041" w14:textId="56BB7512" w:rsidR="00181F97" w:rsidRDefault="00CF05C2" w:rsidP="00CF05C2">
      <w:pPr>
        <w:pStyle w:val="notepara"/>
      </w:pPr>
      <w:r>
        <w:t>(</w:t>
      </w:r>
      <w:r w:rsidR="00C471FD">
        <w:t>n</w:t>
      </w:r>
      <w:r>
        <w:t>)</w:t>
      </w:r>
      <w:r>
        <w:tab/>
        <w:t xml:space="preserve">spectrum </w:t>
      </w:r>
      <w:proofErr w:type="gramStart"/>
      <w:r>
        <w:t>licence</w:t>
      </w:r>
      <w:r w:rsidR="00181F97">
        <w:t>;</w:t>
      </w:r>
      <w:proofErr w:type="gramEnd"/>
    </w:p>
    <w:p w14:paraId="4D50CD6F" w14:textId="2EBCDE44" w:rsidR="00CF05C2" w:rsidRDefault="00181F97" w:rsidP="00CF05C2">
      <w:pPr>
        <w:pStyle w:val="notepara"/>
      </w:pPr>
      <w:r>
        <w:t>(</w:t>
      </w:r>
      <w:r w:rsidR="00C471FD">
        <w:t>o</w:t>
      </w:r>
      <w:r>
        <w:t>)</w:t>
      </w:r>
      <w:r>
        <w:tab/>
        <w:t xml:space="preserve">spectrum </w:t>
      </w:r>
      <w:proofErr w:type="gramStart"/>
      <w:r>
        <w:t>plan</w:t>
      </w:r>
      <w:r w:rsidR="00D539F2">
        <w:t>;</w:t>
      </w:r>
      <w:proofErr w:type="gramEnd"/>
    </w:p>
    <w:p w14:paraId="25CDC5FA" w14:textId="0891A44A" w:rsidR="00D539F2" w:rsidRDefault="00D539F2" w:rsidP="00CF05C2">
      <w:pPr>
        <w:pStyle w:val="notepara"/>
      </w:pPr>
      <w:r>
        <w:t>(</w:t>
      </w:r>
      <w:r w:rsidR="00C471FD">
        <w:t>p</w:t>
      </w:r>
      <w:r>
        <w:t>)</w:t>
      </w:r>
      <w:r>
        <w:tab/>
        <w:t>transmitter licence.</w:t>
      </w:r>
    </w:p>
    <w:p w14:paraId="38620D84" w14:textId="080CE202" w:rsidR="00CB7DD3" w:rsidRDefault="00CB7DD3" w:rsidP="00CB7DD3">
      <w:pPr>
        <w:pStyle w:val="subsection"/>
      </w:pPr>
      <w:r>
        <w:tab/>
        <w:t>(2)</w:t>
      </w:r>
      <w:r>
        <w:tab/>
        <w:t xml:space="preserve">A radiocommunications device is </w:t>
      </w:r>
      <w:r>
        <w:rPr>
          <w:b/>
          <w:bCs/>
          <w:i/>
          <w:iCs/>
        </w:rPr>
        <w:t xml:space="preserve">high sited </w:t>
      </w:r>
      <w:r>
        <w:t xml:space="preserve">if its effective antenna height for any increment 1, </w:t>
      </w:r>
      <w:r w:rsidR="00F53D6E" w:rsidRPr="00F53D6E">
        <w:rPr>
          <w:noProof/>
        </w:rPr>
        <w:drawing>
          <wp:inline distT="0" distB="0" distL="0" distR="0" wp14:anchorId="1F1408A5" wp14:editId="36B3821C">
            <wp:extent cx="405441" cy="198407"/>
            <wp:effectExtent l="0" t="0" r="0" b="0"/>
            <wp:docPr id="2" name="Picture 2" descr="start formula h subscript e 1 open bracket phi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1 open bracket phi n close bracket end formula"/>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6388" r="46532" b="32358"/>
                    <a:stretch/>
                  </pic:blipFill>
                  <pic:spPr bwMode="auto">
                    <a:xfrm>
                      <a:off x="0" y="0"/>
                      <a:ext cx="405512" cy="198442"/>
                    </a:xfrm>
                    <a:prstGeom prst="rect">
                      <a:avLst/>
                    </a:prstGeom>
                    <a:noFill/>
                    <a:ln>
                      <a:noFill/>
                    </a:ln>
                    <a:extLst>
                      <a:ext uri="{53640926-AAD7-44D8-BBD7-CCE9431645EC}">
                        <a14:shadowObscured xmlns:a14="http://schemas.microsoft.com/office/drawing/2010/main"/>
                      </a:ext>
                    </a:extLst>
                  </pic:spPr>
                </pic:pic>
              </a:graphicData>
            </a:graphic>
          </wp:inline>
        </w:drawing>
      </w:r>
      <w:r w:rsidR="00F53D6E">
        <w:t xml:space="preserve"> </w:t>
      </w:r>
      <w:r>
        <w:t>is greater than 10 metres.</w:t>
      </w:r>
    </w:p>
    <w:p w14:paraId="24AD5CF8" w14:textId="77777777" w:rsidR="00CB7DD3" w:rsidRDefault="00CB7DD3" w:rsidP="00CB7DD3">
      <w:pPr>
        <w:pStyle w:val="subsection"/>
      </w:pPr>
      <w:r>
        <w:tab/>
        <w:t>(3)</w:t>
      </w:r>
      <w:r>
        <w:tab/>
        <w:t xml:space="preserve">A radiocommunications device is </w:t>
      </w:r>
      <w:r>
        <w:rPr>
          <w:b/>
          <w:bCs/>
          <w:i/>
          <w:iCs/>
        </w:rPr>
        <w:t xml:space="preserve">low sited </w:t>
      </w:r>
      <w:r>
        <w:t>if it is not high sited.</w:t>
      </w:r>
    </w:p>
    <w:p w14:paraId="44395F8C" w14:textId="69A6D3B6" w:rsidR="002E5376" w:rsidRDefault="002E5376" w:rsidP="00CF05C2">
      <w:pPr>
        <w:pStyle w:val="subsection"/>
      </w:pPr>
      <w:r>
        <w:tab/>
      </w:r>
      <w:r w:rsidR="00A14192">
        <w:t>(4)</w:t>
      </w:r>
      <w:r w:rsidR="00A14192">
        <w:tab/>
        <w:t>In this instrument, unless the contrary intention appears, each of the terms listed in subsection (5) has the meaning given by:</w:t>
      </w:r>
    </w:p>
    <w:p w14:paraId="3E19D2F2" w14:textId="77777777" w:rsidR="00D53362" w:rsidRDefault="00D53362" w:rsidP="00D53362">
      <w:pPr>
        <w:pStyle w:val="paragraph"/>
        <w:rPr>
          <w:bCs/>
          <w:iCs/>
        </w:rPr>
      </w:pPr>
      <w:r>
        <w:rPr>
          <w:bCs/>
          <w:iCs/>
        </w:rPr>
        <w:tab/>
      </w:r>
      <w:r w:rsidR="00A14192">
        <w:rPr>
          <w:bCs/>
          <w:iCs/>
        </w:rPr>
        <w:t>(a)</w:t>
      </w:r>
      <w:r w:rsidR="00A14192">
        <w:rPr>
          <w:bCs/>
          <w:iCs/>
        </w:rPr>
        <w:tab/>
        <w:t xml:space="preserve">the </w:t>
      </w:r>
      <w:r w:rsidR="00A14192">
        <w:rPr>
          <w:bCs/>
          <w:i/>
        </w:rPr>
        <w:t>Radiocommunications (Interpretation) Determination 2015</w:t>
      </w:r>
      <w:r w:rsidR="00A14192">
        <w:rPr>
          <w:bCs/>
          <w:iCs/>
        </w:rPr>
        <w:t>; or</w:t>
      </w:r>
    </w:p>
    <w:p w14:paraId="4B2DE659" w14:textId="16B76D85" w:rsidR="00A14192" w:rsidRPr="00333400" w:rsidRDefault="00D53362" w:rsidP="00D53362">
      <w:pPr>
        <w:pStyle w:val="paragraph"/>
        <w:rPr>
          <w:bCs/>
          <w:iCs/>
        </w:rPr>
      </w:pPr>
      <w:r>
        <w:rPr>
          <w:bCs/>
          <w:iCs/>
        </w:rPr>
        <w:tab/>
      </w:r>
      <w:r w:rsidR="00A14192">
        <w:rPr>
          <w:bCs/>
          <w:iCs/>
        </w:rPr>
        <w:t>(b)</w:t>
      </w:r>
      <w:r w:rsidR="00A14192">
        <w:rPr>
          <w:bCs/>
          <w:iCs/>
        </w:rPr>
        <w:tab/>
        <w:t xml:space="preserve">if another instrument replaces that determination </w:t>
      </w:r>
      <w:r w:rsidR="00CD3E74">
        <w:rPr>
          <w:bCs/>
          <w:iCs/>
        </w:rPr>
        <w:t xml:space="preserve">and defines the term </w:t>
      </w:r>
      <w:r w:rsidR="00A14192">
        <w:rPr>
          <w:bCs/>
          <w:iCs/>
        </w:rPr>
        <w:t>– the other instrument.</w:t>
      </w:r>
    </w:p>
    <w:p w14:paraId="1D306EB5" w14:textId="7BD3CBC9" w:rsidR="00A14192" w:rsidRDefault="00A14192" w:rsidP="00CF05C2">
      <w:pPr>
        <w:pStyle w:val="subsection"/>
      </w:pPr>
      <w:r>
        <w:tab/>
        <w:t>(5)</w:t>
      </w:r>
      <w:r>
        <w:tab/>
        <w:t>For the purposes of subsection (4), the terms are:</w:t>
      </w:r>
    </w:p>
    <w:p w14:paraId="5D260FB1" w14:textId="6ECFBAFC" w:rsidR="00CF629D" w:rsidRDefault="00CF629D" w:rsidP="00A14192">
      <w:pPr>
        <w:pStyle w:val="paragraph"/>
        <w:tabs>
          <w:tab w:val="clear" w:pos="1531"/>
          <w:tab w:val="left" w:pos="720"/>
          <w:tab w:val="right" w:pos="1701"/>
        </w:tabs>
        <w:ind w:hanging="510"/>
      </w:pPr>
      <w:r>
        <w:t>(a)</w:t>
      </w:r>
      <w:r>
        <w:tab/>
      </w:r>
      <w:r w:rsidRPr="00CF629D">
        <w:rPr>
          <w:b/>
          <w:bCs/>
          <w:i/>
          <w:iCs/>
        </w:rPr>
        <w:t>earth</w:t>
      </w:r>
      <w:r>
        <w:rPr>
          <w:b/>
          <w:bCs/>
          <w:i/>
          <w:iCs/>
        </w:rPr>
        <w:t xml:space="preserve"> </w:t>
      </w:r>
      <w:r w:rsidRPr="00CF629D">
        <w:rPr>
          <w:b/>
          <w:bCs/>
          <w:i/>
          <w:iCs/>
        </w:rPr>
        <w:t>exploration</w:t>
      </w:r>
      <w:r>
        <w:rPr>
          <w:b/>
          <w:bCs/>
          <w:i/>
          <w:iCs/>
        </w:rPr>
        <w:t>-</w:t>
      </w:r>
      <w:r w:rsidRPr="00CF629D">
        <w:rPr>
          <w:b/>
          <w:bCs/>
          <w:i/>
          <w:iCs/>
        </w:rPr>
        <w:t xml:space="preserve">satellite </w:t>
      </w:r>
      <w:proofErr w:type="gramStart"/>
      <w:r w:rsidRPr="00CF629D">
        <w:rPr>
          <w:b/>
          <w:bCs/>
          <w:i/>
          <w:iCs/>
        </w:rPr>
        <w:t>service</w:t>
      </w:r>
      <w:r>
        <w:t>;</w:t>
      </w:r>
      <w:proofErr w:type="gramEnd"/>
    </w:p>
    <w:p w14:paraId="7F4F9038" w14:textId="534FA849" w:rsidR="00F01868" w:rsidRDefault="00F01868" w:rsidP="00A14192">
      <w:pPr>
        <w:pStyle w:val="paragraph"/>
        <w:tabs>
          <w:tab w:val="clear" w:pos="1531"/>
          <w:tab w:val="left" w:pos="720"/>
          <w:tab w:val="right" w:pos="1701"/>
        </w:tabs>
        <w:ind w:hanging="510"/>
      </w:pPr>
      <w:r>
        <w:t>(</w:t>
      </w:r>
      <w:r w:rsidR="00CF629D">
        <w:t>b</w:t>
      </w:r>
      <w:r>
        <w:t>)</w:t>
      </w:r>
      <w:r>
        <w:tab/>
      </w:r>
      <w:r w:rsidRPr="00F01868">
        <w:rPr>
          <w:b/>
          <w:bCs/>
          <w:i/>
          <w:iCs/>
        </w:rPr>
        <w:t xml:space="preserve">earth receive </w:t>
      </w:r>
      <w:proofErr w:type="gramStart"/>
      <w:r w:rsidRPr="00F01868">
        <w:rPr>
          <w:b/>
          <w:bCs/>
          <w:i/>
          <w:iCs/>
        </w:rPr>
        <w:t>station</w:t>
      </w:r>
      <w:r>
        <w:t>;</w:t>
      </w:r>
      <w:proofErr w:type="gramEnd"/>
    </w:p>
    <w:p w14:paraId="65B0AE44" w14:textId="380CDECE" w:rsidR="00F01868" w:rsidRDefault="00F01868" w:rsidP="00A14192">
      <w:pPr>
        <w:pStyle w:val="paragraph"/>
        <w:tabs>
          <w:tab w:val="clear" w:pos="1531"/>
          <w:tab w:val="left" w:pos="720"/>
          <w:tab w:val="right" w:pos="1701"/>
        </w:tabs>
        <w:ind w:hanging="510"/>
      </w:pPr>
      <w:r>
        <w:t>(</w:t>
      </w:r>
      <w:r w:rsidR="00CF629D">
        <w:t>c</w:t>
      </w:r>
      <w:r>
        <w:t>)</w:t>
      </w:r>
      <w:r>
        <w:tab/>
      </w:r>
      <w:r w:rsidRPr="00F01868">
        <w:rPr>
          <w:b/>
          <w:bCs/>
          <w:i/>
          <w:iCs/>
        </w:rPr>
        <w:t xml:space="preserve">earth </w:t>
      </w:r>
      <w:proofErr w:type="gramStart"/>
      <w:r w:rsidRPr="00F01868">
        <w:rPr>
          <w:b/>
          <w:bCs/>
          <w:i/>
          <w:iCs/>
        </w:rPr>
        <w:t>station</w:t>
      </w:r>
      <w:r>
        <w:t>;</w:t>
      </w:r>
      <w:proofErr w:type="gramEnd"/>
    </w:p>
    <w:p w14:paraId="3535B884" w14:textId="636351E0" w:rsidR="00F01868" w:rsidRDefault="00F01868" w:rsidP="00A14192">
      <w:pPr>
        <w:pStyle w:val="paragraph"/>
        <w:tabs>
          <w:tab w:val="clear" w:pos="1531"/>
          <w:tab w:val="left" w:pos="720"/>
          <w:tab w:val="right" w:pos="1701"/>
        </w:tabs>
        <w:ind w:hanging="510"/>
      </w:pPr>
      <w:r>
        <w:t>(</w:t>
      </w:r>
      <w:r w:rsidR="00CF629D">
        <w:t>d</w:t>
      </w:r>
      <w:r>
        <w:t>)</w:t>
      </w:r>
      <w:r>
        <w:tab/>
      </w:r>
      <w:proofErr w:type="gramStart"/>
      <w:r w:rsidRPr="00F01868">
        <w:rPr>
          <w:b/>
          <w:bCs/>
          <w:i/>
          <w:iCs/>
        </w:rPr>
        <w:t>EIRP</w:t>
      </w:r>
      <w:r>
        <w:t>;</w:t>
      </w:r>
      <w:proofErr w:type="gramEnd"/>
    </w:p>
    <w:p w14:paraId="356D97B8" w14:textId="1894BD3C" w:rsidR="003336BB" w:rsidRDefault="003336BB" w:rsidP="00A14192">
      <w:pPr>
        <w:pStyle w:val="paragraph"/>
        <w:tabs>
          <w:tab w:val="clear" w:pos="1531"/>
          <w:tab w:val="left" w:pos="720"/>
          <w:tab w:val="right" w:pos="1701"/>
        </w:tabs>
        <w:ind w:hanging="510"/>
      </w:pPr>
      <w:r>
        <w:t>(</w:t>
      </w:r>
      <w:r w:rsidR="00CF629D">
        <w:t>e</w:t>
      </w:r>
      <w:r>
        <w:t>)</w:t>
      </w:r>
      <w:r>
        <w:tab/>
      </w:r>
      <w:r w:rsidRPr="003336BB">
        <w:rPr>
          <w:b/>
          <w:bCs/>
          <w:i/>
          <w:iCs/>
        </w:rPr>
        <w:t xml:space="preserve">land </w:t>
      </w:r>
      <w:proofErr w:type="gramStart"/>
      <w:r w:rsidRPr="003336BB">
        <w:rPr>
          <w:b/>
          <w:bCs/>
          <w:i/>
          <w:iCs/>
        </w:rPr>
        <w:t>station</w:t>
      </w:r>
      <w:r>
        <w:t>;</w:t>
      </w:r>
      <w:proofErr w:type="gramEnd"/>
    </w:p>
    <w:p w14:paraId="7C1411A4" w14:textId="2D54E6FB" w:rsidR="00F01868" w:rsidRDefault="00F01868" w:rsidP="00A14192">
      <w:pPr>
        <w:pStyle w:val="paragraph"/>
        <w:tabs>
          <w:tab w:val="clear" w:pos="1531"/>
          <w:tab w:val="left" w:pos="720"/>
          <w:tab w:val="right" w:pos="1701"/>
        </w:tabs>
        <w:ind w:hanging="510"/>
      </w:pPr>
      <w:r>
        <w:t>(</w:t>
      </w:r>
      <w:r w:rsidR="00CF629D">
        <w:t>f</w:t>
      </w:r>
      <w:r>
        <w:t>)</w:t>
      </w:r>
      <w:r>
        <w:tab/>
      </w:r>
      <w:r w:rsidRPr="00F01868">
        <w:rPr>
          <w:b/>
          <w:bCs/>
          <w:i/>
          <w:iCs/>
        </w:rPr>
        <w:t xml:space="preserve">mobile </w:t>
      </w:r>
      <w:proofErr w:type="gramStart"/>
      <w:r w:rsidRPr="00F01868">
        <w:rPr>
          <w:b/>
          <w:bCs/>
          <w:i/>
          <w:iCs/>
        </w:rPr>
        <w:t>station</w:t>
      </w:r>
      <w:r>
        <w:t>;</w:t>
      </w:r>
      <w:proofErr w:type="gramEnd"/>
    </w:p>
    <w:p w14:paraId="5B4EAC24" w14:textId="72574734" w:rsidR="007D032F" w:rsidRDefault="007D032F" w:rsidP="00A14192">
      <w:pPr>
        <w:pStyle w:val="paragraph"/>
        <w:tabs>
          <w:tab w:val="clear" w:pos="1531"/>
          <w:tab w:val="left" w:pos="720"/>
          <w:tab w:val="right" w:pos="1701"/>
        </w:tabs>
        <w:ind w:hanging="510"/>
      </w:pPr>
      <w:r>
        <w:t>(</w:t>
      </w:r>
      <w:r w:rsidR="00CF629D">
        <w:t>g)</w:t>
      </w:r>
      <w:r>
        <w:tab/>
      </w:r>
      <w:r w:rsidRPr="007D032F">
        <w:rPr>
          <w:b/>
          <w:bCs/>
          <w:i/>
          <w:iCs/>
        </w:rPr>
        <w:t xml:space="preserve">PMTS Class </w:t>
      </w:r>
      <w:proofErr w:type="gramStart"/>
      <w:r w:rsidRPr="007D032F">
        <w:rPr>
          <w:b/>
          <w:bCs/>
          <w:i/>
          <w:iCs/>
        </w:rPr>
        <w:t>B</w:t>
      </w:r>
      <w:r>
        <w:t>;</w:t>
      </w:r>
      <w:proofErr w:type="gramEnd"/>
    </w:p>
    <w:p w14:paraId="3B8B3D83" w14:textId="54BE1FC3" w:rsidR="007D032F" w:rsidRDefault="007D032F" w:rsidP="00A14192">
      <w:pPr>
        <w:pStyle w:val="paragraph"/>
        <w:tabs>
          <w:tab w:val="clear" w:pos="1531"/>
          <w:tab w:val="left" w:pos="720"/>
          <w:tab w:val="right" w:pos="1701"/>
        </w:tabs>
        <w:ind w:hanging="510"/>
      </w:pPr>
      <w:r>
        <w:t>(</w:t>
      </w:r>
      <w:r w:rsidR="00CF629D">
        <w:t>h</w:t>
      </w:r>
      <w:r>
        <w:t>)</w:t>
      </w:r>
      <w:r>
        <w:tab/>
      </w:r>
      <w:r w:rsidRPr="007D032F">
        <w:rPr>
          <w:b/>
          <w:bCs/>
          <w:i/>
          <w:iCs/>
        </w:rPr>
        <w:t xml:space="preserve">PMTS Class </w:t>
      </w:r>
      <w:proofErr w:type="gramStart"/>
      <w:r w:rsidRPr="007D032F">
        <w:rPr>
          <w:b/>
          <w:bCs/>
          <w:i/>
          <w:iCs/>
        </w:rPr>
        <w:t>C</w:t>
      </w:r>
      <w:r>
        <w:t>;</w:t>
      </w:r>
      <w:proofErr w:type="gramEnd"/>
    </w:p>
    <w:p w14:paraId="55743A74" w14:textId="7EE08EEF" w:rsidR="00F01868" w:rsidRDefault="00F01868" w:rsidP="00A14192">
      <w:pPr>
        <w:pStyle w:val="paragraph"/>
        <w:tabs>
          <w:tab w:val="clear" w:pos="1531"/>
          <w:tab w:val="left" w:pos="720"/>
          <w:tab w:val="right" w:pos="1701"/>
        </w:tabs>
        <w:ind w:hanging="510"/>
      </w:pPr>
      <w:r>
        <w:t>(</w:t>
      </w:r>
      <w:r w:rsidR="00CF629D">
        <w:t>i</w:t>
      </w:r>
      <w:r>
        <w:t>)</w:t>
      </w:r>
      <w:r>
        <w:tab/>
      </w:r>
      <w:r w:rsidRPr="00F01868">
        <w:rPr>
          <w:b/>
          <w:bCs/>
          <w:i/>
          <w:iCs/>
        </w:rPr>
        <w:t xml:space="preserve">point to point </w:t>
      </w:r>
      <w:proofErr w:type="gramStart"/>
      <w:r w:rsidRPr="00F01868">
        <w:rPr>
          <w:b/>
          <w:bCs/>
          <w:i/>
          <w:iCs/>
        </w:rPr>
        <w:t>station</w:t>
      </w:r>
      <w:r>
        <w:t>;</w:t>
      </w:r>
      <w:proofErr w:type="gramEnd"/>
    </w:p>
    <w:p w14:paraId="420BBCFA" w14:textId="01C03A95" w:rsidR="00F01868" w:rsidRDefault="00F01868" w:rsidP="00A14192">
      <w:pPr>
        <w:pStyle w:val="paragraph"/>
        <w:tabs>
          <w:tab w:val="clear" w:pos="1531"/>
          <w:tab w:val="left" w:pos="720"/>
          <w:tab w:val="right" w:pos="1701"/>
        </w:tabs>
        <w:ind w:hanging="510"/>
      </w:pPr>
      <w:r>
        <w:t>(</w:t>
      </w:r>
      <w:r w:rsidR="00CF629D">
        <w:t>j</w:t>
      </w:r>
      <w:r>
        <w:t>)</w:t>
      </w:r>
      <w:r>
        <w:tab/>
      </w:r>
      <w:r w:rsidRPr="00F01868">
        <w:rPr>
          <w:b/>
          <w:bCs/>
          <w:i/>
          <w:iCs/>
        </w:rPr>
        <w:t xml:space="preserve">public mobile telecommunications </w:t>
      </w:r>
      <w:proofErr w:type="gramStart"/>
      <w:r w:rsidRPr="00F01868">
        <w:rPr>
          <w:b/>
          <w:bCs/>
          <w:i/>
          <w:iCs/>
        </w:rPr>
        <w:t>service</w:t>
      </w:r>
      <w:r>
        <w:t>;</w:t>
      </w:r>
      <w:proofErr w:type="gramEnd"/>
    </w:p>
    <w:p w14:paraId="073DC965" w14:textId="3BBBFA73" w:rsidR="00A14192" w:rsidRDefault="00A14192" w:rsidP="00A14192">
      <w:pPr>
        <w:pStyle w:val="paragraph"/>
        <w:tabs>
          <w:tab w:val="clear" w:pos="1531"/>
          <w:tab w:val="left" w:pos="720"/>
          <w:tab w:val="right" w:pos="1701"/>
        </w:tabs>
        <w:ind w:hanging="510"/>
      </w:pPr>
      <w:r>
        <w:t>(</w:t>
      </w:r>
      <w:r w:rsidR="00CF629D">
        <w:t>k</w:t>
      </w:r>
      <w:r>
        <w:t>)</w:t>
      </w:r>
      <w:r>
        <w:tab/>
      </w:r>
      <w:r w:rsidRPr="00F01868">
        <w:rPr>
          <w:b/>
          <w:bCs/>
          <w:i/>
          <w:iCs/>
        </w:rPr>
        <w:t xml:space="preserve">radio astronomy </w:t>
      </w:r>
      <w:proofErr w:type="gramStart"/>
      <w:r w:rsidRPr="00F01868">
        <w:rPr>
          <w:b/>
          <w:bCs/>
          <w:i/>
          <w:iCs/>
        </w:rPr>
        <w:t>service</w:t>
      </w:r>
      <w:r w:rsidR="00F01868">
        <w:t>;</w:t>
      </w:r>
      <w:proofErr w:type="gramEnd"/>
    </w:p>
    <w:p w14:paraId="64C24A68" w14:textId="1B51F1E1" w:rsidR="00F01868" w:rsidRDefault="00F01868" w:rsidP="00A14192">
      <w:pPr>
        <w:pStyle w:val="paragraph"/>
        <w:tabs>
          <w:tab w:val="clear" w:pos="1531"/>
          <w:tab w:val="left" w:pos="720"/>
          <w:tab w:val="right" w:pos="1701"/>
        </w:tabs>
        <w:ind w:hanging="510"/>
      </w:pPr>
      <w:r>
        <w:lastRenderedPageBreak/>
        <w:t>(</w:t>
      </w:r>
      <w:r w:rsidR="00CF629D">
        <w:t>l</w:t>
      </w:r>
      <w:r>
        <w:t>)</w:t>
      </w:r>
      <w:r>
        <w:tab/>
      </w:r>
      <w:r w:rsidRPr="00F01868">
        <w:rPr>
          <w:b/>
          <w:bCs/>
          <w:i/>
          <w:iCs/>
        </w:rPr>
        <w:t xml:space="preserve">space </w:t>
      </w:r>
      <w:proofErr w:type="gramStart"/>
      <w:r w:rsidRPr="00F01868">
        <w:rPr>
          <w:b/>
          <w:bCs/>
          <w:i/>
          <w:iCs/>
        </w:rPr>
        <w:t>station</w:t>
      </w:r>
      <w:r>
        <w:t>;</w:t>
      </w:r>
      <w:proofErr w:type="gramEnd"/>
    </w:p>
    <w:p w14:paraId="37087DBF" w14:textId="7EE0CA98" w:rsidR="00F01868" w:rsidRDefault="00F01868" w:rsidP="00A14192">
      <w:pPr>
        <w:pStyle w:val="paragraph"/>
        <w:tabs>
          <w:tab w:val="clear" w:pos="1531"/>
          <w:tab w:val="left" w:pos="720"/>
          <w:tab w:val="right" w:pos="1701"/>
        </w:tabs>
        <w:ind w:hanging="510"/>
      </w:pPr>
      <w:r>
        <w:t>(</w:t>
      </w:r>
      <w:r w:rsidR="00CF629D">
        <w:t>m</w:t>
      </w:r>
      <w:r>
        <w:t>)</w:t>
      </w:r>
      <w:r>
        <w:tab/>
      </w:r>
      <w:r w:rsidRPr="00F01868">
        <w:rPr>
          <w:b/>
          <w:bCs/>
          <w:i/>
          <w:iCs/>
        </w:rPr>
        <w:t>station</w:t>
      </w:r>
      <w:r w:rsidR="00815CC5">
        <w:t>.</w:t>
      </w:r>
    </w:p>
    <w:p w14:paraId="73D729F4" w14:textId="0854784A" w:rsidR="00CF05C2" w:rsidRPr="00837E5B" w:rsidRDefault="00CF05C2" w:rsidP="00CF05C2">
      <w:pPr>
        <w:pStyle w:val="subsection"/>
      </w:pPr>
      <w:r>
        <w:tab/>
        <w:t>(</w:t>
      </w:r>
      <w:r w:rsidR="00A14192">
        <w:t>6</w:t>
      </w:r>
      <w:r>
        <w:t>)</w:t>
      </w:r>
      <w:r>
        <w:tab/>
        <w:t xml:space="preserve">In this instrument, unless otherwise specified,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proofErr w:type="gramStart"/>
      <w:r>
        <w:rPr>
          <w:rStyle w:val="CharSectno"/>
        </w:rPr>
        <w:t>6</w:t>
      </w:r>
      <w:r w:rsidRPr="004F1E24">
        <w:rPr>
          <w:rStyle w:val="CharSectno"/>
        </w:rPr>
        <w:t xml:space="preserve"> </w:t>
      </w:r>
      <w:r>
        <w:t xml:space="preserve"> References</w:t>
      </w:r>
      <w:proofErr w:type="gramEnd"/>
      <w:r>
        <w:t xml:space="preserve">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 xml:space="preserve">a reference to any other legislative instrument is a reference to that other legislative instrument as in </w:t>
      </w:r>
      <w:r w:rsidRPr="00D53362">
        <w:rPr>
          <w:bCs/>
          <w:iCs/>
        </w:rPr>
        <w:t>force</w:t>
      </w:r>
      <w:r>
        <w:t xml:space="preserve"> from time to time; and</w:t>
      </w:r>
    </w:p>
    <w:p w14:paraId="01C6A822" w14:textId="2B2E767A" w:rsidR="00CF05C2" w:rsidRDefault="00CF05C2" w:rsidP="00CF05C2">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proofErr w:type="gramStart"/>
      <w:r>
        <w:rPr>
          <w:rStyle w:val="CharSectno"/>
        </w:rPr>
        <w:t>7</w:t>
      </w:r>
      <w:r w:rsidRPr="004F1E24">
        <w:t xml:space="preserve">  </w:t>
      </w:r>
      <w:bookmarkEnd w:id="5"/>
      <w:r>
        <w:t>Background</w:t>
      </w:r>
      <w:proofErr w:type="gramEnd"/>
    </w:p>
    <w:p w14:paraId="43EB17C8" w14:textId="74580D54" w:rsidR="0025477D" w:rsidRDefault="0025477D" w:rsidP="00CF05C2">
      <w:pPr>
        <w:pStyle w:val="subsection"/>
      </w:pPr>
      <w:r>
        <w:tab/>
        <w:t>(1)</w:t>
      </w:r>
      <w:r>
        <w:tab/>
        <w:t xml:space="preserve">The 1800 MHz spectrum licences have been allocated in relation to geographic areas in capital cities and in regional areas. Apparatus licensed and class licensed radiocommunications transmitters </w:t>
      </w:r>
      <w:r w:rsidR="00133728">
        <w:t>communicate with radiocommunications receivers in and adjacent to the 1800 MHz band.</w:t>
      </w:r>
      <w:r w:rsidR="00867C70">
        <w:t xml:space="preserve"> These receivers may suffer interference from </w:t>
      </w:r>
      <w:r w:rsidR="006D1EEF">
        <w:t>radiocommunications transmitter</w:t>
      </w:r>
      <w:r w:rsidR="006E62B5">
        <w:t>s</w:t>
      </w:r>
      <w:r w:rsidR="006D1EEF">
        <w:t xml:space="preserve"> operated under </w:t>
      </w:r>
      <w:r w:rsidR="00867C70">
        <w:t xml:space="preserve">an 1800 MHz </w:t>
      </w:r>
      <w:r w:rsidR="006D1EEF">
        <w:t>spectrum licence</w:t>
      </w:r>
      <w:r w:rsidR="00867C70">
        <w:t>.</w:t>
      </w:r>
    </w:p>
    <w:p w14:paraId="5BA339EA" w14:textId="76F9DA25" w:rsidR="0017406A" w:rsidRDefault="00035A3D" w:rsidP="00035A3D">
      <w:pPr>
        <w:pStyle w:val="subsection"/>
      </w:pPr>
      <w:r>
        <w:tab/>
        <w:t>(</w:t>
      </w:r>
      <w:r w:rsidR="006E62B5">
        <w:t>2</w:t>
      </w:r>
      <w:r>
        <w:t>)</w:t>
      </w:r>
      <w:r>
        <w:tab/>
        <w:t xml:space="preserve">This instrument </w:t>
      </w:r>
      <w:r w:rsidR="0017406A">
        <w:t xml:space="preserve">has been made </w:t>
      </w:r>
      <w:r w:rsidR="00DB6FD2">
        <w:t>to provide guidance on</w:t>
      </w:r>
      <w:r w:rsidR="0017406A">
        <w:t xml:space="preserve"> the management of interference </w:t>
      </w:r>
      <w:r w:rsidR="00DB6FD2">
        <w:t xml:space="preserve">from radiocommunications transmitters operated under an 1800 MHz spectrum licence </w:t>
      </w:r>
      <w:r w:rsidR="0017406A">
        <w:t xml:space="preserve">to </w:t>
      </w:r>
      <w:r w:rsidR="00DB6FD2">
        <w:t xml:space="preserve">apparatus </w:t>
      </w:r>
      <w:r w:rsidR="0017406A">
        <w:t>licensed radiocommunications receivers operating in the following circumstances:</w:t>
      </w:r>
    </w:p>
    <w:p w14:paraId="2648C2C5" w14:textId="2163EBC7" w:rsidR="0017406A" w:rsidRDefault="0017406A" w:rsidP="0017406A">
      <w:pPr>
        <w:pStyle w:val="paragraph"/>
      </w:pPr>
      <w:r>
        <w:tab/>
        <w:t>(a)</w:t>
      </w:r>
      <w:r>
        <w:tab/>
        <w:t>point</w:t>
      </w:r>
      <w:r w:rsidR="00405781">
        <w:t xml:space="preserve"> </w:t>
      </w:r>
      <w:r>
        <w:t>to</w:t>
      </w:r>
      <w:r w:rsidR="00405781">
        <w:t xml:space="preserve"> </w:t>
      </w:r>
      <w:r>
        <w:t>point fixed services operating in and adjacent to the 1800 MHz band (Part 3</w:t>
      </w:r>
      <w:proofErr w:type="gramStart"/>
      <w:r>
        <w:t>);</w:t>
      </w:r>
      <w:proofErr w:type="gramEnd"/>
    </w:p>
    <w:p w14:paraId="134B53BD" w14:textId="4586AD61" w:rsidR="0017406A" w:rsidRDefault="0017406A" w:rsidP="0017406A">
      <w:pPr>
        <w:pStyle w:val="paragraph"/>
      </w:pPr>
      <w:r>
        <w:tab/>
        <w:t>(b)</w:t>
      </w:r>
      <w:r>
        <w:tab/>
        <w:t xml:space="preserve">meteorological-satellite services operating </w:t>
      </w:r>
      <w:r w:rsidR="00DB6FD2">
        <w:t xml:space="preserve">at frequencies </w:t>
      </w:r>
      <w:r>
        <w:t>below 1710 MHz</w:t>
      </w:r>
      <w:r w:rsidR="008A126F">
        <w:t xml:space="preserve"> (</w:t>
      </w:r>
      <w:r w:rsidR="00544B69">
        <w:t>Part </w:t>
      </w:r>
      <w:r w:rsidR="008A126F">
        <w:t>4</w:t>
      </w:r>
      <w:proofErr w:type="gramStart"/>
      <w:r w:rsidR="008A126F">
        <w:t>);</w:t>
      </w:r>
      <w:proofErr w:type="gramEnd"/>
    </w:p>
    <w:p w14:paraId="362DB843" w14:textId="4747D83D" w:rsidR="008A126F" w:rsidRDefault="008A126F" w:rsidP="0017406A">
      <w:pPr>
        <w:pStyle w:val="paragraph"/>
      </w:pPr>
      <w:r>
        <w:tab/>
        <w:t>(c)</w:t>
      </w:r>
      <w:r>
        <w:tab/>
        <w:t xml:space="preserve">cordless communications devices authorised by </w:t>
      </w:r>
      <w:r w:rsidR="00E461F6">
        <w:t>the Cordless Devices</w:t>
      </w:r>
      <w:r>
        <w:t xml:space="preserve"> </w:t>
      </w:r>
      <w:r w:rsidR="00E461F6">
        <w:t>C</w:t>
      </w:r>
      <w:r>
        <w:t xml:space="preserve">lass </w:t>
      </w:r>
      <w:r w:rsidR="00E461F6">
        <w:t>L</w:t>
      </w:r>
      <w:r>
        <w:t>icence and operating in the 1880 MHz</w:t>
      </w:r>
      <w:r w:rsidR="0064430E">
        <w:t xml:space="preserve"> to </w:t>
      </w:r>
      <w:r>
        <w:t>1900 MHz frequency band (Part 5</w:t>
      </w:r>
      <w:proofErr w:type="gramStart"/>
      <w:r>
        <w:t>);</w:t>
      </w:r>
      <w:proofErr w:type="gramEnd"/>
    </w:p>
    <w:p w14:paraId="4759FD92" w14:textId="07163A15" w:rsidR="008A126F" w:rsidRDefault="008A126F" w:rsidP="0017406A">
      <w:pPr>
        <w:pStyle w:val="paragraph"/>
      </w:pPr>
      <w:r>
        <w:tab/>
        <w:t>(d)</w:t>
      </w:r>
      <w:r>
        <w:tab/>
      </w:r>
      <w:r w:rsidR="00B7325E">
        <w:t xml:space="preserve">public </w:t>
      </w:r>
      <w:r w:rsidR="00DB6FD2">
        <w:t xml:space="preserve">mobile </w:t>
      </w:r>
      <w:r w:rsidR="00B7325E">
        <w:t xml:space="preserve">telecommunications services operating in the 1800 MHz band outside the geographic areas of 1800 MHz spectrum licences (Part </w:t>
      </w:r>
      <w:r w:rsidR="009650F2">
        <w:t>7</w:t>
      </w:r>
      <w:r w:rsidR="00B7325E">
        <w:t>).</w:t>
      </w:r>
    </w:p>
    <w:p w14:paraId="11428D8E" w14:textId="2436FBB1" w:rsidR="00B7325E" w:rsidRDefault="009650F2" w:rsidP="00035A3D">
      <w:pPr>
        <w:pStyle w:val="subsection"/>
      </w:pPr>
      <w:r>
        <w:tab/>
        <w:t>(</w:t>
      </w:r>
      <w:r w:rsidR="00DB6FD2">
        <w:t>3</w:t>
      </w:r>
      <w:r>
        <w:t>)</w:t>
      </w:r>
      <w:r>
        <w:tab/>
        <w:t>This instrument also provides advice on</w:t>
      </w:r>
      <w:r w:rsidR="002355FF">
        <w:t xml:space="preserve"> the following</w:t>
      </w:r>
      <w:r>
        <w:t>:</w:t>
      </w:r>
    </w:p>
    <w:p w14:paraId="5F9F472D" w14:textId="3C4B02F4" w:rsidR="00A12815" w:rsidRDefault="009650F2" w:rsidP="009650F2">
      <w:pPr>
        <w:pStyle w:val="paragraph"/>
      </w:pPr>
      <w:r>
        <w:tab/>
        <w:t>(a)</w:t>
      </w:r>
      <w:r>
        <w:tab/>
        <w:t>the protection of radio</w:t>
      </w:r>
      <w:r w:rsidR="00B13E16">
        <w:t xml:space="preserve"> </w:t>
      </w:r>
      <w:r>
        <w:t>astronomy services operating in the 1250 MHz</w:t>
      </w:r>
      <w:r w:rsidR="0064430E">
        <w:t xml:space="preserve"> to </w:t>
      </w:r>
      <w:r>
        <w:t>1780</w:t>
      </w:r>
      <w:r w:rsidR="00463B10">
        <w:t> </w:t>
      </w:r>
      <w:r>
        <w:t xml:space="preserve">MHz frequency band on a </w:t>
      </w:r>
      <w:r w:rsidR="00463B10">
        <w:t xml:space="preserve">fortuitous </w:t>
      </w:r>
      <w:r>
        <w:t>basis (Part 6</w:t>
      </w:r>
      <w:proofErr w:type="gramStart"/>
      <w:r>
        <w:t>);</w:t>
      </w:r>
      <w:proofErr w:type="gramEnd"/>
    </w:p>
    <w:p w14:paraId="66273BF2" w14:textId="63651AFC" w:rsidR="009650F2" w:rsidRDefault="009650F2" w:rsidP="009650F2">
      <w:pPr>
        <w:pStyle w:val="paragraph"/>
      </w:pPr>
      <w:r>
        <w:tab/>
        <w:t>(b)</w:t>
      </w:r>
      <w:r>
        <w:tab/>
        <w:t>the co</w:t>
      </w:r>
      <w:r w:rsidR="00A12815">
        <w:t>-</w:t>
      </w:r>
      <w:r>
        <w:t xml:space="preserve">existence arrangements </w:t>
      </w:r>
      <w:r w:rsidR="000448D2">
        <w:t xml:space="preserve">between public mobile telecommunications service networks and </w:t>
      </w:r>
      <w:r w:rsidR="001B06E3">
        <w:t>GSM-R</w:t>
      </w:r>
      <w:r w:rsidR="000448D2">
        <w:t xml:space="preserve"> technologies, operating under 1800 MHz spectrum licences (Part </w:t>
      </w:r>
      <w:r w:rsidR="00FD7515">
        <w:t>8</w:t>
      </w:r>
      <w:r w:rsidR="000448D2">
        <w:t>).</w:t>
      </w:r>
    </w:p>
    <w:p w14:paraId="4A950407" w14:textId="0719AFF4" w:rsidR="00B7325E" w:rsidRDefault="000448D2" w:rsidP="00035A3D">
      <w:pPr>
        <w:pStyle w:val="subsection"/>
      </w:pPr>
      <w:r>
        <w:tab/>
        <w:t>(</w:t>
      </w:r>
      <w:r w:rsidR="00DB6FD2">
        <w:t>4</w:t>
      </w:r>
      <w:r>
        <w:t>)</w:t>
      </w:r>
      <w:r>
        <w:tab/>
      </w:r>
      <w:r w:rsidR="00BF3B94">
        <w:t xml:space="preserve">As radio waves propagate in different ways because of factors such as frequency, terrain, atmospheric conditions and topography, there are </w:t>
      </w:r>
      <w:proofErr w:type="gramStart"/>
      <w:r w:rsidR="00BF3B94">
        <w:t>a number of</w:t>
      </w:r>
      <w:proofErr w:type="gramEnd"/>
      <w:r w:rsidR="00BF3B94">
        <w:t xml:space="preserve"> ways to predict path loss. The ITU</w:t>
      </w:r>
      <w:r w:rsidR="00DB2878">
        <w:t>-R Recommendation P.</w:t>
      </w:r>
      <w:r w:rsidR="00D516A5">
        <w:t>1</w:t>
      </w:r>
      <w:r w:rsidR="00DB2878">
        <w:t>1</w:t>
      </w:r>
      <w:r w:rsidR="00F066C4">
        <w:t>4</w:t>
      </w:r>
      <w:r w:rsidR="00DB2878">
        <w:t xml:space="preserve">4 “Guide to the application of the propagation methods of Radiocommunication Study Group 3” provides a guide on the application of various propagation methods developed by the </w:t>
      </w:r>
      <w:r w:rsidR="005C5DA2">
        <w:t>Radiocommunication Sector of the International Telecommunication Union</w:t>
      </w:r>
      <w:r w:rsidR="00DB2878">
        <w:t>.</w:t>
      </w:r>
      <w:r w:rsidR="006737CB">
        <w:t xml:space="preserve"> It advises on the most appropriate methods for </w:t>
      </w:r>
      <w:proofErr w:type="gramStart"/>
      <w:r w:rsidR="006737CB">
        <w:t>particular applications</w:t>
      </w:r>
      <w:proofErr w:type="gramEnd"/>
      <w:r w:rsidR="006737CB">
        <w:t xml:space="preserve">, as well as the limits, required input information and output for each of these methods. </w:t>
      </w:r>
      <w:r w:rsidR="005B10BF">
        <w:t xml:space="preserve">The most recent version of propagation models developed by the </w:t>
      </w:r>
      <w:r w:rsidR="005C5DA2">
        <w:t>Radiocommunication Sector of the International Telecommunication Union</w:t>
      </w:r>
      <w:r w:rsidR="005C5DA2" w:rsidDel="005C5DA2">
        <w:t xml:space="preserve"> </w:t>
      </w:r>
      <w:r w:rsidR="005B10BF">
        <w:t>should be considered when modelling propagation in the 1800 MHz band.</w:t>
      </w:r>
    </w:p>
    <w:p w14:paraId="28A6B001" w14:textId="586D498E" w:rsidR="005B10BF" w:rsidRDefault="005B10BF" w:rsidP="005B10BF">
      <w:pPr>
        <w:pStyle w:val="notetext"/>
      </w:pPr>
      <w:r>
        <w:t>Note 1:</w:t>
      </w:r>
      <w:r>
        <w:tab/>
        <w:t>ITU-R Recommendation P.1</w:t>
      </w:r>
      <w:r w:rsidR="00885F06">
        <w:t>1</w:t>
      </w:r>
      <w:r w:rsidR="00F066C4">
        <w:t>4</w:t>
      </w:r>
      <w:r>
        <w:t xml:space="preserve">4 is available, free of charge, from the International Telecommunication Union’s website at </w:t>
      </w:r>
      <w:hyperlink r:id="rId29" w:history="1">
        <w:r w:rsidRPr="00D057AC">
          <w:rPr>
            <w:rStyle w:val="Hyperlink"/>
          </w:rPr>
          <w:t>www.itu.int</w:t>
        </w:r>
      </w:hyperlink>
      <w:r>
        <w:t>.</w:t>
      </w:r>
    </w:p>
    <w:p w14:paraId="205DD233" w14:textId="1E7188F3" w:rsidR="000448D2" w:rsidRDefault="005B10BF" w:rsidP="005B10BF">
      <w:pPr>
        <w:pStyle w:val="notetext"/>
      </w:pPr>
      <w:r>
        <w:t>Note 2:</w:t>
      </w:r>
      <w:r>
        <w:tab/>
        <w:t xml:space="preserve">The use of other published propagation models applicable to the 1800 MHz band may also be suitable. </w:t>
      </w:r>
    </w:p>
    <w:p w14:paraId="392F97E5" w14:textId="5D60AE1C" w:rsidR="00035A3D" w:rsidRDefault="005B10BF" w:rsidP="00035A3D">
      <w:pPr>
        <w:pStyle w:val="subsection"/>
      </w:pPr>
      <w:r>
        <w:tab/>
        <w:t>(</w:t>
      </w:r>
      <w:r w:rsidR="00DB6FD2">
        <w:t>5</w:t>
      </w:r>
      <w:r>
        <w:t>)</w:t>
      </w:r>
      <w:r>
        <w:tab/>
        <w:t xml:space="preserve">The ACMA </w:t>
      </w:r>
      <w:r w:rsidR="00081CC3">
        <w:t>may</w:t>
      </w:r>
      <w:r>
        <w:t xml:space="preserve"> take this instrument into account</w:t>
      </w:r>
      <w:r w:rsidR="00380770">
        <w:t xml:space="preserve"> in determining whether </w:t>
      </w:r>
      <w:r w:rsidR="006D1EEF">
        <w:t xml:space="preserve">a radiocommunications transmitter operated under </w:t>
      </w:r>
      <w:r w:rsidR="00380770">
        <w:t xml:space="preserve">an 1800 MHz </w:t>
      </w:r>
      <w:r w:rsidR="006D1EEF">
        <w:t>spectrum licence</w:t>
      </w:r>
      <w:r w:rsidR="00380770">
        <w:t xml:space="preserve"> is causing interference to an apparatus licensed or class licensed radiocommunications receiver operating in circumstances set out in this instrument. </w:t>
      </w:r>
    </w:p>
    <w:p w14:paraId="2CB3CC6B" w14:textId="083F5983" w:rsidR="00292304" w:rsidRDefault="00292304" w:rsidP="00292304">
      <w:pPr>
        <w:pStyle w:val="subsection"/>
      </w:pPr>
      <w:r>
        <w:tab/>
        <w:t>(</w:t>
      </w:r>
      <w:r w:rsidR="00DB6FD2">
        <w:t>6</w:t>
      </w:r>
      <w:r>
        <w:t>)</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30"/>
          <w:headerReference w:type="default" r:id="rId31"/>
          <w:headerReference w:type="first" r:id="rId32"/>
          <w:pgSz w:w="11906" w:h="16838"/>
          <w:pgMar w:top="1440" w:right="1440" w:bottom="1440" w:left="1440" w:header="708" w:footer="708" w:gutter="0"/>
          <w:cols w:space="720"/>
        </w:sectPr>
      </w:pPr>
    </w:p>
    <w:p w14:paraId="3EB647AC" w14:textId="5D5C3A14"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2766DC">
        <w:rPr>
          <w:rFonts w:ascii="Times New Roman" w:hAnsi="Times New Roman" w:cs="Times New Roman"/>
          <w:b/>
          <w:bCs/>
          <w:sz w:val="32"/>
          <w:szCs w:val="32"/>
        </w:rPr>
        <w:t>Point</w:t>
      </w:r>
      <w:r w:rsidR="00D72AB2">
        <w:rPr>
          <w:rFonts w:ascii="Times New Roman" w:hAnsi="Times New Roman" w:cs="Times New Roman"/>
          <w:b/>
          <w:bCs/>
          <w:sz w:val="32"/>
          <w:szCs w:val="32"/>
        </w:rPr>
        <w:t xml:space="preserve"> </w:t>
      </w:r>
      <w:r w:rsidR="002766DC">
        <w:rPr>
          <w:rFonts w:ascii="Times New Roman" w:hAnsi="Times New Roman" w:cs="Times New Roman"/>
          <w:b/>
          <w:bCs/>
          <w:sz w:val="32"/>
          <w:szCs w:val="32"/>
        </w:rPr>
        <w:t>to</w:t>
      </w:r>
      <w:r w:rsidR="00D72AB2">
        <w:rPr>
          <w:rFonts w:ascii="Times New Roman" w:hAnsi="Times New Roman" w:cs="Times New Roman"/>
          <w:b/>
          <w:bCs/>
          <w:sz w:val="32"/>
          <w:szCs w:val="32"/>
        </w:rPr>
        <w:t xml:space="preserve"> </w:t>
      </w:r>
      <w:r w:rsidR="002766DC">
        <w:rPr>
          <w:rFonts w:ascii="Times New Roman" w:hAnsi="Times New Roman" w:cs="Times New Roman"/>
          <w:b/>
          <w:bCs/>
          <w:sz w:val="32"/>
          <w:szCs w:val="32"/>
        </w:rPr>
        <w:t>point fixed service receivers</w:t>
      </w:r>
    </w:p>
    <w:p w14:paraId="71E86939" w14:textId="66842967" w:rsidR="00CF05C2" w:rsidRPr="004F1E24" w:rsidRDefault="00CF05C2" w:rsidP="00CF05C2">
      <w:pPr>
        <w:pStyle w:val="ActHead5"/>
      </w:pPr>
      <w:proofErr w:type="gramStart"/>
      <w:r>
        <w:rPr>
          <w:rStyle w:val="CharSectno"/>
        </w:rPr>
        <w:t>8</w:t>
      </w:r>
      <w:r w:rsidRPr="004F1E24">
        <w:t xml:space="preserve">  </w:t>
      </w:r>
      <w:r w:rsidR="005B3E7E">
        <w:t>Background</w:t>
      </w:r>
      <w:proofErr w:type="gramEnd"/>
    </w:p>
    <w:p w14:paraId="7866D5C3" w14:textId="6EE4370D" w:rsidR="0028595D" w:rsidRDefault="00CF05C2" w:rsidP="00252DB2">
      <w:pPr>
        <w:pStyle w:val="subsection"/>
      </w:pPr>
      <w:r w:rsidRPr="004F1E24">
        <w:tab/>
        <w:t>(1)</w:t>
      </w:r>
      <w:r w:rsidRPr="004F1E24">
        <w:tab/>
      </w:r>
      <w:r w:rsidR="005B3E7E">
        <w:t>Point</w:t>
      </w:r>
      <w:r w:rsidR="00D72AB2">
        <w:t xml:space="preserve"> </w:t>
      </w:r>
      <w:r w:rsidR="005B3E7E">
        <w:t>to point fixed services in the 1800 MHz band are generally licensed in accordance with the frequency assignment criteria set out in RALI FX 3. RALI FX 3 provides details about channel plans for individual microwave bands, and guidance on interference criteria and frequency coordination between microwave links to achieve certain performance objectives. It provides assignment criteria for each frequency band and specifies protection ratios. The criteria are usually based on accepted ITU-R Recommendations.</w:t>
      </w:r>
    </w:p>
    <w:p w14:paraId="1794D57A" w14:textId="1E9F2E06" w:rsidR="005B3E7E" w:rsidRDefault="005B3E7E" w:rsidP="00252DB2">
      <w:pPr>
        <w:pStyle w:val="subsection"/>
      </w:pPr>
      <w:r>
        <w:tab/>
        <w:t>(2)</w:t>
      </w:r>
      <w:r>
        <w:tab/>
        <w:t xml:space="preserve">RALI FX 3 is subject to continuing review in consultation with industry, to incorporate improved </w:t>
      </w:r>
      <w:r w:rsidR="005D5EE0">
        <w:t xml:space="preserve">assignment techniques and changing technology requirements. </w:t>
      </w:r>
      <w:proofErr w:type="gramStart"/>
      <w:r w:rsidR="005D5EE0">
        <w:t>Particular account</w:t>
      </w:r>
      <w:proofErr w:type="gramEnd"/>
      <w:r w:rsidR="005D5EE0">
        <w:t xml:space="preserve"> is taken of changes in ITU-R Recommendations, and standards made by other bodies. As revisions seek to improve spectrum access opportunities, without causing undue detriment to existing licences, users of RALI FX 3 should consult the current version when planning systems, to increase spectrum productivity.</w:t>
      </w:r>
    </w:p>
    <w:p w14:paraId="5BB55EA4" w14:textId="748811FE" w:rsidR="005D5EE0" w:rsidRDefault="005D5EE0" w:rsidP="005D5EE0">
      <w:pPr>
        <w:pStyle w:val="ActHead5"/>
      </w:pPr>
      <w:proofErr w:type="gramStart"/>
      <w:r>
        <w:t>9  Point</w:t>
      </w:r>
      <w:proofErr w:type="gramEnd"/>
      <w:r w:rsidR="007971C8">
        <w:t xml:space="preserve"> </w:t>
      </w:r>
      <w:r>
        <w:t>to</w:t>
      </w:r>
      <w:r w:rsidR="007971C8">
        <w:t xml:space="preserve"> </w:t>
      </w:r>
      <w:r>
        <w:t xml:space="preserve">point receiver </w:t>
      </w:r>
      <w:r w:rsidR="00B7795F">
        <w:t>categories</w:t>
      </w:r>
    </w:p>
    <w:p w14:paraId="1D0391C7" w14:textId="35DC7EDE" w:rsidR="005D5EE0" w:rsidRDefault="000C1CC9" w:rsidP="00252DB2">
      <w:pPr>
        <w:pStyle w:val="subsection"/>
      </w:pPr>
      <w:r>
        <w:tab/>
      </w:r>
      <w:r>
        <w:tab/>
      </w:r>
      <w:r w:rsidR="005A535E">
        <w:t>A</w:t>
      </w:r>
      <w:r w:rsidR="00144BDE">
        <w:t xml:space="preserve"> radiocommunications receiver that is part of a fixed service operating in the 1800 MHz band is</w:t>
      </w:r>
      <w:r>
        <w:t>:</w:t>
      </w:r>
    </w:p>
    <w:p w14:paraId="05C5A1B3" w14:textId="7F5EBD04" w:rsidR="000C1CC9" w:rsidRDefault="000C1CC9" w:rsidP="000C1CC9">
      <w:pPr>
        <w:pStyle w:val="paragraph"/>
      </w:pPr>
      <w:r>
        <w:tab/>
        <w:t>(a)</w:t>
      </w:r>
      <w:r>
        <w:tab/>
      </w:r>
      <w:r w:rsidR="00144BDE">
        <w:t xml:space="preserve">if the operation of the receiver is authorised </w:t>
      </w:r>
      <w:r w:rsidR="00EA166E">
        <w:t xml:space="preserve">by an apparatus licence first issued under section 100 of the Act before 18 June 2013 – </w:t>
      </w:r>
      <w:r w:rsidR="00144BDE">
        <w:t xml:space="preserve">a </w:t>
      </w:r>
      <w:r w:rsidR="00144BDE">
        <w:rPr>
          <w:b/>
          <w:bCs/>
          <w:i/>
          <w:iCs/>
        </w:rPr>
        <w:t xml:space="preserve">Category 1 </w:t>
      </w:r>
      <w:proofErr w:type="gramStart"/>
      <w:r w:rsidR="00144BDE">
        <w:rPr>
          <w:b/>
          <w:bCs/>
          <w:i/>
          <w:iCs/>
        </w:rPr>
        <w:t>receiver</w:t>
      </w:r>
      <w:r w:rsidR="00EA166E">
        <w:t>;</w:t>
      </w:r>
      <w:proofErr w:type="gramEnd"/>
      <w:r w:rsidR="004F22CA">
        <w:t xml:space="preserve"> or</w:t>
      </w:r>
    </w:p>
    <w:p w14:paraId="709D543B" w14:textId="36D4A08A" w:rsidR="00EA166E" w:rsidRPr="00B7795F" w:rsidRDefault="00EA166E" w:rsidP="000C1CC9">
      <w:pPr>
        <w:pStyle w:val="paragraph"/>
      </w:pPr>
      <w:r>
        <w:tab/>
        <w:t>(b)</w:t>
      </w:r>
      <w:r>
        <w:tab/>
        <w:t xml:space="preserve">if the operation of the receiver is authorised by </w:t>
      </w:r>
      <w:r w:rsidR="00B7795F">
        <w:t xml:space="preserve">an apparatus licence first issued under section 100 of the Act on or after 18 June 2013, in the spectrum space of an 1800 MHz </w:t>
      </w:r>
      <w:r w:rsidR="005E4D8E">
        <w:t>spectrum</w:t>
      </w:r>
      <w:r w:rsidR="00B7795F">
        <w:t xml:space="preserve"> licence – a </w:t>
      </w:r>
      <w:r w:rsidR="005078EA">
        <w:rPr>
          <w:b/>
          <w:bCs/>
          <w:i/>
          <w:iCs/>
        </w:rPr>
        <w:t>Category</w:t>
      </w:r>
      <w:r w:rsidR="00B7795F">
        <w:rPr>
          <w:b/>
          <w:bCs/>
          <w:i/>
          <w:iCs/>
        </w:rPr>
        <w:t xml:space="preserve"> 2 receiver</w:t>
      </w:r>
      <w:r w:rsidR="00B7795F">
        <w:t>.</w:t>
      </w:r>
    </w:p>
    <w:p w14:paraId="66D50C79" w14:textId="565EC529" w:rsidR="00B7795F" w:rsidRDefault="00B7795F" w:rsidP="00B7795F">
      <w:pPr>
        <w:pStyle w:val="ActHead5"/>
      </w:pPr>
      <w:proofErr w:type="gramStart"/>
      <w:r>
        <w:t>10  Point</w:t>
      </w:r>
      <w:proofErr w:type="gramEnd"/>
      <w:r w:rsidR="007971C8">
        <w:t xml:space="preserve"> </w:t>
      </w:r>
      <w:r>
        <w:t>to</w:t>
      </w:r>
      <w:r w:rsidR="007971C8">
        <w:t xml:space="preserve"> </w:t>
      </w:r>
      <w:r>
        <w:t>point receiver protection requirements</w:t>
      </w:r>
    </w:p>
    <w:p w14:paraId="544BBDE4" w14:textId="128DA282" w:rsidR="00B7795F" w:rsidRDefault="00B7795F" w:rsidP="00252DB2">
      <w:pPr>
        <w:pStyle w:val="subsection"/>
      </w:pPr>
      <w:r>
        <w:tab/>
        <w:t>(1)</w:t>
      </w:r>
      <w:r>
        <w:tab/>
      </w:r>
      <w:r w:rsidR="005078EA">
        <w:t>The protection requirements for fixed services in the 1800 MHz band are specified in RALI FX 3. In planning for the operation of radiocommunications transmitters under a spectrum licence, spectrum licensees are to provide a level of in-band and out-of-band protection from those transmitters as would be provided for apparatus licensed radiocommunications transmitters used for fixed services, the frequencies of which are assigned in accordance with RALI FX 3.</w:t>
      </w:r>
    </w:p>
    <w:p w14:paraId="5AB65A89" w14:textId="23099BBE" w:rsidR="005D5EE0" w:rsidRDefault="00B7795F" w:rsidP="00252DB2">
      <w:pPr>
        <w:pStyle w:val="subsection"/>
      </w:pPr>
      <w:r>
        <w:tab/>
        <w:t>(2)</w:t>
      </w:r>
      <w:r w:rsidR="005078EA">
        <w:tab/>
        <w:t xml:space="preserve">Category 1 receivers are to be </w:t>
      </w:r>
      <w:r w:rsidR="007839BD">
        <w:t>provided with in-band and out-of-band protection from interference according to RALI FX 3.</w:t>
      </w:r>
    </w:p>
    <w:p w14:paraId="42A87AFA" w14:textId="76BA0761" w:rsidR="007839BD" w:rsidRDefault="007839BD" w:rsidP="00252DB2">
      <w:pPr>
        <w:pStyle w:val="subsection"/>
      </w:pPr>
      <w:r>
        <w:tab/>
        <w:t>(3)</w:t>
      </w:r>
      <w:r>
        <w:tab/>
        <w:t>Category 2 receivers:</w:t>
      </w:r>
    </w:p>
    <w:p w14:paraId="59BA09CD" w14:textId="794BF3C3" w:rsidR="007839BD" w:rsidRDefault="007839BD" w:rsidP="007839BD">
      <w:pPr>
        <w:pStyle w:val="paragraph"/>
      </w:pPr>
      <w:r>
        <w:tab/>
        <w:t>(a)</w:t>
      </w:r>
      <w:r>
        <w:tab/>
        <w:t xml:space="preserve">are to be provided with out-of-band protection from interference according to RALI FX 3 caused by </w:t>
      </w:r>
      <w:r w:rsidR="006D1EEF">
        <w:t xml:space="preserve">a radiocommunications transmitter operated under </w:t>
      </w:r>
      <w:r w:rsidR="001A2D17">
        <w:t>a</w:t>
      </w:r>
      <w:r w:rsidR="00A3599E">
        <w:t>n</w:t>
      </w:r>
      <w:r w:rsidR="001A2D17">
        <w:t xml:space="preserve"> </w:t>
      </w:r>
      <w:r w:rsidR="00537B06">
        <w:t>1800</w:t>
      </w:r>
      <w:r w:rsidR="00B63242">
        <w:t> </w:t>
      </w:r>
      <w:r w:rsidR="00537B06">
        <w:t xml:space="preserve">MHz </w:t>
      </w:r>
      <w:r w:rsidR="006D1EEF">
        <w:t>spectrum licence</w:t>
      </w:r>
      <w:r w:rsidR="001E65C9">
        <w:t xml:space="preserve"> operated under a frequency adjacent spectrum licence</w:t>
      </w:r>
      <w:r>
        <w:t xml:space="preserve">, which </w:t>
      </w:r>
      <w:r w:rsidR="001946EE">
        <w:t>was</w:t>
      </w:r>
      <w:r>
        <w:t xml:space="preserve"> included in the Register after the apparatus licence</w:t>
      </w:r>
      <w:r w:rsidR="00537B06">
        <w:t xml:space="preserve"> that authorises operation of the receiver was first issued under section 100 of the Act;</w:t>
      </w:r>
      <w:r w:rsidR="00B66DA1">
        <w:t xml:space="preserve"> and</w:t>
      </w:r>
    </w:p>
    <w:p w14:paraId="7D96384C" w14:textId="37968225" w:rsidR="00B46DB2" w:rsidRDefault="00537B06" w:rsidP="00405B2C">
      <w:pPr>
        <w:pStyle w:val="paragraph"/>
      </w:pPr>
      <w:r>
        <w:tab/>
        <w:t>(b)</w:t>
      </w:r>
      <w:r>
        <w:tab/>
        <w:t>are to accept levels of in-band emissions from a</w:t>
      </w:r>
      <w:r w:rsidR="006D1EEF">
        <w:t xml:space="preserve"> radiocommunications transmitter operated under a</w:t>
      </w:r>
      <w:r w:rsidR="001946EE">
        <w:t>n</w:t>
      </w:r>
      <w:r>
        <w:t xml:space="preserve"> 1800 MHz </w:t>
      </w:r>
      <w:r w:rsidR="006D1EEF">
        <w:t>spectrum licence</w:t>
      </w:r>
      <w:r w:rsidR="001946EE">
        <w:t>, if the transmitter is operated in accordance with the conditions of the 1800 MHz spectrum licence and does not cause an unacceptable level of interference as defined in the section 145 determination.</w:t>
      </w: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1601E7D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1946EE">
        <w:rPr>
          <w:rFonts w:ascii="Times New Roman" w:hAnsi="Times New Roman" w:cs="Times New Roman"/>
          <w:b/>
          <w:bCs/>
          <w:sz w:val="32"/>
          <w:szCs w:val="32"/>
        </w:rPr>
        <w:t>Meteorological-satellite services (space-to-</w:t>
      </w:r>
      <w:r w:rsidR="0098340C">
        <w:rPr>
          <w:rFonts w:ascii="Times New Roman" w:hAnsi="Times New Roman" w:cs="Times New Roman"/>
          <w:b/>
          <w:bCs/>
          <w:sz w:val="32"/>
          <w:szCs w:val="32"/>
        </w:rPr>
        <w:t>e</w:t>
      </w:r>
      <w:r w:rsidR="001946EE">
        <w:rPr>
          <w:rFonts w:ascii="Times New Roman" w:hAnsi="Times New Roman" w:cs="Times New Roman"/>
          <w:b/>
          <w:bCs/>
          <w:sz w:val="32"/>
          <w:szCs w:val="32"/>
        </w:rPr>
        <w:t>arth)</w:t>
      </w:r>
    </w:p>
    <w:p w14:paraId="23A6C3DF" w14:textId="41716A0F" w:rsidR="00CF05C2" w:rsidRPr="004F1E24" w:rsidRDefault="00577108" w:rsidP="00CF05C2">
      <w:pPr>
        <w:pStyle w:val="ActHead5"/>
      </w:pPr>
      <w:proofErr w:type="gramStart"/>
      <w:r>
        <w:rPr>
          <w:rStyle w:val="CharSectno"/>
        </w:rPr>
        <w:t>1</w:t>
      </w:r>
      <w:r w:rsidR="001946EE">
        <w:rPr>
          <w:rStyle w:val="CharSectno"/>
        </w:rPr>
        <w:t>1</w:t>
      </w:r>
      <w:r w:rsidR="00CF05C2" w:rsidRPr="004F1E24">
        <w:t xml:space="preserve">  </w:t>
      </w:r>
      <w:r w:rsidR="001946EE">
        <w:t>Background</w:t>
      </w:r>
      <w:proofErr w:type="gramEnd"/>
    </w:p>
    <w:p w14:paraId="6086CFC0" w14:textId="558AB596" w:rsidR="007B60C7" w:rsidRDefault="00CF05C2" w:rsidP="007B60C7">
      <w:pPr>
        <w:pStyle w:val="subsection"/>
      </w:pPr>
      <w:r w:rsidRPr="004F1E24">
        <w:tab/>
      </w:r>
      <w:r w:rsidR="000436AA">
        <w:t>(1)</w:t>
      </w:r>
      <w:r w:rsidRPr="004F1E24">
        <w:tab/>
      </w:r>
      <w:r w:rsidR="007B60C7">
        <w:t xml:space="preserve">The meteorological-satellite service operates </w:t>
      </w:r>
      <w:r w:rsidR="00D97B28">
        <w:t>at frequencies</w:t>
      </w:r>
      <w:r w:rsidR="007B60C7">
        <w:t xml:space="preserve"> below 1710 MHz, </w:t>
      </w:r>
      <w:r w:rsidR="00D97B28">
        <w:t xml:space="preserve">which is </w:t>
      </w:r>
      <w:r w:rsidR="007B60C7">
        <w:t>adjacent to the 1800 MHz</w:t>
      </w:r>
      <w:r w:rsidR="00D97B28">
        <w:t xml:space="preserve"> lower</w:t>
      </w:r>
      <w:r w:rsidR="007B60C7">
        <w:t xml:space="preserve"> band.</w:t>
      </w:r>
    </w:p>
    <w:p w14:paraId="5A7EAFD1" w14:textId="10DCBF45" w:rsidR="007B60C7" w:rsidRDefault="007B60C7" w:rsidP="007B60C7">
      <w:pPr>
        <w:pStyle w:val="subsection"/>
      </w:pPr>
      <w:r>
        <w:tab/>
        <w:t>(2)</w:t>
      </w:r>
      <w:r>
        <w:tab/>
      </w:r>
      <w:r w:rsidR="002E72F5">
        <w:t xml:space="preserve">Earth </w:t>
      </w:r>
      <w:proofErr w:type="gramStart"/>
      <w:r w:rsidR="002E72F5">
        <w:t>receive</w:t>
      </w:r>
      <w:proofErr w:type="gramEnd"/>
      <w:r w:rsidR="002E72F5">
        <w:t xml:space="preserve"> stations in the m</w:t>
      </w:r>
      <w:r>
        <w:t xml:space="preserve">eteorological-satellite </w:t>
      </w:r>
      <w:r w:rsidR="002E72F5">
        <w:t>service</w:t>
      </w:r>
      <w:r>
        <w:t xml:space="preserve"> use </w:t>
      </w:r>
      <w:r w:rsidR="00555A10">
        <w:t>the 1670</w:t>
      </w:r>
      <w:r w:rsidR="003E6914">
        <w:t> MHz</w:t>
      </w:r>
      <w:r w:rsidR="00DB4332">
        <w:t xml:space="preserve"> to </w:t>
      </w:r>
      <w:r w:rsidR="00555A10">
        <w:t>1710</w:t>
      </w:r>
      <w:r w:rsidR="000461C9">
        <w:t> </w:t>
      </w:r>
      <w:r w:rsidR="00555A10">
        <w:t>MHz frequency band</w:t>
      </w:r>
      <w:r>
        <w:t xml:space="preserve"> for the reception of data to assist in </w:t>
      </w:r>
      <w:r w:rsidR="00DF72F1">
        <w:t>meteorological forecasting and other scientific purposes. The service uses both geostationary (</w:t>
      </w:r>
      <w:r w:rsidR="00DF72F1" w:rsidRPr="00DF72F1">
        <w:rPr>
          <w:b/>
          <w:bCs/>
          <w:i/>
          <w:iCs/>
        </w:rPr>
        <w:t>GSO</w:t>
      </w:r>
      <w:r w:rsidR="00DF72F1">
        <w:t>) and non-geostationary (</w:t>
      </w:r>
      <w:r w:rsidR="00DF72F1" w:rsidRPr="00DF72F1">
        <w:rPr>
          <w:b/>
          <w:bCs/>
          <w:i/>
          <w:iCs/>
        </w:rPr>
        <w:t>NGSO</w:t>
      </w:r>
      <w:r w:rsidR="00DF72F1">
        <w:t xml:space="preserve">) </w:t>
      </w:r>
      <w:r w:rsidR="00555A10">
        <w:t>space stations</w:t>
      </w:r>
      <w:r w:rsidR="00DF72F1">
        <w:t>. The 1698 MHz</w:t>
      </w:r>
      <w:r w:rsidR="000053CB">
        <w:t xml:space="preserve"> to </w:t>
      </w:r>
      <w:r w:rsidR="00DF72F1">
        <w:t xml:space="preserve">1710 MHz frequency band is typically </w:t>
      </w:r>
      <w:r w:rsidR="003A4566">
        <w:t xml:space="preserve">used for NGSO purposes, with GSO </w:t>
      </w:r>
      <w:r w:rsidR="00555A10">
        <w:t>space stations</w:t>
      </w:r>
      <w:r w:rsidR="003A4566">
        <w:t xml:space="preserve"> </w:t>
      </w:r>
      <w:r w:rsidR="00555A10">
        <w:t>deployed</w:t>
      </w:r>
      <w:r w:rsidR="003A4566">
        <w:t xml:space="preserve"> below 1698</w:t>
      </w:r>
      <w:r w:rsidR="0028104B">
        <w:t> </w:t>
      </w:r>
      <w:proofErr w:type="spellStart"/>
      <w:r w:rsidR="003A4566">
        <w:t>MHz.</w:t>
      </w:r>
      <w:proofErr w:type="spellEnd"/>
      <w:r w:rsidR="003A4566">
        <w:t xml:space="preserve"> </w:t>
      </w:r>
    </w:p>
    <w:p w14:paraId="31BAD3C2" w14:textId="00CD4511" w:rsidR="00FC3C6A" w:rsidRDefault="00483880" w:rsidP="007B60C7">
      <w:pPr>
        <w:pStyle w:val="subsection"/>
      </w:pPr>
      <w:r>
        <w:tab/>
        <w:t>(3)</w:t>
      </w:r>
      <w:r>
        <w:tab/>
      </w:r>
      <w:r w:rsidR="00047FB1">
        <w:t xml:space="preserve">Out-of-band emissions from both fixed </w:t>
      </w:r>
      <w:r w:rsidR="00A14BE1">
        <w:t xml:space="preserve">transmitters </w:t>
      </w:r>
      <w:r w:rsidR="00047FB1">
        <w:t xml:space="preserve">and mobile transmitters operated under an 1800 MHz spectrum licence have the potential to cause interference to </w:t>
      </w:r>
      <w:r w:rsidR="00A83D22">
        <w:t xml:space="preserve">earth receive stations in the </w:t>
      </w:r>
      <w:r w:rsidR="00047FB1">
        <w:t>meteorological-satellite</w:t>
      </w:r>
      <w:r w:rsidR="00A83D22">
        <w:t xml:space="preserve"> service</w:t>
      </w:r>
      <w:r w:rsidR="00411184">
        <w:t>. The potential for interference is also likely to be increased for technologies that use wide-band emissions. The protection requirements in section 12 apply in relation to interference from all radiocommunications transmitters operated under a</w:t>
      </w:r>
      <w:r w:rsidR="00A83D22">
        <w:t>n 1800 MHz</w:t>
      </w:r>
      <w:r w:rsidR="00411184">
        <w:t xml:space="preserve"> spectrum licence, including mobile transmitters.</w:t>
      </w:r>
    </w:p>
    <w:p w14:paraId="034A7FD2" w14:textId="5C00BFEB" w:rsidR="00411184" w:rsidRPr="004F1E24" w:rsidRDefault="00411184" w:rsidP="00411184">
      <w:pPr>
        <w:pStyle w:val="ActHead5"/>
      </w:pPr>
      <w:proofErr w:type="gramStart"/>
      <w:r>
        <w:rPr>
          <w:rStyle w:val="CharSectno"/>
        </w:rPr>
        <w:t>12</w:t>
      </w:r>
      <w:r w:rsidRPr="004F1E24">
        <w:t xml:space="preserve">  </w:t>
      </w:r>
      <w:r>
        <w:t>Protection</w:t>
      </w:r>
      <w:proofErr w:type="gramEnd"/>
      <w:r>
        <w:t xml:space="preserve"> requirements</w:t>
      </w:r>
    </w:p>
    <w:p w14:paraId="5C165B34" w14:textId="4E6E0A20" w:rsidR="00411184" w:rsidRDefault="00411184" w:rsidP="00411184">
      <w:pPr>
        <w:pStyle w:val="subsection"/>
      </w:pPr>
      <w:r w:rsidRPr="004F1E24">
        <w:tab/>
      </w:r>
      <w:r w:rsidRPr="004F1E24">
        <w:tab/>
      </w:r>
      <w:r>
        <w:t xml:space="preserve">The protection requirements for </w:t>
      </w:r>
      <w:r w:rsidR="00A83D22">
        <w:t xml:space="preserve">earth receive stations in the </w:t>
      </w:r>
      <w:r>
        <w:t>meteorological-satellite service</w:t>
      </w:r>
      <w:r w:rsidR="00134B7B">
        <w:t xml:space="preserve"> operated below 1710 MHz are set out in:</w:t>
      </w:r>
    </w:p>
    <w:p w14:paraId="3353F6E8" w14:textId="22E91C44" w:rsidR="00134B7B" w:rsidRDefault="00134B7B" w:rsidP="00134B7B">
      <w:pPr>
        <w:pStyle w:val="paragraph"/>
      </w:pPr>
      <w:r>
        <w:tab/>
        <w:t>(a)</w:t>
      </w:r>
      <w:r>
        <w:tab/>
        <w:t>ITU-R Recommendation SA.1026 “</w:t>
      </w:r>
      <w:r w:rsidR="00683C54">
        <w:t xml:space="preserve">Aggregate </w:t>
      </w:r>
      <w:r w:rsidR="00155269">
        <w:t>i</w:t>
      </w:r>
      <w:r>
        <w:t xml:space="preserve">nterference </w:t>
      </w:r>
      <w:r w:rsidR="00155269">
        <w:t>c</w:t>
      </w:r>
      <w:r>
        <w:t xml:space="preserve">riteria for </w:t>
      </w:r>
      <w:r w:rsidR="00155269">
        <w:t>s</w:t>
      </w:r>
      <w:r>
        <w:t xml:space="preserve">pace-to-Earth </w:t>
      </w:r>
      <w:r w:rsidR="00155269">
        <w:t>d</w:t>
      </w:r>
      <w:r>
        <w:t xml:space="preserve">ata </w:t>
      </w:r>
      <w:r w:rsidR="00155269">
        <w:t>t</w:t>
      </w:r>
      <w:r>
        <w:t xml:space="preserve">ransmission </w:t>
      </w:r>
      <w:r w:rsidR="00155269">
        <w:t>s</w:t>
      </w:r>
      <w:r>
        <w:t xml:space="preserve">ystems </w:t>
      </w:r>
      <w:r w:rsidR="00155269">
        <w:t>o</w:t>
      </w:r>
      <w:r>
        <w:t xml:space="preserve">perating in the Earth </w:t>
      </w:r>
      <w:r w:rsidR="00155269">
        <w:t>e</w:t>
      </w:r>
      <w:r>
        <w:t>xploration-</w:t>
      </w:r>
      <w:r w:rsidR="00155269">
        <w:t>s</w:t>
      </w:r>
      <w:r>
        <w:t xml:space="preserve">atellite and </w:t>
      </w:r>
      <w:r w:rsidR="00155269">
        <w:t>m</w:t>
      </w:r>
      <w:r>
        <w:t>eteorological-</w:t>
      </w:r>
      <w:r w:rsidR="00155269">
        <w:t>s</w:t>
      </w:r>
      <w:r>
        <w:t xml:space="preserve">atellite </w:t>
      </w:r>
      <w:r w:rsidR="00155269">
        <w:t>s</w:t>
      </w:r>
      <w:r>
        <w:t xml:space="preserve">ervices </w:t>
      </w:r>
      <w:r w:rsidR="00155269">
        <w:t>u</w:t>
      </w:r>
      <w:r>
        <w:t xml:space="preserve">sing </w:t>
      </w:r>
      <w:r w:rsidR="00155269">
        <w:t>s</w:t>
      </w:r>
      <w:r>
        <w:t xml:space="preserve">atellites in </w:t>
      </w:r>
      <w:r w:rsidR="00155269">
        <w:t>l</w:t>
      </w:r>
      <w:r>
        <w:t xml:space="preserve">ow-Earth </w:t>
      </w:r>
      <w:r w:rsidR="00155269">
        <w:t>o</w:t>
      </w:r>
      <w:r>
        <w:t>rbit”; and</w:t>
      </w:r>
    </w:p>
    <w:p w14:paraId="514FF349" w14:textId="45C3D364" w:rsidR="00134B7B" w:rsidRDefault="00134B7B" w:rsidP="00134B7B">
      <w:pPr>
        <w:pStyle w:val="paragraph"/>
      </w:pPr>
      <w:r>
        <w:tab/>
        <w:t>(b)</w:t>
      </w:r>
      <w:r>
        <w:tab/>
        <w:t xml:space="preserve">ITU-R Recommendation SA.1160 “Interference </w:t>
      </w:r>
      <w:r w:rsidR="00A81A63">
        <w:t>c</w:t>
      </w:r>
      <w:r>
        <w:t xml:space="preserve">riteria for </w:t>
      </w:r>
      <w:r w:rsidR="00A81A63">
        <w:t>d</w:t>
      </w:r>
      <w:r w:rsidR="00A67D4F">
        <w:t xml:space="preserve">ata </w:t>
      </w:r>
      <w:r w:rsidR="00A81A63">
        <w:t>d</w:t>
      </w:r>
      <w:r w:rsidR="00A67D4F">
        <w:t xml:space="preserve">issemination and </w:t>
      </w:r>
      <w:r w:rsidR="00A81A63">
        <w:t>d</w:t>
      </w:r>
      <w:r w:rsidR="00A67D4F">
        <w:t xml:space="preserve">irect </w:t>
      </w:r>
      <w:r w:rsidR="00A81A63">
        <w:t>d</w:t>
      </w:r>
      <w:r w:rsidR="00A67D4F">
        <w:t xml:space="preserve">ata </w:t>
      </w:r>
      <w:r w:rsidR="00A81A63">
        <w:t>r</w:t>
      </w:r>
      <w:r w:rsidR="00A67D4F">
        <w:t xml:space="preserve">eadout </w:t>
      </w:r>
      <w:r w:rsidR="00A81A63">
        <w:t>s</w:t>
      </w:r>
      <w:r w:rsidR="00A67D4F">
        <w:t xml:space="preserve">ystems in the Earth </w:t>
      </w:r>
      <w:r w:rsidR="00A81A63">
        <w:t>e</w:t>
      </w:r>
      <w:r w:rsidR="00A67D4F">
        <w:t>xploration-</w:t>
      </w:r>
      <w:r w:rsidR="00A81A63">
        <w:t>s</w:t>
      </w:r>
      <w:r w:rsidR="00A67D4F">
        <w:t xml:space="preserve">atellite and </w:t>
      </w:r>
      <w:r w:rsidR="00A81A63">
        <w:t>m</w:t>
      </w:r>
      <w:r w:rsidR="00A67D4F">
        <w:t>eteorological-</w:t>
      </w:r>
      <w:r w:rsidR="00A81A63">
        <w:t>s</w:t>
      </w:r>
      <w:r w:rsidR="00A67D4F">
        <w:t xml:space="preserve">atellite </w:t>
      </w:r>
      <w:r w:rsidR="00A81A63">
        <w:t>s</w:t>
      </w:r>
      <w:r w:rsidR="00A67D4F">
        <w:t xml:space="preserve">ervices </w:t>
      </w:r>
      <w:r w:rsidR="002B40E9">
        <w:t>u</w:t>
      </w:r>
      <w:r w:rsidR="00A67D4F">
        <w:t xml:space="preserve">sing </w:t>
      </w:r>
      <w:r w:rsidR="002B40E9">
        <w:t>s</w:t>
      </w:r>
      <w:r w:rsidR="00A67D4F">
        <w:t xml:space="preserve">atellites in the </w:t>
      </w:r>
      <w:r w:rsidR="002B40E9">
        <w:t>g</w:t>
      </w:r>
      <w:r w:rsidR="00A67D4F">
        <w:t xml:space="preserve">eostationary </w:t>
      </w:r>
      <w:r w:rsidR="002B40E9">
        <w:t>o</w:t>
      </w:r>
      <w:r w:rsidR="00A67D4F">
        <w:t>rbit”.</w:t>
      </w:r>
    </w:p>
    <w:p w14:paraId="50561977" w14:textId="4B297545" w:rsidR="00776124" w:rsidRDefault="00776124" w:rsidP="00776124">
      <w:pPr>
        <w:pStyle w:val="notetext"/>
      </w:pPr>
      <w:r>
        <w:t>Note:</w:t>
      </w:r>
      <w:r>
        <w:tab/>
        <w:t>ITU-R Recommendation</w:t>
      </w:r>
      <w:r w:rsidR="00F753A0">
        <w:t>s</w:t>
      </w:r>
      <w:r>
        <w:t xml:space="preserve"> SA.1026 and SA.1160 are available, free of charge, from the International Telecommunication Union’s website at </w:t>
      </w:r>
      <w:hyperlink r:id="rId33" w:history="1">
        <w:r w:rsidRPr="002C226C">
          <w:rPr>
            <w:rStyle w:val="Hyperlink"/>
          </w:rPr>
          <w:t>www.itu.int</w:t>
        </w:r>
      </w:hyperlink>
      <w:r>
        <w:t>.</w:t>
      </w:r>
    </w:p>
    <w:p w14:paraId="454121E8" w14:textId="134151D6" w:rsidR="00240269" w:rsidRPr="004F1E24" w:rsidRDefault="00240269" w:rsidP="00240269">
      <w:pPr>
        <w:pStyle w:val="ActHead5"/>
      </w:pPr>
      <w:proofErr w:type="gramStart"/>
      <w:r>
        <w:rPr>
          <w:rStyle w:val="CharSectno"/>
        </w:rPr>
        <w:t>13</w:t>
      </w:r>
      <w:r w:rsidRPr="004F1E24">
        <w:t xml:space="preserve">  </w:t>
      </w:r>
      <w:r>
        <w:t>Additional</w:t>
      </w:r>
      <w:proofErr w:type="gramEnd"/>
      <w:r>
        <w:t xml:space="preserve"> information on meteorological-satellite service protection</w:t>
      </w:r>
    </w:p>
    <w:p w14:paraId="6EBE9D84" w14:textId="255C2ABB" w:rsidR="00240269" w:rsidRDefault="00240269" w:rsidP="00240269">
      <w:pPr>
        <w:pStyle w:val="subsection"/>
      </w:pPr>
      <w:r w:rsidRPr="004F1E24">
        <w:tab/>
      </w:r>
      <w:r>
        <w:t>(1)</w:t>
      </w:r>
      <w:r w:rsidRPr="004F1E24">
        <w:tab/>
      </w:r>
      <w:r w:rsidR="004C5644">
        <w:t>Information on the prediction of appropriate coordination distances, propagation models, threshold coordination levels and earth receive station and antenna characteristics, which may assist in assessing compliance with interference criteria, is available from</w:t>
      </w:r>
      <w:r w:rsidR="00450F76">
        <w:t xml:space="preserve"> the following</w:t>
      </w:r>
      <w:r w:rsidR="004C5644">
        <w:t>:</w:t>
      </w:r>
    </w:p>
    <w:p w14:paraId="43FC96FB" w14:textId="3CB765C6" w:rsidR="00DF72F1" w:rsidRDefault="004C5644" w:rsidP="004C5644">
      <w:pPr>
        <w:pStyle w:val="paragraph"/>
      </w:pPr>
      <w:r>
        <w:tab/>
        <w:t>(a)</w:t>
      </w:r>
      <w:r>
        <w:tab/>
        <w:t xml:space="preserve">ITU-R Recommendation SA.1027 “Sharing </w:t>
      </w:r>
      <w:r w:rsidR="0071415B">
        <w:t>c</w:t>
      </w:r>
      <w:r>
        <w:t xml:space="preserve">riteria for </w:t>
      </w:r>
      <w:r w:rsidR="0071415B">
        <w:t>s</w:t>
      </w:r>
      <w:r>
        <w:t xml:space="preserve">pace-to-Earth </w:t>
      </w:r>
      <w:r w:rsidR="0071415B">
        <w:t>d</w:t>
      </w:r>
      <w:r>
        <w:t xml:space="preserve">ata </w:t>
      </w:r>
      <w:r w:rsidR="0071415B">
        <w:t>t</w:t>
      </w:r>
      <w:r>
        <w:t xml:space="preserve">ransmission </w:t>
      </w:r>
      <w:r w:rsidR="0071415B">
        <w:t>s</w:t>
      </w:r>
      <w:r>
        <w:t xml:space="preserve">ystems in the Earth </w:t>
      </w:r>
      <w:r w:rsidR="0071415B">
        <w:t>e</w:t>
      </w:r>
      <w:r>
        <w:t>xploration-</w:t>
      </w:r>
      <w:r w:rsidR="0071415B">
        <w:t>s</w:t>
      </w:r>
      <w:r>
        <w:t xml:space="preserve">atellite and </w:t>
      </w:r>
      <w:r w:rsidR="0071415B">
        <w:t>m</w:t>
      </w:r>
      <w:r>
        <w:t>eteorological-</w:t>
      </w:r>
      <w:r w:rsidR="0071415B">
        <w:t>s</w:t>
      </w:r>
      <w:r>
        <w:t xml:space="preserve">atellite </w:t>
      </w:r>
      <w:r w:rsidR="0071415B">
        <w:t>s</w:t>
      </w:r>
      <w:r>
        <w:t xml:space="preserve">ervices </w:t>
      </w:r>
      <w:r w:rsidR="0071415B">
        <w:t>u</w:t>
      </w:r>
      <w:r>
        <w:t xml:space="preserve">sing </w:t>
      </w:r>
      <w:r w:rsidR="0071415B">
        <w:t>s</w:t>
      </w:r>
      <w:r>
        <w:t xml:space="preserve">atellites in </w:t>
      </w:r>
      <w:r w:rsidR="0071415B">
        <w:t>l</w:t>
      </w:r>
      <w:r>
        <w:t xml:space="preserve">ow-Earth </w:t>
      </w:r>
      <w:r w:rsidR="0071415B">
        <w:t>o</w:t>
      </w:r>
      <w:r>
        <w:t>rbit</w:t>
      </w:r>
      <w:proofErr w:type="gramStart"/>
      <w:r>
        <w:t>”;</w:t>
      </w:r>
      <w:proofErr w:type="gramEnd"/>
    </w:p>
    <w:p w14:paraId="705CB982" w14:textId="52BFCE51" w:rsidR="007D599C" w:rsidRDefault="007D599C" w:rsidP="007D599C">
      <w:pPr>
        <w:pStyle w:val="paragraph"/>
      </w:pPr>
      <w:r>
        <w:tab/>
        <w:t>(b)</w:t>
      </w:r>
      <w:r>
        <w:tab/>
        <w:t>ITU-R Recommendation SA.1158 “Feasibility of frequency sharing in the 1 670-1 710 MHz band between the meteorological-satellite service (space-to-Earth) and the mobile-satellite service (Earth-to-space)</w:t>
      </w:r>
      <w:proofErr w:type="gramStart"/>
      <w:r>
        <w:t>”;</w:t>
      </w:r>
      <w:proofErr w:type="gramEnd"/>
    </w:p>
    <w:p w14:paraId="3E9A2EAB" w14:textId="08CB0A21" w:rsidR="004C5644" w:rsidRDefault="004C5644" w:rsidP="004C5644">
      <w:pPr>
        <w:pStyle w:val="paragraph"/>
      </w:pPr>
      <w:r>
        <w:tab/>
        <w:t>(</w:t>
      </w:r>
      <w:r w:rsidR="007D599C">
        <w:t>c</w:t>
      </w:r>
      <w:r>
        <w:t>)</w:t>
      </w:r>
      <w:r>
        <w:tab/>
        <w:t>ITU-R Recommendation SA.116</w:t>
      </w:r>
      <w:r w:rsidR="00B96D4A">
        <w:t xml:space="preserve">1 “Sharing and </w:t>
      </w:r>
      <w:r w:rsidR="005D1485">
        <w:t>c</w:t>
      </w:r>
      <w:r w:rsidR="00B96D4A">
        <w:t xml:space="preserve">oordination </w:t>
      </w:r>
      <w:r w:rsidR="005D1485">
        <w:t>cr</w:t>
      </w:r>
      <w:r w:rsidR="00B96D4A">
        <w:t xml:space="preserve">iteria for </w:t>
      </w:r>
      <w:r w:rsidR="005D1485">
        <w:t>d</w:t>
      </w:r>
      <w:r w:rsidR="00B96D4A">
        <w:t xml:space="preserve">ata </w:t>
      </w:r>
      <w:r w:rsidR="005D1485">
        <w:t>d</w:t>
      </w:r>
      <w:r w:rsidR="00B96D4A">
        <w:t xml:space="preserve">issemination and </w:t>
      </w:r>
      <w:r w:rsidR="005D1485">
        <w:t>d</w:t>
      </w:r>
      <w:r w:rsidR="00B96D4A">
        <w:t xml:space="preserve">irect </w:t>
      </w:r>
      <w:r w:rsidR="005D1485">
        <w:t>d</w:t>
      </w:r>
      <w:r w:rsidR="00B96D4A">
        <w:t xml:space="preserve">ata </w:t>
      </w:r>
      <w:r w:rsidR="005D1485">
        <w:t>r</w:t>
      </w:r>
      <w:r w:rsidR="00B96D4A">
        <w:t xml:space="preserve">eadout </w:t>
      </w:r>
      <w:r w:rsidR="005D1485">
        <w:t>s</w:t>
      </w:r>
      <w:r w:rsidR="00B96D4A">
        <w:t xml:space="preserve">ystems in the Earth </w:t>
      </w:r>
      <w:r w:rsidR="004714E6">
        <w:t>e</w:t>
      </w:r>
      <w:r w:rsidR="00B96D4A">
        <w:t>xploration-</w:t>
      </w:r>
      <w:r w:rsidR="004714E6">
        <w:t>s</w:t>
      </w:r>
      <w:r w:rsidR="00B96D4A">
        <w:t xml:space="preserve">atellite and </w:t>
      </w:r>
      <w:r w:rsidR="004714E6">
        <w:t>m</w:t>
      </w:r>
      <w:r w:rsidR="00B96D4A">
        <w:t>eteorological-</w:t>
      </w:r>
      <w:r w:rsidR="004714E6">
        <w:t>s</w:t>
      </w:r>
      <w:r w:rsidR="00B96D4A">
        <w:t xml:space="preserve">atellite </w:t>
      </w:r>
      <w:r w:rsidR="004714E6">
        <w:t>s</w:t>
      </w:r>
      <w:r w:rsidR="00B96D4A">
        <w:t xml:space="preserve">ervices </w:t>
      </w:r>
      <w:r w:rsidR="004714E6">
        <w:t>u</w:t>
      </w:r>
      <w:r w:rsidR="00B96D4A">
        <w:t xml:space="preserve">sing </w:t>
      </w:r>
      <w:r w:rsidR="004714E6">
        <w:t>s</w:t>
      </w:r>
      <w:r w:rsidR="00B96D4A">
        <w:t xml:space="preserve">atellites in </w:t>
      </w:r>
      <w:r w:rsidR="004714E6">
        <w:t>ge</w:t>
      </w:r>
      <w:r w:rsidR="00B96D4A">
        <w:t xml:space="preserve">ostationary </w:t>
      </w:r>
      <w:r w:rsidR="004714E6">
        <w:t>o</w:t>
      </w:r>
      <w:r w:rsidR="00B96D4A">
        <w:t>rbit”</w:t>
      </w:r>
      <w:r w:rsidR="007D599C">
        <w:t>.</w:t>
      </w:r>
    </w:p>
    <w:p w14:paraId="2689497B" w14:textId="23758367" w:rsidR="00F753A0" w:rsidRDefault="00F753A0" w:rsidP="00F753A0">
      <w:pPr>
        <w:pStyle w:val="notetext"/>
      </w:pPr>
      <w:r>
        <w:t>Note:</w:t>
      </w:r>
      <w:r>
        <w:tab/>
        <w:t>ITU-R Recommendations SA.1027, SA.11</w:t>
      </w:r>
      <w:r w:rsidR="00F866D8">
        <w:t>58</w:t>
      </w:r>
      <w:r>
        <w:t xml:space="preserve"> and SA.11</w:t>
      </w:r>
      <w:r w:rsidR="00F866D8">
        <w:t>61</w:t>
      </w:r>
      <w:r>
        <w:t xml:space="preserve"> are available, free of charge, from the International Telecommunication Union’s website at </w:t>
      </w:r>
      <w:hyperlink r:id="rId34" w:history="1">
        <w:r w:rsidRPr="002C226C">
          <w:rPr>
            <w:rStyle w:val="Hyperlink"/>
          </w:rPr>
          <w:t>www.itu.int</w:t>
        </w:r>
      </w:hyperlink>
      <w:r>
        <w:t xml:space="preserve">.  </w:t>
      </w:r>
    </w:p>
    <w:p w14:paraId="6878ABB6" w14:textId="63250E18" w:rsidR="00411184" w:rsidRDefault="00B96D4A" w:rsidP="00454022">
      <w:pPr>
        <w:pStyle w:val="subsection"/>
        <w:keepNext/>
      </w:pPr>
      <w:r>
        <w:lastRenderedPageBreak/>
        <w:tab/>
        <w:t>(2)</w:t>
      </w:r>
      <w:r>
        <w:tab/>
      </w:r>
      <w:r w:rsidR="00A90213">
        <w:t>Subsections (3) to (</w:t>
      </w:r>
      <w:r w:rsidR="00214095">
        <w:t>7</w:t>
      </w:r>
      <w:r w:rsidR="00A90213">
        <w:t>)</w:t>
      </w:r>
      <w:r w:rsidR="00454022">
        <w:t xml:space="preserve"> may also assist in assessing compliance with interference criteria</w:t>
      </w:r>
      <w:r w:rsidR="00A90213">
        <w:t>.</w:t>
      </w:r>
    </w:p>
    <w:p w14:paraId="6C0CD596" w14:textId="1124E4A7" w:rsidR="00A90213" w:rsidRDefault="00A90213" w:rsidP="00454022">
      <w:pPr>
        <w:pStyle w:val="subsection"/>
        <w:keepNext/>
      </w:pPr>
      <w:r>
        <w:tab/>
        <w:t>(3)</w:t>
      </w:r>
      <w:r>
        <w:tab/>
        <w:t>The main source of interference will be from a mobile transmitter operating in the 1800 MHz lower band, caused by either in-band or out-of-band emission</w:t>
      </w:r>
      <w:r w:rsidR="001141DD">
        <w:t xml:space="preserve">s. The probability of interference depends not only on physical proximity to an earth receive station, but also </w:t>
      </w:r>
      <w:r w:rsidR="00B61A75">
        <w:t xml:space="preserve">network configuration and operation, such as the EIRP of the mobile transmitter (which </w:t>
      </w:r>
      <w:r w:rsidR="00E75125">
        <w:t>will depend on cell size and the location of the mobile transmitter, relative to the base station).</w:t>
      </w:r>
    </w:p>
    <w:p w14:paraId="4F64914A" w14:textId="791A605C" w:rsidR="00E75125" w:rsidRDefault="00E75125" w:rsidP="00454022">
      <w:pPr>
        <w:pStyle w:val="subsection"/>
        <w:keepNext/>
      </w:pPr>
      <w:r>
        <w:tab/>
        <w:t>(4)</w:t>
      </w:r>
      <w:r>
        <w:tab/>
        <w:t xml:space="preserve">Liaison is encouraged between spectrum licensees and </w:t>
      </w:r>
      <w:r w:rsidR="00584687">
        <w:t>operators of earth receive stations in the meteorological-satellite service</w:t>
      </w:r>
      <w:r>
        <w:t xml:space="preserve"> to determine additional details about specific sites that may assist in coordination, including</w:t>
      </w:r>
      <w:r w:rsidR="006863A2">
        <w:t xml:space="preserve"> the following</w:t>
      </w:r>
      <w:r>
        <w:t>:</w:t>
      </w:r>
    </w:p>
    <w:p w14:paraId="6474172B" w14:textId="26A2D94F" w:rsidR="00454022" w:rsidRDefault="00D23EB3" w:rsidP="00D23EB3">
      <w:pPr>
        <w:pStyle w:val="paragraph"/>
      </w:pPr>
      <w:r>
        <w:tab/>
        <w:t>(a)</w:t>
      </w:r>
      <w:r>
        <w:tab/>
      </w:r>
      <w:r w:rsidR="00E75125">
        <w:t xml:space="preserve">the </w:t>
      </w:r>
      <w:r w:rsidR="000D5121">
        <w:t>nature</w:t>
      </w:r>
      <w:r w:rsidR="00E75125">
        <w:t xml:space="preserve"> of </w:t>
      </w:r>
      <w:r w:rsidR="000D5121">
        <w:t xml:space="preserve">the </w:t>
      </w:r>
      <w:r w:rsidR="0015768F">
        <w:t xml:space="preserve">transmission of the </w:t>
      </w:r>
      <w:r w:rsidR="00E75125">
        <w:t>meteorological-satellite service (</w:t>
      </w:r>
      <w:r w:rsidR="00F969DA">
        <w:t>for example</w:t>
      </w:r>
      <w:r w:rsidR="00E75125">
        <w:t>, reco</w:t>
      </w:r>
      <w:r w:rsidR="00506BE1">
        <w:t>r</w:t>
      </w:r>
      <w:r w:rsidR="00E75125">
        <w:t xml:space="preserve">ded data playback </w:t>
      </w:r>
      <w:r w:rsidR="00557F44">
        <w:t>or direct data readout) and type of satellite orbit (GSO or NGSO</w:t>
      </w:r>
      <w:proofErr w:type="gramStart"/>
      <w:r w:rsidR="00557F44">
        <w:t>);</w:t>
      </w:r>
      <w:proofErr w:type="gramEnd"/>
    </w:p>
    <w:p w14:paraId="0F2C61C4" w14:textId="54CB1826" w:rsidR="00557F44" w:rsidRDefault="00557F44" w:rsidP="00D23EB3">
      <w:pPr>
        <w:pStyle w:val="paragraph"/>
      </w:pPr>
      <w:r>
        <w:tab/>
        <w:t>(b)</w:t>
      </w:r>
      <w:r>
        <w:tab/>
        <w:t xml:space="preserve">the earth </w:t>
      </w:r>
      <w:proofErr w:type="gramStart"/>
      <w:r>
        <w:t>receive</w:t>
      </w:r>
      <w:proofErr w:type="gramEnd"/>
      <w:r>
        <w:t xml:space="preserve"> station antenna azimuth and elevation, or minimum elevation angle;</w:t>
      </w:r>
    </w:p>
    <w:p w14:paraId="0E6A4AC4" w14:textId="2C625328" w:rsidR="00557F44" w:rsidRDefault="00557F44" w:rsidP="00D23EB3">
      <w:pPr>
        <w:pStyle w:val="paragraph"/>
      </w:pPr>
      <w:r>
        <w:tab/>
        <w:t>(c)</w:t>
      </w:r>
      <w:r>
        <w:tab/>
      </w:r>
      <w:r w:rsidR="00991E02">
        <w:t xml:space="preserve">the </w:t>
      </w:r>
      <w:r w:rsidR="00C57A94">
        <w:t xml:space="preserve">earth </w:t>
      </w:r>
      <w:proofErr w:type="gramStart"/>
      <w:r w:rsidR="00C57A94">
        <w:t>receive</w:t>
      </w:r>
      <w:proofErr w:type="gramEnd"/>
      <w:r w:rsidR="00C57A94">
        <w:t xml:space="preserve"> station</w:t>
      </w:r>
      <w:r w:rsidR="00720D79">
        <w:t xml:space="preserve"> radiofrequency and intermediate frequency bandwidth and response (including any additional filtering that may be installed);</w:t>
      </w:r>
    </w:p>
    <w:p w14:paraId="648CB2CA" w14:textId="01A384F9" w:rsidR="00720D79" w:rsidRDefault="00951947" w:rsidP="00D23EB3">
      <w:pPr>
        <w:pStyle w:val="paragraph"/>
      </w:pPr>
      <w:r>
        <w:tab/>
        <w:t>(d)</w:t>
      </w:r>
      <w:r>
        <w:tab/>
      </w:r>
      <w:r w:rsidR="00152C90">
        <w:t xml:space="preserve">the earth </w:t>
      </w:r>
      <w:proofErr w:type="gramStart"/>
      <w:r w:rsidR="00152C90">
        <w:t>receive</w:t>
      </w:r>
      <w:proofErr w:type="gramEnd"/>
      <w:r w:rsidR="00152C90">
        <w:t xml:space="preserve"> station antenna height and gain (if not available from the Register).</w:t>
      </w:r>
    </w:p>
    <w:p w14:paraId="024B1828" w14:textId="65D4E1B6" w:rsidR="00D23EB3" w:rsidRDefault="00152C90" w:rsidP="007B60C7">
      <w:pPr>
        <w:pStyle w:val="subsection"/>
      </w:pPr>
      <w:r>
        <w:tab/>
        <w:t>(5)</w:t>
      </w:r>
      <w:r>
        <w:tab/>
      </w:r>
      <w:r w:rsidR="00F24560">
        <w:t xml:space="preserve">If </w:t>
      </w:r>
      <w:r w:rsidR="00C57A94">
        <w:t>the antenna radiation pattern of an earth receive station in the</w:t>
      </w:r>
      <w:r w:rsidR="00F24560">
        <w:t xml:space="preserve"> meteorological-satellite </w:t>
      </w:r>
      <w:r w:rsidR="000C2B0C">
        <w:t>service</w:t>
      </w:r>
      <w:r w:rsidR="00F24560">
        <w:t xml:space="preserve"> is unavailable, ITU-R </w:t>
      </w:r>
      <w:r w:rsidR="00F753A0">
        <w:t>Recommendation SA.465 “</w:t>
      </w:r>
      <w:r w:rsidR="004A1496">
        <w:t>Reference radiation pattern for earth station antennas in the fixed-satellite service for use in coordination and interference assessment in the frequency range 2 to 31 GHz” may be u</w:t>
      </w:r>
      <w:r w:rsidR="005956FD">
        <w:t>s</w:t>
      </w:r>
      <w:r w:rsidR="004A1496">
        <w:t>ed for coordination</w:t>
      </w:r>
      <w:r w:rsidR="005956FD">
        <w:t>, even though</w:t>
      </w:r>
      <w:r w:rsidR="004A1496">
        <w:t xml:space="preserve"> </w:t>
      </w:r>
      <w:r w:rsidR="001F79A5">
        <w:t>the</w:t>
      </w:r>
      <w:r w:rsidR="000C2B0C">
        <w:t xml:space="preserve"> </w:t>
      </w:r>
      <w:r w:rsidR="005956FD">
        <w:t>earth receive station operate</w:t>
      </w:r>
      <w:r w:rsidR="001F79A5">
        <w:t>s</w:t>
      </w:r>
      <w:r w:rsidR="005956FD">
        <w:t xml:space="preserve"> outside the frequency range for </w:t>
      </w:r>
      <w:r w:rsidR="00B13E16">
        <w:t>that</w:t>
      </w:r>
      <w:r w:rsidR="005956FD">
        <w:t xml:space="preserve"> document.</w:t>
      </w:r>
    </w:p>
    <w:p w14:paraId="340CD469" w14:textId="517B16E7" w:rsidR="005956FD" w:rsidRDefault="005956FD" w:rsidP="005956FD">
      <w:pPr>
        <w:pStyle w:val="notetext"/>
      </w:pPr>
      <w:r>
        <w:t>Note:</w:t>
      </w:r>
      <w:r>
        <w:tab/>
        <w:t xml:space="preserve">ITU-R Recommendation SA.465 is available, free of charge, from the International Telecommunication Union’s website at </w:t>
      </w:r>
      <w:hyperlink r:id="rId35" w:history="1">
        <w:r w:rsidRPr="002C226C">
          <w:rPr>
            <w:rStyle w:val="Hyperlink"/>
          </w:rPr>
          <w:t>www.itu.int</w:t>
        </w:r>
      </w:hyperlink>
      <w:r>
        <w:t>.</w:t>
      </w:r>
    </w:p>
    <w:p w14:paraId="04FF1C87" w14:textId="2EB024D0" w:rsidR="005956FD" w:rsidRDefault="005956FD" w:rsidP="007B60C7">
      <w:pPr>
        <w:pStyle w:val="subsection"/>
      </w:pPr>
      <w:r>
        <w:tab/>
        <w:t>(6)</w:t>
      </w:r>
      <w:r>
        <w:tab/>
        <w:t>Coordination is performed on a first-in-time basi</w:t>
      </w:r>
      <w:r w:rsidR="00214095">
        <w:t>s, and the operator of any new or relocated</w:t>
      </w:r>
      <w:r w:rsidR="00F04420">
        <w:t xml:space="preserve"> earth receive station in the</w:t>
      </w:r>
      <w:r w:rsidR="00214095">
        <w:t xml:space="preserve"> meteorological-satellite </w:t>
      </w:r>
      <w:r w:rsidR="000C2B0C">
        <w:t>service</w:t>
      </w:r>
      <w:r w:rsidR="00214095">
        <w:t xml:space="preserve"> will need to assess the interference potential from existing spectrum licensed services (from both fixed transmitters and mobile transmitters).</w:t>
      </w:r>
    </w:p>
    <w:p w14:paraId="32A66405" w14:textId="5BD483A4" w:rsidR="00214095" w:rsidRDefault="00214095" w:rsidP="007B60C7">
      <w:pPr>
        <w:pStyle w:val="subsection"/>
      </w:pPr>
      <w:r>
        <w:tab/>
        <w:t>(7)</w:t>
      </w:r>
      <w:r>
        <w:tab/>
        <w:t xml:space="preserve">Local terrain and clutter may also be </w:t>
      </w:r>
      <w:proofErr w:type="gramStart"/>
      <w:r>
        <w:t>taken into account</w:t>
      </w:r>
      <w:proofErr w:type="gramEnd"/>
      <w:r>
        <w:t>.</w:t>
      </w:r>
    </w:p>
    <w:p w14:paraId="2255020C" w14:textId="795BBBE9" w:rsidR="005956FD" w:rsidRDefault="00214095" w:rsidP="007B60C7">
      <w:pPr>
        <w:pStyle w:val="subsection"/>
      </w:pPr>
      <w:r>
        <w:tab/>
        <w:t>(8)</w:t>
      </w:r>
      <w:r>
        <w:tab/>
      </w:r>
      <w:r w:rsidR="00D01BA0">
        <w:t xml:space="preserve">Additional information can also be found in Appendix 7 of the Radio Regulations </w:t>
      </w:r>
      <w:r w:rsidR="00EC1726">
        <w:t>describing</w:t>
      </w:r>
      <w:r w:rsidR="00D01BA0">
        <w:t xml:space="preserve"> </w:t>
      </w:r>
      <w:r w:rsidR="009852F7">
        <w:t xml:space="preserve">methods for </w:t>
      </w:r>
      <w:r w:rsidR="00D01BA0">
        <w:t xml:space="preserve">the determination of the coordination area around an earth receive station </w:t>
      </w:r>
      <w:r w:rsidR="00193952">
        <w:t xml:space="preserve">in frequency bands </w:t>
      </w:r>
      <w:r w:rsidR="00D01BA0">
        <w:t>between 100</w:t>
      </w:r>
      <w:r w:rsidR="006E2922">
        <w:t> </w:t>
      </w:r>
      <w:r w:rsidR="00D01BA0">
        <w:t>MHz and 105 GHz.</w:t>
      </w:r>
    </w:p>
    <w:p w14:paraId="28BD79E3" w14:textId="0EC29E41" w:rsidR="00994363" w:rsidRDefault="00994363" w:rsidP="00994363">
      <w:pPr>
        <w:pStyle w:val="notetext"/>
      </w:pPr>
      <w:r>
        <w:t>Note:</w:t>
      </w:r>
      <w:r>
        <w:tab/>
        <w:t>The title of Appendix 7 of the Radio Regulations</w:t>
      </w:r>
      <w:r w:rsidR="0091158A">
        <w:t xml:space="preserve"> is “Meth</w:t>
      </w:r>
      <w:r w:rsidR="00556EE4">
        <w:t>ods for the determination of the coordination area around an earth station in frequency bands between 100 MHz and 105 GHz</w:t>
      </w:r>
      <w:r w:rsidR="00E54A3A">
        <w:t>”</w:t>
      </w:r>
      <w:r w:rsidR="00556EE4">
        <w:t>.</w:t>
      </w:r>
    </w:p>
    <w:p w14:paraId="463969F2" w14:textId="66528078" w:rsidR="00685940" w:rsidRDefault="007039FB" w:rsidP="00685940">
      <w:pPr>
        <w:pStyle w:val="notetext"/>
        <w:sectPr w:rsidR="00685940">
          <w:pgSz w:w="11906" w:h="16838"/>
          <w:pgMar w:top="1440" w:right="1440" w:bottom="1440" w:left="1440" w:header="708" w:footer="708" w:gutter="0"/>
          <w:cols w:space="720"/>
        </w:sectPr>
      </w:pPr>
      <w:r>
        <w:t>.</w:t>
      </w:r>
    </w:p>
    <w:p w14:paraId="57565D27" w14:textId="1764226A"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sidR="00BD6A4E">
        <w:rPr>
          <w:rFonts w:ascii="Times New Roman" w:hAnsi="Times New Roman" w:cs="Times New Roman"/>
          <w:b/>
          <w:bCs/>
          <w:sz w:val="32"/>
          <w:szCs w:val="32"/>
        </w:rPr>
        <w:t>Cordless communications devices</w:t>
      </w:r>
    </w:p>
    <w:p w14:paraId="274090E3" w14:textId="3D4BE0F9" w:rsidR="00685940" w:rsidRPr="004F1E24" w:rsidRDefault="00685940" w:rsidP="00685940">
      <w:pPr>
        <w:pStyle w:val="ActHead5"/>
      </w:pPr>
      <w:proofErr w:type="gramStart"/>
      <w:r>
        <w:rPr>
          <w:rStyle w:val="CharSectno"/>
        </w:rPr>
        <w:t>1</w:t>
      </w:r>
      <w:r w:rsidR="00BD6A4E">
        <w:rPr>
          <w:rStyle w:val="CharSectno"/>
        </w:rPr>
        <w:t>4</w:t>
      </w:r>
      <w:r w:rsidRPr="004F1E24">
        <w:t xml:space="preserve">  </w:t>
      </w:r>
      <w:r w:rsidR="00BD6A4E">
        <w:t>Background</w:t>
      </w:r>
      <w:proofErr w:type="gramEnd"/>
    </w:p>
    <w:p w14:paraId="77914283" w14:textId="2BB60AA0" w:rsidR="00685940" w:rsidRDefault="00025B89" w:rsidP="00685940">
      <w:pPr>
        <w:pStyle w:val="subsection"/>
      </w:pPr>
      <w:r>
        <w:tab/>
        <w:t>(1)</w:t>
      </w:r>
      <w:r>
        <w:tab/>
      </w:r>
      <w:r w:rsidR="00BD6A4E">
        <w:t>Some cordless communications devices, the operation of which is authorised by the Cordless Devices Class Licence</w:t>
      </w:r>
      <w:r w:rsidR="001438E9">
        <w:t>, operate in the 1880 MHz</w:t>
      </w:r>
      <w:r w:rsidR="00534127">
        <w:t xml:space="preserve"> to </w:t>
      </w:r>
      <w:r w:rsidR="001438E9">
        <w:t>19</w:t>
      </w:r>
      <w:r w:rsidR="00506BE1">
        <w:t>0</w:t>
      </w:r>
      <w:r w:rsidR="001438E9">
        <w:t xml:space="preserve">0 MHz frequency band. This band is adjacent to </w:t>
      </w:r>
      <w:r w:rsidR="003F7448">
        <w:t xml:space="preserve">the </w:t>
      </w:r>
      <w:r w:rsidR="00F23F83">
        <w:t>1800 MHz upper band</w:t>
      </w:r>
      <w:r w:rsidR="003F7448">
        <w:t xml:space="preserve"> </w:t>
      </w:r>
      <w:r w:rsidR="001A54FB">
        <w:t>used by</w:t>
      </w:r>
      <w:r w:rsidR="002253FC">
        <w:t xml:space="preserve"> </w:t>
      </w:r>
      <w:r w:rsidR="001438E9">
        <w:t>1800 MHz</w:t>
      </w:r>
      <w:r w:rsidR="00921DC4">
        <w:t xml:space="preserve"> spectrum licences. Devices which may operate in the 1880 MHz</w:t>
      </w:r>
      <w:r w:rsidR="00534127">
        <w:t xml:space="preserve"> to </w:t>
      </w:r>
      <w:r w:rsidR="00921DC4">
        <w:t>190</w:t>
      </w:r>
      <w:r w:rsidR="00953E59">
        <w:t>0</w:t>
      </w:r>
      <w:r w:rsidR="00921DC4">
        <w:t xml:space="preserve"> MHz frequency band</w:t>
      </w:r>
      <w:r w:rsidR="000210E0">
        <w:t xml:space="preserve"> generally must comply with the Cordless Devices Equipment Rules.</w:t>
      </w:r>
      <w:r w:rsidR="00476CDC">
        <w:t xml:space="preserve"> </w:t>
      </w:r>
    </w:p>
    <w:p w14:paraId="692C063C" w14:textId="4D5400AE" w:rsidR="000726DA" w:rsidRDefault="000726DA" w:rsidP="00685940">
      <w:pPr>
        <w:pStyle w:val="subsection"/>
      </w:pPr>
      <w:r>
        <w:tab/>
        <w:t>(</w:t>
      </w:r>
      <w:r w:rsidR="000D5121">
        <w:t>2</w:t>
      </w:r>
      <w:r>
        <w:t>)</w:t>
      </w:r>
      <w:r>
        <w:tab/>
      </w:r>
      <w:r w:rsidR="00E31CC0">
        <w:t xml:space="preserve">CEPT Report 41, ECC Report 96 and ECC Report 146 </w:t>
      </w:r>
      <w:r w:rsidR="00A30023">
        <w:t xml:space="preserve">show that no guard band is required for International Mobile </w:t>
      </w:r>
      <w:r w:rsidR="003B69C2">
        <w:t>Telecommunications</w:t>
      </w:r>
      <w:r w:rsidR="00364843">
        <w:t xml:space="preserve"> (IMT)</w:t>
      </w:r>
      <w:r w:rsidR="003B69C2">
        <w:t xml:space="preserve"> technologies operating below and directly adjacent to the 1880 MHz</w:t>
      </w:r>
      <w:r w:rsidR="000F15B7">
        <w:t xml:space="preserve"> to </w:t>
      </w:r>
      <w:r w:rsidR="003B69C2">
        <w:t>1900 MHz frequency band</w:t>
      </w:r>
      <w:r w:rsidR="002024CB">
        <w:t xml:space="preserve"> (below the 1880 MHz frequency boundary) to coexist with </w:t>
      </w:r>
      <w:r w:rsidR="00B44C60">
        <w:t xml:space="preserve">digitally </w:t>
      </w:r>
      <w:r w:rsidR="00F17D8C">
        <w:t>enhanced</w:t>
      </w:r>
      <w:r w:rsidR="00B44C60">
        <w:t xml:space="preserve"> cordless telecommunications</w:t>
      </w:r>
      <w:r w:rsidR="00F17D8C">
        <w:t xml:space="preserve"> services operating in the 1880 MHz</w:t>
      </w:r>
      <w:r w:rsidR="000F15B7">
        <w:t xml:space="preserve"> to </w:t>
      </w:r>
      <w:r w:rsidR="00F17D8C">
        <w:t xml:space="preserve">1900 MHz frequency band. This is due to the ability of digitally enhanced cordless telecommunications services to dynamically select channels located </w:t>
      </w:r>
      <w:r w:rsidR="0023343D">
        <w:t xml:space="preserve">further away from the 1800 MHz frequency boundary </w:t>
      </w:r>
      <w:proofErr w:type="gramStart"/>
      <w:r w:rsidR="0023343D">
        <w:t>in order to</w:t>
      </w:r>
      <w:proofErr w:type="gramEnd"/>
      <w:r w:rsidR="0023343D">
        <w:t xml:space="preserve"> avoid interference. </w:t>
      </w:r>
    </w:p>
    <w:p w14:paraId="3A3AFE77" w14:textId="4682E23F" w:rsidR="00FB2F5B" w:rsidRPr="004F1E24" w:rsidRDefault="00FB2F5B" w:rsidP="00FB2F5B">
      <w:pPr>
        <w:pStyle w:val="ActHead5"/>
      </w:pPr>
      <w:proofErr w:type="gramStart"/>
      <w:r>
        <w:rPr>
          <w:rStyle w:val="CharSectno"/>
        </w:rPr>
        <w:t>15</w:t>
      </w:r>
      <w:r w:rsidRPr="004F1E24">
        <w:t xml:space="preserve">  </w:t>
      </w:r>
      <w:r>
        <w:t>Protection</w:t>
      </w:r>
      <w:proofErr w:type="gramEnd"/>
      <w:r>
        <w:t xml:space="preserve"> requirements</w:t>
      </w:r>
    </w:p>
    <w:p w14:paraId="72E9F2D8" w14:textId="0B58707B" w:rsidR="0079747D" w:rsidRDefault="00FB2F5B" w:rsidP="00FB2F5B">
      <w:pPr>
        <w:pStyle w:val="subsection"/>
      </w:pPr>
      <w:r>
        <w:tab/>
      </w:r>
      <w:r>
        <w:tab/>
      </w:r>
      <w:r w:rsidR="0079747D">
        <w:t>If:</w:t>
      </w:r>
    </w:p>
    <w:p w14:paraId="5BCECD54" w14:textId="2652A92A" w:rsidR="0079747D" w:rsidRDefault="0079747D" w:rsidP="0079747D">
      <w:pPr>
        <w:pStyle w:val="paragraph"/>
      </w:pPr>
      <w:r>
        <w:tab/>
        <w:t>(a)</w:t>
      </w:r>
      <w:r>
        <w:tab/>
        <w:t>a spectrum licensee</w:t>
      </w:r>
      <w:r w:rsidR="000A0FAF">
        <w:t xml:space="preserve"> complies with all the core conditions of an 1800 MHz spectrum licence; and</w:t>
      </w:r>
    </w:p>
    <w:p w14:paraId="44181646" w14:textId="299178DF" w:rsidR="0079747D" w:rsidRDefault="0079747D" w:rsidP="0079747D">
      <w:pPr>
        <w:pStyle w:val="paragraph"/>
      </w:pPr>
      <w:r>
        <w:tab/>
        <w:t>(b)</w:t>
      </w:r>
      <w:r>
        <w:tab/>
      </w:r>
      <w:r w:rsidR="00A430B6">
        <w:t xml:space="preserve">a radiocommunications </w:t>
      </w:r>
      <w:r>
        <w:t>transmitter</w:t>
      </w:r>
      <w:r w:rsidR="000A0FAF">
        <w:t xml:space="preserve"> operated under the licence</w:t>
      </w:r>
      <w:r>
        <w:t xml:space="preserve"> does not cause an unacceptable level of interference, as defined in the section 145 </w:t>
      </w:r>
      <w:proofErr w:type="gramStart"/>
      <w:r>
        <w:t>determination</w:t>
      </w:r>
      <w:r w:rsidR="000A0FAF">
        <w:t>;</w:t>
      </w:r>
      <w:proofErr w:type="gramEnd"/>
    </w:p>
    <w:p w14:paraId="0440DB86" w14:textId="2D3A11A0" w:rsidR="00FB2F5B" w:rsidRDefault="000A0FAF" w:rsidP="000A0FAF">
      <w:pPr>
        <w:pStyle w:val="subsection"/>
        <w:spacing w:before="60"/>
      </w:pPr>
      <w:r>
        <w:tab/>
      </w:r>
      <w:r>
        <w:tab/>
      </w:r>
      <w:r w:rsidR="00646B7E">
        <w:t>for the purpose of this instrument, no</w:t>
      </w:r>
      <w:r>
        <w:t xml:space="preserve"> unacceptable</w:t>
      </w:r>
      <w:r w:rsidR="00646B7E">
        <w:t xml:space="preserve"> interference is taken to be caused to any cordless communications devices operated in accordance with the Cordless Devices Class Licence.</w:t>
      </w:r>
    </w:p>
    <w:p w14:paraId="59D50DC6" w14:textId="77777777" w:rsidR="006F096E" w:rsidRDefault="006F096E" w:rsidP="004A5C38">
      <w:pPr>
        <w:pStyle w:val="paragraph"/>
        <w:sectPr w:rsidR="006F096E" w:rsidSect="00957210">
          <w:pgSz w:w="11906" w:h="16838"/>
          <w:pgMar w:top="1440" w:right="1440" w:bottom="1440" w:left="1440" w:header="708" w:footer="708" w:gutter="0"/>
          <w:cols w:space="708"/>
          <w:docGrid w:linePitch="360"/>
        </w:sectPr>
      </w:pPr>
    </w:p>
    <w:p w14:paraId="23649F48" w14:textId="162D8E75" w:rsidR="00B70F23" w:rsidRDefault="00B70F23" w:rsidP="00B70F23">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6</w:t>
      </w:r>
      <w:r w:rsidRPr="004F1E24">
        <w:rPr>
          <w:rFonts w:ascii="Times New Roman" w:hAnsi="Times New Roman" w:cs="Times New Roman"/>
          <w:b/>
          <w:bCs/>
          <w:sz w:val="32"/>
          <w:szCs w:val="32"/>
        </w:rPr>
        <w:t>—</w:t>
      </w:r>
      <w:r>
        <w:rPr>
          <w:rFonts w:ascii="Times New Roman" w:hAnsi="Times New Roman" w:cs="Times New Roman"/>
          <w:b/>
          <w:bCs/>
          <w:sz w:val="32"/>
          <w:szCs w:val="32"/>
        </w:rPr>
        <w:t>Radio astronomy service receivers</w:t>
      </w:r>
    </w:p>
    <w:p w14:paraId="663F3FF5" w14:textId="718C7FC1" w:rsidR="00B70F23" w:rsidRPr="004F1E24" w:rsidRDefault="00B70F23" w:rsidP="00B70F23">
      <w:pPr>
        <w:pStyle w:val="ActHead5"/>
      </w:pPr>
      <w:proofErr w:type="gramStart"/>
      <w:r>
        <w:rPr>
          <w:rStyle w:val="CharSectno"/>
        </w:rPr>
        <w:t>16</w:t>
      </w:r>
      <w:r w:rsidRPr="004F1E24">
        <w:t xml:space="preserve">  </w:t>
      </w:r>
      <w:r>
        <w:t>Background</w:t>
      </w:r>
      <w:proofErr w:type="gramEnd"/>
    </w:p>
    <w:p w14:paraId="6388B387" w14:textId="714319BE" w:rsidR="00F358C9" w:rsidRDefault="00B70F23" w:rsidP="005C357F">
      <w:pPr>
        <w:pStyle w:val="subsection"/>
      </w:pPr>
      <w:r>
        <w:tab/>
        <w:t>(1)</w:t>
      </w:r>
      <w:r>
        <w:tab/>
      </w:r>
      <w:r w:rsidR="00BB4BF6">
        <w:t>R</w:t>
      </w:r>
      <w:r w:rsidR="00F358C9">
        <w:t>adiocommunications receivers used in a r</w:t>
      </w:r>
      <w:r w:rsidR="00BB4BF6">
        <w:t>adio as</w:t>
      </w:r>
      <w:r w:rsidR="005D715E">
        <w:t>tronomy</w:t>
      </w:r>
      <w:r w:rsidR="00F358C9">
        <w:t xml:space="preserve"> service conduct passive observations in the </w:t>
      </w:r>
      <w:r w:rsidR="00A4518E">
        <w:t>1.2 GHz</w:t>
      </w:r>
      <w:r w:rsidR="000F15B7">
        <w:t xml:space="preserve"> to </w:t>
      </w:r>
      <w:r w:rsidR="00A4518E">
        <w:t xml:space="preserve">1.8 GHz </w:t>
      </w:r>
      <w:r w:rsidR="00F358C9">
        <w:t>frequency band</w:t>
      </w:r>
      <w:r w:rsidR="005D6194">
        <w:t>.</w:t>
      </w:r>
    </w:p>
    <w:p w14:paraId="5B8DD94A" w14:textId="7274F76E" w:rsidR="00B70F23" w:rsidRDefault="004F7273" w:rsidP="004F7273">
      <w:pPr>
        <w:pStyle w:val="notetext"/>
      </w:pPr>
      <w:r>
        <w:t>Note:</w:t>
      </w:r>
      <w:r>
        <w:tab/>
        <w:t xml:space="preserve">See Australian </w:t>
      </w:r>
      <w:r w:rsidR="001773F0">
        <w:t>f</w:t>
      </w:r>
      <w:r>
        <w:t xml:space="preserve">ootnote </w:t>
      </w:r>
      <w:r w:rsidR="00FC2042">
        <w:t xml:space="preserve">reference </w:t>
      </w:r>
      <w:r>
        <w:t>AUS87 in Part</w:t>
      </w:r>
      <w:r w:rsidR="00760636">
        <w:t>s 2 and</w:t>
      </w:r>
      <w:r>
        <w:t xml:space="preserve"> 3 of the spectrum </w:t>
      </w:r>
      <w:proofErr w:type="gramStart"/>
      <w:r>
        <w:t>plan</w:t>
      </w:r>
      <w:proofErr w:type="gramEnd"/>
      <w:r w:rsidR="00760636">
        <w:t>.</w:t>
      </w:r>
    </w:p>
    <w:p w14:paraId="09E8B4C0" w14:textId="16B209A2" w:rsidR="00760636" w:rsidRDefault="009738EE" w:rsidP="009738EE">
      <w:pPr>
        <w:pStyle w:val="subsection"/>
      </w:pPr>
      <w:r>
        <w:tab/>
        <w:t>(2)</w:t>
      </w:r>
      <w:r>
        <w:tab/>
        <w:t xml:space="preserve">Due to the highly sensitive nature of such receivers, spectrum licensees are requested to have regard to such receivers operating on frequencies in and adjacent to the 1800 MHz band. </w:t>
      </w:r>
      <w:proofErr w:type="gramStart"/>
      <w:r>
        <w:t>A number of</w:t>
      </w:r>
      <w:proofErr w:type="gramEnd"/>
      <w:r>
        <w:t xml:space="preserve"> radio astronomy facilities operate in bands covered by </w:t>
      </w:r>
      <w:r w:rsidR="001773F0">
        <w:t>Australian footnote</w:t>
      </w:r>
      <w:r w:rsidR="00FE53E0">
        <w:t xml:space="preserve"> reference</w:t>
      </w:r>
      <w:r w:rsidR="001773F0">
        <w:t xml:space="preserve"> AUS87 in the spectrum plan.</w:t>
      </w:r>
    </w:p>
    <w:p w14:paraId="0DC48155" w14:textId="17E201AE" w:rsidR="001773F0" w:rsidRDefault="001773F0" w:rsidP="009738EE">
      <w:pPr>
        <w:pStyle w:val="subsection"/>
      </w:pPr>
      <w:r>
        <w:tab/>
        <w:t>(3)</w:t>
      </w:r>
      <w:r>
        <w:tab/>
      </w:r>
      <w:r w:rsidR="009979F7">
        <w:t xml:space="preserve">At the time this instrument </w:t>
      </w:r>
      <w:r w:rsidR="00F77BEF">
        <w:t>was</w:t>
      </w:r>
      <w:r w:rsidR="009979F7">
        <w:t xml:space="preserve"> made, </w:t>
      </w:r>
      <w:r>
        <w:t xml:space="preserve">Australian footnote </w:t>
      </w:r>
      <w:r w:rsidR="003F5BB2">
        <w:t xml:space="preserve">reference </w:t>
      </w:r>
      <w:r>
        <w:t xml:space="preserve">AUS87 </w:t>
      </w:r>
      <w:r w:rsidR="007C4646">
        <w:t xml:space="preserve">in the spectrum plan </w:t>
      </w:r>
      <w:r>
        <w:t>state</w:t>
      </w:r>
      <w:r w:rsidR="00E261DA">
        <w:t>d</w:t>
      </w:r>
      <w:r>
        <w:t xml:space="preserve"> that there are </w:t>
      </w:r>
      <w:r w:rsidR="00AD7111">
        <w:t>radio astronomy facilities operated by the Commonwealth Scien</w:t>
      </w:r>
      <w:r w:rsidR="003D7373">
        <w:t>tific</w:t>
      </w:r>
      <w:r w:rsidR="00AD7111">
        <w:t xml:space="preserve"> and Industr</w:t>
      </w:r>
      <w:r w:rsidR="003D7373">
        <w:t>ial</w:t>
      </w:r>
      <w:r w:rsidR="00AD7111">
        <w:t xml:space="preserve"> Research Organisation</w:t>
      </w:r>
      <w:r w:rsidR="003D7373">
        <w:t xml:space="preserve"> and the University of Tasmania.</w:t>
      </w:r>
    </w:p>
    <w:p w14:paraId="70367360" w14:textId="5E8D86DF" w:rsidR="003D7373" w:rsidRPr="004F1E24" w:rsidRDefault="003D7373" w:rsidP="003D7373">
      <w:pPr>
        <w:pStyle w:val="ActHead5"/>
      </w:pPr>
      <w:proofErr w:type="gramStart"/>
      <w:r>
        <w:rPr>
          <w:rStyle w:val="CharSectno"/>
        </w:rPr>
        <w:t>17</w:t>
      </w:r>
      <w:r w:rsidRPr="004F1E24">
        <w:t xml:space="preserve">  </w:t>
      </w:r>
      <w:r>
        <w:t>Protection</w:t>
      </w:r>
      <w:proofErr w:type="gramEnd"/>
      <w:r>
        <w:t xml:space="preserve"> </w:t>
      </w:r>
      <w:r w:rsidR="00B93BFB">
        <w:t>requiremen</w:t>
      </w:r>
      <w:r w:rsidR="001802AD">
        <w:t>ts</w:t>
      </w:r>
    </w:p>
    <w:p w14:paraId="73F51C4A" w14:textId="5B3F9B4B" w:rsidR="003D7373" w:rsidRDefault="003D7373" w:rsidP="003D7373">
      <w:pPr>
        <w:pStyle w:val="subsection"/>
      </w:pPr>
      <w:r>
        <w:tab/>
        <w:t>(1)</w:t>
      </w:r>
      <w:r>
        <w:tab/>
      </w:r>
      <w:r w:rsidR="00B93BFB">
        <w:t xml:space="preserve">Spectrum licensees are requested </w:t>
      </w:r>
      <w:r w:rsidR="007434D6">
        <w:t>to have regard to r</w:t>
      </w:r>
      <w:r>
        <w:t xml:space="preserve">adiocommunications receivers used in a radio astronomy service </w:t>
      </w:r>
      <w:r w:rsidR="001802AD">
        <w:t xml:space="preserve">operating on frequencies in the 1800 MHz band, covered by </w:t>
      </w:r>
      <w:r w:rsidR="00EC6DAE">
        <w:t>Australian</w:t>
      </w:r>
      <w:r w:rsidR="001802AD">
        <w:t xml:space="preserve"> footnote </w:t>
      </w:r>
      <w:r w:rsidR="00F63801">
        <w:t xml:space="preserve">reference </w:t>
      </w:r>
      <w:r w:rsidR="001802AD">
        <w:t>AUS87 in the spectrum plan.</w:t>
      </w:r>
    </w:p>
    <w:p w14:paraId="76612752" w14:textId="181C60A8" w:rsidR="001802AD" w:rsidRDefault="001802AD" w:rsidP="003D7373">
      <w:pPr>
        <w:pStyle w:val="subsection"/>
      </w:pPr>
      <w:r>
        <w:tab/>
        <w:t>(2)</w:t>
      </w:r>
      <w:r>
        <w:tab/>
        <w:t>Although the</w:t>
      </w:r>
      <w:r w:rsidR="005F2E4F">
        <w:t>se</w:t>
      </w:r>
      <w:r>
        <w:t xml:space="preserve"> radio astronomy facilities operate on a fortuitous reception basis, the ACMA encourages the direct liaison of spectrum license</w:t>
      </w:r>
      <w:r w:rsidR="009633D8">
        <w:t>e</w:t>
      </w:r>
      <w:r>
        <w:t>s with the operators of such radiocommunications receivers, particularly during the system planning phase of new systems, to minim</w:t>
      </w:r>
      <w:r w:rsidR="003A2707">
        <w:t>i</w:t>
      </w:r>
      <w:r>
        <w:t>s</w:t>
      </w:r>
      <w:r w:rsidR="003A2707">
        <w:t>e</w:t>
      </w:r>
      <w:r>
        <w:t xml:space="preserve"> the potential interference impact on these receivers. Spectrum licensees planning new fixed transmitters that are required to be included in the Register are requested to follow the notification arrangements in RALI MS 3</w:t>
      </w:r>
      <w:r w:rsidR="00967B5B">
        <w:t>1.</w:t>
      </w:r>
    </w:p>
    <w:p w14:paraId="255300CB" w14:textId="77777777" w:rsidR="00967B5B" w:rsidRDefault="00967B5B" w:rsidP="009738EE">
      <w:pPr>
        <w:pStyle w:val="subsection"/>
        <w:sectPr w:rsidR="00967B5B" w:rsidSect="00957210">
          <w:pgSz w:w="11906" w:h="16838"/>
          <w:pgMar w:top="1440" w:right="1440" w:bottom="1440" w:left="1440" w:header="708" w:footer="708" w:gutter="0"/>
          <w:cols w:space="708"/>
          <w:docGrid w:linePitch="360"/>
        </w:sectPr>
      </w:pPr>
    </w:p>
    <w:p w14:paraId="30A6A98B" w14:textId="3970F560" w:rsidR="00967B5B" w:rsidRDefault="00967B5B" w:rsidP="00967B5B">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7</w:t>
      </w:r>
      <w:r w:rsidRPr="004F1E24">
        <w:rPr>
          <w:rFonts w:ascii="Times New Roman" w:hAnsi="Times New Roman" w:cs="Times New Roman"/>
          <w:b/>
          <w:bCs/>
          <w:sz w:val="32"/>
          <w:szCs w:val="32"/>
        </w:rPr>
        <w:t>—</w:t>
      </w:r>
      <w:r>
        <w:rPr>
          <w:rFonts w:ascii="Times New Roman" w:hAnsi="Times New Roman" w:cs="Times New Roman"/>
          <w:b/>
          <w:bCs/>
          <w:sz w:val="32"/>
          <w:szCs w:val="32"/>
        </w:rPr>
        <w:t>P</w:t>
      </w:r>
      <w:r w:rsidR="00F501EB">
        <w:rPr>
          <w:rFonts w:ascii="Times New Roman" w:hAnsi="Times New Roman" w:cs="Times New Roman"/>
          <w:b/>
          <w:bCs/>
          <w:sz w:val="32"/>
          <w:szCs w:val="32"/>
        </w:rPr>
        <w:t xml:space="preserve">ublic </w:t>
      </w:r>
      <w:r w:rsidR="0042780F">
        <w:rPr>
          <w:rFonts w:ascii="Times New Roman" w:hAnsi="Times New Roman" w:cs="Times New Roman"/>
          <w:b/>
          <w:bCs/>
          <w:sz w:val="32"/>
          <w:szCs w:val="32"/>
        </w:rPr>
        <w:t xml:space="preserve">mobile </w:t>
      </w:r>
      <w:r w:rsidR="00F501EB">
        <w:rPr>
          <w:rFonts w:ascii="Times New Roman" w:hAnsi="Times New Roman" w:cs="Times New Roman"/>
          <w:b/>
          <w:bCs/>
          <w:sz w:val="32"/>
          <w:szCs w:val="32"/>
        </w:rPr>
        <w:t>telecommunications services</w:t>
      </w:r>
    </w:p>
    <w:p w14:paraId="04C306FA" w14:textId="3774F8EF" w:rsidR="00967B5B" w:rsidRPr="004F1E24" w:rsidRDefault="00967B5B" w:rsidP="00967B5B">
      <w:pPr>
        <w:pStyle w:val="ActHead5"/>
      </w:pPr>
      <w:proofErr w:type="gramStart"/>
      <w:r>
        <w:rPr>
          <w:rStyle w:val="CharSectno"/>
        </w:rPr>
        <w:t>18</w:t>
      </w:r>
      <w:r w:rsidRPr="004F1E24">
        <w:t xml:space="preserve">  </w:t>
      </w:r>
      <w:r>
        <w:t>Background</w:t>
      </w:r>
      <w:proofErr w:type="gramEnd"/>
    </w:p>
    <w:p w14:paraId="48EF5141" w14:textId="3C8F0DE3" w:rsidR="00967B5B" w:rsidRDefault="00967B5B" w:rsidP="00967B5B">
      <w:pPr>
        <w:pStyle w:val="subsection"/>
      </w:pPr>
      <w:r>
        <w:tab/>
        <w:t>(1)</w:t>
      </w:r>
      <w:r>
        <w:tab/>
      </w:r>
      <w:r w:rsidR="00F501EB">
        <w:t xml:space="preserve">Public </w:t>
      </w:r>
      <w:r w:rsidR="0042780F">
        <w:t xml:space="preserve">mobile </w:t>
      </w:r>
      <w:r w:rsidR="00F501EB">
        <w:t>telecommunications services operate in spectrum in and adjacent to the 1800 MHz band</w:t>
      </w:r>
      <w:r w:rsidR="002E708A">
        <w:t xml:space="preserve">. </w:t>
      </w:r>
      <w:r w:rsidR="00AB11C4">
        <w:t xml:space="preserve">The operation of mobile stations that communicate with </w:t>
      </w:r>
      <w:r w:rsidR="00E13D74">
        <w:t xml:space="preserve">land stations for the purposes of a </w:t>
      </w:r>
      <w:r w:rsidR="00AB11C4">
        <w:t xml:space="preserve">public </w:t>
      </w:r>
      <w:r w:rsidR="00355FC7">
        <w:t xml:space="preserve">mobile </w:t>
      </w:r>
      <w:r w:rsidR="00AB11C4">
        <w:t xml:space="preserve">telecommunications service may be authorised by the </w:t>
      </w:r>
      <w:r w:rsidR="005D2A26">
        <w:t>Cellular Devices Class Licence.</w:t>
      </w:r>
    </w:p>
    <w:p w14:paraId="7DAEBF23" w14:textId="11057A8C" w:rsidR="003D7373" w:rsidRDefault="00915CA5" w:rsidP="009738EE">
      <w:pPr>
        <w:pStyle w:val="subsection"/>
      </w:pPr>
      <w:r>
        <w:tab/>
        <w:t>(2)</w:t>
      </w:r>
      <w:r>
        <w:tab/>
      </w:r>
      <w:r w:rsidR="00F7342D">
        <w:t xml:space="preserve">The ACMA has determined, under section 98 of the Act, that the </w:t>
      </w:r>
      <w:r w:rsidR="00E2179A">
        <w:t>public telecommunications service (</w:t>
      </w:r>
      <w:r w:rsidR="00F7342D" w:rsidRPr="005C357F">
        <w:rPr>
          <w:b/>
          <w:bCs/>
          <w:i/>
          <w:iCs/>
        </w:rPr>
        <w:t>PTS</w:t>
      </w:r>
      <w:r w:rsidR="00E2179A">
        <w:t>)</w:t>
      </w:r>
      <w:r w:rsidR="00F7342D">
        <w:t xml:space="preserve"> type of </w:t>
      </w:r>
      <w:r w:rsidR="00195DED">
        <w:t>transmitter</w:t>
      </w:r>
      <w:r w:rsidR="00F7342D">
        <w:t xml:space="preserve"> licence is available to be issued</w:t>
      </w:r>
      <w:r w:rsidR="001F0D11">
        <w:t xml:space="preserve"> under section 100 of the Act</w:t>
      </w:r>
      <w:r w:rsidR="00F7342D">
        <w:t xml:space="preserve">. There are two kinds of PTS </w:t>
      </w:r>
      <w:r w:rsidR="00E5509E">
        <w:t xml:space="preserve">transmitter </w:t>
      </w:r>
      <w:r w:rsidR="00F7342D">
        <w:t>licences available in the 1800 MHz band:</w:t>
      </w:r>
    </w:p>
    <w:p w14:paraId="2FA0E89A" w14:textId="40AC63D8" w:rsidR="00F7342D" w:rsidRDefault="00F7342D" w:rsidP="00F7342D">
      <w:pPr>
        <w:pStyle w:val="paragraph"/>
      </w:pPr>
      <w:r>
        <w:tab/>
        <w:t>(a)</w:t>
      </w:r>
      <w:r>
        <w:tab/>
        <w:t>PMTS Class B, which authorises the use of radiocommunications devices</w:t>
      </w:r>
      <w:r w:rsidR="00E2179A">
        <w:t xml:space="preserve"> (limited to land stations)</w:t>
      </w:r>
      <w:r>
        <w:t xml:space="preserve"> in terrestrial systems;</w:t>
      </w:r>
      <w:r w:rsidR="00AA7968">
        <w:t xml:space="preserve"> and</w:t>
      </w:r>
    </w:p>
    <w:p w14:paraId="179FA914" w14:textId="13C28829" w:rsidR="00F7342D" w:rsidRDefault="00F7342D" w:rsidP="00F7342D">
      <w:pPr>
        <w:pStyle w:val="paragraph"/>
      </w:pPr>
      <w:r>
        <w:tab/>
        <w:t>(b)</w:t>
      </w:r>
      <w:r>
        <w:tab/>
        <w:t xml:space="preserve">PMTS Class C, which authorises the use of radiocommunications devices </w:t>
      </w:r>
      <w:r w:rsidR="00E2179A">
        <w:t xml:space="preserve">located </w:t>
      </w:r>
      <w:r>
        <w:t>on aircraft.</w:t>
      </w:r>
    </w:p>
    <w:p w14:paraId="1B5FE7B6" w14:textId="66A29335" w:rsidR="00EC6DAE" w:rsidRPr="004F1E24" w:rsidRDefault="00EC6DAE" w:rsidP="00EC6DAE">
      <w:pPr>
        <w:pStyle w:val="ActHead5"/>
      </w:pPr>
      <w:proofErr w:type="gramStart"/>
      <w:r>
        <w:rPr>
          <w:rStyle w:val="CharSectno"/>
        </w:rPr>
        <w:t>19</w:t>
      </w:r>
      <w:r w:rsidRPr="004F1E24">
        <w:t xml:space="preserve">  </w:t>
      </w:r>
      <w:r>
        <w:t>Protection</w:t>
      </w:r>
      <w:proofErr w:type="gramEnd"/>
      <w:r>
        <w:t xml:space="preserve"> requirements</w:t>
      </w:r>
      <w:r w:rsidR="00D86FA0">
        <w:t xml:space="preserve"> – PMTS Class B</w:t>
      </w:r>
    </w:p>
    <w:p w14:paraId="3AED405C" w14:textId="7429B191" w:rsidR="00BB658D" w:rsidRDefault="00BB658D" w:rsidP="00BB658D">
      <w:pPr>
        <w:pStyle w:val="subsection"/>
      </w:pPr>
      <w:r>
        <w:tab/>
        <w:t>(1)</w:t>
      </w:r>
      <w:r>
        <w:tab/>
        <w:t>PMTS Class B licences in the 1800 MHz band are generally issued in accordance with the frequency assignment criteria in RALI MS 34, which provides details about channel plans and guidance on interference criteria and frequency coordination procedures.</w:t>
      </w:r>
    </w:p>
    <w:p w14:paraId="4948FD8B" w14:textId="5C83A5F6" w:rsidR="00EC6DAE" w:rsidRDefault="00EC6DAE" w:rsidP="00EC6DAE">
      <w:pPr>
        <w:pStyle w:val="subsection"/>
      </w:pPr>
      <w:r>
        <w:tab/>
        <w:t>(</w:t>
      </w:r>
      <w:r w:rsidR="00BB658D">
        <w:t>2</w:t>
      </w:r>
      <w:r>
        <w:t>)</w:t>
      </w:r>
      <w:r>
        <w:tab/>
        <w:t xml:space="preserve">The protection requirements for radiocommunications receivers operating </w:t>
      </w:r>
      <w:r w:rsidR="0083674E">
        <w:t xml:space="preserve">in relation to </w:t>
      </w:r>
      <w:r>
        <w:t>a PMTS Class B licence are specified in RALI MS 34. In planning for the operation of radiocommunications transmitters under</w:t>
      </w:r>
      <w:r w:rsidR="00113D57">
        <w:t xml:space="preserve"> a</w:t>
      </w:r>
      <w:r w:rsidR="00147956">
        <w:t>n 1800 MHz</w:t>
      </w:r>
      <w:r w:rsidR="00113D57">
        <w:t xml:space="preserve"> spectrum licence, radiocommunications receivers operating </w:t>
      </w:r>
      <w:r w:rsidR="0083674E">
        <w:t xml:space="preserve">in relation to </w:t>
      </w:r>
      <w:r w:rsidR="00113D57">
        <w:t>a PMTS Class B licence are to be provided with the protection set out in this section.</w:t>
      </w:r>
    </w:p>
    <w:p w14:paraId="52686560" w14:textId="551413F4" w:rsidR="00BB658D" w:rsidRDefault="00BB658D" w:rsidP="00BB658D">
      <w:pPr>
        <w:pStyle w:val="subsection"/>
      </w:pPr>
      <w:r>
        <w:tab/>
        <w:t>(3)</w:t>
      </w:r>
      <w:r>
        <w:tab/>
        <w:t xml:space="preserve">For the purposes of this instrument, radiocommunications receivers operating </w:t>
      </w:r>
      <w:r w:rsidR="00FB30C0">
        <w:t>in relation to</w:t>
      </w:r>
      <w:r>
        <w:t xml:space="preserve"> a PMTS Class B licence are taken to be divided into two classes:</w:t>
      </w:r>
    </w:p>
    <w:p w14:paraId="0A05F6A2" w14:textId="175A781B" w:rsidR="00BB658D" w:rsidRDefault="00BB658D" w:rsidP="00BB658D">
      <w:pPr>
        <w:pStyle w:val="paragraph"/>
      </w:pPr>
      <w:r>
        <w:tab/>
        <w:t>(a)</w:t>
      </w:r>
      <w:r>
        <w:tab/>
        <w:t>land station radiocommunications receivers, which operate in the 1710 MHz</w:t>
      </w:r>
      <w:r w:rsidR="004067B2">
        <w:t xml:space="preserve"> to </w:t>
      </w:r>
      <w:r>
        <w:t>1785 MHz frequency band outside those areas subject to spectrum licensing in the 1800 MHz band; and</w:t>
      </w:r>
    </w:p>
    <w:p w14:paraId="21D367C4" w14:textId="23861A68" w:rsidR="00BB658D" w:rsidRDefault="00BB658D" w:rsidP="00BB658D">
      <w:pPr>
        <w:pStyle w:val="paragraph"/>
      </w:pPr>
      <w:r>
        <w:tab/>
        <w:t>(b)</w:t>
      </w:r>
      <w:r>
        <w:tab/>
        <w:t>mobile station radiocommunications receivers, which operate in the 1805 MHz</w:t>
      </w:r>
      <w:r w:rsidR="004067B2">
        <w:t xml:space="preserve"> to </w:t>
      </w:r>
      <w:r>
        <w:t>1880 MHz frequency band outside those areas subject to spectrum licensing in the 1800 MHz band.</w:t>
      </w:r>
    </w:p>
    <w:p w14:paraId="5F8F7BE3" w14:textId="7970110C" w:rsidR="00113D57" w:rsidRPr="00113D57" w:rsidRDefault="00113D57" w:rsidP="00EC6DAE">
      <w:pPr>
        <w:pStyle w:val="subsection"/>
        <w:rPr>
          <w:i/>
          <w:iCs/>
        </w:rPr>
      </w:pPr>
      <w:r>
        <w:rPr>
          <w:i/>
          <w:iCs/>
        </w:rPr>
        <w:t>Land station radiocommunications receivers</w:t>
      </w:r>
    </w:p>
    <w:p w14:paraId="3F3FDCB8" w14:textId="2412C6DA" w:rsidR="00113D57" w:rsidRDefault="00113D57" w:rsidP="00EC6DAE">
      <w:pPr>
        <w:pStyle w:val="subsection"/>
      </w:pPr>
      <w:r>
        <w:tab/>
        <w:t>(</w:t>
      </w:r>
      <w:r w:rsidR="00BB658D">
        <w:t>4</w:t>
      </w:r>
      <w:r>
        <w:t>)</w:t>
      </w:r>
      <w:r>
        <w:tab/>
        <w:t>Land station radiocommunications receivers</w:t>
      </w:r>
      <w:r w:rsidR="00D86FA0">
        <w:t xml:space="preserve"> operated </w:t>
      </w:r>
      <w:r w:rsidR="00262EF8">
        <w:t xml:space="preserve">in relation to </w:t>
      </w:r>
      <w:r w:rsidR="00D86FA0">
        <w:t>a PMTS Class B licence</w:t>
      </w:r>
      <w:r w:rsidR="00943AFF">
        <w:t xml:space="preserve"> are</w:t>
      </w:r>
      <w:r>
        <w:t>:</w:t>
      </w:r>
    </w:p>
    <w:p w14:paraId="1471D698" w14:textId="47515BDA" w:rsidR="00113D57" w:rsidRDefault="00113D57" w:rsidP="00113D57">
      <w:pPr>
        <w:pStyle w:val="paragraph"/>
      </w:pPr>
      <w:r>
        <w:tab/>
        <w:t>(a)</w:t>
      </w:r>
      <w:r>
        <w:tab/>
        <w:t>to be provided with out-of-band protection from interference according to RALI MS 34, from spectrum licensed radiocommunications transmitters</w:t>
      </w:r>
      <w:r w:rsidR="00A104E0">
        <w:t xml:space="preserve"> that</w:t>
      </w:r>
      <w:r>
        <w:t>:</w:t>
      </w:r>
    </w:p>
    <w:p w14:paraId="03264791" w14:textId="67A87F38" w:rsidR="00A104E0" w:rsidRDefault="00113D57" w:rsidP="00113D57">
      <w:pPr>
        <w:pStyle w:val="paragraphsub"/>
      </w:pPr>
      <w:r>
        <w:tab/>
        <w:t>(i)</w:t>
      </w:r>
      <w:r>
        <w:tab/>
      </w:r>
      <w:r w:rsidR="00A104E0">
        <w:t xml:space="preserve">are high sited; </w:t>
      </w:r>
      <w:r w:rsidR="00F53302">
        <w:t>and</w:t>
      </w:r>
    </w:p>
    <w:p w14:paraId="00C3CF19" w14:textId="3AB6C872" w:rsidR="00113D57" w:rsidRDefault="00A104E0" w:rsidP="00113D57">
      <w:pPr>
        <w:pStyle w:val="paragraphsub"/>
      </w:pPr>
      <w:r>
        <w:tab/>
        <w:t>(ii)</w:t>
      </w:r>
      <w:r>
        <w:tab/>
        <w:t>operate in the 1800 MHz lower band;</w:t>
      </w:r>
      <w:r w:rsidR="00F53302">
        <w:t xml:space="preserve"> and</w:t>
      </w:r>
    </w:p>
    <w:p w14:paraId="5EC7DB01" w14:textId="021E30CB" w:rsidR="00A104E0" w:rsidRDefault="00A104E0" w:rsidP="00113D57">
      <w:pPr>
        <w:pStyle w:val="paragraphsub"/>
      </w:pPr>
      <w:r>
        <w:tab/>
        <w:t>(iii)</w:t>
      </w:r>
      <w:r>
        <w:tab/>
        <w:t xml:space="preserve">were included in the Register after </w:t>
      </w:r>
      <w:r w:rsidR="00D86FA0">
        <w:t xml:space="preserve">the </w:t>
      </w:r>
      <w:r w:rsidR="00442227">
        <w:t>PMTS Class B licence was issued;</w:t>
      </w:r>
      <w:r w:rsidR="00F53302">
        <w:t xml:space="preserve"> and</w:t>
      </w:r>
    </w:p>
    <w:p w14:paraId="53D9CB5B" w14:textId="0D81D400" w:rsidR="00442227" w:rsidRDefault="00442227" w:rsidP="00113D57">
      <w:pPr>
        <w:pStyle w:val="paragraphsub"/>
      </w:pPr>
      <w:r>
        <w:tab/>
        <w:t>(iv)</w:t>
      </w:r>
      <w:r>
        <w:tab/>
        <w:t>operate in accordance with all conditions of the spectrum licence; and</w:t>
      </w:r>
    </w:p>
    <w:p w14:paraId="48AEC9AF" w14:textId="43E4EA6B" w:rsidR="00442227" w:rsidRDefault="00442227" w:rsidP="00113D57">
      <w:pPr>
        <w:pStyle w:val="paragraphsub"/>
      </w:pPr>
      <w:r>
        <w:tab/>
        <w:t>(v)</w:t>
      </w:r>
      <w:r>
        <w:tab/>
        <w:t xml:space="preserve">do not cause an unacceptable level of interference, as defined in the section 145 </w:t>
      </w:r>
      <w:proofErr w:type="gramStart"/>
      <w:r w:rsidR="00943AFF">
        <w:t>determination;</w:t>
      </w:r>
      <w:proofErr w:type="gramEnd"/>
      <w:r w:rsidR="001302C7">
        <w:t xml:space="preserve"> and</w:t>
      </w:r>
    </w:p>
    <w:p w14:paraId="0D918DDE" w14:textId="2D67B30C" w:rsidR="009C5AD5" w:rsidRDefault="00943AFF" w:rsidP="0030306C">
      <w:pPr>
        <w:pStyle w:val="paragraph"/>
        <w:keepNext/>
      </w:pPr>
      <w:r>
        <w:tab/>
        <w:t>(b)</w:t>
      </w:r>
      <w:r>
        <w:tab/>
        <w:t>required to accept levels of out-of-band interference from</w:t>
      </w:r>
      <w:r w:rsidR="000F181E">
        <w:t xml:space="preserve"> spectrum licensed</w:t>
      </w:r>
      <w:r>
        <w:t xml:space="preserve"> radiocommunications transmitters </w:t>
      </w:r>
      <w:r w:rsidR="009C5AD5">
        <w:t>that:</w:t>
      </w:r>
    </w:p>
    <w:p w14:paraId="5ACB4153" w14:textId="3C2F6BCF" w:rsidR="00943AFF" w:rsidRDefault="009C5AD5" w:rsidP="009C5AD5">
      <w:pPr>
        <w:pStyle w:val="paragraphsub"/>
      </w:pPr>
      <w:r>
        <w:tab/>
        <w:t>(i)</w:t>
      </w:r>
      <w:r>
        <w:tab/>
        <w:t xml:space="preserve">are low sited; </w:t>
      </w:r>
      <w:r w:rsidR="00C061F0">
        <w:t>and</w:t>
      </w:r>
    </w:p>
    <w:p w14:paraId="79EFED29" w14:textId="47694A9F" w:rsidR="009C5AD5" w:rsidRDefault="009C5AD5" w:rsidP="009C5AD5">
      <w:pPr>
        <w:pStyle w:val="paragraphsub"/>
      </w:pPr>
      <w:r>
        <w:lastRenderedPageBreak/>
        <w:tab/>
        <w:t>(ii)</w:t>
      </w:r>
      <w:r>
        <w:tab/>
        <w:t>operate in the 1800 MHz lower band;</w:t>
      </w:r>
      <w:r w:rsidR="00C061F0">
        <w:t xml:space="preserve"> and</w:t>
      </w:r>
    </w:p>
    <w:p w14:paraId="27D4F2C2" w14:textId="09D984B1" w:rsidR="00C53C65" w:rsidRDefault="00C53C65" w:rsidP="00C53C65">
      <w:pPr>
        <w:pStyle w:val="paragraphsub"/>
      </w:pPr>
      <w:r>
        <w:tab/>
        <w:t>(iii)</w:t>
      </w:r>
      <w:r>
        <w:tab/>
        <w:t>operate in accordance with all conditions of the spectrum licence; and</w:t>
      </w:r>
    </w:p>
    <w:p w14:paraId="2F71D711" w14:textId="3AEFF48D" w:rsidR="00C53C65" w:rsidRDefault="00C53C65" w:rsidP="00C53C65">
      <w:pPr>
        <w:pStyle w:val="paragraphsub"/>
      </w:pPr>
      <w:r>
        <w:tab/>
        <w:t>(iv)</w:t>
      </w:r>
      <w:r>
        <w:tab/>
        <w:t xml:space="preserve">do not cause an unacceptable level of interference, as defined in the section 145 </w:t>
      </w:r>
      <w:proofErr w:type="gramStart"/>
      <w:r>
        <w:t>determination;</w:t>
      </w:r>
      <w:proofErr w:type="gramEnd"/>
      <w:r w:rsidR="001302C7">
        <w:t xml:space="preserve"> and</w:t>
      </w:r>
    </w:p>
    <w:p w14:paraId="42E15DEF" w14:textId="6DFF710D" w:rsidR="00F7342D" w:rsidRDefault="00C53C65" w:rsidP="00C53C65">
      <w:pPr>
        <w:pStyle w:val="paragraph"/>
      </w:pPr>
      <w:r>
        <w:tab/>
        <w:t>(c)</w:t>
      </w:r>
      <w:r>
        <w:tab/>
        <w:t xml:space="preserve">required to accept levels of in-band emissions from </w:t>
      </w:r>
      <w:r w:rsidR="000F181E">
        <w:t>spectrum licensed</w:t>
      </w:r>
      <w:r>
        <w:t xml:space="preserve"> radiocommunications </w:t>
      </w:r>
      <w:r w:rsidR="009125EE">
        <w:t>transmitters</w:t>
      </w:r>
      <w:r>
        <w:t xml:space="preserve"> </w:t>
      </w:r>
      <w:r w:rsidR="000F181E">
        <w:t>that</w:t>
      </w:r>
      <w:r w:rsidR="004F3BD0">
        <w:t>:</w:t>
      </w:r>
    </w:p>
    <w:p w14:paraId="1978C7C8" w14:textId="27CCA7EC" w:rsidR="000F181E" w:rsidRDefault="00760636" w:rsidP="000F181E">
      <w:pPr>
        <w:pStyle w:val="paragraphsub"/>
      </w:pPr>
      <w:r>
        <w:tab/>
      </w:r>
      <w:r w:rsidR="000F181E">
        <w:t>(i)</w:t>
      </w:r>
      <w:r w:rsidR="000F181E">
        <w:tab/>
        <w:t>operate in accordance with all conditions of the spectrum licence; and</w:t>
      </w:r>
    </w:p>
    <w:p w14:paraId="4995066B" w14:textId="44B34101" w:rsidR="000F181E" w:rsidRDefault="000F181E" w:rsidP="000F181E">
      <w:pPr>
        <w:pStyle w:val="paragraphsub"/>
      </w:pPr>
      <w:r>
        <w:tab/>
        <w:t>(ii)</w:t>
      </w:r>
      <w:r>
        <w:tab/>
        <w:t>do not cause an unacceptable level of interference, as defined in the section 145 determination.</w:t>
      </w:r>
    </w:p>
    <w:p w14:paraId="74FC19BD" w14:textId="580AE8FC" w:rsidR="00B8468D" w:rsidRPr="00113D57" w:rsidRDefault="00B8468D" w:rsidP="00B8468D">
      <w:pPr>
        <w:pStyle w:val="subsection"/>
        <w:rPr>
          <w:i/>
          <w:iCs/>
        </w:rPr>
      </w:pPr>
      <w:r>
        <w:rPr>
          <w:i/>
          <w:iCs/>
        </w:rPr>
        <w:t>Mobile station radiocommunications receivers</w:t>
      </w:r>
    </w:p>
    <w:p w14:paraId="06746445" w14:textId="59A82E5A" w:rsidR="00B8468D" w:rsidRDefault="00B8468D" w:rsidP="00B8468D">
      <w:pPr>
        <w:pStyle w:val="subsection"/>
      </w:pPr>
      <w:r>
        <w:tab/>
        <w:t>(</w:t>
      </w:r>
      <w:r w:rsidR="00B13E16">
        <w:t>5</w:t>
      </w:r>
      <w:r>
        <w:t>)</w:t>
      </w:r>
      <w:r>
        <w:tab/>
        <w:t>The ACMA will not regard interference from a spectrum licensed radiocommunications transmitter to a mobile station radiocommunications receiver operating in the 1800 MHz band as unacceptable if the transmitter</w:t>
      </w:r>
      <w:r w:rsidR="004442DA">
        <w:t>:</w:t>
      </w:r>
    </w:p>
    <w:p w14:paraId="04C3A7FA" w14:textId="7A6DC9A2" w:rsidR="004442DA" w:rsidRDefault="004442DA" w:rsidP="004442DA">
      <w:pPr>
        <w:pStyle w:val="paragraph"/>
      </w:pPr>
      <w:r>
        <w:tab/>
        <w:t>(a)</w:t>
      </w:r>
      <w:r>
        <w:tab/>
        <w:t>operates in accordance with all conditions of the spectrum licence; and</w:t>
      </w:r>
    </w:p>
    <w:p w14:paraId="610FDA17" w14:textId="3AE9C8AE" w:rsidR="004442DA" w:rsidRDefault="004442DA" w:rsidP="004442DA">
      <w:pPr>
        <w:pStyle w:val="paragraph"/>
      </w:pPr>
      <w:r>
        <w:tab/>
        <w:t>(b)</w:t>
      </w:r>
      <w:r>
        <w:tab/>
        <w:t>does not cause an unacceptable level of interference, as defined in the section 145 determination.</w:t>
      </w:r>
    </w:p>
    <w:p w14:paraId="7040A055" w14:textId="216D890C" w:rsidR="004442DA" w:rsidRPr="004F1E24" w:rsidRDefault="004442DA" w:rsidP="004442DA">
      <w:pPr>
        <w:pStyle w:val="ActHead5"/>
      </w:pPr>
      <w:proofErr w:type="gramStart"/>
      <w:r>
        <w:rPr>
          <w:rStyle w:val="CharSectno"/>
        </w:rPr>
        <w:t>20</w:t>
      </w:r>
      <w:r w:rsidRPr="004F1E24">
        <w:t xml:space="preserve">  </w:t>
      </w:r>
      <w:r>
        <w:t>Protection</w:t>
      </w:r>
      <w:proofErr w:type="gramEnd"/>
      <w:r>
        <w:t xml:space="preserve"> requirements – PMTS Class C</w:t>
      </w:r>
    </w:p>
    <w:p w14:paraId="728E50D9" w14:textId="09B068CA" w:rsidR="003051BE" w:rsidRDefault="004442DA" w:rsidP="003051BE">
      <w:pPr>
        <w:pStyle w:val="subsection"/>
      </w:pPr>
      <w:r>
        <w:tab/>
      </w:r>
      <w:r>
        <w:tab/>
        <w:t xml:space="preserve">PMTS Class C licences will be afforded the same protection from spectrum licensed radiocommunications transmitters as they are afforded from apparatus licensed radiocommunications </w:t>
      </w:r>
      <w:r w:rsidR="00BE1D61">
        <w:t>transmitters</w:t>
      </w:r>
      <w:r>
        <w:t xml:space="preserve">. As a result, radiocommunications receivers operated </w:t>
      </w:r>
      <w:r w:rsidR="003F4110">
        <w:t xml:space="preserve">in relation to </w:t>
      </w:r>
      <w:r>
        <w:t xml:space="preserve">a PMTS Class C licence are required to accept levels of in-band and out-of-band emissions from a spectrum licensed radiocommunications transmitter </w:t>
      </w:r>
      <w:r w:rsidR="003051BE">
        <w:t>if the transmitter:</w:t>
      </w:r>
    </w:p>
    <w:p w14:paraId="58C09230" w14:textId="77777777" w:rsidR="003051BE" w:rsidRDefault="003051BE" w:rsidP="003051BE">
      <w:pPr>
        <w:pStyle w:val="paragraph"/>
      </w:pPr>
      <w:r>
        <w:tab/>
        <w:t>(a)</w:t>
      </w:r>
      <w:r>
        <w:tab/>
        <w:t>operates in accordance with all conditions of the spectrum licence; and</w:t>
      </w:r>
    </w:p>
    <w:p w14:paraId="6EB510EE" w14:textId="77777777" w:rsidR="003051BE" w:rsidRDefault="003051BE" w:rsidP="003051BE">
      <w:pPr>
        <w:pStyle w:val="paragraph"/>
      </w:pPr>
      <w:r>
        <w:tab/>
        <w:t>(b)</w:t>
      </w:r>
      <w:r>
        <w:tab/>
        <w:t>does not cause an unacceptable level of interference, as defined in the section 145 determination.</w:t>
      </w:r>
    </w:p>
    <w:p w14:paraId="08CC1FE2" w14:textId="77777777" w:rsidR="003051BE" w:rsidRDefault="003051BE" w:rsidP="004442DA">
      <w:pPr>
        <w:pStyle w:val="subsection"/>
        <w:sectPr w:rsidR="003051BE" w:rsidSect="00957210">
          <w:pgSz w:w="11906" w:h="16838"/>
          <w:pgMar w:top="1440" w:right="1440" w:bottom="1440" w:left="1440" w:header="708" w:footer="708" w:gutter="0"/>
          <w:cols w:space="708"/>
          <w:docGrid w:linePitch="360"/>
        </w:sectPr>
      </w:pPr>
    </w:p>
    <w:p w14:paraId="32F38A5E" w14:textId="0BB771CA" w:rsidR="001F6AB8" w:rsidRPr="001B535D" w:rsidRDefault="001F6AB8" w:rsidP="001F6AB8">
      <w:r w:rsidRPr="004F1E24">
        <w:rPr>
          <w:rFonts w:ascii="Times New Roman" w:hAnsi="Times New Roman" w:cs="Times New Roman"/>
          <w:b/>
          <w:bCs/>
          <w:sz w:val="32"/>
          <w:szCs w:val="32"/>
        </w:rPr>
        <w:lastRenderedPageBreak/>
        <w:t xml:space="preserve">Part </w:t>
      </w:r>
      <w:r w:rsidR="00A32507">
        <w:rPr>
          <w:rFonts w:ascii="Times New Roman" w:hAnsi="Times New Roman" w:cs="Times New Roman"/>
          <w:b/>
          <w:bCs/>
          <w:sz w:val="32"/>
          <w:szCs w:val="32"/>
        </w:rPr>
        <w:t>8</w:t>
      </w:r>
      <w:r w:rsidRPr="004F1E24">
        <w:rPr>
          <w:rFonts w:ascii="Times New Roman" w:hAnsi="Times New Roman" w:cs="Times New Roman"/>
          <w:b/>
          <w:bCs/>
          <w:sz w:val="32"/>
          <w:szCs w:val="32"/>
        </w:rPr>
        <w:t>—</w:t>
      </w:r>
      <w:r w:rsidR="00CF1FBA">
        <w:rPr>
          <w:rFonts w:ascii="Times New Roman" w:hAnsi="Times New Roman" w:cs="Times New Roman"/>
          <w:b/>
          <w:bCs/>
          <w:sz w:val="32"/>
          <w:szCs w:val="32"/>
        </w:rPr>
        <w:t>Co-existence arrangements for G</w:t>
      </w:r>
      <w:r w:rsidR="009372B5">
        <w:rPr>
          <w:rFonts w:ascii="Times New Roman" w:hAnsi="Times New Roman" w:cs="Times New Roman"/>
          <w:b/>
          <w:bCs/>
          <w:sz w:val="32"/>
          <w:szCs w:val="32"/>
        </w:rPr>
        <w:t>SM-R networks</w:t>
      </w:r>
    </w:p>
    <w:p w14:paraId="440FF8BD" w14:textId="363D063F" w:rsidR="001F6AB8" w:rsidRPr="00BA3B53" w:rsidRDefault="001F6AB8" w:rsidP="001F6AB8">
      <w:pPr>
        <w:pStyle w:val="ActHead5"/>
      </w:pPr>
      <w:proofErr w:type="gramStart"/>
      <w:r>
        <w:rPr>
          <w:rStyle w:val="CharSectno"/>
        </w:rPr>
        <w:t>2</w:t>
      </w:r>
      <w:r w:rsidR="006A07BB">
        <w:rPr>
          <w:rStyle w:val="CharSectno"/>
        </w:rPr>
        <w:t>1</w:t>
      </w:r>
      <w:r w:rsidRPr="004F1E24">
        <w:t xml:space="preserve">  </w:t>
      </w:r>
      <w:r>
        <w:t>Background</w:t>
      </w:r>
      <w:proofErr w:type="gramEnd"/>
    </w:p>
    <w:p w14:paraId="23905797" w14:textId="778C562D" w:rsidR="009372B5" w:rsidRPr="00BA3B53" w:rsidRDefault="001F6AB8" w:rsidP="001F6AB8">
      <w:pPr>
        <w:pStyle w:val="subsection"/>
      </w:pPr>
      <w:r>
        <w:tab/>
        <w:t>(1)</w:t>
      </w:r>
      <w:r>
        <w:tab/>
      </w:r>
      <w:r w:rsidR="009372B5">
        <w:t xml:space="preserve">GSM-R is based on the standard </w:t>
      </w:r>
      <w:r w:rsidR="00203950">
        <w:t xml:space="preserve">Global System for Mobile </w:t>
      </w:r>
      <w:r w:rsidR="00BD1461">
        <w:t>C</w:t>
      </w:r>
      <w:r w:rsidR="00203950">
        <w:t>ommunications</w:t>
      </w:r>
      <w:r w:rsidR="000C1B8E">
        <w:t xml:space="preserve"> (GSM)</w:t>
      </w:r>
      <w:r w:rsidR="00203950">
        <w:t xml:space="preserve"> platform; however, its use and deployment configurations vary to some degree from that of a public mobile telecommunications service network. These variations include an increase in the m</w:t>
      </w:r>
      <w:r w:rsidR="00F86725">
        <w:t>inimum quality of service and reliability</w:t>
      </w:r>
      <w:r w:rsidR="006D07F5">
        <w:t xml:space="preserve">, and the introduction of vehicle mobile stations which may have an increased EIRP (up to </w:t>
      </w:r>
      <w:r w:rsidR="0077431F">
        <w:t>39 dBm/200 kHz) and an increased notional antenna height (typically 4 metres).</w:t>
      </w:r>
    </w:p>
    <w:p w14:paraId="694D4340" w14:textId="1D784A5F" w:rsidR="0077431F" w:rsidRDefault="0077431F" w:rsidP="001F6AB8">
      <w:pPr>
        <w:pStyle w:val="subsection"/>
      </w:pPr>
      <w:r>
        <w:tab/>
        <w:t>(2)</w:t>
      </w:r>
      <w:r>
        <w:tab/>
        <w:t xml:space="preserve">These differences may give rise to additional co-existence considerations when </w:t>
      </w:r>
      <w:r w:rsidR="00A32507">
        <w:t xml:space="preserve">other </w:t>
      </w:r>
      <w:r w:rsidR="00B52D09">
        <w:t>ra</w:t>
      </w:r>
      <w:r w:rsidR="00292ABB">
        <w:t xml:space="preserve">diocommunication </w:t>
      </w:r>
      <w:r>
        <w:t>services are in close physical proximity. There are several European studies which de</w:t>
      </w:r>
      <w:r w:rsidR="00080419">
        <w:t>al with co-existence between GSM-R and public mobile telecommunications service networks, namely</w:t>
      </w:r>
      <w:r w:rsidR="0000262C">
        <w:t xml:space="preserve"> the following</w:t>
      </w:r>
      <w:r w:rsidR="00080419">
        <w:t>:</w:t>
      </w:r>
    </w:p>
    <w:p w14:paraId="3FB67F4E" w14:textId="3FEEAFE6" w:rsidR="00080419" w:rsidRDefault="00080419" w:rsidP="00080419">
      <w:pPr>
        <w:pStyle w:val="paragraph"/>
      </w:pPr>
      <w:r>
        <w:tab/>
        <w:t>(a)</w:t>
      </w:r>
      <w:r>
        <w:tab/>
        <w:t>E</w:t>
      </w:r>
      <w:r w:rsidR="00CE0C01">
        <w:t>C</w:t>
      </w:r>
      <w:r>
        <w:t xml:space="preserve">C Report </w:t>
      </w:r>
      <w:proofErr w:type="gramStart"/>
      <w:r>
        <w:t>96</w:t>
      </w:r>
      <w:r w:rsidR="00935DE0">
        <w:t>;</w:t>
      </w:r>
      <w:proofErr w:type="gramEnd"/>
    </w:p>
    <w:p w14:paraId="4AEAF266" w14:textId="34C2CCDB" w:rsidR="00935DE0" w:rsidRDefault="00935DE0" w:rsidP="00080419">
      <w:pPr>
        <w:pStyle w:val="paragraph"/>
      </w:pPr>
      <w:r>
        <w:tab/>
        <w:t>(b)</w:t>
      </w:r>
      <w:r>
        <w:tab/>
        <w:t>E</w:t>
      </w:r>
      <w:r w:rsidR="00CE0C01">
        <w:t>C</w:t>
      </w:r>
      <w:r>
        <w:t xml:space="preserve">C Report </w:t>
      </w:r>
      <w:proofErr w:type="gramStart"/>
      <w:r>
        <w:t>146;</w:t>
      </w:r>
      <w:proofErr w:type="gramEnd"/>
    </w:p>
    <w:p w14:paraId="724C60E3" w14:textId="18F1520A" w:rsidR="00935DE0" w:rsidRDefault="00935DE0" w:rsidP="00080419">
      <w:pPr>
        <w:pStyle w:val="paragraph"/>
      </w:pPr>
      <w:r>
        <w:tab/>
        <w:t>(c)</w:t>
      </w:r>
      <w:r>
        <w:tab/>
        <w:t>E</w:t>
      </w:r>
      <w:r w:rsidR="00CE0C01">
        <w:t>C</w:t>
      </w:r>
      <w:r>
        <w:t xml:space="preserve">C Report </w:t>
      </w:r>
      <w:proofErr w:type="gramStart"/>
      <w:r>
        <w:t>162;</w:t>
      </w:r>
      <w:proofErr w:type="gramEnd"/>
    </w:p>
    <w:p w14:paraId="0A16C9A9" w14:textId="2A6E2020" w:rsidR="00935DE0" w:rsidRDefault="00935DE0" w:rsidP="00080419">
      <w:pPr>
        <w:pStyle w:val="paragraph"/>
      </w:pPr>
      <w:r>
        <w:tab/>
        <w:t>(d)</w:t>
      </w:r>
      <w:r>
        <w:tab/>
        <w:t>CEPT Report 41.</w:t>
      </w:r>
    </w:p>
    <w:p w14:paraId="21AE0E9E" w14:textId="57D634C2" w:rsidR="009372B5" w:rsidRDefault="00CD585D" w:rsidP="00CD585D">
      <w:pPr>
        <w:pStyle w:val="notetext"/>
      </w:pPr>
      <w:r>
        <w:t>Note:</w:t>
      </w:r>
      <w:r>
        <w:tab/>
        <w:t>Although these studies relate to the 900 MHz band, their results also apply to the 1800 MHz band.</w:t>
      </w:r>
    </w:p>
    <w:p w14:paraId="2E2CBF9C" w14:textId="2883DDE0" w:rsidR="00D077A3" w:rsidRPr="004F1E24" w:rsidRDefault="00D077A3" w:rsidP="00D077A3">
      <w:pPr>
        <w:pStyle w:val="ActHead5"/>
      </w:pPr>
      <w:proofErr w:type="gramStart"/>
      <w:r>
        <w:rPr>
          <w:rStyle w:val="CharSectno"/>
        </w:rPr>
        <w:t>2</w:t>
      </w:r>
      <w:r w:rsidR="006A07BB">
        <w:rPr>
          <w:rStyle w:val="CharSectno"/>
        </w:rPr>
        <w:t>2</w:t>
      </w:r>
      <w:r w:rsidRPr="004F1E24">
        <w:t xml:space="preserve">  </w:t>
      </w:r>
      <w:r>
        <w:t>Co</w:t>
      </w:r>
      <w:proofErr w:type="gramEnd"/>
      <w:r>
        <w:t>-existence recommendations</w:t>
      </w:r>
    </w:p>
    <w:p w14:paraId="05BF890F" w14:textId="723401D9" w:rsidR="00D077A3" w:rsidRDefault="00D077A3" w:rsidP="00D077A3">
      <w:pPr>
        <w:pStyle w:val="subsection"/>
      </w:pPr>
      <w:r>
        <w:tab/>
        <w:t>(1)</w:t>
      </w:r>
      <w:r>
        <w:tab/>
        <w:t xml:space="preserve">It is recommended that all spectrum licensees, when planning and deploying </w:t>
      </w:r>
      <w:r w:rsidR="00394802">
        <w:t>radiocommunications systems</w:t>
      </w:r>
      <w:r>
        <w:t>, consider the co-existence issues that may arise with GSM-R networks</w:t>
      </w:r>
      <w:r w:rsidR="004D5F0E">
        <w:t>, and typically GSM-R vehicle mobile stations, that may operate in the 1800 MHz band. It is also recommended that affected licensees seek to coordinate between themselves to help manage and resolve interference that may arise to or from GSM-R vehicle mobile stations.</w:t>
      </w:r>
    </w:p>
    <w:p w14:paraId="34B610AF" w14:textId="2A7D87C5" w:rsidR="004D5F0E" w:rsidRDefault="004D5F0E" w:rsidP="00D077A3">
      <w:pPr>
        <w:pStyle w:val="subsection"/>
      </w:pPr>
      <w:r>
        <w:tab/>
        <w:t>(2)</w:t>
      </w:r>
      <w:r>
        <w:tab/>
        <w:t xml:space="preserve">Licensees should also be aware of the </w:t>
      </w:r>
      <w:r w:rsidRPr="00B32E74">
        <w:t>following</w:t>
      </w:r>
      <w:r>
        <w:t xml:space="preserve"> matters that may affect co-existence between GSM-R and public mobile telecommunications service networks:</w:t>
      </w:r>
    </w:p>
    <w:p w14:paraId="2CCE550D" w14:textId="4330F952" w:rsidR="004D5F0E" w:rsidRDefault="004D5F0E" w:rsidP="004D5F0E">
      <w:pPr>
        <w:pStyle w:val="paragraph"/>
      </w:pPr>
      <w:r>
        <w:tab/>
        <w:t>(a)</w:t>
      </w:r>
      <w:r>
        <w:tab/>
        <w:t xml:space="preserve">co-existence between GSM-R and public mobile telecommunications service networks has been studied in the reports specified in subsection </w:t>
      </w:r>
      <w:r w:rsidR="008F3EC0">
        <w:t>21</w:t>
      </w:r>
      <w:r>
        <w:t>(2)</w:t>
      </w:r>
      <w:r w:rsidR="00B12EE5">
        <w:t xml:space="preserve">, which conclude that in general a 200 kHz guard band is sufficient for co-existence, though is some cases additional coordination may be </w:t>
      </w:r>
      <w:proofErr w:type="gramStart"/>
      <w:r w:rsidR="00B12EE5">
        <w:t>needed;</w:t>
      </w:r>
      <w:proofErr w:type="gramEnd"/>
    </w:p>
    <w:p w14:paraId="59F987C5" w14:textId="799BDF7F" w:rsidR="00B12EE5" w:rsidRDefault="00B12EE5" w:rsidP="004D5F0E">
      <w:pPr>
        <w:pStyle w:val="paragraph"/>
      </w:pPr>
      <w:r>
        <w:tab/>
        <w:t>(b)</w:t>
      </w:r>
      <w:r>
        <w:tab/>
        <w:t xml:space="preserve">some GSM-R network operators may choose to implement a </w:t>
      </w:r>
      <w:proofErr w:type="gramStart"/>
      <w:r>
        <w:t>two channel</w:t>
      </w:r>
      <w:proofErr w:type="gramEnd"/>
      <w:r>
        <w:t xml:space="preserve"> guard band (400 kHz) at the frequency boundary with another spectrum licensee, to obtain more isolation from frequency adjacent </w:t>
      </w:r>
      <w:r w:rsidR="00DC6258">
        <w:t xml:space="preserve">radiocommunication </w:t>
      </w:r>
      <w:r>
        <w:t>services;</w:t>
      </w:r>
    </w:p>
    <w:p w14:paraId="7D09B1AD" w14:textId="1B8025AA" w:rsidR="00B12EE5" w:rsidRDefault="00B12EE5" w:rsidP="004D5F0E">
      <w:pPr>
        <w:pStyle w:val="paragraph"/>
      </w:pPr>
      <w:r>
        <w:tab/>
        <w:t>(c)</w:t>
      </w:r>
      <w:r>
        <w:tab/>
        <w:t>coordination with mobile stations may be difficult due</w:t>
      </w:r>
      <w:r w:rsidR="001A4002">
        <w:t xml:space="preserve"> </w:t>
      </w:r>
      <w:r w:rsidR="00EC7AC6">
        <w:t xml:space="preserve">to their mobility, although GSM-R services typically operate in close proximity to railway </w:t>
      </w:r>
      <w:proofErr w:type="gramStart"/>
      <w:r w:rsidR="00EC7AC6">
        <w:t>infrastructure;</w:t>
      </w:r>
      <w:proofErr w:type="gramEnd"/>
    </w:p>
    <w:p w14:paraId="1E31B038" w14:textId="5B022BFF" w:rsidR="00EC7AC6" w:rsidRDefault="00EC7AC6" w:rsidP="004D5F0E">
      <w:pPr>
        <w:pStyle w:val="paragraph"/>
      </w:pPr>
      <w:r>
        <w:tab/>
        <w:t>(d)</w:t>
      </w:r>
      <w:r>
        <w:tab/>
        <w:t>potential interference paths are in both directions (such as to and from GSM-R vehicle mobile stations</w:t>
      </w:r>
      <w:proofErr w:type="gramStart"/>
      <w:r>
        <w:t>);</w:t>
      </w:r>
      <w:proofErr w:type="gramEnd"/>
      <w:r>
        <w:t xml:space="preserve"> </w:t>
      </w:r>
    </w:p>
    <w:p w14:paraId="4FB2E79E" w14:textId="3CE31599" w:rsidR="00D077A3" w:rsidRDefault="00EC7AC6" w:rsidP="00EC7AC6">
      <w:pPr>
        <w:pStyle w:val="paragraph"/>
      </w:pPr>
      <w:r>
        <w:tab/>
        <w:t>(e)</w:t>
      </w:r>
      <w:r>
        <w:tab/>
        <w:t>E</w:t>
      </w:r>
      <w:r w:rsidR="00D86CC4">
        <w:t>C</w:t>
      </w:r>
      <w:r>
        <w:t xml:space="preserve">C Report 162 describes a range of mechanisms that may be used to address co-existence between GSM-R and public mobile telecommunications </w:t>
      </w:r>
      <w:r w:rsidR="00876E68">
        <w:t xml:space="preserve">service </w:t>
      </w:r>
      <w:r>
        <w:t>networks.</w:t>
      </w:r>
    </w:p>
    <w:sectPr w:rsidR="00D077A3" w:rsidSect="00957210">
      <w:headerReference w:type="even" r:id="rId36"/>
      <w:headerReference w:type="default" r:id="rId37"/>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367E" w14:textId="77777777" w:rsidR="00AA1A4A" w:rsidRDefault="00AA1A4A" w:rsidP="00CF05C2">
      <w:pPr>
        <w:spacing w:after="0" w:line="240" w:lineRule="auto"/>
      </w:pPr>
      <w:r>
        <w:separator/>
      </w:r>
    </w:p>
  </w:endnote>
  <w:endnote w:type="continuationSeparator" w:id="0">
    <w:p w14:paraId="4217BB1A" w14:textId="77777777" w:rsidR="00AA1A4A" w:rsidRDefault="00AA1A4A" w:rsidP="00C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43AB0078"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w:t>
    </w:r>
    <w:r w:rsidR="00171E9A">
      <w:rPr>
        <w:rFonts w:ascii="Times New Roman" w:hAnsi="Times New Roman" w:cs="Times New Roman"/>
        <w:i/>
        <w:iCs/>
      </w:rPr>
      <w:t>from</w:t>
    </w:r>
    <w:r>
      <w:rPr>
        <w:rFonts w:ascii="Times New Roman" w:hAnsi="Times New Roman" w:cs="Times New Roman"/>
        <w:i/>
        <w:iCs/>
      </w:rPr>
      <w:t xml:space="preserve"> Spectrum Licensed </w:t>
    </w:r>
    <w:r w:rsidR="00171E9A">
      <w:rPr>
        <w:rFonts w:ascii="Times New Roman" w:hAnsi="Times New Roman" w:cs="Times New Roman"/>
        <w:i/>
        <w:iCs/>
      </w:rPr>
      <w:t>Transmitters</w:t>
    </w:r>
    <w:r>
      <w:rPr>
        <w:rFonts w:ascii="Times New Roman" w:hAnsi="Times New Roman" w:cs="Times New Roman"/>
        <w:i/>
        <w:iCs/>
      </w:rPr>
      <w:t xml:space="preserve"> – 1800 MHz Band) 202</w:t>
    </w:r>
    <w:r w:rsidR="00DA18E3">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8588" w14:textId="77777777" w:rsidR="00AA1A4A" w:rsidRDefault="00AA1A4A" w:rsidP="00CF05C2">
      <w:pPr>
        <w:spacing w:after="0" w:line="240" w:lineRule="auto"/>
      </w:pPr>
      <w:r>
        <w:separator/>
      </w:r>
    </w:p>
  </w:footnote>
  <w:footnote w:type="continuationSeparator" w:id="0">
    <w:p w14:paraId="55F78527" w14:textId="77777777" w:rsidR="00AA1A4A" w:rsidRDefault="00AA1A4A" w:rsidP="00CF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758D" w14:textId="2650C365" w:rsidR="00EF2C4C" w:rsidRDefault="00EF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02E60FA2"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0F6A30">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C5" w14:textId="766F4902" w:rsidR="00EF2C4C" w:rsidRDefault="00EF2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9BEA" w14:textId="575EE7CD" w:rsidR="00EF2C4C" w:rsidRDefault="00EF2C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0CE73346"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0F6A30">
      <w:rPr>
        <w:rFonts w:ascii="Times New Roman" w:hAnsi="Times New Roman" w:cs="Times New Roman"/>
        <w:noProof/>
      </w:rPr>
      <w:t>20</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458" w14:textId="4B7EB7D3" w:rsidR="00EF2C4C" w:rsidRDefault="00EF2C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1060" w14:textId="4F9B8D81" w:rsidR="00EF2C4C" w:rsidRDefault="00EF2C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D60D" w14:textId="208A6231" w:rsidR="00BA3B53" w:rsidRPr="000B0AAB" w:rsidRDefault="00BA3B53"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0F6A30">
      <w:rPr>
        <w:rFonts w:ascii="Times New Roman" w:hAnsi="Times New Roman" w:cs="Times New Roman"/>
        <w:noProof/>
      </w:rPr>
      <w:t>21</w:t>
    </w:r>
    <w:r w:rsidRPr="000B0AAB">
      <w:rPr>
        <w:rFonts w:ascii="Times New Roman" w:hAnsi="Times New Roman" w:cs="Times New Roman"/>
      </w:rPr>
      <w:fldChar w:fldCharType="end"/>
    </w:r>
  </w:p>
  <w:p w14:paraId="2B6B6E9D" w14:textId="77777777" w:rsidR="00BA3B53" w:rsidRPr="00CF05C2" w:rsidRDefault="00BA3B53" w:rsidP="00CF0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440A" w14:textId="773F39DB" w:rsidR="00EF2C4C" w:rsidRDefault="00EF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43289"/>
    <w:multiLevelType w:val="hybridMultilevel"/>
    <w:tmpl w:val="5970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126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11D"/>
    <w:rsid w:val="0000262C"/>
    <w:rsid w:val="00003B5A"/>
    <w:rsid w:val="0000443B"/>
    <w:rsid w:val="00004C49"/>
    <w:rsid w:val="000053CB"/>
    <w:rsid w:val="000054CA"/>
    <w:rsid w:val="00005A30"/>
    <w:rsid w:val="000137B4"/>
    <w:rsid w:val="000210E0"/>
    <w:rsid w:val="00021660"/>
    <w:rsid w:val="00023CCC"/>
    <w:rsid w:val="00024B4C"/>
    <w:rsid w:val="00025B89"/>
    <w:rsid w:val="0003000C"/>
    <w:rsid w:val="00035A3D"/>
    <w:rsid w:val="00037C9D"/>
    <w:rsid w:val="00041A94"/>
    <w:rsid w:val="000436AA"/>
    <w:rsid w:val="000448D2"/>
    <w:rsid w:val="000461C9"/>
    <w:rsid w:val="00047FB1"/>
    <w:rsid w:val="00055A94"/>
    <w:rsid w:val="00055C6F"/>
    <w:rsid w:val="0005672E"/>
    <w:rsid w:val="00057861"/>
    <w:rsid w:val="00060324"/>
    <w:rsid w:val="000639FE"/>
    <w:rsid w:val="00063E18"/>
    <w:rsid w:val="00070DC0"/>
    <w:rsid w:val="000726DA"/>
    <w:rsid w:val="00074328"/>
    <w:rsid w:val="00080419"/>
    <w:rsid w:val="0008120F"/>
    <w:rsid w:val="00081CC3"/>
    <w:rsid w:val="000877D0"/>
    <w:rsid w:val="00093CB5"/>
    <w:rsid w:val="000945B3"/>
    <w:rsid w:val="000A0FAF"/>
    <w:rsid w:val="000A1100"/>
    <w:rsid w:val="000A1E56"/>
    <w:rsid w:val="000A2BC1"/>
    <w:rsid w:val="000A4356"/>
    <w:rsid w:val="000A534D"/>
    <w:rsid w:val="000B121C"/>
    <w:rsid w:val="000B31E1"/>
    <w:rsid w:val="000B4365"/>
    <w:rsid w:val="000B5FFE"/>
    <w:rsid w:val="000B635E"/>
    <w:rsid w:val="000B7BC2"/>
    <w:rsid w:val="000C1B8E"/>
    <w:rsid w:val="000C1CC9"/>
    <w:rsid w:val="000C2885"/>
    <w:rsid w:val="000C2B0C"/>
    <w:rsid w:val="000D16B6"/>
    <w:rsid w:val="000D18A1"/>
    <w:rsid w:val="000D33D0"/>
    <w:rsid w:val="000D5121"/>
    <w:rsid w:val="000E0088"/>
    <w:rsid w:val="000E1618"/>
    <w:rsid w:val="000F15B7"/>
    <w:rsid w:val="000F181E"/>
    <w:rsid w:val="000F6A30"/>
    <w:rsid w:val="001021C6"/>
    <w:rsid w:val="001114B2"/>
    <w:rsid w:val="001127BF"/>
    <w:rsid w:val="00113AE9"/>
    <w:rsid w:val="00113D57"/>
    <w:rsid w:val="001141DD"/>
    <w:rsid w:val="001158F0"/>
    <w:rsid w:val="0011666A"/>
    <w:rsid w:val="001178EC"/>
    <w:rsid w:val="00123EF1"/>
    <w:rsid w:val="001302C7"/>
    <w:rsid w:val="00133728"/>
    <w:rsid w:val="0013470B"/>
    <w:rsid w:val="00134B7B"/>
    <w:rsid w:val="00136751"/>
    <w:rsid w:val="00140D91"/>
    <w:rsid w:val="001438E9"/>
    <w:rsid w:val="00144BDE"/>
    <w:rsid w:val="00146794"/>
    <w:rsid w:val="00146EFB"/>
    <w:rsid w:val="00147956"/>
    <w:rsid w:val="001510CB"/>
    <w:rsid w:val="00151396"/>
    <w:rsid w:val="00152C90"/>
    <w:rsid w:val="001530F2"/>
    <w:rsid w:val="00155269"/>
    <w:rsid w:val="00156238"/>
    <w:rsid w:val="00156A7A"/>
    <w:rsid w:val="0015768F"/>
    <w:rsid w:val="00163FFA"/>
    <w:rsid w:val="00167AAB"/>
    <w:rsid w:val="00171428"/>
    <w:rsid w:val="00171E9A"/>
    <w:rsid w:val="0017406A"/>
    <w:rsid w:val="0017728E"/>
    <w:rsid w:val="001773F0"/>
    <w:rsid w:val="00177C45"/>
    <w:rsid w:val="001802AD"/>
    <w:rsid w:val="00181B93"/>
    <w:rsid w:val="00181F96"/>
    <w:rsid w:val="00181F97"/>
    <w:rsid w:val="00183030"/>
    <w:rsid w:val="001844DF"/>
    <w:rsid w:val="00193952"/>
    <w:rsid w:val="001946EE"/>
    <w:rsid w:val="00195DED"/>
    <w:rsid w:val="001A0B1A"/>
    <w:rsid w:val="001A1808"/>
    <w:rsid w:val="001A1C7E"/>
    <w:rsid w:val="001A2D17"/>
    <w:rsid w:val="001A4002"/>
    <w:rsid w:val="001A4E73"/>
    <w:rsid w:val="001A54FB"/>
    <w:rsid w:val="001B06E3"/>
    <w:rsid w:val="001B2F0D"/>
    <w:rsid w:val="001B535D"/>
    <w:rsid w:val="001B54FB"/>
    <w:rsid w:val="001B5A2A"/>
    <w:rsid w:val="001B6008"/>
    <w:rsid w:val="001C1D00"/>
    <w:rsid w:val="001C2CE6"/>
    <w:rsid w:val="001C5923"/>
    <w:rsid w:val="001D0E94"/>
    <w:rsid w:val="001D4F25"/>
    <w:rsid w:val="001E151E"/>
    <w:rsid w:val="001E1B1F"/>
    <w:rsid w:val="001E51FC"/>
    <w:rsid w:val="001E65C9"/>
    <w:rsid w:val="001E6A4D"/>
    <w:rsid w:val="001F0D11"/>
    <w:rsid w:val="001F2053"/>
    <w:rsid w:val="001F4E18"/>
    <w:rsid w:val="001F6AB8"/>
    <w:rsid w:val="001F79A5"/>
    <w:rsid w:val="002024CB"/>
    <w:rsid w:val="00203950"/>
    <w:rsid w:val="002044F5"/>
    <w:rsid w:val="00211BF0"/>
    <w:rsid w:val="00214095"/>
    <w:rsid w:val="002253FC"/>
    <w:rsid w:val="00231281"/>
    <w:rsid w:val="0023343D"/>
    <w:rsid w:val="002355FF"/>
    <w:rsid w:val="00240269"/>
    <w:rsid w:val="00245CB3"/>
    <w:rsid w:val="002471DC"/>
    <w:rsid w:val="00247EAB"/>
    <w:rsid w:val="00252DB2"/>
    <w:rsid w:val="0025455F"/>
    <w:rsid w:val="0025477D"/>
    <w:rsid w:val="002570EA"/>
    <w:rsid w:val="00257EBB"/>
    <w:rsid w:val="00262EF8"/>
    <w:rsid w:val="00263450"/>
    <w:rsid w:val="0027070C"/>
    <w:rsid w:val="002713BF"/>
    <w:rsid w:val="002766DC"/>
    <w:rsid w:val="0028104B"/>
    <w:rsid w:val="002813B9"/>
    <w:rsid w:val="0028595D"/>
    <w:rsid w:val="00291B54"/>
    <w:rsid w:val="00292304"/>
    <w:rsid w:val="0029293D"/>
    <w:rsid w:val="00292ABB"/>
    <w:rsid w:val="0029343E"/>
    <w:rsid w:val="00294504"/>
    <w:rsid w:val="00294E1C"/>
    <w:rsid w:val="00294F3D"/>
    <w:rsid w:val="002951CE"/>
    <w:rsid w:val="002A0CBB"/>
    <w:rsid w:val="002A6130"/>
    <w:rsid w:val="002A66F2"/>
    <w:rsid w:val="002B2190"/>
    <w:rsid w:val="002B2E1E"/>
    <w:rsid w:val="002B40E9"/>
    <w:rsid w:val="002B4267"/>
    <w:rsid w:val="002C1732"/>
    <w:rsid w:val="002C1BDF"/>
    <w:rsid w:val="002C2CDD"/>
    <w:rsid w:val="002C3306"/>
    <w:rsid w:val="002C3DC2"/>
    <w:rsid w:val="002D01D6"/>
    <w:rsid w:val="002E2500"/>
    <w:rsid w:val="002E489A"/>
    <w:rsid w:val="002E5376"/>
    <w:rsid w:val="002E6B55"/>
    <w:rsid w:val="002E708A"/>
    <w:rsid w:val="002E72F5"/>
    <w:rsid w:val="002E7A0A"/>
    <w:rsid w:val="0030306C"/>
    <w:rsid w:val="0030465F"/>
    <w:rsid w:val="003051BE"/>
    <w:rsid w:val="00307000"/>
    <w:rsid w:val="00313558"/>
    <w:rsid w:val="003176B7"/>
    <w:rsid w:val="00324071"/>
    <w:rsid w:val="00333400"/>
    <w:rsid w:val="003336BB"/>
    <w:rsid w:val="0033625B"/>
    <w:rsid w:val="00336622"/>
    <w:rsid w:val="00341CF7"/>
    <w:rsid w:val="00343694"/>
    <w:rsid w:val="003476AE"/>
    <w:rsid w:val="00351821"/>
    <w:rsid w:val="003550F0"/>
    <w:rsid w:val="00355FC7"/>
    <w:rsid w:val="00356047"/>
    <w:rsid w:val="00356BA3"/>
    <w:rsid w:val="0036066E"/>
    <w:rsid w:val="00364843"/>
    <w:rsid w:val="00367F7E"/>
    <w:rsid w:val="003746A0"/>
    <w:rsid w:val="00377E5E"/>
    <w:rsid w:val="00380770"/>
    <w:rsid w:val="00380844"/>
    <w:rsid w:val="00380B6B"/>
    <w:rsid w:val="0038446F"/>
    <w:rsid w:val="00385537"/>
    <w:rsid w:val="00392C25"/>
    <w:rsid w:val="00394802"/>
    <w:rsid w:val="00395193"/>
    <w:rsid w:val="003956C1"/>
    <w:rsid w:val="00396183"/>
    <w:rsid w:val="003A2707"/>
    <w:rsid w:val="003A4566"/>
    <w:rsid w:val="003B18FF"/>
    <w:rsid w:val="003B2209"/>
    <w:rsid w:val="003B69C2"/>
    <w:rsid w:val="003C128F"/>
    <w:rsid w:val="003C3F6D"/>
    <w:rsid w:val="003C528D"/>
    <w:rsid w:val="003D2EF4"/>
    <w:rsid w:val="003D2FCF"/>
    <w:rsid w:val="003D4BBB"/>
    <w:rsid w:val="003D7373"/>
    <w:rsid w:val="003D7E58"/>
    <w:rsid w:val="003E431A"/>
    <w:rsid w:val="003E671D"/>
    <w:rsid w:val="003E6914"/>
    <w:rsid w:val="003E6BF2"/>
    <w:rsid w:val="003F01CE"/>
    <w:rsid w:val="003F0DBB"/>
    <w:rsid w:val="003F2930"/>
    <w:rsid w:val="003F4110"/>
    <w:rsid w:val="003F5BB2"/>
    <w:rsid w:val="003F5C10"/>
    <w:rsid w:val="003F6F39"/>
    <w:rsid w:val="003F7448"/>
    <w:rsid w:val="00401B44"/>
    <w:rsid w:val="00401C51"/>
    <w:rsid w:val="004037A8"/>
    <w:rsid w:val="004039C2"/>
    <w:rsid w:val="00405781"/>
    <w:rsid w:val="00405B2C"/>
    <w:rsid w:val="004067B2"/>
    <w:rsid w:val="004071BE"/>
    <w:rsid w:val="00410252"/>
    <w:rsid w:val="00411184"/>
    <w:rsid w:val="00411742"/>
    <w:rsid w:val="00411DA8"/>
    <w:rsid w:val="0041624B"/>
    <w:rsid w:val="00420A6F"/>
    <w:rsid w:val="00427719"/>
    <w:rsid w:val="0042780F"/>
    <w:rsid w:val="00432755"/>
    <w:rsid w:val="00434653"/>
    <w:rsid w:val="00440F4A"/>
    <w:rsid w:val="004412E1"/>
    <w:rsid w:val="00442227"/>
    <w:rsid w:val="004442DA"/>
    <w:rsid w:val="0044456D"/>
    <w:rsid w:val="00446B85"/>
    <w:rsid w:val="00447362"/>
    <w:rsid w:val="00450C92"/>
    <w:rsid w:val="00450F76"/>
    <w:rsid w:val="00454022"/>
    <w:rsid w:val="00454B60"/>
    <w:rsid w:val="00454BE0"/>
    <w:rsid w:val="0045582F"/>
    <w:rsid w:val="004563D7"/>
    <w:rsid w:val="00463B10"/>
    <w:rsid w:val="00464683"/>
    <w:rsid w:val="0046470E"/>
    <w:rsid w:val="00464C9D"/>
    <w:rsid w:val="004702A8"/>
    <w:rsid w:val="004714E6"/>
    <w:rsid w:val="00471D71"/>
    <w:rsid w:val="00474B24"/>
    <w:rsid w:val="00476008"/>
    <w:rsid w:val="00476CDC"/>
    <w:rsid w:val="00483880"/>
    <w:rsid w:val="0048403B"/>
    <w:rsid w:val="00484768"/>
    <w:rsid w:val="00484FA1"/>
    <w:rsid w:val="004922BC"/>
    <w:rsid w:val="00494EFD"/>
    <w:rsid w:val="0049713F"/>
    <w:rsid w:val="00497DE9"/>
    <w:rsid w:val="004A1496"/>
    <w:rsid w:val="004A2627"/>
    <w:rsid w:val="004A4712"/>
    <w:rsid w:val="004A5C38"/>
    <w:rsid w:val="004B0A99"/>
    <w:rsid w:val="004B1D3D"/>
    <w:rsid w:val="004B203B"/>
    <w:rsid w:val="004B3676"/>
    <w:rsid w:val="004B413C"/>
    <w:rsid w:val="004C071D"/>
    <w:rsid w:val="004C28FE"/>
    <w:rsid w:val="004C5644"/>
    <w:rsid w:val="004D5F0E"/>
    <w:rsid w:val="004D6711"/>
    <w:rsid w:val="004E2728"/>
    <w:rsid w:val="004E3AA0"/>
    <w:rsid w:val="004E4A78"/>
    <w:rsid w:val="004E6E13"/>
    <w:rsid w:val="004F22CA"/>
    <w:rsid w:val="004F3BD0"/>
    <w:rsid w:val="004F7273"/>
    <w:rsid w:val="004F77E0"/>
    <w:rsid w:val="00505451"/>
    <w:rsid w:val="00506BE1"/>
    <w:rsid w:val="005078EA"/>
    <w:rsid w:val="005102F4"/>
    <w:rsid w:val="0051073F"/>
    <w:rsid w:val="00510789"/>
    <w:rsid w:val="005138F7"/>
    <w:rsid w:val="00513C0A"/>
    <w:rsid w:val="005149CC"/>
    <w:rsid w:val="00515278"/>
    <w:rsid w:val="005157F1"/>
    <w:rsid w:val="00515E4D"/>
    <w:rsid w:val="00517C8B"/>
    <w:rsid w:val="00526A11"/>
    <w:rsid w:val="00527E0C"/>
    <w:rsid w:val="00532393"/>
    <w:rsid w:val="00534127"/>
    <w:rsid w:val="00534F43"/>
    <w:rsid w:val="00537B06"/>
    <w:rsid w:val="00540887"/>
    <w:rsid w:val="00544B69"/>
    <w:rsid w:val="005452A7"/>
    <w:rsid w:val="00545872"/>
    <w:rsid w:val="00555A10"/>
    <w:rsid w:val="00556EE4"/>
    <w:rsid w:val="00557F44"/>
    <w:rsid w:val="00564701"/>
    <w:rsid w:val="00566E78"/>
    <w:rsid w:val="00567BBD"/>
    <w:rsid w:val="00574A36"/>
    <w:rsid w:val="0057634A"/>
    <w:rsid w:val="00577108"/>
    <w:rsid w:val="00577EEB"/>
    <w:rsid w:val="00580482"/>
    <w:rsid w:val="00584687"/>
    <w:rsid w:val="005877F2"/>
    <w:rsid w:val="00587A26"/>
    <w:rsid w:val="00590B96"/>
    <w:rsid w:val="00590FC6"/>
    <w:rsid w:val="00594E24"/>
    <w:rsid w:val="005956FD"/>
    <w:rsid w:val="005975C4"/>
    <w:rsid w:val="005A0083"/>
    <w:rsid w:val="005A0C93"/>
    <w:rsid w:val="005A535E"/>
    <w:rsid w:val="005A7B07"/>
    <w:rsid w:val="005B10BF"/>
    <w:rsid w:val="005B3E7E"/>
    <w:rsid w:val="005C357F"/>
    <w:rsid w:val="005C5B98"/>
    <w:rsid w:val="005C5DA2"/>
    <w:rsid w:val="005D02C9"/>
    <w:rsid w:val="005D1485"/>
    <w:rsid w:val="005D2A26"/>
    <w:rsid w:val="005D2C27"/>
    <w:rsid w:val="005D5EE0"/>
    <w:rsid w:val="005D6194"/>
    <w:rsid w:val="005D715E"/>
    <w:rsid w:val="005E1674"/>
    <w:rsid w:val="005E2A37"/>
    <w:rsid w:val="005E4846"/>
    <w:rsid w:val="005E4D8E"/>
    <w:rsid w:val="005E7650"/>
    <w:rsid w:val="005F148A"/>
    <w:rsid w:val="005F2E4F"/>
    <w:rsid w:val="005F58CD"/>
    <w:rsid w:val="00604A36"/>
    <w:rsid w:val="00605F34"/>
    <w:rsid w:val="00613BBE"/>
    <w:rsid w:val="00620266"/>
    <w:rsid w:val="006230DC"/>
    <w:rsid w:val="0062452D"/>
    <w:rsid w:val="00627A2C"/>
    <w:rsid w:val="00633AAF"/>
    <w:rsid w:val="00634C17"/>
    <w:rsid w:val="006350B6"/>
    <w:rsid w:val="006424F7"/>
    <w:rsid w:val="0064430E"/>
    <w:rsid w:val="006469EE"/>
    <w:rsid w:val="00646B7E"/>
    <w:rsid w:val="00647490"/>
    <w:rsid w:val="00647C55"/>
    <w:rsid w:val="00651125"/>
    <w:rsid w:val="006512DC"/>
    <w:rsid w:val="00662655"/>
    <w:rsid w:val="00670BF2"/>
    <w:rsid w:val="0067354B"/>
    <w:rsid w:val="006737CB"/>
    <w:rsid w:val="00674DA2"/>
    <w:rsid w:val="00683C54"/>
    <w:rsid w:val="0068429D"/>
    <w:rsid w:val="00685940"/>
    <w:rsid w:val="006863A2"/>
    <w:rsid w:val="006869A8"/>
    <w:rsid w:val="006936BA"/>
    <w:rsid w:val="00696278"/>
    <w:rsid w:val="006A07BB"/>
    <w:rsid w:val="006A0880"/>
    <w:rsid w:val="006A79E0"/>
    <w:rsid w:val="006B13B6"/>
    <w:rsid w:val="006B623C"/>
    <w:rsid w:val="006B6E55"/>
    <w:rsid w:val="006C0671"/>
    <w:rsid w:val="006D07F5"/>
    <w:rsid w:val="006D1EEF"/>
    <w:rsid w:val="006D6AB1"/>
    <w:rsid w:val="006D74F4"/>
    <w:rsid w:val="006E0DAA"/>
    <w:rsid w:val="006E2922"/>
    <w:rsid w:val="006E62B5"/>
    <w:rsid w:val="006F096E"/>
    <w:rsid w:val="006F0E0E"/>
    <w:rsid w:val="006F24C9"/>
    <w:rsid w:val="007006AB"/>
    <w:rsid w:val="00702217"/>
    <w:rsid w:val="00702E91"/>
    <w:rsid w:val="007039FB"/>
    <w:rsid w:val="0071415B"/>
    <w:rsid w:val="0071428B"/>
    <w:rsid w:val="00720093"/>
    <w:rsid w:val="00720D79"/>
    <w:rsid w:val="007219D0"/>
    <w:rsid w:val="00725CC6"/>
    <w:rsid w:val="00730C05"/>
    <w:rsid w:val="0073179B"/>
    <w:rsid w:val="007341D0"/>
    <w:rsid w:val="00734C93"/>
    <w:rsid w:val="00736B41"/>
    <w:rsid w:val="007434D6"/>
    <w:rsid w:val="007435A9"/>
    <w:rsid w:val="00743EFA"/>
    <w:rsid w:val="00745EB1"/>
    <w:rsid w:val="00750D2D"/>
    <w:rsid w:val="00751045"/>
    <w:rsid w:val="0075121C"/>
    <w:rsid w:val="00751B40"/>
    <w:rsid w:val="007523CC"/>
    <w:rsid w:val="007529D9"/>
    <w:rsid w:val="00757E58"/>
    <w:rsid w:val="00760636"/>
    <w:rsid w:val="007628D0"/>
    <w:rsid w:val="007654F9"/>
    <w:rsid w:val="00766D82"/>
    <w:rsid w:val="00774096"/>
    <w:rsid w:val="0077431F"/>
    <w:rsid w:val="00776124"/>
    <w:rsid w:val="00776D8E"/>
    <w:rsid w:val="00780F84"/>
    <w:rsid w:val="007839BD"/>
    <w:rsid w:val="0078495F"/>
    <w:rsid w:val="00787C78"/>
    <w:rsid w:val="007960E3"/>
    <w:rsid w:val="00796414"/>
    <w:rsid w:val="007964B5"/>
    <w:rsid w:val="00797002"/>
    <w:rsid w:val="007971C8"/>
    <w:rsid w:val="0079747D"/>
    <w:rsid w:val="007A1D38"/>
    <w:rsid w:val="007A1E8D"/>
    <w:rsid w:val="007A55F0"/>
    <w:rsid w:val="007B38D9"/>
    <w:rsid w:val="007B60C7"/>
    <w:rsid w:val="007C1893"/>
    <w:rsid w:val="007C2DC3"/>
    <w:rsid w:val="007C4334"/>
    <w:rsid w:val="007C4646"/>
    <w:rsid w:val="007D032F"/>
    <w:rsid w:val="007D4F55"/>
    <w:rsid w:val="007D599C"/>
    <w:rsid w:val="007D6833"/>
    <w:rsid w:val="007D7E86"/>
    <w:rsid w:val="007E0C25"/>
    <w:rsid w:val="007E217B"/>
    <w:rsid w:val="007E256B"/>
    <w:rsid w:val="007E2E63"/>
    <w:rsid w:val="007E39B3"/>
    <w:rsid w:val="007E6605"/>
    <w:rsid w:val="007E7D85"/>
    <w:rsid w:val="007E7ED7"/>
    <w:rsid w:val="007F619A"/>
    <w:rsid w:val="007F652F"/>
    <w:rsid w:val="007F746B"/>
    <w:rsid w:val="00806AA8"/>
    <w:rsid w:val="00815CC5"/>
    <w:rsid w:val="00816E27"/>
    <w:rsid w:val="00817408"/>
    <w:rsid w:val="00825615"/>
    <w:rsid w:val="0082723B"/>
    <w:rsid w:val="008306E8"/>
    <w:rsid w:val="00833FE7"/>
    <w:rsid w:val="00835505"/>
    <w:rsid w:val="0083674E"/>
    <w:rsid w:val="0084099D"/>
    <w:rsid w:val="00841541"/>
    <w:rsid w:val="00861F4A"/>
    <w:rsid w:val="00862CE6"/>
    <w:rsid w:val="0086494B"/>
    <w:rsid w:val="00866E04"/>
    <w:rsid w:val="0086722C"/>
    <w:rsid w:val="00867C70"/>
    <w:rsid w:val="00870CE2"/>
    <w:rsid w:val="0087595E"/>
    <w:rsid w:val="00876E68"/>
    <w:rsid w:val="00883310"/>
    <w:rsid w:val="00885F06"/>
    <w:rsid w:val="00885FF9"/>
    <w:rsid w:val="00890AD6"/>
    <w:rsid w:val="00892AD8"/>
    <w:rsid w:val="00897751"/>
    <w:rsid w:val="00897C6F"/>
    <w:rsid w:val="008A0D99"/>
    <w:rsid w:val="008A126F"/>
    <w:rsid w:val="008A291D"/>
    <w:rsid w:val="008B1F73"/>
    <w:rsid w:val="008C0B1C"/>
    <w:rsid w:val="008C17BD"/>
    <w:rsid w:val="008C17E0"/>
    <w:rsid w:val="008C6D69"/>
    <w:rsid w:val="008D0135"/>
    <w:rsid w:val="008D1EA4"/>
    <w:rsid w:val="008D56B2"/>
    <w:rsid w:val="008E4B1A"/>
    <w:rsid w:val="008F3EC0"/>
    <w:rsid w:val="00902E28"/>
    <w:rsid w:val="00903F1F"/>
    <w:rsid w:val="00904475"/>
    <w:rsid w:val="00906B65"/>
    <w:rsid w:val="009107C2"/>
    <w:rsid w:val="0091158A"/>
    <w:rsid w:val="0091201F"/>
    <w:rsid w:val="009125EE"/>
    <w:rsid w:val="00915CA5"/>
    <w:rsid w:val="0091662C"/>
    <w:rsid w:val="009207A3"/>
    <w:rsid w:val="00921DC4"/>
    <w:rsid w:val="00933D21"/>
    <w:rsid w:val="00935DE0"/>
    <w:rsid w:val="009372B5"/>
    <w:rsid w:val="009375C6"/>
    <w:rsid w:val="00940342"/>
    <w:rsid w:val="009414A0"/>
    <w:rsid w:val="00941534"/>
    <w:rsid w:val="00943AFF"/>
    <w:rsid w:val="00943F80"/>
    <w:rsid w:val="00944F77"/>
    <w:rsid w:val="00947705"/>
    <w:rsid w:val="00951947"/>
    <w:rsid w:val="00953E59"/>
    <w:rsid w:val="00955628"/>
    <w:rsid w:val="009567D7"/>
    <w:rsid w:val="009619E5"/>
    <w:rsid w:val="00961D6D"/>
    <w:rsid w:val="009633D8"/>
    <w:rsid w:val="009650F2"/>
    <w:rsid w:val="00967B5B"/>
    <w:rsid w:val="009738EE"/>
    <w:rsid w:val="00976B4A"/>
    <w:rsid w:val="009821EE"/>
    <w:rsid w:val="0098340C"/>
    <w:rsid w:val="009852F7"/>
    <w:rsid w:val="00985BAE"/>
    <w:rsid w:val="00990D1C"/>
    <w:rsid w:val="00991E02"/>
    <w:rsid w:val="00994363"/>
    <w:rsid w:val="009979F7"/>
    <w:rsid w:val="009A056F"/>
    <w:rsid w:val="009A0FCD"/>
    <w:rsid w:val="009A2111"/>
    <w:rsid w:val="009A3E57"/>
    <w:rsid w:val="009A462C"/>
    <w:rsid w:val="009B1055"/>
    <w:rsid w:val="009B550C"/>
    <w:rsid w:val="009B6123"/>
    <w:rsid w:val="009B65D6"/>
    <w:rsid w:val="009C20E2"/>
    <w:rsid w:val="009C4893"/>
    <w:rsid w:val="009C495B"/>
    <w:rsid w:val="009C5AD5"/>
    <w:rsid w:val="009C684C"/>
    <w:rsid w:val="009D0083"/>
    <w:rsid w:val="009D1C81"/>
    <w:rsid w:val="009D6BB0"/>
    <w:rsid w:val="009E2566"/>
    <w:rsid w:val="009E2AB8"/>
    <w:rsid w:val="009F70C2"/>
    <w:rsid w:val="00A006AF"/>
    <w:rsid w:val="00A0393C"/>
    <w:rsid w:val="00A03BD0"/>
    <w:rsid w:val="00A0429D"/>
    <w:rsid w:val="00A06486"/>
    <w:rsid w:val="00A104E0"/>
    <w:rsid w:val="00A12815"/>
    <w:rsid w:val="00A133EB"/>
    <w:rsid w:val="00A14192"/>
    <w:rsid w:val="00A14BE1"/>
    <w:rsid w:val="00A1714B"/>
    <w:rsid w:val="00A1756A"/>
    <w:rsid w:val="00A30023"/>
    <w:rsid w:val="00A3011F"/>
    <w:rsid w:val="00A32507"/>
    <w:rsid w:val="00A34F86"/>
    <w:rsid w:val="00A3599E"/>
    <w:rsid w:val="00A430B6"/>
    <w:rsid w:val="00A43FD5"/>
    <w:rsid w:val="00A44914"/>
    <w:rsid w:val="00A4518E"/>
    <w:rsid w:val="00A47B5B"/>
    <w:rsid w:val="00A663CC"/>
    <w:rsid w:val="00A666DC"/>
    <w:rsid w:val="00A67D4F"/>
    <w:rsid w:val="00A71807"/>
    <w:rsid w:val="00A736BA"/>
    <w:rsid w:val="00A801F6"/>
    <w:rsid w:val="00A81A63"/>
    <w:rsid w:val="00A823D2"/>
    <w:rsid w:val="00A83D22"/>
    <w:rsid w:val="00A90213"/>
    <w:rsid w:val="00A96890"/>
    <w:rsid w:val="00AA1A4A"/>
    <w:rsid w:val="00AA4012"/>
    <w:rsid w:val="00AA7968"/>
    <w:rsid w:val="00AA7BF1"/>
    <w:rsid w:val="00AB11C4"/>
    <w:rsid w:val="00AB492B"/>
    <w:rsid w:val="00AB5225"/>
    <w:rsid w:val="00AB5778"/>
    <w:rsid w:val="00AC0001"/>
    <w:rsid w:val="00AC3437"/>
    <w:rsid w:val="00AD0B29"/>
    <w:rsid w:val="00AD4D4C"/>
    <w:rsid w:val="00AD63A2"/>
    <w:rsid w:val="00AD7111"/>
    <w:rsid w:val="00AE64C1"/>
    <w:rsid w:val="00AF2FA3"/>
    <w:rsid w:val="00AF3529"/>
    <w:rsid w:val="00AF612B"/>
    <w:rsid w:val="00AF72AC"/>
    <w:rsid w:val="00AF750B"/>
    <w:rsid w:val="00B03EBB"/>
    <w:rsid w:val="00B0532E"/>
    <w:rsid w:val="00B0709A"/>
    <w:rsid w:val="00B07973"/>
    <w:rsid w:val="00B107CC"/>
    <w:rsid w:val="00B1171B"/>
    <w:rsid w:val="00B121CD"/>
    <w:rsid w:val="00B12EE5"/>
    <w:rsid w:val="00B13E16"/>
    <w:rsid w:val="00B16429"/>
    <w:rsid w:val="00B1658F"/>
    <w:rsid w:val="00B16F8C"/>
    <w:rsid w:val="00B20714"/>
    <w:rsid w:val="00B3017B"/>
    <w:rsid w:val="00B32A3E"/>
    <w:rsid w:val="00B32E74"/>
    <w:rsid w:val="00B33B89"/>
    <w:rsid w:val="00B356CA"/>
    <w:rsid w:val="00B37D96"/>
    <w:rsid w:val="00B42170"/>
    <w:rsid w:val="00B44313"/>
    <w:rsid w:val="00B44C60"/>
    <w:rsid w:val="00B45852"/>
    <w:rsid w:val="00B46DB2"/>
    <w:rsid w:val="00B50599"/>
    <w:rsid w:val="00B518A0"/>
    <w:rsid w:val="00B528C0"/>
    <w:rsid w:val="00B52D09"/>
    <w:rsid w:val="00B57BD6"/>
    <w:rsid w:val="00B60C1B"/>
    <w:rsid w:val="00B61A75"/>
    <w:rsid w:val="00B63242"/>
    <w:rsid w:val="00B6420C"/>
    <w:rsid w:val="00B66DA1"/>
    <w:rsid w:val="00B67375"/>
    <w:rsid w:val="00B70F23"/>
    <w:rsid w:val="00B72B65"/>
    <w:rsid w:val="00B72F17"/>
    <w:rsid w:val="00B7325E"/>
    <w:rsid w:val="00B74879"/>
    <w:rsid w:val="00B7795F"/>
    <w:rsid w:val="00B82772"/>
    <w:rsid w:val="00B84473"/>
    <w:rsid w:val="00B8468D"/>
    <w:rsid w:val="00B86B60"/>
    <w:rsid w:val="00B87E48"/>
    <w:rsid w:val="00B93BFB"/>
    <w:rsid w:val="00B9536C"/>
    <w:rsid w:val="00B957F8"/>
    <w:rsid w:val="00B95DF5"/>
    <w:rsid w:val="00B96D4A"/>
    <w:rsid w:val="00BA3B53"/>
    <w:rsid w:val="00BA51F6"/>
    <w:rsid w:val="00BA6EEA"/>
    <w:rsid w:val="00BA7F9B"/>
    <w:rsid w:val="00BB4BF6"/>
    <w:rsid w:val="00BB5245"/>
    <w:rsid w:val="00BB658D"/>
    <w:rsid w:val="00BB7307"/>
    <w:rsid w:val="00BB78BD"/>
    <w:rsid w:val="00BB7B6E"/>
    <w:rsid w:val="00BC10D2"/>
    <w:rsid w:val="00BC27E7"/>
    <w:rsid w:val="00BC2B23"/>
    <w:rsid w:val="00BC6AEC"/>
    <w:rsid w:val="00BC74E7"/>
    <w:rsid w:val="00BD1461"/>
    <w:rsid w:val="00BD68D3"/>
    <w:rsid w:val="00BD6A4E"/>
    <w:rsid w:val="00BD7E25"/>
    <w:rsid w:val="00BE1D61"/>
    <w:rsid w:val="00BE27A5"/>
    <w:rsid w:val="00BE31CB"/>
    <w:rsid w:val="00BE715F"/>
    <w:rsid w:val="00BF2D72"/>
    <w:rsid w:val="00BF2EC8"/>
    <w:rsid w:val="00BF3194"/>
    <w:rsid w:val="00BF3B94"/>
    <w:rsid w:val="00BF48CC"/>
    <w:rsid w:val="00BF6E15"/>
    <w:rsid w:val="00C00FDF"/>
    <w:rsid w:val="00C022F5"/>
    <w:rsid w:val="00C02FC9"/>
    <w:rsid w:val="00C061F0"/>
    <w:rsid w:val="00C11502"/>
    <w:rsid w:val="00C11830"/>
    <w:rsid w:val="00C12D10"/>
    <w:rsid w:val="00C13157"/>
    <w:rsid w:val="00C14B30"/>
    <w:rsid w:val="00C20B1D"/>
    <w:rsid w:val="00C2182A"/>
    <w:rsid w:val="00C25E94"/>
    <w:rsid w:val="00C31357"/>
    <w:rsid w:val="00C31FA0"/>
    <w:rsid w:val="00C32F1E"/>
    <w:rsid w:val="00C335C0"/>
    <w:rsid w:val="00C3375B"/>
    <w:rsid w:val="00C36D5F"/>
    <w:rsid w:val="00C40EAE"/>
    <w:rsid w:val="00C426EF"/>
    <w:rsid w:val="00C43A9D"/>
    <w:rsid w:val="00C471FD"/>
    <w:rsid w:val="00C53C65"/>
    <w:rsid w:val="00C54313"/>
    <w:rsid w:val="00C5576F"/>
    <w:rsid w:val="00C57A94"/>
    <w:rsid w:val="00C61064"/>
    <w:rsid w:val="00C7008D"/>
    <w:rsid w:val="00C70D05"/>
    <w:rsid w:val="00C72C43"/>
    <w:rsid w:val="00C80BC7"/>
    <w:rsid w:val="00C828BF"/>
    <w:rsid w:val="00C82C3F"/>
    <w:rsid w:val="00C85083"/>
    <w:rsid w:val="00C86933"/>
    <w:rsid w:val="00C96592"/>
    <w:rsid w:val="00C97E55"/>
    <w:rsid w:val="00CA2640"/>
    <w:rsid w:val="00CA4797"/>
    <w:rsid w:val="00CA56E1"/>
    <w:rsid w:val="00CA685C"/>
    <w:rsid w:val="00CA71FD"/>
    <w:rsid w:val="00CB4A16"/>
    <w:rsid w:val="00CB79D9"/>
    <w:rsid w:val="00CB7DD3"/>
    <w:rsid w:val="00CC4242"/>
    <w:rsid w:val="00CC78A8"/>
    <w:rsid w:val="00CD3E74"/>
    <w:rsid w:val="00CD585D"/>
    <w:rsid w:val="00CD5D39"/>
    <w:rsid w:val="00CD6516"/>
    <w:rsid w:val="00CD77DF"/>
    <w:rsid w:val="00CE0C01"/>
    <w:rsid w:val="00CE34C4"/>
    <w:rsid w:val="00CE4E0A"/>
    <w:rsid w:val="00CE6D3B"/>
    <w:rsid w:val="00CE7670"/>
    <w:rsid w:val="00CF05C2"/>
    <w:rsid w:val="00CF1FBA"/>
    <w:rsid w:val="00CF629D"/>
    <w:rsid w:val="00D01BA0"/>
    <w:rsid w:val="00D044A3"/>
    <w:rsid w:val="00D0558D"/>
    <w:rsid w:val="00D0603A"/>
    <w:rsid w:val="00D06625"/>
    <w:rsid w:val="00D077A3"/>
    <w:rsid w:val="00D101B1"/>
    <w:rsid w:val="00D10AAA"/>
    <w:rsid w:val="00D154A8"/>
    <w:rsid w:val="00D218EB"/>
    <w:rsid w:val="00D23C14"/>
    <w:rsid w:val="00D23EB3"/>
    <w:rsid w:val="00D253A2"/>
    <w:rsid w:val="00D338F7"/>
    <w:rsid w:val="00D40F6C"/>
    <w:rsid w:val="00D42635"/>
    <w:rsid w:val="00D428FE"/>
    <w:rsid w:val="00D4360A"/>
    <w:rsid w:val="00D466B3"/>
    <w:rsid w:val="00D516A5"/>
    <w:rsid w:val="00D53362"/>
    <w:rsid w:val="00D5340E"/>
    <w:rsid w:val="00D539F2"/>
    <w:rsid w:val="00D56C99"/>
    <w:rsid w:val="00D60C6D"/>
    <w:rsid w:val="00D639D8"/>
    <w:rsid w:val="00D67B9E"/>
    <w:rsid w:val="00D72048"/>
    <w:rsid w:val="00D72AB2"/>
    <w:rsid w:val="00D822D2"/>
    <w:rsid w:val="00D85589"/>
    <w:rsid w:val="00D85BF8"/>
    <w:rsid w:val="00D86CC4"/>
    <w:rsid w:val="00D86FA0"/>
    <w:rsid w:val="00D9278B"/>
    <w:rsid w:val="00D96762"/>
    <w:rsid w:val="00D976E7"/>
    <w:rsid w:val="00D97929"/>
    <w:rsid w:val="00D97B28"/>
    <w:rsid w:val="00DA18E3"/>
    <w:rsid w:val="00DA3828"/>
    <w:rsid w:val="00DB0F25"/>
    <w:rsid w:val="00DB2878"/>
    <w:rsid w:val="00DB3849"/>
    <w:rsid w:val="00DB4332"/>
    <w:rsid w:val="00DB434B"/>
    <w:rsid w:val="00DB4FCC"/>
    <w:rsid w:val="00DB6AF6"/>
    <w:rsid w:val="00DB6FD2"/>
    <w:rsid w:val="00DC13F1"/>
    <w:rsid w:val="00DC53F0"/>
    <w:rsid w:val="00DC6258"/>
    <w:rsid w:val="00DD2EF4"/>
    <w:rsid w:val="00DE0445"/>
    <w:rsid w:val="00DE0835"/>
    <w:rsid w:val="00DE6B36"/>
    <w:rsid w:val="00DF71D7"/>
    <w:rsid w:val="00DF72F1"/>
    <w:rsid w:val="00E01D74"/>
    <w:rsid w:val="00E02E5B"/>
    <w:rsid w:val="00E06234"/>
    <w:rsid w:val="00E068F3"/>
    <w:rsid w:val="00E07E09"/>
    <w:rsid w:val="00E12A14"/>
    <w:rsid w:val="00E13D74"/>
    <w:rsid w:val="00E209C8"/>
    <w:rsid w:val="00E2179A"/>
    <w:rsid w:val="00E21D57"/>
    <w:rsid w:val="00E261DA"/>
    <w:rsid w:val="00E26388"/>
    <w:rsid w:val="00E2664C"/>
    <w:rsid w:val="00E31CC0"/>
    <w:rsid w:val="00E332A8"/>
    <w:rsid w:val="00E35F1C"/>
    <w:rsid w:val="00E412F6"/>
    <w:rsid w:val="00E45D14"/>
    <w:rsid w:val="00E461F6"/>
    <w:rsid w:val="00E46879"/>
    <w:rsid w:val="00E47351"/>
    <w:rsid w:val="00E54A3A"/>
    <w:rsid w:val="00E54E6A"/>
    <w:rsid w:val="00E5509E"/>
    <w:rsid w:val="00E565F8"/>
    <w:rsid w:val="00E632E1"/>
    <w:rsid w:val="00E633A8"/>
    <w:rsid w:val="00E6746C"/>
    <w:rsid w:val="00E72F18"/>
    <w:rsid w:val="00E74C18"/>
    <w:rsid w:val="00E75125"/>
    <w:rsid w:val="00E76303"/>
    <w:rsid w:val="00E764D7"/>
    <w:rsid w:val="00E7650F"/>
    <w:rsid w:val="00E76B8C"/>
    <w:rsid w:val="00E7767D"/>
    <w:rsid w:val="00E81FE6"/>
    <w:rsid w:val="00E82D49"/>
    <w:rsid w:val="00E84550"/>
    <w:rsid w:val="00E85563"/>
    <w:rsid w:val="00E90349"/>
    <w:rsid w:val="00E9198A"/>
    <w:rsid w:val="00E93934"/>
    <w:rsid w:val="00E94DA8"/>
    <w:rsid w:val="00E976B7"/>
    <w:rsid w:val="00EA166E"/>
    <w:rsid w:val="00EA56A4"/>
    <w:rsid w:val="00EB0E11"/>
    <w:rsid w:val="00EB414C"/>
    <w:rsid w:val="00EB43E8"/>
    <w:rsid w:val="00EB444D"/>
    <w:rsid w:val="00EB56AC"/>
    <w:rsid w:val="00EB581A"/>
    <w:rsid w:val="00EC05D4"/>
    <w:rsid w:val="00EC1726"/>
    <w:rsid w:val="00EC34E6"/>
    <w:rsid w:val="00EC69B1"/>
    <w:rsid w:val="00EC6DAE"/>
    <w:rsid w:val="00EC7AC6"/>
    <w:rsid w:val="00ED14A4"/>
    <w:rsid w:val="00ED6431"/>
    <w:rsid w:val="00EE3B21"/>
    <w:rsid w:val="00EE7359"/>
    <w:rsid w:val="00EF0DE1"/>
    <w:rsid w:val="00EF2C4C"/>
    <w:rsid w:val="00EF75CF"/>
    <w:rsid w:val="00F01868"/>
    <w:rsid w:val="00F020B5"/>
    <w:rsid w:val="00F02BF6"/>
    <w:rsid w:val="00F04420"/>
    <w:rsid w:val="00F066C4"/>
    <w:rsid w:val="00F070B8"/>
    <w:rsid w:val="00F15A4E"/>
    <w:rsid w:val="00F17D8C"/>
    <w:rsid w:val="00F2398A"/>
    <w:rsid w:val="00F23DEC"/>
    <w:rsid w:val="00F23F83"/>
    <w:rsid w:val="00F24560"/>
    <w:rsid w:val="00F25324"/>
    <w:rsid w:val="00F32A72"/>
    <w:rsid w:val="00F32D34"/>
    <w:rsid w:val="00F354F0"/>
    <w:rsid w:val="00F358C9"/>
    <w:rsid w:val="00F36D81"/>
    <w:rsid w:val="00F42DBE"/>
    <w:rsid w:val="00F43314"/>
    <w:rsid w:val="00F44361"/>
    <w:rsid w:val="00F4513C"/>
    <w:rsid w:val="00F501A9"/>
    <w:rsid w:val="00F501EB"/>
    <w:rsid w:val="00F50F0E"/>
    <w:rsid w:val="00F5184D"/>
    <w:rsid w:val="00F51D40"/>
    <w:rsid w:val="00F52EB1"/>
    <w:rsid w:val="00F53302"/>
    <w:rsid w:val="00F53D6E"/>
    <w:rsid w:val="00F54C9D"/>
    <w:rsid w:val="00F54F48"/>
    <w:rsid w:val="00F63801"/>
    <w:rsid w:val="00F7342D"/>
    <w:rsid w:val="00F753A0"/>
    <w:rsid w:val="00F76548"/>
    <w:rsid w:val="00F77BEF"/>
    <w:rsid w:val="00F81A1A"/>
    <w:rsid w:val="00F83F9F"/>
    <w:rsid w:val="00F866D8"/>
    <w:rsid w:val="00F86725"/>
    <w:rsid w:val="00F91114"/>
    <w:rsid w:val="00F91628"/>
    <w:rsid w:val="00F945F0"/>
    <w:rsid w:val="00F94B47"/>
    <w:rsid w:val="00F959AD"/>
    <w:rsid w:val="00F96513"/>
    <w:rsid w:val="00F969DA"/>
    <w:rsid w:val="00FA02FE"/>
    <w:rsid w:val="00FA1AC5"/>
    <w:rsid w:val="00FA24B5"/>
    <w:rsid w:val="00FA2FB6"/>
    <w:rsid w:val="00FA3D85"/>
    <w:rsid w:val="00FA5191"/>
    <w:rsid w:val="00FB099B"/>
    <w:rsid w:val="00FB1422"/>
    <w:rsid w:val="00FB27B9"/>
    <w:rsid w:val="00FB2F5B"/>
    <w:rsid w:val="00FB30C0"/>
    <w:rsid w:val="00FC2042"/>
    <w:rsid w:val="00FC2EAC"/>
    <w:rsid w:val="00FC3C6A"/>
    <w:rsid w:val="00FD1AEE"/>
    <w:rsid w:val="00FD1D1F"/>
    <w:rsid w:val="00FD2B78"/>
    <w:rsid w:val="00FD7515"/>
    <w:rsid w:val="00FE53E0"/>
    <w:rsid w:val="00FF215C"/>
    <w:rsid w:val="00FF2C8A"/>
    <w:rsid w:val="00FF4D39"/>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customStyle="1" w:styleId="hr">
    <w:name w:val="hr"/>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A96890"/>
  </w:style>
  <w:style w:type="paragraph" w:customStyle="1" w:styleId="r1">
    <w:name w:val="r1"/>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2DBE"/>
    <w:rPr>
      <w:color w:val="954F72" w:themeColor="followedHyperlink"/>
      <w:u w:val="single"/>
    </w:rPr>
  </w:style>
  <w:style w:type="paragraph" w:styleId="Revision">
    <w:name w:val="Revision"/>
    <w:hidden/>
    <w:uiPriority w:val="99"/>
    <w:semiHidden/>
    <w:rsid w:val="0008120F"/>
    <w:pPr>
      <w:spacing w:after="0" w:line="240" w:lineRule="auto"/>
    </w:pPr>
  </w:style>
  <w:style w:type="paragraph" w:customStyle="1" w:styleId="zdefinition">
    <w:name w:val="z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29">
      <w:bodyDiv w:val="1"/>
      <w:marLeft w:val="0"/>
      <w:marRight w:val="0"/>
      <w:marTop w:val="0"/>
      <w:marBottom w:val="0"/>
      <w:divBdr>
        <w:top w:val="none" w:sz="0" w:space="0" w:color="auto"/>
        <w:left w:val="none" w:sz="0" w:space="0" w:color="auto"/>
        <w:bottom w:val="none" w:sz="0" w:space="0" w:color="auto"/>
        <w:right w:val="none" w:sz="0" w:space="0" w:color="auto"/>
      </w:divBdr>
    </w:div>
    <w:div w:id="225578363">
      <w:bodyDiv w:val="1"/>
      <w:marLeft w:val="0"/>
      <w:marRight w:val="0"/>
      <w:marTop w:val="0"/>
      <w:marBottom w:val="0"/>
      <w:divBdr>
        <w:top w:val="none" w:sz="0" w:space="0" w:color="auto"/>
        <w:left w:val="none" w:sz="0" w:space="0" w:color="auto"/>
        <w:bottom w:val="none" w:sz="0" w:space="0" w:color="auto"/>
        <w:right w:val="none" w:sz="0" w:space="0" w:color="auto"/>
      </w:divBdr>
    </w:div>
    <w:div w:id="1283460497">
      <w:bodyDiv w:val="1"/>
      <w:marLeft w:val="0"/>
      <w:marRight w:val="0"/>
      <w:marTop w:val="0"/>
      <w:marBottom w:val="0"/>
      <w:divBdr>
        <w:top w:val="none" w:sz="0" w:space="0" w:color="auto"/>
        <w:left w:val="none" w:sz="0" w:space="0" w:color="auto"/>
        <w:bottom w:val="none" w:sz="0" w:space="0" w:color="auto"/>
        <w:right w:val="none" w:sz="0" w:space="0" w:color="auto"/>
      </w:divBdr>
    </w:div>
    <w:div w:id="1409692403">
      <w:bodyDiv w:val="1"/>
      <w:marLeft w:val="0"/>
      <w:marRight w:val="0"/>
      <w:marTop w:val="0"/>
      <w:marBottom w:val="0"/>
      <w:divBdr>
        <w:top w:val="none" w:sz="0" w:space="0" w:color="auto"/>
        <w:left w:val="none" w:sz="0" w:space="0" w:color="auto"/>
        <w:bottom w:val="none" w:sz="0" w:space="0" w:color="auto"/>
        <w:right w:val="none" w:sz="0" w:space="0" w:color="auto"/>
      </w:divBdr>
    </w:div>
    <w:div w:id="1748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itu.int"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http://www.acma.gov.au" TargetMode="External"/><Relationship Id="rId34" Type="http://schemas.openxmlformats.org/officeDocument/2006/relationships/hyperlink" Target="http://www.itu.i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cdb.cept.org/" TargetMode="External"/><Relationship Id="rId25" Type="http://schemas.openxmlformats.org/officeDocument/2006/relationships/header" Target="header1.xml"/><Relationship Id="rId33" Type="http://schemas.openxmlformats.org/officeDocument/2006/relationships/hyperlink" Target="http://www.itu.int"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docdb.cept.org/" TargetMode="External"/><Relationship Id="rId20" Type="http://schemas.openxmlformats.org/officeDocument/2006/relationships/hyperlink" Target="http://www.acma.gov.au" TargetMode="External"/><Relationship Id="rId29" Type="http://schemas.openxmlformats.org/officeDocument/2006/relationships/hyperlink" Target="http://www.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cdb.cept.org/" TargetMode="External"/><Relationship Id="rId23" Type="http://schemas.openxmlformats.org/officeDocument/2006/relationships/hyperlink" Target="http://www.legislation.gov.au"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itu.i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db.cept.org/" TargetMode="External"/><Relationship Id="rId22" Type="http://schemas.openxmlformats.org/officeDocument/2006/relationships/hyperlink" Target="http://www.acma.gov.au"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hyperlink" Target="http://www.itu.int"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UQVA7MFFXVNW-850449931-207</_dlc_DocId>
    <_dlc_DocIdUrl xmlns="04b8ec43-391f-4ce4-8841-d6a482add564">
      <Url>http://collaboration/organisation/auth/Chair/Auth/_layouts/15/DocIdRedir.aspx?ID=UQVA7MFFXVNW-850449931-207</Url>
      <Description>UQVA7MFFXVNW-850449931-207</Description>
    </_dlc_DocIdUrl>
    <Category xmlns="026d8262-4725-4a9c-834e-3f991ab17ffd">(none)</Category>
  </documentManagement>
</p:properties>
</file>

<file path=customXml/itemProps1.xml><?xml version="1.0" encoding="utf-8"?>
<ds:datastoreItem xmlns:ds="http://schemas.openxmlformats.org/officeDocument/2006/customXml" ds:itemID="{EC801EB8-B649-4CF9-8D7B-8EAAE8626216}">
  <ds:schemaRefs>
    <ds:schemaRef ds:uri="http://schemas.microsoft.com/sharepoint/v3/contenttype/forms"/>
  </ds:schemaRefs>
</ds:datastoreItem>
</file>

<file path=customXml/itemProps2.xml><?xml version="1.0" encoding="utf-8"?>
<ds:datastoreItem xmlns:ds="http://schemas.openxmlformats.org/officeDocument/2006/customXml" ds:itemID="{780DE7AA-44ED-4F7C-A832-39311C0DE45C}">
  <ds:schemaRefs>
    <ds:schemaRef ds:uri="http://schemas.openxmlformats.org/officeDocument/2006/bibliography"/>
  </ds:schemaRefs>
</ds:datastoreItem>
</file>

<file path=customXml/itemProps3.xml><?xml version="1.0" encoding="utf-8"?>
<ds:datastoreItem xmlns:ds="http://schemas.openxmlformats.org/officeDocument/2006/customXml" ds:itemID="{8BD7F5E3-852B-4268-9DBD-F16C32B0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BD536-7DAA-4D25-81A7-FCBF03EA22ED}">
  <ds:schemaRefs>
    <ds:schemaRef ds:uri="http://schemas.microsoft.com/sharepoint/events"/>
  </ds:schemaRefs>
</ds:datastoreItem>
</file>

<file path=customXml/itemProps5.xml><?xml version="1.0" encoding="utf-8"?>
<ds:datastoreItem xmlns:ds="http://schemas.openxmlformats.org/officeDocument/2006/customXml" ds:itemID="{B57D8CE4-F3D0-45E6-88F2-83D3AE39F65C}">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dcterms:created xsi:type="dcterms:W3CDTF">2023-03-15T23:15:00Z</dcterms:created>
  <dcterms:modified xsi:type="dcterms:W3CDTF">2023-03-16T04:13:00Z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91a0c6a5-6327-40f9-9a90-d3d5ec78afdc</vt:lpwstr>
  </property>
</Properties>
</file>