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58E7" w14:textId="2C9BCFF5" w:rsidR="00AD48DC" w:rsidRDefault="00AD48DC" w:rsidP="00AD48DC">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determination </w:t>
      </w:r>
      <w:bookmarkEnd w:id="1"/>
      <w:r w:rsidRPr="003945CC">
        <w:rPr>
          <w:rFonts w:ascii="Times New Roman" w:hAnsi="Times New Roman"/>
          <w:b/>
          <w:sz w:val="24"/>
        </w:rPr>
        <w:t xml:space="preserve">No. </w:t>
      </w:r>
      <w:r w:rsidR="00D21055" w:rsidRPr="003945CC">
        <w:rPr>
          <w:rFonts w:ascii="Times New Roman" w:hAnsi="Times New Roman"/>
          <w:b/>
          <w:sz w:val="24"/>
        </w:rPr>
        <w:t>5</w:t>
      </w:r>
      <w:r w:rsidR="003945CC">
        <w:rPr>
          <w:rFonts w:ascii="Times New Roman" w:hAnsi="Times New Roman"/>
          <w:b/>
          <w:sz w:val="24"/>
        </w:rPr>
        <w:t xml:space="preserve"> </w:t>
      </w:r>
      <w:r w:rsidRPr="00474451">
        <w:rPr>
          <w:rFonts w:ascii="Times New Roman" w:hAnsi="Times New Roman"/>
          <w:b/>
          <w:sz w:val="24"/>
        </w:rPr>
        <w:t>of 2023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03A4E1DD" w:rsidR="00CB65C5" w:rsidRDefault="00CB65C5" w:rsidP="00CB65C5">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BA4C1F">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D77A2A">
        <w:rPr>
          <w:rFonts w:ascii="Times New Roman" w:hAnsi="Times New Roman"/>
          <w:sz w:val="24"/>
        </w:rPr>
        <w:t>make, grant or</w:t>
      </w:r>
      <w:r w:rsidR="00D77A2A" w:rsidRPr="00C82862">
        <w:rPr>
          <w:rFonts w:ascii="Times New Roman" w:hAnsi="Times New Roman"/>
          <w:sz w:val="24"/>
        </w:rPr>
        <w:t xml:space="preserve"> issue an instrument</w:t>
      </w:r>
      <w:r w:rsidR="00D77A2A">
        <w:rPr>
          <w:rFonts w:ascii="Times New Roman" w:hAnsi="Times New Roman"/>
          <w:sz w:val="24"/>
        </w:rPr>
        <w:t xml:space="preserve"> of a legislative or administrative character</w:t>
      </w:r>
      <w:r w:rsidR="00D77A2A" w:rsidRPr="00C82862">
        <w:rPr>
          <w:rFonts w:ascii="Times New Roman" w:hAnsi="Times New Roman"/>
          <w:sz w:val="24"/>
        </w:rPr>
        <w:t xml:space="preserve"> </w:t>
      </w:r>
      <w:r w:rsidRPr="00C82862">
        <w:rPr>
          <w:rFonts w:ascii="Times New Roman" w:hAnsi="Times New Roman"/>
          <w:sz w:val="24"/>
        </w:rPr>
        <w:t>the power shall, unless the contrary intention appe</w:t>
      </w:r>
      <w:r w:rsidR="00A37609">
        <w:rPr>
          <w:rFonts w:ascii="Times New Roman" w:hAnsi="Times New Roman"/>
          <w:sz w:val="24"/>
        </w:rPr>
        <w:t>ars</w:t>
      </w:r>
      <w:r w:rsidRPr="00C82862">
        <w:rPr>
          <w:rFonts w:ascii="Times New Roman" w:hAnsi="Times New Roman"/>
          <w:sz w:val="24"/>
        </w:rPr>
        <w:t>, be construed as including a power exercisable in the like manner and subject to the like conditions (if any) to revoke any such instrument.</w:t>
      </w:r>
    </w:p>
    <w:p w14:paraId="69AEBE41" w14:textId="74F2DC59" w:rsidR="00F4204E" w:rsidRDefault="00F4204E" w:rsidP="00CB65C5">
      <w:pPr>
        <w:rPr>
          <w:rFonts w:ascii="Times New Roman" w:hAnsi="Times New Roman"/>
          <w:sz w:val="24"/>
        </w:rPr>
      </w:pPr>
      <w:r w:rsidRPr="00387348">
        <w:rPr>
          <w:rFonts w:ascii="Times New Roman" w:hAnsi="Times New Roman"/>
          <w:sz w:val="24"/>
        </w:rPr>
        <w:t>Subsection 15(1) of the Act provides that APRA may declare a day on and after which the reporting standards are to apply</w:t>
      </w:r>
      <w:r w:rsidR="004345EA">
        <w:rPr>
          <w:rFonts w:ascii="Times New Roman" w:hAnsi="Times New Roman"/>
          <w:sz w:val="24"/>
        </w:rPr>
        <w:t>.</w:t>
      </w:r>
    </w:p>
    <w:p w14:paraId="11AC180C" w14:textId="7E9D93FF" w:rsidR="00E24B8A" w:rsidRPr="00A37609" w:rsidRDefault="00A53BE8" w:rsidP="006670E8">
      <w:pPr>
        <w:rPr>
          <w:rFonts w:ascii="Times New Roman" w:hAnsi="Times New Roman"/>
          <w:sz w:val="24"/>
        </w:rPr>
      </w:pPr>
      <w:r>
        <w:rPr>
          <w:rFonts w:ascii="Times New Roman" w:hAnsi="Times New Roman"/>
          <w:sz w:val="24"/>
        </w:rPr>
        <w:t xml:space="preserve">On </w:t>
      </w:r>
      <w:r w:rsidR="00966CE8">
        <w:rPr>
          <w:rFonts w:ascii="Times New Roman" w:hAnsi="Times New Roman"/>
          <w:sz w:val="24"/>
        </w:rPr>
        <w:t>16</w:t>
      </w:r>
      <w:r w:rsidR="00B33B40" w:rsidRPr="00305D82">
        <w:rPr>
          <w:rFonts w:ascii="Times New Roman" w:hAnsi="Times New Roman"/>
          <w:sz w:val="24"/>
        </w:rPr>
        <w:t xml:space="preserve"> March 2023</w:t>
      </w:r>
      <w:r>
        <w:rPr>
          <w:rFonts w:ascii="Times New Roman" w:hAnsi="Times New Roman"/>
          <w:sz w:val="24"/>
        </w:rPr>
        <w:t xml:space="preserve">, APRA </w:t>
      </w:r>
      <w:r w:rsidR="00F4204E">
        <w:rPr>
          <w:rFonts w:ascii="Times New Roman" w:hAnsi="Times New Roman"/>
          <w:sz w:val="24"/>
        </w:rPr>
        <w:t>determined</w:t>
      </w:r>
      <w:r w:rsidR="006670E8">
        <w:rPr>
          <w:rFonts w:ascii="Times New Roman" w:hAnsi="Times New Roman"/>
          <w:sz w:val="24"/>
        </w:rPr>
        <w:t xml:space="preserve"> </w:t>
      </w:r>
      <w:r w:rsidR="00F4204E">
        <w:rPr>
          <w:rFonts w:ascii="Times New Roman" w:hAnsi="Times New Roman"/>
          <w:sz w:val="24"/>
        </w:rPr>
        <w:t>the</w:t>
      </w:r>
      <w:r w:rsidR="00F4204E" w:rsidRPr="00A37609">
        <w:rPr>
          <w:rFonts w:ascii="Times New Roman" w:hAnsi="Times New Roman"/>
          <w:sz w:val="24"/>
        </w:rPr>
        <w:t xml:space="preserve"> </w:t>
      </w:r>
      <w:r w:rsidR="00E24B8A" w:rsidRPr="00A37609">
        <w:rPr>
          <w:rFonts w:ascii="Times New Roman" w:hAnsi="Times New Roman"/>
          <w:sz w:val="24"/>
        </w:rPr>
        <w:t xml:space="preserve">Financial Sector (Collection of Data) (reporting standard) determination No. </w:t>
      </w:r>
      <w:r w:rsidR="00A37609">
        <w:rPr>
          <w:rFonts w:ascii="Times New Roman" w:hAnsi="Times New Roman"/>
          <w:sz w:val="24"/>
        </w:rPr>
        <w:t>5</w:t>
      </w:r>
      <w:r w:rsidR="00E24B8A" w:rsidRPr="00A37609">
        <w:rPr>
          <w:rFonts w:ascii="Times New Roman" w:hAnsi="Times New Roman"/>
          <w:sz w:val="24"/>
        </w:rPr>
        <w:t xml:space="preserve"> of 20</w:t>
      </w:r>
      <w:r w:rsidR="00A37609">
        <w:rPr>
          <w:rFonts w:ascii="Times New Roman" w:hAnsi="Times New Roman"/>
          <w:sz w:val="24"/>
        </w:rPr>
        <w:t>2</w:t>
      </w:r>
      <w:r w:rsidR="00E24B8A" w:rsidRPr="00A37609">
        <w:rPr>
          <w:rFonts w:ascii="Times New Roman" w:hAnsi="Times New Roman"/>
          <w:sz w:val="24"/>
        </w:rPr>
        <w:t xml:space="preserve">3 which: </w:t>
      </w:r>
    </w:p>
    <w:p w14:paraId="0E9744A2" w14:textId="6F084A2B" w:rsidR="00E24B8A" w:rsidRPr="00A00295" w:rsidRDefault="00783A5C" w:rsidP="00A00295">
      <w:pPr>
        <w:pStyle w:val="ListParagraph"/>
        <w:numPr>
          <w:ilvl w:val="0"/>
          <w:numId w:val="55"/>
        </w:numPr>
        <w:rPr>
          <w:rFonts w:ascii="Times New Roman" w:hAnsi="Times New Roman"/>
          <w:sz w:val="24"/>
        </w:rPr>
      </w:pPr>
      <w:r w:rsidRPr="00A00295">
        <w:rPr>
          <w:rFonts w:ascii="Times New Roman" w:hAnsi="Times New Roman"/>
          <w:sz w:val="24"/>
        </w:rPr>
        <w:t>r</w:t>
      </w:r>
      <w:r w:rsidR="00E24B8A" w:rsidRPr="00A00295">
        <w:rPr>
          <w:rFonts w:ascii="Times New Roman" w:hAnsi="Times New Roman"/>
          <w:sz w:val="24"/>
        </w:rPr>
        <w:t xml:space="preserve">evokes </w:t>
      </w:r>
      <w:r w:rsidR="005A422E" w:rsidRPr="00A00295">
        <w:rPr>
          <w:rFonts w:ascii="Times New Roman" w:hAnsi="Times New Roman"/>
          <w:i/>
          <w:sz w:val="24"/>
        </w:rPr>
        <w:t>R</w:t>
      </w:r>
      <w:r w:rsidR="00E24B8A" w:rsidRPr="00A00295">
        <w:rPr>
          <w:rFonts w:ascii="Times New Roman" w:hAnsi="Times New Roman"/>
          <w:i/>
          <w:sz w:val="24"/>
        </w:rPr>
        <w:t xml:space="preserve">eporting </w:t>
      </w:r>
      <w:r w:rsidR="005A422E" w:rsidRPr="00A00295">
        <w:rPr>
          <w:rFonts w:ascii="Times New Roman" w:hAnsi="Times New Roman"/>
          <w:i/>
          <w:sz w:val="24"/>
        </w:rPr>
        <w:t>S</w:t>
      </w:r>
      <w:r w:rsidR="00E24B8A" w:rsidRPr="00A00295">
        <w:rPr>
          <w:rFonts w:ascii="Times New Roman" w:hAnsi="Times New Roman"/>
          <w:i/>
          <w:sz w:val="24"/>
        </w:rPr>
        <w:t>tandard</w:t>
      </w:r>
      <w:r w:rsidR="00E24B8A" w:rsidRPr="00A00295">
        <w:rPr>
          <w:rFonts w:ascii="Times New Roman" w:hAnsi="Times New Roman"/>
          <w:sz w:val="24"/>
        </w:rPr>
        <w:t xml:space="preserve"> </w:t>
      </w:r>
      <w:r w:rsidR="00196F4C" w:rsidRPr="00A00295">
        <w:rPr>
          <w:rFonts w:ascii="Times New Roman" w:hAnsi="Times New Roman"/>
          <w:i/>
          <w:sz w:val="24"/>
        </w:rPr>
        <w:t xml:space="preserve">GRS 112.3 Related Party Exposures </w:t>
      </w:r>
      <w:r w:rsidR="00BE6FFF" w:rsidRPr="00A00295">
        <w:rPr>
          <w:rFonts w:ascii="Times New Roman" w:hAnsi="Times New Roman"/>
          <w:sz w:val="24"/>
        </w:rPr>
        <w:t xml:space="preserve">(GRS 112.3) </w:t>
      </w:r>
      <w:r w:rsidR="00F4204E" w:rsidRPr="00A00295">
        <w:rPr>
          <w:rFonts w:ascii="Times New Roman" w:hAnsi="Times New Roman"/>
          <w:sz w:val="24"/>
        </w:rPr>
        <w:t>made under</w:t>
      </w:r>
      <w:r w:rsidR="00BE6FFF" w:rsidRPr="00A00295">
        <w:rPr>
          <w:rFonts w:ascii="Times New Roman" w:hAnsi="Times New Roman"/>
          <w:sz w:val="24"/>
        </w:rPr>
        <w:t xml:space="preserve"> Financial Sector (</w:t>
      </w:r>
      <w:r w:rsidR="00262F69" w:rsidRPr="00A00295">
        <w:rPr>
          <w:rFonts w:ascii="Times New Roman" w:hAnsi="Times New Roman"/>
          <w:sz w:val="24"/>
        </w:rPr>
        <w:t xml:space="preserve">Collection of Data) (reporting standard) determination No. 4 of 2013); and </w:t>
      </w:r>
    </w:p>
    <w:p w14:paraId="2C8D4ED3" w14:textId="76C61EF8" w:rsidR="00262F69" w:rsidRDefault="00262F69" w:rsidP="00A00295">
      <w:pPr>
        <w:pStyle w:val="ListParagraph"/>
        <w:ind w:left="360"/>
        <w:rPr>
          <w:rFonts w:ascii="Times New Roman" w:hAnsi="Times New Roman"/>
          <w:sz w:val="24"/>
        </w:rPr>
      </w:pPr>
    </w:p>
    <w:p w14:paraId="4333A7DE" w14:textId="38016833" w:rsidR="0059633D" w:rsidRPr="00A00295" w:rsidRDefault="00783A5C" w:rsidP="00A00295">
      <w:pPr>
        <w:pStyle w:val="ListParagraph"/>
        <w:numPr>
          <w:ilvl w:val="0"/>
          <w:numId w:val="55"/>
        </w:numPr>
        <w:rPr>
          <w:rFonts w:ascii="Times New Roman" w:hAnsi="Times New Roman"/>
          <w:sz w:val="24"/>
        </w:rPr>
      </w:pPr>
      <w:r w:rsidRPr="00A00295">
        <w:rPr>
          <w:rFonts w:ascii="Times New Roman" w:hAnsi="Times New Roman"/>
          <w:sz w:val="24"/>
        </w:rPr>
        <w:t>d</w:t>
      </w:r>
      <w:r w:rsidR="00262F69" w:rsidRPr="00A00295">
        <w:rPr>
          <w:rFonts w:ascii="Times New Roman" w:hAnsi="Times New Roman"/>
          <w:sz w:val="24"/>
        </w:rPr>
        <w:t xml:space="preserve">etermines a new </w:t>
      </w:r>
      <w:r w:rsidR="00F4204E" w:rsidRPr="00A00295">
        <w:rPr>
          <w:rFonts w:ascii="Times New Roman" w:hAnsi="Times New Roman"/>
          <w:sz w:val="24"/>
        </w:rPr>
        <w:t xml:space="preserve">version of </w:t>
      </w:r>
      <w:r w:rsidR="00AC7B78" w:rsidRPr="00A00295">
        <w:rPr>
          <w:rFonts w:ascii="Times New Roman" w:hAnsi="Times New Roman"/>
          <w:sz w:val="24"/>
        </w:rPr>
        <w:t>GRS 112.3</w:t>
      </w:r>
      <w:r w:rsidR="00A00295">
        <w:rPr>
          <w:rFonts w:ascii="Times New Roman" w:hAnsi="Times New Roman"/>
          <w:sz w:val="24"/>
        </w:rPr>
        <w:t>.</w:t>
      </w:r>
    </w:p>
    <w:p w14:paraId="0B7BE371" w14:textId="5D206EB7" w:rsidR="00D8499F" w:rsidRDefault="004538E3" w:rsidP="004538E3">
      <w:pPr>
        <w:rPr>
          <w:rFonts w:ascii="Times New Roman" w:hAnsi="Times New Roman"/>
          <w:sz w:val="24"/>
        </w:rPr>
      </w:pPr>
      <w:r>
        <w:rPr>
          <w:rFonts w:ascii="Times New Roman" w:hAnsi="Times New Roman"/>
          <w:sz w:val="24"/>
        </w:rPr>
        <w:t>Th</w:t>
      </w:r>
      <w:r w:rsidR="003945CC">
        <w:rPr>
          <w:rFonts w:ascii="Times New Roman" w:hAnsi="Times New Roman"/>
          <w:sz w:val="24"/>
        </w:rPr>
        <w:t>is</w:t>
      </w:r>
      <w:r>
        <w:rPr>
          <w:rFonts w:ascii="Times New Roman" w:hAnsi="Times New Roman"/>
          <w:sz w:val="24"/>
        </w:rPr>
        <w:t xml:space="preserve"> instrument commence</w:t>
      </w:r>
      <w:r w:rsidR="003945CC">
        <w:rPr>
          <w:rFonts w:ascii="Times New Roman" w:hAnsi="Times New Roman"/>
          <w:sz w:val="24"/>
        </w:rPr>
        <w:t>s</w:t>
      </w:r>
      <w:r>
        <w:rPr>
          <w:rFonts w:ascii="Times New Roman" w:hAnsi="Times New Roman"/>
          <w:sz w:val="24"/>
        </w:rPr>
        <w:t xml:space="preserve"> on 1 April 202</w:t>
      </w:r>
      <w:r w:rsidR="00EB092A">
        <w:rPr>
          <w:rFonts w:ascii="Times New Roman" w:hAnsi="Times New Roman"/>
          <w:sz w:val="24"/>
        </w:rPr>
        <w:t>3</w:t>
      </w:r>
      <w:r w:rsidR="00AD48DC">
        <w:rPr>
          <w:rFonts w:ascii="Times New Roman" w:hAnsi="Times New Roman"/>
          <w:sz w:val="24"/>
        </w:rPr>
        <w:t xml:space="preserve">. </w:t>
      </w:r>
    </w:p>
    <w:p w14:paraId="441579C8" w14:textId="77777777" w:rsidR="00BB4BB7" w:rsidRPr="00A03CC5" w:rsidRDefault="00BB4BB7" w:rsidP="00A03CC5">
      <w:pPr>
        <w:pStyle w:val="ListParagraph"/>
        <w:numPr>
          <w:ilvl w:val="0"/>
          <w:numId w:val="51"/>
        </w:numPr>
        <w:rPr>
          <w:rFonts w:ascii="Times New Roman" w:hAnsi="Times New Roman" w:cs="Times New Roman"/>
          <w:b/>
          <w:sz w:val="24"/>
          <w:szCs w:val="24"/>
        </w:rPr>
      </w:pPr>
      <w:r w:rsidRPr="00A03CC5">
        <w:rPr>
          <w:rFonts w:ascii="Times New Roman" w:hAnsi="Times New Roman" w:cs="Times New Roman"/>
          <w:b/>
          <w:sz w:val="24"/>
          <w:szCs w:val="24"/>
        </w:rPr>
        <w:t xml:space="preserve">Background </w:t>
      </w:r>
    </w:p>
    <w:p w14:paraId="5449D04C" w14:textId="77777777" w:rsidR="00627FF4" w:rsidRPr="00A03CC5" w:rsidRDefault="00BB4BB7" w:rsidP="00A03CC5">
      <w:pPr>
        <w:widowControl w:val="0"/>
        <w:rPr>
          <w:rFonts w:ascii="Times New Roman" w:hAnsi="Times New Roman"/>
          <w:color w:val="000000"/>
          <w:sz w:val="24"/>
        </w:rPr>
      </w:pPr>
      <w:r w:rsidRPr="00A03CC5">
        <w:rPr>
          <w:rFonts w:ascii="Times New Roman" w:hAnsi="Times New Roman"/>
          <w:sz w:val="24"/>
        </w:rPr>
        <w:t xml:space="preserve">APRA’s prudential framework includes a suite of prudential standards that impose capital requirements for </w:t>
      </w:r>
      <w:r w:rsidR="00F71696" w:rsidRPr="00A03CC5">
        <w:rPr>
          <w:rFonts w:ascii="Times New Roman" w:hAnsi="Times New Roman"/>
          <w:sz w:val="24"/>
        </w:rPr>
        <w:t>general insurers</w:t>
      </w:r>
      <w:r w:rsidRPr="00A03CC5">
        <w:rPr>
          <w:rFonts w:ascii="Times New Roman" w:hAnsi="Times New Roman"/>
          <w:sz w:val="24"/>
        </w:rPr>
        <w:t xml:space="preserve"> (</w:t>
      </w:r>
      <w:r w:rsidR="00F71696" w:rsidRPr="00A03CC5">
        <w:rPr>
          <w:rFonts w:ascii="Times New Roman" w:hAnsi="Times New Roman"/>
          <w:sz w:val="24"/>
        </w:rPr>
        <w:t>GI</w:t>
      </w:r>
      <w:r w:rsidRPr="00A03CC5">
        <w:rPr>
          <w:rFonts w:ascii="Times New Roman" w:hAnsi="Times New Roman"/>
          <w:sz w:val="24"/>
        </w:rPr>
        <w:t xml:space="preserve">s), </w:t>
      </w:r>
      <w:r w:rsidRPr="00A03CC5">
        <w:rPr>
          <w:rFonts w:ascii="Times New Roman" w:hAnsi="Times New Roman"/>
          <w:color w:val="000000"/>
          <w:sz w:val="24"/>
        </w:rPr>
        <w:t xml:space="preserve">for the purpose of ensuring </w:t>
      </w:r>
      <w:r w:rsidR="00F71696" w:rsidRPr="00A03CC5">
        <w:rPr>
          <w:rFonts w:ascii="Times New Roman" w:hAnsi="Times New Roman"/>
          <w:color w:val="000000"/>
          <w:sz w:val="24"/>
        </w:rPr>
        <w:t>GI</w:t>
      </w:r>
      <w:r w:rsidRPr="00A03CC5">
        <w:rPr>
          <w:rFonts w:ascii="Times New Roman" w:hAnsi="Times New Roman"/>
          <w:color w:val="000000"/>
          <w:sz w:val="24"/>
        </w:rPr>
        <w:t xml:space="preserve">s hold sufficient capital to address the risks associated with their operations. </w:t>
      </w:r>
    </w:p>
    <w:p w14:paraId="06EDD8E2" w14:textId="119CD73B" w:rsidR="00BB4BB7" w:rsidRPr="00A03CC5" w:rsidRDefault="00BB4BB7" w:rsidP="00A03CC5">
      <w:pPr>
        <w:pStyle w:val="ListParagraph"/>
        <w:ind w:left="0"/>
        <w:rPr>
          <w:rFonts w:ascii="Times New Roman" w:hAnsi="Times New Roman" w:cs="Times New Roman"/>
          <w:sz w:val="24"/>
          <w:szCs w:val="24"/>
        </w:rPr>
      </w:pPr>
      <w:r w:rsidRPr="00A03CC5">
        <w:rPr>
          <w:rFonts w:ascii="Times New Roman" w:hAnsi="Times New Roman" w:cs="Times New Roman"/>
          <w:sz w:val="24"/>
          <w:szCs w:val="24"/>
        </w:rPr>
        <w:t xml:space="preserve">One of these standards is </w:t>
      </w:r>
      <w:r w:rsidRPr="00A03CC5">
        <w:rPr>
          <w:rFonts w:ascii="Times New Roman" w:hAnsi="Times New Roman" w:cs="Times New Roman"/>
          <w:i/>
          <w:sz w:val="24"/>
          <w:szCs w:val="24"/>
        </w:rPr>
        <w:t xml:space="preserve">Prudential Standard </w:t>
      </w:r>
      <w:r w:rsidR="00FB2A6E" w:rsidRPr="00A03CC5">
        <w:rPr>
          <w:rFonts w:ascii="Times New Roman" w:hAnsi="Times New Roman" w:cs="Times New Roman"/>
          <w:i/>
          <w:sz w:val="24"/>
          <w:szCs w:val="24"/>
        </w:rPr>
        <w:t>GPS 112 Capital Adequacy: Measurement of Capital</w:t>
      </w:r>
      <w:r w:rsidR="00FB2A6E" w:rsidRPr="00A03CC5">
        <w:rPr>
          <w:rFonts w:ascii="Times New Roman" w:hAnsi="Times New Roman" w:cs="Times New Roman"/>
          <w:sz w:val="24"/>
          <w:szCs w:val="24"/>
        </w:rPr>
        <w:t xml:space="preserve"> </w:t>
      </w:r>
      <w:r w:rsidRPr="00A03CC5">
        <w:rPr>
          <w:rFonts w:ascii="Times New Roman" w:hAnsi="Times New Roman" w:cs="Times New Roman"/>
          <w:sz w:val="24"/>
          <w:szCs w:val="24"/>
        </w:rPr>
        <w:t>(</w:t>
      </w:r>
      <w:r w:rsidR="00F71696" w:rsidRPr="00A03CC5">
        <w:rPr>
          <w:rFonts w:ascii="Times New Roman" w:hAnsi="Times New Roman" w:cs="Times New Roman"/>
          <w:sz w:val="24"/>
          <w:szCs w:val="24"/>
        </w:rPr>
        <w:t>G</w:t>
      </w:r>
      <w:r w:rsidR="00FB2A6E" w:rsidRPr="00A03CC5">
        <w:rPr>
          <w:rFonts w:ascii="Times New Roman" w:hAnsi="Times New Roman" w:cs="Times New Roman"/>
          <w:sz w:val="24"/>
          <w:szCs w:val="24"/>
        </w:rPr>
        <w:t>P</w:t>
      </w:r>
      <w:r w:rsidR="00F71696" w:rsidRPr="00A03CC5">
        <w:rPr>
          <w:rFonts w:ascii="Times New Roman" w:hAnsi="Times New Roman" w:cs="Times New Roman"/>
          <w:sz w:val="24"/>
          <w:szCs w:val="24"/>
        </w:rPr>
        <w:t>S</w:t>
      </w:r>
      <w:r w:rsidRPr="00A03CC5">
        <w:rPr>
          <w:rFonts w:ascii="Times New Roman" w:hAnsi="Times New Roman" w:cs="Times New Roman"/>
          <w:sz w:val="24"/>
          <w:szCs w:val="24"/>
        </w:rPr>
        <w:t xml:space="preserve"> 11</w:t>
      </w:r>
      <w:r w:rsidR="00FB2A6E" w:rsidRPr="00A03CC5">
        <w:rPr>
          <w:rFonts w:ascii="Times New Roman" w:hAnsi="Times New Roman" w:cs="Times New Roman"/>
          <w:sz w:val="24"/>
          <w:szCs w:val="24"/>
        </w:rPr>
        <w:t>2</w:t>
      </w:r>
      <w:r w:rsidRPr="00A03CC5">
        <w:rPr>
          <w:rFonts w:ascii="Times New Roman" w:hAnsi="Times New Roman" w:cs="Times New Roman"/>
          <w:sz w:val="24"/>
          <w:szCs w:val="24"/>
        </w:rPr>
        <w:t>)</w:t>
      </w:r>
      <w:r w:rsidRPr="00A03CC5">
        <w:rPr>
          <w:rFonts w:ascii="Times New Roman" w:hAnsi="Times New Roman" w:cs="Times New Roman"/>
          <w:i/>
          <w:sz w:val="24"/>
          <w:szCs w:val="24"/>
        </w:rPr>
        <w:t>.</w:t>
      </w:r>
      <w:r w:rsidRPr="00A03CC5">
        <w:rPr>
          <w:rFonts w:ascii="Times New Roman" w:hAnsi="Times New Roman" w:cs="Times New Roman"/>
          <w:sz w:val="24"/>
          <w:szCs w:val="24"/>
        </w:rPr>
        <w:t xml:space="preserve"> </w:t>
      </w:r>
      <w:r w:rsidR="00FB2A6E" w:rsidRPr="00A03CC5">
        <w:rPr>
          <w:rFonts w:ascii="Times New Roman" w:hAnsi="Times New Roman" w:cs="Times New Roman"/>
          <w:sz w:val="24"/>
          <w:szCs w:val="24"/>
        </w:rPr>
        <w:t xml:space="preserve">GPS 112 sets out the requirements </w:t>
      </w:r>
      <w:r w:rsidR="001F6C8F" w:rsidRPr="00A03CC5">
        <w:rPr>
          <w:rFonts w:ascii="Times New Roman" w:hAnsi="Times New Roman" w:cs="Times New Roman"/>
          <w:sz w:val="24"/>
          <w:szCs w:val="24"/>
        </w:rPr>
        <w:t>that an instrument must have to qualify for inclusion in the capital base of a GI and the various regulatory adjustments to be made to determine the capital base.</w:t>
      </w:r>
    </w:p>
    <w:p w14:paraId="6DA606CD" w14:textId="0ABC5F55" w:rsidR="00BB4BB7" w:rsidRPr="00A03CC5" w:rsidRDefault="00F71696" w:rsidP="00A03CC5">
      <w:pPr>
        <w:widowControl w:val="0"/>
        <w:rPr>
          <w:rFonts w:ascii="Times New Roman" w:hAnsi="Times New Roman"/>
          <w:i/>
          <w:sz w:val="24"/>
        </w:rPr>
      </w:pPr>
      <w:r w:rsidRPr="00A03CC5">
        <w:rPr>
          <w:rFonts w:ascii="Times New Roman" w:hAnsi="Times New Roman"/>
          <w:color w:val="000000"/>
          <w:sz w:val="24"/>
          <w:shd w:val="clear" w:color="auto" w:fill="FFFFFF"/>
        </w:rPr>
        <w:t>GRS</w:t>
      </w:r>
      <w:r w:rsidR="00BB4BB7" w:rsidRPr="00A03CC5">
        <w:rPr>
          <w:rFonts w:ascii="Times New Roman" w:hAnsi="Times New Roman"/>
          <w:color w:val="000000"/>
          <w:sz w:val="24"/>
          <w:shd w:val="clear" w:color="auto" w:fill="FFFFFF"/>
        </w:rPr>
        <w:t xml:space="preserve"> 11</w:t>
      </w:r>
      <w:r w:rsidR="00FB2A6E" w:rsidRPr="00A03CC5">
        <w:rPr>
          <w:rFonts w:ascii="Times New Roman" w:hAnsi="Times New Roman"/>
          <w:color w:val="000000"/>
          <w:sz w:val="24"/>
          <w:shd w:val="clear" w:color="auto" w:fill="FFFFFF"/>
        </w:rPr>
        <w:t>2.3</w:t>
      </w:r>
      <w:r w:rsidR="00BB4BB7" w:rsidRPr="00A03CC5">
        <w:rPr>
          <w:rFonts w:ascii="Times New Roman" w:hAnsi="Times New Roman"/>
          <w:color w:val="000000"/>
          <w:sz w:val="24"/>
          <w:shd w:val="clear" w:color="auto" w:fill="FFFFFF"/>
        </w:rPr>
        <w:t xml:space="preserve"> sets out a </w:t>
      </w:r>
      <w:r w:rsidRPr="00A03CC5">
        <w:rPr>
          <w:rFonts w:ascii="Times New Roman" w:hAnsi="Times New Roman"/>
          <w:color w:val="000000"/>
          <w:sz w:val="24"/>
          <w:shd w:val="clear" w:color="auto" w:fill="FFFFFF"/>
        </w:rPr>
        <w:t>GI</w:t>
      </w:r>
      <w:r w:rsidR="00BB4BB7" w:rsidRPr="00A03CC5">
        <w:rPr>
          <w:rFonts w:ascii="Times New Roman" w:hAnsi="Times New Roman"/>
          <w:color w:val="000000"/>
          <w:sz w:val="24"/>
          <w:shd w:val="clear" w:color="auto" w:fill="FFFFFF"/>
        </w:rPr>
        <w:t xml:space="preserve">’s reporting requirements to APRA in relation to its </w:t>
      </w:r>
      <w:r w:rsidR="008E4696" w:rsidRPr="00A03CC5">
        <w:rPr>
          <w:rFonts w:ascii="Times New Roman" w:hAnsi="Times New Roman"/>
          <w:color w:val="000000"/>
          <w:sz w:val="24"/>
          <w:shd w:val="clear" w:color="auto" w:fill="FFFFFF"/>
        </w:rPr>
        <w:t>related party exposures</w:t>
      </w:r>
      <w:r w:rsidR="00BB4BB7" w:rsidRPr="00A03CC5">
        <w:rPr>
          <w:rFonts w:ascii="Times New Roman" w:hAnsi="Times New Roman"/>
          <w:color w:val="000000"/>
          <w:sz w:val="24"/>
          <w:shd w:val="clear" w:color="auto" w:fill="FFFFFF"/>
        </w:rPr>
        <w:t xml:space="preserve">. </w:t>
      </w:r>
      <w:r w:rsidR="00BA4C1F" w:rsidRPr="00A03CC5">
        <w:rPr>
          <w:rFonts w:ascii="Times New Roman" w:hAnsi="Times New Roman"/>
          <w:sz w:val="24"/>
        </w:rPr>
        <w:t xml:space="preserve">It includes </w:t>
      </w:r>
      <w:r w:rsidR="00BA4C1F" w:rsidRPr="00A03CC5">
        <w:rPr>
          <w:rFonts w:ascii="Times New Roman" w:hAnsi="Times New Roman"/>
          <w:i/>
          <w:sz w:val="24"/>
        </w:rPr>
        <w:t xml:space="preserve">Form </w:t>
      </w:r>
      <w:r w:rsidR="008E4696" w:rsidRPr="00A03CC5">
        <w:rPr>
          <w:rFonts w:ascii="Times New Roman" w:hAnsi="Times New Roman"/>
          <w:i/>
          <w:sz w:val="24"/>
        </w:rPr>
        <w:t>G</w:t>
      </w:r>
      <w:r w:rsidR="00BA4C1F" w:rsidRPr="00A03CC5">
        <w:rPr>
          <w:rFonts w:ascii="Times New Roman" w:hAnsi="Times New Roman"/>
          <w:i/>
          <w:sz w:val="24"/>
        </w:rPr>
        <w:t xml:space="preserve">RF </w:t>
      </w:r>
      <w:r w:rsidR="008E4696" w:rsidRPr="00A03CC5">
        <w:rPr>
          <w:rFonts w:ascii="Times New Roman" w:hAnsi="Times New Roman"/>
          <w:i/>
          <w:sz w:val="24"/>
        </w:rPr>
        <w:t>112.3:</w:t>
      </w:r>
      <w:r w:rsidR="00BA4C1F" w:rsidRPr="00A03CC5">
        <w:rPr>
          <w:rFonts w:ascii="Times New Roman" w:hAnsi="Times New Roman"/>
          <w:i/>
          <w:sz w:val="24"/>
        </w:rPr>
        <w:t xml:space="preserve"> </w:t>
      </w:r>
      <w:r w:rsidR="008E4696" w:rsidRPr="00A03CC5">
        <w:rPr>
          <w:rFonts w:ascii="Times New Roman" w:hAnsi="Times New Roman"/>
          <w:i/>
          <w:sz w:val="24"/>
        </w:rPr>
        <w:t xml:space="preserve">Related Party Exposures </w:t>
      </w:r>
      <w:r w:rsidR="00BA4C1F" w:rsidRPr="00A03CC5">
        <w:rPr>
          <w:rFonts w:ascii="Times New Roman" w:hAnsi="Times New Roman"/>
          <w:sz w:val="24"/>
        </w:rPr>
        <w:t xml:space="preserve">(and the associated instructions). GRS 112.3 permits APRA to collect data to support APRA’s prudential supervision of </w:t>
      </w:r>
      <w:r w:rsidR="001F6C8F" w:rsidRPr="00A03CC5">
        <w:rPr>
          <w:rFonts w:ascii="Times New Roman" w:hAnsi="Times New Roman"/>
          <w:sz w:val="24"/>
        </w:rPr>
        <w:t>G</w:t>
      </w:r>
      <w:r w:rsidR="00BA4C1F" w:rsidRPr="00A03CC5">
        <w:rPr>
          <w:rFonts w:ascii="Times New Roman" w:hAnsi="Times New Roman"/>
          <w:sz w:val="24"/>
        </w:rPr>
        <w:t xml:space="preserve">Is under </w:t>
      </w:r>
      <w:r w:rsidR="00FB2A6E" w:rsidRPr="00A03CC5">
        <w:rPr>
          <w:rFonts w:ascii="Times New Roman" w:hAnsi="Times New Roman"/>
          <w:sz w:val="24"/>
        </w:rPr>
        <w:t>GPS</w:t>
      </w:r>
      <w:r w:rsidR="00F63A92">
        <w:rPr>
          <w:rFonts w:ascii="Times New Roman" w:hAnsi="Times New Roman"/>
          <w:sz w:val="24"/>
        </w:rPr>
        <w:t xml:space="preserve"> </w:t>
      </w:r>
      <w:r w:rsidR="00FB2A6E" w:rsidRPr="00A03CC5">
        <w:rPr>
          <w:rFonts w:ascii="Times New Roman" w:hAnsi="Times New Roman"/>
          <w:sz w:val="24"/>
        </w:rPr>
        <w:t>112</w:t>
      </w:r>
      <w:r w:rsidR="001F6C8F" w:rsidRPr="00A03CC5">
        <w:rPr>
          <w:rFonts w:ascii="Times New Roman" w:hAnsi="Times New Roman"/>
          <w:sz w:val="24"/>
        </w:rPr>
        <w:t xml:space="preserve"> and is used by APRA to assess compliance with the capital standards</w:t>
      </w:r>
      <w:r w:rsidR="00BB4BB7" w:rsidRPr="00A03CC5">
        <w:rPr>
          <w:rFonts w:ascii="Times New Roman" w:hAnsi="Times New Roman"/>
          <w:sz w:val="24"/>
        </w:rPr>
        <w:t xml:space="preserve">. </w:t>
      </w:r>
    </w:p>
    <w:p w14:paraId="155FE93A" w14:textId="25E36FEE" w:rsidR="00BB4BB7" w:rsidRPr="00A03CC5" w:rsidRDefault="00F71696" w:rsidP="00A03CC5">
      <w:pPr>
        <w:widowControl w:val="0"/>
        <w:rPr>
          <w:rFonts w:ascii="Times New Roman" w:hAnsi="Times New Roman"/>
          <w:sz w:val="24"/>
        </w:rPr>
      </w:pPr>
      <w:r w:rsidRPr="00A03CC5">
        <w:rPr>
          <w:rFonts w:ascii="Times New Roman" w:hAnsi="Times New Roman"/>
          <w:sz w:val="24"/>
        </w:rPr>
        <w:t>GRS</w:t>
      </w:r>
      <w:r w:rsidR="00BB4BB7" w:rsidRPr="00A03CC5">
        <w:rPr>
          <w:rFonts w:ascii="Times New Roman" w:hAnsi="Times New Roman"/>
          <w:sz w:val="24"/>
        </w:rPr>
        <w:t xml:space="preserve"> </w:t>
      </w:r>
      <w:r w:rsidR="00FB2A6E" w:rsidRPr="00A03CC5">
        <w:rPr>
          <w:rFonts w:ascii="Times New Roman" w:hAnsi="Times New Roman"/>
          <w:color w:val="000000"/>
          <w:sz w:val="24"/>
          <w:shd w:val="clear" w:color="auto" w:fill="FFFFFF"/>
        </w:rPr>
        <w:t xml:space="preserve">112.3 </w:t>
      </w:r>
      <w:r w:rsidR="00BB4BB7" w:rsidRPr="00A03CC5">
        <w:rPr>
          <w:rFonts w:ascii="Times New Roman" w:hAnsi="Times New Roman"/>
          <w:sz w:val="24"/>
        </w:rPr>
        <w:t>was last determined by APRA in 20</w:t>
      </w:r>
      <w:r w:rsidRPr="00A03CC5">
        <w:rPr>
          <w:rFonts w:ascii="Times New Roman" w:hAnsi="Times New Roman"/>
          <w:sz w:val="24"/>
        </w:rPr>
        <w:t>13</w:t>
      </w:r>
      <w:r w:rsidR="00BB4BB7" w:rsidRPr="00A03CC5">
        <w:rPr>
          <w:rFonts w:ascii="Times New Roman" w:hAnsi="Times New Roman"/>
          <w:sz w:val="24"/>
        </w:rPr>
        <w:t xml:space="preserve"> (the previous </w:t>
      </w:r>
      <w:r w:rsidRPr="00A03CC5">
        <w:rPr>
          <w:rFonts w:ascii="Times New Roman" w:hAnsi="Times New Roman"/>
          <w:sz w:val="24"/>
        </w:rPr>
        <w:t>GRS</w:t>
      </w:r>
      <w:r w:rsidR="00BB4BB7" w:rsidRPr="00A03CC5">
        <w:rPr>
          <w:rFonts w:ascii="Times New Roman" w:hAnsi="Times New Roman"/>
          <w:sz w:val="24"/>
        </w:rPr>
        <w:t xml:space="preserve"> </w:t>
      </w:r>
      <w:r w:rsidR="00A03CC5">
        <w:rPr>
          <w:rFonts w:ascii="Times New Roman" w:hAnsi="Times New Roman"/>
          <w:sz w:val="24"/>
        </w:rPr>
        <w:t>112.3</w:t>
      </w:r>
      <w:r w:rsidR="00BB4BB7" w:rsidRPr="00A03CC5">
        <w:rPr>
          <w:rFonts w:ascii="Times New Roman" w:hAnsi="Times New Roman"/>
          <w:sz w:val="24"/>
        </w:rPr>
        <w:t>).</w:t>
      </w:r>
      <w:r w:rsidR="00BB4BB7" w:rsidRPr="00A03CC5" w:rsidDel="00AA7A54">
        <w:rPr>
          <w:rFonts w:ascii="Times New Roman" w:hAnsi="Times New Roman"/>
          <w:sz w:val="24"/>
        </w:rPr>
        <w:t xml:space="preserve"> </w:t>
      </w:r>
    </w:p>
    <w:p w14:paraId="1B830833" w14:textId="423E2486" w:rsidR="00BB4BB7" w:rsidRPr="00A03CC5" w:rsidRDefault="00BB4BB7" w:rsidP="00A03CC5">
      <w:pPr>
        <w:pStyle w:val="ListParagraph"/>
        <w:numPr>
          <w:ilvl w:val="0"/>
          <w:numId w:val="51"/>
        </w:numPr>
        <w:rPr>
          <w:rFonts w:ascii="Times New Roman" w:hAnsi="Times New Roman" w:cs="Times New Roman"/>
          <w:b/>
          <w:sz w:val="24"/>
          <w:szCs w:val="24"/>
        </w:rPr>
      </w:pPr>
      <w:r w:rsidRPr="00A03CC5">
        <w:rPr>
          <w:rFonts w:ascii="Times New Roman" w:hAnsi="Times New Roman" w:cs="Times New Roman"/>
          <w:b/>
          <w:sz w:val="24"/>
          <w:szCs w:val="24"/>
        </w:rPr>
        <w:lastRenderedPageBreak/>
        <w:t xml:space="preserve">Purpose and </w:t>
      </w:r>
      <w:r w:rsidR="00FB2A6E" w:rsidRPr="00A03CC5">
        <w:rPr>
          <w:rFonts w:ascii="Times New Roman" w:hAnsi="Times New Roman" w:cs="Times New Roman"/>
          <w:b/>
          <w:sz w:val="24"/>
          <w:szCs w:val="24"/>
        </w:rPr>
        <w:t>o</w:t>
      </w:r>
      <w:r w:rsidRPr="00A03CC5">
        <w:rPr>
          <w:rFonts w:ascii="Times New Roman" w:hAnsi="Times New Roman" w:cs="Times New Roman"/>
          <w:b/>
          <w:sz w:val="24"/>
          <w:szCs w:val="24"/>
        </w:rPr>
        <w:t xml:space="preserve">peration of the instruments </w:t>
      </w:r>
    </w:p>
    <w:p w14:paraId="217EE4A8" w14:textId="1D54C0F6" w:rsidR="00BA4C1F" w:rsidRPr="00A03CC5" w:rsidRDefault="00BA4C1F" w:rsidP="00A03CC5">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 xml:space="preserve">The previous </w:t>
      </w:r>
      <w:r w:rsidR="004207D6">
        <w:rPr>
          <w:rFonts w:ascii="Times New Roman" w:hAnsi="Times New Roman"/>
          <w:color w:val="000000"/>
          <w:sz w:val="24"/>
          <w:shd w:val="clear" w:color="auto" w:fill="FFFFFF"/>
        </w:rPr>
        <w:t>GRS 112.3</w:t>
      </w:r>
      <w:r w:rsidRPr="00A03CC5">
        <w:rPr>
          <w:rFonts w:ascii="Times New Roman" w:hAnsi="Times New Roman"/>
          <w:color w:val="000000"/>
          <w:sz w:val="24"/>
          <w:shd w:val="clear" w:color="auto" w:fill="FFFFFF"/>
        </w:rPr>
        <w:t xml:space="preserve"> was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GRS 112.3 and found that it continues to be fit for purpose. Consequently, APRA intends that it be remade without substantive changes. </w:t>
      </w:r>
    </w:p>
    <w:p w14:paraId="1C16BB54" w14:textId="5FAA2843" w:rsidR="00BA4C1F" w:rsidRPr="00A03CC5" w:rsidRDefault="00BA4C1F" w:rsidP="00A03CC5">
      <w:pPr>
        <w:widowControl w:val="0"/>
        <w:rPr>
          <w:rFonts w:ascii="Times New Roman" w:hAnsi="Times New Roman"/>
          <w:sz w:val="24"/>
        </w:rPr>
      </w:pPr>
      <w:r w:rsidRPr="00A03CC5">
        <w:rPr>
          <w:rFonts w:ascii="Times New Roman" w:hAnsi="Times New Roman"/>
          <w:color w:val="000000"/>
          <w:sz w:val="24"/>
          <w:shd w:val="clear" w:color="auto" w:fill="FFFFFF"/>
        </w:rPr>
        <w:t>The purpose of the instrument is to revoke the previous GRS 112.3 and remake GRS 112.3 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 make minor definitional changes and update the commencement date</w:t>
      </w:r>
      <w:r w:rsidRPr="00A03CC5">
        <w:rPr>
          <w:rFonts w:ascii="Times New Roman" w:hAnsi="Times New Roman"/>
          <w:color w:val="000000"/>
          <w:sz w:val="24"/>
          <w:shd w:val="clear" w:color="auto" w:fill="FFFFFF"/>
        </w:rPr>
        <w:t xml:space="preserve">. The changes to GRS 112.3 do not alter the existing reporting obligations or interests of </w:t>
      </w:r>
      <w:r w:rsidR="001F6C8F" w:rsidRPr="00A03CC5">
        <w:rPr>
          <w:rFonts w:ascii="Times New Roman" w:hAnsi="Times New Roman"/>
          <w:color w:val="000000"/>
          <w:sz w:val="24"/>
          <w:shd w:val="clear" w:color="auto" w:fill="FFFFFF"/>
        </w:rPr>
        <w:t>GI</w:t>
      </w:r>
      <w:r w:rsidRPr="00A03CC5">
        <w:rPr>
          <w:rFonts w:ascii="Times New Roman" w:hAnsi="Times New Roman"/>
          <w:color w:val="000000"/>
          <w:sz w:val="24"/>
          <w:shd w:val="clear" w:color="auto" w:fill="FFFFFF"/>
        </w:rPr>
        <w:t xml:space="preserve">s. </w:t>
      </w:r>
      <w:r w:rsidRPr="00A03CC5">
        <w:rPr>
          <w:rFonts w:ascii="Times New Roman" w:hAnsi="Times New Roman"/>
          <w:sz w:val="24"/>
        </w:rPr>
        <w:t xml:space="preserve">The due dates, data required and the application of the reporting standard </w:t>
      </w:r>
      <w:r w:rsidR="00B33B40" w:rsidRPr="00A03CC5">
        <w:rPr>
          <w:rFonts w:ascii="Times New Roman" w:hAnsi="Times New Roman"/>
          <w:sz w:val="24"/>
        </w:rPr>
        <w:t>ha</w:t>
      </w:r>
      <w:r w:rsidR="00B33B40">
        <w:rPr>
          <w:rFonts w:ascii="Times New Roman" w:hAnsi="Times New Roman"/>
          <w:sz w:val="24"/>
        </w:rPr>
        <w:t>ve</w:t>
      </w:r>
      <w:r w:rsidR="00B33B40" w:rsidRPr="00A03CC5">
        <w:rPr>
          <w:rFonts w:ascii="Times New Roman" w:hAnsi="Times New Roman"/>
          <w:sz w:val="24"/>
        </w:rPr>
        <w:t xml:space="preserve"> </w:t>
      </w:r>
      <w:r w:rsidRPr="00A03CC5">
        <w:rPr>
          <w:rFonts w:ascii="Times New Roman" w:hAnsi="Times New Roman"/>
          <w:sz w:val="24"/>
        </w:rPr>
        <w:t>not changed.</w:t>
      </w:r>
    </w:p>
    <w:p w14:paraId="2F1D4522" w14:textId="77777777" w:rsidR="00BA4C1F" w:rsidRPr="00A03CC5" w:rsidRDefault="00BA4C1F" w:rsidP="00A03CC5">
      <w:pPr>
        <w:widowControl w:val="0"/>
        <w:rPr>
          <w:rFonts w:ascii="Times New Roman" w:hAnsi="Times New Roman"/>
          <w:sz w:val="24"/>
        </w:rPr>
      </w:pPr>
      <w:r w:rsidRPr="00A03CC5">
        <w:rPr>
          <w:rFonts w:ascii="Times New Roman" w:hAnsi="Times New Roman"/>
          <w:color w:val="000000"/>
          <w:sz w:val="24"/>
          <w:shd w:val="clear" w:color="auto" w:fill="FFFFFF"/>
        </w:rPr>
        <w:t xml:space="preserve">The instrument incorporates by reference certain provisions of Acts, Prudential Standards, and Australian Accounting Standards issued by the Australian Accounting Standards Board. All of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10F1E4FF" w14:textId="5A012E6D" w:rsidR="00BA4C1F" w:rsidRPr="00A03CC5" w:rsidRDefault="00BA4C1F" w:rsidP="00A03CC5">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w:t>
      </w:r>
      <w:r w:rsidR="00A03CC5" w:rsidRPr="00A03CC5">
        <w:rPr>
          <w:rFonts w:ascii="Times New Roman" w:hAnsi="Times New Roman"/>
          <w:sz w:val="24"/>
        </w:rPr>
        <w:t>a GI</w:t>
      </w:r>
      <w:r w:rsidRPr="00A03CC5">
        <w:rPr>
          <w:rFonts w:ascii="Times New Roman" w:hAnsi="Times New Roman"/>
          <w:sz w:val="24"/>
        </w:rPr>
        <w:t xml:space="preserve"> to provide information required by GRS 112.3. Decisions made by APRA exercising those powers are not subject to merits review. Delays caused by an entity seeking merits review of APRA’s decisions under one or more reporting standards could significantly compromise use of the data at an </w:t>
      </w:r>
      <w:r w:rsidR="007064A6">
        <w:rPr>
          <w:rFonts w:ascii="Times New Roman" w:hAnsi="Times New Roman"/>
          <w:sz w:val="24"/>
        </w:rPr>
        <w:t>entity and</w:t>
      </w:r>
      <w:r w:rsidR="007064A6" w:rsidRPr="00A03CC5">
        <w:rPr>
          <w:rFonts w:ascii="Times New Roman" w:hAnsi="Times New Roman"/>
          <w:sz w:val="24"/>
        </w:rPr>
        <w:t xml:space="preserve"> </w:t>
      </w:r>
      <w:r w:rsidRPr="00A03CC5">
        <w:rPr>
          <w:rFonts w:ascii="Times New Roman" w:hAnsi="Times New Roman"/>
          <w:sz w:val="24"/>
        </w:rPr>
        <w:t>aggregate level by APRA.</w:t>
      </w:r>
      <w:r w:rsidR="001B2202">
        <w:rPr>
          <w:rFonts w:ascii="Times New Roman" w:hAnsi="Times New Roman"/>
          <w:sz w:val="24"/>
        </w:rPr>
        <w:t xml:space="preserve"> </w:t>
      </w:r>
      <w:bookmarkStart w:id="2" w:name="_Hlk129265234"/>
      <w:r w:rsidR="001B2202">
        <w:rPr>
          <w:rFonts w:ascii="Times New Roman" w:hAnsi="Times New Roman"/>
          <w:sz w:val="24"/>
        </w:rPr>
        <w:t>It is necessary</w:t>
      </w:r>
      <w:r w:rsidR="001B2202" w:rsidRPr="003C040C">
        <w:rPr>
          <w:rFonts w:ascii="Times New Roman" w:hAnsi="Times New Roman"/>
          <w:sz w:val="24"/>
        </w:rPr>
        <w:t xml:space="preserve"> that </w:t>
      </w:r>
      <w:r w:rsidR="001B2202" w:rsidRPr="00A03CC5">
        <w:rPr>
          <w:rFonts w:ascii="Times New Roman" w:hAnsi="Times New Roman"/>
          <w:sz w:val="24"/>
        </w:rPr>
        <w:t>GRS 112.3</w:t>
      </w:r>
      <w:r w:rsidR="001B2202" w:rsidRPr="003C040C">
        <w:rPr>
          <w:rFonts w:ascii="Times New Roman" w:hAnsi="Times New Roman"/>
          <w:sz w:val="24"/>
        </w:rPr>
        <w:t xml:space="preserve"> be allowed to continue in force from 1 April 2023 onwards.</w:t>
      </w:r>
      <w:bookmarkEnd w:id="2"/>
    </w:p>
    <w:p w14:paraId="2AEAD498" w14:textId="77777777" w:rsidR="00BA4C1F" w:rsidRPr="00A03CC5" w:rsidRDefault="00BA4C1F" w:rsidP="00A03CC5">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3DA2C638" w14:textId="77777777" w:rsidR="00BB4BB7" w:rsidRPr="00A03CC5" w:rsidRDefault="00BB4BB7" w:rsidP="00A03CC5">
      <w:pPr>
        <w:pStyle w:val="ListParagraph"/>
        <w:numPr>
          <w:ilvl w:val="0"/>
          <w:numId w:val="51"/>
        </w:numPr>
        <w:rPr>
          <w:rFonts w:ascii="Times New Roman" w:hAnsi="Times New Roman" w:cs="Times New Roman"/>
          <w:b/>
          <w:sz w:val="24"/>
          <w:szCs w:val="24"/>
        </w:rPr>
      </w:pPr>
      <w:r w:rsidRPr="00A03CC5">
        <w:rPr>
          <w:rFonts w:ascii="Times New Roman" w:hAnsi="Times New Roman" w:cs="Times New Roman"/>
          <w:b/>
          <w:sz w:val="24"/>
          <w:szCs w:val="24"/>
        </w:rPr>
        <w:t xml:space="preserve">Consultation </w:t>
      </w:r>
    </w:p>
    <w:p w14:paraId="6226858B" w14:textId="62852709" w:rsidR="00627FF4" w:rsidRPr="00A03CC5" w:rsidRDefault="00627FF4" w:rsidP="00A03CC5">
      <w:pPr>
        <w:pStyle w:val="Heading"/>
        <w:keepNext w:val="0"/>
        <w:tabs>
          <w:tab w:val="left" w:pos="360"/>
        </w:tabs>
        <w:spacing w:before="0" w:after="240"/>
        <w:rPr>
          <w:rFonts w:ascii="Times New Roman" w:hAnsi="Times New Roman" w:cs="Times New Roman"/>
          <w:b w:val="0"/>
          <w:sz w:val="24"/>
          <w:szCs w:val="24"/>
        </w:rPr>
      </w:pPr>
      <w:r w:rsidRPr="00A03CC5">
        <w:rPr>
          <w:rFonts w:ascii="Times New Roman" w:hAnsi="Times New Roman" w:cs="Times New Roman"/>
          <w:b w:val="0"/>
          <w:sz w:val="24"/>
          <w:szCs w:val="24"/>
        </w:rPr>
        <w:t xml:space="preserve">The substance of </w:t>
      </w:r>
      <w:r w:rsidR="00B33B40" w:rsidRPr="00A03CC5">
        <w:rPr>
          <w:rFonts w:ascii="Times New Roman" w:hAnsi="Times New Roman" w:cs="Times New Roman"/>
          <w:b w:val="0"/>
          <w:sz w:val="24"/>
          <w:szCs w:val="24"/>
        </w:rPr>
        <w:t>GRS 112.3</w:t>
      </w:r>
      <w:r w:rsidR="001B2202">
        <w:rPr>
          <w:rFonts w:ascii="Times New Roman" w:hAnsi="Times New Roman" w:cs="Times New Roman"/>
          <w:b w:val="0"/>
          <w:sz w:val="24"/>
          <w:szCs w:val="24"/>
        </w:rPr>
        <w:t xml:space="preserve"> </w:t>
      </w:r>
      <w:r w:rsidRPr="00A03CC5">
        <w:rPr>
          <w:rFonts w:ascii="Times New Roman" w:hAnsi="Times New Roman" w:cs="Times New Roman"/>
          <w:b w:val="0"/>
          <w:sz w:val="24"/>
          <w:szCs w:val="24"/>
        </w:rPr>
        <w:t>has already been consulted on with industry when originally determining the reporting standard (see the Explanatory Statement for the previous</w:t>
      </w:r>
      <w:r w:rsidR="00BA4C1F" w:rsidRPr="00A03CC5">
        <w:rPr>
          <w:rFonts w:ascii="Times New Roman" w:hAnsi="Times New Roman" w:cs="Times New Roman"/>
          <w:b w:val="0"/>
          <w:sz w:val="24"/>
          <w:szCs w:val="24"/>
        </w:rPr>
        <w:t xml:space="preserve"> GRS 112.3</w:t>
      </w:r>
      <w:r w:rsidRPr="00A03CC5">
        <w:rPr>
          <w:rFonts w:ascii="Times New Roman" w:hAnsi="Times New Roman" w:cs="Times New Roman"/>
          <w:b w:val="0"/>
          <w:sz w:val="24"/>
          <w:szCs w:val="24"/>
        </w:rPr>
        <w:t xml:space="preserve">). APRA is satisfied that further consultation is not necessary and not reasonably practicable to undertake for this instrument. The instrument does not alter the existing reporting obligations that are required to be complied with by </w:t>
      </w:r>
      <w:r w:rsidR="001F6C8F" w:rsidRPr="00A03CC5">
        <w:rPr>
          <w:rFonts w:ascii="Times New Roman" w:hAnsi="Times New Roman" w:cs="Times New Roman"/>
          <w:b w:val="0"/>
          <w:sz w:val="24"/>
          <w:szCs w:val="24"/>
        </w:rPr>
        <w:t>GI</w:t>
      </w:r>
      <w:r w:rsidRPr="00A03CC5">
        <w:rPr>
          <w:rFonts w:ascii="Times New Roman" w:hAnsi="Times New Roman" w:cs="Times New Roman"/>
          <w:b w:val="0"/>
          <w:sz w:val="24"/>
          <w:szCs w:val="24"/>
        </w:rPr>
        <w:t xml:space="preserve">s and any changes to the instrument are minor and machinery in nature. </w:t>
      </w:r>
    </w:p>
    <w:p w14:paraId="64F20D9F" w14:textId="77777777" w:rsidR="00BB4BB7" w:rsidRPr="00A03CC5" w:rsidRDefault="00BB4BB7" w:rsidP="00A03CC5">
      <w:pPr>
        <w:pStyle w:val="ListParagraph"/>
        <w:numPr>
          <w:ilvl w:val="0"/>
          <w:numId w:val="51"/>
        </w:numPr>
        <w:rPr>
          <w:rFonts w:ascii="Times New Roman" w:hAnsi="Times New Roman" w:cs="Times New Roman"/>
          <w:b/>
          <w:sz w:val="24"/>
          <w:szCs w:val="24"/>
        </w:rPr>
      </w:pPr>
      <w:r w:rsidRPr="00A03CC5">
        <w:rPr>
          <w:rFonts w:ascii="Times New Roman" w:hAnsi="Times New Roman" w:cs="Times New Roman"/>
          <w:b/>
          <w:sz w:val="24"/>
          <w:szCs w:val="24"/>
        </w:rPr>
        <w:t xml:space="preserve">Regulation Impact Statement </w:t>
      </w:r>
    </w:p>
    <w:p w14:paraId="35018360" w14:textId="160C8694" w:rsidR="00BB4BB7" w:rsidRPr="00A03CC5" w:rsidRDefault="00BB4BB7" w:rsidP="00A03CC5">
      <w:pPr>
        <w:rPr>
          <w:rFonts w:ascii="Times New Roman" w:hAnsi="Times New Roman"/>
          <w:sz w:val="24"/>
        </w:rPr>
      </w:pPr>
      <w:r w:rsidRPr="00A03CC5">
        <w:rPr>
          <w:rFonts w:ascii="Times New Roman" w:hAnsi="Times New Roman"/>
          <w:sz w:val="24"/>
        </w:rPr>
        <w:t>The Office of Impact Analysis has advised that a Regulation Impact Statement is not required for th</w:t>
      </w:r>
      <w:r w:rsidR="00FB2A49">
        <w:rPr>
          <w:rFonts w:ascii="Times New Roman" w:hAnsi="Times New Roman"/>
          <w:sz w:val="24"/>
        </w:rPr>
        <w:t>is</w:t>
      </w:r>
      <w:r w:rsidRPr="00A03CC5">
        <w:rPr>
          <w:rFonts w:ascii="Times New Roman" w:hAnsi="Times New Roman"/>
          <w:sz w:val="24"/>
        </w:rPr>
        <w:t xml:space="preserve"> legislative instrument. </w:t>
      </w:r>
    </w:p>
    <w:p w14:paraId="1619C1F5" w14:textId="77777777" w:rsidR="00BB4BB7" w:rsidRPr="00A03CC5" w:rsidRDefault="00BB4BB7" w:rsidP="00A03CC5">
      <w:pPr>
        <w:pStyle w:val="ListParagraph"/>
        <w:keepNext/>
        <w:numPr>
          <w:ilvl w:val="0"/>
          <w:numId w:val="51"/>
        </w:numPr>
        <w:rPr>
          <w:rFonts w:ascii="Times New Roman" w:hAnsi="Times New Roman" w:cs="Times New Roman"/>
          <w:b/>
          <w:sz w:val="24"/>
          <w:szCs w:val="24"/>
        </w:rPr>
      </w:pPr>
      <w:r w:rsidRPr="00A03CC5">
        <w:rPr>
          <w:rFonts w:ascii="Times New Roman" w:hAnsi="Times New Roman" w:cs="Times New Roman"/>
          <w:b/>
          <w:sz w:val="24"/>
          <w:szCs w:val="24"/>
        </w:rPr>
        <w:lastRenderedPageBreak/>
        <w:t>Statement of compatibility prepared in accordance with Part 3 of the Human Rights (Parliamentary Scrutiny) Act 2011</w:t>
      </w:r>
    </w:p>
    <w:p w14:paraId="24809FBE" w14:textId="6BE94AE8" w:rsidR="009D33B7" w:rsidRPr="00A03CC5" w:rsidRDefault="00BB4BB7" w:rsidP="00A03CC5">
      <w:pPr>
        <w:pStyle w:val="Paragraph"/>
        <w:keepNext/>
      </w:pPr>
      <w:r w:rsidRPr="00A03CC5">
        <w:t xml:space="preserve">A Statement of compatibility prepared in accordance with Part 3 of the </w:t>
      </w:r>
      <w:r w:rsidRPr="00A03CC5">
        <w:rPr>
          <w:i/>
        </w:rPr>
        <w:t>Human Rights (Parliamentary Scrutiny) Act 2011</w:t>
      </w:r>
      <w:r w:rsidRPr="00A03CC5">
        <w:t xml:space="preserve"> is provided at Attachment A to this Explanatory Statement.</w:t>
      </w:r>
    </w:p>
    <w:p w14:paraId="61A8C41D" w14:textId="77777777" w:rsidR="00B70625" w:rsidRDefault="00B70625" w:rsidP="0092282A">
      <w:pPr>
        <w:pStyle w:val="Paragraph"/>
        <w:sectPr w:rsidR="00B70625" w:rsidSect="00A34ADD">
          <w:footerReference w:type="default" r:id="rId14"/>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B70625">
      <w:pPr>
        <w:autoSpaceDE w:val="0"/>
        <w:autoSpaceDN w:val="0"/>
        <w:adjustRightInd w:val="0"/>
        <w:spacing w:before="24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B7062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B7062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3430FAB8" w14:textId="288E4BA3" w:rsidR="00B70625" w:rsidRPr="00C82862" w:rsidRDefault="00B70625" w:rsidP="00B70625">
      <w:pPr>
        <w:autoSpaceDE w:val="0"/>
        <w:autoSpaceDN w:val="0"/>
        <w:adjustRightInd w:val="0"/>
        <w:rPr>
          <w:rFonts w:ascii="Times New Roman" w:eastAsia="Calibri" w:hAnsi="Times New Roman"/>
          <w:b/>
          <w:bCs/>
          <w:sz w:val="24"/>
        </w:rPr>
      </w:pPr>
      <w:r w:rsidRPr="006670E8">
        <w:rPr>
          <w:rFonts w:ascii="Times New Roman" w:eastAsia="Calibri" w:hAnsi="Times New Roman"/>
          <w:b/>
          <w:bCs/>
          <w:sz w:val="24"/>
        </w:rPr>
        <w:t xml:space="preserve">Financial Sector (Collection of Data) (reporting standard) determination No. </w:t>
      </w:r>
      <w:r w:rsidR="006670E8" w:rsidRPr="006670E8">
        <w:rPr>
          <w:rFonts w:ascii="Times New Roman" w:eastAsia="Calibri" w:hAnsi="Times New Roman"/>
          <w:b/>
          <w:bCs/>
          <w:sz w:val="24"/>
        </w:rPr>
        <w:t>5</w:t>
      </w:r>
      <w:r w:rsidRPr="006670E8">
        <w:rPr>
          <w:rFonts w:ascii="Times New Roman" w:eastAsia="Calibri" w:hAnsi="Times New Roman"/>
          <w:b/>
          <w:bCs/>
          <w:sz w:val="24"/>
        </w:rPr>
        <w:t xml:space="preserve"> of 20</w:t>
      </w:r>
      <w:r w:rsidR="006670E8" w:rsidRPr="006670E8">
        <w:rPr>
          <w:rFonts w:ascii="Times New Roman" w:eastAsia="Calibri" w:hAnsi="Times New Roman"/>
          <w:b/>
          <w:bCs/>
          <w:sz w:val="24"/>
        </w:rPr>
        <w:t>23</w:t>
      </w:r>
    </w:p>
    <w:p w14:paraId="387C37CD" w14:textId="77777777" w:rsidR="00627FF4" w:rsidRPr="00C82862" w:rsidRDefault="00627FF4" w:rsidP="00627FF4">
      <w:pPr>
        <w:pStyle w:val="Paragraph"/>
        <w:rPr>
          <w:rFonts w:eastAsia="Calibri"/>
        </w:rPr>
      </w:pPr>
      <w:bookmarkStart w:id="3" w:name="bkRISNO"/>
      <w:bookmarkEnd w:id="3"/>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10757D5B" w14:textId="77777777" w:rsidR="00627FF4" w:rsidRPr="00C82862" w:rsidRDefault="00627FF4" w:rsidP="00627FF4">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w:t>
      </w:r>
    </w:p>
    <w:p w14:paraId="0656C349" w14:textId="7C370725" w:rsidR="00627FF4" w:rsidRPr="00217622" w:rsidRDefault="00BE1E29" w:rsidP="00627FF4">
      <w:pPr>
        <w:rPr>
          <w:rFonts w:ascii="Times New Roman" w:hAnsi="Times New Roman"/>
          <w:sz w:val="24"/>
        </w:rPr>
      </w:pPr>
      <w:r w:rsidRPr="00A00295">
        <w:rPr>
          <w:rFonts w:ascii="Times New Roman" w:hAnsi="Times New Roman"/>
          <w:i/>
          <w:sz w:val="24"/>
        </w:rPr>
        <w:t>Reporting Standard</w:t>
      </w:r>
      <w:r w:rsidRPr="00A00295">
        <w:rPr>
          <w:rFonts w:ascii="Times New Roman" w:hAnsi="Times New Roman"/>
          <w:sz w:val="24"/>
        </w:rPr>
        <w:t xml:space="preserve"> </w:t>
      </w:r>
      <w:r w:rsidRPr="00A00295">
        <w:rPr>
          <w:rFonts w:ascii="Times New Roman" w:hAnsi="Times New Roman"/>
          <w:i/>
          <w:sz w:val="24"/>
        </w:rPr>
        <w:t xml:space="preserve">GRS 112.3 Related Party Exposures </w:t>
      </w:r>
      <w:r w:rsidRPr="00A00295">
        <w:rPr>
          <w:rFonts w:ascii="Times New Roman" w:hAnsi="Times New Roman"/>
          <w:sz w:val="24"/>
        </w:rPr>
        <w:t>(GRS 112.3</w:t>
      </w:r>
      <w:r>
        <w:rPr>
          <w:rFonts w:ascii="Times New Roman" w:hAnsi="Times New Roman"/>
          <w:sz w:val="24"/>
        </w:rPr>
        <w:t xml:space="preserve">) </w:t>
      </w:r>
      <w:r w:rsidR="00627FF4" w:rsidRPr="00217622">
        <w:rPr>
          <w:rFonts w:ascii="Times New Roman" w:hAnsi="Times New Roman"/>
          <w:sz w:val="24"/>
        </w:rPr>
        <w:t xml:space="preserve">outlines the overall requirements for the provision of information to APRA relating to </w:t>
      </w:r>
      <w:r w:rsidR="00451D81">
        <w:rPr>
          <w:rFonts w:ascii="Times New Roman" w:hAnsi="Times New Roman"/>
          <w:color w:val="000000"/>
          <w:sz w:val="24"/>
          <w:shd w:val="clear" w:color="auto" w:fill="FFFFFF"/>
        </w:rPr>
        <w:t>related party exposure</w:t>
      </w:r>
      <w:r w:rsidR="00BA4C1F" w:rsidRPr="00217622">
        <w:rPr>
          <w:rFonts w:ascii="Times New Roman" w:hAnsi="Times New Roman"/>
          <w:sz w:val="24"/>
        </w:rPr>
        <w:t xml:space="preserve"> </w:t>
      </w:r>
      <w:r w:rsidR="00627FF4" w:rsidRPr="00217622">
        <w:rPr>
          <w:rFonts w:ascii="Times New Roman" w:hAnsi="Times New Roman"/>
          <w:sz w:val="24"/>
        </w:rPr>
        <w:t>of a</w:t>
      </w:r>
      <w:r w:rsidR="00BA4C1F">
        <w:rPr>
          <w:rFonts w:ascii="Times New Roman" w:hAnsi="Times New Roman"/>
          <w:sz w:val="24"/>
        </w:rPr>
        <w:t xml:space="preserve"> general insurer </w:t>
      </w:r>
      <w:r w:rsidR="00627FF4" w:rsidRPr="00217622">
        <w:rPr>
          <w:rFonts w:ascii="Times New Roman" w:hAnsi="Times New Roman"/>
          <w:sz w:val="24"/>
        </w:rPr>
        <w:t>(</w:t>
      </w:r>
      <w:r w:rsidR="00BA4C1F">
        <w:rPr>
          <w:rFonts w:ascii="Times New Roman" w:hAnsi="Times New Roman"/>
          <w:sz w:val="24"/>
        </w:rPr>
        <w:t>G</w:t>
      </w:r>
      <w:r w:rsidR="00627FF4" w:rsidRPr="00217622">
        <w:rPr>
          <w:rFonts w:ascii="Times New Roman" w:hAnsi="Times New Roman"/>
          <w:sz w:val="24"/>
        </w:rPr>
        <w:t xml:space="preserve">I). </w:t>
      </w:r>
      <w:r w:rsidR="00BA4C1F">
        <w:rPr>
          <w:rFonts w:ascii="Times New Roman" w:hAnsi="Times New Roman"/>
          <w:sz w:val="24"/>
        </w:rPr>
        <w:t>G</w:t>
      </w:r>
      <w:r w:rsidR="00627FF4" w:rsidRPr="00217622">
        <w:rPr>
          <w:rFonts w:ascii="Times New Roman" w:hAnsi="Times New Roman"/>
          <w:sz w:val="24"/>
        </w:rPr>
        <w:t xml:space="preserve">Is are bodies corporate authorised to </w:t>
      </w:r>
      <w:r w:rsidR="004E3A2D">
        <w:rPr>
          <w:rFonts w:ascii="Times New Roman" w:hAnsi="Times New Roman"/>
          <w:sz w:val="24"/>
        </w:rPr>
        <w:t>conduct</w:t>
      </w:r>
      <w:r w:rsidR="00627FF4" w:rsidRPr="00217622">
        <w:rPr>
          <w:rFonts w:ascii="Times New Roman" w:hAnsi="Times New Roman"/>
          <w:sz w:val="24"/>
        </w:rPr>
        <w:t xml:space="preserve"> </w:t>
      </w:r>
      <w:r w:rsidR="0038307A">
        <w:rPr>
          <w:rFonts w:ascii="Times New Roman" w:hAnsi="Times New Roman"/>
          <w:sz w:val="24"/>
        </w:rPr>
        <w:t>insurance</w:t>
      </w:r>
      <w:r w:rsidR="00627FF4" w:rsidRPr="00217622">
        <w:rPr>
          <w:rFonts w:ascii="Times New Roman" w:hAnsi="Times New Roman"/>
          <w:sz w:val="24"/>
        </w:rPr>
        <w:t xml:space="preserve"> business in Australia.</w:t>
      </w:r>
    </w:p>
    <w:p w14:paraId="498E75FA" w14:textId="4BEE6C2C" w:rsidR="00627FF4" w:rsidRPr="007D54B9" w:rsidRDefault="00627FF4" w:rsidP="00627FF4">
      <w:pPr>
        <w:rPr>
          <w:rFonts w:ascii="Times New Roman" w:hAnsi="Times New Roman"/>
          <w:sz w:val="24"/>
        </w:rPr>
      </w:pPr>
      <w:r w:rsidRPr="007D54B9">
        <w:rPr>
          <w:rFonts w:ascii="Times New Roman" w:hAnsi="Times New Roman"/>
          <w:sz w:val="24"/>
        </w:rPr>
        <w:t xml:space="preserve">The purpose of the </w:t>
      </w:r>
      <w:r w:rsidR="00F63A92">
        <w:rPr>
          <w:rFonts w:ascii="Times New Roman" w:hAnsi="Times New Roman"/>
          <w:sz w:val="24"/>
        </w:rPr>
        <w:t>Legislative I</w:t>
      </w:r>
      <w:r w:rsidRPr="007D54B9">
        <w:rPr>
          <w:rFonts w:ascii="Times New Roman" w:hAnsi="Times New Roman"/>
          <w:sz w:val="24"/>
        </w:rPr>
        <w:t xml:space="preserve">nstrument is to revoke </w:t>
      </w:r>
      <w:r w:rsidR="00BE1E29">
        <w:rPr>
          <w:rFonts w:ascii="Times New Roman" w:hAnsi="Times New Roman"/>
          <w:sz w:val="24"/>
        </w:rPr>
        <w:t>the existing version of</w:t>
      </w:r>
      <w:r w:rsidR="00BE1E29" w:rsidRPr="00217622">
        <w:rPr>
          <w:rFonts w:ascii="Times New Roman" w:hAnsi="Times New Roman"/>
          <w:sz w:val="24"/>
        </w:rPr>
        <w:t xml:space="preserve"> </w:t>
      </w:r>
      <w:r w:rsidR="00BE1E29">
        <w:rPr>
          <w:rFonts w:ascii="Times New Roman" w:hAnsi="Times New Roman"/>
          <w:sz w:val="24"/>
        </w:rPr>
        <w:t>GRS 112.3</w:t>
      </w:r>
      <w:r w:rsidR="00BE1E29" w:rsidRPr="00217622">
        <w:rPr>
          <w:rFonts w:ascii="Times New Roman" w:hAnsi="Times New Roman"/>
          <w:sz w:val="24"/>
        </w:rPr>
        <w:t xml:space="preserve"> </w:t>
      </w:r>
      <w:r w:rsidRPr="00217622">
        <w:rPr>
          <w:rFonts w:ascii="Times New Roman" w:hAnsi="Times New Roman"/>
          <w:sz w:val="24"/>
        </w:rPr>
        <w:t>determined by APRA in 201</w:t>
      </w:r>
      <w:r>
        <w:rPr>
          <w:rFonts w:ascii="Times New Roman" w:hAnsi="Times New Roman"/>
          <w:sz w:val="24"/>
        </w:rPr>
        <w:t>3</w:t>
      </w:r>
      <w:r w:rsidRPr="00217622">
        <w:rPr>
          <w:rFonts w:ascii="Times New Roman" w:hAnsi="Times New Roman"/>
          <w:sz w:val="24"/>
        </w:rPr>
        <w:t xml:space="preserve"> and replace it with a new version</w:t>
      </w:r>
      <w:r>
        <w:rPr>
          <w:rFonts w:ascii="Times New Roman" w:hAnsi="Times New Roman"/>
          <w:sz w:val="24"/>
        </w:rPr>
        <w:t xml:space="preserve">. </w:t>
      </w:r>
      <w:r w:rsidRPr="00217622">
        <w:rPr>
          <w:rFonts w:ascii="Times New Roman" w:hAnsi="Times New Roman"/>
          <w:sz w:val="24"/>
        </w:rPr>
        <w:t>A</w:t>
      </w:r>
      <w:r w:rsidR="008E4696">
        <w:rPr>
          <w:rFonts w:ascii="Times New Roman" w:hAnsi="Times New Roman"/>
          <w:sz w:val="24"/>
        </w:rPr>
        <w:t xml:space="preserve"> </w:t>
      </w:r>
      <w:r w:rsidRPr="00217622">
        <w:rPr>
          <w:rFonts w:ascii="Times New Roman" w:hAnsi="Times New Roman"/>
          <w:sz w:val="24"/>
        </w:rPr>
        <w:t>new version of</w:t>
      </w:r>
      <w:r w:rsidR="00BA4C1F">
        <w:rPr>
          <w:rFonts w:ascii="Times New Roman" w:hAnsi="Times New Roman"/>
          <w:sz w:val="24"/>
        </w:rPr>
        <w:t xml:space="preserve"> </w:t>
      </w:r>
      <w:r w:rsidR="008E4696">
        <w:rPr>
          <w:rFonts w:ascii="Times New Roman" w:hAnsi="Times New Roman"/>
          <w:sz w:val="24"/>
        </w:rPr>
        <w:t>G</w:t>
      </w:r>
      <w:r w:rsidR="00BA4C1F">
        <w:rPr>
          <w:rFonts w:ascii="Times New Roman" w:hAnsi="Times New Roman"/>
          <w:sz w:val="24"/>
        </w:rPr>
        <w:t>RS 112.3</w:t>
      </w:r>
      <w:r w:rsidRPr="00217622">
        <w:rPr>
          <w:rFonts w:ascii="Times New Roman" w:hAnsi="Times New Roman"/>
          <w:sz w:val="24"/>
        </w:rPr>
        <w:t xml:space="preserve"> is being made as th</w:t>
      </w:r>
      <w:r>
        <w:rPr>
          <w:rFonts w:ascii="Times New Roman" w:hAnsi="Times New Roman"/>
          <w:sz w:val="24"/>
        </w:rPr>
        <w:t>e existing</w:t>
      </w:r>
      <w:r w:rsidR="00BA4C1F">
        <w:rPr>
          <w:rFonts w:ascii="Times New Roman" w:hAnsi="Times New Roman"/>
          <w:sz w:val="24"/>
        </w:rPr>
        <w:t xml:space="preserve"> GRS 112.3</w:t>
      </w:r>
      <w:r w:rsidRPr="007D54B9">
        <w:rPr>
          <w:rFonts w:ascii="Times New Roman" w:hAnsi="Times New Roman"/>
          <w:sz w:val="24"/>
        </w:rPr>
        <w:t xml:space="preserve"> is due to sunset on 1</w:t>
      </w:r>
      <w:r w:rsidR="008E4696">
        <w:rPr>
          <w:rFonts w:ascii="Times New Roman" w:hAnsi="Times New Roman"/>
          <w:sz w:val="24"/>
        </w:rPr>
        <w:t xml:space="preserve"> </w:t>
      </w:r>
      <w:r>
        <w:rPr>
          <w:rFonts w:ascii="Times New Roman" w:hAnsi="Times New Roman"/>
          <w:sz w:val="24"/>
        </w:rPr>
        <w:t>April 2023</w:t>
      </w:r>
      <w:r w:rsidRPr="007D54B9">
        <w:rPr>
          <w:rFonts w:ascii="Times New Roman" w:hAnsi="Times New Roman"/>
          <w:sz w:val="24"/>
        </w:rPr>
        <w:t>.</w:t>
      </w:r>
    </w:p>
    <w:p w14:paraId="7950C2F8" w14:textId="77777777" w:rsidR="00627FF4" w:rsidRPr="00C82862" w:rsidRDefault="00627FF4" w:rsidP="00627FF4">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2A54AB6A" w14:textId="0B7E4E80" w:rsidR="00627FF4" w:rsidRPr="00C82862" w:rsidRDefault="00627FF4" w:rsidP="00627FF4">
      <w:pPr>
        <w:pStyle w:val="Paragraph"/>
        <w:rPr>
          <w:rFonts w:eastAsia="Calibri"/>
        </w:rPr>
      </w:pPr>
      <w:r w:rsidRPr="00C82862">
        <w:rPr>
          <w:rFonts w:eastAsia="Calibri"/>
        </w:rPr>
        <w:t xml:space="preserve">APRA has assessed the </w:t>
      </w:r>
      <w:r w:rsidR="00F63A92">
        <w:rPr>
          <w:rFonts w:eastAsia="Calibri"/>
        </w:rPr>
        <w:t>Legislative I</w:t>
      </w:r>
      <w:r w:rsidRPr="00C82862">
        <w:rPr>
          <w:rFonts w:eastAsia="Calibri"/>
        </w:rPr>
        <w:t>nstrument</w:t>
      </w:r>
      <w:r>
        <w:rPr>
          <w:rFonts w:eastAsia="Calibri"/>
        </w:rPr>
        <w:t xml:space="preserve"> </w:t>
      </w:r>
      <w:r w:rsidRPr="00C82862">
        <w:rPr>
          <w:rFonts w:eastAsia="Calibri"/>
        </w:rPr>
        <w:t xml:space="preserve">and is of the view that </w:t>
      </w:r>
      <w:r>
        <w:rPr>
          <w:rFonts w:eastAsia="Calibri"/>
        </w:rPr>
        <w:t xml:space="preserve">it does </w:t>
      </w:r>
      <w:r w:rsidRPr="00C82862">
        <w:rPr>
          <w:rFonts w:eastAsia="Calibri"/>
        </w:rPr>
        <w:t xml:space="preserve">not engage any of the applicable rights or freedoms recognised or declared in the international instruments listed in section 3 of the HRPS Act. Accordingly, in APRA’s assessment the </w:t>
      </w:r>
      <w:r w:rsidR="00F63A92">
        <w:rPr>
          <w:rFonts w:eastAsia="Calibri"/>
        </w:rPr>
        <w:t>Legislative I</w:t>
      </w:r>
      <w:r w:rsidRPr="00C82862">
        <w:rPr>
          <w:rFonts w:eastAsia="Calibri"/>
        </w:rPr>
        <w:t>nstrument</w:t>
      </w:r>
      <w:r>
        <w:rPr>
          <w:rFonts w:eastAsia="Calibri"/>
        </w:rPr>
        <w:t xml:space="preserve"> is</w:t>
      </w:r>
      <w:r w:rsidRPr="00C82862">
        <w:rPr>
          <w:rFonts w:eastAsia="Calibri"/>
        </w:rPr>
        <w:t xml:space="preserve"> compatible with human rights.</w:t>
      </w:r>
    </w:p>
    <w:p w14:paraId="0D40DD26" w14:textId="77777777" w:rsidR="00627FF4" w:rsidRPr="00C82862" w:rsidRDefault="00627FF4" w:rsidP="00627FF4">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0C70B3E7" w14:textId="77777777" w:rsidR="00627FF4" w:rsidRPr="008803C3" w:rsidRDefault="00627FF4" w:rsidP="00627FF4">
      <w:pPr>
        <w:pStyle w:val="Paragraph"/>
        <w:rPr>
          <w:rFonts w:eastAsia="Calibri"/>
        </w:rPr>
      </w:pPr>
      <w:r w:rsidRPr="00C82862">
        <w:rPr>
          <w:rFonts w:eastAsia="Calibri"/>
        </w:rPr>
        <w:t>Th</w:t>
      </w:r>
      <w:r>
        <w:rPr>
          <w:rFonts w:eastAsia="Calibri"/>
        </w:rPr>
        <w:t>is</w:t>
      </w:r>
      <w:r w:rsidRPr="00C82862">
        <w:rPr>
          <w:rFonts w:eastAsia="Calibri"/>
        </w:rPr>
        <w:t xml:space="preserve"> Legislative Instrument</w:t>
      </w:r>
      <w:r>
        <w:rPr>
          <w:rFonts w:eastAsia="Calibri"/>
        </w:rPr>
        <w:t xml:space="preserve"> is</w:t>
      </w:r>
      <w:r w:rsidRPr="00C82862">
        <w:rPr>
          <w:rFonts w:eastAsia="Calibri"/>
        </w:rPr>
        <w:t xml:space="preserve"> compatible with human rights as </w:t>
      </w:r>
      <w:r>
        <w:rPr>
          <w:rFonts w:eastAsia="Calibri"/>
        </w:rPr>
        <w:t>it</w:t>
      </w:r>
      <w:r w:rsidRPr="00C82862">
        <w:rPr>
          <w:rFonts w:eastAsia="Calibri"/>
        </w:rPr>
        <w:t xml:space="preserve"> do</w:t>
      </w:r>
      <w:r>
        <w:rPr>
          <w:rFonts w:eastAsia="Calibri"/>
        </w:rPr>
        <w:t>es</w:t>
      </w:r>
      <w:r w:rsidRPr="00C82862">
        <w:rPr>
          <w:rFonts w:eastAsia="Calibri"/>
        </w:rPr>
        <w:t xml:space="preserve"> not raise any human rights issues.</w:t>
      </w:r>
    </w:p>
    <w:sectPr w:rsidR="00627FF4" w:rsidRPr="008803C3" w:rsidSect="009105B8">
      <w:pgSz w:w="11906" w:h="16838" w:code="9"/>
      <w:pgMar w:top="1440" w:right="1440" w:bottom="1440" w:left="1440" w:header="567"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15A9" w14:textId="77777777" w:rsidR="00CB65C5" w:rsidRPr="000D4EDE" w:rsidRDefault="00CB65C5" w:rsidP="000D4EDE">
      <w:r>
        <w:separator/>
      </w:r>
    </w:p>
  </w:endnote>
  <w:endnote w:type="continuationSeparator" w:id="0">
    <w:p w14:paraId="2D7A07ED" w14:textId="77777777" w:rsidR="00CB65C5" w:rsidRPr="000D4EDE" w:rsidRDefault="00CB65C5" w:rsidP="000D4EDE">
      <w:r>
        <w:continuationSeparator/>
      </w:r>
    </w:p>
  </w:endnote>
  <w:endnote w:type="continuationNotice" w:id="1">
    <w:p w14:paraId="34BC9958" w14:textId="77777777" w:rsidR="008E2EB5" w:rsidRDefault="008E2E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761961"/>
      <w:docPartObj>
        <w:docPartGallery w:val="Page Numbers (Bottom of Page)"/>
        <w:docPartUnique/>
      </w:docPartObj>
    </w:sdtPr>
    <w:sdtEndPr>
      <w:rPr>
        <w:rFonts w:ascii="Times New Roman" w:hAnsi="Times New Roman"/>
        <w:noProof/>
        <w:sz w:val="22"/>
        <w:szCs w:val="22"/>
      </w:rPr>
    </w:sdtEndPr>
    <w:sdtContent>
      <w:p w14:paraId="45FA0216" w14:textId="1D83D1B6" w:rsidR="009105B8" w:rsidRPr="009105B8" w:rsidRDefault="009105B8">
        <w:pPr>
          <w:pStyle w:val="Footer"/>
          <w:jc w:val="center"/>
          <w:rPr>
            <w:rFonts w:ascii="Times New Roman" w:hAnsi="Times New Roman"/>
            <w:sz w:val="22"/>
            <w:szCs w:val="22"/>
          </w:rPr>
        </w:pPr>
        <w:r w:rsidRPr="009105B8">
          <w:rPr>
            <w:rFonts w:ascii="Times New Roman" w:hAnsi="Times New Roman"/>
            <w:sz w:val="22"/>
            <w:szCs w:val="22"/>
          </w:rPr>
          <w:fldChar w:fldCharType="begin"/>
        </w:r>
        <w:r w:rsidRPr="009105B8">
          <w:rPr>
            <w:rFonts w:ascii="Times New Roman" w:hAnsi="Times New Roman"/>
            <w:sz w:val="22"/>
            <w:szCs w:val="22"/>
          </w:rPr>
          <w:instrText xml:space="preserve"> PAGE   \* MERGEFORMAT </w:instrText>
        </w:r>
        <w:r w:rsidRPr="009105B8">
          <w:rPr>
            <w:rFonts w:ascii="Times New Roman" w:hAnsi="Times New Roman"/>
            <w:sz w:val="22"/>
            <w:szCs w:val="22"/>
          </w:rPr>
          <w:fldChar w:fldCharType="separate"/>
        </w:r>
        <w:r w:rsidRPr="009105B8">
          <w:rPr>
            <w:rFonts w:ascii="Times New Roman" w:hAnsi="Times New Roman"/>
            <w:noProof/>
            <w:sz w:val="22"/>
            <w:szCs w:val="22"/>
          </w:rPr>
          <w:t>2</w:t>
        </w:r>
        <w:r w:rsidRPr="009105B8">
          <w:rPr>
            <w:rFonts w:ascii="Times New Roman" w:hAnsi="Times New Roman"/>
            <w:noProof/>
            <w:sz w:val="22"/>
            <w:szCs w:val="22"/>
          </w:rPr>
          <w:fldChar w:fldCharType="end"/>
        </w:r>
      </w:p>
    </w:sdtContent>
  </w:sdt>
  <w:p w14:paraId="0D4BF649" w14:textId="77777777" w:rsidR="00CB65C5" w:rsidRDefault="00CB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DD87" w14:textId="77777777" w:rsidR="00CB65C5" w:rsidRPr="000D4EDE" w:rsidRDefault="00CB65C5" w:rsidP="000D4EDE">
      <w:r>
        <w:separator/>
      </w:r>
    </w:p>
  </w:footnote>
  <w:footnote w:type="continuationSeparator" w:id="0">
    <w:p w14:paraId="7ABD28E1" w14:textId="77777777" w:rsidR="00CB65C5" w:rsidRPr="000D4EDE" w:rsidRDefault="00CB65C5" w:rsidP="000D4EDE">
      <w:r>
        <w:continuationSeparator/>
      </w:r>
    </w:p>
  </w:footnote>
  <w:footnote w:type="continuationNotice" w:id="1">
    <w:p w14:paraId="7FC0AE41" w14:textId="77777777" w:rsidR="008E2EB5" w:rsidRDefault="008E2E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CBFE47DA"/>
    <w:lvl w:ilvl="0" w:tplc="DBF6F8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2AC321D"/>
    <w:multiLevelType w:val="hybridMultilevel"/>
    <w:tmpl w:val="6C9CFE92"/>
    <w:lvl w:ilvl="0" w:tplc="297017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4"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40"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5"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3"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133714242">
    <w:abstractNumId w:val="1"/>
  </w:num>
  <w:num w:numId="2" w16cid:durableId="1111777900">
    <w:abstractNumId w:val="0"/>
  </w:num>
  <w:num w:numId="3" w16cid:durableId="383917777">
    <w:abstractNumId w:val="4"/>
  </w:num>
  <w:num w:numId="4" w16cid:durableId="305739971">
    <w:abstractNumId w:val="40"/>
  </w:num>
  <w:num w:numId="5" w16cid:durableId="65226386">
    <w:abstractNumId w:val="49"/>
  </w:num>
  <w:num w:numId="6" w16cid:durableId="114953586">
    <w:abstractNumId w:val="30"/>
  </w:num>
  <w:num w:numId="7" w16cid:durableId="1607158785">
    <w:abstractNumId w:val="21"/>
  </w:num>
  <w:num w:numId="8" w16cid:durableId="633759377">
    <w:abstractNumId w:val="6"/>
  </w:num>
  <w:num w:numId="9" w16cid:durableId="1355577022">
    <w:abstractNumId w:val="3"/>
  </w:num>
  <w:num w:numId="10" w16cid:durableId="971131433">
    <w:abstractNumId w:val="42"/>
  </w:num>
  <w:num w:numId="11" w16cid:durableId="77799378">
    <w:abstractNumId w:val="17"/>
  </w:num>
  <w:num w:numId="12" w16cid:durableId="1705447313">
    <w:abstractNumId w:val="53"/>
  </w:num>
  <w:num w:numId="13" w16cid:durableId="1061438710">
    <w:abstractNumId w:val="35"/>
  </w:num>
  <w:num w:numId="14" w16cid:durableId="243338222">
    <w:abstractNumId w:val="18"/>
  </w:num>
  <w:num w:numId="15" w16cid:durableId="510417563">
    <w:abstractNumId w:val="16"/>
  </w:num>
  <w:num w:numId="16" w16cid:durableId="2086339151">
    <w:abstractNumId w:val="45"/>
  </w:num>
  <w:num w:numId="17" w16cid:durableId="1758943152">
    <w:abstractNumId w:val="22"/>
  </w:num>
  <w:num w:numId="18" w16cid:durableId="840704015">
    <w:abstractNumId w:val="50"/>
  </w:num>
  <w:num w:numId="19" w16cid:durableId="1978022024">
    <w:abstractNumId w:val="38"/>
  </w:num>
  <w:num w:numId="20" w16cid:durableId="2047292508">
    <w:abstractNumId w:val="32"/>
  </w:num>
  <w:num w:numId="21" w16cid:durableId="928078194">
    <w:abstractNumId w:val="14"/>
  </w:num>
  <w:num w:numId="22" w16cid:durableId="888877829">
    <w:abstractNumId w:val="54"/>
  </w:num>
  <w:num w:numId="23" w16cid:durableId="910231584">
    <w:abstractNumId w:val="13"/>
  </w:num>
  <w:num w:numId="24" w16cid:durableId="841432319">
    <w:abstractNumId w:val="15"/>
  </w:num>
  <w:num w:numId="25" w16cid:durableId="1642804036">
    <w:abstractNumId w:val="5"/>
  </w:num>
  <w:num w:numId="26" w16cid:durableId="1585527558">
    <w:abstractNumId w:val="28"/>
  </w:num>
  <w:num w:numId="27" w16cid:durableId="1153180716">
    <w:abstractNumId w:val="9"/>
  </w:num>
  <w:num w:numId="28" w16cid:durableId="1032343526">
    <w:abstractNumId w:val="26"/>
  </w:num>
  <w:num w:numId="29" w16cid:durableId="1099567305">
    <w:abstractNumId w:val="44"/>
  </w:num>
  <w:num w:numId="30" w16cid:durableId="101194609">
    <w:abstractNumId w:val="2"/>
  </w:num>
  <w:num w:numId="31" w16cid:durableId="46223324">
    <w:abstractNumId w:val="43"/>
  </w:num>
  <w:num w:numId="32" w16cid:durableId="2105806191">
    <w:abstractNumId w:val="48"/>
  </w:num>
  <w:num w:numId="33" w16cid:durableId="430130844">
    <w:abstractNumId w:val="41"/>
  </w:num>
  <w:num w:numId="34" w16cid:durableId="1808010294">
    <w:abstractNumId w:val="39"/>
  </w:num>
  <w:num w:numId="35" w16cid:durableId="1966691295">
    <w:abstractNumId w:val="34"/>
  </w:num>
  <w:num w:numId="36" w16cid:durableId="235286370">
    <w:abstractNumId w:val="37"/>
  </w:num>
  <w:num w:numId="37" w16cid:durableId="43338116">
    <w:abstractNumId w:val="7"/>
  </w:num>
  <w:num w:numId="38" w16cid:durableId="1592355323">
    <w:abstractNumId w:val="27"/>
  </w:num>
  <w:num w:numId="39" w16cid:durableId="2016419172">
    <w:abstractNumId w:val="31"/>
  </w:num>
  <w:num w:numId="40" w16cid:durableId="1260023421">
    <w:abstractNumId w:val="8"/>
  </w:num>
  <w:num w:numId="41" w16cid:durableId="76681743">
    <w:abstractNumId w:val="19"/>
  </w:num>
  <w:num w:numId="42" w16cid:durableId="22827158">
    <w:abstractNumId w:val="33"/>
  </w:num>
  <w:num w:numId="43" w16cid:durableId="1563104207">
    <w:abstractNumId w:val="51"/>
  </w:num>
  <w:num w:numId="44" w16cid:durableId="1656690040">
    <w:abstractNumId w:val="36"/>
  </w:num>
  <w:num w:numId="45" w16cid:durableId="837966912">
    <w:abstractNumId w:val="52"/>
  </w:num>
  <w:num w:numId="46" w16cid:durableId="809594921">
    <w:abstractNumId w:val="24"/>
  </w:num>
  <w:num w:numId="47" w16cid:durableId="1487625896">
    <w:abstractNumId w:val="29"/>
  </w:num>
  <w:num w:numId="48" w16cid:durableId="2006740744">
    <w:abstractNumId w:val="11"/>
  </w:num>
  <w:num w:numId="49" w16cid:durableId="1152211882">
    <w:abstractNumId w:val="12"/>
  </w:num>
  <w:num w:numId="50" w16cid:durableId="669450878">
    <w:abstractNumId w:val="46"/>
  </w:num>
  <w:num w:numId="51" w16cid:durableId="946473365">
    <w:abstractNumId w:val="20"/>
  </w:num>
  <w:num w:numId="52" w16cid:durableId="272978668">
    <w:abstractNumId w:val="47"/>
  </w:num>
  <w:num w:numId="53" w16cid:durableId="1319730266">
    <w:abstractNumId w:val="25"/>
  </w:num>
  <w:num w:numId="54" w16cid:durableId="1952780419">
    <w:abstractNumId w:val="10"/>
  </w:num>
  <w:num w:numId="55" w16cid:durableId="139755763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63CA"/>
    <w:rsid w:val="000B752A"/>
    <w:rsid w:val="000C14D9"/>
    <w:rsid w:val="000C15C7"/>
    <w:rsid w:val="000C64BD"/>
    <w:rsid w:val="000D4EDE"/>
    <w:rsid w:val="000E2460"/>
    <w:rsid w:val="000E43AC"/>
    <w:rsid w:val="000E6E37"/>
    <w:rsid w:val="000F0E6F"/>
    <w:rsid w:val="001018A5"/>
    <w:rsid w:val="001047ED"/>
    <w:rsid w:val="00106F56"/>
    <w:rsid w:val="00114210"/>
    <w:rsid w:val="00115A39"/>
    <w:rsid w:val="00116812"/>
    <w:rsid w:val="00117479"/>
    <w:rsid w:val="00123576"/>
    <w:rsid w:val="001241CB"/>
    <w:rsid w:val="00124B21"/>
    <w:rsid w:val="001319FF"/>
    <w:rsid w:val="001327B8"/>
    <w:rsid w:val="0013471B"/>
    <w:rsid w:val="00134D50"/>
    <w:rsid w:val="001352D4"/>
    <w:rsid w:val="00136751"/>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202"/>
    <w:rsid w:val="001B2DB7"/>
    <w:rsid w:val="001B3A9F"/>
    <w:rsid w:val="001C27C7"/>
    <w:rsid w:val="001C70C3"/>
    <w:rsid w:val="001D0C02"/>
    <w:rsid w:val="001D3D43"/>
    <w:rsid w:val="001D58A6"/>
    <w:rsid w:val="001D64CF"/>
    <w:rsid w:val="001E0F51"/>
    <w:rsid w:val="001E511B"/>
    <w:rsid w:val="001E55BF"/>
    <w:rsid w:val="001E64DD"/>
    <w:rsid w:val="001F1640"/>
    <w:rsid w:val="001F216A"/>
    <w:rsid w:val="001F220F"/>
    <w:rsid w:val="001F6C8F"/>
    <w:rsid w:val="001F6E1A"/>
    <w:rsid w:val="001F780A"/>
    <w:rsid w:val="001F7917"/>
    <w:rsid w:val="00200613"/>
    <w:rsid w:val="002042C4"/>
    <w:rsid w:val="00214883"/>
    <w:rsid w:val="002156F6"/>
    <w:rsid w:val="0022016B"/>
    <w:rsid w:val="00220550"/>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C23"/>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401A"/>
    <w:rsid w:val="002B7504"/>
    <w:rsid w:val="002C0D97"/>
    <w:rsid w:val="002C172B"/>
    <w:rsid w:val="002C3B9B"/>
    <w:rsid w:val="002C5E2A"/>
    <w:rsid w:val="002C66D1"/>
    <w:rsid w:val="002C7065"/>
    <w:rsid w:val="002C7F4A"/>
    <w:rsid w:val="002D2804"/>
    <w:rsid w:val="002D2873"/>
    <w:rsid w:val="002D4B6C"/>
    <w:rsid w:val="002D5274"/>
    <w:rsid w:val="002E1EE3"/>
    <w:rsid w:val="002E3D6D"/>
    <w:rsid w:val="002F0135"/>
    <w:rsid w:val="002F0C2C"/>
    <w:rsid w:val="00300655"/>
    <w:rsid w:val="00300AA4"/>
    <w:rsid w:val="00303D18"/>
    <w:rsid w:val="00307ADD"/>
    <w:rsid w:val="00307E55"/>
    <w:rsid w:val="00312A66"/>
    <w:rsid w:val="003130CA"/>
    <w:rsid w:val="0032180D"/>
    <w:rsid w:val="0032381D"/>
    <w:rsid w:val="003306A5"/>
    <w:rsid w:val="00331635"/>
    <w:rsid w:val="00340B5A"/>
    <w:rsid w:val="00344B74"/>
    <w:rsid w:val="00347955"/>
    <w:rsid w:val="003519F2"/>
    <w:rsid w:val="003547AE"/>
    <w:rsid w:val="00354EB3"/>
    <w:rsid w:val="00354F17"/>
    <w:rsid w:val="003558A0"/>
    <w:rsid w:val="00355D40"/>
    <w:rsid w:val="00360139"/>
    <w:rsid w:val="00371AAC"/>
    <w:rsid w:val="00371F54"/>
    <w:rsid w:val="00377599"/>
    <w:rsid w:val="0037770C"/>
    <w:rsid w:val="00377C8B"/>
    <w:rsid w:val="00381D08"/>
    <w:rsid w:val="0038307A"/>
    <w:rsid w:val="00383A95"/>
    <w:rsid w:val="00385CA0"/>
    <w:rsid w:val="00385E8D"/>
    <w:rsid w:val="00387D6E"/>
    <w:rsid w:val="003934AB"/>
    <w:rsid w:val="00393E47"/>
    <w:rsid w:val="003941F3"/>
    <w:rsid w:val="003945CC"/>
    <w:rsid w:val="003A2733"/>
    <w:rsid w:val="003A3021"/>
    <w:rsid w:val="003A627E"/>
    <w:rsid w:val="003A79EE"/>
    <w:rsid w:val="003B267D"/>
    <w:rsid w:val="003B3D9E"/>
    <w:rsid w:val="003B5928"/>
    <w:rsid w:val="003B6E16"/>
    <w:rsid w:val="003C180A"/>
    <w:rsid w:val="003C1E25"/>
    <w:rsid w:val="003D1860"/>
    <w:rsid w:val="003D27CB"/>
    <w:rsid w:val="003D329D"/>
    <w:rsid w:val="003E4368"/>
    <w:rsid w:val="003E6BF6"/>
    <w:rsid w:val="003F0F0D"/>
    <w:rsid w:val="0040173E"/>
    <w:rsid w:val="004028EC"/>
    <w:rsid w:val="00413BBA"/>
    <w:rsid w:val="004207D6"/>
    <w:rsid w:val="00420EB2"/>
    <w:rsid w:val="004239BE"/>
    <w:rsid w:val="00423B72"/>
    <w:rsid w:val="004307FD"/>
    <w:rsid w:val="00431AD0"/>
    <w:rsid w:val="004345EA"/>
    <w:rsid w:val="00435339"/>
    <w:rsid w:val="0043748D"/>
    <w:rsid w:val="004410DC"/>
    <w:rsid w:val="0044447D"/>
    <w:rsid w:val="00450C67"/>
    <w:rsid w:val="00451D81"/>
    <w:rsid w:val="0045229E"/>
    <w:rsid w:val="004538E3"/>
    <w:rsid w:val="00460CF7"/>
    <w:rsid w:val="00463FA8"/>
    <w:rsid w:val="00466648"/>
    <w:rsid w:val="00472229"/>
    <w:rsid w:val="00472CBC"/>
    <w:rsid w:val="00474D06"/>
    <w:rsid w:val="004765B3"/>
    <w:rsid w:val="00481EA1"/>
    <w:rsid w:val="00483BD3"/>
    <w:rsid w:val="004843CA"/>
    <w:rsid w:val="00492006"/>
    <w:rsid w:val="004934E8"/>
    <w:rsid w:val="00493DAA"/>
    <w:rsid w:val="00494335"/>
    <w:rsid w:val="00495A4C"/>
    <w:rsid w:val="004967A1"/>
    <w:rsid w:val="00497808"/>
    <w:rsid w:val="004B584E"/>
    <w:rsid w:val="004C1106"/>
    <w:rsid w:val="004C6D4B"/>
    <w:rsid w:val="004C766B"/>
    <w:rsid w:val="004D053D"/>
    <w:rsid w:val="004D33E3"/>
    <w:rsid w:val="004D76C1"/>
    <w:rsid w:val="004D7C22"/>
    <w:rsid w:val="004E1E40"/>
    <w:rsid w:val="004E2269"/>
    <w:rsid w:val="004E363D"/>
    <w:rsid w:val="004E3A2D"/>
    <w:rsid w:val="004E451A"/>
    <w:rsid w:val="004F0894"/>
    <w:rsid w:val="004F316B"/>
    <w:rsid w:val="004F3339"/>
    <w:rsid w:val="004F72A2"/>
    <w:rsid w:val="004F78E5"/>
    <w:rsid w:val="005026D4"/>
    <w:rsid w:val="00503A51"/>
    <w:rsid w:val="005053D9"/>
    <w:rsid w:val="00506774"/>
    <w:rsid w:val="00512309"/>
    <w:rsid w:val="00525354"/>
    <w:rsid w:val="00525E14"/>
    <w:rsid w:val="00534F82"/>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92F64"/>
    <w:rsid w:val="0059633D"/>
    <w:rsid w:val="005A03DB"/>
    <w:rsid w:val="005A3F63"/>
    <w:rsid w:val="005A422E"/>
    <w:rsid w:val="005A4D19"/>
    <w:rsid w:val="005A59D0"/>
    <w:rsid w:val="005A7097"/>
    <w:rsid w:val="005B073E"/>
    <w:rsid w:val="005B12CB"/>
    <w:rsid w:val="005B227F"/>
    <w:rsid w:val="005B4301"/>
    <w:rsid w:val="005B6FE9"/>
    <w:rsid w:val="005B7801"/>
    <w:rsid w:val="005C3F84"/>
    <w:rsid w:val="005C5891"/>
    <w:rsid w:val="005D04CC"/>
    <w:rsid w:val="005D5FAE"/>
    <w:rsid w:val="005D6D84"/>
    <w:rsid w:val="005E4BC9"/>
    <w:rsid w:val="005F29B7"/>
    <w:rsid w:val="005F7002"/>
    <w:rsid w:val="0060511B"/>
    <w:rsid w:val="00606EB5"/>
    <w:rsid w:val="00606FC8"/>
    <w:rsid w:val="00614CC4"/>
    <w:rsid w:val="006155E3"/>
    <w:rsid w:val="00616C90"/>
    <w:rsid w:val="00617FDA"/>
    <w:rsid w:val="006209F4"/>
    <w:rsid w:val="0062116F"/>
    <w:rsid w:val="00623FD7"/>
    <w:rsid w:val="00626087"/>
    <w:rsid w:val="00627FF4"/>
    <w:rsid w:val="00631584"/>
    <w:rsid w:val="00634E4C"/>
    <w:rsid w:val="0063527A"/>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670E8"/>
    <w:rsid w:val="006711E7"/>
    <w:rsid w:val="00672F61"/>
    <w:rsid w:val="00676C12"/>
    <w:rsid w:val="0069375D"/>
    <w:rsid w:val="0069407C"/>
    <w:rsid w:val="0069574E"/>
    <w:rsid w:val="006969C0"/>
    <w:rsid w:val="006A0655"/>
    <w:rsid w:val="006A1921"/>
    <w:rsid w:val="006A2303"/>
    <w:rsid w:val="006A2C82"/>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64A6"/>
    <w:rsid w:val="00707769"/>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45AE"/>
    <w:rsid w:val="00764992"/>
    <w:rsid w:val="00765749"/>
    <w:rsid w:val="00772C00"/>
    <w:rsid w:val="007748E4"/>
    <w:rsid w:val="00775AA0"/>
    <w:rsid w:val="007770FA"/>
    <w:rsid w:val="00780FC1"/>
    <w:rsid w:val="00783A5C"/>
    <w:rsid w:val="00791738"/>
    <w:rsid w:val="00791780"/>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46B3"/>
    <w:rsid w:val="007D72C5"/>
    <w:rsid w:val="007E2E94"/>
    <w:rsid w:val="007E525D"/>
    <w:rsid w:val="007F0323"/>
    <w:rsid w:val="007F379E"/>
    <w:rsid w:val="007F471C"/>
    <w:rsid w:val="007F51B4"/>
    <w:rsid w:val="007F7CD8"/>
    <w:rsid w:val="00800C90"/>
    <w:rsid w:val="008059D4"/>
    <w:rsid w:val="00810766"/>
    <w:rsid w:val="0081238F"/>
    <w:rsid w:val="008125F8"/>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63020"/>
    <w:rsid w:val="008637EC"/>
    <w:rsid w:val="00870BC6"/>
    <w:rsid w:val="00875DAD"/>
    <w:rsid w:val="00877B84"/>
    <w:rsid w:val="00877E5F"/>
    <w:rsid w:val="0088036D"/>
    <w:rsid w:val="00881155"/>
    <w:rsid w:val="00882892"/>
    <w:rsid w:val="00885A14"/>
    <w:rsid w:val="0088689B"/>
    <w:rsid w:val="00890FA0"/>
    <w:rsid w:val="00892F90"/>
    <w:rsid w:val="008947BF"/>
    <w:rsid w:val="00896D3B"/>
    <w:rsid w:val="008A0CBE"/>
    <w:rsid w:val="008A1CA8"/>
    <w:rsid w:val="008A214D"/>
    <w:rsid w:val="008A72D2"/>
    <w:rsid w:val="008A74A3"/>
    <w:rsid w:val="008B12B6"/>
    <w:rsid w:val="008B6868"/>
    <w:rsid w:val="008B6D24"/>
    <w:rsid w:val="008C34F7"/>
    <w:rsid w:val="008C38BE"/>
    <w:rsid w:val="008C6A43"/>
    <w:rsid w:val="008D080C"/>
    <w:rsid w:val="008D1867"/>
    <w:rsid w:val="008D4FB7"/>
    <w:rsid w:val="008D6437"/>
    <w:rsid w:val="008D6EDF"/>
    <w:rsid w:val="008E2EB5"/>
    <w:rsid w:val="008E3EF5"/>
    <w:rsid w:val="008E4696"/>
    <w:rsid w:val="008E50CD"/>
    <w:rsid w:val="008F1A7A"/>
    <w:rsid w:val="008F33B5"/>
    <w:rsid w:val="008F667B"/>
    <w:rsid w:val="00901414"/>
    <w:rsid w:val="00906513"/>
    <w:rsid w:val="00906799"/>
    <w:rsid w:val="009105B8"/>
    <w:rsid w:val="00914A8D"/>
    <w:rsid w:val="009179D3"/>
    <w:rsid w:val="00922193"/>
    <w:rsid w:val="0092282A"/>
    <w:rsid w:val="00922B4C"/>
    <w:rsid w:val="00923EEF"/>
    <w:rsid w:val="00924152"/>
    <w:rsid w:val="009244C4"/>
    <w:rsid w:val="00925BE2"/>
    <w:rsid w:val="0093194D"/>
    <w:rsid w:val="00934C3F"/>
    <w:rsid w:val="009417AE"/>
    <w:rsid w:val="00945B3F"/>
    <w:rsid w:val="00950DCB"/>
    <w:rsid w:val="00952228"/>
    <w:rsid w:val="00952D47"/>
    <w:rsid w:val="00952D4C"/>
    <w:rsid w:val="00960246"/>
    <w:rsid w:val="009647FE"/>
    <w:rsid w:val="00964F54"/>
    <w:rsid w:val="00965638"/>
    <w:rsid w:val="00966CE8"/>
    <w:rsid w:val="009720E1"/>
    <w:rsid w:val="00974F0E"/>
    <w:rsid w:val="00975694"/>
    <w:rsid w:val="00975CD7"/>
    <w:rsid w:val="00980CA1"/>
    <w:rsid w:val="0098490B"/>
    <w:rsid w:val="00985E70"/>
    <w:rsid w:val="0098783B"/>
    <w:rsid w:val="009938D1"/>
    <w:rsid w:val="00993C2B"/>
    <w:rsid w:val="009979F4"/>
    <w:rsid w:val="009A1097"/>
    <w:rsid w:val="009A246D"/>
    <w:rsid w:val="009A45B2"/>
    <w:rsid w:val="009A5585"/>
    <w:rsid w:val="009A59D5"/>
    <w:rsid w:val="009A6895"/>
    <w:rsid w:val="009B2CB7"/>
    <w:rsid w:val="009B4262"/>
    <w:rsid w:val="009C2198"/>
    <w:rsid w:val="009C7A2D"/>
    <w:rsid w:val="009D2DDD"/>
    <w:rsid w:val="009D33B7"/>
    <w:rsid w:val="009E08B5"/>
    <w:rsid w:val="009E0C10"/>
    <w:rsid w:val="009E4116"/>
    <w:rsid w:val="009E529F"/>
    <w:rsid w:val="009E619B"/>
    <w:rsid w:val="00A00295"/>
    <w:rsid w:val="00A03910"/>
    <w:rsid w:val="00A03CC5"/>
    <w:rsid w:val="00A10DA6"/>
    <w:rsid w:val="00A11BD4"/>
    <w:rsid w:val="00A151E9"/>
    <w:rsid w:val="00A15DBB"/>
    <w:rsid w:val="00A16795"/>
    <w:rsid w:val="00A22962"/>
    <w:rsid w:val="00A259F2"/>
    <w:rsid w:val="00A26AE1"/>
    <w:rsid w:val="00A2758A"/>
    <w:rsid w:val="00A27D2E"/>
    <w:rsid w:val="00A31452"/>
    <w:rsid w:val="00A33802"/>
    <w:rsid w:val="00A34ADD"/>
    <w:rsid w:val="00A37162"/>
    <w:rsid w:val="00A37609"/>
    <w:rsid w:val="00A37E51"/>
    <w:rsid w:val="00A43C3E"/>
    <w:rsid w:val="00A456E1"/>
    <w:rsid w:val="00A46D28"/>
    <w:rsid w:val="00A51E2D"/>
    <w:rsid w:val="00A5319F"/>
    <w:rsid w:val="00A533A9"/>
    <w:rsid w:val="00A53690"/>
    <w:rsid w:val="00A53BE8"/>
    <w:rsid w:val="00A62D31"/>
    <w:rsid w:val="00A63380"/>
    <w:rsid w:val="00A656B5"/>
    <w:rsid w:val="00A8129D"/>
    <w:rsid w:val="00A8138C"/>
    <w:rsid w:val="00A82188"/>
    <w:rsid w:val="00A865C7"/>
    <w:rsid w:val="00A909CC"/>
    <w:rsid w:val="00A964A5"/>
    <w:rsid w:val="00A97E3B"/>
    <w:rsid w:val="00AA00CB"/>
    <w:rsid w:val="00AA20A1"/>
    <w:rsid w:val="00AA322A"/>
    <w:rsid w:val="00AA41F2"/>
    <w:rsid w:val="00AB039E"/>
    <w:rsid w:val="00AB13B4"/>
    <w:rsid w:val="00AB1E8A"/>
    <w:rsid w:val="00AB4206"/>
    <w:rsid w:val="00AC4B32"/>
    <w:rsid w:val="00AC7B78"/>
    <w:rsid w:val="00AC7E54"/>
    <w:rsid w:val="00AD48DC"/>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320C7"/>
    <w:rsid w:val="00B33B40"/>
    <w:rsid w:val="00B34339"/>
    <w:rsid w:val="00B40B7D"/>
    <w:rsid w:val="00B42136"/>
    <w:rsid w:val="00B42B2F"/>
    <w:rsid w:val="00B44900"/>
    <w:rsid w:val="00B467F6"/>
    <w:rsid w:val="00B472E1"/>
    <w:rsid w:val="00B52821"/>
    <w:rsid w:val="00B56C63"/>
    <w:rsid w:val="00B56E32"/>
    <w:rsid w:val="00B664C7"/>
    <w:rsid w:val="00B70625"/>
    <w:rsid w:val="00B71170"/>
    <w:rsid w:val="00B80BCE"/>
    <w:rsid w:val="00B81524"/>
    <w:rsid w:val="00B81740"/>
    <w:rsid w:val="00B83542"/>
    <w:rsid w:val="00B85D7B"/>
    <w:rsid w:val="00B87856"/>
    <w:rsid w:val="00B900EA"/>
    <w:rsid w:val="00B91069"/>
    <w:rsid w:val="00B92842"/>
    <w:rsid w:val="00B97BF6"/>
    <w:rsid w:val="00BA1BBD"/>
    <w:rsid w:val="00BA2713"/>
    <w:rsid w:val="00BA2941"/>
    <w:rsid w:val="00BA4C1F"/>
    <w:rsid w:val="00BA4C61"/>
    <w:rsid w:val="00BA627A"/>
    <w:rsid w:val="00BB22FA"/>
    <w:rsid w:val="00BB2B38"/>
    <w:rsid w:val="00BB4BB7"/>
    <w:rsid w:val="00BB6B60"/>
    <w:rsid w:val="00BB7AE5"/>
    <w:rsid w:val="00BC294E"/>
    <w:rsid w:val="00BD12A1"/>
    <w:rsid w:val="00BD1D09"/>
    <w:rsid w:val="00BD7B83"/>
    <w:rsid w:val="00BE1E29"/>
    <w:rsid w:val="00BE61B4"/>
    <w:rsid w:val="00BE6FFF"/>
    <w:rsid w:val="00BF11D1"/>
    <w:rsid w:val="00BF17C6"/>
    <w:rsid w:val="00BF6F09"/>
    <w:rsid w:val="00C00FDA"/>
    <w:rsid w:val="00C02EB9"/>
    <w:rsid w:val="00C0373C"/>
    <w:rsid w:val="00C0381C"/>
    <w:rsid w:val="00C04E4B"/>
    <w:rsid w:val="00C077E2"/>
    <w:rsid w:val="00C11531"/>
    <w:rsid w:val="00C11B56"/>
    <w:rsid w:val="00C14C04"/>
    <w:rsid w:val="00C1529E"/>
    <w:rsid w:val="00C16045"/>
    <w:rsid w:val="00C21E27"/>
    <w:rsid w:val="00C2332A"/>
    <w:rsid w:val="00C24EBF"/>
    <w:rsid w:val="00C308DA"/>
    <w:rsid w:val="00C365F4"/>
    <w:rsid w:val="00C37466"/>
    <w:rsid w:val="00C42573"/>
    <w:rsid w:val="00C42EA5"/>
    <w:rsid w:val="00C47A64"/>
    <w:rsid w:val="00C56FBE"/>
    <w:rsid w:val="00C62BF5"/>
    <w:rsid w:val="00C636DA"/>
    <w:rsid w:val="00C66B58"/>
    <w:rsid w:val="00C67E22"/>
    <w:rsid w:val="00C72271"/>
    <w:rsid w:val="00C72A17"/>
    <w:rsid w:val="00C81356"/>
    <w:rsid w:val="00C813CD"/>
    <w:rsid w:val="00C84F8C"/>
    <w:rsid w:val="00C858D9"/>
    <w:rsid w:val="00C87DA0"/>
    <w:rsid w:val="00CA4E4D"/>
    <w:rsid w:val="00CA4F31"/>
    <w:rsid w:val="00CA6FF9"/>
    <w:rsid w:val="00CB024B"/>
    <w:rsid w:val="00CB1400"/>
    <w:rsid w:val="00CB3AB4"/>
    <w:rsid w:val="00CB4238"/>
    <w:rsid w:val="00CB5938"/>
    <w:rsid w:val="00CB5B27"/>
    <w:rsid w:val="00CB65C5"/>
    <w:rsid w:val="00CC13F5"/>
    <w:rsid w:val="00CC1A64"/>
    <w:rsid w:val="00CC34EB"/>
    <w:rsid w:val="00CC66EA"/>
    <w:rsid w:val="00CD16AC"/>
    <w:rsid w:val="00CD3C17"/>
    <w:rsid w:val="00CE1F9C"/>
    <w:rsid w:val="00CE2E48"/>
    <w:rsid w:val="00CE473E"/>
    <w:rsid w:val="00CF0184"/>
    <w:rsid w:val="00CF30E8"/>
    <w:rsid w:val="00CF5276"/>
    <w:rsid w:val="00CF55F6"/>
    <w:rsid w:val="00CF59E0"/>
    <w:rsid w:val="00CF6672"/>
    <w:rsid w:val="00D021F7"/>
    <w:rsid w:val="00D0593F"/>
    <w:rsid w:val="00D069C7"/>
    <w:rsid w:val="00D078A2"/>
    <w:rsid w:val="00D143DD"/>
    <w:rsid w:val="00D156CF"/>
    <w:rsid w:val="00D21055"/>
    <w:rsid w:val="00D21123"/>
    <w:rsid w:val="00D211DB"/>
    <w:rsid w:val="00D2385A"/>
    <w:rsid w:val="00D26BB7"/>
    <w:rsid w:val="00D277C2"/>
    <w:rsid w:val="00D35F24"/>
    <w:rsid w:val="00D367EB"/>
    <w:rsid w:val="00D36C91"/>
    <w:rsid w:val="00D41870"/>
    <w:rsid w:val="00D41871"/>
    <w:rsid w:val="00D45954"/>
    <w:rsid w:val="00D461C2"/>
    <w:rsid w:val="00D47789"/>
    <w:rsid w:val="00D60216"/>
    <w:rsid w:val="00D61AAE"/>
    <w:rsid w:val="00D64CB8"/>
    <w:rsid w:val="00D720AE"/>
    <w:rsid w:val="00D72FD8"/>
    <w:rsid w:val="00D7562D"/>
    <w:rsid w:val="00D77A2A"/>
    <w:rsid w:val="00D8499F"/>
    <w:rsid w:val="00D92A45"/>
    <w:rsid w:val="00D9697A"/>
    <w:rsid w:val="00DA3023"/>
    <w:rsid w:val="00DA4358"/>
    <w:rsid w:val="00DA4C48"/>
    <w:rsid w:val="00DA727D"/>
    <w:rsid w:val="00DB00B6"/>
    <w:rsid w:val="00DB0445"/>
    <w:rsid w:val="00DB4E87"/>
    <w:rsid w:val="00DB53A7"/>
    <w:rsid w:val="00DB7C81"/>
    <w:rsid w:val="00DD170F"/>
    <w:rsid w:val="00DE0A8A"/>
    <w:rsid w:val="00DE585C"/>
    <w:rsid w:val="00DF0747"/>
    <w:rsid w:val="00DF2F8B"/>
    <w:rsid w:val="00DF6837"/>
    <w:rsid w:val="00DF68E4"/>
    <w:rsid w:val="00DF6E54"/>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51672"/>
    <w:rsid w:val="00E522FC"/>
    <w:rsid w:val="00E55EE5"/>
    <w:rsid w:val="00E605FE"/>
    <w:rsid w:val="00E61784"/>
    <w:rsid w:val="00E625B3"/>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4E02"/>
    <w:rsid w:val="00EB74A5"/>
    <w:rsid w:val="00ED0CEB"/>
    <w:rsid w:val="00ED2A25"/>
    <w:rsid w:val="00ED4EB4"/>
    <w:rsid w:val="00EE0126"/>
    <w:rsid w:val="00EE0C89"/>
    <w:rsid w:val="00EE1E6D"/>
    <w:rsid w:val="00EE39FE"/>
    <w:rsid w:val="00EE47FE"/>
    <w:rsid w:val="00EE50C6"/>
    <w:rsid w:val="00EE5D41"/>
    <w:rsid w:val="00EE766D"/>
    <w:rsid w:val="00EF2A15"/>
    <w:rsid w:val="00EF2B31"/>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E0"/>
    <w:rsid w:val="00F34D63"/>
    <w:rsid w:val="00F37F87"/>
    <w:rsid w:val="00F407DE"/>
    <w:rsid w:val="00F40EFF"/>
    <w:rsid w:val="00F4204E"/>
    <w:rsid w:val="00F45954"/>
    <w:rsid w:val="00F5050B"/>
    <w:rsid w:val="00F52EB8"/>
    <w:rsid w:val="00F57F7A"/>
    <w:rsid w:val="00F60B21"/>
    <w:rsid w:val="00F62D33"/>
    <w:rsid w:val="00F63A92"/>
    <w:rsid w:val="00F647F4"/>
    <w:rsid w:val="00F64AB3"/>
    <w:rsid w:val="00F6570B"/>
    <w:rsid w:val="00F67615"/>
    <w:rsid w:val="00F71696"/>
    <w:rsid w:val="00F72A82"/>
    <w:rsid w:val="00F76C98"/>
    <w:rsid w:val="00F804CD"/>
    <w:rsid w:val="00F80750"/>
    <w:rsid w:val="00F8141D"/>
    <w:rsid w:val="00F82FB4"/>
    <w:rsid w:val="00F85F59"/>
    <w:rsid w:val="00F86538"/>
    <w:rsid w:val="00F86717"/>
    <w:rsid w:val="00F86DD4"/>
    <w:rsid w:val="00F9160E"/>
    <w:rsid w:val="00F944A8"/>
    <w:rsid w:val="00F94F2F"/>
    <w:rsid w:val="00F97C7A"/>
    <w:rsid w:val="00FA2909"/>
    <w:rsid w:val="00FA3CEC"/>
    <w:rsid w:val="00FB2A49"/>
    <w:rsid w:val="00FB2A6E"/>
    <w:rsid w:val="00FB4CF2"/>
    <w:rsid w:val="00FC16BB"/>
    <w:rsid w:val="00FC3751"/>
    <w:rsid w:val="00FC4523"/>
    <w:rsid w:val="00FC4845"/>
    <w:rsid w:val="00FC6B03"/>
    <w:rsid w:val="00FD06D5"/>
    <w:rsid w:val="00FD28FF"/>
    <w:rsid w:val="00FD4A11"/>
    <w:rsid w:val="00FD68A1"/>
    <w:rsid w:val="00FE2C7B"/>
    <w:rsid w:val="00FE3503"/>
    <w:rsid w:val="00FE419E"/>
    <w:rsid w:val="00FF05D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BB4BB7"/>
    <w:pPr>
      <w:keepNext/>
      <w:spacing w:before="240" w:after="60"/>
      <w:outlineLvl w:val="0"/>
    </w:pPr>
    <w:rPr>
      <w:rFonts w:cs="Arial"/>
      <w:b/>
      <w:kern w:val="32"/>
      <w:sz w:val="26"/>
      <w:szCs w:val="32"/>
    </w:rPr>
  </w:style>
  <w:style w:type="paragraph" w:styleId="Revision">
    <w:name w:val="Revision"/>
    <w:hidden/>
    <w:uiPriority w:val="99"/>
    <w:semiHidden/>
    <w:rsid w:val="004207D6"/>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578826528">
          <w:marLeft w:val="0"/>
          <w:marRight w:val="0"/>
          <w:marTop w:val="0"/>
          <w:marBottom w:val="0"/>
          <w:divBdr>
            <w:top w:val="none" w:sz="0" w:space="0" w:color="auto"/>
            <w:left w:val="none" w:sz="0" w:space="0" w:color="auto"/>
            <w:bottom w:val="none" w:sz="0" w:space="0" w:color="auto"/>
            <w:right w:val="none" w:sz="0" w:space="0" w:color="auto"/>
          </w:divBdr>
        </w:div>
        <w:div w:id="473523040">
          <w:marLeft w:val="0"/>
          <w:marRight w:val="0"/>
          <w:marTop w:val="0"/>
          <w:marBottom w:val="0"/>
          <w:divBdr>
            <w:top w:val="none" w:sz="0" w:space="0" w:color="auto"/>
            <w:left w:val="none" w:sz="0" w:space="0" w:color="auto"/>
            <w:bottom w:val="none" w:sz="0" w:space="0" w:color="auto"/>
            <w:right w:val="none" w:sz="0" w:space="0" w:color="auto"/>
          </w:divBdr>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343553432">
      <w:bodyDiv w:val="1"/>
      <w:marLeft w:val="0"/>
      <w:marRight w:val="0"/>
      <w:marTop w:val="0"/>
      <w:marBottom w:val="0"/>
      <w:divBdr>
        <w:top w:val="none" w:sz="0" w:space="0" w:color="auto"/>
        <w:left w:val="none" w:sz="0" w:space="0" w:color="auto"/>
        <w:bottom w:val="none" w:sz="0" w:space="0" w:color="auto"/>
        <w:right w:val="none" w:sz="0" w:space="0" w:color="auto"/>
      </w:divBdr>
      <w:divsChild>
        <w:div w:id="1115178686">
          <w:marLeft w:val="0"/>
          <w:marRight w:val="0"/>
          <w:marTop w:val="0"/>
          <w:marBottom w:val="0"/>
          <w:divBdr>
            <w:top w:val="none" w:sz="0" w:space="0" w:color="auto"/>
            <w:left w:val="none" w:sz="0" w:space="0" w:color="auto"/>
            <w:bottom w:val="none" w:sz="0" w:space="0" w:color="auto"/>
            <w:right w:val="none" w:sz="0" w:space="0" w:color="auto"/>
          </w:divBdr>
        </w:div>
        <w:div w:id="1942488018">
          <w:marLeft w:val="0"/>
          <w:marRight w:val="0"/>
          <w:marTop w:val="0"/>
          <w:marBottom w:val="0"/>
          <w:divBdr>
            <w:top w:val="none" w:sz="0" w:space="0" w:color="auto"/>
            <w:left w:val="none" w:sz="0" w:space="0" w:color="auto"/>
            <w:bottom w:val="none" w:sz="0" w:space="0" w:color="auto"/>
            <w:right w:val="none" w:sz="0" w:space="0" w:color="auto"/>
          </w:divBdr>
        </w:div>
      </w:divsChild>
    </w:div>
    <w:div w:id="429084821">
      <w:bodyDiv w:val="1"/>
      <w:marLeft w:val="0"/>
      <w:marRight w:val="0"/>
      <w:marTop w:val="0"/>
      <w:marBottom w:val="0"/>
      <w:divBdr>
        <w:top w:val="none" w:sz="0" w:space="0" w:color="auto"/>
        <w:left w:val="none" w:sz="0" w:space="0" w:color="auto"/>
        <w:bottom w:val="none" w:sz="0" w:space="0" w:color="auto"/>
        <w:right w:val="none" w:sz="0" w:space="0" w:color="auto"/>
      </w:divBdr>
      <w:divsChild>
        <w:div w:id="2015299997">
          <w:marLeft w:val="0"/>
          <w:marRight w:val="0"/>
          <w:marTop w:val="0"/>
          <w:marBottom w:val="0"/>
          <w:divBdr>
            <w:top w:val="none" w:sz="0" w:space="0" w:color="auto"/>
            <w:left w:val="none" w:sz="0" w:space="0" w:color="auto"/>
            <w:bottom w:val="none" w:sz="0" w:space="0" w:color="auto"/>
            <w:right w:val="none" w:sz="0" w:space="0" w:color="auto"/>
          </w:divBdr>
        </w:div>
        <w:div w:id="1477333655">
          <w:marLeft w:val="0"/>
          <w:marRight w:val="0"/>
          <w:marTop w:val="0"/>
          <w:marBottom w:val="0"/>
          <w:divBdr>
            <w:top w:val="none" w:sz="0" w:space="0" w:color="auto"/>
            <w:left w:val="none" w:sz="0" w:space="0" w:color="auto"/>
            <w:bottom w:val="none" w:sz="0" w:space="0" w:color="auto"/>
            <w:right w:val="none" w:sz="0" w:space="0" w:color="auto"/>
          </w:divBdr>
        </w:div>
      </w:divsChild>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791826204">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2083019031">
      <w:bodyDiv w:val="1"/>
      <w:marLeft w:val="0"/>
      <w:marRight w:val="0"/>
      <w:marTop w:val="0"/>
      <w:marBottom w:val="0"/>
      <w:divBdr>
        <w:top w:val="none" w:sz="0" w:space="0" w:color="auto"/>
        <w:left w:val="none" w:sz="0" w:space="0" w:color="auto"/>
        <w:bottom w:val="none" w:sz="0" w:space="0" w:color="auto"/>
        <w:right w:val="none" w:sz="0" w:space="0" w:color="auto"/>
      </w:divBdr>
      <w:divsChild>
        <w:div w:id="1604679903">
          <w:marLeft w:val="0"/>
          <w:marRight w:val="0"/>
          <w:marTop w:val="0"/>
          <w:marBottom w:val="0"/>
          <w:divBdr>
            <w:top w:val="none" w:sz="0" w:space="0" w:color="auto"/>
            <w:left w:val="none" w:sz="0" w:space="0" w:color="auto"/>
            <w:bottom w:val="none" w:sz="0" w:space="0" w:color="auto"/>
            <w:right w:val="none" w:sz="0" w:space="0" w:color="auto"/>
          </w:divBdr>
        </w:div>
        <w:div w:id="100174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5JENXJJSCC7A-445999044-12061</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https://im/teams/LEGAL/_layouts/15/DocIdRedir.aspx?ID=5JENXJJSCC7A-445999044-12061</Url>
      <Description>5JENXJJSCC7A-445999044-12061</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5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Props1.xml><?xml version="1.0" encoding="utf-8"?>
<ds:datastoreItem xmlns:ds="http://schemas.openxmlformats.org/officeDocument/2006/customXml" ds:itemID="{E7C0F1DD-9676-481E-9606-5CB76A4B369F}"/>
</file>

<file path=customXml/itemProps2.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3.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4.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5.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6.xml><?xml version="1.0" encoding="utf-8"?>
<ds:datastoreItem xmlns:ds="http://schemas.openxmlformats.org/officeDocument/2006/customXml" ds:itemID="{E42BEC9B-D635-45D9-8023-A4D006BFE8E1}">
  <ds:schemaRefs>
    <ds:schemaRef ds:uri="http://purl.org/dc/terms/"/>
    <ds:schemaRef ds:uri="http://schemas.microsoft.com/office/2006/metadata/properties"/>
    <ds:schemaRef ds:uri="814d62cb-2db6-4c25-ab62-b9075facbc11"/>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6066</Characters>
  <Application>Microsoft Office Word</Application>
  <DocSecurity>0</DocSecurity>
  <Lines>104</Lines>
  <Paragraphs>47</Paragraphs>
  <ScaleCrop>false</ScaleCrop>
  <HeadingPairs>
    <vt:vector size="2" baseType="variant">
      <vt:variant>
        <vt:lpstr>Title</vt:lpstr>
      </vt:variant>
      <vt:variant>
        <vt:i4>1</vt:i4>
      </vt:variant>
    </vt:vector>
  </HeadingPairs>
  <TitlesOfParts>
    <vt:vector size="1" baseType="lpstr">
      <vt:lpstr>Sunsetting ES - GI</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GI</dc:title>
  <dc:subject/>
  <dc:creator>Nenad Panici</dc:creator>
  <cp:keywords>[SEC=OFFICIAL]</cp:keywords>
  <dc:description/>
  <cp:lastModifiedBy>Toni Michalis</cp:lastModifiedBy>
  <cp:revision>2</cp:revision>
  <cp:lastPrinted>2022-12-15T04:38:00Z</cp:lastPrinted>
  <dcterms:created xsi:type="dcterms:W3CDTF">2023-03-16T23:39:00Z</dcterms:created>
  <dcterms:modified xsi:type="dcterms:W3CDTF">2023-03-16T23:39:00Z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5FD199F1FB5DF2ADC1A074C5660D55E3</vt:lpwstr>
  </property>
  <property fmtid="{D5CDD505-2E9C-101B-9397-08002B2CF9AE}" pid="22" name="PM_Hash_Salt">
    <vt:lpwstr>EC86BE6BC37CEBC4321029457FEBCF19</vt:lpwstr>
  </property>
  <property fmtid="{D5CDD505-2E9C-101B-9397-08002B2CF9AE}" pid="23" name="PM_Hash_SHA1">
    <vt:lpwstr>2FD8D281B832BDEE2C686CD5D51CEA6C6108F02C</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29594683-66de-43c7-acf4-57652272ddc3</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234;#Explanatory statement|b22f2e2f-3f73-411b-9a7c-34264d26fa25</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{29594683-66de-43c7-acf4-57652272ddc3}</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v=2022.1;a=SHA256;h=8507479534771A63DAFF60E86DE3752E01310B859C254EA0F2663D3F6883B0AD</vt:lpwstr>
  </property>
  <property fmtid="{D5CDD505-2E9C-101B-9397-08002B2CF9AE}" pid="61" name="MSIP_Label_c0129afb-6481-4f92-bc9f-5a4a6346364d_ContentBits">
    <vt:lpwstr>0</vt:lpwstr>
  </property>
  <property fmtid="{D5CDD505-2E9C-101B-9397-08002B2CF9AE}" pid="62" name="MSIP_Label_c0129afb-6481-4f92-bc9f-5a4a6346364d_ActionId">
    <vt:lpwstr>b63f9687279c45518efd547f96d3746d</vt:lpwstr>
  </property>
</Properties>
</file>