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84C39" w14:textId="77777777" w:rsidR="00FB640B" w:rsidRPr="008B24C8" w:rsidRDefault="0057002B" w:rsidP="00BB0CF2">
      <w:pPr>
        <w:pStyle w:val="ESTitleHeader"/>
      </w:pPr>
      <w:bookmarkStart w:id="0" w:name="_GoBack"/>
      <w:bookmarkEnd w:id="0"/>
      <w:r w:rsidRPr="008B24C8">
        <w:t>EXPLANATORY STATEMENT</w:t>
      </w:r>
    </w:p>
    <w:p w14:paraId="4B31257C" w14:textId="77777777" w:rsidR="0057002B" w:rsidRPr="008B24C8" w:rsidRDefault="0057002B" w:rsidP="00BB0CF2">
      <w:pPr>
        <w:pStyle w:val="ESTitleDecisionMaker"/>
      </w:pPr>
      <w:r w:rsidRPr="008B24C8">
        <w:t xml:space="preserve">Issued by authority of the </w:t>
      </w:r>
      <w:r w:rsidR="00190BDA">
        <w:t>Minister for Immigration, Citizenship and Multicultural Affairs</w:t>
      </w:r>
    </w:p>
    <w:p w14:paraId="3777ECC6" w14:textId="77777777" w:rsidR="0057002B" w:rsidRPr="008B24C8" w:rsidRDefault="00190BDA" w:rsidP="00BB0CF2">
      <w:pPr>
        <w:pStyle w:val="ESTitleEnablingLegislation"/>
      </w:pPr>
      <w:r>
        <w:t>Migration Regulations 1994</w:t>
      </w:r>
    </w:p>
    <w:p w14:paraId="0EC342E5" w14:textId="77777777" w:rsidR="0057002B" w:rsidRPr="008B24C8" w:rsidRDefault="00190BDA" w:rsidP="00BB0CF2">
      <w:pPr>
        <w:pStyle w:val="ESTitleInstrumentName"/>
      </w:pPr>
      <w:r w:rsidRPr="00190BDA">
        <w:t>Migration (Fees for assessment of qualifications and experience) Instrument (LIN 23/002) 2023</w:t>
      </w:r>
    </w:p>
    <w:p w14:paraId="73EA124C" w14:textId="79A6C68E" w:rsidR="0057002B" w:rsidRPr="008B24C8" w:rsidRDefault="00574A98" w:rsidP="002D167E">
      <w:pPr>
        <w:pStyle w:val="ESPara"/>
      </w:pPr>
      <w:r>
        <w:t>The instrument, d</w:t>
      </w:r>
      <w:r w:rsidR="0057002B" w:rsidRPr="008B24C8">
        <w:t xml:space="preserve">epartmental reference </w:t>
      </w:r>
      <w:r w:rsidR="006E1F57" w:rsidRPr="006E1F57">
        <w:t>LIN 23/002</w:t>
      </w:r>
      <w:r w:rsidR="0057002B" w:rsidRPr="008B24C8">
        <w:t xml:space="preserve">, is made under </w:t>
      </w:r>
      <w:r w:rsidR="006E1F57">
        <w:t>subregulation 5.40(1)</w:t>
      </w:r>
      <w:r w:rsidR="0057002B" w:rsidRPr="008B24C8">
        <w:t xml:space="preserve"> of the </w:t>
      </w:r>
      <w:r w:rsidR="0057002B" w:rsidRPr="008B24C8">
        <w:rPr>
          <w:i/>
        </w:rPr>
        <w:t>Migration Regulations 1994</w:t>
      </w:r>
      <w:r w:rsidR="006E1F57">
        <w:t xml:space="preserve"> (the Regulations).</w:t>
      </w:r>
    </w:p>
    <w:p w14:paraId="75CCD5E8" w14:textId="15AB8A9C" w:rsidR="00EA12C9" w:rsidRPr="008B24C8" w:rsidRDefault="00EA12C9" w:rsidP="002D167E">
      <w:pPr>
        <w:pStyle w:val="ESPara"/>
      </w:pPr>
      <w:r w:rsidRPr="008B24C8">
        <w:t xml:space="preserve">The instrument </w:t>
      </w:r>
      <w:r w:rsidR="008573D5" w:rsidRPr="002748F4">
        <w:t>repeals</w:t>
      </w:r>
      <w:r w:rsidR="008573D5" w:rsidRPr="008573D5">
        <w:rPr>
          <w:i/>
        </w:rPr>
        <w:t xml:space="preserve"> Migration (Fees for assessment of qualifications and experience) Instrument (LIN 21/023) 202</w:t>
      </w:r>
      <w:r w:rsidR="006F57EF">
        <w:rPr>
          <w:i/>
        </w:rPr>
        <w:t>1</w:t>
      </w:r>
      <w:r w:rsidR="00B75478">
        <w:t xml:space="preserve"> </w:t>
      </w:r>
      <w:r w:rsidRPr="008B24C8">
        <w:t xml:space="preserve">in accordance with subsection 33(3) of the </w:t>
      </w:r>
      <w:r w:rsidRPr="008B24C8">
        <w:rPr>
          <w:i/>
        </w:rPr>
        <w:t>Acts Interpretation Act </w:t>
      </w:r>
      <w:r w:rsidR="000B3EAB">
        <w:rPr>
          <w:i/>
        </w:rPr>
        <w:t>1901.</w:t>
      </w:r>
      <w:r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p>
    <w:p w14:paraId="4E371F7D" w14:textId="077C3119" w:rsidR="00BD598E" w:rsidRPr="008B24C8" w:rsidRDefault="00AA4557" w:rsidP="002D167E">
      <w:pPr>
        <w:pStyle w:val="ESPara"/>
      </w:pPr>
      <w:r>
        <w:t xml:space="preserve">The instrument commences </w:t>
      </w:r>
      <w:r w:rsidR="008573D5">
        <w:t xml:space="preserve">the day after </w:t>
      </w:r>
      <w:r w:rsidR="00B659B5">
        <w:t xml:space="preserve">it is registered </w:t>
      </w:r>
      <w:r>
        <w:t>and i</w:t>
      </w:r>
      <w:r w:rsidR="00BD598E" w:rsidRPr="008B24C8">
        <w:t xml:space="preserve">s a </w:t>
      </w:r>
      <w:r>
        <w:t>legislative</w:t>
      </w:r>
      <w:r w:rsidR="00BD598E" w:rsidRPr="008B24C8">
        <w:t xml:space="preserve"> instrument for </w:t>
      </w:r>
      <w:r w:rsidR="00B75478">
        <w:t xml:space="preserve">the </w:t>
      </w:r>
      <w:r w:rsidR="00100DFC">
        <w:rPr>
          <w:i/>
        </w:rPr>
        <w:t>Legislation Act 2003</w:t>
      </w:r>
      <w:r w:rsidR="00100DFC">
        <w:t xml:space="preserve"> (the Legislation Act)</w:t>
      </w:r>
      <w:r w:rsidR="00BD598E" w:rsidRPr="008B24C8">
        <w:t xml:space="preserve">.  </w:t>
      </w:r>
    </w:p>
    <w:p w14:paraId="33BFE224" w14:textId="77777777" w:rsidR="00EA12C9" w:rsidRPr="00BB0CF2" w:rsidRDefault="00BD598E" w:rsidP="00100DFC">
      <w:pPr>
        <w:pStyle w:val="ESHeading"/>
        <w:rPr>
          <w:color w:val="FF0000"/>
        </w:rPr>
      </w:pPr>
      <w:r w:rsidRPr="008B24C8">
        <w:t>Purpose</w:t>
      </w:r>
      <w:r w:rsidR="00BB0CF2">
        <w:t xml:space="preserve"> </w:t>
      </w:r>
    </w:p>
    <w:p w14:paraId="63534FD9" w14:textId="01091FFA" w:rsidR="00B75478" w:rsidRDefault="000F47FD" w:rsidP="002D167E">
      <w:pPr>
        <w:pStyle w:val="ESPara"/>
      </w:pPr>
      <w:r>
        <w:t xml:space="preserve">Trades Recognition Australia (TRA) </w:t>
      </w:r>
      <w:r w:rsidR="007375F0">
        <w:t>provides a skills assessment service for people with trade skills gained overseas or in Australia for the purpose of visa applications</w:t>
      </w:r>
      <w:r w:rsidR="00115891">
        <w:t xml:space="preserve"> for which a person requires assessment of their </w:t>
      </w:r>
      <w:r w:rsidR="009C409E">
        <w:t xml:space="preserve">occupational or educational </w:t>
      </w:r>
      <w:r w:rsidR="00115891">
        <w:t xml:space="preserve">qualifications or </w:t>
      </w:r>
      <w:r w:rsidR="009C409E">
        <w:t>experience</w:t>
      </w:r>
      <w:r w:rsidR="007375F0">
        <w:t>.</w:t>
      </w:r>
    </w:p>
    <w:p w14:paraId="0E2B30B2" w14:textId="62B8F61E" w:rsidR="007375F0" w:rsidRDefault="00E04452" w:rsidP="007375F0">
      <w:pPr>
        <w:pStyle w:val="ESSubparaList"/>
      </w:pPr>
      <w:r>
        <w:t>Subregulation</w:t>
      </w:r>
      <w:r w:rsidR="00BB3B88">
        <w:t xml:space="preserve"> </w:t>
      </w:r>
      <w:r w:rsidR="007375F0">
        <w:t>5.40</w:t>
      </w:r>
      <w:r>
        <w:t>(1)</w:t>
      </w:r>
      <w:r w:rsidR="007375F0">
        <w:t xml:space="preserve"> of the Regulations provides for the Minister to specify</w:t>
      </w:r>
      <w:r w:rsidR="002B339E">
        <w:t xml:space="preserve"> in a</w:t>
      </w:r>
      <w:r w:rsidR="00BB3B88">
        <w:t>n</w:t>
      </w:r>
      <w:r w:rsidR="002B339E">
        <w:t xml:space="preserve"> </w:t>
      </w:r>
      <w:r w:rsidR="00F02172">
        <w:t xml:space="preserve">instrument in </w:t>
      </w:r>
      <w:r w:rsidR="002B339E">
        <w:t>writ</w:t>
      </w:r>
      <w:r w:rsidR="00F02172">
        <w:t>ing</w:t>
      </w:r>
      <w:r w:rsidR="007375F0">
        <w:t xml:space="preserve"> the fee payable to a non-corporate Commonwealth entity for performing </w:t>
      </w:r>
      <w:r w:rsidR="009C409E">
        <w:t xml:space="preserve">the </w:t>
      </w:r>
      <w:r w:rsidR="007375F0">
        <w:t>service</w:t>
      </w:r>
      <w:r w:rsidR="009C409E">
        <w:t xml:space="preserve"> of providing such an assessment or an internal review of an assessment</w:t>
      </w:r>
      <w:r w:rsidR="007375F0">
        <w:t xml:space="preserve">. </w:t>
      </w:r>
    </w:p>
    <w:p w14:paraId="411E511F" w14:textId="0B0AEE25" w:rsidR="00314391" w:rsidRDefault="007375F0" w:rsidP="00726497">
      <w:pPr>
        <w:pStyle w:val="ESSubparaHeader"/>
      </w:pPr>
      <w:r>
        <w:t xml:space="preserve">TRA is a </w:t>
      </w:r>
      <w:r w:rsidR="00DB36FF">
        <w:t>cost recovered service delivery unit within</w:t>
      </w:r>
      <w:r>
        <w:t xml:space="preserve"> the Department</w:t>
      </w:r>
      <w:r w:rsidR="00DF6059">
        <w:t xml:space="preserve"> of Employment and Workplace Relations</w:t>
      </w:r>
      <w:r w:rsidR="002B339E">
        <w:t>,</w:t>
      </w:r>
      <w:r>
        <w:t xml:space="preserve"> which is a non-corporate Commonwealth entity under the </w:t>
      </w:r>
      <w:r>
        <w:rPr>
          <w:i/>
        </w:rPr>
        <w:t>Public Governance, Performance and Accountability Act 2013</w:t>
      </w:r>
      <w:r>
        <w:t>. As a result, the fee for</w:t>
      </w:r>
      <w:r w:rsidR="00F960D3">
        <w:t xml:space="preserve"> an</w:t>
      </w:r>
      <w:r>
        <w:t xml:space="preserve"> application to TRA can be specified under </w:t>
      </w:r>
      <w:r w:rsidR="00634ABD">
        <w:t xml:space="preserve">subregulation </w:t>
      </w:r>
      <w:r w:rsidR="000F214E">
        <w:t>5.40</w:t>
      </w:r>
      <w:r w:rsidR="00F960D3">
        <w:t>(1)</w:t>
      </w:r>
      <w:r w:rsidR="000F214E">
        <w:t xml:space="preserve"> of the Regulations. </w:t>
      </w:r>
      <w:r w:rsidR="007A6059">
        <w:t xml:space="preserve">The Australian </w:t>
      </w:r>
      <w:r w:rsidR="00902D54">
        <w:t>Government’s Cost Recovery Guidelines u</w:t>
      </w:r>
      <w:r w:rsidR="00314391">
        <w:t>nder the</w:t>
      </w:r>
      <w:r w:rsidR="00314391" w:rsidRPr="00314391">
        <w:t xml:space="preserve"> </w:t>
      </w:r>
      <w:r w:rsidR="00314391">
        <w:t>Australian Government Charging Framework (the Framework)</w:t>
      </w:r>
      <w:r w:rsidR="00902D54">
        <w:t xml:space="preserve"> </w:t>
      </w:r>
      <w:r w:rsidR="00314391">
        <w:t>provide an outline of how government entities design, implement and review regulatory charging activities</w:t>
      </w:r>
      <w:r w:rsidR="006C33A4">
        <w:t>.</w:t>
      </w:r>
    </w:p>
    <w:p w14:paraId="2D87AEF5" w14:textId="62C21D9F" w:rsidR="00314391" w:rsidRPr="00314391" w:rsidRDefault="00314391" w:rsidP="00314391">
      <w:pPr>
        <w:pStyle w:val="ESSubparaList"/>
      </w:pPr>
      <w:r>
        <w:t xml:space="preserve">The overall charging policy under the Framework is that, where </w:t>
      </w:r>
      <w:r w:rsidR="00D41EA2">
        <w:t xml:space="preserve">appropriate, non-government recipients of regulatory activities should be charged some or all of the efficient costs. </w:t>
      </w:r>
    </w:p>
    <w:p w14:paraId="19F8F7AA" w14:textId="7610EF59" w:rsidR="00B92F92" w:rsidRDefault="00314391" w:rsidP="00D41EA2">
      <w:pPr>
        <w:pStyle w:val="ESSubparaList"/>
      </w:pPr>
      <w:r>
        <w:t xml:space="preserve">To reflect the </w:t>
      </w:r>
      <w:r w:rsidR="00D41EA2">
        <w:t>Framework and its policy</w:t>
      </w:r>
      <w:r>
        <w:t xml:space="preserve">, this instrument </w:t>
      </w:r>
      <w:r w:rsidR="008B4A27">
        <w:t xml:space="preserve">implements </w:t>
      </w:r>
      <w:r w:rsidR="00D41EA2">
        <w:t>new fee amounts for</w:t>
      </w:r>
      <w:r w:rsidR="00126675">
        <w:t xml:space="preserve"> some</w:t>
      </w:r>
      <w:r w:rsidR="00D41EA2">
        <w:t xml:space="preserve"> assessment</w:t>
      </w:r>
      <w:r w:rsidR="00126675">
        <w:t>s</w:t>
      </w:r>
      <w:r w:rsidR="00D41EA2">
        <w:t xml:space="preserve"> and </w:t>
      </w:r>
      <w:r w:rsidR="00126675">
        <w:t xml:space="preserve">internal </w:t>
      </w:r>
      <w:r w:rsidR="00D41EA2">
        <w:t>reviews of assessment</w:t>
      </w:r>
      <w:r w:rsidR="006C33A4">
        <w:t xml:space="preserve">s for cost recovery purposes, as well as to recover the efficient full costs of specific activities. </w:t>
      </w:r>
    </w:p>
    <w:p w14:paraId="22E4A7A8" w14:textId="74C8BB72" w:rsidR="00726497" w:rsidRDefault="00D41EA2" w:rsidP="00726497">
      <w:pPr>
        <w:pStyle w:val="ESSubparaHeader"/>
      </w:pPr>
      <w:r>
        <w:t>Therefore, the</w:t>
      </w:r>
      <w:r w:rsidR="00726497">
        <w:t xml:space="preserve"> purpose of the instrument is to specify under </w:t>
      </w:r>
      <w:r w:rsidR="00634ABD">
        <w:t>subregulation</w:t>
      </w:r>
      <w:r w:rsidR="00726497">
        <w:t xml:space="preserve"> 5.40(1) of the Regulations: </w:t>
      </w:r>
    </w:p>
    <w:p w14:paraId="3900A7E8" w14:textId="6DDB484A" w:rsidR="00726497" w:rsidRDefault="00726497" w:rsidP="00726497">
      <w:pPr>
        <w:pStyle w:val="ESSubparaList"/>
      </w:pPr>
      <w:r>
        <w:t xml:space="preserve">the fees payable to TRA for </w:t>
      </w:r>
      <w:r w:rsidR="001C67A5">
        <w:t xml:space="preserve">an </w:t>
      </w:r>
      <w:r>
        <w:t xml:space="preserve">application to TRA for </w:t>
      </w:r>
      <w:r w:rsidR="008F019C">
        <w:t>assessment</w:t>
      </w:r>
      <w:r>
        <w:t xml:space="preserve"> of a person’s </w:t>
      </w:r>
      <w:r w:rsidR="008F019C">
        <w:t xml:space="preserve">occupational qualifications, experience, or both, and educational qualifications under paragraphs </w:t>
      </w:r>
      <w:r w:rsidR="001C67A5">
        <w:t>5.40(1)</w:t>
      </w:r>
      <w:r w:rsidR="008F019C">
        <w:t>(a) and (b)</w:t>
      </w:r>
      <w:r w:rsidR="001C67A5">
        <w:t xml:space="preserve"> of the Regulations</w:t>
      </w:r>
      <w:r w:rsidR="008F019C">
        <w:t xml:space="preserve">; and </w:t>
      </w:r>
    </w:p>
    <w:p w14:paraId="653DBEED" w14:textId="3C2A09CA" w:rsidR="008B24C8" w:rsidRPr="00B92F92" w:rsidRDefault="008F019C" w:rsidP="00B92F92">
      <w:pPr>
        <w:pStyle w:val="ESSubparaList"/>
      </w:pPr>
      <w:r>
        <w:lastRenderedPageBreak/>
        <w:t xml:space="preserve">the fees payable to TRA for an application for the internal review of an assessment under paragraph </w:t>
      </w:r>
      <w:r w:rsidR="001C67A5">
        <w:t>5.40(1)</w:t>
      </w:r>
      <w:r>
        <w:t>(c)</w:t>
      </w:r>
      <w:r w:rsidR="001C67A5">
        <w:t xml:space="preserve"> of the Regulations</w:t>
      </w:r>
      <w:r>
        <w:t xml:space="preserve">. </w:t>
      </w:r>
      <w:r w:rsidR="008B24C8" w:rsidRPr="00B92F92">
        <w:rPr>
          <w:color w:val="806000" w:themeColor="accent4" w:themeShade="80"/>
        </w:rPr>
        <w:t xml:space="preserve"> </w:t>
      </w:r>
    </w:p>
    <w:p w14:paraId="0CD266A3" w14:textId="77777777" w:rsidR="008B24C8" w:rsidRPr="00DB36FF" w:rsidRDefault="008B24C8" w:rsidP="00100DFC">
      <w:pPr>
        <w:pStyle w:val="ESHeading"/>
      </w:pPr>
      <w:r w:rsidRPr="00DB36FF">
        <w:t>Consultation</w:t>
      </w:r>
    </w:p>
    <w:p w14:paraId="58211841" w14:textId="7B641E64" w:rsidR="00DB36FF" w:rsidRDefault="00DB36FF" w:rsidP="009655C4">
      <w:pPr>
        <w:pStyle w:val="ESPara"/>
      </w:pPr>
      <w:r>
        <w:t>In determining changes, TRA undertook a comprehensive review of the program’s cost drivers, including public consultation on the Cost Recovery Implementation Statement between 5 August and 12 August 2022 which did not have a material impact on the policy.</w:t>
      </w:r>
    </w:p>
    <w:p w14:paraId="4AEEE6F3" w14:textId="469F8656" w:rsidR="00DB36FF" w:rsidRPr="00FE77DA" w:rsidRDefault="00DB36FF" w:rsidP="00FE77DA">
      <w:pPr>
        <w:pStyle w:val="ESSubparaList"/>
      </w:pPr>
      <w:r>
        <w:t xml:space="preserve">Four responses were </w:t>
      </w:r>
      <w:r w:rsidR="008D5D85">
        <w:t xml:space="preserve">received during the consultation process – two from TRA contracted Registered Training Organisations seeking clarity on service deed payments, and two suggesting minor future transparency and review arrangements to ensure direct and indirect costs charged to the sector are minimised. </w:t>
      </w:r>
    </w:p>
    <w:p w14:paraId="269D97D4" w14:textId="76E9CDA3" w:rsidR="009655C4" w:rsidRPr="009655C4" w:rsidRDefault="00902D54" w:rsidP="009655C4">
      <w:pPr>
        <w:pStyle w:val="ESPara"/>
      </w:pPr>
      <w:r>
        <w:rPr>
          <w:color w:val="000000" w:themeColor="text1"/>
        </w:rPr>
        <w:t xml:space="preserve">The Office of Impact Analysis (OIA) (previously known as </w:t>
      </w:r>
      <w:r w:rsidRPr="008B24C8">
        <w:t>Office o</w:t>
      </w:r>
      <w:r>
        <w:t>f Best Practice Regulation (OBPR)) was consulted and considered that the instrument</w:t>
      </w:r>
      <w:r w:rsidRPr="008B24C8">
        <w:t xml:space="preserve"> </w:t>
      </w:r>
      <w:r>
        <w:t xml:space="preserve">is unlikely to have a more than minor regulatory impact. As such, </w:t>
      </w:r>
      <w:r w:rsidR="00906BC1">
        <w:t xml:space="preserve">an </w:t>
      </w:r>
      <w:r>
        <w:t xml:space="preserve">impact </w:t>
      </w:r>
      <w:r w:rsidR="00846D75">
        <w:t>analysis</w:t>
      </w:r>
      <w:r>
        <w:t xml:space="preserve"> is not required (OBPR reference number </w:t>
      </w:r>
      <w:r>
        <w:rPr>
          <w:rFonts w:eastAsia="Times New Roman"/>
        </w:rPr>
        <w:t>OBPR22-03786).</w:t>
      </w:r>
    </w:p>
    <w:p w14:paraId="54332F5E" w14:textId="56FF9901" w:rsidR="009655C4" w:rsidRPr="009655C4" w:rsidRDefault="009655C4" w:rsidP="009655C4">
      <w:pPr>
        <w:pStyle w:val="ESSubparaHeader"/>
        <w:numPr>
          <w:ilvl w:val="0"/>
          <w:numId w:val="0"/>
        </w:numPr>
        <w:rPr>
          <w:b/>
          <w:i/>
        </w:rPr>
      </w:pPr>
      <w:r w:rsidRPr="009655C4">
        <w:rPr>
          <w:b/>
          <w:i/>
        </w:rPr>
        <w:t>Details of the instrument</w:t>
      </w:r>
    </w:p>
    <w:p w14:paraId="5FE2095B" w14:textId="084D1DE2" w:rsidR="009655C4" w:rsidRPr="009655C4" w:rsidRDefault="009655C4" w:rsidP="009655C4">
      <w:pPr>
        <w:pStyle w:val="ESPara"/>
      </w:pPr>
      <w:r>
        <w:t xml:space="preserve">Details of the instrument are set out in </w:t>
      </w:r>
      <w:r>
        <w:rPr>
          <w:b/>
          <w:u w:val="single"/>
        </w:rPr>
        <w:t>Attachment A.</w:t>
      </w:r>
    </w:p>
    <w:p w14:paraId="1AB84542" w14:textId="77777777" w:rsidR="00AA4557" w:rsidRPr="00AA4557" w:rsidRDefault="00AA4557" w:rsidP="00100DFC">
      <w:pPr>
        <w:pStyle w:val="ESHeading"/>
      </w:pPr>
      <w:r>
        <w:t xml:space="preserve">Parliamentary scrutiny etc.  </w:t>
      </w:r>
    </w:p>
    <w:p w14:paraId="4E08B40D" w14:textId="75600929" w:rsidR="00E03DCC" w:rsidRDefault="00E03DCC" w:rsidP="002D167E">
      <w:pPr>
        <w:pStyle w:val="ESPara"/>
      </w:pPr>
      <w:r>
        <w:t xml:space="preserve">The instrument is exempt from disallowance under section 42 of the Legislation Act.  This is because </w:t>
      </w:r>
      <w:r w:rsidR="009655C4">
        <w:t xml:space="preserve">it is an instrument made under Part 5 of the Regulations, which is prescribed in paragraph (b) of item 20 of the table in </w:t>
      </w:r>
      <w:r>
        <w:t xml:space="preserve">section 10 of the </w:t>
      </w:r>
      <w:r>
        <w:rPr>
          <w:i/>
        </w:rPr>
        <w:t>Legislation (Exemptions and Other Matters) Regulation 2015</w:t>
      </w:r>
      <w:r w:rsidR="009655C4">
        <w:t>.</w:t>
      </w:r>
    </w:p>
    <w:p w14:paraId="3EF04564" w14:textId="59CC753C" w:rsidR="00B75478" w:rsidRDefault="009655C4" w:rsidP="002D167E">
      <w:pPr>
        <w:pStyle w:val="ESPara"/>
      </w:pPr>
      <w:r w:rsidRPr="00574A98">
        <w:t>The</w:t>
      </w:r>
      <w:r>
        <w:rPr>
          <w:b/>
          <w:color w:val="806000" w:themeColor="accent4" w:themeShade="80"/>
        </w:rPr>
        <w:t xml:space="preserve"> </w:t>
      </w:r>
      <w:r w:rsidR="00B75478">
        <w:t xml:space="preserve">instrument was made by </w:t>
      </w:r>
      <w:r w:rsidR="00E94E62">
        <w:t>the</w:t>
      </w:r>
      <w:r>
        <w:t xml:space="preserve"> Minister for Immigration, Citizenship and Multicultural Affairs </w:t>
      </w:r>
      <w:r w:rsidR="00B75478">
        <w:t xml:space="preserve">in accordance with </w:t>
      </w:r>
      <w:r>
        <w:t xml:space="preserve">subregulation 5.40(1) of the Regulations. </w:t>
      </w:r>
    </w:p>
    <w:p w14:paraId="22A2F209" w14:textId="77777777" w:rsidR="007E4691" w:rsidRDefault="007E4691" w:rsidP="00915032">
      <w:pPr>
        <w:rPr>
          <w:rFonts w:ascii="Times New Roman" w:hAnsi="Times New Roman" w:cs="Times New Roman"/>
        </w:rPr>
      </w:pPr>
      <w:r>
        <w:rPr>
          <w:rFonts w:ascii="Times New Roman" w:hAnsi="Times New Roman" w:cs="Times New Roman"/>
        </w:rPr>
        <w:br w:type="page"/>
      </w:r>
    </w:p>
    <w:p w14:paraId="125DC6C9" w14:textId="39516419" w:rsidR="004F5CE4" w:rsidRDefault="009655C4" w:rsidP="00100DFC">
      <w:pPr>
        <w:pStyle w:val="ESAttAttName"/>
      </w:pPr>
      <w:r>
        <w:lastRenderedPageBreak/>
        <w:t>Attachment A</w:t>
      </w:r>
    </w:p>
    <w:p w14:paraId="329FC4D8" w14:textId="2D9219D2" w:rsidR="007E4691" w:rsidRPr="00BB0CF2" w:rsidRDefault="007E4691" w:rsidP="00100DFC">
      <w:pPr>
        <w:pStyle w:val="ESAttHeading"/>
      </w:pPr>
      <w:r>
        <w:t>Details of the</w:t>
      </w:r>
      <w:r w:rsidRPr="00100DFC">
        <w:rPr>
          <w:i/>
        </w:rPr>
        <w:t xml:space="preserve"> </w:t>
      </w:r>
      <w:r w:rsidR="008B4A27" w:rsidRPr="004B54C2">
        <w:rPr>
          <w:i/>
        </w:rPr>
        <w:t>Migration (Fees for assessment of qualifications and experience) Instrument (LIN 23/002) 2023</w:t>
      </w:r>
    </w:p>
    <w:p w14:paraId="364F524F" w14:textId="77777777" w:rsidR="007E4691" w:rsidRDefault="007E4691" w:rsidP="00100DFC">
      <w:pPr>
        <w:pStyle w:val="ESAttHeading"/>
        <w:rPr>
          <w:b w:val="0"/>
        </w:rPr>
      </w:pPr>
      <w:r>
        <w:t>Section 1</w:t>
      </w:r>
      <w:r>
        <w:tab/>
        <w:t>Name</w:t>
      </w:r>
    </w:p>
    <w:p w14:paraId="7DA661D6" w14:textId="1000ACAE" w:rsidR="007E4691" w:rsidRDefault="007E4691" w:rsidP="00100DFC">
      <w:pPr>
        <w:pStyle w:val="ESAttNormal"/>
      </w:pPr>
      <w:r>
        <w:t xml:space="preserve">This section provides that the name of the instrument is the </w:t>
      </w:r>
      <w:r w:rsidR="009655C4" w:rsidRPr="004B54C2">
        <w:rPr>
          <w:i/>
        </w:rPr>
        <w:t>Migration (Fees for assessment of qualifications and experience) Instrument (LIN 23/002) 2023</w:t>
      </w:r>
      <w:r w:rsidR="009655C4">
        <w:t xml:space="preserve"> </w:t>
      </w:r>
      <w:r>
        <w:t xml:space="preserve">(the instrument).  </w:t>
      </w:r>
    </w:p>
    <w:p w14:paraId="73045AC8" w14:textId="77777777" w:rsidR="007E4691" w:rsidRDefault="007E4691" w:rsidP="00100DFC">
      <w:pPr>
        <w:pStyle w:val="ESAttHeading"/>
        <w:rPr>
          <w:b w:val="0"/>
        </w:rPr>
      </w:pPr>
      <w:r>
        <w:t>Section 2</w:t>
      </w:r>
      <w:r>
        <w:tab/>
        <w:t>Commencement</w:t>
      </w:r>
    </w:p>
    <w:p w14:paraId="091B973B" w14:textId="1AFBF0EE" w:rsidR="00915032" w:rsidRDefault="007E4691" w:rsidP="00100DFC">
      <w:pPr>
        <w:pStyle w:val="ESAttNormal"/>
      </w:pPr>
      <w:r>
        <w:t xml:space="preserve">This section provides that the instrument commences on the day </w:t>
      </w:r>
      <w:r w:rsidRPr="004F5CE4">
        <w:t xml:space="preserve">after registration of the instrument on the Federal Register of </w:t>
      </w:r>
      <w:r w:rsidR="004B223B">
        <w:t xml:space="preserve">Legislation. </w:t>
      </w:r>
    </w:p>
    <w:p w14:paraId="02856D8E" w14:textId="635E9F36" w:rsidR="005A3733" w:rsidRDefault="00915032" w:rsidP="005A3733">
      <w:pPr>
        <w:pStyle w:val="ESAttHeading"/>
      </w:pPr>
      <w:r>
        <w:t>Section 3</w:t>
      </w:r>
      <w:r>
        <w:tab/>
      </w:r>
      <w:r w:rsidR="004B223B">
        <w:t>Repeal</w:t>
      </w:r>
    </w:p>
    <w:p w14:paraId="2A29276E" w14:textId="02BB30A8" w:rsidR="004B223B" w:rsidRDefault="004B223B" w:rsidP="005A3733">
      <w:pPr>
        <w:pStyle w:val="ESAttHeading"/>
        <w:rPr>
          <w:b w:val="0"/>
        </w:rPr>
      </w:pPr>
      <w:r>
        <w:rPr>
          <w:b w:val="0"/>
        </w:rPr>
        <w:t>Section 3 provides that</w:t>
      </w:r>
      <w:r w:rsidRPr="004B223B">
        <w:rPr>
          <w:b w:val="0"/>
        </w:rPr>
        <w:t xml:space="preserve"> </w:t>
      </w:r>
      <w:r w:rsidRPr="004B223B">
        <w:rPr>
          <w:b w:val="0"/>
          <w:i/>
        </w:rPr>
        <w:t>Migration (Fees for assessment of qualifications and experience) Instrument (LIN 21/023) 202</w:t>
      </w:r>
      <w:r w:rsidR="006F57EF">
        <w:rPr>
          <w:b w:val="0"/>
          <w:i/>
        </w:rPr>
        <w:t>1</w:t>
      </w:r>
      <w:r w:rsidRPr="00AF331A">
        <w:rPr>
          <w:i/>
        </w:rPr>
        <w:t xml:space="preserve"> </w:t>
      </w:r>
      <w:r w:rsidRPr="004B223B">
        <w:rPr>
          <w:b w:val="0"/>
        </w:rPr>
        <w:t>is repealed</w:t>
      </w:r>
      <w:r w:rsidR="00FC2906">
        <w:rPr>
          <w:b w:val="0"/>
        </w:rPr>
        <w:t xml:space="preserve">. </w:t>
      </w:r>
      <w:r>
        <w:rPr>
          <w:b w:val="0"/>
        </w:rPr>
        <w:t xml:space="preserve">This is because it is being replaced by operative provisions of this instrument. </w:t>
      </w:r>
    </w:p>
    <w:p w14:paraId="648CB7F8" w14:textId="23064ACA" w:rsidR="0061022B" w:rsidRDefault="0061022B" w:rsidP="00100DFC">
      <w:pPr>
        <w:pStyle w:val="ESAttHeading"/>
      </w:pPr>
      <w:r>
        <w:t>Section 4</w:t>
      </w:r>
      <w:r>
        <w:tab/>
      </w:r>
      <w:r w:rsidR="00B85E6E">
        <w:t>Savings and t</w:t>
      </w:r>
      <w:r w:rsidR="006F5435">
        <w:t>ransitional provisions</w:t>
      </w:r>
    </w:p>
    <w:p w14:paraId="63A46CE9" w14:textId="11753A9B" w:rsidR="006F5435" w:rsidRDefault="004A166F" w:rsidP="00100DFC">
      <w:pPr>
        <w:pStyle w:val="ESAttHeading"/>
        <w:rPr>
          <w:b w:val="0"/>
        </w:rPr>
      </w:pPr>
      <w:r>
        <w:rPr>
          <w:b w:val="0"/>
        </w:rPr>
        <w:t>Sub</w:t>
      </w:r>
      <w:r w:rsidR="006F5435">
        <w:rPr>
          <w:b w:val="0"/>
        </w:rPr>
        <w:t>section 4</w:t>
      </w:r>
      <w:r>
        <w:rPr>
          <w:b w:val="0"/>
        </w:rPr>
        <w:t>(1)</w:t>
      </w:r>
      <w:r w:rsidR="006F5435">
        <w:rPr>
          <w:b w:val="0"/>
        </w:rPr>
        <w:t xml:space="preserve"> provides </w:t>
      </w:r>
      <w:r>
        <w:rPr>
          <w:b w:val="0"/>
        </w:rPr>
        <w:t>that</w:t>
      </w:r>
      <w:r w:rsidR="00020C89">
        <w:rPr>
          <w:b w:val="0"/>
        </w:rPr>
        <w:t xml:space="preserve"> a person who</w:t>
      </w:r>
      <w:r w:rsidR="006F5435">
        <w:rPr>
          <w:b w:val="0"/>
        </w:rPr>
        <w:t>:</w:t>
      </w:r>
    </w:p>
    <w:p w14:paraId="4616F2B8" w14:textId="5A11C152" w:rsidR="006F5435" w:rsidRDefault="006F5435" w:rsidP="00FE77DA">
      <w:pPr>
        <w:pStyle w:val="ESAttHeading"/>
        <w:numPr>
          <w:ilvl w:val="0"/>
          <w:numId w:val="8"/>
        </w:numPr>
        <w:rPr>
          <w:b w:val="0"/>
        </w:rPr>
      </w:pPr>
      <w:r>
        <w:rPr>
          <w:b w:val="0"/>
        </w:rPr>
        <w:t xml:space="preserve">applied for </w:t>
      </w:r>
      <w:r w:rsidR="00057EBE">
        <w:rPr>
          <w:b w:val="0"/>
        </w:rPr>
        <w:t xml:space="preserve">a </w:t>
      </w:r>
      <w:r>
        <w:rPr>
          <w:b w:val="0"/>
        </w:rPr>
        <w:t xml:space="preserve">Job Ready </w:t>
      </w:r>
      <w:r w:rsidR="00057EBE">
        <w:rPr>
          <w:b w:val="0"/>
        </w:rPr>
        <w:t xml:space="preserve">Program </w:t>
      </w:r>
      <w:r>
        <w:rPr>
          <w:b w:val="0"/>
        </w:rPr>
        <w:t>Employment</w:t>
      </w:r>
      <w:r w:rsidR="00057EBE">
        <w:rPr>
          <w:b w:val="0"/>
        </w:rPr>
        <w:t xml:space="preserve"> Assessment</w:t>
      </w:r>
      <w:r>
        <w:rPr>
          <w:b w:val="0"/>
        </w:rPr>
        <w:t xml:space="preserve"> on or before the date 3 months prior to the commen</w:t>
      </w:r>
      <w:r w:rsidR="00020C89">
        <w:rPr>
          <w:b w:val="0"/>
        </w:rPr>
        <w:t xml:space="preserve">cement date of this instrument; </w:t>
      </w:r>
      <w:r>
        <w:rPr>
          <w:b w:val="0"/>
        </w:rPr>
        <w:t xml:space="preserve">and </w:t>
      </w:r>
    </w:p>
    <w:p w14:paraId="50BC039D" w14:textId="68E191CA" w:rsidR="00C049FF" w:rsidRPr="00846D75" w:rsidRDefault="006F5435" w:rsidP="00846D75">
      <w:pPr>
        <w:pStyle w:val="ESAttHeading"/>
        <w:numPr>
          <w:ilvl w:val="0"/>
          <w:numId w:val="8"/>
        </w:numPr>
        <w:rPr>
          <w:b w:val="0"/>
        </w:rPr>
      </w:pPr>
      <w:r>
        <w:rPr>
          <w:b w:val="0"/>
        </w:rPr>
        <w:t xml:space="preserve">has submitted their application </w:t>
      </w:r>
      <w:r w:rsidR="00020C89">
        <w:rPr>
          <w:b w:val="0"/>
        </w:rPr>
        <w:t xml:space="preserve">and paid for </w:t>
      </w:r>
      <w:r w:rsidR="00051BE7">
        <w:rPr>
          <w:b w:val="0"/>
        </w:rPr>
        <w:t xml:space="preserve">a </w:t>
      </w:r>
      <w:r w:rsidR="00020C89">
        <w:rPr>
          <w:b w:val="0"/>
        </w:rPr>
        <w:t xml:space="preserve">Job Ready </w:t>
      </w:r>
      <w:r w:rsidR="00051BE7">
        <w:rPr>
          <w:b w:val="0"/>
        </w:rPr>
        <w:t xml:space="preserve">Program </w:t>
      </w:r>
      <w:r w:rsidR="00020C89">
        <w:rPr>
          <w:b w:val="0"/>
        </w:rPr>
        <w:t xml:space="preserve">Workplace Assessment on or before 30 </w:t>
      </w:r>
      <w:r w:rsidR="003E69BB">
        <w:rPr>
          <w:b w:val="0"/>
        </w:rPr>
        <w:t xml:space="preserve">September </w:t>
      </w:r>
      <w:r w:rsidR="00020C89">
        <w:rPr>
          <w:b w:val="0"/>
        </w:rPr>
        <w:t>2023</w:t>
      </w:r>
      <w:r w:rsidR="00846D75">
        <w:rPr>
          <w:b w:val="0"/>
        </w:rPr>
        <w:t>;</w:t>
      </w:r>
    </w:p>
    <w:p w14:paraId="22281034" w14:textId="693A17A7" w:rsidR="00020C89" w:rsidRDefault="00020C89" w:rsidP="00020C89">
      <w:pPr>
        <w:pStyle w:val="ESAttHeading"/>
        <w:rPr>
          <w:b w:val="0"/>
        </w:rPr>
      </w:pPr>
      <w:r>
        <w:rPr>
          <w:b w:val="0"/>
        </w:rPr>
        <w:t xml:space="preserve">is permitted to pay the lower fee for a Job Ready Workplace Assessment specified </w:t>
      </w:r>
      <w:r w:rsidR="00227FE6">
        <w:rPr>
          <w:b w:val="0"/>
        </w:rPr>
        <w:t xml:space="preserve">in LIN 21/023. </w:t>
      </w:r>
    </w:p>
    <w:p w14:paraId="74AA5B93" w14:textId="30A2E22D" w:rsidR="00227FE6" w:rsidRPr="00FE77DA" w:rsidRDefault="00227FE6" w:rsidP="00020C89">
      <w:pPr>
        <w:pStyle w:val="ESAttHeading"/>
        <w:rPr>
          <w:b w:val="0"/>
        </w:rPr>
      </w:pPr>
      <w:r>
        <w:rPr>
          <w:b w:val="0"/>
        </w:rPr>
        <w:t>S</w:t>
      </w:r>
      <w:r w:rsidR="004A166F">
        <w:rPr>
          <w:b w:val="0"/>
        </w:rPr>
        <w:t>ubs</w:t>
      </w:r>
      <w:r>
        <w:rPr>
          <w:b w:val="0"/>
        </w:rPr>
        <w:t>ection 4(2) further provides that the fee for an application for an assessment</w:t>
      </w:r>
      <w:r w:rsidR="006F57EF">
        <w:rPr>
          <w:b w:val="0"/>
        </w:rPr>
        <w:t xml:space="preserve"> </w:t>
      </w:r>
      <w:r>
        <w:rPr>
          <w:b w:val="0"/>
        </w:rPr>
        <w:t xml:space="preserve">or for internal review of an assessment made before the commencement of this instrument is the amount specified for the relevant assessment or internal review in LIN 21/023. </w:t>
      </w:r>
    </w:p>
    <w:p w14:paraId="59F59CF5" w14:textId="4E30F808" w:rsidR="00915032" w:rsidRDefault="005A3733" w:rsidP="00100DFC">
      <w:pPr>
        <w:pStyle w:val="ESAttHeading"/>
      </w:pPr>
      <w:r>
        <w:t xml:space="preserve">Section </w:t>
      </w:r>
      <w:r w:rsidR="006F5435">
        <w:t>5</w:t>
      </w:r>
      <w:r w:rsidR="00915032">
        <w:tab/>
      </w:r>
      <w:r w:rsidR="004B223B">
        <w:t>Fees for Trades Recognition Australia assessment</w:t>
      </w:r>
    </w:p>
    <w:p w14:paraId="00BB6D48" w14:textId="3D2A8420" w:rsidR="004B223B" w:rsidRDefault="004B223B" w:rsidP="004B223B">
      <w:pPr>
        <w:pStyle w:val="ESPara"/>
        <w:numPr>
          <w:ilvl w:val="0"/>
          <w:numId w:val="0"/>
        </w:numPr>
      </w:pPr>
      <w:r>
        <w:t xml:space="preserve">This section specifies the fees payable to TRA for assessment of a person’s qualifications for paragraphs 5.40(1)(a) and (b) of the Regulations. The instrument amends </w:t>
      </w:r>
      <w:r w:rsidR="006F57EF">
        <w:t>the fees payable under the following items</w:t>
      </w:r>
      <w:r>
        <w:t>:</w:t>
      </w:r>
    </w:p>
    <w:p w14:paraId="315C10DD" w14:textId="66E11F99" w:rsidR="004B223B" w:rsidRDefault="004B223B" w:rsidP="004B223B">
      <w:pPr>
        <w:pStyle w:val="ESPara"/>
        <w:numPr>
          <w:ilvl w:val="0"/>
          <w:numId w:val="5"/>
        </w:numPr>
      </w:pPr>
      <w:r>
        <w:t>Item 1 (Migrat</w:t>
      </w:r>
      <w:r w:rsidR="00E16E2D">
        <w:t>ion Skills Assessment) – increase</w:t>
      </w:r>
      <w:r>
        <w:t xml:space="preserve"> to $795 from $720;</w:t>
      </w:r>
    </w:p>
    <w:p w14:paraId="33FFC07C" w14:textId="1182F1EA" w:rsidR="004B223B" w:rsidRPr="009655C4" w:rsidRDefault="004B223B" w:rsidP="004B223B">
      <w:pPr>
        <w:pStyle w:val="ESPara"/>
        <w:numPr>
          <w:ilvl w:val="0"/>
          <w:numId w:val="5"/>
        </w:numPr>
      </w:pPr>
      <w:r>
        <w:t>Item 2 (</w:t>
      </w:r>
      <w:r w:rsidRPr="0037044A">
        <w:t>Points Advice (based on a satisfactory Migration Skills Assessment Outcome)</w:t>
      </w:r>
      <w:r w:rsidR="00051BE7">
        <w:t>)</w:t>
      </w:r>
      <w:r w:rsidR="00E16E2D">
        <w:t xml:space="preserve"> –</w:t>
      </w:r>
      <w:r>
        <w:t xml:space="preserve"> </w:t>
      </w:r>
      <w:r w:rsidR="00E16E2D">
        <w:t>increase</w:t>
      </w:r>
      <w:r>
        <w:t xml:space="preserve"> to </w:t>
      </w:r>
      <w:r w:rsidRPr="009655C4">
        <w:t xml:space="preserve">$450 from $410; </w:t>
      </w:r>
    </w:p>
    <w:p w14:paraId="35600ABB" w14:textId="71401F68" w:rsidR="004B223B" w:rsidRDefault="004B223B" w:rsidP="004B223B">
      <w:pPr>
        <w:pStyle w:val="ESPara"/>
        <w:numPr>
          <w:ilvl w:val="0"/>
          <w:numId w:val="5"/>
        </w:numPr>
      </w:pPr>
      <w:r w:rsidRPr="009655C4">
        <w:t>Item 3 (Job Ready Program Provisional Skills Assessment)</w:t>
      </w:r>
      <w:r w:rsidR="00E16E2D">
        <w:t xml:space="preserve"> – decrease</w:t>
      </w:r>
      <w:r>
        <w:t xml:space="preserve"> to $130 from $200;</w:t>
      </w:r>
    </w:p>
    <w:p w14:paraId="3D8169BF" w14:textId="7AE5713A" w:rsidR="004B223B" w:rsidRDefault="004B223B" w:rsidP="004B223B">
      <w:pPr>
        <w:pStyle w:val="ESPara"/>
        <w:numPr>
          <w:ilvl w:val="0"/>
          <w:numId w:val="5"/>
        </w:numPr>
      </w:pPr>
      <w:r>
        <w:t>Item 4 (Job Ready Program Employment Assessment)</w:t>
      </w:r>
      <w:r w:rsidR="00E16E2D">
        <w:t xml:space="preserve"> – </w:t>
      </w:r>
      <w:r>
        <w:t xml:space="preserve">increase to $490 from $450; </w:t>
      </w:r>
    </w:p>
    <w:p w14:paraId="4B71EFC9" w14:textId="443A7FC2" w:rsidR="004B223B" w:rsidRDefault="004B223B" w:rsidP="004B223B">
      <w:pPr>
        <w:pStyle w:val="ESPara"/>
        <w:numPr>
          <w:ilvl w:val="0"/>
          <w:numId w:val="5"/>
        </w:numPr>
      </w:pPr>
      <w:r>
        <w:t>Item 5 (Job Ready Program Workplace Assessment</w:t>
      </w:r>
      <w:r w:rsidR="00E16E2D">
        <w:t xml:space="preserve">) – </w:t>
      </w:r>
      <w:r>
        <w:t xml:space="preserve">increase to $2,845 from $2,540; </w:t>
      </w:r>
    </w:p>
    <w:p w14:paraId="2E99DBE2" w14:textId="122BDBC4" w:rsidR="004B223B" w:rsidRDefault="004B223B" w:rsidP="004B223B">
      <w:pPr>
        <w:pStyle w:val="ESPara"/>
        <w:numPr>
          <w:ilvl w:val="0"/>
          <w:numId w:val="5"/>
        </w:numPr>
      </w:pPr>
      <w:r>
        <w:lastRenderedPageBreak/>
        <w:t>Item 6 (Job Ready Program Final Assessment)</w:t>
      </w:r>
      <w:r w:rsidR="00E16E2D">
        <w:t xml:space="preserve"> – </w:t>
      </w:r>
      <w:r>
        <w:t xml:space="preserve">increase to $75 from $65; and </w:t>
      </w:r>
    </w:p>
    <w:p w14:paraId="423E5BC7" w14:textId="35A3AD01" w:rsidR="004B223B" w:rsidRDefault="004B223B" w:rsidP="004B223B">
      <w:pPr>
        <w:pStyle w:val="ESPara"/>
        <w:numPr>
          <w:ilvl w:val="0"/>
          <w:numId w:val="5"/>
        </w:numPr>
      </w:pPr>
      <w:r>
        <w:t>Item 7 (TSS Skills Assessment Program</w:t>
      </w:r>
      <w:r w:rsidRPr="001C3851">
        <w:t xml:space="preserve"> Documentary Evidence </w:t>
      </w:r>
      <w:r>
        <w:t>Assessment</w:t>
      </w:r>
      <w:r w:rsidR="00E16E2D">
        <w:t xml:space="preserve">) – </w:t>
      </w:r>
      <w:r>
        <w:t xml:space="preserve">decrease to $1,120 from $1,280. </w:t>
      </w:r>
    </w:p>
    <w:p w14:paraId="6330D707" w14:textId="52440533" w:rsidR="00227FE6" w:rsidRDefault="00227FE6" w:rsidP="004B223B">
      <w:pPr>
        <w:pStyle w:val="ESPara"/>
        <w:numPr>
          <w:ilvl w:val="0"/>
          <w:numId w:val="5"/>
        </w:numPr>
      </w:pPr>
      <w:r>
        <w:t>Item 15 (</w:t>
      </w:r>
      <w:r w:rsidRPr="001C3851">
        <w:t xml:space="preserve">Offshore Skills Assessment Program Documentary Evidence </w:t>
      </w:r>
      <w:r>
        <w:t xml:space="preserve">Assessment) – decrease to $1,120 from $1,280. </w:t>
      </w:r>
    </w:p>
    <w:p w14:paraId="31FC575B" w14:textId="47A81CA7" w:rsidR="00915032" w:rsidRDefault="004B223B" w:rsidP="004B223B">
      <w:pPr>
        <w:pStyle w:val="ESAttHeading"/>
      </w:pPr>
      <w:r>
        <w:t xml:space="preserve">Section </w:t>
      </w:r>
      <w:r w:rsidR="006F5435">
        <w:t>6</w:t>
      </w:r>
      <w:r w:rsidR="00915032">
        <w:tab/>
      </w:r>
      <w:r w:rsidR="0092270C">
        <w:t xml:space="preserve">Fees for internal review of assessment  </w:t>
      </w:r>
    </w:p>
    <w:p w14:paraId="5A6C3B40" w14:textId="231B8E4D" w:rsidR="00E16E2D" w:rsidRDefault="00915032" w:rsidP="00100DFC">
      <w:pPr>
        <w:pStyle w:val="ESAttNormal"/>
      </w:pPr>
      <w:r>
        <w:t>This section</w:t>
      </w:r>
      <w:r w:rsidR="0092270C">
        <w:t xml:space="preserve"> </w:t>
      </w:r>
      <w:r w:rsidR="00E16E2D">
        <w:t>specifies the fees payable to TRA for an internal review of an assessment of a person’s qualifications for paragraph 5.40(1)(c) of the Regulations. The instrument amends fee</w:t>
      </w:r>
      <w:r w:rsidR="00051BE7">
        <w:t>s</w:t>
      </w:r>
      <w:r w:rsidR="00E16E2D">
        <w:t xml:space="preserve"> payable </w:t>
      </w:r>
      <w:r w:rsidR="006F57EF">
        <w:t>under the following items</w:t>
      </w:r>
      <w:r w:rsidR="00E16E2D">
        <w:t xml:space="preserve">: </w:t>
      </w:r>
    </w:p>
    <w:p w14:paraId="38B0186C" w14:textId="1CF09CAE" w:rsidR="00915032" w:rsidRDefault="00E16E2D" w:rsidP="00E16E2D">
      <w:pPr>
        <w:pStyle w:val="ESAttNormal"/>
        <w:numPr>
          <w:ilvl w:val="0"/>
          <w:numId w:val="7"/>
        </w:numPr>
      </w:pPr>
      <w:r>
        <w:t>Item 1 (</w:t>
      </w:r>
      <w:r w:rsidRPr="00F977EB">
        <w:t>Migration Skills Assessment</w:t>
      </w:r>
      <w:r>
        <w:t xml:space="preserve">) – decrease to $610 from $645; </w:t>
      </w:r>
    </w:p>
    <w:p w14:paraId="2BE10FA7" w14:textId="19694679" w:rsidR="00E16E2D" w:rsidRDefault="00E16E2D" w:rsidP="00E16E2D">
      <w:pPr>
        <w:pStyle w:val="ESAttNormal"/>
        <w:numPr>
          <w:ilvl w:val="0"/>
          <w:numId w:val="7"/>
        </w:numPr>
      </w:pPr>
      <w:r>
        <w:t>Item 2 (</w:t>
      </w:r>
      <w:r w:rsidRPr="00F977EB">
        <w:t>Migration Points Advice</w:t>
      </w:r>
      <w:r>
        <w:t>) – increase to $375 from $350; and</w:t>
      </w:r>
    </w:p>
    <w:p w14:paraId="01EB4748" w14:textId="59B512B7" w:rsidR="00E16E2D" w:rsidRPr="00915032" w:rsidRDefault="00E16E2D" w:rsidP="00E16E2D">
      <w:pPr>
        <w:pStyle w:val="ESAttNormal"/>
        <w:numPr>
          <w:ilvl w:val="0"/>
          <w:numId w:val="7"/>
        </w:numPr>
      </w:pPr>
      <w:r>
        <w:t>Item 3 (</w:t>
      </w:r>
      <w:r w:rsidRPr="00C27F8A">
        <w:t>Job Ready Program Provisional Skills Assessment</w:t>
      </w:r>
      <w:r>
        <w:t>) – decrease to $1</w:t>
      </w:r>
      <w:r w:rsidR="00227FE6">
        <w:t>3</w:t>
      </w:r>
      <w:r>
        <w:t xml:space="preserve">0 from $200. </w:t>
      </w:r>
    </w:p>
    <w:p w14:paraId="7A34B996" w14:textId="2ED950CA" w:rsidR="009655C4" w:rsidRDefault="009655C4" w:rsidP="00E16E2D">
      <w:pPr>
        <w:pStyle w:val="ESPara"/>
        <w:numPr>
          <w:ilvl w:val="0"/>
          <w:numId w:val="0"/>
        </w:numPr>
        <w:ind w:left="567" w:hanging="567"/>
      </w:pPr>
    </w:p>
    <w:p w14:paraId="7D23581E" w14:textId="77777777" w:rsidR="009655C4" w:rsidRPr="00915032" w:rsidRDefault="009655C4" w:rsidP="00100DFC">
      <w:pPr>
        <w:pStyle w:val="ESAttNormal"/>
        <w:rPr>
          <w:b/>
        </w:rPr>
      </w:pPr>
    </w:p>
    <w:sectPr w:rsidR="009655C4" w:rsidRPr="00915032" w:rsidSect="004F5CE4">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2EC75" w14:textId="77777777" w:rsidR="00FC466F" w:rsidRDefault="00FC466F" w:rsidP="006F57EF">
      <w:pPr>
        <w:spacing w:after="0" w:line="240" w:lineRule="auto"/>
      </w:pPr>
      <w:r>
        <w:separator/>
      </w:r>
    </w:p>
  </w:endnote>
  <w:endnote w:type="continuationSeparator" w:id="0">
    <w:p w14:paraId="39E5EEE2" w14:textId="77777777" w:rsidR="00FC466F" w:rsidRDefault="00FC466F" w:rsidP="006F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D686E" w14:textId="77777777" w:rsidR="00FC466F" w:rsidRDefault="00FC466F" w:rsidP="006F57EF">
      <w:pPr>
        <w:spacing w:after="0" w:line="240" w:lineRule="auto"/>
      </w:pPr>
      <w:r>
        <w:separator/>
      </w:r>
    </w:p>
  </w:footnote>
  <w:footnote w:type="continuationSeparator" w:id="0">
    <w:p w14:paraId="3196B0B0" w14:textId="77777777" w:rsidR="00FC466F" w:rsidRDefault="00FC466F" w:rsidP="006F5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3618"/>
    <w:multiLevelType w:val="hybridMultilevel"/>
    <w:tmpl w:val="DB8C0DA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98B28F4"/>
    <w:multiLevelType w:val="hybridMultilevel"/>
    <w:tmpl w:val="C4AC6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9690197"/>
    <w:multiLevelType w:val="hybridMultilevel"/>
    <w:tmpl w:val="53E28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E162F4"/>
    <w:multiLevelType w:val="hybridMultilevel"/>
    <w:tmpl w:val="ED462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num>
  <w:num w:numId="4">
    <w:abstractNumId w:val="3"/>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E8"/>
    <w:rsid w:val="00020C89"/>
    <w:rsid w:val="00051BE7"/>
    <w:rsid w:val="00056BC5"/>
    <w:rsid w:val="00057EBE"/>
    <w:rsid w:val="000B3EAB"/>
    <w:rsid w:val="000C453C"/>
    <w:rsid w:val="000D014F"/>
    <w:rsid w:val="000F0DAE"/>
    <w:rsid w:val="000F214E"/>
    <w:rsid w:val="000F47FD"/>
    <w:rsid w:val="00100DFC"/>
    <w:rsid w:val="00115891"/>
    <w:rsid w:val="00126675"/>
    <w:rsid w:val="00184536"/>
    <w:rsid w:val="00190BDA"/>
    <w:rsid w:val="0019164E"/>
    <w:rsid w:val="001C67A5"/>
    <w:rsid w:val="00227FE6"/>
    <w:rsid w:val="00237070"/>
    <w:rsid w:val="002402E0"/>
    <w:rsid w:val="002748F4"/>
    <w:rsid w:val="0028630E"/>
    <w:rsid w:val="002B339E"/>
    <w:rsid w:val="002C3E1D"/>
    <w:rsid w:val="002D167E"/>
    <w:rsid w:val="002F23C9"/>
    <w:rsid w:val="00314391"/>
    <w:rsid w:val="00345788"/>
    <w:rsid w:val="003E69BB"/>
    <w:rsid w:val="00440EFC"/>
    <w:rsid w:val="004510D4"/>
    <w:rsid w:val="00457D4A"/>
    <w:rsid w:val="00464080"/>
    <w:rsid w:val="00490616"/>
    <w:rsid w:val="004A166F"/>
    <w:rsid w:val="004B223B"/>
    <w:rsid w:val="004F5CE4"/>
    <w:rsid w:val="00560B24"/>
    <w:rsid w:val="0057002B"/>
    <w:rsid w:val="00574A98"/>
    <w:rsid w:val="005A3733"/>
    <w:rsid w:val="00604E06"/>
    <w:rsid w:val="0061022B"/>
    <w:rsid w:val="00634ABD"/>
    <w:rsid w:val="006C33A4"/>
    <w:rsid w:val="006E1F57"/>
    <w:rsid w:val="006E4948"/>
    <w:rsid w:val="006F5435"/>
    <w:rsid w:val="006F57EF"/>
    <w:rsid w:val="00726497"/>
    <w:rsid w:val="007375F0"/>
    <w:rsid w:val="00750F7E"/>
    <w:rsid w:val="007A6059"/>
    <w:rsid w:val="007B5539"/>
    <w:rsid w:val="007E4691"/>
    <w:rsid w:val="00846D75"/>
    <w:rsid w:val="008573D5"/>
    <w:rsid w:val="0088407D"/>
    <w:rsid w:val="008B24C8"/>
    <w:rsid w:val="008B4A27"/>
    <w:rsid w:val="008D5D85"/>
    <w:rsid w:val="008F019C"/>
    <w:rsid w:val="00902D54"/>
    <w:rsid w:val="00906BC1"/>
    <w:rsid w:val="00915032"/>
    <w:rsid w:val="0092270C"/>
    <w:rsid w:val="009655C4"/>
    <w:rsid w:val="009C409E"/>
    <w:rsid w:val="00AA4557"/>
    <w:rsid w:val="00AA4F77"/>
    <w:rsid w:val="00AB49B8"/>
    <w:rsid w:val="00B445D9"/>
    <w:rsid w:val="00B659B5"/>
    <w:rsid w:val="00B65A06"/>
    <w:rsid w:val="00B74BD5"/>
    <w:rsid w:val="00B75478"/>
    <w:rsid w:val="00B85E6E"/>
    <w:rsid w:val="00B92F92"/>
    <w:rsid w:val="00BB022E"/>
    <w:rsid w:val="00BB0CF2"/>
    <w:rsid w:val="00BB3B88"/>
    <w:rsid w:val="00BB7A4C"/>
    <w:rsid w:val="00BD598E"/>
    <w:rsid w:val="00BD7EE9"/>
    <w:rsid w:val="00BE3E7F"/>
    <w:rsid w:val="00C049FF"/>
    <w:rsid w:val="00C75060"/>
    <w:rsid w:val="00C81A5E"/>
    <w:rsid w:val="00C930F2"/>
    <w:rsid w:val="00D40E1E"/>
    <w:rsid w:val="00D41EA2"/>
    <w:rsid w:val="00D500D5"/>
    <w:rsid w:val="00DB36FF"/>
    <w:rsid w:val="00DF6059"/>
    <w:rsid w:val="00E03DCC"/>
    <w:rsid w:val="00E04452"/>
    <w:rsid w:val="00E05116"/>
    <w:rsid w:val="00E16E2D"/>
    <w:rsid w:val="00E35A37"/>
    <w:rsid w:val="00E45FE2"/>
    <w:rsid w:val="00E907E8"/>
    <w:rsid w:val="00E94E62"/>
    <w:rsid w:val="00EA12C9"/>
    <w:rsid w:val="00F02172"/>
    <w:rsid w:val="00F71C3E"/>
    <w:rsid w:val="00F960D3"/>
    <w:rsid w:val="00FA7B9A"/>
    <w:rsid w:val="00FC2906"/>
    <w:rsid w:val="00FC466F"/>
    <w:rsid w:val="00FE0FEE"/>
    <w:rsid w:val="00FE77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E4D532"/>
  <w15:chartTrackingRefBased/>
  <w15:docId w15:val="{071B07DF-909D-4E5C-A5BA-D4DDB8FF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8F019C"/>
    <w:rPr>
      <w:sz w:val="16"/>
      <w:szCs w:val="16"/>
    </w:rPr>
  </w:style>
  <w:style w:type="paragraph" w:styleId="CommentText">
    <w:name w:val="annotation text"/>
    <w:basedOn w:val="Normal"/>
    <w:link w:val="CommentTextChar"/>
    <w:uiPriority w:val="99"/>
    <w:semiHidden/>
    <w:unhideWhenUsed/>
    <w:rsid w:val="008F019C"/>
    <w:pPr>
      <w:spacing w:line="240" w:lineRule="auto"/>
    </w:pPr>
    <w:rPr>
      <w:sz w:val="20"/>
      <w:szCs w:val="20"/>
    </w:rPr>
  </w:style>
  <w:style w:type="character" w:customStyle="1" w:styleId="CommentTextChar">
    <w:name w:val="Comment Text Char"/>
    <w:basedOn w:val="DefaultParagraphFont"/>
    <w:link w:val="CommentText"/>
    <w:uiPriority w:val="99"/>
    <w:semiHidden/>
    <w:rsid w:val="008F019C"/>
    <w:rPr>
      <w:sz w:val="20"/>
      <w:szCs w:val="20"/>
    </w:rPr>
  </w:style>
  <w:style w:type="paragraph" w:styleId="CommentSubject">
    <w:name w:val="annotation subject"/>
    <w:basedOn w:val="CommentText"/>
    <w:next w:val="CommentText"/>
    <w:link w:val="CommentSubjectChar"/>
    <w:uiPriority w:val="99"/>
    <w:semiHidden/>
    <w:unhideWhenUsed/>
    <w:rsid w:val="008F019C"/>
    <w:rPr>
      <w:b/>
      <w:bCs/>
    </w:rPr>
  </w:style>
  <w:style w:type="character" w:customStyle="1" w:styleId="CommentSubjectChar">
    <w:name w:val="Comment Subject Char"/>
    <w:basedOn w:val="CommentTextChar"/>
    <w:link w:val="CommentSubject"/>
    <w:uiPriority w:val="99"/>
    <w:semiHidden/>
    <w:rsid w:val="008F019C"/>
    <w:rPr>
      <w:b/>
      <w:bCs/>
      <w:sz w:val="20"/>
      <w:szCs w:val="20"/>
    </w:rPr>
  </w:style>
  <w:style w:type="paragraph" w:styleId="BalloonText">
    <w:name w:val="Balloon Text"/>
    <w:basedOn w:val="Normal"/>
    <w:link w:val="BalloonTextChar"/>
    <w:uiPriority w:val="99"/>
    <w:semiHidden/>
    <w:unhideWhenUsed/>
    <w:rsid w:val="008F0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19C"/>
    <w:rPr>
      <w:rFonts w:ascii="Segoe UI" w:hAnsi="Segoe UI" w:cs="Segoe UI"/>
      <w:sz w:val="18"/>
      <w:szCs w:val="18"/>
    </w:rPr>
  </w:style>
  <w:style w:type="paragraph" w:styleId="Revision">
    <w:name w:val="Revision"/>
    <w:hidden/>
    <w:uiPriority w:val="99"/>
    <w:semiHidden/>
    <w:rsid w:val="0028630E"/>
    <w:pPr>
      <w:spacing w:after="0" w:line="240" w:lineRule="auto"/>
    </w:pPr>
  </w:style>
  <w:style w:type="paragraph" w:styleId="Header">
    <w:name w:val="header"/>
    <w:basedOn w:val="Normal"/>
    <w:link w:val="HeaderChar"/>
    <w:uiPriority w:val="99"/>
    <w:unhideWhenUsed/>
    <w:rsid w:val="006F5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7EF"/>
  </w:style>
  <w:style w:type="paragraph" w:styleId="Footer">
    <w:name w:val="footer"/>
    <w:basedOn w:val="Normal"/>
    <w:link w:val="FooterChar"/>
    <w:uiPriority w:val="99"/>
    <w:unhideWhenUsed/>
    <w:rsid w:val="006F5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B9B00-0117-43CB-B754-A113EFB9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6172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LEE</dc:creator>
  <cp:keywords/>
  <dc:description/>
  <cp:lastModifiedBy>Yo-ru LEE</cp:lastModifiedBy>
  <cp:revision>2</cp:revision>
  <dcterms:created xsi:type="dcterms:W3CDTF">2023-03-22T05:59:00Z</dcterms:created>
  <dcterms:modified xsi:type="dcterms:W3CDTF">2023-03-22T05:59:00Z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2e48c-f0e0-48fb-b5c1-02479cac7f09_Enabled">
    <vt:lpwstr>true</vt:lpwstr>
  </property>
  <property fmtid="{D5CDD505-2E9C-101B-9397-08002B2CF9AE}" pid="3" name="MSIP_Label_1112e48c-f0e0-48fb-b5c1-02479cac7f09_SetDate">
    <vt:lpwstr>2023-02-16T21:56:56Z</vt:lpwstr>
  </property>
  <property fmtid="{D5CDD505-2E9C-101B-9397-08002B2CF9AE}" pid="4" name="MSIP_Label_1112e48c-f0e0-48fb-b5c1-02479cac7f09_Method">
    <vt:lpwstr>Privileged</vt:lpwstr>
  </property>
  <property fmtid="{D5CDD505-2E9C-101B-9397-08002B2CF9AE}" pid="5" name="MSIP_Label_1112e48c-f0e0-48fb-b5c1-02479cac7f09_Name">
    <vt:lpwstr>b3bff2a6679e</vt:lpwstr>
  </property>
  <property fmtid="{D5CDD505-2E9C-101B-9397-08002B2CF9AE}" pid="6" name="MSIP_Label_1112e48c-f0e0-48fb-b5c1-02479cac7f09_SiteId">
    <vt:lpwstr>dd0cfd15-4558-4b12-8bad-ea26984fc417</vt:lpwstr>
  </property>
  <property fmtid="{D5CDD505-2E9C-101B-9397-08002B2CF9AE}" pid="7" name="MSIP_Label_1112e48c-f0e0-48fb-b5c1-02479cac7f09_ActionId">
    <vt:lpwstr>721e3f15-0e7c-49c3-bcdd-df415006e853</vt:lpwstr>
  </property>
  <property fmtid="{D5CDD505-2E9C-101B-9397-08002B2CF9AE}" pid="8" name="MSIP_Label_1112e48c-f0e0-48fb-b5c1-02479cac7f09_ContentBits">
    <vt:lpwstr>3</vt:lpwstr>
  </property>
</Properties>
</file>