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E311" w14:textId="76FAED71" w:rsidR="001F2A16" w:rsidRPr="00F04F17" w:rsidRDefault="001F2A16" w:rsidP="00DB4A34">
      <w:pPr>
        <w:pStyle w:val="Header"/>
        <w:pBdr>
          <w:top w:val="single" w:sz="4" w:space="1" w:color="auto"/>
        </w:pBdr>
        <w:tabs>
          <w:tab w:val="clear" w:pos="4153"/>
          <w:tab w:val="clear" w:pos="8306"/>
        </w:tabs>
        <w:spacing w:after="360"/>
        <w:jc w:val="center"/>
        <w:rPr>
          <w:rFonts w:ascii="Arial" w:hAnsi="Arial" w:cs="Arial"/>
          <w:sz w:val="34"/>
          <w:szCs w:val="34"/>
        </w:rPr>
      </w:pPr>
      <w:r w:rsidRPr="00F04F17">
        <w:rPr>
          <w:rFonts w:ascii="Arial" w:hAnsi="Arial" w:cs="Arial"/>
          <w:sz w:val="34"/>
          <w:szCs w:val="34"/>
        </w:rPr>
        <w:t>Explanatory Statement</w:t>
      </w:r>
    </w:p>
    <w:p w14:paraId="22EAB18F" w14:textId="1F4190E0" w:rsidR="0099555F" w:rsidRPr="00C06BEA" w:rsidRDefault="00D76587" w:rsidP="00C06BEA">
      <w:pPr>
        <w:pStyle w:val="Header"/>
        <w:pBdr>
          <w:bottom w:val="single" w:sz="4" w:space="1" w:color="auto"/>
        </w:pBdr>
        <w:tabs>
          <w:tab w:val="clear" w:pos="4153"/>
          <w:tab w:val="clear" w:pos="8306"/>
        </w:tabs>
        <w:spacing w:after="120"/>
        <w:jc w:val="center"/>
        <w:rPr>
          <w:rFonts w:ascii="Arial" w:hAnsi="Arial" w:cs="Arial"/>
          <w:sz w:val="34"/>
          <w:szCs w:val="34"/>
        </w:rPr>
      </w:pPr>
      <w:r>
        <w:rPr>
          <w:rFonts w:ascii="Arial" w:hAnsi="Arial" w:cs="Arial"/>
          <w:sz w:val="34"/>
          <w:szCs w:val="34"/>
        </w:rPr>
        <w:t>A</w:t>
      </w:r>
      <w:r w:rsidRPr="00C04DCF">
        <w:rPr>
          <w:rFonts w:ascii="Arial" w:hAnsi="Arial" w:cs="Arial"/>
          <w:sz w:val="34"/>
          <w:szCs w:val="34"/>
        </w:rPr>
        <w:t xml:space="preserve"> New </w:t>
      </w:r>
      <w:r>
        <w:rPr>
          <w:rFonts w:ascii="Arial" w:hAnsi="Arial" w:cs="Arial"/>
          <w:sz w:val="34"/>
          <w:szCs w:val="34"/>
        </w:rPr>
        <w:t>Tax System (</w:t>
      </w:r>
      <w:r w:rsidR="00C06BEA" w:rsidRPr="00C06BEA">
        <w:rPr>
          <w:rFonts w:ascii="Arial" w:hAnsi="Arial" w:cs="Arial"/>
          <w:sz w:val="34"/>
          <w:szCs w:val="34"/>
        </w:rPr>
        <w:t>Goods and Services Tax</w:t>
      </w:r>
      <w:r>
        <w:rPr>
          <w:rFonts w:ascii="Arial" w:hAnsi="Arial" w:cs="Arial"/>
          <w:sz w:val="34"/>
          <w:szCs w:val="34"/>
        </w:rPr>
        <w:t>)</w:t>
      </w:r>
      <w:r w:rsidR="00C06BEA" w:rsidRPr="00C06BEA">
        <w:rPr>
          <w:rFonts w:ascii="Arial" w:hAnsi="Arial" w:cs="Arial"/>
          <w:sz w:val="34"/>
          <w:szCs w:val="34"/>
        </w:rPr>
        <w:t>: Waiver of Tax Invoice Requirement (Offer Documents and Renewal Notices) Determination 2023</w:t>
      </w:r>
    </w:p>
    <w:p w14:paraId="20AA7F23" w14:textId="77777777" w:rsidR="001F2A16" w:rsidRPr="00DB4A34" w:rsidRDefault="001F2A16" w:rsidP="00DB4A34">
      <w:pPr>
        <w:pStyle w:val="Header"/>
        <w:tabs>
          <w:tab w:val="clear" w:pos="4153"/>
          <w:tab w:val="clear" w:pos="8306"/>
        </w:tabs>
        <w:spacing w:after="120"/>
        <w:rPr>
          <w:rFonts w:ascii="Arial" w:hAnsi="Arial" w:cs="Arial"/>
          <w:sz w:val="22"/>
          <w:szCs w:val="22"/>
        </w:rPr>
      </w:pPr>
    </w:p>
    <w:p w14:paraId="47DC206E" w14:textId="0A849F4A" w:rsidR="00486653" w:rsidRPr="00F04F17" w:rsidRDefault="00486653" w:rsidP="00F04F17">
      <w:pPr>
        <w:pStyle w:val="Heading2"/>
        <w:rPr>
          <w:rFonts w:cs="Arial"/>
          <w:szCs w:val="22"/>
        </w:rPr>
      </w:pPr>
      <w:r w:rsidRPr="00F04F17">
        <w:rPr>
          <w:rFonts w:cs="Arial"/>
          <w:szCs w:val="22"/>
        </w:rPr>
        <w:t xml:space="preserve">General </w:t>
      </w:r>
      <w:r w:rsidR="0015780B" w:rsidRPr="00F04F17">
        <w:rPr>
          <w:rFonts w:cs="Arial"/>
          <w:szCs w:val="22"/>
        </w:rPr>
        <w:t>o</w:t>
      </w:r>
      <w:r w:rsidRPr="00F04F17">
        <w:rPr>
          <w:rFonts w:cs="Arial"/>
          <w:szCs w:val="22"/>
        </w:rPr>
        <w:t xml:space="preserve">utline of </w:t>
      </w:r>
      <w:r w:rsidR="00F9427D">
        <w:rPr>
          <w:rFonts w:cs="Arial"/>
          <w:szCs w:val="22"/>
        </w:rPr>
        <w:t>d</w:t>
      </w:r>
      <w:r w:rsidR="0063489F">
        <w:rPr>
          <w:rFonts w:cs="Arial"/>
          <w:szCs w:val="22"/>
        </w:rPr>
        <w:t>etermination</w:t>
      </w:r>
    </w:p>
    <w:p w14:paraId="62D4F712" w14:textId="64986740" w:rsidR="0063489F" w:rsidRPr="0063489F" w:rsidRDefault="0063489F" w:rsidP="00D11A54">
      <w:pPr>
        <w:numPr>
          <w:ilvl w:val="0"/>
          <w:numId w:val="16"/>
        </w:numPr>
        <w:spacing w:after="120"/>
        <w:ind w:hanging="720"/>
        <w:rPr>
          <w:rFonts w:ascii="Arial" w:hAnsi="Arial" w:cs="Arial"/>
          <w:bCs/>
          <w:sz w:val="22"/>
          <w:szCs w:val="22"/>
        </w:rPr>
      </w:pPr>
      <w:r w:rsidRPr="0063489F">
        <w:rPr>
          <w:rFonts w:ascii="Arial" w:hAnsi="Arial" w:cs="Arial"/>
          <w:bCs/>
          <w:sz w:val="22"/>
          <w:szCs w:val="22"/>
        </w:rPr>
        <w:t xml:space="preserve">This determination is made under </w:t>
      </w:r>
      <w:r w:rsidR="00D0227D" w:rsidRPr="00D0227D">
        <w:rPr>
          <w:rFonts w:ascii="Arial" w:hAnsi="Arial" w:cs="Arial"/>
          <w:bCs/>
          <w:sz w:val="22"/>
          <w:szCs w:val="22"/>
        </w:rPr>
        <w:t>subsection 29-10(3)</w:t>
      </w:r>
      <w:r w:rsidR="00D0227D">
        <w:rPr>
          <w:rFonts w:ascii="Arial" w:hAnsi="Arial" w:cs="Arial"/>
          <w:bCs/>
          <w:sz w:val="22"/>
          <w:szCs w:val="22"/>
        </w:rPr>
        <w:t xml:space="preserve"> </w:t>
      </w:r>
      <w:r w:rsidRPr="0063489F">
        <w:rPr>
          <w:rFonts w:ascii="Arial" w:hAnsi="Arial" w:cs="Arial"/>
          <w:bCs/>
          <w:sz w:val="22"/>
          <w:szCs w:val="22"/>
        </w:rPr>
        <w:t xml:space="preserve">of the </w:t>
      </w:r>
      <w:bookmarkStart w:id="0" w:name="_Hlk115423593"/>
      <w:r w:rsidRPr="0063489F">
        <w:rPr>
          <w:rFonts w:ascii="Arial" w:hAnsi="Arial" w:cs="Arial"/>
          <w:bCs/>
          <w:i/>
          <w:iCs/>
          <w:sz w:val="22"/>
          <w:szCs w:val="22"/>
        </w:rPr>
        <w:t>A</w:t>
      </w:r>
      <w:r w:rsidRPr="00C04DCF">
        <w:rPr>
          <w:rFonts w:ascii="Arial" w:hAnsi="Arial" w:cs="Arial"/>
          <w:bCs/>
          <w:i/>
          <w:iCs/>
          <w:sz w:val="22"/>
          <w:szCs w:val="22"/>
        </w:rPr>
        <w:t xml:space="preserve"> New </w:t>
      </w:r>
      <w:r w:rsidRPr="0063489F">
        <w:rPr>
          <w:rFonts w:ascii="Arial" w:hAnsi="Arial" w:cs="Arial"/>
          <w:bCs/>
          <w:i/>
          <w:iCs/>
          <w:sz w:val="22"/>
          <w:szCs w:val="22"/>
        </w:rPr>
        <w:t>Tax System (Goods and Services Tax) Act 1999</w:t>
      </w:r>
      <w:r w:rsidRPr="0063489F">
        <w:rPr>
          <w:rFonts w:ascii="Arial" w:hAnsi="Arial" w:cs="Arial"/>
          <w:bCs/>
          <w:sz w:val="22"/>
          <w:szCs w:val="22"/>
        </w:rPr>
        <w:t xml:space="preserve"> </w:t>
      </w:r>
      <w:bookmarkEnd w:id="0"/>
      <w:r w:rsidRPr="0063489F">
        <w:rPr>
          <w:rFonts w:ascii="Arial" w:hAnsi="Arial" w:cs="Arial"/>
          <w:bCs/>
          <w:sz w:val="22"/>
          <w:szCs w:val="22"/>
        </w:rPr>
        <w:t>(</w:t>
      </w:r>
      <w:r w:rsidR="00C04DCF">
        <w:rPr>
          <w:rFonts w:ascii="Arial" w:hAnsi="Arial" w:cs="Arial"/>
          <w:bCs/>
          <w:sz w:val="22"/>
          <w:szCs w:val="22"/>
        </w:rPr>
        <w:t xml:space="preserve">the </w:t>
      </w:r>
      <w:r w:rsidRPr="0063489F">
        <w:rPr>
          <w:rFonts w:ascii="Arial" w:hAnsi="Arial" w:cs="Arial"/>
          <w:bCs/>
          <w:sz w:val="22"/>
          <w:szCs w:val="22"/>
        </w:rPr>
        <w:t>Act).</w:t>
      </w:r>
    </w:p>
    <w:p w14:paraId="1D17EAB0" w14:textId="4B4E2F11" w:rsidR="00D0227D" w:rsidRPr="00795B5A" w:rsidRDefault="003223EE" w:rsidP="00D11A54">
      <w:pPr>
        <w:numPr>
          <w:ilvl w:val="0"/>
          <w:numId w:val="16"/>
        </w:numPr>
        <w:spacing w:after="120"/>
        <w:ind w:hanging="720"/>
        <w:rPr>
          <w:rFonts w:ascii="Arial" w:hAnsi="Arial" w:cs="Arial"/>
          <w:bCs/>
          <w:sz w:val="22"/>
          <w:szCs w:val="22"/>
        </w:rPr>
      </w:pPr>
      <w:r w:rsidRPr="003223EE">
        <w:rPr>
          <w:rFonts w:ascii="Arial" w:hAnsi="Arial" w:cs="Arial"/>
          <w:sz w:val="22"/>
          <w:szCs w:val="22"/>
        </w:rPr>
        <w:t>This determination waives the requirement to hold a tax invoice when the recipient holds an offer document or a renewal notice that meets the requirements prescribed in this determination</w:t>
      </w:r>
      <w:r>
        <w:rPr>
          <w:rFonts w:ascii="Arial" w:hAnsi="Arial" w:cs="Arial"/>
          <w:sz w:val="22"/>
          <w:szCs w:val="22"/>
        </w:rPr>
        <w:t>.</w:t>
      </w:r>
    </w:p>
    <w:p w14:paraId="71E012EE" w14:textId="4B6F33C8" w:rsidR="00795B5A" w:rsidRPr="00D0227D" w:rsidRDefault="00795B5A" w:rsidP="00D11A54">
      <w:pPr>
        <w:numPr>
          <w:ilvl w:val="0"/>
          <w:numId w:val="16"/>
        </w:numPr>
        <w:spacing w:after="120"/>
        <w:ind w:hanging="720"/>
        <w:rPr>
          <w:rFonts w:ascii="Arial" w:hAnsi="Arial" w:cs="Arial"/>
          <w:bCs/>
          <w:sz w:val="22"/>
          <w:szCs w:val="22"/>
        </w:rPr>
      </w:pPr>
      <w:r w:rsidRPr="00795B5A">
        <w:rPr>
          <w:rFonts w:ascii="Arial" w:hAnsi="Arial" w:cs="Arial"/>
          <w:bCs/>
          <w:sz w:val="22"/>
          <w:szCs w:val="22"/>
        </w:rPr>
        <w:t>This determination replaces</w:t>
      </w:r>
      <w:r w:rsidR="00C04DCF">
        <w:rPr>
          <w:rFonts w:ascii="Arial" w:hAnsi="Arial" w:cs="Arial"/>
          <w:bCs/>
          <w:sz w:val="22"/>
          <w:szCs w:val="22"/>
        </w:rPr>
        <w:t xml:space="preserve"> </w:t>
      </w:r>
      <w:r w:rsidRPr="00795B5A">
        <w:rPr>
          <w:rFonts w:ascii="Arial" w:hAnsi="Arial" w:cs="Arial"/>
          <w:bCs/>
          <w:i/>
          <w:iCs/>
          <w:sz w:val="22"/>
          <w:szCs w:val="22"/>
        </w:rPr>
        <w:t>A</w:t>
      </w:r>
      <w:r w:rsidRPr="00C04DCF">
        <w:rPr>
          <w:rFonts w:ascii="Arial" w:hAnsi="Arial" w:cs="Arial"/>
          <w:bCs/>
          <w:i/>
          <w:iCs/>
          <w:sz w:val="22"/>
          <w:szCs w:val="22"/>
        </w:rPr>
        <w:t xml:space="preserve"> New </w:t>
      </w:r>
      <w:r w:rsidRPr="00795B5A">
        <w:rPr>
          <w:rFonts w:ascii="Arial" w:hAnsi="Arial" w:cs="Arial"/>
          <w:bCs/>
          <w:i/>
          <w:iCs/>
          <w:sz w:val="22"/>
          <w:szCs w:val="22"/>
        </w:rPr>
        <w:t>Tax System (Goods and Services Tax) Waiver of Tax Invoice Requirement (Offer Documents and Renewal Notices) Legislative Instrument 2013</w:t>
      </w:r>
      <w:r>
        <w:rPr>
          <w:rFonts w:ascii="Arial" w:hAnsi="Arial" w:cs="Arial"/>
          <w:bCs/>
          <w:i/>
          <w:iCs/>
          <w:sz w:val="22"/>
          <w:szCs w:val="22"/>
        </w:rPr>
        <w:t>.</w:t>
      </w:r>
    </w:p>
    <w:p w14:paraId="1066840E" w14:textId="0EEFE293" w:rsidR="0063489F" w:rsidRPr="00932435" w:rsidRDefault="0063489F" w:rsidP="00D11A54">
      <w:pPr>
        <w:numPr>
          <w:ilvl w:val="0"/>
          <w:numId w:val="16"/>
        </w:numPr>
        <w:spacing w:after="120"/>
        <w:ind w:hanging="720"/>
        <w:rPr>
          <w:rFonts w:ascii="Arial" w:hAnsi="Arial" w:cs="Arial"/>
          <w:bCs/>
          <w:sz w:val="22"/>
          <w:szCs w:val="22"/>
        </w:rPr>
      </w:pPr>
      <w:r w:rsidRPr="0063489F">
        <w:rPr>
          <w:rFonts w:ascii="Arial" w:hAnsi="Arial" w:cs="Arial"/>
          <w:sz w:val="22"/>
          <w:szCs w:val="22"/>
        </w:rPr>
        <w:t xml:space="preserve">The determination is a legislative instrument for the purposes of the </w:t>
      </w:r>
      <w:r w:rsidRPr="0063489F">
        <w:rPr>
          <w:rFonts w:ascii="Arial" w:hAnsi="Arial" w:cs="Arial"/>
          <w:i/>
          <w:sz w:val="22"/>
          <w:szCs w:val="22"/>
        </w:rPr>
        <w:t>Legislation Act 2003</w:t>
      </w:r>
      <w:r w:rsidRPr="0063489F">
        <w:rPr>
          <w:rFonts w:ascii="Arial" w:hAnsi="Arial" w:cs="Arial"/>
          <w:iCs/>
          <w:sz w:val="22"/>
          <w:szCs w:val="22"/>
        </w:rPr>
        <w:t>.</w:t>
      </w:r>
    </w:p>
    <w:p w14:paraId="4565BC52" w14:textId="77777777" w:rsidR="00C31939" w:rsidRDefault="00932435" w:rsidP="00932435">
      <w:pPr>
        <w:numPr>
          <w:ilvl w:val="0"/>
          <w:numId w:val="16"/>
        </w:numPr>
        <w:spacing w:after="120"/>
        <w:ind w:hanging="720"/>
        <w:rPr>
          <w:rFonts w:ascii="Arial" w:hAnsi="Arial" w:cs="Arial"/>
          <w:iCs/>
          <w:sz w:val="22"/>
          <w:szCs w:val="22"/>
        </w:rPr>
      </w:pPr>
      <w:r>
        <w:rPr>
          <w:rFonts w:ascii="Arial" w:hAnsi="Arial" w:cs="Arial"/>
          <w:iCs/>
          <w:sz w:val="22"/>
          <w:szCs w:val="22"/>
        </w:rPr>
        <w:t xml:space="preserve">Under subsection 33(3) of the </w:t>
      </w:r>
      <w:r>
        <w:rPr>
          <w:rFonts w:ascii="Arial" w:hAnsi="Arial" w:cs="Arial"/>
          <w:i/>
          <w:sz w:val="22"/>
          <w:szCs w:val="22"/>
        </w:rPr>
        <w:t>Acts Interpretation A</w:t>
      </w:r>
      <w:r w:rsidR="006E03D7">
        <w:rPr>
          <w:rFonts w:ascii="Arial" w:hAnsi="Arial" w:cs="Arial"/>
          <w:i/>
          <w:sz w:val="22"/>
          <w:szCs w:val="22"/>
        </w:rPr>
        <w:t>c</w:t>
      </w:r>
      <w:r>
        <w:rPr>
          <w:rFonts w:ascii="Arial" w:hAnsi="Arial" w:cs="Arial"/>
          <w:i/>
          <w:sz w:val="22"/>
          <w:szCs w:val="22"/>
        </w:rPr>
        <w:t xml:space="preserve">t 1901, </w:t>
      </w:r>
      <w:r>
        <w:rPr>
          <w:rFonts w:ascii="Arial" w:hAnsi="Arial" w:cs="Arial"/>
          <w:iCs/>
          <w:sz w:val="22"/>
          <w:szCs w:val="22"/>
        </w:rPr>
        <w:t>where an Act confers a power to make, grant or issue any instrument of a legislative or administrative character (including rules, regulations and by-laws) the power shall be construed as including a power exercisable in the like manner and subject to the like conditions (if any) to repeal, rescind, revoke, amend, or vary any such instrument.</w:t>
      </w:r>
    </w:p>
    <w:p w14:paraId="4C744AFA" w14:textId="7803D094" w:rsidR="007C2EE0" w:rsidRPr="00C31939" w:rsidRDefault="007C2EE0" w:rsidP="00C31939">
      <w:pPr>
        <w:spacing w:after="120"/>
        <w:rPr>
          <w:rFonts w:ascii="Arial" w:hAnsi="Arial" w:cs="Arial"/>
          <w:sz w:val="22"/>
          <w:szCs w:val="22"/>
        </w:rPr>
      </w:pPr>
    </w:p>
    <w:p w14:paraId="16375BE5" w14:textId="77777777" w:rsidR="00486653" w:rsidRPr="00F04F17" w:rsidRDefault="00486653" w:rsidP="00F04F17">
      <w:pPr>
        <w:pStyle w:val="Heading2"/>
        <w:rPr>
          <w:rFonts w:cs="Arial"/>
          <w:szCs w:val="22"/>
        </w:rPr>
      </w:pPr>
      <w:r w:rsidRPr="00F04F17">
        <w:rPr>
          <w:rFonts w:cs="Arial"/>
          <w:szCs w:val="22"/>
        </w:rPr>
        <w:t>Date of effect</w:t>
      </w:r>
    </w:p>
    <w:p w14:paraId="64CD15EA" w14:textId="23ADFB1F" w:rsidR="0063489F" w:rsidRPr="00C31939" w:rsidRDefault="0063489F" w:rsidP="00C31939">
      <w:pPr>
        <w:numPr>
          <w:ilvl w:val="0"/>
          <w:numId w:val="16"/>
        </w:numPr>
        <w:spacing w:after="120"/>
        <w:ind w:hanging="720"/>
        <w:rPr>
          <w:rFonts w:ascii="Arial" w:hAnsi="Arial" w:cs="Arial"/>
          <w:iCs/>
          <w:sz w:val="22"/>
          <w:szCs w:val="22"/>
        </w:rPr>
      </w:pPr>
      <w:r w:rsidRPr="00C31939">
        <w:rPr>
          <w:rFonts w:ascii="Arial" w:hAnsi="Arial" w:cs="Arial"/>
          <w:iCs/>
          <w:sz w:val="22"/>
          <w:szCs w:val="22"/>
        </w:rPr>
        <w:t xml:space="preserve">This </w:t>
      </w:r>
      <w:r w:rsidR="00410547" w:rsidRPr="00C31939">
        <w:rPr>
          <w:rFonts w:ascii="Arial" w:hAnsi="Arial" w:cs="Arial"/>
          <w:iCs/>
          <w:sz w:val="22"/>
          <w:szCs w:val="22"/>
        </w:rPr>
        <w:t>d</w:t>
      </w:r>
      <w:r w:rsidRPr="00C31939">
        <w:rPr>
          <w:rFonts w:ascii="Arial" w:hAnsi="Arial" w:cs="Arial"/>
          <w:iCs/>
          <w:sz w:val="22"/>
          <w:szCs w:val="22"/>
        </w:rPr>
        <w:t xml:space="preserve">etermination commences on the day after it is registered on the </w:t>
      </w:r>
      <w:r w:rsidRPr="00C04DCF">
        <w:rPr>
          <w:rFonts w:ascii="Arial" w:hAnsi="Arial" w:cs="Arial"/>
          <w:iCs/>
          <w:sz w:val="22"/>
          <w:szCs w:val="22"/>
        </w:rPr>
        <w:t>Federal</w:t>
      </w:r>
      <w:r w:rsidRPr="00C31939">
        <w:rPr>
          <w:rFonts w:ascii="Arial" w:hAnsi="Arial" w:cs="Arial"/>
          <w:iCs/>
          <w:sz w:val="22"/>
          <w:szCs w:val="22"/>
        </w:rPr>
        <w:t xml:space="preserve"> Register of Legislation.</w:t>
      </w:r>
    </w:p>
    <w:p w14:paraId="2ACE94EA" w14:textId="77777777" w:rsidR="006F4D30" w:rsidRPr="00F04F17" w:rsidRDefault="006F4D30" w:rsidP="00F04F17">
      <w:pPr>
        <w:spacing w:after="120"/>
        <w:rPr>
          <w:rFonts w:ascii="Arial" w:hAnsi="Arial" w:cs="Arial"/>
          <w:sz w:val="22"/>
          <w:szCs w:val="22"/>
        </w:rPr>
      </w:pPr>
    </w:p>
    <w:p w14:paraId="5233A5DB" w14:textId="77777777" w:rsidR="0063489F" w:rsidRPr="0063489F" w:rsidRDefault="0063489F" w:rsidP="0063489F">
      <w:pPr>
        <w:pStyle w:val="Heading2"/>
        <w:rPr>
          <w:szCs w:val="22"/>
        </w:rPr>
      </w:pPr>
      <w:r w:rsidRPr="0063489F">
        <w:rPr>
          <w:szCs w:val="22"/>
        </w:rPr>
        <w:t>Effect of this determination</w:t>
      </w:r>
    </w:p>
    <w:p w14:paraId="6970E7E0" w14:textId="77777777" w:rsidR="00C31939" w:rsidRDefault="00312FAB" w:rsidP="00D14FCE">
      <w:pPr>
        <w:numPr>
          <w:ilvl w:val="0"/>
          <w:numId w:val="16"/>
        </w:numPr>
        <w:spacing w:after="120"/>
        <w:ind w:hanging="720"/>
        <w:rPr>
          <w:rFonts w:ascii="Arial" w:hAnsi="Arial" w:cs="Arial"/>
          <w:iCs/>
          <w:sz w:val="22"/>
          <w:szCs w:val="22"/>
        </w:rPr>
      </w:pPr>
      <w:r w:rsidRPr="00D14FCE">
        <w:rPr>
          <w:rFonts w:ascii="Arial" w:hAnsi="Arial" w:cs="Arial"/>
          <w:iCs/>
          <w:sz w:val="22"/>
          <w:szCs w:val="22"/>
        </w:rPr>
        <w:t xml:space="preserve">This </w:t>
      </w:r>
      <w:r w:rsidR="00410547" w:rsidRPr="00D14FCE">
        <w:rPr>
          <w:rFonts w:ascii="Arial" w:hAnsi="Arial" w:cs="Arial"/>
          <w:iCs/>
          <w:sz w:val="22"/>
          <w:szCs w:val="22"/>
        </w:rPr>
        <w:t>determination</w:t>
      </w:r>
      <w:r w:rsidRPr="00D14FCE">
        <w:rPr>
          <w:rFonts w:ascii="Arial" w:hAnsi="Arial" w:cs="Arial"/>
          <w:iCs/>
          <w:sz w:val="22"/>
          <w:szCs w:val="22"/>
        </w:rPr>
        <w:t xml:space="preserve"> </w:t>
      </w:r>
      <w:r w:rsidR="0010448D" w:rsidRPr="00D14FCE">
        <w:rPr>
          <w:rFonts w:ascii="Arial" w:hAnsi="Arial" w:cs="Arial"/>
          <w:iCs/>
          <w:sz w:val="22"/>
          <w:szCs w:val="22"/>
        </w:rPr>
        <w:t xml:space="preserve">applies to a recipient of a creditable acquisition </w:t>
      </w:r>
      <w:r w:rsidR="00D04B30">
        <w:rPr>
          <w:rFonts w:ascii="Arial" w:hAnsi="Arial" w:cs="Arial"/>
          <w:iCs/>
          <w:sz w:val="22"/>
          <w:szCs w:val="22"/>
        </w:rPr>
        <w:t xml:space="preserve">that </w:t>
      </w:r>
      <w:r w:rsidR="0010448D" w:rsidRPr="00D14FCE">
        <w:rPr>
          <w:rFonts w:ascii="Arial" w:hAnsi="Arial" w:cs="Arial"/>
          <w:iCs/>
          <w:sz w:val="22"/>
          <w:szCs w:val="22"/>
        </w:rPr>
        <w:t>holds an offer document or a renewal notice.</w:t>
      </w:r>
    </w:p>
    <w:p w14:paraId="601D7E72" w14:textId="3A9C482D" w:rsidR="00C31939" w:rsidRDefault="0010448D" w:rsidP="00D14FCE">
      <w:pPr>
        <w:numPr>
          <w:ilvl w:val="0"/>
          <w:numId w:val="16"/>
        </w:numPr>
        <w:spacing w:after="120"/>
        <w:ind w:hanging="720"/>
        <w:rPr>
          <w:rFonts w:ascii="Arial" w:hAnsi="Arial" w:cs="Arial"/>
          <w:iCs/>
          <w:sz w:val="22"/>
          <w:szCs w:val="22"/>
        </w:rPr>
      </w:pPr>
      <w:bookmarkStart w:id="1" w:name="_Hlk115423545"/>
      <w:r w:rsidRPr="00D14FCE">
        <w:rPr>
          <w:rFonts w:ascii="Arial" w:hAnsi="Arial" w:cs="Arial"/>
          <w:iCs/>
          <w:sz w:val="22"/>
          <w:szCs w:val="22"/>
        </w:rPr>
        <w:t xml:space="preserve">This </w:t>
      </w:r>
      <w:r w:rsidR="00410547" w:rsidRPr="00D14FCE">
        <w:rPr>
          <w:rFonts w:ascii="Arial" w:hAnsi="Arial" w:cs="Arial"/>
          <w:iCs/>
          <w:sz w:val="22"/>
          <w:szCs w:val="22"/>
        </w:rPr>
        <w:t>determination</w:t>
      </w:r>
      <w:r w:rsidRPr="00D14FCE">
        <w:rPr>
          <w:rFonts w:ascii="Arial" w:hAnsi="Arial" w:cs="Arial"/>
          <w:iCs/>
          <w:sz w:val="22"/>
          <w:szCs w:val="22"/>
        </w:rPr>
        <w:t xml:space="preserve"> waives the requirement for a recipient to hold a tax invoice </w:t>
      </w:r>
      <w:r w:rsidR="00223255" w:rsidRPr="00D14FCE">
        <w:rPr>
          <w:rFonts w:ascii="Arial" w:hAnsi="Arial" w:cs="Arial"/>
          <w:iCs/>
          <w:sz w:val="22"/>
          <w:szCs w:val="22"/>
        </w:rPr>
        <w:t xml:space="preserve">for a creditable acquisition </w:t>
      </w:r>
      <w:r w:rsidRPr="00D14FCE">
        <w:rPr>
          <w:rFonts w:ascii="Arial" w:hAnsi="Arial" w:cs="Arial"/>
          <w:iCs/>
          <w:sz w:val="22"/>
          <w:szCs w:val="22"/>
        </w:rPr>
        <w:t xml:space="preserve">if the recipient holds an offer document, or a renewal notice, </w:t>
      </w:r>
      <w:r w:rsidR="00D04B30">
        <w:rPr>
          <w:rFonts w:ascii="Arial" w:hAnsi="Arial" w:cs="Arial"/>
          <w:iCs/>
          <w:sz w:val="22"/>
          <w:szCs w:val="22"/>
        </w:rPr>
        <w:t xml:space="preserve">that </w:t>
      </w:r>
      <w:r w:rsidRPr="00D14FCE">
        <w:rPr>
          <w:rFonts w:ascii="Arial" w:hAnsi="Arial" w:cs="Arial"/>
          <w:iCs/>
          <w:sz w:val="22"/>
          <w:szCs w:val="22"/>
        </w:rPr>
        <w:t xml:space="preserve">meets the information requirements </w:t>
      </w:r>
      <w:r w:rsidR="00D04B30">
        <w:rPr>
          <w:rFonts w:ascii="Arial" w:hAnsi="Arial" w:cs="Arial"/>
          <w:iCs/>
          <w:sz w:val="22"/>
          <w:szCs w:val="22"/>
        </w:rPr>
        <w:t xml:space="preserve">specified </w:t>
      </w:r>
      <w:r w:rsidRPr="00D14FCE">
        <w:rPr>
          <w:rFonts w:ascii="Arial" w:hAnsi="Arial" w:cs="Arial"/>
          <w:iCs/>
          <w:sz w:val="22"/>
          <w:szCs w:val="22"/>
        </w:rPr>
        <w:t xml:space="preserve">in this </w:t>
      </w:r>
      <w:r w:rsidR="00410547" w:rsidRPr="00D14FCE">
        <w:rPr>
          <w:rFonts w:ascii="Arial" w:hAnsi="Arial" w:cs="Arial"/>
          <w:iCs/>
          <w:sz w:val="22"/>
          <w:szCs w:val="22"/>
        </w:rPr>
        <w:t>determination</w:t>
      </w:r>
      <w:r w:rsidRPr="00D14FCE">
        <w:rPr>
          <w:rFonts w:ascii="Arial" w:hAnsi="Arial" w:cs="Arial"/>
          <w:iCs/>
          <w:sz w:val="22"/>
          <w:szCs w:val="22"/>
        </w:rPr>
        <w:t>.</w:t>
      </w:r>
    </w:p>
    <w:bookmarkEnd w:id="1"/>
    <w:p w14:paraId="22A4C5B0" w14:textId="2B7C7190" w:rsidR="00C31939" w:rsidRPr="00C31939" w:rsidRDefault="00C31939" w:rsidP="00795B5A">
      <w:pPr>
        <w:spacing w:after="120"/>
        <w:rPr>
          <w:rFonts w:ascii="Arial" w:hAnsi="Arial" w:cs="Arial"/>
          <w:sz w:val="22"/>
          <w:szCs w:val="22"/>
        </w:rPr>
      </w:pPr>
    </w:p>
    <w:p w14:paraId="5D0D15E8" w14:textId="3B901C91" w:rsidR="00795B5A" w:rsidRPr="00BA6447" w:rsidRDefault="00795B5A" w:rsidP="00BA6447">
      <w:pPr>
        <w:pStyle w:val="Heading3"/>
        <w:spacing w:before="0" w:after="120"/>
        <w:rPr>
          <w:i/>
          <w:iCs/>
          <w:sz w:val="22"/>
          <w:szCs w:val="22"/>
        </w:rPr>
      </w:pPr>
      <w:r w:rsidRPr="00BA6447">
        <w:rPr>
          <w:i/>
          <w:iCs/>
          <w:sz w:val="22"/>
          <w:szCs w:val="22"/>
        </w:rPr>
        <w:t>Documents that are merely offers</w:t>
      </w:r>
    </w:p>
    <w:p w14:paraId="5A0E5CF1" w14:textId="218AA271" w:rsidR="00795B5A" w:rsidRPr="000F78A7" w:rsidRDefault="00795B5A" w:rsidP="00D14FCE">
      <w:pPr>
        <w:numPr>
          <w:ilvl w:val="0"/>
          <w:numId w:val="16"/>
        </w:numPr>
        <w:spacing w:after="120"/>
        <w:ind w:hanging="720"/>
        <w:rPr>
          <w:rFonts w:ascii="Arial" w:hAnsi="Arial" w:cs="Arial"/>
          <w:iCs/>
        </w:rPr>
      </w:pPr>
      <w:r w:rsidRPr="00D14FCE">
        <w:rPr>
          <w:rFonts w:ascii="Arial" w:hAnsi="Arial" w:cs="Arial"/>
          <w:iCs/>
          <w:sz w:val="22"/>
          <w:szCs w:val="22"/>
        </w:rPr>
        <w:t xml:space="preserve">A supplier may issue a prospective recipient a document that offers to make a supply. This may, for example, include subscriptions to trade magazines, access to online databases, membership of trade or professional associations, or offers to attend training courses, seminars, or conferences. When they issue the document, the supplier does not know whether the recipient will </w:t>
      </w:r>
      <w:r w:rsidRPr="00D14FCE">
        <w:rPr>
          <w:rFonts w:ascii="Arial" w:hAnsi="Arial" w:cs="Arial"/>
          <w:iCs/>
          <w:sz w:val="22"/>
          <w:szCs w:val="22"/>
        </w:rPr>
        <w:lastRenderedPageBreak/>
        <w:t xml:space="preserve">accept the offer </w:t>
      </w:r>
      <w:r w:rsidR="00D04B30">
        <w:rPr>
          <w:rFonts w:ascii="Arial" w:hAnsi="Arial" w:cs="Arial"/>
          <w:iCs/>
          <w:sz w:val="22"/>
          <w:szCs w:val="22"/>
        </w:rPr>
        <w:t xml:space="preserve">or </w:t>
      </w:r>
      <w:r w:rsidRPr="00D14FCE">
        <w:rPr>
          <w:rFonts w:ascii="Arial" w:hAnsi="Arial" w:cs="Arial"/>
          <w:iCs/>
          <w:sz w:val="22"/>
          <w:szCs w:val="22"/>
        </w:rPr>
        <w:t xml:space="preserve">the supply will proceed. In addition, the offer may give the prospective recipient a choice of supplies or pricing options that may make the final price unknown when the offer is issued. </w:t>
      </w:r>
      <w:r w:rsidR="00B134AE">
        <w:rPr>
          <w:rFonts w:ascii="Arial" w:hAnsi="Arial" w:cs="Arial"/>
          <w:iCs/>
          <w:sz w:val="22"/>
          <w:szCs w:val="22"/>
        </w:rPr>
        <w:t>Due to</w:t>
      </w:r>
      <w:r w:rsidRPr="00D14FCE">
        <w:rPr>
          <w:rFonts w:ascii="Arial" w:hAnsi="Arial" w:cs="Arial"/>
          <w:iCs/>
          <w:sz w:val="22"/>
          <w:szCs w:val="22"/>
        </w:rPr>
        <w:t xml:space="preserve"> these uncertainties, the offer document cannot be a tax invoice when it is issued.</w:t>
      </w:r>
    </w:p>
    <w:p w14:paraId="74106676" w14:textId="5E867E53" w:rsidR="00795B5A" w:rsidRPr="000F78A7" w:rsidRDefault="00223255" w:rsidP="00D14FCE">
      <w:pPr>
        <w:numPr>
          <w:ilvl w:val="0"/>
          <w:numId w:val="16"/>
        </w:numPr>
        <w:spacing w:after="120"/>
        <w:ind w:hanging="720"/>
        <w:rPr>
          <w:rFonts w:ascii="Arial" w:hAnsi="Arial" w:cs="Arial"/>
          <w:iCs/>
        </w:rPr>
      </w:pPr>
      <w:r w:rsidRPr="00D14FCE">
        <w:rPr>
          <w:rFonts w:ascii="Arial" w:hAnsi="Arial" w:cs="Arial"/>
          <w:iCs/>
          <w:sz w:val="22"/>
          <w:szCs w:val="22"/>
        </w:rPr>
        <w:t>This</w:t>
      </w:r>
      <w:r w:rsidR="00795B5A" w:rsidRPr="00D14FCE">
        <w:rPr>
          <w:rFonts w:ascii="Arial" w:hAnsi="Arial" w:cs="Arial"/>
          <w:iCs/>
          <w:sz w:val="22"/>
          <w:szCs w:val="22"/>
        </w:rPr>
        <w:t xml:space="preserve"> </w:t>
      </w:r>
      <w:r w:rsidR="00410547" w:rsidRPr="00D14FCE">
        <w:rPr>
          <w:rFonts w:ascii="Arial" w:hAnsi="Arial" w:cs="Arial"/>
          <w:iCs/>
          <w:sz w:val="22"/>
          <w:szCs w:val="22"/>
        </w:rPr>
        <w:t xml:space="preserve">determination </w:t>
      </w:r>
      <w:r w:rsidRPr="00D14FCE">
        <w:rPr>
          <w:rFonts w:ascii="Arial" w:hAnsi="Arial" w:cs="Arial"/>
          <w:iCs/>
          <w:sz w:val="22"/>
          <w:szCs w:val="22"/>
        </w:rPr>
        <w:t>reduces the administrative burden on</w:t>
      </w:r>
      <w:r w:rsidR="00795B5A" w:rsidRPr="00D14FCE">
        <w:rPr>
          <w:rFonts w:ascii="Arial" w:hAnsi="Arial" w:cs="Arial"/>
          <w:iCs/>
          <w:sz w:val="22"/>
          <w:szCs w:val="22"/>
        </w:rPr>
        <w:t xml:space="preserve"> suppliers </w:t>
      </w:r>
      <w:r w:rsidRPr="00D14FCE">
        <w:rPr>
          <w:rFonts w:ascii="Arial" w:hAnsi="Arial" w:cs="Arial"/>
          <w:iCs/>
          <w:sz w:val="22"/>
          <w:szCs w:val="22"/>
        </w:rPr>
        <w:t>by waiving the requirement to</w:t>
      </w:r>
      <w:r w:rsidR="00795B5A" w:rsidRPr="00D14FCE">
        <w:rPr>
          <w:rFonts w:ascii="Arial" w:hAnsi="Arial" w:cs="Arial"/>
          <w:iCs/>
          <w:sz w:val="22"/>
          <w:szCs w:val="22"/>
        </w:rPr>
        <w:t xml:space="preserve"> issue another document if the offer is accepted. Accordingly, where a recipient or their agent holds an offer document, this instrument </w:t>
      </w:r>
      <w:r w:rsidR="00A15AC8" w:rsidRPr="00D14FCE">
        <w:rPr>
          <w:rFonts w:ascii="Arial" w:hAnsi="Arial" w:cs="Arial"/>
          <w:iCs/>
          <w:sz w:val="22"/>
          <w:szCs w:val="22"/>
        </w:rPr>
        <w:t>allows</w:t>
      </w:r>
      <w:r w:rsidR="00795B5A" w:rsidRPr="00D14FCE">
        <w:rPr>
          <w:rFonts w:ascii="Arial" w:hAnsi="Arial" w:cs="Arial"/>
          <w:iCs/>
          <w:sz w:val="22"/>
          <w:szCs w:val="22"/>
        </w:rPr>
        <w:t xml:space="preserve"> the input tax credit for a creditable acquisition to be attributed at the time the recipient gives their GST return </w:t>
      </w:r>
      <w:r w:rsidR="00B134AE" w:rsidRPr="00D14FCE">
        <w:rPr>
          <w:rFonts w:ascii="Arial" w:hAnsi="Arial" w:cs="Arial"/>
          <w:iCs/>
          <w:sz w:val="22"/>
          <w:szCs w:val="22"/>
        </w:rPr>
        <w:t xml:space="preserve">to the Commissioner </w:t>
      </w:r>
      <w:r w:rsidR="00795B5A" w:rsidRPr="00D14FCE">
        <w:rPr>
          <w:rFonts w:ascii="Arial" w:hAnsi="Arial" w:cs="Arial"/>
          <w:iCs/>
          <w:sz w:val="22"/>
          <w:szCs w:val="22"/>
        </w:rPr>
        <w:t>in certain circumstances.</w:t>
      </w:r>
    </w:p>
    <w:p w14:paraId="34379FB3" w14:textId="1E4B9A66" w:rsidR="00795B5A" w:rsidRPr="00C31939" w:rsidRDefault="00A03C1A" w:rsidP="00C31939">
      <w:pPr>
        <w:numPr>
          <w:ilvl w:val="0"/>
          <w:numId w:val="16"/>
        </w:numPr>
        <w:spacing w:after="120"/>
        <w:ind w:hanging="720"/>
        <w:rPr>
          <w:rFonts w:ascii="Arial" w:hAnsi="Arial" w:cs="Arial"/>
          <w:iCs/>
          <w:sz w:val="22"/>
          <w:szCs w:val="22"/>
        </w:rPr>
      </w:pPr>
      <w:r w:rsidRPr="00C31939">
        <w:rPr>
          <w:rFonts w:ascii="Arial" w:hAnsi="Arial" w:cs="Arial"/>
          <w:iCs/>
          <w:sz w:val="22"/>
          <w:szCs w:val="22"/>
        </w:rPr>
        <w:t xml:space="preserve">This determination </w:t>
      </w:r>
      <w:r w:rsidR="00A15AC8" w:rsidRPr="00C31939">
        <w:rPr>
          <w:rFonts w:ascii="Arial" w:hAnsi="Arial" w:cs="Arial"/>
          <w:iCs/>
          <w:sz w:val="22"/>
          <w:szCs w:val="22"/>
        </w:rPr>
        <w:t>only applies to</w:t>
      </w:r>
      <w:r w:rsidR="00795B5A" w:rsidRPr="00C31939">
        <w:rPr>
          <w:rFonts w:ascii="Arial" w:hAnsi="Arial" w:cs="Arial"/>
          <w:iCs/>
          <w:sz w:val="22"/>
          <w:szCs w:val="22"/>
        </w:rPr>
        <w:t xml:space="preserve"> offer</w:t>
      </w:r>
      <w:r w:rsidR="00A15AC8" w:rsidRPr="00C31939">
        <w:rPr>
          <w:rFonts w:ascii="Arial" w:hAnsi="Arial" w:cs="Arial"/>
          <w:iCs/>
          <w:sz w:val="22"/>
          <w:szCs w:val="22"/>
        </w:rPr>
        <w:t>s</w:t>
      </w:r>
      <w:r w:rsidRPr="00C31939">
        <w:rPr>
          <w:rFonts w:ascii="Arial" w:hAnsi="Arial" w:cs="Arial"/>
          <w:iCs/>
          <w:sz w:val="22"/>
          <w:szCs w:val="22"/>
        </w:rPr>
        <w:t xml:space="preserve"> </w:t>
      </w:r>
      <w:r w:rsidR="00795B5A" w:rsidRPr="00C31939">
        <w:rPr>
          <w:rFonts w:ascii="Arial" w:hAnsi="Arial" w:cs="Arial"/>
          <w:iCs/>
          <w:sz w:val="22"/>
          <w:szCs w:val="22"/>
        </w:rPr>
        <w:t>made to multiple parties (for example, a substantial number of members of an association, or a mailing list of subscribers)</w:t>
      </w:r>
      <w:r w:rsidR="00A15AC8" w:rsidRPr="00C31939">
        <w:rPr>
          <w:rFonts w:ascii="Arial" w:hAnsi="Arial" w:cs="Arial"/>
          <w:iCs/>
          <w:sz w:val="22"/>
          <w:szCs w:val="22"/>
        </w:rPr>
        <w:t>.</w:t>
      </w:r>
      <w:r w:rsidRPr="00C31939">
        <w:rPr>
          <w:rFonts w:ascii="Arial" w:hAnsi="Arial" w:cs="Arial"/>
          <w:iCs/>
          <w:sz w:val="22"/>
          <w:szCs w:val="22"/>
        </w:rPr>
        <w:t xml:space="preserve"> </w:t>
      </w:r>
      <w:r w:rsidR="00A15AC8" w:rsidRPr="00C31939">
        <w:rPr>
          <w:rFonts w:ascii="Arial" w:hAnsi="Arial" w:cs="Arial"/>
          <w:iCs/>
          <w:sz w:val="22"/>
          <w:szCs w:val="22"/>
        </w:rPr>
        <w:t>This determination</w:t>
      </w:r>
      <w:r w:rsidRPr="00C31939">
        <w:rPr>
          <w:rFonts w:ascii="Arial" w:hAnsi="Arial" w:cs="Arial"/>
          <w:iCs/>
          <w:sz w:val="22"/>
          <w:szCs w:val="22"/>
        </w:rPr>
        <w:t xml:space="preserve"> </w:t>
      </w:r>
      <w:r w:rsidR="00A15AC8" w:rsidRPr="00C31939">
        <w:rPr>
          <w:rFonts w:ascii="Arial" w:hAnsi="Arial" w:cs="Arial"/>
          <w:iCs/>
          <w:sz w:val="22"/>
          <w:szCs w:val="22"/>
        </w:rPr>
        <w:t>does</w:t>
      </w:r>
      <w:r w:rsidRPr="00C31939">
        <w:rPr>
          <w:rFonts w:ascii="Arial" w:hAnsi="Arial" w:cs="Arial"/>
          <w:iCs/>
          <w:sz w:val="22"/>
          <w:szCs w:val="22"/>
        </w:rPr>
        <w:t xml:space="preserve"> </w:t>
      </w:r>
      <w:r w:rsidR="00795B5A" w:rsidRPr="00C31939">
        <w:rPr>
          <w:rFonts w:ascii="Arial" w:hAnsi="Arial" w:cs="Arial"/>
          <w:iCs/>
          <w:sz w:val="22"/>
          <w:szCs w:val="22"/>
        </w:rPr>
        <w:t>not apply to offers made by a supplier to a single recipient, such as a 'quote' given by a professional or tradesperson.</w:t>
      </w:r>
    </w:p>
    <w:p w14:paraId="54F65FFB" w14:textId="258D2C33" w:rsidR="00795B5A" w:rsidRPr="00C31939" w:rsidRDefault="00795B5A" w:rsidP="00C31939">
      <w:pPr>
        <w:numPr>
          <w:ilvl w:val="0"/>
          <w:numId w:val="16"/>
        </w:numPr>
        <w:spacing w:after="120"/>
        <w:ind w:hanging="720"/>
        <w:rPr>
          <w:rFonts w:ascii="Arial" w:hAnsi="Arial" w:cs="Arial"/>
          <w:iCs/>
          <w:sz w:val="22"/>
          <w:szCs w:val="22"/>
        </w:rPr>
      </w:pPr>
      <w:r w:rsidRPr="00C31939">
        <w:rPr>
          <w:rFonts w:ascii="Arial" w:hAnsi="Arial" w:cs="Arial"/>
          <w:iCs/>
          <w:sz w:val="22"/>
          <w:szCs w:val="22"/>
        </w:rPr>
        <w:t xml:space="preserve">The offer document must also contain enough information to be able to determine the supplies offered to be acquired or to be renewed, </w:t>
      </w:r>
      <w:r w:rsidR="00B134AE" w:rsidRPr="00C31939">
        <w:rPr>
          <w:rFonts w:ascii="Arial" w:hAnsi="Arial" w:cs="Arial"/>
          <w:iCs/>
          <w:sz w:val="22"/>
          <w:szCs w:val="22"/>
        </w:rPr>
        <w:t xml:space="preserve">to </w:t>
      </w:r>
      <w:r w:rsidRPr="00C31939">
        <w:rPr>
          <w:rFonts w:ascii="Arial" w:hAnsi="Arial" w:cs="Arial"/>
          <w:iCs/>
          <w:sz w:val="22"/>
          <w:szCs w:val="22"/>
        </w:rPr>
        <w:t>the extent to which each supply is a taxable supply</w:t>
      </w:r>
      <w:r w:rsidR="00D04B30" w:rsidRPr="00C31939">
        <w:rPr>
          <w:rFonts w:ascii="Arial" w:hAnsi="Arial" w:cs="Arial"/>
          <w:iCs/>
          <w:sz w:val="22"/>
          <w:szCs w:val="22"/>
        </w:rPr>
        <w:t>,</w:t>
      </w:r>
      <w:r w:rsidRPr="00C31939">
        <w:rPr>
          <w:rFonts w:ascii="Arial" w:hAnsi="Arial" w:cs="Arial"/>
          <w:iCs/>
          <w:sz w:val="22"/>
          <w:szCs w:val="22"/>
        </w:rPr>
        <w:t xml:space="preserve"> and the price and GST payable when the offer or renewal is accepted by the recipient.</w:t>
      </w:r>
    </w:p>
    <w:p w14:paraId="5762A060" w14:textId="77777777" w:rsidR="00C31939" w:rsidRPr="00C31939" w:rsidRDefault="00C31939" w:rsidP="00795B5A">
      <w:pPr>
        <w:spacing w:after="120"/>
        <w:rPr>
          <w:rFonts w:ascii="Arial" w:hAnsi="Arial" w:cs="Arial"/>
          <w:sz w:val="22"/>
          <w:szCs w:val="22"/>
        </w:rPr>
      </w:pPr>
    </w:p>
    <w:p w14:paraId="0ACD04BE" w14:textId="6D61AE25" w:rsidR="00795B5A" w:rsidRPr="00BA6447" w:rsidRDefault="00795B5A" w:rsidP="00BA6447">
      <w:pPr>
        <w:pStyle w:val="Heading3"/>
        <w:spacing w:before="0" w:after="120"/>
        <w:rPr>
          <w:i/>
          <w:iCs/>
          <w:sz w:val="22"/>
          <w:szCs w:val="22"/>
        </w:rPr>
      </w:pPr>
      <w:r w:rsidRPr="00BA6447">
        <w:rPr>
          <w:i/>
          <w:iCs/>
          <w:sz w:val="22"/>
          <w:szCs w:val="22"/>
        </w:rPr>
        <w:t>Renewal notices (including insurance renewal notices)</w:t>
      </w:r>
    </w:p>
    <w:p w14:paraId="763B975B" w14:textId="46A7F550" w:rsidR="00795B5A" w:rsidRPr="00C31939" w:rsidRDefault="00795B5A" w:rsidP="00C31939">
      <w:pPr>
        <w:numPr>
          <w:ilvl w:val="0"/>
          <w:numId w:val="16"/>
        </w:numPr>
        <w:spacing w:after="120"/>
        <w:ind w:hanging="720"/>
        <w:rPr>
          <w:rFonts w:ascii="Arial" w:hAnsi="Arial" w:cs="Arial"/>
          <w:iCs/>
          <w:sz w:val="22"/>
          <w:szCs w:val="22"/>
        </w:rPr>
      </w:pPr>
      <w:r w:rsidRPr="00C31939">
        <w:rPr>
          <w:rFonts w:ascii="Arial" w:hAnsi="Arial" w:cs="Arial"/>
          <w:iCs/>
          <w:sz w:val="22"/>
          <w:szCs w:val="22"/>
        </w:rPr>
        <w:t>When a supplier issues a renewal notice</w:t>
      </w:r>
      <w:r w:rsidR="003B4393" w:rsidRPr="00C31939">
        <w:rPr>
          <w:rFonts w:ascii="Arial" w:hAnsi="Arial" w:cs="Arial"/>
          <w:iCs/>
          <w:sz w:val="22"/>
          <w:szCs w:val="22"/>
        </w:rPr>
        <w:t>,</w:t>
      </w:r>
      <w:r w:rsidRPr="00C31939">
        <w:rPr>
          <w:rFonts w:ascii="Arial" w:hAnsi="Arial" w:cs="Arial"/>
          <w:iCs/>
          <w:sz w:val="22"/>
          <w:szCs w:val="22"/>
        </w:rPr>
        <w:t xml:space="preserve"> they do not know whether they will make the supply. As a result of this uncertainty, the document cannot be a tax invoice.</w:t>
      </w:r>
    </w:p>
    <w:p w14:paraId="672A6FF3" w14:textId="374E5219" w:rsidR="00795B5A" w:rsidRPr="00C31939" w:rsidRDefault="00795B5A" w:rsidP="00C31939">
      <w:pPr>
        <w:numPr>
          <w:ilvl w:val="0"/>
          <w:numId w:val="16"/>
        </w:numPr>
        <w:spacing w:after="120"/>
        <w:ind w:hanging="720"/>
        <w:rPr>
          <w:rFonts w:ascii="Arial" w:hAnsi="Arial" w:cs="Arial"/>
          <w:iCs/>
          <w:sz w:val="22"/>
          <w:szCs w:val="22"/>
        </w:rPr>
      </w:pPr>
      <w:r w:rsidRPr="00C31939">
        <w:rPr>
          <w:rFonts w:ascii="Arial" w:hAnsi="Arial" w:cs="Arial"/>
          <w:iCs/>
          <w:sz w:val="22"/>
          <w:szCs w:val="22"/>
        </w:rPr>
        <w:t xml:space="preserve">This </w:t>
      </w:r>
      <w:r w:rsidR="00410547" w:rsidRPr="00C31939">
        <w:rPr>
          <w:rFonts w:ascii="Arial" w:hAnsi="Arial" w:cs="Arial"/>
          <w:iCs/>
          <w:sz w:val="22"/>
          <w:szCs w:val="22"/>
        </w:rPr>
        <w:t xml:space="preserve">determination </w:t>
      </w:r>
      <w:r w:rsidRPr="00C31939">
        <w:rPr>
          <w:rFonts w:ascii="Arial" w:hAnsi="Arial" w:cs="Arial"/>
          <w:iCs/>
          <w:sz w:val="22"/>
          <w:szCs w:val="22"/>
        </w:rPr>
        <w:t xml:space="preserve">is intended to save suppliers from having to issue another document when a renewal occurs. Accordingly, where a recipient or their agent holds a renewal notice, and it otherwise satisfies the requirements </w:t>
      </w:r>
      <w:r w:rsidR="00A166EB" w:rsidRPr="00C31939">
        <w:rPr>
          <w:rFonts w:ascii="Arial" w:hAnsi="Arial" w:cs="Arial"/>
          <w:iCs/>
          <w:sz w:val="22"/>
          <w:szCs w:val="22"/>
        </w:rPr>
        <w:t xml:space="preserve">in </w:t>
      </w:r>
      <w:r w:rsidRPr="00C31939">
        <w:rPr>
          <w:rFonts w:ascii="Arial" w:hAnsi="Arial" w:cs="Arial"/>
          <w:iCs/>
          <w:sz w:val="22"/>
          <w:szCs w:val="22"/>
        </w:rPr>
        <w:t>paragraphs 29-70(1)(a) and 29-70(1)(c)</w:t>
      </w:r>
      <w:r w:rsidR="00C75B9D" w:rsidRPr="00C31939">
        <w:rPr>
          <w:rFonts w:ascii="Arial" w:hAnsi="Arial" w:cs="Arial"/>
          <w:iCs/>
          <w:sz w:val="22"/>
          <w:szCs w:val="22"/>
        </w:rPr>
        <w:t xml:space="preserve"> of the Act</w:t>
      </w:r>
      <w:r w:rsidRPr="00C31939">
        <w:rPr>
          <w:rFonts w:ascii="Arial" w:hAnsi="Arial" w:cs="Arial"/>
          <w:iCs/>
          <w:sz w:val="22"/>
          <w:szCs w:val="22"/>
        </w:rPr>
        <w:t xml:space="preserve">, </w:t>
      </w:r>
      <w:r w:rsidR="008D5201" w:rsidRPr="00C31939">
        <w:rPr>
          <w:rFonts w:ascii="Arial" w:hAnsi="Arial" w:cs="Arial"/>
          <w:iCs/>
          <w:sz w:val="22"/>
          <w:szCs w:val="22"/>
        </w:rPr>
        <w:t xml:space="preserve">other than </w:t>
      </w:r>
      <w:r w:rsidR="00B134AE" w:rsidRPr="00C31939">
        <w:rPr>
          <w:rFonts w:ascii="Arial" w:hAnsi="Arial" w:cs="Arial"/>
          <w:iCs/>
          <w:sz w:val="22"/>
          <w:szCs w:val="22"/>
        </w:rPr>
        <w:t>sub</w:t>
      </w:r>
      <w:r w:rsidR="008D5201" w:rsidRPr="00C31939">
        <w:rPr>
          <w:rFonts w:ascii="Arial" w:hAnsi="Arial" w:cs="Arial"/>
          <w:iCs/>
          <w:sz w:val="22"/>
          <w:szCs w:val="22"/>
        </w:rPr>
        <w:t>paragraphs</w:t>
      </w:r>
      <w:r w:rsidR="00C04DCF">
        <w:rPr>
          <w:rFonts w:ascii="Arial" w:hAnsi="Arial" w:cs="Arial"/>
          <w:iCs/>
          <w:sz w:val="22"/>
          <w:szCs w:val="22"/>
        </w:rPr>
        <w:t> </w:t>
      </w:r>
      <w:r w:rsidR="008D5201" w:rsidRPr="00C31939">
        <w:rPr>
          <w:rFonts w:ascii="Arial" w:hAnsi="Arial" w:cs="Arial"/>
          <w:iCs/>
          <w:sz w:val="22"/>
          <w:szCs w:val="22"/>
        </w:rPr>
        <w:t xml:space="preserve">29-70(1)(c)(iii) and 29-70(1)(c)(vi), </w:t>
      </w:r>
      <w:r w:rsidRPr="00C31939">
        <w:rPr>
          <w:rFonts w:ascii="Arial" w:hAnsi="Arial" w:cs="Arial"/>
          <w:iCs/>
          <w:sz w:val="22"/>
          <w:szCs w:val="22"/>
        </w:rPr>
        <w:t xml:space="preserve">this </w:t>
      </w:r>
      <w:r w:rsidR="00410547" w:rsidRPr="00C31939">
        <w:rPr>
          <w:rFonts w:ascii="Arial" w:hAnsi="Arial" w:cs="Arial"/>
          <w:iCs/>
          <w:sz w:val="22"/>
          <w:szCs w:val="22"/>
        </w:rPr>
        <w:t xml:space="preserve">determination </w:t>
      </w:r>
      <w:r w:rsidR="00D04B30" w:rsidRPr="00C31939">
        <w:rPr>
          <w:rFonts w:ascii="Arial" w:hAnsi="Arial" w:cs="Arial"/>
          <w:iCs/>
          <w:sz w:val="22"/>
          <w:szCs w:val="22"/>
        </w:rPr>
        <w:t xml:space="preserve">would relieve the recipient of the obligation to </w:t>
      </w:r>
      <w:r w:rsidR="000A3224" w:rsidRPr="00C31939">
        <w:rPr>
          <w:rFonts w:ascii="Arial" w:hAnsi="Arial" w:cs="Arial"/>
          <w:iCs/>
          <w:sz w:val="22"/>
          <w:szCs w:val="22"/>
        </w:rPr>
        <w:t>hold</w:t>
      </w:r>
      <w:r w:rsidR="00D04B30" w:rsidRPr="00C31939">
        <w:rPr>
          <w:rFonts w:ascii="Arial" w:hAnsi="Arial" w:cs="Arial"/>
          <w:iCs/>
          <w:sz w:val="22"/>
          <w:szCs w:val="22"/>
        </w:rPr>
        <w:t xml:space="preserve"> a tax invoice</w:t>
      </w:r>
      <w:r w:rsidRPr="00C31939">
        <w:rPr>
          <w:rFonts w:ascii="Arial" w:hAnsi="Arial" w:cs="Arial"/>
          <w:iCs/>
          <w:sz w:val="22"/>
          <w:szCs w:val="22"/>
        </w:rPr>
        <w:t>.</w:t>
      </w:r>
    </w:p>
    <w:p w14:paraId="0EDE9583" w14:textId="50AD6F81" w:rsidR="007F4229" w:rsidRDefault="007F4229" w:rsidP="00F04F17">
      <w:pPr>
        <w:spacing w:after="120"/>
        <w:rPr>
          <w:rFonts w:ascii="Arial" w:hAnsi="Arial" w:cs="Arial"/>
          <w:sz w:val="22"/>
          <w:szCs w:val="22"/>
        </w:rPr>
      </w:pPr>
    </w:p>
    <w:p w14:paraId="0C1A6895" w14:textId="77777777" w:rsidR="0063489F" w:rsidRPr="00457707" w:rsidRDefault="0063489F" w:rsidP="00457707">
      <w:pPr>
        <w:pStyle w:val="Heading2"/>
        <w:rPr>
          <w:rFonts w:cs="Arial"/>
          <w:szCs w:val="22"/>
        </w:rPr>
      </w:pPr>
      <w:r w:rsidRPr="00457707">
        <w:rPr>
          <w:rFonts w:cs="Arial"/>
          <w:szCs w:val="22"/>
        </w:rPr>
        <w:t>Compliance cost assessment</w:t>
      </w:r>
    </w:p>
    <w:p w14:paraId="39891A88" w14:textId="617B5E64" w:rsidR="001E44FD" w:rsidRPr="00C31939" w:rsidRDefault="00D81724" w:rsidP="00C31939">
      <w:pPr>
        <w:numPr>
          <w:ilvl w:val="0"/>
          <w:numId w:val="16"/>
        </w:numPr>
        <w:spacing w:after="120"/>
        <w:ind w:hanging="720"/>
        <w:rPr>
          <w:rFonts w:ascii="Arial" w:hAnsi="Arial" w:cs="Arial"/>
          <w:iCs/>
          <w:sz w:val="22"/>
          <w:szCs w:val="22"/>
        </w:rPr>
      </w:pPr>
      <w:r w:rsidRPr="00C31939">
        <w:rPr>
          <w:rFonts w:ascii="Arial" w:hAnsi="Arial" w:cs="Arial"/>
          <w:iCs/>
          <w:sz w:val="22"/>
          <w:szCs w:val="22"/>
        </w:rPr>
        <w:t>Compliance cost impact: Minor – There will be no additional impacts as the instruments are minor and machinery in nature OBPR22-03758</w:t>
      </w:r>
      <w:r w:rsidR="00312FAB" w:rsidRPr="00C31939">
        <w:rPr>
          <w:rFonts w:ascii="Arial" w:hAnsi="Arial" w:cs="Arial"/>
          <w:iCs/>
          <w:sz w:val="22"/>
          <w:szCs w:val="22"/>
        </w:rPr>
        <w:t>.</w:t>
      </w:r>
    </w:p>
    <w:p w14:paraId="1AC7B2F9" w14:textId="77777777" w:rsidR="00C31939" w:rsidRPr="00C31939" w:rsidRDefault="00C31939" w:rsidP="00C31939">
      <w:pPr>
        <w:spacing w:after="120"/>
        <w:rPr>
          <w:rFonts w:ascii="Arial" w:hAnsi="Arial" w:cs="Arial"/>
          <w:sz w:val="22"/>
          <w:szCs w:val="22"/>
        </w:rPr>
      </w:pPr>
    </w:p>
    <w:p w14:paraId="09496D83" w14:textId="2640B0B4" w:rsidR="009C1910" w:rsidRPr="00F04F17" w:rsidRDefault="009C1910" w:rsidP="00F04F17">
      <w:pPr>
        <w:pStyle w:val="Heading2"/>
        <w:rPr>
          <w:rFonts w:cs="Arial"/>
          <w:szCs w:val="22"/>
        </w:rPr>
      </w:pPr>
      <w:r w:rsidRPr="00F04F17">
        <w:rPr>
          <w:rFonts w:cs="Arial"/>
          <w:szCs w:val="22"/>
        </w:rPr>
        <w:t>Background</w:t>
      </w:r>
    </w:p>
    <w:p w14:paraId="38F78EC6" w14:textId="77777777" w:rsidR="00C31939" w:rsidRPr="00C31939" w:rsidRDefault="00A6229B" w:rsidP="00C31939">
      <w:pPr>
        <w:numPr>
          <w:ilvl w:val="0"/>
          <w:numId w:val="16"/>
        </w:numPr>
        <w:spacing w:after="120"/>
        <w:ind w:hanging="720"/>
        <w:rPr>
          <w:rFonts w:ascii="Arial" w:hAnsi="Arial" w:cs="Arial"/>
          <w:iCs/>
          <w:sz w:val="22"/>
          <w:szCs w:val="22"/>
        </w:rPr>
      </w:pPr>
      <w:r w:rsidRPr="00C31939">
        <w:rPr>
          <w:rFonts w:ascii="Arial" w:hAnsi="Arial" w:cs="Arial"/>
          <w:iCs/>
          <w:sz w:val="22"/>
          <w:szCs w:val="22"/>
        </w:rPr>
        <w:t>Generally, when a recipient makes a creditable acquisition, an input tax credit for the acquisition is not attributable to a tax period until the</w:t>
      </w:r>
      <w:r w:rsidR="000D0694" w:rsidRPr="00C31939">
        <w:rPr>
          <w:rFonts w:ascii="Arial" w:hAnsi="Arial" w:cs="Arial"/>
          <w:iCs/>
          <w:sz w:val="22"/>
          <w:szCs w:val="22"/>
        </w:rPr>
        <w:t xml:space="preserve">y </w:t>
      </w:r>
      <w:r w:rsidRPr="00C31939">
        <w:rPr>
          <w:rFonts w:ascii="Arial" w:hAnsi="Arial" w:cs="Arial"/>
          <w:iCs/>
          <w:sz w:val="22"/>
          <w:szCs w:val="22"/>
        </w:rPr>
        <w:t>hold a tax invoice that meets the requirements in subsection 29-70(1)</w:t>
      </w:r>
      <w:r w:rsidR="00562F4E" w:rsidRPr="00C31939">
        <w:rPr>
          <w:rFonts w:ascii="Arial" w:hAnsi="Arial" w:cs="Arial"/>
          <w:iCs/>
          <w:sz w:val="22"/>
          <w:szCs w:val="22"/>
        </w:rPr>
        <w:t xml:space="preserve"> of the Act</w:t>
      </w:r>
      <w:r w:rsidRPr="00C31939">
        <w:rPr>
          <w:rFonts w:ascii="Arial" w:hAnsi="Arial" w:cs="Arial"/>
          <w:iCs/>
          <w:sz w:val="22"/>
          <w:szCs w:val="22"/>
        </w:rPr>
        <w:t>.</w:t>
      </w:r>
    </w:p>
    <w:p w14:paraId="3997C5DA" w14:textId="77777777" w:rsidR="00C31939" w:rsidRPr="00C31939" w:rsidRDefault="00A6229B" w:rsidP="00C31939">
      <w:pPr>
        <w:numPr>
          <w:ilvl w:val="0"/>
          <w:numId w:val="16"/>
        </w:numPr>
        <w:spacing w:after="120"/>
        <w:ind w:hanging="720"/>
        <w:rPr>
          <w:rFonts w:ascii="Arial" w:hAnsi="Arial" w:cs="Arial"/>
          <w:iCs/>
          <w:sz w:val="22"/>
          <w:szCs w:val="22"/>
        </w:rPr>
      </w:pPr>
      <w:r w:rsidRPr="00C31939">
        <w:rPr>
          <w:rFonts w:ascii="Arial" w:hAnsi="Arial" w:cs="Arial"/>
          <w:iCs/>
          <w:sz w:val="22"/>
          <w:szCs w:val="22"/>
        </w:rPr>
        <w:t xml:space="preserve">In some cases, the necessity for the recipient to hold a document that meets the requirements </w:t>
      </w:r>
      <w:r w:rsidR="000D0694" w:rsidRPr="00C31939">
        <w:rPr>
          <w:rFonts w:ascii="Arial" w:hAnsi="Arial" w:cs="Arial"/>
          <w:iCs/>
          <w:sz w:val="22"/>
          <w:szCs w:val="22"/>
        </w:rPr>
        <w:t xml:space="preserve">in </w:t>
      </w:r>
      <w:r w:rsidRPr="00C31939">
        <w:rPr>
          <w:rFonts w:ascii="Arial" w:hAnsi="Arial" w:cs="Arial"/>
          <w:iCs/>
          <w:sz w:val="22"/>
          <w:szCs w:val="22"/>
        </w:rPr>
        <w:t xml:space="preserve">subsection 29-70(1) </w:t>
      </w:r>
      <w:r w:rsidR="00C75B9D" w:rsidRPr="00C31939">
        <w:rPr>
          <w:rFonts w:ascii="Arial" w:hAnsi="Arial" w:cs="Arial"/>
          <w:iCs/>
          <w:sz w:val="22"/>
          <w:szCs w:val="22"/>
        </w:rPr>
        <w:t xml:space="preserve">of the Act </w:t>
      </w:r>
      <w:r w:rsidRPr="00C31939">
        <w:rPr>
          <w:rFonts w:ascii="Arial" w:hAnsi="Arial" w:cs="Arial"/>
          <w:iCs/>
          <w:sz w:val="22"/>
          <w:szCs w:val="22"/>
        </w:rPr>
        <w:t>may impose a disproportionate burden on a supplier or a recipient, particularly if the document that they do hold has most of the required features of the tax invoice.</w:t>
      </w:r>
    </w:p>
    <w:p w14:paraId="7A049F0E" w14:textId="6DD3E98A" w:rsidR="00C31939" w:rsidRPr="00C31939" w:rsidRDefault="00E50E7F" w:rsidP="00C31939">
      <w:pPr>
        <w:numPr>
          <w:ilvl w:val="0"/>
          <w:numId w:val="16"/>
        </w:numPr>
        <w:spacing w:after="120"/>
        <w:ind w:hanging="720"/>
        <w:rPr>
          <w:rFonts w:ascii="Arial" w:hAnsi="Arial" w:cs="Arial"/>
          <w:iCs/>
          <w:sz w:val="22"/>
          <w:szCs w:val="22"/>
        </w:rPr>
      </w:pPr>
      <w:r w:rsidRPr="00C31939">
        <w:rPr>
          <w:rFonts w:ascii="Arial" w:hAnsi="Arial" w:cs="Arial"/>
          <w:iCs/>
          <w:sz w:val="22"/>
          <w:szCs w:val="22"/>
        </w:rPr>
        <w:t>The Commissioner</w:t>
      </w:r>
      <w:r w:rsidR="00410547" w:rsidRPr="00C31939">
        <w:rPr>
          <w:rFonts w:ascii="Arial" w:hAnsi="Arial" w:cs="Arial"/>
          <w:iCs/>
          <w:sz w:val="22"/>
          <w:szCs w:val="22"/>
        </w:rPr>
        <w:t xml:space="preserve"> has a</w:t>
      </w:r>
      <w:r w:rsidRPr="00C31939">
        <w:rPr>
          <w:rFonts w:ascii="Arial" w:hAnsi="Arial" w:cs="Arial"/>
          <w:iCs/>
          <w:sz w:val="22"/>
          <w:szCs w:val="22"/>
        </w:rPr>
        <w:t xml:space="preserve"> discretion</w:t>
      </w:r>
      <w:r w:rsidR="00410547" w:rsidRPr="00C31939">
        <w:rPr>
          <w:rFonts w:ascii="Arial" w:hAnsi="Arial" w:cs="Arial"/>
          <w:iCs/>
          <w:sz w:val="22"/>
          <w:szCs w:val="22"/>
        </w:rPr>
        <w:t xml:space="preserve"> under </w:t>
      </w:r>
      <w:r w:rsidR="00B134AE" w:rsidRPr="00C31939">
        <w:rPr>
          <w:rFonts w:ascii="Arial" w:hAnsi="Arial" w:cs="Arial"/>
          <w:iCs/>
          <w:sz w:val="22"/>
          <w:szCs w:val="22"/>
        </w:rPr>
        <w:t xml:space="preserve">subsection </w:t>
      </w:r>
      <w:r w:rsidR="00410547" w:rsidRPr="00C31939">
        <w:rPr>
          <w:rFonts w:ascii="Arial" w:hAnsi="Arial" w:cs="Arial"/>
          <w:iCs/>
          <w:sz w:val="22"/>
          <w:szCs w:val="22"/>
        </w:rPr>
        <w:t>29-70(1B)</w:t>
      </w:r>
      <w:r w:rsidRPr="00C31939">
        <w:rPr>
          <w:rFonts w:ascii="Arial" w:hAnsi="Arial" w:cs="Arial"/>
          <w:iCs/>
          <w:sz w:val="22"/>
          <w:szCs w:val="22"/>
        </w:rPr>
        <w:t xml:space="preserve"> </w:t>
      </w:r>
      <w:r w:rsidR="00C75B9D" w:rsidRPr="00C31939">
        <w:rPr>
          <w:rFonts w:ascii="Arial" w:hAnsi="Arial" w:cs="Arial"/>
          <w:iCs/>
          <w:sz w:val="22"/>
          <w:szCs w:val="22"/>
        </w:rPr>
        <w:t xml:space="preserve">of the Act </w:t>
      </w:r>
      <w:r w:rsidRPr="00C31939">
        <w:rPr>
          <w:rFonts w:ascii="Arial" w:hAnsi="Arial" w:cs="Arial"/>
          <w:iCs/>
          <w:sz w:val="22"/>
          <w:szCs w:val="22"/>
        </w:rPr>
        <w:t xml:space="preserve">to treat a document as a tax invoice </w:t>
      </w:r>
      <w:r w:rsidR="00410547" w:rsidRPr="00C31939">
        <w:rPr>
          <w:rFonts w:ascii="Arial" w:hAnsi="Arial" w:cs="Arial"/>
          <w:iCs/>
          <w:sz w:val="22"/>
          <w:szCs w:val="22"/>
        </w:rPr>
        <w:t xml:space="preserve">where not all the requirements </w:t>
      </w:r>
      <w:r w:rsidR="000D0694" w:rsidRPr="00C31939">
        <w:rPr>
          <w:rFonts w:ascii="Arial" w:hAnsi="Arial" w:cs="Arial"/>
          <w:iCs/>
          <w:sz w:val="22"/>
          <w:szCs w:val="22"/>
        </w:rPr>
        <w:t xml:space="preserve">in </w:t>
      </w:r>
      <w:r w:rsidR="00410547" w:rsidRPr="00C31939">
        <w:rPr>
          <w:rFonts w:ascii="Arial" w:hAnsi="Arial" w:cs="Arial"/>
          <w:iCs/>
          <w:sz w:val="22"/>
          <w:szCs w:val="22"/>
        </w:rPr>
        <w:t>subsection</w:t>
      </w:r>
      <w:r w:rsidR="00995C42">
        <w:rPr>
          <w:rFonts w:ascii="Arial" w:hAnsi="Arial" w:cs="Arial"/>
          <w:iCs/>
          <w:sz w:val="22"/>
          <w:szCs w:val="22"/>
        </w:rPr>
        <w:t> </w:t>
      </w:r>
      <w:r w:rsidR="00410547" w:rsidRPr="00C31939">
        <w:rPr>
          <w:rFonts w:ascii="Arial" w:hAnsi="Arial" w:cs="Arial"/>
          <w:iCs/>
          <w:sz w:val="22"/>
          <w:szCs w:val="22"/>
        </w:rPr>
        <w:t>29-70(1)</w:t>
      </w:r>
      <w:r w:rsidR="00C75B9D" w:rsidRPr="00C31939">
        <w:rPr>
          <w:rFonts w:ascii="Arial" w:hAnsi="Arial" w:cs="Arial"/>
          <w:iCs/>
          <w:sz w:val="22"/>
          <w:szCs w:val="22"/>
        </w:rPr>
        <w:t xml:space="preserve"> of the Act</w:t>
      </w:r>
      <w:r w:rsidR="00410547" w:rsidRPr="00C31939">
        <w:rPr>
          <w:rFonts w:ascii="Arial" w:hAnsi="Arial" w:cs="Arial"/>
          <w:iCs/>
          <w:sz w:val="22"/>
          <w:szCs w:val="22"/>
        </w:rPr>
        <w:t xml:space="preserve"> are met. H</w:t>
      </w:r>
      <w:r w:rsidR="00492B75" w:rsidRPr="00C31939">
        <w:rPr>
          <w:rFonts w:ascii="Arial" w:hAnsi="Arial" w:cs="Arial"/>
          <w:iCs/>
          <w:sz w:val="22"/>
          <w:szCs w:val="22"/>
        </w:rPr>
        <w:t>owever</w:t>
      </w:r>
      <w:r w:rsidR="00410547" w:rsidRPr="00C31939">
        <w:rPr>
          <w:rFonts w:ascii="Arial" w:hAnsi="Arial" w:cs="Arial"/>
          <w:iCs/>
          <w:sz w:val="22"/>
          <w:szCs w:val="22"/>
        </w:rPr>
        <w:t xml:space="preserve">, the Commissioner’s discretion under subsection 29-70(1B) </w:t>
      </w:r>
      <w:r w:rsidR="00C75B9D" w:rsidRPr="00C31939">
        <w:rPr>
          <w:rFonts w:ascii="Arial" w:hAnsi="Arial" w:cs="Arial"/>
          <w:iCs/>
          <w:sz w:val="22"/>
          <w:szCs w:val="22"/>
        </w:rPr>
        <w:t xml:space="preserve">of the Act </w:t>
      </w:r>
      <w:r w:rsidR="00492B75" w:rsidRPr="00C31939">
        <w:rPr>
          <w:rFonts w:ascii="Arial" w:hAnsi="Arial" w:cs="Arial"/>
          <w:iCs/>
          <w:sz w:val="22"/>
          <w:szCs w:val="22"/>
        </w:rPr>
        <w:t>is administrative and can only be exercised on a case-by-case basis.</w:t>
      </w:r>
    </w:p>
    <w:p w14:paraId="019C1F42" w14:textId="46E218CF" w:rsidR="00C31939" w:rsidRPr="00C31939" w:rsidRDefault="00CD6713" w:rsidP="00C04DCF">
      <w:pPr>
        <w:numPr>
          <w:ilvl w:val="0"/>
          <w:numId w:val="16"/>
        </w:numPr>
        <w:spacing w:after="120"/>
        <w:ind w:right="-284" w:hanging="720"/>
        <w:rPr>
          <w:rFonts w:ascii="Arial" w:hAnsi="Arial" w:cs="Arial"/>
          <w:iCs/>
          <w:sz w:val="22"/>
          <w:szCs w:val="22"/>
        </w:rPr>
      </w:pPr>
      <w:r w:rsidRPr="00C31939">
        <w:rPr>
          <w:rFonts w:ascii="Arial" w:hAnsi="Arial" w:cs="Arial"/>
          <w:iCs/>
          <w:sz w:val="22"/>
          <w:szCs w:val="22"/>
        </w:rPr>
        <w:lastRenderedPageBreak/>
        <w:t>As such, the Commissioner makes this determination under subsection 29</w:t>
      </w:r>
      <w:r w:rsidR="00C04DCF">
        <w:rPr>
          <w:rFonts w:ascii="Arial" w:hAnsi="Arial" w:cs="Arial"/>
          <w:iCs/>
          <w:sz w:val="22"/>
          <w:szCs w:val="22"/>
        </w:rPr>
        <w:noBreakHyphen/>
      </w:r>
      <w:r w:rsidRPr="00C31939">
        <w:rPr>
          <w:rFonts w:ascii="Arial" w:hAnsi="Arial" w:cs="Arial"/>
          <w:iCs/>
          <w:sz w:val="22"/>
          <w:szCs w:val="22"/>
        </w:rPr>
        <w:t>10(3) of the Act to ensure that taxpayers do not have to change their administrative practices formed in reliance on past legislative instruments and rulings that are now either withdrawn or repealed.</w:t>
      </w:r>
    </w:p>
    <w:p w14:paraId="3F677818" w14:textId="1E56C3A4" w:rsidR="0070140C" w:rsidRPr="00C31939" w:rsidRDefault="0070140C" w:rsidP="0070140C">
      <w:pPr>
        <w:spacing w:after="120"/>
        <w:rPr>
          <w:rFonts w:ascii="Arial" w:hAnsi="Arial" w:cs="Arial"/>
          <w:sz w:val="22"/>
          <w:szCs w:val="22"/>
        </w:rPr>
      </w:pPr>
    </w:p>
    <w:p w14:paraId="7F76F5E0" w14:textId="77777777" w:rsidR="0070140C" w:rsidRDefault="0070140C" w:rsidP="0070140C">
      <w:pPr>
        <w:pStyle w:val="Heading2"/>
        <w:rPr>
          <w:rFonts w:cs="Arial"/>
          <w:szCs w:val="22"/>
        </w:rPr>
      </w:pPr>
      <w:r>
        <w:rPr>
          <w:rFonts w:cs="Arial"/>
          <w:szCs w:val="22"/>
        </w:rPr>
        <w:t>Consultation</w:t>
      </w:r>
    </w:p>
    <w:p w14:paraId="11C38551" w14:textId="77777777" w:rsidR="0070140C" w:rsidRPr="00C31939" w:rsidRDefault="0070140C" w:rsidP="00C31939">
      <w:pPr>
        <w:numPr>
          <w:ilvl w:val="0"/>
          <w:numId w:val="16"/>
        </w:numPr>
        <w:spacing w:after="120"/>
        <w:ind w:hanging="720"/>
        <w:rPr>
          <w:rFonts w:ascii="Arial" w:hAnsi="Arial" w:cs="Arial"/>
          <w:iCs/>
          <w:sz w:val="22"/>
          <w:szCs w:val="22"/>
        </w:rPr>
      </w:pPr>
      <w:r w:rsidRPr="00C31939">
        <w:rPr>
          <w:rFonts w:ascii="Arial" w:hAnsi="Arial" w:cs="Arial"/>
          <w:iCs/>
          <w:sz w:val="22"/>
          <w:szCs w:val="22"/>
        </w:rPr>
        <w:t xml:space="preserve">Subsection 17(1) of the </w:t>
      </w:r>
      <w:r w:rsidRPr="00C04DCF">
        <w:rPr>
          <w:rFonts w:ascii="Arial" w:hAnsi="Arial" w:cs="Arial"/>
          <w:i/>
          <w:sz w:val="22"/>
          <w:szCs w:val="22"/>
        </w:rPr>
        <w:t>Legislation Act 2003</w:t>
      </w:r>
      <w:r w:rsidRPr="00C31939">
        <w:rPr>
          <w:rFonts w:ascii="Arial" w:hAnsi="Arial" w:cs="Arial"/>
          <w:iCs/>
          <w:sz w:val="22"/>
          <w:szCs w:val="22"/>
        </w:rPr>
        <w:t xml:space="preserve"> requires that the Commissioner be satisfied that appropriate and reasonably practicable consultation has been undertaken before he makes a determination.</w:t>
      </w:r>
    </w:p>
    <w:p w14:paraId="14DE407B" w14:textId="77777777" w:rsidR="0070140C" w:rsidRPr="00C31939" w:rsidRDefault="0070140C" w:rsidP="00C31939">
      <w:pPr>
        <w:numPr>
          <w:ilvl w:val="0"/>
          <w:numId w:val="16"/>
        </w:numPr>
        <w:spacing w:after="120"/>
        <w:ind w:hanging="720"/>
        <w:rPr>
          <w:rFonts w:ascii="Arial" w:hAnsi="Arial" w:cs="Arial"/>
          <w:iCs/>
          <w:sz w:val="22"/>
          <w:szCs w:val="22"/>
        </w:rPr>
      </w:pPr>
      <w:r w:rsidRPr="00C31939">
        <w:rPr>
          <w:rFonts w:ascii="Arial" w:hAnsi="Arial" w:cs="Arial"/>
          <w:iCs/>
          <w:sz w:val="22"/>
          <w:szCs w:val="22"/>
        </w:rPr>
        <w:t>Public consultation was undertaken on this instrument for a period of 3 weeks from 25 November 2022 to 16 December 2022 inclusive.</w:t>
      </w:r>
    </w:p>
    <w:p w14:paraId="2D5C702C" w14:textId="77777777" w:rsidR="0070140C" w:rsidRPr="00C31939" w:rsidRDefault="0070140C" w:rsidP="00C31939">
      <w:pPr>
        <w:numPr>
          <w:ilvl w:val="0"/>
          <w:numId w:val="16"/>
        </w:numPr>
        <w:spacing w:after="120"/>
        <w:ind w:hanging="720"/>
        <w:rPr>
          <w:rFonts w:ascii="Arial" w:hAnsi="Arial" w:cs="Arial"/>
          <w:iCs/>
          <w:sz w:val="22"/>
          <w:szCs w:val="22"/>
        </w:rPr>
      </w:pPr>
      <w:r w:rsidRPr="00C31939">
        <w:rPr>
          <w:rFonts w:ascii="Arial" w:hAnsi="Arial" w:cs="Arial"/>
          <w:iCs/>
          <w:sz w:val="22"/>
          <w:szCs w:val="22"/>
        </w:rPr>
        <w:t xml:space="preserve">The </w:t>
      </w:r>
      <w:r w:rsidRPr="00C04DCF">
        <w:rPr>
          <w:rFonts w:ascii="Arial" w:hAnsi="Arial" w:cs="Arial"/>
          <w:iCs/>
          <w:sz w:val="22"/>
          <w:szCs w:val="22"/>
        </w:rPr>
        <w:t>draft</w:t>
      </w:r>
      <w:r w:rsidRPr="00C31939">
        <w:rPr>
          <w:rFonts w:ascii="Arial" w:hAnsi="Arial" w:cs="Arial"/>
          <w:iCs/>
          <w:sz w:val="22"/>
          <w:szCs w:val="22"/>
        </w:rPr>
        <w:t xml:space="preserve"> instrument and </w:t>
      </w:r>
      <w:r w:rsidRPr="00C04DCF">
        <w:rPr>
          <w:rFonts w:ascii="Arial" w:hAnsi="Arial" w:cs="Arial"/>
          <w:iCs/>
          <w:sz w:val="22"/>
          <w:szCs w:val="22"/>
        </w:rPr>
        <w:t>draft</w:t>
      </w:r>
      <w:r w:rsidRPr="00C31939">
        <w:rPr>
          <w:rFonts w:ascii="Arial" w:hAnsi="Arial" w:cs="Arial"/>
          <w:iCs/>
          <w:sz w:val="22"/>
          <w:szCs w:val="22"/>
        </w:rPr>
        <w:t xml:space="preserve"> explanatory statement were published on the ATO Legal database, which is publicly available. Publication was advertised via the 'What's new' page on that website, and via the 'Open Consultation' page on ato.go</w:t>
      </w:r>
      <w:r w:rsidRPr="00C04DCF">
        <w:rPr>
          <w:rFonts w:ascii="Arial" w:hAnsi="Arial" w:cs="Arial"/>
          <w:iCs/>
          <w:sz w:val="22"/>
          <w:szCs w:val="22"/>
        </w:rPr>
        <w:t>v.</w:t>
      </w:r>
      <w:r w:rsidRPr="00C31939">
        <w:rPr>
          <w:rFonts w:ascii="Arial" w:hAnsi="Arial" w:cs="Arial"/>
          <w:iCs/>
          <w:sz w:val="22"/>
          <w:szCs w:val="22"/>
        </w:rPr>
        <w:t xml:space="preserve">au. Major tax and </w:t>
      </w:r>
      <w:r w:rsidRPr="00C04DCF">
        <w:rPr>
          <w:rFonts w:ascii="Arial" w:hAnsi="Arial" w:cs="Arial"/>
          <w:iCs/>
          <w:sz w:val="22"/>
          <w:szCs w:val="22"/>
        </w:rPr>
        <w:t>superannuation</w:t>
      </w:r>
      <w:r w:rsidRPr="00C31939">
        <w:rPr>
          <w:rFonts w:ascii="Arial" w:hAnsi="Arial" w:cs="Arial"/>
          <w:iCs/>
          <w:sz w:val="22"/>
          <w:szCs w:val="22"/>
        </w:rPr>
        <w:t xml:space="preserve"> publishers and associations monitor these pages and include the details in the daily and weekly alerts and newsletters that they provide to their subscribers and members.</w:t>
      </w:r>
    </w:p>
    <w:p w14:paraId="4E481862" w14:textId="77777777" w:rsidR="0070140C" w:rsidRPr="00C31939" w:rsidRDefault="0070140C" w:rsidP="00C31939">
      <w:pPr>
        <w:numPr>
          <w:ilvl w:val="0"/>
          <w:numId w:val="16"/>
        </w:numPr>
        <w:spacing w:after="120"/>
        <w:ind w:hanging="720"/>
        <w:rPr>
          <w:rFonts w:ascii="Arial" w:hAnsi="Arial" w:cs="Arial"/>
          <w:iCs/>
          <w:sz w:val="22"/>
          <w:szCs w:val="22"/>
        </w:rPr>
      </w:pPr>
      <w:r w:rsidRPr="00C31939">
        <w:rPr>
          <w:rFonts w:ascii="Arial" w:hAnsi="Arial" w:cs="Arial"/>
          <w:iCs/>
          <w:sz w:val="22"/>
          <w:szCs w:val="22"/>
        </w:rPr>
        <w:t>No comments were received as part of the consultation process.</w:t>
      </w:r>
    </w:p>
    <w:p w14:paraId="3EDC3D9F" w14:textId="374EBC8C" w:rsidR="0070140C" w:rsidRDefault="0070140C" w:rsidP="0070140C">
      <w:pPr>
        <w:spacing w:after="120"/>
        <w:rPr>
          <w:rFonts w:ascii="Arial" w:hAnsi="Arial" w:cs="Arial"/>
          <w:sz w:val="22"/>
          <w:szCs w:val="22"/>
        </w:rPr>
      </w:pPr>
    </w:p>
    <w:p w14:paraId="62A420D9" w14:textId="77777777" w:rsidR="00C31939" w:rsidRPr="00C31939" w:rsidRDefault="00C31939" w:rsidP="0070140C">
      <w:pPr>
        <w:spacing w:after="120"/>
        <w:rPr>
          <w:rFonts w:ascii="Arial" w:hAnsi="Arial" w:cs="Arial"/>
          <w:sz w:val="22"/>
          <w:szCs w:val="22"/>
        </w:rPr>
      </w:pPr>
    </w:p>
    <w:p w14:paraId="54BF20C4" w14:textId="74A26564" w:rsidR="00CD6713" w:rsidRPr="00C31939" w:rsidRDefault="007571D0" w:rsidP="00C31939">
      <w:pPr>
        <w:pStyle w:val="Heaidng3"/>
        <w:spacing w:after="60"/>
        <w:rPr>
          <w:u w:val="none"/>
        </w:rPr>
      </w:pPr>
      <w:r w:rsidRPr="00C31939">
        <w:rPr>
          <w:u w:val="none"/>
        </w:rPr>
        <w:t>Legislative references</w:t>
      </w:r>
    </w:p>
    <w:p w14:paraId="1D93E936" w14:textId="77777777" w:rsidR="00F9427D" w:rsidRPr="001725A2" w:rsidRDefault="00F9427D" w:rsidP="00F9427D">
      <w:pPr>
        <w:autoSpaceDE w:val="0"/>
        <w:autoSpaceDN w:val="0"/>
        <w:adjustRightInd w:val="0"/>
        <w:rPr>
          <w:rFonts w:ascii="Arial" w:hAnsi="Arial" w:cs="Arial"/>
          <w:i/>
          <w:iCs/>
          <w:sz w:val="20"/>
        </w:rPr>
      </w:pPr>
      <w:r w:rsidRPr="001725A2">
        <w:rPr>
          <w:rFonts w:ascii="Arial" w:hAnsi="Arial" w:cs="Arial"/>
          <w:i/>
          <w:iCs/>
          <w:sz w:val="20"/>
        </w:rPr>
        <w:t>A</w:t>
      </w:r>
      <w:r w:rsidRPr="00C04DCF">
        <w:rPr>
          <w:rFonts w:ascii="Arial" w:hAnsi="Arial" w:cs="Arial"/>
          <w:i/>
          <w:iCs/>
          <w:sz w:val="20"/>
        </w:rPr>
        <w:t xml:space="preserve"> New </w:t>
      </w:r>
      <w:r w:rsidRPr="001725A2">
        <w:rPr>
          <w:rFonts w:ascii="Arial" w:hAnsi="Arial" w:cs="Arial"/>
          <w:i/>
          <w:iCs/>
          <w:sz w:val="20"/>
        </w:rPr>
        <w:t>Tax System (Goods and Services) Tax Act 1999</w:t>
      </w:r>
    </w:p>
    <w:p w14:paraId="2D5ED824" w14:textId="25B9675D" w:rsidR="004C26F5" w:rsidRPr="003223EE" w:rsidRDefault="004C26F5" w:rsidP="0063489F">
      <w:pPr>
        <w:autoSpaceDE w:val="0"/>
        <w:autoSpaceDN w:val="0"/>
        <w:adjustRightInd w:val="0"/>
        <w:rPr>
          <w:rFonts w:ascii="Arial" w:hAnsi="Arial" w:cs="Arial"/>
          <w:i/>
          <w:sz w:val="20"/>
        </w:rPr>
      </w:pPr>
      <w:r w:rsidRPr="003223EE">
        <w:rPr>
          <w:rFonts w:ascii="Arial" w:hAnsi="Arial" w:cs="Arial"/>
          <w:i/>
          <w:sz w:val="20"/>
        </w:rPr>
        <w:t>Acts Interpretation Act 1901</w:t>
      </w:r>
    </w:p>
    <w:p w14:paraId="46396660" w14:textId="77777777" w:rsidR="0063489F" w:rsidRPr="001725A2" w:rsidRDefault="0063489F" w:rsidP="0063489F">
      <w:pPr>
        <w:autoSpaceDE w:val="0"/>
        <w:autoSpaceDN w:val="0"/>
        <w:adjustRightInd w:val="0"/>
        <w:rPr>
          <w:rFonts w:ascii="Arial" w:hAnsi="Arial" w:cs="Arial"/>
          <w:i/>
          <w:iCs/>
          <w:sz w:val="20"/>
        </w:rPr>
      </w:pPr>
      <w:r w:rsidRPr="001725A2">
        <w:rPr>
          <w:rFonts w:ascii="Helvetica Neue" w:hAnsi="Helvetica Neue"/>
          <w:i/>
          <w:iCs/>
          <w:sz w:val="20"/>
        </w:rPr>
        <w:t>Human Rights (</w:t>
      </w:r>
      <w:r w:rsidRPr="00C04DCF">
        <w:rPr>
          <w:rFonts w:ascii="Helvetica Neue" w:hAnsi="Helvetica Neue"/>
          <w:i/>
          <w:iCs/>
          <w:sz w:val="20"/>
        </w:rPr>
        <w:t>Parliament</w:t>
      </w:r>
      <w:r w:rsidRPr="001725A2">
        <w:rPr>
          <w:rFonts w:ascii="Helvetica Neue" w:hAnsi="Helvetica Neue"/>
          <w:i/>
          <w:iCs/>
          <w:sz w:val="20"/>
        </w:rPr>
        <w:t>ary Scrutiny) Act 2011</w:t>
      </w:r>
    </w:p>
    <w:p w14:paraId="23193C7B" w14:textId="5E10A5F9" w:rsidR="0063489F" w:rsidRDefault="0063489F" w:rsidP="0063489F">
      <w:pPr>
        <w:autoSpaceDE w:val="0"/>
        <w:autoSpaceDN w:val="0"/>
        <w:adjustRightInd w:val="0"/>
        <w:rPr>
          <w:rFonts w:ascii="Arial" w:hAnsi="Arial" w:cs="Arial"/>
          <w:i/>
          <w:iCs/>
          <w:sz w:val="20"/>
        </w:rPr>
      </w:pPr>
      <w:r w:rsidRPr="001725A2">
        <w:rPr>
          <w:rFonts w:ascii="Arial" w:hAnsi="Arial" w:cs="Arial"/>
          <w:i/>
          <w:iCs/>
          <w:sz w:val="20"/>
        </w:rPr>
        <w:t>Legislation Act 2003</w:t>
      </w:r>
    </w:p>
    <w:p w14:paraId="1A31F8BA" w14:textId="2F5F3D71" w:rsidR="00BF12D2" w:rsidRPr="00F04F17" w:rsidRDefault="00E53399" w:rsidP="00F04F17">
      <w:pPr>
        <w:pStyle w:val="Heading3"/>
        <w:pageBreakBefore/>
        <w:spacing w:before="0" w:after="120"/>
        <w:jc w:val="center"/>
        <w:rPr>
          <w:sz w:val="22"/>
          <w:szCs w:val="22"/>
        </w:rPr>
      </w:pPr>
      <w:r w:rsidRPr="00F04F17">
        <w:rPr>
          <w:sz w:val="22"/>
          <w:szCs w:val="22"/>
        </w:rPr>
        <w:lastRenderedPageBreak/>
        <w:t xml:space="preserve">Statement of </w:t>
      </w:r>
      <w:r w:rsidR="007C13AE">
        <w:rPr>
          <w:sz w:val="22"/>
          <w:szCs w:val="22"/>
        </w:rPr>
        <w:t>co</w:t>
      </w:r>
      <w:r w:rsidRPr="00F04F17">
        <w:rPr>
          <w:sz w:val="22"/>
          <w:szCs w:val="22"/>
        </w:rPr>
        <w:t>mpatibility</w:t>
      </w:r>
      <w:r w:rsidR="003A7F99" w:rsidRPr="00F04F17">
        <w:rPr>
          <w:sz w:val="22"/>
          <w:szCs w:val="22"/>
        </w:rPr>
        <w:t xml:space="preserve"> with Human Rights</w:t>
      </w:r>
    </w:p>
    <w:p w14:paraId="0A1FBA56" w14:textId="1AB52B39" w:rsidR="00E53399" w:rsidRPr="002C2EDB" w:rsidRDefault="002C2EDB" w:rsidP="00F04F17">
      <w:pPr>
        <w:spacing w:after="120"/>
        <w:rPr>
          <w:rFonts w:ascii="Arial" w:hAnsi="Arial" w:cs="Arial"/>
          <w:sz w:val="22"/>
          <w:szCs w:val="22"/>
        </w:rPr>
      </w:pPr>
      <w:r w:rsidRPr="002C2EDB">
        <w:rPr>
          <w:rFonts w:ascii="Arial" w:hAnsi="Arial" w:cs="Arial"/>
          <w:sz w:val="22"/>
          <w:szCs w:val="22"/>
        </w:rPr>
        <w:t xml:space="preserve">Prepared in accordance with Part 3 of the </w:t>
      </w:r>
      <w:r w:rsidRPr="002C2EDB">
        <w:rPr>
          <w:rFonts w:ascii="Arial" w:hAnsi="Arial" w:cs="Arial"/>
          <w:i/>
          <w:iCs/>
          <w:sz w:val="22"/>
          <w:szCs w:val="22"/>
        </w:rPr>
        <w:t>Human Rights (Parliamentary Scrutiny) Act 2011</w:t>
      </w:r>
    </w:p>
    <w:p w14:paraId="7E3C22A5" w14:textId="77777777" w:rsidR="00D77015" w:rsidRPr="00F04F17" w:rsidRDefault="00D77015" w:rsidP="00F04F17">
      <w:pPr>
        <w:spacing w:after="120"/>
        <w:rPr>
          <w:rFonts w:ascii="Arial" w:hAnsi="Arial" w:cs="Arial"/>
          <w:sz w:val="22"/>
          <w:szCs w:val="22"/>
        </w:rPr>
      </w:pPr>
    </w:p>
    <w:p w14:paraId="1751158F" w14:textId="3A24D149" w:rsidR="002D7B3E" w:rsidRPr="00C31939" w:rsidRDefault="00D76587" w:rsidP="00C31939">
      <w:pPr>
        <w:pStyle w:val="Heading2"/>
        <w:jc w:val="center"/>
        <w:rPr>
          <w:i/>
          <w:iCs/>
        </w:rPr>
      </w:pPr>
      <w:bookmarkStart w:id="2" w:name="_Hlk112747701"/>
      <w:r w:rsidRPr="00C31939">
        <w:rPr>
          <w:i/>
          <w:iCs/>
        </w:rPr>
        <w:t>A</w:t>
      </w:r>
      <w:r w:rsidRPr="00C04DCF">
        <w:rPr>
          <w:i/>
          <w:iCs/>
        </w:rPr>
        <w:t xml:space="preserve"> New </w:t>
      </w:r>
      <w:r w:rsidRPr="00C31939">
        <w:rPr>
          <w:i/>
          <w:iCs/>
        </w:rPr>
        <w:t>Tax System (</w:t>
      </w:r>
      <w:r w:rsidR="002D7B3E" w:rsidRPr="00C31939">
        <w:rPr>
          <w:i/>
          <w:iCs/>
        </w:rPr>
        <w:t>Goods and Services Tax</w:t>
      </w:r>
      <w:r w:rsidRPr="00C31939">
        <w:rPr>
          <w:i/>
          <w:iCs/>
        </w:rPr>
        <w:t>)</w:t>
      </w:r>
      <w:r w:rsidR="002D7B3E" w:rsidRPr="00C31939">
        <w:rPr>
          <w:i/>
          <w:iCs/>
        </w:rPr>
        <w:t>: Waiver of Tax Invoice Requirement (Offer Documents and Renewal Notices) Determination 2023</w:t>
      </w:r>
    </w:p>
    <w:p w14:paraId="7220DC45" w14:textId="36037A3D" w:rsidR="00BF12D2" w:rsidRPr="00F04F17" w:rsidRDefault="00075B58" w:rsidP="00F04F17">
      <w:pPr>
        <w:autoSpaceDE w:val="0"/>
        <w:autoSpaceDN w:val="0"/>
        <w:adjustRightInd w:val="0"/>
        <w:spacing w:after="120"/>
        <w:rPr>
          <w:rFonts w:ascii="Arial" w:hAnsi="Arial" w:cs="Arial"/>
          <w:sz w:val="22"/>
          <w:szCs w:val="22"/>
        </w:rPr>
      </w:pPr>
      <w:bookmarkStart w:id="3" w:name="_Hlk115423500"/>
      <w:bookmarkEnd w:id="2"/>
      <w:r w:rsidRPr="00F04F17">
        <w:rPr>
          <w:rFonts w:ascii="Arial" w:hAnsi="Arial" w:cs="Arial"/>
          <w:sz w:val="22"/>
          <w:szCs w:val="22"/>
        </w:rPr>
        <w:t xml:space="preserve">This </w:t>
      </w:r>
      <w:r w:rsidR="008763C8" w:rsidRPr="00F04F17">
        <w:rPr>
          <w:rFonts w:ascii="Arial" w:hAnsi="Arial" w:cs="Arial"/>
          <w:sz w:val="22"/>
          <w:szCs w:val="22"/>
        </w:rPr>
        <w:t>l</w:t>
      </w:r>
      <w:r w:rsidRPr="00F04F17">
        <w:rPr>
          <w:rFonts w:ascii="Arial" w:hAnsi="Arial" w:cs="Arial"/>
          <w:sz w:val="22"/>
          <w:szCs w:val="22"/>
        </w:rPr>
        <w:t xml:space="preserve">egislative </w:t>
      </w:r>
      <w:r w:rsidR="008763C8" w:rsidRPr="00F04F17">
        <w:rPr>
          <w:rFonts w:ascii="Arial" w:hAnsi="Arial" w:cs="Arial"/>
          <w:sz w:val="22"/>
          <w:szCs w:val="22"/>
        </w:rPr>
        <w:t>i</w:t>
      </w:r>
      <w:r w:rsidRPr="00F04F17">
        <w:rPr>
          <w:rFonts w:ascii="Arial" w:hAnsi="Arial" w:cs="Arial"/>
          <w:sz w:val="22"/>
          <w:szCs w:val="22"/>
        </w:rPr>
        <w:t>nstrument is compatible with the human rights and freedoms recognised or declared in the international instruments listed in s</w:t>
      </w:r>
      <w:r w:rsidR="00AB1455" w:rsidRPr="00F04F17">
        <w:rPr>
          <w:rFonts w:ascii="Arial" w:hAnsi="Arial" w:cs="Arial"/>
          <w:sz w:val="22"/>
          <w:szCs w:val="22"/>
        </w:rPr>
        <w:t>ection</w:t>
      </w:r>
      <w:r w:rsidR="00C04DCF">
        <w:rPr>
          <w:rFonts w:ascii="Arial" w:hAnsi="Arial" w:cs="Arial"/>
          <w:sz w:val="22"/>
          <w:szCs w:val="22"/>
        </w:rPr>
        <w:t xml:space="preserve"> </w:t>
      </w:r>
      <w:r w:rsidRPr="00F04F17">
        <w:rPr>
          <w:rFonts w:ascii="Arial" w:hAnsi="Arial" w:cs="Arial"/>
          <w:sz w:val="22"/>
          <w:szCs w:val="22"/>
        </w:rPr>
        <w:t xml:space="preserve">3 of the </w:t>
      </w:r>
      <w:r w:rsidRPr="00F04F17">
        <w:rPr>
          <w:rFonts w:ascii="Arial" w:hAnsi="Arial" w:cs="Arial"/>
          <w:i/>
          <w:sz w:val="22"/>
          <w:szCs w:val="22"/>
        </w:rPr>
        <w:t>Human Rights (</w:t>
      </w:r>
      <w:r w:rsidRPr="00C04DCF">
        <w:rPr>
          <w:rFonts w:ascii="Arial" w:hAnsi="Arial" w:cs="Arial"/>
          <w:i/>
          <w:sz w:val="22"/>
          <w:szCs w:val="22"/>
        </w:rPr>
        <w:t>Parliament</w:t>
      </w:r>
      <w:r w:rsidRPr="00F04F17">
        <w:rPr>
          <w:rFonts w:ascii="Arial" w:hAnsi="Arial" w:cs="Arial"/>
          <w:i/>
          <w:sz w:val="22"/>
          <w:szCs w:val="22"/>
        </w:rPr>
        <w:t>ary Scrutiny) Act 2011</w:t>
      </w:r>
      <w:r w:rsidRPr="00F04F17">
        <w:rPr>
          <w:rFonts w:ascii="Arial" w:hAnsi="Arial" w:cs="Arial"/>
          <w:sz w:val="22"/>
          <w:szCs w:val="22"/>
        </w:rPr>
        <w:t>.</w:t>
      </w:r>
    </w:p>
    <w:p w14:paraId="71AF46A3" w14:textId="77777777" w:rsidR="00075B58" w:rsidRPr="00F04F17" w:rsidRDefault="00075B58" w:rsidP="00C31939">
      <w:pPr>
        <w:spacing w:after="120"/>
        <w:rPr>
          <w:rFonts w:ascii="Arial" w:hAnsi="Arial" w:cs="Arial"/>
          <w:sz w:val="22"/>
          <w:szCs w:val="22"/>
        </w:rPr>
      </w:pPr>
    </w:p>
    <w:p w14:paraId="274EDC3C" w14:textId="77777777" w:rsidR="0096408C" w:rsidRPr="00F04F17" w:rsidRDefault="0096408C" w:rsidP="0096408C">
      <w:pPr>
        <w:pStyle w:val="Heading2"/>
        <w:rPr>
          <w:rFonts w:cs="Arial"/>
          <w:szCs w:val="22"/>
        </w:rPr>
      </w:pPr>
      <w:r w:rsidRPr="00F04F17">
        <w:rPr>
          <w:rFonts w:cs="Arial"/>
          <w:szCs w:val="22"/>
        </w:rPr>
        <w:t>Overview of the legislative instrument</w:t>
      </w:r>
    </w:p>
    <w:p w14:paraId="1763A345" w14:textId="2A4FFC31" w:rsidR="0096408C" w:rsidRPr="005144A5" w:rsidRDefault="000D0694" w:rsidP="0096408C">
      <w:pPr>
        <w:rPr>
          <w:rFonts w:ascii="Arial" w:hAnsi="Arial" w:cs="Arial"/>
          <w:sz w:val="22"/>
          <w:szCs w:val="22"/>
        </w:rPr>
      </w:pPr>
      <w:bookmarkStart w:id="4" w:name="_Hlk118897541"/>
      <w:r>
        <w:rPr>
          <w:rFonts w:ascii="Arial" w:hAnsi="Arial" w:cs="Arial"/>
          <w:sz w:val="22"/>
          <w:szCs w:val="22"/>
        </w:rPr>
        <w:t xml:space="preserve">A taxpayer must generally hold a tax invoice to be able to claim an input tax credit under the </w:t>
      </w:r>
      <w:r>
        <w:rPr>
          <w:rFonts w:ascii="Arial" w:hAnsi="Arial" w:cs="Arial"/>
          <w:i/>
          <w:iCs/>
          <w:sz w:val="22"/>
          <w:szCs w:val="22"/>
        </w:rPr>
        <w:t>A</w:t>
      </w:r>
      <w:r w:rsidRPr="00C04DCF">
        <w:rPr>
          <w:rFonts w:ascii="Arial" w:hAnsi="Arial" w:cs="Arial"/>
          <w:i/>
          <w:iCs/>
          <w:sz w:val="22"/>
          <w:szCs w:val="22"/>
        </w:rPr>
        <w:t xml:space="preserve"> New </w:t>
      </w:r>
      <w:r>
        <w:rPr>
          <w:rFonts w:ascii="Arial" w:hAnsi="Arial" w:cs="Arial"/>
          <w:i/>
          <w:iCs/>
          <w:sz w:val="22"/>
          <w:szCs w:val="22"/>
        </w:rPr>
        <w:t>Tax System (Goods and Services Tax) Act 1999</w:t>
      </w:r>
      <w:r>
        <w:rPr>
          <w:rFonts w:ascii="Arial" w:hAnsi="Arial" w:cs="Arial"/>
          <w:sz w:val="22"/>
          <w:szCs w:val="22"/>
        </w:rPr>
        <w:t xml:space="preserve"> (</w:t>
      </w:r>
      <w:r w:rsidR="00C04DCF">
        <w:rPr>
          <w:rFonts w:ascii="Arial" w:hAnsi="Arial" w:cs="Arial"/>
          <w:sz w:val="22"/>
          <w:szCs w:val="22"/>
        </w:rPr>
        <w:t xml:space="preserve">the </w:t>
      </w:r>
      <w:r>
        <w:rPr>
          <w:rFonts w:ascii="Arial" w:hAnsi="Arial" w:cs="Arial"/>
          <w:sz w:val="22"/>
          <w:szCs w:val="22"/>
        </w:rPr>
        <w:t>Act</w:t>
      </w:r>
      <w:bookmarkEnd w:id="4"/>
      <w:r>
        <w:rPr>
          <w:rFonts w:ascii="Arial" w:hAnsi="Arial" w:cs="Arial"/>
          <w:sz w:val="22"/>
          <w:szCs w:val="22"/>
        </w:rPr>
        <w:t xml:space="preserve">). </w:t>
      </w:r>
      <w:r w:rsidR="0096408C" w:rsidRPr="001002DA">
        <w:rPr>
          <w:rFonts w:ascii="Arial" w:hAnsi="Arial" w:cs="Arial"/>
          <w:sz w:val="22"/>
          <w:szCs w:val="22"/>
        </w:rPr>
        <w:t xml:space="preserve">A tax invoice is a document that meets certain requirements under the Act. This </w:t>
      </w:r>
      <w:r w:rsidR="00407FDC">
        <w:rPr>
          <w:rFonts w:ascii="Arial" w:hAnsi="Arial" w:cs="Arial"/>
          <w:sz w:val="22"/>
          <w:szCs w:val="22"/>
        </w:rPr>
        <w:t xml:space="preserve">determination </w:t>
      </w:r>
      <w:r w:rsidR="0096408C" w:rsidRPr="001002DA">
        <w:rPr>
          <w:rFonts w:ascii="Arial" w:hAnsi="Arial" w:cs="Arial"/>
          <w:sz w:val="22"/>
          <w:szCs w:val="22"/>
        </w:rPr>
        <w:t xml:space="preserve">waives the requirement under the Act to hold a tax invoice before an input tax credit can be claimed in a tax period. This waiver will only apply if the conditions set out in the </w:t>
      </w:r>
      <w:r w:rsidR="0031406B">
        <w:rPr>
          <w:rFonts w:ascii="Arial" w:hAnsi="Arial" w:cs="Arial"/>
          <w:sz w:val="22"/>
          <w:szCs w:val="22"/>
        </w:rPr>
        <w:t>determination</w:t>
      </w:r>
      <w:r w:rsidR="0096408C" w:rsidRPr="001002DA">
        <w:rPr>
          <w:rFonts w:ascii="Arial" w:hAnsi="Arial" w:cs="Arial"/>
          <w:sz w:val="22"/>
          <w:szCs w:val="22"/>
        </w:rPr>
        <w:t xml:space="preserve"> are met. The purpos</w:t>
      </w:r>
      <w:r w:rsidR="0096408C" w:rsidRPr="005144A5">
        <w:rPr>
          <w:rFonts w:ascii="Arial" w:hAnsi="Arial" w:cs="Arial"/>
          <w:sz w:val="22"/>
          <w:szCs w:val="22"/>
        </w:rPr>
        <w:t xml:space="preserve">e of </w:t>
      </w:r>
      <w:r w:rsidR="0096408C" w:rsidRPr="005144A5">
        <w:rPr>
          <w:rFonts w:ascii="Arial" w:hAnsi="Arial" w:cs="Arial"/>
          <w:sz w:val="22"/>
        </w:rPr>
        <w:t>t</w:t>
      </w:r>
      <w:r w:rsidR="0096408C" w:rsidRPr="005144A5">
        <w:rPr>
          <w:rFonts w:ascii="Arial" w:hAnsi="Arial" w:cs="Arial"/>
          <w:sz w:val="22"/>
          <w:szCs w:val="22"/>
        </w:rPr>
        <w:t>his waiver is to reduce the compliance burden for recipients and suppliers.</w:t>
      </w:r>
    </w:p>
    <w:p w14:paraId="647B4DC1" w14:textId="77777777" w:rsidR="0096408C" w:rsidRPr="00C31939" w:rsidRDefault="0096408C" w:rsidP="00C31939">
      <w:pPr>
        <w:spacing w:after="120"/>
        <w:rPr>
          <w:rFonts w:ascii="Arial" w:hAnsi="Arial" w:cs="Arial"/>
          <w:sz w:val="22"/>
          <w:szCs w:val="22"/>
        </w:rPr>
      </w:pPr>
    </w:p>
    <w:p w14:paraId="6962CE16" w14:textId="77777777" w:rsidR="0096408C" w:rsidRPr="00F04F17" w:rsidRDefault="0096408C" w:rsidP="0096408C">
      <w:pPr>
        <w:pStyle w:val="Heading2"/>
        <w:rPr>
          <w:rFonts w:cs="Arial"/>
          <w:szCs w:val="22"/>
        </w:rPr>
      </w:pPr>
      <w:r w:rsidRPr="00F04F17">
        <w:rPr>
          <w:rFonts w:cs="Arial"/>
          <w:szCs w:val="22"/>
        </w:rPr>
        <w:t>Human rights implications</w:t>
      </w:r>
    </w:p>
    <w:p w14:paraId="72711A1D" w14:textId="77777777" w:rsidR="00C31939" w:rsidRDefault="0096408C" w:rsidP="0096408C">
      <w:pPr>
        <w:rPr>
          <w:rFonts w:ascii="Arial" w:hAnsi="Arial" w:cs="Arial"/>
          <w:sz w:val="22"/>
          <w:szCs w:val="22"/>
        </w:rPr>
      </w:pPr>
      <w:r w:rsidRPr="00B60EC3">
        <w:rPr>
          <w:rFonts w:ascii="Arial" w:hAnsi="Arial" w:cs="Arial"/>
          <w:sz w:val="22"/>
          <w:szCs w:val="22"/>
        </w:rPr>
        <w:t>This legislative instrument does not engage any of the applicable rights or freedoms because it merely waives the requirement to hold a tax invoice in certain circumstances</w:t>
      </w:r>
      <w:r w:rsidR="000D0694">
        <w:rPr>
          <w:rFonts w:ascii="Arial" w:hAnsi="Arial" w:cs="Arial"/>
          <w:sz w:val="22"/>
          <w:szCs w:val="22"/>
        </w:rPr>
        <w:t>,</w:t>
      </w:r>
      <w:r w:rsidRPr="00B60EC3">
        <w:rPr>
          <w:rFonts w:ascii="Arial" w:hAnsi="Arial" w:cs="Arial"/>
          <w:sz w:val="22"/>
          <w:szCs w:val="22"/>
        </w:rPr>
        <w:t xml:space="preserve"> and replaces it with a requirement to hold a different document or documents that meet alternative conditions.</w:t>
      </w:r>
    </w:p>
    <w:p w14:paraId="03E9C851" w14:textId="5D67CEB0" w:rsidR="0096408C" w:rsidRPr="00C31939" w:rsidRDefault="0096408C" w:rsidP="00C31939">
      <w:pPr>
        <w:spacing w:after="120"/>
        <w:rPr>
          <w:rFonts w:ascii="Arial" w:hAnsi="Arial" w:cs="Arial"/>
          <w:sz w:val="22"/>
          <w:szCs w:val="22"/>
        </w:rPr>
      </w:pPr>
    </w:p>
    <w:p w14:paraId="3B7664C4" w14:textId="62E02135" w:rsidR="00075B58" w:rsidRPr="00F04F17" w:rsidRDefault="00075B58" w:rsidP="00F04F17">
      <w:pPr>
        <w:pStyle w:val="Heading2"/>
        <w:rPr>
          <w:rFonts w:cs="Arial"/>
          <w:szCs w:val="22"/>
        </w:rPr>
      </w:pPr>
      <w:r w:rsidRPr="00F04F17">
        <w:rPr>
          <w:rFonts w:cs="Arial"/>
          <w:szCs w:val="22"/>
        </w:rPr>
        <w:t>Conclusion</w:t>
      </w:r>
    </w:p>
    <w:p w14:paraId="48049882" w14:textId="77777777" w:rsidR="00075B58" w:rsidRPr="00CD757F" w:rsidRDefault="00075B58" w:rsidP="00F04F17">
      <w:pPr>
        <w:spacing w:after="120"/>
        <w:rPr>
          <w:rFonts w:ascii="Arial" w:hAnsi="Arial" w:cs="Arial"/>
          <w:sz w:val="22"/>
          <w:szCs w:val="22"/>
        </w:rPr>
      </w:pPr>
      <w:r w:rsidRPr="00F04F17">
        <w:rPr>
          <w:rFonts w:ascii="Arial" w:hAnsi="Arial" w:cs="Arial"/>
          <w:sz w:val="22"/>
          <w:szCs w:val="22"/>
        </w:rPr>
        <w:t>Th</w:t>
      </w:r>
      <w:r w:rsidR="00D034B3">
        <w:rPr>
          <w:rFonts w:ascii="Arial" w:hAnsi="Arial" w:cs="Arial"/>
          <w:sz w:val="22"/>
          <w:szCs w:val="22"/>
        </w:rPr>
        <w:t>e</w:t>
      </w:r>
      <w:r w:rsidRPr="00F04F17">
        <w:rPr>
          <w:rFonts w:ascii="Arial" w:hAnsi="Arial" w:cs="Arial"/>
          <w:sz w:val="22"/>
          <w:szCs w:val="22"/>
        </w:rPr>
        <w:t xml:space="preserve"> </w:t>
      </w:r>
      <w:r w:rsidR="008763C8" w:rsidRPr="00F04F17">
        <w:rPr>
          <w:rFonts w:ascii="Arial" w:hAnsi="Arial" w:cs="Arial"/>
          <w:sz w:val="22"/>
          <w:szCs w:val="22"/>
        </w:rPr>
        <w:t>l</w:t>
      </w:r>
      <w:r w:rsidRPr="00F04F17">
        <w:rPr>
          <w:rFonts w:ascii="Arial" w:hAnsi="Arial" w:cs="Arial"/>
          <w:sz w:val="22"/>
          <w:szCs w:val="22"/>
        </w:rPr>
        <w:t xml:space="preserve">egislative </w:t>
      </w:r>
      <w:r w:rsidR="008763C8" w:rsidRPr="00F04F17">
        <w:rPr>
          <w:rFonts w:ascii="Arial" w:hAnsi="Arial" w:cs="Arial"/>
          <w:sz w:val="22"/>
          <w:szCs w:val="22"/>
        </w:rPr>
        <w:t>i</w:t>
      </w:r>
      <w:r w:rsidRPr="00F04F17">
        <w:rPr>
          <w:rFonts w:ascii="Arial" w:hAnsi="Arial" w:cs="Arial"/>
          <w:sz w:val="22"/>
          <w:szCs w:val="22"/>
        </w:rPr>
        <w:t xml:space="preserve">nstrument </w:t>
      </w:r>
      <w:r w:rsidR="003A7F99" w:rsidRPr="00F04F17">
        <w:rPr>
          <w:rFonts w:ascii="Arial" w:hAnsi="Arial" w:cs="Arial"/>
          <w:sz w:val="22"/>
          <w:szCs w:val="22"/>
        </w:rPr>
        <w:t xml:space="preserve">is compatible with human rights as it </w:t>
      </w:r>
      <w:r w:rsidR="00C76E3D" w:rsidRPr="00F04F17">
        <w:rPr>
          <w:rFonts w:ascii="Arial" w:hAnsi="Arial" w:cs="Arial"/>
          <w:sz w:val="22"/>
          <w:szCs w:val="22"/>
        </w:rPr>
        <w:t>does not raise any human rights issues.</w:t>
      </w:r>
      <w:bookmarkEnd w:id="3"/>
    </w:p>
    <w:sectPr w:rsidR="00075B58" w:rsidRPr="00CD757F" w:rsidSect="00146ED8">
      <w:headerReference w:type="even" r:id="rId8"/>
      <w:headerReference w:type="default" r:id="rId9"/>
      <w:headerReference w:type="first" r:id="rId10"/>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1084A" w14:textId="77777777" w:rsidR="009B1E93" w:rsidRDefault="009B1E93">
      <w:r>
        <w:separator/>
      </w:r>
    </w:p>
  </w:endnote>
  <w:endnote w:type="continuationSeparator" w:id="0">
    <w:p w14:paraId="6AED20F0" w14:textId="77777777" w:rsidR="009B1E93" w:rsidRDefault="009B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2989E" w14:textId="77777777" w:rsidR="009B1E93" w:rsidRDefault="009B1E93">
      <w:r>
        <w:separator/>
      </w:r>
    </w:p>
  </w:footnote>
  <w:footnote w:type="continuationSeparator" w:id="0">
    <w:p w14:paraId="0B3BFD9F" w14:textId="77777777" w:rsidR="009B1E93" w:rsidRDefault="009B1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7018"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57BA2122" w14:textId="77777777" w:rsidR="00BF12D2" w:rsidRDefault="00587C50">
    <w:pPr>
      <w:pStyle w:val="Header"/>
      <w:rPr>
        <w:rFonts w:ascii="Arial" w:hAnsi="Arial" w:cs="Arial"/>
        <w:b/>
        <w:sz w:val="52"/>
      </w:rPr>
    </w:pPr>
    <w:r w:rsidRPr="0067541C">
      <w:rPr>
        <w:rFonts w:ascii="Arial" w:hAnsi="Arial" w:cs="Arial"/>
        <w:b/>
        <w:sz w:val="52"/>
      </w:rPr>
      <w:t>TD</w:t>
    </w:r>
  </w:p>
  <w:p w14:paraId="1A95FC15"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E87BA6">
      <w:rPr>
        <w:rFonts w:ascii="Arial" w:hAnsi="Arial" w:cs="Arial"/>
        <w:noProof/>
        <w:snapToGrid w:val="0"/>
        <w:sz w:val="20"/>
        <w:lang w:eastAsia="en-US"/>
      </w:rPr>
      <w:t>4</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FOI status:</w:t>
    </w:r>
    <w:r w:rsidR="0067371B">
      <w:rPr>
        <w:rFonts w:ascii="Arial" w:hAnsi="Arial" w:cs="Arial"/>
        <w:sz w:val="20"/>
      </w:rPr>
      <w:t xml:space="preserve">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AC8A"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B5FD"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9E79F8" wp14:editId="7BB9ECDE">
          <wp:extent cx="2413635" cy="701675"/>
          <wp:effectExtent l="0" t="0" r="5715" b="3175"/>
          <wp:docPr id="1"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53E39B01" w14:textId="77777777"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16B0816"/>
    <w:multiLevelType w:val="hybridMultilevel"/>
    <w:tmpl w:val="32B0F610"/>
    <w:lvl w:ilvl="0" w:tplc="02224C8E">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3870F5A"/>
    <w:multiLevelType w:val="hybridMultilevel"/>
    <w:tmpl w:val="32B0F610"/>
    <w:lvl w:ilvl="0" w:tplc="02224C8E">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7521253"/>
    <w:multiLevelType w:val="hybridMultilevel"/>
    <w:tmpl w:val="32B0F610"/>
    <w:lvl w:ilvl="0" w:tplc="02224C8E">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BFE48CE"/>
    <w:multiLevelType w:val="hybridMultilevel"/>
    <w:tmpl w:val="DE18CDD4"/>
    <w:lvl w:ilvl="0" w:tplc="F2B6B1A6">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C25115C"/>
    <w:multiLevelType w:val="hybridMultilevel"/>
    <w:tmpl w:val="32B0F610"/>
    <w:lvl w:ilvl="0" w:tplc="02224C8E">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11"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12"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9557DD1"/>
    <w:multiLevelType w:val="hybridMultilevel"/>
    <w:tmpl w:val="DE18CDD4"/>
    <w:lvl w:ilvl="0" w:tplc="F2B6B1A6">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95E5ED5"/>
    <w:multiLevelType w:val="hybridMultilevel"/>
    <w:tmpl w:val="BCB05D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9633370"/>
    <w:multiLevelType w:val="hybridMultilevel"/>
    <w:tmpl w:val="E6B8C764"/>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E3827A1E">
      <w:start w:val="1"/>
      <w:numFmt w:val="decimal"/>
      <w:lvlText w:val="(%4)"/>
      <w:lvlJc w:val="left"/>
      <w:pPr>
        <w:tabs>
          <w:tab w:val="num" w:pos="1210"/>
        </w:tabs>
        <w:ind w:left="1210" w:hanging="360"/>
      </w:pPr>
      <w:rPr>
        <w:rFonts w:ascii="Arial" w:eastAsia="Times New Roman" w:hAnsi="Arial" w:cs="Arial"/>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BD32202"/>
    <w:multiLevelType w:val="hybridMultilevel"/>
    <w:tmpl w:val="AE129762"/>
    <w:lvl w:ilvl="0" w:tplc="F2B6B1A6">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220976E1"/>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23"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C927A5"/>
    <w:multiLevelType w:val="hybridMultilevel"/>
    <w:tmpl w:val="26BEA514"/>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2A013140"/>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9"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30"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5B0E32"/>
    <w:multiLevelType w:val="hybridMultilevel"/>
    <w:tmpl w:val="BBAC275A"/>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3D965A69"/>
    <w:multiLevelType w:val="hybridMultilevel"/>
    <w:tmpl w:val="9654BFFC"/>
    <w:lvl w:ilvl="0" w:tplc="5650CDFE">
      <w:start w:val="1"/>
      <w:numFmt w:val="decimal"/>
      <w:lvlText w:val="%1."/>
      <w:lvlJc w:val="left"/>
      <w:pPr>
        <w:ind w:left="786" w:hanging="360"/>
      </w:pPr>
      <w:rPr>
        <w:rFonts w:hint="default"/>
      </w:rPr>
    </w:lvl>
    <w:lvl w:ilvl="1" w:tplc="0C090019">
      <w:start w:val="1"/>
      <w:numFmt w:val="lowerLetter"/>
      <w:lvlText w:val="%2."/>
      <w:lvlJc w:val="left"/>
      <w:pPr>
        <w:ind w:left="1506" w:hanging="360"/>
      </w:pPr>
    </w:lvl>
    <w:lvl w:ilvl="2" w:tplc="BB880150">
      <w:start w:val="1"/>
      <w:numFmt w:val="lowerLetter"/>
      <w:lvlText w:val="(%3)"/>
      <w:lvlJc w:val="left"/>
      <w:pPr>
        <w:ind w:left="2406" w:hanging="360"/>
      </w:pPr>
      <w:rPr>
        <w:rFonts w:hint="default"/>
        <w:b/>
      </w:r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4" w15:restartNumberingAfterBreak="0">
    <w:nsid w:val="3FCC3903"/>
    <w:multiLevelType w:val="hybridMultilevel"/>
    <w:tmpl w:val="DE18CDD4"/>
    <w:lvl w:ilvl="0" w:tplc="F2B6B1A6">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400E0CFB"/>
    <w:multiLevelType w:val="hybridMultilevel"/>
    <w:tmpl w:val="9FE48122"/>
    <w:lvl w:ilvl="0" w:tplc="AAF85D0A">
      <w:start w:val="1"/>
      <w:numFmt w:val="decimal"/>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8" w15:restartNumberingAfterBreak="0">
    <w:nsid w:val="438C238A"/>
    <w:multiLevelType w:val="hybridMultilevel"/>
    <w:tmpl w:val="ADBA489C"/>
    <w:lvl w:ilvl="0" w:tplc="F2B6B1A6">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44D731C7"/>
    <w:multiLevelType w:val="hybridMultilevel"/>
    <w:tmpl w:val="C1768288"/>
    <w:lvl w:ilvl="0" w:tplc="F2B6B1A6">
      <w:start w:val="1"/>
      <w:numFmt w:val="decimal"/>
      <w:lvlText w:val="%1."/>
      <w:lvlJc w:val="left"/>
      <w:pPr>
        <w:tabs>
          <w:tab w:val="num" w:pos="720"/>
        </w:tabs>
        <w:ind w:left="720" w:hanging="360"/>
      </w:pPr>
      <w:rPr>
        <w:rFonts w:hint="default"/>
        <w:sz w:val="22"/>
        <w:szCs w:val="22"/>
      </w:rPr>
    </w:lvl>
    <w:lvl w:ilvl="1" w:tplc="0C090017">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463110E5"/>
    <w:multiLevelType w:val="hybridMultilevel"/>
    <w:tmpl w:val="32B0F610"/>
    <w:lvl w:ilvl="0" w:tplc="02224C8E">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C051111"/>
    <w:multiLevelType w:val="hybridMultilevel"/>
    <w:tmpl w:val="C1F090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50017317"/>
    <w:multiLevelType w:val="hybridMultilevel"/>
    <w:tmpl w:val="F260D1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6BA5B8A"/>
    <w:multiLevelType w:val="hybridMultilevel"/>
    <w:tmpl w:val="16C025D8"/>
    <w:lvl w:ilvl="0" w:tplc="DFF8DCA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59735512"/>
    <w:multiLevelType w:val="hybridMultilevel"/>
    <w:tmpl w:val="16C025D8"/>
    <w:lvl w:ilvl="0" w:tplc="DFF8DCA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50"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5" w15:restartNumberingAfterBreak="0">
    <w:nsid w:val="67C008EB"/>
    <w:multiLevelType w:val="hybridMultilevel"/>
    <w:tmpl w:val="B8C26C4C"/>
    <w:lvl w:ilvl="0" w:tplc="F0BE2E62">
      <w:start w:val="1"/>
      <w:numFmt w:val="decimal"/>
      <w:lvlText w:val="(%1)"/>
      <w:lvlJc w:val="left"/>
      <w:pPr>
        <w:ind w:left="1778" w:hanging="36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6" w15:restartNumberingAfterBreak="0">
    <w:nsid w:val="6922117D"/>
    <w:multiLevelType w:val="hybridMultilevel"/>
    <w:tmpl w:val="5D4A5724"/>
    <w:lvl w:ilvl="0" w:tplc="C17C41C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0EF42C5"/>
    <w:multiLevelType w:val="hybridMultilevel"/>
    <w:tmpl w:val="58BCA002"/>
    <w:lvl w:ilvl="0" w:tplc="3BB2996A">
      <w:start w:val="1"/>
      <w:numFmt w:val="decimal"/>
      <w:lvlText w:val="%1."/>
      <w:lvlJc w:val="left"/>
      <w:pPr>
        <w:tabs>
          <w:tab w:val="num" w:pos="360"/>
        </w:tabs>
        <w:ind w:left="360" w:hanging="360"/>
      </w:pPr>
      <w:rPr>
        <w:b w:val="0"/>
        <w:i w:val="0"/>
      </w:rPr>
    </w:lvl>
    <w:lvl w:ilvl="1" w:tplc="C2ACD91E">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77704383"/>
    <w:multiLevelType w:val="hybridMultilevel"/>
    <w:tmpl w:val="564C30C4"/>
    <w:lvl w:ilvl="0" w:tplc="0C090019">
      <w:start w:val="1"/>
      <w:numFmt w:val="lowerLetter"/>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2"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3"/>
  </w:num>
  <w:num w:numId="3">
    <w:abstractNumId w:val="36"/>
  </w:num>
  <w:num w:numId="4">
    <w:abstractNumId w:val="59"/>
  </w:num>
  <w:num w:numId="5">
    <w:abstractNumId w:val="9"/>
  </w:num>
  <w:num w:numId="6">
    <w:abstractNumId w:val="20"/>
  </w:num>
  <w:num w:numId="7">
    <w:abstractNumId w:val="52"/>
  </w:num>
  <w:num w:numId="8">
    <w:abstractNumId w:val="51"/>
  </w:num>
  <w:num w:numId="9">
    <w:abstractNumId w:val="40"/>
  </w:num>
  <w:num w:numId="10">
    <w:abstractNumId w:val="31"/>
  </w:num>
  <w:num w:numId="11">
    <w:abstractNumId w:val="62"/>
  </w:num>
  <w:num w:numId="12">
    <w:abstractNumId w:val="53"/>
  </w:num>
  <w:num w:numId="13">
    <w:abstractNumId w:val="58"/>
  </w:num>
  <w:num w:numId="14">
    <w:abstractNumId w:val="57"/>
  </w:num>
  <w:num w:numId="15">
    <w:abstractNumId w:val="30"/>
  </w:num>
  <w:num w:numId="16">
    <w:abstractNumId w:val="34"/>
  </w:num>
  <w:num w:numId="17">
    <w:abstractNumId w:val="18"/>
  </w:num>
  <w:num w:numId="18">
    <w:abstractNumId w:val="25"/>
  </w:num>
  <w:num w:numId="19">
    <w:abstractNumId w:val="7"/>
  </w:num>
  <w:num w:numId="20">
    <w:abstractNumId w:val="2"/>
  </w:num>
  <w:num w:numId="21">
    <w:abstractNumId w:val="19"/>
  </w:num>
  <w:num w:numId="22">
    <w:abstractNumId w:val="49"/>
  </w:num>
  <w:num w:numId="23">
    <w:abstractNumId w:val="13"/>
  </w:num>
  <w:num w:numId="24">
    <w:abstractNumId w:val="29"/>
  </w:num>
  <w:num w:numId="25">
    <w:abstractNumId w:val="46"/>
  </w:num>
  <w:num w:numId="26">
    <w:abstractNumId w:val="44"/>
  </w:num>
  <w:num w:numId="27">
    <w:abstractNumId w:val="12"/>
  </w:num>
  <w:num w:numId="28">
    <w:abstractNumId w:val="50"/>
  </w:num>
  <w:num w:numId="29">
    <w:abstractNumId w:val="28"/>
  </w:num>
  <w:num w:numId="30">
    <w:abstractNumId w:val="22"/>
  </w:num>
  <w:num w:numId="31">
    <w:abstractNumId w:val="10"/>
  </w:num>
  <w:num w:numId="32">
    <w:abstractNumId w:val="0"/>
  </w:num>
  <w:num w:numId="33">
    <w:abstractNumId w:val="11"/>
  </w:num>
  <w:num w:numId="34">
    <w:abstractNumId w:val="37"/>
  </w:num>
  <w:num w:numId="35">
    <w:abstractNumId w:val="54"/>
  </w:num>
  <w:num w:numId="36">
    <w:abstractNumId w:val="27"/>
  </w:num>
  <w:num w:numId="37">
    <w:abstractNumId w:val="60"/>
  </w:num>
  <w:num w:numId="38">
    <w:abstractNumId w:val="21"/>
  </w:num>
  <w:num w:numId="39">
    <w:abstractNumId w:val="35"/>
  </w:num>
  <w:num w:numId="40">
    <w:abstractNumId w:val="45"/>
  </w:num>
  <w:num w:numId="41">
    <w:abstractNumId w:val="26"/>
  </w:num>
  <w:num w:numId="42">
    <w:abstractNumId w:val="43"/>
  </w:num>
  <w:num w:numId="43">
    <w:abstractNumId w:val="15"/>
  </w:num>
  <w:num w:numId="44">
    <w:abstractNumId w:val="24"/>
  </w:num>
  <w:num w:numId="45">
    <w:abstractNumId w:val="32"/>
  </w:num>
  <w:num w:numId="46">
    <w:abstractNumId w:val="33"/>
  </w:num>
  <w:num w:numId="47">
    <w:abstractNumId w:val="41"/>
  </w:num>
  <w:num w:numId="48">
    <w:abstractNumId w:val="6"/>
  </w:num>
  <w:num w:numId="49">
    <w:abstractNumId w:val="4"/>
  </w:num>
  <w:num w:numId="50">
    <w:abstractNumId w:val="42"/>
  </w:num>
  <w:num w:numId="51">
    <w:abstractNumId w:val="61"/>
  </w:num>
  <w:num w:numId="52">
    <w:abstractNumId w:val="39"/>
  </w:num>
  <w:num w:numId="53">
    <w:abstractNumId w:val="1"/>
  </w:num>
  <w:num w:numId="54">
    <w:abstractNumId w:val="3"/>
  </w:num>
  <w:num w:numId="55">
    <w:abstractNumId w:val="17"/>
  </w:num>
  <w:num w:numId="56">
    <w:abstractNumId w:val="38"/>
  </w:num>
  <w:num w:numId="57">
    <w:abstractNumId w:val="47"/>
  </w:num>
  <w:num w:numId="58">
    <w:abstractNumId w:val="16"/>
  </w:num>
  <w:num w:numId="59">
    <w:abstractNumId w:val="56"/>
  </w:num>
  <w:num w:numId="60">
    <w:abstractNumId w:val="48"/>
  </w:num>
  <w:num w:numId="61">
    <w:abstractNumId w:val="55"/>
  </w:num>
  <w:num w:numId="62">
    <w:abstractNumId w:val="5"/>
  </w:num>
  <w:num w:numId="63">
    <w:abstractNumId w:val="14"/>
  </w:num>
  <w:num w:numId="64">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1FBA"/>
    <w:rsid w:val="0000755D"/>
    <w:rsid w:val="000117B2"/>
    <w:rsid w:val="0001796D"/>
    <w:rsid w:val="00017A02"/>
    <w:rsid w:val="00017BF0"/>
    <w:rsid w:val="0002568B"/>
    <w:rsid w:val="00043FA7"/>
    <w:rsid w:val="000552E8"/>
    <w:rsid w:val="00056585"/>
    <w:rsid w:val="0005674F"/>
    <w:rsid w:val="00057253"/>
    <w:rsid w:val="000572D4"/>
    <w:rsid w:val="00064BAE"/>
    <w:rsid w:val="00065C6E"/>
    <w:rsid w:val="00073F1B"/>
    <w:rsid w:val="00075B58"/>
    <w:rsid w:val="00085446"/>
    <w:rsid w:val="00093E70"/>
    <w:rsid w:val="00095D0E"/>
    <w:rsid w:val="000A3224"/>
    <w:rsid w:val="000B11DD"/>
    <w:rsid w:val="000B4ECC"/>
    <w:rsid w:val="000B5256"/>
    <w:rsid w:val="000B6BA8"/>
    <w:rsid w:val="000C0372"/>
    <w:rsid w:val="000C390A"/>
    <w:rsid w:val="000C5978"/>
    <w:rsid w:val="000C5FAB"/>
    <w:rsid w:val="000C6EDD"/>
    <w:rsid w:val="000C77DD"/>
    <w:rsid w:val="000D0694"/>
    <w:rsid w:val="000D432B"/>
    <w:rsid w:val="000D5068"/>
    <w:rsid w:val="000E295B"/>
    <w:rsid w:val="000E45A0"/>
    <w:rsid w:val="000E606E"/>
    <w:rsid w:val="000F5AF3"/>
    <w:rsid w:val="000F78A7"/>
    <w:rsid w:val="0010448D"/>
    <w:rsid w:val="00107460"/>
    <w:rsid w:val="0011018B"/>
    <w:rsid w:val="00112415"/>
    <w:rsid w:val="001157B3"/>
    <w:rsid w:val="0012349E"/>
    <w:rsid w:val="00123E68"/>
    <w:rsid w:val="00131D6F"/>
    <w:rsid w:val="00133BB7"/>
    <w:rsid w:val="001362A9"/>
    <w:rsid w:val="0013678D"/>
    <w:rsid w:val="00140A34"/>
    <w:rsid w:val="00140FDD"/>
    <w:rsid w:val="00144139"/>
    <w:rsid w:val="00145264"/>
    <w:rsid w:val="00146337"/>
    <w:rsid w:val="00146ED8"/>
    <w:rsid w:val="00151A28"/>
    <w:rsid w:val="001537CC"/>
    <w:rsid w:val="00154199"/>
    <w:rsid w:val="001546DE"/>
    <w:rsid w:val="0015780B"/>
    <w:rsid w:val="00161E46"/>
    <w:rsid w:val="0016213E"/>
    <w:rsid w:val="00167202"/>
    <w:rsid w:val="0017091A"/>
    <w:rsid w:val="001725A2"/>
    <w:rsid w:val="00173F3A"/>
    <w:rsid w:val="0017688B"/>
    <w:rsid w:val="001828A4"/>
    <w:rsid w:val="00183CF7"/>
    <w:rsid w:val="0018468E"/>
    <w:rsid w:val="001859DE"/>
    <w:rsid w:val="001876FD"/>
    <w:rsid w:val="001A1206"/>
    <w:rsid w:val="001A2AD6"/>
    <w:rsid w:val="001A3690"/>
    <w:rsid w:val="001A3BE2"/>
    <w:rsid w:val="001B2913"/>
    <w:rsid w:val="001C35E7"/>
    <w:rsid w:val="001C4578"/>
    <w:rsid w:val="001E44FD"/>
    <w:rsid w:val="001E537E"/>
    <w:rsid w:val="001E662E"/>
    <w:rsid w:val="001F28A6"/>
    <w:rsid w:val="001F2A16"/>
    <w:rsid w:val="001F42D8"/>
    <w:rsid w:val="001F4EE5"/>
    <w:rsid w:val="001F6921"/>
    <w:rsid w:val="001F7C3E"/>
    <w:rsid w:val="001F7DDE"/>
    <w:rsid w:val="002013DE"/>
    <w:rsid w:val="00201969"/>
    <w:rsid w:val="0020331B"/>
    <w:rsid w:val="00203A2C"/>
    <w:rsid w:val="0020498E"/>
    <w:rsid w:val="00213E29"/>
    <w:rsid w:val="00213FA5"/>
    <w:rsid w:val="00214C0D"/>
    <w:rsid w:val="00214DF5"/>
    <w:rsid w:val="00223255"/>
    <w:rsid w:val="002264BE"/>
    <w:rsid w:val="00232AA1"/>
    <w:rsid w:val="002349C7"/>
    <w:rsid w:val="00236CAE"/>
    <w:rsid w:val="0023733A"/>
    <w:rsid w:val="0024044F"/>
    <w:rsid w:val="002414DB"/>
    <w:rsid w:val="0024391E"/>
    <w:rsid w:val="00245D00"/>
    <w:rsid w:val="0024748D"/>
    <w:rsid w:val="00252F49"/>
    <w:rsid w:val="0025378E"/>
    <w:rsid w:val="00257F2D"/>
    <w:rsid w:val="00261149"/>
    <w:rsid w:val="00262F9F"/>
    <w:rsid w:val="00266D2D"/>
    <w:rsid w:val="00267FD2"/>
    <w:rsid w:val="0027331F"/>
    <w:rsid w:val="002802D8"/>
    <w:rsid w:val="002842B0"/>
    <w:rsid w:val="00285E76"/>
    <w:rsid w:val="002932D3"/>
    <w:rsid w:val="002949C3"/>
    <w:rsid w:val="002A10A4"/>
    <w:rsid w:val="002A26FE"/>
    <w:rsid w:val="002A29BA"/>
    <w:rsid w:val="002B1423"/>
    <w:rsid w:val="002B3D02"/>
    <w:rsid w:val="002B6D8F"/>
    <w:rsid w:val="002C2EDB"/>
    <w:rsid w:val="002C5660"/>
    <w:rsid w:val="002C6720"/>
    <w:rsid w:val="002C7A41"/>
    <w:rsid w:val="002D22E9"/>
    <w:rsid w:val="002D7B3E"/>
    <w:rsid w:val="002E6B6D"/>
    <w:rsid w:val="002F07D9"/>
    <w:rsid w:val="002F1257"/>
    <w:rsid w:val="002F4200"/>
    <w:rsid w:val="002F70CA"/>
    <w:rsid w:val="00304F6A"/>
    <w:rsid w:val="00306497"/>
    <w:rsid w:val="00307A5E"/>
    <w:rsid w:val="00310C61"/>
    <w:rsid w:val="00312FAB"/>
    <w:rsid w:val="0031406B"/>
    <w:rsid w:val="003166DF"/>
    <w:rsid w:val="003171B3"/>
    <w:rsid w:val="003223EE"/>
    <w:rsid w:val="0032559D"/>
    <w:rsid w:val="00333087"/>
    <w:rsid w:val="00335745"/>
    <w:rsid w:val="003368AC"/>
    <w:rsid w:val="00337280"/>
    <w:rsid w:val="00343849"/>
    <w:rsid w:val="00344575"/>
    <w:rsid w:val="00350EBF"/>
    <w:rsid w:val="0035113C"/>
    <w:rsid w:val="0035126C"/>
    <w:rsid w:val="00352B81"/>
    <w:rsid w:val="00354525"/>
    <w:rsid w:val="00365DC7"/>
    <w:rsid w:val="00365F7A"/>
    <w:rsid w:val="0037047A"/>
    <w:rsid w:val="00373B73"/>
    <w:rsid w:val="00380CC4"/>
    <w:rsid w:val="00382508"/>
    <w:rsid w:val="00382A3A"/>
    <w:rsid w:val="003869A3"/>
    <w:rsid w:val="003946D8"/>
    <w:rsid w:val="00395026"/>
    <w:rsid w:val="003974C9"/>
    <w:rsid w:val="003A7F99"/>
    <w:rsid w:val="003B34C9"/>
    <w:rsid w:val="003B36E6"/>
    <w:rsid w:val="003B4393"/>
    <w:rsid w:val="003B55D1"/>
    <w:rsid w:val="003C0686"/>
    <w:rsid w:val="003C3DD4"/>
    <w:rsid w:val="003D08CF"/>
    <w:rsid w:val="003D0CBA"/>
    <w:rsid w:val="003D0F6A"/>
    <w:rsid w:val="003D4BA8"/>
    <w:rsid w:val="003D6CB2"/>
    <w:rsid w:val="003E1D44"/>
    <w:rsid w:val="003E5269"/>
    <w:rsid w:val="003F2F62"/>
    <w:rsid w:val="003F79B0"/>
    <w:rsid w:val="0040183D"/>
    <w:rsid w:val="004025D9"/>
    <w:rsid w:val="004030E3"/>
    <w:rsid w:val="00405394"/>
    <w:rsid w:val="004066E4"/>
    <w:rsid w:val="0040680B"/>
    <w:rsid w:val="00407361"/>
    <w:rsid w:val="00407FDC"/>
    <w:rsid w:val="00410547"/>
    <w:rsid w:val="00417C55"/>
    <w:rsid w:val="00424A7B"/>
    <w:rsid w:val="004314E5"/>
    <w:rsid w:val="00437534"/>
    <w:rsid w:val="00440477"/>
    <w:rsid w:val="00442C3C"/>
    <w:rsid w:val="004447C1"/>
    <w:rsid w:val="00450126"/>
    <w:rsid w:val="00450F62"/>
    <w:rsid w:val="00456940"/>
    <w:rsid w:val="00457707"/>
    <w:rsid w:val="00460A61"/>
    <w:rsid w:val="0046211F"/>
    <w:rsid w:val="0046383A"/>
    <w:rsid w:val="0046787B"/>
    <w:rsid w:val="00467F12"/>
    <w:rsid w:val="00477A78"/>
    <w:rsid w:val="0048341B"/>
    <w:rsid w:val="0048631C"/>
    <w:rsid w:val="00486653"/>
    <w:rsid w:val="00492B75"/>
    <w:rsid w:val="00494D15"/>
    <w:rsid w:val="004975C0"/>
    <w:rsid w:val="004A5882"/>
    <w:rsid w:val="004A5FDA"/>
    <w:rsid w:val="004B0E41"/>
    <w:rsid w:val="004B5C02"/>
    <w:rsid w:val="004B6F05"/>
    <w:rsid w:val="004B7F33"/>
    <w:rsid w:val="004C10ED"/>
    <w:rsid w:val="004C26F5"/>
    <w:rsid w:val="004C2B91"/>
    <w:rsid w:val="004C5912"/>
    <w:rsid w:val="004C75B0"/>
    <w:rsid w:val="004D098C"/>
    <w:rsid w:val="004D24A9"/>
    <w:rsid w:val="004D59BD"/>
    <w:rsid w:val="004E1657"/>
    <w:rsid w:val="004E4798"/>
    <w:rsid w:val="004E5357"/>
    <w:rsid w:val="004F3A49"/>
    <w:rsid w:val="004F4A07"/>
    <w:rsid w:val="004F5EB1"/>
    <w:rsid w:val="004F6887"/>
    <w:rsid w:val="004F6FFE"/>
    <w:rsid w:val="005030AD"/>
    <w:rsid w:val="00506A1D"/>
    <w:rsid w:val="00507534"/>
    <w:rsid w:val="0051249C"/>
    <w:rsid w:val="005144A5"/>
    <w:rsid w:val="0051693F"/>
    <w:rsid w:val="005176E7"/>
    <w:rsid w:val="00520330"/>
    <w:rsid w:val="00524B6B"/>
    <w:rsid w:val="0052655E"/>
    <w:rsid w:val="005335A6"/>
    <w:rsid w:val="0053649D"/>
    <w:rsid w:val="005413EE"/>
    <w:rsid w:val="00544D61"/>
    <w:rsid w:val="00551BA9"/>
    <w:rsid w:val="00552E52"/>
    <w:rsid w:val="005567CE"/>
    <w:rsid w:val="00562F4E"/>
    <w:rsid w:val="00563377"/>
    <w:rsid w:val="0057444D"/>
    <w:rsid w:val="005744FD"/>
    <w:rsid w:val="00577FA0"/>
    <w:rsid w:val="00583FAE"/>
    <w:rsid w:val="00585EF7"/>
    <w:rsid w:val="00587443"/>
    <w:rsid w:val="00587C50"/>
    <w:rsid w:val="005917F3"/>
    <w:rsid w:val="0059601C"/>
    <w:rsid w:val="005A0960"/>
    <w:rsid w:val="005A12AD"/>
    <w:rsid w:val="005A4725"/>
    <w:rsid w:val="005A6D67"/>
    <w:rsid w:val="005B0ACD"/>
    <w:rsid w:val="005B2465"/>
    <w:rsid w:val="005B4B0C"/>
    <w:rsid w:val="005B50A2"/>
    <w:rsid w:val="005B7555"/>
    <w:rsid w:val="005C2A9D"/>
    <w:rsid w:val="005C3408"/>
    <w:rsid w:val="005C7EB3"/>
    <w:rsid w:val="005D35BC"/>
    <w:rsid w:val="005D3814"/>
    <w:rsid w:val="005D4D3E"/>
    <w:rsid w:val="005D611B"/>
    <w:rsid w:val="005D7C9B"/>
    <w:rsid w:val="005F1ACE"/>
    <w:rsid w:val="005F23D5"/>
    <w:rsid w:val="005F256D"/>
    <w:rsid w:val="005F2ED9"/>
    <w:rsid w:val="005F33C6"/>
    <w:rsid w:val="005F51F2"/>
    <w:rsid w:val="005F6851"/>
    <w:rsid w:val="0060183A"/>
    <w:rsid w:val="00603110"/>
    <w:rsid w:val="00611C8E"/>
    <w:rsid w:val="006141F7"/>
    <w:rsid w:val="00620135"/>
    <w:rsid w:val="0062389A"/>
    <w:rsid w:val="00631F30"/>
    <w:rsid w:val="0063489F"/>
    <w:rsid w:val="006360A7"/>
    <w:rsid w:val="00641A0F"/>
    <w:rsid w:val="00642420"/>
    <w:rsid w:val="00646158"/>
    <w:rsid w:val="00650D86"/>
    <w:rsid w:val="00652CF7"/>
    <w:rsid w:val="0065563D"/>
    <w:rsid w:val="00655B96"/>
    <w:rsid w:val="0066622C"/>
    <w:rsid w:val="00666487"/>
    <w:rsid w:val="00672D6A"/>
    <w:rsid w:val="0067371B"/>
    <w:rsid w:val="0067395E"/>
    <w:rsid w:val="00673B37"/>
    <w:rsid w:val="006826FB"/>
    <w:rsid w:val="006918F1"/>
    <w:rsid w:val="00693B19"/>
    <w:rsid w:val="006945EA"/>
    <w:rsid w:val="006B5470"/>
    <w:rsid w:val="006B5A7F"/>
    <w:rsid w:val="006C3B0D"/>
    <w:rsid w:val="006D0138"/>
    <w:rsid w:val="006D496E"/>
    <w:rsid w:val="006D4EF6"/>
    <w:rsid w:val="006D6F52"/>
    <w:rsid w:val="006E03D7"/>
    <w:rsid w:val="006E53AF"/>
    <w:rsid w:val="006F4D30"/>
    <w:rsid w:val="006F58D0"/>
    <w:rsid w:val="006F719E"/>
    <w:rsid w:val="0070140C"/>
    <w:rsid w:val="00701718"/>
    <w:rsid w:val="00702BA4"/>
    <w:rsid w:val="00710359"/>
    <w:rsid w:val="00712FFF"/>
    <w:rsid w:val="00722DBF"/>
    <w:rsid w:val="00733990"/>
    <w:rsid w:val="00735157"/>
    <w:rsid w:val="007367C1"/>
    <w:rsid w:val="00740498"/>
    <w:rsid w:val="00740C30"/>
    <w:rsid w:val="0074218D"/>
    <w:rsid w:val="00746686"/>
    <w:rsid w:val="00752600"/>
    <w:rsid w:val="007542EC"/>
    <w:rsid w:val="0075572A"/>
    <w:rsid w:val="007571D0"/>
    <w:rsid w:val="007579F0"/>
    <w:rsid w:val="00775490"/>
    <w:rsid w:val="007763BC"/>
    <w:rsid w:val="007937D4"/>
    <w:rsid w:val="00795B5A"/>
    <w:rsid w:val="00795CCB"/>
    <w:rsid w:val="00795D0C"/>
    <w:rsid w:val="007972C4"/>
    <w:rsid w:val="007A3733"/>
    <w:rsid w:val="007A55BA"/>
    <w:rsid w:val="007B271D"/>
    <w:rsid w:val="007B3453"/>
    <w:rsid w:val="007C13AE"/>
    <w:rsid w:val="007C1F42"/>
    <w:rsid w:val="007C1FBD"/>
    <w:rsid w:val="007C2EE0"/>
    <w:rsid w:val="007C3B94"/>
    <w:rsid w:val="007C67A5"/>
    <w:rsid w:val="007D3043"/>
    <w:rsid w:val="007D60C3"/>
    <w:rsid w:val="007E01F8"/>
    <w:rsid w:val="007E22F5"/>
    <w:rsid w:val="007E441A"/>
    <w:rsid w:val="007E58AE"/>
    <w:rsid w:val="007F142A"/>
    <w:rsid w:val="007F25F3"/>
    <w:rsid w:val="007F4229"/>
    <w:rsid w:val="007F4901"/>
    <w:rsid w:val="007F7898"/>
    <w:rsid w:val="008035CA"/>
    <w:rsid w:val="008120F6"/>
    <w:rsid w:val="008128BA"/>
    <w:rsid w:val="008141A4"/>
    <w:rsid w:val="00814EBC"/>
    <w:rsid w:val="00825B6C"/>
    <w:rsid w:val="0082750E"/>
    <w:rsid w:val="00835B59"/>
    <w:rsid w:val="00836B02"/>
    <w:rsid w:val="0084011B"/>
    <w:rsid w:val="00840DF6"/>
    <w:rsid w:val="0084215D"/>
    <w:rsid w:val="008467D4"/>
    <w:rsid w:val="00850BCB"/>
    <w:rsid w:val="00850FB0"/>
    <w:rsid w:val="0085238E"/>
    <w:rsid w:val="00852934"/>
    <w:rsid w:val="008540EA"/>
    <w:rsid w:val="008547A2"/>
    <w:rsid w:val="00857591"/>
    <w:rsid w:val="0086082F"/>
    <w:rsid w:val="00861D05"/>
    <w:rsid w:val="00866A00"/>
    <w:rsid w:val="0086797B"/>
    <w:rsid w:val="00867F49"/>
    <w:rsid w:val="008702A6"/>
    <w:rsid w:val="00872011"/>
    <w:rsid w:val="008757CE"/>
    <w:rsid w:val="008763C8"/>
    <w:rsid w:val="0087755A"/>
    <w:rsid w:val="00877798"/>
    <w:rsid w:val="0088392C"/>
    <w:rsid w:val="0088633B"/>
    <w:rsid w:val="0089160A"/>
    <w:rsid w:val="00894F6D"/>
    <w:rsid w:val="00897C0E"/>
    <w:rsid w:val="00897CDE"/>
    <w:rsid w:val="00897E31"/>
    <w:rsid w:val="008A046F"/>
    <w:rsid w:val="008A0489"/>
    <w:rsid w:val="008A405A"/>
    <w:rsid w:val="008A6A6A"/>
    <w:rsid w:val="008B5A09"/>
    <w:rsid w:val="008B650A"/>
    <w:rsid w:val="008B6A93"/>
    <w:rsid w:val="008B787C"/>
    <w:rsid w:val="008C3898"/>
    <w:rsid w:val="008C66CC"/>
    <w:rsid w:val="008D38A0"/>
    <w:rsid w:val="008D5201"/>
    <w:rsid w:val="008E5D1C"/>
    <w:rsid w:val="008F483C"/>
    <w:rsid w:val="008F52DF"/>
    <w:rsid w:val="00912D61"/>
    <w:rsid w:val="0091541E"/>
    <w:rsid w:val="009169CB"/>
    <w:rsid w:val="00923A59"/>
    <w:rsid w:val="009274F5"/>
    <w:rsid w:val="009309CD"/>
    <w:rsid w:val="009322D7"/>
    <w:rsid w:val="00932435"/>
    <w:rsid w:val="009328BE"/>
    <w:rsid w:val="00932BDE"/>
    <w:rsid w:val="009405C9"/>
    <w:rsid w:val="009468D4"/>
    <w:rsid w:val="009502DF"/>
    <w:rsid w:val="009505C9"/>
    <w:rsid w:val="00957E59"/>
    <w:rsid w:val="0096408C"/>
    <w:rsid w:val="0096704C"/>
    <w:rsid w:val="00967725"/>
    <w:rsid w:val="00967823"/>
    <w:rsid w:val="00972726"/>
    <w:rsid w:val="00974665"/>
    <w:rsid w:val="009777A3"/>
    <w:rsid w:val="00982084"/>
    <w:rsid w:val="009835B0"/>
    <w:rsid w:val="009902F8"/>
    <w:rsid w:val="00992CF5"/>
    <w:rsid w:val="00993BB8"/>
    <w:rsid w:val="0099555F"/>
    <w:rsid w:val="00995C42"/>
    <w:rsid w:val="009A22A1"/>
    <w:rsid w:val="009B1E93"/>
    <w:rsid w:val="009B1FA5"/>
    <w:rsid w:val="009B3A17"/>
    <w:rsid w:val="009B3A1B"/>
    <w:rsid w:val="009B3E5B"/>
    <w:rsid w:val="009B3EC1"/>
    <w:rsid w:val="009B6332"/>
    <w:rsid w:val="009B7765"/>
    <w:rsid w:val="009C0912"/>
    <w:rsid w:val="009C1910"/>
    <w:rsid w:val="009C5E17"/>
    <w:rsid w:val="009D3EDD"/>
    <w:rsid w:val="009D6694"/>
    <w:rsid w:val="009E0338"/>
    <w:rsid w:val="009E0846"/>
    <w:rsid w:val="009F0300"/>
    <w:rsid w:val="009F788F"/>
    <w:rsid w:val="00A02A5F"/>
    <w:rsid w:val="00A03BA5"/>
    <w:rsid w:val="00A03C1A"/>
    <w:rsid w:val="00A11CCA"/>
    <w:rsid w:val="00A1261A"/>
    <w:rsid w:val="00A12C38"/>
    <w:rsid w:val="00A12C7B"/>
    <w:rsid w:val="00A15AC8"/>
    <w:rsid w:val="00A166EB"/>
    <w:rsid w:val="00A167A8"/>
    <w:rsid w:val="00A21F0A"/>
    <w:rsid w:val="00A26011"/>
    <w:rsid w:val="00A26FCB"/>
    <w:rsid w:val="00A27E45"/>
    <w:rsid w:val="00A41EDF"/>
    <w:rsid w:val="00A506C2"/>
    <w:rsid w:val="00A51138"/>
    <w:rsid w:val="00A53733"/>
    <w:rsid w:val="00A54F12"/>
    <w:rsid w:val="00A6229B"/>
    <w:rsid w:val="00A62886"/>
    <w:rsid w:val="00A71757"/>
    <w:rsid w:val="00A74C38"/>
    <w:rsid w:val="00A77D24"/>
    <w:rsid w:val="00A805CB"/>
    <w:rsid w:val="00A8572F"/>
    <w:rsid w:val="00A93E07"/>
    <w:rsid w:val="00A979CF"/>
    <w:rsid w:val="00AA33B7"/>
    <w:rsid w:val="00AA4DF8"/>
    <w:rsid w:val="00AA7D50"/>
    <w:rsid w:val="00AB0840"/>
    <w:rsid w:val="00AB0A75"/>
    <w:rsid w:val="00AB1455"/>
    <w:rsid w:val="00AB44CA"/>
    <w:rsid w:val="00AB632D"/>
    <w:rsid w:val="00AB780C"/>
    <w:rsid w:val="00AC3A29"/>
    <w:rsid w:val="00AD5ADE"/>
    <w:rsid w:val="00AD695B"/>
    <w:rsid w:val="00AD6A21"/>
    <w:rsid w:val="00AE7138"/>
    <w:rsid w:val="00AF1619"/>
    <w:rsid w:val="00AF4CAF"/>
    <w:rsid w:val="00AF7DBA"/>
    <w:rsid w:val="00B010B8"/>
    <w:rsid w:val="00B117BA"/>
    <w:rsid w:val="00B12009"/>
    <w:rsid w:val="00B12532"/>
    <w:rsid w:val="00B134AE"/>
    <w:rsid w:val="00B15010"/>
    <w:rsid w:val="00B20D87"/>
    <w:rsid w:val="00B336D3"/>
    <w:rsid w:val="00B339BF"/>
    <w:rsid w:val="00B479FD"/>
    <w:rsid w:val="00B50F89"/>
    <w:rsid w:val="00B53E38"/>
    <w:rsid w:val="00B55BBC"/>
    <w:rsid w:val="00B578AC"/>
    <w:rsid w:val="00B6086E"/>
    <w:rsid w:val="00B60EC3"/>
    <w:rsid w:val="00B6433F"/>
    <w:rsid w:val="00B64CF5"/>
    <w:rsid w:val="00B701B5"/>
    <w:rsid w:val="00B72EB7"/>
    <w:rsid w:val="00B766F7"/>
    <w:rsid w:val="00B76A01"/>
    <w:rsid w:val="00B76C9B"/>
    <w:rsid w:val="00B77BAB"/>
    <w:rsid w:val="00B823A1"/>
    <w:rsid w:val="00B840B9"/>
    <w:rsid w:val="00B840F6"/>
    <w:rsid w:val="00B8428B"/>
    <w:rsid w:val="00B84EBA"/>
    <w:rsid w:val="00B84FAC"/>
    <w:rsid w:val="00B86579"/>
    <w:rsid w:val="00BA1D43"/>
    <w:rsid w:val="00BA3BAF"/>
    <w:rsid w:val="00BA41F5"/>
    <w:rsid w:val="00BA6447"/>
    <w:rsid w:val="00BB11FA"/>
    <w:rsid w:val="00BB3C9C"/>
    <w:rsid w:val="00BB7046"/>
    <w:rsid w:val="00BE3243"/>
    <w:rsid w:val="00BE3541"/>
    <w:rsid w:val="00BE4565"/>
    <w:rsid w:val="00BF129F"/>
    <w:rsid w:val="00BF12D2"/>
    <w:rsid w:val="00BF4822"/>
    <w:rsid w:val="00C01D22"/>
    <w:rsid w:val="00C04DCF"/>
    <w:rsid w:val="00C06BEA"/>
    <w:rsid w:val="00C104B6"/>
    <w:rsid w:val="00C10F02"/>
    <w:rsid w:val="00C114F4"/>
    <w:rsid w:val="00C11B5E"/>
    <w:rsid w:val="00C11D03"/>
    <w:rsid w:val="00C12984"/>
    <w:rsid w:val="00C31939"/>
    <w:rsid w:val="00C31967"/>
    <w:rsid w:val="00C371DE"/>
    <w:rsid w:val="00C409AE"/>
    <w:rsid w:val="00C416A4"/>
    <w:rsid w:val="00C42D50"/>
    <w:rsid w:val="00C4702D"/>
    <w:rsid w:val="00C51595"/>
    <w:rsid w:val="00C54DF8"/>
    <w:rsid w:val="00C60B49"/>
    <w:rsid w:val="00C6127A"/>
    <w:rsid w:val="00C614E2"/>
    <w:rsid w:val="00C7440A"/>
    <w:rsid w:val="00C75B9D"/>
    <w:rsid w:val="00C7629C"/>
    <w:rsid w:val="00C76E3D"/>
    <w:rsid w:val="00C8012A"/>
    <w:rsid w:val="00C84A2C"/>
    <w:rsid w:val="00C84E3E"/>
    <w:rsid w:val="00C865ED"/>
    <w:rsid w:val="00C8775A"/>
    <w:rsid w:val="00CA0877"/>
    <w:rsid w:val="00CA4628"/>
    <w:rsid w:val="00CA6B59"/>
    <w:rsid w:val="00CA7A15"/>
    <w:rsid w:val="00CB1EAE"/>
    <w:rsid w:val="00CB3B6C"/>
    <w:rsid w:val="00CC1833"/>
    <w:rsid w:val="00CC189F"/>
    <w:rsid w:val="00CC3368"/>
    <w:rsid w:val="00CD4655"/>
    <w:rsid w:val="00CD6713"/>
    <w:rsid w:val="00CD757F"/>
    <w:rsid w:val="00CE5DBF"/>
    <w:rsid w:val="00CF1655"/>
    <w:rsid w:val="00CF16D8"/>
    <w:rsid w:val="00CF19C4"/>
    <w:rsid w:val="00D01FE8"/>
    <w:rsid w:val="00D0227D"/>
    <w:rsid w:val="00D034B3"/>
    <w:rsid w:val="00D04B30"/>
    <w:rsid w:val="00D07B5D"/>
    <w:rsid w:val="00D111EA"/>
    <w:rsid w:val="00D11A54"/>
    <w:rsid w:val="00D13201"/>
    <w:rsid w:val="00D13C04"/>
    <w:rsid w:val="00D14BFC"/>
    <w:rsid w:val="00D14FCE"/>
    <w:rsid w:val="00D20695"/>
    <w:rsid w:val="00D20A78"/>
    <w:rsid w:val="00D25680"/>
    <w:rsid w:val="00D278BA"/>
    <w:rsid w:val="00D348D9"/>
    <w:rsid w:val="00D35EE3"/>
    <w:rsid w:val="00D40454"/>
    <w:rsid w:val="00D4059C"/>
    <w:rsid w:val="00D50FEE"/>
    <w:rsid w:val="00D51EE2"/>
    <w:rsid w:val="00D53D8F"/>
    <w:rsid w:val="00D56ABA"/>
    <w:rsid w:val="00D57861"/>
    <w:rsid w:val="00D6002B"/>
    <w:rsid w:val="00D61C76"/>
    <w:rsid w:val="00D66AE4"/>
    <w:rsid w:val="00D76587"/>
    <w:rsid w:val="00D77015"/>
    <w:rsid w:val="00D81724"/>
    <w:rsid w:val="00D848B4"/>
    <w:rsid w:val="00D92B48"/>
    <w:rsid w:val="00D9413C"/>
    <w:rsid w:val="00D94D96"/>
    <w:rsid w:val="00DA1AAF"/>
    <w:rsid w:val="00DA26DE"/>
    <w:rsid w:val="00DA4A50"/>
    <w:rsid w:val="00DB078F"/>
    <w:rsid w:val="00DB1693"/>
    <w:rsid w:val="00DB4A34"/>
    <w:rsid w:val="00DC34F2"/>
    <w:rsid w:val="00DC7729"/>
    <w:rsid w:val="00DD10A8"/>
    <w:rsid w:val="00DD1AEB"/>
    <w:rsid w:val="00DD21E8"/>
    <w:rsid w:val="00DD5B07"/>
    <w:rsid w:val="00DD7EED"/>
    <w:rsid w:val="00DE6821"/>
    <w:rsid w:val="00DE7406"/>
    <w:rsid w:val="00DF187F"/>
    <w:rsid w:val="00DF2022"/>
    <w:rsid w:val="00DF34BE"/>
    <w:rsid w:val="00DF5D59"/>
    <w:rsid w:val="00E05F60"/>
    <w:rsid w:val="00E110F5"/>
    <w:rsid w:val="00E12AEF"/>
    <w:rsid w:val="00E239E4"/>
    <w:rsid w:val="00E36A38"/>
    <w:rsid w:val="00E44419"/>
    <w:rsid w:val="00E44D12"/>
    <w:rsid w:val="00E46198"/>
    <w:rsid w:val="00E50E7F"/>
    <w:rsid w:val="00E53399"/>
    <w:rsid w:val="00E57797"/>
    <w:rsid w:val="00E71B0E"/>
    <w:rsid w:val="00E7393B"/>
    <w:rsid w:val="00E771A1"/>
    <w:rsid w:val="00E77995"/>
    <w:rsid w:val="00E87099"/>
    <w:rsid w:val="00E87BA6"/>
    <w:rsid w:val="00EA28E6"/>
    <w:rsid w:val="00EA4734"/>
    <w:rsid w:val="00EB1ABD"/>
    <w:rsid w:val="00EB20CA"/>
    <w:rsid w:val="00EC0A36"/>
    <w:rsid w:val="00EC2FE1"/>
    <w:rsid w:val="00EC4313"/>
    <w:rsid w:val="00ED3EA6"/>
    <w:rsid w:val="00ED6F00"/>
    <w:rsid w:val="00EE3D1A"/>
    <w:rsid w:val="00EE79C4"/>
    <w:rsid w:val="00EF78C4"/>
    <w:rsid w:val="00F027C5"/>
    <w:rsid w:val="00F03F0A"/>
    <w:rsid w:val="00F04CD7"/>
    <w:rsid w:val="00F04F17"/>
    <w:rsid w:val="00F058D9"/>
    <w:rsid w:val="00F1234C"/>
    <w:rsid w:val="00F12F77"/>
    <w:rsid w:val="00F1336E"/>
    <w:rsid w:val="00F167F2"/>
    <w:rsid w:val="00F17663"/>
    <w:rsid w:val="00F17F96"/>
    <w:rsid w:val="00F23C0A"/>
    <w:rsid w:val="00F23E15"/>
    <w:rsid w:val="00F244A2"/>
    <w:rsid w:val="00F26D70"/>
    <w:rsid w:val="00F35064"/>
    <w:rsid w:val="00F374D8"/>
    <w:rsid w:val="00F40346"/>
    <w:rsid w:val="00F5684D"/>
    <w:rsid w:val="00F57AB6"/>
    <w:rsid w:val="00F6480F"/>
    <w:rsid w:val="00F84A3A"/>
    <w:rsid w:val="00F86713"/>
    <w:rsid w:val="00F932E0"/>
    <w:rsid w:val="00F9427D"/>
    <w:rsid w:val="00FA46AA"/>
    <w:rsid w:val="00FB2EB0"/>
    <w:rsid w:val="00FB7701"/>
    <w:rsid w:val="00FC25CA"/>
    <w:rsid w:val="00FC36C9"/>
    <w:rsid w:val="00FC3F8B"/>
    <w:rsid w:val="00FC40F0"/>
    <w:rsid w:val="00FC617B"/>
    <w:rsid w:val="00FC6390"/>
    <w:rsid w:val="00FC6D3B"/>
    <w:rsid w:val="00FD0129"/>
    <w:rsid w:val="00FD2CBA"/>
    <w:rsid w:val="00FD4398"/>
    <w:rsid w:val="00FD54AB"/>
    <w:rsid w:val="00FE1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9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styleId="FollowedHyperlink">
    <w:name w:val="FollowedHyperlink"/>
    <w:basedOn w:val="DefaultParagraphFont"/>
    <w:rsid w:val="004C75B0"/>
    <w:rPr>
      <w:color w:val="800080" w:themeColor="followedHyperlink"/>
      <w:u w:val="single"/>
    </w:rPr>
  </w:style>
  <w:style w:type="character" w:customStyle="1" w:styleId="CommentTextChar">
    <w:name w:val="Comment Text Char"/>
    <w:basedOn w:val="DefaultParagraphFont"/>
    <w:link w:val="CommentText"/>
    <w:semiHidden/>
    <w:rsid w:val="00FA46AA"/>
  </w:style>
  <w:style w:type="paragraph" w:styleId="Revision">
    <w:name w:val="Revision"/>
    <w:hidden/>
    <w:uiPriority w:val="99"/>
    <w:semiHidden/>
    <w:rsid w:val="006E53AF"/>
    <w:rPr>
      <w:sz w:val="24"/>
    </w:rPr>
  </w:style>
  <w:style w:type="character" w:customStyle="1" w:styleId="Heading2Char">
    <w:name w:val="Heading 2 Char"/>
    <w:basedOn w:val="DefaultParagraphFont"/>
    <w:link w:val="Heading2"/>
    <w:rsid w:val="0096408C"/>
    <w:rPr>
      <w:rFonts w:ascii="Arial" w:hAnsi="Arial"/>
      <w:b/>
      <w:sz w:val="22"/>
    </w:rPr>
  </w:style>
  <w:style w:type="paragraph" w:customStyle="1" w:styleId="Heaidng3">
    <w:name w:val="Heaidng 3"/>
    <w:basedOn w:val="Normal"/>
    <w:qFormat/>
    <w:rsid w:val="00C31939"/>
    <w:pPr>
      <w:autoSpaceDE w:val="0"/>
      <w:autoSpaceDN w:val="0"/>
      <w:adjustRightInd w:val="0"/>
    </w:pPr>
    <w:rPr>
      <w:rFonts w:ascii="Arial" w:hAnsi="Arial" w:cs="Arial"/>
      <w:b/>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8124">
      <w:bodyDiv w:val="1"/>
      <w:marLeft w:val="0"/>
      <w:marRight w:val="0"/>
      <w:marTop w:val="0"/>
      <w:marBottom w:val="0"/>
      <w:divBdr>
        <w:top w:val="none" w:sz="0" w:space="0" w:color="auto"/>
        <w:left w:val="none" w:sz="0" w:space="0" w:color="auto"/>
        <w:bottom w:val="none" w:sz="0" w:space="0" w:color="auto"/>
        <w:right w:val="none" w:sz="0" w:space="0" w:color="auto"/>
      </w:divBdr>
      <w:divsChild>
        <w:div w:id="1724019360">
          <w:marLeft w:val="0"/>
          <w:marRight w:val="0"/>
          <w:marTop w:val="0"/>
          <w:marBottom w:val="0"/>
          <w:divBdr>
            <w:top w:val="none" w:sz="0" w:space="0" w:color="auto"/>
            <w:left w:val="none" w:sz="0" w:space="0" w:color="auto"/>
            <w:bottom w:val="none" w:sz="0" w:space="0" w:color="auto"/>
            <w:right w:val="none" w:sz="0" w:space="0" w:color="auto"/>
          </w:divBdr>
          <w:divsChild>
            <w:div w:id="235552918">
              <w:marLeft w:val="0"/>
              <w:marRight w:val="0"/>
              <w:marTop w:val="0"/>
              <w:marBottom w:val="0"/>
              <w:divBdr>
                <w:top w:val="none" w:sz="0" w:space="0" w:color="auto"/>
                <w:left w:val="none" w:sz="0" w:space="0" w:color="auto"/>
                <w:bottom w:val="none" w:sz="0" w:space="0" w:color="auto"/>
                <w:right w:val="none" w:sz="0" w:space="0" w:color="auto"/>
              </w:divBdr>
              <w:divsChild>
                <w:div w:id="634140729">
                  <w:marLeft w:val="0"/>
                  <w:marRight w:val="0"/>
                  <w:marTop w:val="0"/>
                  <w:marBottom w:val="0"/>
                  <w:divBdr>
                    <w:top w:val="none" w:sz="0" w:space="0" w:color="auto"/>
                    <w:left w:val="none" w:sz="0" w:space="0" w:color="auto"/>
                    <w:bottom w:val="none" w:sz="0" w:space="0" w:color="auto"/>
                    <w:right w:val="none" w:sz="0" w:space="0" w:color="auto"/>
                  </w:divBdr>
                  <w:divsChild>
                    <w:div w:id="338387542">
                      <w:marLeft w:val="0"/>
                      <w:marRight w:val="0"/>
                      <w:marTop w:val="0"/>
                      <w:marBottom w:val="0"/>
                      <w:divBdr>
                        <w:top w:val="none" w:sz="0" w:space="0" w:color="auto"/>
                        <w:left w:val="none" w:sz="0" w:space="0" w:color="auto"/>
                        <w:bottom w:val="none" w:sz="0" w:space="0" w:color="auto"/>
                        <w:right w:val="none" w:sz="0" w:space="0" w:color="auto"/>
                      </w:divBdr>
                      <w:divsChild>
                        <w:div w:id="118498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60941">
          <w:marLeft w:val="0"/>
          <w:marRight w:val="0"/>
          <w:marTop w:val="0"/>
          <w:marBottom w:val="0"/>
          <w:divBdr>
            <w:top w:val="none" w:sz="0" w:space="0" w:color="auto"/>
            <w:left w:val="none" w:sz="0" w:space="0" w:color="auto"/>
            <w:bottom w:val="none" w:sz="0" w:space="0" w:color="auto"/>
            <w:right w:val="none" w:sz="0" w:space="0" w:color="auto"/>
          </w:divBdr>
          <w:divsChild>
            <w:div w:id="2066366078">
              <w:marLeft w:val="0"/>
              <w:marRight w:val="0"/>
              <w:marTop w:val="0"/>
              <w:marBottom w:val="0"/>
              <w:divBdr>
                <w:top w:val="none" w:sz="0" w:space="0" w:color="auto"/>
                <w:left w:val="none" w:sz="0" w:space="0" w:color="auto"/>
                <w:bottom w:val="none" w:sz="0" w:space="0" w:color="auto"/>
                <w:right w:val="none" w:sz="0" w:space="0" w:color="auto"/>
              </w:divBdr>
              <w:divsChild>
                <w:div w:id="2083793371">
                  <w:marLeft w:val="0"/>
                  <w:marRight w:val="0"/>
                  <w:marTop w:val="0"/>
                  <w:marBottom w:val="0"/>
                  <w:divBdr>
                    <w:top w:val="none" w:sz="0" w:space="0" w:color="auto"/>
                    <w:left w:val="none" w:sz="0" w:space="0" w:color="auto"/>
                    <w:bottom w:val="none" w:sz="0" w:space="0" w:color="auto"/>
                    <w:right w:val="none" w:sz="0" w:space="0" w:color="auto"/>
                  </w:divBdr>
                </w:div>
                <w:div w:id="10988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97221">
      <w:bodyDiv w:val="1"/>
      <w:marLeft w:val="0"/>
      <w:marRight w:val="0"/>
      <w:marTop w:val="0"/>
      <w:marBottom w:val="0"/>
      <w:divBdr>
        <w:top w:val="none" w:sz="0" w:space="0" w:color="auto"/>
        <w:left w:val="none" w:sz="0" w:space="0" w:color="auto"/>
        <w:bottom w:val="none" w:sz="0" w:space="0" w:color="auto"/>
        <w:right w:val="none" w:sz="0" w:space="0" w:color="auto"/>
      </w:divBdr>
    </w:div>
    <w:div w:id="796415215">
      <w:bodyDiv w:val="1"/>
      <w:marLeft w:val="0"/>
      <w:marRight w:val="0"/>
      <w:marTop w:val="0"/>
      <w:marBottom w:val="0"/>
      <w:divBdr>
        <w:top w:val="none" w:sz="0" w:space="0" w:color="auto"/>
        <w:left w:val="none" w:sz="0" w:space="0" w:color="auto"/>
        <w:bottom w:val="none" w:sz="0" w:space="0" w:color="auto"/>
        <w:right w:val="none" w:sz="0" w:space="0" w:color="auto"/>
      </w:divBdr>
    </w:div>
    <w:div w:id="837161301">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2035575979">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9B922-979D-4945-A99A-B33C4FF2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1171</Words>
  <Characters>6675</Characters>
  <Application>Microsoft Office Word</Application>
  <DocSecurity>0</DocSecurity>
  <Lines>55</Lines>
  <Paragraphs>15</Paragraphs>
  <ScaleCrop>false</ScaleCrop>
  <Company/>
  <LinksUpToDate>false</LinksUpToDate>
  <CharactersWithSpaces>7831</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2023-03-23T02:19:00Z</dcterms:created>
  <dcterms:modified xsi:type="dcterms:W3CDTF">2023-03-23T02:19:00Z</dcterms:modified>
</cp:coreProperties>
</file>