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E233C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E233C7">
        <w:rPr>
          <w:rFonts w:ascii="Arial" w:hAnsi="Arial" w:cs="Arial"/>
          <w:sz w:val="34"/>
          <w:szCs w:val="34"/>
        </w:rPr>
        <w:t>Explanatory Statement</w:t>
      </w:r>
    </w:p>
    <w:p w14:paraId="64871E1B" w14:textId="0AD09742" w:rsidR="00751063" w:rsidRPr="00E233C7" w:rsidRDefault="003F777C" w:rsidP="00DB4A34">
      <w:pPr>
        <w:pStyle w:val="Header"/>
        <w:pBdr>
          <w:bottom w:val="single" w:sz="4" w:space="1" w:color="auto"/>
        </w:pBdr>
        <w:tabs>
          <w:tab w:val="clear" w:pos="4153"/>
          <w:tab w:val="clear" w:pos="8306"/>
        </w:tabs>
        <w:spacing w:after="120"/>
        <w:jc w:val="center"/>
        <w:rPr>
          <w:rFonts w:ascii="Arial" w:hAnsi="Arial" w:cs="Arial"/>
          <w:szCs w:val="24"/>
        </w:rPr>
      </w:pPr>
      <w:bookmarkStart w:id="0" w:name="_Hlk113606016"/>
      <w:r w:rsidRPr="00E233C7">
        <w:rPr>
          <w:rFonts w:ascii="Arial" w:hAnsi="Arial" w:cs="Arial"/>
          <w:sz w:val="34"/>
          <w:szCs w:val="34"/>
        </w:rPr>
        <w:t>A New Tax System (</w:t>
      </w:r>
      <w:r w:rsidR="00751063" w:rsidRPr="00E233C7">
        <w:rPr>
          <w:rFonts w:ascii="Arial" w:hAnsi="Arial" w:cs="Arial"/>
          <w:sz w:val="34"/>
          <w:szCs w:val="34"/>
        </w:rPr>
        <w:t>Goods and Services Tax</w:t>
      </w:r>
      <w:r w:rsidRPr="00E233C7">
        <w:rPr>
          <w:rFonts w:ascii="Arial" w:hAnsi="Arial" w:cs="Arial"/>
          <w:sz w:val="34"/>
          <w:szCs w:val="34"/>
        </w:rPr>
        <w:t>)</w:t>
      </w:r>
      <w:r w:rsidR="00751063" w:rsidRPr="00E233C7">
        <w:rPr>
          <w:rFonts w:ascii="Arial" w:hAnsi="Arial" w:cs="Arial"/>
          <w:sz w:val="34"/>
          <w:szCs w:val="34"/>
        </w:rPr>
        <w:t xml:space="preserve">: Waiver of Tax Invoice Requirement (Acquisitions </w:t>
      </w:r>
      <w:r w:rsidR="00457D70" w:rsidRPr="00E233C7">
        <w:rPr>
          <w:rFonts w:ascii="Arial" w:hAnsi="Arial" w:cs="Arial"/>
          <w:sz w:val="34"/>
          <w:szCs w:val="34"/>
        </w:rPr>
        <w:t>from Property Managers</w:t>
      </w:r>
      <w:r w:rsidR="00751063" w:rsidRPr="00E233C7">
        <w:rPr>
          <w:rFonts w:ascii="Arial" w:hAnsi="Arial" w:cs="Arial"/>
          <w:sz w:val="34"/>
          <w:szCs w:val="34"/>
        </w:rPr>
        <w:t xml:space="preserve">) Determination </w:t>
      </w:r>
      <w:r w:rsidR="006D7A2C" w:rsidRPr="00E233C7">
        <w:rPr>
          <w:rFonts w:ascii="Arial" w:hAnsi="Arial" w:cs="Arial"/>
          <w:sz w:val="34"/>
          <w:szCs w:val="34"/>
        </w:rPr>
        <w:t>2023</w:t>
      </w:r>
    </w:p>
    <w:bookmarkEnd w:id="0"/>
    <w:p w14:paraId="20AA7F23" w14:textId="77777777" w:rsidR="001F2A16" w:rsidRPr="00E233C7" w:rsidRDefault="001F2A16" w:rsidP="00DB4A34">
      <w:pPr>
        <w:pStyle w:val="Header"/>
        <w:tabs>
          <w:tab w:val="clear" w:pos="4153"/>
          <w:tab w:val="clear" w:pos="8306"/>
        </w:tabs>
        <w:spacing w:after="120"/>
        <w:rPr>
          <w:rFonts w:ascii="Arial" w:hAnsi="Arial" w:cs="Arial"/>
          <w:sz w:val="22"/>
          <w:szCs w:val="22"/>
        </w:rPr>
      </w:pPr>
    </w:p>
    <w:p w14:paraId="47DC206E" w14:textId="6CF6A6A4" w:rsidR="00486653" w:rsidRPr="00E233C7" w:rsidRDefault="00486653" w:rsidP="00F04F17">
      <w:pPr>
        <w:pStyle w:val="Heading2"/>
        <w:rPr>
          <w:rFonts w:cs="Arial"/>
          <w:szCs w:val="22"/>
        </w:rPr>
      </w:pPr>
      <w:r w:rsidRPr="00E233C7">
        <w:rPr>
          <w:rFonts w:cs="Arial"/>
          <w:szCs w:val="22"/>
        </w:rPr>
        <w:t xml:space="preserve">General </w:t>
      </w:r>
      <w:r w:rsidR="0015780B" w:rsidRPr="00E233C7">
        <w:rPr>
          <w:rFonts w:cs="Arial"/>
          <w:szCs w:val="22"/>
        </w:rPr>
        <w:t>o</w:t>
      </w:r>
      <w:r w:rsidRPr="00E233C7">
        <w:rPr>
          <w:rFonts w:cs="Arial"/>
          <w:szCs w:val="22"/>
        </w:rPr>
        <w:t xml:space="preserve">utline of </w:t>
      </w:r>
      <w:r w:rsidR="00573E90" w:rsidRPr="00E233C7">
        <w:rPr>
          <w:rFonts w:cs="Arial"/>
          <w:szCs w:val="22"/>
        </w:rPr>
        <w:t>d</w:t>
      </w:r>
      <w:r w:rsidR="0063489F" w:rsidRPr="00E233C7">
        <w:rPr>
          <w:rFonts w:cs="Arial"/>
          <w:szCs w:val="22"/>
        </w:rPr>
        <w:t>etermination</w:t>
      </w:r>
    </w:p>
    <w:p w14:paraId="3245EA53" w14:textId="683563CA" w:rsidR="00D675A9" w:rsidRPr="00E233C7" w:rsidRDefault="00751063" w:rsidP="00BB6C47">
      <w:pPr>
        <w:numPr>
          <w:ilvl w:val="0"/>
          <w:numId w:val="1"/>
        </w:numPr>
        <w:spacing w:after="120"/>
        <w:ind w:hanging="720"/>
        <w:rPr>
          <w:rFonts w:ascii="Arial" w:hAnsi="Arial" w:cs="Arial"/>
          <w:bCs/>
          <w:sz w:val="22"/>
          <w:szCs w:val="22"/>
        </w:rPr>
      </w:pPr>
      <w:r w:rsidRPr="00E233C7">
        <w:rPr>
          <w:rFonts w:ascii="Arial" w:hAnsi="Arial" w:cs="Arial"/>
          <w:bCs/>
          <w:sz w:val="22"/>
          <w:szCs w:val="22"/>
        </w:rPr>
        <w:t xml:space="preserve">This determination is made under subsection 29-10(3) of the </w:t>
      </w:r>
      <w:r w:rsidRPr="00E233C7">
        <w:rPr>
          <w:rFonts w:ascii="Arial" w:hAnsi="Arial" w:cs="Arial"/>
          <w:bCs/>
          <w:i/>
          <w:iCs/>
          <w:sz w:val="22"/>
          <w:szCs w:val="22"/>
        </w:rPr>
        <w:t>A New Tax System (Goods and Services Tax) Act 1999</w:t>
      </w:r>
      <w:r w:rsidRPr="00E233C7">
        <w:rPr>
          <w:rFonts w:ascii="Arial" w:hAnsi="Arial" w:cs="Arial"/>
          <w:bCs/>
          <w:sz w:val="22"/>
          <w:szCs w:val="22"/>
        </w:rPr>
        <w:t xml:space="preserve"> (</w:t>
      </w:r>
      <w:r w:rsidR="00D675A9" w:rsidRPr="00E233C7">
        <w:rPr>
          <w:rFonts w:ascii="Arial" w:hAnsi="Arial" w:cs="Arial"/>
          <w:bCs/>
          <w:sz w:val="22"/>
          <w:szCs w:val="22"/>
        </w:rPr>
        <w:t xml:space="preserve">the </w:t>
      </w:r>
      <w:r w:rsidRPr="00E233C7">
        <w:rPr>
          <w:rFonts w:ascii="Arial" w:hAnsi="Arial" w:cs="Arial"/>
          <w:bCs/>
          <w:sz w:val="22"/>
          <w:szCs w:val="22"/>
        </w:rPr>
        <w:t>Act).</w:t>
      </w:r>
    </w:p>
    <w:p w14:paraId="6021EBF8" w14:textId="605B868E" w:rsidR="0063489F" w:rsidRPr="00E233C7" w:rsidRDefault="00751063" w:rsidP="00BB6C47">
      <w:pPr>
        <w:numPr>
          <w:ilvl w:val="0"/>
          <w:numId w:val="1"/>
        </w:numPr>
        <w:spacing w:after="120"/>
        <w:ind w:hanging="720"/>
        <w:rPr>
          <w:rFonts w:ascii="Arial" w:hAnsi="Arial" w:cs="Arial"/>
          <w:bCs/>
          <w:sz w:val="22"/>
          <w:szCs w:val="22"/>
        </w:rPr>
      </w:pPr>
      <w:r w:rsidRPr="00E233C7">
        <w:rPr>
          <w:rFonts w:ascii="Arial" w:hAnsi="Arial" w:cs="Arial"/>
          <w:sz w:val="22"/>
          <w:szCs w:val="22"/>
        </w:rPr>
        <w:t xml:space="preserve">This determination waives the requirement for a recipient making a creditable acquisition </w:t>
      </w:r>
      <w:r w:rsidR="002B11B8" w:rsidRPr="00E233C7">
        <w:rPr>
          <w:rFonts w:ascii="Arial" w:hAnsi="Arial" w:cs="Arial"/>
          <w:sz w:val="22"/>
          <w:szCs w:val="22"/>
        </w:rPr>
        <w:t xml:space="preserve">through a property manager to </w:t>
      </w:r>
      <w:r w:rsidRPr="00E233C7">
        <w:rPr>
          <w:rFonts w:ascii="Arial" w:hAnsi="Arial" w:cs="Arial"/>
          <w:sz w:val="22"/>
          <w:szCs w:val="22"/>
        </w:rPr>
        <w:t>hold a tax invoice when they hold a document that meets the requirements prescribed in this determination.</w:t>
      </w:r>
    </w:p>
    <w:p w14:paraId="43956519" w14:textId="174C015B" w:rsidR="005F4336" w:rsidRPr="00E233C7" w:rsidRDefault="005F4336" w:rsidP="00BB6C47">
      <w:pPr>
        <w:numPr>
          <w:ilvl w:val="0"/>
          <w:numId w:val="1"/>
        </w:numPr>
        <w:spacing w:after="120"/>
        <w:ind w:hanging="720"/>
        <w:rPr>
          <w:rFonts w:ascii="Arial" w:hAnsi="Arial" w:cs="Arial"/>
          <w:bCs/>
          <w:sz w:val="22"/>
          <w:szCs w:val="22"/>
        </w:rPr>
      </w:pPr>
      <w:r w:rsidRPr="00E233C7">
        <w:rPr>
          <w:rFonts w:ascii="Arial" w:hAnsi="Arial" w:cs="Arial"/>
          <w:bCs/>
          <w:sz w:val="22"/>
          <w:szCs w:val="22"/>
        </w:rPr>
        <w:t>This determination replaces</w:t>
      </w:r>
      <w:r w:rsidR="003C0C59" w:rsidRPr="00E233C7">
        <w:rPr>
          <w:rFonts w:ascii="Arial" w:hAnsi="Arial" w:cs="Arial"/>
          <w:bCs/>
          <w:sz w:val="22"/>
          <w:szCs w:val="22"/>
        </w:rPr>
        <w:t xml:space="preserve"> </w:t>
      </w:r>
      <w:r w:rsidRPr="00E233C7">
        <w:rPr>
          <w:rFonts w:ascii="Arial" w:hAnsi="Arial" w:cs="Arial"/>
          <w:bCs/>
          <w:i/>
          <w:iCs/>
          <w:sz w:val="22"/>
          <w:szCs w:val="22"/>
        </w:rPr>
        <w:t>A New Tax System (Goods and Services Tax) Waiver of Tax Invoice Requirement (Acquisitions from Property Managers) Legislative Instrument 2013.</w:t>
      </w:r>
    </w:p>
    <w:p w14:paraId="1066840E" w14:textId="5B798BBA" w:rsidR="0063489F" w:rsidRPr="00E233C7" w:rsidRDefault="0063489F" w:rsidP="00BB6C47">
      <w:pPr>
        <w:numPr>
          <w:ilvl w:val="0"/>
          <w:numId w:val="1"/>
        </w:numPr>
        <w:spacing w:after="120"/>
        <w:ind w:hanging="720"/>
        <w:rPr>
          <w:rFonts w:ascii="Arial" w:hAnsi="Arial" w:cs="Arial"/>
          <w:bCs/>
          <w:sz w:val="22"/>
          <w:szCs w:val="22"/>
        </w:rPr>
      </w:pPr>
      <w:r w:rsidRPr="00E233C7">
        <w:rPr>
          <w:rFonts w:ascii="Arial" w:hAnsi="Arial" w:cs="Arial"/>
          <w:sz w:val="22"/>
          <w:szCs w:val="22"/>
        </w:rPr>
        <w:t xml:space="preserve">The determination is a legislative instrument for the purposes of the </w:t>
      </w:r>
      <w:r w:rsidRPr="00E233C7">
        <w:rPr>
          <w:rFonts w:ascii="Arial" w:hAnsi="Arial" w:cs="Arial"/>
          <w:i/>
          <w:sz w:val="22"/>
          <w:szCs w:val="22"/>
        </w:rPr>
        <w:t>Legislation Act 2003</w:t>
      </w:r>
      <w:r w:rsidRPr="00E233C7">
        <w:rPr>
          <w:rFonts w:ascii="Arial" w:hAnsi="Arial" w:cs="Arial"/>
          <w:iCs/>
          <w:sz w:val="22"/>
          <w:szCs w:val="22"/>
        </w:rPr>
        <w:t>.</w:t>
      </w:r>
    </w:p>
    <w:p w14:paraId="60D96134" w14:textId="77777777" w:rsidR="00D675A9" w:rsidRPr="00E233C7" w:rsidRDefault="00C572F4" w:rsidP="00BB6C47">
      <w:pPr>
        <w:numPr>
          <w:ilvl w:val="0"/>
          <w:numId w:val="1"/>
        </w:numPr>
        <w:spacing w:after="120"/>
        <w:ind w:hanging="720"/>
        <w:rPr>
          <w:rFonts w:ascii="Arial" w:hAnsi="Arial" w:cs="Arial"/>
          <w:iCs/>
          <w:sz w:val="22"/>
          <w:szCs w:val="22"/>
        </w:rPr>
      </w:pPr>
      <w:r w:rsidRPr="00E233C7">
        <w:rPr>
          <w:rFonts w:ascii="Arial" w:hAnsi="Arial" w:cs="Arial"/>
          <w:iCs/>
          <w:sz w:val="22"/>
          <w:szCs w:val="22"/>
        </w:rPr>
        <w:t xml:space="preserve">Under subsection 33(3) of the </w:t>
      </w:r>
      <w:r w:rsidRPr="00E233C7">
        <w:rPr>
          <w:rFonts w:ascii="Arial" w:hAnsi="Arial" w:cs="Arial"/>
          <w:i/>
          <w:sz w:val="22"/>
          <w:szCs w:val="22"/>
        </w:rPr>
        <w:t xml:space="preserve">Acts Interpretation Act 1901, </w:t>
      </w:r>
      <w:r w:rsidRPr="00E233C7">
        <w:rPr>
          <w:rFonts w:ascii="Arial" w:hAnsi="Arial" w:cs="Arial"/>
          <w:i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2E268133" w14:textId="3F3B4BD8" w:rsidR="00CD757F" w:rsidRPr="00E233C7" w:rsidRDefault="00CD757F" w:rsidP="00F04F17">
      <w:pPr>
        <w:spacing w:after="120"/>
        <w:rPr>
          <w:rFonts w:ascii="Arial" w:hAnsi="Arial" w:cs="Arial"/>
          <w:sz w:val="22"/>
          <w:szCs w:val="22"/>
        </w:rPr>
      </w:pPr>
    </w:p>
    <w:p w14:paraId="16375BE5" w14:textId="77777777" w:rsidR="00486653" w:rsidRPr="00E233C7" w:rsidRDefault="00486653" w:rsidP="00F04F17">
      <w:pPr>
        <w:pStyle w:val="Heading2"/>
        <w:rPr>
          <w:rFonts w:cs="Arial"/>
          <w:szCs w:val="22"/>
        </w:rPr>
      </w:pPr>
      <w:r w:rsidRPr="00E233C7">
        <w:rPr>
          <w:rFonts w:cs="Arial"/>
          <w:szCs w:val="22"/>
        </w:rPr>
        <w:t>Date of effect</w:t>
      </w:r>
    </w:p>
    <w:p w14:paraId="6BAA5366" w14:textId="74D61754" w:rsidR="00535135" w:rsidRPr="00E233C7" w:rsidRDefault="0063489F"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 xml:space="preserve">This </w:t>
      </w:r>
      <w:r w:rsidR="009B3237" w:rsidRPr="00E233C7">
        <w:rPr>
          <w:rFonts w:ascii="Arial" w:hAnsi="Arial" w:cs="Arial"/>
          <w:iCs/>
          <w:sz w:val="22"/>
          <w:szCs w:val="22"/>
        </w:rPr>
        <w:t>d</w:t>
      </w:r>
      <w:r w:rsidRPr="00E233C7">
        <w:rPr>
          <w:rFonts w:ascii="Arial" w:hAnsi="Arial" w:cs="Arial"/>
          <w:iCs/>
          <w:sz w:val="22"/>
          <w:szCs w:val="22"/>
        </w:rPr>
        <w:t>etermination commences on the day after it is registered on the Federal Register of Legislation.</w:t>
      </w:r>
    </w:p>
    <w:p w14:paraId="643F7E3E" w14:textId="77777777" w:rsidR="00ED5CD5" w:rsidRPr="00E233C7" w:rsidRDefault="00ED5CD5" w:rsidP="00F04F17">
      <w:pPr>
        <w:spacing w:after="120"/>
        <w:rPr>
          <w:rFonts w:ascii="Arial" w:hAnsi="Arial" w:cs="Arial"/>
          <w:sz w:val="22"/>
          <w:szCs w:val="22"/>
        </w:rPr>
      </w:pPr>
    </w:p>
    <w:p w14:paraId="5233A5DB" w14:textId="5A72D48A" w:rsidR="0063489F" w:rsidRPr="00E233C7" w:rsidRDefault="0063489F" w:rsidP="0063489F">
      <w:pPr>
        <w:pStyle w:val="Heading2"/>
        <w:rPr>
          <w:szCs w:val="22"/>
        </w:rPr>
      </w:pPr>
      <w:r w:rsidRPr="00E233C7">
        <w:rPr>
          <w:szCs w:val="22"/>
        </w:rPr>
        <w:t>Effect of this determination</w:t>
      </w:r>
    </w:p>
    <w:p w14:paraId="69758727" w14:textId="77777777" w:rsidR="00D675A9"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 xml:space="preserve">This determination applies to a recipient </w:t>
      </w:r>
      <w:r w:rsidR="00B8448E" w:rsidRPr="00E233C7">
        <w:rPr>
          <w:rFonts w:ascii="Arial" w:hAnsi="Arial" w:cs="Arial"/>
          <w:iCs/>
          <w:sz w:val="22"/>
          <w:szCs w:val="22"/>
        </w:rPr>
        <w:t>making</w:t>
      </w:r>
      <w:r w:rsidRPr="00E233C7">
        <w:rPr>
          <w:rFonts w:ascii="Arial" w:hAnsi="Arial" w:cs="Arial"/>
          <w:iCs/>
          <w:sz w:val="22"/>
          <w:szCs w:val="22"/>
        </w:rPr>
        <w:t xml:space="preserve"> a creditable acquisition through </w:t>
      </w:r>
      <w:r w:rsidR="00914777" w:rsidRPr="00E233C7">
        <w:rPr>
          <w:rFonts w:ascii="Arial" w:hAnsi="Arial" w:cs="Arial"/>
          <w:iCs/>
          <w:sz w:val="22"/>
          <w:szCs w:val="22"/>
        </w:rPr>
        <w:t>a</w:t>
      </w:r>
      <w:r w:rsidRPr="00E233C7">
        <w:rPr>
          <w:rFonts w:ascii="Arial" w:hAnsi="Arial" w:cs="Arial"/>
          <w:iCs/>
          <w:sz w:val="22"/>
          <w:szCs w:val="22"/>
        </w:rPr>
        <w:t xml:space="preserve"> property manager.</w:t>
      </w:r>
    </w:p>
    <w:p w14:paraId="50EBC9AB" w14:textId="0E72E987" w:rsidR="000D5E48" w:rsidRPr="00E233C7" w:rsidRDefault="000D5E48"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 xml:space="preserve">This determination waives the requirement for a recipient to hold a tax invoice before an input tax credit for a creditable acquisition made through a property manager </w:t>
      </w:r>
      <w:r w:rsidR="008B001A" w:rsidRPr="00E233C7">
        <w:rPr>
          <w:rFonts w:ascii="Arial" w:hAnsi="Arial" w:cs="Arial"/>
          <w:iCs/>
          <w:sz w:val="22"/>
          <w:szCs w:val="22"/>
        </w:rPr>
        <w:t>(</w:t>
      </w:r>
      <w:r w:rsidRPr="00E233C7">
        <w:rPr>
          <w:rFonts w:ascii="Arial" w:hAnsi="Arial" w:cs="Arial"/>
          <w:iCs/>
          <w:sz w:val="22"/>
          <w:szCs w:val="22"/>
        </w:rPr>
        <w:t>on behalf of a principal</w:t>
      </w:r>
      <w:r w:rsidR="008B001A" w:rsidRPr="00E233C7">
        <w:rPr>
          <w:rFonts w:ascii="Arial" w:hAnsi="Arial" w:cs="Arial"/>
          <w:iCs/>
          <w:sz w:val="22"/>
          <w:szCs w:val="22"/>
        </w:rPr>
        <w:t>)</w:t>
      </w:r>
      <w:r w:rsidRPr="00E233C7">
        <w:rPr>
          <w:rFonts w:ascii="Arial" w:hAnsi="Arial" w:cs="Arial"/>
          <w:iCs/>
          <w:sz w:val="22"/>
          <w:szCs w:val="22"/>
        </w:rPr>
        <w:t xml:space="preserve"> is attributable to a tax period</w:t>
      </w:r>
      <w:r w:rsidR="008B001A" w:rsidRPr="00E233C7">
        <w:rPr>
          <w:rFonts w:ascii="Arial" w:hAnsi="Arial" w:cs="Arial"/>
          <w:iCs/>
          <w:sz w:val="22"/>
          <w:szCs w:val="22"/>
        </w:rPr>
        <w:t>. It applies</w:t>
      </w:r>
      <w:r w:rsidRPr="00E233C7">
        <w:rPr>
          <w:rFonts w:ascii="Arial" w:hAnsi="Arial" w:cs="Arial"/>
          <w:iCs/>
          <w:sz w:val="22"/>
          <w:szCs w:val="22"/>
        </w:rPr>
        <w:t xml:space="preserve"> when the recipient holds a document that meets the </w:t>
      </w:r>
      <w:r w:rsidR="008B001A" w:rsidRPr="00E233C7">
        <w:rPr>
          <w:rFonts w:ascii="Arial" w:hAnsi="Arial" w:cs="Arial"/>
          <w:iCs/>
          <w:sz w:val="22"/>
          <w:szCs w:val="22"/>
        </w:rPr>
        <w:t xml:space="preserve">information </w:t>
      </w:r>
      <w:r w:rsidRPr="00E233C7">
        <w:rPr>
          <w:rFonts w:ascii="Arial" w:hAnsi="Arial" w:cs="Arial"/>
          <w:iCs/>
          <w:sz w:val="22"/>
          <w:szCs w:val="22"/>
        </w:rPr>
        <w:t xml:space="preserve">requirements </w:t>
      </w:r>
      <w:r w:rsidR="008B001A" w:rsidRPr="00E233C7">
        <w:rPr>
          <w:rFonts w:ascii="Arial" w:hAnsi="Arial" w:cs="Arial"/>
          <w:iCs/>
          <w:sz w:val="22"/>
          <w:szCs w:val="22"/>
        </w:rPr>
        <w:t xml:space="preserve">specified in the </w:t>
      </w:r>
      <w:r w:rsidRPr="00E233C7">
        <w:rPr>
          <w:rFonts w:ascii="Arial" w:hAnsi="Arial" w:cs="Arial"/>
          <w:iCs/>
          <w:sz w:val="22"/>
          <w:szCs w:val="22"/>
        </w:rPr>
        <w:t>determination.</w:t>
      </w:r>
    </w:p>
    <w:p w14:paraId="7F1E5E9F" w14:textId="582C28D2" w:rsidR="000D5E48"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The waiver applies in circumstances</w:t>
      </w:r>
      <w:r w:rsidR="000D5E48" w:rsidRPr="00E233C7">
        <w:rPr>
          <w:rFonts w:ascii="Arial" w:hAnsi="Arial" w:cs="Arial"/>
          <w:iCs/>
          <w:sz w:val="22"/>
          <w:szCs w:val="22"/>
        </w:rPr>
        <w:t xml:space="preserve"> where</w:t>
      </w:r>
      <w:r w:rsidRPr="00E233C7">
        <w:rPr>
          <w:rFonts w:ascii="Arial" w:hAnsi="Arial" w:cs="Arial"/>
          <w:iCs/>
          <w:sz w:val="22"/>
          <w:szCs w:val="22"/>
        </w:rPr>
        <w:t>, instead of a tax invoice,</w:t>
      </w:r>
      <w:r w:rsidR="000D5E48" w:rsidRPr="00E233C7">
        <w:rPr>
          <w:rFonts w:ascii="Arial" w:hAnsi="Arial" w:cs="Arial"/>
          <w:iCs/>
          <w:sz w:val="22"/>
          <w:szCs w:val="22"/>
        </w:rPr>
        <w:t xml:space="preserve"> a recipient holds a document that contains the identity and A</w:t>
      </w:r>
      <w:r w:rsidR="00071EBF" w:rsidRPr="00E233C7">
        <w:rPr>
          <w:rFonts w:ascii="Arial" w:hAnsi="Arial" w:cs="Arial"/>
          <w:iCs/>
          <w:sz w:val="22"/>
          <w:szCs w:val="22"/>
        </w:rPr>
        <w:t>ustralia</w:t>
      </w:r>
      <w:r w:rsidR="00E233C7" w:rsidRPr="00E233C7">
        <w:rPr>
          <w:rFonts w:ascii="Arial" w:hAnsi="Arial" w:cs="Arial"/>
          <w:iCs/>
          <w:sz w:val="22"/>
          <w:szCs w:val="22"/>
        </w:rPr>
        <w:t>n</w:t>
      </w:r>
      <w:r w:rsidR="00071EBF" w:rsidRPr="00E233C7">
        <w:rPr>
          <w:rFonts w:ascii="Arial" w:hAnsi="Arial" w:cs="Arial"/>
          <w:iCs/>
          <w:sz w:val="22"/>
          <w:szCs w:val="22"/>
        </w:rPr>
        <w:t xml:space="preserve"> </w:t>
      </w:r>
      <w:r w:rsidR="00D675A9" w:rsidRPr="00E233C7">
        <w:rPr>
          <w:rFonts w:ascii="Arial" w:hAnsi="Arial" w:cs="Arial"/>
          <w:iCs/>
          <w:sz w:val="22"/>
          <w:szCs w:val="22"/>
        </w:rPr>
        <w:t>b</w:t>
      </w:r>
      <w:r w:rsidR="00071EBF" w:rsidRPr="00E233C7">
        <w:rPr>
          <w:rFonts w:ascii="Arial" w:hAnsi="Arial" w:cs="Arial"/>
          <w:iCs/>
          <w:sz w:val="22"/>
          <w:szCs w:val="22"/>
        </w:rPr>
        <w:t xml:space="preserve">usiness </w:t>
      </w:r>
      <w:r w:rsidR="00D675A9" w:rsidRPr="00E233C7">
        <w:rPr>
          <w:rFonts w:ascii="Arial" w:hAnsi="Arial" w:cs="Arial"/>
          <w:iCs/>
          <w:sz w:val="22"/>
          <w:szCs w:val="22"/>
        </w:rPr>
        <w:t>n</w:t>
      </w:r>
      <w:r w:rsidR="00071EBF" w:rsidRPr="00E233C7">
        <w:rPr>
          <w:rFonts w:ascii="Arial" w:hAnsi="Arial" w:cs="Arial"/>
          <w:iCs/>
          <w:sz w:val="22"/>
          <w:szCs w:val="22"/>
        </w:rPr>
        <w:t>umber (ABN)</w:t>
      </w:r>
      <w:r w:rsidR="000D5E48" w:rsidRPr="00E233C7">
        <w:rPr>
          <w:rFonts w:ascii="Arial" w:hAnsi="Arial" w:cs="Arial"/>
          <w:iCs/>
          <w:sz w:val="22"/>
          <w:szCs w:val="22"/>
        </w:rPr>
        <w:t xml:space="preserve"> of the supplier's property manager, and that otherwise satisfies the requirements </w:t>
      </w:r>
      <w:r w:rsidR="00FF7E43" w:rsidRPr="00E233C7">
        <w:rPr>
          <w:rFonts w:ascii="Arial" w:hAnsi="Arial" w:cs="Arial"/>
          <w:iCs/>
          <w:sz w:val="22"/>
          <w:szCs w:val="22"/>
        </w:rPr>
        <w:t>in</w:t>
      </w:r>
      <w:r w:rsidR="000D5E48" w:rsidRPr="00E233C7">
        <w:rPr>
          <w:rFonts w:ascii="Arial" w:hAnsi="Arial" w:cs="Arial"/>
          <w:iCs/>
          <w:sz w:val="22"/>
          <w:szCs w:val="22"/>
        </w:rPr>
        <w:t xml:space="preserve"> paragraphs 29-70(1)(a) and 29-70(1)(c)</w:t>
      </w:r>
      <w:r w:rsidR="00084A2B" w:rsidRPr="00E233C7">
        <w:rPr>
          <w:rFonts w:ascii="Arial" w:hAnsi="Arial" w:cs="Arial"/>
          <w:iCs/>
          <w:sz w:val="22"/>
          <w:szCs w:val="22"/>
        </w:rPr>
        <w:t xml:space="preserve"> of the Act</w:t>
      </w:r>
      <w:r w:rsidR="000D5E48" w:rsidRPr="00E233C7">
        <w:rPr>
          <w:rFonts w:ascii="Arial" w:hAnsi="Arial" w:cs="Arial"/>
          <w:iCs/>
          <w:sz w:val="22"/>
          <w:szCs w:val="22"/>
        </w:rPr>
        <w:t>, other than subparagraph 29-70(1)(c)(i)</w:t>
      </w:r>
      <w:r w:rsidR="00084A2B" w:rsidRPr="00E233C7">
        <w:rPr>
          <w:rFonts w:ascii="Arial" w:hAnsi="Arial" w:cs="Arial"/>
          <w:iCs/>
          <w:sz w:val="22"/>
          <w:szCs w:val="22"/>
        </w:rPr>
        <w:t>. T</w:t>
      </w:r>
      <w:r w:rsidR="000D5E48" w:rsidRPr="00E233C7">
        <w:rPr>
          <w:rFonts w:ascii="Arial" w:hAnsi="Arial" w:cs="Arial"/>
          <w:iCs/>
          <w:sz w:val="22"/>
          <w:szCs w:val="22"/>
        </w:rPr>
        <w:t xml:space="preserve">his instrument has the effect of allowing the input tax credit for a creditable acquisition to be attributed at the time the recipient gives </w:t>
      </w:r>
      <w:r w:rsidR="000324AF" w:rsidRPr="00E233C7">
        <w:rPr>
          <w:rFonts w:ascii="Arial" w:hAnsi="Arial" w:cs="Arial"/>
          <w:iCs/>
          <w:sz w:val="22"/>
          <w:szCs w:val="22"/>
        </w:rPr>
        <w:t>a</w:t>
      </w:r>
      <w:r w:rsidR="000D5E48" w:rsidRPr="00E233C7">
        <w:rPr>
          <w:rFonts w:ascii="Arial" w:hAnsi="Arial" w:cs="Arial"/>
          <w:iCs/>
          <w:sz w:val="22"/>
          <w:szCs w:val="22"/>
        </w:rPr>
        <w:t xml:space="preserve"> GST return </w:t>
      </w:r>
      <w:r w:rsidR="009B3237" w:rsidRPr="00E233C7">
        <w:rPr>
          <w:rFonts w:ascii="Arial" w:hAnsi="Arial" w:cs="Arial"/>
          <w:iCs/>
          <w:sz w:val="22"/>
          <w:szCs w:val="22"/>
        </w:rPr>
        <w:t xml:space="preserve">to the Commissioner </w:t>
      </w:r>
      <w:r w:rsidR="000D5E48" w:rsidRPr="00E233C7">
        <w:rPr>
          <w:rFonts w:ascii="Arial" w:hAnsi="Arial" w:cs="Arial"/>
          <w:iCs/>
          <w:sz w:val="22"/>
          <w:szCs w:val="22"/>
        </w:rPr>
        <w:t>for the tax period.</w:t>
      </w:r>
    </w:p>
    <w:p w14:paraId="126ECE71" w14:textId="77777777" w:rsidR="00D675A9" w:rsidRPr="00E233C7" w:rsidRDefault="00D675A9" w:rsidP="00D675A9">
      <w:pPr>
        <w:spacing w:after="120"/>
        <w:rPr>
          <w:rFonts w:ascii="Arial" w:hAnsi="Arial" w:cs="Arial"/>
          <w:sz w:val="22"/>
          <w:szCs w:val="22"/>
        </w:rPr>
      </w:pPr>
    </w:p>
    <w:p w14:paraId="0C1A6895" w14:textId="77777777" w:rsidR="0063489F" w:rsidRPr="00E233C7" w:rsidRDefault="0063489F" w:rsidP="00457707">
      <w:pPr>
        <w:pStyle w:val="Heading2"/>
        <w:rPr>
          <w:rFonts w:cs="Arial"/>
          <w:szCs w:val="22"/>
        </w:rPr>
      </w:pPr>
      <w:r w:rsidRPr="00E233C7">
        <w:rPr>
          <w:rFonts w:cs="Arial"/>
          <w:szCs w:val="22"/>
        </w:rPr>
        <w:t>Compliance cost assessment</w:t>
      </w:r>
    </w:p>
    <w:p w14:paraId="6C2AD320" w14:textId="25721B0F" w:rsidR="0063489F" w:rsidRPr="00E233C7" w:rsidRDefault="00E01042"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Compliance cost impact: Minor – There will be no additional impacts as the instruments are minor and machinery in nature OBPR22-03758</w:t>
      </w:r>
      <w:r w:rsidR="0063489F" w:rsidRPr="00E233C7">
        <w:rPr>
          <w:rFonts w:ascii="Arial" w:hAnsi="Arial" w:cs="Arial"/>
          <w:iCs/>
          <w:sz w:val="22"/>
          <w:szCs w:val="22"/>
        </w:rPr>
        <w:t>.</w:t>
      </w:r>
    </w:p>
    <w:p w14:paraId="41F258E7" w14:textId="77777777" w:rsidR="0063489F" w:rsidRPr="00E233C7" w:rsidRDefault="0063489F" w:rsidP="00F04F17">
      <w:pPr>
        <w:spacing w:after="120"/>
        <w:rPr>
          <w:rFonts w:ascii="Arial" w:hAnsi="Arial" w:cs="Arial"/>
          <w:sz w:val="22"/>
          <w:szCs w:val="22"/>
        </w:rPr>
      </w:pPr>
    </w:p>
    <w:p w14:paraId="09496D83" w14:textId="31013B07" w:rsidR="009C1910" w:rsidRPr="00E233C7" w:rsidRDefault="009C1910" w:rsidP="009462E7">
      <w:pPr>
        <w:pStyle w:val="Heading2"/>
        <w:rPr>
          <w:rFonts w:cs="Arial"/>
          <w:szCs w:val="22"/>
        </w:rPr>
      </w:pPr>
      <w:r w:rsidRPr="00E233C7">
        <w:rPr>
          <w:rFonts w:cs="Arial"/>
          <w:szCs w:val="22"/>
        </w:rPr>
        <w:t>Background</w:t>
      </w:r>
    </w:p>
    <w:p w14:paraId="76DA705C" w14:textId="7827F076" w:rsidR="00BC5F99"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Generally, when a recipient makes a creditable acquisition, an input tax credit for the acquisition is not attributable to a tax period until they hold a tax invoice. A tax invoice is a document that meets the requirements in subsection</w:t>
      </w:r>
      <w:r w:rsidR="000977C6" w:rsidRPr="00E233C7">
        <w:rPr>
          <w:rFonts w:ascii="Arial" w:hAnsi="Arial" w:cs="Arial"/>
          <w:iCs/>
          <w:sz w:val="22"/>
          <w:szCs w:val="22"/>
        </w:rPr>
        <w:t> </w:t>
      </w:r>
      <w:r w:rsidRPr="00E233C7">
        <w:rPr>
          <w:rFonts w:ascii="Arial" w:hAnsi="Arial" w:cs="Arial"/>
          <w:iCs/>
          <w:sz w:val="22"/>
          <w:szCs w:val="22"/>
        </w:rPr>
        <w:t>29</w:t>
      </w:r>
      <w:r w:rsidR="00D675A9" w:rsidRPr="00E233C7">
        <w:rPr>
          <w:rFonts w:ascii="Arial" w:hAnsi="Arial" w:cs="Arial"/>
          <w:iCs/>
          <w:sz w:val="22"/>
          <w:szCs w:val="22"/>
        </w:rPr>
        <w:noBreakHyphen/>
      </w:r>
      <w:r w:rsidRPr="00E233C7">
        <w:rPr>
          <w:rFonts w:ascii="Arial" w:hAnsi="Arial" w:cs="Arial"/>
          <w:iCs/>
          <w:sz w:val="22"/>
          <w:szCs w:val="22"/>
        </w:rPr>
        <w:t>70(1</w:t>
      </w:r>
      <w:r w:rsidR="00071EBF" w:rsidRPr="00E233C7">
        <w:rPr>
          <w:rFonts w:ascii="Arial" w:hAnsi="Arial" w:cs="Arial"/>
          <w:iCs/>
          <w:sz w:val="22"/>
          <w:szCs w:val="22"/>
        </w:rPr>
        <w:t>) of the Act.</w:t>
      </w:r>
    </w:p>
    <w:p w14:paraId="351578F3" w14:textId="10CA736B" w:rsidR="00BC5F99"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 xml:space="preserve">In some cases, the necessity for the recipient to hold a document that meets the requirements </w:t>
      </w:r>
      <w:r w:rsidR="00FF7E43" w:rsidRPr="00E233C7">
        <w:rPr>
          <w:rFonts w:ascii="Arial" w:hAnsi="Arial" w:cs="Arial"/>
          <w:iCs/>
          <w:sz w:val="22"/>
          <w:szCs w:val="22"/>
        </w:rPr>
        <w:t>in</w:t>
      </w:r>
      <w:r w:rsidRPr="00E233C7">
        <w:rPr>
          <w:rFonts w:ascii="Arial" w:hAnsi="Arial" w:cs="Arial"/>
          <w:iCs/>
          <w:sz w:val="22"/>
          <w:szCs w:val="22"/>
        </w:rPr>
        <w:t xml:space="preserve"> subsection 29-70(1)</w:t>
      </w:r>
      <w:r w:rsidR="00071EBF" w:rsidRPr="00E233C7">
        <w:rPr>
          <w:rFonts w:ascii="Arial" w:hAnsi="Arial" w:cs="Arial"/>
          <w:iCs/>
          <w:sz w:val="22"/>
          <w:szCs w:val="22"/>
        </w:rPr>
        <w:t xml:space="preserve"> of the Act</w:t>
      </w:r>
      <w:r w:rsidRPr="00E233C7">
        <w:rPr>
          <w:rFonts w:ascii="Arial" w:hAnsi="Arial" w:cs="Arial"/>
          <w:iCs/>
          <w:sz w:val="22"/>
          <w:szCs w:val="22"/>
        </w:rPr>
        <w:t xml:space="preserve"> may impose a disproportionate burden on a supplier or recipient, particularly if the document that they do hold has most of the required features of a tax invoice.</w:t>
      </w:r>
    </w:p>
    <w:p w14:paraId="06E75158" w14:textId="77777777" w:rsidR="00D675A9"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A supplier’s property manager (when an agent at common law) may issue tax invoices in respect of supplies made or facilitated on behalf of the principal. Where the document contains the property manager’s identity and ABN rather than the supplier’s, the document would not mee</w:t>
      </w:r>
      <w:r w:rsidR="00AA1BBA" w:rsidRPr="00E233C7">
        <w:rPr>
          <w:rFonts w:ascii="Arial" w:hAnsi="Arial" w:cs="Arial"/>
          <w:iCs/>
          <w:sz w:val="22"/>
          <w:szCs w:val="22"/>
        </w:rPr>
        <w:t>t</w:t>
      </w:r>
      <w:r w:rsidRPr="00E233C7">
        <w:rPr>
          <w:rFonts w:ascii="Arial" w:hAnsi="Arial" w:cs="Arial"/>
          <w:iCs/>
          <w:sz w:val="22"/>
          <w:szCs w:val="22"/>
        </w:rPr>
        <w:t xml:space="preserve"> the tax invoice requirements set out in subsection 29-70(1)</w:t>
      </w:r>
      <w:r w:rsidR="00071EBF" w:rsidRPr="00E233C7">
        <w:rPr>
          <w:rFonts w:ascii="Arial" w:hAnsi="Arial" w:cs="Arial"/>
          <w:iCs/>
          <w:sz w:val="22"/>
          <w:szCs w:val="22"/>
        </w:rPr>
        <w:t xml:space="preserve"> of the Act</w:t>
      </w:r>
      <w:r w:rsidRPr="00E233C7">
        <w:rPr>
          <w:rFonts w:ascii="Arial" w:hAnsi="Arial" w:cs="Arial"/>
          <w:iCs/>
          <w:sz w:val="22"/>
          <w:szCs w:val="22"/>
        </w:rPr>
        <w:t>.</w:t>
      </w:r>
    </w:p>
    <w:p w14:paraId="349A9C24" w14:textId="5CCEDC53" w:rsidR="00BC5F99"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Property managers may act on behalf of the principal, in terms of being authorised to manage the real property of the principal, making or facilitating supplies on behalf of the principal, and issuing tax invoices in respect of supplies of that real property made or facilitated on behalf of the principal.</w:t>
      </w:r>
    </w:p>
    <w:p w14:paraId="2A64D231" w14:textId="11AFD857" w:rsidR="00BC5F99" w:rsidRPr="00E233C7" w:rsidRDefault="00BC5F99"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Where a property manager issues a tax invoice for a supply made on behalf of the supplier that contains the property manager's identity and ABN rather than the supplier's, the document would not meet the tax invoice requirements set out in subsection 29-70(1)</w:t>
      </w:r>
      <w:r w:rsidR="00071EBF" w:rsidRPr="00E233C7">
        <w:rPr>
          <w:rFonts w:ascii="Arial" w:hAnsi="Arial" w:cs="Arial"/>
          <w:iCs/>
          <w:sz w:val="22"/>
          <w:szCs w:val="22"/>
        </w:rPr>
        <w:t xml:space="preserve"> of the Act.</w:t>
      </w:r>
      <w:r w:rsidRPr="00E233C7">
        <w:rPr>
          <w:rFonts w:ascii="Arial" w:hAnsi="Arial" w:cs="Arial"/>
          <w:iCs/>
          <w:sz w:val="22"/>
          <w:szCs w:val="22"/>
        </w:rPr>
        <w:t xml:space="preserve"> In these situations, under subsection 29</w:t>
      </w:r>
      <w:r w:rsidR="00D675A9" w:rsidRPr="00E233C7">
        <w:rPr>
          <w:rFonts w:ascii="Arial" w:hAnsi="Arial" w:cs="Arial"/>
          <w:iCs/>
          <w:sz w:val="22"/>
          <w:szCs w:val="22"/>
        </w:rPr>
        <w:noBreakHyphen/>
      </w:r>
      <w:r w:rsidRPr="00E233C7">
        <w:rPr>
          <w:rFonts w:ascii="Arial" w:hAnsi="Arial" w:cs="Arial"/>
          <w:iCs/>
          <w:sz w:val="22"/>
          <w:szCs w:val="22"/>
        </w:rPr>
        <w:t>10(3)</w:t>
      </w:r>
      <w:r w:rsidR="00071EBF" w:rsidRPr="00E233C7">
        <w:rPr>
          <w:rFonts w:ascii="Arial" w:hAnsi="Arial" w:cs="Arial"/>
          <w:iCs/>
          <w:sz w:val="22"/>
          <w:szCs w:val="22"/>
        </w:rPr>
        <w:t xml:space="preserve"> of the Act</w:t>
      </w:r>
      <w:r w:rsidRPr="00E233C7">
        <w:rPr>
          <w:rFonts w:ascii="Arial" w:hAnsi="Arial" w:cs="Arial"/>
          <w:iCs/>
          <w:sz w:val="22"/>
          <w:szCs w:val="22"/>
        </w:rPr>
        <w:t>, an input tax credit for a creditable acquisition would not be attributable to a tax period until the recipient held a document that complied with the tax invoice requirements. It does not matter that the property manager for the supplier may have transacted with the recipient either by disclosing the property manager relationship but without naming the supplier</w:t>
      </w:r>
      <w:r w:rsidR="00FF7E43" w:rsidRPr="00E233C7">
        <w:rPr>
          <w:rFonts w:ascii="Arial" w:hAnsi="Arial" w:cs="Arial"/>
          <w:iCs/>
          <w:sz w:val="22"/>
          <w:szCs w:val="22"/>
        </w:rPr>
        <w:t>,</w:t>
      </w:r>
      <w:r w:rsidRPr="00E233C7">
        <w:rPr>
          <w:rFonts w:ascii="Arial" w:hAnsi="Arial" w:cs="Arial"/>
          <w:iCs/>
          <w:sz w:val="22"/>
          <w:szCs w:val="22"/>
        </w:rPr>
        <w:t xml:space="preserve"> or by not disclosing either the property manager relationship or the identity of the supplier.</w:t>
      </w:r>
    </w:p>
    <w:p w14:paraId="6D217165" w14:textId="0ECCB43E" w:rsidR="00D675A9" w:rsidRPr="00E233C7" w:rsidRDefault="00914777" w:rsidP="00D675A9">
      <w:pPr>
        <w:numPr>
          <w:ilvl w:val="0"/>
          <w:numId w:val="1"/>
        </w:numPr>
        <w:spacing w:after="120"/>
        <w:ind w:hanging="720"/>
        <w:rPr>
          <w:rFonts w:ascii="Arial" w:hAnsi="Arial" w:cs="Arial"/>
          <w:iCs/>
          <w:sz w:val="22"/>
          <w:szCs w:val="22"/>
        </w:rPr>
      </w:pPr>
      <w:bookmarkStart w:id="1" w:name="_Hlk118105398"/>
      <w:r w:rsidRPr="00E233C7">
        <w:rPr>
          <w:rFonts w:ascii="Arial" w:hAnsi="Arial" w:cs="Arial"/>
          <w:iCs/>
          <w:sz w:val="22"/>
          <w:szCs w:val="22"/>
        </w:rPr>
        <w:t>The Commissioner has a discretion under</w:t>
      </w:r>
      <w:r w:rsidR="00C17B6A" w:rsidRPr="00E233C7">
        <w:rPr>
          <w:rFonts w:ascii="Arial" w:hAnsi="Arial" w:cs="Arial"/>
          <w:iCs/>
          <w:sz w:val="22"/>
          <w:szCs w:val="22"/>
        </w:rPr>
        <w:t xml:space="preserve"> subsection</w:t>
      </w:r>
      <w:r w:rsidRPr="00E233C7">
        <w:rPr>
          <w:rFonts w:ascii="Arial" w:hAnsi="Arial" w:cs="Arial"/>
          <w:iCs/>
          <w:sz w:val="22"/>
          <w:szCs w:val="22"/>
        </w:rPr>
        <w:t xml:space="preserve"> 29-70(1B) </w:t>
      </w:r>
      <w:r w:rsidR="002369B3" w:rsidRPr="00E233C7">
        <w:rPr>
          <w:rFonts w:ascii="Arial" w:hAnsi="Arial" w:cs="Arial"/>
          <w:iCs/>
          <w:sz w:val="22"/>
          <w:szCs w:val="22"/>
        </w:rPr>
        <w:t xml:space="preserve">of the Act </w:t>
      </w:r>
      <w:r w:rsidRPr="00E233C7">
        <w:rPr>
          <w:rFonts w:ascii="Arial" w:hAnsi="Arial" w:cs="Arial"/>
          <w:iCs/>
          <w:sz w:val="22"/>
          <w:szCs w:val="22"/>
        </w:rPr>
        <w:t xml:space="preserve">to treat a document as a tax invoice where not all the requirements </w:t>
      </w:r>
      <w:r w:rsidR="00FF7E43" w:rsidRPr="00E233C7">
        <w:rPr>
          <w:rFonts w:ascii="Arial" w:hAnsi="Arial" w:cs="Arial"/>
          <w:iCs/>
          <w:sz w:val="22"/>
          <w:szCs w:val="22"/>
        </w:rPr>
        <w:t>in</w:t>
      </w:r>
      <w:r w:rsidRPr="00E233C7">
        <w:rPr>
          <w:rFonts w:ascii="Arial" w:hAnsi="Arial" w:cs="Arial"/>
          <w:iCs/>
          <w:sz w:val="22"/>
          <w:szCs w:val="22"/>
        </w:rPr>
        <w:t xml:space="preserve"> subsection</w:t>
      </w:r>
      <w:r w:rsidR="00D675A9" w:rsidRPr="00E233C7">
        <w:rPr>
          <w:rFonts w:ascii="Arial" w:hAnsi="Arial" w:cs="Arial"/>
          <w:iCs/>
          <w:sz w:val="22"/>
          <w:szCs w:val="22"/>
        </w:rPr>
        <w:t> </w:t>
      </w:r>
      <w:r w:rsidRPr="00E233C7">
        <w:rPr>
          <w:rFonts w:ascii="Arial" w:hAnsi="Arial" w:cs="Arial"/>
          <w:iCs/>
          <w:sz w:val="22"/>
          <w:szCs w:val="22"/>
        </w:rPr>
        <w:t>29-70(1)</w:t>
      </w:r>
      <w:r w:rsidR="002369B3" w:rsidRPr="00E233C7">
        <w:rPr>
          <w:rFonts w:ascii="Arial" w:hAnsi="Arial" w:cs="Arial"/>
          <w:iCs/>
          <w:sz w:val="22"/>
          <w:szCs w:val="22"/>
        </w:rPr>
        <w:t xml:space="preserve"> of the Act</w:t>
      </w:r>
      <w:r w:rsidRPr="00E233C7">
        <w:rPr>
          <w:rFonts w:ascii="Arial" w:hAnsi="Arial" w:cs="Arial"/>
          <w:iCs/>
          <w:sz w:val="22"/>
          <w:szCs w:val="22"/>
        </w:rPr>
        <w:t xml:space="preserve"> are met. However, the Commissioner’s discretion under subsection 29-70(1B) </w:t>
      </w:r>
      <w:r w:rsidR="002369B3" w:rsidRPr="00E233C7">
        <w:rPr>
          <w:rFonts w:ascii="Arial" w:hAnsi="Arial" w:cs="Arial"/>
          <w:iCs/>
          <w:sz w:val="22"/>
          <w:szCs w:val="22"/>
        </w:rPr>
        <w:t xml:space="preserve">of the Act </w:t>
      </w:r>
      <w:r w:rsidRPr="00E233C7">
        <w:rPr>
          <w:rFonts w:ascii="Arial" w:hAnsi="Arial" w:cs="Arial"/>
          <w:iCs/>
          <w:sz w:val="22"/>
          <w:szCs w:val="22"/>
        </w:rPr>
        <w:t>is administrative and can only be exercised on a case-by-case basis.</w:t>
      </w:r>
    </w:p>
    <w:p w14:paraId="3979A992" w14:textId="78204067" w:rsidR="00F4332A" w:rsidRPr="00E233C7" w:rsidRDefault="00F4332A" w:rsidP="00D675A9">
      <w:pPr>
        <w:numPr>
          <w:ilvl w:val="0"/>
          <w:numId w:val="1"/>
        </w:numPr>
        <w:spacing w:after="120"/>
        <w:ind w:hanging="720"/>
        <w:rPr>
          <w:rFonts w:ascii="Arial" w:hAnsi="Arial" w:cs="Arial"/>
          <w:iCs/>
          <w:sz w:val="22"/>
          <w:szCs w:val="22"/>
        </w:rPr>
      </w:pPr>
      <w:r w:rsidRPr="00E233C7">
        <w:rPr>
          <w:rFonts w:ascii="Arial" w:hAnsi="Arial" w:cs="Arial"/>
          <w:iCs/>
          <w:sz w:val="22"/>
          <w:szCs w:val="22"/>
        </w:rPr>
        <w:t>As such, the Commissioner ma</w:t>
      </w:r>
      <w:r w:rsidR="00E505CA" w:rsidRPr="00E233C7">
        <w:rPr>
          <w:rFonts w:ascii="Arial" w:hAnsi="Arial" w:cs="Arial"/>
          <w:iCs/>
          <w:sz w:val="22"/>
          <w:szCs w:val="22"/>
        </w:rPr>
        <w:t>kes</w:t>
      </w:r>
      <w:r w:rsidRPr="00E233C7">
        <w:rPr>
          <w:rFonts w:ascii="Arial" w:hAnsi="Arial" w:cs="Arial"/>
          <w:iCs/>
          <w:sz w:val="22"/>
          <w:szCs w:val="22"/>
        </w:rPr>
        <w:t xml:space="preserve"> this instrument under subsection 29-10(3) of the Act to ensure that taxpayers do not have to change their administrative practices formed in reliance on past legislative instruments and rulings that are now either withdrawn or repealed.</w:t>
      </w:r>
    </w:p>
    <w:bookmarkEnd w:id="1"/>
    <w:p w14:paraId="612A50FE" w14:textId="77777777" w:rsidR="002A74FD" w:rsidRPr="00E233C7" w:rsidRDefault="002A74FD" w:rsidP="002A74FD">
      <w:pPr>
        <w:spacing w:after="120"/>
        <w:rPr>
          <w:rFonts w:ascii="Arial" w:hAnsi="Arial" w:cs="Arial"/>
          <w:sz w:val="22"/>
          <w:szCs w:val="22"/>
        </w:rPr>
      </w:pPr>
    </w:p>
    <w:p w14:paraId="2F72104B" w14:textId="77777777" w:rsidR="002A74FD" w:rsidRPr="00E233C7" w:rsidRDefault="002A74FD" w:rsidP="002A74FD">
      <w:pPr>
        <w:pStyle w:val="Heading2"/>
        <w:rPr>
          <w:rFonts w:cs="Arial"/>
          <w:szCs w:val="22"/>
        </w:rPr>
      </w:pPr>
      <w:r w:rsidRPr="00E233C7">
        <w:rPr>
          <w:rFonts w:cs="Arial"/>
          <w:szCs w:val="22"/>
        </w:rPr>
        <w:t>Consultation</w:t>
      </w:r>
    </w:p>
    <w:p w14:paraId="45E7D5ED" w14:textId="77777777" w:rsidR="002A74FD" w:rsidRPr="00E233C7" w:rsidRDefault="002A74FD" w:rsidP="00573E90">
      <w:pPr>
        <w:numPr>
          <w:ilvl w:val="0"/>
          <w:numId w:val="1"/>
        </w:numPr>
        <w:spacing w:after="120"/>
        <w:ind w:hanging="720"/>
        <w:rPr>
          <w:rFonts w:ascii="Arial" w:hAnsi="Arial" w:cs="Arial"/>
          <w:bCs/>
          <w:sz w:val="22"/>
          <w:szCs w:val="22"/>
        </w:rPr>
      </w:pPr>
      <w:r w:rsidRPr="00E233C7">
        <w:rPr>
          <w:rFonts w:ascii="Arial" w:hAnsi="Arial" w:cs="Arial"/>
          <w:bCs/>
          <w:sz w:val="22"/>
          <w:szCs w:val="22"/>
        </w:rPr>
        <w:t xml:space="preserve">Subsection 17(1) of the </w:t>
      </w:r>
      <w:r w:rsidRPr="00E233C7">
        <w:rPr>
          <w:rFonts w:ascii="Arial" w:hAnsi="Arial" w:cs="Arial"/>
          <w:bCs/>
          <w:i/>
          <w:iCs/>
          <w:sz w:val="22"/>
          <w:szCs w:val="22"/>
        </w:rPr>
        <w:t>Legislation Act 2003</w:t>
      </w:r>
      <w:r w:rsidRPr="00E233C7">
        <w:rPr>
          <w:rFonts w:ascii="Arial" w:hAnsi="Arial" w:cs="Arial"/>
          <w:bCs/>
          <w:sz w:val="22"/>
          <w:szCs w:val="22"/>
        </w:rPr>
        <w:t xml:space="preserve"> requires that the Commissioner be satisfied that appropriate and reasonably practicable consultation has been undertaken before he makes a determination.</w:t>
      </w:r>
    </w:p>
    <w:p w14:paraId="6A06C647" w14:textId="77777777" w:rsidR="002A74FD" w:rsidRPr="00E233C7" w:rsidRDefault="002A74FD" w:rsidP="00573E90">
      <w:pPr>
        <w:numPr>
          <w:ilvl w:val="0"/>
          <w:numId w:val="1"/>
        </w:numPr>
        <w:spacing w:after="120"/>
        <w:ind w:hanging="720"/>
        <w:rPr>
          <w:rFonts w:ascii="Arial" w:hAnsi="Arial" w:cs="Arial"/>
          <w:bCs/>
          <w:sz w:val="22"/>
          <w:szCs w:val="22"/>
        </w:rPr>
      </w:pPr>
      <w:r w:rsidRPr="00E233C7">
        <w:rPr>
          <w:rFonts w:ascii="Arial" w:hAnsi="Arial" w:cs="Arial"/>
          <w:bCs/>
          <w:sz w:val="22"/>
          <w:szCs w:val="22"/>
        </w:rPr>
        <w:lastRenderedPageBreak/>
        <w:t>Public consultation was undertaken on this instrument for a period of 3 weeks from 25 November 2022 to 16 December 2022 inclusive.</w:t>
      </w:r>
    </w:p>
    <w:p w14:paraId="20F18230" w14:textId="77777777" w:rsidR="002A74FD" w:rsidRPr="00E233C7" w:rsidRDefault="002A74FD" w:rsidP="00573E90">
      <w:pPr>
        <w:numPr>
          <w:ilvl w:val="0"/>
          <w:numId w:val="1"/>
        </w:numPr>
        <w:spacing w:after="120"/>
        <w:ind w:hanging="720"/>
        <w:rPr>
          <w:rFonts w:ascii="Arial" w:hAnsi="Arial" w:cs="Arial"/>
          <w:bCs/>
          <w:sz w:val="22"/>
          <w:szCs w:val="22"/>
        </w:rPr>
      </w:pPr>
      <w:r w:rsidRPr="00E233C7">
        <w:rPr>
          <w:rFonts w:ascii="Arial" w:hAnsi="Arial" w:cs="Arial"/>
          <w:bCs/>
          <w:sz w:val="22"/>
          <w:szCs w:val="22"/>
        </w:rPr>
        <w:t>The draft instrument and draft explanatory statement were published on the ATO Legal database, which is publicly available.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6C1C3098" w14:textId="77777777" w:rsidR="002A74FD" w:rsidRPr="00E233C7" w:rsidRDefault="002A74FD" w:rsidP="00573E90">
      <w:pPr>
        <w:numPr>
          <w:ilvl w:val="0"/>
          <w:numId w:val="1"/>
        </w:numPr>
        <w:spacing w:after="120"/>
        <w:ind w:hanging="720"/>
        <w:rPr>
          <w:rFonts w:ascii="Arial" w:hAnsi="Arial" w:cs="Arial"/>
          <w:bCs/>
          <w:sz w:val="22"/>
          <w:szCs w:val="22"/>
        </w:rPr>
      </w:pPr>
      <w:r w:rsidRPr="00E233C7">
        <w:rPr>
          <w:rFonts w:ascii="Arial" w:hAnsi="Arial" w:cs="Arial"/>
          <w:bCs/>
          <w:sz w:val="22"/>
          <w:szCs w:val="22"/>
        </w:rPr>
        <w:t>No comments were received as part of the consultation process.</w:t>
      </w:r>
    </w:p>
    <w:p w14:paraId="10812A29" w14:textId="3FF28B42" w:rsidR="002A74FD" w:rsidRPr="00E233C7" w:rsidRDefault="002A74FD" w:rsidP="002A74FD">
      <w:pPr>
        <w:spacing w:after="120"/>
        <w:rPr>
          <w:rFonts w:ascii="Arial" w:hAnsi="Arial" w:cs="Arial"/>
          <w:sz w:val="22"/>
          <w:szCs w:val="22"/>
        </w:rPr>
      </w:pPr>
    </w:p>
    <w:p w14:paraId="56D54462" w14:textId="77777777" w:rsidR="00D675A9" w:rsidRPr="00E233C7" w:rsidRDefault="00D675A9" w:rsidP="002A74FD">
      <w:pPr>
        <w:spacing w:after="120"/>
        <w:rPr>
          <w:rFonts w:ascii="Arial" w:hAnsi="Arial" w:cs="Arial"/>
          <w:sz w:val="22"/>
          <w:szCs w:val="22"/>
        </w:rPr>
      </w:pPr>
    </w:p>
    <w:p w14:paraId="01DF8AEA" w14:textId="77777777" w:rsidR="00ED5CD5" w:rsidRPr="00E233C7" w:rsidRDefault="00ED5CD5" w:rsidP="00F04F17">
      <w:pPr>
        <w:spacing w:after="120"/>
        <w:rPr>
          <w:rFonts w:ascii="Arial" w:hAnsi="Arial" w:cs="Arial"/>
          <w:sz w:val="22"/>
          <w:szCs w:val="22"/>
        </w:rPr>
      </w:pPr>
    </w:p>
    <w:p w14:paraId="630993D9" w14:textId="59DCB9E7" w:rsidR="007571D0" w:rsidRPr="00E233C7" w:rsidRDefault="004E233B" w:rsidP="00F04F17">
      <w:pPr>
        <w:pStyle w:val="Heading2"/>
        <w:spacing w:after="60"/>
        <w:rPr>
          <w:rFonts w:cs="Arial"/>
          <w:sz w:val="20"/>
        </w:rPr>
      </w:pPr>
      <w:r w:rsidRPr="00E233C7">
        <w:rPr>
          <w:rFonts w:cs="Arial"/>
          <w:sz w:val="20"/>
        </w:rPr>
        <w:t>L</w:t>
      </w:r>
      <w:r w:rsidR="007571D0" w:rsidRPr="00E233C7">
        <w:rPr>
          <w:rFonts w:cs="Arial"/>
          <w:sz w:val="20"/>
        </w:rPr>
        <w:t>egislative references</w:t>
      </w:r>
    </w:p>
    <w:p w14:paraId="3D1BEA0C" w14:textId="77777777" w:rsidR="0063489F" w:rsidRPr="00E233C7" w:rsidRDefault="0063489F" w:rsidP="0063489F">
      <w:pPr>
        <w:autoSpaceDE w:val="0"/>
        <w:autoSpaceDN w:val="0"/>
        <w:adjustRightInd w:val="0"/>
        <w:rPr>
          <w:rFonts w:ascii="Arial" w:hAnsi="Arial" w:cs="Arial"/>
          <w:i/>
          <w:iCs/>
          <w:sz w:val="20"/>
        </w:rPr>
      </w:pPr>
      <w:r w:rsidRPr="00E233C7">
        <w:rPr>
          <w:rFonts w:ascii="Arial" w:hAnsi="Arial" w:cs="Arial"/>
          <w:i/>
          <w:iCs/>
          <w:sz w:val="20"/>
        </w:rPr>
        <w:t>A New Tax System (Goods and Services) Tax Act 1999</w:t>
      </w:r>
    </w:p>
    <w:p w14:paraId="35326EF0" w14:textId="77777777" w:rsidR="00573E90" w:rsidRPr="00E233C7" w:rsidRDefault="00573E90" w:rsidP="00573E90">
      <w:pPr>
        <w:autoSpaceDE w:val="0"/>
        <w:autoSpaceDN w:val="0"/>
        <w:adjustRightInd w:val="0"/>
        <w:rPr>
          <w:rFonts w:ascii="Arial" w:hAnsi="Arial" w:cs="Arial"/>
          <w:i/>
          <w:iCs/>
          <w:sz w:val="20"/>
        </w:rPr>
      </w:pPr>
      <w:r w:rsidRPr="00E233C7">
        <w:rPr>
          <w:rFonts w:ascii="Arial" w:hAnsi="Arial" w:cs="Arial"/>
          <w:bCs/>
          <w:i/>
          <w:iCs/>
          <w:sz w:val="20"/>
        </w:rPr>
        <w:t>Acts Interpretation Act 1901</w:t>
      </w:r>
    </w:p>
    <w:p w14:paraId="46396660" w14:textId="77777777" w:rsidR="0063489F" w:rsidRPr="00E233C7" w:rsidRDefault="0063489F" w:rsidP="0063489F">
      <w:pPr>
        <w:autoSpaceDE w:val="0"/>
        <w:autoSpaceDN w:val="0"/>
        <w:adjustRightInd w:val="0"/>
        <w:rPr>
          <w:rFonts w:ascii="Arial" w:hAnsi="Arial" w:cs="Arial"/>
          <w:i/>
          <w:iCs/>
          <w:sz w:val="20"/>
        </w:rPr>
      </w:pPr>
      <w:r w:rsidRPr="00E233C7">
        <w:rPr>
          <w:rFonts w:ascii="Helvetica Neue" w:hAnsi="Helvetica Neue"/>
          <w:i/>
          <w:iCs/>
          <w:sz w:val="20"/>
        </w:rPr>
        <w:t>Human Rights (Parliamentary Scrutiny) Act 2011</w:t>
      </w:r>
    </w:p>
    <w:p w14:paraId="23193C7B" w14:textId="20F5F9B4" w:rsidR="0063489F" w:rsidRPr="00E233C7" w:rsidRDefault="0063489F" w:rsidP="0063489F">
      <w:pPr>
        <w:autoSpaceDE w:val="0"/>
        <w:autoSpaceDN w:val="0"/>
        <w:adjustRightInd w:val="0"/>
        <w:rPr>
          <w:rFonts w:ascii="Arial" w:hAnsi="Arial" w:cs="Arial"/>
          <w:i/>
          <w:iCs/>
          <w:sz w:val="20"/>
        </w:rPr>
      </w:pPr>
      <w:r w:rsidRPr="00E233C7">
        <w:rPr>
          <w:rFonts w:ascii="Arial" w:hAnsi="Arial" w:cs="Arial"/>
          <w:i/>
          <w:iCs/>
          <w:sz w:val="20"/>
        </w:rPr>
        <w:t>Legislation Act 2003</w:t>
      </w:r>
    </w:p>
    <w:p w14:paraId="177938DF" w14:textId="77777777" w:rsidR="004E233B" w:rsidRPr="00E233C7" w:rsidRDefault="004E233B" w:rsidP="0063489F">
      <w:pPr>
        <w:autoSpaceDE w:val="0"/>
        <w:autoSpaceDN w:val="0"/>
        <w:adjustRightInd w:val="0"/>
        <w:rPr>
          <w:rFonts w:ascii="Arial" w:hAnsi="Arial" w:cs="Arial"/>
          <w:i/>
          <w:iCs/>
          <w:sz w:val="20"/>
        </w:rPr>
      </w:pPr>
    </w:p>
    <w:p w14:paraId="1A31F8BA" w14:textId="5DCBDF69" w:rsidR="00BF12D2" w:rsidRPr="00E233C7" w:rsidRDefault="00E53399" w:rsidP="00D675A9">
      <w:pPr>
        <w:pStyle w:val="Heading3"/>
        <w:pageBreakBefore/>
        <w:spacing w:before="0" w:after="120"/>
        <w:jc w:val="center"/>
        <w:rPr>
          <w:sz w:val="24"/>
          <w:szCs w:val="24"/>
        </w:rPr>
      </w:pPr>
      <w:r w:rsidRPr="00E233C7">
        <w:rPr>
          <w:sz w:val="24"/>
          <w:szCs w:val="24"/>
        </w:rPr>
        <w:t xml:space="preserve">Statement of </w:t>
      </w:r>
      <w:r w:rsidR="00EB5D08" w:rsidRPr="00E233C7">
        <w:rPr>
          <w:sz w:val="24"/>
          <w:szCs w:val="24"/>
        </w:rPr>
        <w:t>c</w:t>
      </w:r>
      <w:r w:rsidRPr="00E233C7">
        <w:rPr>
          <w:sz w:val="24"/>
          <w:szCs w:val="24"/>
        </w:rPr>
        <w:t>ompatibility</w:t>
      </w:r>
      <w:r w:rsidR="003A7F99" w:rsidRPr="00E233C7">
        <w:rPr>
          <w:sz w:val="24"/>
          <w:szCs w:val="24"/>
        </w:rPr>
        <w:t xml:space="preserve"> with Human Rights</w:t>
      </w:r>
    </w:p>
    <w:p w14:paraId="039D24D4" w14:textId="77777777" w:rsidR="004E77B0" w:rsidRPr="00E233C7" w:rsidRDefault="004E77B0" w:rsidP="004E77B0">
      <w:pPr>
        <w:spacing w:after="120"/>
        <w:rPr>
          <w:rFonts w:ascii="Arial" w:hAnsi="Arial" w:cs="Arial"/>
          <w:sz w:val="22"/>
          <w:szCs w:val="22"/>
        </w:rPr>
      </w:pPr>
      <w:r w:rsidRPr="00E233C7">
        <w:rPr>
          <w:rFonts w:ascii="Arial" w:hAnsi="Arial" w:cs="Arial"/>
          <w:sz w:val="22"/>
          <w:szCs w:val="22"/>
        </w:rPr>
        <w:t xml:space="preserve">Prepared in accordance with Part 3 of the </w:t>
      </w:r>
      <w:r w:rsidRPr="00E233C7">
        <w:rPr>
          <w:rFonts w:ascii="Arial" w:hAnsi="Arial" w:cs="Arial"/>
          <w:i/>
          <w:iCs/>
          <w:sz w:val="22"/>
          <w:szCs w:val="22"/>
        </w:rPr>
        <w:t>Human Rights (Parliamentary Scrutiny) Act 2011</w:t>
      </w:r>
    </w:p>
    <w:p w14:paraId="7E3C22A5" w14:textId="77777777" w:rsidR="00D77015" w:rsidRPr="00E233C7" w:rsidRDefault="00D77015" w:rsidP="00D675A9">
      <w:pPr>
        <w:spacing w:after="120"/>
        <w:rPr>
          <w:rFonts w:ascii="Arial" w:hAnsi="Arial" w:cs="Arial"/>
          <w:sz w:val="22"/>
          <w:szCs w:val="22"/>
        </w:rPr>
      </w:pPr>
    </w:p>
    <w:p w14:paraId="5F355296" w14:textId="07434D08" w:rsidR="004E233B" w:rsidRPr="00E233C7" w:rsidRDefault="00E505CA" w:rsidP="00D675A9">
      <w:pPr>
        <w:pStyle w:val="Heading2"/>
        <w:jc w:val="center"/>
        <w:rPr>
          <w:i/>
          <w:iCs/>
          <w:lang w:val="en-US"/>
        </w:rPr>
      </w:pPr>
      <w:r w:rsidRPr="00E233C7">
        <w:rPr>
          <w:i/>
          <w:iCs/>
          <w:lang w:val="en-US"/>
        </w:rPr>
        <w:t>A New Tax System (</w:t>
      </w:r>
      <w:r w:rsidR="004E233B" w:rsidRPr="00E233C7">
        <w:rPr>
          <w:i/>
          <w:iCs/>
          <w:lang w:val="en-US"/>
        </w:rPr>
        <w:t>Goods and Services Tax</w:t>
      </w:r>
      <w:r w:rsidRPr="00E233C7">
        <w:rPr>
          <w:i/>
          <w:iCs/>
          <w:lang w:val="en-US"/>
        </w:rPr>
        <w:t>)</w:t>
      </w:r>
      <w:r w:rsidR="004E233B" w:rsidRPr="00E233C7">
        <w:rPr>
          <w:i/>
          <w:iCs/>
          <w:lang w:val="en-US"/>
        </w:rPr>
        <w:t xml:space="preserve">: Waiver of Tax Invoice Requirement (Acquisitions </w:t>
      </w:r>
      <w:r w:rsidR="00BB6C47" w:rsidRPr="00E233C7">
        <w:rPr>
          <w:i/>
          <w:iCs/>
          <w:lang w:val="en-US"/>
        </w:rPr>
        <w:t>from Property Managers</w:t>
      </w:r>
      <w:r w:rsidR="004E233B" w:rsidRPr="00E233C7">
        <w:rPr>
          <w:i/>
          <w:iCs/>
          <w:lang w:val="en-US"/>
        </w:rPr>
        <w:t>) Determination 202</w:t>
      </w:r>
      <w:r w:rsidR="00F94622" w:rsidRPr="00E233C7">
        <w:rPr>
          <w:i/>
          <w:iCs/>
          <w:lang w:val="en-US"/>
        </w:rPr>
        <w:t>3</w:t>
      </w:r>
    </w:p>
    <w:p w14:paraId="7220DC45" w14:textId="68A2E84D" w:rsidR="00BF12D2" w:rsidRPr="00E233C7" w:rsidRDefault="00075B58" w:rsidP="00D675A9">
      <w:pPr>
        <w:autoSpaceDE w:val="0"/>
        <w:autoSpaceDN w:val="0"/>
        <w:adjustRightInd w:val="0"/>
        <w:spacing w:after="120"/>
        <w:rPr>
          <w:rFonts w:ascii="Arial" w:hAnsi="Arial" w:cs="Arial"/>
          <w:sz w:val="22"/>
          <w:szCs w:val="22"/>
        </w:rPr>
      </w:pPr>
      <w:r w:rsidRPr="00E233C7">
        <w:rPr>
          <w:rFonts w:ascii="Arial" w:hAnsi="Arial" w:cs="Arial"/>
          <w:sz w:val="22"/>
          <w:szCs w:val="22"/>
        </w:rPr>
        <w:t xml:space="preserve">This </w:t>
      </w:r>
      <w:r w:rsidR="008763C8" w:rsidRPr="00E233C7">
        <w:rPr>
          <w:rFonts w:ascii="Arial" w:hAnsi="Arial" w:cs="Arial"/>
          <w:sz w:val="22"/>
          <w:szCs w:val="22"/>
        </w:rPr>
        <w:t>l</w:t>
      </w:r>
      <w:r w:rsidRPr="00E233C7">
        <w:rPr>
          <w:rFonts w:ascii="Arial" w:hAnsi="Arial" w:cs="Arial"/>
          <w:sz w:val="22"/>
          <w:szCs w:val="22"/>
        </w:rPr>
        <w:t xml:space="preserve">egislative </w:t>
      </w:r>
      <w:r w:rsidR="008763C8" w:rsidRPr="00E233C7">
        <w:rPr>
          <w:rFonts w:ascii="Arial" w:hAnsi="Arial" w:cs="Arial"/>
          <w:sz w:val="22"/>
          <w:szCs w:val="22"/>
        </w:rPr>
        <w:t>i</w:t>
      </w:r>
      <w:r w:rsidRPr="00E233C7">
        <w:rPr>
          <w:rFonts w:ascii="Arial" w:hAnsi="Arial" w:cs="Arial"/>
          <w:sz w:val="22"/>
          <w:szCs w:val="22"/>
        </w:rPr>
        <w:t>nstrument is compatible with the human rights and freedoms recognised or declared in the international instruments listed in s</w:t>
      </w:r>
      <w:r w:rsidR="00AB1455" w:rsidRPr="00E233C7">
        <w:rPr>
          <w:rFonts w:ascii="Arial" w:hAnsi="Arial" w:cs="Arial"/>
          <w:sz w:val="22"/>
          <w:szCs w:val="22"/>
        </w:rPr>
        <w:t>ection</w:t>
      </w:r>
      <w:r w:rsidR="00D675A9" w:rsidRPr="00E233C7">
        <w:rPr>
          <w:rFonts w:ascii="Arial" w:hAnsi="Arial" w:cs="Arial"/>
          <w:sz w:val="22"/>
          <w:szCs w:val="22"/>
        </w:rPr>
        <w:t xml:space="preserve"> </w:t>
      </w:r>
      <w:r w:rsidRPr="00E233C7">
        <w:rPr>
          <w:rFonts w:ascii="Arial" w:hAnsi="Arial" w:cs="Arial"/>
          <w:sz w:val="22"/>
          <w:szCs w:val="22"/>
        </w:rPr>
        <w:t xml:space="preserve">3 of the </w:t>
      </w:r>
      <w:r w:rsidRPr="00E233C7">
        <w:rPr>
          <w:rFonts w:ascii="Arial" w:hAnsi="Arial" w:cs="Arial"/>
          <w:i/>
          <w:sz w:val="22"/>
          <w:szCs w:val="22"/>
        </w:rPr>
        <w:t>Human Rights (Parliamentary Scrutiny) Act 2011</w:t>
      </w:r>
      <w:r w:rsidRPr="00E233C7">
        <w:rPr>
          <w:rFonts w:ascii="Arial" w:hAnsi="Arial" w:cs="Arial"/>
          <w:sz w:val="22"/>
          <w:szCs w:val="22"/>
        </w:rPr>
        <w:t>.</w:t>
      </w:r>
    </w:p>
    <w:p w14:paraId="71AF46A3" w14:textId="77777777" w:rsidR="00075B58" w:rsidRPr="00E233C7" w:rsidRDefault="00075B58" w:rsidP="00D675A9">
      <w:pPr>
        <w:autoSpaceDE w:val="0"/>
        <w:autoSpaceDN w:val="0"/>
        <w:adjustRightInd w:val="0"/>
        <w:spacing w:after="120"/>
        <w:rPr>
          <w:rFonts w:ascii="Arial" w:hAnsi="Arial" w:cs="Arial"/>
          <w:sz w:val="22"/>
          <w:szCs w:val="22"/>
        </w:rPr>
      </w:pPr>
    </w:p>
    <w:p w14:paraId="0ACB9A14" w14:textId="77777777" w:rsidR="00830270" w:rsidRPr="00E233C7" w:rsidRDefault="00830270" w:rsidP="00D675A9">
      <w:pPr>
        <w:pStyle w:val="Heading2"/>
        <w:rPr>
          <w:rFonts w:cs="Arial"/>
          <w:szCs w:val="22"/>
        </w:rPr>
      </w:pPr>
      <w:r w:rsidRPr="00E233C7">
        <w:rPr>
          <w:rFonts w:cs="Arial"/>
          <w:szCs w:val="22"/>
        </w:rPr>
        <w:t>Overview of the legislative instrument</w:t>
      </w:r>
    </w:p>
    <w:p w14:paraId="3FE2B06E" w14:textId="10EFB52B" w:rsidR="00830270" w:rsidRPr="00E233C7" w:rsidRDefault="00FF7E43" w:rsidP="00D675A9">
      <w:pPr>
        <w:spacing w:after="120"/>
        <w:rPr>
          <w:rFonts w:ascii="Arial" w:hAnsi="Arial" w:cs="Arial"/>
          <w:sz w:val="22"/>
          <w:szCs w:val="22"/>
        </w:rPr>
      </w:pPr>
      <w:r w:rsidRPr="00E233C7">
        <w:rPr>
          <w:rFonts w:ascii="Arial" w:hAnsi="Arial" w:cs="Arial"/>
          <w:sz w:val="22"/>
          <w:szCs w:val="22"/>
        </w:rPr>
        <w:t xml:space="preserve">A taxpayer must generally hold a tax invoice to be able to claim an input tax credit under the </w:t>
      </w:r>
      <w:r w:rsidRPr="00E233C7">
        <w:rPr>
          <w:rFonts w:ascii="Arial" w:hAnsi="Arial" w:cs="Arial"/>
          <w:i/>
          <w:iCs/>
          <w:sz w:val="22"/>
          <w:szCs w:val="22"/>
        </w:rPr>
        <w:t>A New Tax System (Goods and Services Tax) Act 1999</w:t>
      </w:r>
      <w:r w:rsidRPr="00E233C7">
        <w:rPr>
          <w:rFonts w:ascii="Arial" w:hAnsi="Arial" w:cs="Arial"/>
          <w:sz w:val="22"/>
          <w:szCs w:val="22"/>
        </w:rPr>
        <w:t xml:space="preserve"> (</w:t>
      </w:r>
      <w:r w:rsidR="00D675A9" w:rsidRPr="00E233C7">
        <w:rPr>
          <w:rFonts w:ascii="Arial" w:hAnsi="Arial" w:cs="Arial"/>
          <w:sz w:val="22"/>
          <w:szCs w:val="22"/>
        </w:rPr>
        <w:t xml:space="preserve">the </w:t>
      </w:r>
      <w:r w:rsidRPr="00E233C7">
        <w:rPr>
          <w:rFonts w:ascii="Arial" w:hAnsi="Arial" w:cs="Arial"/>
          <w:sz w:val="22"/>
          <w:szCs w:val="22"/>
        </w:rPr>
        <w:t xml:space="preserve">Act). </w:t>
      </w:r>
      <w:r w:rsidR="00830270" w:rsidRPr="00E233C7">
        <w:rPr>
          <w:rFonts w:ascii="Arial" w:hAnsi="Arial" w:cs="Arial"/>
          <w:sz w:val="22"/>
          <w:szCs w:val="22"/>
        </w:rPr>
        <w:t xml:space="preserve">A tax invoice is a document that meets certain requirements under the Act. This </w:t>
      </w:r>
      <w:r w:rsidR="005132EA" w:rsidRPr="00E233C7">
        <w:rPr>
          <w:rFonts w:ascii="Arial" w:hAnsi="Arial" w:cs="Arial"/>
          <w:sz w:val="22"/>
          <w:szCs w:val="22"/>
        </w:rPr>
        <w:t>determination</w:t>
      </w:r>
      <w:r w:rsidR="00830270" w:rsidRPr="00E233C7">
        <w:rPr>
          <w:rFonts w:ascii="Arial" w:hAnsi="Arial" w:cs="Arial"/>
          <w:sz w:val="22"/>
          <w:szCs w:val="22"/>
        </w:rPr>
        <w:t xml:space="preserve"> waives the requirement under the Act to hold a tax invoice before an input tax credit can be claimed in a tax period. This waiver will only apply if the conditions set out in the </w:t>
      </w:r>
      <w:r w:rsidR="005132EA" w:rsidRPr="00E233C7">
        <w:rPr>
          <w:rFonts w:ascii="Arial" w:hAnsi="Arial" w:cs="Arial"/>
          <w:sz w:val="22"/>
          <w:szCs w:val="22"/>
        </w:rPr>
        <w:t>determination</w:t>
      </w:r>
      <w:r w:rsidR="00830270" w:rsidRPr="00E233C7">
        <w:rPr>
          <w:rFonts w:ascii="Arial" w:hAnsi="Arial" w:cs="Arial"/>
          <w:sz w:val="22"/>
          <w:szCs w:val="22"/>
        </w:rPr>
        <w:t xml:space="preserve"> are met. The purpose of this waiver is to reduce the compliance burden for recipients and suppliers.</w:t>
      </w:r>
    </w:p>
    <w:p w14:paraId="76974A84" w14:textId="77777777" w:rsidR="00830270" w:rsidRPr="00E233C7" w:rsidRDefault="00830270" w:rsidP="00D675A9">
      <w:pPr>
        <w:spacing w:after="120"/>
        <w:rPr>
          <w:rFonts w:ascii="Arial" w:hAnsi="Arial" w:cs="Arial"/>
          <w:sz w:val="22"/>
          <w:szCs w:val="22"/>
        </w:rPr>
      </w:pPr>
    </w:p>
    <w:p w14:paraId="2512B300" w14:textId="77777777" w:rsidR="00830270" w:rsidRPr="00E233C7" w:rsidRDefault="00830270" w:rsidP="00D675A9">
      <w:pPr>
        <w:pStyle w:val="Heading2"/>
        <w:rPr>
          <w:rFonts w:cs="Arial"/>
          <w:szCs w:val="22"/>
        </w:rPr>
      </w:pPr>
      <w:r w:rsidRPr="00E233C7">
        <w:rPr>
          <w:rFonts w:cs="Arial"/>
          <w:szCs w:val="22"/>
        </w:rPr>
        <w:t>Human rights implications</w:t>
      </w:r>
    </w:p>
    <w:p w14:paraId="0778891E" w14:textId="77777777" w:rsidR="00D675A9" w:rsidRPr="00E233C7" w:rsidRDefault="00830270" w:rsidP="00D675A9">
      <w:pPr>
        <w:spacing w:after="120"/>
        <w:rPr>
          <w:rFonts w:ascii="Arial" w:hAnsi="Arial" w:cs="Arial"/>
          <w:sz w:val="22"/>
          <w:szCs w:val="22"/>
        </w:rPr>
      </w:pPr>
      <w:r w:rsidRPr="00E233C7">
        <w:rPr>
          <w:rFonts w:ascii="Arial" w:hAnsi="Arial" w:cs="Arial"/>
          <w:sz w:val="22"/>
          <w:szCs w:val="22"/>
        </w:rPr>
        <w:t>This legislative instrument does not engage any of the applicable rights or freedoms because it merely waives the requirement to hold a tax invoice in certain circumstances</w:t>
      </w:r>
      <w:r w:rsidR="00FF7E43" w:rsidRPr="00E233C7">
        <w:rPr>
          <w:rFonts w:ascii="Arial" w:hAnsi="Arial" w:cs="Arial"/>
          <w:sz w:val="22"/>
          <w:szCs w:val="22"/>
        </w:rPr>
        <w:t>,</w:t>
      </w:r>
      <w:r w:rsidRPr="00E233C7">
        <w:rPr>
          <w:rFonts w:ascii="Arial" w:hAnsi="Arial" w:cs="Arial"/>
          <w:sz w:val="22"/>
          <w:szCs w:val="22"/>
        </w:rPr>
        <w:t xml:space="preserve"> and replaces it with a requirement to hold a different document or documents that meet alternative conditions.</w:t>
      </w:r>
    </w:p>
    <w:p w14:paraId="023ACE63" w14:textId="1AB0B0BA" w:rsidR="00830270" w:rsidRPr="00E233C7" w:rsidRDefault="00830270" w:rsidP="00D675A9">
      <w:pPr>
        <w:spacing w:after="120"/>
        <w:rPr>
          <w:rFonts w:ascii="Arial" w:hAnsi="Arial" w:cs="Arial"/>
          <w:sz w:val="22"/>
          <w:szCs w:val="22"/>
        </w:rPr>
      </w:pPr>
    </w:p>
    <w:p w14:paraId="3B7664C4" w14:textId="77777777" w:rsidR="00075B58" w:rsidRPr="00E233C7" w:rsidRDefault="00075B58" w:rsidP="00D675A9">
      <w:pPr>
        <w:pStyle w:val="Heading2"/>
        <w:rPr>
          <w:rFonts w:cs="Arial"/>
          <w:szCs w:val="22"/>
        </w:rPr>
      </w:pPr>
      <w:r w:rsidRPr="00E233C7">
        <w:rPr>
          <w:rFonts w:cs="Arial"/>
          <w:szCs w:val="22"/>
        </w:rPr>
        <w:t>Conclusion</w:t>
      </w:r>
    </w:p>
    <w:p w14:paraId="48049882" w14:textId="77777777" w:rsidR="00075B58" w:rsidRPr="00D675A9" w:rsidRDefault="00075B58" w:rsidP="00D675A9">
      <w:pPr>
        <w:spacing w:after="120"/>
        <w:rPr>
          <w:rFonts w:ascii="Arial" w:hAnsi="Arial" w:cs="Arial"/>
          <w:sz w:val="22"/>
          <w:szCs w:val="22"/>
        </w:rPr>
      </w:pPr>
      <w:r w:rsidRPr="00E233C7">
        <w:rPr>
          <w:rFonts w:ascii="Arial" w:hAnsi="Arial" w:cs="Arial"/>
          <w:sz w:val="22"/>
          <w:szCs w:val="22"/>
        </w:rPr>
        <w:t>Th</w:t>
      </w:r>
      <w:r w:rsidR="00D034B3" w:rsidRPr="00E233C7">
        <w:rPr>
          <w:rFonts w:ascii="Arial" w:hAnsi="Arial" w:cs="Arial"/>
          <w:sz w:val="22"/>
          <w:szCs w:val="22"/>
        </w:rPr>
        <w:t>e</w:t>
      </w:r>
      <w:r w:rsidRPr="00E233C7">
        <w:rPr>
          <w:rFonts w:ascii="Arial" w:hAnsi="Arial" w:cs="Arial"/>
          <w:sz w:val="22"/>
          <w:szCs w:val="22"/>
        </w:rPr>
        <w:t xml:space="preserve"> </w:t>
      </w:r>
      <w:r w:rsidR="008763C8" w:rsidRPr="00E233C7">
        <w:rPr>
          <w:rFonts w:ascii="Arial" w:hAnsi="Arial" w:cs="Arial"/>
          <w:sz w:val="22"/>
          <w:szCs w:val="22"/>
        </w:rPr>
        <w:t>l</w:t>
      </w:r>
      <w:r w:rsidRPr="00E233C7">
        <w:rPr>
          <w:rFonts w:ascii="Arial" w:hAnsi="Arial" w:cs="Arial"/>
          <w:sz w:val="22"/>
          <w:szCs w:val="22"/>
        </w:rPr>
        <w:t xml:space="preserve">egislative </w:t>
      </w:r>
      <w:r w:rsidR="008763C8" w:rsidRPr="00E233C7">
        <w:rPr>
          <w:rFonts w:ascii="Arial" w:hAnsi="Arial" w:cs="Arial"/>
          <w:sz w:val="22"/>
          <w:szCs w:val="22"/>
        </w:rPr>
        <w:t>i</w:t>
      </w:r>
      <w:r w:rsidRPr="00E233C7">
        <w:rPr>
          <w:rFonts w:ascii="Arial" w:hAnsi="Arial" w:cs="Arial"/>
          <w:sz w:val="22"/>
          <w:szCs w:val="22"/>
        </w:rPr>
        <w:t xml:space="preserve">nstrument </w:t>
      </w:r>
      <w:r w:rsidR="003A7F99" w:rsidRPr="00E233C7">
        <w:rPr>
          <w:rFonts w:ascii="Arial" w:hAnsi="Arial" w:cs="Arial"/>
          <w:sz w:val="22"/>
          <w:szCs w:val="22"/>
        </w:rPr>
        <w:t xml:space="preserve">is compatible with human rights as it </w:t>
      </w:r>
      <w:r w:rsidR="00C76E3D" w:rsidRPr="00E233C7">
        <w:rPr>
          <w:rFonts w:ascii="Arial" w:hAnsi="Arial" w:cs="Arial"/>
          <w:sz w:val="22"/>
          <w:szCs w:val="22"/>
        </w:rPr>
        <w:t>does not raise any human rights issues.</w:t>
      </w:r>
    </w:p>
    <w:sectPr w:rsidR="00075B58" w:rsidRPr="00D675A9"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30F4" w14:textId="77777777" w:rsidR="003A5570" w:rsidRDefault="003A5570">
      <w:r>
        <w:separator/>
      </w:r>
    </w:p>
  </w:endnote>
  <w:endnote w:type="continuationSeparator" w:id="0">
    <w:p w14:paraId="55175D7E" w14:textId="77777777" w:rsidR="003A5570" w:rsidRDefault="003A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A04C" w14:textId="77777777" w:rsidR="003A5570" w:rsidRDefault="003A5570">
      <w:r>
        <w:separator/>
      </w:r>
    </w:p>
  </w:footnote>
  <w:footnote w:type="continuationSeparator" w:id="0">
    <w:p w14:paraId="7100A5C3" w14:textId="77777777" w:rsidR="003A5570" w:rsidRDefault="003A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9C305B0A"/>
    <w:lvl w:ilvl="0" w:tplc="E74A8B0A">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3F12B9B"/>
    <w:multiLevelType w:val="hybridMultilevel"/>
    <w:tmpl w:val="0ED8B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5845"/>
    <w:rsid w:val="0000755D"/>
    <w:rsid w:val="000117B2"/>
    <w:rsid w:val="0001796D"/>
    <w:rsid w:val="00017A02"/>
    <w:rsid w:val="00017BF0"/>
    <w:rsid w:val="0002568B"/>
    <w:rsid w:val="000324AF"/>
    <w:rsid w:val="00043FA7"/>
    <w:rsid w:val="000552E8"/>
    <w:rsid w:val="00056585"/>
    <w:rsid w:val="0005674F"/>
    <w:rsid w:val="00057253"/>
    <w:rsid w:val="000572D4"/>
    <w:rsid w:val="00057985"/>
    <w:rsid w:val="00064BAE"/>
    <w:rsid w:val="00065C6E"/>
    <w:rsid w:val="00071EBF"/>
    <w:rsid w:val="00073F1B"/>
    <w:rsid w:val="00075B58"/>
    <w:rsid w:val="00084A2B"/>
    <w:rsid w:val="00085446"/>
    <w:rsid w:val="00093E70"/>
    <w:rsid w:val="00095D0E"/>
    <w:rsid w:val="000977C6"/>
    <w:rsid w:val="000B11DD"/>
    <w:rsid w:val="000B4ECC"/>
    <w:rsid w:val="000C0372"/>
    <w:rsid w:val="000C390A"/>
    <w:rsid w:val="000C5978"/>
    <w:rsid w:val="000C5FAB"/>
    <w:rsid w:val="000C6EDD"/>
    <w:rsid w:val="000C77DD"/>
    <w:rsid w:val="000D5068"/>
    <w:rsid w:val="000D5E48"/>
    <w:rsid w:val="000E295B"/>
    <w:rsid w:val="000E45A0"/>
    <w:rsid w:val="000E606E"/>
    <w:rsid w:val="000F3E28"/>
    <w:rsid w:val="000F5AF3"/>
    <w:rsid w:val="00107460"/>
    <w:rsid w:val="0011018B"/>
    <w:rsid w:val="00112415"/>
    <w:rsid w:val="00112E99"/>
    <w:rsid w:val="001157B3"/>
    <w:rsid w:val="00123E68"/>
    <w:rsid w:val="00131D6F"/>
    <w:rsid w:val="00133BB7"/>
    <w:rsid w:val="001362A9"/>
    <w:rsid w:val="0013678D"/>
    <w:rsid w:val="00140A34"/>
    <w:rsid w:val="00140FDD"/>
    <w:rsid w:val="00144139"/>
    <w:rsid w:val="00145264"/>
    <w:rsid w:val="00146337"/>
    <w:rsid w:val="00146ED8"/>
    <w:rsid w:val="00151A28"/>
    <w:rsid w:val="00154199"/>
    <w:rsid w:val="001546DE"/>
    <w:rsid w:val="0015610A"/>
    <w:rsid w:val="0015780B"/>
    <w:rsid w:val="00161E46"/>
    <w:rsid w:val="0016213E"/>
    <w:rsid w:val="00167202"/>
    <w:rsid w:val="0017091A"/>
    <w:rsid w:val="001828A4"/>
    <w:rsid w:val="00183CF7"/>
    <w:rsid w:val="0018468E"/>
    <w:rsid w:val="001859DE"/>
    <w:rsid w:val="001876FD"/>
    <w:rsid w:val="00187F9A"/>
    <w:rsid w:val="00194CD4"/>
    <w:rsid w:val="001A1206"/>
    <w:rsid w:val="001A2AD6"/>
    <w:rsid w:val="001A3690"/>
    <w:rsid w:val="001A3BE2"/>
    <w:rsid w:val="001B2913"/>
    <w:rsid w:val="001C35E7"/>
    <w:rsid w:val="001C4578"/>
    <w:rsid w:val="001E537E"/>
    <w:rsid w:val="001E662E"/>
    <w:rsid w:val="001F28A6"/>
    <w:rsid w:val="001F2A16"/>
    <w:rsid w:val="001F42D8"/>
    <w:rsid w:val="001F4EE5"/>
    <w:rsid w:val="001F6921"/>
    <w:rsid w:val="001F7C3E"/>
    <w:rsid w:val="001F7DDE"/>
    <w:rsid w:val="002013DE"/>
    <w:rsid w:val="00201969"/>
    <w:rsid w:val="00202D74"/>
    <w:rsid w:val="0020331B"/>
    <w:rsid w:val="00203A2C"/>
    <w:rsid w:val="0020498E"/>
    <w:rsid w:val="00213E29"/>
    <w:rsid w:val="00213FA5"/>
    <w:rsid w:val="00214C0D"/>
    <w:rsid w:val="00214DF5"/>
    <w:rsid w:val="002264BE"/>
    <w:rsid w:val="00232AA1"/>
    <w:rsid w:val="002349C7"/>
    <w:rsid w:val="002369B3"/>
    <w:rsid w:val="0023733A"/>
    <w:rsid w:val="0024044F"/>
    <w:rsid w:val="002414DB"/>
    <w:rsid w:val="0024391E"/>
    <w:rsid w:val="0024553C"/>
    <w:rsid w:val="00245D00"/>
    <w:rsid w:val="00257F2D"/>
    <w:rsid w:val="00261149"/>
    <w:rsid w:val="00262F9F"/>
    <w:rsid w:val="00266D2D"/>
    <w:rsid w:val="00267FD2"/>
    <w:rsid w:val="00271A44"/>
    <w:rsid w:val="0027331F"/>
    <w:rsid w:val="002802D8"/>
    <w:rsid w:val="002842B0"/>
    <w:rsid w:val="00285E76"/>
    <w:rsid w:val="00293385"/>
    <w:rsid w:val="002949C3"/>
    <w:rsid w:val="002A10A4"/>
    <w:rsid w:val="002A26FE"/>
    <w:rsid w:val="002A29BA"/>
    <w:rsid w:val="002A74FD"/>
    <w:rsid w:val="002B11B8"/>
    <w:rsid w:val="002B1423"/>
    <w:rsid w:val="002B3D02"/>
    <w:rsid w:val="002B5FD9"/>
    <w:rsid w:val="002B6D8F"/>
    <w:rsid w:val="002C3A01"/>
    <w:rsid w:val="002C5660"/>
    <w:rsid w:val="002C6720"/>
    <w:rsid w:val="002C7A41"/>
    <w:rsid w:val="002D22E9"/>
    <w:rsid w:val="002E5247"/>
    <w:rsid w:val="002E6B6D"/>
    <w:rsid w:val="002F07D9"/>
    <w:rsid w:val="002F1257"/>
    <w:rsid w:val="002F4200"/>
    <w:rsid w:val="002F6C69"/>
    <w:rsid w:val="002F70CA"/>
    <w:rsid w:val="002F7304"/>
    <w:rsid w:val="003008F1"/>
    <w:rsid w:val="00304F6A"/>
    <w:rsid w:val="00306E04"/>
    <w:rsid w:val="00310C61"/>
    <w:rsid w:val="003166DF"/>
    <w:rsid w:val="003171B3"/>
    <w:rsid w:val="0032559D"/>
    <w:rsid w:val="00333087"/>
    <w:rsid w:val="003368AC"/>
    <w:rsid w:val="00337280"/>
    <w:rsid w:val="00343849"/>
    <w:rsid w:val="00344575"/>
    <w:rsid w:val="00347F39"/>
    <w:rsid w:val="00350EBF"/>
    <w:rsid w:val="0035113C"/>
    <w:rsid w:val="00352B81"/>
    <w:rsid w:val="00354525"/>
    <w:rsid w:val="00365DC7"/>
    <w:rsid w:val="00365F7A"/>
    <w:rsid w:val="0037047A"/>
    <w:rsid w:val="00380CC4"/>
    <w:rsid w:val="00382508"/>
    <w:rsid w:val="00382A3A"/>
    <w:rsid w:val="003869A3"/>
    <w:rsid w:val="003946D8"/>
    <w:rsid w:val="00395026"/>
    <w:rsid w:val="003974C9"/>
    <w:rsid w:val="003A5570"/>
    <w:rsid w:val="003A7F99"/>
    <w:rsid w:val="003C0686"/>
    <w:rsid w:val="003C0C59"/>
    <w:rsid w:val="003C3DD4"/>
    <w:rsid w:val="003D08CF"/>
    <w:rsid w:val="003D0CBA"/>
    <w:rsid w:val="003D0F6A"/>
    <w:rsid w:val="003D4BA8"/>
    <w:rsid w:val="003D677A"/>
    <w:rsid w:val="003D6CB2"/>
    <w:rsid w:val="003E5269"/>
    <w:rsid w:val="003F2F62"/>
    <w:rsid w:val="003F777C"/>
    <w:rsid w:val="003F79B0"/>
    <w:rsid w:val="0040183D"/>
    <w:rsid w:val="004025D9"/>
    <w:rsid w:val="004030E3"/>
    <w:rsid w:val="00405394"/>
    <w:rsid w:val="004066E4"/>
    <w:rsid w:val="0040680B"/>
    <w:rsid w:val="00407361"/>
    <w:rsid w:val="00417C55"/>
    <w:rsid w:val="00424A7B"/>
    <w:rsid w:val="004314E5"/>
    <w:rsid w:val="00437534"/>
    <w:rsid w:val="00440477"/>
    <w:rsid w:val="00442C3C"/>
    <w:rsid w:val="004435AF"/>
    <w:rsid w:val="004447C1"/>
    <w:rsid w:val="00450F62"/>
    <w:rsid w:val="00454D3C"/>
    <w:rsid w:val="00456940"/>
    <w:rsid w:val="00457707"/>
    <w:rsid w:val="00457D70"/>
    <w:rsid w:val="00460A61"/>
    <w:rsid w:val="0046211F"/>
    <w:rsid w:val="0046383A"/>
    <w:rsid w:val="0046787B"/>
    <w:rsid w:val="00467F12"/>
    <w:rsid w:val="004708BE"/>
    <w:rsid w:val="00471737"/>
    <w:rsid w:val="00477A78"/>
    <w:rsid w:val="0048631C"/>
    <w:rsid w:val="00486653"/>
    <w:rsid w:val="004A5882"/>
    <w:rsid w:val="004A5FDA"/>
    <w:rsid w:val="004B0E41"/>
    <w:rsid w:val="004B5C02"/>
    <w:rsid w:val="004B6F05"/>
    <w:rsid w:val="004B7F33"/>
    <w:rsid w:val="004C07B1"/>
    <w:rsid w:val="004C10ED"/>
    <w:rsid w:val="004C2B91"/>
    <w:rsid w:val="004C5912"/>
    <w:rsid w:val="004C75B0"/>
    <w:rsid w:val="004D098C"/>
    <w:rsid w:val="004D24A9"/>
    <w:rsid w:val="004E1657"/>
    <w:rsid w:val="004E233B"/>
    <w:rsid w:val="004E4798"/>
    <w:rsid w:val="004E5357"/>
    <w:rsid w:val="004E5E59"/>
    <w:rsid w:val="004E77B0"/>
    <w:rsid w:val="004F3A49"/>
    <w:rsid w:val="004F4A07"/>
    <w:rsid w:val="004F5EB1"/>
    <w:rsid w:val="004F6887"/>
    <w:rsid w:val="005000BA"/>
    <w:rsid w:val="005030AD"/>
    <w:rsid w:val="00506A1D"/>
    <w:rsid w:val="00507534"/>
    <w:rsid w:val="0051249C"/>
    <w:rsid w:val="005132EA"/>
    <w:rsid w:val="0051693F"/>
    <w:rsid w:val="005176E7"/>
    <w:rsid w:val="00520330"/>
    <w:rsid w:val="00524B6B"/>
    <w:rsid w:val="0052655E"/>
    <w:rsid w:val="005335A6"/>
    <w:rsid w:val="00535135"/>
    <w:rsid w:val="0053649D"/>
    <w:rsid w:val="005364E3"/>
    <w:rsid w:val="005413EE"/>
    <w:rsid w:val="00544D61"/>
    <w:rsid w:val="00552E52"/>
    <w:rsid w:val="005567CE"/>
    <w:rsid w:val="00563377"/>
    <w:rsid w:val="00573E90"/>
    <w:rsid w:val="0057444D"/>
    <w:rsid w:val="005744FD"/>
    <w:rsid w:val="00577FA0"/>
    <w:rsid w:val="00583FAE"/>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220B"/>
    <w:rsid w:val="005C2A9D"/>
    <w:rsid w:val="005C3408"/>
    <w:rsid w:val="005D35BC"/>
    <w:rsid w:val="005D4D3E"/>
    <w:rsid w:val="005D611B"/>
    <w:rsid w:val="005F1ACE"/>
    <w:rsid w:val="005F23D5"/>
    <w:rsid w:val="005F256D"/>
    <w:rsid w:val="005F2ED9"/>
    <w:rsid w:val="005F33C6"/>
    <w:rsid w:val="005F4336"/>
    <w:rsid w:val="005F51F2"/>
    <w:rsid w:val="005F567B"/>
    <w:rsid w:val="0060111B"/>
    <w:rsid w:val="0060183A"/>
    <w:rsid w:val="00603110"/>
    <w:rsid w:val="00611C8E"/>
    <w:rsid w:val="006141F7"/>
    <w:rsid w:val="00620135"/>
    <w:rsid w:val="0062389A"/>
    <w:rsid w:val="00631F30"/>
    <w:rsid w:val="0063489F"/>
    <w:rsid w:val="006360A7"/>
    <w:rsid w:val="00641A0F"/>
    <w:rsid w:val="00642420"/>
    <w:rsid w:val="00646158"/>
    <w:rsid w:val="00650D86"/>
    <w:rsid w:val="00652CF7"/>
    <w:rsid w:val="0065563D"/>
    <w:rsid w:val="00655B96"/>
    <w:rsid w:val="0066622C"/>
    <w:rsid w:val="00666487"/>
    <w:rsid w:val="00672D6A"/>
    <w:rsid w:val="0067371B"/>
    <w:rsid w:val="0067395E"/>
    <w:rsid w:val="00673B37"/>
    <w:rsid w:val="006755C7"/>
    <w:rsid w:val="006826FB"/>
    <w:rsid w:val="006918F1"/>
    <w:rsid w:val="00693B19"/>
    <w:rsid w:val="006945EA"/>
    <w:rsid w:val="006B5470"/>
    <w:rsid w:val="006B5A7F"/>
    <w:rsid w:val="006C3B0D"/>
    <w:rsid w:val="006D0138"/>
    <w:rsid w:val="006D496E"/>
    <w:rsid w:val="006D6F52"/>
    <w:rsid w:val="006D7A2C"/>
    <w:rsid w:val="006E53AF"/>
    <w:rsid w:val="006E6922"/>
    <w:rsid w:val="006F4D30"/>
    <w:rsid w:val="006F58D0"/>
    <w:rsid w:val="006F719E"/>
    <w:rsid w:val="00701718"/>
    <w:rsid w:val="00702BA4"/>
    <w:rsid w:val="00710359"/>
    <w:rsid w:val="00712FFF"/>
    <w:rsid w:val="00722DBF"/>
    <w:rsid w:val="00733990"/>
    <w:rsid w:val="00735157"/>
    <w:rsid w:val="007367C1"/>
    <w:rsid w:val="00740498"/>
    <w:rsid w:val="0074218D"/>
    <w:rsid w:val="00746686"/>
    <w:rsid w:val="00750798"/>
    <w:rsid w:val="00751063"/>
    <w:rsid w:val="00752600"/>
    <w:rsid w:val="0075572A"/>
    <w:rsid w:val="007571D0"/>
    <w:rsid w:val="007579F0"/>
    <w:rsid w:val="00775490"/>
    <w:rsid w:val="007763BC"/>
    <w:rsid w:val="00783839"/>
    <w:rsid w:val="00784D2B"/>
    <w:rsid w:val="007937D4"/>
    <w:rsid w:val="00795D0C"/>
    <w:rsid w:val="007972C4"/>
    <w:rsid w:val="007A3733"/>
    <w:rsid w:val="007A55BA"/>
    <w:rsid w:val="007B3453"/>
    <w:rsid w:val="007C1F42"/>
    <w:rsid w:val="007C1FBD"/>
    <w:rsid w:val="007C3B94"/>
    <w:rsid w:val="007C67A5"/>
    <w:rsid w:val="007D3043"/>
    <w:rsid w:val="007D5AEF"/>
    <w:rsid w:val="007D60C3"/>
    <w:rsid w:val="007E01F8"/>
    <w:rsid w:val="007E1693"/>
    <w:rsid w:val="007E22F5"/>
    <w:rsid w:val="007E441A"/>
    <w:rsid w:val="007E58AE"/>
    <w:rsid w:val="007F25F3"/>
    <w:rsid w:val="007F2FEC"/>
    <w:rsid w:val="007F4229"/>
    <w:rsid w:val="007F4901"/>
    <w:rsid w:val="007F5B3F"/>
    <w:rsid w:val="007F7898"/>
    <w:rsid w:val="008120F6"/>
    <w:rsid w:val="008128BA"/>
    <w:rsid w:val="008141A4"/>
    <w:rsid w:val="00825B6C"/>
    <w:rsid w:val="0082750E"/>
    <w:rsid w:val="00830270"/>
    <w:rsid w:val="008320AA"/>
    <w:rsid w:val="00835B59"/>
    <w:rsid w:val="00836B02"/>
    <w:rsid w:val="0084011B"/>
    <w:rsid w:val="00840DF6"/>
    <w:rsid w:val="008467D4"/>
    <w:rsid w:val="00850BCB"/>
    <w:rsid w:val="00850FB0"/>
    <w:rsid w:val="0085238E"/>
    <w:rsid w:val="00852934"/>
    <w:rsid w:val="008540EA"/>
    <w:rsid w:val="008547A2"/>
    <w:rsid w:val="00857591"/>
    <w:rsid w:val="0086082F"/>
    <w:rsid w:val="00861D05"/>
    <w:rsid w:val="00866A00"/>
    <w:rsid w:val="0086797B"/>
    <w:rsid w:val="00867F49"/>
    <w:rsid w:val="008702A6"/>
    <w:rsid w:val="008757CE"/>
    <w:rsid w:val="008763C8"/>
    <w:rsid w:val="0087755A"/>
    <w:rsid w:val="00877798"/>
    <w:rsid w:val="0088392C"/>
    <w:rsid w:val="0088633B"/>
    <w:rsid w:val="0089160A"/>
    <w:rsid w:val="00893487"/>
    <w:rsid w:val="00894F6D"/>
    <w:rsid w:val="0089592F"/>
    <w:rsid w:val="00897C0E"/>
    <w:rsid w:val="00897E31"/>
    <w:rsid w:val="008A046F"/>
    <w:rsid w:val="008A0489"/>
    <w:rsid w:val="008A405A"/>
    <w:rsid w:val="008A6A6A"/>
    <w:rsid w:val="008B001A"/>
    <w:rsid w:val="008B650A"/>
    <w:rsid w:val="008B6A93"/>
    <w:rsid w:val="008B787C"/>
    <w:rsid w:val="008C04AE"/>
    <w:rsid w:val="008C3898"/>
    <w:rsid w:val="008C66CC"/>
    <w:rsid w:val="008F0D37"/>
    <w:rsid w:val="008F483C"/>
    <w:rsid w:val="008F52DF"/>
    <w:rsid w:val="008F6D09"/>
    <w:rsid w:val="00912D61"/>
    <w:rsid w:val="00914777"/>
    <w:rsid w:val="0091541E"/>
    <w:rsid w:val="009169CB"/>
    <w:rsid w:val="00923A59"/>
    <w:rsid w:val="009264BF"/>
    <w:rsid w:val="009274F5"/>
    <w:rsid w:val="009275E2"/>
    <w:rsid w:val="009309CD"/>
    <w:rsid w:val="009322D7"/>
    <w:rsid w:val="00932BDE"/>
    <w:rsid w:val="009405C9"/>
    <w:rsid w:val="009462E7"/>
    <w:rsid w:val="009468D4"/>
    <w:rsid w:val="009502DF"/>
    <w:rsid w:val="009505C9"/>
    <w:rsid w:val="00957E59"/>
    <w:rsid w:val="0096704C"/>
    <w:rsid w:val="00967725"/>
    <w:rsid w:val="00967823"/>
    <w:rsid w:val="00972726"/>
    <w:rsid w:val="00974665"/>
    <w:rsid w:val="009777A3"/>
    <w:rsid w:val="00982084"/>
    <w:rsid w:val="009835B0"/>
    <w:rsid w:val="009902F8"/>
    <w:rsid w:val="00992CF5"/>
    <w:rsid w:val="009934F1"/>
    <w:rsid w:val="00993BB8"/>
    <w:rsid w:val="0099555F"/>
    <w:rsid w:val="009A0B2F"/>
    <w:rsid w:val="009A22A1"/>
    <w:rsid w:val="009B3237"/>
    <w:rsid w:val="009B3A17"/>
    <w:rsid w:val="009B3A1B"/>
    <w:rsid w:val="009B3E5B"/>
    <w:rsid w:val="009B3EC1"/>
    <w:rsid w:val="009B6332"/>
    <w:rsid w:val="009C0912"/>
    <w:rsid w:val="009C1910"/>
    <w:rsid w:val="009C5E17"/>
    <w:rsid w:val="009D636A"/>
    <w:rsid w:val="009D6694"/>
    <w:rsid w:val="009E0338"/>
    <w:rsid w:val="009F0300"/>
    <w:rsid w:val="009F788F"/>
    <w:rsid w:val="00A02A5F"/>
    <w:rsid w:val="00A03BA5"/>
    <w:rsid w:val="00A040F5"/>
    <w:rsid w:val="00A1261A"/>
    <w:rsid w:val="00A12C38"/>
    <w:rsid w:val="00A167A8"/>
    <w:rsid w:val="00A21F0A"/>
    <w:rsid w:val="00A26011"/>
    <w:rsid w:val="00A27E45"/>
    <w:rsid w:val="00A41EDF"/>
    <w:rsid w:val="00A506C2"/>
    <w:rsid w:val="00A51138"/>
    <w:rsid w:val="00A53733"/>
    <w:rsid w:val="00A54F12"/>
    <w:rsid w:val="00A62886"/>
    <w:rsid w:val="00A71757"/>
    <w:rsid w:val="00A74C38"/>
    <w:rsid w:val="00A77D24"/>
    <w:rsid w:val="00A805CB"/>
    <w:rsid w:val="00A8572F"/>
    <w:rsid w:val="00A93E07"/>
    <w:rsid w:val="00A979CF"/>
    <w:rsid w:val="00AA1BBA"/>
    <w:rsid w:val="00AA33B7"/>
    <w:rsid w:val="00AA4DF8"/>
    <w:rsid w:val="00AA7D50"/>
    <w:rsid w:val="00AB0840"/>
    <w:rsid w:val="00AB0A75"/>
    <w:rsid w:val="00AB1455"/>
    <w:rsid w:val="00AB44CA"/>
    <w:rsid w:val="00AB780C"/>
    <w:rsid w:val="00AC3A29"/>
    <w:rsid w:val="00AD5ADE"/>
    <w:rsid w:val="00AD6A21"/>
    <w:rsid w:val="00AE7138"/>
    <w:rsid w:val="00AF1619"/>
    <w:rsid w:val="00AF4CAF"/>
    <w:rsid w:val="00AF7DBA"/>
    <w:rsid w:val="00B05ABC"/>
    <w:rsid w:val="00B117BA"/>
    <w:rsid w:val="00B12009"/>
    <w:rsid w:val="00B12532"/>
    <w:rsid w:val="00B15010"/>
    <w:rsid w:val="00B20D87"/>
    <w:rsid w:val="00B27445"/>
    <w:rsid w:val="00B32A85"/>
    <w:rsid w:val="00B336D3"/>
    <w:rsid w:val="00B339BF"/>
    <w:rsid w:val="00B479FD"/>
    <w:rsid w:val="00B50F89"/>
    <w:rsid w:val="00B53E38"/>
    <w:rsid w:val="00B55BBC"/>
    <w:rsid w:val="00B578AC"/>
    <w:rsid w:val="00B6433F"/>
    <w:rsid w:val="00B64CF5"/>
    <w:rsid w:val="00B701B5"/>
    <w:rsid w:val="00B72EB7"/>
    <w:rsid w:val="00B766F7"/>
    <w:rsid w:val="00B76A01"/>
    <w:rsid w:val="00B76C9B"/>
    <w:rsid w:val="00B77BAB"/>
    <w:rsid w:val="00B823A1"/>
    <w:rsid w:val="00B840F6"/>
    <w:rsid w:val="00B8428B"/>
    <w:rsid w:val="00B8448E"/>
    <w:rsid w:val="00B84EBA"/>
    <w:rsid w:val="00B8598B"/>
    <w:rsid w:val="00BA1D43"/>
    <w:rsid w:val="00BA3BAF"/>
    <w:rsid w:val="00BA41F5"/>
    <w:rsid w:val="00BB11FA"/>
    <w:rsid w:val="00BB3C9C"/>
    <w:rsid w:val="00BB6C47"/>
    <w:rsid w:val="00BC5F99"/>
    <w:rsid w:val="00BD58AC"/>
    <w:rsid w:val="00BF12D2"/>
    <w:rsid w:val="00BF4822"/>
    <w:rsid w:val="00C01D22"/>
    <w:rsid w:val="00C104B6"/>
    <w:rsid w:val="00C10F02"/>
    <w:rsid w:val="00C114F4"/>
    <w:rsid w:val="00C11B5E"/>
    <w:rsid w:val="00C11D03"/>
    <w:rsid w:val="00C12984"/>
    <w:rsid w:val="00C12E35"/>
    <w:rsid w:val="00C13A62"/>
    <w:rsid w:val="00C17B6A"/>
    <w:rsid w:val="00C31967"/>
    <w:rsid w:val="00C32D43"/>
    <w:rsid w:val="00C371DE"/>
    <w:rsid w:val="00C409AE"/>
    <w:rsid w:val="00C416A4"/>
    <w:rsid w:val="00C42D50"/>
    <w:rsid w:val="00C456CB"/>
    <w:rsid w:val="00C4702D"/>
    <w:rsid w:val="00C47BFE"/>
    <w:rsid w:val="00C51595"/>
    <w:rsid w:val="00C54947"/>
    <w:rsid w:val="00C54DF8"/>
    <w:rsid w:val="00C572F4"/>
    <w:rsid w:val="00C60B49"/>
    <w:rsid w:val="00C6127A"/>
    <w:rsid w:val="00C614E2"/>
    <w:rsid w:val="00C65C18"/>
    <w:rsid w:val="00C7440A"/>
    <w:rsid w:val="00C7629C"/>
    <w:rsid w:val="00C76E3D"/>
    <w:rsid w:val="00C8012A"/>
    <w:rsid w:val="00C84E3E"/>
    <w:rsid w:val="00C865ED"/>
    <w:rsid w:val="00C8775A"/>
    <w:rsid w:val="00C924D2"/>
    <w:rsid w:val="00CA0877"/>
    <w:rsid w:val="00CA1FB5"/>
    <w:rsid w:val="00CA6B59"/>
    <w:rsid w:val="00CA7A15"/>
    <w:rsid w:val="00CB3B6C"/>
    <w:rsid w:val="00CC1833"/>
    <w:rsid w:val="00CC189F"/>
    <w:rsid w:val="00CC3368"/>
    <w:rsid w:val="00CD3B2A"/>
    <w:rsid w:val="00CD757F"/>
    <w:rsid w:val="00CF1655"/>
    <w:rsid w:val="00CF16D8"/>
    <w:rsid w:val="00CF19C4"/>
    <w:rsid w:val="00D01FE8"/>
    <w:rsid w:val="00D034B3"/>
    <w:rsid w:val="00D07B5D"/>
    <w:rsid w:val="00D111EA"/>
    <w:rsid w:val="00D11A54"/>
    <w:rsid w:val="00D13C04"/>
    <w:rsid w:val="00D14BFC"/>
    <w:rsid w:val="00D20695"/>
    <w:rsid w:val="00D20A78"/>
    <w:rsid w:val="00D25680"/>
    <w:rsid w:val="00D278BA"/>
    <w:rsid w:val="00D348D9"/>
    <w:rsid w:val="00D35EE3"/>
    <w:rsid w:val="00D40454"/>
    <w:rsid w:val="00D4059C"/>
    <w:rsid w:val="00D50FEE"/>
    <w:rsid w:val="00D53D8F"/>
    <w:rsid w:val="00D56ABA"/>
    <w:rsid w:val="00D6002B"/>
    <w:rsid w:val="00D61C76"/>
    <w:rsid w:val="00D66AE4"/>
    <w:rsid w:val="00D675A9"/>
    <w:rsid w:val="00D77015"/>
    <w:rsid w:val="00D848B4"/>
    <w:rsid w:val="00D92B48"/>
    <w:rsid w:val="00D94D96"/>
    <w:rsid w:val="00DA26DE"/>
    <w:rsid w:val="00DA4A50"/>
    <w:rsid w:val="00DB078F"/>
    <w:rsid w:val="00DB1693"/>
    <w:rsid w:val="00DB4A34"/>
    <w:rsid w:val="00DC34F2"/>
    <w:rsid w:val="00DC7729"/>
    <w:rsid w:val="00DD10A8"/>
    <w:rsid w:val="00DD1AEB"/>
    <w:rsid w:val="00DD21E8"/>
    <w:rsid w:val="00DD5B07"/>
    <w:rsid w:val="00DD7EED"/>
    <w:rsid w:val="00DE6821"/>
    <w:rsid w:val="00DE7406"/>
    <w:rsid w:val="00DF2022"/>
    <w:rsid w:val="00DF34BE"/>
    <w:rsid w:val="00DF5D59"/>
    <w:rsid w:val="00E01042"/>
    <w:rsid w:val="00E05F60"/>
    <w:rsid w:val="00E110F5"/>
    <w:rsid w:val="00E12AEF"/>
    <w:rsid w:val="00E233C7"/>
    <w:rsid w:val="00E239E4"/>
    <w:rsid w:val="00E36A38"/>
    <w:rsid w:val="00E42E96"/>
    <w:rsid w:val="00E44419"/>
    <w:rsid w:val="00E44D12"/>
    <w:rsid w:val="00E46198"/>
    <w:rsid w:val="00E505CA"/>
    <w:rsid w:val="00E53399"/>
    <w:rsid w:val="00E57797"/>
    <w:rsid w:val="00E71B0E"/>
    <w:rsid w:val="00E7393B"/>
    <w:rsid w:val="00E739B5"/>
    <w:rsid w:val="00E77995"/>
    <w:rsid w:val="00E87099"/>
    <w:rsid w:val="00E87BA6"/>
    <w:rsid w:val="00EA28E6"/>
    <w:rsid w:val="00EA4734"/>
    <w:rsid w:val="00EB20CA"/>
    <w:rsid w:val="00EB5D08"/>
    <w:rsid w:val="00EC0A36"/>
    <w:rsid w:val="00EC2FE1"/>
    <w:rsid w:val="00EC4313"/>
    <w:rsid w:val="00ED3EA6"/>
    <w:rsid w:val="00ED5CD5"/>
    <w:rsid w:val="00ED6F00"/>
    <w:rsid w:val="00ED6F22"/>
    <w:rsid w:val="00EE21E7"/>
    <w:rsid w:val="00EE3D1A"/>
    <w:rsid w:val="00EE79C4"/>
    <w:rsid w:val="00EF1289"/>
    <w:rsid w:val="00EF569C"/>
    <w:rsid w:val="00EF78C4"/>
    <w:rsid w:val="00F027C5"/>
    <w:rsid w:val="00F03F0A"/>
    <w:rsid w:val="00F04CD7"/>
    <w:rsid w:val="00F04F17"/>
    <w:rsid w:val="00F058D9"/>
    <w:rsid w:val="00F1234C"/>
    <w:rsid w:val="00F12F77"/>
    <w:rsid w:val="00F1336E"/>
    <w:rsid w:val="00F146DE"/>
    <w:rsid w:val="00F17663"/>
    <w:rsid w:val="00F17F96"/>
    <w:rsid w:val="00F23E15"/>
    <w:rsid w:val="00F244A2"/>
    <w:rsid w:val="00F26D70"/>
    <w:rsid w:val="00F35064"/>
    <w:rsid w:val="00F374D8"/>
    <w:rsid w:val="00F40346"/>
    <w:rsid w:val="00F4332A"/>
    <w:rsid w:val="00F5684D"/>
    <w:rsid w:val="00F57AB6"/>
    <w:rsid w:val="00F6480F"/>
    <w:rsid w:val="00F73CF5"/>
    <w:rsid w:val="00F84A3A"/>
    <w:rsid w:val="00F86713"/>
    <w:rsid w:val="00F932E0"/>
    <w:rsid w:val="00F94622"/>
    <w:rsid w:val="00F94F80"/>
    <w:rsid w:val="00F9796E"/>
    <w:rsid w:val="00FA46AA"/>
    <w:rsid w:val="00FB2EB0"/>
    <w:rsid w:val="00FB7701"/>
    <w:rsid w:val="00FC25CA"/>
    <w:rsid w:val="00FC36C9"/>
    <w:rsid w:val="00FC3F8B"/>
    <w:rsid w:val="00FC40F0"/>
    <w:rsid w:val="00FC617B"/>
    <w:rsid w:val="00FC6390"/>
    <w:rsid w:val="00FC6D3B"/>
    <w:rsid w:val="00FD0129"/>
    <w:rsid w:val="00FD2CBA"/>
    <w:rsid w:val="00FD4398"/>
    <w:rsid w:val="00FD54AB"/>
    <w:rsid w:val="00FE17ED"/>
    <w:rsid w:val="00FF7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830270"/>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7471">
      <w:bodyDiv w:val="1"/>
      <w:marLeft w:val="0"/>
      <w:marRight w:val="0"/>
      <w:marTop w:val="0"/>
      <w:marBottom w:val="0"/>
      <w:divBdr>
        <w:top w:val="none" w:sz="0" w:space="0" w:color="auto"/>
        <w:left w:val="none" w:sz="0" w:space="0" w:color="auto"/>
        <w:bottom w:val="none" w:sz="0" w:space="0" w:color="auto"/>
        <w:right w:val="none" w:sz="0" w:space="0" w:color="auto"/>
      </w:divBdr>
    </w:div>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774833336">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349259007">
      <w:bodyDiv w:val="1"/>
      <w:marLeft w:val="0"/>
      <w:marRight w:val="0"/>
      <w:marTop w:val="0"/>
      <w:marBottom w:val="0"/>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2023-03-24T03:49:00Z</dcterms:created>
  <dcterms:modified xsi:type="dcterms:W3CDTF">2023-03-24T03:49:00Z</dcterms:modified>
</cp:coreProperties>
</file>