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39103244"/>
    <w:bookmarkEnd w:id="0"/>
    <w:p w14:paraId="0F19041B" w14:textId="66E04D76" w:rsidR="00715914" w:rsidRPr="007D0DCA" w:rsidRDefault="004B2EF3" w:rsidP="007D0DCA">
      <w:pPr>
        <w:spacing w:line="240" w:lineRule="auto"/>
        <w:rPr>
          <w:sz w:val="28"/>
        </w:rPr>
      </w:pPr>
      <w:r w:rsidRPr="007D0DCA">
        <w:object w:dxaOrig="2146" w:dyaOrig="1561" w14:anchorId="71DDD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5pt;height:78pt" o:ole="" fillcolor="window">
            <v:imagedata r:id="rId8" o:title=""/>
          </v:shape>
          <o:OLEObject Type="Embed" ProgID="Word.Picture.8" ShapeID="_x0000_i1025" DrawAspect="Content" ObjectID="_1741174421" r:id="rId9"/>
        </w:object>
      </w:r>
    </w:p>
    <w:p w14:paraId="4DBF444B" w14:textId="77777777" w:rsidR="00715914" w:rsidRPr="007D0DCA" w:rsidRDefault="00715914" w:rsidP="007D0DCA">
      <w:pPr>
        <w:spacing w:line="240" w:lineRule="auto"/>
        <w:rPr>
          <w:sz w:val="19"/>
        </w:rPr>
      </w:pPr>
    </w:p>
    <w:p w14:paraId="3DABCBD6" w14:textId="4B81AC23" w:rsidR="00554826" w:rsidRPr="007D0DCA" w:rsidRDefault="00094B0C" w:rsidP="007D0DCA">
      <w:pPr>
        <w:pStyle w:val="ShortT"/>
      </w:pPr>
      <w:bookmarkStart w:id="1" w:name="_Hlk111801744"/>
      <w:r w:rsidRPr="007D0DCA">
        <w:t>A New Tax System (</w:t>
      </w:r>
      <w:r w:rsidR="0066273C" w:rsidRPr="007D0DCA">
        <w:t>Goods and Services Tax</w:t>
      </w:r>
      <w:r w:rsidRPr="007D0DCA">
        <w:t>)</w:t>
      </w:r>
      <w:r w:rsidR="0066273C" w:rsidRPr="007D0DCA">
        <w:t>: Waiver of Tax Invoice Requirement</w:t>
      </w:r>
      <w:r w:rsidR="00554826" w:rsidRPr="007D0DCA">
        <w:t xml:space="preserve"> (</w:t>
      </w:r>
      <w:r w:rsidR="00363B35" w:rsidRPr="007D0DCA">
        <w:t>Acquisitions from Property Managers</w:t>
      </w:r>
      <w:r w:rsidR="00554826" w:rsidRPr="007D0DCA">
        <w:t xml:space="preserve">) </w:t>
      </w:r>
      <w:r w:rsidR="0066273C" w:rsidRPr="007D0DCA">
        <w:t xml:space="preserve">Determination </w:t>
      </w:r>
      <w:r w:rsidR="009239B1" w:rsidRPr="007D0DCA">
        <w:t>2023</w:t>
      </w:r>
    </w:p>
    <w:bookmarkEnd w:id="1"/>
    <w:p w14:paraId="02B79B60" w14:textId="124A4980" w:rsidR="00554826" w:rsidRPr="007D0DCA" w:rsidRDefault="00554826" w:rsidP="007D0DCA">
      <w:pPr>
        <w:pStyle w:val="SignCoverPageStart"/>
        <w:spacing w:before="240" w:line="240" w:lineRule="auto"/>
        <w:ind w:right="91"/>
        <w:rPr>
          <w:szCs w:val="22"/>
        </w:rPr>
      </w:pPr>
      <w:r w:rsidRPr="007D0DCA">
        <w:rPr>
          <w:szCs w:val="22"/>
        </w:rPr>
        <w:t xml:space="preserve">I, </w:t>
      </w:r>
      <w:r w:rsidR="0001395D" w:rsidRPr="007D0DCA">
        <w:rPr>
          <w:szCs w:val="22"/>
        </w:rPr>
        <w:t>Ben Kelly, Deputy Commissioner of Taxation</w:t>
      </w:r>
      <w:r w:rsidRPr="007D0DCA">
        <w:rPr>
          <w:szCs w:val="22"/>
        </w:rPr>
        <w:t xml:space="preserve">, make the following </w:t>
      </w:r>
      <w:r w:rsidR="0001395D" w:rsidRPr="007D0DCA">
        <w:rPr>
          <w:szCs w:val="22"/>
        </w:rPr>
        <w:t>determination</w:t>
      </w:r>
      <w:r w:rsidR="00775A42" w:rsidRPr="007D0DCA">
        <w:rPr>
          <w:szCs w:val="22"/>
        </w:rPr>
        <w:t>.</w:t>
      </w:r>
    </w:p>
    <w:p w14:paraId="58D0620D" w14:textId="5823957F" w:rsidR="00554826" w:rsidRPr="007D0DCA" w:rsidRDefault="00554826" w:rsidP="007D0DCA">
      <w:pPr>
        <w:keepNext/>
        <w:spacing w:before="300" w:line="240" w:lineRule="auto"/>
        <w:ind w:right="397"/>
        <w:jc w:val="both"/>
        <w:rPr>
          <w:szCs w:val="22"/>
        </w:rPr>
      </w:pPr>
      <w:r w:rsidRPr="007D0DCA">
        <w:rPr>
          <w:szCs w:val="22"/>
        </w:rPr>
        <w:t>Dated</w:t>
      </w:r>
      <w:r w:rsidRPr="007D0DCA">
        <w:rPr>
          <w:szCs w:val="22"/>
        </w:rPr>
        <w:tab/>
      </w:r>
      <w:r w:rsidRPr="007D0DCA">
        <w:rPr>
          <w:szCs w:val="22"/>
        </w:rPr>
        <w:tab/>
      </w:r>
      <w:r w:rsidR="00FE0547" w:rsidRPr="007D0DCA">
        <w:rPr>
          <w:szCs w:val="22"/>
        </w:rPr>
        <w:t>7 March 2023</w:t>
      </w:r>
    </w:p>
    <w:p w14:paraId="59C7496A" w14:textId="77777777" w:rsidR="00D54C9F" w:rsidRPr="007D0DCA" w:rsidRDefault="00D54C9F" w:rsidP="007D0DCA">
      <w:pPr>
        <w:keepNext/>
        <w:tabs>
          <w:tab w:val="left" w:pos="3402"/>
        </w:tabs>
        <w:spacing w:before="1440" w:line="240" w:lineRule="auto"/>
        <w:ind w:right="397"/>
        <w:rPr>
          <w:b/>
          <w:szCs w:val="22"/>
        </w:rPr>
      </w:pPr>
      <w:r w:rsidRPr="007D0DCA">
        <w:rPr>
          <w:szCs w:val="22"/>
        </w:rPr>
        <w:t>Ben Kelly</w:t>
      </w:r>
    </w:p>
    <w:p w14:paraId="4D585CEC" w14:textId="77777777" w:rsidR="00D54C9F" w:rsidRPr="007D0DCA" w:rsidRDefault="00D54C9F" w:rsidP="007D0DCA">
      <w:pPr>
        <w:pStyle w:val="SignCoverPageEnd"/>
        <w:spacing w:line="240" w:lineRule="auto"/>
        <w:ind w:right="91"/>
        <w:rPr>
          <w:sz w:val="22"/>
        </w:rPr>
      </w:pPr>
      <w:r w:rsidRPr="007D0DCA">
        <w:rPr>
          <w:sz w:val="22"/>
        </w:rPr>
        <w:t>Deputy Commissioner of Taxation</w:t>
      </w:r>
    </w:p>
    <w:p w14:paraId="14F035BC" w14:textId="77777777" w:rsidR="00554826" w:rsidRPr="007D0DCA" w:rsidRDefault="00554826" w:rsidP="007D0DCA">
      <w:pPr>
        <w:spacing w:line="240" w:lineRule="auto"/>
      </w:pPr>
    </w:p>
    <w:p w14:paraId="5E4A3B5F" w14:textId="77777777" w:rsidR="00554826" w:rsidRPr="007D0DCA" w:rsidRDefault="00554826" w:rsidP="007D0DCA">
      <w:pPr>
        <w:spacing w:line="240" w:lineRule="auto"/>
      </w:pPr>
    </w:p>
    <w:p w14:paraId="60D48FB0" w14:textId="77777777" w:rsidR="00F6696E" w:rsidRPr="007D0DCA" w:rsidRDefault="00F6696E" w:rsidP="007D0DCA">
      <w:pPr>
        <w:spacing w:line="240" w:lineRule="auto"/>
      </w:pPr>
    </w:p>
    <w:p w14:paraId="55994D85" w14:textId="77777777" w:rsidR="00F6696E" w:rsidRPr="007D0DCA" w:rsidRDefault="00F6696E" w:rsidP="007D0DCA">
      <w:pPr>
        <w:spacing w:line="240" w:lineRule="auto"/>
        <w:sectPr w:rsidR="00F6696E" w:rsidRPr="007D0DCA" w:rsidSect="00F6696E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53FC772" w14:textId="77777777" w:rsidR="007500C8" w:rsidRPr="007D0DCA" w:rsidRDefault="00715914" w:rsidP="007D0DCA">
      <w:pPr>
        <w:spacing w:line="240" w:lineRule="auto"/>
        <w:outlineLvl w:val="0"/>
        <w:rPr>
          <w:sz w:val="36"/>
        </w:rPr>
      </w:pPr>
      <w:r w:rsidRPr="007D0DCA">
        <w:rPr>
          <w:sz w:val="36"/>
        </w:rPr>
        <w:lastRenderedPageBreak/>
        <w:t>Contents</w:t>
      </w:r>
    </w:p>
    <w:p w14:paraId="30F37A2D" w14:textId="3A5D0B4E" w:rsidR="0091288E" w:rsidRPr="007D0DCA" w:rsidRDefault="0091288E" w:rsidP="007D0D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0DCA">
        <w:rPr>
          <w:noProof/>
        </w:rPr>
        <w:t>1  Name</w:t>
      </w:r>
      <w:r w:rsidRPr="007D0DCA">
        <w:rPr>
          <w:noProof/>
        </w:rPr>
        <w:tab/>
        <w:t>1</w:t>
      </w:r>
    </w:p>
    <w:p w14:paraId="07A2EFE3" w14:textId="5A854F36" w:rsidR="0091288E" w:rsidRPr="007D0DCA" w:rsidRDefault="0091288E" w:rsidP="007D0D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0DCA">
        <w:rPr>
          <w:noProof/>
        </w:rPr>
        <w:t>2  Commencement</w:t>
      </w:r>
      <w:r w:rsidRPr="007D0DCA">
        <w:rPr>
          <w:noProof/>
        </w:rPr>
        <w:tab/>
        <w:t>1</w:t>
      </w:r>
    </w:p>
    <w:p w14:paraId="10D97B49" w14:textId="306EA778" w:rsidR="0091288E" w:rsidRPr="007D0DCA" w:rsidRDefault="0091288E" w:rsidP="007D0D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0DCA">
        <w:rPr>
          <w:noProof/>
        </w:rPr>
        <w:t>3  Authority</w:t>
      </w:r>
      <w:r w:rsidRPr="007D0DCA">
        <w:rPr>
          <w:noProof/>
        </w:rPr>
        <w:tab/>
        <w:t>1</w:t>
      </w:r>
    </w:p>
    <w:p w14:paraId="025B4C41" w14:textId="0974CA86" w:rsidR="0091288E" w:rsidRPr="007D0DCA" w:rsidRDefault="0091288E" w:rsidP="007D0D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0DCA">
        <w:rPr>
          <w:noProof/>
        </w:rPr>
        <w:t>4  Definitions</w:t>
      </w:r>
      <w:r w:rsidRPr="007D0DCA">
        <w:rPr>
          <w:noProof/>
        </w:rPr>
        <w:tab/>
        <w:t>1</w:t>
      </w:r>
    </w:p>
    <w:p w14:paraId="03891DF4" w14:textId="51E0C2E9" w:rsidR="0091288E" w:rsidRPr="007D0DCA" w:rsidRDefault="0091288E" w:rsidP="007D0D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0DCA">
        <w:rPr>
          <w:noProof/>
        </w:rPr>
        <w:t>5  Schedules</w:t>
      </w:r>
      <w:r w:rsidRPr="007D0DCA">
        <w:rPr>
          <w:noProof/>
        </w:rPr>
        <w:tab/>
        <w:t>2</w:t>
      </w:r>
    </w:p>
    <w:p w14:paraId="3E4EBFEF" w14:textId="4262E1B1" w:rsidR="0091288E" w:rsidRPr="007D0DCA" w:rsidRDefault="0091288E" w:rsidP="007D0D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0DCA">
        <w:rPr>
          <w:noProof/>
        </w:rPr>
        <w:t>6  Waiver of the requirement to hold a tax invoice</w:t>
      </w:r>
      <w:r w:rsidRPr="007D0DCA">
        <w:rPr>
          <w:noProof/>
        </w:rPr>
        <w:tab/>
        <w:t>2</w:t>
      </w:r>
    </w:p>
    <w:p w14:paraId="6E25F753" w14:textId="1CAFA35F" w:rsidR="0091288E" w:rsidRPr="007D0DCA" w:rsidRDefault="0091288E" w:rsidP="007D0D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0DCA">
        <w:rPr>
          <w:noProof/>
        </w:rPr>
        <w:t>7 Document information requirements</w:t>
      </w:r>
      <w:r w:rsidRPr="007D0DCA">
        <w:rPr>
          <w:noProof/>
        </w:rPr>
        <w:tab/>
        <w:t>2</w:t>
      </w:r>
    </w:p>
    <w:p w14:paraId="418E0EF5" w14:textId="45152551" w:rsidR="0091288E" w:rsidRPr="007D0DCA" w:rsidRDefault="0091288E" w:rsidP="007D0DC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D0DCA">
        <w:rPr>
          <w:noProof/>
        </w:rPr>
        <w:t>Schedule 1—Repeals</w:t>
      </w:r>
      <w:r w:rsidRPr="007D0DCA">
        <w:rPr>
          <w:noProof/>
        </w:rPr>
        <w:tab/>
      </w:r>
      <w:r w:rsidRPr="007D0DCA">
        <w:rPr>
          <w:b w:val="0"/>
          <w:bCs/>
          <w:noProof/>
          <w:sz w:val="18"/>
          <w:szCs w:val="18"/>
        </w:rPr>
        <w:t>3</w:t>
      </w:r>
    </w:p>
    <w:p w14:paraId="01E0A4C0" w14:textId="1FC2E7BE" w:rsidR="0091288E" w:rsidRPr="007D0DCA" w:rsidRDefault="0091288E" w:rsidP="007D0DC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D0DCA">
        <w:rPr>
          <w:noProof/>
        </w:rPr>
        <w:t>A New Tax System (Goods and Services Tax) Waiver of Tax Invoice Requirement (Acquisitions from Property Managers) Legislative Instrument 2013</w:t>
      </w:r>
      <w:r w:rsidRPr="007D0DCA">
        <w:rPr>
          <w:noProof/>
        </w:rPr>
        <w:tab/>
      </w:r>
      <w:r w:rsidRPr="007D0DCA">
        <w:rPr>
          <w:i w:val="0"/>
          <w:iCs/>
          <w:noProof/>
        </w:rPr>
        <w:t>3</w:t>
      </w:r>
    </w:p>
    <w:p w14:paraId="6D1C5E34" w14:textId="0A13F2FA" w:rsidR="00F6696E" w:rsidRPr="007D0DCA" w:rsidRDefault="00F6696E" w:rsidP="007D0DCA">
      <w:pPr>
        <w:spacing w:line="240" w:lineRule="auto"/>
        <w:outlineLvl w:val="0"/>
      </w:pPr>
    </w:p>
    <w:p w14:paraId="7456D36B" w14:textId="77777777" w:rsidR="00F6696E" w:rsidRPr="007D0DCA" w:rsidRDefault="00F6696E" w:rsidP="007D0DCA">
      <w:pPr>
        <w:spacing w:line="240" w:lineRule="auto"/>
        <w:outlineLvl w:val="0"/>
        <w:rPr>
          <w:sz w:val="20"/>
        </w:rPr>
      </w:pPr>
    </w:p>
    <w:p w14:paraId="41F9AAAE" w14:textId="77777777" w:rsidR="00F6696E" w:rsidRPr="007D0DCA" w:rsidRDefault="00F6696E" w:rsidP="007D0DCA">
      <w:pPr>
        <w:spacing w:line="240" w:lineRule="auto"/>
        <w:sectPr w:rsidR="00F6696E" w:rsidRPr="007D0DCA" w:rsidSect="00BD1D9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34DB3DC" w14:textId="77777777" w:rsidR="00C208CD" w:rsidRPr="007D0DCA" w:rsidRDefault="00C208CD" w:rsidP="007D0DCA">
      <w:pPr>
        <w:pStyle w:val="ActHead5"/>
      </w:pPr>
      <w:bookmarkStart w:id="2" w:name="_Toc454512513"/>
      <w:r w:rsidRPr="007D0DCA">
        <w:lastRenderedPageBreak/>
        <w:t>1  Name</w:t>
      </w:r>
      <w:bookmarkEnd w:id="2"/>
    </w:p>
    <w:p w14:paraId="66F9DED4" w14:textId="5BFB55A5" w:rsidR="00C208CD" w:rsidRPr="007D0DCA" w:rsidRDefault="00C208CD" w:rsidP="007D0DCA">
      <w:pPr>
        <w:pStyle w:val="subsection"/>
        <w:tabs>
          <w:tab w:val="clear" w:pos="1021"/>
          <w:tab w:val="right" w:pos="851"/>
        </w:tabs>
      </w:pPr>
      <w:r w:rsidRPr="007D0DCA">
        <w:tab/>
      </w:r>
      <w:r w:rsidRPr="007D0DCA">
        <w:tab/>
        <w:t xml:space="preserve">This instrument is the </w:t>
      </w:r>
      <w:r w:rsidR="00CB1268" w:rsidRPr="007D0DCA">
        <w:rPr>
          <w:i/>
          <w:iCs/>
        </w:rPr>
        <w:t>A New Tax System (</w:t>
      </w:r>
      <w:r w:rsidRPr="007D0DCA">
        <w:rPr>
          <w:i/>
          <w:iCs/>
        </w:rPr>
        <w:t>Goods and Services Tax</w:t>
      </w:r>
      <w:r w:rsidR="00CB1268" w:rsidRPr="007D0DCA">
        <w:rPr>
          <w:i/>
          <w:iCs/>
        </w:rPr>
        <w:t>)</w:t>
      </w:r>
      <w:r w:rsidRPr="007D0DCA">
        <w:rPr>
          <w:i/>
          <w:iCs/>
        </w:rPr>
        <w:t>: Waiver of Tax Invoice Requirement (Acquisitions from Property Managers) Determination 2023</w:t>
      </w:r>
      <w:r w:rsidRPr="007D0DCA">
        <w:t>.</w:t>
      </w:r>
    </w:p>
    <w:p w14:paraId="1AE6580A" w14:textId="77777777" w:rsidR="00C208CD" w:rsidRPr="007D0DCA" w:rsidRDefault="00C208CD" w:rsidP="007D0DCA">
      <w:pPr>
        <w:pStyle w:val="ActHead5"/>
      </w:pPr>
      <w:bookmarkStart w:id="3" w:name="_Toc454512514"/>
      <w:r w:rsidRPr="007D0DCA">
        <w:t>2  Commencement</w:t>
      </w:r>
      <w:bookmarkEnd w:id="3"/>
    </w:p>
    <w:p w14:paraId="11CC3620" w14:textId="77777777" w:rsidR="00C208CD" w:rsidRPr="007D0DCA" w:rsidRDefault="00C208CD" w:rsidP="007D0DCA">
      <w:pPr>
        <w:pStyle w:val="subsection"/>
        <w:tabs>
          <w:tab w:val="clear" w:pos="1021"/>
          <w:tab w:val="right" w:pos="851"/>
        </w:tabs>
      </w:pPr>
      <w:r w:rsidRPr="007D0DCA">
        <w:tab/>
        <w:t>(1)</w:t>
      </w:r>
      <w:r w:rsidRPr="007D0DC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899F0B2" w14:textId="77777777" w:rsidR="003767E2" w:rsidRPr="007D0DCA" w:rsidRDefault="003767E2" w:rsidP="007D0DCA">
      <w:pPr>
        <w:pStyle w:val="Tabletext"/>
        <w:spacing w:line="240" w:lineRule="auto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7D0DCA" w14:paraId="43F0799A" w14:textId="77777777" w:rsidTr="00BD1D9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4B3E1F6" w14:textId="77777777" w:rsidR="003767E2" w:rsidRPr="007D0DCA" w:rsidRDefault="003767E2" w:rsidP="007D0DCA">
            <w:pPr>
              <w:pStyle w:val="TableHeading"/>
              <w:spacing w:line="240" w:lineRule="auto"/>
            </w:pPr>
            <w:r w:rsidRPr="007D0DCA">
              <w:t>Commencement information</w:t>
            </w:r>
          </w:p>
        </w:tc>
      </w:tr>
      <w:tr w:rsidR="003767E2" w:rsidRPr="007D0DCA" w14:paraId="4CC3F37B" w14:textId="77777777" w:rsidTr="00BD1D9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B75DD9C" w14:textId="77777777" w:rsidR="003767E2" w:rsidRPr="007D0DCA" w:rsidRDefault="003767E2" w:rsidP="007D0DCA">
            <w:pPr>
              <w:pStyle w:val="TableHeading"/>
              <w:spacing w:line="240" w:lineRule="auto"/>
            </w:pPr>
            <w:r w:rsidRPr="007D0DC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C3B39D" w14:textId="77777777" w:rsidR="003767E2" w:rsidRPr="007D0DCA" w:rsidRDefault="003767E2" w:rsidP="007D0DCA">
            <w:pPr>
              <w:pStyle w:val="TableHeading"/>
              <w:spacing w:line="240" w:lineRule="auto"/>
            </w:pPr>
            <w:r w:rsidRPr="007D0DC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5CE774F" w14:textId="77777777" w:rsidR="003767E2" w:rsidRPr="007D0DCA" w:rsidRDefault="003767E2" w:rsidP="007D0DCA">
            <w:pPr>
              <w:pStyle w:val="TableHeading"/>
              <w:spacing w:line="240" w:lineRule="auto"/>
            </w:pPr>
            <w:r w:rsidRPr="007D0DCA">
              <w:t>Column 3</w:t>
            </w:r>
          </w:p>
        </w:tc>
      </w:tr>
      <w:tr w:rsidR="003767E2" w:rsidRPr="007D0DCA" w14:paraId="04E54D7B" w14:textId="77777777" w:rsidTr="00BD1D9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4609119" w14:textId="77777777" w:rsidR="003767E2" w:rsidRPr="007D0DCA" w:rsidRDefault="003767E2" w:rsidP="007D0DCA">
            <w:pPr>
              <w:pStyle w:val="TableHeading"/>
              <w:spacing w:line="240" w:lineRule="auto"/>
            </w:pPr>
            <w:r w:rsidRPr="007D0DC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7AB36A2" w14:textId="77777777" w:rsidR="003767E2" w:rsidRPr="007D0DCA" w:rsidRDefault="003767E2" w:rsidP="007D0DCA">
            <w:pPr>
              <w:pStyle w:val="TableHeading"/>
              <w:spacing w:line="240" w:lineRule="auto"/>
            </w:pPr>
            <w:r w:rsidRPr="007D0DC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5BDACA" w14:textId="77777777" w:rsidR="003767E2" w:rsidRPr="007D0DCA" w:rsidRDefault="003767E2" w:rsidP="007D0DCA">
            <w:pPr>
              <w:pStyle w:val="TableHeading"/>
              <w:spacing w:line="240" w:lineRule="auto"/>
            </w:pPr>
            <w:r w:rsidRPr="007D0DCA">
              <w:t>Date/Details</w:t>
            </w:r>
          </w:p>
        </w:tc>
      </w:tr>
      <w:tr w:rsidR="003767E2" w:rsidRPr="007D0DCA" w14:paraId="33725CA8" w14:textId="77777777" w:rsidTr="00BD1D9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BDA0FD8" w14:textId="122895DF" w:rsidR="003767E2" w:rsidRPr="007D0DCA" w:rsidRDefault="003767E2" w:rsidP="007D0DCA">
            <w:pPr>
              <w:pStyle w:val="Tabletext"/>
              <w:spacing w:line="240" w:lineRule="auto"/>
            </w:pPr>
            <w:r w:rsidRPr="007D0DCA">
              <w:t xml:space="preserve">1.  </w:t>
            </w:r>
            <w:r w:rsidR="00CD5AF4" w:rsidRPr="007D0DCA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9EB919" w14:textId="524FC120" w:rsidR="003767E2" w:rsidRPr="007D0DCA" w:rsidRDefault="001015B5" w:rsidP="007D0DCA">
            <w:pPr>
              <w:pStyle w:val="Tabletext"/>
              <w:spacing w:line="240" w:lineRule="auto"/>
            </w:pPr>
            <w:r w:rsidRPr="007D0DCA">
              <w:t>On the day after this instrument is registered</w:t>
            </w:r>
            <w:r w:rsidR="00696320" w:rsidRPr="007D0DCA">
              <w:t xml:space="preserve">.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2FAFA7" w14:textId="3A0A37EC" w:rsidR="003767E2" w:rsidRPr="007D0DCA" w:rsidRDefault="003767E2" w:rsidP="007D0DCA">
            <w:pPr>
              <w:pStyle w:val="Tabletext"/>
              <w:spacing w:line="240" w:lineRule="auto"/>
              <w:rPr>
                <w:i/>
              </w:rPr>
            </w:pPr>
          </w:p>
        </w:tc>
      </w:tr>
    </w:tbl>
    <w:p w14:paraId="45595B58" w14:textId="77777777" w:rsidR="003767E2" w:rsidRPr="007D0DCA" w:rsidRDefault="003767E2" w:rsidP="007D0DCA">
      <w:pPr>
        <w:pStyle w:val="notetext"/>
        <w:spacing w:line="240" w:lineRule="auto"/>
      </w:pPr>
      <w:r w:rsidRPr="007D0DCA">
        <w:rPr>
          <w:snapToGrid w:val="0"/>
          <w:lang w:eastAsia="en-US"/>
        </w:rPr>
        <w:t>Note:</w:t>
      </w:r>
      <w:r w:rsidRPr="007D0DCA">
        <w:rPr>
          <w:snapToGrid w:val="0"/>
          <w:lang w:eastAsia="en-US"/>
        </w:rPr>
        <w:tab/>
        <w:t>This table relates only to the provisions of this instrument</w:t>
      </w:r>
      <w:r w:rsidRPr="007D0DCA">
        <w:t xml:space="preserve"> </w:t>
      </w:r>
      <w:r w:rsidRPr="007D0DCA">
        <w:rPr>
          <w:snapToGrid w:val="0"/>
          <w:lang w:eastAsia="en-US"/>
        </w:rPr>
        <w:t>as originally made. It will not be amended to deal with any later amendments of this instrument.</w:t>
      </w:r>
    </w:p>
    <w:p w14:paraId="7CD079CC" w14:textId="77777777" w:rsidR="00C208CD" w:rsidRPr="007D0DCA" w:rsidRDefault="00C208CD" w:rsidP="007D0DCA">
      <w:pPr>
        <w:pStyle w:val="subsection"/>
        <w:tabs>
          <w:tab w:val="clear" w:pos="1021"/>
          <w:tab w:val="right" w:pos="851"/>
        </w:tabs>
      </w:pPr>
      <w:r w:rsidRPr="007D0DCA">
        <w:tab/>
        <w:t>(2)</w:t>
      </w:r>
      <w:r w:rsidRPr="007D0DCA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FE17F4C" w14:textId="77777777" w:rsidR="00554826" w:rsidRPr="007D0DCA" w:rsidRDefault="00554826" w:rsidP="007D0DCA">
      <w:pPr>
        <w:pStyle w:val="ActHead5"/>
      </w:pPr>
      <w:bookmarkStart w:id="4" w:name="_Toc118105043"/>
      <w:r w:rsidRPr="007D0DCA">
        <w:t>3  Authority</w:t>
      </w:r>
      <w:bookmarkEnd w:id="4"/>
    </w:p>
    <w:p w14:paraId="28DD524A" w14:textId="35101D25" w:rsidR="00554826" w:rsidRPr="007D0DCA" w:rsidRDefault="00554826" w:rsidP="007D0DCA">
      <w:pPr>
        <w:pStyle w:val="subsection"/>
        <w:tabs>
          <w:tab w:val="clear" w:pos="1021"/>
          <w:tab w:val="right" w:pos="851"/>
        </w:tabs>
      </w:pPr>
      <w:r w:rsidRPr="007D0DCA">
        <w:tab/>
      </w:r>
      <w:r w:rsidRPr="007D0DCA">
        <w:tab/>
        <w:t xml:space="preserve">This instrument is made under </w:t>
      </w:r>
      <w:r w:rsidR="00E07AC8" w:rsidRPr="007D0DCA">
        <w:t xml:space="preserve">subsection 29-10(3) of the </w:t>
      </w:r>
      <w:r w:rsidR="0017363B" w:rsidRPr="007D0DCA">
        <w:t>Act.</w:t>
      </w:r>
    </w:p>
    <w:p w14:paraId="4DAAA5E4" w14:textId="1F6C53BD" w:rsidR="00554826" w:rsidRPr="007D0DCA" w:rsidRDefault="00554826" w:rsidP="007D0DCA">
      <w:pPr>
        <w:pStyle w:val="ActHead5"/>
      </w:pPr>
      <w:bookmarkStart w:id="5" w:name="_Toc118105044"/>
      <w:r w:rsidRPr="007D0DCA">
        <w:t>4  Definitions</w:t>
      </w:r>
      <w:bookmarkEnd w:id="5"/>
    </w:p>
    <w:p w14:paraId="74F5A919" w14:textId="510EF163" w:rsidR="00CD5AF4" w:rsidRPr="007D0DCA" w:rsidRDefault="00CD5AF4" w:rsidP="007D0DCA">
      <w:pPr>
        <w:pStyle w:val="notetext"/>
        <w:spacing w:line="240" w:lineRule="auto"/>
        <w:ind w:left="1701" w:hanging="567"/>
      </w:pPr>
      <w:r w:rsidRPr="007D0DCA">
        <w:t>Note:</w:t>
      </w:r>
      <w:r w:rsidRPr="007D0DCA">
        <w:tab/>
        <w:t>A number of expressions used in this instrument are defined in the Act, including the following:</w:t>
      </w:r>
    </w:p>
    <w:p w14:paraId="0F651633" w14:textId="5CE57C90" w:rsidR="00CD5AF4" w:rsidRPr="007D0DCA" w:rsidRDefault="00CD5AF4" w:rsidP="007D0DCA">
      <w:pPr>
        <w:pStyle w:val="notepara"/>
        <w:numPr>
          <w:ilvl w:val="0"/>
          <w:numId w:val="26"/>
        </w:numPr>
        <w:spacing w:line="240" w:lineRule="auto"/>
      </w:pPr>
      <w:r w:rsidRPr="007D0DCA">
        <w:t>ABN</w:t>
      </w:r>
      <w:r w:rsidR="00F21A00" w:rsidRPr="007D0DCA">
        <w:t>;</w:t>
      </w:r>
    </w:p>
    <w:p w14:paraId="0AA78F8B" w14:textId="07445A7B" w:rsidR="00CD5AF4" w:rsidRPr="007D0DCA" w:rsidRDefault="00CD5AF4" w:rsidP="007D0DCA">
      <w:pPr>
        <w:pStyle w:val="notepara"/>
        <w:numPr>
          <w:ilvl w:val="0"/>
          <w:numId w:val="26"/>
        </w:numPr>
        <w:spacing w:line="240" w:lineRule="auto"/>
      </w:pPr>
      <w:r w:rsidRPr="007D0DCA">
        <w:t>creditable acquisition</w:t>
      </w:r>
      <w:r w:rsidR="00F21A00" w:rsidRPr="007D0DCA">
        <w:t>;</w:t>
      </w:r>
    </w:p>
    <w:p w14:paraId="04D53AAB" w14:textId="34C8CEC9" w:rsidR="00CD5AF4" w:rsidRPr="007D0DCA" w:rsidRDefault="00CD5AF4" w:rsidP="007D0DCA">
      <w:pPr>
        <w:pStyle w:val="notepara"/>
        <w:numPr>
          <w:ilvl w:val="0"/>
          <w:numId w:val="26"/>
        </w:numPr>
        <w:spacing w:line="240" w:lineRule="auto"/>
      </w:pPr>
      <w:r w:rsidRPr="007D0DCA">
        <w:t>input tax credit</w:t>
      </w:r>
      <w:r w:rsidR="00F21A00" w:rsidRPr="007D0DCA">
        <w:t>;</w:t>
      </w:r>
    </w:p>
    <w:p w14:paraId="6EEA3E07" w14:textId="586F546C" w:rsidR="005E7560" w:rsidRPr="007D0DCA" w:rsidRDefault="005E7560" w:rsidP="007D0DCA">
      <w:pPr>
        <w:pStyle w:val="notepara"/>
        <w:numPr>
          <w:ilvl w:val="0"/>
          <w:numId w:val="26"/>
        </w:numPr>
        <w:spacing w:line="240" w:lineRule="auto"/>
      </w:pPr>
      <w:r w:rsidRPr="007D0DCA">
        <w:t>recipient</w:t>
      </w:r>
      <w:r w:rsidR="00F21A00" w:rsidRPr="007D0DCA">
        <w:t>.</w:t>
      </w:r>
    </w:p>
    <w:p w14:paraId="713D36D0" w14:textId="77777777" w:rsidR="00937824" w:rsidRPr="007D0DCA" w:rsidRDefault="00E728BF" w:rsidP="007D0DCA">
      <w:pPr>
        <w:pStyle w:val="subsection"/>
        <w:tabs>
          <w:tab w:val="clear" w:pos="1021"/>
          <w:tab w:val="right" w:pos="851"/>
        </w:tabs>
      </w:pPr>
      <w:r w:rsidRPr="007D0DCA">
        <w:tab/>
      </w:r>
      <w:bookmarkStart w:id="6" w:name="_Hlk113002081"/>
      <w:r w:rsidRPr="007D0DCA">
        <w:t>(1)</w:t>
      </w:r>
      <w:r w:rsidRPr="007D0DCA">
        <w:tab/>
        <w:t>In this determination:</w:t>
      </w:r>
      <w:bookmarkEnd w:id="6"/>
    </w:p>
    <w:p w14:paraId="693C0648" w14:textId="10338C8D" w:rsidR="00554826" w:rsidRPr="007D0DCA" w:rsidRDefault="00554826" w:rsidP="007D0DCA">
      <w:pPr>
        <w:pStyle w:val="Definition"/>
      </w:pPr>
      <w:r w:rsidRPr="007D0DCA">
        <w:rPr>
          <w:b/>
          <w:i/>
        </w:rPr>
        <w:t>Act</w:t>
      </w:r>
      <w:r w:rsidRPr="007D0DCA">
        <w:t xml:space="preserve"> means the </w:t>
      </w:r>
      <w:r w:rsidR="00F241D8" w:rsidRPr="007D0DCA">
        <w:rPr>
          <w:i/>
        </w:rPr>
        <w:t>A New Tax System (Goods and Services Tax) Act 1999</w:t>
      </w:r>
      <w:r w:rsidR="004657F7" w:rsidRPr="007D0DCA">
        <w:rPr>
          <w:i/>
        </w:rPr>
        <w:t>.</w:t>
      </w:r>
    </w:p>
    <w:p w14:paraId="3EC9E960" w14:textId="1B25CA39" w:rsidR="00554826" w:rsidRPr="007D0DCA" w:rsidRDefault="00F94CA8" w:rsidP="007D0DCA">
      <w:pPr>
        <w:pStyle w:val="Definition"/>
      </w:pPr>
      <w:r w:rsidRPr="007D0DCA">
        <w:rPr>
          <w:b/>
          <w:i/>
        </w:rPr>
        <w:t>p</w:t>
      </w:r>
      <w:r w:rsidR="00F241D8" w:rsidRPr="007D0DCA">
        <w:rPr>
          <w:b/>
          <w:i/>
        </w:rPr>
        <w:t xml:space="preserve">roperty manager </w:t>
      </w:r>
      <w:r w:rsidR="00554826" w:rsidRPr="007D0DCA">
        <w:t xml:space="preserve">means </w:t>
      </w:r>
      <w:r w:rsidR="00F241D8" w:rsidRPr="007D0DCA">
        <w:t xml:space="preserve">an entity that has entered into an arrangement with another entity (the </w:t>
      </w:r>
      <w:r w:rsidR="00F241D8" w:rsidRPr="007D0DCA">
        <w:rPr>
          <w:b/>
          <w:bCs/>
        </w:rPr>
        <w:t xml:space="preserve">principal) </w:t>
      </w:r>
      <w:r w:rsidR="00F241D8" w:rsidRPr="007D0DCA">
        <w:t>under which the entity</w:t>
      </w:r>
      <w:r w:rsidR="00F21A00" w:rsidRPr="007D0DCA">
        <w:t xml:space="preserve"> </w:t>
      </w:r>
      <w:r w:rsidR="00F241D8" w:rsidRPr="007D0DCA">
        <w:t xml:space="preserve">manages real property </w:t>
      </w:r>
      <w:r w:rsidR="00F21A00" w:rsidRPr="007D0DCA">
        <w:t xml:space="preserve">on the principal’s behalf </w:t>
      </w:r>
      <w:r w:rsidR="00F241D8" w:rsidRPr="007D0DCA">
        <w:t xml:space="preserve">and, in the performance of </w:t>
      </w:r>
      <w:r w:rsidR="00F21A00" w:rsidRPr="007D0DCA">
        <w:t xml:space="preserve">that </w:t>
      </w:r>
      <w:r w:rsidR="00F241D8" w:rsidRPr="007D0DCA">
        <w:t>service, may do any or all of the following in respect of the real property</w:t>
      </w:r>
      <w:r w:rsidR="00290829" w:rsidRPr="007D0DCA">
        <w:t>:</w:t>
      </w:r>
    </w:p>
    <w:p w14:paraId="058AFF36" w14:textId="39DDC3E5" w:rsidR="00F94CA8" w:rsidRPr="007D0DCA" w:rsidRDefault="00F94CA8" w:rsidP="007D0DCA">
      <w:pPr>
        <w:pStyle w:val="paragraph"/>
        <w:tabs>
          <w:tab w:val="clear" w:pos="1531"/>
          <w:tab w:val="right" w:pos="1418"/>
        </w:tabs>
        <w:ind w:left="1701" w:hanging="1701"/>
        <w:rPr>
          <w:bCs/>
          <w:iCs/>
        </w:rPr>
      </w:pPr>
      <w:r w:rsidRPr="007D0DCA">
        <w:tab/>
        <w:t>(a)</w:t>
      </w:r>
      <w:r w:rsidRPr="007D0DCA">
        <w:tab/>
      </w:r>
      <w:r w:rsidRPr="007D0DCA">
        <w:rPr>
          <w:bCs/>
          <w:iCs/>
        </w:rPr>
        <w:t>make or facilitate supplies to third parties (including by issuing invoices relating to, or receiving consideration for, such supplies); and</w:t>
      </w:r>
    </w:p>
    <w:p w14:paraId="6A348565" w14:textId="656FEA38" w:rsidR="00F94CA8" w:rsidRPr="007D0DCA" w:rsidRDefault="00F94CA8" w:rsidP="007D0DCA">
      <w:pPr>
        <w:pStyle w:val="paragraph"/>
        <w:tabs>
          <w:tab w:val="clear" w:pos="1531"/>
          <w:tab w:val="right" w:pos="1418"/>
        </w:tabs>
        <w:ind w:left="1701" w:hanging="1701"/>
      </w:pPr>
      <w:r w:rsidRPr="007D0DCA">
        <w:tab/>
        <w:t>(b)</w:t>
      </w:r>
      <w:r w:rsidRPr="007D0DCA">
        <w:tab/>
      </w:r>
      <w:r w:rsidRPr="007D0DCA">
        <w:rPr>
          <w:bCs/>
          <w:iCs/>
        </w:rPr>
        <w:t>make or facilitate acquisitions from third parties (including by providing consideration for such acquisitions).</w:t>
      </w:r>
    </w:p>
    <w:p w14:paraId="3397D5E0" w14:textId="04FE0610" w:rsidR="00F241D8" w:rsidRPr="007D0DCA" w:rsidRDefault="00F241D8" w:rsidP="007D0DCA">
      <w:pPr>
        <w:pStyle w:val="Definition"/>
        <w:rPr>
          <w:bCs/>
          <w:iCs/>
        </w:rPr>
      </w:pPr>
      <w:r w:rsidRPr="007D0DCA">
        <w:rPr>
          <w:bCs/>
          <w:iCs/>
        </w:rPr>
        <w:lastRenderedPageBreak/>
        <w:t>To avoid doubt:</w:t>
      </w:r>
    </w:p>
    <w:p w14:paraId="6A0152EB" w14:textId="77777777" w:rsidR="00937824" w:rsidRPr="007D0DCA" w:rsidRDefault="00F94CA8" w:rsidP="007D0DCA">
      <w:pPr>
        <w:pStyle w:val="paragraph"/>
        <w:tabs>
          <w:tab w:val="clear" w:pos="1531"/>
          <w:tab w:val="right" w:pos="1418"/>
        </w:tabs>
        <w:ind w:left="1701" w:hanging="1701"/>
      </w:pPr>
      <w:r w:rsidRPr="007D0DCA">
        <w:tab/>
        <w:t>(a)</w:t>
      </w:r>
      <w:r w:rsidRPr="007D0DCA">
        <w:tab/>
      </w:r>
      <w:r w:rsidR="00F241D8" w:rsidRPr="007D0DCA">
        <w:t>the arrangement between the entity and the principal does not need to be recorded in writing; and</w:t>
      </w:r>
    </w:p>
    <w:p w14:paraId="4D7297CD" w14:textId="546CB8FB" w:rsidR="00F241D8" w:rsidRPr="007D0DCA" w:rsidRDefault="00F94CA8" w:rsidP="007D0DCA">
      <w:pPr>
        <w:pStyle w:val="paragraph"/>
        <w:tabs>
          <w:tab w:val="clear" w:pos="1531"/>
          <w:tab w:val="right" w:pos="1418"/>
        </w:tabs>
        <w:ind w:left="1701" w:hanging="1701"/>
      </w:pPr>
      <w:r w:rsidRPr="007D0DCA">
        <w:tab/>
        <w:t>(b)</w:t>
      </w:r>
      <w:r w:rsidRPr="007D0DCA">
        <w:tab/>
      </w:r>
      <w:r w:rsidR="00F241D8" w:rsidRPr="007D0DCA">
        <w:t>the entity can be a property manager whether or not the entity is the agent of the principal.</w:t>
      </w:r>
    </w:p>
    <w:p w14:paraId="3065BEFA" w14:textId="77777777" w:rsidR="00554826" w:rsidRPr="007D0DCA" w:rsidRDefault="00554826" w:rsidP="007D0DCA">
      <w:pPr>
        <w:pStyle w:val="ActHead5"/>
      </w:pPr>
      <w:bookmarkStart w:id="7" w:name="_Toc454781205"/>
      <w:bookmarkStart w:id="8" w:name="_Toc118105045"/>
      <w:r w:rsidRPr="007D0DCA">
        <w:t>5  Schedules</w:t>
      </w:r>
      <w:bookmarkEnd w:id="7"/>
      <w:bookmarkEnd w:id="8"/>
    </w:p>
    <w:p w14:paraId="4A5C4CD8" w14:textId="7E79CF94" w:rsidR="00554826" w:rsidRPr="007D0DCA" w:rsidRDefault="00554826" w:rsidP="007D0DCA">
      <w:pPr>
        <w:pStyle w:val="subsection"/>
        <w:tabs>
          <w:tab w:val="clear" w:pos="1021"/>
          <w:tab w:val="right" w:pos="851"/>
        </w:tabs>
      </w:pPr>
      <w:r w:rsidRPr="007D0DCA">
        <w:tab/>
      </w:r>
      <w:r w:rsidRPr="007D0DCA">
        <w:tab/>
        <w:t xml:space="preserve">Each instrument that is specified in a Schedule to this </w:t>
      </w:r>
      <w:r w:rsidR="00CC3953" w:rsidRPr="007D0DCA">
        <w:t>determination</w:t>
      </w:r>
      <w:r w:rsidRPr="007D0DCA">
        <w:t xml:space="preserve"> is amended or repealed as set out in the applicable items in the Schedule concerned, and any other item in a Schedule to this </w:t>
      </w:r>
      <w:r w:rsidR="00CC3953" w:rsidRPr="007D0DCA">
        <w:t>determination</w:t>
      </w:r>
      <w:r w:rsidRPr="007D0DCA">
        <w:t xml:space="preserve"> has effect according to its terms.</w:t>
      </w:r>
    </w:p>
    <w:p w14:paraId="5F10A55C" w14:textId="356D1087" w:rsidR="00735DA3" w:rsidRPr="007D0DCA" w:rsidRDefault="00735DA3" w:rsidP="007D0DCA">
      <w:pPr>
        <w:pStyle w:val="ActHead5"/>
      </w:pPr>
      <w:bookmarkStart w:id="9" w:name="_Toc118105046"/>
      <w:r w:rsidRPr="007D0DCA">
        <w:t xml:space="preserve">6  </w:t>
      </w:r>
      <w:r w:rsidR="00847025" w:rsidRPr="007D0DCA">
        <w:t>Waiver of the requirement to hold a tax invoice</w:t>
      </w:r>
      <w:bookmarkEnd w:id="9"/>
    </w:p>
    <w:p w14:paraId="3C2F2E90" w14:textId="2407E8D7" w:rsidR="00C208CD" w:rsidRPr="007D0DCA" w:rsidRDefault="00C208CD" w:rsidP="007D0DCA">
      <w:pPr>
        <w:pStyle w:val="subsection"/>
        <w:tabs>
          <w:tab w:val="clear" w:pos="1021"/>
          <w:tab w:val="right" w:pos="851"/>
        </w:tabs>
        <w:ind w:right="-334"/>
      </w:pPr>
      <w:r w:rsidRPr="007D0DCA">
        <w:tab/>
      </w:r>
      <w:r w:rsidRPr="007D0DCA">
        <w:tab/>
        <w:t>For the purpose</w:t>
      </w:r>
      <w:r w:rsidR="00F21A00" w:rsidRPr="007D0DCA">
        <w:t>s</w:t>
      </w:r>
      <w:r w:rsidRPr="007D0DCA">
        <w:t xml:space="preserve"> of attributing an input tax credit for a creditable acquisition to a tax period, a recipient is not required to hold a tax invoice </w:t>
      </w:r>
      <w:r w:rsidR="00F21A00" w:rsidRPr="007D0DCA">
        <w:t>under subsection</w:t>
      </w:r>
      <w:r w:rsidR="004B2EF3" w:rsidRPr="007D0DCA">
        <w:t> </w:t>
      </w:r>
      <w:r w:rsidR="00F21A00" w:rsidRPr="007D0DCA">
        <w:t>29</w:t>
      </w:r>
      <w:r w:rsidR="004B2EF3" w:rsidRPr="007D0DCA">
        <w:noBreakHyphen/>
      </w:r>
      <w:r w:rsidR="00F21A00" w:rsidRPr="007D0DCA">
        <w:t xml:space="preserve">10(3) of the Act </w:t>
      </w:r>
      <w:r w:rsidRPr="007D0DCA">
        <w:t>if:</w:t>
      </w:r>
    </w:p>
    <w:p w14:paraId="791A23D9" w14:textId="2CB0F341" w:rsidR="00C208CD" w:rsidRPr="007D0DCA" w:rsidRDefault="00C208CD" w:rsidP="007D0DCA">
      <w:pPr>
        <w:pStyle w:val="paragraph"/>
        <w:tabs>
          <w:tab w:val="clear" w:pos="1531"/>
          <w:tab w:val="right" w:pos="1418"/>
        </w:tabs>
        <w:ind w:left="1701" w:hanging="1701"/>
      </w:pPr>
      <w:r w:rsidRPr="007D0DCA">
        <w:tab/>
        <w:t>(a)</w:t>
      </w:r>
      <w:r w:rsidRPr="007D0DCA">
        <w:tab/>
        <w:t>the recipient makes a creditable acquisition of a thing by way of a supply that was made through the supplier’s property manager</w:t>
      </w:r>
      <w:r w:rsidR="00CD5AF4" w:rsidRPr="007D0DCA">
        <w:t>; and</w:t>
      </w:r>
    </w:p>
    <w:p w14:paraId="32E7E75E" w14:textId="522A2FCC" w:rsidR="00C208CD" w:rsidRPr="007D0DCA" w:rsidRDefault="00C208CD" w:rsidP="007D0DCA">
      <w:pPr>
        <w:pStyle w:val="paragraph"/>
        <w:tabs>
          <w:tab w:val="clear" w:pos="1531"/>
          <w:tab w:val="right" w:pos="1418"/>
        </w:tabs>
        <w:ind w:left="1701" w:hanging="1701"/>
      </w:pPr>
      <w:r w:rsidRPr="007D0DCA">
        <w:tab/>
        <w:t>(b)</w:t>
      </w:r>
      <w:r w:rsidRPr="007D0DCA">
        <w:tab/>
        <w:t>at the time the recipient gives a GST return to the Commissioner for the tax period to which the input tax credit (or any part of the input tax credit) on the acquisition would otherwise be attributable:</w:t>
      </w:r>
    </w:p>
    <w:p w14:paraId="05A3D9B8" w14:textId="6DC4A674" w:rsidR="00C208CD" w:rsidRPr="007D0DCA" w:rsidRDefault="00C208CD" w:rsidP="007D0DCA">
      <w:pPr>
        <w:pStyle w:val="paragraphsub"/>
        <w:ind w:left="2268" w:hanging="2268"/>
      </w:pPr>
      <w:r w:rsidRPr="007D0DCA">
        <w:tab/>
        <w:t>(i)</w:t>
      </w:r>
      <w:r w:rsidRPr="007D0DCA">
        <w:tab/>
        <w:t>the recipient hold</w:t>
      </w:r>
      <w:r w:rsidR="00254165" w:rsidRPr="007D0DCA">
        <w:t>s</w:t>
      </w:r>
      <w:r w:rsidRPr="007D0DCA">
        <w:t xml:space="preserve"> a document for </w:t>
      </w:r>
      <w:r w:rsidR="00F21A00" w:rsidRPr="007D0DCA">
        <w:t>the</w:t>
      </w:r>
      <w:r w:rsidRPr="007D0DCA">
        <w:t xml:space="preserve"> creditable acquisition that was issued by the supplier</w:t>
      </w:r>
      <w:r w:rsidR="009E162D" w:rsidRPr="007D0DCA">
        <w:t>’</w:t>
      </w:r>
      <w:r w:rsidRPr="007D0DCA">
        <w:t>s property manager; and</w:t>
      </w:r>
    </w:p>
    <w:p w14:paraId="79E40FC7" w14:textId="72AB92AB" w:rsidR="00C208CD" w:rsidRPr="007D0DCA" w:rsidRDefault="00C208CD" w:rsidP="007D0DCA">
      <w:pPr>
        <w:pStyle w:val="paragraphsub"/>
        <w:ind w:left="2268" w:hanging="2268"/>
      </w:pPr>
      <w:r w:rsidRPr="007D0DCA">
        <w:tab/>
        <w:t>(ii)</w:t>
      </w:r>
      <w:r w:rsidRPr="007D0DCA">
        <w:tab/>
        <w:t>that document meets the requirements set out in section 7.</w:t>
      </w:r>
    </w:p>
    <w:p w14:paraId="3585C1FC" w14:textId="77777777" w:rsidR="00937824" w:rsidRPr="007D0DCA" w:rsidRDefault="00B24E03" w:rsidP="007D0DCA">
      <w:pPr>
        <w:pStyle w:val="ActHead5"/>
        <w:ind w:left="0" w:firstLine="0"/>
      </w:pPr>
      <w:bookmarkStart w:id="10" w:name="_Toc118105047"/>
      <w:r w:rsidRPr="007D0DCA">
        <w:t xml:space="preserve">7  </w:t>
      </w:r>
      <w:r w:rsidR="003B0C82" w:rsidRPr="007D0DCA">
        <w:t>Document information requirements</w:t>
      </w:r>
      <w:bookmarkEnd w:id="10"/>
    </w:p>
    <w:p w14:paraId="5DD803E4" w14:textId="0C8DC330" w:rsidR="00C208CD" w:rsidRPr="007D0DCA" w:rsidRDefault="00C208CD" w:rsidP="007D0DCA">
      <w:pPr>
        <w:pStyle w:val="subsection"/>
        <w:tabs>
          <w:tab w:val="clear" w:pos="1021"/>
          <w:tab w:val="right" w:pos="851"/>
        </w:tabs>
      </w:pPr>
      <w:r w:rsidRPr="007D0DCA">
        <w:tab/>
      </w:r>
      <w:r w:rsidRPr="007D0DCA">
        <w:tab/>
        <w:t>The requirements referred to in subparagraph 6(b)(ii) are that the document:</w:t>
      </w:r>
    </w:p>
    <w:p w14:paraId="431A38AA" w14:textId="55136751" w:rsidR="00C208CD" w:rsidRPr="007D0DCA" w:rsidRDefault="00C208CD" w:rsidP="007D0DCA">
      <w:pPr>
        <w:pStyle w:val="paragraph"/>
        <w:tabs>
          <w:tab w:val="clear" w:pos="1531"/>
          <w:tab w:val="right" w:pos="1418"/>
        </w:tabs>
        <w:ind w:left="1701" w:hanging="1701"/>
      </w:pPr>
      <w:r w:rsidRPr="007D0DCA">
        <w:tab/>
        <w:t>(a)</w:t>
      </w:r>
      <w:r w:rsidRPr="007D0DCA">
        <w:tab/>
        <w:t>meets the requirements of paragraphs 29-70(1)(a) and 29-70(1)(c) of the Act, other than subparagraph 29-70(1)(c)(i); and</w:t>
      </w:r>
    </w:p>
    <w:p w14:paraId="5FFCAEBE" w14:textId="646F63FE" w:rsidR="00C208CD" w:rsidRPr="007D0DCA" w:rsidRDefault="00C208CD" w:rsidP="007D0DCA">
      <w:pPr>
        <w:pStyle w:val="paragraph"/>
        <w:tabs>
          <w:tab w:val="clear" w:pos="1531"/>
          <w:tab w:val="right" w:pos="1418"/>
        </w:tabs>
        <w:ind w:left="1701" w:hanging="1701"/>
      </w:pPr>
      <w:r w:rsidRPr="007D0DCA">
        <w:tab/>
        <w:t>(b)</w:t>
      </w:r>
      <w:r w:rsidRPr="007D0DCA">
        <w:tab/>
        <w:t>contains enough information to enable the identity and ABN of the supplier’s property manager to be clearly ascertained.</w:t>
      </w:r>
    </w:p>
    <w:p w14:paraId="2260131E" w14:textId="77777777" w:rsidR="00C208CD" w:rsidRPr="007D0DCA" w:rsidRDefault="00C208CD" w:rsidP="007D0DCA">
      <w:pPr>
        <w:pStyle w:val="Item"/>
        <w:ind w:left="0"/>
      </w:pPr>
    </w:p>
    <w:p w14:paraId="39F4548C" w14:textId="77777777" w:rsidR="00CD28A0" w:rsidRPr="007D0DCA" w:rsidRDefault="00CD28A0" w:rsidP="007D0DCA">
      <w:pPr>
        <w:spacing w:line="240" w:lineRule="auto"/>
        <w:rPr>
          <w:rFonts w:ascii="Arial" w:eastAsia="Times New Roman" w:hAnsi="Arial" w:cs="Times New Roman"/>
          <w:bCs/>
          <w:kern w:val="28"/>
          <w:sz w:val="32"/>
          <w:lang w:eastAsia="en-AU"/>
        </w:rPr>
      </w:pPr>
      <w:r w:rsidRPr="007D0DCA">
        <w:br w:type="page"/>
      </w:r>
    </w:p>
    <w:p w14:paraId="7DACD102" w14:textId="77777777" w:rsidR="0091288E" w:rsidRPr="007D0DCA" w:rsidRDefault="0091288E" w:rsidP="007D0DCA">
      <w:pPr>
        <w:pStyle w:val="ActHead6"/>
      </w:pPr>
      <w:bookmarkStart w:id="11" w:name="_Toc117080855"/>
      <w:bookmarkStart w:id="12" w:name="_Toc118105048"/>
      <w:r w:rsidRPr="007D0DCA">
        <w:lastRenderedPageBreak/>
        <w:t>Schedule 1—Repeals</w:t>
      </w:r>
      <w:bookmarkEnd w:id="11"/>
      <w:bookmarkEnd w:id="12"/>
    </w:p>
    <w:p w14:paraId="69DB2F5D" w14:textId="77777777" w:rsidR="0091288E" w:rsidRPr="007D0DCA" w:rsidRDefault="0091288E" w:rsidP="007D0DCA">
      <w:pPr>
        <w:pStyle w:val="ActHead9"/>
        <w:ind w:left="0" w:firstLine="0"/>
      </w:pPr>
      <w:bookmarkStart w:id="13" w:name="_Toc117080856"/>
      <w:bookmarkStart w:id="14" w:name="_Toc118105049"/>
      <w:r w:rsidRPr="007D0DCA">
        <w:t>A New Tax System (Goods and Services Tax) Waiver of Tax Invoice Requirement (Acquisitions from Property Managers) Legislative Instrument 2013</w:t>
      </w:r>
      <w:bookmarkEnd w:id="13"/>
      <w:bookmarkEnd w:id="14"/>
    </w:p>
    <w:p w14:paraId="18B4E385" w14:textId="77777777" w:rsidR="0091288E" w:rsidRPr="007D0DCA" w:rsidRDefault="0091288E" w:rsidP="007D0DCA">
      <w:pPr>
        <w:pStyle w:val="ItemHead"/>
      </w:pPr>
      <w:r w:rsidRPr="007D0DCA">
        <w:t>1  The whole of the instrument</w:t>
      </w:r>
    </w:p>
    <w:p w14:paraId="6E892BE5" w14:textId="6CEF5BC8" w:rsidR="0091288E" w:rsidRDefault="0091288E" w:rsidP="007D0DCA">
      <w:pPr>
        <w:pStyle w:val="Item"/>
      </w:pPr>
      <w:r w:rsidRPr="007D0DCA">
        <w:t>Repeal the instrument</w:t>
      </w:r>
      <w:r w:rsidR="004657F7" w:rsidRPr="007D0DCA">
        <w:t>.</w:t>
      </w:r>
    </w:p>
    <w:sectPr w:rsidR="0091288E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48FF4" w14:textId="77777777" w:rsidR="005C63F4" w:rsidRDefault="005C63F4" w:rsidP="00715914">
      <w:pPr>
        <w:spacing w:line="240" w:lineRule="auto"/>
      </w:pPr>
      <w:r>
        <w:separator/>
      </w:r>
    </w:p>
  </w:endnote>
  <w:endnote w:type="continuationSeparator" w:id="0">
    <w:p w14:paraId="32FAEFB3" w14:textId="77777777" w:rsidR="005C63F4" w:rsidRDefault="005C63F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B76" w14:textId="77777777" w:rsidR="00BD1D9D" w:rsidRPr="00E33C1C" w:rsidRDefault="00BD1D9D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D1D9D" w14:paraId="437534A9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0665AF" w14:textId="77777777" w:rsidR="00BD1D9D" w:rsidRDefault="00BD1D9D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77BFEA" w14:textId="77777777" w:rsidR="00BD1D9D" w:rsidRPr="004E1307" w:rsidRDefault="00BD1D9D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80A6FF0" w14:textId="77777777" w:rsidR="00BD1D9D" w:rsidRDefault="00BD1D9D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BD1D9D" w14:paraId="6DB2B4F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2721595" w14:textId="77777777" w:rsidR="00BD1D9D" w:rsidRDefault="00BD1D9D" w:rsidP="00A369E3">
          <w:pPr>
            <w:jc w:val="right"/>
            <w:rPr>
              <w:sz w:val="18"/>
            </w:rPr>
          </w:pPr>
        </w:p>
      </w:tc>
    </w:tr>
  </w:tbl>
  <w:p w14:paraId="7BD55EA4" w14:textId="77777777" w:rsidR="00BD1D9D" w:rsidRPr="00ED79B6" w:rsidRDefault="00BD1D9D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C874" w14:textId="77777777" w:rsidR="00BD1D9D" w:rsidRPr="00E33C1C" w:rsidRDefault="00BD1D9D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BD1D9D" w14:paraId="56803EF3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04FE6D" w14:textId="77777777" w:rsidR="00BD1D9D" w:rsidRDefault="00BD1D9D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A19835" w14:textId="77777777" w:rsidR="00BD1D9D" w:rsidRDefault="00BD1D9D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58DF6D" w14:textId="77777777" w:rsidR="00BD1D9D" w:rsidRDefault="00BD1D9D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D1D9D" w14:paraId="273DAA4C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0FBCEEA" w14:textId="77777777" w:rsidR="00BD1D9D" w:rsidRDefault="00BD1D9D" w:rsidP="00A369E3">
          <w:pPr>
            <w:rPr>
              <w:sz w:val="18"/>
            </w:rPr>
          </w:pPr>
        </w:p>
      </w:tc>
    </w:tr>
  </w:tbl>
  <w:p w14:paraId="03BADD6F" w14:textId="77777777" w:rsidR="00BD1D9D" w:rsidRPr="00ED79B6" w:rsidRDefault="00BD1D9D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C3ACF" w14:textId="77777777" w:rsidR="00BD1D9D" w:rsidRPr="00E33C1C" w:rsidRDefault="00BD1D9D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BD1D9D" w14:paraId="0C95A45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6D8D4CB" w14:textId="77777777" w:rsidR="00BD1D9D" w:rsidRDefault="00BD1D9D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682F10" w14:textId="77777777" w:rsidR="00BD1D9D" w:rsidRDefault="00BD1D9D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E23EF3" w14:textId="77777777" w:rsidR="00BD1D9D" w:rsidRDefault="00BD1D9D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3CEF3C0" w14:textId="77777777" w:rsidR="00BD1D9D" w:rsidRPr="00ED79B6" w:rsidRDefault="00BD1D9D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C92B3" w14:textId="77777777" w:rsidR="00BD1D9D" w:rsidRPr="002B0EA5" w:rsidRDefault="00BD1D9D" w:rsidP="00BD1D9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D1D9D" w14:paraId="41C62327" w14:textId="77777777" w:rsidTr="00BD1D9D">
      <w:tc>
        <w:tcPr>
          <w:tcW w:w="365" w:type="pct"/>
        </w:tcPr>
        <w:p w14:paraId="2A54A70F" w14:textId="77777777" w:rsidR="00BD1D9D" w:rsidRDefault="00BD1D9D" w:rsidP="00BD1D9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C99AF9D" w14:textId="77777777" w:rsidR="00BD1D9D" w:rsidRDefault="00BD1D9D" w:rsidP="00BD1D9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EF2C03F" w14:textId="77777777" w:rsidR="00BD1D9D" w:rsidRDefault="00BD1D9D" w:rsidP="00BD1D9D">
          <w:pPr>
            <w:spacing w:line="0" w:lineRule="atLeast"/>
            <w:jc w:val="right"/>
            <w:rPr>
              <w:sz w:val="18"/>
            </w:rPr>
          </w:pPr>
        </w:p>
      </w:tc>
    </w:tr>
    <w:tr w:rsidR="00BD1D9D" w14:paraId="40B20324" w14:textId="77777777" w:rsidTr="00BD1D9D">
      <w:tc>
        <w:tcPr>
          <w:tcW w:w="5000" w:type="pct"/>
          <w:gridSpan w:val="3"/>
        </w:tcPr>
        <w:p w14:paraId="693F6928" w14:textId="77777777" w:rsidR="00BD1D9D" w:rsidRDefault="00BD1D9D" w:rsidP="00BD1D9D">
          <w:pPr>
            <w:jc w:val="right"/>
            <w:rPr>
              <w:sz w:val="18"/>
            </w:rPr>
          </w:pPr>
        </w:p>
      </w:tc>
    </w:tr>
  </w:tbl>
  <w:p w14:paraId="082F4D3B" w14:textId="77777777" w:rsidR="00BD1D9D" w:rsidRPr="00ED79B6" w:rsidRDefault="00BD1D9D" w:rsidP="00BD1D9D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A8611" w14:textId="77777777" w:rsidR="00BD1D9D" w:rsidRPr="002B0EA5" w:rsidRDefault="00BD1D9D" w:rsidP="00BD1D9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D1D9D" w14:paraId="0FF14A48" w14:textId="77777777" w:rsidTr="00BD1D9D">
      <w:tc>
        <w:tcPr>
          <w:tcW w:w="947" w:type="pct"/>
        </w:tcPr>
        <w:p w14:paraId="505629AB" w14:textId="77777777" w:rsidR="00BD1D9D" w:rsidRDefault="00BD1D9D" w:rsidP="00BD1D9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48969C1" w14:textId="56C468E6" w:rsidR="00BD1D9D" w:rsidRDefault="00BD1D9D" w:rsidP="00BD1D9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87220">
            <w:rPr>
              <w:i/>
              <w:noProof/>
              <w:sz w:val="18"/>
            </w:rPr>
            <w:t>A New Tax System (Goods and Services Tax): Waiver of Tax Invoice Requirement (Acquisitions from Property Managers)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6AAC26A" w14:textId="77777777" w:rsidR="00BD1D9D" w:rsidRDefault="00BD1D9D" w:rsidP="00BD1D9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D1D9D" w14:paraId="4DEBD48A" w14:textId="77777777" w:rsidTr="00BD1D9D">
      <w:tc>
        <w:tcPr>
          <w:tcW w:w="5000" w:type="pct"/>
          <w:gridSpan w:val="3"/>
        </w:tcPr>
        <w:p w14:paraId="36BB63AE" w14:textId="77777777" w:rsidR="00BD1D9D" w:rsidRDefault="00BD1D9D" w:rsidP="00BD1D9D">
          <w:pPr>
            <w:rPr>
              <w:sz w:val="18"/>
            </w:rPr>
          </w:pPr>
        </w:p>
      </w:tc>
    </w:tr>
  </w:tbl>
  <w:p w14:paraId="6B45932A" w14:textId="77777777" w:rsidR="00BD1D9D" w:rsidRPr="00ED79B6" w:rsidRDefault="00BD1D9D" w:rsidP="00BD1D9D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B4CF" w14:textId="77777777" w:rsidR="00BD1D9D" w:rsidRPr="002B0EA5" w:rsidRDefault="00BD1D9D" w:rsidP="00BD1D9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D1D9D" w14:paraId="18065966" w14:textId="77777777" w:rsidTr="00BD1D9D">
      <w:tc>
        <w:tcPr>
          <w:tcW w:w="365" w:type="pct"/>
        </w:tcPr>
        <w:p w14:paraId="4F590A3E" w14:textId="77777777" w:rsidR="00BD1D9D" w:rsidRDefault="00BD1D9D" w:rsidP="00BD1D9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5EACA57" w14:textId="2D9041D8" w:rsidR="00BD1D9D" w:rsidRDefault="00BD1D9D" w:rsidP="00BD1D9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87220">
            <w:rPr>
              <w:i/>
              <w:noProof/>
              <w:sz w:val="18"/>
            </w:rPr>
            <w:t>A New Tax System (Goods and Services Tax): Waiver of Tax Invoice Requirement (Acquisitions from Property Managers)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B611F9B" w14:textId="77777777" w:rsidR="00BD1D9D" w:rsidRDefault="00BD1D9D" w:rsidP="00BD1D9D">
          <w:pPr>
            <w:spacing w:line="0" w:lineRule="atLeast"/>
            <w:jc w:val="right"/>
            <w:rPr>
              <w:sz w:val="18"/>
            </w:rPr>
          </w:pPr>
        </w:p>
      </w:tc>
    </w:tr>
    <w:tr w:rsidR="00BD1D9D" w14:paraId="10C0706F" w14:textId="77777777" w:rsidTr="00BD1D9D">
      <w:tc>
        <w:tcPr>
          <w:tcW w:w="5000" w:type="pct"/>
          <w:gridSpan w:val="3"/>
        </w:tcPr>
        <w:p w14:paraId="46A05A99" w14:textId="77777777" w:rsidR="00BD1D9D" w:rsidRDefault="00BD1D9D" w:rsidP="00BD1D9D">
          <w:pPr>
            <w:jc w:val="right"/>
            <w:rPr>
              <w:sz w:val="18"/>
            </w:rPr>
          </w:pPr>
        </w:p>
      </w:tc>
    </w:tr>
  </w:tbl>
  <w:p w14:paraId="41A6056D" w14:textId="77777777" w:rsidR="00BD1D9D" w:rsidRPr="00ED79B6" w:rsidRDefault="00BD1D9D" w:rsidP="00BD1D9D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6261" w14:textId="77777777" w:rsidR="00BD1D9D" w:rsidRPr="002B0EA5" w:rsidRDefault="00BD1D9D" w:rsidP="00BD1D9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D1D9D" w14:paraId="71D9687D" w14:textId="77777777" w:rsidTr="00BD1D9D">
      <w:tc>
        <w:tcPr>
          <w:tcW w:w="947" w:type="pct"/>
        </w:tcPr>
        <w:p w14:paraId="266CEF98" w14:textId="77777777" w:rsidR="00BD1D9D" w:rsidRDefault="00BD1D9D" w:rsidP="00BD1D9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C305137" w14:textId="03C6F3A8" w:rsidR="00BD1D9D" w:rsidRDefault="00BD1D9D" w:rsidP="00BD1D9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87220">
            <w:rPr>
              <w:i/>
              <w:noProof/>
              <w:sz w:val="18"/>
            </w:rPr>
            <w:t>A New Tax System (Goods and Services Tax): Waiver of Tax Invoice Requirement (Acquisitions from Property Managers)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4A89142" w14:textId="77777777" w:rsidR="00BD1D9D" w:rsidRDefault="00BD1D9D" w:rsidP="00BD1D9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D1D9D" w14:paraId="29CDE570" w14:textId="77777777" w:rsidTr="00BD1D9D">
      <w:tc>
        <w:tcPr>
          <w:tcW w:w="5000" w:type="pct"/>
          <w:gridSpan w:val="3"/>
        </w:tcPr>
        <w:p w14:paraId="3C8A899B" w14:textId="77777777" w:rsidR="00BD1D9D" w:rsidRDefault="00BD1D9D" w:rsidP="00BD1D9D">
          <w:pPr>
            <w:rPr>
              <w:sz w:val="18"/>
            </w:rPr>
          </w:pPr>
        </w:p>
      </w:tc>
    </w:tr>
  </w:tbl>
  <w:p w14:paraId="5AE7C344" w14:textId="77777777" w:rsidR="00BD1D9D" w:rsidRPr="00ED79B6" w:rsidRDefault="00BD1D9D" w:rsidP="00BD1D9D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526A9" w14:textId="77777777" w:rsidR="005C63F4" w:rsidRDefault="005C63F4" w:rsidP="00715914">
      <w:pPr>
        <w:spacing w:line="240" w:lineRule="auto"/>
      </w:pPr>
      <w:r>
        <w:separator/>
      </w:r>
    </w:p>
  </w:footnote>
  <w:footnote w:type="continuationSeparator" w:id="0">
    <w:p w14:paraId="13AA8C7F" w14:textId="77777777" w:rsidR="005C63F4" w:rsidRDefault="005C63F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197F" w14:textId="77777777" w:rsidR="00BD1D9D" w:rsidRPr="005F1388" w:rsidRDefault="00BD1D9D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A4714" w14:textId="77777777" w:rsidR="00BD1D9D" w:rsidRPr="005F1388" w:rsidRDefault="00BD1D9D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B7FF" w14:textId="77777777" w:rsidR="00BD1D9D" w:rsidRPr="00ED79B6" w:rsidRDefault="00BD1D9D" w:rsidP="00BD1D9D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61EE" w14:textId="77777777" w:rsidR="00BD1D9D" w:rsidRPr="00ED79B6" w:rsidRDefault="00BD1D9D" w:rsidP="00BD1D9D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4FE09" w14:textId="77777777" w:rsidR="00BD1D9D" w:rsidRPr="00ED79B6" w:rsidRDefault="00BD1D9D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A5B30" w14:textId="77777777" w:rsidR="00BD1D9D" w:rsidRDefault="00BD1D9D" w:rsidP="00715914">
    <w:pPr>
      <w:rPr>
        <w:sz w:val="20"/>
      </w:rPr>
    </w:pPr>
  </w:p>
  <w:p w14:paraId="48B91DF3" w14:textId="77777777" w:rsidR="00BD1D9D" w:rsidRDefault="00BD1D9D" w:rsidP="00715914">
    <w:pPr>
      <w:rPr>
        <w:sz w:val="20"/>
      </w:rPr>
    </w:pPr>
  </w:p>
  <w:p w14:paraId="00BEC122" w14:textId="77777777" w:rsidR="00BD1D9D" w:rsidRPr="007A1328" w:rsidRDefault="00BD1D9D" w:rsidP="00715914">
    <w:pPr>
      <w:rPr>
        <w:sz w:val="20"/>
      </w:rPr>
    </w:pPr>
  </w:p>
  <w:p w14:paraId="3103DE43" w14:textId="77777777" w:rsidR="00BD1D9D" w:rsidRPr="007A1328" w:rsidRDefault="00BD1D9D" w:rsidP="00715914">
    <w:pPr>
      <w:rPr>
        <w:b/>
        <w:sz w:val="24"/>
      </w:rPr>
    </w:pPr>
  </w:p>
  <w:p w14:paraId="7C7290EC" w14:textId="77777777" w:rsidR="00BD1D9D" w:rsidRPr="007A1328" w:rsidRDefault="00BD1D9D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37756" w14:textId="77777777" w:rsidR="00BD1D9D" w:rsidRPr="007A1328" w:rsidRDefault="00BD1D9D" w:rsidP="00715914">
    <w:pPr>
      <w:jc w:val="right"/>
      <w:rPr>
        <w:sz w:val="20"/>
      </w:rPr>
    </w:pPr>
  </w:p>
  <w:p w14:paraId="1455FEE7" w14:textId="77777777" w:rsidR="00BD1D9D" w:rsidRPr="007A1328" w:rsidRDefault="00BD1D9D" w:rsidP="00715914">
    <w:pPr>
      <w:jc w:val="right"/>
      <w:rPr>
        <w:sz w:val="20"/>
      </w:rPr>
    </w:pPr>
  </w:p>
  <w:p w14:paraId="4220A388" w14:textId="77777777" w:rsidR="00BD1D9D" w:rsidRPr="007A1328" w:rsidRDefault="00BD1D9D" w:rsidP="00715914">
    <w:pPr>
      <w:jc w:val="right"/>
      <w:rPr>
        <w:sz w:val="20"/>
      </w:rPr>
    </w:pPr>
  </w:p>
  <w:p w14:paraId="792E7A69" w14:textId="77777777" w:rsidR="00BD1D9D" w:rsidRPr="007A1328" w:rsidRDefault="00BD1D9D" w:rsidP="00715914">
    <w:pPr>
      <w:jc w:val="right"/>
      <w:rPr>
        <w:b/>
        <w:sz w:val="24"/>
      </w:rPr>
    </w:pPr>
  </w:p>
  <w:p w14:paraId="071AFE77" w14:textId="77777777" w:rsidR="00BD1D9D" w:rsidRPr="007A1328" w:rsidRDefault="00BD1D9D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72928"/>
    <w:multiLevelType w:val="hybridMultilevel"/>
    <w:tmpl w:val="3EB619F4"/>
    <w:lvl w:ilvl="0" w:tplc="50F2B9D8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B17D5A"/>
    <w:multiLevelType w:val="hybridMultilevel"/>
    <w:tmpl w:val="815ABF06"/>
    <w:lvl w:ilvl="0" w:tplc="56C2D1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2F093DA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6F0837"/>
    <w:multiLevelType w:val="hybridMultilevel"/>
    <w:tmpl w:val="C7E2A2F0"/>
    <w:lvl w:ilvl="0" w:tplc="04548D86">
      <w:start w:val="1"/>
      <w:numFmt w:val="lowerLetter"/>
      <w:lvlText w:val="(%1)"/>
      <w:lvlJc w:val="left"/>
      <w:pPr>
        <w:ind w:left="2136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13E6024F"/>
    <w:multiLevelType w:val="hybridMultilevel"/>
    <w:tmpl w:val="63227374"/>
    <w:lvl w:ilvl="0" w:tplc="D5085596">
      <w:start w:val="1"/>
      <w:numFmt w:val="lowerLetter"/>
      <w:lvlText w:val="(%1)"/>
      <w:lvlJc w:val="left"/>
      <w:pPr>
        <w:ind w:left="237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30" w:hanging="360"/>
      </w:pPr>
    </w:lvl>
    <w:lvl w:ilvl="2" w:tplc="0C09001B" w:tentative="1">
      <w:start w:val="1"/>
      <w:numFmt w:val="lowerRoman"/>
      <w:lvlText w:val="%3."/>
      <w:lvlJc w:val="right"/>
      <w:pPr>
        <w:ind w:left="3450" w:hanging="180"/>
      </w:pPr>
    </w:lvl>
    <w:lvl w:ilvl="3" w:tplc="0C09000F" w:tentative="1">
      <w:start w:val="1"/>
      <w:numFmt w:val="decimal"/>
      <w:lvlText w:val="%4."/>
      <w:lvlJc w:val="left"/>
      <w:pPr>
        <w:ind w:left="4170" w:hanging="360"/>
      </w:pPr>
    </w:lvl>
    <w:lvl w:ilvl="4" w:tplc="0C090019" w:tentative="1">
      <w:start w:val="1"/>
      <w:numFmt w:val="lowerLetter"/>
      <w:lvlText w:val="%5."/>
      <w:lvlJc w:val="left"/>
      <w:pPr>
        <w:ind w:left="4890" w:hanging="360"/>
      </w:pPr>
    </w:lvl>
    <w:lvl w:ilvl="5" w:tplc="0C09001B" w:tentative="1">
      <w:start w:val="1"/>
      <w:numFmt w:val="lowerRoman"/>
      <w:lvlText w:val="%6."/>
      <w:lvlJc w:val="right"/>
      <w:pPr>
        <w:ind w:left="5610" w:hanging="180"/>
      </w:pPr>
    </w:lvl>
    <w:lvl w:ilvl="6" w:tplc="0C09000F" w:tentative="1">
      <w:start w:val="1"/>
      <w:numFmt w:val="decimal"/>
      <w:lvlText w:val="%7."/>
      <w:lvlJc w:val="left"/>
      <w:pPr>
        <w:ind w:left="6330" w:hanging="360"/>
      </w:pPr>
    </w:lvl>
    <w:lvl w:ilvl="7" w:tplc="0C090019" w:tentative="1">
      <w:start w:val="1"/>
      <w:numFmt w:val="lowerLetter"/>
      <w:lvlText w:val="%8."/>
      <w:lvlJc w:val="left"/>
      <w:pPr>
        <w:ind w:left="7050" w:hanging="360"/>
      </w:pPr>
    </w:lvl>
    <w:lvl w:ilvl="8" w:tplc="0C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5" w15:restartNumberingAfterBreak="0">
    <w:nsid w:val="19E93298"/>
    <w:multiLevelType w:val="hybridMultilevel"/>
    <w:tmpl w:val="D660C9BA"/>
    <w:lvl w:ilvl="0" w:tplc="24DE9D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D8961FF"/>
    <w:multiLevelType w:val="hybridMultilevel"/>
    <w:tmpl w:val="4FD2AD92"/>
    <w:lvl w:ilvl="0" w:tplc="D6C85F02">
      <w:start w:val="1"/>
      <w:numFmt w:val="lowerLetter"/>
      <w:lvlText w:val="(%1)"/>
      <w:lvlJc w:val="left"/>
      <w:pPr>
        <w:ind w:left="1494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458831C5"/>
    <w:multiLevelType w:val="hybridMultilevel"/>
    <w:tmpl w:val="F30497D8"/>
    <w:lvl w:ilvl="0" w:tplc="7EB8F16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BD0364F"/>
    <w:multiLevelType w:val="hybridMultilevel"/>
    <w:tmpl w:val="500096B4"/>
    <w:lvl w:ilvl="0" w:tplc="9DAA05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E0D40"/>
    <w:multiLevelType w:val="hybridMultilevel"/>
    <w:tmpl w:val="3A96D7C6"/>
    <w:lvl w:ilvl="0" w:tplc="D62CCE92">
      <w:start w:val="1"/>
      <w:numFmt w:val="lowerLetter"/>
      <w:lvlText w:val="(%1)"/>
      <w:lvlJc w:val="left"/>
      <w:pPr>
        <w:ind w:left="191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39" w:hanging="360"/>
      </w:pPr>
    </w:lvl>
    <w:lvl w:ilvl="2" w:tplc="0C09001B" w:tentative="1">
      <w:start w:val="1"/>
      <w:numFmt w:val="lowerRoman"/>
      <w:lvlText w:val="%3."/>
      <w:lvlJc w:val="right"/>
      <w:pPr>
        <w:ind w:left="3359" w:hanging="180"/>
      </w:pPr>
    </w:lvl>
    <w:lvl w:ilvl="3" w:tplc="0C09000F" w:tentative="1">
      <w:start w:val="1"/>
      <w:numFmt w:val="decimal"/>
      <w:lvlText w:val="%4."/>
      <w:lvlJc w:val="left"/>
      <w:pPr>
        <w:ind w:left="4079" w:hanging="360"/>
      </w:pPr>
    </w:lvl>
    <w:lvl w:ilvl="4" w:tplc="0C090019" w:tentative="1">
      <w:start w:val="1"/>
      <w:numFmt w:val="lowerLetter"/>
      <w:lvlText w:val="%5."/>
      <w:lvlJc w:val="left"/>
      <w:pPr>
        <w:ind w:left="4799" w:hanging="360"/>
      </w:pPr>
    </w:lvl>
    <w:lvl w:ilvl="5" w:tplc="0C09001B" w:tentative="1">
      <w:start w:val="1"/>
      <w:numFmt w:val="lowerRoman"/>
      <w:lvlText w:val="%6."/>
      <w:lvlJc w:val="right"/>
      <w:pPr>
        <w:ind w:left="5519" w:hanging="180"/>
      </w:pPr>
    </w:lvl>
    <w:lvl w:ilvl="6" w:tplc="0C09000F" w:tentative="1">
      <w:start w:val="1"/>
      <w:numFmt w:val="decimal"/>
      <w:lvlText w:val="%7."/>
      <w:lvlJc w:val="left"/>
      <w:pPr>
        <w:ind w:left="6239" w:hanging="360"/>
      </w:pPr>
    </w:lvl>
    <w:lvl w:ilvl="7" w:tplc="0C090019" w:tentative="1">
      <w:start w:val="1"/>
      <w:numFmt w:val="lowerLetter"/>
      <w:lvlText w:val="%8."/>
      <w:lvlJc w:val="left"/>
      <w:pPr>
        <w:ind w:left="6959" w:hanging="360"/>
      </w:pPr>
    </w:lvl>
    <w:lvl w:ilvl="8" w:tplc="0C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2" w15:restartNumberingAfterBreak="0">
    <w:nsid w:val="61E6734A"/>
    <w:multiLevelType w:val="hybridMultilevel"/>
    <w:tmpl w:val="F30497D8"/>
    <w:lvl w:ilvl="0" w:tplc="7EB8F16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4025CEA"/>
    <w:multiLevelType w:val="hybridMultilevel"/>
    <w:tmpl w:val="AE42B68A"/>
    <w:lvl w:ilvl="0" w:tplc="D5085596">
      <w:start w:val="1"/>
      <w:numFmt w:val="lowerLetter"/>
      <w:lvlText w:val="(%1)"/>
      <w:lvlJc w:val="left"/>
      <w:pPr>
        <w:ind w:left="191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39" w:hanging="360"/>
      </w:pPr>
    </w:lvl>
    <w:lvl w:ilvl="2" w:tplc="0C09001B" w:tentative="1">
      <w:start w:val="1"/>
      <w:numFmt w:val="lowerRoman"/>
      <w:lvlText w:val="%3."/>
      <w:lvlJc w:val="right"/>
      <w:pPr>
        <w:ind w:left="3359" w:hanging="180"/>
      </w:pPr>
    </w:lvl>
    <w:lvl w:ilvl="3" w:tplc="0C09000F" w:tentative="1">
      <w:start w:val="1"/>
      <w:numFmt w:val="decimal"/>
      <w:lvlText w:val="%4."/>
      <w:lvlJc w:val="left"/>
      <w:pPr>
        <w:ind w:left="4079" w:hanging="360"/>
      </w:pPr>
    </w:lvl>
    <w:lvl w:ilvl="4" w:tplc="0C090019" w:tentative="1">
      <w:start w:val="1"/>
      <w:numFmt w:val="lowerLetter"/>
      <w:lvlText w:val="%5."/>
      <w:lvlJc w:val="left"/>
      <w:pPr>
        <w:ind w:left="4799" w:hanging="360"/>
      </w:pPr>
    </w:lvl>
    <w:lvl w:ilvl="5" w:tplc="0C09001B" w:tentative="1">
      <w:start w:val="1"/>
      <w:numFmt w:val="lowerRoman"/>
      <w:lvlText w:val="%6."/>
      <w:lvlJc w:val="right"/>
      <w:pPr>
        <w:ind w:left="5519" w:hanging="180"/>
      </w:pPr>
    </w:lvl>
    <w:lvl w:ilvl="6" w:tplc="0C09000F" w:tentative="1">
      <w:start w:val="1"/>
      <w:numFmt w:val="decimal"/>
      <w:lvlText w:val="%7."/>
      <w:lvlJc w:val="left"/>
      <w:pPr>
        <w:ind w:left="6239" w:hanging="360"/>
      </w:pPr>
    </w:lvl>
    <w:lvl w:ilvl="7" w:tplc="0C090019" w:tentative="1">
      <w:start w:val="1"/>
      <w:numFmt w:val="lowerLetter"/>
      <w:lvlText w:val="%8."/>
      <w:lvlJc w:val="left"/>
      <w:pPr>
        <w:ind w:left="6959" w:hanging="360"/>
      </w:pPr>
    </w:lvl>
    <w:lvl w:ilvl="8" w:tplc="0C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4" w15:restartNumberingAfterBreak="0">
    <w:nsid w:val="76B71397"/>
    <w:multiLevelType w:val="hybridMultilevel"/>
    <w:tmpl w:val="9EFEF848"/>
    <w:lvl w:ilvl="0" w:tplc="EB548958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7F69286C"/>
    <w:multiLevelType w:val="hybridMultilevel"/>
    <w:tmpl w:val="394461BA"/>
    <w:lvl w:ilvl="0" w:tplc="CEB82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2DAAE2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6"/>
  </w:num>
  <w:num w:numId="14">
    <w:abstractNumId w:val="23"/>
  </w:num>
  <w:num w:numId="15">
    <w:abstractNumId w:val="18"/>
  </w:num>
  <w:num w:numId="16">
    <w:abstractNumId w:val="19"/>
  </w:num>
  <w:num w:numId="17">
    <w:abstractNumId w:val="22"/>
  </w:num>
  <w:num w:numId="18">
    <w:abstractNumId w:val="21"/>
  </w:num>
  <w:num w:numId="19">
    <w:abstractNumId w:val="24"/>
  </w:num>
  <w:num w:numId="20">
    <w:abstractNumId w:val="20"/>
  </w:num>
  <w:num w:numId="21">
    <w:abstractNumId w:val="14"/>
  </w:num>
  <w:num w:numId="22">
    <w:abstractNumId w:val="15"/>
  </w:num>
  <w:num w:numId="23">
    <w:abstractNumId w:val="25"/>
  </w:num>
  <w:num w:numId="24">
    <w:abstractNumId w:val="12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53"/>
    <w:rsid w:val="00004174"/>
    <w:rsid w:val="00004470"/>
    <w:rsid w:val="000136AF"/>
    <w:rsid w:val="0001395D"/>
    <w:rsid w:val="000201A9"/>
    <w:rsid w:val="000258B1"/>
    <w:rsid w:val="00040A89"/>
    <w:rsid w:val="000437C1"/>
    <w:rsid w:val="0004455A"/>
    <w:rsid w:val="0005365D"/>
    <w:rsid w:val="00056566"/>
    <w:rsid w:val="000614BF"/>
    <w:rsid w:val="0006709C"/>
    <w:rsid w:val="00074376"/>
    <w:rsid w:val="00091862"/>
    <w:rsid w:val="00094B0C"/>
    <w:rsid w:val="000978F5"/>
    <w:rsid w:val="000B15CD"/>
    <w:rsid w:val="000B35EB"/>
    <w:rsid w:val="000D05EF"/>
    <w:rsid w:val="000E2261"/>
    <w:rsid w:val="000E78B7"/>
    <w:rsid w:val="000F21C1"/>
    <w:rsid w:val="001015B5"/>
    <w:rsid w:val="0010745C"/>
    <w:rsid w:val="001269C5"/>
    <w:rsid w:val="00132CEB"/>
    <w:rsid w:val="001339B0"/>
    <w:rsid w:val="001406C6"/>
    <w:rsid w:val="00142B62"/>
    <w:rsid w:val="001441B7"/>
    <w:rsid w:val="001516CB"/>
    <w:rsid w:val="00152336"/>
    <w:rsid w:val="00157B8B"/>
    <w:rsid w:val="00162FAD"/>
    <w:rsid w:val="00166C2F"/>
    <w:rsid w:val="0017363B"/>
    <w:rsid w:val="001809D7"/>
    <w:rsid w:val="001939E1"/>
    <w:rsid w:val="00194C3E"/>
    <w:rsid w:val="00195382"/>
    <w:rsid w:val="001B2CB6"/>
    <w:rsid w:val="001B3C7D"/>
    <w:rsid w:val="001C3AC6"/>
    <w:rsid w:val="001C61C5"/>
    <w:rsid w:val="001C69C4"/>
    <w:rsid w:val="001D37EF"/>
    <w:rsid w:val="001E3590"/>
    <w:rsid w:val="001E449C"/>
    <w:rsid w:val="001E7407"/>
    <w:rsid w:val="001F5D5E"/>
    <w:rsid w:val="001F6219"/>
    <w:rsid w:val="001F6CD4"/>
    <w:rsid w:val="00206C4D"/>
    <w:rsid w:val="00215AF1"/>
    <w:rsid w:val="0023000B"/>
    <w:rsid w:val="002321E8"/>
    <w:rsid w:val="00232984"/>
    <w:rsid w:val="0024010F"/>
    <w:rsid w:val="00240749"/>
    <w:rsid w:val="00243018"/>
    <w:rsid w:val="00245113"/>
    <w:rsid w:val="00254165"/>
    <w:rsid w:val="002564A4"/>
    <w:rsid w:val="002633FD"/>
    <w:rsid w:val="0026736C"/>
    <w:rsid w:val="0027553C"/>
    <w:rsid w:val="00281308"/>
    <w:rsid w:val="00284719"/>
    <w:rsid w:val="00290829"/>
    <w:rsid w:val="00297B04"/>
    <w:rsid w:val="00297ECB"/>
    <w:rsid w:val="002A7B94"/>
    <w:rsid w:val="002A7BCF"/>
    <w:rsid w:val="002C3FD1"/>
    <w:rsid w:val="002D043A"/>
    <w:rsid w:val="002D266B"/>
    <w:rsid w:val="002D6224"/>
    <w:rsid w:val="00304F8B"/>
    <w:rsid w:val="00327EBB"/>
    <w:rsid w:val="00335BC6"/>
    <w:rsid w:val="003415D3"/>
    <w:rsid w:val="00344338"/>
    <w:rsid w:val="00344701"/>
    <w:rsid w:val="00352B0F"/>
    <w:rsid w:val="00360459"/>
    <w:rsid w:val="00363B35"/>
    <w:rsid w:val="003767E2"/>
    <w:rsid w:val="0038049F"/>
    <w:rsid w:val="0038375B"/>
    <w:rsid w:val="003B0C82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549C"/>
    <w:rsid w:val="004379E3"/>
    <w:rsid w:val="0044015E"/>
    <w:rsid w:val="0044291A"/>
    <w:rsid w:val="004657F7"/>
    <w:rsid w:val="00467661"/>
    <w:rsid w:val="00472DBE"/>
    <w:rsid w:val="00474A19"/>
    <w:rsid w:val="00477830"/>
    <w:rsid w:val="00487764"/>
    <w:rsid w:val="00496F97"/>
    <w:rsid w:val="004A664D"/>
    <w:rsid w:val="004B2EF3"/>
    <w:rsid w:val="004B335B"/>
    <w:rsid w:val="004B6C48"/>
    <w:rsid w:val="004C4E59"/>
    <w:rsid w:val="004C6809"/>
    <w:rsid w:val="004E063A"/>
    <w:rsid w:val="004E1307"/>
    <w:rsid w:val="004E7BEC"/>
    <w:rsid w:val="004F2EED"/>
    <w:rsid w:val="00505D3D"/>
    <w:rsid w:val="00506AF6"/>
    <w:rsid w:val="00516B8D"/>
    <w:rsid w:val="005303C8"/>
    <w:rsid w:val="0053770E"/>
    <w:rsid w:val="00537FBC"/>
    <w:rsid w:val="00554826"/>
    <w:rsid w:val="005562AC"/>
    <w:rsid w:val="00562877"/>
    <w:rsid w:val="00584811"/>
    <w:rsid w:val="00585784"/>
    <w:rsid w:val="00593AA6"/>
    <w:rsid w:val="00594161"/>
    <w:rsid w:val="00594749"/>
    <w:rsid w:val="00595B1B"/>
    <w:rsid w:val="005A65D5"/>
    <w:rsid w:val="005B4067"/>
    <w:rsid w:val="005C040A"/>
    <w:rsid w:val="005C3F41"/>
    <w:rsid w:val="005C63F4"/>
    <w:rsid w:val="005D1D92"/>
    <w:rsid w:val="005D2D09"/>
    <w:rsid w:val="005E6608"/>
    <w:rsid w:val="005E7560"/>
    <w:rsid w:val="00600219"/>
    <w:rsid w:val="00600FBD"/>
    <w:rsid w:val="00604F2A"/>
    <w:rsid w:val="00620076"/>
    <w:rsid w:val="00627E0A"/>
    <w:rsid w:val="0065488B"/>
    <w:rsid w:val="0066273C"/>
    <w:rsid w:val="00670EA1"/>
    <w:rsid w:val="00677CC2"/>
    <w:rsid w:val="00687220"/>
    <w:rsid w:val="0068744B"/>
    <w:rsid w:val="00687E3F"/>
    <w:rsid w:val="006905DE"/>
    <w:rsid w:val="0069207B"/>
    <w:rsid w:val="00696320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6F3754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35DA3"/>
    <w:rsid w:val="007440B7"/>
    <w:rsid w:val="007500C8"/>
    <w:rsid w:val="00756272"/>
    <w:rsid w:val="00762D38"/>
    <w:rsid w:val="00763321"/>
    <w:rsid w:val="007715C9"/>
    <w:rsid w:val="00771613"/>
    <w:rsid w:val="00774EDD"/>
    <w:rsid w:val="007757EC"/>
    <w:rsid w:val="00775A42"/>
    <w:rsid w:val="00783E89"/>
    <w:rsid w:val="00793915"/>
    <w:rsid w:val="007B0141"/>
    <w:rsid w:val="007C2253"/>
    <w:rsid w:val="007D0DCA"/>
    <w:rsid w:val="007D7911"/>
    <w:rsid w:val="007E163D"/>
    <w:rsid w:val="007E667A"/>
    <w:rsid w:val="007F28C9"/>
    <w:rsid w:val="007F51B2"/>
    <w:rsid w:val="008040DD"/>
    <w:rsid w:val="00807DBB"/>
    <w:rsid w:val="008117E9"/>
    <w:rsid w:val="00824498"/>
    <w:rsid w:val="00826BD1"/>
    <w:rsid w:val="00835299"/>
    <w:rsid w:val="00847025"/>
    <w:rsid w:val="00854D0B"/>
    <w:rsid w:val="00856A31"/>
    <w:rsid w:val="00860B4E"/>
    <w:rsid w:val="00866502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B384D"/>
    <w:rsid w:val="008C2EAC"/>
    <w:rsid w:val="008D0EE0"/>
    <w:rsid w:val="008E0027"/>
    <w:rsid w:val="008E6067"/>
    <w:rsid w:val="008F5268"/>
    <w:rsid w:val="008F54E7"/>
    <w:rsid w:val="00903422"/>
    <w:rsid w:val="0091288E"/>
    <w:rsid w:val="009239B1"/>
    <w:rsid w:val="009254C3"/>
    <w:rsid w:val="00932377"/>
    <w:rsid w:val="00937824"/>
    <w:rsid w:val="00941236"/>
    <w:rsid w:val="00943FD5"/>
    <w:rsid w:val="00947D5A"/>
    <w:rsid w:val="0095111F"/>
    <w:rsid w:val="00951F23"/>
    <w:rsid w:val="009532A5"/>
    <w:rsid w:val="009545BD"/>
    <w:rsid w:val="00961281"/>
    <w:rsid w:val="00964CF0"/>
    <w:rsid w:val="00977806"/>
    <w:rsid w:val="00982242"/>
    <w:rsid w:val="009868E9"/>
    <w:rsid w:val="009900A3"/>
    <w:rsid w:val="009B1F99"/>
    <w:rsid w:val="009C3413"/>
    <w:rsid w:val="009E0E58"/>
    <w:rsid w:val="009E162D"/>
    <w:rsid w:val="00A0441E"/>
    <w:rsid w:val="00A12128"/>
    <w:rsid w:val="00A22C98"/>
    <w:rsid w:val="00A231E2"/>
    <w:rsid w:val="00A369E3"/>
    <w:rsid w:val="00A417BA"/>
    <w:rsid w:val="00A50327"/>
    <w:rsid w:val="00A57600"/>
    <w:rsid w:val="00A64912"/>
    <w:rsid w:val="00A70A74"/>
    <w:rsid w:val="00A75FE9"/>
    <w:rsid w:val="00AA3CF5"/>
    <w:rsid w:val="00AD53CC"/>
    <w:rsid w:val="00AD5641"/>
    <w:rsid w:val="00AF06CF"/>
    <w:rsid w:val="00B07CDB"/>
    <w:rsid w:val="00B16A31"/>
    <w:rsid w:val="00B17DFD"/>
    <w:rsid w:val="00B24E03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07FE"/>
    <w:rsid w:val="00BC6DE7"/>
    <w:rsid w:val="00BC76AC"/>
    <w:rsid w:val="00BD0ECB"/>
    <w:rsid w:val="00BD1D9D"/>
    <w:rsid w:val="00BE2155"/>
    <w:rsid w:val="00BE719A"/>
    <w:rsid w:val="00BE720A"/>
    <w:rsid w:val="00BF0D73"/>
    <w:rsid w:val="00BF2465"/>
    <w:rsid w:val="00C1403B"/>
    <w:rsid w:val="00C15853"/>
    <w:rsid w:val="00C16619"/>
    <w:rsid w:val="00C208CD"/>
    <w:rsid w:val="00C25E7F"/>
    <w:rsid w:val="00C2746F"/>
    <w:rsid w:val="00C323D6"/>
    <w:rsid w:val="00C324A0"/>
    <w:rsid w:val="00C42BF8"/>
    <w:rsid w:val="00C50043"/>
    <w:rsid w:val="00C7573B"/>
    <w:rsid w:val="00C76CC7"/>
    <w:rsid w:val="00C97A54"/>
    <w:rsid w:val="00CA1148"/>
    <w:rsid w:val="00CA5B23"/>
    <w:rsid w:val="00CB1268"/>
    <w:rsid w:val="00CB602E"/>
    <w:rsid w:val="00CB7E90"/>
    <w:rsid w:val="00CC3953"/>
    <w:rsid w:val="00CD28A0"/>
    <w:rsid w:val="00CD5AF4"/>
    <w:rsid w:val="00CE051D"/>
    <w:rsid w:val="00CE1335"/>
    <w:rsid w:val="00CE493D"/>
    <w:rsid w:val="00CF07FA"/>
    <w:rsid w:val="00CF0BB2"/>
    <w:rsid w:val="00CF3EE8"/>
    <w:rsid w:val="00D11555"/>
    <w:rsid w:val="00D13441"/>
    <w:rsid w:val="00D150E7"/>
    <w:rsid w:val="00D22FFF"/>
    <w:rsid w:val="00D3487D"/>
    <w:rsid w:val="00D52DC2"/>
    <w:rsid w:val="00D53BCC"/>
    <w:rsid w:val="00D54C9E"/>
    <w:rsid w:val="00D54C9F"/>
    <w:rsid w:val="00D6537E"/>
    <w:rsid w:val="00D67661"/>
    <w:rsid w:val="00D70DFB"/>
    <w:rsid w:val="00D766DF"/>
    <w:rsid w:val="00D8206C"/>
    <w:rsid w:val="00D90B69"/>
    <w:rsid w:val="00D91F10"/>
    <w:rsid w:val="00DA186E"/>
    <w:rsid w:val="00DA4116"/>
    <w:rsid w:val="00DB251C"/>
    <w:rsid w:val="00DB4630"/>
    <w:rsid w:val="00DC4773"/>
    <w:rsid w:val="00DC4F88"/>
    <w:rsid w:val="00DE107C"/>
    <w:rsid w:val="00DF2388"/>
    <w:rsid w:val="00E05704"/>
    <w:rsid w:val="00E07AC8"/>
    <w:rsid w:val="00E21558"/>
    <w:rsid w:val="00E338EF"/>
    <w:rsid w:val="00E41370"/>
    <w:rsid w:val="00E544BB"/>
    <w:rsid w:val="00E63B54"/>
    <w:rsid w:val="00E728BF"/>
    <w:rsid w:val="00E74DC7"/>
    <w:rsid w:val="00E8075A"/>
    <w:rsid w:val="00E91D4D"/>
    <w:rsid w:val="00E940D8"/>
    <w:rsid w:val="00E94D5E"/>
    <w:rsid w:val="00E96E82"/>
    <w:rsid w:val="00EA7100"/>
    <w:rsid w:val="00EA7F9F"/>
    <w:rsid w:val="00EB1274"/>
    <w:rsid w:val="00EB7208"/>
    <w:rsid w:val="00ED2BB6"/>
    <w:rsid w:val="00ED34E1"/>
    <w:rsid w:val="00ED3AF5"/>
    <w:rsid w:val="00ED3B8D"/>
    <w:rsid w:val="00EE5E36"/>
    <w:rsid w:val="00EF2E3A"/>
    <w:rsid w:val="00F02C7C"/>
    <w:rsid w:val="00F072A7"/>
    <w:rsid w:val="00F078DC"/>
    <w:rsid w:val="00F07B7F"/>
    <w:rsid w:val="00F21A00"/>
    <w:rsid w:val="00F241D8"/>
    <w:rsid w:val="00F32BA8"/>
    <w:rsid w:val="00F32EE0"/>
    <w:rsid w:val="00F349F1"/>
    <w:rsid w:val="00F4350D"/>
    <w:rsid w:val="00F479C4"/>
    <w:rsid w:val="00F567F7"/>
    <w:rsid w:val="00F6696E"/>
    <w:rsid w:val="00F73BD6"/>
    <w:rsid w:val="00F83501"/>
    <w:rsid w:val="00F83989"/>
    <w:rsid w:val="00F85099"/>
    <w:rsid w:val="00F9379C"/>
    <w:rsid w:val="00F94CA8"/>
    <w:rsid w:val="00F9632C"/>
    <w:rsid w:val="00FA1E52"/>
    <w:rsid w:val="00FB112E"/>
    <w:rsid w:val="00FB572F"/>
    <w:rsid w:val="00FB5A08"/>
    <w:rsid w:val="00FC4F37"/>
    <w:rsid w:val="00FC6A80"/>
    <w:rsid w:val="00FD131C"/>
    <w:rsid w:val="00FE0547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CC1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091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86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8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3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as5w\AppData\Local\Temp\16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0</TotalTime>
  <Pages>7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2023-03-24T03:47:00Z</dcterms:created>
  <dcterms:modified xsi:type="dcterms:W3CDTF">2023-03-24T03:47:00Z</dcterms:modified>
</cp:coreProperties>
</file>