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FE8E" w14:textId="13FA80AD" w:rsidR="00715914" w:rsidRPr="00A8082F" w:rsidRDefault="00F644C9" w:rsidP="00D66A7E">
      <w:pPr>
        <w:rPr>
          <w:sz w:val="28"/>
        </w:rPr>
      </w:pPr>
      <w:r w:rsidRPr="00A8082F">
        <w:rPr>
          <w:noProof/>
          <w:sz w:val="20"/>
        </w:rPr>
        <w:drawing>
          <wp:inline distT="0" distB="0" distL="0" distR="0" wp14:anchorId="0C2739F4" wp14:editId="5350912C">
            <wp:extent cx="2413635" cy="701675"/>
            <wp:effectExtent l="0" t="0" r="0" b="6985"/>
            <wp:docPr id="2"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ATO logo containing the Federal Government crest and the words Australian Taxation Off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4685F7C" w14:textId="77777777" w:rsidR="00715914" w:rsidRPr="00A8082F" w:rsidRDefault="00715914" w:rsidP="00D66A7E">
      <w:pPr>
        <w:rPr>
          <w:sz w:val="19"/>
        </w:rPr>
      </w:pPr>
    </w:p>
    <w:p w14:paraId="7323DFFA" w14:textId="34A35FCE" w:rsidR="00554826" w:rsidRPr="00A8082F" w:rsidRDefault="00340190" w:rsidP="00D66A7E">
      <w:pPr>
        <w:pStyle w:val="ShortT"/>
      </w:pPr>
      <w:r w:rsidRPr="00A8082F">
        <w:t>Taxation Administration</w:t>
      </w:r>
      <w:r w:rsidR="00554826" w:rsidRPr="00A8082F">
        <w:t xml:space="preserve"> (</w:t>
      </w:r>
      <w:r w:rsidRPr="00A8082F">
        <w:t>Withholding Variation for Personal Services Income</w:t>
      </w:r>
      <w:r w:rsidR="00554826" w:rsidRPr="00A8082F">
        <w:t xml:space="preserve">) </w:t>
      </w:r>
      <w:r w:rsidRPr="00A8082F">
        <w:t>Legislative Instrument 2023</w:t>
      </w:r>
    </w:p>
    <w:p w14:paraId="4254620C" w14:textId="23E011D0" w:rsidR="00554826" w:rsidRPr="00A8082F" w:rsidRDefault="00554826" w:rsidP="00D66A7E">
      <w:pPr>
        <w:pStyle w:val="SignCoverPageStart"/>
        <w:spacing w:before="240"/>
        <w:ind w:right="91"/>
        <w:rPr>
          <w:szCs w:val="22"/>
        </w:rPr>
      </w:pPr>
      <w:r w:rsidRPr="00A8082F">
        <w:rPr>
          <w:szCs w:val="22"/>
        </w:rPr>
        <w:t xml:space="preserve">I, </w:t>
      </w:r>
      <w:r w:rsidR="00340190" w:rsidRPr="00A8082F">
        <w:rPr>
          <w:szCs w:val="22"/>
        </w:rPr>
        <w:t>Ben Kelly, Deputy Commissioner of Taxation</w:t>
      </w:r>
      <w:r w:rsidRPr="00A8082F">
        <w:rPr>
          <w:szCs w:val="22"/>
        </w:rPr>
        <w:t xml:space="preserve">, make the following </w:t>
      </w:r>
      <w:r w:rsidR="00340190" w:rsidRPr="00A8082F">
        <w:rPr>
          <w:szCs w:val="22"/>
        </w:rPr>
        <w:t>legislative instrument</w:t>
      </w:r>
      <w:r w:rsidRPr="00A8082F">
        <w:rPr>
          <w:szCs w:val="22"/>
        </w:rPr>
        <w:t>.</w:t>
      </w:r>
    </w:p>
    <w:p w14:paraId="3A423350" w14:textId="16C6FAC5" w:rsidR="00554826" w:rsidRPr="00A8082F" w:rsidRDefault="00554826" w:rsidP="00D66A7E">
      <w:pPr>
        <w:keepNext/>
        <w:spacing w:before="300" w:line="240" w:lineRule="atLeast"/>
        <w:ind w:right="397"/>
        <w:jc w:val="both"/>
        <w:rPr>
          <w:szCs w:val="22"/>
        </w:rPr>
      </w:pPr>
      <w:r w:rsidRPr="00A8082F">
        <w:rPr>
          <w:szCs w:val="22"/>
        </w:rPr>
        <w:t>Dated</w:t>
      </w:r>
      <w:r w:rsidRPr="00A8082F">
        <w:rPr>
          <w:szCs w:val="22"/>
        </w:rPr>
        <w:tab/>
      </w:r>
      <w:r w:rsidR="00470F94" w:rsidRPr="00A8082F">
        <w:rPr>
          <w:szCs w:val="22"/>
        </w:rPr>
        <w:tab/>
        <w:t>15 March 2023</w:t>
      </w:r>
    </w:p>
    <w:p w14:paraId="73D4ED55" w14:textId="77777777" w:rsidR="00392085" w:rsidRPr="00A8082F" w:rsidRDefault="00340190" w:rsidP="00D66A7E">
      <w:pPr>
        <w:keepNext/>
        <w:tabs>
          <w:tab w:val="left" w:pos="3402"/>
        </w:tabs>
        <w:spacing w:before="1440" w:line="300" w:lineRule="atLeast"/>
        <w:ind w:right="397"/>
        <w:rPr>
          <w:szCs w:val="22"/>
        </w:rPr>
      </w:pPr>
      <w:r w:rsidRPr="00A8082F">
        <w:rPr>
          <w:szCs w:val="22"/>
        </w:rPr>
        <w:t>Ben Kelly</w:t>
      </w:r>
    </w:p>
    <w:p w14:paraId="4AFC76B9" w14:textId="70BF3EB1" w:rsidR="00554826" w:rsidRPr="00A8082F" w:rsidRDefault="00340190" w:rsidP="00D66A7E">
      <w:pPr>
        <w:pStyle w:val="SignCoverPageEnd"/>
        <w:ind w:right="91"/>
        <w:rPr>
          <w:sz w:val="22"/>
        </w:rPr>
      </w:pPr>
      <w:r w:rsidRPr="00A8082F">
        <w:rPr>
          <w:sz w:val="22"/>
        </w:rPr>
        <w:t>Deputy Commissioner of Taxation</w:t>
      </w:r>
    </w:p>
    <w:p w14:paraId="526371B8" w14:textId="77777777" w:rsidR="00554826" w:rsidRPr="00A8082F" w:rsidRDefault="00554826" w:rsidP="00D66A7E"/>
    <w:p w14:paraId="4C0E89DE" w14:textId="77777777" w:rsidR="00554826" w:rsidRPr="00A8082F" w:rsidRDefault="00554826" w:rsidP="00D66A7E"/>
    <w:p w14:paraId="64CBE44F" w14:textId="77777777" w:rsidR="00F6696E" w:rsidRPr="00A8082F" w:rsidRDefault="00F6696E" w:rsidP="00D66A7E"/>
    <w:p w14:paraId="7D02A2A8" w14:textId="77777777" w:rsidR="00F6696E" w:rsidRPr="00A8082F" w:rsidRDefault="00F6696E" w:rsidP="00D66A7E">
      <w:pPr>
        <w:sectPr w:rsidR="00F6696E" w:rsidRPr="00A8082F"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6926FFD0" w14:textId="77777777" w:rsidR="007500C8" w:rsidRPr="00A8082F" w:rsidRDefault="00715914" w:rsidP="00D66A7E">
      <w:pPr>
        <w:outlineLvl w:val="0"/>
        <w:rPr>
          <w:sz w:val="36"/>
        </w:rPr>
      </w:pPr>
      <w:r w:rsidRPr="00A8082F">
        <w:rPr>
          <w:sz w:val="36"/>
        </w:rPr>
        <w:lastRenderedPageBreak/>
        <w:t>Contents</w:t>
      </w:r>
    </w:p>
    <w:p w14:paraId="51F3E819" w14:textId="07ECB11D" w:rsidR="00392085" w:rsidRPr="00A8082F" w:rsidRDefault="00B418CB">
      <w:pPr>
        <w:pStyle w:val="TOC5"/>
        <w:rPr>
          <w:rFonts w:asciiTheme="minorHAnsi" w:eastAsiaTheme="minorEastAsia" w:hAnsiTheme="minorHAnsi" w:cstheme="minorBidi"/>
          <w:noProof/>
          <w:kern w:val="0"/>
          <w:sz w:val="22"/>
          <w:szCs w:val="22"/>
        </w:rPr>
      </w:pPr>
      <w:r w:rsidRPr="00A8082F">
        <w:fldChar w:fldCharType="begin"/>
      </w:r>
      <w:r w:rsidRPr="00A8082F">
        <w:instrText xml:space="preserve"> TOC \o "1-9" </w:instrText>
      </w:r>
      <w:r w:rsidRPr="00A8082F">
        <w:fldChar w:fldCharType="separate"/>
      </w:r>
      <w:r w:rsidR="00392085" w:rsidRPr="00A8082F">
        <w:rPr>
          <w:noProof/>
        </w:rPr>
        <w:t>1  Name</w:t>
      </w:r>
      <w:r w:rsidR="00392085" w:rsidRPr="00A8082F">
        <w:rPr>
          <w:noProof/>
        </w:rPr>
        <w:tab/>
      </w:r>
      <w:r w:rsidR="00392085" w:rsidRPr="00A8082F">
        <w:rPr>
          <w:noProof/>
        </w:rPr>
        <w:fldChar w:fldCharType="begin"/>
      </w:r>
      <w:r w:rsidR="00392085" w:rsidRPr="00A8082F">
        <w:rPr>
          <w:noProof/>
        </w:rPr>
        <w:instrText xml:space="preserve"> PAGEREF _Toc128043896 \h </w:instrText>
      </w:r>
      <w:r w:rsidR="00392085" w:rsidRPr="00A8082F">
        <w:rPr>
          <w:noProof/>
        </w:rPr>
      </w:r>
      <w:r w:rsidR="00392085" w:rsidRPr="00A8082F">
        <w:rPr>
          <w:noProof/>
        </w:rPr>
        <w:fldChar w:fldCharType="separate"/>
      </w:r>
      <w:r w:rsidR="00392085" w:rsidRPr="00A8082F">
        <w:rPr>
          <w:noProof/>
        </w:rPr>
        <w:t>1</w:t>
      </w:r>
      <w:r w:rsidR="00392085" w:rsidRPr="00A8082F">
        <w:rPr>
          <w:noProof/>
        </w:rPr>
        <w:fldChar w:fldCharType="end"/>
      </w:r>
    </w:p>
    <w:p w14:paraId="151BFB00" w14:textId="1E5FDCC3" w:rsidR="00392085" w:rsidRPr="00A8082F" w:rsidRDefault="00392085">
      <w:pPr>
        <w:pStyle w:val="TOC5"/>
        <w:rPr>
          <w:rFonts w:asciiTheme="minorHAnsi" w:eastAsiaTheme="minorEastAsia" w:hAnsiTheme="minorHAnsi" w:cstheme="minorBidi"/>
          <w:noProof/>
          <w:kern w:val="0"/>
          <w:sz w:val="22"/>
          <w:szCs w:val="22"/>
        </w:rPr>
      </w:pPr>
      <w:r w:rsidRPr="00A8082F">
        <w:rPr>
          <w:noProof/>
        </w:rPr>
        <w:t>2  Commencement</w:t>
      </w:r>
      <w:r w:rsidRPr="00A8082F">
        <w:rPr>
          <w:noProof/>
        </w:rPr>
        <w:tab/>
      </w:r>
      <w:r w:rsidRPr="00A8082F">
        <w:rPr>
          <w:noProof/>
        </w:rPr>
        <w:fldChar w:fldCharType="begin"/>
      </w:r>
      <w:r w:rsidRPr="00A8082F">
        <w:rPr>
          <w:noProof/>
        </w:rPr>
        <w:instrText xml:space="preserve"> PAGEREF _Toc128043897 \h </w:instrText>
      </w:r>
      <w:r w:rsidRPr="00A8082F">
        <w:rPr>
          <w:noProof/>
        </w:rPr>
      </w:r>
      <w:r w:rsidRPr="00A8082F">
        <w:rPr>
          <w:noProof/>
        </w:rPr>
        <w:fldChar w:fldCharType="separate"/>
      </w:r>
      <w:r w:rsidRPr="00A8082F">
        <w:rPr>
          <w:noProof/>
        </w:rPr>
        <w:t>1</w:t>
      </w:r>
      <w:r w:rsidRPr="00A8082F">
        <w:rPr>
          <w:noProof/>
        </w:rPr>
        <w:fldChar w:fldCharType="end"/>
      </w:r>
    </w:p>
    <w:p w14:paraId="6D78E266" w14:textId="619C51FB" w:rsidR="00392085" w:rsidRPr="00A8082F" w:rsidRDefault="00392085">
      <w:pPr>
        <w:pStyle w:val="TOC5"/>
        <w:rPr>
          <w:rFonts w:asciiTheme="minorHAnsi" w:eastAsiaTheme="minorEastAsia" w:hAnsiTheme="minorHAnsi" w:cstheme="minorBidi"/>
          <w:noProof/>
          <w:kern w:val="0"/>
          <w:sz w:val="22"/>
          <w:szCs w:val="22"/>
        </w:rPr>
      </w:pPr>
      <w:r w:rsidRPr="00A8082F">
        <w:rPr>
          <w:noProof/>
        </w:rPr>
        <w:t>3  Authority</w:t>
      </w:r>
      <w:r w:rsidRPr="00A8082F">
        <w:rPr>
          <w:noProof/>
        </w:rPr>
        <w:tab/>
      </w:r>
      <w:r w:rsidRPr="00A8082F">
        <w:rPr>
          <w:noProof/>
        </w:rPr>
        <w:fldChar w:fldCharType="begin"/>
      </w:r>
      <w:r w:rsidRPr="00A8082F">
        <w:rPr>
          <w:noProof/>
        </w:rPr>
        <w:instrText xml:space="preserve"> PAGEREF _Toc128043898 \h </w:instrText>
      </w:r>
      <w:r w:rsidRPr="00A8082F">
        <w:rPr>
          <w:noProof/>
        </w:rPr>
      </w:r>
      <w:r w:rsidRPr="00A8082F">
        <w:rPr>
          <w:noProof/>
        </w:rPr>
        <w:fldChar w:fldCharType="separate"/>
      </w:r>
      <w:r w:rsidRPr="00A8082F">
        <w:rPr>
          <w:noProof/>
        </w:rPr>
        <w:t>1</w:t>
      </w:r>
      <w:r w:rsidRPr="00A8082F">
        <w:rPr>
          <w:noProof/>
        </w:rPr>
        <w:fldChar w:fldCharType="end"/>
      </w:r>
    </w:p>
    <w:p w14:paraId="5192541F" w14:textId="043362F1" w:rsidR="00392085" w:rsidRPr="00A8082F" w:rsidRDefault="00392085">
      <w:pPr>
        <w:pStyle w:val="TOC5"/>
        <w:rPr>
          <w:rFonts w:asciiTheme="minorHAnsi" w:eastAsiaTheme="minorEastAsia" w:hAnsiTheme="minorHAnsi" w:cstheme="minorBidi"/>
          <w:noProof/>
          <w:kern w:val="0"/>
          <w:sz w:val="22"/>
          <w:szCs w:val="22"/>
        </w:rPr>
      </w:pPr>
      <w:r w:rsidRPr="00A8082F">
        <w:rPr>
          <w:noProof/>
        </w:rPr>
        <w:t>4  Definitions</w:t>
      </w:r>
      <w:r w:rsidRPr="00A8082F">
        <w:rPr>
          <w:noProof/>
        </w:rPr>
        <w:tab/>
      </w:r>
      <w:r w:rsidRPr="00A8082F">
        <w:rPr>
          <w:noProof/>
        </w:rPr>
        <w:fldChar w:fldCharType="begin"/>
      </w:r>
      <w:r w:rsidRPr="00A8082F">
        <w:rPr>
          <w:noProof/>
        </w:rPr>
        <w:instrText xml:space="preserve"> PAGEREF _Toc128043899 \h </w:instrText>
      </w:r>
      <w:r w:rsidRPr="00A8082F">
        <w:rPr>
          <w:noProof/>
        </w:rPr>
      </w:r>
      <w:r w:rsidRPr="00A8082F">
        <w:rPr>
          <w:noProof/>
        </w:rPr>
        <w:fldChar w:fldCharType="separate"/>
      </w:r>
      <w:r w:rsidRPr="00A8082F">
        <w:rPr>
          <w:noProof/>
        </w:rPr>
        <w:t>1</w:t>
      </w:r>
      <w:r w:rsidRPr="00A8082F">
        <w:rPr>
          <w:noProof/>
        </w:rPr>
        <w:fldChar w:fldCharType="end"/>
      </w:r>
    </w:p>
    <w:p w14:paraId="75B206D8" w14:textId="2C9359F0" w:rsidR="00392085" w:rsidRPr="00A8082F" w:rsidRDefault="00392085">
      <w:pPr>
        <w:pStyle w:val="TOC5"/>
        <w:rPr>
          <w:rFonts w:asciiTheme="minorHAnsi" w:eastAsiaTheme="minorEastAsia" w:hAnsiTheme="minorHAnsi" w:cstheme="minorBidi"/>
          <w:noProof/>
          <w:kern w:val="0"/>
          <w:sz w:val="22"/>
          <w:szCs w:val="22"/>
        </w:rPr>
      </w:pPr>
      <w:r w:rsidRPr="00A8082F">
        <w:rPr>
          <w:noProof/>
        </w:rPr>
        <w:t>5  Schedules</w:t>
      </w:r>
      <w:r w:rsidRPr="00A8082F">
        <w:rPr>
          <w:noProof/>
        </w:rPr>
        <w:tab/>
      </w:r>
      <w:r w:rsidRPr="00A8082F">
        <w:rPr>
          <w:noProof/>
        </w:rPr>
        <w:fldChar w:fldCharType="begin"/>
      </w:r>
      <w:r w:rsidRPr="00A8082F">
        <w:rPr>
          <w:noProof/>
        </w:rPr>
        <w:instrText xml:space="preserve"> PAGEREF _Toc128043900 \h </w:instrText>
      </w:r>
      <w:r w:rsidRPr="00A8082F">
        <w:rPr>
          <w:noProof/>
        </w:rPr>
      </w:r>
      <w:r w:rsidRPr="00A8082F">
        <w:rPr>
          <w:noProof/>
        </w:rPr>
        <w:fldChar w:fldCharType="separate"/>
      </w:r>
      <w:r w:rsidRPr="00A8082F">
        <w:rPr>
          <w:noProof/>
        </w:rPr>
        <w:t>2</w:t>
      </w:r>
      <w:r w:rsidRPr="00A8082F">
        <w:rPr>
          <w:noProof/>
        </w:rPr>
        <w:fldChar w:fldCharType="end"/>
      </w:r>
    </w:p>
    <w:p w14:paraId="49BD87A7" w14:textId="242FAE23" w:rsidR="00392085" w:rsidRPr="00A8082F" w:rsidRDefault="00392085">
      <w:pPr>
        <w:pStyle w:val="TOC5"/>
        <w:rPr>
          <w:rFonts w:asciiTheme="minorHAnsi" w:eastAsiaTheme="minorEastAsia" w:hAnsiTheme="minorHAnsi" w:cstheme="minorBidi"/>
          <w:noProof/>
          <w:kern w:val="0"/>
          <w:sz w:val="22"/>
          <w:szCs w:val="22"/>
        </w:rPr>
      </w:pPr>
      <w:r w:rsidRPr="00A8082F">
        <w:rPr>
          <w:noProof/>
        </w:rPr>
        <w:t>6  Variation of withholding for alienated personal services income</w:t>
      </w:r>
      <w:r w:rsidRPr="00A8082F">
        <w:rPr>
          <w:noProof/>
        </w:rPr>
        <w:tab/>
      </w:r>
      <w:r w:rsidRPr="00A8082F">
        <w:rPr>
          <w:noProof/>
        </w:rPr>
        <w:fldChar w:fldCharType="begin"/>
      </w:r>
      <w:r w:rsidRPr="00A8082F">
        <w:rPr>
          <w:noProof/>
        </w:rPr>
        <w:instrText xml:space="preserve"> PAGEREF _Toc128043901 \h </w:instrText>
      </w:r>
      <w:r w:rsidRPr="00A8082F">
        <w:rPr>
          <w:noProof/>
        </w:rPr>
      </w:r>
      <w:r w:rsidRPr="00A8082F">
        <w:rPr>
          <w:noProof/>
        </w:rPr>
        <w:fldChar w:fldCharType="separate"/>
      </w:r>
      <w:r w:rsidRPr="00A8082F">
        <w:rPr>
          <w:noProof/>
        </w:rPr>
        <w:t>2</w:t>
      </w:r>
      <w:r w:rsidRPr="00A8082F">
        <w:rPr>
          <w:noProof/>
        </w:rPr>
        <w:fldChar w:fldCharType="end"/>
      </w:r>
    </w:p>
    <w:p w14:paraId="0709DCD3" w14:textId="11B87925" w:rsidR="00392085" w:rsidRPr="00A8082F" w:rsidRDefault="00392085">
      <w:pPr>
        <w:pStyle w:val="TOC6"/>
        <w:rPr>
          <w:rFonts w:asciiTheme="minorHAnsi" w:eastAsiaTheme="minorEastAsia" w:hAnsiTheme="minorHAnsi" w:cstheme="minorBidi"/>
          <w:b w:val="0"/>
          <w:noProof/>
          <w:kern w:val="0"/>
          <w:sz w:val="22"/>
          <w:szCs w:val="22"/>
        </w:rPr>
      </w:pPr>
      <w:r w:rsidRPr="00A8082F">
        <w:rPr>
          <w:noProof/>
        </w:rPr>
        <w:t>Schedule 1—Repeals</w:t>
      </w:r>
      <w:r w:rsidRPr="00A8082F">
        <w:rPr>
          <w:noProof/>
        </w:rPr>
        <w:tab/>
      </w:r>
      <w:r w:rsidRPr="00A8082F">
        <w:rPr>
          <w:noProof/>
        </w:rPr>
        <w:fldChar w:fldCharType="begin"/>
      </w:r>
      <w:r w:rsidRPr="00A8082F">
        <w:rPr>
          <w:noProof/>
        </w:rPr>
        <w:instrText xml:space="preserve"> PAGEREF _Toc128043902 \h </w:instrText>
      </w:r>
      <w:r w:rsidRPr="00A8082F">
        <w:rPr>
          <w:noProof/>
        </w:rPr>
      </w:r>
      <w:r w:rsidRPr="00A8082F">
        <w:rPr>
          <w:noProof/>
        </w:rPr>
        <w:fldChar w:fldCharType="separate"/>
      </w:r>
      <w:r w:rsidRPr="00A8082F">
        <w:rPr>
          <w:noProof/>
        </w:rPr>
        <w:t>3</w:t>
      </w:r>
      <w:r w:rsidRPr="00A8082F">
        <w:rPr>
          <w:noProof/>
        </w:rPr>
        <w:fldChar w:fldCharType="end"/>
      </w:r>
    </w:p>
    <w:p w14:paraId="20694540" w14:textId="65CB4E51" w:rsidR="00392085" w:rsidRPr="00A8082F" w:rsidRDefault="00392085">
      <w:pPr>
        <w:pStyle w:val="TOC9"/>
        <w:rPr>
          <w:rFonts w:asciiTheme="minorHAnsi" w:eastAsiaTheme="minorEastAsia" w:hAnsiTheme="minorHAnsi" w:cstheme="minorBidi"/>
          <w:i w:val="0"/>
          <w:noProof/>
          <w:kern w:val="0"/>
          <w:sz w:val="22"/>
          <w:szCs w:val="22"/>
        </w:rPr>
      </w:pPr>
      <w:r w:rsidRPr="00A8082F">
        <w:rPr>
          <w:noProof/>
        </w:rPr>
        <w:t>Variation of withholding for personal services income</w:t>
      </w:r>
      <w:r w:rsidRPr="00A8082F">
        <w:rPr>
          <w:i w:val="0"/>
          <w:iCs/>
          <w:noProof/>
        </w:rPr>
        <w:t xml:space="preserve"> (15/03/2013)</w:t>
      </w:r>
      <w:r w:rsidRPr="00A8082F">
        <w:rPr>
          <w:noProof/>
        </w:rPr>
        <w:tab/>
      </w:r>
      <w:r w:rsidRPr="00A8082F">
        <w:rPr>
          <w:noProof/>
        </w:rPr>
        <w:fldChar w:fldCharType="begin"/>
      </w:r>
      <w:r w:rsidRPr="00A8082F">
        <w:rPr>
          <w:noProof/>
        </w:rPr>
        <w:instrText xml:space="preserve"> PAGEREF _Toc128043903 \h </w:instrText>
      </w:r>
      <w:r w:rsidRPr="00A8082F">
        <w:rPr>
          <w:noProof/>
        </w:rPr>
      </w:r>
      <w:r w:rsidRPr="00A8082F">
        <w:rPr>
          <w:noProof/>
        </w:rPr>
        <w:fldChar w:fldCharType="separate"/>
      </w:r>
      <w:r w:rsidRPr="00A8082F">
        <w:rPr>
          <w:noProof/>
        </w:rPr>
        <w:t>3</w:t>
      </w:r>
      <w:r w:rsidRPr="00A8082F">
        <w:rPr>
          <w:noProof/>
        </w:rPr>
        <w:fldChar w:fldCharType="end"/>
      </w:r>
    </w:p>
    <w:p w14:paraId="59A0132C" w14:textId="01925D61" w:rsidR="00F6696E" w:rsidRPr="00A8082F" w:rsidRDefault="00B418CB" w:rsidP="00D66A7E">
      <w:pPr>
        <w:outlineLvl w:val="0"/>
      </w:pPr>
      <w:r w:rsidRPr="00A8082F">
        <w:fldChar w:fldCharType="end"/>
      </w:r>
    </w:p>
    <w:p w14:paraId="6D0C69E8" w14:textId="77777777" w:rsidR="00F6696E" w:rsidRPr="00A8082F" w:rsidRDefault="00F6696E" w:rsidP="00D66A7E">
      <w:pPr>
        <w:outlineLvl w:val="0"/>
        <w:rPr>
          <w:sz w:val="20"/>
        </w:rPr>
      </w:pPr>
    </w:p>
    <w:p w14:paraId="1047CAD7" w14:textId="77777777" w:rsidR="00F6696E" w:rsidRPr="00A8082F" w:rsidRDefault="00F6696E" w:rsidP="00D66A7E">
      <w:pPr>
        <w:sectPr w:rsidR="00F6696E" w:rsidRPr="00A8082F"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D3D60C4" w14:textId="77777777" w:rsidR="00554826" w:rsidRPr="00A8082F" w:rsidRDefault="00554826" w:rsidP="00D66A7E">
      <w:pPr>
        <w:pStyle w:val="ActHead5"/>
      </w:pPr>
      <w:bookmarkStart w:id="0" w:name="_Toc128043896"/>
      <w:r w:rsidRPr="00A8082F">
        <w:lastRenderedPageBreak/>
        <w:t>1  Name</w:t>
      </w:r>
      <w:bookmarkEnd w:id="0"/>
    </w:p>
    <w:p w14:paraId="77B53787" w14:textId="4B332B1B" w:rsidR="00392085" w:rsidRPr="00A8082F" w:rsidRDefault="00554826" w:rsidP="00D66A7E">
      <w:pPr>
        <w:pStyle w:val="subsection"/>
        <w:tabs>
          <w:tab w:val="clear" w:pos="1021"/>
          <w:tab w:val="right" w:pos="851"/>
        </w:tabs>
        <w:rPr>
          <w:i/>
        </w:rPr>
      </w:pPr>
      <w:r w:rsidRPr="00A8082F">
        <w:tab/>
      </w:r>
      <w:r w:rsidRPr="00A8082F">
        <w:tab/>
        <w:t xml:space="preserve">This instrument is the </w:t>
      </w:r>
      <w:r w:rsidR="00340190" w:rsidRPr="00A8082F">
        <w:rPr>
          <w:i/>
        </w:rPr>
        <w:t>Taxation Administration (Withholding Variation for Personal Services Income) Legislative Instrument</w:t>
      </w:r>
      <w:r w:rsidR="00FE50F9" w:rsidRPr="00A8082F">
        <w:rPr>
          <w:i/>
        </w:rPr>
        <w:t xml:space="preserve"> 2023.</w:t>
      </w:r>
    </w:p>
    <w:p w14:paraId="2ED25BE0" w14:textId="392C6897" w:rsidR="00554826" w:rsidRPr="00A8082F" w:rsidRDefault="00554826" w:rsidP="00D66A7E">
      <w:pPr>
        <w:pStyle w:val="ActHead5"/>
      </w:pPr>
      <w:bookmarkStart w:id="1" w:name="_Toc128043897"/>
      <w:r w:rsidRPr="00A8082F">
        <w:t>2  Commencement</w:t>
      </w:r>
      <w:bookmarkEnd w:id="1"/>
    </w:p>
    <w:p w14:paraId="571B5B6B" w14:textId="77777777" w:rsidR="003767E2" w:rsidRPr="00A8082F" w:rsidRDefault="003767E2" w:rsidP="00D66A7E">
      <w:pPr>
        <w:pStyle w:val="subsection"/>
        <w:tabs>
          <w:tab w:val="clear" w:pos="1021"/>
          <w:tab w:val="right" w:pos="851"/>
        </w:tabs>
      </w:pPr>
      <w:r w:rsidRPr="00A8082F">
        <w:tab/>
        <w:t>(1)</w:t>
      </w:r>
      <w:r w:rsidRPr="00A8082F">
        <w:tab/>
        <w:t>Each provision of this instrument specified in column 1 of the table commences, or is taken to have commenced, in accordance with column 2 of the table. Any other statement in column 2 has effect according to its terms.</w:t>
      </w:r>
    </w:p>
    <w:p w14:paraId="4F8EF6CE" w14:textId="77777777" w:rsidR="003767E2" w:rsidRPr="00A8082F" w:rsidRDefault="003767E2" w:rsidP="00D66A7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A8082F" w14:paraId="0501D357" w14:textId="77777777" w:rsidTr="00A02135">
        <w:trPr>
          <w:tblHeader/>
        </w:trPr>
        <w:tc>
          <w:tcPr>
            <w:tcW w:w="8364" w:type="dxa"/>
            <w:gridSpan w:val="3"/>
            <w:tcBorders>
              <w:top w:val="single" w:sz="12" w:space="0" w:color="auto"/>
              <w:bottom w:val="single" w:sz="6" w:space="0" w:color="auto"/>
            </w:tcBorders>
            <w:shd w:val="clear" w:color="auto" w:fill="auto"/>
            <w:hideMark/>
          </w:tcPr>
          <w:p w14:paraId="3A9F1BFF" w14:textId="77777777" w:rsidR="003767E2" w:rsidRPr="00A8082F" w:rsidRDefault="003767E2" w:rsidP="00D66A7E">
            <w:pPr>
              <w:pStyle w:val="TableHeading"/>
            </w:pPr>
            <w:r w:rsidRPr="00A8082F">
              <w:t>Commencement information</w:t>
            </w:r>
          </w:p>
        </w:tc>
      </w:tr>
      <w:tr w:rsidR="003767E2" w:rsidRPr="00A8082F" w14:paraId="623D8DAC" w14:textId="77777777" w:rsidTr="00A02135">
        <w:trPr>
          <w:tblHeader/>
        </w:trPr>
        <w:tc>
          <w:tcPr>
            <w:tcW w:w="2127" w:type="dxa"/>
            <w:tcBorders>
              <w:top w:val="single" w:sz="6" w:space="0" w:color="auto"/>
              <w:bottom w:val="single" w:sz="6" w:space="0" w:color="auto"/>
            </w:tcBorders>
            <w:shd w:val="clear" w:color="auto" w:fill="auto"/>
            <w:hideMark/>
          </w:tcPr>
          <w:p w14:paraId="321571F2" w14:textId="77777777" w:rsidR="003767E2" w:rsidRPr="00A8082F" w:rsidRDefault="003767E2" w:rsidP="00D66A7E">
            <w:pPr>
              <w:pStyle w:val="TableHeading"/>
            </w:pPr>
            <w:r w:rsidRPr="00A8082F">
              <w:t>Column 1</w:t>
            </w:r>
          </w:p>
        </w:tc>
        <w:tc>
          <w:tcPr>
            <w:tcW w:w="4394" w:type="dxa"/>
            <w:tcBorders>
              <w:top w:val="single" w:sz="6" w:space="0" w:color="auto"/>
              <w:bottom w:val="single" w:sz="6" w:space="0" w:color="auto"/>
            </w:tcBorders>
            <w:shd w:val="clear" w:color="auto" w:fill="auto"/>
            <w:hideMark/>
          </w:tcPr>
          <w:p w14:paraId="7BC1135F" w14:textId="77777777" w:rsidR="003767E2" w:rsidRPr="00A8082F" w:rsidRDefault="003767E2" w:rsidP="00D66A7E">
            <w:pPr>
              <w:pStyle w:val="TableHeading"/>
            </w:pPr>
            <w:r w:rsidRPr="00A8082F">
              <w:t>Column 2</w:t>
            </w:r>
          </w:p>
        </w:tc>
        <w:tc>
          <w:tcPr>
            <w:tcW w:w="1843" w:type="dxa"/>
            <w:tcBorders>
              <w:top w:val="single" w:sz="6" w:space="0" w:color="auto"/>
              <w:bottom w:val="single" w:sz="6" w:space="0" w:color="auto"/>
            </w:tcBorders>
            <w:shd w:val="clear" w:color="auto" w:fill="auto"/>
            <w:hideMark/>
          </w:tcPr>
          <w:p w14:paraId="39112823" w14:textId="77777777" w:rsidR="003767E2" w:rsidRPr="00A8082F" w:rsidRDefault="003767E2" w:rsidP="00D66A7E">
            <w:pPr>
              <w:pStyle w:val="TableHeading"/>
            </w:pPr>
            <w:r w:rsidRPr="00A8082F">
              <w:t>Column 3</w:t>
            </w:r>
          </w:p>
        </w:tc>
      </w:tr>
      <w:tr w:rsidR="003767E2" w:rsidRPr="00A8082F" w14:paraId="42AC6396" w14:textId="77777777" w:rsidTr="00A02135">
        <w:trPr>
          <w:tblHeader/>
        </w:trPr>
        <w:tc>
          <w:tcPr>
            <w:tcW w:w="2127" w:type="dxa"/>
            <w:tcBorders>
              <w:top w:val="single" w:sz="6" w:space="0" w:color="auto"/>
              <w:bottom w:val="single" w:sz="12" w:space="0" w:color="auto"/>
            </w:tcBorders>
            <w:shd w:val="clear" w:color="auto" w:fill="auto"/>
            <w:hideMark/>
          </w:tcPr>
          <w:p w14:paraId="6E70D9D8" w14:textId="77777777" w:rsidR="003767E2" w:rsidRPr="00A8082F" w:rsidRDefault="003767E2" w:rsidP="00D66A7E">
            <w:pPr>
              <w:pStyle w:val="TableHeading"/>
            </w:pPr>
            <w:r w:rsidRPr="00A8082F">
              <w:t>Provisions</w:t>
            </w:r>
          </w:p>
        </w:tc>
        <w:tc>
          <w:tcPr>
            <w:tcW w:w="4394" w:type="dxa"/>
            <w:tcBorders>
              <w:top w:val="single" w:sz="6" w:space="0" w:color="auto"/>
              <w:bottom w:val="single" w:sz="12" w:space="0" w:color="auto"/>
            </w:tcBorders>
            <w:shd w:val="clear" w:color="auto" w:fill="auto"/>
            <w:hideMark/>
          </w:tcPr>
          <w:p w14:paraId="7A6235EA" w14:textId="77777777" w:rsidR="003767E2" w:rsidRPr="00A8082F" w:rsidRDefault="003767E2" w:rsidP="00D66A7E">
            <w:pPr>
              <w:pStyle w:val="TableHeading"/>
            </w:pPr>
            <w:r w:rsidRPr="00A8082F">
              <w:t>Commencement</w:t>
            </w:r>
          </w:p>
        </w:tc>
        <w:tc>
          <w:tcPr>
            <w:tcW w:w="1843" w:type="dxa"/>
            <w:tcBorders>
              <w:top w:val="single" w:sz="6" w:space="0" w:color="auto"/>
              <w:bottom w:val="single" w:sz="12" w:space="0" w:color="auto"/>
            </w:tcBorders>
            <w:shd w:val="clear" w:color="auto" w:fill="auto"/>
            <w:hideMark/>
          </w:tcPr>
          <w:p w14:paraId="24BB5B5A" w14:textId="77777777" w:rsidR="003767E2" w:rsidRPr="00A8082F" w:rsidRDefault="003767E2" w:rsidP="00D66A7E">
            <w:pPr>
              <w:pStyle w:val="TableHeading"/>
            </w:pPr>
            <w:r w:rsidRPr="00A8082F">
              <w:t>Date/Details</w:t>
            </w:r>
          </w:p>
        </w:tc>
      </w:tr>
      <w:tr w:rsidR="003767E2" w:rsidRPr="00A8082F" w14:paraId="0D3772F4" w14:textId="77777777" w:rsidTr="00A02135">
        <w:tc>
          <w:tcPr>
            <w:tcW w:w="2127" w:type="dxa"/>
            <w:tcBorders>
              <w:top w:val="single" w:sz="12" w:space="0" w:color="auto"/>
              <w:bottom w:val="single" w:sz="12" w:space="0" w:color="auto"/>
            </w:tcBorders>
            <w:shd w:val="clear" w:color="auto" w:fill="auto"/>
            <w:hideMark/>
          </w:tcPr>
          <w:p w14:paraId="6A754DCD" w14:textId="4986EC17" w:rsidR="003767E2" w:rsidRPr="00A8082F" w:rsidRDefault="003767E2" w:rsidP="00D66A7E">
            <w:pPr>
              <w:pStyle w:val="Tabletext"/>
              <w:rPr>
                <w:i/>
              </w:rPr>
            </w:pPr>
            <w:r w:rsidRPr="00A8082F">
              <w:t xml:space="preserve">1.  </w:t>
            </w:r>
            <w:r w:rsidR="00951878" w:rsidRPr="00A8082F">
              <w:rPr>
                <w:iCs/>
              </w:rPr>
              <w:t>The whole of this instrument</w:t>
            </w:r>
          </w:p>
        </w:tc>
        <w:tc>
          <w:tcPr>
            <w:tcW w:w="4394" w:type="dxa"/>
            <w:tcBorders>
              <w:top w:val="single" w:sz="12" w:space="0" w:color="auto"/>
              <w:bottom w:val="single" w:sz="12" w:space="0" w:color="auto"/>
            </w:tcBorders>
            <w:shd w:val="clear" w:color="auto" w:fill="auto"/>
            <w:hideMark/>
          </w:tcPr>
          <w:p w14:paraId="3136A949" w14:textId="20B1F761" w:rsidR="003767E2" w:rsidRPr="00A8082F" w:rsidRDefault="00D96651" w:rsidP="00D66A7E">
            <w:pPr>
              <w:pStyle w:val="Tabletext"/>
              <w:rPr>
                <w:iCs/>
              </w:rPr>
            </w:pPr>
            <w:r w:rsidRPr="00A8082F">
              <w:t>1 April 2023</w:t>
            </w:r>
            <w:r w:rsidR="00FE50F9" w:rsidRPr="00A8082F">
              <w:t xml:space="preserve">. </w:t>
            </w:r>
          </w:p>
        </w:tc>
        <w:tc>
          <w:tcPr>
            <w:tcW w:w="1843" w:type="dxa"/>
            <w:tcBorders>
              <w:top w:val="single" w:sz="12" w:space="0" w:color="auto"/>
              <w:bottom w:val="single" w:sz="12" w:space="0" w:color="auto"/>
            </w:tcBorders>
            <w:shd w:val="clear" w:color="auto" w:fill="auto"/>
          </w:tcPr>
          <w:p w14:paraId="19091A02" w14:textId="25306099" w:rsidR="003767E2" w:rsidRPr="00A8082F" w:rsidRDefault="00FE50F9" w:rsidP="00D66A7E">
            <w:pPr>
              <w:pStyle w:val="Tabletext"/>
              <w:rPr>
                <w:iCs/>
              </w:rPr>
            </w:pPr>
            <w:r w:rsidRPr="00A8082F">
              <w:rPr>
                <w:iCs/>
              </w:rPr>
              <w:t xml:space="preserve">1 April 2023. </w:t>
            </w:r>
          </w:p>
        </w:tc>
      </w:tr>
    </w:tbl>
    <w:p w14:paraId="2341C545" w14:textId="77777777" w:rsidR="003767E2" w:rsidRPr="00A8082F" w:rsidRDefault="003767E2" w:rsidP="00D66A7E">
      <w:pPr>
        <w:pStyle w:val="notetext"/>
      </w:pPr>
      <w:r w:rsidRPr="00A8082F">
        <w:rPr>
          <w:snapToGrid w:val="0"/>
          <w:lang w:eastAsia="en-US"/>
        </w:rPr>
        <w:t>Note:</w:t>
      </w:r>
      <w:r w:rsidRPr="00A8082F">
        <w:rPr>
          <w:snapToGrid w:val="0"/>
          <w:lang w:eastAsia="en-US"/>
        </w:rPr>
        <w:tab/>
        <w:t>This table relates only to the provisions of this instrument</w:t>
      </w:r>
      <w:r w:rsidRPr="00A8082F">
        <w:t xml:space="preserve"> </w:t>
      </w:r>
      <w:r w:rsidRPr="00A8082F">
        <w:rPr>
          <w:snapToGrid w:val="0"/>
          <w:lang w:eastAsia="en-US"/>
        </w:rPr>
        <w:t>as originally made. It will not be amended to deal with any later amendments of this instrument.</w:t>
      </w:r>
    </w:p>
    <w:p w14:paraId="2D39BE9C" w14:textId="77777777" w:rsidR="003767E2" w:rsidRPr="00A8082F" w:rsidRDefault="003767E2" w:rsidP="00D66A7E">
      <w:pPr>
        <w:pStyle w:val="subsection"/>
        <w:tabs>
          <w:tab w:val="clear" w:pos="1021"/>
          <w:tab w:val="right" w:pos="851"/>
        </w:tabs>
      </w:pPr>
      <w:r w:rsidRPr="00A8082F">
        <w:tab/>
        <w:t>(2)</w:t>
      </w:r>
      <w:r w:rsidRPr="00A8082F">
        <w:tab/>
        <w:t>Any information in column 3 of the table is not part of this instrument. Information may be inserted in this column, or information in it may be edited, in any published version of this instrument.</w:t>
      </w:r>
    </w:p>
    <w:p w14:paraId="1B5238A5" w14:textId="77777777" w:rsidR="00554826" w:rsidRPr="00A8082F" w:rsidRDefault="00554826" w:rsidP="00D66A7E">
      <w:pPr>
        <w:pStyle w:val="ActHead5"/>
      </w:pPr>
      <w:bookmarkStart w:id="2" w:name="_Toc128043898"/>
      <w:r w:rsidRPr="00A8082F">
        <w:t>3  Authority</w:t>
      </w:r>
      <w:bookmarkEnd w:id="2"/>
    </w:p>
    <w:p w14:paraId="3C53E0D7" w14:textId="554A9D8A" w:rsidR="00554826" w:rsidRPr="00A8082F" w:rsidRDefault="00554826" w:rsidP="00D66A7E">
      <w:pPr>
        <w:pStyle w:val="subsection"/>
        <w:tabs>
          <w:tab w:val="clear" w:pos="1021"/>
          <w:tab w:val="right" w:pos="851"/>
        </w:tabs>
      </w:pPr>
      <w:r w:rsidRPr="00A8082F">
        <w:tab/>
      </w:r>
      <w:r w:rsidRPr="00A8082F">
        <w:tab/>
        <w:t xml:space="preserve">This instrument is made under </w:t>
      </w:r>
      <w:r w:rsidR="00340190" w:rsidRPr="00A8082F">
        <w:t xml:space="preserve">section 15-15 of Schedule 1 </w:t>
      </w:r>
      <w:r w:rsidR="0053371E" w:rsidRPr="00A8082F">
        <w:t xml:space="preserve">to </w:t>
      </w:r>
      <w:r w:rsidR="00340190" w:rsidRPr="00A8082F">
        <w:t>the Act.</w:t>
      </w:r>
    </w:p>
    <w:p w14:paraId="78E57C35" w14:textId="77777777" w:rsidR="00554826" w:rsidRPr="00A8082F" w:rsidRDefault="00554826" w:rsidP="00D66A7E">
      <w:pPr>
        <w:pStyle w:val="ActHead5"/>
      </w:pPr>
      <w:bookmarkStart w:id="3" w:name="_Toc128043899"/>
      <w:r w:rsidRPr="00A8082F">
        <w:t>4  Definitions</w:t>
      </w:r>
      <w:bookmarkEnd w:id="3"/>
    </w:p>
    <w:p w14:paraId="23DD3055" w14:textId="37CD8856" w:rsidR="005D4BB4" w:rsidRPr="00A8082F" w:rsidRDefault="005D4BB4" w:rsidP="005D4BB4">
      <w:pPr>
        <w:pStyle w:val="notetext"/>
        <w:ind w:left="1701" w:hanging="567"/>
      </w:pPr>
      <w:r w:rsidRPr="00A8082F">
        <w:t>Note</w:t>
      </w:r>
      <w:r w:rsidR="00C32BDF" w:rsidRPr="00A8082F">
        <w:t xml:space="preserve"> 1</w:t>
      </w:r>
      <w:r w:rsidRPr="00A8082F">
        <w:t>:</w:t>
      </w:r>
      <w:r w:rsidRPr="00A8082F">
        <w:tab/>
        <w:t xml:space="preserve">A number of expressions used in this instrument </w:t>
      </w:r>
      <w:r w:rsidR="008205AE" w:rsidRPr="00A8082F">
        <w:t xml:space="preserve">have the same meaning as in the </w:t>
      </w:r>
      <w:r w:rsidRPr="00A8082F">
        <w:t>Act, including the following:</w:t>
      </w:r>
    </w:p>
    <w:p w14:paraId="7793E991" w14:textId="77777777" w:rsidR="005D4BB4" w:rsidRPr="00A8082F" w:rsidRDefault="005D4BB4" w:rsidP="005D4BB4">
      <w:pPr>
        <w:pStyle w:val="notepara"/>
        <w:ind w:left="2127" w:hanging="426"/>
      </w:pPr>
      <w:r w:rsidRPr="00A8082F">
        <w:t>(a)</w:t>
      </w:r>
      <w:r w:rsidRPr="00A8082F">
        <w:tab/>
        <w:t>alienated personal services payment;</w:t>
      </w:r>
    </w:p>
    <w:p w14:paraId="007464D4" w14:textId="725B8160" w:rsidR="005D4BB4" w:rsidRPr="00A8082F" w:rsidRDefault="005D4BB4" w:rsidP="005D4BB4">
      <w:pPr>
        <w:pStyle w:val="notepara"/>
        <w:ind w:left="2127" w:hanging="426"/>
      </w:pPr>
      <w:r w:rsidRPr="00A8082F">
        <w:t>(b)</w:t>
      </w:r>
      <w:r w:rsidRPr="00A8082F">
        <w:tab/>
        <w:t>amount required to be withheld;</w:t>
      </w:r>
    </w:p>
    <w:p w14:paraId="2286E933" w14:textId="3420FA5A" w:rsidR="00675BAD" w:rsidRPr="00A8082F" w:rsidRDefault="00675BAD" w:rsidP="00675BAD">
      <w:pPr>
        <w:pStyle w:val="notepara"/>
        <w:ind w:left="2127" w:hanging="426"/>
      </w:pPr>
      <w:r w:rsidRPr="00A8082F">
        <w:t>(c)</w:t>
      </w:r>
      <w:r w:rsidRPr="00A8082F">
        <w:tab/>
        <w:t>PAYG payment period;</w:t>
      </w:r>
    </w:p>
    <w:p w14:paraId="0C4CC3F4" w14:textId="62F40CBA" w:rsidR="005D4BB4" w:rsidRPr="00A8082F" w:rsidRDefault="005D4BB4" w:rsidP="005D4BB4">
      <w:pPr>
        <w:pStyle w:val="notepara"/>
        <w:ind w:left="2127" w:hanging="426"/>
      </w:pPr>
      <w:r w:rsidRPr="00A8082F">
        <w:t>(</w:t>
      </w:r>
      <w:r w:rsidR="00675BAD" w:rsidRPr="00A8082F">
        <w:t>d</w:t>
      </w:r>
      <w:r w:rsidRPr="00A8082F">
        <w:t>)</w:t>
      </w:r>
      <w:r w:rsidRPr="00A8082F">
        <w:tab/>
        <w:t>personal services entity;</w:t>
      </w:r>
    </w:p>
    <w:p w14:paraId="0ACCD777" w14:textId="47993255" w:rsidR="000B0152" w:rsidRPr="00A8082F" w:rsidRDefault="000B0152" w:rsidP="000B0152">
      <w:pPr>
        <w:pStyle w:val="notepara"/>
        <w:ind w:left="2127" w:hanging="426"/>
      </w:pPr>
      <w:r w:rsidRPr="00A8082F">
        <w:t>(</w:t>
      </w:r>
      <w:r w:rsidR="00675BAD" w:rsidRPr="00A8082F">
        <w:t>e</w:t>
      </w:r>
      <w:r w:rsidRPr="00A8082F">
        <w:t>)</w:t>
      </w:r>
      <w:r w:rsidRPr="00A8082F">
        <w:tab/>
        <w:t>personal services income;</w:t>
      </w:r>
    </w:p>
    <w:p w14:paraId="78061E30" w14:textId="5B2CBCE5" w:rsidR="005D4BB4" w:rsidRPr="00A8082F" w:rsidRDefault="005D4BB4" w:rsidP="005D4BB4">
      <w:pPr>
        <w:pStyle w:val="notepara"/>
        <w:ind w:left="2127" w:hanging="426"/>
      </w:pPr>
      <w:r w:rsidRPr="00A8082F">
        <w:t>(</w:t>
      </w:r>
      <w:r w:rsidR="00675BAD" w:rsidRPr="00A8082F">
        <w:t>f</w:t>
      </w:r>
      <w:r w:rsidRPr="00A8082F">
        <w:t>)</w:t>
      </w:r>
      <w:r w:rsidRPr="00A8082F">
        <w:tab/>
        <w:t>withholding payment.</w:t>
      </w:r>
    </w:p>
    <w:p w14:paraId="50F7D2E0" w14:textId="7EF844AF" w:rsidR="00C32BDF" w:rsidRPr="00A8082F" w:rsidRDefault="00C32BDF" w:rsidP="00C32BDF">
      <w:pPr>
        <w:pStyle w:val="notetext"/>
        <w:ind w:left="1701" w:hanging="567"/>
      </w:pPr>
      <w:r w:rsidRPr="00A8082F">
        <w:t>Note 2:</w:t>
      </w:r>
      <w:r w:rsidRPr="00A8082F">
        <w:tab/>
        <w:t xml:space="preserve">Expressions in Schedule 1 to the Act have the same meaning as in the </w:t>
      </w:r>
      <w:r w:rsidRPr="00A8082F">
        <w:rPr>
          <w:i/>
          <w:iCs/>
        </w:rPr>
        <w:t xml:space="preserve">Income Tax Assessment Act 1997 </w:t>
      </w:r>
      <w:r w:rsidRPr="00A8082F">
        <w:t>(see section 3AA of the Act).</w:t>
      </w:r>
    </w:p>
    <w:p w14:paraId="06185EB7" w14:textId="77777777" w:rsidR="00554826" w:rsidRPr="00A8082F" w:rsidRDefault="00554826" w:rsidP="00D66A7E">
      <w:pPr>
        <w:pStyle w:val="subsection"/>
        <w:tabs>
          <w:tab w:val="clear" w:pos="1021"/>
          <w:tab w:val="right" w:pos="851"/>
        </w:tabs>
      </w:pPr>
      <w:r w:rsidRPr="00A8082F">
        <w:tab/>
      </w:r>
      <w:r w:rsidRPr="00A8082F">
        <w:tab/>
        <w:t>In this instrument:</w:t>
      </w:r>
    </w:p>
    <w:p w14:paraId="6FF64880" w14:textId="2E4D0C71" w:rsidR="00554826" w:rsidRPr="00A8082F" w:rsidRDefault="00554826" w:rsidP="00D66A7E">
      <w:pPr>
        <w:pStyle w:val="Definition"/>
      </w:pPr>
      <w:r w:rsidRPr="00A8082F">
        <w:rPr>
          <w:b/>
          <w:i/>
        </w:rPr>
        <w:t>Act</w:t>
      </w:r>
      <w:r w:rsidRPr="00A8082F">
        <w:t xml:space="preserve"> means the </w:t>
      </w:r>
      <w:r w:rsidR="00340190" w:rsidRPr="00A8082F">
        <w:rPr>
          <w:i/>
        </w:rPr>
        <w:t>Taxation Administration Act 1953</w:t>
      </w:r>
      <w:r w:rsidRPr="00A8082F">
        <w:t>.</w:t>
      </w:r>
    </w:p>
    <w:p w14:paraId="2FFC6B85" w14:textId="2D0FE065" w:rsidR="00554826" w:rsidRPr="00A8082F" w:rsidRDefault="00F9068A" w:rsidP="00D66A7E">
      <w:pPr>
        <w:pStyle w:val="Definition"/>
      </w:pPr>
      <w:r w:rsidRPr="00A8082F">
        <w:rPr>
          <w:b/>
          <w:i/>
        </w:rPr>
        <w:t>n</w:t>
      </w:r>
      <w:r w:rsidR="00876FB1" w:rsidRPr="00A8082F">
        <w:rPr>
          <w:b/>
          <w:i/>
        </w:rPr>
        <w:t xml:space="preserve">et </w:t>
      </w:r>
      <w:r w:rsidRPr="00A8082F">
        <w:rPr>
          <w:b/>
          <w:i/>
        </w:rPr>
        <w:t>p</w:t>
      </w:r>
      <w:r w:rsidR="00876FB1" w:rsidRPr="00A8082F">
        <w:rPr>
          <w:b/>
          <w:i/>
        </w:rPr>
        <w:t xml:space="preserve">ersonal </w:t>
      </w:r>
      <w:r w:rsidRPr="00A8082F">
        <w:rPr>
          <w:b/>
          <w:i/>
        </w:rPr>
        <w:t>s</w:t>
      </w:r>
      <w:r w:rsidR="00876FB1" w:rsidRPr="00A8082F">
        <w:rPr>
          <w:b/>
          <w:i/>
        </w:rPr>
        <w:t xml:space="preserve">ervices </w:t>
      </w:r>
      <w:r w:rsidRPr="00A8082F">
        <w:rPr>
          <w:b/>
          <w:i/>
        </w:rPr>
        <w:t>i</w:t>
      </w:r>
      <w:r w:rsidR="00876FB1" w:rsidRPr="00A8082F">
        <w:rPr>
          <w:b/>
          <w:i/>
        </w:rPr>
        <w:t xml:space="preserve">ncome </w:t>
      </w:r>
      <w:r w:rsidRPr="00A8082F">
        <w:rPr>
          <w:b/>
          <w:i/>
        </w:rPr>
        <w:t>p</w:t>
      </w:r>
      <w:r w:rsidR="00876FB1" w:rsidRPr="00A8082F">
        <w:rPr>
          <w:b/>
          <w:i/>
        </w:rPr>
        <w:t>ercentage</w:t>
      </w:r>
      <w:r w:rsidR="00876FB1" w:rsidRPr="00A8082F">
        <w:rPr>
          <w:bCs/>
          <w:iCs/>
        </w:rPr>
        <w:t xml:space="preserve"> </w:t>
      </w:r>
      <w:r w:rsidR="00554826" w:rsidRPr="00A8082F">
        <w:t xml:space="preserve">means </w:t>
      </w:r>
      <w:r w:rsidR="00340190" w:rsidRPr="00A8082F">
        <w:t xml:space="preserve">the </w:t>
      </w:r>
      <w:r w:rsidR="00E05F44" w:rsidRPr="00A8082F">
        <w:t xml:space="preserve">percentage </w:t>
      </w:r>
      <w:r w:rsidR="00ED7D4B" w:rsidRPr="00A8082F">
        <w:t xml:space="preserve">worked out </w:t>
      </w:r>
      <w:r w:rsidR="00DB37E2" w:rsidRPr="00A8082F">
        <w:t>using the following method statement</w:t>
      </w:r>
      <w:r w:rsidR="00ED7D4B" w:rsidRPr="00A8082F">
        <w:t>:</w:t>
      </w:r>
    </w:p>
    <w:p w14:paraId="0F0B1089" w14:textId="58C43418" w:rsidR="00340190" w:rsidRPr="00A8082F" w:rsidRDefault="00340190" w:rsidP="00340190">
      <w:pPr>
        <w:pStyle w:val="paragraph"/>
        <w:tabs>
          <w:tab w:val="clear" w:pos="1531"/>
          <w:tab w:val="right" w:pos="1418"/>
        </w:tabs>
        <w:ind w:left="1701" w:hanging="1701"/>
      </w:pPr>
      <w:r w:rsidRPr="00A8082F">
        <w:tab/>
      </w:r>
      <w:r w:rsidRPr="00A8082F">
        <w:tab/>
        <w:t xml:space="preserve">Step 1 – </w:t>
      </w:r>
      <w:r w:rsidR="00ED7D4B" w:rsidRPr="00A8082F">
        <w:t xml:space="preserve">subtract </w:t>
      </w:r>
      <w:r w:rsidR="00B124D7" w:rsidRPr="00A8082F">
        <w:t xml:space="preserve">any allowable deductions (excluding salary or wages paid in accordance with subsection 86-15(4) of the </w:t>
      </w:r>
      <w:r w:rsidR="00B124D7" w:rsidRPr="00A8082F">
        <w:rPr>
          <w:i/>
          <w:iCs/>
        </w:rPr>
        <w:t>Income Tax Assessment Act 1997</w:t>
      </w:r>
      <w:r w:rsidR="00B124D7" w:rsidRPr="00A8082F">
        <w:t>)</w:t>
      </w:r>
      <w:r w:rsidR="00ED7D4B" w:rsidRPr="00A8082F">
        <w:t xml:space="preserve"> for the previous income year from the </w:t>
      </w:r>
      <w:r w:rsidR="00111028" w:rsidRPr="00A8082F">
        <w:t xml:space="preserve">personal services entity’s </w:t>
      </w:r>
      <w:r w:rsidR="00ED7D4B" w:rsidRPr="00A8082F">
        <w:lastRenderedPageBreak/>
        <w:t>gross personal services income (</w:t>
      </w:r>
      <w:r w:rsidR="00E05F44" w:rsidRPr="00A8082F">
        <w:t xml:space="preserve">exclusive of </w:t>
      </w:r>
      <w:r w:rsidR="00ED7D4B" w:rsidRPr="00A8082F">
        <w:t>GST) for the previous income year</w:t>
      </w:r>
      <w:r w:rsidR="00FE50F9" w:rsidRPr="00A8082F">
        <w:t>;</w:t>
      </w:r>
    </w:p>
    <w:p w14:paraId="154B08BE" w14:textId="77777777" w:rsidR="00392085" w:rsidRPr="00A8082F" w:rsidRDefault="00340190" w:rsidP="00340190">
      <w:pPr>
        <w:pStyle w:val="paragraph"/>
        <w:tabs>
          <w:tab w:val="clear" w:pos="1531"/>
          <w:tab w:val="right" w:pos="1418"/>
        </w:tabs>
        <w:ind w:left="1701" w:hanging="1701"/>
      </w:pPr>
      <w:r w:rsidRPr="00A8082F">
        <w:tab/>
      </w:r>
      <w:r w:rsidRPr="00A8082F">
        <w:tab/>
        <w:t xml:space="preserve">Step 2 – </w:t>
      </w:r>
      <w:r w:rsidR="00ED7D4B" w:rsidRPr="00A8082F">
        <w:t>divide the result by the personal services entity’s gross personal services income (</w:t>
      </w:r>
      <w:r w:rsidR="00E05F44" w:rsidRPr="00A8082F">
        <w:t xml:space="preserve">exclusive of </w:t>
      </w:r>
      <w:r w:rsidR="00ED7D4B" w:rsidRPr="00A8082F">
        <w:t>GST) for the previous income year</w:t>
      </w:r>
      <w:r w:rsidR="00FE50F9" w:rsidRPr="00A8082F">
        <w:t>;</w:t>
      </w:r>
      <w:r w:rsidR="00ED7D4B" w:rsidRPr="00A8082F">
        <w:t xml:space="preserve"> and</w:t>
      </w:r>
    </w:p>
    <w:p w14:paraId="2D95FFD5" w14:textId="77777777" w:rsidR="00392085" w:rsidRPr="00A8082F" w:rsidRDefault="00340190" w:rsidP="00ED7D4B">
      <w:pPr>
        <w:pStyle w:val="paragraph"/>
        <w:tabs>
          <w:tab w:val="clear" w:pos="1531"/>
          <w:tab w:val="right" w:pos="1418"/>
        </w:tabs>
        <w:ind w:left="1701" w:hanging="1701"/>
      </w:pPr>
      <w:r w:rsidRPr="00A8082F">
        <w:tab/>
      </w:r>
      <w:r w:rsidRPr="00A8082F">
        <w:tab/>
        <w:t xml:space="preserve">Step </w:t>
      </w:r>
      <w:r w:rsidR="00F358C7" w:rsidRPr="00A8082F">
        <w:t>3</w:t>
      </w:r>
      <w:r w:rsidRPr="00A8082F">
        <w:t xml:space="preserve"> – </w:t>
      </w:r>
      <w:r w:rsidR="00ED7D4B" w:rsidRPr="00A8082F">
        <w:t>multiply</w:t>
      </w:r>
      <w:r w:rsidR="00EA4BC1" w:rsidRPr="00A8082F">
        <w:t xml:space="preserve"> the result</w:t>
      </w:r>
      <w:r w:rsidR="00ED7D4B" w:rsidRPr="00A8082F">
        <w:t xml:space="preserve"> by 100 to give a percentage.</w:t>
      </w:r>
    </w:p>
    <w:p w14:paraId="01B5A849" w14:textId="7A9B298D" w:rsidR="00554826" w:rsidRPr="00A8082F" w:rsidRDefault="00554826" w:rsidP="00D66A7E">
      <w:pPr>
        <w:pStyle w:val="ActHead5"/>
      </w:pPr>
      <w:bookmarkStart w:id="4" w:name="_Toc454781205"/>
      <w:bookmarkStart w:id="5" w:name="_Toc128043900"/>
      <w:r w:rsidRPr="00A8082F">
        <w:t>5  Schedules</w:t>
      </w:r>
      <w:bookmarkEnd w:id="4"/>
      <w:bookmarkEnd w:id="5"/>
    </w:p>
    <w:p w14:paraId="31059944" w14:textId="77777777" w:rsidR="00554826" w:rsidRPr="00A8082F" w:rsidRDefault="00554826" w:rsidP="00D66A7E">
      <w:pPr>
        <w:pStyle w:val="subsection"/>
        <w:tabs>
          <w:tab w:val="clear" w:pos="1021"/>
          <w:tab w:val="right" w:pos="851"/>
        </w:tabs>
      </w:pPr>
      <w:r w:rsidRPr="00A8082F">
        <w:tab/>
      </w:r>
      <w:r w:rsidRPr="00A8082F">
        <w:tab/>
        <w:t>Each instrument that is specified in a Schedule to this instrument is amended or repealed as set out in the applicable items in the Schedule concerned, and any other item in a Schedule to this instrument has effect according to its terms.</w:t>
      </w:r>
    </w:p>
    <w:p w14:paraId="49AD5502" w14:textId="77777777" w:rsidR="00392085" w:rsidRPr="00A8082F" w:rsidRDefault="00554826" w:rsidP="00D66A7E">
      <w:pPr>
        <w:pStyle w:val="ActHead5"/>
      </w:pPr>
      <w:bookmarkStart w:id="6" w:name="_Toc128043901"/>
      <w:r w:rsidRPr="00A8082F">
        <w:t xml:space="preserve">6  </w:t>
      </w:r>
      <w:r w:rsidR="00340190" w:rsidRPr="00A8082F">
        <w:t xml:space="preserve">Variation </w:t>
      </w:r>
      <w:r w:rsidR="00B83FD6" w:rsidRPr="00A8082F">
        <w:t xml:space="preserve">of withholding for </w:t>
      </w:r>
      <w:r w:rsidR="00055BB0" w:rsidRPr="00A8082F">
        <w:t xml:space="preserve">alienated </w:t>
      </w:r>
      <w:r w:rsidR="00B83FD6" w:rsidRPr="00A8082F">
        <w:t>personal services income</w:t>
      </w:r>
      <w:bookmarkEnd w:id="6"/>
    </w:p>
    <w:p w14:paraId="7CB0E092" w14:textId="37300E9C" w:rsidR="0084432E" w:rsidRPr="00A8082F" w:rsidRDefault="0084432E" w:rsidP="0084432E">
      <w:pPr>
        <w:pStyle w:val="subsection"/>
        <w:tabs>
          <w:tab w:val="clear" w:pos="1021"/>
          <w:tab w:val="right" w:pos="851"/>
        </w:tabs>
        <w:rPr>
          <w:color w:val="000000" w:themeColor="text1"/>
        </w:rPr>
      </w:pPr>
      <w:r w:rsidRPr="00A8082F">
        <w:rPr>
          <w:color w:val="000000" w:themeColor="text1"/>
        </w:rPr>
        <w:tab/>
      </w:r>
      <w:r w:rsidRPr="00A8082F">
        <w:rPr>
          <w:color w:val="000000" w:themeColor="text1"/>
        </w:rPr>
        <w:tab/>
      </w:r>
      <w:r w:rsidR="00CA6114" w:rsidRPr="00A8082F">
        <w:rPr>
          <w:color w:val="000000" w:themeColor="text1"/>
        </w:rPr>
        <w:t xml:space="preserve">An amount that a personal services entity must pay to the Commissioner under section 13-5 of Schedule 1 to the Act is varied to nil </w:t>
      </w:r>
      <w:r w:rsidR="008B61A1" w:rsidRPr="00A8082F">
        <w:rPr>
          <w:color w:val="000000" w:themeColor="text1"/>
        </w:rPr>
        <w:t xml:space="preserve">in cases </w:t>
      </w:r>
      <w:r w:rsidR="00CA6114" w:rsidRPr="00A8082F">
        <w:rPr>
          <w:color w:val="000000" w:themeColor="text1"/>
        </w:rPr>
        <w:t>where</w:t>
      </w:r>
      <w:r w:rsidRPr="00A8082F">
        <w:rPr>
          <w:color w:val="000000" w:themeColor="text1"/>
        </w:rPr>
        <w:t>:</w:t>
      </w:r>
    </w:p>
    <w:p w14:paraId="04CCF4D4" w14:textId="7C630B9C" w:rsidR="00207F77" w:rsidRPr="00A8082F" w:rsidRDefault="00554826" w:rsidP="00207F77">
      <w:pPr>
        <w:pStyle w:val="paragraph"/>
        <w:tabs>
          <w:tab w:val="clear" w:pos="1531"/>
          <w:tab w:val="right" w:pos="1418"/>
        </w:tabs>
        <w:ind w:left="1701" w:hanging="1701"/>
        <w:rPr>
          <w:color w:val="000000" w:themeColor="text1"/>
        </w:rPr>
      </w:pPr>
      <w:r w:rsidRPr="00A8082F">
        <w:rPr>
          <w:color w:val="000000" w:themeColor="text1"/>
        </w:rPr>
        <w:tab/>
        <w:t>(a)</w:t>
      </w:r>
      <w:r w:rsidRPr="00A8082F">
        <w:rPr>
          <w:color w:val="000000" w:themeColor="text1"/>
        </w:rPr>
        <w:tab/>
      </w:r>
      <w:r w:rsidR="00CA6114" w:rsidRPr="00A8082F">
        <w:rPr>
          <w:color w:val="000000" w:themeColor="text1"/>
        </w:rPr>
        <w:t>the personal services entity receives an alienated personal services payment that relates to one or more individuals’ personal services income</w:t>
      </w:r>
      <w:r w:rsidR="00F9068A" w:rsidRPr="00A8082F">
        <w:rPr>
          <w:color w:val="000000" w:themeColor="text1"/>
        </w:rPr>
        <w:t>;</w:t>
      </w:r>
    </w:p>
    <w:p w14:paraId="1C974C2C" w14:textId="77777777" w:rsidR="00392085" w:rsidRPr="00A8082F" w:rsidRDefault="00207F77" w:rsidP="00207F77">
      <w:pPr>
        <w:pStyle w:val="paragraph"/>
        <w:tabs>
          <w:tab w:val="clear" w:pos="1531"/>
          <w:tab w:val="right" w:pos="1418"/>
        </w:tabs>
        <w:ind w:left="1701" w:hanging="1701"/>
        <w:rPr>
          <w:color w:val="000000" w:themeColor="text1"/>
        </w:rPr>
      </w:pPr>
      <w:r w:rsidRPr="00A8082F">
        <w:rPr>
          <w:color w:val="000000" w:themeColor="text1"/>
        </w:rPr>
        <w:tab/>
        <w:t>(b)</w:t>
      </w:r>
      <w:r w:rsidRPr="00A8082F">
        <w:rPr>
          <w:color w:val="000000" w:themeColor="text1"/>
        </w:rPr>
        <w:tab/>
      </w:r>
      <w:r w:rsidR="00CA6114" w:rsidRPr="00A8082F">
        <w:rPr>
          <w:color w:val="000000" w:themeColor="text1"/>
        </w:rPr>
        <w:t xml:space="preserve">the personal services entity pays salary or wages to the individual or individuals within 14 days after the end of the PAYG payment period </w:t>
      </w:r>
      <w:bookmarkStart w:id="7" w:name="_Hlk124242645"/>
      <w:r w:rsidR="00CA6114" w:rsidRPr="00A8082F">
        <w:rPr>
          <w:color w:val="000000" w:themeColor="text1"/>
        </w:rPr>
        <w:t xml:space="preserve">in which </w:t>
      </w:r>
      <w:r w:rsidR="00DF7E01" w:rsidRPr="00A8082F">
        <w:rPr>
          <w:color w:val="000000" w:themeColor="text1"/>
        </w:rPr>
        <w:t>it</w:t>
      </w:r>
      <w:r w:rsidR="00CA6114" w:rsidRPr="00A8082F">
        <w:rPr>
          <w:color w:val="000000" w:themeColor="text1"/>
        </w:rPr>
        <w:t xml:space="preserve"> receives the </w:t>
      </w:r>
      <w:r w:rsidR="000B1B07" w:rsidRPr="00A8082F">
        <w:rPr>
          <w:color w:val="000000" w:themeColor="text1"/>
        </w:rPr>
        <w:t>alienated personal services paymen</w:t>
      </w:r>
      <w:bookmarkEnd w:id="7"/>
      <w:r w:rsidR="000B1B07" w:rsidRPr="00A8082F">
        <w:rPr>
          <w:color w:val="000000" w:themeColor="text1"/>
        </w:rPr>
        <w:t>t</w:t>
      </w:r>
      <w:r w:rsidR="00F9068A" w:rsidRPr="00A8082F">
        <w:rPr>
          <w:color w:val="000000" w:themeColor="text1"/>
        </w:rPr>
        <w:t>;</w:t>
      </w:r>
      <w:r w:rsidR="00E613C7" w:rsidRPr="00A8082F">
        <w:rPr>
          <w:color w:val="000000" w:themeColor="text1"/>
        </w:rPr>
        <w:t xml:space="preserve"> and</w:t>
      </w:r>
    </w:p>
    <w:p w14:paraId="29CA38CA" w14:textId="77777777" w:rsidR="00392085" w:rsidRPr="00A8082F" w:rsidRDefault="00207F77" w:rsidP="00E613C7">
      <w:pPr>
        <w:pStyle w:val="paragraph"/>
        <w:tabs>
          <w:tab w:val="clear" w:pos="1531"/>
          <w:tab w:val="right" w:pos="1418"/>
        </w:tabs>
        <w:ind w:left="1701" w:hanging="1701"/>
      </w:pPr>
      <w:r w:rsidRPr="00A8082F">
        <w:rPr>
          <w:color w:val="000000" w:themeColor="text1"/>
        </w:rPr>
        <w:tab/>
        <w:t>(</w:t>
      </w:r>
      <w:r w:rsidR="00DD459B" w:rsidRPr="00A8082F">
        <w:rPr>
          <w:color w:val="000000" w:themeColor="text1"/>
        </w:rPr>
        <w:t>c</w:t>
      </w:r>
      <w:r w:rsidRPr="00A8082F">
        <w:rPr>
          <w:color w:val="000000" w:themeColor="text1"/>
        </w:rPr>
        <w:t>)</w:t>
      </w:r>
      <w:r w:rsidRPr="00A8082F">
        <w:rPr>
          <w:color w:val="000000" w:themeColor="text1"/>
        </w:rPr>
        <w:tab/>
      </w:r>
      <w:bookmarkStart w:id="8" w:name="_Hlk121748826"/>
      <w:r w:rsidR="00E613C7" w:rsidRPr="00A8082F">
        <w:rPr>
          <w:color w:val="000000" w:themeColor="text1"/>
        </w:rPr>
        <w:t xml:space="preserve">the </w:t>
      </w:r>
      <w:r w:rsidR="005546B5" w:rsidRPr="00A8082F">
        <w:rPr>
          <w:color w:val="000000" w:themeColor="text1"/>
        </w:rPr>
        <w:t>salary or wages paid</w:t>
      </w:r>
      <w:r w:rsidR="009718BE" w:rsidRPr="00A8082F">
        <w:rPr>
          <w:color w:val="000000" w:themeColor="text1"/>
        </w:rPr>
        <w:t xml:space="preserve"> by the personal services entity</w:t>
      </w:r>
      <w:r w:rsidR="00CE3356" w:rsidRPr="00A8082F">
        <w:rPr>
          <w:color w:val="000000" w:themeColor="text1"/>
        </w:rPr>
        <w:t xml:space="preserve"> </w:t>
      </w:r>
      <w:r w:rsidR="00E613C7" w:rsidRPr="00A8082F">
        <w:rPr>
          <w:color w:val="000000" w:themeColor="text1"/>
        </w:rPr>
        <w:t xml:space="preserve">is equal </w:t>
      </w:r>
      <w:r w:rsidR="00E613C7" w:rsidRPr="00A8082F">
        <w:t xml:space="preserve">to or </w:t>
      </w:r>
      <w:bookmarkStart w:id="9" w:name="_Hlk121748791"/>
      <w:r w:rsidR="00E613C7" w:rsidRPr="00A8082F">
        <w:t>greater than either:</w:t>
      </w:r>
    </w:p>
    <w:p w14:paraId="391480EA" w14:textId="7351F252" w:rsidR="00675BAD" w:rsidRPr="00A8082F" w:rsidRDefault="00675BAD" w:rsidP="00675BAD">
      <w:pPr>
        <w:pStyle w:val="paragraphsub"/>
      </w:pPr>
      <w:r w:rsidRPr="00A8082F">
        <w:tab/>
        <w:t>(i)</w:t>
      </w:r>
      <w:r w:rsidRPr="00A8082F">
        <w:tab/>
        <w:t>70 per cent of the gross personal services income (exclusive of GST) received by the personal services entity during the PAYG payment period; or</w:t>
      </w:r>
    </w:p>
    <w:p w14:paraId="4B890B50" w14:textId="259DF39B" w:rsidR="00675BAD" w:rsidRPr="00A8082F" w:rsidRDefault="00675BAD" w:rsidP="00675BAD">
      <w:pPr>
        <w:pStyle w:val="paragraphsub"/>
      </w:pPr>
      <w:r w:rsidRPr="00A8082F">
        <w:tab/>
        <w:t>(ii)</w:t>
      </w:r>
      <w:r w:rsidRPr="00A8082F">
        <w:tab/>
        <w:t xml:space="preserve">the net personal services income percentage </w:t>
      </w:r>
      <w:r w:rsidR="008A5F0A" w:rsidRPr="00A8082F">
        <w:t xml:space="preserve">applied to </w:t>
      </w:r>
      <w:r w:rsidRPr="00A8082F">
        <w:t>the gross personal services income (exclusive of GST) received by the personal services entity during the PAYG payment period.</w:t>
      </w:r>
    </w:p>
    <w:bookmarkEnd w:id="8"/>
    <w:bookmarkEnd w:id="9"/>
    <w:p w14:paraId="0092308A" w14:textId="76C3F88A" w:rsidR="00392085" w:rsidRPr="00A8082F" w:rsidRDefault="00AD6B0F" w:rsidP="00AD6B0F">
      <w:pPr>
        <w:pStyle w:val="notetext"/>
        <w:ind w:left="1701" w:hanging="567"/>
      </w:pPr>
      <w:r w:rsidRPr="00A8082F">
        <w:t>Note:</w:t>
      </w:r>
      <w:r w:rsidRPr="00A8082F">
        <w:tab/>
      </w:r>
      <w:r w:rsidR="00DB37E2" w:rsidRPr="00A8082F">
        <w:t>Under Division 13 of Schedule 1 to the Act, an entity that receives an alienated personal services payment may be obliged to pay an amount to the Commissioner. When an entity is required to pay an amount to the Commissioner</w:t>
      </w:r>
      <w:r w:rsidR="005A3BBB" w:rsidRPr="00A8082F">
        <w:t xml:space="preserve"> under Division 13 (including</w:t>
      </w:r>
      <w:r w:rsidR="00FE5AB8" w:rsidRPr="00A8082F">
        <w:t xml:space="preserve"> under</w:t>
      </w:r>
      <w:r w:rsidR="005A3BBB" w:rsidRPr="00A8082F">
        <w:t xml:space="preserve"> section 13-5)</w:t>
      </w:r>
      <w:r w:rsidR="00DB37E2" w:rsidRPr="00A8082F">
        <w:t xml:space="preserve">, the alienated personal services payment </w:t>
      </w:r>
      <w:r w:rsidR="00B124D7" w:rsidRPr="00A8082F">
        <w:t>can be treated as a</w:t>
      </w:r>
      <w:r w:rsidR="00DB37E2" w:rsidRPr="00A8082F">
        <w:t xml:space="preserve"> ‘withholding payment’. </w:t>
      </w:r>
      <w:r w:rsidR="002E4B42" w:rsidRPr="00A8082F">
        <w:t xml:space="preserve">Further, </w:t>
      </w:r>
      <w:r w:rsidR="00055BB0" w:rsidRPr="00A8082F">
        <w:t xml:space="preserve">the amount the entity must pay to the Commissioner is an </w:t>
      </w:r>
      <w:r w:rsidR="002E4B42" w:rsidRPr="00A8082F">
        <w:t>‘</w:t>
      </w:r>
      <w:r w:rsidRPr="00A8082F">
        <w:t>amount required to be withheld</w:t>
      </w:r>
      <w:r w:rsidR="002E4B42" w:rsidRPr="00A8082F">
        <w:t>’</w:t>
      </w:r>
      <w:r w:rsidRPr="00A8082F">
        <w:t xml:space="preserve"> from a withholding payment</w:t>
      </w:r>
      <w:r w:rsidR="00DB37E2" w:rsidRPr="00A8082F">
        <w:t xml:space="preserve"> (see relevant definitions in </w:t>
      </w:r>
      <w:r w:rsidR="00A8082F" w:rsidRPr="00A8082F">
        <w:t>sub</w:t>
      </w:r>
      <w:r w:rsidR="00DB37E2" w:rsidRPr="00A8082F">
        <w:t>section 995-1</w:t>
      </w:r>
      <w:r w:rsidR="00A8082F" w:rsidRPr="00A8082F">
        <w:t>(1)</w:t>
      </w:r>
      <w:r w:rsidR="00DB37E2" w:rsidRPr="00A8082F">
        <w:t xml:space="preserve"> of the </w:t>
      </w:r>
      <w:r w:rsidR="00DB37E2" w:rsidRPr="00A8082F">
        <w:rPr>
          <w:i/>
          <w:iCs/>
        </w:rPr>
        <w:t>Income Tax Assessment Act 1997</w:t>
      </w:r>
      <w:r w:rsidR="00DB37E2" w:rsidRPr="00A8082F">
        <w:t>)</w:t>
      </w:r>
      <w:r w:rsidRPr="00A8082F">
        <w:t>.</w:t>
      </w:r>
    </w:p>
    <w:p w14:paraId="1991CE7B" w14:textId="77777777" w:rsidR="00392085" w:rsidRPr="00A8082F" w:rsidRDefault="00554826" w:rsidP="00D66A7E">
      <w:pPr>
        <w:spacing w:line="240" w:lineRule="auto"/>
        <w:rPr>
          <w:rFonts w:eastAsia="Times New Roman" w:cs="Times New Roman"/>
          <w:lang w:eastAsia="en-AU"/>
        </w:rPr>
      </w:pPr>
      <w:r w:rsidRPr="00A8082F">
        <w:br w:type="page"/>
      </w:r>
    </w:p>
    <w:p w14:paraId="1EE824B7" w14:textId="035CC8D9" w:rsidR="00D6537E" w:rsidRPr="00A8082F" w:rsidRDefault="004E1307" w:rsidP="00D66A7E">
      <w:pPr>
        <w:pStyle w:val="ActHead6"/>
      </w:pPr>
      <w:bookmarkStart w:id="10" w:name="_Toc128043902"/>
      <w:r w:rsidRPr="00A8082F">
        <w:lastRenderedPageBreak/>
        <w:t xml:space="preserve">Schedule </w:t>
      </w:r>
      <w:r w:rsidR="00D6537E" w:rsidRPr="00A8082F">
        <w:t>1—Repeals</w:t>
      </w:r>
      <w:bookmarkEnd w:id="10"/>
    </w:p>
    <w:p w14:paraId="4AD53335" w14:textId="4405B6EA" w:rsidR="00D6537E" w:rsidRPr="00A8082F" w:rsidRDefault="004C3DF4" w:rsidP="00D66A7E">
      <w:pPr>
        <w:pStyle w:val="ActHead9"/>
        <w:rPr>
          <w:i w:val="0"/>
          <w:iCs/>
        </w:rPr>
      </w:pPr>
      <w:bookmarkStart w:id="11" w:name="_Toc128043903"/>
      <w:r w:rsidRPr="00A8082F">
        <w:t>Variation of withholding for personal services income</w:t>
      </w:r>
      <w:r w:rsidRPr="00A8082F">
        <w:rPr>
          <w:i w:val="0"/>
          <w:iCs/>
        </w:rPr>
        <w:t xml:space="preserve"> (15/03/2013</w:t>
      </w:r>
      <w:r w:rsidR="00392085" w:rsidRPr="00A8082F">
        <w:rPr>
          <w:i w:val="0"/>
          <w:iCs/>
          <w:noProof/>
        </w:rPr>
        <w:t>)</w:t>
      </w:r>
      <w:bookmarkEnd w:id="11"/>
    </w:p>
    <w:p w14:paraId="701A50F7" w14:textId="77777777" w:rsidR="00D6537E" w:rsidRPr="00A8082F" w:rsidRDefault="00D6537E" w:rsidP="00D66A7E">
      <w:pPr>
        <w:pStyle w:val="ItemHead"/>
      </w:pPr>
      <w:r w:rsidRPr="00A8082F">
        <w:t xml:space="preserve">1  </w:t>
      </w:r>
      <w:r w:rsidR="00BB1533" w:rsidRPr="00A8082F">
        <w:t>The w</w:t>
      </w:r>
      <w:r w:rsidRPr="00A8082F">
        <w:t>hole of the instrument</w:t>
      </w:r>
    </w:p>
    <w:p w14:paraId="3CA11655" w14:textId="3DCD059D" w:rsidR="004E1307" w:rsidRDefault="00D6537E" w:rsidP="00D66A7E">
      <w:pPr>
        <w:pStyle w:val="Item"/>
      </w:pPr>
      <w:r w:rsidRPr="00A8082F">
        <w:t>Repeal the instrument</w:t>
      </w:r>
      <w:r w:rsidR="000B0152" w:rsidRPr="00A8082F">
        <w:t>.</w:t>
      </w:r>
    </w:p>
    <w:sectPr w:rsidR="004E1307"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76B3" w14:textId="77777777" w:rsidR="00053D27" w:rsidRDefault="00053D27" w:rsidP="00715914">
      <w:pPr>
        <w:spacing w:line="240" w:lineRule="auto"/>
      </w:pPr>
      <w:r>
        <w:separator/>
      </w:r>
    </w:p>
  </w:endnote>
  <w:endnote w:type="continuationSeparator" w:id="0">
    <w:p w14:paraId="25A75B80" w14:textId="77777777" w:rsidR="00053D27" w:rsidRDefault="00053D2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90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578AC25" w14:textId="77777777" w:rsidTr="00B33709">
      <w:tc>
        <w:tcPr>
          <w:tcW w:w="709" w:type="dxa"/>
          <w:tcBorders>
            <w:top w:val="nil"/>
            <w:left w:val="nil"/>
            <w:bottom w:val="nil"/>
            <w:right w:val="nil"/>
          </w:tcBorders>
        </w:tcPr>
        <w:p w14:paraId="751A964E"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80535F5"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AF3C927" w14:textId="77777777" w:rsidR="0072147A" w:rsidRDefault="0072147A" w:rsidP="00A369E3">
          <w:pPr>
            <w:spacing w:line="0" w:lineRule="atLeast"/>
            <w:jc w:val="right"/>
            <w:rPr>
              <w:sz w:val="18"/>
            </w:rPr>
          </w:pPr>
        </w:p>
      </w:tc>
    </w:tr>
    <w:tr w:rsidR="0072147A" w14:paraId="6F54BD4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70CC26" w14:textId="77777777" w:rsidR="0072147A" w:rsidRDefault="0072147A" w:rsidP="00A369E3">
          <w:pPr>
            <w:jc w:val="right"/>
            <w:rPr>
              <w:sz w:val="18"/>
            </w:rPr>
          </w:pPr>
        </w:p>
      </w:tc>
    </w:tr>
  </w:tbl>
  <w:p w14:paraId="20EEF13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44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036529F" w14:textId="77777777" w:rsidTr="00A369E3">
      <w:tc>
        <w:tcPr>
          <w:tcW w:w="1384" w:type="dxa"/>
          <w:tcBorders>
            <w:top w:val="nil"/>
            <w:left w:val="nil"/>
            <w:bottom w:val="nil"/>
            <w:right w:val="nil"/>
          </w:tcBorders>
        </w:tcPr>
        <w:p w14:paraId="3CDE1AF0" w14:textId="77777777" w:rsidR="0072147A" w:rsidRDefault="0072147A" w:rsidP="00A369E3">
          <w:pPr>
            <w:spacing w:line="0" w:lineRule="atLeast"/>
            <w:rPr>
              <w:sz w:val="18"/>
            </w:rPr>
          </w:pPr>
        </w:p>
      </w:tc>
      <w:tc>
        <w:tcPr>
          <w:tcW w:w="6379" w:type="dxa"/>
          <w:tcBorders>
            <w:top w:val="nil"/>
            <w:left w:val="nil"/>
            <w:bottom w:val="nil"/>
            <w:right w:val="nil"/>
          </w:tcBorders>
        </w:tcPr>
        <w:p w14:paraId="2FBC2CE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1143B5D"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106AA8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0C96EC" w14:textId="77777777" w:rsidR="0072147A" w:rsidRDefault="0072147A" w:rsidP="00A369E3">
          <w:pPr>
            <w:rPr>
              <w:sz w:val="18"/>
            </w:rPr>
          </w:pPr>
        </w:p>
      </w:tc>
    </w:tr>
  </w:tbl>
  <w:p w14:paraId="37CA0D1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1AB"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DBCEFFA" w14:textId="77777777" w:rsidTr="00B33709">
      <w:tc>
        <w:tcPr>
          <w:tcW w:w="1384" w:type="dxa"/>
          <w:tcBorders>
            <w:top w:val="nil"/>
            <w:left w:val="nil"/>
            <w:bottom w:val="nil"/>
            <w:right w:val="nil"/>
          </w:tcBorders>
        </w:tcPr>
        <w:p w14:paraId="5F610577" w14:textId="77777777" w:rsidR="0072147A" w:rsidRDefault="0072147A" w:rsidP="00A369E3">
          <w:pPr>
            <w:spacing w:line="0" w:lineRule="atLeast"/>
            <w:rPr>
              <w:sz w:val="18"/>
            </w:rPr>
          </w:pPr>
        </w:p>
      </w:tc>
      <w:tc>
        <w:tcPr>
          <w:tcW w:w="6379" w:type="dxa"/>
          <w:tcBorders>
            <w:top w:val="nil"/>
            <w:left w:val="nil"/>
            <w:bottom w:val="nil"/>
            <w:right w:val="nil"/>
          </w:tcBorders>
        </w:tcPr>
        <w:p w14:paraId="281B96D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576E85C" w14:textId="77777777" w:rsidR="0072147A" w:rsidRDefault="0072147A" w:rsidP="00A369E3">
          <w:pPr>
            <w:spacing w:line="0" w:lineRule="atLeast"/>
            <w:jc w:val="right"/>
            <w:rPr>
              <w:sz w:val="18"/>
            </w:rPr>
          </w:pPr>
        </w:p>
      </w:tc>
    </w:tr>
  </w:tbl>
  <w:p w14:paraId="544F52DD"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46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659BEB" w14:textId="77777777" w:rsidTr="00A87A58">
      <w:tc>
        <w:tcPr>
          <w:tcW w:w="365" w:type="pct"/>
        </w:tcPr>
        <w:p w14:paraId="3E1BBD3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937418C"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03EDA">
            <w:rPr>
              <w:i/>
              <w:noProof/>
              <w:sz w:val="18"/>
            </w:rPr>
            <w:t>Act Name (Subject Matter) Kind of Instrument Year</w:t>
          </w:r>
          <w:r w:rsidRPr="004E1307">
            <w:rPr>
              <w:i/>
              <w:sz w:val="18"/>
            </w:rPr>
            <w:fldChar w:fldCharType="end"/>
          </w:r>
        </w:p>
      </w:tc>
      <w:tc>
        <w:tcPr>
          <w:tcW w:w="947" w:type="pct"/>
        </w:tcPr>
        <w:p w14:paraId="67DA6BC7" w14:textId="77777777" w:rsidR="00F6696E" w:rsidRDefault="00F6696E" w:rsidP="000850AC">
          <w:pPr>
            <w:spacing w:line="0" w:lineRule="atLeast"/>
            <w:jc w:val="right"/>
            <w:rPr>
              <w:sz w:val="18"/>
            </w:rPr>
          </w:pPr>
        </w:p>
      </w:tc>
    </w:tr>
    <w:tr w:rsidR="00F6696E" w14:paraId="1C418C15" w14:textId="77777777" w:rsidTr="00A87A58">
      <w:tc>
        <w:tcPr>
          <w:tcW w:w="5000" w:type="pct"/>
          <w:gridSpan w:val="3"/>
        </w:tcPr>
        <w:p w14:paraId="721B4C0D" w14:textId="77777777" w:rsidR="00F6696E" w:rsidRDefault="00F6696E" w:rsidP="000850AC">
          <w:pPr>
            <w:jc w:val="right"/>
            <w:rPr>
              <w:sz w:val="18"/>
            </w:rPr>
          </w:pPr>
        </w:p>
      </w:tc>
    </w:tr>
  </w:tbl>
  <w:p w14:paraId="19A7B0C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06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539F2B6" w14:textId="77777777" w:rsidTr="00A87A58">
      <w:tc>
        <w:tcPr>
          <w:tcW w:w="947" w:type="pct"/>
        </w:tcPr>
        <w:p w14:paraId="25E7B15E" w14:textId="77777777" w:rsidR="00F6696E" w:rsidRDefault="00F6696E" w:rsidP="000850AC">
          <w:pPr>
            <w:spacing w:line="0" w:lineRule="atLeast"/>
            <w:rPr>
              <w:sz w:val="18"/>
            </w:rPr>
          </w:pPr>
        </w:p>
      </w:tc>
      <w:tc>
        <w:tcPr>
          <w:tcW w:w="3688" w:type="pct"/>
        </w:tcPr>
        <w:p w14:paraId="448C3B7D" w14:textId="65C52CCA" w:rsidR="00F6696E" w:rsidRPr="00CF7844" w:rsidRDefault="00CF7844" w:rsidP="000850AC">
          <w:pPr>
            <w:spacing w:line="0" w:lineRule="atLeast"/>
            <w:jc w:val="center"/>
            <w:rPr>
              <w:i/>
              <w:iCs/>
              <w:sz w:val="18"/>
            </w:rPr>
          </w:pPr>
          <w:r w:rsidRPr="00CF7844">
            <w:rPr>
              <w:i/>
              <w:iCs/>
              <w:sz w:val="18"/>
              <w:szCs w:val="16"/>
            </w:rPr>
            <w:t>Taxation Administration (Withholding Variation for Personal Services Income) Legislative Instrument 2023</w:t>
          </w:r>
        </w:p>
      </w:tc>
      <w:tc>
        <w:tcPr>
          <w:tcW w:w="365" w:type="pct"/>
        </w:tcPr>
        <w:p w14:paraId="52D30A2B"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54EB10DE" w14:textId="77777777" w:rsidTr="00A87A58">
      <w:tc>
        <w:tcPr>
          <w:tcW w:w="5000" w:type="pct"/>
          <w:gridSpan w:val="3"/>
        </w:tcPr>
        <w:p w14:paraId="1B20D07D" w14:textId="77777777" w:rsidR="00F6696E" w:rsidRDefault="00F6696E" w:rsidP="000850AC">
          <w:pPr>
            <w:rPr>
              <w:sz w:val="18"/>
            </w:rPr>
          </w:pPr>
        </w:p>
      </w:tc>
    </w:tr>
  </w:tbl>
  <w:p w14:paraId="58F2FD19"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87B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8A2E510" w14:textId="77777777" w:rsidTr="00A87A58">
      <w:tc>
        <w:tcPr>
          <w:tcW w:w="365" w:type="pct"/>
        </w:tcPr>
        <w:p w14:paraId="1CE7AB0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7E984DA8" w14:textId="16E7A940" w:rsidR="008C2EAC" w:rsidRDefault="00CF7844" w:rsidP="000850AC">
          <w:pPr>
            <w:spacing w:line="0" w:lineRule="atLeast"/>
            <w:jc w:val="center"/>
            <w:rPr>
              <w:sz w:val="18"/>
            </w:rPr>
          </w:pPr>
          <w:r w:rsidRPr="00CF7844">
            <w:rPr>
              <w:i/>
              <w:iCs/>
              <w:sz w:val="18"/>
              <w:szCs w:val="16"/>
            </w:rPr>
            <w:t>Taxation Administration (Withholding Variation for Personal Services Income) Legislative Instrument 2023</w:t>
          </w:r>
        </w:p>
      </w:tc>
      <w:tc>
        <w:tcPr>
          <w:tcW w:w="947" w:type="pct"/>
        </w:tcPr>
        <w:p w14:paraId="33E80F62" w14:textId="77777777" w:rsidR="008C2EAC" w:rsidRDefault="008C2EAC" w:rsidP="000850AC">
          <w:pPr>
            <w:spacing w:line="0" w:lineRule="atLeast"/>
            <w:jc w:val="right"/>
            <w:rPr>
              <w:sz w:val="18"/>
            </w:rPr>
          </w:pPr>
        </w:p>
      </w:tc>
    </w:tr>
    <w:tr w:rsidR="008C2EAC" w14:paraId="79AA20B5" w14:textId="77777777" w:rsidTr="00A87A58">
      <w:tc>
        <w:tcPr>
          <w:tcW w:w="5000" w:type="pct"/>
          <w:gridSpan w:val="3"/>
        </w:tcPr>
        <w:p w14:paraId="4C3A7512" w14:textId="77777777" w:rsidR="008C2EAC" w:rsidRDefault="008C2EAC" w:rsidP="000850AC">
          <w:pPr>
            <w:jc w:val="right"/>
            <w:rPr>
              <w:sz w:val="18"/>
            </w:rPr>
          </w:pPr>
        </w:p>
      </w:tc>
    </w:tr>
  </w:tbl>
  <w:p w14:paraId="0EB5B28C"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1AC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32F9CD3" w14:textId="77777777" w:rsidTr="00A87A58">
      <w:tc>
        <w:tcPr>
          <w:tcW w:w="947" w:type="pct"/>
        </w:tcPr>
        <w:p w14:paraId="02444F3E" w14:textId="77777777" w:rsidR="008C2EAC" w:rsidRDefault="008C2EAC" w:rsidP="000850AC">
          <w:pPr>
            <w:spacing w:line="0" w:lineRule="atLeast"/>
            <w:rPr>
              <w:sz w:val="18"/>
            </w:rPr>
          </w:pPr>
        </w:p>
      </w:tc>
      <w:tc>
        <w:tcPr>
          <w:tcW w:w="3688" w:type="pct"/>
        </w:tcPr>
        <w:p w14:paraId="11A0C17D" w14:textId="7BC7C52D" w:rsidR="008C2EAC" w:rsidRDefault="00CF7844" w:rsidP="000850AC">
          <w:pPr>
            <w:spacing w:line="0" w:lineRule="atLeast"/>
            <w:jc w:val="center"/>
            <w:rPr>
              <w:sz w:val="18"/>
            </w:rPr>
          </w:pPr>
          <w:r w:rsidRPr="00CF7844">
            <w:rPr>
              <w:i/>
              <w:iCs/>
              <w:sz w:val="18"/>
              <w:szCs w:val="16"/>
            </w:rPr>
            <w:t>Taxation Administration (Withholding Variation for Personal Services Income) Legislative Instrument 2023</w:t>
          </w:r>
        </w:p>
      </w:tc>
      <w:tc>
        <w:tcPr>
          <w:tcW w:w="365" w:type="pct"/>
        </w:tcPr>
        <w:p w14:paraId="5F2B8239"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3C65E150" w14:textId="77777777" w:rsidTr="00A87A58">
      <w:tc>
        <w:tcPr>
          <w:tcW w:w="5000" w:type="pct"/>
          <w:gridSpan w:val="3"/>
        </w:tcPr>
        <w:p w14:paraId="74A01581" w14:textId="77777777" w:rsidR="008C2EAC" w:rsidRDefault="008C2EAC" w:rsidP="000850AC">
          <w:pPr>
            <w:rPr>
              <w:sz w:val="18"/>
            </w:rPr>
          </w:pPr>
        </w:p>
      </w:tc>
    </w:tr>
  </w:tbl>
  <w:p w14:paraId="2B817FD3"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97B4" w14:textId="77777777" w:rsidR="00053D27" w:rsidRDefault="00053D27" w:rsidP="00715914">
      <w:pPr>
        <w:spacing w:line="240" w:lineRule="auto"/>
      </w:pPr>
      <w:r>
        <w:separator/>
      </w:r>
    </w:p>
  </w:footnote>
  <w:footnote w:type="continuationSeparator" w:id="0">
    <w:p w14:paraId="146961B2" w14:textId="77777777" w:rsidR="00053D27" w:rsidRDefault="00053D2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F4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14C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88E"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458"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BEB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AB4" w14:textId="77777777" w:rsidR="004E1307" w:rsidRDefault="004E1307" w:rsidP="00715914">
    <w:pPr>
      <w:rPr>
        <w:sz w:val="20"/>
      </w:rPr>
    </w:pPr>
  </w:p>
  <w:p w14:paraId="1941817C" w14:textId="77777777" w:rsidR="004E1307" w:rsidRDefault="004E1307" w:rsidP="00715914">
    <w:pPr>
      <w:rPr>
        <w:sz w:val="20"/>
      </w:rPr>
    </w:pPr>
  </w:p>
  <w:p w14:paraId="01114093" w14:textId="77777777" w:rsidR="004E1307" w:rsidRPr="007A1328" w:rsidRDefault="004E1307" w:rsidP="00715914">
    <w:pPr>
      <w:rPr>
        <w:sz w:val="20"/>
      </w:rPr>
    </w:pPr>
  </w:p>
  <w:p w14:paraId="0DE708AB" w14:textId="77777777" w:rsidR="004E1307" w:rsidRPr="007A1328" w:rsidRDefault="004E1307" w:rsidP="00715914">
    <w:pPr>
      <w:rPr>
        <w:b/>
        <w:sz w:val="24"/>
      </w:rPr>
    </w:pPr>
  </w:p>
  <w:p w14:paraId="7344439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CB91" w14:textId="77777777" w:rsidR="004E1307" w:rsidRPr="007A1328" w:rsidRDefault="004E1307" w:rsidP="00715914">
    <w:pPr>
      <w:jc w:val="right"/>
      <w:rPr>
        <w:sz w:val="20"/>
      </w:rPr>
    </w:pPr>
  </w:p>
  <w:p w14:paraId="304F414F" w14:textId="77777777" w:rsidR="004E1307" w:rsidRPr="007A1328" w:rsidRDefault="004E1307" w:rsidP="00715914">
    <w:pPr>
      <w:jc w:val="right"/>
      <w:rPr>
        <w:sz w:val="20"/>
      </w:rPr>
    </w:pPr>
  </w:p>
  <w:p w14:paraId="6B89400C" w14:textId="77777777" w:rsidR="004E1307" w:rsidRPr="007A1328" w:rsidRDefault="004E1307" w:rsidP="00715914">
    <w:pPr>
      <w:jc w:val="right"/>
      <w:rPr>
        <w:sz w:val="20"/>
      </w:rPr>
    </w:pPr>
  </w:p>
  <w:p w14:paraId="0B6B1016" w14:textId="77777777" w:rsidR="004E1307" w:rsidRPr="007A1328" w:rsidRDefault="004E1307" w:rsidP="00715914">
    <w:pPr>
      <w:jc w:val="right"/>
      <w:rPr>
        <w:b/>
        <w:sz w:val="24"/>
      </w:rPr>
    </w:pPr>
  </w:p>
  <w:p w14:paraId="2554DC0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C70CB"/>
    <w:multiLevelType w:val="hybridMultilevel"/>
    <w:tmpl w:val="DBA849B6"/>
    <w:lvl w:ilvl="0" w:tplc="0C09001B">
      <w:start w:val="1"/>
      <w:numFmt w:val="lowerRoman"/>
      <w:lvlText w:val="%1."/>
      <w:lvlJc w:val="right"/>
      <w:pPr>
        <w:ind w:left="2203" w:hanging="360"/>
      </w:p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627D40"/>
    <w:multiLevelType w:val="hybridMultilevel"/>
    <w:tmpl w:val="448C3186"/>
    <w:lvl w:ilvl="0" w:tplc="30327C62">
      <w:start w:val="1"/>
      <w:numFmt w:val="lowerLetter"/>
      <w:lvlText w:val="(%1)"/>
      <w:lvlJc w:val="left"/>
      <w:pPr>
        <w:ind w:left="2131" w:hanging="43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2DCF0C8E"/>
    <w:multiLevelType w:val="hybridMultilevel"/>
    <w:tmpl w:val="F35812B4"/>
    <w:lvl w:ilvl="0" w:tplc="818E97C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83ED3"/>
    <w:multiLevelType w:val="hybridMultilevel"/>
    <w:tmpl w:val="E6887318"/>
    <w:lvl w:ilvl="0" w:tplc="C71AC80C">
      <w:start w:val="1"/>
      <w:numFmt w:val="lowerLetter"/>
      <w:lvlText w:val="(%1)"/>
      <w:lvlJc w:val="left"/>
      <w:pPr>
        <w:ind w:left="1848" w:hanging="360"/>
      </w:pPr>
      <w:rPr>
        <w:rFonts w:hint="default"/>
      </w:r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642824B5"/>
    <w:multiLevelType w:val="hybridMultilevel"/>
    <w:tmpl w:val="E91C7EC0"/>
    <w:lvl w:ilvl="0" w:tplc="6430EF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A7B85"/>
    <w:multiLevelType w:val="hybridMultilevel"/>
    <w:tmpl w:val="BBECDBB0"/>
    <w:lvl w:ilvl="0" w:tplc="AE5C7DE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8056C2"/>
    <w:multiLevelType w:val="hybridMultilevel"/>
    <w:tmpl w:val="31C2480C"/>
    <w:lvl w:ilvl="0" w:tplc="B4A6B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97261C"/>
    <w:multiLevelType w:val="hybridMultilevel"/>
    <w:tmpl w:val="24B0F220"/>
    <w:lvl w:ilvl="0" w:tplc="CF00B840">
      <w:start w:val="1"/>
      <w:numFmt w:val="decimal"/>
      <w:lvlText w:val="(%1)"/>
      <w:lvlJc w:val="left"/>
      <w:pPr>
        <w:ind w:left="1130" w:hanging="53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3"/>
  </w:num>
  <w:num w:numId="15">
    <w:abstractNumId w:val="20"/>
  </w:num>
  <w:num w:numId="16">
    <w:abstractNumId w:val="17"/>
  </w:num>
  <w:num w:numId="17">
    <w:abstractNumId w:val="19"/>
  </w:num>
  <w:num w:numId="18">
    <w:abstractNumId w:val="14"/>
  </w:num>
  <w:num w:numId="19">
    <w:abstractNumId w:val="1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DA"/>
    <w:rsid w:val="00004174"/>
    <w:rsid w:val="00004470"/>
    <w:rsid w:val="00006715"/>
    <w:rsid w:val="00006E19"/>
    <w:rsid w:val="000136AF"/>
    <w:rsid w:val="00023EB0"/>
    <w:rsid w:val="000258B1"/>
    <w:rsid w:val="00031470"/>
    <w:rsid w:val="000375DC"/>
    <w:rsid w:val="00037C0C"/>
    <w:rsid w:val="00040A89"/>
    <w:rsid w:val="00042004"/>
    <w:rsid w:val="000437C1"/>
    <w:rsid w:val="0004455A"/>
    <w:rsid w:val="0005365D"/>
    <w:rsid w:val="00053D27"/>
    <w:rsid w:val="00055BB0"/>
    <w:rsid w:val="00056B6F"/>
    <w:rsid w:val="000614BF"/>
    <w:rsid w:val="0006709C"/>
    <w:rsid w:val="00074376"/>
    <w:rsid w:val="00075BC0"/>
    <w:rsid w:val="000978F5"/>
    <w:rsid w:val="000A65E0"/>
    <w:rsid w:val="000B0152"/>
    <w:rsid w:val="000B15CD"/>
    <w:rsid w:val="000B1B07"/>
    <w:rsid w:val="000B343F"/>
    <w:rsid w:val="000B35EB"/>
    <w:rsid w:val="000B7864"/>
    <w:rsid w:val="000C08A7"/>
    <w:rsid w:val="000C58A7"/>
    <w:rsid w:val="000D05EF"/>
    <w:rsid w:val="000D6D7B"/>
    <w:rsid w:val="000E2261"/>
    <w:rsid w:val="000E5D67"/>
    <w:rsid w:val="000E78B7"/>
    <w:rsid w:val="000F21C1"/>
    <w:rsid w:val="00104EFF"/>
    <w:rsid w:val="0010745C"/>
    <w:rsid w:val="00111028"/>
    <w:rsid w:val="0012030F"/>
    <w:rsid w:val="00122307"/>
    <w:rsid w:val="00131BA3"/>
    <w:rsid w:val="0013277B"/>
    <w:rsid w:val="00132CEB"/>
    <w:rsid w:val="001339B0"/>
    <w:rsid w:val="00133AC5"/>
    <w:rsid w:val="001406B8"/>
    <w:rsid w:val="00141C00"/>
    <w:rsid w:val="00141C31"/>
    <w:rsid w:val="00142B62"/>
    <w:rsid w:val="001441B7"/>
    <w:rsid w:val="00147938"/>
    <w:rsid w:val="001516CB"/>
    <w:rsid w:val="00152336"/>
    <w:rsid w:val="00156B81"/>
    <w:rsid w:val="00157B8B"/>
    <w:rsid w:val="00166C2F"/>
    <w:rsid w:val="001714A8"/>
    <w:rsid w:val="001809D7"/>
    <w:rsid w:val="001939E1"/>
    <w:rsid w:val="00194C3E"/>
    <w:rsid w:val="00195382"/>
    <w:rsid w:val="001B2CB6"/>
    <w:rsid w:val="001B5119"/>
    <w:rsid w:val="001C4642"/>
    <w:rsid w:val="001C5D4D"/>
    <w:rsid w:val="001C61C5"/>
    <w:rsid w:val="001C69C4"/>
    <w:rsid w:val="001D016D"/>
    <w:rsid w:val="001D37EF"/>
    <w:rsid w:val="001E0B51"/>
    <w:rsid w:val="001E1F35"/>
    <w:rsid w:val="001E3590"/>
    <w:rsid w:val="001E5607"/>
    <w:rsid w:val="001E7407"/>
    <w:rsid w:val="001F3BA0"/>
    <w:rsid w:val="001F5D5E"/>
    <w:rsid w:val="001F6219"/>
    <w:rsid w:val="001F6CD4"/>
    <w:rsid w:val="00206C4D"/>
    <w:rsid w:val="00207F77"/>
    <w:rsid w:val="0021162F"/>
    <w:rsid w:val="00215AF1"/>
    <w:rsid w:val="002321E8"/>
    <w:rsid w:val="00232984"/>
    <w:rsid w:val="00233404"/>
    <w:rsid w:val="0024010F"/>
    <w:rsid w:val="00240749"/>
    <w:rsid w:val="00241DBB"/>
    <w:rsid w:val="00243018"/>
    <w:rsid w:val="00250841"/>
    <w:rsid w:val="00251B9C"/>
    <w:rsid w:val="002564A4"/>
    <w:rsid w:val="002662C7"/>
    <w:rsid w:val="0026736C"/>
    <w:rsid w:val="00275966"/>
    <w:rsid w:val="00281308"/>
    <w:rsid w:val="00284719"/>
    <w:rsid w:val="002970DA"/>
    <w:rsid w:val="00297ECB"/>
    <w:rsid w:val="002A7BCF"/>
    <w:rsid w:val="002A7DCF"/>
    <w:rsid w:val="002B5E00"/>
    <w:rsid w:val="002B78CA"/>
    <w:rsid w:val="002C3FD1"/>
    <w:rsid w:val="002C58DB"/>
    <w:rsid w:val="002D043A"/>
    <w:rsid w:val="002D266B"/>
    <w:rsid w:val="002D6224"/>
    <w:rsid w:val="002D71FE"/>
    <w:rsid w:val="002E4B42"/>
    <w:rsid w:val="002F0847"/>
    <w:rsid w:val="002F3CBB"/>
    <w:rsid w:val="00304F8B"/>
    <w:rsid w:val="003071DF"/>
    <w:rsid w:val="00323102"/>
    <w:rsid w:val="00335BC6"/>
    <w:rsid w:val="00340190"/>
    <w:rsid w:val="003415D3"/>
    <w:rsid w:val="00344338"/>
    <w:rsid w:val="00344701"/>
    <w:rsid w:val="00352B0F"/>
    <w:rsid w:val="00360459"/>
    <w:rsid w:val="00363C81"/>
    <w:rsid w:val="003767E2"/>
    <w:rsid w:val="0038049F"/>
    <w:rsid w:val="00392085"/>
    <w:rsid w:val="00392261"/>
    <w:rsid w:val="003B541F"/>
    <w:rsid w:val="003C6231"/>
    <w:rsid w:val="003D0BFE"/>
    <w:rsid w:val="003D16C6"/>
    <w:rsid w:val="003D5700"/>
    <w:rsid w:val="003E341B"/>
    <w:rsid w:val="003E4398"/>
    <w:rsid w:val="003E4D00"/>
    <w:rsid w:val="003F08BA"/>
    <w:rsid w:val="004010CE"/>
    <w:rsid w:val="00402160"/>
    <w:rsid w:val="00403EDA"/>
    <w:rsid w:val="00405528"/>
    <w:rsid w:val="004073EF"/>
    <w:rsid w:val="00411244"/>
    <w:rsid w:val="004116CD"/>
    <w:rsid w:val="00417EB9"/>
    <w:rsid w:val="00424CA9"/>
    <w:rsid w:val="00425C96"/>
    <w:rsid w:val="004276DF"/>
    <w:rsid w:val="00431E9B"/>
    <w:rsid w:val="00436FB7"/>
    <w:rsid w:val="004373D8"/>
    <w:rsid w:val="004379E3"/>
    <w:rsid w:val="0044015E"/>
    <w:rsid w:val="0044291A"/>
    <w:rsid w:val="004435E4"/>
    <w:rsid w:val="004449D6"/>
    <w:rsid w:val="0044770D"/>
    <w:rsid w:val="00467661"/>
    <w:rsid w:val="00470F94"/>
    <w:rsid w:val="00472DBE"/>
    <w:rsid w:val="00474341"/>
    <w:rsid w:val="00474A19"/>
    <w:rsid w:val="00477830"/>
    <w:rsid w:val="0048509C"/>
    <w:rsid w:val="00487764"/>
    <w:rsid w:val="00495B0F"/>
    <w:rsid w:val="00496F97"/>
    <w:rsid w:val="004A2027"/>
    <w:rsid w:val="004B0002"/>
    <w:rsid w:val="004B6C48"/>
    <w:rsid w:val="004C0795"/>
    <w:rsid w:val="004C3DF4"/>
    <w:rsid w:val="004C4E59"/>
    <w:rsid w:val="004C5D4C"/>
    <w:rsid w:val="004C6809"/>
    <w:rsid w:val="004D1ADA"/>
    <w:rsid w:val="004E063A"/>
    <w:rsid w:val="004E1307"/>
    <w:rsid w:val="004E4BF0"/>
    <w:rsid w:val="004E7BEC"/>
    <w:rsid w:val="004F0A43"/>
    <w:rsid w:val="005017DD"/>
    <w:rsid w:val="00505D3D"/>
    <w:rsid w:val="00506AF6"/>
    <w:rsid w:val="005103BA"/>
    <w:rsid w:val="00516B8D"/>
    <w:rsid w:val="0052446C"/>
    <w:rsid w:val="005303C8"/>
    <w:rsid w:val="0053339A"/>
    <w:rsid w:val="0053371E"/>
    <w:rsid w:val="00537FBC"/>
    <w:rsid w:val="00542895"/>
    <w:rsid w:val="0054726F"/>
    <w:rsid w:val="005546B5"/>
    <w:rsid w:val="00554826"/>
    <w:rsid w:val="00562877"/>
    <w:rsid w:val="00584811"/>
    <w:rsid w:val="00585784"/>
    <w:rsid w:val="00590BE2"/>
    <w:rsid w:val="00593AA6"/>
    <w:rsid w:val="00594161"/>
    <w:rsid w:val="00594749"/>
    <w:rsid w:val="005A3BBB"/>
    <w:rsid w:val="005A65D5"/>
    <w:rsid w:val="005B4067"/>
    <w:rsid w:val="005C0E49"/>
    <w:rsid w:val="005C3F41"/>
    <w:rsid w:val="005D1D92"/>
    <w:rsid w:val="005D2D09"/>
    <w:rsid w:val="005D4BB4"/>
    <w:rsid w:val="005E32B3"/>
    <w:rsid w:val="005F240D"/>
    <w:rsid w:val="00600219"/>
    <w:rsid w:val="006032E4"/>
    <w:rsid w:val="00603D89"/>
    <w:rsid w:val="006044AD"/>
    <w:rsid w:val="00604F2A"/>
    <w:rsid w:val="006069E2"/>
    <w:rsid w:val="00607E0D"/>
    <w:rsid w:val="0061283B"/>
    <w:rsid w:val="00613C73"/>
    <w:rsid w:val="00620076"/>
    <w:rsid w:val="00620E06"/>
    <w:rsid w:val="006271BE"/>
    <w:rsid w:val="00627E0A"/>
    <w:rsid w:val="006315B5"/>
    <w:rsid w:val="00641AD6"/>
    <w:rsid w:val="00651167"/>
    <w:rsid w:val="0065488B"/>
    <w:rsid w:val="0065620E"/>
    <w:rsid w:val="00670EA1"/>
    <w:rsid w:val="00675BAD"/>
    <w:rsid w:val="00677CC2"/>
    <w:rsid w:val="006836E4"/>
    <w:rsid w:val="0068744B"/>
    <w:rsid w:val="006905DE"/>
    <w:rsid w:val="0069207B"/>
    <w:rsid w:val="006A154F"/>
    <w:rsid w:val="006A437B"/>
    <w:rsid w:val="006A477C"/>
    <w:rsid w:val="006B4273"/>
    <w:rsid w:val="006B5789"/>
    <w:rsid w:val="006B6EA3"/>
    <w:rsid w:val="006C30C5"/>
    <w:rsid w:val="006C7F8C"/>
    <w:rsid w:val="006D4C0C"/>
    <w:rsid w:val="006E2E1C"/>
    <w:rsid w:val="006E6246"/>
    <w:rsid w:val="006E69C2"/>
    <w:rsid w:val="006E6DCC"/>
    <w:rsid w:val="006F031B"/>
    <w:rsid w:val="006F2E53"/>
    <w:rsid w:val="006F318F"/>
    <w:rsid w:val="0070017E"/>
    <w:rsid w:val="007001E2"/>
    <w:rsid w:val="0070023E"/>
    <w:rsid w:val="00700A4C"/>
    <w:rsid w:val="00700B2C"/>
    <w:rsid w:val="0070479A"/>
    <w:rsid w:val="007050A2"/>
    <w:rsid w:val="00713084"/>
    <w:rsid w:val="00714F20"/>
    <w:rsid w:val="0071590F"/>
    <w:rsid w:val="00715914"/>
    <w:rsid w:val="0072147A"/>
    <w:rsid w:val="00723791"/>
    <w:rsid w:val="00723DF6"/>
    <w:rsid w:val="007315C2"/>
    <w:rsid w:val="00731E00"/>
    <w:rsid w:val="00736F03"/>
    <w:rsid w:val="007440B7"/>
    <w:rsid w:val="007500C8"/>
    <w:rsid w:val="007552CA"/>
    <w:rsid w:val="00755DA3"/>
    <w:rsid w:val="00756272"/>
    <w:rsid w:val="00762D38"/>
    <w:rsid w:val="007715C9"/>
    <w:rsid w:val="00771613"/>
    <w:rsid w:val="00774EDD"/>
    <w:rsid w:val="007757EC"/>
    <w:rsid w:val="00777400"/>
    <w:rsid w:val="00783E89"/>
    <w:rsid w:val="00793915"/>
    <w:rsid w:val="007A72BD"/>
    <w:rsid w:val="007B19F4"/>
    <w:rsid w:val="007C2253"/>
    <w:rsid w:val="007C4F59"/>
    <w:rsid w:val="007D7911"/>
    <w:rsid w:val="007E163D"/>
    <w:rsid w:val="007E667A"/>
    <w:rsid w:val="007F28C9"/>
    <w:rsid w:val="007F51B2"/>
    <w:rsid w:val="00803D7B"/>
    <w:rsid w:val="008040DD"/>
    <w:rsid w:val="00805ED8"/>
    <w:rsid w:val="008117E9"/>
    <w:rsid w:val="008124DF"/>
    <w:rsid w:val="008205AE"/>
    <w:rsid w:val="008218A3"/>
    <w:rsid w:val="00824498"/>
    <w:rsid w:val="00826BD1"/>
    <w:rsid w:val="00833AF8"/>
    <w:rsid w:val="00833EAD"/>
    <w:rsid w:val="008366FC"/>
    <w:rsid w:val="0084432E"/>
    <w:rsid w:val="00846446"/>
    <w:rsid w:val="00850F63"/>
    <w:rsid w:val="00854D0B"/>
    <w:rsid w:val="008566C4"/>
    <w:rsid w:val="00856A31"/>
    <w:rsid w:val="00857A32"/>
    <w:rsid w:val="00860B4E"/>
    <w:rsid w:val="008621FC"/>
    <w:rsid w:val="00862A6A"/>
    <w:rsid w:val="00867B37"/>
    <w:rsid w:val="00874818"/>
    <w:rsid w:val="008754D0"/>
    <w:rsid w:val="00875D13"/>
    <w:rsid w:val="00876FB1"/>
    <w:rsid w:val="00881F80"/>
    <w:rsid w:val="008855C9"/>
    <w:rsid w:val="00886456"/>
    <w:rsid w:val="00890154"/>
    <w:rsid w:val="00896176"/>
    <w:rsid w:val="008A46E1"/>
    <w:rsid w:val="008A4F43"/>
    <w:rsid w:val="008A5F0A"/>
    <w:rsid w:val="008B2706"/>
    <w:rsid w:val="008B2972"/>
    <w:rsid w:val="008B2DCB"/>
    <w:rsid w:val="008B61A1"/>
    <w:rsid w:val="008B71DF"/>
    <w:rsid w:val="008C2EAC"/>
    <w:rsid w:val="008D0EE0"/>
    <w:rsid w:val="008D1DC4"/>
    <w:rsid w:val="008E0027"/>
    <w:rsid w:val="008E6067"/>
    <w:rsid w:val="008F54E7"/>
    <w:rsid w:val="008F5B14"/>
    <w:rsid w:val="009006B3"/>
    <w:rsid w:val="009023A2"/>
    <w:rsid w:val="00903422"/>
    <w:rsid w:val="00913F6E"/>
    <w:rsid w:val="00917CB6"/>
    <w:rsid w:val="009254C3"/>
    <w:rsid w:val="00932377"/>
    <w:rsid w:val="00941236"/>
    <w:rsid w:val="00943FD5"/>
    <w:rsid w:val="00947D5A"/>
    <w:rsid w:val="00951878"/>
    <w:rsid w:val="00951F93"/>
    <w:rsid w:val="009532A5"/>
    <w:rsid w:val="009534F5"/>
    <w:rsid w:val="009545BD"/>
    <w:rsid w:val="00964CF0"/>
    <w:rsid w:val="009718BE"/>
    <w:rsid w:val="00977806"/>
    <w:rsid w:val="00982242"/>
    <w:rsid w:val="009868E9"/>
    <w:rsid w:val="00987609"/>
    <w:rsid w:val="009900A3"/>
    <w:rsid w:val="00994341"/>
    <w:rsid w:val="009C3055"/>
    <w:rsid w:val="009C3413"/>
    <w:rsid w:val="009C64DB"/>
    <w:rsid w:val="009D33EB"/>
    <w:rsid w:val="009D7426"/>
    <w:rsid w:val="009E5273"/>
    <w:rsid w:val="009F2CF5"/>
    <w:rsid w:val="009F6B98"/>
    <w:rsid w:val="00A002CF"/>
    <w:rsid w:val="00A0441E"/>
    <w:rsid w:val="00A12128"/>
    <w:rsid w:val="00A22C98"/>
    <w:rsid w:val="00A231E2"/>
    <w:rsid w:val="00A317DC"/>
    <w:rsid w:val="00A320E9"/>
    <w:rsid w:val="00A369E3"/>
    <w:rsid w:val="00A376B0"/>
    <w:rsid w:val="00A42B53"/>
    <w:rsid w:val="00A5385A"/>
    <w:rsid w:val="00A57600"/>
    <w:rsid w:val="00A64912"/>
    <w:rsid w:val="00A67A8A"/>
    <w:rsid w:val="00A70A74"/>
    <w:rsid w:val="00A75FE9"/>
    <w:rsid w:val="00A8082F"/>
    <w:rsid w:val="00A8154D"/>
    <w:rsid w:val="00A87CBB"/>
    <w:rsid w:val="00A90C70"/>
    <w:rsid w:val="00A91AD1"/>
    <w:rsid w:val="00A969D6"/>
    <w:rsid w:val="00AA5D56"/>
    <w:rsid w:val="00AA777D"/>
    <w:rsid w:val="00AB04CA"/>
    <w:rsid w:val="00AC09C4"/>
    <w:rsid w:val="00AC3208"/>
    <w:rsid w:val="00AD53CC"/>
    <w:rsid w:val="00AD5641"/>
    <w:rsid w:val="00AD6B0F"/>
    <w:rsid w:val="00AE4E01"/>
    <w:rsid w:val="00AF06CF"/>
    <w:rsid w:val="00AF589F"/>
    <w:rsid w:val="00B05091"/>
    <w:rsid w:val="00B07CDB"/>
    <w:rsid w:val="00B124D7"/>
    <w:rsid w:val="00B16A31"/>
    <w:rsid w:val="00B17DFD"/>
    <w:rsid w:val="00B25306"/>
    <w:rsid w:val="00B26737"/>
    <w:rsid w:val="00B27831"/>
    <w:rsid w:val="00B3037C"/>
    <w:rsid w:val="00B308FE"/>
    <w:rsid w:val="00B33709"/>
    <w:rsid w:val="00B33B3C"/>
    <w:rsid w:val="00B36392"/>
    <w:rsid w:val="00B418CB"/>
    <w:rsid w:val="00B47444"/>
    <w:rsid w:val="00B50ADC"/>
    <w:rsid w:val="00B566B1"/>
    <w:rsid w:val="00B61AEB"/>
    <w:rsid w:val="00B63834"/>
    <w:rsid w:val="00B70A87"/>
    <w:rsid w:val="00B71CC2"/>
    <w:rsid w:val="00B80199"/>
    <w:rsid w:val="00B83204"/>
    <w:rsid w:val="00B83ED3"/>
    <w:rsid w:val="00B83FD6"/>
    <w:rsid w:val="00B856E7"/>
    <w:rsid w:val="00B93912"/>
    <w:rsid w:val="00BA220B"/>
    <w:rsid w:val="00BA3A57"/>
    <w:rsid w:val="00BA4B38"/>
    <w:rsid w:val="00BB1533"/>
    <w:rsid w:val="00BB4E1A"/>
    <w:rsid w:val="00BC015E"/>
    <w:rsid w:val="00BC2662"/>
    <w:rsid w:val="00BC4C26"/>
    <w:rsid w:val="00BC76AC"/>
    <w:rsid w:val="00BD0ECB"/>
    <w:rsid w:val="00BE2155"/>
    <w:rsid w:val="00BE6BFA"/>
    <w:rsid w:val="00BE719A"/>
    <w:rsid w:val="00BE720A"/>
    <w:rsid w:val="00BE7414"/>
    <w:rsid w:val="00BF0D73"/>
    <w:rsid w:val="00BF0D8B"/>
    <w:rsid w:val="00BF0FFA"/>
    <w:rsid w:val="00BF2465"/>
    <w:rsid w:val="00BF680A"/>
    <w:rsid w:val="00C05EC1"/>
    <w:rsid w:val="00C063E6"/>
    <w:rsid w:val="00C13B01"/>
    <w:rsid w:val="00C16619"/>
    <w:rsid w:val="00C20C97"/>
    <w:rsid w:val="00C25E7F"/>
    <w:rsid w:val="00C2746F"/>
    <w:rsid w:val="00C2789F"/>
    <w:rsid w:val="00C323D6"/>
    <w:rsid w:val="00C324A0"/>
    <w:rsid w:val="00C32BDF"/>
    <w:rsid w:val="00C41391"/>
    <w:rsid w:val="00C42BF8"/>
    <w:rsid w:val="00C50043"/>
    <w:rsid w:val="00C51629"/>
    <w:rsid w:val="00C7573B"/>
    <w:rsid w:val="00C75D00"/>
    <w:rsid w:val="00C8373B"/>
    <w:rsid w:val="00C83B87"/>
    <w:rsid w:val="00C86B2E"/>
    <w:rsid w:val="00C95D18"/>
    <w:rsid w:val="00C9647A"/>
    <w:rsid w:val="00C968FE"/>
    <w:rsid w:val="00C97A54"/>
    <w:rsid w:val="00CA0036"/>
    <w:rsid w:val="00CA5B23"/>
    <w:rsid w:val="00CA6114"/>
    <w:rsid w:val="00CB59D6"/>
    <w:rsid w:val="00CB602E"/>
    <w:rsid w:val="00CB69AD"/>
    <w:rsid w:val="00CB7E90"/>
    <w:rsid w:val="00CD1EFA"/>
    <w:rsid w:val="00CE051D"/>
    <w:rsid w:val="00CE1335"/>
    <w:rsid w:val="00CE3356"/>
    <w:rsid w:val="00CE493D"/>
    <w:rsid w:val="00CF07FA"/>
    <w:rsid w:val="00CF0BB2"/>
    <w:rsid w:val="00CF3EE8"/>
    <w:rsid w:val="00CF7844"/>
    <w:rsid w:val="00D01201"/>
    <w:rsid w:val="00D13441"/>
    <w:rsid w:val="00D150E7"/>
    <w:rsid w:val="00D15CB6"/>
    <w:rsid w:val="00D2076D"/>
    <w:rsid w:val="00D27325"/>
    <w:rsid w:val="00D34AAB"/>
    <w:rsid w:val="00D35EDC"/>
    <w:rsid w:val="00D52DC2"/>
    <w:rsid w:val="00D53BCC"/>
    <w:rsid w:val="00D54C9E"/>
    <w:rsid w:val="00D61E6B"/>
    <w:rsid w:val="00D6537E"/>
    <w:rsid w:val="00D66A7E"/>
    <w:rsid w:val="00D70DFB"/>
    <w:rsid w:val="00D75116"/>
    <w:rsid w:val="00D766DF"/>
    <w:rsid w:val="00D8206C"/>
    <w:rsid w:val="00D91F10"/>
    <w:rsid w:val="00D96651"/>
    <w:rsid w:val="00DA186E"/>
    <w:rsid w:val="00DA1B82"/>
    <w:rsid w:val="00DA4116"/>
    <w:rsid w:val="00DB251C"/>
    <w:rsid w:val="00DB37E2"/>
    <w:rsid w:val="00DB4630"/>
    <w:rsid w:val="00DB482C"/>
    <w:rsid w:val="00DC1F34"/>
    <w:rsid w:val="00DC1FD0"/>
    <w:rsid w:val="00DC4F88"/>
    <w:rsid w:val="00DD459B"/>
    <w:rsid w:val="00DE107C"/>
    <w:rsid w:val="00DE3CF5"/>
    <w:rsid w:val="00DE7D77"/>
    <w:rsid w:val="00DF07C9"/>
    <w:rsid w:val="00DF2388"/>
    <w:rsid w:val="00DF4C90"/>
    <w:rsid w:val="00DF5B11"/>
    <w:rsid w:val="00DF5CDB"/>
    <w:rsid w:val="00DF7E01"/>
    <w:rsid w:val="00E05704"/>
    <w:rsid w:val="00E05F44"/>
    <w:rsid w:val="00E338EF"/>
    <w:rsid w:val="00E45760"/>
    <w:rsid w:val="00E544BB"/>
    <w:rsid w:val="00E549E8"/>
    <w:rsid w:val="00E613C7"/>
    <w:rsid w:val="00E64149"/>
    <w:rsid w:val="00E716A2"/>
    <w:rsid w:val="00E74DC7"/>
    <w:rsid w:val="00E8075A"/>
    <w:rsid w:val="00E8491F"/>
    <w:rsid w:val="00E90256"/>
    <w:rsid w:val="00E940D8"/>
    <w:rsid w:val="00E94D5E"/>
    <w:rsid w:val="00E97B31"/>
    <w:rsid w:val="00EA4BC1"/>
    <w:rsid w:val="00EA590F"/>
    <w:rsid w:val="00EA7100"/>
    <w:rsid w:val="00EA7F9F"/>
    <w:rsid w:val="00EB1274"/>
    <w:rsid w:val="00EB161F"/>
    <w:rsid w:val="00EB51D1"/>
    <w:rsid w:val="00EC00C2"/>
    <w:rsid w:val="00EC7A5D"/>
    <w:rsid w:val="00ED2BB6"/>
    <w:rsid w:val="00ED34E1"/>
    <w:rsid w:val="00ED3B8D"/>
    <w:rsid w:val="00ED7D4B"/>
    <w:rsid w:val="00EE5E36"/>
    <w:rsid w:val="00EF2E3A"/>
    <w:rsid w:val="00EF6E91"/>
    <w:rsid w:val="00F02C7C"/>
    <w:rsid w:val="00F072A7"/>
    <w:rsid w:val="00F078DC"/>
    <w:rsid w:val="00F17D84"/>
    <w:rsid w:val="00F32BA8"/>
    <w:rsid w:val="00F32EE0"/>
    <w:rsid w:val="00F349F1"/>
    <w:rsid w:val="00F358C7"/>
    <w:rsid w:val="00F4350D"/>
    <w:rsid w:val="00F479C4"/>
    <w:rsid w:val="00F53B53"/>
    <w:rsid w:val="00F567F7"/>
    <w:rsid w:val="00F609C6"/>
    <w:rsid w:val="00F63AE5"/>
    <w:rsid w:val="00F644C9"/>
    <w:rsid w:val="00F6696E"/>
    <w:rsid w:val="00F701AC"/>
    <w:rsid w:val="00F7220E"/>
    <w:rsid w:val="00F73BD6"/>
    <w:rsid w:val="00F77E26"/>
    <w:rsid w:val="00F83989"/>
    <w:rsid w:val="00F85099"/>
    <w:rsid w:val="00F871E5"/>
    <w:rsid w:val="00F878B1"/>
    <w:rsid w:val="00F9068A"/>
    <w:rsid w:val="00F9379C"/>
    <w:rsid w:val="00F9632C"/>
    <w:rsid w:val="00F96EFA"/>
    <w:rsid w:val="00FA1E52"/>
    <w:rsid w:val="00FB3A33"/>
    <w:rsid w:val="00FB5A08"/>
    <w:rsid w:val="00FC6A80"/>
    <w:rsid w:val="00FD36DA"/>
    <w:rsid w:val="00FD3B4E"/>
    <w:rsid w:val="00FE4688"/>
    <w:rsid w:val="00FE50F9"/>
    <w:rsid w:val="00FE5AB8"/>
    <w:rsid w:val="00FF5704"/>
    <w:rsid w:val="00FF7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FD3B4E"/>
    <w:rPr>
      <w:color w:val="0000FF" w:themeColor="hyperlink"/>
      <w:u w:val="single"/>
    </w:rPr>
  </w:style>
  <w:style w:type="character" w:styleId="FollowedHyperlink">
    <w:name w:val="FollowedHyperlink"/>
    <w:basedOn w:val="DefaultParagraphFont"/>
    <w:uiPriority w:val="99"/>
    <w:semiHidden/>
    <w:unhideWhenUsed/>
    <w:rsid w:val="00FD3B4E"/>
    <w:rPr>
      <w:color w:val="800080" w:themeColor="followedHyperlink"/>
      <w:u w:val="single"/>
    </w:rPr>
  </w:style>
  <w:style w:type="character" w:styleId="CommentReference">
    <w:name w:val="annotation reference"/>
    <w:basedOn w:val="DefaultParagraphFont"/>
    <w:uiPriority w:val="99"/>
    <w:semiHidden/>
    <w:unhideWhenUsed/>
    <w:rsid w:val="00104EFF"/>
    <w:rPr>
      <w:sz w:val="16"/>
      <w:szCs w:val="16"/>
    </w:rPr>
  </w:style>
  <w:style w:type="paragraph" w:styleId="CommentText">
    <w:name w:val="annotation text"/>
    <w:basedOn w:val="Normal"/>
    <w:link w:val="CommentTextChar"/>
    <w:uiPriority w:val="99"/>
    <w:unhideWhenUsed/>
    <w:rsid w:val="00104EFF"/>
    <w:pPr>
      <w:spacing w:line="240" w:lineRule="auto"/>
    </w:pPr>
    <w:rPr>
      <w:sz w:val="20"/>
    </w:rPr>
  </w:style>
  <w:style w:type="character" w:customStyle="1" w:styleId="CommentTextChar">
    <w:name w:val="Comment Text Char"/>
    <w:basedOn w:val="DefaultParagraphFont"/>
    <w:link w:val="CommentText"/>
    <w:uiPriority w:val="99"/>
    <w:rsid w:val="00104EFF"/>
  </w:style>
  <w:style w:type="paragraph" w:styleId="CommentSubject">
    <w:name w:val="annotation subject"/>
    <w:basedOn w:val="CommentText"/>
    <w:next w:val="CommentText"/>
    <w:link w:val="CommentSubjectChar"/>
    <w:uiPriority w:val="99"/>
    <w:semiHidden/>
    <w:unhideWhenUsed/>
    <w:rsid w:val="00104EFF"/>
    <w:rPr>
      <w:b/>
      <w:bCs/>
    </w:rPr>
  </w:style>
  <w:style w:type="character" w:customStyle="1" w:styleId="CommentSubjectChar">
    <w:name w:val="Comment Subject Char"/>
    <w:basedOn w:val="CommentTextChar"/>
    <w:link w:val="CommentSubject"/>
    <w:uiPriority w:val="99"/>
    <w:semiHidden/>
    <w:rsid w:val="00104EFF"/>
    <w:rPr>
      <w:b/>
      <w:bCs/>
    </w:rPr>
  </w:style>
  <w:style w:type="paragraph" w:customStyle="1" w:styleId="acthead50">
    <w:name w:val="acthead5"/>
    <w:basedOn w:val="Normal"/>
    <w:rsid w:val="00402160"/>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02160"/>
  </w:style>
  <w:style w:type="paragraph" w:customStyle="1" w:styleId="subsectionhead0">
    <w:name w:val="subsectionhead"/>
    <w:basedOn w:val="Normal"/>
    <w:rsid w:val="00402160"/>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4D1ADA"/>
    <w:rPr>
      <w:color w:val="605E5C"/>
      <w:shd w:val="clear" w:color="auto" w:fill="E1DFDD"/>
    </w:rPr>
  </w:style>
  <w:style w:type="paragraph" w:styleId="ListParagraph">
    <w:name w:val="List Paragraph"/>
    <w:basedOn w:val="Normal"/>
    <w:uiPriority w:val="34"/>
    <w:qFormat/>
    <w:rsid w:val="00EF6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091">
      <w:bodyDiv w:val="1"/>
      <w:marLeft w:val="0"/>
      <w:marRight w:val="0"/>
      <w:marTop w:val="0"/>
      <w:marBottom w:val="0"/>
      <w:divBdr>
        <w:top w:val="none" w:sz="0" w:space="0" w:color="auto"/>
        <w:left w:val="none" w:sz="0" w:space="0" w:color="auto"/>
        <w:bottom w:val="none" w:sz="0" w:space="0" w:color="auto"/>
        <w:right w:val="none" w:sz="0" w:space="0" w:color="auto"/>
      </w:divBdr>
    </w:div>
    <w:div w:id="254291909">
      <w:bodyDiv w:val="1"/>
      <w:marLeft w:val="0"/>
      <w:marRight w:val="0"/>
      <w:marTop w:val="0"/>
      <w:marBottom w:val="0"/>
      <w:divBdr>
        <w:top w:val="none" w:sz="0" w:space="0" w:color="auto"/>
        <w:left w:val="none" w:sz="0" w:space="0" w:color="auto"/>
        <w:bottom w:val="none" w:sz="0" w:space="0" w:color="auto"/>
        <w:right w:val="none" w:sz="0" w:space="0" w:color="auto"/>
      </w:divBdr>
    </w:div>
    <w:div w:id="734594821">
      <w:bodyDiv w:val="1"/>
      <w:marLeft w:val="0"/>
      <w:marRight w:val="0"/>
      <w:marTop w:val="0"/>
      <w:marBottom w:val="0"/>
      <w:divBdr>
        <w:top w:val="none" w:sz="0" w:space="0" w:color="auto"/>
        <w:left w:val="none" w:sz="0" w:space="0" w:color="auto"/>
        <w:bottom w:val="none" w:sz="0" w:space="0" w:color="auto"/>
        <w:right w:val="none" w:sz="0" w:space="0" w:color="auto"/>
      </w:divBdr>
    </w:div>
    <w:div w:id="1486820780">
      <w:bodyDiv w:val="1"/>
      <w:marLeft w:val="0"/>
      <w:marRight w:val="0"/>
      <w:marTop w:val="0"/>
      <w:marBottom w:val="0"/>
      <w:divBdr>
        <w:top w:val="none" w:sz="0" w:space="0" w:color="auto"/>
        <w:left w:val="none" w:sz="0" w:space="0" w:color="auto"/>
        <w:bottom w:val="none" w:sz="0" w:space="0" w:color="auto"/>
        <w:right w:val="none" w:sz="0" w:space="0" w:color="auto"/>
      </w:divBdr>
    </w:div>
    <w:div w:id="1706826968">
      <w:bodyDiv w:val="1"/>
      <w:marLeft w:val="0"/>
      <w:marRight w:val="0"/>
      <w:marTop w:val="0"/>
      <w:marBottom w:val="0"/>
      <w:divBdr>
        <w:top w:val="none" w:sz="0" w:space="0" w:color="auto"/>
        <w:left w:val="none" w:sz="0" w:space="0" w:color="auto"/>
        <w:bottom w:val="none" w:sz="0" w:space="0" w:color="auto"/>
        <w:right w:val="none" w:sz="0" w:space="0" w:color="auto"/>
      </w:divBdr>
    </w:div>
    <w:div w:id="1829898290">
      <w:bodyDiv w:val="1"/>
      <w:marLeft w:val="0"/>
      <w:marRight w:val="0"/>
      <w:marTop w:val="0"/>
      <w:marBottom w:val="0"/>
      <w:divBdr>
        <w:top w:val="none" w:sz="0" w:space="0" w:color="auto"/>
        <w:left w:val="none" w:sz="0" w:space="0" w:color="auto"/>
        <w:bottom w:val="none" w:sz="0" w:space="0" w:color="auto"/>
        <w:right w:val="none" w:sz="0" w:space="0" w:color="auto"/>
      </w:divBdr>
    </w:div>
    <w:div w:id="20397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2023-03-15T03:34:00Z</dcterms:created>
  <dcterms:modified xsi:type="dcterms:W3CDTF">2023-03-15T03:51:00Z</dcterms:modified>
</cp:coreProperties>
</file>