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FEAE6" w14:textId="77777777" w:rsidR="00403193" w:rsidRDefault="00F26933">
      <w:pPr>
        <w:ind w:left="360"/>
        <w:jc w:val="center"/>
        <w:rPr>
          <w:b/>
        </w:rPr>
      </w:pPr>
      <w:r>
        <w:rPr>
          <w:b/>
        </w:rPr>
        <w:t>EXPLANATORY STATEMENT</w:t>
      </w:r>
    </w:p>
    <w:p w14:paraId="141349F5" w14:textId="77777777" w:rsidR="00403193" w:rsidRDefault="00403193">
      <w:pPr>
        <w:jc w:val="center"/>
        <w:rPr>
          <w:b/>
        </w:rPr>
      </w:pPr>
    </w:p>
    <w:p w14:paraId="4308EBA9" w14:textId="77777777" w:rsidR="00403193" w:rsidRDefault="00F26933">
      <w:pPr>
        <w:jc w:val="center"/>
        <w:rPr>
          <w:b/>
        </w:rPr>
      </w:pPr>
      <w:r>
        <w:rPr>
          <w:b/>
        </w:rPr>
        <w:t xml:space="preserve">Issued by the Minister for the Arts </w:t>
      </w:r>
    </w:p>
    <w:p w14:paraId="484579F3" w14:textId="77777777" w:rsidR="00403193" w:rsidRDefault="00403193">
      <w:pPr>
        <w:jc w:val="center"/>
        <w:rPr>
          <w:b/>
        </w:rPr>
      </w:pPr>
    </w:p>
    <w:p w14:paraId="2C644B07" w14:textId="77777777" w:rsidR="00403193" w:rsidRDefault="00550460">
      <w:pPr>
        <w:jc w:val="center"/>
        <w:rPr>
          <w:i/>
        </w:rPr>
      </w:pPr>
      <w:r>
        <w:rPr>
          <w:i/>
        </w:rPr>
        <w:t>Resale Royalty Right for Visual Artists Act 2009</w:t>
      </w:r>
    </w:p>
    <w:p w14:paraId="1E9F06AA" w14:textId="77777777" w:rsidR="00403193" w:rsidRDefault="00403193">
      <w:pPr>
        <w:jc w:val="center"/>
        <w:rPr>
          <w:b/>
          <w:i/>
        </w:rPr>
      </w:pPr>
    </w:p>
    <w:p w14:paraId="55CF674C" w14:textId="77777777" w:rsidR="00403193" w:rsidRPr="00550460" w:rsidRDefault="00550460">
      <w:pPr>
        <w:jc w:val="center"/>
        <w:rPr>
          <w:i/>
        </w:rPr>
      </w:pPr>
      <w:r w:rsidRPr="00550460">
        <w:rPr>
          <w:i/>
        </w:rPr>
        <w:t>Resale Royalty Right for Visual Artists Regulations 20</w:t>
      </w:r>
      <w:r w:rsidR="00024F93">
        <w:rPr>
          <w:i/>
        </w:rPr>
        <w:t>21</w:t>
      </w:r>
    </w:p>
    <w:p w14:paraId="10BAA9A7" w14:textId="77777777" w:rsidR="00550460" w:rsidRDefault="00550460">
      <w:pPr>
        <w:jc w:val="center"/>
        <w:rPr>
          <w:b/>
          <w:i/>
        </w:rPr>
      </w:pPr>
    </w:p>
    <w:p w14:paraId="640B1361" w14:textId="784681E7" w:rsidR="00550460" w:rsidRPr="00F54BAD" w:rsidRDefault="00550460" w:rsidP="00550460">
      <w:pPr>
        <w:jc w:val="center"/>
        <w:rPr>
          <w:b/>
          <w:lang w:val="en-US"/>
        </w:rPr>
      </w:pPr>
      <w:r w:rsidRPr="00F54BAD">
        <w:rPr>
          <w:b/>
          <w:lang w:val="en-US"/>
        </w:rPr>
        <w:t>Resale Royalty Right for Visual Artists (Format of Notice of Commercial Resale) Determination</w:t>
      </w:r>
      <w:r w:rsidR="00A331AF">
        <w:rPr>
          <w:b/>
          <w:lang w:val="en-US"/>
        </w:rPr>
        <w:t xml:space="preserve"> </w:t>
      </w:r>
      <w:r w:rsidRPr="00F54BAD">
        <w:rPr>
          <w:b/>
          <w:lang w:val="en-US"/>
        </w:rPr>
        <w:t>20</w:t>
      </w:r>
      <w:r w:rsidR="00024F93">
        <w:rPr>
          <w:b/>
          <w:lang w:val="en-US"/>
        </w:rPr>
        <w:t>2</w:t>
      </w:r>
      <w:r w:rsidR="00A331AF">
        <w:rPr>
          <w:b/>
          <w:lang w:val="en-US"/>
        </w:rPr>
        <w:t>3</w:t>
      </w:r>
    </w:p>
    <w:p w14:paraId="17F3546C" w14:textId="243F80BB" w:rsidR="00550460" w:rsidRDefault="00550460" w:rsidP="00B5134A">
      <w:pPr>
        <w:rPr>
          <w:b/>
          <w:i/>
        </w:rPr>
      </w:pPr>
    </w:p>
    <w:p w14:paraId="74B78110" w14:textId="77777777" w:rsidR="00B5134A" w:rsidRPr="00070168" w:rsidRDefault="00B5134A" w:rsidP="00B5134A">
      <w:pPr>
        <w:shd w:val="clear" w:color="auto" w:fill="FFFFFF"/>
        <w:spacing w:line="253" w:lineRule="atLeast"/>
        <w:rPr>
          <w:rFonts w:ascii="Calibri" w:hAnsi="Calibri" w:cs="Calibri"/>
          <w:color w:val="000000"/>
          <w:sz w:val="22"/>
          <w:szCs w:val="22"/>
          <w:u w:val="single"/>
        </w:rPr>
      </w:pPr>
      <w:r w:rsidRPr="00070168">
        <w:rPr>
          <w:bCs/>
          <w:color w:val="000000"/>
          <w:u w:val="single"/>
        </w:rPr>
        <w:t>Purpose</w:t>
      </w:r>
    </w:p>
    <w:p w14:paraId="1488544F" w14:textId="77777777" w:rsidR="00B5134A" w:rsidRDefault="00B5134A" w:rsidP="00B5134A"/>
    <w:p w14:paraId="60939120" w14:textId="11F634C1" w:rsidR="00B5134A" w:rsidRDefault="00B5134A" w:rsidP="00B5134A">
      <w:r>
        <w:t xml:space="preserve">The purpose of the </w:t>
      </w:r>
      <w:r w:rsidRPr="008F0630">
        <w:rPr>
          <w:i/>
        </w:rPr>
        <w:t>Resale Royalty Right for Visual Artists (Format of Notice of Commercial Resale) Determination 2023</w:t>
      </w:r>
      <w:r>
        <w:t xml:space="preserve"> (the Determination) is to repeal and remake the </w:t>
      </w:r>
      <w:r w:rsidRPr="00B5134A">
        <w:rPr>
          <w:i/>
        </w:rPr>
        <w:t>Resale Royalty Right for Visual Artists (Format of Notice of Commercial Resale) Determination (No. 1) 2012</w:t>
      </w:r>
      <w:r>
        <w:rPr>
          <w:i/>
        </w:rPr>
        <w:t xml:space="preserve"> </w:t>
      </w:r>
      <w:r w:rsidRPr="00134CB2">
        <w:t xml:space="preserve">with </w:t>
      </w:r>
      <w:r w:rsidR="00C93CEF">
        <w:t xml:space="preserve">some </w:t>
      </w:r>
      <w:r w:rsidRPr="00134CB2">
        <w:t xml:space="preserve">minor </w:t>
      </w:r>
      <w:r>
        <w:t xml:space="preserve">changes. </w:t>
      </w:r>
    </w:p>
    <w:p w14:paraId="07B82553" w14:textId="77777777" w:rsidR="00B5134A" w:rsidRDefault="00B5134A" w:rsidP="00B5134A">
      <w:pPr>
        <w:rPr>
          <w:i/>
        </w:rPr>
      </w:pPr>
    </w:p>
    <w:p w14:paraId="4FF8CDD1" w14:textId="77777777" w:rsidR="00403193" w:rsidRPr="00482CFA" w:rsidRDefault="00B65413" w:rsidP="007D327E">
      <w:pPr>
        <w:spacing w:after="120"/>
        <w:rPr>
          <w:u w:val="single"/>
        </w:rPr>
      </w:pPr>
      <w:r w:rsidRPr="00482CFA">
        <w:rPr>
          <w:u w:val="single"/>
        </w:rPr>
        <w:t>Legislative Authority</w:t>
      </w:r>
    </w:p>
    <w:p w14:paraId="16FCB481" w14:textId="5593CFBD" w:rsidR="00403193" w:rsidRDefault="00B23B2C">
      <w:r>
        <w:t xml:space="preserve">Regulation </w:t>
      </w:r>
      <w:r w:rsidR="00D90A5C">
        <w:t>7</w:t>
      </w:r>
      <w:r>
        <w:t xml:space="preserve"> of the</w:t>
      </w:r>
      <w:r w:rsidR="004E159B">
        <w:t xml:space="preserve"> </w:t>
      </w:r>
      <w:r w:rsidR="00B5134A" w:rsidRPr="004E159B">
        <w:rPr>
          <w:i/>
        </w:rPr>
        <w:t>Resale Royalty Right for Visual Artists Regulations 20</w:t>
      </w:r>
      <w:r w:rsidR="00B5134A">
        <w:rPr>
          <w:i/>
        </w:rPr>
        <w:t>21</w:t>
      </w:r>
      <w:r w:rsidR="00B5134A">
        <w:t xml:space="preserve"> (</w:t>
      </w:r>
      <w:r w:rsidR="008F0630">
        <w:t xml:space="preserve">the </w:t>
      </w:r>
      <w:r>
        <w:t>Regulations</w:t>
      </w:r>
      <w:r w:rsidR="00B5134A">
        <w:t xml:space="preserve">) </w:t>
      </w:r>
      <w:r>
        <w:t>provides that the Minister may, by legislative instrument, determine a format of notice of commercial resale</w:t>
      </w:r>
      <w:r w:rsidR="00435F93">
        <w:t xml:space="preserve"> for </w:t>
      </w:r>
      <w:r w:rsidR="009B0AB2">
        <w:t xml:space="preserve">the purpose of </w:t>
      </w:r>
      <w:r w:rsidR="00435F93">
        <w:t>section 28</w:t>
      </w:r>
      <w:r w:rsidR="00D90A5C">
        <w:t xml:space="preserve"> </w:t>
      </w:r>
      <w:r w:rsidR="00435F93">
        <w:t xml:space="preserve">of the </w:t>
      </w:r>
      <w:r w:rsidR="00435F93" w:rsidRPr="00435F93">
        <w:rPr>
          <w:i/>
        </w:rPr>
        <w:t>Resale Royalty Right for Visual Artists Act 2009</w:t>
      </w:r>
      <w:r w:rsidR="00435F93">
        <w:t xml:space="preserve"> (the Act)</w:t>
      </w:r>
      <w:r>
        <w:t xml:space="preserve">.  </w:t>
      </w:r>
    </w:p>
    <w:p w14:paraId="77A569B7" w14:textId="77777777" w:rsidR="00403193" w:rsidRPr="006419F4" w:rsidRDefault="00403193"/>
    <w:p w14:paraId="74845006" w14:textId="62BF9396" w:rsidR="00F12846" w:rsidRPr="007F6A6E" w:rsidRDefault="00704B99" w:rsidP="00043943">
      <w:pPr>
        <w:spacing w:before="120" w:after="120"/>
        <w:rPr>
          <w:iCs/>
        </w:rPr>
      </w:pPr>
      <w:r w:rsidRPr="00482CFA">
        <w:rPr>
          <w:u w:val="single"/>
        </w:rPr>
        <w:t>Consultation</w:t>
      </w:r>
    </w:p>
    <w:p w14:paraId="1FC46B8C" w14:textId="122874B7" w:rsidR="009B0AB2" w:rsidRDefault="00253311">
      <w:r>
        <w:t xml:space="preserve">Consultation has been undertaken </w:t>
      </w:r>
      <w:r w:rsidR="00E22ECA">
        <w:t xml:space="preserve">on the Determination </w:t>
      </w:r>
      <w:r>
        <w:t>with Copyright Agency</w:t>
      </w:r>
      <w:r w:rsidR="00CC1DDE">
        <w:t xml:space="preserve"> Limited,</w:t>
      </w:r>
      <w:r>
        <w:t xml:space="preserve"> </w:t>
      </w:r>
      <w:r w:rsidR="00E22ECA">
        <w:t>(</w:t>
      </w:r>
      <w:r>
        <w:t xml:space="preserve">the collecting </w:t>
      </w:r>
      <w:r w:rsidR="005860EB">
        <w:t xml:space="preserve">society </w:t>
      </w:r>
      <w:r>
        <w:t>appointe</w:t>
      </w:r>
      <w:r w:rsidR="001765E9">
        <w:t>d un</w:t>
      </w:r>
      <w:r w:rsidR="0080682E">
        <w:t>der section 35 of the</w:t>
      </w:r>
      <w:r w:rsidR="00435F93">
        <w:t xml:space="preserve"> Act</w:t>
      </w:r>
      <w:r w:rsidR="00E22ECA">
        <w:t>)</w:t>
      </w:r>
      <w:r w:rsidR="00D4493F">
        <w:t>, to ensure that the</w:t>
      </w:r>
      <w:r w:rsidR="0080682E">
        <w:t xml:space="preserve"> </w:t>
      </w:r>
      <w:r w:rsidR="008F0630">
        <w:t xml:space="preserve">Determination </w:t>
      </w:r>
      <w:r w:rsidR="0080682E">
        <w:t xml:space="preserve">will </w:t>
      </w:r>
      <w:r w:rsidR="00D81ACB">
        <w:t>fit wi</w:t>
      </w:r>
      <w:r w:rsidR="00BD4B18">
        <w:t>thin their current systems</w:t>
      </w:r>
      <w:r w:rsidR="0005645B">
        <w:t xml:space="preserve"> and reporting processes, </w:t>
      </w:r>
      <w:r w:rsidR="009B0AB2">
        <w:t xml:space="preserve">and </w:t>
      </w:r>
      <w:r w:rsidR="00733E2C">
        <w:t>also</w:t>
      </w:r>
      <w:r w:rsidR="0005645B">
        <w:t xml:space="preserve"> if it </w:t>
      </w:r>
      <w:r w:rsidR="009B0AB2">
        <w:t xml:space="preserve">would be </w:t>
      </w:r>
      <w:r w:rsidR="0005645B">
        <w:t xml:space="preserve">suitable for international </w:t>
      </w:r>
      <w:r w:rsidR="00733E2C">
        <w:t>reciprocal arrangements</w:t>
      </w:r>
      <w:r w:rsidR="0005645B">
        <w:t xml:space="preserve"> </w:t>
      </w:r>
      <w:r w:rsidR="00AC09C9">
        <w:t>as</w:t>
      </w:r>
      <w:r w:rsidR="0005645B">
        <w:t xml:space="preserve"> </w:t>
      </w:r>
      <w:r w:rsidR="002770B2">
        <w:t xml:space="preserve">may be </w:t>
      </w:r>
      <w:r w:rsidR="0005645B">
        <w:t>enlivened in the Regulations</w:t>
      </w:r>
      <w:r w:rsidR="00BD4B18">
        <w:t xml:space="preserve">. </w:t>
      </w:r>
    </w:p>
    <w:p w14:paraId="448572AF" w14:textId="77777777" w:rsidR="009B0AB2" w:rsidRDefault="009B0AB2"/>
    <w:p w14:paraId="12FEDEB5" w14:textId="4D5EAFA7" w:rsidR="00F12846" w:rsidRDefault="00BD4B18">
      <w:r>
        <w:t>Formal public</w:t>
      </w:r>
      <w:r w:rsidR="00D81ACB">
        <w:t xml:space="preserve"> consultation has not been undertaken</w:t>
      </w:r>
      <w:r w:rsidR="001D63EF">
        <w:t xml:space="preserve"> as it is consi</w:t>
      </w:r>
      <w:r w:rsidR="00D4493F">
        <w:t xml:space="preserve">dered that the </w:t>
      </w:r>
      <w:r w:rsidR="008F0630">
        <w:t xml:space="preserve">Determination </w:t>
      </w:r>
      <w:r w:rsidR="001D63EF">
        <w:t>will hav</w:t>
      </w:r>
      <w:r w:rsidR="00280C8D">
        <w:t>e minimal impact on those persons giving notice of a commercial resale of an artwork</w:t>
      </w:r>
      <w:r w:rsidR="00F15497">
        <w:t>.</w:t>
      </w:r>
    </w:p>
    <w:p w14:paraId="56B28837" w14:textId="77777777" w:rsidR="00587F8D" w:rsidRDefault="00587F8D"/>
    <w:p w14:paraId="1A20843E" w14:textId="67061E2F" w:rsidR="00482CFA" w:rsidRPr="00482CFA" w:rsidRDefault="008F0630" w:rsidP="007D327E">
      <w:pPr>
        <w:spacing w:after="120"/>
        <w:rPr>
          <w:u w:val="single"/>
        </w:rPr>
      </w:pPr>
      <w:r>
        <w:rPr>
          <w:u w:val="single"/>
        </w:rPr>
        <w:t>O</w:t>
      </w:r>
      <w:r w:rsidR="00F54BAD">
        <w:rPr>
          <w:u w:val="single"/>
        </w:rPr>
        <w:t>peratio</w:t>
      </w:r>
      <w:r w:rsidR="00D4493F">
        <w:rPr>
          <w:u w:val="single"/>
        </w:rPr>
        <w:t xml:space="preserve">n of the </w:t>
      </w:r>
      <w:r>
        <w:rPr>
          <w:u w:val="single"/>
        </w:rPr>
        <w:t>Determination</w:t>
      </w:r>
    </w:p>
    <w:p w14:paraId="13091B9E" w14:textId="136B1736" w:rsidR="008F0630" w:rsidRDefault="00D4493F" w:rsidP="001C7E7E">
      <w:r>
        <w:t xml:space="preserve">The </w:t>
      </w:r>
      <w:r w:rsidR="008F0630">
        <w:t>D</w:t>
      </w:r>
      <w:r w:rsidR="00E83AB0">
        <w:t>etermin</w:t>
      </w:r>
      <w:r w:rsidR="00134CB2">
        <w:t xml:space="preserve">ation </w:t>
      </w:r>
      <w:r w:rsidR="008F0630">
        <w:t xml:space="preserve">provides for </w:t>
      </w:r>
      <w:r w:rsidR="00E22ECA">
        <w:t xml:space="preserve">both an </w:t>
      </w:r>
      <w:r w:rsidR="00134CB2">
        <w:t xml:space="preserve">interactive and </w:t>
      </w:r>
      <w:r w:rsidR="00E83AB0">
        <w:t xml:space="preserve">format </w:t>
      </w:r>
      <w:r w:rsidR="00E22ECA">
        <w:t xml:space="preserve">forms </w:t>
      </w:r>
      <w:r w:rsidR="00CC00A0">
        <w:t>of</w:t>
      </w:r>
      <w:r w:rsidR="00E83AB0">
        <w:t xml:space="preserve"> </w:t>
      </w:r>
      <w:r w:rsidR="00E22ECA">
        <w:t xml:space="preserve">the </w:t>
      </w:r>
      <w:r w:rsidR="00E83AB0">
        <w:t xml:space="preserve">notice </w:t>
      </w:r>
      <w:r w:rsidR="00AD0CFA">
        <w:t xml:space="preserve">of </w:t>
      </w:r>
      <w:r w:rsidR="00E83AB0">
        <w:t>commercial resale which mu</w:t>
      </w:r>
      <w:r w:rsidR="00213BD4">
        <w:t>st be given</w:t>
      </w:r>
      <w:r w:rsidR="001832CF">
        <w:t xml:space="preserve"> </w:t>
      </w:r>
      <w:r w:rsidR="00DC0D45">
        <w:t xml:space="preserve">by a seller of an artwork </w:t>
      </w:r>
      <w:r w:rsidR="001832CF">
        <w:t>under section 28</w:t>
      </w:r>
      <w:r w:rsidR="00257D4C">
        <w:t xml:space="preserve"> of</w:t>
      </w:r>
      <w:r w:rsidR="00833782">
        <w:t xml:space="preserve"> </w:t>
      </w:r>
      <w:r w:rsidR="009B0518">
        <w:t>the</w:t>
      </w:r>
      <w:r w:rsidR="00257D4C">
        <w:t xml:space="preserve"> Act</w:t>
      </w:r>
      <w:r w:rsidR="00833782">
        <w:t>.</w:t>
      </w:r>
      <w:r w:rsidR="00E83AB0">
        <w:t xml:space="preserve"> </w:t>
      </w:r>
      <w:r w:rsidR="00112031">
        <w:t xml:space="preserve"> </w:t>
      </w:r>
    </w:p>
    <w:p w14:paraId="30A014AF" w14:textId="77777777" w:rsidR="008F0630" w:rsidRDefault="008F0630" w:rsidP="001C7E7E"/>
    <w:p w14:paraId="6C7E0554" w14:textId="5F754334" w:rsidR="00A14786" w:rsidRDefault="001715DF" w:rsidP="001C7E7E">
      <w:r>
        <w:t xml:space="preserve">A </w:t>
      </w:r>
      <w:r w:rsidR="00112031">
        <w:t>notice of commercial resale must include sufficient detail to allow the collecting society to work out if a royalty is payable and, if so, how much and who is liable to pay the royalty</w:t>
      </w:r>
      <w:r>
        <w:t xml:space="preserve"> (paragraph 28(2)(c) of the Act)</w:t>
      </w:r>
      <w:r w:rsidR="00112031">
        <w:t xml:space="preserve">.  </w:t>
      </w:r>
    </w:p>
    <w:p w14:paraId="399F5A4E" w14:textId="729AA6C3" w:rsidR="00EA534B" w:rsidRDefault="00EA534B"/>
    <w:p w14:paraId="315846AB" w14:textId="775B76AC" w:rsidR="00112031" w:rsidRDefault="00112031" w:rsidP="001C7E7E">
      <w:pPr>
        <w:tabs>
          <w:tab w:val="left" w:pos="1701"/>
          <w:tab w:val="right" w:pos="9072"/>
        </w:tabs>
        <w:ind w:right="91"/>
      </w:pPr>
      <w:r>
        <w:t xml:space="preserve">A format </w:t>
      </w:r>
      <w:r w:rsidR="00CC00A0">
        <w:t>of</w:t>
      </w:r>
      <w:r>
        <w:t xml:space="preserve"> notice of commercial resale will provide clear and precise guidance for sellers in reporting on commercial resales and enable the collecting society to manage resale notices and royalty payments efficiently. </w:t>
      </w:r>
      <w:r w:rsidR="0089395C">
        <w:t>A person is n</w:t>
      </w:r>
      <w:r w:rsidR="00DC0D45">
        <w:t>ot prevented</w:t>
      </w:r>
      <w:r w:rsidR="0089395C">
        <w:t xml:space="preserve"> </w:t>
      </w:r>
      <w:r w:rsidR="0089395C">
        <w:lastRenderedPageBreak/>
        <w:t xml:space="preserve">from giving notice of a commercial resale in a format other than the one that has been determined by the Minister. </w:t>
      </w:r>
      <w:r w:rsidR="00DC0D45">
        <w:t xml:space="preserve"> </w:t>
      </w:r>
    </w:p>
    <w:p w14:paraId="0966FF4B" w14:textId="77777777" w:rsidR="008F0630" w:rsidRDefault="008F0630" w:rsidP="00482CFA">
      <w:pPr>
        <w:rPr>
          <w:iCs/>
        </w:rPr>
      </w:pPr>
    </w:p>
    <w:p w14:paraId="54464565" w14:textId="47C10B94" w:rsidR="008F0630" w:rsidRDefault="00D4493F">
      <w:r>
        <w:t xml:space="preserve">The </w:t>
      </w:r>
      <w:r w:rsidR="00742D2F">
        <w:rPr>
          <w:iCs/>
        </w:rPr>
        <w:t xml:space="preserve">Determination </w:t>
      </w:r>
      <w:r w:rsidR="00482CFA" w:rsidRPr="00482CFA">
        <w:t>c</w:t>
      </w:r>
      <w:r w:rsidR="00112031">
        <w:t>ommences on the day after it is</w:t>
      </w:r>
      <w:r w:rsidR="00482CFA" w:rsidRPr="00482CFA">
        <w:t xml:space="preserve"> registered</w:t>
      </w:r>
      <w:r w:rsidR="008F0630">
        <w:t>.</w:t>
      </w:r>
    </w:p>
    <w:p w14:paraId="2695F61A" w14:textId="3961C7F3" w:rsidR="008F0630" w:rsidRPr="009F4D90" w:rsidRDefault="008F0630" w:rsidP="008E67D8">
      <w:pPr>
        <w:ind w:left="1440" w:firstLine="720"/>
        <w:rPr>
          <w:b/>
          <w:u w:val="single"/>
        </w:rPr>
      </w:pPr>
      <w:r>
        <w:rPr>
          <w:u w:val="single"/>
        </w:rPr>
        <w:br w:type="column"/>
      </w:r>
      <w:r w:rsidRPr="009F4D90">
        <w:rPr>
          <w:b/>
          <w:u w:val="single"/>
        </w:rPr>
        <w:lastRenderedPageBreak/>
        <w:t>Statement of Compatibility with Human Rights</w:t>
      </w:r>
    </w:p>
    <w:p w14:paraId="62320DCF" w14:textId="77777777" w:rsidR="009F4D90" w:rsidRDefault="009F4D90" w:rsidP="009F4D90">
      <w:pPr>
        <w:jc w:val="center"/>
        <w:rPr>
          <w:b/>
          <w:lang w:val="en-US"/>
        </w:rPr>
      </w:pPr>
    </w:p>
    <w:p w14:paraId="517BF8F9" w14:textId="77430C0C" w:rsidR="009F4D90" w:rsidRPr="00F54BAD" w:rsidRDefault="009F4D90" w:rsidP="009F4D90">
      <w:pPr>
        <w:jc w:val="center"/>
        <w:rPr>
          <w:b/>
          <w:lang w:val="en-US"/>
        </w:rPr>
      </w:pPr>
      <w:r w:rsidRPr="00F54BAD">
        <w:rPr>
          <w:b/>
          <w:lang w:val="en-US"/>
        </w:rPr>
        <w:t>Resale Royalty Right for Visual Artists (Format of Notice of Commercial Resale) Determination</w:t>
      </w:r>
      <w:r>
        <w:rPr>
          <w:b/>
          <w:lang w:val="en-US"/>
        </w:rPr>
        <w:t xml:space="preserve"> </w:t>
      </w:r>
      <w:r w:rsidRPr="00F54BAD">
        <w:rPr>
          <w:b/>
          <w:lang w:val="en-US"/>
        </w:rPr>
        <w:t>20</w:t>
      </w:r>
      <w:r>
        <w:rPr>
          <w:b/>
          <w:lang w:val="en-US"/>
        </w:rPr>
        <w:t>23</w:t>
      </w:r>
    </w:p>
    <w:p w14:paraId="1C0DEFE2" w14:textId="77777777" w:rsidR="008F0630" w:rsidRDefault="008F0630" w:rsidP="008F0630">
      <w:pPr>
        <w:shd w:val="clear" w:color="auto" w:fill="FFFFFF"/>
        <w:spacing w:after="160" w:line="233" w:lineRule="atLeast"/>
        <w:rPr>
          <w:color w:val="000000"/>
          <w:sz w:val="22"/>
          <w:szCs w:val="22"/>
        </w:rPr>
      </w:pPr>
    </w:p>
    <w:p w14:paraId="466F249E" w14:textId="1C060B56" w:rsidR="008F0630" w:rsidRPr="009F4D90" w:rsidRDefault="008F0630" w:rsidP="008F0630">
      <w:pPr>
        <w:pStyle w:val="NormalWeb"/>
        <w:shd w:val="clear" w:color="auto" w:fill="FFFFFF"/>
        <w:rPr>
          <w:color w:val="000000"/>
        </w:rPr>
      </w:pPr>
      <w:r w:rsidRPr="009F4D90">
        <w:rPr>
          <w:color w:val="000000"/>
        </w:rPr>
        <w:t>The statement of compatibility set out below has been prepared to meet the requirement under Subsection 9(1) of the </w:t>
      </w:r>
      <w:r w:rsidRPr="009F4D90">
        <w:rPr>
          <w:i/>
          <w:iCs/>
          <w:color w:val="000000"/>
        </w:rPr>
        <w:t>Human Rights (Parliamentary Scrutiny) Act 2011</w:t>
      </w:r>
      <w:r w:rsidRPr="009F4D90">
        <w:rPr>
          <w:color w:val="000000"/>
        </w:rPr>
        <w:t>.</w:t>
      </w:r>
    </w:p>
    <w:p w14:paraId="1A9E85EF" w14:textId="00639EBC" w:rsidR="00C93CEF" w:rsidRPr="009F4D90" w:rsidRDefault="008F0630" w:rsidP="008F0630">
      <w:pPr>
        <w:spacing w:before="120" w:after="120"/>
        <w:rPr>
          <w:iCs/>
        </w:rPr>
      </w:pPr>
      <w:r w:rsidRPr="008E67D8">
        <w:rPr>
          <w:iCs/>
          <w:u w:val="single"/>
        </w:rPr>
        <w:t>Overview</w:t>
      </w:r>
    </w:p>
    <w:p w14:paraId="4CC0EF94" w14:textId="77777777" w:rsidR="009F4D90" w:rsidRDefault="008F0630" w:rsidP="008F0630">
      <w:pPr>
        <w:spacing w:before="120" w:after="120"/>
        <w:rPr>
          <w:iCs/>
        </w:rPr>
      </w:pPr>
      <w:r>
        <w:rPr>
          <w:iCs/>
        </w:rPr>
        <w:t xml:space="preserve">Under the </w:t>
      </w:r>
      <w:r w:rsidRPr="00435F93">
        <w:rPr>
          <w:i/>
        </w:rPr>
        <w:t>Resale Royalty Right for Visual Artists Act 2009</w:t>
      </w:r>
      <w:r>
        <w:t xml:space="preserve"> (the Act), a</w:t>
      </w:r>
      <w:r w:rsidRPr="008F0630">
        <w:rPr>
          <w:iCs/>
        </w:rPr>
        <w:t xml:space="preserve"> notice of commercial resale must include sufficient detail to allow the collecting society to work out if a royalty is payable and, if so, how much and who is liable to pay the royalty (paragraph 28(2)(c) of the Act).  </w:t>
      </w:r>
    </w:p>
    <w:p w14:paraId="5BD2DFBF" w14:textId="41C0FA27" w:rsidR="008F0630" w:rsidRPr="009F4D90" w:rsidRDefault="008F0630" w:rsidP="008F0630">
      <w:pPr>
        <w:spacing w:before="120" w:after="120"/>
        <w:rPr>
          <w:iCs/>
        </w:rPr>
      </w:pPr>
      <w:r w:rsidRPr="008F0630">
        <w:rPr>
          <w:iCs/>
        </w:rPr>
        <w:t xml:space="preserve">Regulation 7 of the </w:t>
      </w:r>
      <w:r w:rsidRPr="009F4D90">
        <w:rPr>
          <w:i/>
          <w:iCs/>
        </w:rPr>
        <w:t xml:space="preserve">Resale Royalty Right for Visual Artists Regulations 2021 </w:t>
      </w:r>
      <w:r w:rsidRPr="008F0630">
        <w:rPr>
          <w:iCs/>
        </w:rPr>
        <w:t xml:space="preserve">provides that the Minister may, by legislative instrument, determine a format of notice of commercial resale for </w:t>
      </w:r>
      <w:r w:rsidR="009F4D90">
        <w:rPr>
          <w:iCs/>
        </w:rPr>
        <w:t xml:space="preserve">the </w:t>
      </w:r>
      <w:r>
        <w:rPr>
          <w:iCs/>
        </w:rPr>
        <w:t xml:space="preserve">purpose </w:t>
      </w:r>
      <w:r w:rsidR="009F4D90">
        <w:rPr>
          <w:iCs/>
        </w:rPr>
        <w:t xml:space="preserve">of </w:t>
      </w:r>
      <w:r w:rsidRPr="008F0630">
        <w:rPr>
          <w:iCs/>
        </w:rPr>
        <w:t>section 28</w:t>
      </w:r>
      <w:r w:rsidR="009F4D90">
        <w:rPr>
          <w:iCs/>
        </w:rPr>
        <w:t xml:space="preserve"> of </w:t>
      </w:r>
      <w:r w:rsidRPr="008F0630">
        <w:rPr>
          <w:iCs/>
        </w:rPr>
        <w:t xml:space="preserve">the Act).  </w:t>
      </w:r>
      <w:r w:rsidR="009F4D90">
        <w:rPr>
          <w:iCs/>
        </w:rPr>
        <w:t xml:space="preserve">The </w:t>
      </w:r>
      <w:r w:rsidR="009F4D90" w:rsidRPr="009F4D90">
        <w:rPr>
          <w:i/>
          <w:iCs/>
        </w:rPr>
        <w:t>Resale Royalty Right for Visual Artists (Format of Notice of Commercial Resale) Determination 2023</w:t>
      </w:r>
      <w:r w:rsidR="009F4D90">
        <w:rPr>
          <w:i/>
          <w:iCs/>
        </w:rPr>
        <w:t xml:space="preserve"> </w:t>
      </w:r>
      <w:r w:rsidR="009F4D90" w:rsidRPr="009F4D90">
        <w:rPr>
          <w:iCs/>
        </w:rPr>
        <w:t>(the Determination)</w:t>
      </w:r>
      <w:r w:rsidR="009F4D90">
        <w:rPr>
          <w:i/>
          <w:iCs/>
        </w:rPr>
        <w:t xml:space="preserve"> </w:t>
      </w:r>
      <w:r w:rsidR="009F4D90">
        <w:rPr>
          <w:iCs/>
        </w:rPr>
        <w:t xml:space="preserve">is made in reliance of regulation 7 and determines the format of notice to be used and </w:t>
      </w:r>
      <w:r w:rsidR="00742D2F">
        <w:rPr>
          <w:iCs/>
        </w:rPr>
        <w:t xml:space="preserve">also </w:t>
      </w:r>
      <w:r w:rsidR="009F4D90">
        <w:rPr>
          <w:iCs/>
        </w:rPr>
        <w:t>repeals the former determination</w:t>
      </w:r>
      <w:r w:rsidR="000A6113">
        <w:rPr>
          <w:iCs/>
        </w:rPr>
        <w:t xml:space="preserve"> (presented as a legislative instrument) </w:t>
      </w:r>
      <w:r w:rsidR="009F4D90">
        <w:rPr>
          <w:iCs/>
        </w:rPr>
        <w:t xml:space="preserve">which is </w:t>
      </w:r>
      <w:r w:rsidR="00134CB2">
        <w:rPr>
          <w:iCs/>
        </w:rPr>
        <w:t>due</w:t>
      </w:r>
      <w:r w:rsidR="009F4D90">
        <w:rPr>
          <w:iCs/>
        </w:rPr>
        <w:t xml:space="preserve"> to sunset on 1 April 2023.</w:t>
      </w:r>
    </w:p>
    <w:p w14:paraId="2BF5BF6D" w14:textId="77777777" w:rsidR="008F0630" w:rsidRPr="008E67D8" w:rsidRDefault="008F0630" w:rsidP="008F0630">
      <w:pPr>
        <w:spacing w:before="120" w:after="120"/>
        <w:rPr>
          <w:iCs/>
          <w:u w:val="single"/>
        </w:rPr>
      </w:pPr>
      <w:r w:rsidRPr="008E67D8">
        <w:rPr>
          <w:iCs/>
          <w:u w:val="single"/>
        </w:rPr>
        <w:t>Collection of Private Information</w:t>
      </w:r>
    </w:p>
    <w:p w14:paraId="274A064D" w14:textId="486D9B14" w:rsidR="009F4D90" w:rsidRDefault="008F0630" w:rsidP="008F0630">
      <w:pPr>
        <w:rPr>
          <w:iCs/>
        </w:rPr>
      </w:pPr>
      <w:r>
        <w:rPr>
          <w:iCs/>
        </w:rPr>
        <w:t xml:space="preserve">The </w:t>
      </w:r>
      <w:r w:rsidR="009F4D90">
        <w:rPr>
          <w:iCs/>
        </w:rPr>
        <w:t xml:space="preserve">Determination </w:t>
      </w:r>
      <w:r w:rsidRPr="00A331AF">
        <w:rPr>
          <w:iCs/>
        </w:rPr>
        <w:t>engage</w:t>
      </w:r>
      <w:r w:rsidR="000A6113">
        <w:rPr>
          <w:iCs/>
        </w:rPr>
        <w:t>s</w:t>
      </w:r>
      <w:r w:rsidRPr="00A331AF">
        <w:rPr>
          <w:iCs/>
        </w:rPr>
        <w:t xml:space="preserve"> the right to privacy in Article 17 of the International Covenant on Civil and Political Rights (the ICCPR)</w:t>
      </w:r>
      <w:r>
        <w:rPr>
          <w:iCs/>
        </w:rPr>
        <w:t>, which</w:t>
      </w:r>
      <w:r w:rsidRPr="00A331AF">
        <w:rPr>
          <w:iCs/>
        </w:rPr>
        <w:t xml:space="preserve"> prohibits arbitrary or unlawful interference with a person’s privacy. </w:t>
      </w:r>
    </w:p>
    <w:p w14:paraId="066FC1FA" w14:textId="77777777" w:rsidR="009F4D90" w:rsidRDefault="009F4D90" w:rsidP="008F0630">
      <w:pPr>
        <w:rPr>
          <w:iCs/>
        </w:rPr>
      </w:pPr>
    </w:p>
    <w:p w14:paraId="12078ECB" w14:textId="0A69B344" w:rsidR="0003180E" w:rsidRPr="00861A04" w:rsidRDefault="008F0630" w:rsidP="0003180E">
      <w:pPr>
        <w:rPr>
          <w:rFonts w:eastAsia="Calibri"/>
        </w:rPr>
      </w:pPr>
      <w:bookmarkStart w:id="0" w:name="_Hlk127525254"/>
      <w:r>
        <w:rPr>
          <w:iCs/>
        </w:rPr>
        <w:t>T</w:t>
      </w:r>
      <w:r w:rsidRPr="00A331AF">
        <w:rPr>
          <w:iCs/>
        </w:rPr>
        <w:t xml:space="preserve">he </w:t>
      </w:r>
      <w:r w:rsidR="00742D2F">
        <w:rPr>
          <w:iCs/>
        </w:rPr>
        <w:t xml:space="preserve">Determination </w:t>
      </w:r>
      <w:r w:rsidRPr="00A331AF">
        <w:rPr>
          <w:iCs/>
        </w:rPr>
        <w:t>engage</w:t>
      </w:r>
      <w:r w:rsidR="00742D2F">
        <w:rPr>
          <w:iCs/>
        </w:rPr>
        <w:t xml:space="preserve">s </w:t>
      </w:r>
      <w:r w:rsidRPr="00A331AF">
        <w:rPr>
          <w:iCs/>
        </w:rPr>
        <w:t xml:space="preserve">the right to privacy by requiring a notice of commercial resale to include information sufficient to identify an individual artist, whether they are alive or deceased, and the sale price of their work. Under the Act, the collecting society is required to collect royalties on behalf of resale royalty right holders, and to distribute royalties to the holders of those rights. Without provision for this information to be collected, the collecting society will not be properly able to fulfil this function. To the extent that the collection of information is a limitation under Article 17, it is reasonable, necessary and proportionate and in pursuit of a legitimate objective, the successful operation of the scheme. </w:t>
      </w:r>
      <w:bookmarkStart w:id="1" w:name="_Hlk127525364"/>
      <w:r w:rsidR="0003180E">
        <w:rPr>
          <w:iCs/>
        </w:rPr>
        <w:t>In addi</w:t>
      </w:r>
      <w:r w:rsidR="00230273">
        <w:rPr>
          <w:iCs/>
        </w:rPr>
        <w:t>tion</w:t>
      </w:r>
      <w:r w:rsidR="0003180E">
        <w:rPr>
          <w:iCs/>
        </w:rPr>
        <w:t xml:space="preserve">, the collecting </w:t>
      </w:r>
      <w:r w:rsidR="00230273">
        <w:rPr>
          <w:iCs/>
        </w:rPr>
        <w:t xml:space="preserve">society </w:t>
      </w:r>
      <w:r w:rsidR="00861A04">
        <w:rPr>
          <w:iCs/>
        </w:rPr>
        <w:t xml:space="preserve">is </w:t>
      </w:r>
      <w:r w:rsidR="00050962">
        <w:rPr>
          <w:iCs/>
        </w:rPr>
        <w:t xml:space="preserve">required to </w:t>
      </w:r>
      <w:r w:rsidR="00861A04" w:rsidRPr="00861A04">
        <w:rPr>
          <w:iCs/>
        </w:rPr>
        <w:t xml:space="preserve">protect and handle personal information in accordance with its obligations under the Australian Privacy Principles (APPs) contained in the </w:t>
      </w:r>
      <w:r w:rsidR="00861A04" w:rsidRPr="00861A04">
        <w:rPr>
          <w:i/>
          <w:iCs/>
        </w:rPr>
        <w:t>Privacy Act 1988</w:t>
      </w:r>
      <w:r w:rsidR="00861A04" w:rsidRPr="00861A04">
        <w:rPr>
          <w:iCs/>
        </w:rPr>
        <w:t xml:space="preserve"> (Cth)</w:t>
      </w:r>
      <w:r w:rsidR="00050962">
        <w:rPr>
          <w:iCs/>
        </w:rPr>
        <w:t xml:space="preserve">. It is also </w:t>
      </w:r>
      <w:r w:rsidR="0003180E">
        <w:t>subject to the Act</w:t>
      </w:r>
      <w:r w:rsidR="00861A04">
        <w:t xml:space="preserve">, which </w:t>
      </w:r>
      <w:r w:rsidR="0003180E">
        <w:rPr>
          <w:rFonts w:eastAsia="Calibri"/>
        </w:rPr>
        <w:t xml:space="preserve">contains several offences relating to the </w:t>
      </w:r>
      <w:r w:rsidR="00230273">
        <w:rPr>
          <w:rFonts w:eastAsia="Calibri"/>
        </w:rPr>
        <w:t xml:space="preserve">unauthorised </w:t>
      </w:r>
      <w:r w:rsidR="0003180E">
        <w:rPr>
          <w:rFonts w:eastAsia="Calibri"/>
        </w:rPr>
        <w:t xml:space="preserve">information use of </w:t>
      </w:r>
      <w:r w:rsidR="0003180E" w:rsidRPr="0003180E">
        <w:rPr>
          <w:rFonts w:eastAsia="Calibri"/>
        </w:rPr>
        <w:t>information acquired in the course of performing functions or exercising powers under the Act.</w:t>
      </w:r>
      <w:r w:rsidR="0003180E">
        <w:rPr>
          <w:rFonts w:eastAsia="Calibri"/>
          <w:i/>
        </w:rPr>
        <w:t xml:space="preserve"> </w:t>
      </w:r>
      <w:bookmarkEnd w:id="1"/>
    </w:p>
    <w:bookmarkEnd w:id="0"/>
    <w:p w14:paraId="0D6065EB" w14:textId="77777777" w:rsidR="0003180E" w:rsidRDefault="0003180E" w:rsidP="0003180E">
      <w:pPr>
        <w:rPr>
          <w:iCs/>
        </w:rPr>
      </w:pPr>
    </w:p>
    <w:p w14:paraId="1C4C3BB5" w14:textId="46FDB047" w:rsidR="009F4D90" w:rsidRDefault="008F0630" w:rsidP="0003180E">
      <w:pPr>
        <w:rPr>
          <w:iCs/>
        </w:rPr>
      </w:pPr>
      <w:r w:rsidRPr="00A331AF">
        <w:rPr>
          <w:iCs/>
        </w:rPr>
        <w:t>Accordingly, to the extent that the Regulations engage the right to privacy, it is compatible with that right.</w:t>
      </w:r>
    </w:p>
    <w:p w14:paraId="697BDE3F" w14:textId="77777777" w:rsidR="009F4D90" w:rsidRPr="006419F4" w:rsidRDefault="009F4D90" w:rsidP="008F0630">
      <w:bookmarkStart w:id="2" w:name="_GoBack"/>
    </w:p>
    <w:bookmarkEnd w:id="2"/>
    <w:p w14:paraId="2B0AAFFF" w14:textId="77777777" w:rsidR="005902EC" w:rsidRDefault="005902EC">
      <w:pPr>
        <w:spacing w:before="120" w:after="120"/>
        <w:rPr>
          <w:iCs/>
        </w:rPr>
      </w:pPr>
      <w:r w:rsidRPr="008E67D8">
        <w:rPr>
          <w:iCs/>
          <w:u w:val="single"/>
        </w:rPr>
        <w:t xml:space="preserve">Summary </w:t>
      </w:r>
    </w:p>
    <w:p w14:paraId="4FDB64B7" w14:textId="517BBA7A" w:rsidR="008F0630" w:rsidRDefault="009F4D90" w:rsidP="008E67D8">
      <w:pPr>
        <w:spacing w:before="120" w:after="120"/>
      </w:pPr>
      <w:r w:rsidRPr="00A331AF">
        <w:rPr>
          <w:iCs/>
        </w:rPr>
        <w:t xml:space="preserve">The </w:t>
      </w:r>
      <w:r w:rsidR="00742D2F">
        <w:rPr>
          <w:iCs/>
        </w:rPr>
        <w:t xml:space="preserve">Determination </w:t>
      </w:r>
      <w:r>
        <w:rPr>
          <w:iCs/>
        </w:rPr>
        <w:t xml:space="preserve">is compatible with human rights and freedoms recognised or declared in the international instruments listed in section 3 of the </w:t>
      </w:r>
      <w:r>
        <w:rPr>
          <w:i/>
          <w:iCs/>
        </w:rPr>
        <w:t xml:space="preserve">Human Rights </w:t>
      </w:r>
      <w:r>
        <w:rPr>
          <w:i/>
          <w:iCs/>
        </w:rPr>
        <w:lastRenderedPageBreak/>
        <w:t xml:space="preserve">(Parliamentary Scrutiny) Act 2011. </w:t>
      </w:r>
      <w:r>
        <w:rPr>
          <w:color w:val="000000"/>
          <w:shd w:val="clear" w:color="auto" w:fill="FFFFFF"/>
          <w:lang w:val="en-GB"/>
        </w:rPr>
        <w:t>To the extent that it may limit a human right, that limitation is reasonable, necessary and </w:t>
      </w:r>
      <w:r>
        <w:rPr>
          <w:color w:val="000000"/>
          <w:shd w:val="clear" w:color="auto" w:fill="FFFFFF"/>
        </w:rPr>
        <w:t>proportionate.</w:t>
      </w:r>
    </w:p>
    <w:p w14:paraId="3EBC6CDE" w14:textId="63F5EE6E" w:rsidR="009F4D90" w:rsidRDefault="009F4D90" w:rsidP="008F0630"/>
    <w:p w14:paraId="2313F26B" w14:textId="77777777" w:rsidR="009F4D90" w:rsidRDefault="009F4D90" w:rsidP="009F4D90">
      <w:pPr>
        <w:shd w:val="clear" w:color="auto" w:fill="FFFFFF"/>
        <w:spacing w:after="160" w:line="233" w:lineRule="atLeast"/>
        <w:jc w:val="right"/>
        <w:rPr>
          <w:rFonts w:ascii="Calibri" w:hAnsi="Calibri" w:cs="Calibri"/>
          <w:color w:val="000000"/>
          <w:sz w:val="22"/>
          <w:szCs w:val="22"/>
        </w:rPr>
      </w:pPr>
      <w:r>
        <w:br w:type="column"/>
      </w:r>
      <w:r>
        <w:rPr>
          <w:b/>
          <w:bCs/>
          <w:color w:val="000000"/>
          <w:sz w:val="28"/>
          <w:szCs w:val="28"/>
        </w:rPr>
        <w:lastRenderedPageBreak/>
        <w:t>Attachment A</w:t>
      </w:r>
    </w:p>
    <w:p w14:paraId="4AB0CF33" w14:textId="77777777" w:rsidR="009F4D90" w:rsidRPr="00E22ECA" w:rsidRDefault="009F4D90" w:rsidP="009F4D90">
      <w:pPr>
        <w:jc w:val="center"/>
        <w:rPr>
          <w:b/>
          <w:lang w:val="en-US"/>
        </w:rPr>
      </w:pPr>
      <w:r w:rsidRPr="00C62029">
        <w:rPr>
          <w:b/>
          <w:bCs/>
          <w:color w:val="000000"/>
        </w:rPr>
        <w:t>Notes to the </w:t>
      </w:r>
      <w:r w:rsidRPr="00E22ECA">
        <w:rPr>
          <w:b/>
          <w:i/>
          <w:lang w:val="en-US"/>
        </w:rPr>
        <w:t>Resale Royalty Right for Visual Artists (Format of Notice of Commercial Resale) Determination 2023</w:t>
      </w:r>
    </w:p>
    <w:p w14:paraId="4F47C930" w14:textId="1A1FDDBF" w:rsidR="009F4D90" w:rsidRPr="00134CB2" w:rsidRDefault="009F4D90" w:rsidP="009F4D90">
      <w:pPr>
        <w:shd w:val="clear" w:color="auto" w:fill="FFFFFF"/>
        <w:spacing w:after="160" w:line="233" w:lineRule="atLeast"/>
        <w:jc w:val="center"/>
        <w:rPr>
          <w:rFonts w:ascii="Calibri" w:hAnsi="Calibri" w:cs="Calibri"/>
          <w:color w:val="000000"/>
          <w:sz w:val="16"/>
          <w:szCs w:val="16"/>
        </w:rPr>
      </w:pPr>
    </w:p>
    <w:p w14:paraId="2BF90328" w14:textId="77777777" w:rsidR="009F4D90" w:rsidRPr="00134CB2" w:rsidRDefault="009F4D90" w:rsidP="009F4D90">
      <w:pPr>
        <w:pStyle w:val="acmabodytext"/>
        <w:shd w:val="clear" w:color="auto" w:fill="FFFFFF"/>
        <w:spacing w:before="0" w:beforeAutospacing="0" w:after="120" w:afterAutospacing="0" w:line="280" w:lineRule="atLeast"/>
        <w:rPr>
          <w:color w:val="000000"/>
        </w:rPr>
      </w:pPr>
      <w:r w:rsidRPr="00134CB2">
        <w:rPr>
          <w:b/>
          <w:bCs/>
          <w:color w:val="000000"/>
        </w:rPr>
        <w:t>Section 1 – Name</w:t>
      </w:r>
    </w:p>
    <w:p w14:paraId="0AFAE93B" w14:textId="14F86E32" w:rsidR="009F4D90" w:rsidRPr="00134CB2" w:rsidRDefault="009F4D90" w:rsidP="009F4D90">
      <w:pPr>
        <w:pStyle w:val="acmabodytext"/>
        <w:shd w:val="clear" w:color="auto" w:fill="FFFFFF"/>
        <w:spacing w:before="80" w:beforeAutospacing="0" w:after="0" w:afterAutospacing="0" w:line="280" w:lineRule="atLeast"/>
        <w:rPr>
          <w:color w:val="000000"/>
        </w:rPr>
      </w:pPr>
      <w:r w:rsidRPr="00134CB2">
        <w:rPr>
          <w:color w:val="000000"/>
        </w:rPr>
        <w:t>This section provides for the instrument to be cited as the </w:t>
      </w:r>
      <w:r w:rsidRPr="00AD30AD">
        <w:rPr>
          <w:i/>
          <w:color w:val="000000"/>
        </w:rPr>
        <w:t>Resale Royalty Right for Visual Artists (Format of Notice of Commercial Resale) Determination</w:t>
      </w:r>
      <w:r w:rsidRPr="00134CB2">
        <w:rPr>
          <w:color w:val="000000"/>
        </w:rPr>
        <w:t xml:space="preserve"> (</w:t>
      </w:r>
      <w:r w:rsidRPr="00134CB2">
        <w:rPr>
          <w:bCs/>
          <w:color w:val="000000"/>
        </w:rPr>
        <w:t>the Determination</w:t>
      </w:r>
      <w:r w:rsidRPr="00134CB2">
        <w:rPr>
          <w:color w:val="000000"/>
        </w:rPr>
        <w:t>)</w:t>
      </w:r>
      <w:r w:rsidRPr="00134CB2">
        <w:rPr>
          <w:i/>
          <w:iCs/>
          <w:color w:val="000000"/>
        </w:rPr>
        <w:t>.</w:t>
      </w:r>
    </w:p>
    <w:p w14:paraId="56D22BCA" w14:textId="77777777" w:rsidR="009F4D90" w:rsidRPr="00134CB2" w:rsidRDefault="009F4D90" w:rsidP="009F4D90">
      <w:pPr>
        <w:pStyle w:val="acmabodytext"/>
        <w:shd w:val="clear" w:color="auto" w:fill="FFFFFF"/>
        <w:spacing w:before="0" w:beforeAutospacing="0" w:after="0" w:afterAutospacing="0" w:line="280" w:lineRule="atLeast"/>
        <w:rPr>
          <w:color w:val="000000"/>
        </w:rPr>
      </w:pPr>
      <w:r w:rsidRPr="00134CB2">
        <w:rPr>
          <w:color w:val="000000"/>
        </w:rPr>
        <w:t> </w:t>
      </w:r>
    </w:p>
    <w:p w14:paraId="57E6B66E" w14:textId="77777777" w:rsidR="009F4D90" w:rsidRPr="00134CB2" w:rsidRDefault="009F4D90" w:rsidP="009F4D90">
      <w:pPr>
        <w:pStyle w:val="acmabodytext"/>
        <w:shd w:val="clear" w:color="auto" w:fill="FFFFFF"/>
        <w:spacing w:before="0" w:beforeAutospacing="0" w:after="120" w:afterAutospacing="0" w:line="280" w:lineRule="atLeast"/>
        <w:rPr>
          <w:color w:val="000000"/>
        </w:rPr>
      </w:pPr>
      <w:r w:rsidRPr="00134CB2">
        <w:rPr>
          <w:b/>
          <w:bCs/>
          <w:color w:val="000000"/>
        </w:rPr>
        <w:t>Section 2 – Commencement</w:t>
      </w:r>
    </w:p>
    <w:p w14:paraId="0FF6535B" w14:textId="0F61CCBA" w:rsidR="009F4D90" w:rsidRPr="00134CB2" w:rsidRDefault="009F4D90" w:rsidP="009F4D90">
      <w:pPr>
        <w:pStyle w:val="acmabodytext"/>
        <w:shd w:val="clear" w:color="auto" w:fill="FFFFFF"/>
        <w:spacing w:before="80" w:beforeAutospacing="0" w:after="0" w:afterAutospacing="0" w:line="280" w:lineRule="atLeast"/>
        <w:rPr>
          <w:color w:val="000000"/>
        </w:rPr>
      </w:pPr>
      <w:r w:rsidRPr="00134CB2">
        <w:rPr>
          <w:color w:val="000000"/>
        </w:rPr>
        <w:t xml:space="preserve">This section provides for the </w:t>
      </w:r>
      <w:r w:rsidR="00742D2F">
        <w:rPr>
          <w:color w:val="000000"/>
        </w:rPr>
        <w:t xml:space="preserve">instrument </w:t>
      </w:r>
      <w:r w:rsidRPr="00134CB2">
        <w:rPr>
          <w:color w:val="000000"/>
        </w:rPr>
        <w:t>to commence on the day after it is registered.</w:t>
      </w:r>
    </w:p>
    <w:p w14:paraId="715BF7FF" w14:textId="7C9A0B79" w:rsidR="009F4D90" w:rsidRPr="00134CB2" w:rsidRDefault="009F4D90" w:rsidP="009F4D90">
      <w:pPr>
        <w:pStyle w:val="acmabodytext"/>
        <w:shd w:val="clear" w:color="auto" w:fill="FFFFFF"/>
        <w:spacing w:before="0" w:beforeAutospacing="0" w:after="0" w:afterAutospacing="0" w:line="280" w:lineRule="atLeast"/>
        <w:rPr>
          <w:color w:val="000000"/>
        </w:rPr>
      </w:pPr>
    </w:p>
    <w:p w14:paraId="7045E5A0" w14:textId="77777777" w:rsidR="009F4D90" w:rsidRPr="00134CB2" w:rsidRDefault="009F4D90" w:rsidP="009F4D90">
      <w:pPr>
        <w:shd w:val="clear" w:color="auto" w:fill="FFFFFF"/>
        <w:spacing w:after="160" w:line="235" w:lineRule="atLeast"/>
        <w:rPr>
          <w:rFonts w:ascii="Calibri" w:hAnsi="Calibri" w:cs="Calibri"/>
          <w:color w:val="000000"/>
        </w:rPr>
      </w:pPr>
      <w:r w:rsidRPr="00134CB2">
        <w:rPr>
          <w:b/>
          <w:bCs/>
          <w:color w:val="000000"/>
        </w:rPr>
        <w:t>Section 3         Authority</w:t>
      </w:r>
    </w:p>
    <w:p w14:paraId="44870BDC" w14:textId="64B7DCAF" w:rsidR="009F4D90" w:rsidRPr="00134CB2" w:rsidRDefault="009F4D90" w:rsidP="009F4D90">
      <w:pPr>
        <w:shd w:val="clear" w:color="auto" w:fill="FFFFFF"/>
        <w:spacing w:after="160" w:line="235" w:lineRule="atLeast"/>
        <w:rPr>
          <w:rFonts w:ascii="Calibri" w:hAnsi="Calibri" w:cs="Calibri"/>
          <w:color w:val="000000"/>
        </w:rPr>
      </w:pPr>
      <w:r w:rsidRPr="00134CB2">
        <w:rPr>
          <w:color w:val="000000"/>
        </w:rPr>
        <w:t xml:space="preserve">This section identifies the provision that authorises the making of the Determination, namely Regulation 7 of the </w:t>
      </w:r>
      <w:r w:rsidRPr="00134CB2">
        <w:rPr>
          <w:i/>
          <w:color w:val="000000"/>
        </w:rPr>
        <w:t>Resale Royalty Right for Visual Artists Regulations 2021</w:t>
      </w:r>
      <w:r w:rsidRPr="00134CB2">
        <w:rPr>
          <w:color w:val="000000"/>
        </w:rPr>
        <w:t>.</w:t>
      </w:r>
    </w:p>
    <w:p w14:paraId="42CC2E99" w14:textId="66A69306" w:rsidR="009F4D90" w:rsidRPr="00134CB2" w:rsidRDefault="009F4D90" w:rsidP="009F4D90">
      <w:pPr>
        <w:rPr>
          <w:b/>
        </w:rPr>
      </w:pPr>
      <w:r w:rsidRPr="00134CB2">
        <w:rPr>
          <w:b/>
        </w:rPr>
        <w:t>Section 4     Definitions</w:t>
      </w:r>
    </w:p>
    <w:p w14:paraId="1E0A6AC1" w14:textId="77777777" w:rsidR="009F4D90" w:rsidRPr="00134CB2" w:rsidRDefault="009F4D90" w:rsidP="009F4D90">
      <w:pPr>
        <w:rPr>
          <w:color w:val="000000"/>
          <w:shd w:val="clear" w:color="auto" w:fill="FFFFFF"/>
        </w:rPr>
      </w:pPr>
      <w:r w:rsidRPr="00134CB2">
        <w:rPr>
          <w:color w:val="000000"/>
          <w:shd w:val="clear" w:color="auto" w:fill="FFFFFF"/>
        </w:rPr>
        <w:t xml:space="preserve"> </w:t>
      </w:r>
    </w:p>
    <w:p w14:paraId="1F6334BC" w14:textId="781A8703" w:rsidR="009F4D90" w:rsidRPr="00134CB2" w:rsidRDefault="009F4D90" w:rsidP="009F4D90">
      <w:pPr>
        <w:rPr>
          <w:i/>
          <w:iCs/>
          <w:color w:val="000000"/>
          <w:shd w:val="clear" w:color="auto" w:fill="FFFFFF"/>
        </w:rPr>
      </w:pPr>
      <w:r w:rsidRPr="00134CB2">
        <w:rPr>
          <w:color w:val="000000"/>
          <w:shd w:val="clear" w:color="auto" w:fill="FFFFFF"/>
        </w:rPr>
        <w:t>This section provides that ‘</w:t>
      </w:r>
      <w:r w:rsidRPr="00134CB2">
        <w:rPr>
          <w:i/>
          <w:iCs/>
          <w:color w:val="000000"/>
          <w:shd w:val="clear" w:color="auto" w:fill="FFFFFF"/>
        </w:rPr>
        <w:t>Act’ </w:t>
      </w:r>
      <w:r w:rsidRPr="00134CB2">
        <w:rPr>
          <w:color w:val="000000"/>
          <w:shd w:val="clear" w:color="auto" w:fill="FFFFFF"/>
        </w:rPr>
        <w:t xml:space="preserve">means the </w:t>
      </w:r>
      <w:r w:rsidRPr="00134CB2">
        <w:rPr>
          <w:i/>
          <w:iCs/>
          <w:color w:val="000000"/>
          <w:shd w:val="clear" w:color="auto" w:fill="FFFFFF"/>
        </w:rPr>
        <w:t>Resale Royalty Rights for Visual Artists Act 2009.</w:t>
      </w:r>
    </w:p>
    <w:p w14:paraId="1EA71FC2" w14:textId="77777777" w:rsidR="009F4D90" w:rsidRPr="00AD30AD" w:rsidRDefault="009F4D90" w:rsidP="009F4D90">
      <w:pPr>
        <w:rPr>
          <w:b/>
          <w:sz w:val="16"/>
          <w:szCs w:val="16"/>
        </w:rPr>
      </w:pPr>
    </w:p>
    <w:p w14:paraId="461003CD" w14:textId="242133AE" w:rsidR="009F4D90" w:rsidRPr="00134CB2" w:rsidRDefault="009F4D90" w:rsidP="009F4D90">
      <w:pPr>
        <w:rPr>
          <w:b/>
        </w:rPr>
      </w:pPr>
      <w:r w:rsidRPr="00134CB2">
        <w:rPr>
          <w:b/>
        </w:rPr>
        <w:t xml:space="preserve">Section 5     Schedule 3 </w:t>
      </w:r>
    </w:p>
    <w:p w14:paraId="2B0AE010" w14:textId="77777777" w:rsidR="009F4D90" w:rsidRPr="00AD30AD" w:rsidRDefault="009F4D90" w:rsidP="009F4D90">
      <w:pPr>
        <w:rPr>
          <w:sz w:val="16"/>
          <w:szCs w:val="16"/>
        </w:rPr>
      </w:pPr>
    </w:p>
    <w:p w14:paraId="0A06A683" w14:textId="2DBD9F21" w:rsidR="009F4D90" w:rsidRPr="00134CB2" w:rsidRDefault="009F4D90" w:rsidP="009F4D90">
      <w:pPr>
        <w:rPr>
          <w:color w:val="000000"/>
          <w:shd w:val="clear" w:color="auto" w:fill="FFFFFF"/>
        </w:rPr>
      </w:pPr>
      <w:r w:rsidRPr="00134CB2">
        <w:rPr>
          <w:color w:val="000000"/>
          <w:shd w:val="clear" w:color="auto" w:fill="FFFFFF"/>
        </w:rPr>
        <w:t xml:space="preserve">This section provides that each instrument that is specified in Schedule </w:t>
      </w:r>
      <w:r w:rsidR="002D12B2" w:rsidRPr="00134CB2">
        <w:rPr>
          <w:color w:val="000000"/>
          <w:shd w:val="clear" w:color="auto" w:fill="FFFFFF"/>
        </w:rPr>
        <w:t xml:space="preserve">3 </w:t>
      </w:r>
      <w:r w:rsidRPr="00134CB2">
        <w:rPr>
          <w:color w:val="000000"/>
          <w:shd w:val="clear" w:color="auto" w:fill="FFFFFF"/>
        </w:rPr>
        <w:t>is amended or repealed as set out in the applicable item</w:t>
      </w:r>
      <w:r w:rsidR="00742D2F">
        <w:rPr>
          <w:color w:val="000000"/>
          <w:shd w:val="clear" w:color="auto" w:fill="FFFFFF"/>
        </w:rPr>
        <w:t xml:space="preserve"> in that </w:t>
      </w:r>
      <w:r w:rsidRPr="00134CB2">
        <w:rPr>
          <w:color w:val="000000"/>
          <w:shd w:val="clear" w:color="auto" w:fill="FFFFFF"/>
        </w:rPr>
        <w:t xml:space="preserve">Schedule, and any other item in </w:t>
      </w:r>
      <w:r w:rsidR="00742D2F">
        <w:rPr>
          <w:color w:val="000000"/>
          <w:shd w:val="clear" w:color="auto" w:fill="FFFFFF"/>
        </w:rPr>
        <w:t xml:space="preserve">that </w:t>
      </w:r>
      <w:r w:rsidRPr="00134CB2">
        <w:rPr>
          <w:color w:val="000000"/>
          <w:shd w:val="clear" w:color="auto" w:fill="FFFFFF"/>
        </w:rPr>
        <w:t>Schedule has effect according to its terms.</w:t>
      </w:r>
      <w:r w:rsidR="002D12B2" w:rsidRPr="00134CB2">
        <w:rPr>
          <w:color w:val="000000"/>
          <w:shd w:val="clear" w:color="auto" w:fill="FFFFFF"/>
        </w:rPr>
        <w:t xml:space="preserve">  </w:t>
      </w:r>
    </w:p>
    <w:p w14:paraId="6571A67E" w14:textId="48EEA74F" w:rsidR="009F4D90" w:rsidRPr="00134CB2" w:rsidRDefault="009F4D90" w:rsidP="009F4D90"/>
    <w:p w14:paraId="0387920F" w14:textId="710E4CA9" w:rsidR="009F4D90" w:rsidRPr="00134CB2" w:rsidRDefault="002D12B2" w:rsidP="009F4D90">
      <w:pPr>
        <w:rPr>
          <w:b/>
        </w:rPr>
      </w:pPr>
      <w:r w:rsidRPr="00134CB2">
        <w:rPr>
          <w:b/>
        </w:rPr>
        <w:t xml:space="preserve">Section </w:t>
      </w:r>
      <w:r w:rsidR="009F4D90" w:rsidRPr="00134CB2">
        <w:rPr>
          <w:b/>
        </w:rPr>
        <w:t xml:space="preserve">6  </w:t>
      </w:r>
      <w:r w:rsidRPr="00134CB2">
        <w:rPr>
          <w:b/>
        </w:rPr>
        <w:t xml:space="preserve">   </w:t>
      </w:r>
      <w:r w:rsidR="009F4D90" w:rsidRPr="00134CB2">
        <w:rPr>
          <w:b/>
        </w:rPr>
        <w:t xml:space="preserve">Formats of Notice of commercial resale </w:t>
      </w:r>
    </w:p>
    <w:p w14:paraId="2C18607E" w14:textId="77777777" w:rsidR="002D12B2" w:rsidRPr="00AD30AD" w:rsidRDefault="002D12B2" w:rsidP="009F4D90">
      <w:pPr>
        <w:rPr>
          <w:sz w:val="16"/>
          <w:szCs w:val="16"/>
        </w:rPr>
      </w:pPr>
    </w:p>
    <w:p w14:paraId="6BE3233A" w14:textId="32AA0E23" w:rsidR="002D12B2" w:rsidRPr="00C93CEF" w:rsidRDefault="002D12B2" w:rsidP="009F4D90">
      <w:r w:rsidRPr="00134CB2">
        <w:t>Subsection 6</w:t>
      </w:r>
      <w:r w:rsidR="009F4D90" w:rsidRPr="00134CB2">
        <w:t>(1)</w:t>
      </w:r>
      <w:r w:rsidRPr="00134CB2">
        <w:t xml:space="preserve"> provides for two formats </w:t>
      </w:r>
      <w:r w:rsidR="009F4D90" w:rsidRPr="00134CB2">
        <w:t>of notice of commercial resale</w:t>
      </w:r>
      <w:r w:rsidRPr="00134CB2">
        <w:t xml:space="preserve"> (as covered by </w:t>
      </w:r>
      <w:r w:rsidR="00134CB2" w:rsidRPr="00134CB2">
        <w:t>Schedules</w:t>
      </w:r>
      <w:r w:rsidRPr="00134CB2">
        <w:t xml:space="preserve"> 1 and 2).</w:t>
      </w:r>
      <w:r w:rsidR="00C93CEF">
        <w:t xml:space="preserve"> The formats are largely similar to the formats set out in the 201</w:t>
      </w:r>
      <w:r w:rsidR="00742D2F">
        <w:t>2</w:t>
      </w:r>
      <w:r w:rsidR="00C93CEF">
        <w:t xml:space="preserve"> Determination with some minor changes.</w:t>
      </w:r>
    </w:p>
    <w:p w14:paraId="2A97B7C5" w14:textId="77777777" w:rsidR="002D12B2" w:rsidRPr="00134CB2" w:rsidRDefault="002D12B2" w:rsidP="009F4D90">
      <w:pPr>
        <w:rPr>
          <w:b/>
        </w:rPr>
      </w:pPr>
    </w:p>
    <w:p w14:paraId="126B44A7" w14:textId="773D4F11" w:rsidR="002D12B2" w:rsidRPr="00134CB2" w:rsidRDefault="002D12B2" w:rsidP="009F4D90">
      <w:pPr>
        <w:rPr>
          <w:b/>
        </w:rPr>
      </w:pPr>
      <w:r w:rsidRPr="00134CB2">
        <w:rPr>
          <w:b/>
        </w:rPr>
        <w:t xml:space="preserve">Schedule 1 </w:t>
      </w:r>
    </w:p>
    <w:p w14:paraId="73C9BEE1" w14:textId="77777777" w:rsidR="002D12B2" w:rsidRPr="00AD30AD" w:rsidRDefault="002D12B2" w:rsidP="009F4D90">
      <w:pPr>
        <w:rPr>
          <w:b/>
          <w:sz w:val="16"/>
          <w:szCs w:val="16"/>
        </w:rPr>
      </w:pPr>
    </w:p>
    <w:p w14:paraId="6F6FFCAB" w14:textId="2B449C78" w:rsidR="009F4D90" w:rsidRPr="00134CB2" w:rsidRDefault="002D12B2" w:rsidP="002D12B2">
      <w:r w:rsidRPr="00134CB2">
        <w:t xml:space="preserve">Schedule 1 sets out </w:t>
      </w:r>
      <w:r w:rsidR="00134CB2">
        <w:t xml:space="preserve">an </w:t>
      </w:r>
      <w:r w:rsidR="009F4D90" w:rsidRPr="00134CB2">
        <w:t>interactive web form</w:t>
      </w:r>
      <w:r w:rsidR="00134CB2">
        <w:t>at of the notice</w:t>
      </w:r>
      <w:r w:rsidRPr="00134CB2">
        <w:t xml:space="preserve"> and this is to be </w:t>
      </w:r>
      <w:r w:rsidR="009F4D90" w:rsidRPr="00134CB2">
        <w:t xml:space="preserve">provided at the internet address: </w:t>
      </w:r>
      <w:hyperlink r:id="rId11" w:history="1">
        <w:r w:rsidRPr="00134CB2">
          <w:rPr>
            <w:rStyle w:val="Hyperlink"/>
          </w:rPr>
          <w:t>www.resaleroyalty.org.au</w:t>
        </w:r>
      </w:hyperlink>
      <w:r w:rsidRPr="00134CB2">
        <w:t>.</w:t>
      </w:r>
      <w:r w:rsidR="00C93CEF" w:rsidRPr="00C93CEF">
        <w:t xml:space="preserve"> </w:t>
      </w:r>
      <w:r w:rsidR="00C93CEF" w:rsidRPr="00134CB2">
        <w:t xml:space="preserve">This is the website managed by </w:t>
      </w:r>
      <w:r w:rsidR="00C93CEF">
        <w:t>Copyright Agency Limited</w:t>
      </w:r>
      <w:r w:rsidR="00C93CEF" w:rsidRPr="00134CB2">
        <w:t>.</w:t>
      </w:r>
    </w:p>
    <w:p w14:paraId="11995B04" w14:textId="624906FA" w:rsidR="002D12B2" w:rsidRPr="00AD30AD" w:rsidRDefault="002D12B2" w:rsidP="002D12B2">
      <w:pPr>
        <w:rPr>
          <w:sz w:val="16"/>
          <w:szCs w:val="16"/>
        </w:rPr>
      </w:pPr>
    </w:p>
    <w:p w14:paraId="269D8FAC" w14:textId="0F362228" w:rsidR="002D12B2" w:rsidRPr="00134CB2" w:rsidRDefault="002D12B2" w:rsidP="002D12B2">
      <w:pPr>
        <w:rPr>
          <w:b/>
        </w:rPr>
      </w:pPr>
      <w:r w:rsidRPr="00134CB2">
        <w:rPr>
          <w:b/>
        </w:rPr>
        <w:t xml:space="preserve">Schedule 2 </w:t>
      </w:r>
    </w:p>
    <w:p w14:paraId="2AC9123A" w14:textId="77777777" w:rsidR="002D12B2" w:rsidRPr="00134CB2" w:rsidRDefault="002D12B2" w:rsidP="002D12B2"/>
    <w:p w14:paraId="363D12B4" w14:textId="727D4741" w:rsidR="009F4D90" w:rsidRPr="00134CB2" w:rsidRDefault="002D12B2" w:rsidP="002D12B2">
      <w:r w:rsidRPr="00134CB2">
        <w:t xml:space="preserve">Schedule 2 sets out </w:t>
      </w:r>
      <w:r w:rsidR="00134CB2">
        <w:t xml:space="preserve">an </w:t>
      </w:r>
      <w:r w:rsidRPr="00134CB2">
        <w:t>e</w:t>
      </w:r>
      <w:r w:rsidR="009F4D90" w:rsidRPr="00134CB2">
        <w:t>xcel spreadsheet</w:t>
      </w:r>
      <w:r w:rsidRPr="00134CB2">
        <w:t xml:space="preserve"> form</w:t>
      </w:r>
      <w:r w:rsidR="00134CB2">
        <w:t xml:space="preserve">at of the notice </w:t>
      </w:r>
      <w:r w:rsidRPr="00134CB2">
        <w:t xml:space="preserve">and this is to be </w:t>
      </w:r>
      <w:r w:rsidR="009F4D90" w:rsidRPr="00134CB2">
        <w:t xml:space="preserve">provided at the internet address: </w:t>
      </w:r>
      <w:hyperlink r:id="rId12" w:history="1">
        <w:r w:rsidRPr="00134CB2">
          <w:rPr>
            <w:rStyle w:val="Hyperlink"/>
          </w:rPr>
          <w:t>www.resaleroyalty.org.au</w:t>
        </w:r>
      </w:hyperlink>
      <w:r w:rsidR="009F4D90" w:rsidRPr="00134CB2">
        <w:t>.</w:t>
      </w:r>
      <w:r w:rsidRPr="00134CB2">
        <w:t xml:space="preserve"> </w:t>
      </w:r>
    </w:p>
    <w:p w14:paraId="7E8AC9DE" w14:textId="0A4EABEB" w:rsidR="002D12B2" w:rsidRPr="00AD30AD" w:rsidRDefault="002D12B2" w:rsidP="002D12B2">
      <w:pPr>
        <w:rPr>
          <w:sz w:val="16"/>
          <w:szCs w:val="16"/>
        </w:rPr>
      </w:pPr>
    </w:p>
    <w:p w14:paraId="4CCCC19A" w14:textId="7C361AD1" w:rsidR="002D12B2" w:rsidRPr="00C93CEF" w:rsidRDefault="002D12B2" w:rsidP="002D12B2">
      <w:pPr>
        <w:rPr>
          <w:b/>
        </w:rPr>
      </w:pPr>
      <w:r w:rsidRPr="00C93CEF">
        <w:rPr>
          <w:b/>
        </w:rPr>
        <w:t xml:space="preserve">Schedule 3 </w:t>
      </w:r>
    </w:p>
    <w:p w14:paraId="43758961" w14:textId="77777777" w:rsidR="002D12B2" w:rsidRPr="00134CB2" w:rsidRDefault="002D12B2" w:rsidP="002D12B2"/>
    <w:p w14:paraId="072615B0" w14:textId="0DDCBB82" w:rsidR="002D12B2" w:rsidRDefault="002D12B2" w:rsidP="002D12B2">
      <w:r w:rsidRPr="00134CB2">
        <w:t xml:space="preserve">Schedule 3 </w:t>
      </w:r>
      <w:r w:rsidRPr="00C93CEF">
        <w:t>lists</w:t>
      </w:r>
      <w:r w:rsidR="00C93CEF">
        <w:t xml:space="preserve">, and </w:t>
      </w:r>
      <w:r w:rsidRPr="00C93CEF">
        <w:t>repeal</w:t>
      </w:r>
      <w:r w:rsidR="00C93CEF">
        <w:t>s,</w:t>
      </w:r>
      <w:r w:rsidRPr="00C93CEF">
        <w:t xml:space="preserve"> the </w:t>
      </w:r>
      <w:r w:rsidRPr="00C93CEF">
        <w:rPr>
          <w:i/>
        </w:rPr>
        <w:t>Resale Royalty Right for Visual Artists (Format of Notice of Commercial Resale) Determination (No. 1) 2012</w:t>
      </w:r>
      <w:r w:rsidRPr="00134CB2">
        <w:t>.</w:t>
      </w:r>
    </w:p>
    <w:sectPr w:rsidR="002D12B2" w:rsidSect="00403193">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4B9FC" w14:textId="77777777" w:rsidR="006B6F84" w:rsidRDefault="006B6F84" w:rsidP="00134CB2">
      <w:r>
        <w:separator/>
      </w:r>
    </w:p>
  </w:endnote>
  <w:endnote w:type="continuationSeparator" w:id="0">
    <w:p w14:paraId="75C8B98A" w14:textId="77777777" w:rsidR="006B6F84" w:rsidRDefault="006B6F84" w:rsidP="0013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5546684"/>
      <w:docPartObj>
        <w:docPartGallery w:val="Page Numbers (Bottom of Page)"/>
        <w:docPartUnique/>
      </w:docPartObj>
    </w:sdtPr>
    <w:sdtEndPr>
      <w:rPr>
        <w:noProof/>
      </w:rPr>
    </w:sdtEndPr>
    <w:sdtContent>
      <w:p w14:paraId="0388280E" w14:textId="47986EB2" w:rsidR="00134CB2" w:rsidRDefault="00134C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AB1670" w14:textId="77777777" w:rsidR="00134CB2" w:rsidRDefault="00134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5BAA3" w14:textId="77777777" w:rsidR="006B6F84" w:rsidRDefault="006B6F84" w:rsidP="00134CB2">
      <w:r>
        <w:separator/>
      </w:r>
    </w:p>
  </w:footnote>
  <w:footnote w:type="continuationSeparator" w:id="0">
    <w:p w14:paraId="51328C07" w14:textId="77777777" w:rsidR="006B6F84" w:rsidRDefault="006B6F84" w:rsidP="00134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4511A"/>
    <w:multiLevelType w:val="multilevel"/>
    <w:tmpl w:val="EA5E96EA"/>
    <w:numStyleLink w:val="KeyPoints"/>
  </w:abstractNum>
  <w:abstractNum w:abstractNumId="1" w15:restartNumberingAfterBreak="0">
    <w:nsid w:val="18E54684"/>
    <w:multiLevelType w:val="hybridMultilevel"/>
    <w:tmpl w:val="DDB03B5A"/>
    <w:lvl w:ilvl="0" w:tplc="0526CE66">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CD0908"/>
    <w:multiLevelType w:val="hybridMultilevel"/>
    <w:tmpl w:val="5214579A"/>
    <w:lvl w:ilvl="0" w:tplc="4AF4EC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AD4396"/>
    <w:multiLevelType w:val="hybridMultilevel"/>
    <w:tmpl w:val="C8EE0C24"/>
    <w:lvl w:ilvl="0" w:tplc="EBAE3424">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CB31CED"/>
    <w:multiLevelType w:val="hybridMultilevel"/>
    <w:tmpl w:val="815ABE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AD2756"/>
    <w:multiLevelType w:val="hybridMultilevel"/>
    <w:tmpl w:val="BCB04D04"/>
    <w:lvl w:ilvl="0" w:tplc="4AF4ECB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B8359EB"/>
    <w:multiLevelType w:val="hybridMultilevel"/>
    <w:tmpl w:val="CDC48C34"/>
    <w:lvl w:ilvl="0" w:tplc="4AF4ECB0">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42BF5E90"/>
    <w:multiLevelType w:val="hybridMultilevel"/>
    <w:tmpl w:val="2952B522"/>
    <w:lvl w:ilvl="0" w:tplc="EA988B6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42A08E6"/>
    <w:multiLevelType w:val="hybridMultilevel"/>
    <w:tmpl w:val="11A06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Calibri" w:hAnsi="Calibr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E026E4B"/>
    <w:multiLevelType w:val="hybridMultilevel"/>
    <w:tmpl w:val="0F48B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2"/>
  </w:num>
  <w:num w:numId="6">
    <w:abstractNumId w:val="8"/>
  </w:num>
  <w:num w:numId="7">
    <w:abstractNumId w:val="1"/>
  </w:num>
  <w:num w:numId="8">
    <w:abstractNumId w:val="9"/>
  </w:num>
  <w:num w:numId="9">
    <w:abstractNumId w:val="0"/>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ECF"/>
    <w:rsid w:val="000040B6"/>
    <w:rsid w:val="00024F93"/>
    <w:rsid w:val="0003180E"/>
    <w:rsid w:val="0003452D"/>
    <w:rsid w:val="00036328"/>
    <w:rsid w:val="00043943"/>
    <w:rsid w:val="000467C8"/>
    <w:rsid w:val="0005042A"/>
    <w:rsid w:val="00050962"/>
    <w:rsid w:val="0005200D"/>
    <w:rsid w:val="00055BB7"/>
    <w:rsid w:val="0005645B"/>
    <w:rsid w:val="00063EF5"/>
    <w:rsid w:val="000672DC"/>
    <w:rsid w:val="00070168"/>
    <w:rsid w:val="00071B99"/>
    <w:rsid w:val="00077726"/>
    <w:rsid w:val="0009088C"/>
    <w:rsid w:val="000960FE"/>
    <w:rsid w:val="000968AF"/>
    <w:rsid w:val="000A14C5"/>
    <w:rsid w:val="000A6113"/>
    <w:rsid w:val="000B4505"/>
    <w:rsid w:val="000E6300"/>
    <w:rsid w:val="000F3254"/>
    <w:rsid w:val="00112031"/>
    <w:rsid w:val="00125CB2"/>
    <w:rsid w:val="00134CB2"/>
    <w:rsid w:val="00136992"/>
    <w:rsid w:val="00157F7F"/>
    <w:rsid w:val="00165B36"/>
    <w:rsid w:val="001715DF"/>
    <w:rsid w:val="001765E9"/>
    <w:rsid w:val="00180360"/>
    <w:rsid w:val="001824F4"/>
    <w:rsid w:val="001832CF"/>
    <w:rsid w:val="00183FD0"/>
    <w:rsid w:val="00197F78"/>
    <w:rsid w:val="001A1BC9"/>
    <w:rsid w:val="001A1E9F"/>
    <w:rsid w:val="001A3782"/>
    <w:rsid w:val="001A49EC"/>
    <w:rsid w:val="001C51E8"/>
    <w:rsid w:val="001C6036"/>
    <w:rsid w:val="001C7E7E"/>
    <w:rsid w:val="001D00EE"/>
    <w:rsid w:val="001D556C"/>
    <w:rsid w:val="001D59CA"/>
    <w:rsid w:val="001D63EF"/>
    <w:rsid w:val="001E6657"/>
    <w:rsid w:val="00205500"/>
    <w:rsid w:val="00213BD4"/>
    <w:rsid w:val="00230273"/>
    <w:rsid w:val="002339FE"/>
    <w:rsid w:val="00253311"/>
    <w:rsid w:val="002566EF"/>
    <w:rsid w:val="00257D4C"/>
    <w:rsid w:val="002617CD"/>
    <w:rsid w:val="0026409E"/>
    <w:rsid w:val="00266D99"/>
    <w:rsid w:val="002770B2"/>
    <w:rsid w:val="002808F4"/>
    <w:rsid w:val="00280B4D"/>
    <w:rsid w:val="00280C8D"/>
    <w:rsid w:val="00291FCE"/>
    <w:rsid w:val="00295122"/>
    <w:rsid w:val="002971FB"/>
    <w:rsid w:val="002A5086"/>
    <w:rsid w:val="002B0BA4"/>
    <w:rsid w:val="002B248F"/>
    <w:rsid w:val="002B4D4F"/>
    <w:rsid w:val="002B771E"/>
    <w:rsid w:val="002D12B2"/>
    <w:rsid w:val="002E05A3"/>
    <w:rsid w:val="002E0C8E"/>
    <w:rsid w:val="0030052C"/>
    <w:rsid w:val="003068BF"/>
    <w:rsid w:val="00327873"/>
    <w:rsid w:val="00351DC9"/>
    <w:rsid w:val="003547DC"/>
    <w:rsid w:val="003574A5"/>
    <w:rsid w:val="00361A58"/>
    <w:rsid w:val="0037675A"/>
    <w:rsid w:val="003A384A"/>
    <w:rsid w:val="003A4A81"/>
    <w:rsid w:val="003B443C"/>
    <w:rsid w:val="003C26E3"/>
    <w:rsid w:val="003D1E6E"/>
    <w:rsid w:val="003D3CBA"/>
    <w:rsid w:val="003D4753"/>
    <w:rsid w:val="003E1059"/>
    <w:rsid w:val="003F16A7"/>
    <w:rsid w:val="003F1A5E"/>
    <w:rsid w:val="003F237A"/>
    <w:rsid w:val="003F2FA8"/>
    <w:rsid w:val="00403193"/>
    <w:rsid w:val="0040577D"/>
    <w:rsid w:val="00413D27"/>
    <w:rsid w:val="004160FD"/>
    <w:rsid w:val="00432431"/>
    <w:rsid w:val="00435F93"/>
    <w:rsid w:val="00443674"/>
    <w:rsid w:val="00452F5C"/>
    <w:rsid w:val="00456A94"/>
    <w:rsid w:val="00460515"/>
    <w:rsid w:val="0046138D"/>
    <w:rsid w:val="004660D3"/>
    <w:rsid w:val="0047255B"/>
    <w:rsid w:val="00476F7B"/>
    <w:rsid w:val="0048244A"/>
    <w:rsid w:val="00482CFA"/>
    <w:rsid w:val="00486712"/>
    <w:rsid w:val="0049558C"/>
    <w:rsid w:val="004B15B9"/>
    <w:rsid w:val="004B3049"/>
    <w:rsid w:val="004B66FB"/>
    <w:rsid w:val="004C48B4"/>
    <w:rsid w:val="004E159B"/>
    <w:rsid w:val="004E2105"/>
    <w:rsid w:val="004E2877"/>
    <w:rsid w:val="004E2EB4"/>
    <w:rsid w:val="004E42DB"/>
    <w:rsid w:val="004F1B0A"/>
    <w:rsid w:val="004F5AE0"/>
    <w:rsid w:val="004F73BE"/>
    <w:rsid w:val="00513C9A"/>
    <w:rsid w:val="005141A4"/>
    <w:rsid w:val="00526296"/>
    <w:rsid w:val="00530A87"/>
    <w:rsid w:val="00534587"/>
    <w:rsid w:val="00542793"/>
    <w:rsid w:val="00547C6E"/>
    <w:rsid w:val="00550460"/>
    <w:rsid w:val="00553ACD"/>
    <w:rsid w:val="00565C8E"/>
    <w:rsid w:val="005706A2"/>
    <w:rsid w:val="005860EB"/>
    <w:rsid w:val="00587B7F"/>
    <w:rsid w:val="00587F8D"/>
    <w:rsid w:val="005902EC"/>
    <w:rsid w:val="00591CD8"/>
    <w:rsid w:val="005D301D"/>
    <w:rsid w:val="005E16A6"/>
    <w:rsid w:val="005E3DCF"/>
    <w:rsid w:val="00610FA1"/>
    <w:rsid w:val="006133E3"/>
    <w:rsid w:val="00632C07"/>
    <w:rsid w:val="00634C14"/>
    <w:rsid w:val="00635F22"/>
    <w:rsid w:val="006419F4"/>
    <w:rsid w:val="00643E53"/>
    <w:rsid w:val="00654647"/>
    <w:rsid w:val="00657F1D"/>
    <w:rsid w:val="00657F96"/>
    <w:rsid w:val="00667FE1"/>
    <w:rsid w:val="00672C6C"/>
    <w:rsid w:val="006746B8"/>
    <w:rsid w:val="0068434B"/>
    <w:rsid w:val="00692560"/>
    <w:rsid w:val="00693D58"/>
    <w:rsid w:val="00697096"/>
    <w:rsid w:val="0069742D"/>
    <w:rsid w:val="00697B39"/>
    <w:rsid w:val="006A1F86"/>
    <w:rsid w:val="006B6F84"/>
    <w:rsid w:val="006B7752"/>
    <w:rsid w:val="006D3ACA"/>
    <w:rsid w:val="006E18CB"/>
    <w:rsid w:val="006F229B"/>
    <w:rsid w:val="006F2C61"/>
    <w:rsid w:val="0070396F"/>
    <w:rsid w:val="00704B99"/>
    <w:rsid w:val="00712C79"/>
    <w:rsid w:val="00713463"/>
    <w:rsid w:val="00722C84"/>
    <w:rsid w:val="00733E2C"/>
    <w:rsid w:val="00740DE5"/>
    <w:rsid w:val="00742D2F"/>
    <w:rsid w:val="0075232F"/>
    <w:rsid w:val="00757385"/>
    <w:rsid w:val="00775DD9"/>
    <w:rsid w:val="00776067"/>
    <w:rsid w:val="00790E56"/>
    <w:rsid w:val="007C74A4"/>
    <w:rsid w:val="007D0DE2"/>
    <w:rsid w:val="007D327E"/>
    <w:rsid w:val="007D74B5"/>
    <w:rsid w:val="007E3926"/>
    <w:rsid w:val="007E7B4E"/>
    <w:rsid w:val="007F6A6E"/>
    <w:rsid w:val="00804CCA"/>
    <w:rsid w:val="00805C09"/>
    <w:rsid w:val="0080682E"/>
    <w:rsid w:val="00814C8D"/>
    <w:rsid w:val="00833782"/>
    <w:rsid w:val="00841187"/>
    <w:rsid w:val="00844154"/>
    <w:rsid w:val="00845AF9"/>
    <w:rsid w:val="00856C14"/>
    <w:rsid w:val="00861A04"/>
    <w:rsid w:val="00871513"/>
    <w:rsid w:val="00874379"/>
    <w:rsid w:val="008768B9"/>
    <w:rsid w:val="0088631D"/>
    <w:rsid w:val="008877B3"/>
    <w:rsid w:val="0089395C"/>
    <w:rsid w:val="008A320F"/>
    <w:rsid w:val="008B3AFF"/>
    <w:rsid w:val="008D067A"/>
    <w:rsid w:val="008E3CB6"/>
    <w:rsid w:val="008E67D8"/>
    <w:rsid w:val="008E79CA"/>
    <w:rsid w:val="008F0630"/>
    <w:rsid w:val="008F58C8"/>
    <w:rsid w:val="0090735B"/>
    <w:rsid w:val="00920E1C"/>
    <w:rsid w:val="00922045"/>
    <w:rsid w:val="00922493"/>
    <w:rsid w:val="00923B88"/>
    <w:rsid w:val="0093104B"/>
    <w:rsid w:val="00933B75"/>
    <w:rsid w:val="0093443B"/>
    <w:rsid w:val="00947E76"/>
    <w:rsid w:val="00956AC2"/>
    <w:rsid w:val="0096369E"/>
    <w:rsid w:val="00965870"/>
    <w:rsid w:val="0096689E"/>
    <w:rsid w:val="009819CF"/>
    <w:rsid w:val="009955A8"/>
    <w:rsid w:val="009A3DDD"/>
    <w:rsid w:val="009B0518"/>
    <w:rsid w:val="009B0AB2"/>
    <w:rsid w:val="009C7F13"/>
    <w:rsid w:val="009E40C5"/>
    <w:rsid w:val="009F4D90"/>
    <w:rsid w:val="00A05C43"/>
    <w:rsid w:val="00A07F09"/>
    <w:rsid w:val="00A1217E"/>
    <w:rsid w:val="00A14786"/>
    <w:rsid w:val="00A331AF"/>
    <w:rsid w:val="00A431BA"/>
    <w:rsid w:val="00A43D60"/>
    <w:rsid w:val="00A44269"/>
    <w:rsid w:val="00A44543"/>
    <w:rsid w:val="00A46646"/>
    <w:rsid w:val="00A57959"/>
    <w:rsid w:val="00A62752"/>
    <w:rsid w:val="00A64768"/>
    <w:rsid w:val="00A65FE9"/>
    <w:rsid w:val="00A72DFD"/>
    <w:rsid w:val="00A773AC"/>
    <w:rsid w:val="00A80402"/>
    <w:rsid w:val="00A80CC4"/>
    <w:rsid w:val="00A81DBE"/>
    <w:rsid w:val="00A87094"/>
    <w:rsid w:val="00AB1890"/>
    <w:rsid w:val="00AC09C9"/>
    <w:rsid w:val="00AC302C"/>
    <w:rsid w:val="00AC6FE2"/>
    <w:rsid w:val="00AD0CFA"/>
    <w:rsid w:val="00AD30AD"/>
    <w:rsid w:val="00B21300"/>
    <w:rsid w:val="00B23B2C"/>
    <w:rsid w:val="00B25B61"/>
    <w:rsid w:val="00B26890"/>
    <w:rsid w:val="00B32558"/>
    <w:rsid w:val="00B32B42"/>
    <w:rsid w:val="00B5134A"/>
    <w:rsid w:val="00B65413"/>
    <w:rsid w:val="00B85003"/>
    <w:rsid w:val="00B96D37"/>
    <w:rsid w:val="00BA47FF"/>
    <w:rsid w:val="00BA6340"/>
    <w:rsid w:val="00BA6B3A"/>
    <w:rsid w:val="00BB7E6B"/>
    <w:rsid w:val="00BD4B18"/>
    <w:rsid w:val="00BE0377"/>
    <w:rsid w:val="00BF1FFA"/>
    <w:rsid w:val="00BF646D"/>
    <w:rsid w:val="00C074F1"/>
    <w:rsid w:val="00C1731D"/>
    <w:rsid w:val="00C3722A"/>
    <w:rsid w:val="00C431FD"/>
    <w:rsid w:val="00C4685B"/>
    <w:rsid w:val="00C61197"/>
    <w:rsid w:val="00C6147D"/>
    <w:rsid w:val="00C62029"/>
    <w:rsid w:val="00C715AC"/>
    <w:rsid w:val="00C71727"/>
    <w:rsid w:val="00C80D34"/>
    <w:rsid w:val="00C84D38"/>
    <w:rsid w:val="00C93CEF"/>
    <w:rsid w:val="00C963D8"/>
    <w:rsid w:val="00CA32C6"/>
    <w:rsid w:val="00CB1082"/>
    <w:rsid w:val="00CC00A0"/>
    <w:rsid w:val="00CC0E8C"/>
    <w:rsid w:val="00CC1DDE"/>
    <w:rsid w:val="00CD51AC"/>
    <w:rsid w:val="00CE59B8"/>
    <w:rsid w:val="00CF3020"/>
    <w:rsid w:val="00D0052E"/>
    <w:rsid w:val="00D056FB"/>
    <w:rsid w:val="00D244A1"/>
    <w:rsid w:val="00D2713B"/>
    <w:rsid w:val="00D32662"/>
    <w:rsid w:val="00D35B5E"/>
    <w:rsid w:val="00D423C8"/>
    <w:rsid w:val="00D4493F"/>
    <w:rsid w:val="00D51960"/>
    <w:rsid w:val="00D61ADF"/>
    <w:rsid w:val="00D71A60"/>
    <w:rsid w:val="00D80ACB"/>
    <w:rsid w:val="00D81ACB"/>
    <w:rsid w:val="00D90A5C"/>
    <w:rsid w:val="00D921F0"/>
    <w:rsid w:val="00D96EA4"/>
    <w:rsid w:val="00DA0E7C"/>
    <w:rsid w:val="00DA7F28"/>
    <w:rsid w:val="00DB2C47"/>
    <w:rsid w:val="00DC0D45"/>
    <w:rsid w:val="00DD16DB"/>
    <w:rsid w:val="00DD63A6"/>
    <w:rsid w:val="00DE4969"/>
    <w:rsid w:val="00DF1584"/>
    <w:rsid w:val="00DF2D34"/>
    <w:rsid w:val="00DF3887"/>
    <w:rsid w:val="00DF6C51"/>
    <w:rsid w:val="00E07B20"/>
    <w:rsid w:val="00E07BA5"/>
    <w:rsid w:val="00E15B55"/>
    <w:rsid w:val="00E22ECA"/>
    <w:rsid w:val="00E25678"/>
    <w:rsid w:val="00E42D47"/>
    <w:rsid w:val="00E47ECF"/>
    <w:rsid w:val="00E55750"/>
    <w:rsid w:val="00E63C55"/>
    <w:rsid w:val="00E66CAA"/>
    <w:rsid w:val="00E66D78"/>
    <w:rsid w:val="00E7216D"/>
    <w:rsid w:val="00E722A7"/>
    <w:rsid w:val="00E83AB0"/>
    <w:rsid w:val="00E84059"/>
    <w:rsid w:val="00EA0769"/>
    <w:rsid w:val="00EA35AA"/>
    <w:rsid w:val="00EA534B"/>
    <w:rsid w:val="00EA6951"/>
    <w:rsid w:val="00EC5333"/>
    <w:rsid w:val="00ED1822"/>
    <w:rsid w:val="00ED5497"/>
    <w:rsid w:val="00EE2C16"/>
    <w:rsid w:val="00EE6E69"/>
    <w:rsid w:val="00F02FE4"/>
    <w:rsid w:val="00F03141"/>
    <w:rsid w:val="00F054A2"/>
    <w:rsid w:val="00F119A2"/>
    <w:rsid w:val="00F12846"/>
    <w:rsid w:val="00F15497"/>
    <w:rsid w:val="00F15EFB"/>
    <w:rsid w:val="00F26933"/>
    <w:rsid w:val="00F54BAD"/>
    <w:rsid w:val="00F57B2F"/>
    <w:rsid w:val="00F643A5"/>
    <w:rsid w:val="00F71457"/>
    <w:rsid w:val="00F826AD"/>
    <w:rsid w:val="00F83C82"/>
    <w:rsid w:val="00F849FE"/>
    <w:rsid w:val="00F87F57"/>
    <w:rsid w:val="00F94BFA"/>
    <w:rsid w:val="00F9668A"/>
    <w:rsid w:val="00FA398F"/>
    <w:rsid w:val="00FB01CE"/>
    <w:rsid w:val="00FB1518"/>
    <w:rsid w:val="00FB43AE"/>
    <w:rsid w:val="00FE2178"/>
    <w:rsid w:val="00FF7C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FB517"/>
  <w15:docId w15:val="{4D3556AA-0AB5-4884-83FF-692F5572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319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03193"/>
    <w:rPr>
      <w:rFonts w:ascii="Tahoma" w:hAnsi="Tahoma" w:cs="Tahoma"/>
      <w:sz w:val="16"/>
      <w:szCs w:val="16"/>
    </w:rPr>
  </w:style>
  <w:style w:type="paragraph" w:styleId="ListParagraph">
    <w:name w:val="List Paragraph"/>
    <w:basedOn w:val="Normal"/>
    <w:uiPriority w:val="34"/>
    <w:qFormat/>
    <w:rsid w:val="00C6147D"/>
    <w:pPr>
      <w:ind w:left="720"/>
      <w:contextualSpacing/>
    </w:pPr>
  </w:style>
  <w:style w:type="character" w:styleId="CommentReference">
    <w:name w:val="annotation reference"/>
    <w:rsid w:val="00063EF5"/>
    <w:rPr>
      <w:sz w:val="16"/>
      <w:szCs w:val="16"/>
    </w:rPr>
  </w:style>
  <w:style w:type="paragraph" w:styleId="CommentText">
    <w:name w:val="annotation text"/>
    <w:basedOn w:val="Normal"/>
    <w:link w:val="CommentTextChar"/>
    <w:rsid w:val="00063EF5"/>
    <w:rPr>
      <w:sz w:val="20"/>
      <w:szCs w:val="20"/>
    </w:rPr>
  </w:style>
  <w:style w:type="character" w:customStyle="1" w:styleId="CommentTextChar">
    <w:name w:val="Comment Text Char"/>
    <w:basedOn w:val="DefaultParagraphFont"/>
    <w:link w:val="CommentText"/>
    <w:rsid w:val="00063EF5"/>
  </w:style>
  <w:style w:type="paragraph" w:styleId="CommentSubject">
    <w:name w:val="annotation subject"/>
    <w:basedOn w:val="CommentText"/>
    <w:next w:val="CommentText"/>
    <w:link w:val="CommentSubjectChar"/>
    <w:rsid w:val="00063EF5"/>
    <w:rPr>
      <w:b/>
      <w:bCs/>
    </w:rPr>
  </w:style>
  <w:style w:type="character" w:customStyle="1" w:styleId="CommentSubjectChar">
    <w:name w:val="Comment Subject Char"/>
    <w:link w:val="CommentSubject"/>
    <w:rsid w:val="00063EF5"/>
    <w:rPr>
      <w:b/>
      <w:bCs/>
    </w:rPr>
  </w:style>
  <w:style w:type="numbering" w:customStyle="1" w:styleId="KeyPoints">
    <w:name w:val="Key Points"/>
    <w:basedOn w:val="NoList"/>
    <w:uiPriority w:val="99"/>
    <w:rsid w:val="007D0DE2"/>
    <w:pPr>
      <w:numPr>
        <w:numId w:val="8"/>
      </w:numPr>
    </w:pPr>
  </w:style>
  <w:style w:type="paragraph" w:customStyle="1" w:styleId="1NumberPointsStyle">
    <w:name w:val="1. Number Points Style"/>
    <w:basedOn w:val="Normal"/>
    <w:link w:val="1NumberPointsStyleChar"/>
    <w:qFormat/>
    <w:rsid w:val="007D0DE2"/>
    <w:pPr>
      <w:numPr>
        <w:numId w:val="9"/>
      </w:numPr>
      <w:spacing w:after="200"/>
    </w:pPr>
    <w:rPr>
      <w:rFonts w:ascii="Calibri" w:hAnsi="Calibri"/>
      <w:szCs w:val="20"/>
    </w:rPr>
  </w:style>
  <w:style w:type="character" w:customStyle="1" w:styleId="1NumberPointsStyleChar">
    <w:name w:val="1. Number Points Style Char"/>
    <w:link w:val="1NumberPointsStyle"/>
    <w:rsid w:val="007D0DE2"/>
    <w:rPr>
      <w:rFonts w:ascii="Calibri" w:hAnsi="Calibri"/>
      <w:sz w:val="24"/>
    </w:rPr>
  </w:style>
  <w:style w:type="paragraph" w:styleId="NormalWeb">
    <w:name w:val="Normal (Web)"/>
    <w:basedOn w:val="Normal"/>
    <w:uiPriority w:val="99"/>
    <w:semiHidden/>
    <w:unhideWhenUsed/>
    <w:rsid w:val="008F0630"/>
    <w:pPr>
      <w:spacing w:before="100" w:beforeAutospacing="1" w:after="100" w:afterAutospacing="1"/>
    </w:pPr>
  </w:style>
  <w:style w:type="paragraph" w:customStyle="1" w:styleId="acmabodytext">
    <w:name w:val="acmabodytext"/>
    <w:basedOn w:val="Normal"/>
    <w:rsid w:val="009F4D90"/>
    <w:pPr>
      <w:spacing w:before="100" w:beforeAutospacing="1" w:after="100" w:afterAutospacing="1"/>
    </w:pPr>
  </w:style>
  <w:style w:type="character" w:styleId="Hyperlink">
    <w:name w:val="Hyperlink"/>
    <w:basedOn w:val="DefaultParagraphFont"/>
    <w:unhideWhenUsed/>
    <w:rsid w:val="002D12B2"/>
    <w:rPr>
      <w:color w:val="0000FF" w:themeColor="hyperlink"/>
      <w:u w:val="single"/>
    </w:rPr>
  </w:style>
  <w:style w:type="character" w:styleId="UnresolvedMention">
    <w:name w:val="Unresolved Mention"/>
    <w:basedOn w:val="DefaultParagraphFont"/>
    <w:uiPriority w:val="99"/>
    <w:semiHidden/>
    <w:unhideWhenUsed/>
    <w:rsid w:val="002D12B2"/>
    <w:rPr>
      <w:color w:val="605E5C"/>
      <w:shd w:val="clear" w:color="auto" w:fill="E1DFDD"/>
    </w:rPr>
  </w:style>
  <w:style w:type="paragraph" w:styleId="Header">
    <w:name w:val="header"/>
    <w:basedOn w:val="Normal"/>
    <w:link w:val="HeaderChar"/>
    <w:unhideWhenUsed/>
    <w:rsid w:val="00134CB2"/>
    <w:pPr>
      <w:tabs>
        <w:tab w:val="center" w:pos="4513"/>
        <w:tab w:val="right" w:pos="9026"/>
      </w:tabs>
    </w:pPr>
  </w:style>
  <w:style w:type="character" w:customStyle="1" w:styleId="HeaderChar">
    <w:name w:val="Header Char"/>
    <w:basedOn w:val="DefaultParagraphFont"/>
    <w:link w:val="Header"/>
    <w:rsid w:val="00134CB2"/>
    <w:rPr>
      <w:sz w:val="24"/>
      <w:szCs w:val="24"/>
    </w:rPr>
  </w:style>
  <w:style w:type="paragraph" w:styleId="Footer">
    <w:name w:val="footer"/>
    <w:basedOn w:val="Normal"/>
    <w:link w:val="FooterChar"/>
    <w:uiPriority w:val="99"/>
    <w:unhideWhenUsed/>
    <w:rsid w:val="00134CB2"/>
    <w:pPr>
      <w:tabs>
        <w:tab w:val="center" w:pos="4513"/>
        <w:tab w:val="right" w:pos="9026"/>
      </w:tabs>
    </w:pPr>
  </w:style>
  <w:style w:type="character" w:customStyle="1" w:styleId="FooterChar">
    <w:name w:val="Footer Char"/>
    <w:basedOn w:val="DefaultParagraphFont"/>
    <w:link w:val="Footer"/>
    <w:uiPriority w:val="99"/>
    <w:rsid w:val="00134C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876087">
      <w:bodyDiv w:val="1"/>
      <w:marLeft w:val="0"/>
      <w:marRight w:val="0"/>
      <w:marTop w:val="0"/>
      <w:marBottom w:val="0"/>
      <w:divBdr>
        <w:top w:val="none" w:sz="0" w:space="0" w:color="auto"/>
        <w:left w:val="none" w:sz="0" w:space="0" w:color="auto"/>
        <w:bottom w:val="none" w:sz="0" w:space="0" w:color="auto"/>
        <w:right w:val="none" w:sz="0" w:space="0" w:color="auto"/>
      </w:divBdr>
    </w:div>
    <w:div w:id="700785981">
      <w:bodyDiv w:val="1"/>
      <w:marLeft w:val="0"/>
      <w:marRight w:val="0"/>
      <w:marTop w:val="0"/>
      <w:marBottom w:val="0"/>
      <w:divBdr>
        <w:top w:val="none" w:sz="0" w:space="0" w:color="auto"/>
        <w:left w:val="none" w:sz="0" w:space="0" w:color="auto"/>
        <w:bottom w:val="none" w:sz="0" w:space="0" w:color="auto"/>
        <w:right w:val="none" w:sz="0" w:space="0" w:color="auto"/>
      </w:divBdr>
    </w:div>
    <w:div w:id="1239948274">
      <w:bodyDiv w:val="1"/>
      <w:marLeft w:val="0"/>
      <w:marRight w:val="0"/>
      <w:marTop w:val="0"/>
      <w:marBottom w:val="0"/>
      <w:divBdr>
        <w:top w:val="none" w:sz="0" w:space="0" w:color="auto"/>
        <w:left w:val="none" w:sz="0" w:space="0" w:color="auto"/>
        <w:bottom w:val="none" w:sz="0" w:space="0" w:color="auto"/>
        <w:right w:val="none" w:sz="0" w:space="0" w:color="auto"/>
      </w:divBdr>
    </w:div>
    <w:div w:id="1438983218">
      <w:bodyDiv w:val="1"/>
      <w:marLeft w:val="0"/>
      <w:marRight w:val="0"/>
      <w:marTop w:val="0"/>
      <w:marBottom w:val="0"/>
      <w:divBdr>
        <w:top w:val="none" w:sz="0" w:space="0" w:color="auto"/>
        <w:left w:val="none" w:sz="0" w:space="0" w:color="auto"/>
        <w:bottom w:val="none" w:sz="0" w:space="0" w:color="auto"/>
        <w:right w:val="none" w:sz="0" w:space="0" w:color="auto"/>
      </w:divBdr>
    </w:div>
    <w:div w:id="1476995152">
      <w:bodyDiv w:val="1"/>
      <w:marLeft w:val="0"/>
      <w:marRight w:val="0"/>
      <w:marTop w:val="0"/>
      <w:marBottom w:val="0"/>
      <w:divBdr>
        <w:top w:val="none" w:sz="0" w:space="0" w:color="auto"/>
        <w:left w:val="none" w:sz="0" w:space="0" w:color="auto"/>
        <w:bottom w:val="none" w:sz="0" w:space="0" w:color="auto"/>
        <w:right w:val="none" w:sz="0" w:space="0" w:color="auto"/>
      </w:divBdr>
    </w:div>
    <w:div w:id="192644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saleroyalty.org.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saleroyalty.org.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ED3E705784054886CB1769AE810288" ma:contentTypeVersion="0" ma:contentTypeDescription="Create a new document." ma:contentTypeScope="" ma:versionID="3abd17cfc0c4a56e40f521d82b5d68e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FB436-164A-44D2-BB0B-35CF4C24CDD4}">
  <ds:schemaRefs>
    <ds:schemaRef ds:uri="http://schemas.microsoft.com/sharepoint/v3/contenttype/forms"/>
  </ds:schemaRefs>
</ds:datastoreItem>
</file>

<file path=customXml/itemProps2.xml><?xml version="1.0" encoding="utf-8"?>
<ds:datastoreItem xmlns:ds="http://schemas.openxmlformats.org/officeDocument/2006/customXml" ds:itemID="{2A70CF64-5222-45C0-8D0F-FC091E81835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3752731-9282-40A2-9BFC-6821619C2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933DE26-4621-470A-BCA1-43383AD7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1112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DRAFT_ Explanatory Statement (Format of Notice of Commercial Resale) 2023.docx</vt:lpstr>
    </vt:vector>
  </TitlesOfParts>
  <Company>Department of the Environment and Heritage</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DRAFT_ Explanatory Statement (Format of Notice of Commercial Resale) 2023.docx</dc:title>
  <dc:creator>Department of the Environment and Heritage</dc:creator>
  <cp:lastModifiedBy>MCGURGAN Danielle</cp:lastModifiedBy>
  <cp:revision>3</cp:revision>
  <cp:lastPrinted>2011-11-21T05:21:00Z</cp:lastPrinted>
  <dcterms:created xsi:type="dcterms:W3CDTF">2023-03-27T02:48:00Z</dcterms:created>
  <dcterms:modified xsi:type="dcterms:W3CDTF">2023-03-27T02:49:00Z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0x0101002FED3E705784054886CB1769AE810288</vt:lpwstr>
  </property>
  <property fmtid="{D5CDD505-2E9C-101B-9397-08002B2CF9AE}" pid="3" name="TrimRevisionNumber">
    <vt:i4>1</vt:i4>
  </property>
</Properties>
</file>