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CD0228" w14:textId="49C19A14" w:rsidR="002A045B" w:rsidRPr="00D03D7E" w:rsidRDefault="008B6FFF" w:rsidP="00D03D7E">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EXPLANATORY STATEMENT</w:t>
      </w:r>
    </w:p>
    <w:p w14:paraId="61BBC970" w14:textId="77777777" w:rsidR="002A045B" w:rsidRPr="00D3608D" w:rsidRDefault="002A045B" w:rsidP="002A045B">
      <w:pPr>
        <w:spacing w:before="0"/>
        <w:jc w:val="center"/>
        <w:rPr>
          <w:rFonts w:ascii="Times New Roman" w:hAnsi="Times New Roman"/>
          <w:sz w:val="24"/>
          <w:szCs w:val="24"/>
          <w:lang w:eastAsia="ja-JP"/>
        </w:rPr>
      </w:pPr>
    </w:p>
    <w:p w14:paraId="7F89E2BF" w14:textId="06F54FB0" w:rsidR="006B5C04" w:rsidRDefault="008B6FFF"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3C72E6">
        <w:rPr>
          <w:rFonts w:ascii="Times New Roman" w:hAnsi="Times New Roman"/>
          <w:sz w:val="24"/>
          <w:szCs w:val="24"/>
          <w:u w:val="single"/>
          <w:lang w:eastAsia="ja-JP"/>
        </w:rPr>
        <w:t>Director of Biosecurity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410B9CBB" w:rsidR="006B5C04" w:rsidRDefault="008B6FFF"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Biosecurity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4186AB7C" w:rsidR="006B5C04" w:rsidRDefault="008B6FFF"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Biosecurity (Foot and Mouth Disease Biosecurity Response Zone) Amendment (Gold Coast Airport) Determination 2023</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60C8C912" w14:textId="6D902650"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5F9F3379" w14:textId="77777777"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The </w:t>
      </w:r>
      <w:r w:rsidRPr="00FC605F">
        <w:rPr>
          <w:rFonts w:ascii="Times New Roman" w:eastAsia="Times New Roman" w:hAnsi="Times New Roman"/>
          <w:i/>
          <w:iCs/>
          <w:color w:val="000000"/>
          <w:sz w:val="24"/>
          <w:szCs w:val="24"/>
          <w:lang w:eastAsia="en-AU"/>
        </w:rPr>
        <w:t>Biosecurity Act 2015</w:t>
      </w:r>
      <w:r w:rsidRPr="00FC605F">
        <w:rPr>
          <w:rFonts w:ascii="Times New Roman" w:eastAsia="Times New Roman" w:hAnsi="Times New Roman"/>
          <w:color w:val="000000"/>
          <w:sz w:val="24"/>
          <w:szCs w:val="24"/>
          <w:lang w:eastAsia="en-AU"/>
        </w:rPr>
        <w:t> (the Act) provides the regulatory framework for the management of diseases and pests that may cause harm to human, animal or plant health or the environment.</w:t>
      </w:r>
    </w:p>
    <w:p w14:paraId="798687F7" w14:textId="77777777"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Part 5 of Chapter 6 of the Act (Part 5) provides for the establishment of biosecurity response zones by the Director of Biosecurity.</w:t>
      </w:r>
    </w:p>
    <w:p w14:paraId="391AF4DC" w14:textId="77777777"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 xml:space="preserve">Under subsection 365(1) of the Act, the Director of Biosecurity may, by legislative instrument, </w:t>
      </w:r>
      <w:proofErr w:type="gramStart"/>
      <w:r w:rsidRPr="00FC605F">
        <w:rPr>
          <w:rFonts w:ascii="Times New Roman" w:eastAsia="Times New Roman" w:hAnsi="Times New Roman"/>
          <w:color w:val="000000"/>
          <w:sz w:val="24"/>
          <w:szCs w:val="24"/>
          <w:lang w:eastAsia="en-AU"/>
        </w:rPr>
        <w:t>make a determination</w:t>
      </w:r>
      <w:proofErr w:type="gramEnd"/>
      <w:r w:rsidRPr="00FC605F">
        <w:rPr>
          <w:rFonts w:ascii="Times New Roman" w:eastAsia="Times New Roman" w:hAnsi="Times New Roman"/>
          <w:color w:val="000000"/>
          <w:sz w:val="24"/>
          <w:szCs w:val="24"/>
          <w:lang w:eastAsia="en-AU"/>
        </w:rPr>
        <w:t xml:space="preserve"> that a specified area in Australian territory is a </w:t>
      </w:r>
      <w:r w:rsidRPr="00FC605F">
        <w:rPr>
          <w:rFonts w:ascii="Times New Roman" w:eastAsia="Times New Roman" w:hAnsi="Times New Roman"/>
          <w:b/>
          <w:bCs/>
          <w:i/>
          <w:iCs/>
          <w:color w:val="000000"/>
          <w:sz w:val="24"/>
          <w:szCs w:val="24"/>
          <w:lang w:eastAsia="en-AU"/>
        </w:rPr>
        <w:t>biosecurity response zone</w:t>
      </w:r>
      <w:r w:rsidRPr="00FC605F">
        <w:rPr>
          <w:rFonts w:ascii="Times New Roman" w:eastAsia="Times New Roman" w:hAnsi="Times New Roman"/>
          <w:color w:val="000000"/>
          <w:sz w:val="24"/>
          <w:szCs w:val="24"/>
          <w:lang w:eastAsia="en-AU"/>
        </w:rPr>
        <w:t> if:</w:t>
      </w:r>
    </w:p>
    <w:p w14:paraId="5A306593" w14:textId="77777777" w:rsidR="004E1EF6" w:rsidRPr="00FC605F" w:rsidRDefault="008B6FFF" w:rsidP="004E1EF6">
      <w:pPr>
        <w:shd w:val="clear" w:color="auto" w:fill="FFFFFF"/>
        <w:spacing w:line="235" w:lineRule="atLeast"/>
        <w:ind w:left="720" w:hanging="360"/>
        <w:rPr>
          <w:rFonts w:ascii="Calibri" w:eastAsia="Times New Roman" w:hAnsi="Calibri" w:cs="Calibri"/>
          <w:color w:val="000000"/>
          <w:lang w:eastAsia="en-AU"/>
        </w:rPr>
      </w:pPr>
      <w:r w:rsidRPr="00FC605F">
        <w:rPr>
          <w:rFonts w:ascii="Symbol" w:eastAsia="Times New Roman" w:hAnsi="Symbol" w:cs="Calibri"/>
          <w:color w:val="000000"/>
          <w:sz w:val="24"/>
          <w:szCs w:val="24"/>
          <w:lang w:eastAsia="en-AU"/>
        </w:rPr>
        <w:t>·</w:t>
      </w:r>
      <w:r w:rsidRPr="00FC605F">
        <w:rPr>
          <w:rFonts w:ascii="Times New Roman" w:eastAsia="Times New Roman" w:hAnsi="Times New Roman"/>
          <w:color w:val="000000"/>
          <w:sz w:val="14"/>
          <w:szCs w:val="14"/>
          <w:lang w:eastAsia="en-AU"/>
        </w:rPr>
        <w:t>         </w:t>
      </w:r>
      <w:r w:rsidRPr="00FC605F">
        <w:rPr>
          <w:rFonts w:ascii="Times New Roman" w:eastAsia="Times New Roman" w:hAnsi="Times New Roman"/>
          <w:color w:val="000000"/>
          <w:sz w:val="24"/>
          <w:szCs w:val="24"/>
          <w:lang w:eastAsia="en-AU"/>
        </w:rPr>
        <w:t>a biosecurity officer suspects on reasonable grounds that:</w:t>
      </w:r>
    </w:p>
    <w:p w14:paraId="0DB5A773" w14:textId="77777777" w:rsidR="004E1EF6" w:rsidRPr="00FC605F" w:rsidRDefault="008B6FFF" w:rsidP="004E1EF6">
      <w:pPr>
        <w:shd w:val="clear" w:color="auto" w:fill="FFFFFF"/>
        <w:spacing w:line="235" w:lineRule="atLeast"/>
        <w:ind w:left="1440" w:hanging="360"/>
        <w:rPr>
          <w:rFonts w:ascii="Calibri" w:eastAsia="Times New Roman" w:hAnsi="Calibri" w:cs="Calibri"/>
          <w:color w:val="000000"/>
          <w:lang w:eastAsia="en-AU"/>
        </w:rPr>
      </w:pPr>
      <w:r w:rsidRPr="00FC605F">
        <w:rPr>
          <w:rFonts w:ascii="Courier New" w:eastAsia="Times New Roman" w:hAnsi="Courier New" w:cs="Courier New"/>
          <w:color w:val="000000"/>
          <w:sz w:val="24"/>
          <w:szCs w:val="24"/>
          <w:lang w:eastAsia="en-AU"/>
        </w:rPr>
        <w:t>o</w:t>
      </w:r>
      <w:r w:rsidRPr="00FC605F">
        <w:rPr>
          <w:rFonts w:ascii="Times New Roman" w:eastAsia="Times New Roman" w:hAnsi="Times New Roman"/>
          <w:color w:val="000000"/>
          <w:sz w:val="14"/>
          <w:szCs w:val="14"/>
          <w:lang w:eastAsia="en-AU"/>
        </w:rPr>
        <w:t>   </w:t>
      </w:r>
      <w:r w:rsidRPr="00FC605F">
        <w:rPr>
          <w:rFonts w:ascii="Times New Roman" w:eastAsia="Times New Roman" w:hAnsi="Times New Roman"/>
          <w:color w:val="000000"/>
          <w:sz w:val="24"/>
          <w:szCs w:val="24"/>
          <w:lang w:eastAsia="en-AU"/>
        </w:rPr>
        <w:t>a disease or pest may be present in or on goods or premises in the area; and</w:t>
      </w:r>
    </w:p>
    <w:p w14:paraId="0CE5A199" w14:textId="77777777" w:rsidR="004E1EF6" w:rsidRPr="00FC605F" w:rsidRDefault="008B6FFF" w:rsidP="004E1EF6">
      <w:pPr>
        <w:shd w:val="clear" w:color="auto" w:fill="FFFFFF"/>
        <w:spacing w:line="235" w:lineRule="atLeast"/>
        <w:ind w:left="1440" w:hanging="360"/>
        <w:rPr>
          <w:rFonts w:ascii="Calibri" w:eastAsia="Times New Roman" w:hAnsi="Calibri" w:cs="Calibri"/>
          <w:color w:val="000000"/>
          <w:lang w:eastAsia="en-AU"/>
        </w:rPr>
      </w:pPr>
      <w:r w:rsidRPr="00FC605F">
        <w:rPr>
          <w:rFonts w:ascii="Courier New" w:eastAsia="Times New Roman" w:hAnsi="Courier New" w:cs="Courier New"/>
          <w:color w:val="000000"/>
          <w:sz w:val="24"/>
          <w:szCs w:val="24"/>
          <w:lang w:eastAsia="en-AU"/>
        </w:rPr>
        <w:t>o</w:t>
      </w:r>
      <w:r w:rsidRPr="00FC605F">
        <w:rPr>
          <w:rFonts w:ascii="Times New Roman" w:eastAsia="Times New Roman" w:hAnsi="Times New Roman"/>
          <w:color w:val="000000"/>
          <w:sz w:val="14"/>
          <w:szCs w:val="14"/>
          <w:lang w:eastAsia="en-AU"/>
        </w:rPr>
        <w:t>   </w:t>
      </w:r>
      <w:r w:rsidRPr="00FC605F">
        <w:rPr>
          <w:rFonts w:ascii="Times New Roman" w:eastAsia="Times New Roman" w:hAnsi="Times New Roman"/>
          <w:color w:val="000000"/>
          <w:sz w:val="24"/>
          <w:szCs w:val="24"/>
          <w:lang w:eastAsia="en-AU"/>
        </w:rPr>
        <w:t>the disease or pest poses an unacceptable level of biosecurity risk; and</w:t>
      </w:r>
    </w:p>
    <w:p w14:paraId="6075349C" w14:textId="77777777" w:rsidR="004E1EF6" w:rsidRPr="00FC605F" w:rsidRDefault="008B6FFF" w:rsidP="004E1EF6">
      <w:pPr>
        <w:shd w:val="clear" w:color="auto" w:fill="FFFFFF"/>
        <w:spacing w:line="235" w:lineRule="atLeast"/>
        <w:ind w:left="720" w:hanging="360"/>
        <w:rPr>
          <w:rFonts w:ascii="Calibri" w:eastAsia="Times New Roman" w:hAnsi="Calibri" w:cs="Calibri"/>
          <w:color w:val="000000"/>
          <w:lang w:eastAsia="en-AU"/>
        </w:rPr>
      </w:pPr>
      <w:r w:rsidRPr="00FC605F">
        <w:rPr>
          <w:rFonts w:ascii="Symbol" w:eastAsia="Times New Roman" w:hAnsi="Symbol" w:cs="Calibri"/>
          <w:color w:val="000000"/>
          <w:sz w:val="24"/>
          <w:szCs w:val="24"/>
          <w:lang w:eastAsia="en-AU"/>
        </w:rPr>
        <w:t>·</w:t>
      </w:r>
      <w:r w:rsidRPr="00FC605F">
        <w:rPr>
          <w:rFonts w:ascii="Times New Roman" w:eastAsia="Times New Roman" w:hAnsi="Times New Roman"/>
          <w:color w:val="000000"/>
          <w:sz w:val="14"/>
          <w:szCs w:val="14"/>
          <w:lang w:eastAsia="en-AU"/>
        </w:rPr>
        <w:t>         </w:t>
      </w:r>
      <w:r w:rsidRPr="00FC605F">
        <w:rPr>
          <w:rFonts w:ascii="Times New Roman" w:eastAsia="Times New Roman" w:hAnsi="Times New Roman"/>
          <w:color w:val="000000"/>
          <w:sz w:val="24"/>
          <w:szCs w:val="24"/>
          <w:lang w:eastAsia="en-AU"/>
        </w:rPr>
        <w:t xml:space="preserve">the Director of Biosecurity is satisfied that it is necessary to </w:t>
      </w:r>
      <w:proofErr w:type="gramStart"/>
      <w:r w:rsidRPr="00FC605F">
        <w:rPr>
          <w:rFonts w:ascii="Times New Roman" w:eastAsia="Times New Roman" w:hAnsi="Times New Roman"/>
          <w:color w:val="000000"/>
          <w:sz w:val="24"/>
          <w:szCs w:val="24"/>
          <w:lang w:eastAsia="en-AU"/>
        </w:rPr>
        <w:t>make a determination</w:t>
      </w:r>
      <w:proofErr w:type="gramEnd"/>
      <w:r w:rsidRPr="00FC605F">
        <w:rPr>
          <w:rFonts w:ascii="Times New Roman" w:eastAsia="Times New Roman" w:hAnsi="Times New Roman"/>
          <w:color w:val="000000"/>
          <w:sz w:val="24"/>
          <w:szCs w:val="24"/>
          <w:lang w:eastAsia="en-AU"/>
        </w:rPr>
        <w:t xml:space="preserve"> for the purposes of managing the biosecurity risk posed by the disease or pest.</w:t>
      </w:r>
    </w:p>
    <w:p w14:paraId="72572818" w14:textId="77777777" w:rsidR="002A045B" w:rsidRDefault="002A045B" w:rsidP="002A045B">
      <w:pPr>
        <w:spacing w:before="0"/>
        <w:rPr>
          <w:rFonts w:ascii="Times New Roman" w:hAnsi="Times New Roman"/>
          <w:sz w:val="24"/>
          <w:szCs w:val="24"/>
          <w:lang w:eastAsia="ja-JP"/>
        </w:rPr>
      </w:pPr>
    </w:p>
    <w:p w14:paraId="5B39EC73" w14:textId="2325017B" w:rsidR="002A045B" w:rsidRDefault="008B6FFF"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3FE6FD4" w14:textId="3700FB63" w:rsidR="00E71DF7" w:rsidRDefault="008B6FFF" w:rsidP="004E1EF6">
      <w:pPr>
        <w:shd w:val="clear" w:color="auto" w:fill="FFFFFF"/>
        <w:spacing w:line="235" w:lineRule="atLeast"/>
        <w:rPr>
          <w:rFonts w:ascii="Times New Roman" w:eastAsia="Times New Roman" w:hAnsi="Times New Roman"/>
          <w:color w:val="000000"/>
          <w:sz w:val="24"/>
          <w:szCs w:val="24"/>
          <w:lang w:eastAsia="en-AU"/>
        </w:rPr>
      </w:pPr>
      <w:r w:rsidRPr="00FC605F">
        <w:rPr>
          <w:rFonts w:ascii="Times New Roman" w:eastAsia="Times New Roman" w:hAnsi="Times New Roman"/>
          <w:color w:val="000000"/>
          <w:sz w:val="24"/>
          <w:szCs w:val="24"/>
          <w:lang w:eastAsia="en-AU"/>
        </w:rPr>
        <w:t>The purpose of the </w:t>
      </w:r>
      <w:r w:rsidRPr="00FC605F">
        <w:rPr>
          <w:rFonts w:ascii="Times New Roman" w:eastAsia="Times New Roman" w:hAnsi="Times New Roman"/>
          <w:i/>
          <w:iCs/>
          <w:color w:val="000000"/>
          <w:sz w:val="24"/>
          <w:szCs w:val="24"/>
          <w:lang w:eastAsia="en-AU"/>
        </w:rPr>
        <w:t>Biosecurity (Foot and Mouth Disease Biosecurity Response Zone) Amendment (</w:t>
      </w:r>
      <w:r w:rsidR="00D03D7E" w:rsidRPr="00D03D7E">
        <w:rPr>
          <w:rFonts w:ascii="Times New Roman" w:eastAsia="Times New Roman" w:hAnsi="Times New Roman"/>
          <w:i/>
          <w:iCs/>
          <w:color w:val="000000"/>
          <w:sz w:val="24"/>
          <w:szCs w:val="24"/>
          <w:lang w:eastAsia="en-AU"/>
        </w:rPr>
        <w:t>Gold Coast Airport</w:t>
      </w:r>
      <w:r w:rsidRPr="00FC605F">
        <w:rPr>
          <w:rFonts w:ascii="Times New Roman" w:eastAsia="Times New Roman" w:hAnsi="Times New Roman"/>
          <w:i/>
          <w:iCs/>
          <w:color w:val="000000"/>
          <w:sz w:val="24"/>
          <w:szCs w:val="24"/>
          <w:lang w:eastAsia="en-AU"/>
        </w:rPr>
        <w:t>) Determination 202</w:t>
      </w:r>
      <w:r w:rsidR="00D03D7E" w:rsidRPr="00D03D7E">
        <w:rPr>
          <w:rFonts w:ascii="Times New Roman" w:eastAsia="Times New Roman" w:hAnsi="Times New Roman"/>
          <w:i/>
          <w:iCs/>
          <w:color w:val="000000"/>
          <w:sz w:val="24"/>
          <w:szCs w:val="24"/>
          <w:lang w:eastAsia="en-AU"/>
        </w:rPr>
        <w:t>3</w:t>
      </w:r>
      <w:r w:rsidRPr="00FC605F">
        <w:rPr>
          <w:rFonts w:ascii="Times New Roman" w:eastAsia="Times New Roman" w:hAnsi="Times New Roman"/>
          <w:color w:val="000000"/>
          <w:sz w:val="24"/>
          <w:szCs w:val="24"/>
          <w:lang w:eastAsia="en-AU"/>
        </w:rPr>
        <w:t xml:space="preserve"> (the Amendment Determination) is to </w:t>
      </w:r>
      <w:r w:rsidR="00E67A35">
        <w:rPr>
          <w:rFonts w:ascii="Times New Roman" w:eastAsia="Times New Roman" w:hAnsi="Times New Roman"/>
          <w:color w:val="000000"/>
          <w:sz w:val="24"/>
          <w:szCs w:val="24"/>
          <w:lang w:eastAsia="en-AU"/>
        </w:rPr>
        <w:t xml:space="preserve">amend the </w:t>
      </w:r>
      <w:r w:rsidR="00E67A35" w:rsidRPr="00FC605F">
        <w:rPr>
          <w:rFonts w:ascii="Times New Roman" w:eastAsia="Times New Roman" w:hAnsi="Times New Roman"/>
          <w:i/>
          <w:iCs/>
          <w:color w:val="000000"/>
          <w:sz w:val="24"/>
          <w:szCs w:val="24"/>
          <w:lang w:eastAsia="en-AU"/>
        </w:rPr>
        <w:t>Biosecurity (Foot and Mouth Disease Biosecurity Response Zone) Determination 2022</w:t>
      </w:r>
      <w:r w:rsidR="00E67A35" w:rsidRPr="00FC605F">
        <w:rPr>
          <w:rFonts w:ascii="Times New Roman" w:eastAsia="Times New Roman" w:hAnsi="Times New Roman"/>
          <w:color w:val="000000"/>
          <w:sz w:val="24"/>
          <w:szCs w:val="24"/>
          <w:lang w:eastAsia="en-AU"/>
        </w:rPr>
        <w:t xml:space="preserve"> (the </w:t>
      </w:r>
      <w:r w:rsidR="00A91D31">
        <w:rPr>
          <w:rFonts w:ascii="Times New Roman" w:eastAsia="Times New Roman" w:hAnsi="Times New Roman"/>
          <w:color w:val="000000"/>
          <w:sz w:val="24"/>
          <w:szCs w:val="24"/>
          <w:lang w:eastAsia="en-AU"/>
        </w:rPr>
        <w:t>Principal</w:t>
      </w:r>
      <w:r w:rsidR="00E67A35" w:rsidRPr="00FC605F">
        <w:rPr>
          <w:rFonts w:ascii="Times New Roman" w:eastAsia="Times New Roman" w:hAnsi="Times New Roman"/>
          <w:color w:val="000000"/>
          <w:sz w:val="24"/>
          <w:szCs w:val="24"/>
          <w:lang w:eastAsia="en-AU"/>
        </w:rPr>
        <w:t xml:space="preserve"> Determination)</w:t>
      </w:r>
      <w:r w:rsidR="00E67A35">
        <w:rPr>
          <w:rFonts w:ascii="Times New Roman" w:eastAsia="Times New Roman" w:hAnsi="Times New Roman"/>
          <w:color w:val="000000"/>
          <w:sz w:val="24"/>
          <w:szCs w:val="24"/>
          <w:lang w:eastAsia="en-AU"/>
        </w:rPr>
        <w:t xml:space="preserve"> to </w:t>
      </w:r>
      <w:r>
        <w:rPr>
          <w:rFonts w:ascii="Times New Roman" w:eastAsia="Times New Roman" w:hAnsi="Times New Roman"/>
          <w:color w:val="000000"/>
          <w:sz w:val="24"/>
          <w:szCs w:val="24"/>
          <w:lang w:eastAsia="en-AU"/>
        </w:rPr>
        <w:t xml:space="preserve">add </w:t>
      </w:r>
      <w:r w:rsidR="00E67A35">
        <w:rPr>
          <w:rFonts w:ascii="Times New Roman" w:eastAsia="Times New Roman" w:hAnsi="Times New Roman"/>
          <w:color w:val="000000"/>
          <w:sz w:val="24"/>
          <w:szCs w:val="24"/>
          <w:lang w:eastAsia="en-AU"/>
        </w:rPr>
        <w:t>Gold Coast Airport as a relevant</w:t>
      </w:r>
      <w:r>
        <w:rPr>
          <w:rFonts w:ascii="Times New Roman" w:eastAsia="Times New Roman" w:hAnsi="Times New Roman"/>
          <w:color w:val="000000"/>
          <w:sz w:val="24"/>
          <w:szCs w:val="24"/>
          <w:lang w:eastAsia="en-AU"/>
        </w:rPr>
        <w:t xml:space="preserve"> landing place</w:t>
      </w:r>
      <w:r w:rsidR="00897A44">
        <w:rPr>
          <w:rFonts w:ascii="Times New Roman" w:eastAsia="Times New Roman" w:hAnsi="Times New Roman"/>
          <w:color w:val="000000"/>
          <w:sz w:val="24"/>
          <w:szCs w:val="24"/>
          <w:lang w:eastAsia="en-AU"/>
        </w:rPr>
        <w:t xml:space="preserve"> </w:t>
      </w:r>
      <w:r w:rsidR="00897A44" w:rsidRPr="00E71C3A">
        <w:rPr>
          <w:rFonts w:ascii="Times New Roman" w:eastAsia="Times New Roman" w:hAnsi="Times New Roman"/>
          <w:color w:val="000000"/>
          <w:sz w:val="24"/>
          <w:szCs w:val="24"/>
          <w:lang w:eastAsia="en-AU"/>
        </w:rPr>
        <w:t>due to the biosecurity risk associated with travellers arriving at Gold Coast Airport on flights from Indonesia commencing on 30 March 2023</w:t>
      </w:r>
      <w:r>
        <w:rPr>
          <w:rFonts w:ascii="Times New Roman" w:eastAsia="Times New Roman" w:hAnsi="Times New Roman"/>
          <w:color w:val="000000"/>
          <w:sz w:val="24"/>
          <w:szCs w:val="24"/>
          <w:lang w:eastAsia="en-AU"/>
        </w:rPr>
        <w:t>.</w:t>
      </w:r>
    </w:p>
    <w:p w14:paraId="7FAB66B5" w14:textId="77777777" w:rsidR="00D03D7E" w:rsidRPr="00FC605F" w:rsidRDefault="00D03D7E" w:rsidP="004E1EF6">
      <w:pPr>
        <w:shd w:val="clear" w:color="auto" w:fill="FFFFFF"/>
        <w:spacing w:line="235" w:lineRule="atLeast"/>
        <w:rPr>
          <w:rFonts w:ascii="Times New Roman" w:eastAsia="Times New Roman" w:hAnsi="Times New Roman"/>
          <w:color w:val="000000"/>
          <w:sz w:val="24"/>
          <w:szCs w:val="24"/>
          <w:lang w:eastAsia="en-AU"/>
        </w:rPr>
      </w:pPr>
    </w:p>
    <w:p w14:paraId="68980BD0" w14:textId="46F7953C"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09FD49BF" w14:textId="77777777" w:rsidR="004E1EF6" w:rsidRPr="00FC605F" w:rsidRDefault="008B6FFF" w:rsidP="00D07DE0">
      <w:pPr>
        <w:shd w:val="clear" w:color="auto" w:fill="FFFFFF"/>
        <w:spacing w:after="240"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 xml:space="preserve">Foot and mouth disease (FMD) is a highly contagious viral disease of mammals that has great potential for causing severe economic loss in susceptible cloven-hoofed animals such as cattle, swine, </w:t>
      </w:r>
      <w:proofErr w:type="gramStart"/>
      <w:r w:rsidRPr="00FC605F">
        <w:rPr>
          <w:rFonts w:ascii="Times New Roman" w:eastAsia="Times New Roman" w:hAnsi="Times New Roman"/>
          <w:color w:val="000000"/>
          <w:sz w:val="24"/>
          <w:szCs w:val="24"/>
          <w:lang w:eastAsia="en-AU"/>
        </w:rPr>
        <w:t>sheep</w:t>
      </w:r>
      <w:proofErr w:type="gramEnd"/>
      <w:r w:rsidRPr="00FC605F">
        <w:rPr>
          <w:rFonts w:ascii="Times New Roman" w:eastAsia="Times New Roman" w:hAnsi="Times New Roman"/>
          <w:color w:val="000000"/>
          <w:sz w:val="24"/>
          <w:szCs w:val="24"/>
          <w:lang w:eastAsia="en-AU"/>
        </w:rPr>
        <w:t xml:space="preserve"> and goats. FMD can persist in the environment in soil, on equipment used with infected animals and on goods such as clothing and footwear.</w:t>
      </w:r>
    </w:p>
    <w:p w14:paraId="5502E80C" w14:textId="77777777" w:rsidR="004E1EF6" w:rsidRPr="00FC605F" w:rsidRDefault="008B6FFF" w:rsidP="00D07DE0">
      <w:pPr>
        <w:shd w:val="clear" w:color="auto" w:fill="FFFFFF"/>
        <w:spacing w:after="240"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Australia is currently free of FMD.</w:t>
      </w:r>
    </w:p>
    <w:p w14:paraId="11FC2A10" w14:textId="77777777" w:rsidR="00D07DE0" w:rsidRDefault="008B6FFF" w:rsidP="00D07DE0">
      <w:pPr>
        <w:shd w:val="clear" w:color="auto" w:fill="FFFFFF"/>
        <w:spacing w:after="240" w:line="235" w:lineRule="atLeast"/>
        <w:rPr>
          <w:rFonts w:ascii="Times New Roman" w:eastAsia="Times New Roman" w:hAnsi="Times New Roman"/>
          <w:color w:val="000000"/>
          <w:sz w:val="24"/>
          <w:szCs w:val="24"/>
          <w:lang w:eastAsia="en-AU"/>
        </w:rPr>
      </w:pPr>
      <w:r w:rsidRPr="00FC605F">
        <w:rPr>
          <w:rFonts w:ascii="Times New Roman" w:eastAsia="Times New Roman" w:hAnsi="Times New Roman"/>
          <w:color w:val="000000"/>
          <w:sz w:val="24"/>
          <w:szCs w:val="24"/>
          <w:lang w:eastAsia="en-AU"/>
        </w:rPr>
        <w:t>In May 2022, an outbreak of FMD was confirmed in Indonesia.</w:t>
      </w:r>
      <w:r w:rsidR="00D07DE0">
        <w:rPr>
          <w:rFonts w:ascii="Times New Roman" w:eastAsia="Times New Roman" w:hAnsi="Times New Roman"/>
          <w:color w:val="000000"/>
          <w:sz w:val="24"/>
          <w:szCs w:val="24"/>
          <w:lang w:eastAsia="en-AU"/>
        </w:rPr>
        <w:t xml:space="preserve"> </w:t>
      </w:r>
      <w:r w:rsidRPr="00FC605F">
        <w:rPr>
          <w:rFonts w:ascii="Times New Roman" w:eastAsia="Times New Roman" w:hAnsi="Times New Roman"/>
          <w:color w:val="000000"/>
          <w:sz w:val="24"/>
          <w:szCs w:val="24"/>
          <w:lang w:eastAsia="en-AU"/>
        </w:rPr>
        <w:t xml:space="preserve">At the onset of an outbreak in a country previously free from FMD, the biosecurity risk is increased. Pending full implementation of the vaccination program and other measures to control the outbreak in Indonesia, the number of infected animals grows as does the volume of the virus in the environment. In particular, the contamination of footwear of travellers from Indonesia presents a risk of introduction of FMD into Australia. </w:t>
      </w:r>
    </w:p>
    <w:p w14:paraId="3378D95C" w14:textId="5ACAB644" w:rsidR="00651246" w:rsidRPr="00852435" w:rsidRDefault="008B6FFF" w:rsidP="00D07DE0">
      <w:pPr>
        <w:shd w:val="clear" w:color="auto" w:fill="FFFFFF"/>
        <w:spacing w:after="240" w:line="235" w:lineRule="atLeast"/>
        <w:rPr>
          <w:rFonts w:ascii="Times New Roman" w:eastAsia="Times New Roman" w:hAnsi="Times New Roman"/>
          <w:color w:val="000000"/>
          <w:sz w:val="24"/>
          <w:szCs w:val="24"/>
          <w:lang w:eastAsia="en-AU"/>
        </w:rPr>
      </w:pPr>
      <w:r w:rsidRPr="00FC605F">
        <w:rPr>
          <w:rFonts w:ascii="Times New Roman" w:eastAsia="Times New Roman" w:hAnsi="Times New Roman"/>
          <w:color w:val="000000"/>
          <w:sz w:val="24"/>
          <w:szCs w:val="24"/>
          <w:lang w:eastAsia="en-AU"/>
        </w:rPr>
        <w:lastRenderedPageBreak/>
        <w:t xml:space="preserve">To respond to this biosecurity risk, the </w:t>
      </w:r>
      <w:r w:rsidR="008F610E">
        <w:rPr>
          <w:rFonts w:ascii="Times New Roman" w:eastAsia="Times New Roman" w:hAnsi="Times New Roman"/>
          <w:color w:val="000000"/>
          <w:sz w:val="24"/>
          <w:szCs w:val="24"/>
          <w:lang w:eastAsia="en-AU"/>
        </w:rPr>
        <w:t>Principal</w:t>
      </w:r>
      <w:r w:rsidRPr="00FC605F">
        <w:rPr>
          <w:rFonts w:ascii="Times New Roman" w:eastAsia="Times New Roman" w:hAnsi="Times New Roman"/>
          <w:color w:val="000000"/>
          <w:sz w:val="24"/>
          <w:szCs w:val="24"/>
          <w:lang w:eastAsia="en-AU"/>
        </w:rPr>
        <w:t xml:space="preserve"> Determination </w:t>
      </w:r>
      <w:r w:rsidR="00E67A35">
        <w:rPr>
          <w:rFonts w:ascii="Times New Roman" w:eastAsia="Times New Roman" w:hAnsi="Times New Roman"/>
          <w:color w:val="000000"/>
          <w:sz w:val="24"/>
          <w:szCs w:val="24"/>
          <w:lang w:eastAsia="en-AU"/>
        </w:rPr>
        <w:t xml:space="preserve">commenced on 23 July 2022 and </w:t>
      </w:r>
      <w:r w:rsidRPr="00FC605F">
        <w:rPr>
          <w:rFonts w:ascii="Times New Roman" w:eastAsia="Times New Roman" w:hAnsi="Times New Roman"/>
          <w:color w:val="000000"/>
          <w:sz w:val="24"/>
          <w:szCs w:val="24"/>
          <w:lang w:eastAsia="en-AU"/>
        </w:rPr>
        <w:t xml:space="preserve">determined certain areas of specified airports to be </w:t>
      </w:r>
      <w:r w:rsidR="001556B1">
        <w:rPr>
          <w:rFonts w:ascii="Times New Roman" w:eastAsia="Times New Roman" w:hAnsi="Times New Roman"/>
          <w:color w:val="000000"/>
          <w:sz w:val="24"/>
          <w:szCs w:val="24"/>
          <w:lang w:eastAsia="en-AU"/>
        </w:rPr>
        <w:t xml:space="preserve">a </w:t>
      </w:r>
      <w:r w:rsidRPr="00FC605F">
        <w:rPr>
          <w:rFonts w:ascii="Times New Roman" w:eastAsia="Times New Roman" w:hAnsi="Times New Roman"/>
          <w:color w:val="000000"/>
          <w:sz w:val="24"/>
          <w:szCs w:val="24"/>
          <w:lang w:eastAsia="en-AU"/>
        </w:rPr>
        <w:t>biosecurity response zone to allow for</w:t>
      </w:r>
      <w:r w:rsidR="005028DA">
        <w:rPr>
          <w:rFonts w:ascii="Times New Roman" w:eastAsia="Times New Roman" w:hAnsi="Times New Roman"/>
          <w:color w:val="000000"/>
          <w:sz w:val="24"/>
          <w:szCs w:val="24"/>
          <w:lang w:eastAsia="en-AU"/>
        </w:rPr>
        <w:t xml:space="preserve"> powers to be exercised in, or in relation to goods or premises in, </w:t>
      </w:r>
      <w:r w:rsidR="00D07DE0">
        <w:rPr>
          <w:rFonts w:ascii="Times New Roman" w:eastAsia="Times New Roman" w:hAnsi="Times New Roman"/>
          <w:color w:val="000000"/>
          <w:sz w:val="24"/>
          <w:szCs w:val="24"/>
          <w:lang w:eastAsia="en-AU"/>
        </w:rPr>
        <w:t>the zone</w:t>
      </w:r>
      <w:r w:rsidR="005028DA">
        <w:rPr>
          <w:rFonts w:ascii="Times New Roman" w:eastAsia="Times New Roman" w:hAnsi="Times New Roman"/>
          <w:color w:val="000000"/>
          <w:sz w:val="24"/>
          <w:szCs w:val="24"/>
          <w:lang w:eastAsia="en-AU"/>
        </w:rPr>
        <w:t>, including by requiring</w:t>
      </w:r>
      <w:r w:rsidRPr="00FC605F">
        <w:rPr>
          <w:rFonts w:ascii="Times New Roman" w:eastAsia="Times New Roman" w:hAnsi="Times New Roman"/>
          <w:color w:val="000000"/>
          <w:sz w:val="24"/>
          <w:szCs w:val="24"/>
          <w:lang w:eastAsia="en-AU"/>
        </w:rPr>
        <w:t xml:space="preserve"> foot mats to be used for the treatment of footwear worn by passengers from Indonesia. </w:t>
      </w:r>
      <w:r w:rsidR="00E67A35">
        <w:rPr>
          <w:rFonts w:ascii="Times New Roman" w:eastAsia="Times New Roman" w:hAnsi="Times New Roman"/>
          <w:color w:val="000000"/>
          <w:sz w:val="24"/>
          <w:szCs w:val="24"/>
          <w:lang w:eastAsia="en-AU"/>
        </w:rPr>
        <w:t xml:space="preserve">The </w:t>
      </w:r>
      <w:r w:rsidR="00A91D31">
        <w:rPr>
          <w:rFonts w:ascii="Times New Roman" w:eastAsia="Times New Roman" w:hAnsi="Times New Roman"/>
          <w:color w:val="000000"/>
          <w:sz w:val="24"/>
          <w:szCs w:val="24"/>
          <w:lang w:eastAsia="en-AU"/>
        </w:rPr>
        <w:t>Principal</w:t>
      </w:r>
      <w:r w:rsidR="00E67A35">
        <w:rPr>
          <w:rFonts w:ascii="Times New Roman" w:eastAsia="Times New Roman" w:hAnsi="Times New Roman"/>
          <w:color w:val="000000"/>
          <w:sz w:val="24"/>
          <w:szCs w:val="24"/>
          <w:lang w:eastAsia="en-AU"/>
        </w:rPr>
        <w:t xml:space="preserve"> Determination provide</w:t>
      </w:r>
      <w:r w:rsidR="008F610E">
        <w:rPr>
          <w:rFonts w:ascii="Times New Roman" w:eastAsia="Times New Roman" w:hAnsi="Times New Roman"/>
          <w:color w:val="000000"/>
          <w:sz w:val="24"/>
          <w:szCs w:val="24"/>
          <w:lang w:eastAsia="en-AU"/>
        </w:rPr>
        <w:t>s</w:t>
      </w:r>
      <w:r w:rsidR="00E67A35">
        <w:rPr>
          <w:rFonts w:ascii="Times New Roman" w:eastAsia="Times New Roman" w:hAnsi="Times New Roman"/>
          <w:color w:val="000000"/>
          <w:sz w:val="24"/>
          <w:szCs w:val="24"/>
          <w:lang w:eastAsia="en-AU"/>
        </w:rPr>
        <w:t xml:space="preserve"> </w:t>
      </w:r>
      <w:r w:rsidR="006E049A">
        <w:rPr>
          <w:rFonts w:ascii="Times New Roman" w:eastAsia="Times New Roman" w:hAnsi="Times New Roman"/>
          <w:color w:val="000000"/>
          <w:sz w:val="24"/>
          <w:szCs w:val="24"/>
          <w:lang w:eastAsia="en-AU"/>
        </w:rPr>
        <w:t xml:space="preserve">for the automatic </w:t>
      </w:r>
      <w:r w:rsidR="001556B1">
        <w:rPr>
          <w:rFonts w:ascii="Times New Roman" w:eastAsia="Times New Roman" w:hAnsi="Times New Roman"/>
          <w:color w:val="000000"/>
          <w:sz w:val="24"/>
          <w:szCs w:val="24"/>
          <w:lang w:eastAsia="en-AU"/>
        </w:rPr>
        <w:t>repeal</w:t>
      </w:r>
      <w:r w:rsidR="006E049A">
        <w:rPr>
          <w:rFonts w:ascii="Times New Roman" w:eastAsia="Times New Roman" w:hAnsi="Times New Roman"/>
          <w:color w:val="000000"/>
          <w:sz w:val="24"/>
          <w:szCs w:val="24"/>
          <w:lang w:eastAsia="en-AU"/>
        </w:rPr>
        <w:t xml:space="preserve"> of the instrument</w:t>
      </w:r>
      <w:r w:rsidR="00E67A35">
        <w:rPr>
          <w:rFonts w:ascii="Times New Roman" w:eastAsia="Times New Roman" w:hAnsi="Times New Roman"/>
          <w:color w:val="000000"/>
          <w:sz w:val="24"/>
          <w:szCs w:val="24"/>
          <w:lang w:eastAsia="en-AU"/>
        </w:rPr>
        <w:t xml:space="preserve"> on 1 July 2023.</w:t>
      </w:r>
    </w:p>
    <w:p w14:paraId="2F42901F" w14:textId="2AB90263" w:rsidR="00651246" w:rsidRDefault="008B6FFF" w:rsidP="00A91D31">
      <w:pPr>
        <w:shd w:val="clear" w:color="auto" w:fill="FFFFFF"/>
        <w:spacing w:before="0" w:after="240" w:line="235" w:lineRule="atLeast"/>
        <w:rPr>
          <w:rFonts w:ascii="Times New Roman" w:hAnsi="Times New Roman"/>
          <w:sz w:val="24"/>
          <w:szCs w:val="24"/>
          <w:lang w:eastAsia="ja-JP"/>
        </w:rPr>
      </w:pPr>
      <w:r w:rsidRPr="00852435">
        <w:rPr>
          <w:rFonts w:ascii="Times New Roman" w:hAnsi="Times New Roman"/>
          <w:sz w:val="24"/>
          <w:szCs w:val="24"/>
          <w:lang w:eastAsia="ja-JP"/>
        </w:rPr>
        <w:t>Due to the introduction of a new flight path from Bali, Indonesia to Gold Coast</w:t>
      </w:r>
      <w:r w:rsidR="001556B1">
        <w:rPr>
          <w:rFonts w:ascii="Times New Roman" w:hAnsi="Times New Roman"/>
          <w:sz w:val="24"/>
          <w:szCs w:val="24"/>
          <w:lang w:eastAsia="ja-JP"/>
        </w:rPr>
        <w:t xml:space="preserve"> Airport</w:t>
      </w:r>
      <w:r w:rsidRPr="00852435">
        <w:rPr>
          <w:rFonts w:ascii="Times New Roman" w:hAnsi="Times New Roman"/>
          <w:sz w:val="24"/>
          <w:szCs w:val="24"/>
          <w:lang w:eastAsia="ja-JP"/>
        </w:rPr>
        <w:t xml:space="preserve">, </w:t>
      </w:r>
      <w:r w:rsidR="00CC2DCB">
        <w:rPr>
          <w:rFonts w:ascii="Times New Roman" w:hAnsi="Times New Roman"/>
          <w:sz w:val="24"/>
          <w:szCs w:val="24"/>
          <w:lang w:eastAsia="ja-JP"/>
        </w:rPr>
        <w:t xml:space="preserve">and the continued risk that FMD may be introduced into Australia by way of travellers’ footwear, </w:t>
      </w:r>
      <w:r w:rsidRPr="00852435">
        <w:rPr>
          <w:rFonts w:ascii="Times New Roman" w:hAnsi="Times New Roman"/>
          <w:sz w:val="24"/>
          <w:szCs w:val="24"/>
          <w:lang w:eastAsia="ja-JP"/>
        </w:rPr>
        <w:t>t</w:t>
      </w:r>
      <w:r w:rsidR="008723D5" w:rsidRPr="00852435">
        <w:rPr>
          <w:rFonts w:ascii="Times New Roman" w:hAnsi="Times New Roman"/>
          <w:sz w:val="24"/>
          <w:szCs w:val="24"/>
          <w:lang w:eastAsia="ja-JP"/>
        </w:rPr>
        <w:t xml:space="preserve">he </w:t>
      </w:r>
      <w:r w:rsidR="00D03D7E" w:rsidRPr="00852435">
        <w:rPr>
          <w:rFonts w:ascii="Times New Roman" w:hAnsi="Times New Roman"/>
          <w:sz w:val="24"/>
          <w:szCs w:val="24"/>
          <w:lang w:eastAsia="ja-JP"/>
        </w:rPr>
        <w:t>Amendment Determination</w:t>
      </w:r>
      <w:r w:rsidRPr="00852435">
        <w:rPr>
          <w:rFonts w:ascii="Times New Roman" w:hAnsi="Times New Roman"/>
          <w:sz w:val="24"/>
          <w:szCs w:val="24"/>
          <w:lang w:eastAsia="ja-JP"/>
        </w:rPr>
        <w:t xml:space="preserve"> adds Gold Coast Airport as a relevant landing place</w:t>
      </w:r>
      <w:r w:rsidR="00CC2DCB">
        <w:rPr>
          <w:rFonts w:ascii="Times New Roman" w:hAnsi="Times New Roman"/>
          <w:sz w:val="24"/>
          <w:szCs w:val="24"/>
          <w:lang w:eastAsia="ja-JP"/>
        </w:rPr>
        <w:t xml:space="preserve">. This has </w:t>
      </w:r>
      <w:r w:rsidR="001556B1">
        <w:rPr>
          <w:rFonts w:ascii="Times New Roman" w:hAnsi="Times New Roman"/>
          <w:sz w:val="24"/>
          <w:szCs w:val="24"/>
          <w:lang w:eastAsia="ja-JP"/>
        </w:rPr>
        <w:t>the effect of determining</w:t>
      </w:r>
      <w:r w:rsidR="00CC2DCB">
        <w:rPr>
          <w:rFonts w:ascii="Times New Roman" w:hAnsi="Times New Roman"/>
          <w:sz w:val="24"/>
          <w:szCs w:val="24"/>
          <w:lang w:eastAsia="ja-JP"/>
        </w:rPr>
        <w:t xml:space="preserve"> the relevant areas of Gold Coast Airport</w:t>
      </w:r>
      <w:r w:rsidR="001556B1">
        <w:rPr>
          <w:rFonts w:ascii="Times New Roman" w:hAnsi="Times New Roman"/>
          <w:sz w:val="24"/>
          <w:szCs w:val="24"/>
          <w:lang w:eastAsia="ja-JP"/>
        </w:rPr>
        <w:t xml:space="preserve"> to be part of the</w:t>
      </w:r>
      <w:r w:rsidRPr="00852435">
        <w:rPr>
          <w:rFonts w:ascii="Times New Roman" w:hAnsi="Times New Roman"/>
          <w:sz w:val="24"/>
          <w:szCs w:val="24"/>
          <w:lang w:eastAsia="ja-JP"/>
        </w:rPr>
        <w:t xml:space="preserve"> biosecurity response zone</w:t>
      </w:r>
      <w:r w:rsidR="00D07DE0">
        <w:rPr>
          <w:rFonts w:ascii="Times New Roman" w:hAnsi="Times New Roman"/>
          <w:sz w:val="24"/>
          <w:szCs w:val="24"/>
          <w:lang w:eastAsia="ja-JP"/>
        </w:rPr>
        <w:t xml:space="preserve"> in which the above powers may be exercised</w:t>
      </w:r>
      <w:r w:rsidRPr="00852435">
        <w:rPr>
          <w:rFonts w:ascii="Times New Roman" w:hAnsi="Times New Roman"/>
          <w:sz w:val="24"/>
          <w:szCs w:val="24"/>
          <w:lang w:eastAsia="ja-JP"/>
        </w:rPr>
        <w:t>.</w:t>
      </w:r>
      <w:r w:rsidR="00D03D7E" w:rsidRPr="00852435">
        <w:rPr>
          <w:rFonts w:ascii="Times New Roman" w:hAnsi="Times New Roman"/>
          <w:sz w:val="24"/>
          <w:szCs w:val="24"/>
          <w:lang w:eastAsia="ja-JP"/>
        </w:rPr>
        <w:t xml:space="preserve"> </w:t>
      </w:r>
      <w:r w:rsidR="00CC2DCB">
        <w:rPr>
          <w:rFonts w:ascii="Times New Roman" w:hAnsi="Times New Roman"/>
          <w:sz w:val="24"/>
          <w:szCs w:val="24"/>
          <w:lang w:eastAsia="ja-JP"/>
        </w:rPr>
        <w:t>The relevant areas of Gold Coast Airport include the airside area and the landside security zone as defined in the Principal Determination, and any other area under the control of the Australian Border Force (ABF) or within which the ABF manages and undertakes customs or immigration duties.</w:t>
      </w:r>
    </w:p>
    <w:p w14:paraId="73A79728" w14:textId="38B62772" w:rsidR="001556B1" w:rsidRPr="00852435" w:rsidRDefault="00D07DE0" w:rsidP="00A91D31">
      <w:pPr>
        <w:shd w:val="clear" w:color="auto" w:fill="FFFFFF"/>
        <w:spacing w:before="0" w:line="235" w:lineRule="atLeast"/>
        <w:rPr>
          <w:rFonts w:ascii="Times New Roman" w:hAnsi="Times New Roman"/>
          <w:sz w:val="24"/>
          <w:szCs w:val="24"/>
          <w:lang w:eastAsia="ja-JP"/>
        </w:rPr>
      </w:pPr>
      <w:r>
        <w:rPr>
          <w:rFonts w:ascii="Times New Roman" w:hAnsi="Times New Roman"/>
          <w:sz w:val="24"/>
          <w:szCs w:val="24"/>
          <w:lang w:eastAsia="ja-JP"/>
        </w:rPr>
        <w:t xml:space="preserve">In making the Amendment Determination, the Director of Biosecurity considered information provided by a biosecurity officer that a disease or pest, namely FMD, may be present in or on goods or premises in </w:t>
      </w:r>
      <w:r w:rsidR="00CC2DCB">
        <w:rPr>
          <w:rFonts w:ascii="Times New Roman" w:hAnsi="Times New Roman"/>
          <w:sz w:val="24"/>
          <w:szCs w:val="24"/>
          <w:lang w:eastAsia="ja-JP"/>
        </w:rPr>
        <w:t>the relevant areas of Gold Coast Airport</w:t>
      </w:r>
      <w:r>
        <w:rPr>
          <w:rFonts w:ascii="Times New Roman" w:hAnsi="Times New Roman"/>
          <w:sz w:val="24"/>
          <w:szCs w:val="24"/>
          <w:lang w:eastAsia="ja-JP"/>
        </w:rPr>
        <w:t xml:space="preserve"> and that FMD poses an unacceptable level of biosecurity risk. Having considered this information, the Director of Biosecurity was satisfied that it is necessary to make the Amendment Determination for the purposes of managing the biosecurity risk posed by FMD.</w:t>
      </w:r>
    </w:p>
    <w:p w14:paraId="0CDB9C9F" w14:textId="77777777" w:rsidR="008723D5" w:rsidRDefault="008723D5" w:rsidP="002A045B">
      <w:pPr>
        <w:spacing w:before="0"/>
        <w:rPr>
          <w:rFonts w:ascii="Times New Roman" w:hAnsi="Times New Roman"/>
          <w:sz w:val="24"/>
          <w:szCs w:val="24"/>
          <w:lang w:eastAsia="ja-JP"/>
        </w:rPr>
      </w:pPr>
    </w:p>
    <w:p w14:paraId="27EA8338" w14:textId="1F82FB67"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51FF2D76" w14:textId="6204D0B1" w:rsidR="004E1EF6" w:rsidRDefault="008B6FFF" w:rsidP="004E1EF6">
      <w:pPr>
        <w:shd w:val="clear" w:color="auto" w:fill="FFFFFF"/>
        <w:spacing w:line="235" w:lineRule="atLeast"/>
        <w:rPr>
          <w:rFonts w:ascii="Times New Roman" w:eastAsia="Times New Roman" w:hAnsi="Times New Roman"/>
          <w:color w:val="000000"/>
          <w:sz w:val="24"/>
          <w:szCs w:val="24"/>
          <w:lang w:eastAsia="en-AU"/>
        </w:rPr>
      </w:pPr>
      <w:r w:rsidRPr="00FC605F">
        <w:rPr>
          <w:rFonts w:ascii="Times New Roman" w:eastAsia="Times New Roman" w:hAnsi="Times New Roman"/>
          <w:color w:val="000000"/>
          <w:sz w:val="24"/>
          <w:szCs w:val="24"/>
          <w:lang w:eastAsia="en-AU"/>
        </w:rPr>
        <w:t>The effect of the Amendment Determination will be to</w:t>
      </w:r>
      <w:r w:rsidR="00A91D31">
        <w:rPr>
          <w:rFonts w:ascii="Times New Roman" w:eastAsia="Times New Roman" w:hAnsi="Times New Roman"/>
          <w:color w:val="000000"/>
          <w:sz w:val="24"/>
          <w:szCs w:val="24"/>
          <w:lang w:eastAsia="en-AU"/>
        </w:rPr>
        <w:t xml:space="preserve"> limit the risk of FMD being introduced to Australia by way of people entering Australia, by</w:t>
      </w:r>
      <w:r w:rsidRPr="00FC605F">
        <w:rPr>
          <w:rFonts w:ascii="Times New Roman" w:eastAsia="Times New Roman" w:hAnsi="Times New Roman"/>
          <w:color w:val="000000"/>
          <w:sz w:val="24"/>
          <w:szCs w:val="24"/>
          <w:lang w:eastAsia="en-AU"/>
        </w:rPr>
        <w:t xml:space="preserve"> </w:t>
      </w:r>
      <w:r w:rsidR="00BF2393">
        <w:rPr>
          <w:rFonts w:ascii="Times New Roman" w:eastAsia="Times New Roman" w:hAnsi="Times New Roman"/>
          <w:color w:val="000000"/>
          <w:sz w:val="24"/>
          <w:szCs w:val="24"/>
          <w:lang w:eastAsia="en-AU"/>
        </w:rPr>
        <w:t>add</w:t>
      </w:r>
      <w:r w:rsidR="00A91D31">
        <w:rPr>
          <w:rFonts w:ascii="Times New Roman" w:eastAsia="Times New Roman" w:hAnsi="Times New Roman"/>
          <w:color w:val="000000"/>
          <w:sz w:val="24"/>
          <w:szCs w:val="24"/>
          <w:lang w:eastAsia="en-AU"/>
        </w:rPr>
        <w:t>ing</w:t>
      </w:r>
      <w:r w:rsidR="00BF2393">
        <w:rPr>
          <w:rFonts w:ascii="Times New Roman" w:eastAsia="Times New Roman" w:hAnsi="Times New Roman"/>
          <w:color w:val="000000"/>
          <w:sz w:val="24"/>
          <w:szCs w:val="24"/>
          <w:lang w:eastAsia="en-AU"/>
        </w:rPr>
        <w:t xml:space="preserve"> Gold Coast Airport as a relevant</w:t>
      </w:r>
      <w:r>
        <w:rPr>
          <w:rFonts w:ascii="Times New Roman" w:eastAsia="Times New Roman" w:hAnsi="Times New Roman"/>
          <w:color w:val="000000"/>
          <w:sz w:val="24"/>
          <w:szCs w:val="24"/>
          <w:lang w:eastAsia="en-AU"/>
        </w:rPr>
        <w:t xml:space="preserve"> landing place</w:t>
      </w:r>
      <w:r w:rsidR="00BF2393">
        <w:rPr>
          <w:rFonts w:ascii="Times New Roman" w:eastAsia="Times New Roman" w:hAnsi="Times New Roman"/>
          <w:color w:val="000000"/>
          <w:sz w:val="24"/>
          <w:szCs w:val="24"/>
          <w:lang w:eastAsia="en-AU"/>
        </w:rPr>
        <w:t xml:space="preserve"> such that it is</w:t>
      </w:r>
      <w:r w:rsidR="005028DA">
        <w:rPr>
          <w:rFonts w:ascii="Times New Roman" w:eastAsia="Times New Roman" w:hAnsi="Times New Roman"/>
          <w:color w:val="000000"/>
          <w:sz w:val="24"/>
          <w:szCs w:val="24"/>
          <w:lang w:eastAsia="en-AU"/>
        </w:rPr>
        <w:t xml:space="preserve"> determined </w:t>
      </w:r>
      <w:r w:rsidR="00E67A35">
        <w:rPr>
          <w:rFonts w:ascii="Times New Roman" w:eastAsia="Times New Roman" w:hAnsi="Times New Roman"/>
          <w:color w:val="000000"/>
          <w:sz w:val="24"/>
          <w:szCs w:val="24"/>
          <w:lang w:eastAsia="en-AU"/>
        </w:rPr>
        <w:t xml:space="preserve">to be </w:t>
      </w:r>
      <w:r w:rsidR="00400B1B">
        <w:rPr>
          <w:rFonts w:ascii="Times New Roman" w:eastAsia="Times New Roman" w:hAnsi="Times New Roman"/>
          <w:color w:val="000000"/>
          <w:sz w:val="24"/>
          <w:szCs w:val="24"/>
          <w:lang w:eastAsia="en-AU"/>
        </w:rPr>
        <w:t xml:space="preserve">a biosecurity response zone. </w:t>
      </w:r>
    </w:p>
    <w:p w14:paraId="6DC702F2" w14:textId="06C8E64B" w:rsidR="00A91D31" w:rsidRDefault="00A91D31" w:rsidP="00A91D31">
      <w:pPr>
        <w:shd w:val="clear" w:color="auto" w:fill="FFFFFF"/>
        <w:spacing w:before="0" w:line="235" w:lineRule="atLeast"/>
        <w:rPr>
          <w:rFonts w:ascii="Times New Roman" w:eastAsia="Times New Roman" w:hAnsi="Times New Roman"/>
          <w:color w:val="000000"/>
          <w:sz w:val="24"/>
          <w:szCs w:val="24"/>
          <w:lang w:eastAsia="en-AU"/>
        </w:rPr>
      </w:pPr>
    </w:p>
    <w:p w14:paraId="64377FC5" w14:textId="0552AFF8" w:rsidR="00A91D31" w:rsidRPr="00FC605F" w:rsidRDefault="00A91D31" w:rsidP="00A91D31">
      <w:pPr>
        <w:shd w:val="clear" w:color="auto" w:fill="FFFFFF"/>
        <w:spacing w:before="0" w:line="235" w:lineRule="atLeast"/>
        <w:rPr>
          <w:rFonts w:ascii="Calibri" w:eastAsia="Times New Roman" w:hAnsi="Calibri" w:cs="Calibri"/>
          <w:color w:val="000000"/>
          <w:lang w:eastAsia="en-AU"/>
        </w:rPr>
      </w:pPr>
      <w:r>
        <w:rPr>
          <w:rFonts w:ascii="Times New Roman" w:eastAsia="Times New Roman" w:hAnsi="Times New Roman"/>
          <w:color w:val="000000"/>
          <w:sz w:val="24"/>
          <w:szCs w:val="24"/>
          <w:lang w:eastAsia="en-AU"/>
        </w:rPr>
        <w:t xml:space="preserve">The Amendment Determination does not change the period of effect of the Principal Determination, which provides that it is in force from 23 July 2022 until 30 June 2023. </w:t>
      </w:r>
    </w:p>
    <w:p w14:paraId="4BE36B45" w14:textId="77777777" w:rsidR="002A045B" w:rsidRDefault="002A045B" w:rsidP="002A045B">
      <w:pPr>
        <w:spacing w:before="0"/>
        <w:rPr>
          <w:rFonts w:ascii="Times New Roman" w:hAnsi="Times New Roman"/>
          <w:sz w:val="24"/>
          <w:szCs w:val="24"/>
          <w:lang w:eastAsia="ja-JP"/>
        </w:rPr>
      </w:pPr>
    </w:p>
    <w:p w14:paraId="3324D625" w14:textId="1618E51B"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0917BCF4" w14:textId="1BEF5AB6" w:rsidR="004E1EF6" w:rsidRPr="00FC605F" w:rsidRDefault="008B6FFF" w:rsidP="00400B1B">
      <w:pPr>
        <w:shd w:val="clear" w:color="auto" w:fill="FFFFFF"/>
        <w:spacing w:line="235" w:lineRule="atLeast"/>
        <w:rPr>
          <w:rFonts w:ascii="Times New Roman" w:eastAsia="Times New Roman" w:hAnsi="Times New Roman"/>
          <w:color w:val="000000"/>
          <w:sz w:val="24"/>
          <w:szCs w:val="24"/>
          <w:lang w:eastAsia="en-AU"/>
        </w:rPr>
      </w:pPr>
      <w:r w:rsidRPr="00FC605F">
        <w:rPr>
          <w:rFonts w:ascii="Times New Roman" w:eastAsia="Times New Roman" w:hAnsi="Times New Roman"/>
          <w:color w:val="000000"/>
          <w:sz w:val="24"/>
          <w:szCs w:val="24"/>
          <w:lang w:eastAsia="en-AU"/>
        </w:rPr>
        <w:t>In accordance with section 368 of the Act, before making the Amendment Determination, the Director of Biosecurity consulted</w:t>
      </w:r>
      <w:r w:rsidR="008723D5">
        <w:rPr>
          <w:rFonts w:ascii="Times New Roman" w:eastAsia="Times New Roman" w:hAnsi="Times New Roman"/>
          <w:color w:val="000000"/>
          <w:sz w:val="24"/>
          <w:szCs w:val="24"/>
          <w:lang w:eastAsia="en-AU"/>
        </w:rPr>
        <w:t xml:space="preserve"> the Chief Executive of the Queensland Department of Agriculture and Fisheries</w:t>
      </w:r>
      <w:r w:rsidR="00897A44">
        <w:rPr>
          <w:rFonts w:ascii="Times New Roman" w:eastAsia="Times New Roman" w:hAnsi="Times New Roman"/>
          <w:color w:val="000000"/>
          <w:sz w:val="24"/>
          <w:szCs w:val="24"/>
          <w:lang w:eastAsia="en-AU"/>
        </w:rPr>
        <w:t xml:space="preserve"> and the Director-General of the New South Wales Department of Primary Industries</w:t>
      </w:r>
      <w:r w:rsidR="005028DA">
        <w:rPr>
          <w:rFonts w:ascii="Times New Roman" w:eastAsia="Times New Roman" w:hAnsi="Times New Roman"/>
          <w:color w:val="000000"/>
          <w:sz w:val="24"/>
          <w:szCs w:val="24"/>
          <w:lang w:eastAsia="en-AU"/>
        </w:rPr>
        <w:t xml:space="preserve">, who </w:t>
      </w:r>
      <w:r w:rsidR="00897A44">
        <w:rPr>
          <w:rFonts w:ascii="Times New Roman" w:eastAsia="Times New Roman" w:hAnsi="Times New Roman"/>
          <w:color w:val="000000"/>
          <w:sz w:val="24"/>
          <w:szCs w:val="24"/>
          <w:lang w:eastAsia="en-AU"/>
        </w:rPr>
        <w:t>are</w:t>
      </w:r>
      <w:r w:rsidR="008723D5">
        <w:rPr>
          <w:rFonts w:ascii="Times New Roman" w:eastAsia="Times New Roman" w:hAnsi="Times New Roman"/>
          <w:color w:val="000000"/>
          <w:sz w:val="24"/>
          <w:szCs w:val="24"/>
          <w:lang w:eastAsia="en-AU"/>
        </w:rPr>
        <w:t xml:space="preserve"> </w:t>
      </w:r>
      <w:r w:rsidRPr="00FC605F">
        <w:rPr>
          <w:rFonts w:ascii="Times New Roman" w:eastAsia="Times New Roman" w:hAnsi="Times New Roman"/>
          <w:color w:val="000000"/>
          <w:sz w:val="24"/>
          <w:szCs w:val="24"/>
          <w:lang w:eastAsia="en-AU"/>
        </w:rPr>
        <w:t xml:space="preserve">responsible for the administration of matters relating to biosecurity in </w:t>
      </w:r>
      <w:r w:rsidR="008723D5">
        <w:rPr>
          <w:rFonts w:ascii="Times New Roman" w:eastAsia="Times New Roman" w:hAnsi="Times New Roman"/>
          <w:color w:val="000000"/>
          <w:sz w:val="24"/>
          <w:szCs w:val="24"/>
          <w:lang w:eastAsia="en-AU"/>
        </w:rPr>
        <w:t>Queensland</w:t>
      </w:r>
      <w:r w:rsidR="00897A44">
        <w:rPr>
          <w:rFonts w:ascii="Times New Roman" w:eastAsia="Times New Roman" w:hAnsi="Times New Roman"/>
          <w:color w:val="000000"/>
          <w:sz w:val="24"/>
          <w:szCs w:val="24"/>
          <w:lang w:eastAsia="en-AU"/>
        </w:rPr>
        <w:t xml:space="preserve"> and New South Wales</w:t>
      </w:r>
      <w:r w:rsidRPr="00FC605F">
        <w:rPr>
          <w:rFonts w:ascii="Times New Roman" w:eastAsia="Times New Roman" w:hAnsi="Times New Roman"/>
          <w:color w:val="000000"/>
          <w:sz w:val="24"/>
          <w:szCs w:val="24"/>
          <w:lang w:eastAsia="en-AU"/>
        </w:rPr>
        <w:t xml:space="preserve"> </w:t>
      </w:r>
      <w:r w:rsidR="005028DA">
        <w:rPr>
          <w:rFonts w:ascii="Times New Roman" w:eastAsia="Times New Roman" w:hAnsi="Times New Roman"/>
          <w:color w:val="000000"/>
          <w:sz w:val="24"/>
          <w:szCs w:val="24"/>
          <w:lang w:eastAsia="en-AU"/>
        </w:rPr>
        <w:t>(</w:t>
      </w:r>
      <w:r w:rsidRPr="00FC605F">
        <w:rPr>
          <w:rFonts w:ascii="Times New Roman" w:eastAsia="Times New Roman" w:hAnsi="Times New Roman"/>
          <w:color w:val="000000"/>
          <w:sz w:val="24"/>
          <w:szCs w:val="24"/>
          <w:lang w:eastAsia="en-AU"/>
        </w:rPr>
        <w:t xml:space="preserve">in which the </w:t>
      </w:r>
      <w:r w:rsidR="005028DA">
        <w:rPr>
          <w:rFonts w:ascii="Times New Roman" w:eastAsia="Times New Roman" w:hAnsi="Times New Roman"/>
          <w:color w:val="000000"/>
          <w:sz w:val="24"/>
          <w:szCs w:val="24"/>
          <w:lang w:eastAsia="en-AU"/>
        </w:rPr>
        <w:t xml:space="preserve">new </w:t>
      </w:r>
      <w:r w:rsidRPr="00FC605F">
        <w:rPr>
          <w:rFonts w:ascii="Times New Roman" w:eastAsia="Times New Roman" w:hAnsi="Times New Roman"/>
          <w:color w:val="000000"/>
          <w:sz w:val="24"/>
          <w:szCs w:val="24"/>
          <w:lang w:eastAsia="en-AU"/>
        </w:rPr>
        <w:t>biosecurity response zone lies</w:t>
      </w:r>
      <w:r w:rsidR="005028DA">
        <w:rPr>
          <w:rFonts w:ascii="Times New Roman" w:eastAsia="Times New Roman" w:hAnsi="Times New Roman"/>
          <w:color w:val="000000"/>
          <w:sz w:val="24"/>
          <w:szCs w:val="24"/>
          <w:lang w:eastAsia="en-AU"/>
        </w:rPr>
        <w:t>)</w:t>
      </w:r>
      <w:r w:rsidR="008723D5">
        <w:rPr>
          <w:rFonts w:ascii="Times New Roman" w:eastAsia="Times New Roman" w:hAnsi="Times New Roman"/>
          <w:color w:val="000000"/>
          <w:sz w:val="24"/>
          <w:szCs w:val="24"/>
          <w:lang w:eastAsia="en-AU"/>
        </w:rPr>
        <w:t>.</w:t>
      </w:r>
    </w:p>
    <w:p w14:paraId="3B4581A6" w14:textId="77777777" w:rsidR="004E1EF6" w:rsidRDefault="004E1EF6" w:rsidP="004E1EF6">
      <w:pPr>
        <w:spacing w:before="0"/>
        <w:rPr>
          <w:rFonts w:ascii="Times New Roman" w:eastAsia="Times New Roman" w:hAnsi="Times New Roman"/>
          <w:color w:val="000000"/>
          <w:sz w:val="24"/>
          <w:szCs w:val="24"/>
          <w:lang w:eastAsia="en-AU"/>
        </w:rPr>
      </w:pPr>
    </w:p>
    <w:p w14:paraId="2F5DD673" w14:textId="35181FB3" w:rsidR="002A045B" w:rsidRDefault="008B6FFF" w:rsidP="002A045B">
      <w:pPr>
        <w:spacing w:before="0"/>
        <w:rPr>
          <w:rFonts w:ascii="Times New Roman" w:hAnsi="Times New Roman"/>
          <w:sz w:val="24"/>
          <w:szCs w:val="24"/>
          <w:lang w:eastAsia="ja-JP"/>
        </w:rPr>
      </w:pPr>
      <w:r w:rsidRPr="003B47CA">
        <w:rPr>
          <w:rFonts w:ascii="Times New Roman" w:eastAsia="Times New Roman" w:hAnsi="Times New Roman"/>
          <w:color w:val="000000"/>
          <w:sz w:val="24"/>
          <w:szCs w:val="24"/>
          <w:lang w:eastAsia="en-AU"/>
        </w:rPr>
        <w:t xml:space="preserve">The Office of </w:t>
      </w:r>
      <w:r w:rsidR="00BF2393" w:rsidRPr="003B47CA">
        <w:rPr>
          <w:rFonts w:ascii="Times New Roman" w:eastAsia="Times New Roman" w:hAnsi="Times New Roman"/>
          <w:color w:val="000000"/>
          <w:sz w:val="24"/>
          <w:szCs w:val="24"/>
          <w:lang w:eastAsia="en-AU"/>
        </w:rPr>
        <w:t>Impact Analysis (OIA</w:t>
      </w:r>
      <w:r w:rsidRPr="003B47CA">
        <w:rPr>
          <w:rFonts w:ascii="Times New Roman" w:eastAsia="Times New Roman" w:hAnsi="Times New Roman"/>
          <w:color w:val="000000"/>
          <w:sz w:val="24"/>
          <w:szCs w:val="24"/>
          <w:lang w:eastAsia="en-AU"/>
        </w:rPr>
        <w:t xml:space="preserve">) was consulted in the making of the Amendment Determination. </w:t>
      </w:r>
      <w:r w:rsidR="00BF2393" w:rsidRPr="003B47CA">
        <w:rPr>
          <w:rFonts w:ascii="Times New Roman" w:eastAsia="Times New Roman" w:hAnsi="Times New Roman"/>
          <w:color w:val="000000"/>
          <w:sz w:val="24"/>
          <w:szCs w:val="24"/>
          <w:lang w:eastAsia="en-AU"/>
        </w:rPr>
        <w:t xml:space="preserve">The OIA </w:t>
      </w:r>
      <w:r w:rsidRPr="003B47CA">
        <w:rPr>
          <w:rFonts w:ascii="Times New Roman" w:eastAsia="Times New Roman" w:hAnsi="Times New Roman"/>
          <w:color w:val="000000"/>
          <w:sz w:val="24"/>
          <w:szCs w:val="24"/>
          <w:lang w:eastAsia="en-AU"/>
        </w:rPr>
        <w:t xml:space="preserve">has advised that </w:t>
      </w:r>
      <w:r w:rsidR="00BF2393" w:rsidRPr="003B47CA">
        <w:rPr>
          <w:rFonts w:ascii="Times New Roman" w:eastAsia="Times New Roman" w:hAnsi="Times New Roman"/>
          <w:color w:val="000000"/>
          <w:sz w:val="24"/>
          <w:szCs w:val="24"/>
          <w:lang w:eastAsia="en-AU"/>
        </w:rPr>
        <w:t>an Impact Analysis</w:t>
      </w:r>
      <w:r w:rsidRPr="003B47CA">
        <w:rPr>
          <w:rFonts w:ascii="Times New Roman" w:eastAsia="Times New Roman" w:hAnsi="Times New Roman"/>
          <w:color w:val="000000"/>
          <w:sz w:val="24"/>
          <w:szCs w:val="24"/>
          <w:lang w:eastAsia="en-AU"/>
        </w:rPr>
        <w:t xml:space="preserve"> is not required (</w:t>
      </w:r>
      <w:r w:rsidR="00897A44" w:rsidRPr="003B47CA">
        <w:rPr>
          <w:rFonts w:ascii="Times New Roman" w:eastAsia="Times New Roman" w:hAnsi="Times New Roman"/>
          <w:color w:val="000000"/>
          <w:sz w:val="24"/>
          <w:szCs w:val="24"/>
          <w:lang w:eastAsia="en-AU"/>
        </w:rPr>
        <w:t>OIA23-04584</w:t>
      </w:r>
      <w:r w:rsidRPr="003B47CA">
        <w:rPr>
          <w:rFonts w:ascii="Times New Roman" w:eastAsia="Times New Roman" w:hAnsi="Times New Roman"/>
          <w:color w:val="000000"/>
          <w:sz w:val="24"/>
          <w:szCs w:val="24"/>
          <w:lang w:eastAsia="en-AU"/>
        </w:rPr>
        <w:t>).</w:t>
      </w:r>
    </w:p>
    <w:p w14:paraId="3FBA2DD8" w14:textId="77777777" w:rsidR="00400B1B" w:rsidRDefault="00400B1B" w:rsidP="002A045B">
      <w:pPr>
        <w:spacing w:before="0"/>
        <w:rPr>
          <w:rFonts w:ascii="Times New Roman" w:hAnsi="Times New Roman"/>
          <w:b/>
          <w:bCs/>
          <w:sz w:val="24"/>
          <w:szCs w:val="24"/>
          <w:lang w:eastAsia="ja-JP"/>
        </w:rPr>
      </w:pPr>
    </w:p>
    <w:p w14:paraId="0DD56655" w14:textId="5C924405"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3B5D0DF4" w14:textId="77777777"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The Amendment Determination is a legislative instrument for the purposes of the </w:t>
      </w:r>
      <w:r w:rsidRPr="00FC605F">
        <w:rPr>
          <w:rFonts w:ascii="Times New Roman" w:eastAsia="Times New Roman" w:hAnsi="Times New Roman"/>
          <w:i/>
          <w:iCs/>
          <w:color w:val="000000"/>
          <w:sz w:val="24"/>
          <w:szCs w:val="24"/>
          <w:lang w:eastAsia="en-AU"/>
        </w:rPr>
        <w:t>Legislation Act 2003 </w:t>
      </w:r>
      <w:r w:rsidRPr="00FC605F">
        <w:rPr>
          <w:rFonts w:ascii="Times New Roman" w:eastAsia="Times New Roman" w:hAnsi="Times New Roman"/>
          <w:color w:val="000000"/>
          <w:sz w:val="24"/>
          <w:szCs w:val="24"/>
          <w:lang w:eastAsia="en-AU"/>
        </w:rPr>
        <w:t>(the Legislation Act).</w:t>
      </w:r>
    </w:p>
    <w:p w14:paraId="7BED1B3C" w14:textId="7984E526"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 xml:space="preserve">The Amendment Determination commences </w:t>
      </w:r>
      <w:r w:rsidR="00F974CF">
        <w:rPr>
          <w:rFonts w:ascii="Times New Roman" w:eastAsia="Times New Roman" w:hAnsi="Times New Roman"/>
          <w:color w:val="000000"/>
          <w:sz w:val="24"/>
          <w:szCs w:val="24"/>
          <w:lang w:eastAsia="en-AU"/>
        </w:rPr>
        <w:t>on the day</w:t>
      </w:r>
      <w:r w:rsidR="00F974CF" w:rsidRPr="001F5171">
        <w:rPr>
          <w:rFonts w:ascii="Times New Roman" w:eastAsia="Times New Roman" w:hAnsi="Times New Roman"/>
          <w:color w:val="000000"/>
          <w:sz w:val="24"/>
          <w:szCs w:val="24"/>
          <w:lang w:eastAsia="en-AU"/>
        </w:rPr>
        <w:t xml:space="preserve"> </w:t>
      </w:r>
      <w:r w:rsidRPr="001F5171">
        <w:rPr>
          <w:rFonts w:ascii="Times New Roman" w:eastAsia="Times New Roman" w:hAnsi="Times New Roman"/>
          <w:color w:val="000000"/>
          <w:sz w:val="24"/>
          <w:szCs w:val="24"/>
          <w:lang w:eastAsia="en-AU"/>
        </w:rPr>
        <w:t>after it is registered on the Federal Register of Legislation.</w:t>
      </w:r>
    </w:p>
    <w:p w14:paraId="523AC595" w14:textId="77777777" w:rsidR="004E1EF6" w:rsidRPr="00FC605F" w:rsidRDefault="008B6FFF" w:rsidP="004E1EF6">
      <w:pPr>
        <w:shd w:val="clear" w:color="auto" w:fill="FFFFFF"/>
        <w:spacing w:line="235" w:lineRule="atLeast"/>
        <w:rPr>
          <w:rFonts w:ascii="Calibri" w:eastAsia="Times New Roman" w:hAnsi="Calibri" w:cs="Calibri"/>
          <w:color w:val="000000"/>
          <w:lang w:eastAsia="en-AU"/>
        </w:rPr>
      </w:pPr>
      <w:r w:rsidRPr="00FC605F">
        <w:rPr>
          <w:rFonts w:ascii="Times New Roman" w:eastAsia="Times New Roman" w:hAnsi="Times New Roman"/>
          <w:color w:val="000000"/>
          <w:sz w:val="24"/>
          <w:szCs w:val="24"/>
          <w:lang w:eastAsia="en-AU"/>
        </w:rPr>
        <w:t>Details of the Amendment Determination are set out in the </w:t>
      </w:r>
      <w:r w:rsidRPr="00FC605F">
        <w:rPr>
          <w:rFonts w:ascii="Times New Roman" w:eastAsia="Times New Roman" w:hAnsi="Times New Roman"/>
          <w:color w:val="000000"/>
          <w:sz w:val="24"/>
          <w:szCs w:val="24"/>
          <w:u w:val="single"/>
          <w:lang w:eastAsia="en-AU"/>
        </w:rPr>
        <w:t>Attachment</w:t>
      </w:r>
      <w:r w:rsidRPr="00FC605F">
        <w:rPr>
          <w:rFonts w:ascii="Times New Roman" w:eastAsia="Times New Roman" w:hAnsi="Times New Roman"/>
          <w:color w:val="000000"/>
          <w:sz w:val="24"/>
          <w:szCs w:val="24"/>
          <w:lang w:eastAsia="en-AU"/>
        </w:rPr>
        <w:t>.</w:t>
      </w:r>
    </w:p>
    <w:p w14:paraId="3DFE2D48" w14:textId="77777777" w:rsidR="002A045B" w:rsidRDefault="002A045B" w:rsidP="00513CB9">
      <w:pPr>
        <w:spacing w:before="0"/>
        <w:rPr>
          <w:rFonts w:ascii="Times New Roman" w:hAnsi="Times New Roman"/>
          <w:sz w:val="24"/>
          <w:szCs w:val="24"/>
          <w:lang w:eastAsia="ja-JP"/>
        </w:rPr>
      </w:pPr>
    </w:p>
    <w:p w14:paraId="5AB76077" w14:textId="72486CBF" w:rsidR="002A045B" w:rsidRPr="00D03D7E" w:rsidRDefault="008B6FFF"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6BAA4F23" w14:textId="60438376" w:rsidR="00CB1EC9" w:rsidRDefault="00BF2393" w:rsidP="002A045B">
      <w:pPr>
        <w:spacing w:before="0"/>
        <w:rPr>
          <w:rFonts w:ascii="Times New Roman" w:hAnsi="Times New Roman"/>
          <w:sz w:val="24"/>
          <w:szCs w:val="24"/>
          <w:lang w:eastAsia="ja-JP"/>
        </w:rPr>
      </w:pPr>
      <w:r>
        <w:rPr>
          <w:rFonts w:ascii="Times New Roman" w:hAnsi="Times New Roman"/>
          <w:sz w:val="24"/>
          <w:szCs w:val="24"/>
          <w:lang w:eastAsia="ja-JP"/>
        </w:rPr>
        <w:t xml:space="preserve">Subsection 365(4) of the Act provides that a determination under subsection 365(1) </w:t>
      </w:r>
      <w:r w:rsidR="008B6FFF">
        <w:rPr>
          <w:rFonts w:ascii="Times New Roman" w:hAnsi="Times New Roman"/>
          <w:sz w:val="24"/>
          <w:szCs w:val="24"/>
          <w:lang w:eastAsia="ja-JP"/>
        </w:rPr>
        <w:t>is a legislative instrument</w:t>
      </w:r>
      <w:r w:rsidR="0097183E">
        <w:rPr>
          <w:rFonts w:ascii="Times New Roman" w:hAnsi="Times New Roman"/>
          <w:sz w:val="24"/>
          <w:szCs w:val="24"/>
          <w:lang w:eastAsia="ja-JP"/>
        </w:rPr>
        <w:t>,</w:t>
      </w:r>
      <w:r w:rsidR="008B6FFF">
        <w:rPr>
          <w:rFonts w:ascii="Times New Roman" w:hAnsi="Times New Roman"/>
          <w:sz w:val="24"/>
          <w:szCs w:val="24"/>
          <w:lang w:eastAsia="ja-JP"/>
        </w:rPr>
        <w:t xml:space="preserve"> but</w:t>
      </w:r>
      <w:r w:rsidR="0097183E">
        <w:rPr>
          <w:rFonts w:ascii="Times New Roman" w:hAnsi="Times New Roman"/>
          <w:sz w:val="24"/>
          <w:szCs w:val="24"/>
          <w:lang w:eastAsia="ja-JP"/>
        </w:rPr>
        <w:t xml:space="preserve"> </w:t>
      </w:r>
      <w:r w:rsidR="008B6FFF">
        <w:rPr>
          <w:rFonts w:ascii="Times New Roman" w:hAnsi="Times New Roman"/>
          <w:sz w:val="24"/>
          <w:szCs w:val="24"/>
          <w:lang w:eastAsia="ja-JP"/>
        </w:rPr>
        <w:t xml:space="preserve">section 42 (disallowance) of the </w:t>
      </w:r>
      <w:r w:rsidR="008B6FFF" w:rsidRPr="00D07DE0">
        <w:rPr>
          <w:rFonts w:ascii="Times New Roman" w:hAnsi="Times New Roman"/>
          <w:sz w:val="24"/>
          <w:szCs w:val="24"/>
          <w:lang w:eastAsia="ja-JP"/>
        </w:rPr>
        <w:t xml:space="preserve">Legislation Act </w:t>
      </w:r>
      <w:r w:rsidR="008B6FFF">
        <w:rPr>
          <w:rFonts w:ascii="Times New Roman" w:hAnsi="Times New Roman"/>
          <w:sz w:val="24"/>
          <w:szCs w:val="24"/>
          <w:lang w:eastAsia="ja-JP"/>
        </w:rPr>
        <w:t xml:space="preserve">does not apply to the Amendment Determination. </w:t>
      </w:r>
    </w:p>
    <w:p w14:paraId="7C64D442" w14:textId="432FDB24" w:rsidR="00CB1EC9" w:rsidRDefault="00CB1EC9" w:rsidP="002A045B">
      <w:pPr>
        <w:spacing w:before="0"/>
        <w:rPr>
          <w:rFonts w:ascii="Times New Roman" w:hAnsi="Times New Roman"/>
          <w:sz w:val="24"/>
          <w:szCs w:val="24"/>
          <w:lang w:eastAsia="ja-JP"/>
        </w:rPr>
      </w:pPr>
    </w:p>
    <w:p w14:paraId="7567B979" w14:textId="1DB2C31E" w:rsidR="00AE150A" w:rsidRPr="00B53BA6" w:rsidRDefault="008B6FFF" w:rsidP="00CB1EC9">
      <w:pPr>
        <w:spacing w:before="0"/>
        <w:rPr>
          <w:rFonts w:ascii="Times New Roman" w:hAnsi="Times New Roman"/>
          <w:sz w:val="24"/>
          <w:szCs w:val="24"/>
          <w:lang w:eastAsia="ja-JP"/>
        </w:rPr>
      </w:pPr>
      <w:r>
        <w:rPr>
          <w:rFonts w:ascii="Times New Roman" w:hAnsi="Times New Roman"/>
          <w:sz w:val="24"/>
          <w:szCs w:val="24"/>
          <w:lang w:eastAsia="ja-JP"/>
        </w:rPr>
        <w:t xml:space="preserve">The exemption from disallowance for the instrument is set out in primary legislation. </w:t>
      </w:r>
      <w:r w:rsidR="003F6889">
        <w:rPr>
          <w:rFonts w:ascii="Times New Roman" w:hAnsi="Times New Roman"/>
          <w:sz w:val="24"/>
          <w:szCs w:val="24"/>
          <w:lang w:eastAsia="ja-JP"/>
        </w:rPr>
        <w:t>The</w:t>
      </w:r>
      <w:r w:rsidR="000D25F4">
        <w:rPr>
          <w:rFonts w:ascii="Times New Roman" w:hAnsi="Times New Roman"/>
          <w:sz w:val="24"/>
          <w:szCs w:val="24"/>
          <w:lang w:eastAsia="ja-JP"/>
        </w:rPr>
        <w:t xml:space="preserve"> </w:t>
      </w:r>
      <w:r>
        <w:rPr>
          <w:rFonts w:ascii="Times New Roman" w:hAnsi="Times New Roman"/>
          <w:sz w:val="24"/>
          <w:szCs w:val="24"/>
          <w:lang w:eastAsia="ja-JP"/>
        </w:rPr>
        <w:t xml:space="preserve">justification for the instrument being exempt </w:t>
      </w:r>
      <w:r w:rsidR="00C913FE">
        <w:rPr>
          <w:rFonts w:ascii="Times New Roman" w:hAnsi="Times New Roman"/>
          <w:sz w:val="24"/>
          <w:szCs w:val="24"/>
          <w:lang w:eastAsia="ja-JP"/>
        </w:rPr>
        <w:t xml:space="preserve">from disallowance </w:t>
      </w:r>
      <w:r w:rsidR="0064696B">
        <w:rPr>
          <w:rFonts w:ascii="Times New Roman" w:hAnsi="Times New Roman"/>
          <w:sz w:val="24"/>
          <w:szCs w:val="24"/>
          <w:lang w:eastAsia="ja-JP"/>
        </w:rPr>
        <w:t>is that</w:t>
      </w:r>
      <w:r w:rsidR="000D25F4">
        <w:rPr>
          <w:rFonts w:ascii="Times New Roman" w:hAnsi="Times New Roman"/>
          <w:sz w:val="24"/>
          <w:szCs w:val="24"/>
          <w:lang w:eastAsia="ja-JP"/>
        </w:rPr>
        <w:t>, by allowing a biosecurity response zone to be determined for the purpose of managing an identified disease or pest that poses an unacceptable level of biosecurity risk that may be present in or on goods or premises in the area, the Amendment Determination enables the government to take decisive action</w:t>
      </w:r>
      <w:r w:rsidR="00CF01C3">
        <w:rPr>
          <w:rFonts w:ascii="Times New Roman" w:hAnsi="Times New Roman"/>
          <w:sz w:val="24"/>
          <w:szCs w:val="24"/>
          <w:lang w:eastAsia="ja-JP"/>
        </w:rPr>
        <w:t xml:space="preserve"> necessary to manage the biosecurity risk</w:t>
      </w:r>
      <w:r w:rsidR="000D25F4">
        <w:rPr>
          <w:rFonts w:ascii="Times New Roman" w:hAnsi="Times New Roman"/>
          <w:sz w:val="24"/>
          <w:szCs w:val="24"/>
          <w:lang w:eastAsia="ja-JP"/>
        </w:rPr>
        <w:t>. The Amendment Determination</w:t>
      </w:r>
      <w:r w:rsidR="0064696B">
        <w:rPr>
          <w:rFonts w:ascii="Times New Roman" w:hAnsi="Times New Roman"/>
          <w:sz w:val="24"/>
          <w:szCs w:val="24"/>
          <w:lang w:eastAsia="ja-JP"/>
        </w:rPr>
        <w:t xml:space="preserve"> </w:t>
      </w:r>
      <w:r w:rsidR="00CF01C3">
        <w:rPr>
          <w:rFonts w:ascii="Times New Roman" w:hAnsi="Times New Roman"/>
          <w:sz w:val="24"/>
          <w:szCs w:val="24"/>
          <w:lang w:eastAsia="ja-JP"/>
        </w:rPr>
        <w:t>implements a scientific and technical assessment</w:t>
      </w:r>
      <w:r w:rsidR="000D25F4">
        <w:rPr>
          <w:rFonts w:ascii="Times New Roman" w:hAnsi="Times New Roman"/>
          <w:sz w:val="24"/>
          <w:szCs w:val="24"/>
          <w:lang w:eastAsia="ja-JP"/>
        </w:rPr>
        <w:t xml:space="preserve"> to manage biosecurity </w:t>
      </w:r>
      <w:proofErr w:type="gramStart"/>
      <w:r w:rsidR="000D25F4">
        <w:rPr>
          <w:rFonts w:ascii="Times New Roman" w:hAnsi="Times New Roman"/>
          <w:sz w:val="24"/>
          <w:szCs w:val="24"/>
          <w:lang w:eastAsia="ja-JP"/>
        </w:rPr>
        <w:t>risks, and</w:t>
      </w:r>
      <w:proofErr w:type="gramEnd"/>
      <w:r w:rsidR="000D25F4">
        <w:rPr>
          <w:rFonts w:ascii="Times New Roman" w:hAnsi="Times New Roman"/>
          <w:sz w:val="24"/>
          <w:szCs w:val="24"/>
          <w:lang w:eastAsia="ja-JP"/>
        </w:rPr>
        <w:t xml:space="preserve"> uphold</w:t>
      </w:r>
      <w:r w:rsidR="00B63A4F">
        <w:rPr>
          <w:rFonts w:ascii="Times New Roman" w:hAnsi="Times New Roman"/>
          <w:sz w:val="24"/>
          <w:szCs w:val="24"/>
          <w:lang w:eastAsia="ja-JP"/>
        </w:rPr>
        <w:t>s</w:t>
      </w:r>
      <w:r w:rsidR="000D25F4">
        <w:rPr>
          <w:rFonts w:ascii="Times New Roman" w:hAnsi="Times New Roman"/>
          <w:sz w:val="24"/>
          <w:szCs w:val="24"/>
          <w:lang w:eastAsia="ja-JP"/>
        </w:rPr>
        <w:t xml:space="preserve"> the objectives of the biosecurity framework</w:t>
      </w:r>
      <w:r w:rsidR="009D487F">
        <w:rPr>
          <w:rFonts w:ascii="Times New Roman" w:hAnsi="Times New Roman"/>
          <w:sz w:val="24"/>
          <w:szCs w:val="24"/>
          <w:lang w:eastAsia="ja-JP"/>
        </w:rPr>
        <w:t xml:space="preserve">. </w:t>
      </w:r>
    </w:p>
    <w:p w14:paraId="5E27C6E8" w14:textId="3706A107" w:rsidR="00620520" w:rsidRPr="00B53BA6" w:rsidRDefault="00620520" w:rsidP="00CB1EC9">
      <w:pPr>
        <w:spacing w:before="0"/>
        <w:rPr>
          <w:rFonts w:ascii="Times New Roman" w:eastAsia="Times New Roman" w:hAnsi="Times New Roman"/>
          <w:color w:val="000000"/>
          <w:sz w:val="24"/>
          <w:szCs w:val="24"/>
          <w:lang w:eastAsia="en-AU"/>
        </w:rPr>
      </w:pPr>
    </w:p>
    <w:p w14:paraId="010D8B1D" w14:textId="5E9B48E9" w:rsidR="00B53BA6" w:rsidRPr="00B53BA6" w:rsidRDefault="000D25F4" w:rsidP="00A91D31">
      <w:pPr>
        <w:shd w:val="clear" w:color="auto" w:fill="FFFFFF"/>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w:t>
      </w:r>
      <w:r w:rsidR="00620520" w:rsidRPr="00B53BA6">
        <w:rPr>
          <w:rFonts w:ascii="Times New Roman" w:eastAsia="Times New Roman" w:hAnsi="Times New Roman"/>
          <w:color w:val="000000"/>
          <w:sz w:val="24"/>
          <w:szCs w:val="24"/>
          <w:lang w:eastAsia="en-AU"/>
        </w:rPr>
        <w:t xml:space="preserve">he Amendment Determination </w:t>
      </w:r>
      <w:r>
        <w:rPr>
          <w:rFonts w:ascii="Times New Roman" w:eastAsia="Times New Roman" w:hAnsi="Times New Roman"/>
          <w:color w:val="000000"/>
          <w:sz w:val="24"/>
          <w:szCs w:val="24"/>
          <w:lang w:eastAsia="en-AU"/>
        </w:rPr>
        <w:t>reflects</w:t>
      </w:r>
      <w:r w:rsidR="00620520" w:rsidRPr="00B53BA6">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the</w:t>
      </w:r>
      <w:r w:rsidR="00620520" w:rsidRPr="00B53BA6">
        <w:rPr>
          <w:rFonts w:ascii="Times New Roman" w:eastAsia="Times New Roman" w:hAnsi="Times New Roman"/>
          <w:color w:val="000000"/>
          <w:sz w:val="24"/>
          <w:szCs w:val="24"/>
          <w:lang w:eastAsia="en-AU"/>
        </w:rPr>
        <w:t xml:space="preserve"> high level of biosecurity risk </w:t>
      </w:r>
      <w:r>
        <w:rPr>
          <w:rFonts w:ascii="Times New Roman" w:eastAsia="Times New Roman" w:hAnsi="Times New Roman"/>
          <w:color w:val="000000"/>
          <w:sz w:val="24"/>
          <w:szCs w:val="24"/>
          <w:lang w:eastAsia="en-AU"/>
        </w:rPr>
        <w:t xml:space="preserve">that FMD poses </w:t>
      </w:r>
      <w:r w:rsidR="00620520" w:rsidRPr="00B53BA6">
        <w:rPr>
          <w:rFonts w:ascii="Times New Roman" w:eastAsia="Times New Roman" w:hAnsi="Times New Roman"/>
          <w:color w:val="000000"/>
          <w:sz w:val="24"/>
          <w:szCs w:val="24"/>
          <w:lang w:eastAsia="en-AU"/>
        </w:rPr>
        <w:t>to Australia</w:t>
      </w:r>
      <w:r>
        <w:rPr>
          <w:rFonts w:ascii="Times New Roman" w:eastAsia="Times New Roman" w:hAnsi="Times New Roman"/>
          <w:color w:val="000000"/>
          <w:sz w:val="24"/>
          <w:szCs w:val="24"/>
          <w:lang w:eastAsia="en-AU"/>
        </w:rPr>
        <w:t xml:space="preserve">. </w:t>
      </w:r>
      <w:r w:rsidR="00AE150A" w:rsidRPr="00B53BA6">
        <w:rPr>
          <w:rFonts w:ascii="Times New Roman" w:eastAsia="Times New Roman" w:hAnsi="Times New Roman"/>
          <w:color w:val="000000"/>
          <w:sz w:val="24"/>
          <w:szCs w:val="24"/>
          <w:lang w:eastAsia="en-AU"/>
        </w:rPr>
        <w:t xml:space="preserve">Findings from a </w:t>
      </w:r>
      <w:r w:rsidR="00AE150A" w:rsidRPr="00FC605F">
        <w:rPr>
          <w:rFonts w:ascii="Times New Roman" w:eastAsia="Times New Roman" w:hAnsi="Times New Roman"/>
          <w:color w:val="000000"/>
          <w:sz w:val="24"/>
          <w:szCs w:val="24"/>
          <w:lang w:eastAsia="en-AU"/>
        </w:rPr>
        <w:t>risk assessment conducted to determine the level of biosecurity risk associated with FMD</w:t>
      </w:r>
      <w:r w:rsidR="00AE150A" w:rsidRPr="00B53BA6">
        <w:rPr>
          <w:rFonts w:ascii="Times New Roman" w:eastAsia="Times New Roman" w:hAnsi="Times New Roman"/>
          <w:color w:val="000000"/>
          <w:sz w:val="24"/>
          <w:szCs w:val="24"/>
          <w:lang w:eastAsia="en-AU"/>
        </w:rPr>
        <w:t xml:space="preserve"> concluded that, among other things, </w:t>
      </w:r>
      <w:r w:rsidR="00AE150A" w:rsidRPr="00FC605F">
        <w:rPr>
          <w:rFonts w:ascii="Times New Roman" w:eastAsia="Times New Roman" w:hAnsi="Times New Roman"/>
          <w:color w:val="000000"/>
          <w:sz w:val="24"/>
          <w:szCs w:val="24"/>
          <w:lang w:eastAsia="en-AU"/>
        </w:rPr>
        <w:t xml:space="preserve">the consequences to animal and human health, the </w:t>
      </w:r>
      <w:proofErr w:type="gramStart"/>
      <w:r w:rsidR="00AE150A" w:rsidRPr="00FC605F">
        <w:rPr>
          <w:rFonts w:ascii="Times New Roman" w:eastAsia="Times New Roman" w:hAnsi="Times New Roman"/>
          <w:color w:val="000000"/>
          <w:sz w:val="24"/>
          <w:szCs w:val="24"/>
          <w:lang w:eastAsia="en-AU"/>
        </w:rPr>
        <w:t>environment</w:t>
      </w:r>
      <w:proofErr w:type="gramEnd"/>
      <w:r w:rsidR="00AE150A" w:rsidRPr="00FC605F">
        <w:rPr>
          <w:rFonts w:ascii="Times New Roman" w:eastAsia="Times New Roman" w:hAnsi="Times New Roman"/>
          <w:color w:val="000000"/>
          <w:sz w:val="24"/>
          <w:szCs w:val="24"/>
          <w:lang w:eastAsia="en-AU"/>
        </w:rPr>
        <w:t xml:space="preserve"> and economic impacts of the establishment and/or spread of FMD is considered extreme. Further, the overall risk rating associated with goods carried with passengers exposed to susceptible animals or contaminated environments undergoing a widespread uncontrolled outbreak of FMD is high.</w:t>
      </w:r>
      <w:r w:rsidR="009D487F" w:rsidRPr="00B53BA6">
        <w:rPr>
          <w:rFonts w:ascii="Times New Roman" w:eastAsia="Times New Roman" w:hAnsi="Times New Roman"/>
          <w:color w:val="000000"/>
          <w:sz w:val="24"/>
          <w:szCs w:val="24"/>
          <w:lang w:eastAsia="en-AU"/>
        </w:rPr>
        <w:t xml:space="preserve"> </w:t>
      </w:r>
      <w:r w:rsidR="000D3876" w:rsidRPr="00B53BA6">
        <w:rPr>
          <w:rFonts w:ascii="Times New Roman" w:eastAsia="Times New Roman" w:hAnsi="Times New Roman"/>
          <w:color w:val="000000"/>
          <w:sz w:val="24"/>
          <w:szCs w:val="24"/>
          <w:lang w:eastAsia="en-AU"/>
        </w:rPr>
        <w:t>It is critical to the management of biosecurity risk</w:t>
      </w:r>
      <w:r w:rsidR="006F5F54">
        <w:rPr>
          <w:rFonts w:ascii="Times New Roman" w:eastAsia="Times New Roman" w:hAnsi="Times New Roman"/>
          <w:color w:val="000000"/>
          <w:sz w:val="24"/>
          <w:szCs w:val="24"/>
          <w:lang w:eastAsia="en-AU"/>
        </w:rPr>
        <w:t>s</w:t>
      </w:r>
      <w:r w:rsidR="000D3876" w:rsidRPr="00B53BA6">
        <w:rPr>
          <w:rFonts w:ascii="Times New Roman" w:eastAsia="Times New Roman" w:hAnsi="Times New Roman"/>
          <w:color w:val="000000"/>
          <w:sz w:val="24"/>
          <w:szCs w:val="24"/>
          <w:lang w:eastAsia="en-AU"/>
        </w:rPr>
        <w:t xml:space="preserve"> that </w:t>
      </w:r>
      <w:r w:rsidR="004B42DB" w:rsidRPr="00B53BA6">
        <w:rPr>
          <w:rFonts w:ascii="Times New Roman" w:eastAsia="Times New Roman" w:hAnsi="Times New Roman"/>
          <w:color w:val="000000"/>
          <w:sz w:val="24"/>
          <w:szCs w:val="24"/>
          <w:lang w:eastAsia="en-AU"/>
        </w:rPr>
        <w:t>the</w:t>
      </w:r>
      <w:r w:rsidR="00D3488C" w:rsidRPr="00B53BA6">
        <w:rPr>
          <w:rFonts w:ascii="Times New Roman" w:eastAsia="Times New Roman" w:hAnsi="Times New Roman"/>
          <w:color w:val="000000"/>
          <w:sz w:val="24"/>
          <w:szCs w:val="24"/>
          <w:lang w:eastAsia="en-AU"/>
        </w:rPr>
        <w:t xml:space="preserve"> </w:t>
      </w:r>
      <w:r w:rsidR="006F5F54">
        <w:rPr>
          <w:rFonts w:ascii="Times New Roman" w:eastAsia="Times New Roman" w:hAnsi="Times New Roman"/>
          <w:color w:val="000000"/>
          <w:sz w:val="24"/>
          <w:szCs w:val="24"/>
          <w:lang w:eastAsia="en-AU"/>
        </w:rPr>
        <w:t xml:space="preserve">Director of Biosecurity </w:t>
      </w:r>
      <w:proofErr w:type="gramStart"/>
      <w:r w:rsidR="006F5F54">
        <w:rPr>
          <w:rFonts w:ascii="Times New Roman" w:eastAsia="Times New Roman" w:hAnsi="Times New Roman"/>
          <w:color w:val="000000"/>
          <w:sz w:val="24"/>
          <w:szCs w:val="24"/>
          <w:lang w:eastAsia="en-AU"/>
        </w:rPr>
        <w:t xml:space="preserve">is able </w:t>
      </w:r>
      <w:r w:rsidR="004B42DB" w:rsidRPr="00B53BA6">
        <w:rPr>
          <w:rFonts w:ascii="Times New Roman" w:eastAsia="Times New Roman" w:hAnsi="Times New Roman"/>
          <w:color w:val="000000"/>
          <w:sz w:val="24"/>
          <w:szCs w:val="24"/>
          <w:lang w:eastAsia="en-AU"/>
        </w:rPr>
        <w:t>to</w:t>
      </w:r>
      <w:proofErr w:type="gramEnd"/>
      <w:r w:rsidR="004B42DB" w:rsidRPr="00B53BA6">
        <w:rPr>
          <w:rFonts w:ascii="Times New Roman" w:eastAsia="Times New Roman" w:hAnsi="Times New Roman"/>
          <w:color w:val="000000"/>
          <w:sz w:val="24"/>
          <w:szCs w:val="24"/>
          <w:lang w:eastAsia="en-AU"/>
        </w:rPr>
        <w:t xml:space="preserve"> </w:t>
      </w:r>
      <w:r w:rsidR="00B63A4F">
        <w:rPr>
          <w:rFonts w:ascii="Times New Roman" w:eastAsia="Times New Roman" w:hAnsi="Times New Roman"/>
          <w:color w:val="000000"/>
          <w:sz w:val="24"/>
          <w:szCs w:val="24"/>
          <w:lang w:eastAsia="en-AU"/>
        </w:rPr>
        <w:t xml:space="preserve">make a biosecurity response zone determination </w:t>
      </w:r>
      <w:r w:rsidR="006F5F54">
        <w:rPr>
          <w:rFonts w:ascii="Times New Roman" w:eastAsia="Times New Roman" w:hAnsi="Times New Roman"/>
          <w:color w:val="000000"/>
          <w:sz w:val="24"/>
          <w:szCs w:val="24"/>
          <w:lang w:eastAsia="en-AU"/>
        </w:rPr>
        <w:t xml:space="preserve">with certainty that </w:t>
      </w:r>
      <w:r w:rsidR="00B63A4F">
        <w:rPr>
          <w:rFonts w:ascii="Times New Roman" w:eastAsia="Times New Roman" w:hAnsi="Times New Roman"/>
          <w:color w:val="000000"/>
          <w:sz w:val="24"/>
          <w:szCs w:val="24"/>
          <w:lang w:eastAsia="en-AU"/>
        </w:rPr>
        <w:t>it</w:t>
      </w:r>
      <w:r w:rsidR="006F5F54">
        <w:rPr>
          <w:rFonts w:ascii="Times New Roman" w:eastAsia="Times New Roman" w:hAnsi="Times New Roman"/>
          <w:color w:val="000000"/>
          <w:sz w:val="24"/>
          <w:szCs w:val="24"/>
          <w:lang w:eastAsia="en-AU"/>
        </w:rPr>
        <w:t xml:space="preserve"> will remain in effect</w:t>
      </w:r>
      <w:r w:rsidR="00CF01C3">
        <w:rPr>
          <w:rFonts w:ascii="Times New Roman" w:eastAsia="Times New Roman" w:hAnsi="Times New Roman"/>
          <w:color w:val="000000"/>
          <w:sz w:val="24"/>
          <w:szCs w:val="24"/>
          <w:lang w:eastAsia="en-AU"/>
        </w:rPr>
        <w:t xml:space="preserve"> and</w:t>
      </w:r>
      <w:r w:rsidR="004F444C">
        <w:rPr>
          <w:rFonts w:ascii="Times New Roman" w:eastAsia="Times New Roman" w:hAnsi="Times New Roman"/>
          <w:color w:val="000000"/>
          <w:sz w:val="24"/>
          <w:szCs w:val="24"/>
          <w:lang w:eastAsia="en-AU"/>
        </w:rPr>
        <w:t xml:space="preserve"> will remain</w:t>
      </w:r>
      <w:r w:rsidR="00CF01C3">
        <w:rPr>
          <w:rFonts w:ascii="Times New Roman" w:eastAsia="Times New Roman" w:hAnsi="Times New Roman"/>
          <w:color w:val="000000"/>
          <w:sz w:val="24"/>
          <w:szCs w:val="24"/>
          <w:lang w:eastAsia="en-AU"/>
        </w:rPr>
        <w:t xml:space="preserve"> robust</w:t>
      </w:r>
      <w:r w:rsidR="006F5F54">
        <w:rPr>
          <w:rFonts w:ascii="Times New Roman" w:eastAsia="Times New Roman" w:hAnsi="Times New Roman"/>
          <w:color w:val="000000"/>
          <w:sz w:val="24"/>
          <w:szCs w:val="24"/>
          <w:lang w:eastAsia="en-AU"/>
        </w:rPr>
        <w:t xml:space="preserve"> throughout the period during which </w:t>
      </w:r>
      <w:r w:rsidR="00B63A4F">
        <w:rPr>
          <w:rFonts w:ascii="Times New Roman" w:eastAsia="Times New Roman" w:hAnsi="Times New Roman"/>
          <w:color w:val="000000"/>
          <w:sz w:val="24"/>
          <w:szCs w:val="24"/>
          <w:lang w:eastAsia="en-AU"/>
        </w:rPr>
        <w:t>it is necessary to manage the biosecurity risk posed by FMD in that area</w:t>
      </w:r>
      <w:r w:rsidR="008B6FFF">
        <w:rPr>
          <w:rFonts w:ascii="Times New Roman" w:eastAsia="Times New Roman" w:hAnsi="Times New Roman"/>
          <w:color w:val="000000"/>
          <w:sz w:val="24"/>
          <w:szCs w:val="24"/>
          <w:lang w:eastAsia="en-AU"/>
        </w:rPr>
        <w:t xml:space="preserve">. </w:t>
      </w:r>
    </w:p>
    <w:p w14:paraId="0EF6F95E" w14:textId="4B875D7E" w:rsidR="00400B1B" w:rsidRPr="009D487F" w:rsidRDefault="008B6FFF" w:rsidP="00A91D31">
      <w:pPr>
        <w:shd w:val="clear" w:color="auto" w:fill="FFFFFF"/>
        <w:spacing w:before="240"/>
        <w:rPr>
          <w:rFonts w:ascii="Times New Roman" w:eastAsia="Times New Roman" w:hAnsi="Times New Roman"/>
          <w:color w:val="000000"/>
          <w:sz w:val="24"/>
          <w:szCs w:val="24"/>
          <w:highlight w:val="green"/>
          <w:lang w:eastAsia="en-AU"/>
        </w:rPr>
      </w:pPr>
      <w:r w:rsidRPr="00FC605F">
        <w:rPr>
          <w:rFonts w:ascii="Times New Roman" w:eastAsia="Times New Roman" w:hAnsi="Times New Roman"/>
          <w:color w:val="000000"/>
          <w:sz w:val="24"/>
          <w:szCs w:val="24"/>
          <w:lang w:eastAsia="en-AU"/>
        </w:rPr>
        <w:t xml:space="preserve">To maintain a high level of accountability, the Act provides that the power to make the instrument is non-delegable below the level of an SES officer and such an instrument may only be </w:t>
      </w:r>
      <w:r w:rsidR="00B63A4F">
        <w:rPr>
          <w:rFonts w:ascii="Times New Roman" w:eastAsia="Times New Roman" w:hAnsi="Times New Roman"/>
          <w:color w:val="000000"/>
          <w:sz w:val="24"/>
          <w:szCs w:val="24"/>
          <w:lang w:eastAsia="en-AU"/>
        </w:rPr>
        <w:t>in effect</w:t>
      </w:r>
      <w:r w:rsidR="00B63A4F" w:rsidRPr="00FC605F">
        <w:rPr>
          <w:rFonts w:ascii="Times New Roman" w:eastAsia="Times New Roman" w:hAnsi="Times New Roman"/>
          <w:color w:val="000000"/>
          <w:sz w:val="24"/>
          <w:szCs w:val="24"/>
          <w:lang w:eastAsia="en-AU"/>
        </w:rPr>
        <w:t xml:space="preserve"> </w:t>
      </w:r>
      <w:r w:rsidRPr="00FC605F">
        <w:rPr>
          <w:rFonts w:ascii="Times New Roman" w:eastAsia="Times New Roman" w:hAnsi="Times New Roman"/>
          <w:color w:val="000000"/>
          <w:sz w:val="24"/>
          <w:szCs w:val="24"/>
          <w:lang w:eastAsia="en-AU"/>
        </w:rPr>
        <w:t>for a maximum of 12 months.</w:t>
      </w:r>
    </w:p>
    <w:p w14:paraId="2B98C3B8" w14:textId="51CC085D" w:rsidR="004E1EF6" w:rsidRPr="00FC605F" w:rsidRDefault="008B6FFF" w:rsidP="00A91D31">
      <w:pPr>
        <w:shd w:val="clear" w:color="auto" w:fill="FFFFFF"/>
        <w:spacing w:before="240"/>
        <w:rPr>
          <w:rFonts w:eastAsia="Times New Roman"/>
          <w:color w:val="000000"/>
          <w:lang w:eastAsia="en-AU"/>
        </w:rPr>
      </w:pPr>
      <w:r w:rsidRPr="00FC605F">
        <w:rPr>
          <w:rFonts w:ascii="Times New Roman" w:eastAsia="Times New Roman" w:hAnsi="Times New Roman"/>
          <w:color w:val="000000"/>
          <w:sz w:val="24"/>
          <w:szCs w:val="24"/>
          <w:lang w:eastAsia="en-AU"/>
        </w:rPr>
        <w:t>This exemption from disallowance is in accordance with paragraph 44(2)(a) of the Legislation Act. As the Amendment Determination is exempt from disallowance, this also means that a Statement of Compatibility with Human Rights is not required in accordance with paragraph 15J(2)(f) of the Legislation Act and subsection 9(1) of the </w:t>
      </w:r>
      <w:r w:rsidRPr="00D07DE0">
        <w:rPr>
          <w:rFonts w:ascii="Times New Roman" w:eastAsia="Times New Roman" w:hAnsi="Times New Roman"/>
          <w:i/>
          <w:iCs/>
          <w:color w:val="000000"/>
          <w:sz w:val="24"/>
          <w:szCs w:val="24"/>
          <w:lang w:eastAsia="en-AU"/>
        </w:rPr>
        <w:t>Human Rights (Parliamentary Scrutiny) Act 2011</w:t>
      </w:r>
      <w:r w:rsidRPr="00FC605F">
        <w:rPr>
          <w:rFonts w:ascii="Times New Roman" w:eastAsia="Times New Roman" w:hAnsi="Times New Roman"/>
          <w:color w:val="000000"/>
          <w:sz w:val="24"/>
          <w:szCs w:val="24"/>
          <w:lang w:eastAsia="en-AU"/>
        </w:rPr>
        <w:t>.</w:t>
      </w:r>
    </w:p>
    <w:p w14:paraId="01AFF76E" w14:textId="50F4B5D0" w:rsidR="00C2735A" w:rsidRDefault="00C2735A" w:rsidP="002A045B">
      <w:pPr>
        <w:spacing w:before="0"/>
        <w:jc w:val="both"/>
        <w:rPr>
          <w:rFonts w:ascii="Times New Roman" w:eastAsia="Times New Roman" w:hAnsi="Times New Roman"/>
          <w:color w:val="000000"/>
          <w:sz w:val="24"/>
          <w:szCs w:val="24"/>
          <w:lang w:eastAsia="en-AU"/>
        </w:rPr>
      </w:pPr>
    </w:p>
    <w:p w14:paraId="56EFD72F" w14:textId="4A1F121F" w:rsidR="00402BB2" w:rsidRDefault="00402BB2" w:rsidP="002A045B">
      <w:pPr>
        <w:spacing w:before="0"/>
        <w:jc w:val="both"/>
        <w:rPr>
          <w:rFonts w:ascii="Times New Roman" w:eastAsia="Times New Roman" w:hAnsi="Times New Roman"/>
          <w:color w:val="000000"/>
          <w:sz w:val="24"/>
          <w:szCs w:val="24"/>
          <w:lang w:eastAsia="en-AU"/>
        </w:rPr>
      </w:pPr>
    </w:p>
    <w:p w14:paraId="25070641" w14:textId="1987C109" w:rsidR="00402BB2" w:rsidRDefault="00402BB2" w:rsidP="002A045B">
      <w:pPr>
        <w:spacing w:before="0"/>
        <w:jc w:val="both"/>
        <w:rPr>
          <w:rFonts w:ascii="Times New Roman" w:eastAsia="Times New Roman" w:hAnsi="Times New Roman"/>
          <w:color w:val="000000"/>
          <w:sz w:val="24"/>
          <w:szCs w:val="24"/>
          <w:lang w:eastAsia="en-AU"/>
        </w:rPr>
      </w:pPr>
    </w:p>
    <w:p w14:paraId="08052C72" w14:textId="4986D167" w:rsidR="00402BB2" w:rsidRDefault="00402BB2" w:rsidP="002A045B">
      <w:pPr>
        <w:spacing w:before="0"/>
        <w:jc w:val="both"/>
        <w:rPr>
          <w:rFonts w:ascii="Times New Roman" w:eastAsia="Times New Roman" w:hAnsi="Times New Roman"/>
          <w:color w:val="000000"/>
          <w:sz w:val="24"/>
          <w:szCs w:val="24"/>
          <w:lang w:eastAsia="en-AU"/>
        </w:rPr>
      </w:pPr>
    </w:p>
    <w:p w14:paraId="541C3AE7" w14:textId="5A0C8BA1" w:rsidR="00402BB2" w:rsidRDefault="00402BB2" w:rsidP="002A045B">
      <w:pPr>
        <w:spacing w:before="0"/>
        <w:jc w:val="both"/>
        <w:rPr>
          <w:rFonts w:ascii="Times New Roman" w:eastAsia="Times New Roman" w:hAnsi="Times New Roman"/>
          <w:color w:val="000000"/>
          <w:sz w:val="24"/>
          <w:szCs w:val="24"/>
          <w:lang w:eastAsia="en-AU"/>
        </w:rPr>
      </w:pPr>
    </w:p>
    <w:p w14:paraId="2E5585EB" w14:textId="21FF4776" w:rsidR="00402BB2" w:rsidRDefault="00402BB2" w:rsidP="002A045B">
      <w:pPr>
        <w:spacing w:before="0"/>
        <w:jc w:val="both"/>
        <w:rPr>
          <w:rFonts w:ascii="Times New Roman" w:eastAsia="Times New Roman" w:hAnsi="Times New Roman"/>
          <w:color w:val="000000"/>
          <w:sz w:val="24"/>
          <w:szCs w:val="24"/>
          <w:lang w:eastAsia="en-AU"/>
        </w:rPr>
      </w:pPr>
    </w:p>
    <w:p w14:paraId="59655175" w14:textId="1EF2DC4F" w:rsidR="00402BB2" w:rsidRDefault="00402BB2" w:rsidP="002A045B">
      <w:pPr>
        <w:spacing w:before="0"/>
        <w:jc w:val="both"/>
        <w:rPr>
          <w:rFonts w:ascii="Times New Roman" w:eastAsia="Times New Roman" w:hAnsi="Times New Roman"/>
          <w:color w:val="000000"/>
          <w:sz w:val="24"/>
          <w:szCs w:val="24"/>
          <w:lang w:eastAsia="en-AU"/>
        </w:rPr>
      </w:pPr>
    </w:p>
    <w:p w14:paraId="65FA7E44" w14:textId="55CAE00D" w:rsidR="00402BB2" w:rsidRDefault="00402BB2" w:rsidP="002A045B">
      <w:pPr>
        <w:spacing w:before="0"/>
        <w:jc w:val="both"/>
        <w:rPr>
          <w:rFonts w:ascii="Times New Roman" w:eastAsia="Times New Roman" w:hAnsi="Times New Roman"/>
          <w:color w:val="000000"/>
          <w:sz w:val="24"/>
          <w:szCs w:val="24"/>
          <w:lang w:eastAsia="en-AU"/>
        </w:rPr>
      </w:pPr>
    </w:p>
    <w:p w14:paraId="63023B65" w14:textId="67AD8860" w:rsidR="00402BB2" w:rsidRDefault="00402BB2" w:rsidP="002A045B">
      <w:pPr>
        <w:spacing w:before="0"/>
        <w:jc w:val="both"/>
        <w:rPr>
          <w:rFonts w:ascii="Times New Roman" w:eastAsia="Times New Roman" w:hAnsi="Times New Roman"/>
          <w:color w:val="000000"/>
          <w:sz w:val="24"/>
          <w:szCs w:val="24"/>
          <w:lang w:eastAsia="en-AU"/>
        </w:rPr>
      </w:pPr>
    </w:p>
    <w:p w14:paraId="0755C04B" w14:textId="7FBEA28F" w:rsidR="00402BB2" w:rsidRDefault="00402BB2" w:rsidP="002A045B">
      <w:pPr>
        <w:spacing w:before="0"/>
        <w:jc w:val="both"/>
        <w:rPr>
          <w:rFonts w:ascii="Times New Roman" w:eastAsia="Times New Roman" w:hAnsi="Times New Roman"/>
          <w:color w:val="000000"/>
          <w:sz w:val="24"/>
          <w:szCs w:val="24"/>
          <w:lang w:eastAsia="en-AU"/>
        </w:rPr>
      </w:pPr>
    </w:p>
    <w:p w14:paraId="4F6F3352" w14:textId="7810B5DD" w:rsidR="00402BB2" w:rsidRDefault="00402BB2" w:rsidP="002A045B">
      <w:pPr>
        <w:spacing w:before="0"/>
        <w:jc w:val="both"/>
        <w:rPr>
          <w:rFonts w:ascii="Times New Roman" w:eastAsia="Times New Roman" w:hAnsi="Times New Roman"/>
          <w:color w:val="000000"/>
          <w:sz w:val="24"/>
          <w:szCs w:val="24"/>
          <w:lang w:eastAsia="en-AU"/>
        </w:rPr>
      </w:pPr>
    </w:p>
    <w:p w14:paraId="341DE0C3" w14:textId="79446DE1" w:rsidR="00402BB2" w:rsidRDefault="00402BB2" w:rsidP="002A045B">
      <w:pPr>
        <w:spacing w:before="0"/>
        <w:jc w:val="both"/>
        <w:rPr>
          <w:rFonts w:ascii="Times New Roman" w:eastAsia="Times New Roman" w:hAnsi="Times New Roman"/>
          <w:color w:val="000000"/>
          <w:sz w:val="24"/>
          <w:szCs w:val="24"/>
          <w:lang w:eastAsia="en-AU"/>
        </w:rPr>
      </w:pPr>
    </w:p>
    <w:p w14:paraId="51385729" w14:textId="797494A3" w:rsidR="00402BB2" w:rsidRDefault="00402BB2" w:rsidP="002A045B">
      <w:pPr>
        <w:spacing w:before="0"/>
        <w:jc w:val="both"/>
        <w:rPr>
          <w:rFonts w:ascii="Times New Roman" w:eastAsia="Times New Roman" w:hAnsi="Times New Roman"/>
          <w:color w:val="000000"/>
          <w:sz w:val="24"/>
          <w:szCs w:val="24"/>
          <w:lang w:eastAsia="en-AU"/>
        </w:rPr>
      </w:pPr>
    </w:p>
    <w:p w14:paraId="522B8318" w14:textId="77777777" w:rsidR="00897A44" w:rsidRDefault="00897A44" w:rsidP="002A045B">
      <w:pPr>
        <w:spacing w:before="0"/>
        <w:jc w:val="both"/>
        <w:rPr>
          <w:rFonts w:ascii="Times New Roman" w:eastAsia="Times New Roman" w:hAnsi="Times New Roman"/>
          <w:color w:val="000000"/>
          <w:sz w:val="24"/>
          <w:szCs w:val="24"/>
          <w:lang w:eastAsia="en-AU"/>
        </w:rPr>
      </w:pPr>
    </w:p>
    <w:p w14:paraId="1450330D" w14:textId="530DBACB" w:rsidR="00512D19" w:rsidRPr="00C2735A" w:rsidRDefault="008B6FFF"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4EA0F65C" w:rsidR="00512D19" w:rsidRPr="008203AF" w:rsidRDefault="008B6FFF"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8203AF">
        <w:rPr>
          <w:rFonts w:ascii="Times New Roman" w:hAnsi="Times New Roman"/>
          <w:b/>
          <w:bCs/>
          <w:i/>
          <w:iCs/>
          <w:sz w:val="24"/>
          <w:szCs w:val="24"/>
          <w:u w:val="single"/>
          <w:lang w:eastAsia="ja-JP"/>
        </w:rPr>
        <w:t>Biosecurity (Foot and Mouth Disease Biosecurity Response Zone) Amendment (Gold Coast Airport) Determination 2023</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8B6FFF"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231A7AE0" w:rsidR="00512D19" w:rsidRDefault="008B6FFF"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8203AF">
        <w:rPr>
          <w:rFonts w:ascii="Times New Roman" w:hAnsi="Times New Roman"/>
          <w:i/>
          <w:iCs/>
          <w:sz w:val="24"/>
          <w:szCs w:val="24"/>
          <w:lang w:eastAsia="ja-JP"/>
        </w:rPr>
        <w:t>Biosecurity (Foot and Mouth Disease Biosecurity Response Zone) Amendment (Gold Coast Airport) Determination 2023</w:t>
      </w:r>
      <w:r w:rsidR="00513CB9">
        <w:rPr>
          <w:rFonts w:ascii="Times New Roman" w:hAnsi="Times New Roman"/>
          <w:sz w:val="24"/>
          <w:szCs w:val="24"/>
          <w:lang w:eastAsia="ja-JP"/>
        </w:rPr>
        <w:t xml:space="preserve"> (the Amendment </w:t>
      </w:r>
      <w:r w:rsidR="008203AF">
        <w:rPr>
          <w:rFonts w:ascii="Times New Roman" w:hAnsi="Times New Roman"/>
          <w:sz w:val="24"/>
          <w:szCs w:val="24"/>
          <w:lang w:eastAsia="ja-JP"/>
        </w:rPr>
        <w:t>Determination</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8B6FFF"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4C3F7B3E" w14:textId="77777777" w:rsidR="002A045B" w:rsidRDefault="002A045B" w:rsidP="002A045B">
      <w:pPr>
        <w:spacing w:before="0"/>
        <w:rPr>
          <w:rFonts w:ascii="Times New Roman" w:hAnsi="Times New Roman"/>
          <w:sz w:val="24"/>
          <w:szCs w:val="24"/>
          <w:lang w:eastAsia="ja-JP"/>
        </w:rPr>
      </w:pPr>
    </w:p>
    <w:p w14:paraId="661AC986" w14:textId="1C331599" w:rsidR="005D071B" w:rsidRDefault="008B6FFF"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8203AF">
        <w:rPr>
          <w:rFonts w:ascii="Times New Roman" w:hAnsi="Times New Roman"/>
          <w:sz w:val="24"/>
          <w:szCs w:val="24"/>
          <w:lang w:eastAsia="ja-JP"/>
        </w:rPr>
        <w:t>Determination</w:t>
      </w:r>
      <w:r>
        <w:rPr>
          <w:rFonts w:ascii="Times New Roman" w:hAnsi="Times New Roman"/>
          <w:sz w:val="24"/>
          <w:szCs w:val="24"/>
          <w:lang w:eastAsia="ja-JP"/>
        </w:rPr>
        <w:t xml:space="preserve"> commences </w:t>
      </w:r>
      <w:r w:rsidRPr="001F5171">
        <w:rPr>
          <w:rFonts w:ascii="Times New Roman" w:hAnsi="Times New Roman"/>
          <w:sz w:val="24"/>
          <w:szCs w:val="24"/>
          <w:lang w:eastAsia="ja-JP"/>
        </w:rPr>
        <w:t>on the day after the instrument is registered on the Federal Register of Legislation.</w:t>
      </w:r>
      <w:r w:rsidR="008203AF" w:rsidRPr="001F5171">
        <w:rPr>
          <w:rFonts w:ascii="Times New Roman" w:hAnsi="Times New Roman"/>
          <w:sz w:val="24"/>
          <w:szCs w:val="24"/>
          <w:lang w:eastAsia="ja-JP"/>
        </w:rPr>
        <w:t xml:space="preserve"> </w:t>
      </w:r>
    </w:p>
    <w:p w14:paraId="7BC7D396" w14:textId="77777777" w:rsidR="002A045B" w:rsidRDefault="002A045B" w:rsidP="002A045B">
      <w:pPr>
        <w:spacing w:before="0"/>
        <w:rPr>
          <w:rFonts w:ascii="Times New Roman" w:hAnsi="Times New Roman"/>
          <w:sz w:val="24"/>
          <w:szCs w:val="24"/>
          <w:lang w:eastAsia="ja-JP"/>
        </w:rPr>
      </w:pPr>
    </w:p>
    <w:p w14:paraId="68705C9A" w14:textId="76452CD2" w:rsidR="002A045B" w:rsidRDefault="008B6FFF"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below the table provides that the table relates only to the provision of the </w:t>
      </w:r>
      <w:r w:rsidR="00500CE3">
        <w:rPr>
          <w:rFonts w:ascii="Times New Roman" w:hAnsi="Times New Roman"/>
          <w:sz w:val="24"/>
          <w:szCs w:val="24"/>
          <w:lang w:eastAsia="ja-JP"/>
        </w:rPr>
        <w:t xml:space="preserve">Amendment </w:t>
      </w:r>
      <w:r w:rsidR="008203AF">
        <w:rPr>
          <w:rFonts w:ascii="Times New Roman" w:hAnsi="Times New Roman"/>
          <w:sz w:val="24"/>
          <w:szCs w:val="24"/>
          <w:lang w:eastAsia="ja-JP"/>
        </w:rPr>
        <w:t>Determination</w:t>
      </w:r>
      <w:r>
        <w:rPr>
          <w:rFonts w:ascii="Times New Roman" w:hAnsi="Times New Roman"/>
          <w:sz w:val="24"/>
          <w:szCs w:val="24"/>
          <w:lang w:eastAsia="ja-JP"/>
        </w:rPr>
        <w:t xml:space="preserve"> as originally made. It would not be amended to deal with later amendments of the </w:t>
      </w:r>
      <w:r w:rsidR="00500CE3">
        <w:rPr>
          <w:rFonts w:ascii="Times New Roman" w:hAnsi="Times New Roman"/>
          <w:sz w:val="24"/>
          <w:szCs w:val="24"/>
          <w:lang w:eastAsia="ja-JP"/>
        </w:rPr>
        <w:t xml:space="preserve">Amendment </w:t>
      </w:r>
      <w:r w:rsidR="008203AF">
        <w:rPr>
          <w:rFonts w:ascii="Times New Roman" w:hAnsi="Times New Roman"/>
          <w:sz w:val="24"/>
          <w:szCs w:val="24"/>
          <w:lang w:eastAsia="ja-JP"/>
        </w:rPr>
        <w:t>Determination</w:t>
      </w:r>
      <w:r>
        <w:rPr>
          <w:rFonts w:ascii="Times New Roman" w:hAnsi="Times New Roman"/>
          <w:sz w:val="24"/>
          <w:szCs w:val="24"/>
          <w:lang w:eastAsia="ja-JP"/>
        </w:rPr>
        <w:t>. The purpose of this note is to clarify that the commencement of any amendments is not reflected in this table.</w:t>
      </w:r>
    </w:p>
    <w:p w14:paraId="56D561C2" w14:textId="77777777" w:rsidR="008203AF" w:rsidRDefault="008203AF" w:rsidP="002A045B">
      <w:pPr>
        <w:spacing w:before="0"/>
        <w:rPr>
          <w:rFonts w:ascii="Times New Roman" w:hAnsi="Times New Roman"/>
          <w:sz w:val="24"/>
          <w:szCs w:val="24"/>
          <w:lang w:eastAsia="ja-JP"/>
        </w:rPr>
      </w:pPr>
    </w:p>
    <w:p w14:paraId="7631E87A" w14:textId="1E44F0C0" w:rsidR="000825FA" w:rsidRDefault="008B6FFF"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0BC6F985" w:rsidR="000825FA" w:rsidRDefault="008B6FFF"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8203AF">
        <w:rPr>
          <w:rFonts w:ascii="Times New Roman" w:hAnsi="Times New Roman"/>
          <w:sz w:val="24"/>
          <w:szCs w:val="24"/>
          <w:lang w:eastAsia="ja-JP"/>
        </w:rPr>
        <w:t>Determination</w:t>
      </w:r>
      <w:r>
        <w:rPr>
          <w:rFonts w:ascii="Times New Roman" w:hAnsi="Times New Roman"/>
          <w:sz w:val="24"/>
          <w:szCs w:val="24"/>
          <w:lang w:eastAsia="ja-JP"/>
        </w:rPr>
        <w:t xml:space="preserve"> is made under </w:t>
      </w:r>
      <w:r w:rsidR="008203AF">
        <w:rPr>
          <w:rFonts w:ascii="Times New Roman" w:hAnsi="Times New Roman"/>
          <w:sz w:val="24"/>
          <w:szCs w:val="24"/>
          <w:lang w:eastAsia="ja-JP"/>
        </w:rPr>
        <w:t xml:space="preserve">subsection 365(1) of the </w:t>
      </w:r>
      <w:r w:rsidR="008203AF">
        <w:rPr>
          <w:rFonts w:ascii="Times New Roman" w:hAnsi="Times New Roman"/>
          <w:i/>
          <w:iCs/>
          <w:sz w:val="24"/>
          <w:szCs w:val="24"/>
          <w:lang w:eastAsia="ja-JP"/>
        </w:rPr>
        <w:t>Biosecurity Act 2015</w:t>
      </w:r>
      <w:r w:rsidR="002D3ED1">
        <w:rPr>
          <w:rFonts w:ascii="Times New Roman" w:hAnsi="Times New Roman"/>
          <w:i/>
          <w:iCs/>
          <w:sz w:val="24"/>
          <w:szCs w:val="24"/>
          <w:lang w:eastAsia="ja-JP"/>
        </w:rPr>
        <w:t xml:space="preserve"> </w:t>
      </w:r>
      <w:r w:rsidR="002D3ED1">
        <w:rPr>
          <w:rFonts w:ascii="Times New Roman" w:hAnsi="Times New Roman"/>
          <w:sz w:val="24"/>
          <w:szCs w:val="24"/>
          <w:lang w:eastAsia="ja-JP"/>
        </w:rPr>
        <w:t>(the Act)</w:t>
      </w:r>
      <w:r w:rsidR="008203AF">
        <w:rPr>
          <w:rFonts w:ascii="Times New Roman" w:hAnsi="Times New Roman"/>
          <w:i/>
          <w:iCs/>
          <w:sz w:val="24"/>
          <w:szCs w:val="24"/>
          <w:lang w:eastAsia="ja-JP"/>
        </w:rPr>
        <w:t xml:space="preserve">. </w:t>
      </w:r>
    </w:p>
    <w:p w14:paraId="3FCA2A32" w14:textId="77777777" w:rsidR="00D03D7E" w:rsidRDefault="00D03D7E" w:rsidP="002A045B">
      <w:pPr>
        <w:spacing w:before="0"/>
        <w:jc w:val="both"/>
        <w:rPr>
          <w:rFonts w:ascii="Times New Roman" w:hAnsi="Times New Roman"/>
          <w:sz w:val="24"/>
          <w:szCs w:val="24"/>
          <w:u w:val="single"/>
          <w:lang w:eastAsia="ja-JP"/>
        </w:rPr>
      </w:pPr>
    </w:p>
    <w:p w14:paraId="6000475C" w14:textId="56F8EC94" w:rsidR="002A045B" w:rsidRDefault="008B6FFF" w:rsidP="00301FF9">
      <w:pPr>
        <w:spacing w:before="0"/>
        <w:jc w:val="both"/>
        <w:rPr>
          <w:rFonts w:ascii="Times New Roman" w:hAnsi="Times New Roman"/>
          <w:sz w:val="24"/>
          <w:szCs w:val="24"/>
          <w:lang w:eastAsia="ja-JP"/>
        </w:rPr>
      </w:pPr>
      <w:r w:rsidRPr="00D03D7E">
        <w:rPr>
          <w:rFonts w:ascii="Times New Roman" w:hAnsi="Times New Roman"/>
          <w:sz w:val="24"/>
          <w:szCs w:val="24"/>
          <w:u w:val="single"/>
          <w:lang w:eastAsia="ja-JP"/>
        </w:rPr>
        <w:t>Section 4 – Schedules</w:t>
      </w:r>
    </w:p>
    <w:p w14:paraId="2698C7A7" w14:textId="77777777" w:rsidR="00301FF9" w:rsidRDefault="00301FF9" w:rsidP="00301FF9">
      <w:pPr>
        <w:spacing w:before="0"/>
        <w:jc w:val="both"/>
        <w:rPr>
          <w:rFonts w:ascii="Times New Roman" w:hAnsi="Times New Roman"/>
          <w:sz w:val="24"/>
          <w:szCs w:val="24"/>
          <w:lang w:eastAsia="ja-JP"/>
        </w:rPr>
      </w:pPr>
    </w:p>
    <w:p w14:paraId="532D0E85" w14:textId="76638925" w:rsidR="00500CE3" w:rsidRDefault="008B6FFF"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for the amendment or repeal of instruments as set out in a Schedule to the Amendment </w:t>
      </w:r>
      <w:r w:rsidR="00D01345">
        <w:rPr>
          <w:rFonts w:ascii="Times New Roman" w:hAnsi="Times New Roman"/>
          <w:sz w:val="24"/>
          <w:szCs w:val="24"/>
          <w:lang w:eastAsia="ja-JP"/>
        </w:rPr>
        <w:t>Determination</w:t>
      </w:r>
      <w:r>
        <w:rPr>
          <w:rFonts w:ascii="Times New Roman" w:hAnsi="Times New Roman"/>
          <w:sz w:val="24"/>
          <w:szCs w:val="24"/>
          <w:lang w:eastAsia="ja-JP"/>
        </w:rPr>
        <w:t xml:space="preserve">. This enables the amendment of the </w:t>
      </w:r>
      <w:r w:rsidR="00D01345">
        <w:rPr>
          <w:rFonts w:ascii="Times New Roman" w:hAnsi="Times New Roman"/>
          <w:i/>
          <w:iCs/>
          <w:sz w:val="24"/>
          <w:szCs w:val="24"/>
          <w:lang w:eastAsia="ja-JP"/>
        </w:rPr>
        <w:t>Biosecurity (Foot and Mouth Disease Biosecurity Response Zone) Determination 2022</w:t>
      </w:r>
      <w:r>
        <w:rPr>
          <w:rFonts w:ascii="Times New Roman" w:hAnsi="Times New Roman"/>
          <w:sz w:val="24"/>
          <w:szCs w:val="24"/>
          <w:lang w:eastAsia="ja-JP"/>
        </w:rPr>
        <w:t xml:space="preserve"> (the Principal </w:t>
      </w:r>
      <w:r w:rsidR="00D01345">
        <w:rPr>
          <w:rFonts w:ascii="Times New Roman" w:hAnsi="Times New Roman"/>
          <w:sz w:val="24"/>
          <w:szCs w:val="24"/>
          <w:lang w:eastAsia="ja-JP"/>
        </w:rPr>
        <w:t>Determination</w:t>
      </w:r>
      <w:r>
        <w:rPr>
          <w:rFonts w:ascii="Times New Roman" w:hAnsi="Times New Roman"/>
          <w:sz w:val="24"/>
          <w:szCs w:val="24"/>
          <w:lang w:eastAsia="ja-JP"/>
        </w:rPr>
        <w:t>).</w:t>
      </w:r>
    </w:p>
    <w:p w14:paraId="49CC16F4" w14:textId="03E71569" w:rsidR="003C270F" w:rsidRDefault="008B6FFF" w:rsidP="00500CE3">
      <w:pPr>
        <w:spacing w:before="0"/>
        <w:rPr>
          <w:rFonts w:ascii="Times New Roman" w:hAnsi="Times New Roman"/>
          <w:sz w:val="24"/>
          <w:szCs w:val="24"/>
          <w:lang w:eastAsia="ja-JP"/>
        </w:rPr>
      </w:pPr>
      <w:r>
        <w:rPr>
          <w:rFonts w:ascii="Times New Roman" w:hAnsi="Times New Roman"/>
          <w:sz w:val="24"/>
          <w:szCs w:val="24"/>
          <w:lang w:eastAsia="ja-JP"/>
        </w:rPr>
        <w:br w:type="page"/>
      </w:r>
    </w:p>
    <w:p w14:paraId="0D1512AE" w14:textId="012BFF5F" w:rsidR="000C7382" w:rsidRPr="00500CE3" w:rsidRDefault="008B6FFF" w:rsidP="00500CE3">
      <w:pPr>
        <w:spacing w:before="0"/>
        <w:rPr>
          <w:rFonts w:ascii="Times New Roman" w:hAnsi="Times New Roman"/>
          <w:sz w:val="24"/>
          <w:szCs w:val="24"/>
          <w:u w:val="single"/>
          <w:lang w:eastAsia="ja-JP"/>
        </w:rPr>
      </w:pPr>
      <w:r w:rsidRPr="00500CE3">
        <w:rPr>
          <w:rFonts w:ascii="Times New Roman" w:hAnsi="Times New Roman"/>
          <w:b/>
          <w:bCs/>
          <w:sz w:val="24"/>
          <w:szCs w:val="24"/>
          <w:u w:val="single"/>
          <w:lang w:eastAsia="ja-JP"/>
        </w:rPr>
        <w:lastRenderedPageBreak/>
        <w:t>Schedule 1 – Amendments</w:t>
      </w:r>
    </w:p>
    <w:p w14:paraId="6E396666" w14:textId="77777777" w:rsidR="002A045B" w:rsidRDefault="002A045B" w:rsidP="00500CE3">
      <w:pPr>
        <w:spacing w:before="0"/>
        <w:rPr>
          <w:rFonts w:ascii="Times New Roman" w:hAnsi="Times New Roman"/>
          <w:b/>
          <w:bCs/>
          <w:sz w:val="24"/>
          <w:szCs w:val="24"/>
          <w:lang w:eastAsia="ja-JP"/>
        </w:rPr>
      </w:pPr>
    </w:p>
    <w:p w14:paraId="090EF528" w14:textId="7A57DBD0" w:rsidR="000C7382" w:rsidRPr="008277DD" w:rsidRDefault="008B6FFF" w:rsidP="00500CE3">
      <w:pPr>
        <w:spacing w:before="0"/>
        <w:rPr>
          <w:rFonts w:ascii="Times New Roman" w:hAnsi="Times New Roman"/>
          <w:i/>
          <w:iCs/>
          <w:sz w:val="24"/>
          <w:szCs w:val="24"/>
          <w:lang w:eastAsia="ja-JP"/>
        </w:rPr>
      </w:pPr>
      <w:r>
        <w:rPr>
          <w:rFonts w:ascii="Times New Roman" w:hAnsi="Times New Roman"/>
          <w:i/>
          <w:iCs/>
          <w:sz w:val="24"/>
          <w:szCs w:val="24"/>
          <w:lang w:eastAsia="ja-JP"/>
        </w:rPr>
        <w:t>Biosecurity (Foot and Mouth Disease Biosecurity Response Zone) Determination 202</w:t>
      </w:r>
      <w:r w:rsidR="00897A44">
        <w:rPr>
          <w:rFonts w:ascii="Times New Roman" w:hAnsi="Times New Roman"/>
          <w:i/>
          <w:iCs/>
          <w:sz w:val="24"/>
          <w:szCs w:val="24"/>
          <w:lang w:eastAsia="ja-JP"/>
        </w:rPr>
        <w:t>2</w:t>
      </w:r>
    </w:p>
    <w:p w14:paraId="283FA297" w14:textId="77777777" w:rsidR="002A045B" w:rsidRDefault="002A045B" w:rsidP="00500CE3">
      <w:pPr>
        <w:spacing w:before="0"/>
        <w:rPr>
          <w:rFonts w:ascii="Times New Roman" w:hAnsi="Times New Roman"/>
          <w:b/>
          <w:bCs/>
          <w:sz w:val="24"/>
          <w:szCs w:val="24"/>
          <w:lang w:eastAsia="ja-JP"/>
        </w:rPr>
      </w:pPr>
    </w:p>
    <w:p w14:paraId="277C0113" w14:textId="5B710D92" w:rsidR="000C7382" w:rsidRPr="008277DD" w:rsidRDefault="008B6FFF" w:rsidP="00500CE3">
      <w:pPr>
        <w:spacing w:before="0"/>
        <w:rPr>
          <w:rFonts w:ascii="Times New Roman" w:hAnsi="Times New Roman"/>
          <w:b/>
          <w:bCs/>
          <w:i/>
          <w:iCs/>
          <w:sz w:val="24"/>
          <w:szCs w:val="24"/>
          <w:lang w:eastAsia="ja-JP"/>
        </w:rPr>
      </w:pPr>
      <w:r>
        <w:rPr>
          <w:rFonts w:ascii="Times New Roman" w:hAnsi="Times New Roman"/>
          <w:b/>
          <w:bCs/>
          <w:sz w:val="24"/>
          <w:szCs w:val="24"/>
          <w:lang w:eastAsia="ja-JP"/>
        </w:rPr>
        <w:t xml:space="preserve">Item [1] – </w:t>
      </w:r>
      <w:r w:rsidR="008277DD">
        <w:rPr>
          <w:rFonts w:ascii="Times New Roman" w:hAnsi="Times New Roman"/>
          <w:b/>
          <w:bCs/>
          <w:sz w:val="24"/>
          <w:szCs w:val="24"/>
          <w:lang w:eastAsia="ja-JP"/>
        </w:rPr>
        <w:t xml:space="preserve">Section 4 (at the end of the definition of </w:t>
      </w:r>
      <w:r w:rsidR="008277DD">
        <w:rPr>
          <w:rFonts w:ascii="Times New Roman" w:hAnsi="Times New Roman"/>
          <w:b/>
          <w:bCs/>
          <w:i/>
          <w:iCs/>
          <w:sz w:val="24"/>
          <w:szCs w:val="24"/>
          <w:lang w:eastAsia="ja-JP"/>
        </w:rPr>
        <w:t>relevant landing place</w:t>
      </w:r>
      <w:r w:rsidR="008277DD" w:rsidRPr="008277DD">
        <w:rPr>
          <w:rFonts w:ascii="Times New Roman" w:hAnsi="Times New Roman"/>
          <w:b/>
          <w:bCs/>
          <w:sz w:val="24"/>
          <w:szCs w:val="24"/>
          <w:lang w:eastAsia="ja-JP"/>
        </w:rPr>
        <w:t>)</w:t>
      </w:r>
    </w:p>
    <w:p w14:paraId="2C0AB59B" w14:textId="77777777" w:rsidR="002A045B" w:rsidRDefault="002A045B" w:rsidP="00500CE3">
      <w:pPr>
        <w:spacing w:before="0"/>
        <w:rPr>
          <w:rFonts w:ascii="Times New Roman" w:hAnsi="Times New Roman"/>
          <w:b/>
          <w:bCs/>
          <w:sz w:val="24"/>
          <w:szCs w:val="24"/>
          <w:lang w:eastAsia="ja-JP"/>
        </w:rPr>
      </w:pPr>
    </w:p>
    <w:p w14:paraId="4CDE3523" w14:textId="39F2C04F" w:rsidR="00F304DE" w:rsidRDefault="00F304DE" w:rsidP="008277DD">
      <w:pPr>
        <w:spacing w:before="0"/>
        <w:rPr>
          <w:rFonts w:ascii="Times New Roman" w:hAnsi="Times New Roman"/>
          <w:sz w:val="24"/>
          <w:szCs w:val="24"/>
          <w:lang w:eastAsia="ja-JP"/>
        </w:rPr>
      </w:pPr>
      <w:bookmarkStart w:id="0" w:name="_Hlk102659510"/>
      <w:r>
        <w:rPr>
          <w:rFonts w:ascii="Times New Roman" w:hAnsi="Times New Roman"/>
          <w:sz w:val="24"/>
          <w:szCs w:val="24"/>
          <w:lang w:eastAsia="ja-JP"/>
        </w:rPr>
        <w:t>This item</w:t>
      </w:r>
      <w:r w:rsidR="008B6FFF">
        <w:rPr>
          <w:rFonts w:ascii="Times New Roman" w:hAnsi="Times New Roman"/>
          <w:sz w:val="24"/>
          <w:szCs w:val="24"/>
          <w:lang w:eastAsia="ja-JP"/>
        </w:rPr>
        <w:t xml:space="preserve"> </w:t>
      </w:r>
      <w:r>
        <w:rPr>
          <w:rFonts w:ascii="Times New Roman" w:hAnsi="Times New Roman"/>
          <w:sz w:val="24"/>
          <w:szCs w:val="24"/>
          <w:lang w:eastAsia="ja-JP"/>
        </w:rPr>
        <w:t xml:space="preserve">inserts new paragraph (h) in the definition of “relevant landing place” in section 4 of the Principal Determination. </w:t>
      </w:r>
    </w:p>
    <w:p w14:paraId="61502162" w14:textId="77777777" w:rsidR="00F304DE" w:rsidRDefault="00F304DE" w:rsidP="008277DD">
      <w:pPr>
        <w:spacing w:before="0"/>
        <w:rPr>
          <w:rFonts w:ascii="Times New Roman" w:hAnsi="Times New Roman"/>
          <w:sz w:val="24"/>
          <w:szCs w:val="24"/>
          <w:lang w:eastAsia="ja-JP"/>
        </w:rPr>
      </w:pPr>
    </w:p>
    <w:p w14:paraId="1DB83D31" w14:textId="3E14A533" w:rsidR="008277DD" w:rsidRDefault="00F304DE" w:rsidP="008277DD">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1556B1">
        <w:rPr>
          <w:rFonts w:ascii="Times New Roman" w:hAnsi="Times New Roman"/>
          <w:sz w:val="24"/>
          <w:szCs w:val="24"/>
          <w:lang w:eastAsia="ja-JP"/>
        </w:rPr>
        <w:t>adds</w:t>
      </w:r>
      <w:r w:rsidR="008B6FFF">
        <w:rPr>
          <w:rFonts w:ascii="Times New Roman" w:hAnsi="Times New Roman"/>
          <w:sz w:val="24"/>
          <w:szCs w:val="24"/>
          <w:lang w:eastAsia="ja-JP"/>
        </w:rPr>
        <w:t xml:space="preserve"> Gold Coast Airport to the list of </w:t>
      </w:r>
      <w:r w:rsidR="008B6FFF" w:rsidRPr="001814F1">
        <w:rPr>
          <w:rFonts w:ascii="Times New Roman" w:hAnsi="Times New Roman"/>
          <w:sz w:val="24"/>
          <w:szCs w:val="24"/>
          <w:lang w:eastAsia="ja-JP"/>
        </w:rPr>
        <w:t>relevant landing place</w:t>
      </w:r>
      <w:r w:rsidR="001556B1" w:rsidRPr="001814F1">
        <w:rPr>
          <w:rFonts w:ascii="Times New Roman" w:hAnsi="Times New Roman"/>
          <w:sz w:val="24"/>
          <w:szCs w:val="24"/>
          <w:lang w:eastAsia="ja-JP"/>
        </w:rPr>
        <w:t>s</w:t>
      </w:r>
      <w:r w:rsidR="008B6FFF">
        <w:rPr>
          <w:rFonts w:ascii="Times New Roman" w:hAnsi="Times New Roman"/>
          <w:i/>
          <w:iCs/>
          <w:sz w:val="24"/>
          <w:szCs w:val="24"/>
          <w:lang w:eastAsia="ja-JP"/>
        </w:rPr>
        <w:t xml:space="preserve"> </w:t>
      </w:r>
      <w:r w:rsidR="001556B1">
        <w:rPr>
          <w:rFonts w:ascii="Times New Roman" w:hAnsi="Times New Roman"/>
          <w:sz w:val="24"/>
          <w:szCs w:val="24"/>
          <w:lang w:eastAsia="ja-JP"/>
        </w:rPr>
        <w:t xml:space="preserve">in section 4 of the Principal Determination, such that </w:t>
      </w:r>
      <w:r w:rsidR="00CC2DCB">
        <w:rPr>
          <w:rFonts w:ascii="Times New Roman" w:hAnsi="Times New Roman"/>
          <w:sz w:val="24"/>
          <w:szCs w:val="24"/>
          <w:lang w:eastAsia="ja-JP"/>
        </w:rPr>
        <w:t>the specified areas in Gold Coast Airport are</w:t>
      </w:r>
      <w:r w:rsidR="001556B1">
        <w:rPr>
          <w:rFonts w:ascii="Times New Roman" w:hAnsi="Times New Roman"/>
          <w:sz w:val="24"/>
          <w:szCs w:val="24"/>
          <w:lang w:eastAsia="ja-JP"/>
        </w:rPr>
        <w:t xml:space="preserve"> determined to be a biosecurity response zone </w:t>
      </w:r>
      <w:r w:rsidR="008B6FFF">
        <w:rPr>
          <w:rFonts w:ascii="Times New Roman" w:hAnsi="Times New Roman"/>
          <w:sz w:val="24"/>
          <w:szCs w:val="24"/>
          <w:lang w:eastAsia="ja-JP"/>
        </w:rPr>
        <w:t xml:space="preserve">for the purposes of </w:t>
      </w:r>
      <w:r w:rsidR="001556B1">
        <w:rPr>
          <w:rFonts w:ascii="Times New Roman" w:hAnsi="Times New Roman"/>
          <w:sz w:val="24"/>
          <w:szCs w:val="24"/>
          <w:lang w:eastAsia="ja-JP"/>
        </w:rPr>
        <w:t xml:space="preserve">subsection 365(1) of </w:t>
      </w:r>
      <w:r w:rsidR="008B6FFF">
        <w:rPr>
          <w:rFonts w:ascii="Times New Roman" w:hAnsi="Times New Roman"/>
          <w:sz w:val="24"/>
          <w:szCs w:val="24"/>
          <w:lang w:eastAsia="ja-JP"/>
        </w:rPr>
        <w:t xml:space="preserve">the Act. </w:t>
      </w:r>
      <w:r w:rsidR="00CC2DCB">
        <w:rPr>
          <w:rFonts w:ascii="Times New Roman" w:hAnsi="Times New Roman"/>
          <w:sz w:val="24"/>
          <w:szCs w:val="24"/>
          <w:lang w:eastAsia="ja-JP"/>
        </w:rPr>
        <w:t xml:space="preserve">The specified areas </w:t>
      </w:r>
      <w:r w:rsidR="001814F1">
        <w:rPr>
          <w:rFonts w:ascii="Times New Roman" w:hAnsi="Times New Roman"/>
          <w:sz w:val="24"/>
          <w:szCs w:val="24"/>
          <w:lang w:eastAsia="ja-JP"/>
        </w:rPr>
        <w:t xml:space="preserve">of the relevant landing place are set out in subsection 5(2) of the Principal Determination and include the airside area and landside security zone within the meaning of the </w:t>
      </w:r>
      <w:r w:rsidR="001814F1" w:rsidRPr="001814F1">
        <w:rPr>
          <w:rFonts w:ascii="Times New Roman" w:hAnsi="Times New Roman"/>
          <w:i/>
          <w:iCs/>
          <w:sz w:val="24"/>
          <w:szCs w:val="24"/>
          <w:lang w:eastAsia="ja-JP"/>
        </w:rPr>
        <w:t>Aviation Transport Security Act 2004</w:t>
      </w:r>
      <w:r w:rsidR="001814F1">
        <w:rPr>
          <w:rFonts w:ascii="Times New Roman" w:hAnsi="Times New Roman"/>
          <w:sz w:val="24"/>
          <w:szCs w:val="24"/>
          <w:lang w:eastAsia="ja-JP"/>
        </w:rPr>
        <w:t>, and any other areas of the relevant landing place that are under the control of the Australian Border Force (ABF) or within which the ABF manages and undertakes customs or immigration activities.</w:t>
      </w:r>
    </w:p>
    <w:p w14:paraId="5D0E77CA" w14:textId="0F165953" w:rsidR="00A91D31" w:rsidRDefault="00A91D31" w:rsidP="008277DD">
      <w:pPr>
        <w:spacing w:before="0"/>
        <w:rPr>
          <w:rFonts w:ascii="Times New Roman" w:hAnsi="Times New Roman"/>
          <w:sz w:val="24"/>
          <w:szCs w:val="24"/>
          <w:lang w:eastAsia="ja-JP"/>
        </w:rPr>
      </w:pPr>
    </w:p>
    <w:p w14:paraId="676D8FEE" w14:textId="56251D97" w:rsidR="00A91D31" w:rsidRDefault="008F610E" w:rsidP="008277DD">
      <w:pPr>
        <w:spacing w:before="0"/>
        <w:rPr>
          <w:rFonts w:ascii="Times New Roman" w:hAnsi="Times New Roman"/>
          <w:sz w:val="24"/>
          <w:szCs w:val="24"/>
          <w:lang w:eastAsia="ja-JP"/>
        </w:rPr>
      </w:pPr>
      <w:r>
        <w:rPr>
          <w:rFonts w:ascii="Times New Roman" w:hAnsi="Times New Roman"/>
          <w:sz w:val="24"/>
          <w:szCs w:val="24"/>
          <w:lang w:eastAsia="ja-JP"/>
        </w:rPr>
        <w:t>In making the Amendment Determination, the Director of Biosecurity considered information provided by a biosecurity officer that a disease or pest, namely FMD, may be present in or on goods or premises in the biosecurity response zone as specified in the Principal Determination and that FMD poses an unacceptable level of biosecurity risk. Having considered this information, the Director of Biosecurity was satisfied that it is necessary to make the Amendment Determination for the purposes of managing the biosecurity risk posed by FMD.</w:t>
      </w:r>
    </w:p>
    <w:p w14:paraId="68ED09FC" w14:textId="68A50A78" w:rsidR="00AF7442" w:rsidRDefault="00AF7442" w:rsidP="008277DD">
      <w:pPr>
        <w:spacing w:before="0"/>
        <w:rPr>
          <w:rFonts w:ascii="Times New Roman" w:hAnsi="Times New Roman"/>
          <w:sz w:val="24"/>
          <w:szCs w:val="24"/>
          <w:lang w:eastAsia="ja-JP"/>
        </w:rPr>
      </w:pPr>
    </w:p>
    <w:p w14:paraId="1E8F9C73" w14:textId="59E4DC38" w:rsidR="00AF7442" w:rsidRDefault="00AF7442" w:rsidP="008277DD">
      <w:pPr>
        <w:spacing w:before="0"/>
        <w:rPr>
          <w:rFonts w:ascii="Times New Roman" w:hAnsi="Times New Roman"/>
          <w:sz w:val="24"/>
          <w:szCs w:val="24"/>
          <w:lang w:eastAsia="ja-JP"/>
        </w:rPr>
      </w:pPr>
      <w:r>
        <w:rPr>
          <w:rFonts w:ascii="Times New Roman" w:hAnsi="Times New Roman"/>
          <w:sz w:val="24"/>
          <w:szCs w:val="24"/>
          <w:lang w:eastAsia="ja-JP"/>
        </w:rPr>
        <w:t>Section 310 of the Act is relevant to the meaning of “biosecurity risk” in Chapter 6 of the Act and the Principal Determination. Section 310 relevantly provides that for the purposes of Chapter 6, “biosecurity risk” means the likelihood of a disease or pest entering Australian territory or a part of Australian territory, or emerging, establishing itself or spreading in Australian territory or a part of Australian territory, and the potential for the disease or pest to cause certain kinds of harm or economic consequences (which differ according to whether the disease or pest is suspected of being, or known to be, an invasive pest).</w:t>
      </w:r>
    </w:p>
    <w:p w14:paraId="11EE4A58" w14:textId="7DA6C0CC" w:rsidR="001814F1" w:rsidRDefault="001814F1" w:rsidP="008277DD">
      <w:pPr>
        <w:spacing w:before="0"/>
        <w:rPr>
          <w:rFonts w:ascii="Times New Roman" w:hAnsi="Times New Roman"/>
          <w:sz w:val="24"/>
          <w:szCs w:val="24"/>
          <w:lang w:eastAsia="ja-JP"/>
        </w:rPr>
      </w:pPr>
    </w:p>
    <w:p w14:paraId="013F401C" w14:textId="24986474" w:rsidR="001814F1" w:rsidRDefault="001814F1" w:rsidP="008277DD">
      <w:pPr>
        <w:spacing w:before="0"/>
        <w:rPr>
          <w:rFonts w:ascii="Times New Roman" w:hAnsi="Times New Roman"/>
          <w:sz w:val="24"/>
          <w:szCs w:val="24"/>
          <w:lang w:eastAsia="ja-JP"/>
        </w:rPr>
      </w:pPr>
      <w:r>
        <w:rPr>
          <w:rFonts w:ascii="Times New Roman" w:hAnsi="Times New Roman"/>
          <w:sz w:val="24"/>
          <w:szCs w:val="24"/>
          <w:lang w:eastAsia="ja-JP"/>
        </w:rPr>
        <w:t>Section 6 of the Principal Determination states the above matters</w:t>
      </w:r>
      <w:r w:rsidR="00AF7442">
        <w:rPr>
          <w:rFonts w:ascii="Times New Roman" w:hAnsi="Times New Roman"/>
          <w:sz w:val="24"/>
          <w:szCs w:val="24"/>
          <w:lang w:eastAsia="ja-JP"/>
        </w:rPr>
        <w:t xml:space="preserve"> for the purposes of subsection 366(1) of the Act</w:t>
      </w:r>
      <w:r>
        <w:rPr>
          <w:rFonts w:ascii="Times New Roman" w:hAnsi="Times New Roman"/>
          <w:sz w:val="24"/>
          <w:szCs w:val="24"/>
          <w:lang w:eastAsia="ja-JP"/>
        </w:rPr>
        <w:t>, as well as identifying FMD as a disease that poses an unacceptable level of biosecurity risk and the nature of the biosecurity risk that needs to be managed, as required by subsection 366(2) of the Act. The nature of the biosecurity risk that needs to be managed is that foot and mouth disease:</w:t>
      </w:r>
    </w:p>
    <w:p w14:paraId="6F0A04B2" w14:textId="2BBE41A2" w:rsidR="001814F1" w:rsidRDefault="001814F1" w:rsidP="001814F1">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 xml:space="preserve">may be present in or on goods in the specified biosecurity response zone, </w:t>
      </w:r>
      <w:proofErr w:type="gramStart"/>
      <w:r>
        <w:rPr>
          <w:rFonts w:ascii="Times New Roman" w:hAnsi="Times New Roman"/>
          <w:sz w:val="24"/>
          <w:szCs w:val="24"/>
          <w:lang w:eastAsia="ja-JP"/>
        </w:rPr>
        <w:t>in particular on</w:t>
      </w:r>
      <w:proofErr w:type="gramEnd"/>
      <w:r>
        <w:rPr>
          <w:rFonts w:ascii="Times New Roman" w:hAnsi="Times New Roman"/>
          <w:sz w:val="24"/>
          <w:szCs w:val="24"/>
          <w:lang w:eastAsia="ja-JP"/>
        </w:rPr>
        <w:t xml:space="preserve"> footwear worn by travellers entering Australia from Indonesia; and</w:t>
      </w:r>
    </w:p>
    <w:p w14:paraId="3CE8A9D6" w14:textId="00331488" w:rsidR="001814F1" w:rsidRDefault="001814F1" w:rsidP="001814F1">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is not present in Australia; and</w:t>
      </w:r>
    </w:p>
    <w:p w14:paraId="51F42186" w14:textId="1EC2667B" w:rsidR="001814F1" w:rsidRDefault="001814F1" w:rsidP="001814F1">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is a highly contagious viral disease of cloven-hoofed mammals that has a great potential for causing severe economic loss if it enters Australia; and</w:t>
      </w:r>
    </w:p>
    <w:p w14:paraId="22E23CC0" w14:textId="316EBE96" w:rsidR="001814F1" w:rsidRDefault="001814F1" w:rsidP="001814F1">
      <w:pPr>
        <w:pStyle w:val="ListParagraph"/>
        <w:numPr>
          <w:ilvl w:val="0"/>
          <w:numId w:val="29"/>
        </w:numPr>
        <w:spacing w:before="0"/>
        <w:rPr>
          <w:rFonts w:ascii="Times New Roman" w:hAnsi="Times New Roman"/>
          <w:sz w:val="24"/>
          <w:szCs w:val="24"/>
          <w:lang w:eastAsia="ja-JP"/>
        </w:rPr>
      </w:pPr>
      <w:r>
        <w:rPr>
          <w:rFonts w:ascii="Times New Roman" w:hAnsi="Times New Roman"/>
          <w:sz w:val="24"/>
          <w:szCs w:val="24"/>
          <w:lang w:eastAsia="ja-JP"/>
        </w:rPr>
        <w:t>poses an unacceptable level of biosecurity risk.</w:t>
      </w:r>
    </w:p>
    <w:p w14:paraId="00926114" w14:textId="4D3AFF82" w:rsidR="001814F1" w:rsidRDefault="001814F1" w:rsidP="001814F1">
      <w:pPr>
        <w:spacing w:before="0"/>
        <w:rPr>
          <w:rFonts w:ascii="Times New Roman" w:hAnsi="Times New Roman"/>
          <w:sz w:val="24"/>
          <w:szCs w:val="24"/>
          <w:lang w:eastAsia="ja-JP"/>
        </w:rPr>
      </w:pPr>
    </w:p>
    <w:p w14:paraId="6B68F49E" w14:textId="4506E24C" w:rsidR="001814F1" w:rsidRDefault="001814F1" w:rsidP="001814F1">
      <w:pPr>
        <w:spacing w:before="0"/>
        <w:rPr>
          <w:rFonts w:ascii="Times New Roman" w:hAnsi="Times New Roman"/>
          <w:sz w:val="24"/>
          <w:szCs w:val="24"/>
          <w:lang w:eastAsia="ja-JP"/>
        </w:rPr>
      </w:pPr>
      <w:r>
        <w:rPr>
          <w:rFonts w:ascii="Times New Roman" w:hAnsi="Times New Roman"/>
          <w:sz w:val="24"/>
          <w:szCs w:val="24"/>
          <w:lang w:eastAsia="ja-JP"/>
        </w:rPr>
        <w:t>For the purposes of paragraph 366(2)(c) of the Act, section 7 of the Principal Determination sets out the powers that may be exercised in relation to goods or premises in the biosecurity response zone. These are:</w:t>
      </w:r>
    </w:p>
    <w:p w14:paraId="34244E4F" w14:textId="225A2A44" w:rsidR="001814F1" w:rsidRDefault="001814F1" w:rsidP="001814F1">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lastRenderedPageBreak/>
        <w:t>The power in section 333 of the Act may be exercised in relation to premises in the biosecurity response zone to require that persons entering or leaving the premises do so at specified places; and</w:t>
      </w:r>
    </w:p>
    <w:p w14:paraId="7814433F" w14:textId="013E3F0F" w:rsidR="001814F1" w:rsidRDefault="001814F1" w:rsidP="001814F1">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The power in section 335 of the Act may be exercised in relation to goods in the specified biosecurity response </w:t>
      </w:r>
      <w:proofErr w:type="gramStart"/>
      <w:r>
        <w:rPr>
          <w:rFonts w:ascii="Times New Roman" w:hAnsi="Times New Roman"/>
          <w:sz w:val="24"/>
          <w:szCs w:val="24"/>
          <w:lang w:eastAsia="ja-JP"/>
        </w:rPr>
        <w:t>zone;</w:t>
      </w:r>
      <w:proofErr w:type="gramEnd"/>
      <w:r>
        <w:rPr>
          <w:rFonts w:ascii="Times New Roman" w:hAnsi="Times New Roman"/>
          <w:sz w:val="24"/>
          <w:szCs w:val="24"/>
          <w:lang w:eastAsia="ja-JP"/>
        </w:rPr>
        <w:t xml:space="preserve"> </w:t>
      </w:r>
    </w:p>
    <w:p w14:paraId="4C05CC1C" w14:textId="509C484C" w:rsidR="001814F1" w:rsidRDefault="001814F1" w:rsidP="001814F1">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The power in paragraph 367(a) of the Act may be exercised to cause the biosecurity response zone </w:t>
      </w:r>
      <w:r w:rsidR="00ED4FCB">
        <w:rPr>
          <w:rFonts w:ascii="Times New Roman" w:hAnsi="Times New Roman"/>
          <w:sz w:val="24"/>
          <w:szCs w:val="24"/>
          <w:lang w:eastAsia="ja-JP"/>
        </w:rPr>
        <w:t>to be identified (whether by affixing notices or by markings or otherwise); and</w:t>
      </w:r>
    </w:p>
    <w:p w14:paraId="168E5EEF" w14:textId="1798A1E4" w:rsidR="00ED4FCB" w:rsidRDefault="00ED4FCB" w:rsidP="001814F1">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The power set out in paragraph 367(</w:t>
      </w:r>
      <w:r w:rsidR="008F46C3">
        <w:rPr>
          <w:rFonts w:ascii="Times New Roman" w:hAnsi="Times New Roman"/>
          <w:sz w:val="24"/>
          <w:szCs w:val="24"/>
          <w:lang w:eastAsia="ja-JP"/>
        </w:rPr>
        <w:t>d</w:t>
      </w:r>
      <w:r>
        <w:rPr>
          <w:rFonts w:ascii="Times New Roman" w:hAnsi="Times New Roman"/>
          <w:sz w:val="24"/>
          <w:szCs w:val="24"/>
          <w:lang w:eastAsia="ja-JP"/>
        </w:rPr>
        <w:t>) of the Act may be exercised to set up foot mats for use in the biosecurity response zone.</w:t>
      </w:r>
    </w:p>
    <w:p w14:paraId="4859A529" w14:textId="77777777" w:rsidR="00AF7442" w:rsidRDefault="00AF7442" w:rsidP="00ED4FCB">
      <w:pPr>
        <w:spacing w:before="0"/>
        <w:rPr>
          <w:rFonts w:ascii="Times New Roman" w:hAnsi="Times New Roman"/>
          <w:sz w:val="24"/>
          <w:szCs w:val="24"/>
          <w:lang w:eastAsia="ja-JP"/>
        </w:rPr>
      </w:pPr>
    </w:p>
    <w:p w14:paraId="4F1A02F8" w14:textId="05527B87" w:rsidR="00ED4FCB" w:rsidRDefault="00ED4FCB" w:rsidP="00ED4FCB">
      <w:pPr>
        <w:spacing w:before="0"/>
        <w:rPr>
          <w:rFonts w:ascii="Times New Roman" w:hAnsi="Times New Roman"/>
          <w:sz w:val="24"/>
          <w:szCs w:val="24"/>
          <w:lang w:eastAsia="ja-JP"/>
        </w:rPr>
      </w:pPr>
      <w:r>
        <w:rPr>
          <w:rFonts w:ascii="Times New Roman" w:hAnsi="Times New Roman"/>
          <w:sz w:val="24"/>
          <w:szCs w:val="24"/>
          <w:lang w:eastAsia="ja-JP"/>
        </w:rPr>
        <w:t>The Director of Biosecurity is satisfied that the exercise of each of the above powers in the specified areas of Gold Coast Airport, as a biosecurity response zone, is appropriate and adapted for the purpose of managing the biosecurity risk posed by FMD. As with the existing relevant landing places, the powers allow for the sanitation of footwear by setting up foot mats and footbaths in the specified areas of Gold Coast Airport. The powers will allow notices to alert people to the use of the foot mats and footbaths, any potential that the treatment may damage the goods and inform persons of the biosecurity risks.</w:t>
      </w:r>
    </w:p>
    <w:p w14:paraId="05F7C864" w14:textId="0DCF5C27" w:rsidR="00ED4FCB" w:rsidRDefault="00ED4FCB" w:rsidP="00ED4FCB">
      <w:pPr>
        <w:spacing w:before="0"/>
        <w:rPr>
          <w:rFonts w:ascii="Times New Roman" w:hAnsi="Times New Roman"/>
          <w:sz w:val="24"/>
          <w:szCs w:val="24"/>
          <w:lang w:eastAsia="ja-JP"/>
        </w:rPr>
      </w:pPr>
    </w:p>
    <w:p w14:paraId="670F0401" w14:textId="478F70EF" w:rsidR="00ED4FCB" w:rsidRDefault="00ED4FCB" w:rsidP="00ED4FCB">
      <w:pPr>
        <w:spacing w:before="0"/>
        <w:rPr>
          <w:rFonts w:ascii="Times New Roman" w:hAnsi="Times New Roman"/>
          <w:sz w:val="24"/>
          <w:szCs w:val="24"/>
          <w:lang w:eastAsia="ja-JP"/>
        </w:rPr>
      </w:pPr>
      <w:r>
        <w:rPr>
          <w:rFonts w:ascii="Times New Roman" w:hAnsi="Times New Roman"/>
          <w:sz w:val="24"/>
          <w:szCs w:val="24"/>
          <w:lang w:eastAsia="ja-JP"/>
        </w:rPr>
        <w:t>The powers will also allow persons to be required to leave the premises at specified places, ensuring that they cannot exit the airport by some other avenue thereby avoiding the foot mats and footbaths. The powers will be exercised together to require the set up and mandatory utilisation of foot mats and footbaths by people who arrive at Gold Coast Airport from Indonesia as they exit an airplane at the areas that are a biosecurity response zone. Treating shoes by using foot mats and footbaths reduces the risk of FMD becoming present in Australia.</w:t>
      </w:r>
    </w:p>
    <w:p w14:paraId="4AB420DF" w14:textId="7B5DEB84" w:rsidR="00AF7442" w:rsidRDefault="00AF7442" w:rsidP="00ED4FCB">
      <w:pPr>
        <w:spacing w:before="0"/>
        <w:rPr>
          <w:rFonts w:ascii="Times New Roman" w:hAnsi="Times New Roman"/>
          <w:sz w:val="24"/>
          <w:szCs w:val="24"/>
          <w:lang w:eastAsia="ja-JP"/>
        </w:rPr>
      </w:pPr>
    </w:p>
    <w:p w14:paraId="5D21255B" w14:textId="46EB093B" w:rsidR="00AF7442" w:rsidRDefault="00AF7442" w:rsidP="00ED4FCB">
      <w:pPr>
        <w:spacing w:before="0"/>
        <w:rPr>
          <w:rFonts w:ascii="Times New Roman" w:hAnsi="Times New Roman"/>
          <w:sz w:val="24"/>
          <w:szCs w:val="24"/>
          <w:lang w:eastAsia="ja-JP"/>
        </w:rPr>
      </w:pPr>
      <w:r>
        <w:rPr>
          <w:rFonts w:ascii="Times New Roman" w:hAnsi="Times New Roman"/>
          <w:sz w:val="24"/>
          <w:szCs w:val="24"/>
          <w:lang w:eastAsia="ja-JP"/>
        </w:rPr>
        <w:t>Before exercising one of the above powers in the biosecurity response zone, a biosecurity official must be satisfied of the matters referred to in section 32 of the Act (the principles). These principles aim to ensure that a power is only exercised by a biosecurity official if it is likely to be effective in, or to contribute to, achieving the purpose for which the power is to be exercised, is appropriate and adapted for its purpose, and is no more restrictive or intrusive than is required.</w:t>
      </w:r>
    </w:p>
    <w:p w14:paraId="5CC59C25" w14:textId="24042BE2" w:rsidR="00AF7442" w:rsidRDefault="00AF7442" w:rsidP="00ED4FCB">
      <w:pPr>
        <w:spacing w:before="0"/>
        <w:rPr>
          <w:rFonts w:ascii="Times New Roman" w:hAnsi="Times New Roman"/>
          <w:sz w:val="24"/>
          <w:szCs w:val="24"/>
          <w:lang w:eastAsia="ja-JP"/>
        </w:rPr>
      </w:pPr>
    </w:p>
    <w:p w14:paraId="4F143AEB" w14:textId="77777777" w:rsidR="00AF7442" w:rsidRPr="00ED4FCB" w:rsidRDefault="00AF7442" w:rsidP="00ED4FCB">
      <w:pPr>
        <w:spacing w:before="0"/>
        <w:rPr>
          <w:rFonts w:ascii="Times New Roman" w:hAnsi="Times New Roman"/>
          <w:sz w:val="24"/>
          <w:szCs w:val="24"/>
          <w:lang w:eastAsia="ja-JP"/>
        </w:rPr>
      </w:pPr>
    </w:p>
    <w:p w14:paraId="02AB4024" w14:textId="7EC85EC5" w:rsidR="008F610E" w:rsidRDefault="008F610E" w:rsidP="008277DD">
      <w:pPr>
        <w:spacing w:before="0"/>
        <w:rPr>
          <w:rFonts w:ascii="Times New Roman" w:hAnsi="Times New Roman"/>
          <w:sz w:val="24"/>
          <w:szCs w:val="24"/>
          <w:lang w:eastAsia="ja-JP"/>
        </w:rPr>
      </w:pPr>
    </w:p>
    <w:p w14:paraId="67E8A686" w14:textId="77777777" w:rsidR="008F610E" w:rsidRDefault="008F610E" w:rsidP="008277DD">
      <w:pPr>
        <w:spacing w:before="0"/>
        <w:rPr>
          <w:rFonts w:ascii="Times New Roman" w:hAnsi="Times New Roman"/>
          <w:sz w:val="24"/>
          <w:szCs w:val="24"/>
          <w:lang w:eastAsia="ja-JP"/>
        </w:rPr>
      </w:pPr>
    </w:p>
    <w:p w14:paraId="54959E15" w14:textId="44C62D53" w:rsidR="001556B1" w:rsidRDefault="001556B1" w:rsidP="008277DD">
      <w:pPr>
        <w:spacing w:before="0"/>
        <w:rPr>
          <w:rFonts w:ascii="Times New Roman" w:hAnsi="Times New Roman"/>
          <w:sz w:val="24"/>
          <w:szCs w:val="24"/>
          <w:lang w:eastAsia="ja-JP"/>
        </w:rPr>
      </w:pPr>
    </w:p>
    <w:p w14:paraId="01C5B43B" w14:textId="77777777" w:rsidR="001556B1" w:rsidRDefault="001556B1" w:rsidP="008277DD">
      <w:pPr>
        <w:spacing w:before="0"/>
        <w:rPr>
          <w:rFonts w:ascii="Times New Roman" w:hAnsi="Times New Roman"/>
          <w:sz w:val="24"/>
          <w:szCs w:val="24"/>
          <w:lang w:eastAsia="ja-JP"/>
        </w:rPr>
      </w:pPr>
    </w:p>
    <w:p w14:paraId="78A64A6B" w14:textId="77777777" w:rsidR="008277DD" w:rsidRPr="003C270F" w:rsidRDefault="008277DD" w:rsidP="008277DD">
      <w:pPr>
        <w:spacing w:before="0"/>
        <w:rPr>
          <w:rFonts w:ascii="Times New Roman" w:hAnsi="Times New Roman"/>
          <w:sz w:val="24"/>
          <w:szCs w:val="24"/>
          <w:lang w:eastAsia="ja-JP"/>
        </w:rPr>
      </w:pPr>
    </w:p>
    <w:bookmarkEnd w:id="0"/>
    <w:p w14:paraId="3C2824C1" w14:textId="279B0EE3" w:rsidR="00822C60" w:rsidRPr="0087153D" w:rsidRDefault="00822C60" w:rsidP="002A045B">
      <w:pPr>
        <w:spacing w:before="0"/>
        <w:jc w:val="center"/>
        <w:rPr>
          <w:rFonts w:ascii="Times New Roman" w:hAnsi="Times New Roman"/>
          <w:b/>
          <w:bCs/>
          <w:sz w:val="24"/>
          <w:szCs w:val="24"/>
          <w:lang w:eastAsia="ja-JP"/>
        </w:rPr>
      </w:pP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5D69" w14:textId="77777777" w:rsidR="00601942" w:rsidRDefault="008B6FFF">
      <w:pPr>
        <w:spacing w:before="0"/>
      </w:pPr>
      <w:r>
        <w:separator/>
      </w:r>
    </w:p>
  </w:endnote>
  <w:endnote w:type="continuationSeparator" w:id="0">
    <w:p w14:paraId="6C2D8EC7" w14:textId="77777777" w:rsidR="00601942" w:rsidRDefault="008B6F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8B6FFF"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8C3C" w14:textId="77777777" w:rsidR="00601942" w:rsidRDefault="008B6FFF">
      <w:pPr>
        <w:spacing w:before="0"/>
      </w:pPr>
      <w:r>
        <w:separator/>
      </w:r>
    </w:p>
  </w:footnote>
  <w:footnote w:type="continuationSeparator" w:id="0">
    <w:p w14:paraId="33B64721" w14:textId="77777777" w:rsidR="00601942" w:rsidRDefault="008B6FF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15EBE7"/>
    <w:multiLevelType w:val="hybridMultilevel"/>
    <w:tmpl w:val="FFFFFFFF"/>
    <w:lvl w:ilvl="0" w:tplc="0E289AFA">
      <w:start w:val="1"/>
      <w:numFmt w:val="ideographDigital"/>
      <w:lvlText w:val=""/>
      <w:lvlJc w:val="left"/>
    </w:lvl>
    <w:lvl w:ilvl="1" w:tplc="D76E2990">
      <w:numFmt w:val="decimal"/>
      <w:lvlText w:val=""/>
      <w:lvlJc w:val="left"/>
    </w:lvl>
    <w:lvl w:ilvl="2" w:tplc="FEA4997A">
      <w:numFmt w:val="decimal"/>
      <w:lvlText w:val=""/>
      <w:lvlJc w:val="left"/>
    </w:lvl>
    <w:lvl w:ilvl="3" w:tplc="823CB224">
      <w:numFmt w:val="decimal"/>
      <w:lvlText w:val=""/>
      <w:lvlJc w:val="left"/>
    </w:lvl>
    <w:lvl w:ilvl="4" w:tplc="BCDCC4EE">
      <w:numFmt w:val="decimal"/>
      <w:lvlText w:val=""/>
      <w:lvlJc w:val="left"/>
    </w:lvl>
    <w:lvl w:ilvl="5" w:tplc="6D34F244">
      <w:numFmt w:val="decimal"/>
      <w:lvlText w:val=""/>
      <w:lvlJc w:val="left"/>
    </w:lvl>
    <w:lvl w:ilvl="6" w:tplc="9C4EE08E">
      <w:numFmt w:val="decimal"/>
      <w:lvlText w:val=""/>
      <w:lvlJc w:val="left"/>
    </w:lvl>
    <w:lvl w:ilvl="7" w:tplc="31166302">
      <w:numFmt w:val="decimal"/>
      <w:lvlText w:val=""/>
      <w:lvlJc w:val="left"/>
    </w:lvl>
    <w:lvl w:ilvl="8" w:tplc="A33CE71E">
      <w:numFmt w:val="decimal"/>
      <w:lvlText w:val=""/>
      <w:lvlJc w:val="left"/>
    </w:lvl>
  </w:abstractNum>
  <w:abstractNum w:abstractNumId="1" w15:restartNumberingAfterBreak="0">
    <w:nsid w:val="EDE81A17"/>
    <w:multiLevelType w:val="hybridMultilevel"/>
    <w:tmpl w:val="FFFFFFFF"/>
    <w:lvl w:ilvl="0" w:tplc="F1947492">
      <w:start w:val="1"/>
      <w:numFmt w:val="ideographDigital"/>
      <w:lvlText w:val=""/>
      <w:lvlJc w:val="left"/>
    </w:lvl>
    <w:lvl w:ilvl="1" w:tplc="75F83E12">
      <w:numFmt w:val="decimal"/>
      <w:lvlText w:val=""/>
      <w:lvlJc w:val="left"/>
    </w:lvl>
    <w:lvl w:ilvl="2" w:tplc="BD90C644">
      <w:numFmt w:val="decimal"/>
      <w:lvlText w:val=""/>
      <w:lvlJc w:val="left"/>
    </w:lvl>
    <w:lvl w:ilvl="3" w:tplc="DA9E65D8">
      <w:numFmt w:val="decimal"/>
      <w:lvlText w:val=""/>
      <w:lvlJc w:val="left"/>
    </w:lvl>
    <w:lvl w:ilvl="4" w:tplc="7BDC0D6A">
      <w:numFmt w:val="decimal"/>
      <w:lvlText w:val=""/>
      <w:lvlJc w:val="left"/>
    </w:lvl>
    <w:lvl w:ilvl="5" w:tplc="D7F46A4C">
      <w:numFmt w:val="decimal"/>
      <w:lvlText w:val=""/>
      <w:lvlJc w:val="left"/>
    </w:lvl>
    <w:lvl w:ilvl="6" w:tplc="7E1EA92E">
      <w:numFmt w:val="decimal"/>
      <w:lvlText w:val=""/>
      <w:lvlJc w:val="left"/>
    </w:lvl>
    <w:lvl w:ilvl="7" w:tplc="C7B041E6">
      <w:numFmt w:val="decimal"/>
      <w:lvlText w:val=""/>
      <w:lvlJc w:val="left"/>
    </w:lvl>
    <w:lvl w:ilvl="8" w:tplc="9970F97A">
      <w:numFmt w:val="decimal"/>
      <w:lvlText w:val=""/>
      <w:lvlJc w:val="left"/>
    </w:lvl>
  </w:abstractNum>
  <w:abstractNum w:abstractNumId="2"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B40CFC"/>
    <w:multiLevelType w:val="hybridMultilevel"/>
    <w:tmpl w:val="AD680DBC"/>
    <w:lvl w:ilvl="0" w:tplc="03E82838">
      <w:start w:val="4"/>
      <w:numFmt w:val="bullet"/>
      <w:lvlText w:val="-"/>
      <w:lvlJc w:val="left"/>
      <w:pPr>
        <w:ind w:left="720" w:hanging="360"/>
      </w:pPr>
      <w:rPr>
        <w:rFonts w:ascii="Times New Roman" w:eastAsia="Times New Roman" w:hAnsi="Times New Roman" w:cs="Times New Roman" w:hint="default"/>
      </w:rPr>
    </w:lvl>
    <w:lvl w:ilvl="1" w:tplc="7284B306" w:tentative="1">
      <w:start w:val="1"/>
      <w:numFmt w:val="bullet"/>
      <w:lvlText w:val="o"/>
      <w:lvlJc w:val="left"/>
      <w:pPr>
        <w:ind w:left="1440" w:hanging="360"/>
      </w:pPr>
      <w:rPr>
        <w:rFonts w:ascii="Courier New" w:hAnsi="Courier New" w:cs="Courier New" w:hint="default"/>
      </w:rPr>
    </w:lvl>
    <w:lvl w:ilvl="2" w:tplc="7CAC34C4" w:tentative="1">
      <w:start w:val="1"/>
      <w:numFmt w:val="bullet"/>
      <w:lvlText w:val=""/>
      <w:lvlJc w:val="left"/>
      <w:pPr>
        <w:ind w:left="2160" w:hanging="360"/>
      </w:pPr>
      <w:rPr>
        <w:rFonts w:ascii="Wingdings" w:hAnsi="Wingdings" w:hint="default"/>
      </w:rPr>
    </w:lvl>
    <w:lvl w:ilvl="3" w:tplc="A2008874" w:tentative="1">
      <w:start w:val="1"/>
      <w:numFmt w:val="bullet"/>
      <w:lvlText w:val=""/>
      <w:lvlJc w:val="left"/>
      <w:pPr>
        <w:ind w:left="2880" w:hanging="360"/>
      </w:pPr>
      <w:rPr>
        <w:rFonts w:ascii="Symbol" w:hAnsi="Symbol" w:hint="default"/>
      </w:rPr>
    </w:lvl>
    <w:lvl w:ilvl="4" w:tplc="35A09DA6" w:tentative="1">
      <w:start w:val="1"/>
      <w:numFmt w:val="bullet"/>
      <w:lvlText w:val="o"/>
      <w:lvlJc w:val="left"/>
      <w:pPr>
        <w:ind w:left="3600" w:hanging="360"/>
      </w:pPr>
      <w:rPr>
        <w:rFonts w:ascii="Courier New" w:hAnsi="Courier New" w:cs="Courier New" w:hint="default"/>
      </w:rPr>
    </w:lvl>
    <w:lvl w:ilvl="5" w:tplc="76AC0220" w:tentative="1">
      <w:start w:val="1"/>
      <w:numFmt w:val="bullet"/>
      <w:lvlText w:val=""/>
      <w:lvlJc w:val="left"/>
      <w:pPr>
        <w:ind w:left="4320" w:hanging="360"/>
      </w:pPr>
      <w:rPr>
        <w:rFonts w:ascii="Wingdings" w:hAnsi="Wingdings" w:hint="default"/>
      </w:rPr>
    </w:lvl>
    <w:lvl w:ilvl="6" w:tplc="D702064C" w:tentative="1">
      <w:start w:val="1"/>
      <w:numFmt w:val="bullet"/>
      <w:lvlText w:val=""/>
      <w:lvlJc w:val="left"/>
      <w:pPr>
        <w:ind w:left="5040" w:hanging="360"/>
      </w:pPr>
      <w:rPr>
        <w:rFonts w:ascii="Symbol" w:hAnsi="Symbol" w:hint="default"/>
      </w:rPr>
    </w:lvl>
    <w:lvl w:ilvl="7" w:tplc="07EE97F8" w:tentative="1">
      <w:start w:val="1"/>
      <w:numFmt w:val="bullet"/>
      <w:lvlText w:val="o"/>
      <w:lvlJc w:val="left"/>
      <w:pPr>
        <w:ind w:left="5760" w:hanging="360"/>
      </w:pPr>
      <w:rPr>
        <w:rFonts w:ascii="Courier New" w:hAnsi="Courier New" w:cs="Courier New" w:hint="default"/>
      </w:rPr>
    </w:lvl>
    <w:lvl w:ilvl="8" w:tplc="95E619D4" w:tentative="1">
      <w:start w:val="1"/>
      <w:numFmt w:val="bullet"/>
      <w:lvlText w:val=""/>
      <w:lvlJc w:val="left"/>
      <w:pPr>
        <w:ind w:left="6480" w:hanging="360"/>
      </w:pPr>
      <w:rPr>
        <w:rFonts w:ascii="Wingdings" w:hAnsi="Wingdings" w:hint="default"/>
      </w:rPr>
    </w:lvl>
  </w:abstractNum>
  <w:abstractNum w:abstractNumId="8" w15:restartNumberingAfterBreak="0">
    <w:nsid w:val="13387D2B"/>
    <w:multiLevelType w:val="hybridMultilevel"/>
    <w:tmpl w:val="55C61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172E1"/>
    <w:multiLevelType w:val="hybridMultilevel"/>
    <w:tmpl w:val="B2C23DB2"/>
    <w:lvl w:ilvl="0" w:tplc="58E0E3A6">
      <w:start w:val="1"/>
      <w:numFmt w:val="bullet"/>
      <w:lvlText w:val=""/>
      <w:lvlJc w:val="left"/>
      <w:pPr>
        <w:ind w:left="720" w:hanging="360"/>
      </w:pPr>
      <w:rPr>
        <w:rFonts w:ascii="Symbol" w:hAnsi="Symbol" w:hint="default"/>
      </w:rPr>
    </w:lvl>
    <w:lvl w:ilvl="1" w:tplc="ECCCCFAA" w:tentative="1">
      <w:start w:val="1"/>
      <w:numFmt w:val="bullet"/>
      <w:lvlText w:val="o"/>
      <w:lvlJc w:val="left"/>
      <w:pPr>
        <w:ind w:left="1440" w:hanging="360"/>
      </w:pPr>
      <w:rPr>
        <w:rFonts w:ascii="Courier New" w:hAnsi="Courier New" w:cs="Courier New" w:hint="default"/>
      </w:rPr>
    </w:lvl>
    <w:lvl w:ilvl="2" w:tplc="56EC123C" w:tentative="1">
      <w:start w:val="1"/>
      <w:numFmt w:val="bullet"/>
      <w:lvlText w:val=""/>
      <w:lvlJc w:val="left"/>
      <w:pPr>
        <w:ind w:left="2160" w:hanging="360"/>
      </w:pPr>
      <w:rPr>
        <w:rFonts w:ascii="Wingdings" w:hAnsi="Wingdings" w:hint="default"/>
      </w:rPr>
    </w:lvl>
    <w:lvl w:ilvl="3" w:tplc="F98E6704" w:tentative="1">
      <w:start w:val="1"/>
      <w:numFmt w:val="bullet"/>
      <w:lvlText w:val=""/>
      <w:lvlJc w:val="left"/>
      <w:pPr>
        <w:ind w:left="2880" w:hanging="360"/>
      </w:pPr>
      <w:rPr>
        <w:rFonts w:ascii="Symbol" w:hAnsi="Symbol" w:hint="default"/>
      </w:rPr>
    </w:lvl>
    <w:lvl w:ilvl="4" w:tplc="8AC6596A" w:tentative="1">
      <w:start w:val="1"/>
      <w:numFmt w:val="bullet"/>
      <w:lvlText w:val="o"/>
      <w:lvlJc w:val="left"/>
      <w:pPr>
        <w:ind w:left="3600" w:hanging="360"/>
      </w:pPr>
      <w:rPr>
        <w:rFonts w:ascii="Courier New" w:hAnsi="Courier New" w:cs="Courier New" w:hint="default"/>
      </w:rPr>
    </w:lvl>
    <w:lvl w:ilvl="5" w:tplc="A12CA53A" w:tentative="1">
      <w:start w:val="1"/>
      <w:numFmt w:val="bullet"/>
      <w:lvlText w:val=""/>
      <w:lvlJc w:val="left"/>
      <w:pPr>
        <w:ind w:left="4320" w:hanging="360"/>
      </w:pPr>
      <w:rPr>
        <w:rFonts w:ascii="Wingdings" w:hAnsi="Wingdings" w:hint="default"/>
      </w:rPr>
    </w:lvl>
    <w:lvl w:ilvl="6" w:tplc="394A3CFE" w:tentative="1">
      <w:start w:val="1"/>
      <w:numFmt w:val="bullet"/>
      <w:lvlText w:val=""/>
      <w:lvlJc w:val="left"/>
      <w:pPr>
        <w:ind w:left="5040" w:hanging="360"/>
      </w:pPr>
      <w:rPr>
        <w:rFonts w:ascii="Symbol" w:hAnsi="Symbol" w:hint="default"/>
      </w:rPr>
    </w:lvl>
    <w:lvl w:ilvl="7" w:tplc="33F250CC" w:tentative="1">
      <w:start w:val="1"/>
      <w:numFmt w:val="bullet"/>
      <w:lvlText w:val="o"/>
      <w:lvlJc w:val="left"/>
      <w:pPr>
        <w:ind w:left="5760" w:hanging="360"/>
      </w:pPr>
      <w:rPr>
        <w:rFonts w:ascii="Courier New" w:hAnsi="Courier New" w:cs="Courier New" w:hint="default"/>
      </w:rPr>
    </w:lvl>
    <w:lvl w:ilvl="8" w:tplc="22569656" w:tentative="1">
      <w:start w:val="1"/>
      <w:numFmt w:val="bullet"/>
      <w:lvlText w:val=""/>
      <w:lvlJc w:val="left"/>
      <w:pPr>
        <w:ind w:left="6480" w:hanging="360"/>
      </w:pPr>
      <w:rPr>
        <w:rFonts w:ascii="Wingdings" w:hAnsi="Wingdings" w:hint="default"/>
      </w:rPr>
    </w:lvl>
  </w:abstractNum>
  <w:abstractNum w:abstractNumId="10" w15:restartNumberingAfterBreak="0">
    <w:nsid w:val="1706644B"/>
    <w:multiLevelType w:val="hybridMultilevel"/>
    <w:tmpl w:val="8DEAD30A"/>
    <w:lvl w:ilvl="0" w:tplc="43F45ABA">
      <w:start w:val="1"/>
      <w:numFmt w:val="bullet"/>
      <w:lvlText w:val=""/>
      <w:lvlJc w:val="left"/>
      <w:pPr>
        <w:ind w:left="720" w:hanging="360"/>
      </w:pPr>
      <w:rPr>
        <w:rFonts w:ascii="Symbol" w:hAnsi="Symbol" w:hint="default"/>
      </w:rPr>
    </w:lvl>
    <w:lvl w:ilvl="1" w:tplc="04103708">
      <w:start w:val="1"/>
      <w:numFmt w:val="bullet"/>
      <w:lvlText w:val="o"/>
      <w:lvlJc w:val="left"/>
      <w:pPr>
        <w:ind w:left="1440" w:hanging="360"/>
      </w:pPr>
      <w:rPr>
        <w:rFonts w:ascii="Courier New" w:hAnsi="Courier New" w:cs="Courier New" w:hint="default"/>
      </w:rPr>
    </w:lvl>
    <w:lvl w:ilvl="2" w:tplc="7A2EC75E" w:tentative="1">
      <w:start w:val="1"/>
      <w:numFmt w:val="bullet"/>
      <w:lvlText w:val=""/>
      <w:lvlJc w:val="left"/>
      <w:pPr>
        <w:ind w:left="2160" w:hanging="360"/>
      </w:pPr>
      <w:rPr>
        <w:rFonts w:ascii="Wingdings" w:hAnsi="Wingdings" w:hint="default"/>
      </w:rPr>
    </w:lvl>
    <w:lvl w:ilvl="3" w:tplc="0D76BFDE" w:tentative="1">
      <w:start w:val="1"/>
      <w:numFmt w:val="bullet"/>
      <w:lvlText w:val=""/>
      <w:lvlJc w:val="left"/>
      <w:pPr>
        <w:ind w:left="2880" w:hanging="360"/>
      </w:pPr>
      <w:rPr>
        <w:rFonts w:ascii="Symbol" w:hAnsi="Symbol" w:hint="default"/>
      </w:rPr>
    </w:lvl>
    <w:lvl w:ilvl="4" w:tplc="25DE43BA" w:tentative="1">
      <w:start w:val="1"/>
      <w:numFmt w:val="bullet"/>
      <w:lvlText w:val="o"/>
      <w:lvlJc w:val="left"/>
      <w:pPr>
        <w:ind w:left="3600" w:hanging="360"/>
      </w:pPr>
      <w:rPr>
        <w:rFonts w:ascii="Courier New" w:hAnsi="Courier New" w:cs="Courier New" w:hint="default"/>
      </w:rPr>
    </w:lvl>
    <w:lvl w:ilvl="5" w:tplc="AD922758" w:tentative="1">
      <w:start w:val="1"/>
      <w:numFmt w:val="bullet"/>
      <w:lvlText w:val=""/>
      <w:lvlJc w:val="left"/>
      <w:pPr>
        <w:ind w:left="4320" w:hanging="360"/>
      </w:pPr>
      <w:rPr>
        <w:rFonts w:ascii="Wingdings" w:hAnsi="Wingdings" w:hint="default"/>
      </w:rPr>
    </w:lvl>
    <w:lvl w:ilvl="6" w:tplc="E982C8AA" w:tentative="1">
      <w:start w:val="1"/>
      <w:numFmt w:val="bullet"/>
      <w:lvlText w:val=""/>
      <w:lvlJc w:val="left"/>
      <w:pPr>
        <w:ind w:left="5040" w:hanging="360"/>
      </w:pPr>
      <w:rPr>
        <w:rFonts w:ascii="Symbol" w:hAnsi="Symbol" w:hint="default"/>
      </w:rPr>
    </w:lvl>
    <w:lvl w:ilvl="7" w:tplc="AFFCE7E0" w:tentative="1">
      <w:start w:val="1"/>
      <w:numFmt w:val="bullet"/>
      <w:lvlText w:val="o"/>
      <w:lvlJc w:val="left"/>
      <w:pPr>
        <w:ind w:left="5760" w:hanging="360"/>
      </w:pPr>
      <w:rPr>
        <w:rFonts w:ascii="Courier New" w:hAnsi="Courier New" w:cs="Courier New" w:hint="default"/>
      </w:rPr>
    </w:lvl>
    <w:lvl w:ilvl="8" w:tplc="18C6BF90"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C3A4DC66">
      <w:start w:val="1"/>
      <w:numFmt w:val="bullet"/>
      <w:pStyle w:val="TableBullet"/>
      <w:lvlText w:val=""/>
      <w:lvlJc w:val="left"/>
      <w:pPr>
        <w:ind w:left="720" w:hanging="360"/>
      </w:pPr>
      <w:rPr>
        <w:rFonts w:ascii="Symbol" w:hAnsi="Symbol" w:hint="default"/>
      </w:rPr>
    </w:lvl>
    <w:lvl w:ilvl="1" w:tplc="D23620C2" w:tentative="1">
      <w:start w:val="1"/>
      <w:numFmt w:val="bullet"/>
      <w:lvlText w:val="o"/>
      <w:lvlJc w:val="left"/>
      <w:pPr>
        <w:ind w:left="1440" w:hanging="360"/>
      </w:pPr>
      <w:rPr>
        <w:rFonts w:ascii="Courier New" w:hAnsi="Courier New" w:cs="Courier New" w:hint="default"/>
      </w:rPr>
    </w:lvl>
    <w:lvl w:ilvl="2" w:tplc="12E2C2D0" w:tentative="1">
      <w:start w:val="1"/>
      <w:numFmt w:val="bullet"/>
      <w:lvlText w:val=""/>
      <w:lvlJc w:val="left"/>
      <w:pPr>
        <w:ind w:left="2160" w:hanging="360"/>
      </w:pPr>
      <w:rPr>
        <w:rFonts w:ascii="Wingdings" w:hAnsi="Wingdings" w:hint="default"/>
      </w:rPr>
    </w:lvl>
    <w:lvl w:ilvl="3" w:tplc="5A364C96" w:tentative="1">
      <w:start w:val="1"/>
      <w:numFmt w:val="bullet"/>
      <w:lvlText w:val=""/>
      <w:lvlJc w:val="left"/>
      <w:pPr>
        <w:ind w:left="2880" w:hanging="360"/>
      </w:pPr>
      <w:rPr>
        <w:rFonts w:ascii="Symbol" w:hAnsi="Symbol" w:hint="default"/>
      </w:rPr>
    </w:lvl>
    <w:lvl w:ilvl="4" w:tplc="9FF27066" w:tentative="1">
      <w:start w:val="1"/>
      <w:numFmt w:val="bullet"/>
      <w:lvlText w:val="o"/>
      <w:lvlJc w:val="left"/>
      <w:pPr>
        <w:ind w:left="3600" w:hanging="360"/>
      </w:pPr>
      <w:rPr>
        <w:rFonts w:ascii="Courier New" w:hAnsi="Courier New" w:cs="Courier New" w:hint="default"/>
      </w:rPr>
    </w:lvl>
    <w:lvl w:ilvl="5" w:tplc="9D763B78" w:tentative="1">
      <w:start w:val="1"/>
      <w:numFmt w:val="bullet"/>
      <w:lvlText w:val=""/>
      <w:lvlJc w:val="left"/>
      <w:pPr>
        <w:ind w:left="4320" w:hanging="360"/>
      </w:pPr>
      <w:rPr>
        <w:rFonts w:ascii="Wingdings" w:hAnsi="Wingdings" w:hint="default"/>
      </w:rPr>
    </w:lvl>
    <w:lvl w:ilvl="6" w:tplc="E700A046" w:tentative="1">
      <w:start w:val="1"/>
      <w:numFmt w:val="bullet"/>
      <w:lvlText w:val=""/>
      <w:lvlJc w:val="left"/>
      <w:pPr>
        <w:ind w:left="5040" w:hanging="360"/>
      </w:pPr>
      <w:rPr>
        <w:rFonts w:ascii="Symbol" w:hAnsi="Symbol" w:hint="default"/>
      </w:rPr>
    </w:lvl>
    <w:lvl w:ilvl="7" w:tplc="050639D8" w:tentative="1">
      <w:start w:val="1"/>
      <w:numFmt w:val="bullet"/>
      <w:lvlText w:val="o"/>
      <w:lvlJc w:val="left"/>
      <w:pPr>
        <w:ind w:left="5760" w:hanging="360"/>
      </w:pPr>
      <w:rPr>
        <w:rFonts w:ascii="Courier New" w:hAnsi="Courier New" w:cs="Courier New" w:hint="default"/>
      </w:rPr>
    </w:lvl>
    <w:lvl w:ilvl="8" w:tplc="6CE02532"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BD70E35"/>
    <w:multiLevelType w:val="hybridMultilevel"/>
    <w:tmpl w:val="EA80EFCA"/>
    <w:lvl w:ilvl="0" w:tplc="68C484B4">
      <w:start w:val="1"/>
      <w:numFmt w:val="bullet"/>
      <w:lvlText w:val=""/>
      <w:lvlJc w:val="left"/>
      <w:pPr>
        <w:ind w:left="720" w:hanging="360"/>
      </w:pPr>
      <w:rPr>
        <w:rFonts w:ascii="Symbol" w:hAnsi="Symbol" w:hint="default"/>
        <w:color w:val="FF0000"/>
      </w:rPr>
    </w:lvl>
    <w:lvl w:ilvl="1" w:tplc="7B8411CE">
      <w:start w:val="1"/>
      <w:numFmt w:val="bullet"/>
      <w:lvlText w:val="o"/>
      <w:lvlJc w:val="left"/>
      <w:pPr>
        <w:ind w:left="1440" w:hanging="360"/>
      </w:pPr>
      <w:rPr>
        <w:rFonts w:ascii="Courier New" w:hAnsi="Courier New" w:cs="Courier New" w:hint="default"/>
      </w:rPr>
    </w:lvl>
    <w:lvl w:ilvl="2" w:tplc="6CAEC5CE" w:tentative="1">
      <w:start w:val="1"/>
      <w:numFmt w:val="bullet"/>
      <w:lvlText w:val=""/>
      <w:lvlJc w:val="left"/>
      <w:pPr>
        <w:ind w:left="2160" w:hanging="360"/>
      </w:pPr>
      <w:rPr>
        <w:rFonts w:ascii="Wingdings" w:hAnsi="Wingdings" w:hint="default"/>
      </w:rPr>
    </w:lvl>
    <w:lvl w:ilvl="3" w:tplc="F202C7C0" w:tentative="1">
      <w:start w:val="1"/>
      <w:numFmt w:val="bullet"/>
      <w:lvlText w:val=""/>
      <w:lvlJc w:val="left"/>
      <w:pPr>
        <w:ind w:left="2880" w:hanging="360"/>
      </w:pPr>
      <w:rPr>
        <w:rFonts w:ascii="Symbol" w:hAnsi="Symbol" w:hint="default"/>
      </w:rPr>
    </w:lvl>
    <w:lvl w:ilvl="4" w:tplc="977CE2D4" w:tentative="1">
      <w:start w:val="1"/>
      <w:numFmt w:val="bullet"/>
      <w:lvlText w:val="o"/>
      <w:lvlJc w:val="left"/>
      <w:pPr>
        <w:ind w:left="3600" w:hanging="360"/>
      </w:pPr>
      <w:rPr>
        <w:rFonts w:ascii="Courier New" w:hAnsi="Courier New" w:cs="Courier New" w:hint="default"/>
      </w:rPr>
    </w:lvl>
    <w:lvl w:ilvl="5" w:tplc="7504B25A" w:tentative="1">
      <w:start w:val="1"/>
      <w:numFmt w:val="bullet"/>
      <w:lvlText w:val=""/>
      <w:lvlJc w:val="left"/>
      <w:pPr>
        <w:ind w:left="4320" w:hanging="360"/>
      </w:pPr>
      <w:rPr>
        <w:rFonts w:ascii="Wingdings" w:hAnsi="Wingdings" w:hint="default"/>
      </w:rPr>
    </w:lvl>
    <w:lvl w:ilvl="6" w:tplc="D548B8F2" w:tentative="1">
      <w:start w:val="1"/>
      <w:numFmt w:val="bullet"/>
      <w:lvlText w:val=""/>
      <w:lvlJc w:val="left"/>
      <w:pPr>
        <w:ind w:left="5040" w:hanging="360"/>
      </w:pPr>
      <w:rPr>
        <w:rFonts w:ascii="Symbol" w:hAnsi="Symbol" w:hint="default"/>
      </w:rPr>
    </w:lvl>
    <w:lvl w:ilvl="7" w:tplc="AF42F57A" w:tentative="1">
      <w:start w:val="1"/>
      <w:numFmt w:val="bullet"/>
      <w:lvlText w:val="o"/>
      <w:lvlJc w:val="left"/>
      <w:pPr>
        <w:ind w:left="5760" w:hanging="360"/>
      </w:pPr>
      <w:rPr>
        <w:rFonts w:ascii="Courier New" w:hAnsi="Courier New" w:cs="Courier New" w:hint="default"/>
      </w:rPr>
    </w:lvl>
    <w:lvl w:ilvl="8" w:tplc="0DBC373C" w:tentative="1">
      <w:start w:val="1"/>
      <w:numFmt w:val="bullet"/>
      <w:lvlText w:val=""/>
      <w:lvlJc w:val="left"/>
      <w:pPr>
        <w:ind w:left="6480" w:hanging="360"/>
      </w:pPr>
      <w:rPr>
        <w:rFonts w:ascii="Wingdings" w:hAnsi="Wingdings" w:hint="default"/>
      </w:rPr>
    </w:lvl>
  </w:abstractNum>
  <w:abstractNum w:abstractNumId="16" w15:restartNumberingAfterBreak="0">
    <w:nsid w:val="2CBF619A"/>
    <w:multiLevelType w:val="hybridMultilevel"/>
    <w:tmpl w:val="34F4EFA8"/>
    <w:lvl w:ilvl="0" w:tplc="5AE6BF12">
      <w:start w:val="1"/>
      <w:numFmt w:val="bullet"/>
      <w:lvlText w:val=""/>
      <w:lvlJc w:val="left"/>
      <w:pPr>
        <w:ind w:left="720" w:hanging="360"/>
      </w:pPr>
      <w:rPr>
        <w:rFonts w:ascii="Symbol" w:hAnsi="Symbol" w:hint="default"/>
      </w:rPr>
    </w:lvl>
    <w:lvl w:ilvl="1" w:tplc="AACCD82E">
      <w:start w:val="1"/>
      <w:numFmt w:val="bullet"/>
      <w:lvlText w:val="o"/>
      <w:lvlJc w:val="left"/>
      <w:pPr>
        <w:ind w:left="1440" w:hanging="360"/>
      </w:pPr>
      <w:rPr>
        <w:rFonts w:ascii="Courier New" w:hAnsi="Courier New" w:cs="Courier New" w:hint="default"/>
      </w:rPr>
    </w:lvl>
    <w:lvl w:ilvl="2" w:tplc="04CEAE8C" w:tentative="1">
      <w:start w:val="1"/>
      <w:numFmt w:val="bullet"/>
      <w:lvlText w:val=""/>
      <w:lvlJc w:val="left"/>
      <w:pPr>
        <w:ind w:left="2160" w:hanging="360"/>
      </w:pPr>
      <w:rPr>
        <w:rFonts w:ascii="Wingdings" w:hAnsi="Wingdings" w:hint="default"/>
      </w:rPr>
    </w:lvl>
    <w:lvl w:ilvl="3" w:tplc="A1FCB75C" w:tentative="1">
      <w:start w:val="1"/>
      <w:numFmt w:val="bullet"/>
      <w:lvlText w:val=""/>
      <w:lvlJc w:val="left"/>
      <w:pPr>
        <w:ind w:left="2880" w:hanging="360"/>
      </w:pPr>
      <w:rPr>
        <w:rFonts w:ascii="Symbol" w:hAnsi="Symbol" w:hint="default"/>
      </w:rPr>
    </w:lvl>
    <w:lvl w:ilvl="4" w:tplc="EBDAB4D6" w:tentative="1">
      <w:start w:val="1"/>
      <w:numFmt w:val="bullet"/>
      <w:lvlText w:val="o"/>
      <w:lvlJc w:val="left"/>
      <w:pPr>
        <w:ind w:left="3600" w:hanging="360"/>
      </w:pPr>
      <w:rPr>
        <w:rFonts w:ascii="Courier New" w:hAnsi="Courier New" w:cs="Courier New" w:hint="default"/>
      </w:rPr>
    </w:lvl>
    <w:lvl w:ilvl="5" w:tplc="2E804AB6" w:tentative="1">
      <w:start w:val="1"/>
      <w:numFmt w:val="bullet"/>
      <w:lvlText w:val=""/>
      <w:lvlJc w:val="left"/>
      <w:pPr>
        <w:ind w:left="4320" w:hanging="360"/>
      </w:pPr>
      <w:rPr>
        <w:rFonts w:ascii="Wingdings" w:hAnsi="Wingdings" w:hint="default"/>
      </w:rPr>
    </w:lvl>
    <w:lvl w:ilvl="6" w:tplc="836A0D5A" w:tentative="1">
      <w:start w:val="1"/>
      <w:numFmt w:val="bullet"/>
      <w:lvlText w:val=""/>
      <w:lvlJc w:val="left"/>
      <w:pPr>
        <w:ind w:left="5040" w:hanging="360"/>
      </w:pPr>
      <w:rPr>
        <w:rFonts w:ascii="Symbol" w:hAnsi="Symbol" w:hint="default"/>
      </w:rPr>
    </w:lvl>
    <w:lvl w:ilvl="7" w:tplc="82125DA2" w:tentative="1">
      <w:start w:val="1"/>
      <w:numFmt w:val="bullet"/>
      <w:lvlText w:val="o"/>
      <w:lvlJc w:val="left"/>
      <w:pPr>
        <w:ind w:left="5760" w:hanging="360"/>
      </w:pPr>
      <w:rPr>
        <w:rFonts w:ascii="Courier New" w:hAnsi="Courier New" w:cs="Courier New" w:hint="default"/>
      </w:rPr>
    </w:lvl>
    <w:lvl w:ilvl="8" w:tplc="6A407064" w:tentative="1">
      <w:start w:val="1"/>
      <w:numFmt w:val="bullet"/>
      <w:lvlText w:val=""/>
      <w:lvlJc w:val="left"/>
      <w:pPr>
        <w:ind w:left="6480" w:hanging="360"/>
      </w:pPr>
      <w:rPr>
        <w:rFonts w:ascii="Wingdings" w:hAnsi="Wingdings" w:hint="default"/>
      </w:rPr>
    </w:lvl>
  </w:abstractNum>
  <w:abstractNum w:abstractNumId="17" w15:restartNumberingAfterBreak="0">
    <w:nsid w:val="2D671567"/>
    <w:multiLevelType w:val="hybridMultilevel"/>
    <w:tmpl w:val="7040B870"/>
    <w:lvl w:ilvl="0" w:tplc="8704234C">
      <w:start w:val="1"/>
      <w:numFmt w:val="bullet"/>
      <w:lvlText w:val=""/>
      <w:lvlJc w:val="left"/>
      <w:pPr>
        <w:ind w:left="720" w:hanging="360"/>
      </w:pPr>
      <w:rPr>
        <w:rFonts w:ascii="Symbol" w:hAnsi="Symbol" w:hint="default"/>
      </w:rPr>
    </w:lvl>
    <w:lvl w:ilvl="1" w:tplc="A04AA316" w:tentative="1">
      <w:start w:val="1"/>
      <w:numFmt w:val="bullet"/>
      <w:lvlText w:val="o"/>
      <w:lvlJc w:val="left"/>
      <w:pPr>
        <w:ind w:left="1440" w:hanging="360"/>
      </w:pPr>
      <w:rPr>
        <w:rFonts w:ascii="Courier New" w:hAnsi="Courier New" w:cs="Courier New" w:hint="default"/>
      </w:rPr>
    </w:lvl>
    <w:lvl w:ilvl="2" w:tplc="11E4B230" w:tentative="1">
      <w:start w:val="1"/>
      <w:numFmt w:val="bullet"/>
      <w:lvlText w:val=""/>
      <w:lvlJc w:val="left"/>
      <w:pPr>
        <w:ind w:left="2160" w:hanging="360"/>
      </w:pPr>
      <w:rPr>
        <w:rFonts w:ascii="Wingdings" w:hAnsi="Wingdings" w:hint="default"/>
      </w:rPr>
    </w:lvl>
    <w:lvl w:ilvl="3" w:tplc="8EEC55CC" w:tentative="1">
      <w:start w:val="1"/>
      <w:numFmt w:val="bullet"/>
      <w:lvlText w:val=""/>
      <w:lvlJc w:val="left"/>
      <w:pPr>
        <w:ind w:left="2880" w:hanging="360"/>
      </w:pPr>
      <w:rPr>
        <w:rFonts w:ascii="Symbol" w:hAnsi="Symbol" w:hint="default"/>
      </w:rPr>
    </w:lvl>
    <w:lvl w:ilvl="4" w:tplc="C5FABDA6" w:tentative="1">
      <w:start w:val="1"/>
      <w:numFmt w:val="bullet"/>
      <w:lvlText w:val="o"/>
      <w:lvlJc w:val="left"/>
      <w:pPr>
        <w:ind w:left="3600" w:hanging="360"/>
      </w:pPr>
      <w:rPr>
        <w:rFonts w:ascii="Courier New" w:hAnsi="Courier New" w:cs="Courier New" w:hint="default"/>
      </w:rPr>
    </w:lvl>
    <w:lvl w:ilvl="5" w:tplc="3C0C25A6" w:tentative="1">
      <w:start w:val="1"/>
      <w:numFmt w:val="bullet"/>
      <w:lvlText w:val=""/>
      <w:lvlJc w:val="left"/>
      <w:pPr>
        <w:ind w:left="4320" w:hanging="360"/>
      </w:pPr>
      <w:rPr>
        <w:rFonts w:ascii="Wingdings" w:hAnsi="Wingdings" w:hint="default"/>
      </w:rPr>
    </w:lvl>
    <w:lvl w:ilvl="6" w:tplc="CA50FEA4" w:tentative="1">
      <w:start w:val="1"/>
      <w:numFmt w:val="bullet"/>
      <w:lvlText w:val=""/>
      <w:lvlJc w:val="left"/>
      <w:pPr>
        <w:ind w:left="5040" w:hanging="360"/>
      </w:pPr>
      <w:rPr>
        <w:rFonts w:ascii="Symbol" w:hAnsi="Symbol" w:hint="default"/>
      </w:rPr>
    </w:lvl>
    <w:lvl w:ilvl="7" w:tplc="74A67810" w:tentative="1">
      <w:start w:val="1"/>
      <w:numFmt w:val="bullet"/>
      <w:lvlText w:val="o"/>
      <w:lvlJc w:val="left"/>
      <w:pPr>
        <w:ind w:left="5760" w:hanging="360"/>
      </w:pPr>
      <w:rPr>
        <w:rFonts w:ascii="Courier New" w:hAnsi="Courier New" w:cs="Courier New" w:hint="default"/>
      </w:rPr>
    </w:lvl>
    <w:lvl w:ilvl="8" w:tplc="6A965EEE" w:tentative="1">
      <w:start w:val="1"/>
      <w:numFmt w:val="bullet"/>
      <w:lvlText w:val=""/>
      <w:lvlJc w:val="left"/>
      <w:pPr>
        <w:ind w:left="6480" w:hanging="360"/>
      </w:pPr>
      <w:rPr>
        <w:rFonts w:ascii="Wingdings" w:hAnsi="Wingdings" w:hint="default"/>
      </w:rPr>
    </w:lvl>
  </w:abstractNum>
  <w:abstractNum w:abstractNumId="18" w15:restartNumberingAfterBreak="0">
    <w:nsid w:val="2F2425AB"/>
    <w:multiLevelType w:val="multilevel"/>
    <w:tmpl w:val="BC8603C0"/>
    <w:numStyleLink w:val="ListNumbers"/>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F09C5B06">
      <w:start w:val="1"/>
      <w:numFmt w:val="bullet"/>
      <w:pStyle w:val="BoxTextBullet"/>
      <w:lvlText w:val=""/>
      <w:lvlJc w:val="left"/>
      <w:pPr>
        <w:ind w:left="720" w:hanging="360"/>
      </w:pPr>
      <w:rPr>
        <w:rFonts w:ascii="Symbol" w:hAnsi="Symbol" w:hint="default"/>
      </w:rPr>
    </w:lvl>
    <w:lvl w:ilvl="1" w:tplc="60DEA15E">
      <w:start w:val="1"/>
      <w:numFmt w:val="bullet"/>
      <w:lvlText w:val="o"/>
      <w:lvlJc w:val="left"/>
      <w:pPr>
        <w:ind w:left="1440" w:hanging="360"/>
      </w:pPr>
      <w:rPr>
        <w:rFonts w:ascii="Courier New" w:hAnsi="Courier New" w:cs="Courier New" w:hint="default"/>
      </w:rPr>
    </w:lvl>
    <w:lvl w:ilvl="2" w:tplc="100295E8" w:tentative="1">
      <w:start w:val="1"/>
      <w:numFmt w:val="bullet"/>
      <w:lvlText w:val=""/>
      <w:lvlJc w:val="left"/>
      <w:pPr>
        <w:ind w:left="2160" w:hanging="360"/>
      </w:pPr>
      <w:rPr>
        <w:rFonts w:ascii="Wingdings" w:hAnsi="Wingdings" w:hint="default"/>
      </w:rPr>
    </w:lvl>
    <w:lvl w:ilvl="3" w:tplc="6930F378" w:tentative="1">
      <w:start w:val="1"/>
      <w:numFmt w:val="bullet"/>
      <w:lvlText w:val=""/>
      <w:lvlJc w:val="left"/>
      <w:pPr>
        <w:ind w:left="2880" w:hanging="360"/>
      </w:pPr>
      <w:rPr>
        <w:rFonts w:ascii="Symbol" w:hAnsi="Symbol" w:hint="default"/>
      </w:rPr>
    </w:lvl>
    <w:lvl w:ilvl="4" w:tplc="CDD873E8" w:tentative="1">
      <w:start w:val="1"/>
      <w:numFmt w:val="bullet"/>
      <w:lvlText w:val="o"/>
      <w:lvlJc w:val="left"/>
      <w:pPr>
        <w:ind w:left="3600" w:hanging="360"/>
      </w:pPr>
      <w:rPr>
        <w:rFonts w:ascii="Courier New" w:hAnsi="Courier New" w:cs="Courier New" w:hint="default"/>
      </w:rPr>
    </w:lvl>
    <w:lvl w:ilvl="5" w:tplc="2FB46E1A" w:tentative="1">
      <w:start w:val="1"/>
      <w:numFmt w:val="bullet"/>
      <w:lvlText w:val=""/>
      <w:lvlJc w:val="left"/>
      <w:pPr>
        <w:ind w:left="4320" w:hanging="360"/>
      </w:pPr>
      <w:rPr>
        <w:rFonts w:ascii="Wingdings" w:hAnsi="Wingdings" w:hint="default"/>
      </w:rPr>
    </w:lvl>
    <w:lvl w:ilvl="6" w:tplc="4950F98E" w:tentative="1">
      <w:start w:val="1"/>
      <w:numFmt w:val="bullet"/>
      <w:lvlText w:val=""/>
      <w:lvlJc w:val="left"/>
      <w:pPr>
        <w:ind w:left="5040" w:hanging="360"/>
      </w:pPr>
      <w:rPr>
        <w:rFonts w:ascii="Symbol" w:hAnsi="Symbol" w:hint="default"/>
      </w:rPr>
    </w:lvl>
    <w:lvl w:ilvl="7" w:tplc="6E5E8EF2" w:tentative="1">
      <w:start w:val="1"/>
      <w:numFmt w:val="bullet"/>
      <w:lvlText w:val="o"/>
      <w:lvlJc w:val="left"/>
      <w:pPr>
        <w:ind w:left="5760" w:hanging="360"/>
      </w:pPr>
      <w:rPr>
        <w:rFonts w:ascii="Courier New" w:hAnsi="Courier New" w:cs="Courier New" w:hint="default"/>
      </w:rPr>
    </w:lvl>
    <w:lvl w:ilvl="8" w:tplc="5F14175C" w:tentative="1">
      <w:start w:val="1"/>
      <w:numFmt w:val="bullet"/>
      <w:lvlText w:val=""/>
      <w:lvlJc w:val="left"/>
      <w:pPr>
        <w:ind w:left="6480" w:hanging="360"/>
      </w:pPr>
      <w:rPr>
        <w:rFonts w:ascii="Wingdings" w:hAnsi="Wingdings" w:hint="default"/>
      </w:rPr>
    </w:lvl>
  </w:abstractNum>
  <w:abstractNum w:abstractNumId="21" w15:restartNumberingAfterBreak="0">
    <w:nsid w:val="49AA306B"/>
    <w:multiLevelType w:val="hybridMultilevel"/>
    <w:tmpl w:val="5F6AE2B4"/>
    <w:lvl w:ilvl="0" w:tplc="7DBAEEC2">
      <w:start w:val="1"/>
      <w:numFmt w:val="bullet"/>
      <w:lvlText w:val=""/>
      <w:lvlJc w:val="left"/>
      <w:pPr>
        <w:ind w:left="720" w:hanging="360"/>
      </w:pPr>
      <w:rPr>
        <w:rFonts w:ascii="Symbol" w:hAnsi="Symbol" w:hint="default"/>
      </w:rPr>
    </w:lvl>
    <w:lvl w:ilvl="1" w:tplc="2D18630A" w:tentative="1">
      <w:start w:val="1"/>
      <w:numFmt w:val="bullet"/>
      <w:lvlText w:val="o"/>
      <w:lvlJc w:val="left"/>
      <w:pPr>
        <w:ind w:left="1440" w:hanging="360"/>
      </w:pPr>
      <w:rPr>
        <w:rFonts w:ascii="Courier New" w:hAnsi="Courier New" w:cs="Courier New" w:hint="default"/>
      </w:rPr>
    </w:lvl>
    <w:lvl w:ilvl="2" w:tplc="D1487336" w:tentative="1">
      <w:start w:val="1"/>
      <w:numFmt w:val="bullet"/>
      <w:lvlText w:val=""/>
      <w:lvlJc w:val="left"/>
      <w:pPr>
        <w:ind w:left="2160" w:hanging="360"/>
      </w:pPr>
      <w:rPr>
        <w:rFonts w:ascii="Wingdings" w:hAnsi="Wingdings" w:hint="default"/>
      </w:rPr>
    </w:lvl>
    <w:lvl w:ilvl="3" w:tplc="62D8637A" w:tentative="1">
      <w:start w:val="1"/>
      <w:numFmt w:val="bullet"/>
      <w:lvlText w:val=""/>
      <w:lvlJc w:val="left"/>
      <w:pPr>
        <w:ind w:left="2880" w:hanging="360"/>
      </w:pPr>
      <w:rPr>
        <w:rFonts w:ascii="Symbol" w:hAnsi="Symbol" w:hint="default"/>
      </w:rPr>
    </w:lvl>
    <w:lvl w:ilvl="4" w:tplc="B6347C38" w:tentative="1">
      <w:start w:val="1"/>
      <w:numFmt w:val="bullet"/>
      <w:lvlText w:val="o"/>
      <w:lvlJc w:val="left"/>
      <w:pPr>
        <w:ind w:left="3600" w:hanging="360"/>
      </w:pPr>
      <w:rPr>
        <w:rFonts w:ascii="Courier New" w:hAnsi="Courier New" w:cs="Courier New" w:hint="default"/>
      </w:rPr>
    </w:lvl>
    <w:lvl w:ilvl="5" w:tplc="DB2E1340" w:tentative="1">
      <w:start w:val="1"/>
      <w:numFmt w:val="bullet"/>
      <w:lvlText w:val=""/>
      <w:lvlJc w:val="left"/>
      <w:pPr>
        <w:ind w:left="4320" w:hanging="360"/>
      </w:pPr>
      <w:rPr>
        <w:rFonts w:ascii="Wingdings" w:hAnsi="Wingdings" w:hint="default"/>
      </w:rPr>
    </w:lvl>
    <w:lvl w:ilvl="6" w:tplc="E6061A82" w:tentative="1">
      <w:start w:val="1"/>
      <w:numFmt w:val="bullet"/>
      <w:lvlText w:val=""/>
      <w:lvlJc w:val="left"/>
      <w:pPr>
        <w:ind w:left="5040" w:hanging="360"/>
      </w:pPr>
      <w:rPr>
        <w:rFonts w:ascii="Symbol" w:hAnsi="Symbol" w:hint="default"/>
      </w:rPr>
    </w:lvl>
    <w:lvl w:ilvl="7" w:tplc="59CC4A80" w:tentative="1">
      <w:start w:val="1"/>
      <w:numFmt w:val="bullet"/>
      <w:lvlText w:val="o"/>
      <w:lvlJc w:val="left"/>
      <w:pPr>
        <w:ind w:left="5760" w:hanging="360"/>
      </w:pPr>
      <w:rPr>
        <w:rFonts w:ascii="Courier New" w:hAnsi="Courier New" w:cs="Courier New" w:hint="default"/>
      </w:rPr>
    </w:lvl>
    <w:lvl w:ilvl="8" w:tplc="8FD68736" w:tentative="1">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5D722183"/>
    <w:multiLevelType w:val="hybridMultilevel"/>
    <w:tmpl w:val="882EC512"/>
    <w:lvl w:ilvl="0" w:tplc="1B7E1788">
      <w:start w:val="1"/>
      <w:numFmt w:val="bullet"/>
      <w:lvlText w:val=""/>
      <w:lvlJc w:val="left"/>
      <w:pPr>
        <w:ind w:left="720" w:hanging="360"/>
      </w:pPr>
      <w:rPr>
        <w:rFonts w:ascii="Symbol" w:hAnsi="Symbol" w:hint="default"/>
      </w:rPr>
    </w:lvl>
    <w:lvl w:ilvl="1" w:tplc="2EEEB3B2" w:tentative="1">
      <w:start w:val="1"/>
      <w:numFmt w:val="bullet"/>
      <w:lvlText w:val="o"/>
      <w:lvlJc w:val="left"/>
      <w:pPr>
        <w:ind w:left="1440" w:hanging="360"/>
      </w:pPr>
      <w:rPr>
        <w:rFonts w:ascii="Courier New" w:hAnsi="Courier New" w:cs="Courier New" w:hint="default"/>
      </w:rPr>
    </w:lvl>
    <w:lvl w:ilvl="2" w:tplc="2BB87C7A" w:tentative="1">
      <w:start w:val="1"/>
      <w:numFmt w:val="bullet"/>
      <w:lvlText w:val=""/>
      <w:lvlJc w:val="left"/>
      <w:pPr>
        <w:ind w:left="2160" w:hanging="360"/>
      </w:pPr>
      <w:rPr>
        <w:rFonts w:ascii="Wingdings" w:hAnsi="Wingdings" w:hint="default"/>
      </w:rPr>
    </w:lvl>
    <w:lvl w:ilvl="3" w:tplc="C7ACB660" w:tentative="1">
      <w:start w:val="1"/>
      <w:numFmt w:val="bullet"/>
      <w:lvlText w:val=""/>
      <w:lvlJc w:val="left"/>
      <w:pPr>
        <w:ind w:left="2880" w:hanging="360"/>
      </w:pPr>
      <w:rPr>
        <w:rFonts w:ascii="Symbol" w:hAnsi="Symbol" w:hint="default"/>
      </w:rPr>
    </w:lvl>
    <w:lvl w:ilvl="4" w:tplc="2F3682BE" w:tentative="1">
      <w:start w:val="1"/>
      <w:numFmt w:val="bullet"/>
      <w:lvlText w:val="o"/>
      <w:lvlJc w:val="left"/>
      <w:pPr>
        <w:ind w:left="3600" w:hanging="360"/>
      </w:pPr>
      <w:rPr>
        <w:rFonts w:ascii="Courier New" w:hAnsi="Courier New" w:cs="Courier New" w:hint="default"/>
      </w:rPr>
    </w:lvl>
    <w:lvl w:ilvl="5" w:tplc="24EE0298" w:tentative="1">
      <w:start w:val="1"/>
      <w:numFmt w:val="bullet"/>
      <w:lvlText w:val=""/>
      <w:lvlJc w:val="left"/>
      <w:pPr>
        <w:ind w:left="4320" w:hanging="360"/>
      </w:pPr>
      <w:rPr>
        <w:rFonts w:ascii="Wingdings" w:hAnsi="Wingdings" w:hint="default"/>
      </w:rPr>
    </w:lvl>
    <w:lvl w:ilvl="6" w:tplc="E1BEC408" w:tentative="1">
      <w:start w:val="1"/>
      <w:numFmt w:val="bullet"/>
      <w:lvlText w:val=""/>
      <w:lvlJc w:val="left"/>
      <w:pPr>
        <w:ind w:left="5040" w:hanging="360"/>
      </w:pPr>
      <w:rPr>
        <w:rFonts w:ascii="Symbol" w:hAnsi="Symbol" w:hint="default"/>
      </w:rPr>
    </w:lvl>
    <w:lvl w:ilvl="7" w:tplc="E83E2402" w:tentative="1">
      <w:start w:val="1"/>
      <w:numFmt w:val="bullet"/>
      <w:lvlText w:val="o"/>
      <w:lvlJc w:val="left"/>
      <w:pPr>
        <w:ind w:left="5760" w:hanging="360"/>
      </w:pPr>
      <w:rPr>
        <w:rFonts w:ascii="Courier New" w:hAnsi="Courier New" w:cs="Courier New" w:hint="default"/>
      </w:rPr>
    </w:lvl>
    <w:lvl w:ilvl="8" w:tplc="A7E0B692" w:tentative="1">
      <w:start w:val="1"/>
      <w:numFmt w:val="bullet"/>
      <w:lvlText w:val=""/>
      <w:lvlJc w:val="left"/>
      <w:pPr>
        <w:ind w:left="6480" w:hanging="360"/>
      </w:pPr>
      <w:rPr>
        <w:rFonts w:ascii="Wingdings" w:hAnsi="Wingdings" w:hint="default"/>
      </w:rPr>
    </w:lvl>
  </w:abstractNum>
  <w:abstractNum w:abstractNumId="2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EFF7635"/>
    <w:multiLevelType w:val="hybridMultilevel"/>
    <w:tmpl w:val="5462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E342AF"/>
    <w:multiLevelType w:val="hybridMultilevel"/>
    <w:tmpl w:val="D9D0A416"/>
    <w:lvl w:ilvl="0" w:tplc="787E1888">
      <w:start w:val="1"/>
      <w:numFmt w:val="bullet"/>
      <w:lvlText w:val=""/>
      <w:lvlJc w:val="left"/>
      <w:pPr>
        <w:ind w:left="720" w:hanging="360"/>
      </w:pPr>
      <w:rPr>
        <w:rFonts w:ascii="Symbol" w:hAnsi="Symbol" w:hint="default"/>
      </w:rPr>
    </w:lvl>
    <w:lvl w:ilvl="1" w:tplc="7A2EA404" w:tentative="1">
      <w:start w:val="1"/>
      <w:numFmt w:val="bullet"/>
      <w:lvlText w:val="o"/>
      <w:lvlJc w:val="left"/>
      <w:pPr>
        <w:ind w:left="1440" w:hanging="360"/>
      </w:pPr>
      <w:rPr>
        <w:rFonts w:ascii="Courier New" w:hAnsi="Courier New" w:cs="Courier New" w:hint="default"/>
      </w:rPr>
    </w:lvl>
    <w:lvl w:ilvl="2" w:tplc="B8AC264C" w:tentative="1">
      <w:start w:val="1"/>
      <w:numFmt w:val="bullet"/>
      <w:lvlText w:val=""/>
      <w:lvlJc w:val="left"/>
      <w:pPr>
        <w:ind w:left="2160" w:hanging="360"/>
      </w:pPr>
      <w:rPr>
        <w:rFonts w:ascii="Wingdings" w:hAnsi="Wingdings" w:hint="default"/>
      </w:rPr>
    </w:lvl>
    <w:lvl w:ilvl="3" w:tplc="AF1C3A4E" w:tentative="1">
      <w:start w:val="1"/>
      <w:numFmt w:val="bullet"/>
      <w:lvlText w:val=""/>
      <w:lvlJc w:val="left"/>
      <w:pPr>
        <w:ind w:left="2880" w:hanging="360"/>
      </w:pPr>
      <w:rPr>
        <w:rFonts w:ascii="Symbol" w:hAnsi="Symbol" w:hint="default"/>
      </w:rPr>
    </w:lvl>
    <w:lvl w:ilvl="4" w:tplc="413855C6" w:tentative="1">
      <w:start w:val="1"/>
      <w:numFmt w:val="bullet"/>
      <w:lvlText w:val="o"/>
      <w:lvlJc w:val="left"/>
      <w:pPr>
        <w:ind w:left="3600" w:hanging="360"/>
      </w:pPr>
      <w:rPr>
        <w:rFonts w:ascii="Courier New" w:hAnsi="Courier New" w:cs="Courier New" w:hint="default"/>
      </w:rPr>
    </w:lvl>
    <w:lvl w:ilvl="5" w:tplc="0AA0E0AE" w:tentative="1">
      <w:start w:val="1"/>
      <w:numFmt w:val="bullet"/>
      <w:lvlText w:val=""/>
      <w:lvlJc w:val="left"/>
      <w:pPr>
        <w:ind w:left="4320" w:hanging="360"/>
      </w:pPr>
      <w:rPr>
        <w:rFonts w:ascii="Wingdings" w:hAnsi="Wingdings" w:hint="default"/>
      </w:rPr>
    </w:lvl>
    <w:lvl w:ilvl="6" w:tplc="14124904" w:tentative="1">
      <w:start w:val="1"/>
      <w:numFmt w:val="bullet"/>
      <w:lvlText w:val=""/>
      <w:lvlJc w:val="left"/>
      <w:pPr>
        <w:ind w:left="5040" w:hanging="360"/>
      </w:pPr>
      <w:rPr>
        <w:rFonts w:ascii="Symbol" w:hAnsi="Symbol" w:hint="default"/>
      </w:rPr>
    </w:lvl>
    <w:lvl w:ilvl="7" w:tplc="AABEB304" w:tentative="1">
      <w:start w:val="1"/>
      <w:numFmt w:val="bullet"/>
      <w:lvlText w:val="o"/>
      <w:lvlJc w:val="left"/>
      <w:pPr>
        <w:ind w:left="5760" w:hanging="360"/>
      </w:pPr>
      <w:rPr>
        <w:rFonts w:ascii="Courier New" w:hAnsi="Courier New" w:cs="Courier New" w:hint="default"/>
      </w:rPr>
    </w:lvl>
    <w:lvl w:ilvl="8" w:tplc="4F66602C" w:tentative="1">
      <w:start w:val="1"/>
      <w:numFmt w:val="bullet"/>
      <w:lvlText w:val=""/>
      <w:lvlJc w:val="left"/>
      <w:pPr>
        <w:ind w:left="6480" w:hanging="360"/>
      </w:pPr>
      <w:rPr>
        <w:rFonts w:ascii="Wingdings" w:hAnsi="Wingdings" w:hint="default"/>
      </w:rPr>
    </w:lvl>
  </w:abstractNum>
  <w:abstractNum w:abstractNumId="28" w15:restartNumberingAfterBreak="0">
    <w:nsid w:val="7EEA2918"/>
    <w:multiLevelType w:val="hybridMultilevel"/>
    <w:tmpl w:val="88DAA210"/>
    <w:lvl w:ilvl="0" w:tplc="84DC6F54">
      <w:start w:val="1"/>
      <w:numFmt w:val="bullet"/>
      <w:lvlText w:val=""/>
      <w:lvlJc w:val="left"/>
      <w:pPr>
        <w:ind w:left="720" w:hanging="360"/>
      </w:pPr>
      <w:rPr>
        <w:rFonts w:ascii="Symbol" w:hAnsi="Symbol" w:hint="default"/>
      </w:rPr>
    </w:lvl>
    <w:lvl w:ilvl="1" w:tplc="8B8AD356" w:tentative="1">
      <w:start w:val="1"/>
      <w:numFmt w:val="bullet"/>
      <w:lvlText w:val="o"/>
      <w:lvlJc w:val="left"/>
      <w:pPr>
        <w:ind w:left="1440" w:hanging="360"/>
      </w:pPr>
      <w:rPr>
        <w:rFonts w:ascii="Courier New" w:hAnsi="Courier New" w:cs="Courier New" w:hint="default"/>
      </w:rPr>
    </w:lvl>
    <w:lvl w:ilvl="2" w:tplc="4BB601DE" w:tentative="1">
      <w:start w:val="1"/>
      <w:numFmt w:val="bullet"/>
      <w:lvlText w:val=""/>
      <w:lvlJc w:val="left"/>
      <w:pPr>
        <w:ind w:left="2160" w:hanging="360"/>
      </w:pPr>
      <w:rPr>
        <w:rFonts w:ascii="Wingdings" w:hAnsi="Wingdings" w:hint="default"/>
      </w:rPr>
    </w:lvl>
    <w:lvl w:ilvl="3" w:tplc="F3FCA488" w:tentative="1">
      <w:start w:val="1"/>
      <w:numFmt w:val="bullet"/>
      <w:lvlText w:val=""/>
      <w:lvlJc w:val="left"/>
      <w:pPr>
        <w:ind w:left="2880" w:hanging="360"/>
      </w:pPr>
      <w:rPr>
        <w:rFonts w:ascii="Symbol" w:hAnsi="Symbol" w:hint="default"/>
      </w:rPr>
    </w:lvl>
    <w:lvl w:ilvl="4" w:tplc="6492A68C" w:tentative="1">
      <w:start w:val="1"/>
      <w:numFmt w:val="bullet"/>
      <w:lvlText w:val="o"/>
      <w:lvlJc w:val="left"/>
      <w:pPr>
        <w:ind w:left="3600" w:hanging="360"/>
      </w:pPr>
      <w:rPr>
        <w:rFonts w:ascii="Courier New" w:hAnsi="Courier New" w:cs="Courier New" w:hint="default"/>
      </w:rPr>
    </w:lvl>
    <w:lvl w:ilvl="5" w:tplc="D3DAF09A" w:tentative="1">
      <w:start w:val="1"/>
      <w:numFmt w:val="bullet"/>
      <w:lvlText w:val=""/>
      <w:lvlJc w:val="left"/>
      <w:pPr>
        <w:ind w:left="4320" w:hanging="360"/>
      </w:pPr>
      <w:rPr>
        <w:rFonts w:ascii="Wingdings" w:hAnsi="Wingdings" w:hint="default"/>
      </w:rPr>
    </w:lvl>
    <w:lvl w:ilvl="6" w:tplc="0812F940" w:tentative="1">
      <w:start w:val="1"/>
      <w:numFmt w:val="bullet"/>
      <w:lvlText w:val=""/>
      <w:lvlJc w:val="left"/>
      <w:pPr>
        <w:ind w:left="5040" w:hanging="360"/>
      </w:pPr>
      <w:rPr>
        <w:rFonts w:ascii="Symbol" w:hAnsi="Symbol" w:hint="default"/>
      </w:rPr>
    </w:lvl>
    <w:lvl w:ilvl="7" w:tplc="CECAAFD6" w:tentative="1">
      <w:start w:val="1"/>
      <w:numFmt w:val="bullet"/>
      <w:lvlText w:val="o"/>
      <w:lvlJc w:val="left"/>
      <w:pPr>
        <w:ind w:left="5760" w:hanging="360"/>
      </w:pPr>
      <w:rPr>
        <w:rFonts w:ascii="Courier New" w:hAnsi="Courier New" w:cs="Courier New" w:hint="default"/>
      </w:rPr>
    </w:lvl>
    <w:lvl w:ilvl="8" w:tplc="311441DA" w:tentative="1">
      <w:start w:val="1"/>
      <w:numFmt w:val="bullet"/>
      <w:lvlText w:val=""/>
      <w:lvlJc w:val="left"/>
      <w:pPr>
        <w:ind w:left="6480" w:hanging="360"/>
      </w:pPr>
      <w:rPr>
        <w:rFonts w:ascii="Wingdings" w:hAnsi="Wingdings" w:hint="default"/>
      </w:rPr>
    </w:lvl>
  </w:abstractNum>
  <w:num w:numId="1" w16cid:durableId="930821958">
    <w:abstractNumId w:val="22"/>
  </w:num>
  <w:num w:numId="2" w16cid:durableId="1553224976">
    <w:abstractNumId w:val="20"/>
  </w:num>
  <w:num w:numId="3" w16cid:durableId="506552945">
    <w:abstractNumId w:val="11"/>
  </w:num>
  <w:num w:numId="4" w16cid:durableId="1114639103">
    <w:abstractNumId w:val="12"/>
  </w:num>
  <w:num w:numId="5" w16cid:durableId="948390725">
    <w:abstractNumId w:val="5"/>
  </w:num>
  <w:num w:numId="6" w16cid:durableId="116721024">
    <w:abstractNumId w:val="14"/>
  </w:num>
  <w:num w:numId="7" w16cid:durableId="452330074">
    <w:abstractNumId w:val="25"/>
  </w:num>
  <w:num w:numId="8" w16cid:durableId="12612651">
    <w:abstractNumId w:val="18"/>
  </w:num>
  <w:num w:numId="9" w16cid:durableId="1012027636">
    <w:abstractNumId w:val="23"/>
  </w:num>
  <w:num w:numId="10" w16cid:durableId="541600070">
    <w:abstractNumId w:val="13"/>
  </w:num>
  <w:num w:numId="11" w16cid:durableId="1509441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460763">
    <w:abstractNumId w:val="19"/>
  </w:num>
  <w:num w:numId="13" w16cid:durableId="1186139832">
    <w:abstractNumId w:val="24"/>
  </w:num>
  <w:num w:numId="14" w16cid:durableId="286005951">
    <w:abstractNumId w:val="4"/>
  </w:num>
  <w:num w:numId="15" w16cid:durableId="497426016">
    <w:abstractNumId w:val="3"/>
  </w:num>
  <w:num w:numId="16" w16cid:durableId="391007782">
    <w:abstractNumId w:val="2"/>
  </w:num>
  <w:num w:numId="17" w16cid:durableId="1969433251">
    <w:abstractNumId w:val="6"/>
  </w:num>
  <w:num w:numId="18" w16cid:durableId="977026143">
    <w:abstractNumId w:val="17"/>
  </w:num>
  <w:num w:numId="19" w16cid:durableId="817499868">
    <w:abstractNumId w:val="16"/>
  </w:num>
  <w:num w:numId="20" w16cid:durableId="1048651939">
    <w:abstractNumId w:val="27"/>
  </w:num>
  <w:num w:numId="21" w16cid:durableId="2004122839">
    <w:abstractNumId w:val="9"/>
  </w:num>
  <w:num w:numId="22" w16cid:durableId="1409496884">
    <w:abstractNumId w:val="21"/>
  </w:num>
  <w:num w:numId="23" w16cid:durableId="224722990">
    <w:abstractNumId w:val="28"/>
  </w:num>
  <w:num w:numId="24" w16cid:durableId="1816098163">
    <w:abstractNumId w:val="10"/>
  </w:num>
  <w:num w:numId="25" w16cid:durableId="112870509">
    <w:abstractNumId w:val="15"/>
  </w:num>
  <w:num w:numId="26" w16cid:durableId="951327225">
    <w:abstractNumId w:val="7"/>
  </w:num>
  <w:num w:numId="27" w16cid:durableId="663122943">
    <w:abstractNumId w:val="0"/>
  </w:num>
  <w:num w:numId="28" w16cid:durableId="1107656601">
    <w:abstractNumId w:val="1"/>
  </w:num>
  <w:num w:numId="29" w16cid:durableId="2106798929">
    <w:abstractNumId w:val="26"/>
  </w:num>
  <w:num w:numId="30" w16cid:durableId="164411486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21526"/>
    <w:rsid w:val="00035336"/>
    <w:rsid w:val="000511BC"/>
    <w:rsid w:val="00071951"/>
    <w:rsid w:val="000825FA"/>
    <w:rsid w:val="00091BB1"/>
    <w:rsid w:val="00092FB5"/>
    <w:rsid w:val="000A31AF"/>
    <w:rsid w:val="000C7382"/>
    <w:rsid w:val="000D25F4"/>
    <w:rsid w:val="000D3876"/>
    <w:rsid w:val="001556B1"/>
    <w:rsid w:val="0016320D"/>
    <w:rsid w:val="00172CFB"/>
    <w:rsid w:val="001814F1"/>
    <w:rsid w:val="001A00C3"/>
    <w:rsid w:val="001F202D"/>
    <w:rsid w:val="001F209F"/>
    <w:rsid w:val="001F5171"/>
    <w:rsid w:val="00210191"/>
    <w:rsid w:val="00257232"/>
    <w:rsid w:val="002808EC"/>
    <w:rsid w:val="00296934"/>
    <w:rsid w:val="002A045B"/>
    <w:rsid w:val="002A70C1"/>
    <w:rsid w:val="002D3ED1"/>
    <w:rsid w:val="002F4BA5"/>
    <w:rsid w:val="003019B6"/>
    <w:rsid w:val="00301FF9"/>
    <w:rsid w:val="0035008F"/>
    <w:rsid w:val="003565AE"/>
    <w:rsid w:val="00362696"/>
    <w:rsid w:val="003A0FB1"/>
    <w:rsid w:val="003B47CA"/>
    <w:rsid w:val="003B7117"/>
    <w:rsid w:val="003C270F"/>
    <w:rsid w:val="003C6D01"/>
    <w:rsid w:val="003C72E6"/>
    <w:rsid w:val="003F6889"/>
    <w:rsid w:val="00400B1B"/>
    <w:rsid w:val="00402BB2"/>
    <w:rsid w:val="00457F79"/>
    <w:rsid w:val="00461807"/>
    <w:rsid w:val="004B42DB"/>
    <w:rsid w:val="004E1EF6"/>
    <w:rsid w:val="004F444C"/>
    <w:rsid w:val="00500CE3"/>
    <w:rsid w:val="005028DA"/>
    <w:rsid w:val="00512D19"/>
    <w:rsid w:val="00513CB9"/>
    <w:rsid w:val="0054747E"/>
    <w:rsid w:val="0056602A"/>
    <w:rsid w:val="005763D4"/>
    <w:rsid w:val="00585E4E"/>
    <w:rsid w:val="00586E20"/>
    <w:rsid w:val="005C0977"/>
    <w:rsid w:val="005D071B"/>
    <w:rsid w:val="005D0A84"/>
    <w:rsid w:val="005E2B61"/>
    <w:rsid w:val="00601942"/>
    <w:rsid w:val="006122CB"/>
    <w:rsid w:val="0061517B"/>
    <w:rsid w:val="00620520"/>
    <w:rsid w:val="00626E31"/>
    <w:rsid w:val="0064696B"/>
    <w:rsid w:val="00651246"/>
    <w:rsid w:val="0067798E"/>
    <w:rsid w:val="006807BE"/>
    <w:rsid w:val="006824A3"/>
    <w:rsid w:val="006B5C04"/>
    <w:rsid w:val="006C5A70"/>
    <w:rsid w:val="006E049A"/>
    <w:rsid w:val="006F5F54"/>
    <w:rsid w:val="00730EB4"/>
    <w:rsid w:val="00785626"/>
    <w:rsid w:val="007C129B"/>
    <w:rsid w:val="007C7816"/>
    <w:rsid w:val="008203AF"/>
    <w:rsid w:val="00822C60"/>
    <w:rsid w:val="008277DD"/>
    <w:rsid w:val="00852435"/>
    <w:rsid w:val="0087153D"/>
    <w:rsid w:val="008723D5"/>
    <w:rsid w:val="00885734"/>
    <w:rsid w:val="008861AE"/>
    <w:rsid w:val="0089754A"/>
    <w:rsid w:val="00897A44"/>
    <w:rsid w:val="008B6FFF"/>
    <w:rsid w:val="008F46C3"/>
    <w:rsid w:val="008F610E"/>
    <w:rsid w:val="00900DB1"/>
    <w:rsid w:val="00905F94"/>
    <w:rsid w:val="009130F1"/>
    <w:rsid w:val="00924278"/>
    <w:rsid w:val="00962274"/>
    <w:rsid w:val="0097183E"/>
    <w:rsid w:val="009864EE"/>
    <w:rsid w:val="009B2BC9"/>
    <w:rsid w:val="009D2B9D"/>
    <w:rsid w:val="009D487F"/>
    <w:rsid w:val="009E0E04"/>
    <w:rsid w:val="00A009C5"/>
    <w:rsid w:val="00A302D8"/>
    <w:rsid w:val="00A4432C"/>
    <w:rsid w:val="00A55616"/>
    <w:rsid w:val="00A84E2E"/>
    <w:rsid w:val="00A91D31"/>
    <w:rsid w:val="00AA4B88"/>
    <w:rsid w:val="00AA7741"/>
    <w:rsid w:val="00AA7E5E"/>
    <w:rsid w:val="00AE150A"/>
    <w:rsid w:val="00AF7442"/>
    <w:rsid w:val="00B2722C"/>
    <w:rsid w:val="00B3221B"/>
    <w:rsid w:val="00B375CC"/>
    <w:rsid w:val="00B53BA6"/>
    <w:rsid w:val="00B57188"/>
    <w:rsid w:val="00B63A4F"/>
    <w:rsid w:val="00BF043A"/>
    <w:rsid w:val="00BF2393"/>
    <w:rsid w:val="00C01174"/>
    <w:rsid w:val="00C2735A"/>
    <w:rsid w:val="00C3494C"/>
    <w:rsid w:val="00C471F8"/>
    <w:rsid w:val="00C53BCF"/>
    <w:rsid w:val="00C56A7C"/>
    <w:rsid w:val="00C65856"/>
    <w:rsid w:val="00C6669A"/>
    <w:rsid w:val="00C913FE"/>
    <w:rsid w:val="00CA2EEC"/>
    <w:rsid w:val="00CB1EC9"/>
    <w:rsid w:val="00CC2DCB"/>
    <w:rsid w:val="00CE3FCC"/>
    <w:rsid w:val="00CE5565"/>
    <w:rsid w:val="00CF01C3"/>
    <w:rsid w:val="00D01345"/>
    <w:rsid w:val="00D03D7E"/>
    <w:rsid w:val="00D07DE0"/>
    <w:rsid w:val="00D3488C"/>
    <w:rsid w:val="00D3608D"/>
    <w:rsid w:val="00D42EAF"/>
    <w:rsid w:val="00DE2F3B"/>
    <w:rsid w:val="00E26A9D"/>
    <w:rsid w:val="00E3214D"/>
    <w:rsid w:val="00E67A35"/>
    <w:rsid w:val="00E71DF7"/>
    <w:rsid w:val="00E818AD"/>
    <w:rsid w:val="00ED4FCB"/>
    <w:rsid w:val="00EE3823"/>
    <w:rsid w:val="00EF1FD9"/>
    <w:rsid w:val="00F12F4B"/>
    <w:rsid w:val="00F301E6"/>
    <w:rsid w:val="00F304DE"/>
    <w:rsid w:val="00F45563"/>
    <w:rsid w:val="00F547DC"/>
    <w:rsid w:val="00F974CF"/>
    <w:rsid w:val="00FA6F5B"/>
    <w:rsid w:val="00FC605F"/>
    <w:rsid w:val="00FF2509"/>
    <w:rsid w:val="00FF4E46"/>
    <w:rsid w:val="00FF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C2F0"/>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paragraph" w:customStyle="1" w:styleId="Default">
    <w:name w:val="Default"/>
    <w:rsid w:val="009E0E0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12672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Ricabo, Bradley</dc:creator>
  <cp:lastModifiedBy>Megale, Mel</cp:lastModifiedBy>
  <cp:revision>2</cp:revision>
  <cp:lastPrinted>1899-12-31T13:00:00Z</cp:lastPrinted>
  <dcterms:created xsi:type="dcterms:W3CDTF">2023-03-28T06:04:00Z</dcterms:created>
  <dcterms:modified xsi:type="dcterms:W3CDTF">2023-03-28T06:04:00Z</dcterms:modified>
</cp:coreProperties>
</file>