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2CC8" w14:textId="77777777" w:rsidR="00FB640B" w:rsidRPr="00C32813" w:rsidRDefault="0057002B" w:rsidP="00BB0CF2">
      <w:pPr>
        <w:pStyle w:val="ESTitleHeader"/>
      </w:pPr>
      <w:r w:rsidRPr="00C32813">
        <w:t>EXPLANATORY STATEMENT</w:t>
      </w:r>
    </w:p>
    <w:p w14:paraId="290EA36A" w14:textId="77777777" w:rsidR="0057002B" w:rsidRPr="00C32813" w:rsidRDefault="0057002B" w:rsidP="00BB0CF2">
      <w:pPr>
        <w:pStyle w:val="ESTitleDecisionMaker"/>
      </w:pPr>
      <w:r w:rsidRPr="00C32813">
        <w:t xml:space="preserve">Issued by authority of the </w:t>
      </w:r>
      <w:r w:rsidR="00831033" w:rsidRPr="00C32813">
        <w:t>Minister for Immigration, Citizenship and Multicultural Affairs</w:t>
      </w:r>
    </w:p>
    <w:p w14:paraId="319FDA2C" w14:textId="77777777" w:rsidR="00831033" w:rsidRPr="00C32813" w:rsidRDefault="00831033" w:rsidP="00831033">
      <w:pPr>
        <w:pStyle w:val="ESPara"/>
        <w:numPr>
          <w:ilvl w:val="0"/>
          <w:numId w:val="0"/>
        </w:numPr>
        <w:ind w:left="567" w:hanging="567"/>
        <w:jc w:val="center"/>
        <w:rPr>
          <w:i/>
        </w:rPr>
      </w:pPr>
      <w:r w:rsidRPr="00C32813">
        <w:rPr>
          <w:i/>
        </w:rPr>
        <w:t xml:space="preserve">Migration Regulations 1994 </w:t>
      </w:r>
    </w:p>
    <w:p w14:paraId="5C819A75" w14:textId="3D4C3B4D" w:rsidR="00831033" w:rsidRPr="00C32813" w:rsidRDefault="0040358C" w:rsidP="00831033">
      <w:pPr>
        <w:pStyle w:val="ESPara"/>
        <w:numPr>
          <w:ilvl w:val="0"/>
          <w:numId w:val="0"/>
        </w:numPr>
        <w:ind w:left="567" w:hanging="567"/>
        <w:jc w:val="center"/>
        <w:rPr>
          <w:b/>
          <w:i/>
        </w:rPr>
      </w:pPr>
      <w:r>
        <w:rPr>
          <w:b/>
          <w:i/>
        </w:rPr>
        <w:t>Migration (</w:t>
      </w:r>
      <w:r w:rsidR="00831033" w:rsidRPr="00C32813">
        <w:rPr>
          <w:b/>
          <w:i/>
        </w:rPr>
        <w:t>Securities in which an investment is a designated investment</w:t>
      </w:r>
      <w:r>
        <w:rPr>
          <w:b/>
          <w:i/>
        </w:rPr>
        <w:t>) Instrument</w:t>
      </w:r>
      <w:r w:rsidR="00831033" w:rsidRPr="00C32813">
        <w:rPr>
          <w:b/>
          <w:i/>
        </w:rPr>
        <w:t xml:space="preserve"> </w:t>
      </w:r>
      <w:r>
        <w:rPr>
          <w:b/>
          <w:i/>
        </w:rPr>
        <w:t>(</w:t>
      </w:r>
      <w:r w:rsidR="00831033" w:rsidRPr="00C32813">
        <w:rPr>
          <w:b/>
          <w:i/>
        </w:rPr>
        <w:t>LIN</w:t>
      </w:r>
      <w:r>
        <w:rPr>
          <w:b/>
          <w:i/>
        </w:rPr>
        <w:t xml:space="preserve"> </w:t>
      </w:r>
      <w:r w:rsidR="00831033" w:rsidRPr="00C32813">
        <w:rPr>
          <w:b/>
          <w:i/>
        </w:rPr>
        <w:t>23/018</w:t>
      </w:r>
      <w:r>
        <w:rPr>
          <w:b/>
          <w:i/>
        </w:rPr>
        <w:t>) 2023</w:t>
      </w:r>
    </w:p>
    <w:p w14:paraId="730F577D" w14:textId="1E724023" w:rsidR="0057002B" w:rsidRPr="00C32813" w:rsidRDefault="0057002B" w:rsidP="00831033">
      <w:pPr>
        <w:pStyle w:val="ESPara"/>
      </w:pPr>
      <w:r w:rsidRPr="00C32813">
        <w:t>The inst</w:t>
      </w:r>
      <w:r w:rsidR="00831033" w:rsidRPr="00C32813">
        <w:t>rument, Departmental reference LIN</w:t>
      </w:r>
      <w:r w:rsidR="0040358C">
        <w:t xml:space="preserve"> </w:t>
      </w:r>
      <w:r w:rsidR="00831033" w:rsidRPr="00C32813">
        <w:t xml:space="preserve">23/018, is made under subregulation </w:t>
      </w:r>
      <w:proofErr w:type="gramStart"/>
      <w:r w:rsidR="00831033" w:rsidRPr="00C32813">
        <w:t>5.19A</w:t>
      </w:r>
      <w:r w:rsidR="0040358C">
        <w:t>(</w:t>
      </w:r>
      <w:proofErr w:type="gramEnd"/>
      <w:r w:rsidR="0040358C">
        <w:t>1)</w:t>
      </w:r>
      <w:r w:rsidRPr="00C32813">
        <w:t xml:space="preserve"> of the </w:t>
      </w:r>
      <w:r w:rsidRPr="00C32813">
        <w:rPr>
          <w:i/>
        </w:rPr>
        <w:t>Migration Regulations 1994</w:t>
      </w:r>
      <w:r w:rsidR="00831033" w:rsidRPr="00C32813">
        <w:t xml:space="preserve"> (the Migration Regulations)</w:t>
      </w:r>
      <w:r w:rsidRPr="00C32813">
        <w:t xml:space="preserve">.  </w:t>
      </w:r>
    </w:p>
    <w:p w14:paraId="2E9C4036" w14:textId="7FB8C081" w:rsidR="00EA12C9" w:rsidRPr="00C32813" w:rsidRDefault="00EA12C9" w:rsidP="002D167E">
      <w:pPr>
        <w:pStyle w:val="ESPara"/>
      </w:pPr>
      <w:r w:rsidRPr="00C32813">
        <w:t xml:space="preserve">The instrument </w:t>
      </w:r>
      <w:r w:rsidR="00EF783B">
        <w:t>repeals</w:t>
      </w:r>
      <w:r w:rsidR="00EF783B" w:rsidRPr="00C32813">
        <w:t xml:space="preserve"> </w:t>
      </w:r>
      <w:r w:rsidR="00EF783B">
        <w:rPr>
          <w:i/>
        </w:rPr>
        <w:t>Migration Regulations 1994 – Securities in which an investment is a designated investment for the purposes of Subclasses 162, 165, 188, 405, 888, 891 &amp; 893 –</w:t>
      </w:r>
      <w:r w:rsidR="00EF783B" w:rsidRPr="002E6BF0">
        <w:rPr>
          <w:i/>
        </w:rPr>
        <w:t>IMMI 12/106</w:t>
      </w:r>
      <w:r w:rsidR="00EF783B">
        <w:rPr>
          <w:i/>
        </w:rPr>
        <w:t xml:space="preserve"> </w:t>
      </w:r>
      <w:r w:rsidR="00EF783B">
        <w:t>(F2012L02220)</w:t>
      </w:r>
      <w:r w:rsidRPr="00C32813">
        <w:t xml:space="preserve">in accordance with subsection 33(3) of the </w:t>
      </w:r>
      <w:r w:rsidRPr="00C32813">
        <w:rPr>
          <w:i/>
        </w:rPr>
        <w:t>Acts Interpretation Act 1901</w:t>
      </w:r>
      <w:r w:rsidR="00BD598E" w:rsidRPr="00C32813">
        <w:rPr>
          <w:i/>
        </w:rPr>
        <w:t xml:space="preserve"> </w:t>
      </w:r>
      <w:r w:rsidR="00BD598E" w:rsidRPr="00C32813">
        <w:t>(the Acts Interpretation Act)</w:t>
      </w:r>
      <w:r w:rsidRPr="00C32813">
        <w:t xml:space="preserve">.  That subsection provides that </w:t>
      </w:r>
      <w:r w:rsidR="00100DFC" w:rsidRPr="00C32813">
        <w:t>a power to make a legislative instrument includes a power to amend or repeal that instrument in the same manner, and subject to the same conditions, as the power to make the instrument</w:t>
      </w:r>
      <w:r w:rsidR="00BD598E" w:rsidRPr="00C32813">
        <w:t xml:space="preserve">.  </w:t>
      </w:r>
    </w:p>
    <w:p w14:paraId="3B581D60" w14:textId="77777777" w:rsidR="00BD598E" w:rsidRPr="00C32813" w:rsidRDefault="00831033" w:rsidP="002D167E">
      <w:pPr>
        <w:pStyle w:val="ESPara"/>
      </w:pPr>
      <w:r w:rsidRPr="00C32813">
        <w:t>The instrument commences the day after registration</w:t>
      </w:r>
      <w:r w:rsidR="00AA4557" w:rsidRPr="00C32813">
        <w:t>, and i</w:t>
      </w:r>
      <w:r w:rsidR="00BD598E" w:rsidRPr="00C32813">
        <w:t xml:space="preserve">s a </w:t>
      </w:r>
      <w:r w:rsidR="00AA4557" w:rsidRPr="00C32813">
        <w:t>legislative</w:t>
      </w:r>
      <w:r w:rsidR="00BD598E" w:rsidRPr="00C32813">
        <w:t xml:space="preserve"> instrument for </w:t>
      </w:r>
      <w:r w:rsidR="00B75478" w:rsidRPr="00C32813">
        <w:t xml:space="preserve">the </w:t>
      </w:r>
      <w:r w:rsidR="00100DFC" w:rsidRPr="00C32813">
        <w:rPr>
          <w:i/>
        </w:rPr>
        <w:t>Legislation Act 2003</w:t>
      </w:r>
      <w:r w:rsidR="00100DFC" w:rsidRPr="00C32813">
        <w:t xml:space="preserve"> (the Legislation Act)</w:t>
      </w:r>
      <w:r w:rsidR="00BD598E" w:rsidRPr="00C32813">
        <w:t xml:space="preserve">.  </w:t>
      </w:r>
    </w:p>
    <w:p w14:paraId="3E6BC9D6" w14:textId="77777777" w:rsidR="00831033" w:rsidRPr="00C32813" w:rsidRDefault="00BD598E" w:rsidP="00831033">
      <w:pPr>
        <w:pStyle w:val="ESHeading"/>
      </w:pPr>
      <w:r w:rsidRPr="00C32813">
        <w:t>Purpose</w:t>
      </w:r>
      <w:r w:rsidR="00BB0CF2" w:rsidRPr="00C32813">
        <w:t xml:space="preserve"> </w:t>
      </w:r>
    </w:p>
    <w:p w14:paraId="56185D26" w14:textId="167CBFC0" w:rsidR="002B79F6" w:rsidRDefault="002B79F6" w:rsidP="008E39F2">
      <w:pPr>
        <w:pStyle w:val="ESPara"/>
      </w:pPr>
      <w:r>
        <w:t xml:space="preserve">Subregulation 5.19A(1) of the Migration Regulations provides that, subject to subregulation 5.19(2), the Minister may, by legislative instrument, specify a security issued by an Australian Government State or Territory government authority as a security in which an investment is a designated investment for the purposes of a Part of Schedule 2 to the Migration Regulations. </w:t>
      </w:r>
    </w:p>
    <w:p w14:paraId="3396B032" w14:textId="48DCAB3E" w:rsidR="002B79F6" w:rsidRDefault="002B79F6" w:rsidP="008E39F2">
      <w:pPr>
        <w:pStyle w:val="ESPara"/>
      </w:pPr>
      <w:r>
        <w:t>Subregulation 5.19(2) of the Migration Regulations provides that the Minister may specify a security if and only if:</w:t>
      </w:r>
    </w:p>
    <w:p w14:paraId="54A24B4E" w14:textId="57103CD5" w:rsidR="002B79F6" w:rsidRDefault="002B79F6" w:rsidP="00555016">
      <w:pPr>
        <w:pStyle w:val="ESSubparaList"/>
      </w:pPr>
      <w:r>
        <w:t>an investment in the security matures in not less than 4 years from its date of issue;</w:t>
      </w:r>
    </w:p>
    <w:p w14:paraId="7F19C206" w14:textId="07513B42" w:rsidR="002B79F6" w:rsidRDefault="002B79F6" w:rsidP="00555016">
      <w:pPr>
        <w:pStyle w:val="ESSubparaList"/>
      </w:pPr>
      <w:r>
        <w:t>repayment of principal is guaranteed by the issuing authority;</w:t>
      </w:r>
    </w:p>
    <w:p w14:paraId="66256761" w14:textId="0C4FF247" w:rsidR="002B79F6" w:rsidRDefault="002B79F6" w:rsidP="00555016">
      <w:pPr>
        <w:pStyle w:val="ESSubparaList"/>
      </w:pPr>
      <w:r>
        <w:t xml:space="preserve">an investment in the security cannot be transferred or redeemed before maturity except by operation of law or under other conditions acceptable to the Minister; </w:t>
      </w:r>
    </w:p>
    <w:p w14:paraId="3A8795D7" w14:textId="136D0A9A" w:rsidR="002B79F6" w:rsidRDefault="002B79F6" w:rsidP="00555016">
      <w:pPr>
        <w:pStyle w:val="ESSubparaList"/>
      </w:pPr>
      <w:r>
        <w:t>investment in the security is open to the general public at commercially competitive rates of return; and</w:t>
      </w:r>
    </w:p>
    <w:p w14:paraId="593C6722" w14:textId="3AF55323" w:rsidR="002B79F6" w:rsidRDefault="002B79F6" w:rsidP="00555016">
      <w:pPr>
        <w:pStyle w:val="ESSubparaList"/>
      </w:pPr>
      <w:proofErr w:type="gramStart"/>
      <w:r>
        <w:t>the</w:t>
      </w:r>
      <w:proofErr w:type="gramEnd"/>
      <w:r>
        <w:t xml:space="preserve"> Minister is satisfied that the Commonwealth will not be exposed to any liability as a result of an investment in the security by a person. </w:t>
      </w:r>
    </w:p>
    <w:p w14:paraId="3F13C6D9" w14:textId="193ED33E" w:rsidR="004F064C" w:rsidRDefault="004F064C" w:rsidP="004F064C">
      <w:pPr>
        <w:pStyle w:val="ESSubparaHeader"/>
      </w:pPr>
      <w:r>
        <w:t xml:space="preserve">The instrument specifies matters relating to </w:t>
      </w:r>
      <w:r w:rsidR="00BD2A28">
        <w:t xml:space="preserve">an </w:t>
      </w:r>
      <w:r>
        <w:t>application for</w:t>
      </w:r>
      <w:r w:rsidR="00BD2A28">
        <w:t xml:space="preserve"> a</w:t>
      </w:r>
      <w:r>
        <w:t xml:space="preserve"> </w:t>
      </w:r>
      <w:r w:rsidR="00BD2A28">
        <w:t>Subclass 188 (</w:t>
      </w:r>
      <w:r>
        <w:t>Business Innovation and Investment (Provisional)</w:t>
      </w:r>
      <w:r w:rsidR="00BD2A28">
        <w:t>) visa</w:t>
      </w:r>
      <w:r>
        <w:t xml:space="preserve">, </w:t>
      </w:r>
      <w:r w:rsidR="00BD2A28">
        <w:t>Subclass 405</w:t>
      </w:r>
      <w:r>
        <w:t xml:space="preserve"> </w:t>
      </w:r>
      <w:r w:rsidR="00BD2A28">
        <w:t>(</w:t>
      </w:r>
      <w:r>
        <w:t>Investor Retirement</w:t>
      </w:r>
      <w:r w:rsidR="00BD2A28">
        <w:t>)</w:t>
      </w:r>
      <w:r>
        <w:t xml:space="preserve"> visa, </w:t>
      </w:r>
      <w:r w:rsidR="00BD2A28">
        <w:t>Subclass 888 (</w:t>
      </w:r>
      <w:r>
        <w:t>Business Innovation and Investment (Permanent)</w:t>
      </w:r>
      <w:r w:rsidR="00BD2A28">
        <w:t>) visa</w:t>
      </w:r>
      <w:r>
        <w:t xml:space="preserve">, </w:t>
      </w:r>
      <w:r w:rsidR="00BD2A28">
        <w:t>Subclass 891 (</w:t>
      </w:r>
      <w:r>
        <w:t>Investor</w:t>
      </w:r>
      <w:r w:rsidR="00BD2A28">
        <w:t>)</w:t>
      </w:r>
      <w:r>
        <w:t xml:space="preserve"> visa, and </w:t>
      </w:r>
      <w:r w:rsidR="00BD2A28">
        <w:t>Subclass 893 (</w:t>
      </w:r>
      <w:r>
        <w:t>State or Territory Sponsored Investor</w:t>
      </w:r>
      <w:r w:rsidR="00BD2A28">
        <w:t>)</w:t>
      </w:r>
      <w:r>
        <w:t xml:space="preserve"> visa.</w:t>
      </w:r>
    </w:p>
    <w:p w14:paraId="3114A48C" w14:textId="26F14884" w:rsidR="000D282F" w:rsidRDefault="00CC7FEB" w:rsidP="000D282F">
      <w:pPr>
        <w:pStyle w:val="ESSubparaList"/>
      </w:pPr>
      <w:r>
        <w:t xml:space="preserve">The </w:t>
      </w:r>
      <w:r w:rsidR="009C63B0">
        <w:t>S</w:t>
      </w:r>
      <w:r w:rsidR="000D282F" w:rsidRPr="00C32813">
        <w:t>ubclass 405 visa</w:t>
      </w:r>
      <w:r>
        <w:t xml:space="preserve"> is</w:t>
      </w:r>
      <w:r w:rsidR="000D282F" w:rsidRPr="00C32813">
        <w:t xml:space="preserve"> closed to new applications, however there are still applications in progress.</w:t>
      </w:r>
    </w:p>
    <w:p w14:paraId="126E2496" w14:textId="21037BB0" w:rsidR="00814348" w:rsidRPr="00C32813" w:rsidRDefault="00814348" w:rsidP="000D282F">
      <w:pPr>
        <w:pStyle w:val="ESSubparaList"/>
      </w:pPr>
      <w:r>
        <w:lastRenderedPageBreak/>
        <w:t xml:space="preserve">From 1 July 2021, as a result of amendments made by the </w:t>
      </w:r>
      <w:r>
        <w:rPr>
          <w:i/>
        </w:rPr>
        <w:t>Home Affairs Legislation Amendment (2021 Measures No. 1) Regulations 2021</w:t>
      </w:r>
      <w:r>
        <w:t xml:space="preserve">, applicants for the Subclass 188 visa in the Investor stream are no longer required to make a designated investment. However, there are still applications in progress which were made before 1 July 2021; those applicants are required to make a designated investment. </w:t>
      </w:r>
    </w:p>
    <w:p w14:paraId="7FF94B53" w14:textId="2B8F99ED" w:rsidR="000D282F" w:rsidRPr="00C32813" w:rsidRDefault="009C63B0" w:rsidP="000D282F">
      <w:pPr>
        <w:pStyle w:val="ESPara"/>
      </w:pPr>
      <w:r>
        <w:t>While IMMI 12/106 also specified the Subclass 162</w:t>
      </w:r>
      <w:r w:rsidR="000D282F" w:rsidRPr="00C32813">
        <w:t xml:space="preserve"> </w:t>
      </w:r>
      <w:r>
        <w:t>(</w:t>
      </w:r>
      <w:r w:rsidR="000D282F" w:rsidRPr="00C32813">
        <w:t>Investor (Provisional)</w:t>
      </w:r>
      <w:r>
        <w:t>)</w:t>
      </w:r>
      <w:r w:rsidR="000D282F" w:rsidRPr="00C32813">
        <w:t xml:space="preserve"> visa and the </w:t>
      </w:r>
      <w:r>
        <w:t>Subclass 165 (</w:t>
      </w:r>
      <w:r w:rsidR="000D282F" w:rsidRPr="00C32813">
        <w:t>State/Territory Sponsored Investor (Provisional)</w:t>
      </w:r>
      <w:r>
        <w:t>)</w:t>
      </w:r>
      <w:r w:rsidR="000D282F" w:rsidRPr="00C32813">
        <w:t xml:space="preserve"> visa</w:t>
      </w:r>
      <w:r>
        <w:t>, the instrument does not specify these subclasses</w:t>
      </w:r>
      <w:r w:rsidR="000D282F" w:rsidRPr="00C32813">
        <w:t xml:space="preserve"> as these subclasses are closed </w:t>
      </w:r>
      <w:r>
        <w:t xml:space="preserve">to new applicants </w:t>
      </w:r>
      <w:r w:rsidR="000D282F" w:rsidRPr="00C32813">
        <w:t xml:space="preserve">and </w:t>
      </w:r>
      <w:r>
        <w:t>there</w:t>
      </w:r>
      <w:r w:rsidRPr="00C32813">
        <w:t xml:space="preserve"> </w:t>
      </w:r>
      <w:r w:rsidR="000D282F" w:rsidRPr="00C32813">
        <w:t>are no applications</w:t>
      </w:r>
      <w:r>
        <w:t xml:space="preserve"> in progress</w:t>
      </w:r>
      <w:r w:rsidR="008B24C8" w:rsidRPr="00C32813">
        <w:t xml:space="preserve">. </w:t>
      </w:r>
    </w:p>
    <w:p w14:paraId="33AEC36E" w14:textId="027CD5EE" w:rsidR="000D282F" w:rsidRPr="00C32813" w:rsidRDefault="009C63B0" w:rsidP="000D282F">
      <w:pPr>
        <w:pStyle w:val="ESPara"/>
      </w:pPr>
      <w:r>
        <w:t xml:space="preserve">Securities issued by </w:t>
      </w:r>
      <w:r w:rsidR="000D282F" w:rsidRPr="00C32813">
        <w:t xml:space="preserve">State or Territory government authorities are specified in this instrument as </w:t>
      </w:r>
      <w:r>
        <w:t>securities in which an investment is a designated investment for the purposes of applications for Subclass 188, 405, 888, 891 and 893 visas</w:t>
      </w:r>
      <w:r w:rsidR="000D282F" w:rsidRPr="00C32813">
        <w:t>.</w:t>
      </w:r>
    </w:p>
    <w:p w14:paraId="528C0F5A" w14:textId="77777777" w:rsidR="008B24C8" w:rsidRPr="00C32813" w:rsidRDefault="008B24C8" w:rsidP="00100DFC">
      <w:pPr>
        <w:pStyle w:val="ESHeading"/>
      </w:pPr>
      <w:r w:rsidRPr="00C32813">
        <w:t>Consultation</w:t>
      </w:r>
    </w:p>
    <w:p w14:paraId="6235D8F8" w14:textId="31B2506A" w:rsidR="005A3733" w:rsidRPr="00C32813" w:rsidRDefault="005A3733" w:rsidP="005A3733">
      <w:pPr>
        <w:pStyle w:val="ESPara"/>
      </w:pPr>
      <w:r w:rsidRPr="00C32813">
        <w:t>No consultation was done for this instrument.  This is because the instrument substantially replicate</w:t>
      </w:r>
      <w:r w:rsidR="008F35F7">
        <w:t>s</w:t>
      </w:r>
      <w:r w:rsidRPr="00C32813">
        <w:t xml:space="preserve"> </w:t>
      </w:r>
      <w:r w:rsidR="001A1084">
        <w:t>previously existing arrangements</w:t>
      </w:r>
      <w:r w:rsidR="00374D9D" w:rsidRPr="00C32813">
        <w:t>.</w:t>
      </w:r>
    </w:p>
    <w:p w14:paraId="46D183CD" w14:textId="439B9116" w:rsidR="008B24C8" w:rsidRPr="00C32813" w:rsidRDefault="008B24C8" w:rsidP="002D167E">
      <w:pPr>
        <w:pStyle w:val="ESPara"/>
      </w:pPr>
      <w:r w:rsidRPr="00C32813">
        <w:t xml:space="preserve">The </w:t>
      </w:r>
      <w:r w:rsidR="00374D9D" w:rsidRPr="00C32813">
        <w:t xml:space="preserve">Office of Impact Analysis (OIA) (formerly the </w:t>
      </w:r>
      <w:r w:rsidRPr="00C32813">
        <w:t>Offi</w:t>
      </w:r>
      <w:r w:rsidR="00374D9D" w:rsidRPr="00C32813">
        <w:t>ce of Best Practice Regulation)</w:t>
      </w:r>
      <w:r w:rsidRPr="00C32813">
        <w:t xml:space="preserve"> was consulted and considered that the instrument dealt with m</w:t>
      </w:r>
      <w:r w:rsidR="00374D9D" w:rsidRPr="00C32813">
        <w:t xml:space="preserve">atters of a </w:t>
      </w:r>
      <w:r w:rsidRPr="00C32813">
        <w:t xml:space="preserve">machinery nature and no regulatory impact statement was required.  The </w:t>
      </w:r>
      <w:r w:rsidR="00374D9D" w:rsidRPr="00C32813">
        <w:t>OIA</w:t>
      </w:r>
      <w:r w:rsidRPr="00C32813">
        <w:t xml:space="preserve"> reference </w:t>
      </w:r>
      <w:r w:rsidRPr="00BD2A28">
        <w:t xml:space="preserve">number is </w:t>
      </w:r>
      <w:r w:rsidR="009A3615" w:rsidRPr="00BD2A28">
        <w:t>OIA23-04554</w:t>
      </w:r>
      <w:r w:rsidRPr="00BD2A28">
        <w:t>.</w:t>
      </w:r>
    </w:p>
    <w:p w14:paraId="6EBA23EA" w14:textId="77777777" w:rsidR="00AA4557" w:rsidRPr="00C32813" w:rsidRDefault="00464080" w:rsidP="00100DFC">
      <w:pPr>
        <w:pStyle w:val="ESHeading"/>
      </w:pPr>
      <w:r w:rsidRPr="00C32813">
        <w:t>Details</w:t>
      </w:r>
      <w:r w:rsidR="00AA4557" w:rsidRPr="00C32813">
        <w:t xml:space="preserve"> of the instrument</w:t>
      </w:r>
    </w:p>
    <w:p w14:paraId="7600BD0B" w14:textId="1FB83364" w:rsidR="00AA4557" w:rsidRPr="00C32813" w:rsidRDefault="002F76C9" w:rsidP="002D167E">
      <w:pPr>
        <w:pStyle w:val="ESPara"/>
      </w:pPr>
      <w:r>
        <w:t>Paragraph (a) of t</w:t>
      </w:r>
      <w:r w:rsidR="00842A9D" w:rsidRPr="00C32813">
        <w:t xml:space="preserve">he instrument </w:t>
      </w:r>
      <w:r>
        <w:t>repeals</w:t>
      </w:r>
      <w:r w:rsidRPr="00C32813">
        <w:t xml:space="preserve"> </w:t>
      </w:r>
      <w:r>
        <w:rPr>
          <w:i/>
        </w:rPr>
        <w:t>Migration Regulations 1994 – Securities in which an investment is a designated investment for the purposes of Subclasses 162, 165, 188, 405, 888, 891 &amp; 893 –</w:t>
      </w:r>
      <w:r w:rsidRPr="002E6BF0">
        <w:rPr>
          <w:i/>
        </w:rPr>
        <w:t>IMMI 12/106</w:t>
      </w:r>
      <w:r>
        <w:rPr>
          <w:i/>
        </w:rPr>
        <w:t xml:space="preserve"> </w:t>
      </w:r>
      <w:r>
        <w:t>(F2012L02220)</w:t>
      </w:r>
      <w:r w:rsidR="00C32813" w:rsidRPr="00C32813">
        <w:t>.</w:t>
      </w:r>
    </w:p>
    <w:p w14:paraId="156144B6" w14:textId="789847C6" w:rsidR="00C32813" w:rsidRPr="00C32813" w:rsidRDefault="002F76C9" w:rsidP="002D167E">
      <w:pPr>
        <w:pStyle w:val="ESPara"/>
      </w:pPr>
      <w:r>
        <w:t>Paragraph (b) of t</w:t>
      </w:r>
      <w:r w:rsidR="00C32813" w:rsidRPr="00C32813">
        <w:t>he instrument specifies each security issued by a State or Territory government authority referred to in the Schedule to the instrument as a security in which an investment is a designated investment for the purposes of Parts 188, 405, 888, 891 and 893 of Schedule 2 to the Regulations.</w:t>
      </w:r>
    </w:p>
    <w:p w14:paraId="4F95BB61" w14:textId="60CC5AF6" w:rsidR="00AA4F77" w:rsidRPr="00C32813" w:rsidRDefault="00C32813" w:rsidP="00AA4F77">
      <w:pPr>
        <w:pStyle w:val="ESPara"/>
      </w:pPr>
      <w:r w:rsidRPr="00C32813">
        <w:t xml:space="preserve">Schedule 1 </w:t>
      </w:r>
      <w:r w:rsidR="002F76C9">
        <w:t>to</w:t>
      </w:r>
      <w:r w:rsidR="002F76C9" w:rsidRPr="00C32813">
        <w:t xml:space="preserve"> </w:t>
      </w:r>
      <w:r w:rsidRPr="00C32813">
        <w:t>the instrument lists 8 types of securities and</w:t>
      </w:r>
      <w:r w:rsidR="00495212">
        <w:t xml:space="preserve"> </w:t>
      </w:r>
      <w:r w:rsidRPr="00C32813">
        <w:t>each of the relevant State or Territory government security issuing authorit</w:t>
      </w:r>
      <w:r w:rsidR="002F76C9">
        <w:t>ies</w:t>
      </w:r>
      <w:r w:rsidRPr="00C32813">
        <w:t>.</w:t>
      </w:r>
    </w:p>
    <w:p w14:paraId="241D0A51" w14:textId="208BE40E" w:rsidR="008668B5" w:rsidRPr="00555016" w:rsidRDefault="008668B5" w:rsidP="00555016">
      <w:pPr>
        <w:pStyle w:val="ESPara"/>
        <w:numPr>
          <w:ilvl w:val="0"/>
          <w:numId w:val="0"/>
        </w:numPr>
        <w:ind w:left="360"/>
        <w:rPr>
          <w:b/>
          <w:i/>
        </w:rPr>
      </w:pPr>
      <w:r>
        <w:rPr>
          <w:b/>
          <w:i/>
        </w:rPr>
        <w:t>Parliamentary scrutiny etc.</w:t>
      </w:r>
    </w:p>
    <w:p w14:paraId="3E425A18" w14:textId="300B0867" w:rsidR="00E03DCC" w:rsidRDefault="00E03DCC" w:rsidP="002D167E">
      <w:pPr>
        <w:pStyle w:val="ESPara"/>
      </w:pPr>
      <w:r w:rsidRPr="00C32813">
        <w:t xml:space="preserve">The instrument is exempt from disallowance under section 42 of the Legislation Act.  This is because </w:t>
      </w:r>
      <w:r w:rsidR="008668B5">
        <w:t xml:space="preserve">an instrument made under Part 5 of the Migration Regulations </w:t>
      </w:r>
      <w:r w:rsidRPr="00C32813">
        <w:t xml:space="preserve">is prescribed </w:t>
      </w:r>
      <w:r w:rsidR="008668B5">
        <w:t xml:space="preserve">by subitem 20(b) of the table </w:t>
      </w:r>
      <w:r w:rsidRPr="00C32813">
        <w:t xml:space="preserve">in </w:t>
      </w:r>
      <w:r w:rsidR="00C32813" w:rsidRPr="00C32813">
        <w:t>s</w:t>
      </w:r>
      <w:r w:rsidRPr="00C32813">
        <w:t xml:space="preserve">ection 10 of the </w:t>
      </w:r>
      <w:r w:rsidRPr="00C32813">
        <w:rPr>
          <w:i/>
        </w:rPr>
        <w:t>Legislation (Exemptions and Other Matters) Regulation 2015</w:t>
      </w:r>
      <w:r w:rsidRPr="00C32813">
        <w:t xml:space="preserve">.  </w:t>
      </w:r>
    </w:p>
    <w:p w14:paraId="09BA96D3" w14:textId="5715CE5D" w:rsidR="008668B5" w:rsidRDefault="008668B5" w:rsidP="002D167E">
      <w:pPr>
        <w:pStyle w:val="ESPara"/>
      </w:pPr>
      <w:r>
        <w:t xml:space="preserve">As the instrument is exempt from disallowance, no Statement of Compatibility with Human Rights is required. </w:t>
      </w:r>
    </w:p>
    <w:p w14:paraId="19712112" w14:textId="55D10292" w:rsidR="00915032" w:rsidRPr="00BC6BC5" w:rsidRDefault="008668B5" w:rsidP="00555016">
      <w:pPr>
        <w:pStyle w:val="ESPara"/>
      </w:pPr>
      <w:r>
        <w:t xml:space="preserve">The instrument was made by the Minister for Immigration, Citizenship and Multicultural Affairs in accordance with subregulation </w:t>
      </w:r>
      <w:proofErr w:type="gramStart"/>
      <w:r>
        <w:t>5.19A(</w:t>
      </w:r>
      <w:proofErr w:type="gramEnd"/>
      <w:r>
        <w:t xml:space="preserve">1) of the Migration Regulations. In specifying the securities mentioned in Schedule 1 to the instrument, the Minister was satisfied of each of the matters set out by subregulation </w:t>
      </w:r>
      <w:proofErr w:type="gramStart"/>
      <w:r>
        <w:t>5.19A(</w:t>
      </w:r>
      <w:proofErr w:type="gramEnd"/>
      <w:r>
        <w:t xml:space="preserve">2). </w:t>
      </w:r>
      <w:bookmarkStart w:id="0" w:name="_GoBack"/>
      <w:bookmarkEnd w:id="0"/>
    </w:p>
    <w:sectPr w:rsidR="00915032" w:rsidRPr="00BC6BC5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33"/>
    <w:rsid w:val="000D014F"/>
    <w:rsid w:val="000D282F"/>
    <w:rsid w:val="00100DFC"/>
    <w:rsid w:val="0019164E"/>
    <w:rsid w:val="001A1084"/>
    <w:rsid w:val="002402E0"/>
    <w:rsid w:val="002B79F6"/>
    <w:rsid w:val="002C62E2"/>
    <w:rsid w:val="002D167E"/>
    <w:rsid w:val="002F76C9"/>
    <w:rsid w:val="00374D9D"/>
    <w:rsid w:val="003B4485"/>
    <w:rsid w:val="003F568F"/>
    <w:rsid w:val="0040358C"/>
    <w:rsid w:val="00457D4A"/>
    <w:rsid w:val="00464080"/>
    <w:rsid w:val="00495212"/>
    <w:rsid w:val="004F064C"/>
    <w:rsid w:val="004F5CE4"/>
    <w:rsid w:val="00555016"/>
    <w:rsid w:val="00560B24"/>
    <w:rsid w:val="0057002B"/>
    <w:rsid w:val="00587BB4"/>
    <w:rsid w:val="005A3733"/>
    <w:rsid w:val="00604E06"/>
    <w:rsid w:val="006725DC"/>
    <w:rsid w:val="00746ADF"/>
    <w:rsid w:val="007559A2"/>
    <w:rsid w:val="007E4691"/>
    <w:rsid w:val="00814348"/>
    <w:rsid w:val="00831033"/>
    <w:rsid w:val="00842A9D"/>
    <w:rsid w:val="008668B5"/>
    <w:rsid w:val="0088407D"/>
    <w:rsid w:val="008B24C8"/>
    <w:rsid w:val="008F35F7"/>
    <w:rsid w:val="00915032"/>
    <w:rsid w:val="009A3615"/>
    <w:rsid w:val="009B38A6"/>
    <w:rsid w:val="009C63B0"/>
    <w:rsid w:val="00AA4557"/>
    <w:rsid w:val="00AA4F77"/>
    <w:rsid w:val="00B445D9"/>
    <w:rsid w:val="00B65A06"/>
    <w:rsid w:val="00B75478"/>
    <w:rsid w:val="00BB0CF2"/>
    <w:rsid w:val="00BC6BC5"/>
    <w:rsid w:val="00BD2A28"/>
    <w:rsid w:val="00BD598E"/>
    <w:rsid w:val="00BE3E7F"/>
    <w:rsid w:val="00C32813"/>
    <w:rsid w:val="00C460E6"/>
    <w:rsid w:val="00C81A5E"/>
    <w:rsid w:val="00C930F2"/>
    <w:rsid w:val="00CC7FEB"/>
    <w:rsid w:val="00D40E1E"/>
    <w:rsid w:val="00E03DCC"/>
    <w:rsid w:val="00E45FE2"/>
    <w:rsid w:val="00EA12C9"/>
    <w:rsid w:val="00ED0442"/>
    <w:rsid w:val="00EF783B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A5ED"/>
  <w15:chartTrackingRefBased/>
  <w15:docId w15:val="{CCE07DE1-1B55-4B33-9709-D2E39CD8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  <w:ind w:left="720" w:hanging="36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4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D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818</Words>
  <Characters>4551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Coleman</dc:creator>
  <cp:keywords/>
  <dc:description/>
  <cp:lastModifiedBy>Iliya BOULOS</cp:lastModifiedBy>
  <cp:revision>7</cp:revision>
  <dcterms:created xsi:type="dcterms:W3CDTF">2023-03-09T22:08:00Z</dcterms:created>
  <dcterms:modified xsi:type="dcterms:W3CDTF">2023-03-21T02:00:00Z</dcterms:modified>
</cp:coreProperties>
</file>