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5B8EB" w14:textId="77777777" w:rsidR="00FB640B" w:rsidRPr="008B24C8" w:rsidRDefault="0057002B" w:rsidP="00BB0CF2">
      <w:pPr>
        <w:pStyle w:val="ESTitleHeader"/>
      </w:pPr>
      <w:bookmarkStart w:id="0" w:name="_GoBack"/>
      <w:bookmarkEnd w:id="0"/>
      <w:r w:rsidRPr="008B24C8">
        <w:t>EXPLANATORY STATEMENT</w:t>
      </w:r>
    </w:p>
    <w:p w14:paraId="2D63D0DC" w14:textId="7B07F7C2" w:rsidR="0057002B" w:rsidRPr="008B24C8" w:rsidRDefault="0057002B" w:rsidP="00BB0CF2">
      <w:pPr>
        <w:pStyle w:val="ESTitleDecisionMaker"/>
      </w:pPr>
      <w:r w:rsidRPr="008B24C8">
        <w:t>Issued by authority of the</w:t>
      </w:r>
      <w:r w:rsidR="00C51E1F">
        <w:t xml:space="preserve"> Minister for</w:t>
      </w:r>
      <w:r w:rsidRPr="008B24C8">
        <w:t xml:space="preserve"> </w:t>
      </w:r>
      <w:r w:rsidR="00470C6E">
        <w:t>Immigration, Citizenship and Multicultural Affairs</w:t>
      </w:r>
    </w:p>
    <w:p w14:paraId="69505851" w14:textId="35E37197" w:rsidR="0057002B" w:rsidRPr="008B24C8" w:rsidRDefault="00470C6E" w:rsidP="00BB0CF2">
      <w:pPr>
        <w:pStyle w:val="ESTitleEnablingLegislation"/>
      </w:pPr>
      <w:r>
        <w:t xml:space="preserve">Migration </w:t>
      </w:r>
      <w:r w:rsidR="008B5A16">
        <w:t>Regulations 1994</w:t>
      </w:r>
      <w:r w:rsidR="00AA4F77">
        <w:t xml:space="preserve"> </w:t>
      </w:r>
    </w:p>
    <w:p w14:paraId="4A5917CE" w14:textId="4237A018" w:rsidR="0057002B" w:rsidRPr="008B24C8" w:rsidRDefault="00470C6E" w:rsidP="00BB0CF2">
      <w:pPr>
        <w:pStyle w:val="ESTitleInstrumentName"/>
      </w:pPr>
      <w:r>
        <w:t>Migration (</w:t>
      </w:r>
      <w:r w:rsidR="008B5A16">
        <w:t>Specification of evidentiary requirements—family violence)</w:t>
      </w:r>
      <w:r w:rsidR="0003674D">
        <w:t xml:space="preserve"> Instrument </w:t>
      </w:r>
      <w:r w:rsidR="0003674D" w:rsidRPr="008B5A16">
        <w:t>2023</w:t>
      </w:r>
      <w:r w:rsidR="008B5A16" w:rsidRPr="008B5A16">
        <w:t xml:space="preserve"> (LIN 23/026)</w:t>
      </w:r>
      <w:r>
        <w:t xml:space="preserve"> </w:t>
      </w:r>
    </w:p>
    <w:p w14:paraId="56F327C1" w14:textId="523DD51E" w:rsidR="0057002B" w:rsidRPr="008B24C8" w:rsidRDefault="0057002B" w:rsidP="002D167E">
      <w:pPr>
        <w:pStyle w:val="ESPara"/>
      </w:pPr>
      <w:r w:rsidRPr="008B24C8">
        <w:t xml:space="preserve">The instrument, Departmental reference </w:t>
      </w:r>
      <w:r w:rsidR="00470C6E">
        <w:t>LIN 23/0</w:t>
      </w:r>
      <w:r w:rsidR="008B5A16">
        <w:t>26</w:t>
      </w:r>
      <w:r w:rsidRPr="008B24C8">
        <w:t>, is made under</w:t>
      </w:r>
      <w:r w:rsidR="00470C6E">
        <w:t xml:space="preserve"> </w:t>
      </w:r>
      <w:r w:rsidR="0003674D">
        <w:t xml:space="preserve">paragraph </w:t>
      </w:r>
      <w:r w:rsidR="008B5A16">
        <w:t>1.24(b)</w:t>
      </w:r>
      <w:r w:rsidR="00470C6E">
        <w:t xml:space="preserve"> of the</w:t>
      </w:r>
      <w:r w:rsidRPr="008B24C8">
        <w:t xml:space="preserve"> </w:t>
      </w:r>
      <w:r w:rsidRPr="008B24C8">
        <w:rPr>
          <w:i/>
        </w:rPr>
        <w:t xml:space="preserve">Migration </w:t>
      </w:r>
      <w:r w:rsidR="008B5A16">
        <w:rPr>
          <w:i/>
        </w:rPr>
        <w:t>Regulations 1994</w:t>
      </w:r>
      <w:r w:rsidR="00470C6E">
        <w:t xml:space="preserve"> (the Migration</w:t>
      </w:r>
      <w:r w:rsidR="0003674D">
        <w:t xml:space="preserve"> </w:t>
      </w:r>
      <w:r w:rsidR="008B5A16">
        <w:t>Regulations</w:t>
      </w:r>
      <w:r w:rsidR="00470C6E">
        <w:t>)</w:t>
      </w:r>
      <w:r w:rsidRPr="008B24C8">
        <w:t xml:space="preserve">.  </w:t>
      </w:r>
    </w:p>
    <w:p w14:paraId="494902DC" w14:textId="293C0359" w:rsidR="00EA12C9" w:rsidRDefault="00EA12C9" w:rsidP="002D167E">
      <w:pPr>
        <w:pStyle w:val="ESPara"/>
      </w:pPr>
      <w:r w:rsidRPr="008B24C8">
        <w:t xml:space="preserve">The instrument </w:t>
      </w:r>
      <w:r w:rsidR="00470C6E">
        <w:t xml:space="preserve">repeals </w:t>
      </w:r>
      <w:r w:rsidR="008B5A16">
        <w:rPr>
          <w:i/>
        </w:rPr>
        <w:t>Migration Regulations 1994—Evidentiary Requirements—IMMI 12/116</w:t>
      </w:r>
      <w:r w:rsidR="00B75478">
        <w:t xml:space="preserve"> </w:t>
      </w:r>
      <w:r w:rsidRPr="008B24C8">
        <w:t xml:space="preserve">in accordance with subsection 33(3) of the </w:t>
      </w:r>
      <w:r w:rsidRPr="008B24C8">
        <w:rPr>
          <w:i/>
        </w:rPr>
        <w:t>Acts Interpretation Act 1901</w:t>
      </w:r>
      <w:r w:rsidR="00BD598E" w:rsidRPr="008B24C8">
        <w:rPr>
          <w:i/>
        </w:rPr>
        <w:t xml:space="preserve"> </w:t>
      </w:r>
      <w:r w:rsidR="00BD598E" w:rsidRPr="008B24C8">
        <w:t>(the Acts Interpretation Act)</w:t>
      </w:r>
      <w:r w:rsidRPr="008B24C8">
        <w:t xml:space="preserve">.  That subsection provides that </w:t>
      </w:r>
      <w:r w:rsidR="00100DFC">
        <w:t>a power to make a legislative instrument includes a power to amend or repeal that instrument in the same manner, and subject to the same conditions, as the power to make the instrument</w:t>
      </w:r>
      <w:r w:rsidR="00BD598E" w:rsidRPr="008B24C8">
        <w:t xml:space="preserve">.  </w:t>
      </w:r>
    </w:p>
    <w:p w14:paraId="10FF9368" w14:textId="7913E2CF" w:rsidR="00BD598E" w:rsidRPr="008B24C8" w:rsidRDefault="00AA4557" w:rsidP="00470C6E">
      <w:pPr>
        <w:pStyle w:val="ESPara"/>
      </w:pPr>
      <w:r>
        <w:t xml:space="preserve">The instrument commences </w:t>
      </w:r>
      <w:r w:rsidR="00470C6E">
        <w:t xml:space="preserve">on </w:t>
      </w:r>
      <w:r w:rsidR="008B5A16">
        <w:t xml:space="preserve">the </w:t>
      </w:r>
      <w:r w:rsidR="0003674D">
        <w:t>day after it is registered</w:t>
      </w:r>
      <w:r w:rsidR="00470C6E">
        <w:t xml:space="preserve"> and </w:t>
      </w:r>
      <w:r>
        <w:t>i</w:t>
      </w:r>
      <w:r w:rsidR="00BD598E" w:rsidRPr="008B24C8">
        <w:t xml:space="preserve">s a </w:t>
      </w:r>
      <w:r>
        <w:t>legislative</w:t>
      </w:r>
      <w:r w:rsidR="00BD598E" w:rsidRPr="008B24C8">
        <w:t xml:space="preserve"> instrument for </w:t>
      </w:r>
      <w:r w:rsidR="00B75478">
        <w:t xml:space="preserve">the </w:t>
      </w:r>
      <w:r w:rsidR="00100DFC" w:rsidRPr="00470C6E">
        <w:rPr>
          <w:i/>
        </w:rPr>
        <w:t>Legislation Act 2003</w:t>
      </w:r>
      <w:r w:rsidR="00427005">
        <w:rPr>
          <w:i/>
        </w:rPr>
        <w:t xml:space="preserve"> </w:t>
      </w:r>
      <w:r w:rsidR="00427005">
        <w:t>(Legislation Act)</w:t>
      </w:r>
      <w:r w:rsidR="00BD598E" w:rsidRPr="008B24C8">
        <w:t xml:space="preserve">.  </w:t>
      </w:r>
    </w:p>
    <w:p w14:paraId="37C6BC52" w14:textId="77777777" w:rsidR="00EA12C9" w:rsidRPr="004974B0" w:rsidRDefault="00BD598E" w:rsidP="00100DFC">
      <w:pPr>
        <w:pStyle w:val="ESHeading"/>
      </w:pPr>
      <w:r w:rsidRPr="004974B0">
        <w:t>Purpose</w:t>
      </w:r>
      <w:r w:rsidR="00BB0CF2" w:rsidRPr="004974B0">
        <w:t xml:space="preserve"> </w:t>
      </w:r>
    </w:p>
    <w:p w14:paraId="4F7556F1" w14:textId="6D0E9623" w:rsidR="00306E7E" w:rsidRDefault="00306E7E" w:rsidP="00470C6E">
      <w:pPr>
        <w:pStyle w:val="ESPara"/>
      </w:pPr>
      <w:r>
        <w:t>The</w:t>
      </w:r>
      <w:r w:rsidR="0003674D">
        <w:t xml:space="preserve"> Migration </w:t>
      </w:r>
      <w:r w:rsidR="00A062FB">
        <w:t>Regulations</w:t>
      </w:r>
      <w:r w:rsidR="0003674D">
        <w:t xml:space="preserve"> provide </w:t>
      </w:r>
      <w:r w:rsidR="00A062FB">
        <w:t>special provisions relating to family violence</w:t>
      </w:r>
      <w:r>
        <w:t xml:space="preserve"> (Division 1.5 in Part 1 of the Migration Regulations), including when an application for a visa is taken to include a non-judicially determined claim of family violence (see </w:t>
      </w:r>
      <w:proofErr w:type="spellStart"/>
      <w:r>
        <w:t>subregulation</w:t>
      </w:r>
      <w:proofErr w:type="spellEnd"/>
      <w:r>
        <w:t xml:space="preserve"> 1.23(9) of the Migration Regulations). For an application for a visa to be taken to include a non-judicially determined claim of family violence, various requirements must be met including</w:t>
      </w:r>
      <w:r w:rsidR="002E3E03">
        <w:t xml:space="preserve"> (all mentioned provisions are of the Migration Regulations)</w:t>
      </w:r>
      <w:r>
        <w:t>:</w:t>
      </w:r>
    </w:p>
    <w:p w14:paraId="3A359E7B" w14:textId="77777777" w:rsidR="00306E7E" w:rsidRDefault="00306E7E" w:rsidP="002E3E03">
      <w:pPr>
        <w:pStyle w:val="ESSubparaList"/>
      </w:pPr>
      <w:r>
        <w:t xml:space="preserve">the applicant seeks to satisfy a prescribed criterion that the applicant, or another person mentioned in the criterion, has suffered family violence (paragraph 1.23(9)(a)); and </w:t>
      </w:r>
    </w:p>
    <w:p w14:paraId="6DB44D65" w14:textId="77777777" w:rsidR="00306E7E" w:rsidRDefault="00306E7E" w:rsidP="002E3E03">
      <w:pPr>
        <w:pStyle w:val="ESSubparaList"/>
      </w:pPr>
      <w:r>
        <w:t xml:space="preserve">the alleged victim is a person described in paragraph 1.23(9)(b); and </w:t>
      </w:r>
    </w:p>
    <w:p w14:paraId="6CB57FF0" w14:textId="2913A09B" w:rsidR="00306E7E" w:rsidRDefault="002E3E03" w:rsidP="002E3E03">
      <w:pPr>
        <w:pStyle w:val="ESSubparaList"/>
      </w:pPr>
      <w:proofErr w:type="gramStart"/>
      <w:r>
        <w:t>the</w:t>
      </w:r>
      <w:proofErr w:type="gramEnd"/>
      <w:r>
        <w:t xml:space="preserve"> alleged victim, or another person on the alleged victim’s behalf, has presented evidence in accordance with regulation 1.24. </w:t>
      </w:r>
    </w:p>
    <w:p w14:paraId="40CCB34E" w14:textId="77777777" w:rsidR="002E3E03" w:rsidRDefault="002E3E03" w:rsidP="00470C6E">
      <w:pPr>
        <w:pStyle w:val="ESPara"/>
      </w:pPr>
      <w:r>
        <w:t>Regulation 1.24 of the Migration Regulations provides that the evidence mentioned in paragraph 1.23(9</w:t>
      </w:r>
      <w:proofErr w:type="gramStart"/>
      <w:r>
        <w:t>)(</w:t>
      </w:r>
      <w:proofErr w:type="gramEnd"/>
      <w:r>
        <w:t>c) is a statutory declaration (paragraph 1.24(a)) and the type and number of items of evidence specified by the Minister in a written instrument (paragraph 1.24(b)).</w:t>
      </w:r>
    </w:p>
    <w:p w14:paraId="75C32EB4" w14:textId="77777777" w:rsidR="002E3E03" w:rsidRDefault="0003674D" w:rsidP="00950BEE">
      <w:pPr>
        <w:pStyle w:val="ESPara"/>
      </w:pPr>
      <w:r>
        <w:t xml:space="preserve">The purpose of this instrument is to </w:t>
      </w:r>
      <w:r w:rsidR="00A062FB">
        <w:t>specify</w:t>
      </w:r>
      <w:r w:rsidR="00CE5E8F" w:rsidRPr="00CE5E8F">
        <w:t xml:space="preserve"> </w:t>
      </w:r>
      <w:r w:rsidR="00CE5E8F">
        <w:t xml:space="preserve">the type and number of items of evidence, for the purposes of paragraph 1.24(b) of the Migration Regulations. </w:t>
      </w:r>
    </w:p>
    <w:p w14:paraId="473EDE46" w14:textId="3B455CE0" w:rsidR="002E3E03" w:rsidRPr="00B76A31" w:rsidRDefault="00CE5E8F" w:rsidP="002E3E03">
      <w:pPr>
        <w:pStyle w:val="ESPara"/>
      </w:pPr>
      <w:r>
        <w:t xml:space="preserve">The </w:t>
      </w:r>
      <w:r w:rsidRPr="00B76A31">
        <w:t>instrument specifies the following types of evidence:</w:t>
      </w:r>
    </w:p>
    <w:p w14:paraId="7A8D4BAE" w14:textId="231DF44B" w:rsidR="002E3E03" w:rsidRPr="00B76A31" w:rsidRDefault="002E3E03" w:rsidP="002E3E03">
      <w:pPr>
        <w:pStyle w:val="ESPara"/>
        <w:numPr>
          <w:ilvl w:val="0"/>
          <w:numId w:val="8"/>
        </w:numPr>
      </w:pPr>
      <w:r w:rsidRPr="00B76A31">
        <w:t xml:space="preserve">Medical – </w:t>
      </w:r>
      <w:r w:rsidR="007450AC" w:rsidRPr="00B76A31">
        <w:t>written documentation</w:t>
      </w:r>
      <w:r w:rsidRPr="00B76A31">
        <w:t xml:space="preserve"> provided by a medical practitioner, registered nurse or midwife;</w:t>
      </w:r>
    </w:p>
    <w:p w14:paraId="1D3C8D53" w14:textId="6E94C163" w:rsidR="002E3E03" w:rsidRPr="00B76A31" w:rsidRDefault="002E3E03" w:rsidP="002E3E03">
      <w:pPr>
        <w:pStyle w:val="ESPara"/>
        <w:numPr>
          <w:ilvl w:val="0"/>
          <w:numId w:val="8"/>
        </w:numPr>
      </w:pPr>
      <w:r w:rsidRPr="00B76A31">
        <w:t xml:space="preserve">Police – </w:t>
      </w:r>
      <w:r w:rsidR="007450AC" w:rsidRPr="00B76A31">
        <w:t>written documentation</w:t>
      </w:r>
      <w:r w:rsidRPr="00B76A31">
        <w:t xml:space="preserve"> provided by a police officer, or by a witness to a police officer;</w:t>
      </w:r>
    </w:p>
    <w:p w14:paraId="7C72724B" w14:textId="4B76DF63" w:rsidR="002E3E03" w:rsidRPr="00B76A31" w:rsidRDefault="002E3E03" w:rsidP="002E3E03">
      <w:pPr>
        <w:pStyle w:val="ESPara"/>
        <w:numPr>
          <w:ilvl w:val="0"/>
          <w:numId w:val="8"/>
        </w:numPr>
      </w:pPr>
      <w:r w:rsidRPr="00B76A31">
        <w:lastRenderedPageBreak/>
        <w:t>Child welfare</w:t>
      </w:r>
      <w:r w:rsidR="004F5C59" w:rsidRPr="00B76A31">
        <w:t xml:space="preserve"> officer</w:t>
      </w:r>
      <w:r w:rsidRPr="00B76A31">
        <w:t xml:space="preserve"> – </w:t>
      </w:r>
      <w:r w:rsidR="007450AC" w:rsidRPr="00B76A31">
        <w:t>written documentation</w:t>
      </w:r>
      <w:r w:rsidRPr="00B76A31">
        <w:t xml:space="preserve"> provided by </w:t>
      </w:r>
      <w:r w:rsidR="00EB6C5E" w:rsidRPr="00B76A31">
        <w:t xml:space="preserve">an officer of a </w:t>
      </w:r>
      <w:r w:rsidR="004F5C59" w:rsidRPr="00B76A31">
        <w:t xml:space="preserve">child welfare </w:t>
      </w:r>
      <w:r w:rsidR="00EB6C5E" w:rsidRPr="00B76A31">
        <w:t>authority or a child protection authority of a State or Territory</w:t>
      </w:r>
      <w:r w:rsidRPr="00B76A31">
        <w:t>;</w:t>
      </w:r>
    </w:p>
    <w:p w14:paraId="5A59995F" w14:textId="2716B243" w:rsidR="002E3E03" w:rsidRPr="00B76A31" w:rsidRDefault="002E3E03" w:rsidP="002E3E03">
      <w:pPr>
        <w:pStyle w:val="ESPara"/>
        <w:numPr>
          <w:ilvl w:val="0"/>
          <w:numId w:val="8"/>
        </w:numPr>
      </w:pPr>
      <w:r w:rsidRPr="00B76A31">
        <w:t>Family violence support</w:t>
      </w:r>
      <w:r w:rsidR="004F5C59" w:rsidRPr="00B76A31">
        <w:t xml:space="preserve"> service</w:t>
      </w:r>
      <w:r w:rsidRPr="00B76A31">
        <w:t xml:space="preserve"> provider – </w:t>
      </w:r>
      <w:r w:rsidR="007450AC" w:rsidRPr="00B76A31">
        <w:t>written documentation</w:t>
      </w:r>
      <w:r w:rsidRPr="00B76A31">
        <w:t xml:space="preserve"> provided by </w:t>
      </w:r>
      <w:r w:rsidR="007450AC" w:rsidRPr="00B76A31">
        <w:t xml:space="preserve">an organisation that provides domestic and family violence </w:t>
      </w:r>
      <w:r w:rsidR="005029B9" w:rsidRPr="00B76A31">
        <w:t xml:space="preserve">assistance or </w:t>
      </w:r>
      <w:r w:rsidR="007450AC" w:rsidRPr="00B76A31">
        <w:t>support;</w:t>
      </w:r>
    </w:p>
    <w:p w14:paraId="48782894" w14:textId="54985385" w:rsidR="007450AC" w:rsidRPr="00B76A31" w:rsidRDefault="007450AC" w:rsidP="002E3E03">
      <w:pPr>
        <w:pStyle w:val="ESPara"/>
        <w:numPr>
          <w:ilvl w:val="0"/>
          <w:numId w:val="8"/>
        </w:numPr>
      </w:pPr>
      <w:r w:rsidRPr="00B76A31">
        <w:t>Social worker – written documentation provided by a social worker;</w:t>
      </w:r>
    </w:p>
    <w:p w14:paraId="72C8EE8E" w14:textId="364CD9EE" w:rsidR="007450AC" w:rsidRPr="00B76A31" w:rsidRDefault="007450AC" w:rsidP="002E3E03">
      <w:pPr>
        <w:pStyle w:val="ESPara"/>
        <w:numPr>
          <w:ilvl w:val="0"/>
          <w:numId w:val="8"/>
        </w:numPr>
      </w:pPr>
      <w:r w:rsidRPr="00B76A31">
        <w:t>Psychologist – written documentation provided by a psychologist;</w:t>
      </w:r>
    </w:p>
    <w:p w14:paraId="3D5144B2" w14:textId="01415920" w:rsidR="007450AC" w:rsidRPr="00B76A31" w:rsidRDefault="007450AC" w:rsidP="002E3E03">
      <w:pPr>
        <w:pStyle w:val="ESPara"/>
        <w:numPr>
          <w:ilvl w:val="0"/>
          <w:numId w:val="8"/>
        </w:numPr>
      </w:pPr>
      <w:r w:rsidRPr="00B76A31">
        <w:t xml:space="preserve">Family consultant / </w:t>
      </w:r>
      <w:r w:rsidR="00EB6C5E" w:rsidRPr="00B76A31">
        <w:t xml:space="preserve">family relationship </w:t>
      </w:r>
      <w:r w:rsidRPr="00B76A31">
        <w:t>counsellor – written documentation provided by a family consultant or a family relationship counsellor;</w:t>
      </w:r>
    </w:p>
    <w:p w14:paraId="555711E2" w14:textId="176458CD" w:rsidR="007450AC" w:rsidRPr="00B76A31" w:rsidRDefault="007450AC" w:rsidP="002E3E03">
      <w:pPr>
        <w:pStyle w:val="ESPara"/>
        <w:numPr>
          <w:ilvl w:val="0"/>
          <w:numId w:val="8"/>
        </w:numPr>
      </w:pPr>
      <w:r w:rsidRPr="00B76A31">
        <w:t>Education professional – written documentation provided by a</w:t>
      </w:r>
      <w:r w:rsidR="004F5C59" w:rsidRPr="00B76A31">
        <w:t xml:space="preserve"> school counsellor, school principal or teacher. </w:t>
      </w:r>
    </w:p>
    <w:p w14:paraId="3E7BAFC1" w14:textId="2C5D3BE9" w:rsidR="007450AC" w:rsidRDefault="007450AC" w:rsidP="00950BEE">
      <w:pPr>
        <w:pStyle w:val="ESPara"/>
      </w:pPr>
      <w:r>
        <w:t>For each of these types, t</w:t>
      </w:r>
      <w:r w:rsidR="00CE5E8F">
        <w:t xml:space="preserve">he instrument </w:t>
      </w:r>
      <w:r>
        <w:t>describes</w:t>
      </w:r>
      <w:r w:rsidR="00CE5E8F">
        <w:t xml:space="preserve"> the items of evidence</w:t>
      </w:r>
      <w:r>
        <w:t xml:space="preserve"> that can be provided. For example, </w:t>
      </w:r>
      <w:r w:rsidR="004F5C59">
        <w:t xml:space="preserve">a statutory declaration, </w:t>
      </w:r>
      <w:r>
        <w:t>a report</w:t>
      </w:r>
      <w:r w:rsidR="004F5C59">
        <w:t xml:space="preserve">, a </w:t>
      </w:r>
      <w:r>
        <w:t>letter</w:t>
      </w:r>
      <w:r w:rsidR="004F5C59">
        <w:t>,</w:t>
      </w:r>
      <w:r>
        <w:t xml:space="preserve"> or other forms of documentation such as risk assessments, records or hospital discharge summaries. </w:t>
      </w:r>
    </w:p>
    <w:p w14:paraId="6B423C9F" w14:textId="47670502" w:rsidR="00CE5E8F" w:rsidRDefault="007450AC" w:rsidP="00950BEE">
      <w:pPr>
        <w:pStyle w:val="ESPara"/>
      </w:pPr>
      <w:r>
        <w:t xml:space="preserve">The instrument also </w:t>
      </w:r>
      <w:r w:rsidR="00CE5E8F">
        <w:t xml:space="preserve">specifies that a minimum of two items of evidence are required and these must </w:t>
      </w:r>
      <w:r>
        <w:t xml:space="preserve">each </w:t>
      </w:r>
      <w:r w:rsidR="00CE5E8F">
        <w:t xml:space="preserve">be of a different type. </w:t>
      </w:r>
    </w:p>
    <w:p w14:paraId="32DA4319" w14:textId="3AFD20D4" w:rsidR="001E4423" w:rsidRPr="00742AD5" w:rsidRDefault="00951348" w:rsidP="00CE5E8F">
      <w:pPr>
        <w:pStyle w:val="ESPara"/>
        <w:rPr>
          <w:b/>
          <w:i/>
        </w:rPr>
      </w:pPr>
      <w:r>
        <w:t xml:space="preserve">The instrument maintains and </w:t>
      </w:r>
      <w:r w:rsidR="00DC1EB9">
        <w:t xml:space="preserve">expands on the arrangements previously in place under </w:t>
      </w:r>
      <w:r w:rsidR="00DC1EB9">
        <w:rPr>
          <w:i/>
        </w:rPr>
        <w:t>Migration Regulations 1994—Evidentiary Requirements—</w:t>
      </w:r>
      <w:r w:rsidR="00DC1EB9" w:rsidRPr="00DC1EB9">
        <w:rPr>
          <w:i/>
        </w:rPr>
        <w:t>IMMI 12/116</w:t>
      </w:r>
      <w:r w:rsidR="00DC1EB9">
        <w:rPr>
          <w:i/>
        </w:rPr>
        <w:t xml:space="preserve"> </w:t>
      </w:r>
      <w:r w:rsidR="00DC1EB9">
        <w:t xml:space="preserve">which is repealed by the instrument. The new measures </w:t>
      </w:r>
      <w:r w:rsidR="00DC1EB9" w:rsidRPr="00742AD5">
        <w:t>include:</w:t>
      </w:r>
    </w:p>
    <w:p w14:paraId="4E2A5EC1" w14:textId="26C27D4B" w:rsidR="0090073A" w:rsidRPr="00B76A31" w:rsidRDefault="0090073A" w:rsidP="0090073A">
      <w:pPr>
        <w:pStyle w:val="ESSubparaList"/>
      </w:pPr>
      <w:r w:rsidRPr="00742AD5">
        <w:t xml:space="preserve">adding midwives to the medical professionals that can provide documentary evidence of family </w:t>
      </w:r>
      <w:r w:rsidRPr="00B76A31">
        <w:t>violence;</w:t>
      </w:r>
    </w:p>
    <w:p w14:paraId="3073F762" w14:textId="53215CE3" w:rsidR="0090073A" w:rsidRPr="00B76A31" w:rsidRDefault="0090073A" w:rsidP="0090073A">
      <w:pPr>
        <w:pStyle w:val="ESSubparaList"/>
      </w:pPr>
      <w:r w:rsidRPr="00B76A31">
        <w:t>adding risk assessments</w:t>
      </w:r>
      <w:r w:rsidR="00C5433C" w:rsidRPr="00B76A31">
        <w:t xml:space="preserve"> and reports as </w:t>
      </w:r>
      <w:r w:rsidRPr="00B76A31">
        <w:t>item</w:t>
      </w:r>
      <w:r w:rsidR="00C5433C" w:rsidRPr="00B76A31">
        <w:t>s</w:t>
      </w:r>
      <w:r w:rsidRPr="00B76A31">
        <w:t xml:space="preserve"> of evidence</w:t>
      </w:r>
      <w:r w:rsidR="00B13678" w:rsidRPr="00B76A31">
        <w:t xml:space="preserve"> that may be provided</w:t>
      </w:r>
      <w:r w:rsidR="008A110B" w:rsidRPr="00B76A31">
        <w:t xml:space="preserve"> in place of a statutory declaration</w:t>
      </w:r>
      <w:r w:rsidRPr="00B76A31">
        <w:t>;</w:t>
      </w:r>
    </w:p>
    <w:p w14:paraId="2575DE6A" w14:textId="5623C328" w:rsidR="0090073A" w:rsidRPr="00B76A31" w:rsidRDefault="00B13678" w:rsidP="00C5433C">
      <w:pPr>
        <w:pStyle w:val="ESSubparaList"/>
      </w:pPr>
      <w:r w:rsidRPr="00B76A31">
        <w:t xml:space="preserve">adding community, multicultural </w:t>
      </w:r>
      <w:r w:rsidR="00C5433C" w:rsidRPr="00B76A31">
        <w:t xml:space="preserve">or other crisis services providing </w:t>
      </w:r>
      <w:r w:rsidR="00EB6C5E" w:rsidRPr="00B76A31">
        <w:t xml:space="preserve">domestic and </w:t>
      </w:r>
      <w:r w:rsidR="00C5433C" w:rsidRPr="00B76A31">
        <w:t>family violence</w:t>
      </w:r>
      <w:r w:rsidR="00EB6C5E" w:rsidRPr="00B76A31">
        <w:t xml:space="preserve"> assistance and</w:t>
      </w:r>
      <w:r w:rsidR="00C5433C" w:rsidRPr="00B76A31">
        <w:t xml:space="preserve"> support to the list of family violence support </w:t>
      </w:r>
      <w:r w:rsidR="00EB6C5E" w:rsidRPr="00B76A31">
        <w:t xml:space="preserve">service providers </w:t>
      </w:r>
      <w:r w:rsidR="00C5433C" w:rsidRPr="00B76A31">
        <w:t>that can provide documentary evidence</w:t>
      </w:r>
      <w:r w:rsidR="00B524B1" w:rsidRPr="00B76A31">
        <w:t xml:space="preserve"> (previously limited to women’s refuges and domestic and family violence crisis centres)</w:t>
      </w:r>
      <w:r w:rsidR="00C5433C" w:rsidRPr="00B76A31">
        <w:t>;</w:t>
      </w:r>
    </w:p>
    <w:p w14:paraId="6961022C" w14:textId="34A548D4" w:rsidR="00C5433C" w:rsidRPr="00B76A31" w:rsidRDefault="00C5433C" w:rsidP="00C5433C">
      <w:pPr>
        <w:pStyle w:val="ESSubparaList"/>
      </w:pPr>
      <w:r w:rsidRPr="00B76A31">
        <w:t>clarifying that the documentary evidence is to be provided by persons acting in their professional capacity;</w:t>
      </w:r>
    </w:p>
    <w:p w14:paraId="36AD94F7" w14:textId="3ED8551A" w:rsidR="00DC1EB9" w:rsidRPr="004F5C59" w:rsidRDefault="004F5C59" w:rsidP="00C5433C">
      <w:pPr>
        <w:pStyle w:val="ESSubparaList"/>
      </w:pPr>
      <w:proofErr w:type="gramStart"/>
      <w:r w:rsidRPr="00B76A31">
        <w:t>removing</w:t>
      </w:r>
      <w:proofErr w:type="gramEnd"/>
      <w:r w:rsidRPr="00B76A31">
        <w:t xml:space="preserve"> the requirement</w:t>
      </w:r>
      <w:r w:rsidRPr="004F5C59">
        <w:t xml:space="preserve"> to provide a statutory declaration for some professionals. </w:t>
      </w:r>
      <w:r w:rsidR="0090073A" w:rsidRPr="004F5C59">
        <w:t xml:space="preserve"> </w:t>
      </w:r>
    </w:p>
    <w:p w14:paraId="096A27DF" w14:textId="0C0AE51E" w:rsidR="001E4423" w:rsidRPr="00951348" w:rsidRDefault="00951348" w:rsidP="00950BEE">
      <w:pPr>
        <w:pStyle w:val="ESPara"/>
      </w:pPr>
      <w:r>
        <w:t>In response to stakeholder feedback and consistent with the Government’s commitment to better support victims of family violence, these new measures</w:t>
      </w:r>
      <w:r w:rsidR="00DC1EB9" w:rsidRPr="00951348">
        <w:t xml:space="preserve"> improve accessibility to the family violence provisions in the Migration Regulations by increasing flexibility around the evidence that applicants must provide</w:t>
      </w:r>
      <w:r w:rsidR="0090073A" w:rsidRPr="00951348">
        <w:t xml:space="preserve"> in order to make a non-judicial claim of family violence. </w:t>
      </w:r>
    </w:p>
    <w:p w14:paraId="0E0D2174" w14:textId="77777777" w:rsidR="008B24C8" w:rsidRPr="00E90AC8" w:rsidRDefault="008B24C8" w:rsidP="00100DFC">
      <w:pPr>
        <w:pStyle w:val="ESHeading"/>
      </w:pPr>
      <w:r w:rsidRPr="00E90AC8">
        <w:lastRenderedPageBreak/>
        <w:t>Consultation</w:t>
      </w:r>
    </w:p>
    <w:p w14:paraId="28C911A5" w14:textId="46973497" w:rsidR="008B24C8" w:rsidRPr="00E90AC8" w:rsidRDefault="00C73518" w:rsidP="00B62EDC">
      <w:pPr>
        <w:pStyle w:val="ESPara"/>
      </w:pPr>
      <w:r>
        <w:t>Significant consultation was undertaken on the measures in this instrument, with approximately 40 external stakeholders across the family violence support and legal sectors.</w:t>
      </w:r>
    </w:p>
    <w:p w14:paraId="44B6B641" w14:textId="6F658FDE" w:rsidR="0057735B" w:rsidRPr="00E90AC8" w:rsidRDefault="00427005" w:rsidP="002D167E">
      <w:pPr>
        <w:pStyle w:val="ESPara"/>
      </w:pPr>
      <w:r w:rsidRPr="00E90AC8">
        <w:rPr>
          <w:color w:val="000000" w:themeColor="text1"/>
        </w:rPr>
        <w:t xml:space="preserve">The Office of Impact Analysis </w:t>
      </w:r>
      <w:r w:rsidR="001E4423" w:rsidRPr="00E90AC8">
        <w:rPr>
          <w:color w:val="000000" w:themeColor="text1"/>
        </w:rPr>
        <w:t xml:space="preserve">was consulted and </w:t>
      </w:r>
      <w:r w:rsidR="00E90AC8" w:rsidRPr="00E90AC8">
        <w:rPr>
          <w:color w:val="000000" w:themeColor="text1"/>
        </w:rPr>
        <w:t>considered that</w:t>
      </w:r>
      <w:r w:rsidR="00C5433C">
        <w:rPr>
          <w:color w:val="000000" w:themeColor="text1"/>
        </w:rPr>
        <w:t xml:space="preserve"> the measures are unlikely to have more than a minor regulatory impact and </w:t>
      </w:r>
      <w:r w:rsidR="006B3D13">
        <w:rPr>
          <w:color w:val="000000" w:themeColor="text1"/>
        </w:rPr>
        <w:t xml:space="preserve">therefore </w:t>
      </w:r>
      <w:r w:rsidR="00C5433C">
        <w:rPr>
          <w:color w:val="000000" w:themeColor="text1"/>
        </w:rPr>
        <w:t xml:space="preserve">an Impact Analysis is not required. </w:t>
      </w:r>
    </w:p>
    <w:p w14:paraId="307AAC80" w14:textId="43A684A5" w:rsidR="008B24C8" w:rsidRPr="00E90AC8" w:rsidRDefault="008B24C8" w:rsidP="0057735B">
      <w:pPr>
        <w:pStyle w:val="ESPara"/>
        <w:numPr>
          <w:ilvl w:val="0"/>
          <w:numId w:val="5"/>
        </w:numPr>
      </w:pPr>
      <w:r w:rsidRPr="00E90AC8">
        <w:t xml:space="preserve">The </w:t>
      </w:r>
      <w:proofErr w:type="spellStart"/>
      <w:r w:rsidR="00427005" w:rsidRPr="00E90AC8">
        <w:t>OIA</w:t>
      </w:r>
      <w:proofErr w:type="spellEnd"/>
      <w:r w:rsidR="00427005" w:rsidRPr="00E90AC8">
        <w:t xml:space="preserve"> </w:t>
      </w:r>
      <w:r w:rsidRPr="00E90AC8">
        <w:t>reference</w:t>
      </w:r>
      <w:r w:rsidR="00E90AC8">
        <w:t xml:space="preserve"> number is </w:t>
      </w:r>
      <w:proofErr w:type="spellStart"/>
      <w:r w:rsidR="006B3D13">
        <w:t>OBPR23</w:t>
      </w:r>
      <w:proofErr w:type="spellEnd"/>
      <w:r w:rsidR="006B3D13">
        <w:t>-04117</w:t>
      </w:r>
    </w:p>
    <w:p w14:paraId="6D38743A" w14:textId="77777777" w:rsidR="00AA4557" w:rsidRPr="004974B0" w:rsidRDefault="00464080" w:rsidP="00100DFC">
      <w:pPr>
        <w:pStyle w:val="ESHeading"/>
      </w:pPr>
      <w:r w:rsidRPr="004974B0">
        <w:t>Details</w:t>
      </w:r>
      <w:r w:rsidR="00AA4557" w:rsidRPr="004974B0">
        <w:t xml:space="preserve"> of the instrument</w:t>
      </w:r>
    </w:p>
    <w:p w14:paraId="29CFCB16" w14:textId="4D22DC1D" w:rsidR="00AA4557" w:rsidRDefault="00E90AC8" w:rsidP="002D167E">
      <w:pPr>
        <w:pStyle w:val="ESPara"/>
      </w:pPr>
      <w:r>
        <w:t xml:space="preserve">Section 1 provides the name of the instrument. </w:t>
      </w:r>
    </w:p>
    <w:p w14:paraId="23AEC1C4" w14:textId="2DD4F475" w:rsidR="002C7DB6" w:rsidRDefault="00E90AC8" w:rsidP="002C7DB6">
      <w:pPr>
        <w:pStyle w:val="ESPara"/>
      </w:pPr>
      <w:r>
        <w:t xml:space="preserve">Section 2 provides that the instrument commences on the day after registration. </w:t>
      </w:r>
    </w:p>
    <w:p w14:paraId="024C4D94" w14:textId="373A0CD0" w:rsidR="002C7DB6" w:rsidRDefault="00E90AC8" w:rsidP="002C7DB6">
      <w:pPr>
        <w:pStyle w:val="ESPara"/>
      </w:pPr>
      <w:r>
        <w:t xml:space="preserve">Section 3 provides definitions for terms used in the instrument. </w:t>
      </w:r>
    </w:p>
    <w:p w14:paraId="490A6A3E" w14:textId="1BC4CCF4" w:rsidR="00E90AC8" w:rsidRDefault="00E90AC8" w:rsidP="002C7DB6">
      <w:pPr>
        <w:pStyle w:val="ESPara"/>
      </w:pPr>
      <w:r>
        <w:t>S</w:t>
      </w:r>
      <w:r w:rsidR="00486CBA">
        <w:t>ubs</w:t>
      </w:r>
      <w:r>
        <w:t>ection 4</w:t>
      </w:r>
      <w:r w:rsidR="00486CBA">
        <w:t>(1)</w:t>
      </w:r>
      <w:r w:rsidR="00CD5844">
        <w:t xml:space="preserve"> provides that </w:t>
      </w:r>
      <w:r w:rsidR="006B3D13">
        <w:t xml:space="preserve">the types of evidence mentioned in Schedule 1, are specified for the purposes of paragraph 1.24(b) of the Migration Regulations. </w:t>
      </w:r>
      <w:r w:rsidR="00486CBA">
        <w:t>Subsections 4(2) and 4(3) provide the requirements all items of evidence meet.</w:t>
      </w:r>
    </w:p>
    <w:p w14:paraId="351EFB41" w14:textId="5613459A" w:rsidR="00E90AC8" w:rsidRDefault="00E90AC8" w:rsidP="002C7DB6">
      <w:pPr>
        <w:pStyle w:val="ESPara"/>
      </w:pPr>
      <w:r>
        <w:t>Section 5</w:t>
      </w:r>
      <w:r w:rsidR="00CD5844">
        <w:t xml:space="preserve"> provides</w:t>
      </w:r>
      <w:r w:rsidR="006B3D13">
        <w:t xml:space="preserve">, subject to paragraph 5(b) of the instrument, that a minimum of two items of evidence mentioned in Schedule 1 is specified for paragraph 1.24(b) of the Migration Regulations. Paragraph 5(b) of the instrument provides that each item of this evidence must be of a different type of evidence. </w:t>
      </w:r>
    </w:p>
    <w:p w14:paraId="28CB3CFF" w14:textId="36479C4E" w:rsidR="00E90AC8" w:rsidRDefault="00E90AC8" w:rsidP="002C7DB6">
      <w:pPr>
        <w:pStyle w:val="ESPara"/>
      </w:pPr>
      <w:r>
        <w:t>Section 6</w:t>
      </w:r>
      <w:r w:rsidR="00CD5844" w:rsidRPr="00CD5844">
        <w:t xml:space="preserve"> </w:t>
      </w:r>
      <w:r w:rsidR="006B3D13">
        <w:t xml:space="preserve">repeals the previous instrument </w:t>
      </w:r>
      <w:r w:rsidR="006B3D13">
        <w:rPr>
          <w:i/>
        </w:rPr>
        <w:t xml:space="preserve">Migration Regulations 1994—Evidentiary Requirements—IMMI 12/116 </w:t>
      </w:r>
      <w:r w:rsidR="006B3D13">
        <w:t>(</w:t>
      </w:r>
      <w:proofErr w:type="spellStart"/>
      <w:r w:rsidR="006B3D13">
        <w:t>F2012L02237</w:t>
      </w:r>
      <w:proofErr w:type="spellEnd"/>
      <w:r w:rsidR="006B3D13">
        <w:t>).</w:t>
      </w:r>
    </w:p>
    <w:p w14:paraId="74C2BD44" w14:textId="41F543B6" w:rsidR="00E90AC8" w:rsidRDefault="00E90AC8" w:rsidP="002C7DB6">
      <w:pPr>
        <w:pStyle w:val="ESPara"/>
      </w:pPr>
      <w:r>
        <w:t xml:space="preserve">Section 7 </w:t>
      </w:r>
      <w:r w:rsidR="006B3D13">
        <w:t xml:space="preserve">provides that anything done under the previous instrument IMMI 12/116 continues to be in effect as if it had been done under this instrument. </w:t>
      </w:r>
    </w:p>
    <w:p w14:paraId="79336F63" w14:textId="362850FB" w:rsidR="008A110B" w:rsidRPr="00E90AC8" w:rsidRDefault="008A110B" w:rsidP="002C7DB6">
      <w:pPr>
        <w:pStyle w:val="ESPara"/>
      </w:pPr>
      <w:r>
        <w:t>Schedule 1 to the instrument specifies types and items of evidence and the information that must be included within the item of evidence</w:t>
      </w:r>
      <w:r w:rsidR="00486CBA">
        <w:t>.</w:t>
      </w:r>
    </w:p>
    <w:p w14:paraId="4448E448" w14:textId="77777777" w:rsidR="00AA4557" w:rsidRPr="00AA4557" w:rsidRDefault="00AA4557" w:rsidP="00100DFC">
      <w:pPr>
        <w:pStyle w:val="ESHeading"/>
      </w:pPr>
      <w:r>
        <w:t xml:space="preserve">Parliamentary scrutiny etc.  </w:t>
      </w:r>
    </w:p>
    <w:p w14:paraId="3B6A7CDE" w14:textId="2FA16F9C" w:rsidR="00E03DCC" w:rsidRDefault="00E03DCC" w:rsidP="002D167E">
      <w:pPr>
        <w:pStyle w:val="ESPara"/>
      </w:pPr>
      <w:r>
        <w:t>The instrument is exempt from disallowance under section 42 of the Legislation Act.  This is because</w:t>
      </w:r>
      <w:r w:rsidR="00AB2D79">
        <w:t xml:space="preserve"> </w:t>
      </w:r>
      <w:r w:rsidR="00CD5844">
        <w:t>the</w:t>
      </w:r>
      <w:r w:rsidR="00C1708F">
        <w:t xml:space="preserve"> instrument </w:t>
      </w:r>
      <w:r w:rsidR="00CD5844">
        <w:t xml:space="preserve">is made under Part </w:t>
      </w:r>
      <w:r w:rsidR="006B3D13">
        <w:t>1</w:t>
      </w:r>
      <w:r w:rsidR="00CD5844">
        <w:t xml:space="preserve"> of the Migration </w:t>
      </w:r>
      <w:r w:rsidR="006B3D13">
        <w:t>Regulations</w:t>
      </w:r>
      <w:r w:rsidR="00CD5844">
        <w:t>, which</w:t>
      </w:r>
      <w:r w:rsidR="00AB2D79">
        <w:t xml:space="preserve"> </w:t>
      </w:r>
      <w:r w:rsidR="00427005">
        <w:t>i</w:t>
      </w:r>
      <w:r w:rsidR="00AB2D79">
        <w:t xml:space="preserve">s prescribed </w:t>
      </w:r>
      <w:r w:rsidR="005A7E85">
        <w:t xml:space="preserve">under </w:t>
      </w:r>
      <w:r w:rsidR="00CD5844">
        <w:t>section 10, item 20(</w:t>
      </w:r>
      <w:r w:rsidR="006B3D13">
        <w:t>b</w:t>
      </w:r>
      <w:r w:rsidR="00AB2D79">
        <w:t>)</w:t>
      </w:r>
      <w:r w:rsidR="005A7E85">
        <w:t>,</w:t>
      </w:r>
      <w:r w:rsidR="00AB2D79">
        <w:t xml:space="preserve"> </w:t>
      </w:r>
      <w:r>
        <w:t xml:space="preserve">of the </w:t>
      </w:r>
      <w:r>
        <w:rPr>
          <w:i/>
        </w:rPr>
        <w:t>Legislation (Exemptions and Other Matters) Regulation 2015</w:t>
      </w:r>
      <w:r w:rsidR="005A7E85">
        <w:rPr>
          <w:i/>
        </w:rPr>
        <w:t xml:space="preserve"> </w:t>
      </w:r>
      <w:r w:rsidR="005A7E85">
        <w:t>as an instrument not subject to disallowance</w:t>
      </w:r>
      <w:r w:rsidR="00AB2D79">
        <w:rPr>
          <w:i/>
        </w:rPr>
        <w:t>.</w:t>
      </w:r>
      <w:r w:rsidR="00AB2D79">
        <w:t xml:space="preserve"> </w:t>
      </w:r>
    </w:p>
    <w:p w14:paraId="7F4531E7" w14:textId="16AD6273" w:rsidR="00AB2D79" w:rsidRDefault="00AB2D79" w:rsidP="002D167E">
      <w:pPr>
        <w:pStyle w:val="ESPara"/>
      </w:pPr>
      <w:r>
        <w:t>As the instrument is exempt from disallowance, a State</w:t>
      </w:r>
      <w:r w:rsidR="005A7E85">
        <w:t>ment</w:t>
      </w:r>
      <w:r>
        <w:t xml:space="preserve"> of Compatibility with Human Rights is not required. </w:t>
      </w:r>
    </w:p>
    <w:p w14:paraId="1C986248" w14:textId="33754E42" w:rsidR="00B75478" w:rsidRDefault="00B75478" w:rsidP="002D167E">
      <w:pPr>
        <w:pStyle w:val="ESPara"/>
      </w:pPr>
      <w:r w:rsidRPr="00B75478">
        <w:t xml:space="preserve">The </w:t>
      </w:r>
      <w:r>
        <w:t xml:space="preserve">instrument was made by </w:t>
      </w:r>
      <w:r w:rsidR="00AB2D79">
        <w:t>the Minister for Immigration, Citizenship and Multicultural Affairs,</w:t>
      </w:r>
      <w:r>
        <w:t xml:space="preserve"> in accordance with </w:t>
      </w:r>
      <w:r w:rsidR="0003674D">
        <w:t xml:space="preserve">paragraph </w:t>
      </w:r>
      <w:r w:rsidR="006B3D13">
        <w:t>1.24(b)</w:t>
      </w:r>
      <w:r w:rsidR="00AB2D79">
        <w:t xml:space="preserve"> of the Migration </w:t>
      </w:r>
      <w:r w:rsidR="006B3D13">
        <w:t>Regulations</w:t>
      </w:r>
      <w:r w:rsidR="00AB2D79">
        <w:t xml:space="preserve">. </w:t>
      </w:r>
    </w:p>
    <w:p w14:paraId="1CFF2545" w14:textId="77777777" w:rsidR="007E4691" w:rsidRDefault="007E4691" w:rsidP="00915032">
      <w:pPr>
        <w:rPr>
          <w:rFonts w:ascii="Times New Roman" w:hAnsi="Times New Roman" w:cs="Times New Roman"/>
        </w:rPr>
      </w:pPr>
    </w:p>
    <w:sectPr w:rsidR="007E4691" w:rsidSect="004F5CE4"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F41"/>
    <w:multiLevelType w:val="hybridMultilevel"/>
    <w:tmpl w:val="CBD8B82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AE532A9"/>
    <w:multiLevelType w:val="hybridMultilevel"/>
    <w:tmpl w:val="16DE8FA2"/>
    <w:lvl w:ilvl="0" w:tplc="C80632DA">
      <w:start w:val="1"/>
      <w:numFmt w:val="decimal"/>
      <w:pStyle w:val="ESSubparaHeader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ABC2DF26">
      <w:start w:val="1"/>
      <w:numFmt w:val="bullet"/>
      <w:pStyle w:val="ESSubparaLi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B22CF"/>
    <w:multiLevelType w:val="hybridMultilevel"/>
    <w:tmpl w:val="2DCEB73C"/>
    <w:lvl w:ilvl="0" w:tplc="2A36B062">
      <w:start w:val="2"/>
      <w:numFmt w:val="bullet"/>
      <w:pStyle w:val="ESAttLis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42196"/>
    <w:multiLevelType w:val="hybridMultilevel"/>
    <w:tmpl w:val="779C29F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D85CA8"/>
    <w:multiLevelType w:val="hybridMultilevel"/>
    <w:tmpl w:val="DC7AE35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8A37077"/>
    <w:multiLevelType w:val="hybridMultilevel"/>
    <w:tmpl w:val="C7F8064A"/>
    <w:lvl w:ilvl="0" w:tplc="0C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trackedChanges" w:enforcement="1" w:spinCount="100000" w:hashValue="cQmxwjuBTRNJPDlxGHRbovq8bA9pVbk2hTiyYw1rQ1o=" w:saltValue="ecAprz0qzeX3CFZ871B1JQ==" w:algorithmName="SHA-2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63"/>
    <w:rsid w:val="0003674D"/>
    <w:rsid w:val="000A0D76"/>
    <w:rsid w:val="000D014F"/>
    <w:rsid w:val="00100DFC"/>
    <w:rsid w:val="0018723B"/>
    <w:rsid w:val="0019164E"/>
    <w:rsid w:val="001A28B1"/>
    <w:rsid w:val="001E4423"/>
    <w:rsid w:val="002402E0"/>
    <w:rsid w:val="00256877"/>
    <w:rsid w:val="00257CC9"/>
    <w:rsid w:val="002C7DB6"/>
    <w:rsid w:val="002D167E"/>
    <w:rsid w:val="002E3E03"/>
    <w:rsid w:val="00306E7E"/>
    <w:rsid w:val="003A5B63"/>
    <w:rsid w:val="00427005"/>
    <w:rsid w:val="00444022"/>
    <w:rsid w:val="00457D4A"/>
    <w:rsid w:val="00464080"/>
    <w:rsid w:val="004651B1"/>
    <w:rsid w:val="00470C6E"/>
    <w:rsid w:val="00486CBA"/>
    <w:rsid w:val="004974B0"/>
    <w:rsid w:val="004F5C59"/>
    <w:rsid w:val="004F5CE4"/>
    <w:rsid w:val="005029B9"/>
    <w:rsid w:val="00560B24"/>
    <w:rsid w:val="0057002B"/>
    <w:rsid w:val="0057735B"/>
    <w:rsid w:val="005A3733"/>
    <w:rsid w:val="005A7E85"/>
    <w:rsid w:val="005D34B2"/>
    <w:rsid w:val="00604E06"/>
    <w:rsid w:val="0064029A"/>
    <w:rsid w:val="006B3D13"/>
    <w:rsid w:val="00742AD5"/>
    <w:rsid w:val="007450AC"/>
    <w:rsid w:val="007C11B6"/>
    <w:rsid w:val="007E4691"/>
    <w:rsid w:val="00874678"/>
    <w:rsid w:val="00881D01"/>
    <w:rsid w:val="0088407D"/>
    <w:rsid w:val="008A110B"/>
    <w:rsid w:val="008B24C8"/>
    <w:rsid w:val="008B5A16"/>
    <w:rsid w:val="0090073A"/>
    <w:rsid w:val="00915032"/>
    <w:rsid w:val="00950BEE"/>
    <w:rsid w:val="00951348"/>
    <w:rsid w:val="00A062FB"/>
    <w:rsid w:val="00A7793A"/>
    <w:rsid w:val="00AA4557"/>
    <w:rsid w:val="00AA4F77"/>
    <w:rsid w:val="00AB2D79"/>
    <w:rsid w:val="00B124A3"/>
    <w:rsid w:val="00B13678"/>
    <w:rsid w:val="00B445D9"/>
    <w:rsid w:val="00B524B1"/>
    <w:rsid w:val="00B62EDC"/>
    <w:rsid w:val="00B65A06"/>
    <w:rsid w:val="00B75478"/>
    <w:rsid w:val="00B76A31"/>
    <w:rsid w:val="00BB0CF2"/>
    <w:rsid w:val="00BD598E"/>
    <w:rsid w:val="00BE1B4F"/>
    <w:rsid w:val="00BE3E7F"/>
    <w:rsid w:val="00C1708F"/>
    <w:rsid w:val="00C51E1F"/>
    <w:rsid w:val="00C5433C"/>
    <w:rsid w:val="00C679B1"/>
    <w:rsid w:val="00C73518"/>
    <w:rsid w:val="00C81A5E"/>
    <w:rsid w:val="00C930F2"/>
    <w:rsid w:val="00CD5844"/>
    <w:rsid w:val="00CE5E8F"/>
    <w:rsid w:val="00D030D8"/>
    <w:rsid w:val="00D31918"/>
    <w:rsid w:val="00D40E1E"/>
    <w:rsid w:val="00DC1EB9"/>
    <w:rsid w:val="00E03DCC"/>
    <w:rsid w:val="00E45FE2"/>
    <w:rsid w:val="00E90AC8"/>
    <w:rsid w:val="00EA12C9"/>
    <w:rsid w:val="00EB69F6"/>
    <w:rsid w:val="00EB6C5E"/>
    <w:rsid w:val="00F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07BFF"/>
  <w15:chartTrackingRefBased/>
  <w15:docId w15:val="{CA775787-844E-4B3B-9BCA-BFB97E8B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7002B"/>
    <w:pPr>
      <w:ind w:left="720"/>
      <w:contextualSpacing/>
    </w:pPr>
  </w:style>
  <w:style w:type="paragraph" w:customStyle="1" w:styleId="ESParagraph">
    <w:name w:val="ES_Paragraph"/>
    <w:basedOn w:val="ListParagraph"/>
    <w:link w:val="ESParagraphChar"/>
    <w:rsid w:val="00100DFC"/>
    <w:p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paragraph" w:customStyle="1" w:styleId="ESHeading">
    <w:name w:val="ES_Heading"/>
    <w:basedOn w:val="ListParagraph"/>
    <w:link w:val="ESHeadingChar"/>
    <w:qFormat/>
    <w:rsid w:val="00100DFC"/>
    <w:pPr>
      <w:keepNext/>
      <w:spacing w:before="240" w:after="240" w:line="276" w:lineRule="auto"/>
      <w:ind w:left="0"/>
      <w:contextualSpacing w:val="0"/>
    </w:pPr>
    <w:rPr>
      <w:rFonts w:ascii="Times New Roman" w:hAnsi="Times New Roman" w:cs="Times New Roman"/>
      <w:b/>
      <w:i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DFC"/>
  </w:style>
  <w:style w:type="character" w:customStyle="1" w:styleId="ESParagraphChar">
    <w:name w:val="ES_Paragraph Char"/>
    <w:basedOn w:val="ListParagraphChar"/>
    <w:link w:val="ESParagraph"/>
    <w:rsid w:val="00100DFC"/>
    <w:rPr>
      <w:rFonts w:ascii="Times New Roman" w:hAnsi="Times New Roman" w:cs="Times New Roman"/>
    </w:rPr>
  </w:style>
  <w:style w:type="paragraph" w:customStyle="1" w:styleId="ESAttAttName">
    <w:name w:val="ESAtt_AttName"/>
    <w:basedOn w:val="Normal"/>
    <w:link w:val="ESAttAttNameChar"/>
    <w:qFormat/>
    <w:rsid w:val="00100DFC"/>
    <w:pPr>
      <w:spacing w:before="240" w:after="240" w:line="276" w:lineRule="auto"/>
      <w:jc w:val="right"/>
    </w:pPr>
    <w:rPr>
      <w:rFonts w:ascii="Times New Roman" w:hAnsi="Times New Roman" w:cs="Times New Roman"/>
      <w:b/>
      <w:u w:val="single"/>
    </w:rPr>
  </w:style>
  <w:style w:type="character" w:customStyle="1" w:styleId="ESHeadingChar">
    <w:name w:val="ES_Heading Char"/>
    <w:basedOn w:val="ListParagraphChar"/>
    <w:link w:val="ESHeading"/>
    <w:rsid w:val="00100DFC"/>
    <w:rPr>
      <w:rFonts w:ascii="Times New Roman" w:hAnsi="Times New Roman" w:cs="Times New Roman"/>
      <w:b/>
      <w:i/>
    </w:rPr>
  </w:style>
  <w:style w:type="paragraph" w:customStyle="1" w:styleId="ESAttHeading">
    <w:name w:val="ESAtt_Heading"/>
    <w:basedOn w:val="Normal"/>
    <w:link w:val="ESAttHeading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  <w:b/>
    </w:rPr>
  </w:style>
  <w:style w:type="character" w:customStyle="1" w:styleId="ESAttAttNameChar">
    <w:name w:val="ESAtt_AttName Char"/>
    <w:basedOn w:val="DefaultParagraphFont"/>
    <w:link w:val="ESAttAttName"/>
    <w:rsid w:val="00100DFC"/>
    <w:rPr>
      <w:rFonts w:ascii="Times New Roman" w:hAnsi="Times New Roman" w:cs="Times New Roman"/>
      <w:b/>
      <w:u w:val="single"/>
    </w:rPr>
  </w:style>
  <w:style w:type="paragraph" w:customStyle="1" w:styleId="ESAttNormal">
    <w:name w:val="ESAtt_Normal"/>
    <w:basedOn w:val="Normal"/>
    <w:link w:val="ESAttNormalChar"/>
    <w:qFormat/>
    <w:rsid w:val="00100DFC"/>
    <w:pPr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HeadingChar">
    <w:name w:val="ESAtt_Heading Char"/>
    <w:basedOn w:val="DefaultParagraphFont"/>
    <w:link w:val="ESAttHeading"/>
    <w:rsid w:val="00100DFC"/>
    <w:rPr>
      <w:rFonts w:ascii="Times New Roman" w:hAnsi="Times New Roman" w:cs="Times New Roman"/>
      <w:b/>
    </w:rPr>
  </w:style>
  <w:style w:type="paragraph" w:customStyle="1" w:styleId="ESAttListHeader">
    <w:name w:val="ESAtt_ListHeader"/>
    <w:basedOn w:val="Normal"/>
    <w:link w:val="ESAttListHeaderChar"/>
    <w:qFormat/>
    <w:rsid w:val="00100DFC"/>
    <w:pPr>
      <w:keepNext/>
      <w:spacing w:before="240" w:after="240" w:line="276" w:lineRule="auto"/>
    </w:pPr>
    <w:rPr>
      <w:rFonts w:ascii="Times New Roman" w:hAnsi="Times New Roman" w:cs="Times New Roman"/>
    </w:rPr>
  </w:style>
  <w:style w:type="character" w:customStyle="1" w:styleId="ESAttNormalChar">
    <w:name w:val="ESAtt_Normal Char"/>
    <w:basedOn w:val="DefaultParagraphFont"/>
    <w:link w:val="ESAttNormal"/>
    <w:rsid w:val="00100DFC"/>
    <w:rPr>
      <w:rFonts w:ascii="Times New Roman" w:hAnsi="Times New Roman" w:cs="Times New Roman"/>
    </w:rPr>
  </w:style>
  <w:style w:type="paragraph" w:customStyle="1" w:styleId="ESAttList">
    <w:name w:val="ESAtt_List"/>
    <w:basedOn w:val="ListParagraph"/>
    <w:link w:val="ESAttListChar"/>
    <w:qFormat/>
    <w:rsid w:val="00100DFC"/>
    <w:pPr>
      <w:numPr>
        <w:numId w:val="2"/>
      </w:numPr>
      <w:spacing w:before="240" w:after="240" w:line="276" w:lineRule="auto"/>
      <w:contextualSpacing w:val="0"/>
    </w:pPr>
    <w:rPr>
      <w:rFonts w:ascii="Times New Roman" w:hAnsi="Times New Roman" w:cs="Times New Roman"/>
    </w:rPr>
  </w:style>
  <w:style w:type="character" w:customStyle="1" w:styleId="ESAttListHeaderChar">
    <w:name w:val="ESAtt_ListHeader Char"/>
    <w:basedOn w:val="DefaultParagraphFont"/>
    <w:link w:val="ESAttListHeader"/>
    <w:rsid w:val="00100DFC"/>
    <w:rPr>
      <w:rFonts w:ascii="Times New Roman" w:hAnsi="Times New Roman" w:cs="Times New Roman"/>
    </w:rPr>
  </w:style>
  <w:style w:type="paragraph" w:customStyle="1" w:styleId="ESSubHeading">
    <w:name w:val="ES_SubHeading"/>
    <w:basedOn w:val="ESHeading"/>
    <w:link w:val="ESSubHeadingChar"/>
    <w:qFormat/>
    <w:rsid w:val="00BB0CF2"/>
    <w:rPr>
      <w:b w:val="0"/>
    </w:rPr>
  </w:style>
  <w:style w:type="character" w:customStyle="1" w:styleId="ESAttListChar">
    <w:name w:val="ESAtt_List Char"/>
    <w:basedOn w:val="ListParagraphChar"/>
    <w:link w:val="ESAttList"/>
    <w:rsid w:val="00100DFC"/>
    <w:rPr>
      <w:rFonts w:ascii="Times New Roman" w:hAnsi="Times New Roman" w:cs="Times New Roman"/>
    </w:rPr>
  </w:style>
  <w:style w:type="paragraph" w:customStyle="1" w:styleId="ESTitleInstrumentName">
    <w:name w:val="ESTitle_InstrumentName"/>
    <w:basedOn w:val="Normal"/>
    <w:link w:val="ESTitleInstrumentNameChar"/>
    <w:qFormat/>
    <w:rsid w:val="00BB0CF2"/>
    <w:pPr>
      <w:spacing w:before="360" w:after="600" w:line="276" w:lineRule="auto"/>
      <w:jc w:val="center"/>
    </w:pPr>
    <w:rPr>
      <w:rFonts w:ascii="Times New Roman" w:hAnsi="Times New Roman" w:cs="Times New Roman"/>
      <w:b/>
      <w:i/>
    </w:rPr>
  </w:style>
  <w:style w:type="character" w:customStyle="1" w:styleId="ESSubHeadingChar">
    <w:name w:val="ES_SubHeading Char"/>
    <w:basedOn w:val="ESHeadingChar"/>
    <w:link w:val="ESSubHeading"/>
    <w:rsid w:val="00BB0CF2"/>
    <w:rPr>
      <w:rFonts w:ascii="Times New Roman" w:hAnsi="Times New Roman" w:cs="Times New Roman"/>
      <w:b w:val="0"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BB0CF2"/>
    <w:pPr>
      <w:spacing w:line="276" w:lineRule="auto"/>
      <w:jc w:val="center"/>
    </w:pPr>
    <w:rPr>
      <w:rFonts w:ascii="Times New Roman" w:hAnsi="Times New Roman" w:cs="Times New Roman"/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BB0CF2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BB0CF2"/>
    <w:pPr>
      <w:spacing w:line="276" w:lineRule="auto"/>
      <w:jc w:val="center"/>
    </w:pPr>
    <w:rPr>
      <w:rFonts w:ascii="Times New Roman" w:hAnsi="Times New Roman" w:cs="Times New Roman"/>
    </w:r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BB0CF2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BB0CF2"/>
    <w:pPr>
      <w:spacing w:line="276" w:lineRule="auto"/>
      <w:jc w:val="center"/>
    </w:pPr>
    <w:rPr>
      <w:rFonts w:ascii="Times New Roman" w:hAnsi="Times New Roman" w:cs="Times New Roman"/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BB0CF2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link w:val="ESSubparaHeaderChar"/>
    <w:qFormat/>
    <w:rsid w:val="00BB0CF2"/>
    <w:pPr>
      <w:keepNext/>
      <w:numPr>
        <w:numId w:val="1"/>
      </w:numPr>
      <w:spacing w:before="240" w:after="240" w:line="276" w:lineRule="auto"/>
      <w:ind w:left="567" w:hanging="567"/>
      <w:contextualSpacing w:val="0"/>
    </w:pPr>
    <w:rPr>
      <w:rFonts w:ascii="Times New Roman" w:hAnsi="Times New Roman" w:cs="Times New Roman"/>
    </w:rPr>
  </w:style>
  <w:style w:type="character" w:customStyle="1" w:styleId="ESTitleHeaderChar">
    <w:name w:val="ESTitle_Header Char"/>
    <w:basedOn w:val="DefaultParagraphFont"/>
    <w:link w:val="ESTitleHeader"/>
    <w:rsid w:val="00BB0CF2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ListParagraph"/>
    <w:link w:val="ESSubparaListChar"/>
    <w:qFormat/>
    <w:rsid w:val="00BB0CF2"/>
    <w:pPr>
      <w:numPr>
        <w:ilvl w:val="1"/>
        <w:numId w:val="1"/>
      </w:numPr>
      <w:spacing w:before="240" w:after="240" w:line="276" w:lineRule="auto"/>
      <w:ind w:left="1276" w:hanging="425"/>
      <w:contextualSpacing w:val="0"/>
    </w:pPr>
    <w:rPr>
      <w:rFonts w:ascii="Times New Roman" w:hAnsi="Times New Roman" w:cs="Times New Roman"/>
    </w:rPr>
  </w:style>
  <w:style w:type="character" w:customStyle="1" w:styleId="ESSubparaHeaderChar">
    <w:name w:val="ES_SubparaHeader Char"/>
    <w:basedOn w:val="ListParagraphChar"/>
    <w:link w:val="ESSubparaHeader"/>
    <w:rsid w:val="00BB0CF2"/>
    <w:rPr>
      <w:rFonts w:ascii="Times New Roman" w:hAnsi="Times New Roman" w:cs="Times New Roman"/>
    </w:rPr>
  </w:style>
  <w:style w:type="character" w:customStyle="1" w:styleId="ESSubparaListChar">
    <w:name w:val="ES_SubparaList Char"/>
    <w:basedOn w:val="ListParagraphChar"/>
    <w:link w:val="ESSubparaList"/>
    <w:rsid w:val="00BB0CF2"/>
    <w:rPr>
      <w:rFonts w:ascii="Times New Roman" w:hAnsi="Times New Roman" w:cs="Times New Roman"/>
    </w:rPr>
  </w:style>
  <w:style w:type="paragraph" w:customStyle="1" w:styleId="ESPara">
    <w:name w:val="ES_Para"/>
    <w:basedOn w:val="ESSubparaHeader"/>
    <w:link w:val="ESParaChar"/>
    <w:qFormat/>
    <w:rsid w:val="002D167E"/>
    <w:pPr>
      <w:keepNext w:val="0"/>
    </w:pPr>
  </w:style>
  <w:style w:type="character" w:customStyle="1" w:styleId="ESParaChar">
    <w:name w:val="ES_Para Char"/>
    <w:basedOn w:val="ESSubparaHeaderChar"/>
    <w:link w:val="ESPara"/>
    <w:rsid w:val="002D167E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56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8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8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8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9E95A-2A37-4540-B493-B3EFA280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LEE</dc:creator>
  <cp:keywords/>
  <dc:description/>
  <cp:lastModifiedBy>Suzana Spodnik</cp:lastModifiedBy>
  <cp:revision>2</cp:revision>
  <dcterms:created xsi:type="dcterms:W3CDTF">2023-03-10T00:01:00Z</dcterms:created>
  <dcterms:modified xsi:type="dcterms:W3CDTF">2023-03-10T00:01:00Z</dcterms:modified>
</cp:coreProperties>
</file>